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Calibri"/>
          <w:b/>
          <w:szCs w:val="21"/>
          <w:highlight w:val="none"/>
        </w:rPr>
      </w:pPr>
    </w:p>
    <w:p>
      <w:pPr>
        <w:rPr>
          <w:rFonts w:cs="Calibri"/>
          <w:b/>
          <w:szCs w:val="21"/>
          <w:highlight w:val="none"/>
        </w:rPr>
      </w:pPr>
    </w:p>
    <w:p>
      <w:pPr>
        <w:rPr>
          <w:rFonts w:cs="Calibri"/>
          <w:b/>
          <w:szCs w:val="21"/>
          <w:highlight w:val="none"/>
        </w:rPr>
      </w:pPr>
    </w:p>
    <w:p>
      <w:pPr>
        <w:rPr>
          <w:rFonts w:cs="Calibri"/>
          <w:b/>
          <w:szCs w:val="21"/>
          <w:highlight w:val="none"/>
        </w:rPr>
      </w:pPr>
    </w:p>
    <w:p>
      <w:pPr>
        <w:jc w:val="center"/>
        <w:rPr>
          <w:rFonts w:hint="eastAsia" w:eastAsia="宋体" w:cs="Calibri"/>
          <w:b/>
          <w:sz w:val="36"/>
          <w:szCs w:val="36"/>
          <w:highlight w:val="none"/>
          <w:lang w:eastAsia="zh-CN"/>
        </w:rPr>
      </w:pPr>
      <w:r>
        <w:rPr>
          <w:rFonts w:hint="eastAsia" w:cs="Calibri"/>
          <w:b/>
          <w:sz w:val="36"/>
          <w:szCs w:val="36"/>
          <w:highlight w:val="none"/>
          <w:lang w:eastAsia="zh-CN"/>
        </w:rPr>
        <w:t>湖州市吴兴区猪肉（冻肉）储备项目</w:t>
      </w:r>
    </w:p>
    <w:p>
      <w:pPr>
        <w:rPr>
          <w:rFonts w:cs="Calibri"/>
          <w:b/>
          <w:szCs w:val="21"/>
          <w:highlight w:val="none"/>
          <w:u w:val="single"/>
        </w:rPr>
      </w:pPr>
    </w:p>
    <w:p>
      <w:pPr>
        <w:rPr>
          <w:rFonts w:cs="Calibri"/>
          <w:b/>
          <w:szCs w:val="21"/>
          <w:highlight w:val="none"/>
          <w:u w:val="single"/>
        </w:rPr>
      </w:pPr>
    </w:p>
    <w:p>
      <w:pPr>
        <w:jc w:val="center"/>
        <w:rPr>
          <w:rFonts w:cs="Calibri"/>
          <w:b/>
          <w:sz w:val="100"/>
          <w:szCs w:val="100"/>
          <w:highlight w:val="none"/>
        </w:rPr>
      </w:pPr>
      <w:r>
        <w:rPr>
          <w:rFonts w:cs="Calibri"/>
          <w:b/>
          <w:sz w:val="100"/>
          <w:szCs w:val="100"/>
          <w:highlight w:val="none"/>
        </w:rPr>
        <w:t>采购文件</w:t>
      </w:r>
    </w:p>
    <w:p>
      <w:pPr>
        <w:rPr>
          <w:rFonts w:cs="Calibri"/>
          <w:b/>
          <w:szCs w:val="21"/>
          <w:highlight w:val="none"/>
        </w:rPr>
      </w:pPr>
    </w:p>
    <w:p>
      <w:pPr>
        <w:rPr>
          <w:rFonts w:cs="Calibri"/>
          <w:b/>
          <w:szCs w:val="21"/>
          <w:highlight w:val="none"/>
        </w:rPr>
      </w:pPr>
    </w:p>
    <w:p>
      <w:pPr>
        <w:jc w:val="center"/>
        <w:rPr>
          <w:rFonts w:cs="Calibri"/>
          <w:b/>
          <w:sz w:val="36"/>
          <w:highlight w:val="none"/>
        </w:rPr>
      </w:pPr>
      <w:r>
        <w:rPr>
          <w:rFonts w:cs="Calibri"/>
          <w:highlight w:val="none"/>
        </w:rPr>
        <w:drawing>
          <wp:inline distT="0" distB="0" distL="114300" distR="114300">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2303780" cy="1790700"/>
                    </a:xfrm>
                    <a:prstGeom prst="rect">
                      <a:avLst/>
                    </a:prstGeom>
                    <a:noFill/>
                    <a:ln>
                      <a:noFill/>
                    </a:ln>
                  </pic:spPr>
                </pic:pic>
              </a:graphicData>
            </a:graphic>
          </wp:inline>
        </w:drawing>
      </w:r>
    </w:p>
    <w:p>
      <w:pPr>
        <w:rPr>
          <w:rFonts w:cs="Calibri"/>
          <w:b/>
          <w:szCs w:val="21"/>
          <w:highlight w:val="none"/>
        </w:rPr>
      </w:pPr>
    </w:p>
    <w:p>
      <w:pPr>
        <w:rPr>
          <w:rFonts w:cs="Calibri"/>
          <w:b/>
          <w:szCs w:val="21"/>
          <w:highlight w:val="none"/>
        </w:rPr>
      </w:pPr>
    </w:p>
    <w:p>
      <w:pPr>
        <w:tabs>
          <w:tab w:val="left" w:pos="6533"/>
        </w:tabs>
        <w:ind w:firstLine="1494" w:firstLineChars="496"/>
        <w:rPr>
          <w:rFonts w:cs="Calibri"/>
          <w:b/>
          <w:sz w:val="30"/>
          <w:szCs w:val="30"/>
          <w:highlight w:val="none"/>
        </w:rPr>
      </w:pPr>
      <w:r>
        <w:rPr>
          <w:rFonts w:cs="Calibri"/>
          <w:b/>
          <w:sz w:val="30"/>
          <w:szCs w:val="30"/>
          <w:highlight w:val="none"/>
        </w:rPr>
        <w:t>采购方式：竞争性磋商</w:t>
      </w:r>
      <w:r>
        <w:rPr>
          <w:rFonts w:hint="eastAsia" w:cs="Calibri"/>
          <w:b/>
          <w:sz w:val="30"/>
          <w:szCs w:val="30"/>
          <w:highlight w:val="none"/>
        </w:rPr>
        <w:tab/>
      </w:r>
    </w:p>
    <w:p>
      <w:pPr>
        <w:ind w:firstLine="1494" w:firstLineChars="496"/>
        <w:rPr>
          <w:rFonts w:hint="eastAsia" w:eastAsia="宋体" w:cs="Calibri"/>
          <w:b/>
          <w:sz w:val="30"/>
          <w:szCs w:val="30"/>
          <w:highlight w:val="none"/>
          <w:lang w:eastAsia="zh-CN"/>
        </w:rPr>
      </w:pPr>
      <w:r>
        <w:rPr>
          <w:rFonts w:cs="Calibri"/>
          <w:b/>
          <w:sz w:val="30"/>
          <w:szCs w:val="30"/>
          <w:highlight w:val="none"/>
        </w:rPr>
        <w:t>项目编号：</w:t>
      </w:r>
      <w:r>
        <w:rPr>
          <w:rFonts w:hint="eastAsia" w:cs="Calibri"/>
          <w:b/>
          <w:sz w:val="30"/>
          <w:szCs w:val="30"/>
          <w:highlight w:val="none"/>
          <w:lang w:eastAsia="zh-CN"/>
        </w:rPr>
        <w:t>CTZB-2024040086</w:t>
      </w:r>
    </w:p>
    <w:p>
      <w:pPr>
        <w:rPr>
          <w:rFonts w:cs="Calibri"/>
          <w:b/>
          <w:szCs w:val="21"/>
          <w:highlight w:val="none"/>
        </w:rPr>
      </w:pPr>
    </w:p>
    <w:p>
      <w:pPr>
        <w:rPr>
          <w:rFonts w:cs="Calibri"/>
          <w:b/>
          <w:szCs w:val="21"/>
          <w:highlight w:val="none"/>
        </w:rPr>
      </w:pPr>
    </w:p>
    <w:p>
      <w:pPr>
        <w:rPr>
          <w:rFonts w:cs="Calibri"/>
          <w:b/>
          <w:szCs w:val="21"/>
          <w:highlight w:val="none"/>
        </w:rPr>
      </w:pPr>
    </w:p>
    <w:p>
      <w:pPr>
        <w:rPr>
          <w:rFonts w:cs="Calibri"/>
          <w:b/>
          <w:szCs w:val="21"/>
          <w:highlight w:val="none"/>
        </w:rPr>
      </w:pPr>
    </w:p>
    <w:p>
      <w:pPr>
        <w:ind w:firstLine="1355" w:firstLineChars="450"/>
        <w:rPr>
          <w:rFonts w:cs="Calibri"/>
          <w:b/>
          <w:sz w:val="30"/>
          <w:szCs w:val="30"/>
          <w:highlight w:val="none"/>
        </w:rPr>
      </w:pPr>
      <w:r>
        <w:rPr>
          <w:rFonts w:cs="Calibri"/>
          <w:b/>
          <w:sz w:val="30"/>
          <w:szCs w:val="30"/>
          <w:highlight w:val="none"/>
        </w:rPr>
        <w:t>采购人：</w:t>
      </w:r>
      <w:r>
        <w:rPr>
          <w:rFonts w:hint="eastAsia" w:cs="Calibri"/>
          <w:b/>
          <w:sz w:val="30"/>
          <w:szCs w:val="30"/>
          <w:highlight w:val="none"/>
          <w:u w:val="single"/>
          <w:lang w:eastAsia="zh-CN"/>
        </w:rPr>
        <w:t>湖州市吴兴区商务局</w:t>
      </w:r>
      <w:r>
        <w:rPr>
          <w:rFonts w:cs="Calibri"/>
          <w:b/>
          <w:sz w:val="30"/>
          <w:szCs w:val="30"/>
          <w:highlight w:val="none"/>
        </w:rPr>
        <w:t>（盖章）</w:t>
      </w:r>
    </w:p>
    <w:p>
      <w:pPr>
        <w:ind w:firstLine="1355" w:firstLineChars="450"/>
        <w:rPr>
          <w:rFonts w:cs="Calibri"/>
          <w:b/>
          <w:sz w:val="30"/>
          <w:szCs w:val="30"/>
          <w:highlight w:val="none"/>
        </w:rPr>
      </w:pPr>
      <w:r>
        <w:rPr>
          <w:rFonts w:cs="Calibri"/>
          <w:b/>
          <w:sz w:val="30"/>
          <w:szCs w:val="30"/>
          <w:highlight w:val="none"/>
        </w:rPr>
        <w:t>采购代理机构：</w:t>
      </w:r>
      <w:r>
        <w:rPr>
          <w:rFonts w:cs="Calibri"/>
          <w:b/>
          <w:sz w:val="30"/>
          <w:szCs w:val="30"/>
          <w:highlight w:val="none"/>
          <w:u w:val="single"/>
        </w:rPr>
        <w:t>浙江省成套招标代理有限公司</w:t>
      </w:r>
      <w:r>
        <w:rPr>
          <w:rFonts w:cs="Calibri"/>
          <w:b/>
          <w:sz w:val="30"/>
          <w:szCs w:val="30"/>
          <w:highlight w:val="none"/>
        </w:rPr>
        <w:t>（盖章）</w:t>
      </w:r>
    </w:p>
    <w:p>
      <w:pPr>
        <w:jc w:val="center"/>
        <w:rPr>
          <w:rFonts w:cs="Calibri"/>
          <w:b/>
          <w:sz w:val="30"/>
          <w:szCs w:val="30"/>
          <w:highlight w:val="none"/>
        </w:rPr>
      </w:pPr>
    </w:p>
    <w:p>
      <w:pPr>
        <w:jc w:val="center"/>
        <w:rPr>
          <w:rFonts w:cs="Calibri"/>
          <w:b/>
          <w:sz w:val="30"/>
          <w:szCs w:val="30"/>
          <w:highlight w:val="none"/>
        </w:rPr>
      </w:pPr>
      <w:r>
        <w:rPr>
          <w:rFonts w:hint="eastAsia" w:cs="Calibri"/>
          <w:b/>
          <w:sz w:val="30"/>
          <w:szCs w:val="30"/>
          <w:highlight w:val="none"/>
        </w:rPr>
        <w:t>二〇二</w:t>
      </w:r>
      <w:r>
        <w:rPr>
          <w:rFonts w:hint="eastAsia" w:cs="Calibri"/>
          <w:b/>
          <w:sz w:val="30"/>
          <w:szCs w:val="30"/>
          <w:highlight w:val="none"/>
          <w:lang w:eastAsia="zh-CN"/>
        </w:rPr>
        <w:t>四</w:t>
      </w:r>
      <w:r>
        <w:rPr>
          <w:rFonts w:hint="eastAsia" w:cs="Calibri"/>
          <w:b/>
          <w:sz w:val="30"/>
          <w:szCs w:val="30"/>
          <w:highlight w:val="none"/>
        </w:rPr>
        <w:t>年</w:t>
      </w:r>
      <w:r>
        <w:rPr>
          <w:rFonts w:hint="eastAsia" w:cs="Calibri"/>
          <w:b/>
          <w:sz w:val="30"/>
          <w:szCs w:val="30"/>
          <w:highlight w:val="none"/>
          <w:lang w:eastAsia="zh-CN"/>
        </w:rPr>
        <w:t>四</w:t>
      </w:r>
      <w:r>
        <w:rPr>
          <w:rFonts w:hint="eastAsia" w:cs="Calibri"/>
          <w:b/>
          <w:sz w:val="30"/>
          <w:szCs w:val="30"/>
          <w:highlight w:val="none"/>
        </w:rPr>
        <w:t>月</w:t>
      </w:r>
    </w:p>
    <w:p>
      <w:pPr>
        <w:pStyle w:val="3"/>
        <w:rPr>
          <w:rFonts w:cs="Calibri"/>
          <w:color w:val="auto"/>
          <w:highlight w:val="none"/>
        </w:rPr>
      </w:pPr>
      <w:r>
        <w:rPr>
          <w:rFonts w:cs="Calibri"/>
          <w:color w:val="auto"/>
          <w:highlight w:val="none"/>
        </w:rPr>
        <w:br w:type="page"/>
      </w:r>
      <w:bookmarkStart w:id="0" w:name="_Toc18479"/>
      <w:bookmarkStart w:id="1" w:name="_Toc23506"/>
      <w:r>
        <w:rPr>
          <w:rFonts w:cs="Calibri"/>
          <w:color w:val="auto"/>
          <w:highlight w:val="none"/>
        </w:rPr>
        <w:t>目录</w:t>
      </w:r>
      <w:bookmarkEnd w:id="0"/>
      <w:bookmarkEnd w:id="1"/>
    </w:p>
    <w:p>
      <w:pPr>
        <w:pStyle w:val="33"/>
        <w:tabs>
          <w:tab w:val="right" w:leader="dot" w:pos="9186"/>
          <w:tab w:val="clear" w:pos="9403"/>
        </w:tabs>
        <w:rPr>
          <w:highlight w:val="none"/>
        </w:rPr>
      </w:pPr>
      <w:r>
        <w:rPr>
          <w:rFonts w:cs="Calibri"/>
          <w:bCs w:val="0"/>
          <w:caps w:val="0"/>
          <w:kern w:val="0"/>
          <w:szCs w:val="21"/>
          <w:highlight w:val="none"/>
        </w:rPr>
        <w:fldChar w:fldCharType="begin"/>
      </w:r>
      <w:r>
        <w:rPr>
          <w:rFonts w:cs="Calibri"/>
          <w:bCs w:val="0"/>
          <w:caps w:val="0"/>
          <w:kern w:val="0"/>
          <w:szCs w:val="21"/>
          <w:highlight w:val="none"/>
        </w:rPr>
        <w:instrText xml:space="preserve"> TOC \o "1-1" \h \z </w:instrText>
      </w:r>
      <w:r>
        <w:rPr>
          <w:rFonts w:cs="Calibri"/>
          <w:bCs w:val="0"/>
          <w:caps w:val="0"/>
          <w:kern w:val="0"/>
          <w:szCs w:val="21"/>
          <w:highlight w:val="none"/>
        </w:rPr>
        <w:fldChar w:fldCharType="separate"/>
      </w:r>
      <w:r>
        <w:rPr>
          <w:highlight w:val="none"/>
        </w:rPr>
        <w:fldChar w:fldCharType="begin"/>
      </w:r>
      <w:r>
        <w:rPr>
          <w:highlight w:val="none"/>
        </w:rPr>
        <w:instrText xml:space="preserve"> HYPERLINK \l "_Toc18479" </w:instrText>
      </w:r>
      <w:r>
        <w:rPr>
          <w:highlight w:val="none"/>
        </w:rPr>
        <w:fldChar w:fldCharType="separate"/>
      </w:r>
      <w:r>
        <w:rPr>
          <w:rFonts w:cs="Calibri"/>
          <w:highlight w:val="none"/>
        </w:rPr>
        <w:t>目录</w:t>
      </w:r>
      <w:r>
        <w:rPr>
          <w:highlight w:val="none"/>
        </w:rPr>
        <w:tab/>
      </w:r>
      <w:r>
        <w:rPr>
          <w:highlight w:val="none"/>
        </w:rPr>
        <w:fldChar w:fldCharType="begin"/>
      </w:r>
      <w:r>
        <w:rPr>
          <w:highlight w:val="none"/>
        </w:rPr>
        <w:instrText xml:space="preserve"> PAGEREF _Toc18479 \h </w:instrText>
      </w:r>
      <w:r>
        <w:rPr>
          <w:highlight w:val="none"/>
        </w:rPr>
        <w:fldChar w:fldCharType="separate"/>
      </w:r>
      <w:r>
        <w:rPr>
          <w:highlight w:val="none"/>
        </w:rPr>
        <w:t>2</w:t>
      </w:r>
      <w:r>
        <w:rPr>
          <w:highlight w:val="none"/>
        </w:rPr>
        <w:fldChar w:fldCharType="end"/>
      </w:r>
      <w:r>
        <w:rPr>
          <w:highlight w:val="none"/>
        </w:rPr>
        <w:fldChar w:fldCharType="end"/>
      </w:r>
    </w:p>
    <w:p>
      <w:pPr>
        <w:pStyle w:val="33"/>
        <w:tabs>
          <w:tab w:val="right" w:leader="dot" w:pos="9186"/>
          <w:tab w:val="clear" w:pos="9403"/>
        </w:tabs>
        <w:rPr>
          <w:highlight w:val="none"/>
        </w:rPr>
      </w:pPr>
      <w:r>
        <w:rPr>
          <w:highlight w:val="none"/>
        </w:rPr>
        <w:fldChar w:fldCharType="begin"/>
      </w:r>
      <w:r>
        <w:rPr>
          <w:highlight w:val="none"/>
        </w:rPr>
        <w:instrText xml:space="preserve"> HYPERLINK \l "_Toc22481" </w:instrText>
      </w:r>
      <w:r>
        <w:rPr>
          <w:highlight w:val="none"/>
        </w:rPr>
        <w:fldChar w:fldCharType="separate"/>
      </w:r>
      <w:r>
        <w:rPr>
          <w:rFonts w:cs="Calibri"/>
          <w:highlight w:val="none"/>
        </w:rPr>
        <w:t>第一章竞争性磋商采购公告</w:t>
      </w:r>
      <w:r>
        <w:rPr>
          <w:highlight w:val="none"/>
        </w:rPr>
        <w:tab/>
      </w:r>
      <w:r>
        <w:rPr>
          <w:highlight w:val="none"/>
        </w:rPr>
        <w:fldChar w:fldCharType="begin"/>
      </w:r>
      <w:r>
        <w:rPr>
          <w:highlight w:val="none"/>
        </w:rPr>
        <w:instrText xml:space="preserve"> PAGEREF _Toc22481 \h </w:instrText>
      </w:r>
      <w:r>
        <w:rPr>
          <w:highlight w:val="none"/>
        </w:rPr>
        <w:fldChar w:fldCharType="separate"/>
      </w:r>
      <w:r>
        <w:rPr>
          <w:highlight w:val="none"/>
        </w:rPr>
        <w:t>3</w:t>
      </w:r>
      <w:r>
        <w:rPr>
          <w:highlight w:val="none"/>
        </w:rPr>
        <w:fldChar w:fldCharType="end"/>
      </w:r>
      <w:r>
        <w:rPr>
          <w:highlight w:val="none"/>
        </w:rPr>
        <w:fldChar w:fldCharType="end"/>
      </w:r>
    </w:p>
    <w:p>
      <w:pPr>
        <w:pStyle w:val="33"/>
        <w:tabs>
          <w:tab w:val="right" w:leader="dot" w:pos="9186"/>
          <w:tab w:val="clear" w:pos="9403"/>
        </w:tabs>
        <w:rPr>
          <w:highlight w:val="none"/>
        </w:rPr>
      </w:pPr>
      <w:r>
        <w:rPr>
          <w:highlight w:val="none"/>
        </w:rPr>
        <w:fldChar w:fldCharType="begin"/>
      </w:r>
      <w:r>
        <w:rPr>
          <w:highlight w:val="none"/>
        </w:rPr>
        <w:instrText xml:space="preserve"> HYPERLINK \l "_Toc30953" </w:instrText>
      </w:r>
      <w:r>
        <w:rPr>
          <w:highlight w:val="none"/>
        </w:rPr>
        <w:fldChar w:fldCharType="separate"/>
      </w:r>
      <w:r>
        <w:rPr>
          <w:rFonts w:cs="Calibri"/>
          <w:highlight w:val="none"/>
        </w:rPr>
        <w:t>第二章采购项目总体要求</w:t>
      </w:r>
      <w:r>
        <w:rPr>
          <w:highlight w:val="none"/>
        </w:rPr>
        <w:tab/>
      </w:r>
      <w:r>
        <w:rPr>
          <w:highlight w:val="none"/>
        </w:rPr>
        <w:fldChar w:fldCharType="begin"/>
      </w:r>
      <w:r>
        <w:rPr>
          <w:highlight w:val="none"/>
        </w:rPr>
        <w:instrText xml:space="preserve"> PAGEREF _Toc30953 \h </w:instrText>
      </w:r>
      <w:r>
        <w:rPr>
          <w:highlight w:val="none"/>
        </w:rPr>
        <w:fldChar w:fldCharType="separate"/>
      </w:r>
      <w:r>
        <w:rPr>
          <w:highlight w:val="none"/>
        </w:rPr>
        <w:t>6</w:t>
      </w:r>
      <w:r>
        <w:rPr>
          <w:highlight w:val="none"/>
        </w:rPr>
        <w:fldChar w:fldCharType="end"/>
      </w:r>
      <w:r>
        <w:rPr>
          <w:highlight w:val="none"/>
        </w:rPr>
        <w:fldChar w:fldCharType="end"/>
      </w:r>
    </w:p>
    <w:p>
      <w:pPr>
        <w:pStyle w:val="33"/>
        <w:tabs>
          <w:tab w:val="right" w:leader="dot" w:pos="9186"/>
          <w:tab w:val="clear" w:pos="9403"/>
        </w:tabs>
        <w:rPr>
          <w:highlight w:val="none"/>
        </w:rPr>
      </w:pPr>
      <w:r>
        <w:rPr>
          <w:highlight w:val="none"/>
        </w:rPr>
        <w:fldChar w:fldCharType="begin"/>
      </w:r>
      <w:r>
        <w:rPr>
          <w:highlight w:val="none"/>
        </w:rPr>
        <w:instrText xml:space="preserve"> HYPERLINK \l "_Toc1561" </w:instrText>
      </w:r>
      <w:r>
        <w:rPr>
          <w:highlight w:val="none"/>
        </w:rPr>
        <w:fldChar w:fldCharType="separate"/>
      </w:r>
      <w:r>
        <w:rPr>
          <w:rFonts w:cs="Calibri"/>
          <w:szCs w:val="30"/>
          <w:highlight w:val="none"/>
        </w:rPr>
        <w:t>第三章采购需求</w:t>
      </w:r>
      <w:r>
        <w:rPr>
          <w:highlight w:val="none"/>
        </w:rPr>
        <w:tab/>
      </w:r>
      <w:r>
        <w:rPr>
          <w:highlight w:val="none"/>
        </w:rPr>
        <w:fldChar w:fldCharType="begin"/>
      </w:r>
      <w:r>
        <w:rPr>
          <w:highlight w:val="none"/>
        </w:rPr>
        <w:instrText xml:space="preserve"> PAGEREF _Toc1561 \h </w:instrText>
      </w:r>
      <w:r>
        <w:rPr>
          <w:highlight w:val="none"/>
        </w:rPr>
        <w:fldChar w:fldCharType="separate"/>
      </w:r>
      <w:r>
        <w:rPr>
          <w:highlight w:val="none"/>
        </w:rPr>
        <w:t>7</w:t>
      </w:r>
      <w:r>
        <w:rPr>
          <w:highlight w:val="none"/>
        </w:rPr>
        <w:fldChar w:fldCharType="end"/>
      </w:r>
      <w:r>
        <w:rPr>
          <w:highlight w:val="none"/>
        </w:rPr>
        <w:fldChar w:fldCharType="end"/>
      </w:r>
    </w:p>
    <w:p>
      <w:pPr>
        <w:pStyle w:val="33"/>
        <w:tabs>
          <w:tab w:val="right" w:leader="dot" w:pos="9186"/>
          <w:tab w:val="clear" w:pos="9403"/>
        </w:tabs>
        <w:rPr>
          <w:highlight w:val="none"/>
        </w:rPr>
      </w:pPr>
      <w:r>
        <w:rPr>
          <w:highlight w:val="none"/>
        </w:rPr>
        <w:fldChar w:fldCharType="begin"/>
      </w:r>
      <w:r>
        <w:rPr>
          <w:highlight w:val="none"/>
        </w:rPr>
        <w:instrText xml:space="preserve"> HYPERLINK \l "_Toc11217" </w:instrText>
      </w:r>
      <w:r>
        <w:rPr>
          <w:highlight w:val="none"/>
        </w:rPr>
        <w:fldChar w:fldCharType="separate"/>
      </w:r>
      <w:r>
        <w:rPr>
          <w:rFonts w:cs="Calibri"/>
          <w:highlight w:val="none"/>
        </w:rPr>
        <w:t>第四章合同草案条款</w:t>
      </w:r>
      <w:r>
        <w:rPr>
          <w:highlight w:val="none"/>
        </w:rPr>
        <w:tab/>
      </w:r>
      <w:r>
        <w:rPr>
          <w:highlight w:val="none"/>
        </w:rPr>
        <w:fldChar w:fldCharType="begin"/>
      </w:r>
      <w:r>
        <w:rPr>
          <w:highlight w:val="none"/>
        </w:rPr>
        <w:instrText xml:space="preserve"> PAGEREF _Toc11217 \h </w:instrText>
      </w:r>
      <w:r>
        <w:rPr>
          <w:highlight w:val="none"/>
        </w:rPr>
        <w:fldChar w:fldCharType="separate"/>
      </w:r>
      <w:r>
        <w:rPr>
          <w:highlight w:val="none"/>
        </w:rPr>
        <w:t>11</w:t>
      </w:r>
      <w:r>
        <w:rPr>
          <w:highlight w:val="none"/>
        </w:rPr>
        <w:fldChar w:fldCharType="end"/>
      </w:r>
      <w:r>
        <w:rPr>
          <w:highlight w:val="none"/>
        </w:rPr>
        <w:fldChar w:fldCharType="end"/>
      </w:r>
    </w:p>
    <w:p>
      <w:pPr>
        <w:pStyle w:val="33"/>
        <w:tabs>
          <w:tab w:val="right" w:leader="dot" w:pos="9186"/>
          <w:tab w:val="clear" w:pos="9403"/>
        </w:tabs>
        <w:rPr>
          <w:highlight w:val="none"/>
        </w:rPr>
      </w:pPr>
      <w:r>
        <w:rPr>
          <w:highlight w:val="none"/>
        </w:rPr>
        <w:fldChar w:fldCharType="begin"/>
      </w:r>
      <w:r>
        <w:rPr>
          <w:highlight w:val="none"/>
        </w:rPr>
        <w:instrText xml:space="preserve"> HYPERLINK \l "_Toc14015" </w:instrText>
      </w:r>
      <w:r>
        <w:rPr>
          <w:highlight w:val="none"/>
        </w:rPr>
        <w:fldChar w:fldCharType="separate"/>
      </w:r>
      <w:r>
        <w:rPr>
          <w:rFonts w:cs="Calibri"/>
          <w:highlight w:val="none"/>
        </w:rPr>
        <w:t>第五章磋商评审办法</w:t>
      </w:r>
      <w:r>
        <w:rPr>
          <w:highlight w:val="none"/>
        </w:rPr>
        <w:tab/>
      </w:r>
      <w:r>
        <w:rPr>
          <w:highlight w:val="none"/>
        </w:rPr>
        <w:fldChar w:fldCharType="begin"/>
      </w:r>
      <w:r>
        <w:rPr>
          <w:highlight w:val="none"/>
        </w:rPr>
        <w:instrText xml:space="preserve"> PAGEREF _Toc14015 \h </w:instrText>
      </w:r>
      <w:r>
        <w:rPr>
          <w:highlight w:val="none"/>
        </w:rPr>
        <w:fldChar w:fldCharType="separate"/>
      </w:r>
      <w:r>
        <w:rPr>
          <w:highlight w:val="none"/>
        </w:rPr>
        <w:t>15</w:t>
      </w:r>
      <w:r>
        <w:rPr>
          <w:highlight w:val="none"/>
        </w:rPr>
        <w:fldChar w:fldCharType="end"/>
      </w:r>
      <w:r>
        <w:rPr>
          <w:highlight w:val="none"/>
        </w:rPr>
        <w:fldChar w:fldCharType="end"/>
      </w:r>
    </w:p>
    <w:p>
      <w:pPr>
        <w:pStyle w:val="33"/>
        <w:tabs>
          <w:tab w:val="right" w:leader="dot" w:pos="9186"/>
          <w:tab w:val="clear" w:pos="9403"/>
        </w:tabs>
        <w:rPr>
          <w:highlight w:val="none"/>
        </w:rPr>
      </w:pPr>
      <w:r>
        <w:rPr>
          <w:highlight w:val="none"/>
        </w:rPr>
        <w:fldChar w:fldCharType="begin"/>
      </w:r>
      <w:r>
        <w:rPr>
          <w:highlight w:val="none"/>
        </w:rPr>
        <w:instrText xml:space="preserve"> HYPERLINK \l "_Toc13793" </w:instrText>
      </w:r>
      <w:r>
        <w:rPr>
          <w:highlight w:val="none"/>
        </w:rPr>
        <w:fldChar w:fldCharType="separate"/>
      </w:r>
      <w:r>
        <w:rPr>
          <w:rFonts w:cs="Calibri"/>
          <w:highlight w:val="none"/>
        </w:rPr>
        <w:t>第六章磋商须知</w:t>
      </w:r>
      <w:r>
        <w:rPr>
          <w:highlight w:val="none"/>
        </w:rPr>
        <w:tab/>
      </w:r>
      <w:r>
        <w:rPr>
          <w:highlight w:val="none"/>
        </w:rPr>
        <w:fldChar w:fldCharType="begin"/>
      </w:r>
      <w:r>
        <w:rPr>
          <w:highlight w:val="none"/>
        </w:rPr>
        <w:instrText xml:space="preserve"> PAGEREF _Toc13793 \h </w:instrText>
      </w:r>
      <w:r>
        <w:rPr>
          <w:highlight w:val="none"/>
        </w:rPr>
        <w:fldChar w:fldCharType="separate"/>
      </w:r>
      <w:r>
        <w:rPr>
          <w:highlight w:val="none"/>
        </w:rPr>
        <w:t>19</w:t>
      </w:r>
      <w:r>
        <w:rPr>
          <w:highlight w:val="none"/>
        </w:rPr>
        <w:fldChar w:fldCharType="end"/>
      </w:r>
      <w:r>
        <w:rPr>
          <w:highlight w:val="none"/>
        </w:rPr>
        <w:fldChar w:fldCharType="end"/>
      </w:r>
    </w:p>
    <w:p>
      <w:pPr>
        <w:pStyle w:val="33"/>
        <w:tabs>
          <w:tab w:val="right" w:leader="dot" w:pos="9186"/>
          <w:tab w:val="clear" w:pos="9403"/>
        </w:tabs>
        <w:rPr>
          <w:highlight w:val="none"/>
        </w:rPr>
      </w:pPr>
      <w:r>
        <w:rPr>
          <w:highlight w:val="none"/>
        </w:rPr>
        <w:fldChar w:fldCharType="begin"/>
      </w:r>
      <w:r>
        <w:rPr>
          <w:highlight w:val="none"/>
        </w:rPr>
        <w:instrText xml:space="preserve"> HYPERLINK \l "_Toc23596" </w:instrText>
      </w:r>
      <w:r>
        <w:rPr>
          <w:highlight w:val="none"/>
        </w:rPr>
        <w:fldChar w:fldCharType="separate"/>
      </w:r>
      <w:r>
        <w:rPr>
          <w:rFonts w:cs="Calibri"/>
          <w:highlight w:val="none"/>
        </w:rPr>
        <w:t>第七章磋商响应文件格式</w:t>
      </w:r>
      <w:r>
        <w:rPr>
          <w:highlight w:val="none"/>
        </w:rPr>
        <w:tab/>
      </w:r>
      <w:r>
        <w:rPr>
          <w:highlight w:val="none"/>
        </w:rPr>
        <w:fldChar w:fldCharType="begin"/>
      </w:r>
      <w:r>
        <w:rPr>
          <w:highlight w:val="none"/>
        </w:rPr>
        <w:instrText xml:space="preserve"> PAGEREF _Toc23596 \h </w:instrText>
      </w:r>
      <w:r>
        <w:rPr>
          <w:highlight w:val="none"/>
        </w:rPr>
        <w:fldChar w:fldCharType="separate"/>
      </w:r>
      <w:r>
        <w:rPr>
          <w:highlight w:val="none"/>
        </w:rPr>
        <w:t>31</w:t>
      </w:r>
      <w:r>
        <w:rPr>
          <w:highlight w:val="none"/>
        </w:rPr>
        <w:fldChar w:fldCharType="end"/>
      </w:r>
      <w:r>
        <w:rPr>
          <w:highlight w:val="none"/>
        </w:rPr>
        <w:fldChar w:fldCharType="end"/>
      </w:r>
    </w:p>
    <w:p>
      <w:pPr>
        <w:rPr>
          <w:rFonts w:cs="Calibri"/>
          <w:kern w:val="0"/>
          <w:highlight w:val="none"/>
        </w:rPr>
      </w:pPr>
      <w:r>
        <w:rPr>
          <w:rFonts w:cs="Calibri"/>
          <w:kern w:val="0"/>
          <w:highlight w:val="none"/>
        </w:rPr>
        <w:fldChar w:fldCharType="end"/>
      </w:r>
      <w:r>
        <w:rPr>
          <w:rFonts w:cs="Calibri"/>
          <w:kern w:val="0"/>
          <w:highlight w:val="none"/>
        </w:rPr>
        <w:br w:type="page"/>
      </w:r>
    </w:p>
    <w:p>
      <w:pPr>
        <w:pStyle w:val="3"/>
        <w:rPr>
          <w:rFonts w:cs="Calibri"/>
          <w:color w:val="auto"/>
          <w:highlight w:val="none"/>
        </w:rPr>
      </w:pPr>
      <w:bookmarkStart w:id="2" w:name="_Toc22481"/>
      <w:bookmarkStart w:id="3" w:name="_Toc2585"/>
      <w:r>
        <w:rPr>
          <w:rFonts w:cs="Calibri"/>
          <w:color w:val="auto"/>
          <w:highlight w:val="none"/>
        </w:rPr>
        <w:t>第一章竞争性磋商采购公告</w:t>
      </w:r>
      <w:bookmarkEnd w:id="2"/>
      <w:bookmarkEnd w:id="3"/>
    </w:p>
    <w:p>
      <w:pPr>
        <w:pBdr>
          <w:top w:val="single" w:color="auto" w:sz="4" w:space="1"/>
          <w:left w:val="single" w:color="auto" w:sz="4" w:space="4"/>
          <w:bottom w:val="single" w:color="auto" w:sz="4" w:space="1"/>
          <w:right w:val="single" w:color="auto" w:sz="4" w:space="4"/>
        </w:pBdr>
        <w:ind w:firstLine="420" w:firstLineChars="200"/>
        <w:rPr>
          <w:rFonts w:ascii="宋体" w:hAnsi="宋体" w:cs="宋体"/>
          <w:szCs w:val="21"/>
          <w:highlight w:val="none"/>
        </w:rPr>
      </w:pPr>
      <w:bookmarkStart w:id="4" w:name="_Toc28359012"/>
      <w:bookmarkStart w:id="5" w:name="_Toc35393798"/>
      <w:bookmarkStart w:id="6" w:name="_Toc28359089"/>
      <w:bookmarkStart w:id="7" w:name="_Toc35393629"/>
      <w:r>
        <w:rPr>
          <w:rFonts w:hint="eastAsia" w:ascii="宋体" w:hAnsi="宋体" w:cs="宋体"/>
          <w:szCs w:val="21"/>
          <w:highlight w:val="none"/>
        </w:rPr>
        <w:t>项目概况</w:t>
      </w:r>
    </w:p>
    <w:p>
      <w:pPr>
        <w:pBdr>
          <w:top w:val="single" w:color="auto" w:sz="4" w:space="1"/>
          <w:left w:val="single" w:color="auto" w:sz="4" w:space="4"/>
          <w:bottom w:val="single" w:color="auto" w:sz="4" w:space="1"/>
          <w:right w:val="single" w:color="auto" w:sz="4" w:space="4"/>
        </w:pBdr>
        <w:ind w:firstLine="420" w:firstLineChars="200"/>
        <w:rPr>
          <w:rFonts w:ascii="宋体" w:hAnsi="宋体" w:cs="宋体"/>
          <w:szCs w:val="21"/>
          <w:highlight w:val="none"/>
        </w:rPr>
      </w:pPr>
      <w:r>
        <w:rPr>
          <w:rFonts w:hint="eastAsia" w:ascii="宋体" w:hAnsi="宋体" w:cs="宋体"/>
          <w:szCs w:val="21"/>
          <w:highlight w:val="none"/>
          <w:lang w:eastAsia="zh-CN"/>
        </w:rPr>
        <w:t>湖州市吴兴区猪肉（冻肉）储备项目</w:t>
      </w:r>
      <w:r>
        <w:rPr>
          <w:rFonts w:hint="eastAsia" w:ascii="宋体" w:hAnsi="宋体" w:cs="宋体"/>
          <w:color w:val="auto"/>
          <w:szCs w:val="21"/>
          <w:highlight w:val="none"/>
          <w:u w:val="none"/>
          <w:lang w:eastAsia="zh-CN"/>
        </w:rPr>
        <w:t>采购项目的潜在供应商应在政采云平台线上获取（下载）采购文件，并于</w:t>
      </w:r>
      <w:r>
        <w:rPr>
          <w:rFonts w:hint="eastAsia" w:ascii="宋体" w:hAnsi="宋体" w:cs="宋体"/>
          <w:szCs w:val="21"/>
          <w:highlight w:val="none"/>
        </w:rPr>
        <w:t>202</w:t>
      </w:r>
      <w:r>
        <w:rPr>
          <w:rFonts w:hint="eastAsia" w:ascii="宋体" w:hAnsi="宋体" w:cs="宋体"/>
          <w:szCs w:val="21"/>
          <w:highlight w:val="none"/>
          <w:lang w:val="en-US" w:eastAsia="zh-CN"/>
        </w:rPr>
        <w:t>4</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月</w:t>
      </w:r>
      <w:r>
        <w:rPr>
          <w:rFonts w:hint="eastAsia" w:ascii="宋体" w:hAnsi="宋体" w:cs="宋体"/>
          <w:szCs w:val="21"/>
          <w:highlight w:val="none"/>
          <w:lang w:val="en-US" w:eastAsia="zh-CN"/>
        </w:rPr>
        <w:t>11</w:t>
      </w:r>
      <w:r>
        <w:rPr>
          <w:rFonts w:hint="eastAsia" w:ascii="宋体" w:hAnsi="宋体" w:cs="宋体"/>
          <w:szCs w:val="21"/>
          <w:highlight w:val="none"/>
        </w:rPr>
        <w:t>日1</w:t>
      </w:r>
      <w:r>
        <w:rPr>
          <w:rFonts w:hint="eastAsia" w:ascii="宋体" w:hAnsi="宋体" w:cs="宋体"/>
          <w:szCs w:val="21"/>
          <w:highlight w:val="none"/>
          <w:lang w:val="en-US" w:eastAsia="zh-CN"/>
        </w:rPr>
        <w:t>4</w:t>
      </w:r>
      <w:r>
        <w:rPr>
          <w:rFonts w:hint="eastAsia" w:ascii="宋体" w:hAnsi="宋体" w:cs="宋体"/>
          <w:szCs w:val="21"/>
          <w:highlight w:val="none"/>
        </w:rPr>
        <w:t>点</w:t>
      </w:r>
      <w:r>
        <w:rPr>
          <w:rFonts w:hint="eastAsia" w:ascii="宋体" w:hAnsi="宋体" w:cs="宋体"/>
          <w:szCs w:val="21"/>
          <w:highlight w:val="none"/>
          <w:lang w:val="en-US" w:eastAsia="zh-CN"/>
        </w:rPr>
        <w:t>0</w:t>
      </w:r>
      <w:r>
        <w:rPr>
          <w:rFonts w:hint="eastAsia" w:ascii="宋体" w:hAnsi="宋体" w:cs="宋体"/>
          <w:szCs w:val="21"/>
          <w:highlight w:val="none"/>
        </w:rPr>
        <w:t>0分（北京时间）前提交（上传）响应文件。</w:t>
      </w:r>
    </w:p>
    <w:p>
      <w:pPr>
        <w:ind w:firstLine="422" w:firstLineChars="200"/>
        <w:rPr>
          <w:rFonts w:cs="Calibri"/>
          <w:b/>
          <w:bCs/>
          <w:szCs w:val="21"/>
          <w:highlight w:val="none"/>
        </w:rPr>
      </w:pPr>
      <w:r>
        <w:rPr>
          <w:rFonts w:cs="Calibri"/>
          <w:b/>
          <w:bCs/>
          <w:szCs w:val="21"/>
          <w:highlight w:val="none"/>
        </w:rPr>
        <w:t>一、项目基本情况</w:t>
      </w:r>
      <w:bookmarkEnd w:id="4"/>
      <w:bookmarkEnd w:id="5"/>
      <w:bookmarkEnd w:id="6"/>
      <w:bookmarkEnd w:id="7"/>
    </w:p>
    <w:p>
      <w:pPr>
        <w:ind w:firstLine="420" w:firstLineChars="200"/>
        <w:rPr>
          <w:rFonts w:hint="eastAsia" w:eastAsia="宋体" w:cs="Calibri"/>
          <w:kern w:val="0"/>
          <w:szCs w:val="21"/>
          <w:highlight w:val="none"/>
          <w:vertAlign w:val="subscript"/>
          <w:lang w:eastAsia="zh-CN"/>
        </w:rPr>
      </w:pPr>
      <w:r>
        <w:rPr>
          <w:rFonts w:hint="eastAsia" w:cs="Calibri"/>
          <w:kern w:val="0"/>
          <w:szCs w:val="21"/>
          <w:highlight w:val="none"/>
        </w:rPr>
        <w:t>项目编号：</w:t>
      </w:r>
      <w:r>
        <w:rPr>
          <w:rFonts w:hint="eastAsia" w:cs="Calibri"/>
          <w:kern w:val="0"/>
          <w:szCs w:val="21"/>
          <w:highlight w:val="none"/>
          <w:lang w:eastAsia="zh-CN"/>
        </w:rPr>
        <w:t>CTZB-2024040086</w:t>
      </w:r>
    </w:p>
    <w:p>
      <w:pPr>
        <w:ind w:firstLine="420" w:firstLineChars="200"/>
        <w:rPr>
          <w:rFonts w:hint="eastAsia" w:eastAsia="宋体" w:cs="Calibri"/>
          <w:kern w:val="0"/>
          <w:szCs w:val="21"/>
          <w:highlight w:val="none"/>
          <w:lang w:eastAsia="zh-CN"/>
        </w:rPr>
      </w:pPr>
      <w:r>
        <w:rPr>
          <w:rFonts w:hint="eastAsia" w:cs="Calibri"/>
          <w:kern w:val="0"/>
          <w:szCs w:val="21"/>
          <w:highlight w:val="none"/>
        </w:rPr>
        <w:t>项目名称：</w:t>
      </w:r>
      <w:r>
        <w:rPr>
          <w:rFonts w:hint="eastAsia" w:cs="Calibri"/>
          <w:kern w:val="0"/>
          <w:szCs w:val="21"/>
          <w:highlight w:val="none"/>
          <w:lang w:eastAsia="zh-CN"/>
        </w:rPr>
        <w:t>湖州市吴兴区猪肉（冻肉）储备项目</w:t>
      </w:r>
    </w:p>
    <w:p>
      <w:pPr>
        <w:ind w:firstLine="420" w:firstLineChars="200"/>
        <w:rPr>
          <w:rFonts w:cs="Calibri"/>
          <w:kern w:val="0"/>
          <w:szCs w:val="21"/>
          <w:highlight w:val="none"/>
          <w:vertAlign w:val="subscript"/>
        </w:rPr>
      </w:pPr>
      <w:r>
        <w:rPr>
          <w:rFonts w:hint="eastAsia" w:cs="Calibri"/>
          <w:kern w:val="0"/>
          <w:szCs w:val="21"/>
          <w:highlight w:val="none"/>
        </w:rPr>
        <w:t>采购方式：竞争性磋商</w:t>
      </w:r>
    </w:p>
    <w:p>
      <w:pPr>
        <w:ind w:firstLine="420" w:firstLineChars="200"/>
        <w:rPr>
          <w:rFonts w:hint="eastAsia" w:eastAsia="宋体" w:cs="Calibri"/>
          <w:kern w:val="0"/>
          <w:szCs w:val="21"/>
          <w:highlight w:val="none"/>
          <w:lang w:eastAsia="zh-CN"/>
        </w:rPr>
      </w:pPr>
      <w:r>
        <w:rPr>
          <w:rFonts w:hint="eastAsia" w:cs="Calibri"/>
          <w:kern w:val="0"/>
          <w:szCs w:val="21"/>
          <w:highlight w:val="none"/>
        </w:rPr>
        <w:t>预算金额（元）：</w:t>
      </w:r>
      <w:r>
        <w:rPr>
          <w:rFonts w:hint="eastAsia" w:cs="Calibri"/>
          <w:kern w:val="0"/>
          <w:szCs w:val="21"/>
          <w:highlight w:val="none"/>
          <w:lang w:eastAsia="zh-CN"/>
        </w:rPr>
        <w:t>600000</w:t>
      </w:r>
    </w:p>
    <w:p>
      <w:pPr>
        <w:ind w:firstLine="420" w:firstLineChars="200"/>
        <w:rPr>
          <w:rFonts w:hint="eastAsia" w:eastAsia="宋体" w:cs="Calibri"/>
          <w:kern w:val="0"/>
          <w:szCs w:val="21"/>
          <w:highlight w:val="none"/>
          <w:lang w:eastAsia="zh-CN"/>
        </w:rPr>
      </w:pPr>
      <w:r>
        <w:rPr>
          <w:rFonts w:hint="eastAsia" w:eastAsia="宋体" w:cs="Calibri"/>
          <w:kern w:val="0"/>
          <w:szCs w:val="21"/>
          <w:highlight w:val="none"/>
        </w:rPr>
        <w:t>最高限价（元）：</w:t>
      </w:r>
      <w:r>
        <w:rPr>
          <w:rFonts w:hint="eastAsia" w:eastAsia="宋体" w:cs="Calibri"/>
          <w:kern w:val="0"/>
          <w:szCs w:val="21"/>
          <w:highlight w:val="none"/>
          <w:lang w:eastAsia="zh-CN"/>
        </w:rPr>
        <w:t>600000</w:t>
      </w:r>
    </w:p>
    <w:p>
      <w:pPr>
        <w:ind w:firstLine="420" w:firstLineChars="200"/>
        <w:rPr>
          <w:rFonts w:hint="eastAsia" w:eastAsia="宋体" w:cs="Calibri"/>
          <w:kern w:val="0"/>
          <w:szCs w:val="21"/>
          <w:highlight w:val="none"/>
        </w:rPr>
      </w:pPr>
      <w:r>
        <w:rPr>
          <w:rFonts w:hint="eastAsia" w:eastAsia="宋体" w:cs="Calibri"/>
          <w:kern w:val="0"/>
          <w:szCs w:val="21"/>
          <w:highlight w:val="none"/>
        </w:rPr>
        <w:t>采购需求：</w:t>
      </w:r>
    </w:p>
    <w:p>
      <w:pPr>
        <w:ind w:firstLine="420" w:firstLineChars="200"/>
        <w:rPr>
          <w:rFonts w:hint="eastAsia" w:ascii="Calibri" w:hAnsi="Calibri" w:eastAsia="宋体" w:cs="Calibri"/>
          <w:i w:val="0"/>
          <w:iCs w:val="0"/>
          <w:caps w:val="0"/>
          <w:spacing w:val="0"/>
          <w:kern w:val="0"/>
          <w:sz w:val="21"/>
          <w:szCs w:val="21"/>
          <w:highlight w:val="none"/>
          <w:lang w:val="en-US" w:eastAsia="zh-CN"/>
        </w:rPr>
      </w:pPr>
      <w:r>
        <w:rPr>
          <w:rFonts w:hint="eastAsia" w:ascii="Calibri" w:hAnsi="Calibri" w:eastAsia="宋体" w:cs="Calibri"/>
          <w:i w:val="0"/>
          <w:iCs w:val="0"/>
          <w:caps w:val="0"/>
          <w:spacing w:val="0"/>
          <w:kern w:val="0"/>
          <w:sz w:val="21"/>
          <w:szCs w:val="21"/>
          <w:highlight w:val="none"/>
          <w:lang w:val="en-US" w:eastAsia="zh-CN"/>
        </w:rPr>
        <w:t>数量：不限</w:t>
      </w:r>
    </w:p>
    <w:p>
      <w:pPr>
        <w:ind w:firstLine="420" w:firstLineChars="200"/>
        <w:rPr>
          <w:rFonts w:hint="eastAsia" w:ascii="Calibri" w:hAnsi="Calibri" w:eastAsia="宋体" w:cs="Calibri"/>
          <w:i w:val="0"/>
          <w:iCs w:val="0"/>
          <w:caps w:val="0"/>
          <w:spacing w:val="0"/>
          <w:kern w:val="0"/>
          <w:sz w:val="21"/>
          <w:szCs w:val="21"/>
          <w:highlight w:val="none"/>
        </w:rPr>
      </w:pPr>
      <w:r>
        <w:rPr>
          <w:rFonts w:hint="eastAsia" w:ascii="Calibri" w:hAnsi="Calibri" w:eastAsia="宋体" w:cs="Calibri"/>
          <w:i w:val="0"/>
          <w:iCs w:val="0"/>
          <w:caps w:val="0"/>
          <w:spacing w:val="0"/>
          <w:kern w:val="0"/>
          <w:sz w:val="21"/>
          <w:szCs w:val="21"/>
          <w:highlight w:val="none"/>
        </w:rPr>
        <w:t>预算金额（元）：600000 </w:t>
      </w:r>
    </w:p>
    <w:p>
      <w:pPr>
        <w:ind w:firstLine="420" w:firstLineChars="200"/>
        <w:rPr>
          <w:rFonts w:hint="eastAsia" w:ascii="Calibri" w:hAnsi="Calibri" w:eastAsia="宋体" w:cs="Calibri"/>
          <w:i w:val="0"/>
          <w:iCs w:val="0"/>
          <w:caps w:val="0"/>
          <w:spacing w:val="0"/>
          <w:kern w:val="0"/>
          <w:sz w:val="21"/>
          <w:szCs w:val="21"/>
          <w:highlight w:val="none"/>
        </w:rPr>
      </w:pPr>
      <w:r>
        <w:rPr>
          <w:rFonts w:hint="eastAsia" w:ascii="Calibri" w:hAnsi="Calibri" w:eastAsia="宋体" w:cs="Calibri"/>
          <w:i w:val="0"/>
          <w:iCs w:val="0"/>
          <w:caps w:val="0"/>
          <w:spacing w:val="0"/>
          <w:kern w:val="0"/>
          <w:sz w:val="21"/>
          <w:szCs w:val="21"/>
          <w:highlight w:val="none"/>
        </w:rPr>
        <w:t>单位：项 </w:t>
      </w:r>
    </w:p>
    <w:p>
      <w:pPr>
        <w:ind w:firstLine="420" w:firstLineChars="200"/>
        <w:rPr>
          <w:rFonts w:hint="eastAsia" w:eastAsia="宋体" w:cs="Calibri"/>
          <w:kern w:val="0"/>
          <w:szCs w:val="21"/>
          <w:highlight w:val="none"/>
        </w:rPr>
      </w:pPr>
      <w:r>
        <w:rPr>
          <w:rFonts w:hint="eastAsia" w:eastAsia="宋体" w:cs="Calibri"/>
          <w:kern w:val="0"/>
          <w:szCs w:val="21"/>
          <w:highlight w:val="none"/>
        </w:rPr>
        <w:t>简要规格描述：详见</w:t>
      </w:r>
      <w:r>
        <w:rPr>
          <w:rFonts w:hint="eastAsia" w:eastAsia="宋体" w:cs="Calibri"/>
          <w:kern w:val="0"/>
          <w:szCs w:val="21"/>
          <w:highlight w:val="none"/>
          <w:lang w:eastAsia="zh-CN"/>
        </w:rPr>
        <w:t>磋商</w:t>
      </w:r>
      <w:r>
        <w:rPr>
          <w:rFonts w:hint="eastAsia" w:eastAsia="宋体" w:cs="Calibri"/>
          <w:kern w:val="0"/>
          <w:szCs w:val="21"/>
          <w:highlight w:val="none"/>
        </w:rPr>
        <w:t>需求 </w:t>
      </w:r>
    </w:p>
    <w:p>
      <w:pPr>
        <w:ind w:firstLineChars="200"/>
        <w:rPr>
          <w:rFonts w:hint="eastAsia" w:eastAsia="宋体" w:cs="Calibri"/>
          <w:kern w:val="0"/>
          <w:szCs w:val="21"/>
          <w:highlight w:val="none"/>
        </w:rPr>
      </w:pPr>
      <w:r>
        <w:rPr>
          <w:rFonts w:hint="eastAsia" w:ascii="Calibri" w:hAnsi="Calibri" w:eastAsia="宋体" w:cs="Calibri"/>
          <w:i w:val="0"/>
          <w:iCs w:val="0"/>
          <w:caps w:val="0"/>
          <w:spacing w:val="0"/>
          <w:kern w:val="0"/>
          <w:sz w:val="21"/>
          <w:szCs w:val="21"/>
          <w:highlight w:val="none"/>
        </w:rPr>
        <w:t>备注：</w:t>
      </w:r>
    </w:p>
    <w:p>
      <w:pPr>
        <w:ind w:firstLine="420" w:firstLineChars="200"/>
        <w:rPr>
          <w:rFonts w:hint="eastAsia" w:eastAsia="宋体" w:cs="Calibri"/>
          <w:kern w:val="0"/>
          <w:szCs w:val="21"/>
          <w:highlight w:val="none"/>
        </w:rPr>
      </w:pPr>
      <w:r>
        <w:rPr>
          <w:rFonts w:hint="eastAsia" w:eastAsia="宋体" w:cs="Calibri"/>
          <w:kern w:val="0"/>
          <w:szCs w:val="21"/>
          <w:highlight w:val="none"/>
        </w:rPr>
        <w:t>合同履约期限：</w:t>
      </w:r>
      <w:r>
        <w:rPr>
          <w:rFonts w:hint="eastAsia" w:ascii="Calibri" w:hAnsi="Calibri" w:eastAsia="宋体" w:cs="Calibri"/>
          <w:i w:val="0"/>
          <w:iCs w:val="0"/>
          <w:caps w:val="0"/>
          <w:spacing w:val="0"/>
          <w:kern w:val="0"/>
          <w:sz w:val="21"/>
          <w:szCs w:val="21"/>
          <w:highlight w:val="none"/>
        </w:rPr>
        <w:t>标项 1，1年</w:t>
      </w:r>
      <w:r>
        <w:rPr>
          <w:rFonts w:hint="eastAsia" w:eastAsia="宋体" w:cs="Calibri"/>
          <w:kern w:val="0"/>
          <w:szCs w:val="21"/>
          <w:highlight w:val="none"/>
        </w:rPr>
        <w:t>（具体服务开始日期以采购人通知为准）。</w:t>
      </w:r>
    </w:p>
    <w:p>
      <w:pPr>
        <w:ind w:firstLine="420" w:firstLineChars="200"/>
        <w:rPr>
          <w:rFonts w:hint="eastAsia" w:eastAsia="宋体" w:cs="Calibri"/>
          <w:kern w:val="0"/>
          <w:szCs w:val="21"/>
          <w:highlight w:val="none"/>
        </w:rPr>
      </w:pPr>
      <w:r>
        <w:rPr>
          <w:rFonts w:hint="eastAsia" w:eastAsia="宋体" w:cs="Calibri"/>
          <w:kern w:val="0"/>
          <w:szCs w:val="21"/>
          <w:highlight w:val="none"/>
        </w:rPr>
        <w:t>本项目（否）接受联合体投标。 </w:t>
      </w:r>
    </w:p>
    <w:p>
      <w:pPr>
        <w:ind w:firstLine="422" w:firstLineChars="200"/>
        <w:rPr>
          <w:rFonts w:cs="Calibri"/>
          <w:b/>
          <w:bCs/>
          <w:szCs w:val="21"/>
          <w:highlight w:val="none"/>
        </w:rPr>
      </w:pPr>
      <w:bookmarkStart w:id="8" w:name="_Toc28359090"/>
      <w:bookmarkStart w:id="9" w:name="_Toc35393799"/>
      <w:bookmarkStart w:id="10" w:name="_Toc28359013"/>
      <w:bookmarkStart w:id="11" w:name="_Toc35393630"/>
      <w:r>
        <w:rPr>
          <w:rFonts w:cs="Calibri"/>
          <w:b/>
          <w:bCs/>
          <w:szCs w:val="21"/>
          <w:highlight w:val="none"/>
        </w:rPr>
        <w:t>二、供应商的资格要求：</w:t>
      </w:r>
      <w:bookmarkEnd w:id="8"/>
      <w:bookmarkEnd w:id="9"/>
      <w:bookmarkEnd w:id="10"/>
      <w:bookmarkEnd w:id="11"/>
    </w:p>
    <w:p>
      <w:pPr>
        <w:adjustRightInd w:val="0"/>
        <w:ind w:firstLine="420" w:firstLineChars="200"/>
        <w:rPr>
          <w:rFonts w:hint="default" w:ascii="Calibri" w:hAnsi="Calibri" w:eastAsia="宋体" w:cs="Calibri"/>
          <w:i w:val="0"/>
          <w:iCs w:val="0"/>
          <w:caps w:val="0"/>
          <w:spacing w:val="0"/>
          <w:kern w:val="0"/>
          <w:sz w:val="21"/>
          <w:szCs w:val="21"/>
          <w:highlight w:val="none"/>
        </w:rPr>
      </w:pPr>
      <w:r>
        <w:rPr>
          <w:rFonts w:hint="default" w:ascii="Calibri" w:hAnsi="Calibri" w:eastAsia="宋体" w:cs="Calibri"/>
          <w:i w:val="0"/>
          <w:iCs w:val="0"/>
          <w:caps w:val="0"/>
          <w:spacing w:val="0"/>
          <w:kern w:val="0"/>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ind w:firstLine="422" w:firstLineChars="200"/>
        <w:rPr>
          <w:rFonts w:cs="Calibri"/>
          <w:kern w:val="0"/>
          <w:szCs w:val="21"/>
          <w:highlight w:val="none"/>
        </w:rPr>
      </w:pPr>
      <w:r>
        <w:rPr>
          <w:rFonts w:cs="Calibri"/>
          <w:b/>
          <w:bCs/>
          <w:szCs w:val="21"/>
          <w:highlight w:val="none"/>
        </w:rPr>
        <w:t>2. 落实政府采购政策需满足的资格要求：</w:t>
      </w:r>
      <w:r>
        <w:rPr>
          <w:rFonts w:hint="eastAsia" w:ascii="宋体" w:hAnsi="宋体" w:eastAsia="宋体" w:cs="宋体"/>
          <w:i w:val="0"/>
          <w:iCs w:val="0"/>
          <w:caps w:val="0"/>
          <w:color w:val="000000"/>
          <w:spacing w:val="0"/>
          <w:sz w:val="21"/>
          <w:szCs w:val="21"/>
          <w:highlight w:val="none"/>
        </w:rPr>
        <w:t>标项1：供应商为中小企业/小微企业</w:t>
      </w:r>
      <w:r>
        <w:rPr>
          <w:rFonts w:cs="Calibri"/>
          <w:kern w:val="0"/>
          <w:szCs w:val="21"/>
          <w:highlight w:val="none"/>
        </w:rPr>
        <w:t>；</w:t>
      </w:r>
    </w:p>
    <w:p>
      <w:pPr>
        <w:widowControl/>
        <w:adjustRightInd w:val="0"/>
        <w:ind w:firstLine="422" w:firstLineChars="200"/>
        <w:jc w:val="left"/>
        <w:rPr>
          <w:rFonts w:cs="Calibri"/>
          <w:kern w:val="0"/>
          <w:szCs w:val="21"/>
          <w:highlight w:val="none"/>
        </w:rPr>
      </w:pPr>
      <w:r>
        <w:rPr>
          <w:rFonts w:cs="Calibri"/>
          <w:b/>
          <w:bCs/>
          <w:kern w:val="0"/>
          <w:szCs w:val="21"/>
          <w:highlight w:val="none"/>
        </w:rPr>
        <w:t>3. 特定资格要求：</w:t>
      </w:r>
      <w:r>
        <w:rPr>
          <w:rFonts w:eastAsia="宋体" w:cs="Calibri"/>
          <w:snapToGrid/>
          <w:kern w:val="0"/>
          <w:sz w:val="21"/>
          <w:szCs w:val="21"/>
          <w:highlight w:val="none"/>
        </w:rPr>
        <w:t>具有有效的《食品经营许可证》或《食品流通许可证》</w:t>
      </w:r>
    </w:p>
    <w:p>
      <w:pPr>
        <w:ind w:firstLine="422" w:firstLineChars="200"/>
        <w:rPr>
          <w:rFonts w:cs="Calibri"/>
          <w:b/>
          <w:bCs/>
          <w:szCs w:val="21"/>
          <w:highlight w:val="none"/>
        </w:rPr>
      </w:pPr>
      <w:r>
        <w:rPr>
          <w:rFonts w:cs="Calibri"/>
          <w:b/>
          <w:bCs/>
          <w:szCs w:val="21"/>
          <w:highlight w:val="none"/>
        </w:rPr>
        <w:t>三、获取（下载）采购文件</w:t>
      </w:r>
    </w:p>
    <w:p>
      <w:pPr>
        <w:ind w:firstLine="420" w:firstLineChars="200"/>
        <w:rPr>
          <w:rFonts w:hint="default" w:ascii="Calibri" w:hAnsi="Calibri" w:eastAsia="宋体" w:cs="Calibri"/>
          <w:sz w:val="21"/>
          <w:szCs w:val="21"/>
          <w:highlight w:val="none"/>
        </w:rPr>
      </w:pPr>
      <w:r>
        <w:rPr>
          <w:rFonts w:hint="default" w:ascii="Calibri" w:hAnsi="Calibri" w:eastAsia="宋体" w:cs="Calibri"/>
          <w:i w:val="0"/>
          <w:iCs w:val="0"/>
          <w:caps w:val="0"/>
          <w:spacing w:val="0"/>
          <w:sz w:val="21"/>
          <w:szCs w:val="21"/>
          <w:highlight w:val="none"/>
          <w:u w:val="none"/>
        </w:rPr>
        <w:t>时间：/至202</w:t>
      </w:r>
      <w:r>
        <w:rPr>
          <w:rFonts w:hint="eastAsia" w:eastAsia="宋体" w:cs="Calibri"/>
          <w:i w:val="0"/>
          <w:iCs w:val="0"/>
          <w:caps w:val="0"/>
          <w:spacing w:val="0"/>
          <w:sz w:val="21"/>
          <w:szCs w:val="21"/>
          <w:highlight w:val="none"/>
          <w:u w:val="none"/>
          <w:lang w:val="en-US" w:eastAsia="zh-CN"/>
        </w:rPr>
        <w:t>4</w:t>
      </w:r>
      <w:r>
        <w:rPr>
          <w:rFonts w:hint="default" w:ascii="Calibri" w:hAnsi="Calibri" w:eastAsia="宋体" w:cs="Calibri"/>
          <w:i w:val="0"/>
          <w:iCs w:val="0"/>
          <w:caps w:val="0"/>
          <w:spacing w:val="0"/>
          <w:sz w:val="21"/>
          <w:szCs w:val="21"/>
          <w:highlight w:val="none"/>
          <w:u w:val="none"/>
        </w:rPr>
        <w:t>年</w:t>
      </w:r>
      <w:r>
        <w:rPr>
          <w:rFonts w:hint="eastAsia" w:cs="Calibri"/>
          <w:i w:val="0"/>
          <w:iCs w:val="0"/>
          <w:caps w:val="0"/>
          <w:spacing w:val="0"/>
          <w:sz w:val="21"/>
          <w:szCs w:val="21"/>
          <w:highlight w:val="none"/>
          <w:u w:val="none"/>
          <w:lang w:val="en-US" w:eastAsia="zh-CN"/>
        </w:rPr>
        <w:t>5</w:t>
      </w:r>
      <w:r>
        <w:rPr>
          <w:rFonts w:hint="default" w:ascii="Calibri" w:hAnsi="Calibri" w:eastAsia="宋体" w:cs="Calibri"/>
          <w:i w:val="0"/>
          <w:iCs w:val="0"/>
          <w:caps w:val="0"/>
          <w:spacing w:val="0"/>
          <w:sz w:val="21"/>
          <w:szCs w:val="21"/>
          <w:highlight w:val="none"/>
          <w:u w:val="none"/>
        </w:rPr>
        <w:t>月</w:t>
      </w:r>
      <w:r>
        <w:rPr>
          <w:rFonts w:hint="eastAsia" w:cs="Calibri"/>
          <w:i w:val="0"/>
          <w:iCs w:val="0"/>
          <w:caps w:val="0"/>
          <w:spacing w:val="0"/>
          <w:sz w:val="21"/>
          <w:szCs w:val="21"/>
          <w:highlight w:val="none"/>
          <w:u w:val="none"/>
          <w:lang w:val="en-US" w:eastAsia="zh-CN"/>
        </w:rPr>
        <w:t>11</w:t>
      </w:r>
      <w:r>
        <w:rPr>
          <w:rFonts w:hint="default" w:ascii="Calibri" w:hAnsi="Calibri" w:eastAsia="宋体" w:cs="Calibri"/>
          <w:i w:val="0"/>
          <w:iCs w:val="0"/>
          <w:caps w:val="0"/>
          <w:spacing w:val="0"/>
          <w:sz w:val="21"/>
          <w:szCs w:val="21"/>
          <w:highlight w:val="none"/>
          <w:u w:val="none"/>
        </w:rPr>
        <w:t>日，每天上午00:00至12:00，下午12:00至23:59（北京时间，线上获取法定节假日均可，线下获取文件法定节假日除外）</w:t>
      </w:r>
    </w:p>
    <w:p>
      <w:pPr>
        <w:ind w:firstLine="420" w:firstLineChars="200"/>
        <w:rPr>
          <w:rFonts w:hint="default" w:ascii="Calibri" w:hAnsi="Calibri" w:eastAsia="宋体" w:cs="Calibri"/>
          <w:sz w:val="21"/>
          <w:szCs w:val="21"/>
          <w:highlight w:val="none"/>
        </w:rPr>
      </w:pPr>
      <w:r>
        <w:rPr>
          <w:rFonts w:hint="default" w:ascii="Calibri" w:hAnsi="Calibri" w:eastAsia="宋体" w:cs="Calibri"/>
          <w:i w:val="0"/>
          <w:iCs w:val="0"/>
          <w:caps w:val="0"/>
          <w:spacing w:val="0"/>
          <w:sz w:val="21"/>
          <w:szCs w:val="21"/>
          <w:highlight w:val="none"/>
        </w:rPr>
        <w:t>地点（网址）：政采云平台线上获取 </w:t>
      </w:r>
    </w:p>
    <w:p>
      <w:pPr>
        <w:ind w:firstLine="420" w:firstLineChars="200"/>
        <w:rPr>
          <w:rFonts w:hint="default" w:ascii="Calibri" w:hAnsi="Calibri" w:eastAsia="宋体" w:cs="Calibri"/>
          <w:sz w:val="21"/>
          <w:szCs w:val="21"/>
          <w:highlight w:val="none"/>
        </w:rPr>
      </w:pPr>
      <w:r>
        <w:rPr>
          <w:rFonts w:hint="default" w:ascii="Calibri" w:hAnsi="Calibri" w:eastAsia="宋体" w:cs="Calibri"/>
          <w:i w:val="0"/>
          <w:iCs w:val="0"/>
          <w:caps w:val="0"/>
          <w:spacing w:val="0"/>
          <w:sz w:val="21"/>
          <w:szCs w:val="21"/>
          <w:highlight w:val="none"/>
        </w:rPr>
        <w:t>方式：供应商登录政采云平台https://www.zcygov.cn/在线申请获取采购文件（进入“项目采购”应用，在获取采购文件菜单中选择项目，申请获取采购文件） </w:t>
      </w:r>
    </w:p>
    <w:p>
      <w:pPr>
        <w:ind w:firstLine="420" w:firstLineChars="200"/>
        <w:rPr>
          <w:rFonts w:hint="default" w:ascii="Calibri" w:hAnsi="Calibri" w:eastAsia="宋体" w:cs="Calibri"/>
          <w:sz w:val="21"/>
          <w:szCs w:val="21"/>
          <w:highlight w:val="none"/>
        </w:rPr>
      </w:pPr>
      <w:r>
        <w:rPr>
          <w:rFonts w:hint="default" w:ascii="Calibri" w:hAnsi="Calibri" w:eastAsia="宋体" w:cs="Calibri"/>
          <w:i w:val="0"/>
          <w:iCs w:val="0"/>
          <w:caps w:val="0"/>
          <w:spacing w:val="0"/>
          <w:sz w:val="21"/>
          <w:szCs w:val="21"/>
          <w:highlight w:val="none"/>
        </w:rPr>
        <w:t>售价（元）：0 </w:t>
      </w:r>
    </w:p>
    <w:p>
      <w:pPr>
        <w:ind w:firstLine="420" w:firstLineChars="200"/>
        <w:rPr>
          <w:rFonts w:cs="Calibri"/>
          <w:szCs w:val="21"/>
          <w:highlight w:val="none"/>
        </w:rPr>
      </w:pPr>
      <w:r>
        <w:rPr>
          <w:rFonts w:cs="Calibri"/>
          <w:szCs w:val="21"/>
          <w:highlight w:val="none"/>
        </w:rPr>
        <w:t>售价（元）：0。</w:t>
      </w:r>
    </w:p>
    <w:p>
      <w:pPr>
        <w:ind w:firstLine="422" w:firstLineChars="200"/>
        <w:rPr>
          <w:rFonts w:cs="Calibri"/>
          <w:b/>
          <w:bCs/>
          <w:szCs w:val="21"/>
          <w:highlight w:val="none"/>
        </w:rPr>
      </w:pPr>
      <w:r>
        <w:rPr>
          <w:rFonts w:cs="Calibri"/>
          <w:b/>
          <w:bCs/>
          <w:szCs w:val="21"/>
          <w:highlight w:val="none"/>
        </w:rPr>
        <w:t>四、响应文件提交（上传）</w:t>
      </w:r>
    </w:p>
    <w:p>
      <w:pPr>
        <w:ind w:firstLine="420" w:firstLineChars="200"/>
        <w:rPr>
          <w:rFonts w:hint="default" w:ascii="Calibri" w:hAnsi="Calibri" w:eastAsia="宋体" w:cs="Calibri"/>
          <w:sz w:val="21"/>
          <w:szCs w:val="21"/>
          <w:highlight w:val="none"/>
          <w:u w:val="none"/>
        </w:rPr>
      </w:pPr>
      <w:r>
        <w:rPr>
          <w:rFonts w:hint="default" w:ascii="Calibri" w:hAnsi="Calibri" w:eastAsia="宋体" w:cs="Calibri"/>
          <w:i w:val="0"/>
          <w:iCs w:val="0"/>
          <w:caps w:val="0"/>
          <w:spacing w:val="0"/>
          <w:sz w:val="21"/>
          <w:szCs w:val="21"/>
          <w:highlight w:val="none"/>
          <w:u w:val="none"/>
        </w:rPr>
        <w:t xml:space="preserve"> 截止时间：202</w:t>
      </w:r>
      <w:r>
        <w:rPr>
          <w:rFonts w:hint="default" w:eastAsia="宋体" w:cs="Calibri"/>
          <w:i w:val="0"/>
          <w:iCs w:val="0"/>
          <w:caps w:val="0"/>
          <w:spacing w:val="0"/>
          <w:sz w:val="21"/>
          <w:szCs w:val="21"/>
          <w:highlight w:val="none"/>
          <w:u w:val="none"/>
          <w:lang w:val="en-US" w:eastAsia="zh-CN"/>
        </w:rPr>
        <w:t>4</w:t>
      </w:r>
      <w:r>
        <w:rPr>
          <w:rFonts w:hint="default" w:ascii="Calibri" w:hAnsi="Calibri" w:eastAsia="宋体" w:cs="Calibri"/>
          <w:i w:val="0"/>
          <w:iCs w:val="0"/>
          <w:caps w:val="0"/>
          <w:spacing w:val="0"/>
          <w:sz w:val="21"/>
          <w:szCs w:val="21"/>
          <w:highlight w:val="none"/>
          <w:u w:val="none"/>
        </w:rPr>
        <w:t>年</w:t>
      </w:r>
      <w:r>
        <w:rPr>
          <w:rFonts w:hint="eastAsia" w:cs="Calibri"/>
          <w:i w:val="0"/>
          <w:iCs w:val="0"/>
          <w:caps w:val="0"/>
          <w:spacing w:val="0"/>
          <w:sz w:val="21"/>
          <w:szCs w:val="21"/>
          <w:highlight w:val="none"/>
          <w:u w:val="none"/>
          <w:lang w:val="en-US" w:eastAsia="zh-CN"/>
        </w:rPr>
        <w:t>5</w:t>
      </w:r>
      <w:r>
        <w:rPr>
          <w:rFonts w:hint="default" w:ascii="Calibri" w:hAnsi="Calibri" w:eastAsia="宋体" w:cs="Calibri"/>
          <w:i w:val="0"/>
          <w:iCs w:val="0"/>
          <w:caps w:val="0"/>
          <w:spacing w:val="0"/>
          <w:sz w:val="21"/>
          <w:szCs w:val="21"/>
          <w:highlight w:val="none"/>
          <w:u w:val="none"/>
        </w:rPr>
        <w:t>月</w:t>
      </w:r>
      <w:r>
        <w:rPr>
          <w:rFonts w:hint="eastAsia" w:cs="Calibri"/>
          <w:i w:val="0"/>
          <w:iCs w:val="0"/>
          <w:caps w:val="0"/>
          <w:spacing w:val="0"/>
          <w:sz w:val="21"/>
          <w:szCs w:val="21"/>
          <w:highlight w:val="none"/>
          <w:u w:val="none"/>
          <w:lang w:val="en-US" w:eastAsia="zh-CN"/>
        </w:rPr>
        <w:t>11</w:t>
      </w:r>
      <w:r>
        <w:rPr>
          <w:rFonts w:hint="default" w:ascii="Calibri" w:hAnsi="Calibri" w:eastAsia="宋体" w:cs="Calibri"/>
          <w:i w:val="0"/>
          <w:iCs w:val="0"/>
          <w:caps w:val="0"/>
          <w:spacing w:val="0"/>
          <w:sz w:val="21"/>
          <w:szCs w:val="21"/>
          <w:highlight w:val="none"/>
          <w:u w:val="none"/>
        </w:rPr>
        <w:t>日 1</w:t>
      </w:r>
      <w:r>
        <w:rPr>
          <w:rFonts w:hint="eastAsia" w:cs="Calibri"/>
          <w:i w:val="0"/>
          <w:iCs w:val="0"/>
          <w:caps w:val="0"/>
          <w:spacing w:val="0"/>
          <w:sz w:val="21"/>
          <w:szCs w:val="21"/>
          <w:highlight w:val="none"/>
          <w:u w:val="none"/>
          <w:lang w:val="en-US" w:eastAsia="zh-CN"/>
        </w:rPr>
        <w:t>4</w:t>
      </w:r>
      <w:r>
        <w:rPr>
          <w:rFonts w:hint="default" w:ascii="Calibri" w:hAnsi="Calibri" w:eastAsia="宋体" w:cs="Calibri"/>
          <w:i w:val="0"/>
          <w:iCs w:val="0"/>
          <w:caps w:val="0"/>
          <w:spacing w:val="0"/>
          <w:sz w:val="21"/>
          <w:szCs w:val="21"/>
          <w:highlight w:val="none"/>
          <w:u w:val="none"/>
        </w:rPr>
        <w:t>:</w:t>
      </w:r>
      <w:r>
        <w:rPr>
          <w:rFonts w:hint="eastAsia" w:cs="Calibri"/>
          <w:i w:val="0"/>
          <w:iCs w:val="0"/>
          <w:caps w:val="0"/>
          <w:spacing w:val="0"/>
          <w:sz w:val="21"/>
          <w:szCs w:val="21"/>
          <w:highlight w:val="none"/>
          <w:u w:val="none"/>
          <w:lang w:val="en-US" w:eastAsia="zh-CN"/>
        </w:rPr>
        <w:t>0</w:t>
      </w:r>
      <w:r>
        <w:rPr>
          <w:rFonts w:hint="default" w:ascii="Calibri" w:hAnsi="Calibri" w:eastAsia="宋体" w:cs="Calibri"/>
          <w:i w:val="0"/>
          <w:iCs w:val="0"/>
          <w:caps w:val="0"/>
          <w:spacing w:val="0"/>
          <w:sz w:val="21"/>
          <w:szCs w:val="21"/>
          <w:highlight w:val="none"/>
          <w:u w:val="none"/>
        </w:rPr>
        <w:t>0（北京时间）</w:t>
      </w:r>
    </w:p>
    <w:p>
      <w:pPr>
        <w:ind w:firstLine="420" w:firstLineChars="200"/>
        <w:rPr>
          <w:rFonts w:hint="default" w:ascii="Calibri" w:hAnsi="Calibri" w:eastAsia="宋体" w:cs="Calibri"/>
          <w:sz w:val="21"/>
          <w:szCs w:val="21"/>
          <w:highlight w:val="none"/>
          <w:u w:val="none"/>
        </w:rPr>
      </w:pPr>
      <w:r>
        <w:rPr>
          <w:rFonts w:hint="default" w:ascii="Calibri" w:hAnsi="Calibri" w:eastAsia="宋体" w:cs="Calibri"/>
          <w:i w:val="0"/>
          <w:iCs w:val="0"/>
          <w:caps w:val="0"/>
          <w:spacing w:val="0"/>
          <w:sz w:val="21"/>
          <w:szCs w:val="21"/>
          <w:highlight w:val="none"/>
          <w:u w:val="none"/>
        </w:rPr>
        <w:t> 地点（网址）：请登录政采云投标客户端投标 </w:t>
      </w:r>
    </w:p>
    <w:p>
      <w:pPr>
        <w:ind w:firstLine="422" w:firstLineChars="200"/>
        <w:rPr>
          <w:rFonts w:cs="Calibri"/>
          <w:b/>
          <w:bCs/>
          <w:szCs w:val="21"/>
          <w:highlight w:val="none"/>
        </w:rPr>
      </w:pPr>
      <w:r>
        <w:rPr>
          <w:rFonts w:cs="Calibri"/>
          <w:b/>
          <w:bCs/>
          <w:szCs w:val="21"/>
          <w:highlight w:val="none"/>
        </w:rPr>
        <w:t>五、</w:t>
      </w:r>
      <w:r>
        <w:rPr>
          <w:rFonts w:hint="default" w:ascii="Calibri" w:hAnsi="Calibri" w:eastAsia="宋体" w:cs="Calibri"/>
          <w:b/>
          <w:bCs/>
          <w:i w:val="0"/>
          <w:iCs w:val="0"/>
          <w:caps w:val="0"/>
          <w:spacing w:val="0"/>
          <w:sz w:val="21"/>
          <w:szCs w:val="21"/>
          <w:highlight w:val="none"/>
        </w:rPr>
        <w:t>响应文件</w:t>
      </w:r>
      <w:r>
        <w:rPr>
          <w:rFonts w:eastAsia="宋体" w:cs="Calibri"/>
          <w:b/>
          <w:bCs/>
          <w:szCs w:val="21"/>
          <w:highlight w:val="none"/>
        </w:rPr>
        <w:t>开</w:t>
      </w:r>
      <w:r>
        <w:rPr>
          <w:rFonts w:cs="Calibri"/>
          <w:b/>
          <w:bCs/>
          <w:szCs w:val="21"/>
          <w:highlight w:val="none"/>
        </w:rPr>
        <w:t>启</w:t>
      </w:r>
    </w:p>
    <w:p>
      <w:pPr>
        <w:ind w:firstLine="420" w:firstLineChars="200"/>
        <w:rPr>
          <w:rFonts w:hint="default" w:ascii="Calibri" w:hAnsi="Calibri" w:eastAsia="宋体" w:cs="Calibri"/>
          <w:sz w:val="21"/>
          <w:szCs w:val="21"/>
          <w:highlight w:val="none"/>
          <w:u w:val="none"/>
        </w:rPr>
      </w:pPr>
      <w:r>
        <w:rPr>
          <w:rFonts w:hint="default" w:ascii="Calibri" w:hAnsi="Calibri" w:eastAsia="宋体" w:cs="Calibri"/>
          <w:i w:val="0"/>
          <w:iCs w:val="0"/>
          <w:caps w:val="0"/>
          <w:spacing w:val="0"/>
          <w:sz w:val="21"/>
          <w:szCs w:val="21"/>
          <w:highlight w:val="none"/>
          <w:u w:val="none"/>
        </w:rPr>
        <w:t> 开启时间：202</w:t>
      </w:r>
      <w:r>
        <w:rPr>
          <w:rFonts w:hint="default" w:eastAsia="宋体" w:cs="Calibri"/>
          <w:i w:val="0"/>
          <w:iCs w:val="0"/>
          <w:caps w:val="0"/>
          <w:spacing w:val="0"/>
          <w:sz w:val="21"/>
          <w:szCs w:val="21"/>
          <w:highlight w:val="none"/>
          <w:u w:val="none"/>
          <w:lang w:val="en-US" w:eastAsia="zh-CN"/>
        </w:rPr>
        <w:t>4</w:t>
      </w:r>
      <w:r>
        <w:rPr>
          <w:rFonts w:hint="default" w:ascii="Calibri" w:hAnsi="Calibri" w:eastAsia="宋体" w:cs="Calibri"/>
          <w:i w:val="0"/>
          <w:iCs w:val="0"/>
          <w:caps w:val="0"/>
          <w:spacing w:val="0"/>
          <w:sz w:val="21"/>
          <w:szCs w:val="21"/>
          <w:highlight w:val="none"/>
          <w:u w:val="none"/>
        </w:rPr>
        <w:t>年</w:t>
      </w:r>
      <w:r>
        <w:rPr>
          <w:rFonts w:hint="eastAsia" w:cs="Calibri"/>
          <w:i w:val="0"/>
          <w:iCs w:val="0"/>
          <w:caps w:val="0"/>
          <w:spacing w:val="0"/>
          <w:sz w:val="21"/>
          <w:szCs w:val="21"/>
          <w:highlight w:val="none"/>
          <w:u w:val="none"/>
          <w:lang w:val="en-US" w:eastAsia="zh-CN"/>
        </w:rPr>
        <w:t>5</w:t>
      </w:r>
      <w:r>
        <w:rPr>
          <w:rFonts w:hint="default" w:ascii="Calibri" w:hAnsi="Calibri" w:eastAsia="宋体" w:cs="Calibri"/>
          <w:i w:val="0"/>
          <w:iCs w:val="0"/>
          <w:caps w:val="0"/>
          <w:spacing w:val="0"/>
          <w:sz w:val="21"/>
          <w:szCs w:val="21"/>
          <w:highlight w:val="none"/>
          <w:u w:val="none"/>
        </w:rPr>
        <w:t>月</w:t>
      </w:r>
      <w:r>
        <w:rPr>
          <w:rFonts w:hint="eastAsia" w:cs="Calibri"/>
          <w:i w:val="0"/>
          <w:iCs w:val="0"/>
          <w:caps w:val="0"/>
          <w:spacing w:val="0"/>
          <w:sz w:val="21"/>
          <w:szCs w:val="21"/>
          <w:highlight w:val="none"/>
          <w:u w:val="none"/>
          <w:lang w:val="en-US" w:eastAsia="zh-CN"/>
        </w:rPr>
        <w:t>11</w:t>
      </w:r>
      <w:r>
        <w:rPr>
          <w:rFonts w:hint="default" w:ascii="Calibri" w:hAnsi="Calibri" w:eastAsia="宋体" w:cs="Calibri"/>
          <w:i w:val="0"/>
          <w:iCs w:val="0"/>
          <w:caps w:val="0"/>
          <w:spacing w:val="0"/>
          <w:sz w:val="21"/>
          <w:szCs w:val="21"/>
          <w:highlight w:val="none"/>
          <w:u w:val="none"/>
        </w:rPr>
        <w:t>日  1</w:t>
      </w:r>
      <w:r>
        <w:rPr>
          <w:rFonts w:hint="eastAsia" w:cs="Calibri"/>
          <w:i w:val="0"/>
          <w:iCs w:val="0"/>
          <w:caps w:val="0"/>
          <w:spacing w:val="0"/>
          <w:sz w:val="21"/>
          <w:szCs w:val="21"/>
          <w:highlight w:val="none"/>
          <w:u w:val="none"/>
          <w:lang w:val="en-US" w:eastAsia="zh-CN"/>
        </w:rPr>
        <w:t>4</w:t>
      </w:r>
      <w:r>
        <w:rPr>
          <w:rFonts w:hint="default" w:ascii="Calibri" w:hAnsi="Calibri" w:eastAsia="宋体" w:cs="Calibri"/>
          <w:i w:val="0"/>
          <w:iCs w:val="0"/>
          <w:caps w:val="0"/>
          <w:spacing w:val="0"/>
          <w:sz w:val="21"/>
          <w:szCs w:val="21"/>
          <w:highlight w:val="none"/>
          <w:u w:val="none"/>
        </w:rPr>
        <w:t>:</w:t>
      </w:r>
      <w:r>
        <w:rPr>
          <w:rFonts w:hint="eastAsia" w:cs="Calibri"/>
          <w:i w:val="0"/>
          <w:iCs w:val="0"/>
          <w:caps w:val="0"/>
          <w:spacing w:val="0"/>
          <w:sz w:val="21"/>
          <w:szCs w:val="21"/>
          <w:highlight w:val="none"/>
          <w:u w:val="none"/>
          <w:lang w:val="en-US" w:eastAsia="zh-CN"/>
        </w:rPr>
        <w:t>0</w:t>
      </w:r>
      <w:r>
        <w:rPr>
          <w:rFonts w:hint="default" w:ascii="Calibri" w:hAnsi="Calibri" w:eastAsia="宋体" w:cs="Calibri"/>
          <w:i w:val="0"/>
          <w:iCs w:val="0"/>
          <w:caps w:val="0"/>
          <w:spacing w:val="0"/>
          <w:sz w:val="21"/>
          <w:szCs w:val="21"/>
          <w:highlight w:val="none"/>
          <w:u w:val="none"/>
        </w:rPr>
        <w:t>0 （北京时间）</w:t>
      </w:r>
    </w:p>
    <w:p>
      <w:pPr>
        <w:ind w:firstLine="420" w:firstLineChars="200"/>
        <w:rPr>
          <w:rFonts w:hint="default" w:ascii="Calibri" w:hAnsi="Calibri" w:eastAsia="宋体" w:cs="Calibri"/>
          <w:sz w:val="21"/>
          <w:szCs w:val="21"/>
          <w:highlight w:val="none"/>
          <w:u w:val="none"/>
        </w:rPr>
      </w:pPr>
      <w:r>
        <w:rPr>
          <w:rFonts w:hint="default" w:ascii="Calibri" w:hAnsi="Calibri" w:eastAsia="宋体" w:cs="Calibri"/>
          <w:i w:val="0"/>
          <w:iCs w:val="0"/>
          <w:caps w:val="0"/>
          <w:spacing w:val="0"/>
          <w:sz w:val="21"/>
          <w:szCs w:val="21"/>
          <w:highlight w:val="none"/>
          <w:u w:val="none"/>
        </w:rPr>
        <w:t> 地点（网址）：</w:t>
      </w:r>
      <w:r>
        <w:rPr>
          <w:rFonts w:hint="eastAsia" w:cs="Calibri"/>
          <w:i w:val="0"/>
          <w:iCs w:val="0"/>
          <w:caps w:val="0"/>
          <w:spacing w:val="0"/>
          <w:sz w:val="21"/>
          <w:szCs w:val="21"/>
          <w:highlight w:val="none"/>
          <w:u w:val="none"/>
          <w:lang w:val="en-US" w:eastAsia="zh-CN"/>
        </w:rPr>
        <w:t>4</w:t>
      </w:r>
      <w:r>
        <w:rPr>
          <w:rFonts w:hint="default" w:ascii="Calibri" w:hAnsi="Calibri" w:eastAsia="宋体" w:cs="Calibri"/>
          <w:i w:val="0"/>
          <w:iCs w:val="0"/>
          <w:caps w:val="0"/>
          <w:spacing w:val="0"/>
          <w:sz w:val="21"/>
          <w:szCs w:val="21"/>
          <w:highlight w:val="none"/>
          <w:u w:val="none"/>
        </w:rPr>
        <w:t>号开标室</w:t>
      </w:r>
      <w:r>
        <w:rPr>
          <w:rFonts w:hint="eastAsia" w:cs="Calibri"/>
          <w:i w:val="0"/>
          <w:iCs w:val="0"/>
          <w:caps w:val="0"/>
          <w:spacing w:val="0"/>
          <w:sz w:val="21"/>
          <w:szCs w:val="21"/>
          <w:highlight w:val="none"/>
          <w:u w:val="none"/>
          <w:lang w:val="en-US" w:eastAsia="zh-CN"/>
        </w:rPr>
        <w:t>4</w:t>
      </w:r>
      <w:bookmarkStart w:id="81" w:name="_GoBack"/>
      <w:bookmarkEnd w:id="81"/>
      <w:r>
        <w:rPr>
          <w:rFonts w:hint="default" w:ascii="Calibri" w:hAnsi="Calibri" w:eastAsia="宋体" w:cs="Calibri"/>
          <w:i w:val="0"/>
          <w:iCs w:val="0"/>
          <w:caps w:val="0"/>
          <w:spacing w:val="0"/>
          <w:sz w:val="21"/>
          <w:szCs w:val="21"/>
          <w:highlight w:val="none"/>
          <w:u w:val="none"/>
        </w:rPr>
        <w:t>号开标室 </w:t>
      </w:r>
    </w:p>
    <w:p>
      <w:pPr>
        <w:ind w:firstLine="422" w:firstLineChars="200"/>
        <w:rPr>
          <w:rFonts w:cs="Calibri"/>
          <w:szCs w:val="21"/>
          <w:highlight w:val="none"/>
        </w:rPr>
      </w:pPr>
      <w:r>
        <w:rPr>
          <w:rFonts w:cs="Calibri"/>
          <w:b/>
          <w:bCs/>
          <w:szCs w:val="21"/>
          <w:highlight w:val="none"/>
        </w:rPr>
        <w:t>六、公告期限</w:t>
      </w:r>
      <w:r>
        <w:rPr>
          <w:rFonts w:hint="eastAsia" w:cs="Calibri"/>
          <w:b/>
          <w:bCs/>
          <w:szCs w:val="21"/>
          <w:highlight w:val="none"/>
        </w:rPr>
        <w:t>：</w:t>
      </w:r>
      <w:r>
        <w:rPr>
          <w:rFonts w:cs="Calibri"/>
          <w:szCs w:val="21"/>
          <w:highlight w:val="none"/>
        </w:rPr>
        <w:t>自公告发布之日起3个工作日。</w:t>
      </w:r>
    </w:p>
    <w:p>
      <w:pPr>
        <w:ind w:firstLine="422" w:firstLineChars="200"/>
        <w:rPr>
          <w:rFonts w:cs="Calibri"/>
          <w:b/>
          <w:bCs/>
          <w:szCs w:val="21"/>
          <w:highlight w:val="none"/>
        </w:rPr>
      </w:pPr>
      <w:r>
        <w:rPr>
          <w:rFonts w:cs="Calibri"/>
          <w:b/>
          <w:bCs/>
          <w:szCs w:val="21"/>
          <w:highlight w:val="none"/>
        </w:rPr>
        <w:t>七、其他补充事宜</w:t>
      </w:r>
    </w:p>
    <w:p>
      <w:pPr>
        <w:widowControl/>
        <w:ind w:firstLine="420" w:firstLineChars="200"/>
        <w:rPr>
          <w:rFonts w:cs="Calibri"/>
          <w:b/>
          <w:bCs/>
          <w:kern w:val="0"/>
          <w:szCs w:val="21"/>
          <w:highlight w:val="none"/>
        </w:rPr>
      </w:pPr>
      <w:r>
        <w:rPr>
          <w:rFonts w:cs="Calibri"/>
          <w:kern w:val="0"/>
          <w:szCs w:val="21"/>
          <w:highlight w:val="none"/>
        </w:rPr>
        <w:t>1.</w:t>
      </w:r>
      <w:r>
        <w:rPr>
          <w:rFonts w:cs="Calibri"/>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adjustRightInd w:val="0"/>
        <w:ind w:firstLine="420" w:firstLineChars="200"/>
        <w:jc w:val="left"/>
        <w:rPr>
          <w:rFonts w:cs="Calibri"/>
          <w:kern w:val="0"/>
          <w:szCs w:val="21"/>
          <w:highlight w:val="none"/>
        </w:rPr>
      </w:pPr>
      <w:r>
        <w:rPr>
          <w:rFonts w:hint="eastAsia" w:cs="Calibri"/>
          <w:kern w:val="0"/>
          <w:szCs w:val="21"/>
          <w:highlight w:val="none"/>
        </w:rPr>
        <w:t>2</w:t>
      </w:r>
      <w:r>
        <w:rPr>
          <w:rFonts w:cs="Calibri"/>
          <w:kern w:val="0"/>
          <w:szCs w:val="21"/>
          <w:highlight w:val="none"/>
        </w:rPr>
        <w:t>.其他事项：</w:t>
      </w:r>
    </w:p>
    <w:p>
      <w:pPr>
        <w:widowControl/>
        <w:adjustRightInd w:val="0"/>
        <w:ind w:firstLine="420" w:firstLineChars="200"/>
        <w:jc w:val="left"/>
        <w:rPr>
          <w:rFonts w:cs="Calibri"/>
          <w:szCs w:val="21"/>
          <w:highlight w:val="none"/>
        </w:rPr>
      </w:pPr>
      <w:r>
        <w:rPr>
          <w:rFonts w:hint="eastAsia" w:cs="Calibri"/>
          <w:kern w:val="0"/>
          <w:szCs w:val="21"/>
          <w:highlight w:val="none"/>
        </w:rPr>
        <w:t>2</w:t>
      </w:r>
      <w:r>
        <w:rPr>
          <w:rFonts w:cs="Calibri"/>
          <w:kern w:val="0"/>
          <w:szCs w:val="21"/>
          <w:highlight w:val="none"/>
        </w:rPr>
        <w:t>.1未按竞争性磋商采购公告规定获取采购文件的潜在供应商不得对采购文件提出质疑，其响应文件将被拒绝；</w:t>
      </w:r>
      <w:r>
        <w:rPr>
          <w:rFonts w:cs="Calibri"/>
          <w:szCs w:val="21"/>
          <w:highlight w:val="none"/>
        </w:rPr>
        <w:t>通过本公告下方“游客，浏览采购文件”下载的采购文件仅供浏览，不视作依法获取采购文件。</w:t>
      </w:r>
    </w:p>
    <w:p>
      <w:pPr>
        <w:widowControl/>
        <w:adjustRightInd w:val="0"/>
        <w:ind w:firstLine="420" w:firstLineChars="200"/>
        <w:jc w:val="left"/>
        <w:rPr>
          <w:rFonts w:cs="Calibri"/>
          <w:szCs w:val="21"/>
          <w:highlight w:val="none"/>
        </w:rPr>
      </w:pPr>
      <w:r>
        <w:rPr>
          <w:rFonts w:hint="eastAsia" w:cs="Calibri"/>
          <w:szCs w:val="21"/>
          <w:highlight w:val="none"/>
        </w:rPr>
        <w:t>2</w:t>
      </w:r>
      <w:r>
        <w:rPr>
          <w:rFonts w:cs="Calibri"/>
          <w:szCs w:val="21"/>
          <w:highlight w:val="none"/>
        </w:rPr>
        <w:t>.</w:t>
      </w:r>
      <w:r>
        <w:rPr>
          <w:rFonts w:hint="eastAsia" w:cs="Calibri"/>
          <w:szCs w:val="21"/>
          <w:highlight w:val="none"/>
        </w:rPr>
        <w:t>2</w:t>
      </w:r>
      <w:r>
        <w:rPr>
          <w:rFonts w:cs="Calibri"/>
          <w:szCs w:val="21"/>
          <w:highlight w:val="none"/>
        </w:rPr>
        <w:t>在线投标响应（电子投标）说明：</w:t>
      </w:r>
    </w:p>
    <w:p>
      <w:pPr>
        <w:widowControl/>
        <w:adjustRightInd w:val="0"/>
        <w:ind w:firstLine="420" w:firstLineChars="200"/>
        <w:jc w:val="left"/>
        <w:rPr>
          <w:rFonts w:cs="Calibri"/>
          <w:szCs w:val="21"/>
          <w:highlight w:val="none"/>
        </w:rPr>
      </w:pPr>
      <w:r>
        <w:rPr>
          <w:rFonts w:cs="Calibri"/>
          <w:szCs w:val="21"/>
          <w:highlight w:val="none"/>
        </w:rPr>
        <w:t>（1）本项目采用政府采购电子化交易；</w:t>
      </w:r>
    </w:p>
    <w:p>
      <w:pPr>
        <w:widowControl/>
        <w:adjustRightInd w:val="0"/>
        <w:ind w:firstLine="420" w:firstLineChars="200"/>
        <w:jc w:val="left"/>
        <w:rPr>
          <w:rFonts w:cs="Calibri"/>
          <w:szCs w:val="21"/>
          <w:highlight w:val="none"/>
        </w:rPr>
      </w:pPr>
      <w:r>
        <w:rPr>
          <w:rFonts w:cs="Calibri"/>
          <w:szCs w:val="21"/>
          <w:highlight w:val="none"/>
        </w:rPr>
        <w:t>（2）供应商应在提交磋商响应文件前完成CA数字证书办理。（办理流程详见http://zfcg.czt.zj.gov.cn/bidClientTemplate/2019-05-27/12945.html）；</w:t>
      </w:r>
    </w:p>
    <w:p>
      <w:pPr>
        <w:widowControl/>
        <w:adjustRightInd w:val="0"/>
        <w:ind w:firstLine="420" w:firstLineChars="200"/>
        <w:jc w:val="left"/>
        <w:rPr>
          <w:rFonts w:cs="Calibri"/>
          <w:szCs w:val="21"/>
          <w:highlight w:val="none"/>
        </w:rPr>
      </w:pPr>
      <w:r>
        <w:rPr>
          <w:rFonts w:cs="Calibri"/>
          <w:szCs w:val="21"/>
          <w:highlight w:val="none"/>
        </w:rPr>
        <w:t>（3）供应商应安装“政采云投标客户端”，电子投标工具请供应商自行前往浙江政府采购网下载并安装，（下载网址：http://zfcg.czt.zj.gov.cn/bidClientTemplate/2019-09-24/12975.html）；</w:t>
      </w:r>
    </w:p>
    <w:p>
      <w:pPr>
        <w:widowControl/>
        <w:adjustRightInd w:val="0"/>
        <w:ind w:firstLine="420" w:firstLineChars="200"/>
        <w:jc w:val="left"/>
        <w:rPr>
          <w:rFonts w:cs="Calibri"/>
          <w:szCs w:val="21"/>
          <w:highlight w:val="none"/>
        </w:rPr>
      </w:pPr>
      <w:r>
        <w:rPr>
          <w:rFonts w:cs="Calibri"/>
          <w:szCs w:val="21"/>
          <w:highlight w:val="none"/>
        </w:rPr>
        <w:t>（4）电子交易具体流程详见操作指南：登录政府采购云平台（https://www.zcygov.cn/），从首页-服务中心-帮助文档-项目采购-电子招投标，查看文档和视频；</w:t>
      </w:r>
    </w:p>
    <w:p>
      <w:pPr>
        <w:widowControl/>
        <w:adjustRightInd w:val="0"/>
        <w:ind w:firstLine="420" w:firstLineChars="200"/>
        <w:jc w:val="left"/>
        <w:rPr>
          <w:rFonts w:cs="Calibri"/>
          <w:szCs w:val="21"/>
          <w:highlight w:val="none"/>
        </w:rPr>
      </w:pPr>
      <w:r>
        <w:rPr>
          <w:rFonts w:cs="Calibri"/>
          <w:szCs w:val="21"/>
          <w:highlight w:val="none"/>
        </w:rPr>
        <w:t>（5）如有疑问，可致电政府采购云平台技术支持热线咨询，联系方式：400-881-7190。</w:t>
      </w:r>
    </w:p>
    <w:p>
      <w:pPr>
        <w:widowControl/>
        <w:adjustRightInd w:val="0"/>
        <w:ind w:firstLine="420" w:firstLineChars="200"/>
        <w:jc w:val="left"/>
        <w:rPr>
          <w:rFonts w:cs="Calibri"/>
          <w:kern w:val="0"/>
          <w:szCs w:val="21"/>
          <w:highlight w:val="none"/>
        </w:rPr>
      </w:pPr>
      <w:r>
        <w:rPr>
          <w:rFonts w:hint="eastAsia" w:cs="Calibri"/>
          <w:kern w:val="0"/>
          <w:szCs w:val="21"/>
          <w:highlight w:val="none"/>
        </w:rPr>
        <w:t>2</w:t>
      </w:r>
      <w:r>
        <w:rPr>
          <w:rFonts w:cs="Calibri"/>
          <w:kern w:val="0"/>
          <w:szCs w:val="21"/>
          <w:highlight w:val="none"/>
        </w:rPr>
        <w:t>.</w:t>
      </w:r>
      <w:r>
        <w:rPr>
          <w:rFonts w:hint="eastAsia" w:cs="Calibri"/>
          <w:kern w:val="0"/>
          <w:szCs w:val="21"/>
          <w:highlight w:val="none"/>
        </w:rPr>
        <w:t>3</w:t>
      </w:r>
      <w:r>
        <w:rPr>
          <w:rFonts w:cs="Calibri"/>
          <w:kern w:val="0"/>
          <w:szCs w:val="21"/>
          <w:highlight w:val="none"/>
        </w:rPr>
        <w:t>开标时间后30分钟内，</w:t>
      </w:r>
      <w:r>
        <w:rPr>
          <w:rFonts w:cs="Calibri"/>
          <w:szCs w:val="21"/>
          <w:highlight w:val="none"/>
        </w:rPr>
        <w:t>供应商</w:t>
      </w:r>
      <w:r>
        <w:rPr>
          <w:rFonts w:cs="Calibri"/>
          <w:kern w:val="0"/>
          <w:szCs w:val="21"/>
          <w:highlight w:val="none"/>
        </w:rPr>
        <w:t>须登录政府采购云平台，用“项目采购-开标评标”功能解密磋商响应文件（线上）。</w:t>
      </w:r>
    </w:p>
    <w:p>
      <w:pPr>
        <w:widowControl/>
        <w:adjustRightInd w:val="0"/>
        <w:ind w:firstLine="420" w:firstLineChars="200"/>
        <w:jc w:val="left"/>
        <w:rPr>
          <w:rFonts w:cs="Calibri"/>
          <w:szCs w:val="21"/>
          <w:highlight w:val="none"/>
        </w:rPr>
      </w:pPr>
      <w:r>
        <w:rPr>
          <w:rFonts w:hint="eastAsia" w:cs="Calibri"/>
          <w:szCs w:val="21"/>
          <w:highlight w:val="none"/>
        </w:rPr>
        <w:t>2</w:t>
      </w:r>
      <w:r>
        <w:rPr>
          <w:rFonts w:cs="Calibri"/>
          <w:szCs w:val="21"/>
          <w:highlight w:val="none"/>
        </w:rPr>
        <w:t>.</w:t>
      </w:r>
      <w:r>
        <w:rPr>
          <w:rFonts w:hint="eastAsia" w:cs="Calibri"/>
          <w:szCs w:val="21"/>
          <w:highlight w:val="none"/>
        </w:rPr>
        <w:t>4</w:t>
      </w:r>
      <w:r>
        <w:rPr>
          <w:rFonts w:cs="Calibri"/>
          <w:szCs w:val="21"/>
          <w:highlight w:val="none"/>
        </w:rPr>
        <w:t>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pPr>
        <w:widowControl/>
        <w:adjustRightInd w:val="0"/>
        <w:ind w:firstLine="420" w:firstLineChars="200"/>
        <w:jc w:val="left"/>
        <w:rPr>
          <w:rFonts w:cs="Calibri"/>
          <w:szCs w:val="21"/>
          <w:highlight w:val="none"/>
        </w:rPr>
      </w:pPr>
      <w:r>
        <w:rPr>
          <w:rFonts w:hint="eastAsia" w:cs="Calibri"/>
          <w:szCs w:val="21"/>
          <w:highlight w:val="none"/>
        </w:rPr>
        <w:t>2.5中标（成交）供应商融资途径信息</w:t>
      </w:r>
      <w:r>
        <w:rPr>
          <w:rFonts w:hint="eastAsia" w:cs="Calibri"/>
          <w:szCs w:val="21"/>
          <w:highlight w:val="none"/>
        </w:rPr>
        <w:br w:type="textWrapping"/>
      </w:r>
      <w:r>
        <w:rPr>
          <w:rFonts w:hint="eastAsia" w:cs="Calibri"/>
          <w:szCs w:val="21"/>
          <w:highlight w:val="none"/>
        </w:rPr>
        <w:t>为有效破解当前中小微企业面临的“融资难、融资贵”困局，充分发挥好政府采购扶持小微企业发展的政策功能，本项目中标（成交）供应商可凭中标/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pPr>
        <w:ind w:firstLine="422" w:firstLineChars="200"/>
        <w:rPr>
          <w:rFonts w:cs="Calibri"/>
          <w:b/>
          <w:bCs/>
          <w:szCs w:val="21"/>
          <w:highlight w:val="none"/>
        </w:rPr>
      </w:pPr>
      <w:bookmarkStart w:id="12" w:name="_Toc35393805"/>
      <w:bookmarkStart w:id="13" w:name="_Toc28359095"/>
      <w:bookmarkStart w:id="14" w:name="_Toc35393636"/>
      <w:bookmarkStart w:id="15" w:name="_Toc28359018"/>
      <w:r>
        <w:rPr>
          <w:rFonts w:cs="Calibri"/>
          <w:b/>
          <w:bCs/>
          <w:szCs w:val="21"/>
          <w:highlight w:val="none"/>
        </w:rPr>
        <w:t>八、</w:t>
      </w:r>
      <w:bookmarkEnd w:id="12"/>
      <w:bookmarkEnd w:id="13"/>
      <w:bookmarkEnd w:id="14"/>
      <w:bookmarkEnd w:id="15"/>
      <w:r>
        <w:rPr>
          <w:rFonts w:cs="Calibri"/>
          <w:b/>
          <w:bCs/>
          <w:szCs w:val="21"/>
          <w:highlight w:val="none"/>
        </w:rPr>
        <w:t>对本次采购提出询问、质疑、投诉，请按以下方式联系。</w:t>
      </w:r>
    </w:p>
    <w:p>
      <w:pPr>
        <w:widowControl/>
        <w:ind w:firstLine="420" w:firstLineChars="200"/>
        <w:rPr>
          <w:rFonts w:hint="eastAsia" w:eastAsia="宋体" w:cs="Calibri"/>
          <w:kern w:val="0"/>
          <w:szCs w:val="21"/>
          <w:highlight w:val="none"/>
        </w:rPr>
      </w:pPr>
      <w:bookmarkStart w:id="16" w:name="_Toc28359096"/>
      <w:bookmarkStart w:id="17" w:name="_Toc28359019"/>
      <w:bookmarkStart w:id="18" w:name="_Toc35393637"/>
      <w:bookmarkStart w:id="19" w:name="_Toc35393806"/>
      <w:r>
        <w:rPr>
          <w:rFonts w:hint="eastAsia" w:eastAsia="宋体" w:cs="Calibri"/>
          <w:kern w:val="0"/>
          <w:szCs w:val="21"/>
          <w:highlight w:val="none"/>
        </w:rPr>
        <w:t>1.采购人信息</w:t>
      </w:r>
    </w:p>
    <w:p>
      <w:pPr>
        <w:widowControl/>
        <w:ind w:firstLine="420" w:firstLineChars="200"/>
        <w:rPr>
          <w:rFonts w:hint="eastAsia" w:eastAsia="宋体" w:cs="Calibri"/>
          <w:kern w:val="0"/>
          <w:szCs w:val="21"/>
          <w:highlight w:val="none"/>
          <w:lang w:eastAsia="zh-CN"/>
        </w:rPr>
      </w:pPr>
      <w:r>
        <w:rPr>
          <w:rFonts w:hint="eastAsia" w:eastAsia="宋体" w:cs="Calibri"/>
          <w:kern w:val="0"/>
          <w:szCs w:val="21"/>
          <w:highlight w:val="none"/>
        </w:rPr>
        <w:t>名称：</w:t>
      </w:r>
      <w:r>
        <w:rPr>
          <w:rFonts w:hint="eastAsia" w:eastAsia="宋体" w:cs="Calibri"/>
          <w:kern w:val="0"/>
          <w:szCs w:val="21"/>
          <w:highlight w:val="none"/>
          <w:lang w:eastAsia="zh-CN"/>
        </w:rPr>
        <w:t>湖州市吴兴区商务局</w:t>
      </w:r>
    </w:p>
    <w:p>
      <w:pPr>
        <w:widowControl/>
        <w:ind w:firstLine="420" w:firstLineChars="200"/>
        <w:rPr>
          <w:rFonts w:hint="eastAsia" w:eastAsia="宋体" w:cs="Calibri"/>
          <w:kern w:val="0"/>
          <w:sz w:val="21"/>
          <w:szCs w:val="21"/>
          <w:highlight w:val="none"/>
        </w:rPr>
      </w:pPr>
      <w:r>
        <w:rPr>
          <w:rFonts w:hint="eastAsia" w:eastAsia="宋体" w:cs="Calibri"/>
          <w:kern w:val="0"/>
          <w:sz w:val="21"/>
          <w:szCs w:val="21"/>
          <w:highlight w:val="none"/>
        </w:rPr>
        <w:t>地址：湖州市吴兴区吴兴大道1号楼1楼</w:t>
      </w:r>
    </w:p>
    <w:p>
      <w:pPr>
        <w:widowControl/>
        <w:ind w:firstLine="420" w:firstLineChars="200"/>
        <w:rPr>
          <w:rFonts w:hint="eastAsia" w:eastAsia="宋体" w:cs="Calibri"/>
          <w:kern w:val="0"/>
          <w:sz w:val="21"/>
          <w:szCs w:val="21"/>
          <w:highlight w:val="none"/>
        </w:rPr>
      </w:pPr>
      <w:r>
        <w:rPr>
          <w:rFonts w:hint="eastAsia" w:eastAsia="宋体" w:cs="Calibri"/>
          <w:kern w:val="0"/>
          <w:sz w:val="21"/>
          <w:szCs w:val="21"/>
          <w:highlight w:val="none"/>
        </w:rPr>
        <w:t>项目联系人（询问）：杨先生</w:t>
      </w:r>
    </w:p>
    <w:p>
      <w:pPr>
        <w:widowControl/>
        <w:ind w:firstLine="420" w:firstLineChars="200"/>
        <w:rPr>
          <w:rFonts w:hint="eastAsia" w:eastAsia="宋体" w:cs="Calibri"/>
          <w:kern w:val="0"/>
          <w:sz w:val="21"/>
          <w:szCs w:val="21"/>
          <w:highlight w:val="none"/>
        </w:rPr>
      </w:pPr>
      <w:r>
        <w:rPr>
          <w:rFonts w:hint="eastAsia" w:eastAsia="宋体" w:cs="Calibri"/>
          <w:kern w:val="0"/>
          <w:sz w:val="21"/>
          <w:szCs w:val="21"/>
          <w:highlight w:val="none"/>
        </w:rPr>
        <w:t>联系电话（询问）：0572-2551558</w:t>
      </w:r>
    </w:p>
    <w:p>
      <w:pPr>
        <w:widowControl/>
        <w:ind w:firstLine="420" w:firstLineChars="200"/>
        <w:rPr>
          <w:rFonts w:hint="eastAsia" w:eastAsia="宋体" w:cs="Calibri"/>
          <w:kern w:val="0"/>
          <w:sz w:val="21"/>
          <w:szCs w:val="21"/>
          <w:highlight w:val="none"/>
        </w:rPr>
      </w:pPr>
      <w:r>
        <w:rPr>
          <w:rFonts w:hint="eastAsia" w:eastAsia="宋体" w:cs="Calibri"/>
          <w:kern w:val="0"/>
          <w:sz w:val="21"/>
          <w:szCs w:val="21"/>
          <w:highlight w:val="none"/>
        </w:rPr>
        <w:t>质疑联系人：杨先生</w:t>
      </w:r>
    </w:p>
    <w:p>
      <w:pPr>
        <w:widowControl/>
        <w:ind w:firstLine="420" w:firstLineChars="200"/>
        <w:rPr>
          <w:rFonts w:hint="eastAsia" w:eastAsia="宋体" w:cs="Calibri"/>
          <w:kern w:val="0"/>
          <w:sz w:val="21"/>
          <w:szCs w:val="21"/>
          <w:highlight w:val="none"/>
        </w:rPr>
      </w:pPr>
      <w:r>
        <w:rPr>
          <w:rFonts w:hint="eastAsia" w:eastAsia="宋体" w:cs="Calibri"/>
          <w:kern w:val="0"/>
          <w:sz w:val="21"/>
          <w:szCs w:val="21"/>
          <w:highlight w:val="none"/>
        </w:rPr>
        <w:t>质疑联系方式：0572-2551558</w:t>
      </w:r>
    </w:p>
    <w:p>
      <w:pPr>
        <w:widowControl/>
        <w:ind w:firstLine="420" w:firstLineChars="200"/>
        <w:rPr>
          <w:rFonts w:hint="eastAsia" w:eastAsia="宋体" w:cs="Calibri"/>
          <w:kern w:val="0"/>
          <w:szCs w:val="21"/>
          <w:highlight w:val="none"/>
        </w:rPr>
      </w:pPr>
      <w:r>
        <w:rPr>
          <w:rFonts w:hint="eastAsia" w:eastAsia="宋体" w:cs="Calibri"/>
          <w:kern w:val="0"/>
          <w:szCs w:val="21"/>
          <w:highlight w:val="none"/>
        </w:rPr>
        <w:t>2.采购代理机构信息</w:t>
      </w:r>
    </w:p>
    <w:p>
      <w:pPr>
        <w:widowControl/>
        <w:ind w:firstLine="420" w:firstLineChars="200"/>
        <w:rPr>
          <w:rFonts w:cs="Calibri"/>
          <w:kern w:val="0"/>
          <w:szCs w:val="21"/>
          <w:highlight w:val="none"/>
        </w:rPr>
      </w:pPr>
      <w:r>
        <w:rPr>
          <w:rFonts w:cs="Calibri"/>
          <w:kern w:val="0"/>
          <w:szCs w:val="21"/>
          <w:highlight w:val="none"/>
        </w:rPr>
        <w:t>名称：浙江省成套招标代理有限公司</w:t>
      </w:r>
    </w:p>
    <w:p>
      <w:pPr>
        <w:widowControl/>
        <w:ind w:firstLine="420" w:firstLineChars="200"/>
        <w:rPr>
          <w:rFonts w:cs="Calibri"/>
          <w:kern w:val="0"/>
          <w:szCs w:val="21"/>
          <w:highlight w:val="none"/>
        </w:rPr>
      </w:pPr>
      <w:r>
        <w:rPr>
          <w:rFonts w:hint="eastAsia" w:cs="Calibri"/>
          <w:kern w:val="0"/>
          <w:szCs w:val="21"/>
          <w:highlight w:val="none"/>
        </w:rPr>
        <w:t>地址：浙江省湖州市凤凰路137号国际贸易大厦9楼</w:t>
      </w:r>
    </w:p>
    <w:p>
      <w:pPr>
        <w:widowControl/>
        <w:ind w:firstLine="420" w:firstLineChars="200"/>
        <w:rPr>
          <w:rFonts w:cs="Calibri"/>
          <w:kern w:val="0"/>
          <w:szCs w:val="21"/>
          <w:highlight w:val="none"/>
        </w:rPr>
      </w:pPr>
      <w:r>
        <w:rPr>
          <w:rFonts w:hint="eastAsia" w:cs="Calibri"/>
          <w:kern w:val="0"/>
          <w:szCs w:val="21"/>
          <w:highlight w:val="none"/>
        </w:rPr>
        <w:t>项目联系人</w:t>
      </w:r>
      <w:r>
        <w:rPr>
          <w:rFonts w:cs="Calibri"/>
          <w:kern w:val="0"/>
          <w:szCs w:val="21"/>
          <w:highlight w:val="none"/>
        </w:rPr>
        <w:t>（询问）</w:t>
      </w:r>
      <w:r>
        <w:rPr>
          <w:rFonts w:hint="eastAsia" w:cs="Calibri"/>
          <w:kern w:val="0"/>
          <w:szCs w:val="21"/>
          <w:highlight w:val="none"/>
        </w:rPr>
        <w:t>：小俞</w:t>
      </w:r>
    </w:p>
    <w:p>
      <w:pPr>
        <w:widowControl/>
        <w:ind w:firstLine="420" w:firstLineChars="200"/>
        <w:rPr>
          <w:rFonts w:cs="Calibri"/>
          <w:kern w:val="0"/>
          <w:szCs w:val="21"/>
          <w:highlight w:val="none"/>
        </w:rPr>
      </w:pPr>
      <w:r>
        <w:rPr>
          <w:rFonts w:hint="eastAsia" w:cs="Calibri"/>
          <w:kern w:val="0"/>
          <w:szCs w:val="21"/>
          <w:highlight w:val="none"/>
        </w:rPr>
        <w:t>联系电话</w:t>
      </w:r>
      <w:r>
        <w:rPr>
          <w:rFonts w:cs="Calibri"/>
          <w:kern w:val="0"/>
          <w:szCs w:val="21"/>
          <w:highlight w:val="none"/>
        </w:rPr>
        <w:t>（询问）</w:t>
      </w:r>
      <w:r>
        <w:rPr>
          <w:rFonts w:hint="eastAsia" w:cs="Calibri"/>
          <w:kern w:val="0"/>
          <w:szCs w:val="21"/>
          <w:highlight w:val="none"/>
        </w:rPr>
        <w:t>：0572-2275857</w:t>
      </w:r>
    </w:p>
    <w:p>
      <w:pPr>
        <w:widowControl/>
        <w:ind w:firstLine="420" w:firstLineChars="200"/>
        <w:rPr>
          <w:rFonts w:cs="Calibri"/>
          <w:kern w:val="0"/>
          <w:szCs w:val="21"/>
          <w:highlight w:val="none"/>
        </w:rPr>
      </w:pPr>
      <w:r>
        <w:rPr>
          <w:rFonts w:cs="Calibri"/>
          <w:kern w:val="0"/>
          <w:szCs w:val="21"/>
          <w:highlight w:val="none"/>
        </w:rPr>
        <w:t>质疑联系</w:t>
      </w:r>
      <w:r>
        <w:rPr>
          <w:rFonts w:hint="eastAsia" w:cs="Calibri"/>
          <w:kern w:val="0"/>
          <w:szCs w:val="21"/>
          <w:highlight w:val="none"/>
        </w:rPr>
        <w:t>人：俞挺挺</w:t>
      </w:r>
    </w:p>
    <w:p>
      <w:pPr>
        <w:widowControl/>
        <w:ind w:firstLine="420" w:firstLineChars="200"/>
        <w:rPr>
          <w:rFonts w:cs="Calibri"/>
          <w:kern w:val="0"/>
          <w:szCs w:val="21"/>
          <w:highlight w:val="none"/>
        </w:rPr>
      </w:pPr>
      <w:r>
        <w:rPr>
          <w:rFonts w:cs="Calibri"/>
          <w:kern w:val="0"/>
          <w:szCs w:val="21"/>
          <w:highlight w:val="none"/>
        </w:rPr>
        <w:t>联系电话</w:t>
      </w:r>
      <w:r>
        <w:rPr>
          <w:rFonts w:hint="eastAsia" w:cs="Calibri"/>
          <w:kern w:val="0"/>
          <w:szCs w:val="21"/>
          <w:highlight w:val="none"/>
        </w:rPr>
        <w:t>：0572-2275852</w:t>
      </w:r>
    </w:p>
    <w:p>
      <w:pPr>
        <w:widowControl/>
        <w:ind w:firstLine="420" w:firstLineChars="200"/>
        <w:rPr>
          <w:rFonts w:cs="Calibri"/>
          <w:kern w:val="0"/>
          <w:szCs w:val="21"/>
          <w:highlight w:val="none"/>
        </w:rPr>
      </w:pPr>
      <w:r>
        <w:rPr>
          <w:rFonts w:cs="Calibri"/>
          <w:kern w:val="0"/>
          <w:szCs w:val="21"/>
          <w:highlight w:val="none"/>
        </w:rPr>
        <w:t>3.同级政府采购监督管理部门</w:t>
      </w:r>
    </w:p>
    <w:bookmarkEnd w:id="16"/>
    <w:bookmarkEnd w:id="17"/>
    <w:bookmarkEnd w:id="18"/>
    <w:bookmarkEnd w:id="19"/>
    <w:p>
      <w:pPr>
        <w:widowControl/>
        <w:ind w:firstLine="420" w:firstLineChars="200"/>
        <w:rPr>
          <w:rFonts w:cs="Calibri"/>
          <w:kern w:val="0"/>
          <w:szCs w:val="21"/>
          <w:highlight w:val="none"/>
        </w:rPr>
      </w:pPr>
      <w:r>
        <w:rPr>
          <w:rFonts w:hint="eastAsia" w:cs="Calibri"/>
          <w:kern w:val="0"/>
          <w:szCs w:val="21"/>
          <w:highlight w:val="none"/>
        </w:rPr>
        <w:t>名称：湖州市吴兴区财政局</w:t>
      </w:r>
    </w:p>
    <w:p>
      <w:pPr>
        <w:widowControl/>
        <w:ind w:firstLine="420" w:firstLineChars="200"/>
        <w:rPr>
          <w:rFonts w:cs="Calibri"/>
          <w:kern w:val="0"/>
          <w:szCs w:val="21"/>
          <w:highlight w:val="none"/>
        </w:rPr>
      </w:pPr>
      <w:r>
        <w:rPr>
          <w:rFonts w:hint="eastAsia" w:cs="Calibri"/>
          <w:kern w:val="0"/>
          <w:szCs w:val="21"/>
          <w:highlight w:val="none"/>
        </w:rPr>
        <w:t>地　　址：湖州市吴兴大道1号</w:t>
      </w:r>
    </w:p>
    <w:p>
      <w:pPr>
        <w:widowControl/>
        <w:ind w:firstLine="420" w:firstLineChars="200"/>
        <w:rPr>
          <w:rFonts w:cs="Calibri"/>
          <w:kern w:val="0"/>
          <w:szCs w:val="21"/>
          <w:highlight w:val="none"/>
        </w:rPr>
      </w:pPr>
      <w:r>
        <w:rPr>
          <w:rFonts w:hint="eastAsia" w:cs="Calibri"/>
          <w:kern w:val="0"/>
          <w:szCs w:val="21"/>
          <w:highlight w:val="none"/>
        </w:rPr>
        <w:t>联系人：沈先生</w:t>
      </w:r>
    </w:p>
    <w:p>
      <w:pPr>
        <w:widowControl/>
        <w:ind w:firstLine="420" w:firstLineChars="200"/>
        <w:rPr>
          <w:rFonts w:cs="Calibri"/>
          <w:kern w:val="0"/>
          <w:szCs w:val="21"/>
          <w:highlight w:val="none"/>
        </w:rPr>
      </w:pPr>
      <w:r>
        <w:rPr>
          <w:rFonts w:hint="eastAsia" w:cs="Calibri"/>
          <w:kern w:val="0"/>
          <w:szCs w:val="21"/>
          <w:highlight w:val="none"/>
        </w:rPr>
        <w:t>监督投诉电话：0572-2289702</w:t>
      </w:r>
    </w:p>
    <w:p>
      <w:pPr>
        <w:adjustRightInd w:val="0"/>
        <w:ind w:firstLine="420" w:firstLineChars="200"/>
        <w:rPr>
          <w:rFonts w:hint="default" w:ascii="Calibri" w:hAnsi="Calibri" w:eastAsia="宋体" w:cs="Calibri"/>
          <w:i w:val="0"/>
          <w:iCs w:val="0"/>
          <w:caps w:val="0"/>
          <w:spacing w:val="0"/>
          <w:sz w:val="21"/>
          <w:szCs w:val="21"/>
          <w:highlight w:val="none"/>
        </w:rPr>
      </w:pPr>
    </w:p>
    <w:p>
      <w:pPr>
        <w:adjustRightInd w:val="0"/>
        <w:ind w:firstLine="420" w:firstLineChars="200"/>
        <w:rPr>
          <w:rFonts w:hint="default" w:ascii="Calibri" w:hAnsi="Calibri" w:eastAsia="宋体" w:cs="Calibri"/>
          <w:sz w:val="21"/>
          <w:szCs w:val="21"/>
          <w:highlight w:val="none"/>
        </w:rPr>
      </w:pPr>
      <w:r>
        <w:rPr>
          <w:rFonts w:hint="default" w:ascii="Calibri" w:hAnsi="Calibri" w:eastAsia="宋体" w:cs="Calibri"/>
          <w:i w:val="0"/>
          <w:iCs w:val="0"/>
          <w:caps w:val="0"/>
          <w:spacing w:val="0"/>
          <w:sz w:val="21"/>
          <w:szCs w:val="21"/>
          <w:highlight w:val="none"/>
        </w:rPr>
        <w:t>若对项目采购电子交易系统操作有疑问，可登录政采云（https://www.zcygov.cn/），点击右侧咨询小采，获取采小蜜智能服务管家帮助，或拨打政采云服务热线95763获取热线服务帮助。        </w:t>
      </w:r>
    </w:p>
    <w:p>
      <w:pPr>
        <w:adjustRightInd w:val="0"/>
        <w:ind w:firstLine="420" w:firstLineChars="200"/>
        <w:rPr>
          <w:rFonts w:hint="default" w:ascii="Calibri" w:hAnsi="Calibri" w:eastAsia="宋体" w:cs="Calibri"/>
          <w:sz w:val="21"/>
          <w:szCs w:val="21"/>
          <w:highlight w:val="none"/>
        </w:rPr>
      </w:pPr>
      <w:r>
        <w:rPr>
          <w:rFonts w:hint="default" w:ascii="Calibri" w:hAnsi="Calibri" w:eastAsia="宋体" w:cs="Calibri"/>
          <w:i w:val="0"/>
          <w:iCs w:val="0"/>
          <w:caps w:val="0"/>
          <w:spacing w:val="0"/>
          <w:sz w:val="21"/>
          <w:szCs w:val="21"/>
          <w:highlight w:val="none"/>
        </w:rPr>
        <w:t>CA问题联系电话（人工）：汇信CA 400-888-4636；天谷CA 400-087-8198。</w:t>
      </w:r>
    </w:p>
    <w:p>
      <w:pPr>
        <w:widowControl/>
        <w:ind w:firstLine="420" w:firstLineChars="200"/>
        <w:rPr>
          <w:rFonts w:cs="Calibri"/>
          <w:kern w:val="0"/>
          <w:szCs w:val="21"/>
          <w:highlight w:val="none"/>
        </w:rPr>
      </w:pPr>
      <w:r>
        <w:rPr>
          <w:rFonts w:cs="Calibri"/>
          <w:kern w:val="0"/>
          <w:szCs w:val="21"/>
          <w:highlight w:val="none"/>
        </w:rPr>
        <w:br w:type="page"/>
      </w:r>
    </w:p>
    <w:p>
      <w:pPr>
        <w:pStyle w:val="3"/>
        <w:rPr>
          <w:rFonts w:cs="Calibri"/>
          <w:color w:val="auto"/>
          <w:highlight w:val="none"/>
        </w:rPr>
      </w:pPr>
      <w:bookmarkStart w:id="20" w:name="_Toc30953"/>
      <w:bookmarkStart w:id="21" w:name="_Toc8477"/>
      <w:bookmarkStart w:id="22" w:name="_Toc413075737"/>
      <w:r>
        <w:rPr>
          <w:rFonts w:cs="Calibri"/>
          <w:color w:val="auto"/>
          <w:highlight w:val="none"/>
        </w:rPr>
        <w:t>第二章采购项目总体要求</w:t>
      </w:r>
      <w:bookmarkEnd w:id="20"/>
      <w:bookmarkEnd w:id="21"/>
      <w:bookmarkEnd w:id="22"/>
    </w:p>
    <w:p>
      <w:pPr>
        <w:pStyle w:val="5"/>
        <w:ind w:firstLine="422"/>
        <w:rPr>
          <w:rFonts w:cs="Calibri"/>
          <w:highlight w:val="none"/>
        </w:rPr>
      </w:pPr>
      <w:bookmarkStart w:id="23" w:name="_Toc413075738"/>
      <w:bookmarkStart w:id="24" w:name="_Toc335039016"/>
      <w:bookmarkStart w:id="25" w:name="_Toc82338235"/>
      <w:bookmarkStart w:id="26" w:name="_Toc82873318"/>
      <w:bookmarkStart w:id="27" w:name="_Toc82873320"/>
      <w:bookmarkStart w:id="28" w:name="_Toc82338237"/>
      <w:r>
        <w:rPr>
          <w:rFonts w:cs="Calibri"/>
          <w:highlight w:val="none"/>
        </w:rPr>
        <w:t>一、技术标准、规范（不限于以下）</w:t>
      </w:r>
      <w:bookmarkEnd w:id="23"/>
      <w:bookmarkEnd w:id="24"/>
    </w:p>
    <w:p>
      <w:pPr>
        <w:ind w:firstLine="420" w:firstLineChars="200"/>
        <w:rPr>
          <w:rFonts w:cs="Calibri"/>
          <w:highlight w:val="none"/>
        </w:rPr>
      </w:pPr>
      <w:r>
        <w:rPr>
          <w:rFonts w:cs="Calibri"/>
          <w:highlight w:val="none"/>
        </w:rPr>
        <w:t>1、国家规定的标准及规范，按最新的标准及规范执行。</w:t>
      </w:r>
    </w:p>
    <w:p>
      <w:pPr>
        <w:ind w:firstLine="420" w:firstLineChars="200"/>
        <w:rPr>
          <w:rFonts w:cs="Calibri"/>
          <w:highlight w:val="none"/>
        </w:rPr>
      </w:pPr>
      <w:r>
        <w:rPr>
          <w:rFonts w:cs="Calibri"/>
          <w:highlight w:val="none"/>
        </w:rPr>
        <w:t>2、行业标准及规范，按最新的标准及规范执行。</w:t>
      </w:r>
    </w:p>
    <w:p>
      <w:pPr>
        <w:ind w:firstLine="420" w:firstLineChars="200"/>
        <w:rPr>
          <w:rFonts w:cs="Calibri"/>
          <w:highlight w:val="none"/>
        </w:rPr>
      </w:pPr>
      <w:r>
        <w:rPr>
          <w:rFonts w:cs="Calibri"/>
          <w:highlight w:val="none"/>
        </w:rPr>
        <w:t>3、与服务有关的材料设备质量应符合中华人民共和国及产品品牌所在国的有关质量标准，上述标准如有不一致，执行两者中更严格的标准。</w:t>
      </w:r>
    </w:p>
    <w:p>
      <w:pPr>
        <w:ind w:firstLine="420" w:firstLineChars="200"/>
        <w:rPr>
          <w:rFonts w:cs="Calibri"/>
          <w:highlight w:val="none"/>
        </w:rPr>
      </w:pPr>
      <w:r>
        <w:rPr>
          <w:rFonts w:cs="Calibri"/>
          <w:highlight w:val="none"/>
        </w:rPr>
        <w:t>4、其它相关标准及规范，按最新的标准及规范执行。</w:t>
      </w:r>
    </w:p>
    <w:bookmarkEnd w:id="25"/>
    <w:bookmarkEnd w:id="26"/>
    <w:bookmarkEnd w:id="27"/>
    <w:bookmarkEnd w:id="28"/>
    <w:p>
      <w:pPr>
        <w:pStyle w:val="5"/>
        <w:ind w:firstLine="422"/>
        <w:rPr>
          <w:rFonts w:cs="Calibri"/>
          <w:highlight w:val="none"/>
        </w:rPr>
      </w:pPr>
      <w:bookmarkStart w:id="29" w:name="_Toc335039018"/>
      <w:bookmarkStart w:id="30" w:name="_Toc329113953"/>
      <w:bookmarkStart w:id="31" w:name="_Toc328992072"/>
      <w:bookmarkStart w:id="32" w:name="_Toc413075739"/>
      <w:r>
        <w:rPr>
          <w:rFonts w:cs="Calibri"/>
          <w:highlight w:val="none"/>
        </w:rPr>
        <w:t>二、</w:t>
      </w:r>
      <w:bookmarkEnd w:id="29"/>
      <w:bookmarkEnd w:id="30"/>
      <w:bookmarkEnd w:id="31"/>
      <w:bookmarkEnd w:id="32"/>
      <w:r>
        <w:rPr>
          <w:rFonts w:cs="Calibri"/>
          <w:highlight w:val="none"/>
        </w:rPr>
        <w:t>采购需求</w:t>
      </w:r>
    </w:p>
    <w:p>
      <w:pPr>
        <w:ind w:firstLine="420" w:firstLineChars="200"/>
        <w:rPr>
          <w:rFonts w:cs="Calibri"/>
          <w:highlight w:val="none"/>
        </w:rPr>
      </w:pPr>
      <w:r>
        <w:rPr>
          <w:rFonts w:cs="Calibri"/>
          <w:highlight w:val="none"/>
        </w:rPr>
        <w:t>具体要求详见采购文件的“第三章采购需求”。</w:t>
      </w:r>
    </w:p>
    <w:p>
      <w:pPr>
        <w:pStyle w:val="5"/>
        <w:ind w:firstLine="422"/>
        <w:rPr>
          <w:rFonts w:cs="Calibri"/>
          <w:highlight w:val="none"/>
        </w:rPr>
      </w:pPr>
      <w:bookmarkStart w:id="33" w:name="_Toc335039019"/>
      <w:bookmarkStart w:id="34" w:name="_Toc328992073"/>
      <w:bookmarkStart w:id="35" w:name="_Toc329113954"/>
      <w:bookmarkStart w:id="36" w:name="_Toc413075740"/>
      <w:r>
        <w:rPr>
          <w:rFonts w:cs="Calibri"/>
          <w:highlight w:val="none"/>
        </w:rPr>
        <w:t>三、工作范围</w:t>
      </w:r>
      <w:bookmarkEnd w:id="33"/>
      <w:bookmarkEnd w:id="34"/>
      <w:bookmarkEnd w:id="35"/>
      <w:bookmarkEnd w:id="36"/>
    </w:p>
    <w:p>
      <w:pPr>
        <w:ind w:firstLine="420" w:firstLineChars="200"/>
        <w:rPr>
          <w:rFonts w:cs="Calibri"/>
          <w:highlight w:val="none"/>
        </w:rPr>
      </w:pPr>
      <w:r>
        <w:rPr>
          <w:rFonts w:cs="Calibri"/>
          <w:highlight w:val="none"/>
        </w:rPr>
        <w:t>各供应商须按国家有关标准及规范完成采购文件规定的所有工作内容：</w:t>
      </w:r>
    </w:p>
    <w:p>
      <w:pPr>
        <w:ind w:firstLine="420" w:firstLineChars="200"/>
        <w:rPr>
          <w:rFonts w:cs="Calibri"/>
          <w:highlight w:val="none"/>
        </w:rPr>
      </w:pPr>
      <w:r>
        <w:rPr>
          <w:rFonts w:cs="Calibri"/>
          <w:highlight w:val="none"/>
        </w:rPr>
        <w:t>1、履行所有规定服务。</w:t>
      </w:r>
    </w:p>
    <w:p>
      <w:pPr>
        <w:ind w:firstLine="420" w:firstLineChars="200"/>
        <w:rPr>
          <w:rFonts w:cs="Calibri"/>
          <w:highlight w:val="none"/>
        </w:rPr>
      </w:pPr>
      <w:r>
        <w:rPr>
          <w:rFonts w:cs="Calibri"/>
          <w:highlight w:val="none"/>
        </w:rPr>
        <w:t>2、服务须达到采购文件规定的质量标准及使用要求。</w:t>
      </w:r>
    </w:p>
    <w:p>
      <w:pPr>
        <w:pStyle w:val="3"/>
        <w:rPr>
          <w:rFonts w:cs="Calibri"/>
          <w:color w:val="auto"/>
          <w:szCs w:val="30"/>
          <w:highlight w:val="none"/>
        </w:rPr>
      </w:pPr>
      <w:r>
        <w:rPr>
          <w:rFonts w:cs="Calibri"/>
          <w:bCs/>
          <w:color w:val="auto"/>
          <w:highlight w:val="none"/>
        </w:rPr>
        <w:br w:type="page"/>
      </w:r>
      <w:bookmarkStart w:id="37" w:name="_Toc82338234"/>
      <w:bookmarkStart w:id="38" w:name="_Toc350453730"/>
      <w:bookmarkStart w:id="39" w:name="_Toc211745566"/>
      <w:bookmarkStart w:id="40" w:name="_Toc82873317"/>
      <w:bookmarkStart w:id="41" w:name="_Toc1561"/>
      <w:bookmarkStart w:id="42" w:name="_Toc15478"/>
      <w:r>
        <w:rPr>
          <w:rFonts w:cs="Calibri"/>
          <w:color w:val="auto"/>
          <w:szCs w:val="30"/>
          <w:highlight w:val="none"/>
        </w:rPr>
        <w:t>第三章</w:t>
      </w:r>
      <w:bookmarkEnd w:id="37"/>
      <w:bookmarkEnd w:id="38"/>
      <w:bookmarkEnd w:id="39"/>
      <w:bookmarkEnd w:id="40"/>
      <w:bookmarkStart w:id="43" w:name="_Toc259644123"/>
      <w:bookmarkStart w:id="44" w:name="_Toc82873330"/>
      <w:bookmarkStart w:id="45" w:name="_Toc330306493"/>
      <w:bookmarkStart w:id="46" w:name="_Toc82338247"/>
      <w:r>
        <w:rPr>
          <w:rFonts w:cs="Calibri"/>
          <w:color w:val="auto"/>
          <w:szCs w:val="30"/>
          <w:highlight w:val="none"/>
        </w:rPr>
        <w:t>采购需求</w:t>
      </w:r>
      <w:bookmarkEnd w:id="41"/>
      <w:bookmarkEnd w:id="42"/>
    </w:p>
    <w:p>
      <w:pPr>
        <w:pStyle w:val="5"/>
        <w:ind w:firstLine="422"/>
        <w:jc w:val="center"/>
        <w:rPr>
          <w:rFonts w:cs="Calibri"/>
          <w:highlight w:val="none"/>
        </w:rPr>
      </w:pPr>
    </w:p>
    <w:p>
      <w:pPr>
        <w:pStyle w:val="5"/>
        <w:ind w:firstLine="422"/>
        <w:jc w:val="center"/>
        <w:rPr>
          <w:rFonts w:cs="Calibri"/>
          <w:highlight w:val="none"/>
        </w:rPr>
      </w:pPr>
      <w:r>
        <w:rPr>
          <w:rFonts w:cs="Calibri"/>
          <w:highlight w:val="none"/>
        </w:rPr>
        <w:t>第一部分</w:t>
      </w:r>
      <w:r>
        <w:rPr>
          <w:rFonts w:hint="eastAsia" w:cs="Calibri"/>
          <w:highlight w:val="none"/>
        </w:rPr>
        <w:t>标的</w:t>
      </w:r>
    </w:p>
    <w:p>
      <w:pPr>
        <w:pStyle w:val="5"/>
        <w:ind w:firstLine="422"/>
        <w:rPr>
          <w:rFonts w:cs="Calibri"/>
          <w:highlight w:val="none"/>
        </w:rPr>
      </w:pPr>
      <w:r>
        <w:rPr>
          <w:rFonts w:hint="eastAsia" w:cs="Calibri"/>
          <w:highlight w:val="none"/>
        </w:rPr>
        <w:t>一、</w:t>
      </w:r>
      <w:r>
        <w:rPr>
          <w:rFonts w:cs="Calibri"/>
          <w:highlight w:val="none"/>
        </w:rPr>
        <w:t>采购内容一览表</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890"/>
        <w:gridCol w:w="690"/>
        <w:gridCol w:w="690"/>
        <w:gridCol w:w="1185"/>
        <w:gridCol w:w="1200"/>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kern w:val="0"/>
                <w:szCs w:val="21"/>
                <w:highlight w:val="none"/>
              </w:rPr>
            </w:pPr>
            <w:r>
              <w:rPr>
                <w:rFonts w:cs="Calibri"/>
                <w:kern w:val="0"/>
                <w:szCs w:val="21"/>
                <w:highlight w:val="none"/>
              </w:rPr>
              <w:t>序号</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kern w:val="0"/>
                <w:szCs w:val="21"/>
                <w:highlight w:val="none"/>
              </w:rPr>
            </w:pPr>
            <w:r>
              <w:rPr>
                <w:rFonts w:cs="Calibri"/>
                <w:kern w:val="0"/>
                <w:szCs w:val="21"/>
                <w:highlight w:val="none"/>
              </w:rPr>
              <w:t>标项名称</w:t>
            </w:r>
          </w:p>
        </w:tc>
        <w:tc>
          <w:tcPr>
            <w:tcW w:w="690"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kern w:val="0"/>
                <w:szCs w:val="21"/>
                <w:highlight w:val="none"/>
              </w:rPr>
            </w:pPr>
            <w:r>
              <w:rPr>
                <w:rFonts w:cs="Calibri"/>
                <w:kern w:val="0"/>
                <w:szCs w:val="21"/>
                <w:highlight w:val="none"/>
              </w:rPr>
              <w:t>数量</w:t>
            </w:r>
          </w:p>
        </w:tc>
        <w:tc>
          <w:tcPr>
            <w:tcW w:w="690"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kern w:val="0"/>
                <w:szCs w:val="21"/>
                <w:highlight w:val="none"/>
              </w:rPr>
            </w:pPr>
            <w:r>
              <w:rPr>
                <w:rFonts w:cs="Calibri"/>
                <w:kern w:val="0"/>
                <w:szCs w:val="21"/>
                <w:highlight w:val="none"/>
              </w:rPr>
              <w:t>单位</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kern w:val="0"/>
                <w:szCs w:val="21"/>
                <w:highlight w:val="none"/>
              </w:rPr>
            </w:pPr>
            <w:r>
              <w:rPr>
                <w:rFonts w:cs="Calibri"/>
                <w:kern w:val="0"/>
                <w:szCs w:val="21"/>
                <w:highlight w:val="none"/>
              </w:rPr>
              <w:t>预算金额（元）</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kern w:val="0"/>
                <w:szCs w:val="21"/>
                <w:highlight w:val="none"/>
              </w:rPr>
            </w:pPr>
            <w:r>
              <w:rPr>
                <w:rFonts w:cs="Calibri"/>
                <w:kern w:val="0"/>
                <w:szCs w:val="21"/>
                <w:highlight w:val="none"/>
              </w:rPr>
              <w:t>技术要求、用途</w:t>
            </w:r>
          </w:p>
        </w:tc>
        <w:tc>
          <w:tcPr>
            <w:tcW w:w="3081"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kern w:val="0"/>
                <w:szCs w:val="21"/>
                <w:highlight w:val="none"/>
              </w:rPr>
            </w:pPr>
            <w:r>
              <w:rPr>
                <w:rFonts w:cs="Calibri"/>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kern w:val="0"/>
                <w:szCs w:val="21"/>
                <w:highlight w:val="none"/>
              </w:rPr>
            </w:pPr>
            <w:r>
              <w:rPr>
                <w:rFonts w:cs="Calibri"/>
                <w:kern w:val="0"/>
                <w:szCs w:val="21"/>
                <w:highlight w:val="none"/>
              </w:rPr>
              <w:t>1</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宋体" w:cs="Calibri"/>
                <w:kern w:val="0"/>
                <w:szCs w:val="21"/>
                <w:highlight w:val="none"/>
                <w:lang w:eastAsia="zh-CN"/>
              </w:rPr>
            </w:pPr>
            <w:r>
              <w:rPr>
                <w:rFonts w:hint="eastAsia" w:cs="Calibri"/>
                <w:kern w:val="0"/>
                <w:szCs w:val="21"/>
                <w:highlight w:val="none"/>
                <w:lang w:eastAsia="zh-CN"/>
              </w:rPr>
              <w:t>湖州市吴兴区猪肉（冻肉）储备项目</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kern w:val="0"/>
                <w:szCs w:val="21"/>
                <w:highlight w:val="none"/>
              </w:rPr>
            </w:pPr>
            <w:r>
              <w:rPr>
                <w:rFonts w:cs="Calibri"/>
                <w:szCs w:val="21"/>
                <w:highlight w:val="none"/>
              </w:rPr>
              <w:t>1</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kern w:val="0"/>
                <w:szCs w:val="21"/>
                <w:highlight w:val="none"/>
              </w:rPr>
            </w:pPr>
            <w:r>
              <w:rPr>
                <w:rFonts w:cs="Calibri"/>
                <w:kern w:val="0"/>
                <w:szCs w:val="21"/>
                <w:highlight w:val="none"/>
              </w:rPr>
              <w:t>项</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jc w:val="center"/>
              <w:rPr>
                <w:rFonts w:cs="Calibri"/>
                <w:kern w:val="0"/>
                <w:szCs w:val="21"/>
                <w:highlight w:val="none"/>
              </w:rPr>
            </w:pPr>
            <w:r>
              <w:rPr>
                <w:rFonts w:hint="eastAsia" w:cs="Calibri"/>
                <w:kern w:val="0"/>
                <w:szCs w:val="21"/>
                <w:highlight w:val="none"/>
                <w:lang w:eastAsia="zh-CN"/>
              </w:rPr>
              <w:t>600000</w:t>
            </w:r>
            <w:r>
              <w:rPr>
                <w:rFonts w:hint="eastAsia" w:cs="Calibri"/>
                <w:kern w:val="0"/>
                <w:szCs w:val="21"/>
                <w:highlight w:val="none"/>
              </w:rPr>
              <w:t xml:space="preserve">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left"/>
              <w:rPr>
                <w:rFonts w:cs="Calibri"/>
                <w:szCs w:val="21"/>
                <w:highlight w:val="none"/>
              </w:rPr>
            </w:pPr>
            <w:r>
              <w:rPr>
                <w:rFonts w:cs="Calibri"/>
                <w:kern w:val="0"/>
                <w:szCs w:val="21"/>
                <w:highlight w:val="none"/>
              </w:rPr>
              <w:t>详见“</w:t>
            </w:r>
            <w:r>
              <w:rPr>
                <w:rFonts w:cs="Calibri"/>
                <w:highlight w:val="none"/>
              </w:rPr>
              <w:t>第二部分</w:t>
            </w:r>
            <w:r>
              <w:rPr>
                <w:rFonts w:hint="eastAsia" w:cs="Calibri"/>
                <w:highlight w:val="none"/>
              </w:rPr>
              <w:t>技术要求</w:t>
            </w:r>
            <w:r>
              <w:rPr>
                <w:rFonts w:cs="Calibri"/>
                <w:kern w:val="0"/>
                <w:szCs w:val="21"/>
                <w:highlight w:val="none"/>
              </w:rPr>
              <w:t>”。</w:t>
            </w:r>
          </w:p>
        </w:tc>
        <w:tc>
          <w:tcPr>
            <w:tcW w:w="3081" w:type="dxa"/>
            <w:vAlign w:val="center"/>
          </w:tcPr>
          <w:p>
            <w:pPr>
              <w:widowControl/>
              <w:jc w:val="left"/>
              <w:rPr>
                <w:rFonts w:cs="Calibri"/>
                <w:kern w:val="0"/>
                <w:szCs w:val="21"/>
                <w:highlight w:val="none"/>
              </w:rPr>
            </w:pPr>
            <w:r>
              <w:rPr>
                <w:rFonts w:cs="Calibri"/>
                <w:kern w:val="0"/>
                <w:szCs w:val="21"/>
                <w:highlight w:val="none"/>
              </w:rPr>
              <w:t>最高限价：</w:t>
            </w:r>
            <w:r>
              <w:rPr>
                <w:rFonts w:hint="eastAsia" w:cs="Calibri"/>
                <w:kern w:val="0"/>
                <w:szCs w:val="21"/>
                <w:highlight w:val="none"/>
                <w:lang w:eastAsia="zh-CN"/>
              </w:rPr>
              <w:t>600000</w:t>
            </w:r>
            <w:r>
              <w:rPr>
                <w:rFonts w:cs="Calibri"/>
                <w:kern w:val="0"/>
                <w:szCs w:val="21"/>
                <w:highlight w:val="none"/>
              </w:rPr>
              <w:t>元；</w:t>
            </w:r>
          </w:p>
          <w:p>
            <w:pPr>
              <w:widowControl/>
              <w:jc w:val="left"/>
              <w:rPr>
                <w:rFonts w:cs="Calibri"/>
                <w:kern w:val="0"/>
                <w:szCs w:val="21"/>
                <w:highlight w:val="none"/>
              </w:rPr>
            </w:pPr>
            <w:r>
              <w:rPr>
                <w:rFonts w:cs="Calibri"/>
                <w:kern w:val="0"/>
                <w:szCs w:val="21"/>
                <w:highlight w:val="none"/>
              </w:rPr>
              <w:t>类型：</w:t>
            </w:r>
            <w:r>
              <w:rPr>
                <w:rFonts w:hint="eastAsia" w:cs="Calibri"/>
                <w:kern w:val="0"/>
                <w:szCs w:val="21"/>
                <w:highlight w:val="none"/>
              </w:rPr>
              <w:t>政府购买服务项目</w:t>
            </w:r>
            <w:r>
              <w:rPr>
                <w:rFonts w:cs="Calibri"/>
                <w:kern w:val="0"/>
                <w:szCs w:val="21"/>
                <w:highlight w:val="none"/>
              </w:rPr>
              <w:t>。</w:t>
            </w:r>
          </w:p>
        </w:tc>
      </w:tr>
    </w:tbl>
    <w:p>
      <w:pPr>
        <w:pStyle w:val="5"/>
        <w:ind w:firstLine="422"/>
        <w:rPr>
          <w:rFonts w:cs="Calibri"/>
          <w:highlight w:val="none"/>
        </w:rPr>
      </w:pPr>
      <w:r>
        <w:rPr>
          <w:rFonts w:hint="eastAsia" w:cs="Calibri"/>
          <w:highlight w:val="none"/>
        </w:rPr>
        <w:t>二、采购清单</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779"/>
        <w:gridCol w:w="900"/>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kern w:val="0"/>
                <w:szCs w:val="21"/>
                <w:highlight w:val="none"/>
              </w:rPr>
            </w:pPr>
            <w:r>
              <w:rPr>
                <w:rFonts w:cs="Calibri"/>
                <w:kern w:val="0"/>
                <w:szCs w:val="21"/>
                <w:highlight w:val="none"/>
              </w:rPr>
              <w:t>序号</w:t>
            </w:r>
          </w:p>
        </w:tc>
        <w:tc>
          <w:tcPr>
            <w:tcW w:w="677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kern w:val="0"/>
                <w:szCs w:val="21"/>
                <w:highlight w:val="none"/>
              </w:rPr>
            </w:pPr>
            <w:r>
              <w:rPr>
                <w:rFonts w:hint="eastAsia" w:cs="Calibri"/>
                <w:kern w:val="0"/>
                <w:szCs w:val="21"/>
                <w:highlight w:val="none"/>
              </w:rPr>
              <w:t>内容</w:t>
            </w:r>
            <w:r>
              <w:rPr>
                <w:rFonts w:cs="Calibri"/>
                <w:kern w:val="0"/>
                <w:szCs w:val="21"/>
                <w:highlight w:val="none"/>
              </w:rPr>
              <w:t>名称</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kern w:val="0"/>
                <w:szCs w:val="21"/>
                <w:highlight w:val="none"/>
              </w:rPr>
            </w:pPr>
            <w:r>
              <w:rPr>
                <w:rFonts w:cs="Calibri"/>
                <w:kern w:val="0"/>
                <w:szCs w:val="21"/>
                <w:highlight w:val="none"/>
              </w:rPr>
              <w:t>数量</w:t>
            </w:r>
          </w:p>
        </w:tc>
        <w:tc>
          <w:tcPr>
            <w:tcW w:w="1048"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kern w:val="0"/>
                <w:szCs w:val="21"/>
                <w:highlight w:val="none"/>
              </w:rPr>
            </w:pPr>
            <w:r>
              <w:rPr>
                <w:rFonts w:cs="Calibri"/>
                <w:kern w:val="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adjustRightInd w:val="0"/>
              <w:ind w:left="425" w:hanging="425"/>
              <w:jc w:val="center"/>
              <w:rPr>
                <w:rFonts w:cs="Calibri"/>
                <w:kern w:val="0"/>
                <w:szCs w:val="21"/>
                <w:highlight w:val="none"/>
              </w:rPr>
            </w:pPr>
          </w:p>
        </w:tc>
        <w:tc>
          <w:tcPr>
            <w:tcW w:w="6779" w:type="dxa"/>
            <w:tcBorders>
              <w:top w:val="single" w:color="auto" w:sz="4" w:space="0"/>
              <w:left w:val="single" w:color="auto" w:sz="4" w:space="0"/>
              <w:bottom w:val="single" w:color="auto" w:sz="4" w:space="0"/>
              <w:right w:val="single" w:color="auto" w:sz="4" w:space="0"/>
            </w:tcBorders>
            <w:vAlign w:val="center"/>
          </w:tcPr>
          <w:p>
            <w:pPr>
              <w:widowControl/>
              <w:adjustRightInd w:val="0"/>
              <w:jc w:val="left"/>
              <w:rPr>
                <w:rFonts w:hint="eastAsia" w:eastAsia="宋体" w:cs="Calibri"/>
                <w:kern w:val="0"/>
                <w:szCs w:val="21"/>
                <w:highlight w:val="none"/>
                <w:lang w:eastAsia="zh-CN"/>
              </w:rPr>
            </w:pPr>
            <w:r>
              <w:rPr>
                <w:rFonts w:hint="eastAsia" w:cs="Calibri"/>
                <w:kern w:val="0"/>
                <w:szCs w:val="21"/>
                <w:highlight w:val="none"/>
                <w:lang w:eastAsia="zh-CN"/>
              </w:rPr>
              <w:t>湖州市吴兴区猪肉（冻肉）储备项目</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kern w:val="0"/>
                <w:szCs w:val="21"/>
                <w:highlight w:val="none"/>
              </w:rPr>
            </w:pPr>
            <w:r>
              <w:rPr>
                <w:rFonts w:hint="eastAsia" w:cs="Calibri"/>
                <w:kern w:val="0"/>
                <w:szCs w:val="21"/>
                <w:highlight w:val="none"/>
              </w:rPr>
              <w:t>1</w:t>
            </w:r>
          </w:p>
        </w:tc>
        <w:tc>
          <w:tcPr>
            <w:tcW w:w="1048"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Calibri"/>
                <w:kern w:val="0"/>
                <w:szCs w:val="21"/>
                <w:highlight w:val="none"/>
              </w:rPr>
            </w:pPr>
            <w:r>
              <w:rPr>
                <w:rFonts w:hint="eastAsia" w:cs="Calibri"/>
                <w:kern w:val="0"/>
                <w:szCs w:val="21"/>
                <w:highlight w:val="none"/>
              </w:rPr>
              <w:t>项</w:t>
            </w:r>
          </w:p>
        </w:tc>
      </w:tr>
    </w:tbl>
    <w:p>
      <w:pPr>
        <w:pStyle w:val="5"/>
        <w:ind w:firstLine="422"/>
        <w:jc w:val="center"/>
        <w:rPr>
          <w:rFonts w:cs="Calibri"/>
          <w:highlight w:val="none"/>
        </w:rPr>
      </w:pPr>
      <w:r>
        <w:rPr>
          <w:rFonts w:cs="Calibri"/>
          <w:highlight w:val="none"/>
        </w:rPr>
        <w:t>第二部分</w:t>
      </w:r>
      <w:r>
        <w:rPr>
          <w:rFonts w:hint="eastAsia" w:cs="Calibri"/>
          <w:highlight w:val="none"/>
        </w:rPr>
        <w:t>采购要求</w:t>
      </w:r>
    </w:p>
    <w:p>
      <w:pPr>
        <w:pStyle w:val="5"/>
        <w:ind w:firstLine="422"/>
        <w:rPr>
          <w:rFonts w:hint="eastAsia" w:eastAsia="宋体"/>
          <w:highlight w:val="none"/>
          <w:lang w:eastAsia="zh-CN"/>
        </w:rPr>
      </w:pPr>
      <w:r>
        <w:rPr>
          <w:rFonts w:hint="eastAsia"/>
          <w:highlight w:val="none"/>
        </w:rPr>
        <w:t>一、项目</w:t>
      </w:r>
      <w:r>
        <w:rPr>
          <w:rFonts w:hint="eastAsia"/>
          <w:highlight w:val="none"/>
          <w:lang w:eastAsia="zh-CN"/>
        </w:rPr>
        <w:t>概况</w:t>
      </w:r>
    </w:p>
    <w:p>
      <w:pPr>
        <w:pStyle w:val="5"/>
        <w:ind w:firstLine="420"/>
        <w:rPr>
          <w:rFonts w:hint="eastAsia" w:ascii="Calibri" w:hAnsi="Calibri" w:eastAsia="宋体" w:cs="Times New Roman"/>
          <w:b w:val="0"/>
          <w:bCs w:val="0"/>
          <w:sz w:val="21"/>
          <w:szCs w:val="24"/>
          <w:highlight w:val="none"/>
        </w:rPr>
      </w:pPr>
      <w:r>
        <w:rPr>
          <w:rFonts w:hint="eastAsia" w:ascii="Calibri" w:hAnsi="Calibri" w:eastAsia="宋体" w:cs="Times New Roman"/>
          <w:b w:val="0"/>
          <w:bCs w:val="0"/>
          <w:sz w:val="21"/>
          <w:szCs w:val="24"/>
          <w:highlight w:val="none"/>
        </w:rPr>
        <w:t>为加强湖州市吴兴区猪肉储备管理，确保吴兴区猪肉市场有效供应，提高应急供应能力，湖州市吴兴区商务局组织开展吴兴区冻猪肉委托储备的工作。服务费用</w:t>
      </w:r>
      <w:r>
        <w:rPr>
          <w:rFonts w:hint="eastAsia" w:ascii="Calibri" w:hAnsi="Calibri" w:eastAsia="宋体" w:cs="Times New Roman"/>
          <w:b w:val="0"/>
          <w:bCs w:val="0"/>
          <w:sz w:val="21"/>
          <w:szCs w:val="24"/>
          <w:highlight w:val="none"/>
          <w:lang w:val="en-US" w:eastAsia="zh-CN"/>
        </w:rPr>
        <w:t>70.5</w:t>
      </w:r>
      <w:r>
        <w:rPr>
          <w:rFonts w:hint="eastAsia" w:ascii="Calibri" w:hAnsi="Calibri" w:eastAsia="宋体" w:cs="Times New Roman"/>
          <w:b w:val="0"/>
          <w:bCs w:val="0"/>
          <w:sz w:val="21"/>
          <w:szCs w:val="24"/>
          <w:highlight w:val="none"/>
        </w:rPr>
        <w:t>万</w:t>
      </w:r>
      <w:r>
        <w:rPr>
          <w:rFonts w:hint="eastAsia" w:ascii="Calibri" w:hAnsi="Calibri" w:eastAsia="宋体" w:cs="Times New Roman"/>
          <w:b w:val="0"/>
          <w:bCs w:val="0"/>
          <w:sz w:val="21"/>
          <w:szCs w:val="24"/>
          <w:highlight w:val="none"/>
          <w:lang w:eastAsia="zh-CN"/>
        </w:rPr>
        <w:t>元</w:t>
      </w:r>
      <w:r>
        <w:rPr>
          <w:rFonts w:hint="eastAsia" w:ascii="Calibri" w:hAnsi="Calibri" w:eastAsia="宋体" w:cs="Times New Roman"/>
          <w:b w:val="0"/>
          <w:bCs w:val="0"/>
          <w:sz w:val="21"/>
          <w:szCs w:val="24"/>
          <w:highlight w:val="none"/>
        </w:rPr>
        <w:t>/年，</w:t>
      </w:r>
      <w:r>
        <w:rPr>
          <w:rFonts w:hint="eastAsia" w:ascii="Calibri" w:hAnsi="Calibri" w:eastAsia="宋体" w:cs="Times New Roman"/>
          <w:b w:val="0"/>
          <w:bCs w:val="0"/>
          <w:sz w:val="21"/>
          <w:szCs w:val="24"/>
          <w:highlight w:val="none"/>
          <w:lang w:val="en-US" w:eastAsia="zh-CN"/>
        </w:rPr>
        <w:t>年储备数量约235吨。</w:t>
      </w:r>
      <w:r>
        <w:rPr>
          <w:rFonts w:hint="eastAsia" w:ascii="Calibri" w:hAnsi="Calibri" w:eastAsia="宋体" w:cs="Times New Roman"/>
          <w:b w:val="0"/>
          <w:bCs w:val="0"/>
          <w:sz w:val="21"/>
          <w:szCs w:val="24"/>
          <w:highlight w:val="none"/>
        </w:rPr>
        <w:t>服务期</w:t>
      </w:r>
      <w:r>
        <w:rPr>
          <w:rFonts w:hint="eastAsia" w:ascii="Calibri" w:hAnsi="Calibri" w:eastAsia="宋体" w:cs="Times New Roman"/>
          <w:b w:val="0"/>
          <w:bCs w:val="0"/>
          <w:sz w:val="21"/>
          <w:szCs w:val="24"/>
          <w:highlight w:val="none"/>
          <w:lang w:val="en-US" w:eastAsia="zh-CN"/>
        </w:rPr>
        <w:t>1</w:t>
      </w:r>
      <w:r>
        <w:rPr>
          <w:rFonts w:hint="eastAsia" w:ascii="Calibri" w:hAnsi="Calibri" w:eastAsia="宋体" w:cs="Times New Roman"/>
          <w:b w:val="0"/>
          <w:bCs w:val="0"/>
          <w:sz w:val="21"/>
          <w:szCs w:val="24"/>
          <w:highlight w:val="none"/>
        </w:rPr>
        <w:t xml:space="preserve">年。 </w:t>
      </w:r>
    </w:p>
    <w:p>
      <w:pPr>
        <w:pStyle w:val="5"/>
        <w:ind w:firstLine="422"/>
        <w:rPr>
          <w:rFonts w:hint="eastAsia" w:ascii="Calibri" w:hAnsi="Calibri" w:eastAsia="宋体" w:cs="Arial"/>
          <w:b/>
          <w:sz w:val="21"/>
          <w:highlight w:val="none"/>
        </w:rPr>
      </w:pPr>
      <w:r>
        <w:rPr>
          <w:rFonts w:hint="eastAsia" w:ascii="Calibri" w:hAnsi="Calibri" w:eastAsia="宋体" w:cs="Arial"/>
          <w:b/>
          <w:sz w:val="21"/>
          <w:highlight w:val="none"/>
        </w:rPr>
        <w:t>二、服务内容：</w:t>
      </w:r>
    </w:p>
    <w:p>
      <w:pPr>
        <w:pStyle w:val="5"/>
        <w:ind w:firstLine="420"/>
        <w:rPr>
          <w:rFonts w:hint="eastAsia" w:ascii="Calibri" w:hAnsi="Calibri" w:eastAsia="宋体" w:cs="Times New Roman"/>
          <w:b w:val="0"/>
          <w:bCs w:val="0"/>
          <w:sz w:val="21"/>
          <w:szCs w:val="24"/>
          <w:highlight w:val="none"/>
          <w:lang w:val="en-US" w:eastAsia="zh-CN"/>
        </w:rPr>
      </w:pPr>
      <w:r>
        <w:rPr>
          <w:rFonts w:hint="eastAsia" w:ascii="Calibri" w:hAnsi="Calibri" w:eastAsia="宋体" w:cs="Times New Roman"/>
          <w:b w:val="0"/>
          <w:bCs w:val="0"/>
          <w:sz w:val="21"/>
          <w:szCs w:val="24"/>
          <w:highlight w:val="none"/>
          <w:lang w:val="en-US" w:eastAsia="zh-CN"/>
        </w:rPr>
        <w:t>1、冷库要求</w:t>
      </w:r>
    </w:p>
    <w:p>
      <w:pPr>
        <w:pStyle w:val="5"/>
        <w:ind w:firstLine="420"/>
        <w:rPr>
          <w:rFonts w:hint="eastAsia" w:ascii="Calibri" w:hAnsi="Calibri" w:eastAsia="宋体" w:cs="Times New Roman"/>
          <w:b w:val="0"/>
          <w:bCs w:val="0"/>
          <w:sz w:val="21"/>
          <w:szCs w:val="24"/>
          <w:highlight w:val="none"/>
          <w:lang w:val="en-US" w:eastAsia="zh-CN"/>
        </w:rPr>
      </w:pPr>
      <w:r>
        <w:rPr>
          <w:rFonts w:hint="eastAsia" w:ascii="Calibri" w:hAnsi="Calibri" w:eastAsia="宋体" w:cs="Times New Roman"/>
          <w:b w:val="0"/>
          <w:bCs w:val="0"/>
          <w:sz w:val="21"/>
          <w:szCs w:val="24"/>
          <w:highlight w:val="none"/>
          <w:lang w:val="en-US" w:eastAsia="zh-CN"/>
        </w:rPr>
        <w:t>供应商储备冻猪肉的库房应符合《国家储备冻猪肉储存冷库资质条件》(SB/T 10408-2007)要求（不包括储备吨位要求及标准中对储备冷冻牛、羊肉的要求）。投标时提供相关证明材料；如冷库为租赁的，除冷库证明材料外额外提供相关租赁协议。</w:t>
      </w:r>
    </w:p>
    <w:p>
      <w:pPr>
        <w:pStyle w:val="5"/>
        <w:ind w:firstLine="420"/>
        <w:rPr>
          <w:rFonts w:hint="eastAsia" w:ascii="Calibri" w:hAnsi="Calibri" w:eastAsia="宋体" w:cs="Times New Roman"/>
          <w:b w:val="0"/>
          <w:bCs w:val="0"/>
          <w:sz w:val="21"/>
          <w:szCs w:val="24"/>
          <w:highlight w:val="none"/>
          <w:lang w:val="en-US" w:eastAsia="zh-CN"/>
        </w:rPr>
      </w:pPr>
      <w:r>
        <w:rPr>
          <w:rFonts w:hint="eastAsia" w:ascii="Calibri" w:hAnsi="Calibri" w:eastAsia="宋体" w:cs="Times New Roman"/>
          <w:b w:val="0"/>
          <w:bCs w:val="0"/>
          <w:sz w:val="21"/>
          <w:szCs w:val="24"/>
          <w:highlight w:val="none"/>
          <w:lang w:val="en-US" w:eastAsia="zh-CN"/>
        </w:rPr>
        <w:t>2、承储冻猪肉来源要求</w:t>
      </w:r>
    </w:p>
    <w:p>
      <w:pPr>
        <w:pStyle w:val="5"/>
        <w:ind w:firstLine="420"/>
        <w:rPr>
          <w:rFonts w:hint="eastAsia" w:ascii="Calibri" w:hAnsi="Calibri" w:eastAsia="宋体" w:cs="Times New Roman"/>
          <w:b w:val="0"/>
          <w:bCs w:val="0"/>
          <w:sz w:val="21"/>
          <w:szCs w:val="24"/>
          <w:highlight w:val="none"/>
          <w:lang w:val="en-US" w:eastAsia="zh-CN"/>
        </w:rPr>
      </w:pPr>
      <w:r>
        <w:rPr>
          <w:rFonts w:hint="eastAsia" w:ascii="Calibri" w:hAnsi="Calibri" w:eastAsia="宋体" w:cs="Times New Roman"/>
          <w:b w:val="0"/>
          <w:bCs w:val="0"/>
          <w:sz w:val="21"/>
          <w:szCs w:val="24"/>
          <w:highlight w:val="none"/>
          <w:lang w:val="en-US" w:eastAsia="zh-CN"/>
        </w:rPr>
        <w:t>承储冻猪肉应从具备下列条件的生猪定点屠宰加工企业采购入库:</w:t>
      </w:r>
    </w:p>
    <w:p>
      <w:pPr>
        <w:pStyle w:val="5"/>
        <w:ind w:firstLine="420"/>
        <w:rPr>
          <w:rFonts w:hint="eastAsia" w:ascii="Calibri" w:hAnsi="Calibri" w:eastAsia="宋体" w:cs="Times New Roman"/>
          <w:b w:val="0"/>
          <w:bCs w:val="0"/>
          <w:sz w:val="21"/>
          <w:szCs w:val="24"/>
          <w:highlight w:val="none"/>
          <w:lang w:val="en-US" w:eastAsia="zh-CN"/>
        </w:rPr>
      </w:pPr>
      <w:r>
        <w:rPr>
          <w:rFonts w:hint="eastAsia" w:ascii="Calibri" w:hAnsi="Calibri" w:eastAsia="宋体" w:cs="Times New Roman"/>
          <w:b w:val="0"/>
          <w:bCs w:val="0"/>
          <w:sz w:val="21"/>
          <w:szCs w:val="24"/>
          <w:highlight w:val="none"/>
          <w:lang w:val="en-US" w:eastAsia="zh-CN"/>
        </w:rPr>
        <w:t>2.1依法取得生猪定点屠宰加工资格的企业；</w:t>
      </w:r>
    </w:p>
    <w:p>
      <w:pPr>
        <w:pStyle w:val="5"/>
        <w:ind w:firstLine="420"/>
        <w:rPr>
          <w:rFonts w:hint="eastAsia" w:ascii="Calibri" w:hAnsi="Calibri" w:eastAsia="宋体" w:cs="Times New Roman"/>
          <w:b w:val="0"/>
          <w:bCs w:val="0"/>
          <w:sz w:val="21"/>
          <w:szCs w:val="24"/>
          <w:highlight w:val="none"/>
          <w:lang w:val="en-US" w:eastAsia="zh-CN"/>
        </w:rPr>
      </w:pPr>
      <w:r>
        <w:rPr>
          <w:rFonts w:hint="eastAsia" w:ascii="Calibri" w:hAnsi="Calibri" w:eastAsia="宋体" w:cs="Times New Roman"/>
          <w:b w:val="0"/>
          <w:bCs w:val="0"/>
          <w:sz w:val="21"/>
          <w:szCs w:val="24"/>
          <w:highlight w:val="none"/>
          <w:lang w:val="en-US" w:eastAsia="zh-CN"/>
        </w:rPr>
        <w:t>2.2品种包括带皮、去皮去膘冻片猪肉及其分割产品；</w:t>
      </w:r>
    </w:p>
    <w:p>
      <w:pPr>
        <w:pStyle w:val="5"/>
        <w:ind w:firstLine="420"/>
        <w:rPr>
          <w:rFonts w:hint="eastAsia" w:ascii="Calibri" w:hAnsi="Calibri" w:eastAsia="宋体" w:cs="Times New Roman"/>
          <w:b w:val="0"/>
          <w:bCs w:val="0"/>
          <w:sz w:val="21"/>
          <w:szCs w:val="24"/>
          <w:highlight w:val="none"/>
          <w:lang w:val="en-US" w:eastAsia="zh-CN"/>
        </w:rPr>
      </w:pPr>
      <w:r>
        <w:rPr>
          <w:rFonts w:hint="eastAsia" w:ascii="Calibri" w:hAnsi="Calibri" w:eastAsia="宋体" w:cs="Times New Roman"/>
          <w:b w:val="0"/>
          <w:bCs w:val="0"/>
          <w:sz w:val="21"/>
          <w:szCs w:val="24"/>
          <w:highlight w:val="none"/>
          <w:lang w:val="en-US" w:eastAsia="zh-CN"/>
        </w:rPr>
        <w:t>2.3产品质量符合《分割鲜、冻猪瘦肉》（GB/T9959.2—2008）要求。</w:t>
      </w:r>
    </w:p>
    <w:p>
      <w:pPr>
        <w:pStyle w:val="5"/>
        <w:ind w:firstLine="420"/>
        <w:rPr>
          <w:rFonts w:hint="eastAsia" w:ascii="Calibri" w:hAnsi="Calibri" w:eastAsia="宋体" w:cs="Times New Roman"/>
          <w:b w:val="0"/>
          <w:bCs w:val="0"/>
          <w:sz w:val="21"/>
          <w:szCs w:val="24"/>
          <w:highlight w:val="none"/>
          <w:lang w:val="en-US" w:eastAsia="zh-CN"/>
        </w:rPr>
      </w:pPr>
      <w:r>
        <w:rPr>
          <w:rFonts w:hint="eastAsia" w:ascii="Calibri" w:hAnsi="Calibri" w:eastAsia="宋体" w:cs="Times New Roman"/>
          <w:b w:val="0"/>
          <w:bCs w:val="0"/>
          <w:sz w:val="21"/>
          <w:szCs w:val="24"/>
          <w:highlight w:val="none"/>
          <w:lang w:val="en-US" w:eastAsia="zh-CN"/>
        </w:rPr>
        <w:t>储备肉必须是国家定点厂生产或者进口的符合国家有关标准的带皮、去皮去膘猪肉、预冷猪肉及其分割产品。品质要求必须符合《鲜、冻片猪肉》（GB/T9959.1-2001）、《分割鲜、冻猪瘦肉》（GB9959.2-2008）等国家有关卫生质量安全标准（以最新标准为准），不得储备临保产品。</w:t>
      </w:r>
    </w:p>
    <w:p>
      <w:pPr>
        <w:pStyle w:val="5"/>
        <w:ind w:firstLine="420"/>
        <w:rPr>
          <w:rFonts w:hint="eastAsia" w:ascii="Calibri" w:hAnsi="Calibri" w:eastAsia="宋体" w:cs="Times New Roman"/>
          <w:b w:val="0"/>
          <w:bCs w:val="0"/>
          <w:sz w:val="21"/>
          <w:szCs w:val="24"/>
          <w:highlight w:val="none"/>
          <w:lang w:val="en-US" w:eastAsia="zh-CN"/>
        </w:rPr>
      </w:pPr>
      <w:r>
        <w:rPr>
          <w:rFonts w:hint="eastAsia" w:ascii="Calibri" w:hAnsi="Calibri" w:eastAsia="宋体" w:cs="Times New Roman"/>
          <w:b w:val="0"/>
          <w:bCs w:val="0"/>
          <w:sz w:val="21"/>
          <w:szCs w:val="24"/>
          <w:highlight w:val="none"/>
          <w:lang w:val="en-US" w:eastAsia="zh-CN"/>
        </w:rPr>
        <w:t>3、冻猪肉储备动态管理要求</w:t>
      </w:r>
    </w:p>
    <w:p>
      <w:pPr>
        <w:pStyle w:val="5"/>
        <w:ind w:firstLine="420"/>
        <w:rPr>
          <w:rFonts w:hint="eastAsia" w:ascii="Calibri" w:hAnsi="Calibri" w:eastAsia="宋体" w:cs="Times New Roman"/>
          <w:b w:val="0"/>
          <w:bCs w:val="0"/>
          <w:sz w:val="21"/>
          <w:szCs w:val="24"/>
          <w:highlight w:val="none"/>
        </w:rPr>
      </w:pPr>
      <w:r>
        <w:rPr>
          <w:rFonts w:hint="eastAsia" w:ascii="Calibri" w:hAnsi="Calibri" w:eastAsia="宋体" w:cs="Times New Roman"/>
          <w:b w:val="0"/>
          <w:bCs w:val="0"/>
          <w:sz w:val="21"/>
          <w:szCs w:val="24"/>
          <w:highlight w:val="none"/>
        </w:rPr>
        <w:t>（一）承储单位应对以下导致冻猪肉存储发生较大变化的情况提前或及时告知采购人：</w:t>
      </w:r>
    </w:p>
    <w:p>
      <w:pPr>
        <w:pStyle w:val="5"/>
        <w:ind w:firstLine="420"/>
        <w:rPr>
          <w:rFonts w:hint="eastAsia" w:ascii="Calibri" w:hAnsi="Calibri" w:eastAsia="宋体" w:cs="Times New Roman"/>
          <w:b w:val="0"/>
          <w:bCs w:val="0"/>
          <w:sz w:val="21"/>
          <w:szCs w:val="24"/>
          <w:highlight w:val="none"/>
        </w:rPr>
      </w:pPr>
      <w:r>
        <w:rPr>
          <w:rFonts w:hint="eastAsia" w:ascii="Calibri" w:hAnsi="Calibri" w:eastAsia="宋体" w:cs="Times New Roman"/>
          <w:b w:val="0"/>
          <w:bCs w:val="0"/>
          <w:sz w:val="21"/>
          <w:szCs w:val="24"/>
          <w:highlight w:val="none"/>
        </w:rPr>
        <w:t>1</w:t>
      </w:r>
      <w:r>
        <w:rPr>
          <w:rFonts w:hint="eastAsia" w:ascii="Calibri" w:hAnsi="Calibri" w:eastAsia="宋体" w:cs="Times New Roman"/>
          <w:b w:val="0"/>
          <w:bCs w:val="0"/>
          <w:sz w:val="21"/>
          <w:szCs w:val="24"/>
          <w:highlight w:val="none"/>
          <w:lang w:val="en-US" w:eastAsia="zh-CN"/>
        </w:rPr>
        <w:t>.</w:t>
      </w:r>
      <w:r>
        <w:rPr>
          <w:rFonts w:hint="eastAsia" w:ascii="Calibri" w:hAnsi="Calibri" w:eastAsia="宋体" w:cs="Times New Roman"/>
          <w:b w:val="0"/>
          <w:bCs w:val="0"/>
          <w:sz w:val="21"/>
          <w:szCs w:val="24"/>
          <w:highlight w:val="none"/>
        </w:rPr>
        <w:t>承储单位应将公司冷库场地搬迁、改建、转让、拆除等涉及影响合同履行的重大事项提前30天告知采购人；</w:t>
      </w:r>
    </w:p>
    <w:p>
      <w:pPr>
        <w:pStyle w:val="5"/>
        <w:ind w:firstLine="420"/>
        <w:rPr>
          <w:rFonts w:hint="eastAsia" w:ascii="Calibri" w:hAnsi="Calibri" w:eastAsia="宋体" w:cs="Times New Roman"/>
          <w:b w:val="0"/>
          <w:bCs w:val="0"/>
          <w:sz w:val="21"/>
          <w:szCs w:val="24"/>
          <w:highlight w:val="none"/>
        </w:rPr>
      </w:pPr>
      <w:r>
        <w:rPr>
          <w:rFonts w:hint="eastAsia" w:ascii="Calibri" w:hAnsi="Calibri" w:eastAsia="宋体" w:cs="Times New Roman"/>
          <w:b w:val="0"/>
          <w:bCs w:val="0"/>
          <w:sz w:val="21"/>
          <w:szCs w:val="24"/>
          <w:highlight w:val="none"/>
        </w:rPr>
        <w:t>2</w:t>
      </w:r>
      <w:r>
        <w:rPr>
          <w:rFonts w:hint="eastAsia" w:ascii="Calibri" w:hAnsi="Calibri" w:eastAsia="宋体" w:cs="Times New Roman"/>
          <w:b w:val="0"/>
          <w:bCs w:val="0"/>
          <w:sz w:val="21"/>
          <w:szCs w:val="24"/>
          <w:highlight w:val="none"/>
          <w:lang w:val="en-US" w:eastAsia="zh-CN"/>
        </w:rPr>
        <w:t>.</w:t>
      </w:r>
      <w:r>
        <w:rPr>
          <w:rFonts w:hint="eastAsia" w:ascii="Calibri" w:hAnsi="Calibri" w:eastAsia="宋体" w:cs="Times New Roman"/>
          <w:b w:val="0"/>
          <w:bCs w:val="0"/>
          <w:sz w:val="21"/>
          <w:szCs w:val="24"/>
          <w:highlight w:val="none"/>
        </w:rPr>
        <w:t>如发生冻猪肉变质数量较多的情况，承储单位应在第一时间告知采购人。由采购人视情况相应调整数量或承储单位。</w:t>
      </w:r>
    </w:p>
    <w:p>
      <w:pPr>
        <w:pStyle w:val="5"/>
        <w:ind w:firstLine="420"/>
        <w:rPr>
          <w:rFonts w:hint="eastAsia" w:ascii="Calibri" w:hAnsi="Calibri" w:eastAsia="宋体" w:cs="Times New Roman"/>
          <w:b w:val="0"/>
          <w:bCs w:val="0"/>
          <w:sz w:val="21"/>
          <w:szCs w:val="24"/>
          <w:highlight w:val="none"/>
        </w:rPr>
      </w:pPr>
      <w:r>
        <w:rPr>
          <w:rFonts w:hint="eastAsia" w:ascii="Calibri" w:hAnsi="Calibri" w:eastAsia="宋体" w:cs="Times New Roman"/>
          <w:b w:val="0"/>
          <w:bCs w:val="0"/>
          <w:sz w:val="21"/>
          <w:szCs w:val="24"/>
          <w:highlight w:val="none"/>
        </w:rPr>
        <w:t>3</w:t>
      </w:r>
      <w:r>
        <w:rPr>
          <w:rFonts w:hint="eastAsia" w:ascii="Calibri" w:hAnsi="Calibri" w:eastAsia="宋体" w:cs="Times New Roman"/>
          <w:b w:val="0"/>
          <w:bCs w:val="0"/>
          <w:sz w:val="21"/>
          <w:szCs w:val="24"/>
          <w:highlight w:val="none"/>
          <w:lang w:val="en-US" w:eastAsia="zh-CN"/>
        </w:rPr>
        <w:t>.</w:t>
      </w:r>
      <w:r>
        <w:rPr>
          <w:rFonts w:hint="eastAsia" w:ascii="Calibri" w:hAnsi="Calibri" w:eastAsia="宋体" w:cs="Times New Roman"/>
          <w:b w:val="0"/>
          <w:bCs w:val="0"/>
          <w:sz w:val="21"/>
          <w:szCs w:val="24"/>
          <w:highlight w:val="none"/>
        </w:rPr>
        <w:t>承储单位因撤销解散或进入破产程序以及拆迁改建、生产调整、灾害疫病等原因无法承担或无法足额承担储备计划的，应提前书面报告管理单位，管理单位及时上报行政管理部门。</w:t>
      </w:r>
    </w:p>
    <w:p>
      <w:pPr>
        <w:pStyle w:val="5"/>
        <w:ind w:firstLine="420"/>
        <w:rPr>
          <w:rFonts w:hint="eastAsia" w:ascii="Calibri" w:hAnsi="Calibri" w:eastAsia="宋体" w:cs="Times New Roman"/>
          <w:b w:val="0"/>
          <w:bCs w:val="0"/>
          <w:sz w:val="21"/>
          <w:szCs w:val="24"/>
          <w:highlight w:val="none"/>
        </w:rPr>
      </w:pPr>
      <w:r>
        <w:rPr>
          <w:rFonts w:hint="eastAsia" w:ascii="Calibri" w:hAnsi="Calibri" w:eastAsia="宋体" w:cs="Times New Roman"/>
          <w:b w:val="0"/>
          <w:bCs w:val="0"/>
          <w:sz w:val="21"/>
          <w:szCs w:val="24"/>
          <w:highlight w:val="none"/>
        </w:rPr>
        <w:t>（二）在合同履行期间，如查实到承储单位以下行为，采购人单方面终止合同，并保留向承储单位提出赔偿由此造成的相关损失的权力：</w:t>
      </w:r>
    </w:p>
    <w:p>
      <w:pPr>
        <w:pStyle w:val="5"/>
        <w:ind w:firstLine="420"/>
        <w:rPr>
          <w:rFonts w:hint="eastAsia" w:ascii="Calibri" w:hAnsi="Calibri" w:eastAsia="宋体" w:cs="Times New Roman"/>
          <w:b w:val="0"/>
          <w:bCs w:val="0"/>
          <w:sz w:val="21"/>
          <w:szCs w:val="24"/>
          <w:highlight w:val="none"/>
        </w:rPr>
      </w:pPr>
      <w:r>
        <w:rPr>
          <w:rFonts w:hint="eastAsia" w:ascii="Calibri" w:hAnsi="Calibri" w:eastAsia="宋体" w:cs="Times New Roman"/>
          <w:b w:val="0"/>
          <w:bCs w:val="0"/>
          <w:sz w:val="21"/>
          <w:szCs w:val="24"/>
          <w:highlight w:val="none"/>
        </w:rPr>
        <w:t>1.承储单位已不符合承储条件、未按要求达到最低储备量等违反合同、不再适宜储备的行为；</w:t>
      </w:r>
    </w:p>
    <w:p>
      <w:pPr>
        <w:pStyle w:val="5"/>
        <w:ind w:firstLine="420"/>
        <w:rPr>
          <w:rFonts w:hint="eastAsia" w:ascii="Calibri" w:hAnsi="Calibri" w:eastAsia="宋体" w:cs="Times New Roman"/>
          <w:b w:val="0"/>
          <w:bCs w:val="0"/>
          <w:sz w:val="21"/>
          <w:szCs w:val="24"/>
          <w:highlight w:val="none"/>
        </w:rPr>
      </w:pPr>
      <w:r>
        <w:rPr>
          <w:rFonts w:hint="eastAsia" w:ascii="Calibri" w:hAnsi="Calibri" w:eastAsia="宋体" w:cs="Times New Roman"/>
          <w:b w:val="0"/>
          <w:bCs w:val="0"/>
          <w:sz w:val="21"/>
          <w:szCs w:val="24"/>
          <w:highlight w:val="none"/>
        </w:rPr>
        <w:t>2.销售变质猪肉等违反我国食品安全法规的行为；</w:t>
      </w:r>
    </w:p>
    <w:p>
      <w:pPr>
        <w:pStyle w:val="5"/>
        <w:ind w:firstLine="420"/>
        <w:rPr>
          <w:rFonts w:hint="eastAsia" w:ascii="Calibri" w:hAnsi="Calibri" w:eastAsia="宋体" w:cs="Times New Roman"/>
          <w:b w:val="0"/>
          <w:bCs w:val="0"/>
          <w:sz w:val="21"/>
          <w:szCs w:val="24"/>
          <w:highlight w:val="none"/>
        </w:rPr>
      </w:pPr>
      <w:r>
        <w:rPr>
          <w:rFonts w:hint="eastAsia" w:ascii="Calibri" w:hAnsi="Calibri" w:eastAsia="宋体" w:cs="Times New Roman"/>
          <w:b w:val="0"/>
          <w:bCs w:val="0"/>
          <w:sz w:val="21"/>
          <w:szCs w:val="24"/>
          <w:highlight w:val="none"/>
        </w:rPr>
        <w:t>3.采购人调用储备冻猪肉时承储单位不按采购人规定执行；</w:t>
      </w:r>
    </w:p>
    <w:p>
      <w:pPr>
        <w:pStyle w:val="5"/>
        <w:ind w:firstLine="420"/>
        <w:rPr>
          <w:rFonts w:hint="eastAsia" w:ascii="Calibri" w:hAnsi="Calibri" w:eastAsia="宋体" w:cs="Times New Roman"/>
          <w:b w:val="0"/>
          <w:bCs w:val="0"/>
          <w:sz w:val="21"/>
          <w:szCs w:val="24"/>
          <w:highlight w:val="none"/>
        </w:rPr>
      </w:pPr>
      <w:r>
        <w:rPr>
          <w:rFonts w:hint="eastAsia" w:ascii="Calibri" w:hAnsi="Calibri" w:eastAsia="宋体" w:cs="Times New Roman"/>
          <w:b w:val="0"/>
          <w:bCs w:val="0"/>
          <w:sz w:val="21"/>
          <w:szCs w:val="24"/>
          <w:highlight w:val="none"/>
        </w:rPr>
        <w:t>4.除采购人同意的正常轮换销售外，承储单位擅自动用冻猪肉储备；</w:t>
      </w:r>
    </w:p>
    <w:p>
      <w:pPr>
        <w:pStyle w:val="5"/>
        <w:ind w:firstLine="420"/>
        <w:rPr>
          <w:rFonts w:hint="eastAsia" w:ascii="Calibri" w:hAnsi="Calibri" w:eastAsia="宋体" w:cs="Times New Roman"/>
          <w:b w:val="0"/>
          <w:bCs w:val="0"/>
          <w:sz w:val="21"/>
          <w:szCs w:val="24"/>
          <w:highlight w:val="none"/>
        </w:rPr>
      </w:pPr>
      <w:r>
        <w:rPr>
          <w:rFonts w:hint="eastAsia" w:ascii="Calibri" w:hAnsi="Calibri" w:eastAsia="宋体" w:cs="Times New Roman"/>
          <w:b w:val="0"/>
          <w:bCs w:val="0"/>
          <w:sz w:val="21"/>
          <w:szCs w:val="24"/>
          <w:highlight w:val="none"/>
        </w:rPr>
        <w:t>5.承储单位在承储期间弄虚作假、账实不符，不配合采购人的监督、检查工作。</w:t>
      </w:r>
    </w:p>
    <w:p>
      <w:pPr>
        <w:pStyle w:val="5"/>
        <w:ind w:firstLine="420"/>
        <w:rPr>
          <w:rFonts w:hint="eastAsia" w:ascii="Calibri" w:hAnsi="Calibri" w:eastAsia="宋体" w:cs="Times New Roman"/>
          <w:b w:val="0"/>
          <w:bCs w:val="0"/>
          <w:sz w:val="21"/>
          <w:szCs w:val="24"/>
          <w:highlight w:val="none"/>
        </w:rPr>
      </w:pPr>
      <w:r>
        <w:rPr>
          <w:rFonts w:hint="eastAsia" w:ascii="Calibri" w:hAnsi="Calibri" w:eastAsia="宋体" w:cs="Times New Roman"/>
          <w:b w:val="0"/>
          <w:bCs w:val="0"/>
          <w:sz w:val="21"/>
          <w:szCs w:val="24"/>
          <w:highlight w:val="none"/>
        </w:rPr>
        <w:t>（三）实施冻猪肉最低储备量和正常轮换出库制度。每月轮换的数量不超过储备库存总量的30%，轮换期不得超过10日；轮换期间最低储备库存量不得低于储备计划的80%，并确保承储冻猪肉的质量符合国家标准。</w:t>
      </w:r>
    </w:p>
    <w:p>
      <w:pPr>
        <w:pStyle w:val="5"/>
        <w:ind w:firstLine="420"/>
        <w:rPr>
          <w:rFonts w:hint="eastAsia" w:ascii="Calibri" w:hAnsi="Calibri" w:eastAsia="宋体" w:cs="Times New Roman"/>
          <w:b w:val="0"/>
          <w:bCs w:val="0"/>
          <w:sz w:val="21"/>
          <w:szCs w:val="24"/>
          <w:highlight w:val="none"/>
        </w:rPr>
      </w:pPr>
      <w:r>
        <w:rPr>
          <w:rFonts w:hint="eastAsia" w:ascii="Calibri" w:hAnsi="Calibri" w:eastAsia="宋体" w:cs="Times New Roman"/>
          <w:b w:val="0"/>
          <w:bCs w:val="0"/>
          <w:sz w:val="21"/>
          <w:szCs w:val="24"/>
          <w:highlight w:val="none"/>
        </w:rPr>
        <w:t>（四）储备冻肉垛前应悬挂标识卡，详细注明：品种规 格、数量等级、生产厂家、生产日期、入库日期等信息。</w:t>
      </w:r>
    </w:p>
    <w:p>
      <w:pPr>
        <w:pStyle w:val="5"/>
        <w:ind w:firstLine="420"/>
        <w:rPr>
          <w:rFonts w:hint="eastAsia" w:ascii="Calibri" w:hAnsi="Calibri" w:eastAsia="宋体" w:cs="Times New Roman"/>
          <w:b w:val="0"/>
          <w:bCs w:val="0"/>
          <w:sz w:val="21"/>
          <w:szCs w:val="24"/>
          <w:highlight w:val="none"/>
        </w:rPr>
      </w:pPr>
      <w:r>
        <w:rPr>
          <w:rFonts w:hint="eastAsia" w:ascii="Calibri" w:hAnsi="Calibri" w:eastAsia="宋体" w:cs="Times New Roman"/>
          <w:b w:val="0"/>
          <w:bCs w:val="0"/>
          <w:sz w:val="21"/>
          <w:szCs w:val="24"/>
          <w:highlight w:val="none"/>
        </w:rPr>
        <w:t>（五）承储单位应建立健全储备管理制度和应急动用工 作机制；严格遵守《中华人民共和国产品质量法》《中华人 民共和国食品安全法》等法律法规规定，对储存商品质量负责，确保储备质量安全。生猪储备承储单位按月编制报送存栏、出栏、销售流向等信息月报表，于月度结束后 7 日内报送管理单位，管理单位负责催报、汇总、审核月报，于月度结束后 10 日内报送行政管理部门；冻猪肉储备承储单位于月度结束后 7 日内向行政管理部门报送购销、库存等信息月报表；</w:t>
      </w:r>
    </w:p>
    <w:p>
      <w:pPr>
        <w:pStyle w:val="5"/>
        <w:ind w:firstLine="420"/>
        <w:rPr>
          <w:rFonts w:hint="eastAsia" w:ascii="Calibri" w:hAnsi="Calibri" w:eastAsia="宋体" w:cs="Times New Roman"/>
          <w:b w:val="0"/>
          <w:bCs w:val="0"/>
          <w:sz w:val="21"/>
          <w:szCs w:val="24"/>
          <w:highlight w:val="none"/>
        </w:rPr>
      </w:pPr>
      <w:r>
        <w:rPr>
          <w:rFonts w:hint="eastAsia" w:ascii="Calibri" w:hAnsi="Calibri" w:eastAsia="宋体" w:cs="Times New Roman"/>
          <w:b w:val="0"/>
          <w:bCs w:val="0"/>
          <w:sz w:val="21"/>
          <w:szCs w:val="24"/>
          <w:highlight w:val="none"/>
        </w:rPr>
        <w:t>4、服务期限内采购人的权利与义务</w:t>
      </w:r>
    </w:p>
    <w:p>
      <w:pPr>
        <w:pStyle w:val="5"/>
        <w:ind w:firstLine="420"/>
        <w:rPr>
          <w:rFonts w:hint="eastAsia" w:ascii="Calibri" w:hAnsi="Calibri" w:eastAsia="宋体" w:cs="Times New Roman"/>
          <w:b w:val="0"/>
          <w:bCs w:val="0"/>
          <w:sz w:val="21"/>
          <w:szCs w:val="24"/>
          <w:highlight w:val="none"/>
        </w:rPr>
      </w:pPr>
      <w:r>
        <w:rPr>
          <w:rFonts w:hint="eastAsia" w:ascii="Calibri" w:hAnsi="Calibri" w:eastAsia="宋体" w:cs="Times New Roman"/>
          <w:b w:val="0"/>
          <w:bCs w:val="0"/>
          <w:sz w:val="21"/>
          <w:szCs w:val="24"/>
          <w:highlight w:val="none"/>
        </w:rPr>
        <w:t>（一）采购人应严格履行监管职责；会同财政局和所辖区商务主管部门对承储单位储备计划落实、日常管理、是否按采购人的规定要求正常轮换等情况进行监督和检查。</w:t>
      </w:r>
    </w:p>
    <w:p>
      <w:pPr>
        <w:pStyle w:val="5"/>
        <w:ind w:firstLine="420"/>
        <w:rPr>
          <w:rFonts w:hint="eastAsia" w:ascii="Calibri" w:hAnsi="Calibri" w:eastAsia="宋体" w:cs="Times New Roman"/>
          <w:b w:val="0"/>
          <w:bCs w:val="0"/>
          <w:sz w:val="21"/>
          <w:szCs w:val="24"/>
          <w:highlight w:val="none"/>
        </w:rPr>
      </w:pPr>
      <w:r>
        <w:rPr>
          <w:rFonts w:hint="eastAsia" w:ascii="Calibri" w:hAnsi="Calibri" w:eastAsia="宋体" w:cs="Times New Roman"/>
          <w:b w:val="0"/>
          <w:bCs w:val="0"/>
          <w:sz w:val="21"/>
          <w:szCs w:val="24"/>
          <w:highlight w:val="none"/>
        </w:rPr>
        <w:t>（二）出现下列情况之一时，采购人根据市政府下达的指令，组织实施动用冻猪肉储备计划，保障市场应急供应。承储单位根据采购人下达的《湖州吴兴区冻猪肉储备出库单》提供符合“承储冻猪肉来源要求”标准的冻猪肉。</w:t>
      </w:r>
    </w:p>
    <w:p>
      <w:pPr>
        <w:pStyle w:val="5"/>
        <w:ind w:firstLine="420"/>
        <w:rPr>
          <w:rFonts w:hint="eastAsia" w:ascii="Calibri" w:hAnsi="Calibri" w:eastAsia="宋体" w:cs="Times New Roman"/>
          <w:b w:val="0"/>
          <w:bCs w:val="0"/>
          <w:sz w:val="21"/>
          <w:szCs w:val="24"/>
          <w:highlight w:val="none"/>
        </w:rPr>
      </w:pPr>
      <w:r>
        <w:rPr>
          <w:rFonts w:hint="eastAsia" w:ascii="Calibri" w:hAnsi="Calibri" w:eastAsia="宋体" w:cs="Times New Roman"/>
          <w:b w:val="0"/>
          <w:bCs w:val="0"/>
          <w:sz w:val="21"/>
          <w:szCs w:val="24"/>
          <w:highlight w:val="none"/>
        </w:rPr>
        <w:t>1</w:t>
      </w:r>
      <w:r>
        <w:rPr>
          <w:rFonts w:hint="eastAsia" w:ascii="Calibri" w:hAnsi="Calibri" w:eastAsia="宋体" w:cs="Times New Roman"/>
          <w:b w:val="0"/>
          <w:bCs w:val="0"/>
          <w:sz w:val="21"/>
          <w:szCs w:val="24"/>
          <w:highlight w:val="none"/>
          <w:lang w:val="en-US" w:eastAsia="zh-CN"/>
        </w:rPr>
        <w:t>.</w:t>
      </w:r>
      <w:r>
        <w:rPr>
          <w:rFonts w:hint="eastAsia" w:ascii="Calibri" w:hAnsi="Calibri" w:eastAsia="宋体" w:cs="Times New Roman"/>
          <w:b w:val="0"/>
          <w:bCs w:val="0"/>
          <w:sz w:val="21"/>
          <w:szCs w:val="24"/>
          <w:highlight w:val="none"/>
        </w:rPr>
        <w:t>发生重特大自然灾害、事故灾难、突发公共卫生事件、社会安全事件及其他突发事件等；</w:t>
      </w:r>
    </w:p>
    <w:p>
      <w:pPr>
        <w:pStyle w:val="5"/>
        <w:ind w:firstLine="420"/>
        <w:rPr>
          <w:rFonts w:hint="eastAsia" w:ascii="Calibri" w:hAnsi="Calibri" w:eastAsia="宋体" w:cs="Times New Roman"/>
          <w:b w:val="0"/>
          <w:bCs w:val="0"/>
          <w:sz w:val="21"/>
          <w:szCs w:val="24"/>
          <w:highlight w:val="none"/>
        </w:rPr>
      </w:pPr>
      <w:r>
        <w:rPr>
          <w:rFonts w:hint="eastAsia" w:ascii="Calibri" w:hAnsi="Calibri" w:eastAsia="宋体" w:cs="Times New Roman"/>
          <w:b w:val="0"/>
          <w:bCs w:val="0"/>
          <w:sz w:val="21"/>
          <w:szCs w:val="24"/>
          <w:highlight w:val="none"/>
        </w:rPr>
        <w:t>2</w:t>
      </w:r>
      <w:r>
        <w:rPr>
          <w:rFonts w:hint="eastAsia" w:ascii="Calibri" w:hAnsi="Calibri" w:eastAsia="宋体" w:cs="Times New Roman"/>
          <w:b w:val="0"/>
          <w:bCs w:val="0"/>
          <w:sz w:val="21"/>
          <w:szCs w:val="24"/>
          <w:highlight w:val="none"/>
          <w:lang w:val="en-US" w:eastAsia="zh-CN"/>
        </w:rPr>
        <w:t>.</w:t>
      </w:r>
      <w:r>
        <w:rPr>
          <w:rFonts w:hint="eastAsia" w:ascii="Calibri" w:hAnsi="Calibri" w:eastAsia="宋体" w:cs="Times New Roman"/>
          <w:b w:val="0"/>
          <w:bCs w:val="0"/>
          <w:sz w:val="21"/>
          <w:szCs w:val="24"/>
          <w:highlight w:val="none"/>
        </w:rPr>
        <w:t>肉类市场出现异常波动；</w:t>
      </w:r>
    </w:p>
    <w:p>
      <w:pPr>
        <w:pStyle w:val="5"/>
        <w:ind w:firstLine="420"/>
        <w:rPr>
          <w:rFonts w:hint="eastAsia" w:ascii="Calibri" w:hAnsi="Calibri" w:eastAsia="宋体" w:cs="Times New Roman"/>
          <w:b w:val="0"/>
          <w:bCs w:val="0"/>
          <w:sz w:val="21"/>
          <w:szCs w:val="24"/>
          <w:highlight w:val="none"/>
        </w:rPr>
      </w:pPr>
      <w:r>
        <w:rPr>
          <w:rFonts w:hint="eastAsia" w:ascii="Calibri" w:hAnsi="Calibri" w:eastAsia="宋体" w:cs="Times New Roman"/>
          <w:b w:val="0"/>
          <w:bCs w:val="0"/>
          <w:sz w:val="21"/>
          <w:szCs w:val="24"/>
          <w:highlight w:val="none"/>
        </w:rPr>
        <w:t>3</w:t>
      </w:r>
      <w:r>
        <w:rPr>
          <w:rFonts w:hint="eastAsia" w:ascii="Calibri" w:hAnsi="Calibri" w:eastAsia="宋体" w:cs="Times New Roman"/>
          <w:b w:val="0"/>
          <w:bCs w:val="0"/>
          <w:sz w:val="21"/>
          <w:szCs w:val="24"/>
          <w:highlight w:val="none"/>
          <w:lang w:val="en-US" w:eastAsia="zh-CN"/>
        </w:rPr>
        <w:t>.</w:t>
      </w:r>
      <w:r>
        <w:rPr>
          <w:rFonts w:hint="eastAsia" w:ascii="Calibri" w:hAnsi="Calibri" w:eastAsia="宋体" w:cs="Times New Roman"/>
          <w:b w:val="0"/>
          <w:bCs w:val="0"/>
          <w:sz w:val="21"/>
          <w:szCs w:val="24"/>
          <w:highlight w:val="none"/>
        </w:rPr>
        <w:t>其他需要动用储备计划的情形。</w:t>
      </w:r>
    </w:p>
    <w:p>
      <w:pPr>
        <w:pStyle w:val="5"/>
        <w:ind w:firstLine="420"/>
        <w:rPr>
          <w:rFonts w:hint="eastAsia" w:ascii="Calibri" w:hAnsi="Calibri" w:eastAsia="宋体" w:cs="Times New Roman"/>
          <w:b w:val="0"/>
          <w:bCs w:val="0"/>
          <w:sz w:val="21"/>
          <w:szCs w:val="24"/>
          <w:highlight w:val="none"/>
        </w:rPr>
      </w:pPr>
      <w:r>
        <w:rPr>
          <w:rFonts w:hint="eastAsia" w:ascii="Calibri" w:hAnsi="Calibri" w:eastAsia="宋体" w:cs="Times New Roman"/>
          <w:b w:val="0"/>
          <w:bCs w:val="0"/>
          <w:sz w:val="21"/>
          <w:szCs w:val="24"/>
          <w:highlight w:val="none"/>
          <w:lang w:val="en-US" w:eastAsia="zh-CN"/>
        </w:rPr>
        <w:t>4.</w:t>
      </w:r>
      <w:r>
        <w:rPr>
          <w:rFonts w:hint="eastAsia" w:ascii="Calibri" w:hAnsi="Calibri" w:eastAsia="宋体" w:cs="Times New Roman"/>
          <w:b w:val="0"/>
          <w:bCs w:val="0"/>
          <w:sz w:val="21"/>
          <w:szCs w:val="24"/>
          <w:highlight w:val="none"/>
        </w:rPr>
        <w:t>服务期限内承储单位权利与义务</w:t>
      </w:r>
    </w:p>
    <w:p>
      <w:pPr>
        <w:pStyle w:val="5"/>
        <w:ind w:firstLine="420"/>
        <w:rPr>
          <w:rFonts w:hint="eastAsia" w:ascii="Calibri" w:hAnsi="Calibri" w:eastAsia="宋体" w:cs="Times New Roman"/>
          <w:b w:val="0"/>
          <w:bCs w:val="0"/>
          <w:sz w:val="21"/>
          <w:szCs w:val="24"/>
          <w:highlight w:val="none"/>
        </w:rPr>
      </w:pPr>
      <w:r>
        <w:rPr>
          <w:rFonts w:hint="eastAsia" w:ascii="Calibri" w:hAnsi="Calibri" w:eastAsia="宋体" w:cs="Times New Roman"/>
          <w:b w:val="0"/>
          <w:bCs w:val="0"/>
          <w:sz w:val="21"/>
          <w:szCs w:val="24"/>
          <w:highlight w:val="none"/>
        </w:rPr>
        <w:t>（一）承储单位应全面落实储备计划，健全储备管理制度，健全冻猪肉存储、轮库、安全管理、财务等台帐，按月报送《湖州市吴兴区冻猪肉承储业务月报表》（月后7日内）、按年度报送财务报表（年后10日内），并及时向采购人报告科学管理、设备更新提升及“冻猪肉储备动态管理要求”中第（一）、（三）款等重要动态信息。全面配合采购人对储备计划落实、日常管理及承储的冻猪肉是否符合本条第（二）款的标准等情况开展的定期或不定期的监督、检查。</w:t>
      </w:r>
    </w:p>
    <w:p>
      <w:pPr>
        <w:pStyle w:val="5"/>
        <w:ind w:firstLine="420"/>
        <w:rPr>
          <w:rFonts w:hint="eastAsia" w:ascii="Calibri" w:hAnsi="Calibri" w:eastAsia="宋体" w:cs="Times New Roman"/>
          <w:b w:val="0"/>
          <w:bCs w:val="0"/>
          <w:sz w:val="21"/>
          <w:szCs w:val="24"/>
          <w:highlight w:val="none"/>
        </w:rPr>
      </w:pPr>
      <w:r>
        <w:rPr>
          <w:rFonts w:hint="eastAsia" w:ascii="Calibri" w:hAnsi="Calibri" w:eastAsia="宋体" w:cs="Times New Roman"/>
          <w:b w:val="0"/>
          <w:bCs w:val="0"/>
          <w:sz w:val="21"/>
          <w:szCs w:val="24"/>
          <w:highlight w:val="none"/>
        </w:rPr>
        <w:t>（二）在规定的储备期限内，承储单位对入库储备的冻猪肉实行专仓储存、专人管理、专账记载和挂牌明示，确保账账相符、账实相符、质量良好和储存安全。承储冻猪肉应从具备下列条件的国家定点厂生产或者进口的符合国家有关标准的带皮、去皮去膘猪肉、预冷猪肉及其分割产品。品质要求必须符合《鲜、冻片猪肉》（GB/T9959.1-2001）、《分割鲜、冻猪瘦肉》（GB9959.2-2008）等国家有关卫生质量安全标准（以最新标准为准），不得储备临保产品。</w:t>
      </w:r>
    </w:p>
    <w:p>
      <w:pPr>
        <w:pStyle w:val="5"/>
        <w:ind w:firstLine="420"/>
        <w:rPr>
          <w:rFonts w:hint="eastAsia" w:ascii="Calibri" w:hAnsi="Calibri" w:eastAsia="宋体" w:cs="Times New Roman"/>
          <w:b w:val="0"/>
          <w:bCs w:val="0"/>
          <w:sz w:val="21"/>
          <w:szCs w:val="24"/>
          <w:highlight w:val="none"/>
        </w:rPr>
      </w:pPr>
      <w:r>
        <w:rPr>
          <w:rFonts w:hint="eastAsia" w:ascii="Calibri" w:hAnsi="Calibri" w:eastAsia="宋体" w:cs="Times New Roman"/>
          <w:b w:val="0"/>
          <w:bCs w:val="0"/>
          <w:sz w:val="21"/>
          <w:szCs w:val="24"/>
          <w:highlight w:val="none"/>
        </w:rPr>
        <w:t>（三）承储单位按“冻猪肉储备动态管理要求”第（一）款、本条第（一）款的要求将影响履行合同的重大事项及时告知采购人。</w:t>
      </w:r>
    </w:p>
    <w:p>
      <w:pPr>
        <w:pStyle w:val="5"/>
        <w:ind w:firstLine="420"/>
        <w:rPr>
          <w:rFonts w:hint="eastAsia" w:ascii="Calibri" w:hAnsi="Calibri" w:eastAsia="宋体" w:cs="Times New Roman"/>
          <w:b w:val="0"/>
          <w:bCs w:val="0"/>
          <w:sz w:val="21"/>
          <w:szCs w:val="24"/>
          <w:highlight w:val="none"/>
        </w:rPr>
      </w:pPr>
      <w:r>
        <w:rPr>
          <w:rFonts w:hint="eastAsia" w:ascii="Calibri" w:hAnsi="Calibri" w:eastAsia="宋体" w:cs="Times New Roman"/>
          <w:b w:val="0"/>
          <w:bCs w:val="0"/>
          <w:sz w:val="21"/>
          <w:szCs w:val="24"/>
          <w:highlight w:val="none"/>
        </w:rPr>
        <w:t>（四）承储单位应在采购人规定的时间内组织储备冻猪肉轮换，正常轮换出库冻猪肉由承储单位自行销售，承储期内日常管理和按规定正常轮换所发生的费用以及发生各类事故、自然灾害等损失均由承储单位自行承担。</w:t>
      </w:r>
    </w:p>
    <w:p>
      <w:pPr>
        <w:pStyle w:val="5"/>
        <w:ind w:firstLine="420"/>
        <w:rPr>
          <w:rFonts w:hint="eastAsia" w:ascii="Calibri" w:hAnsi="Calibri" w:eastAsia="宋体" w:cs="Times New Roman"/>
          <w:b w:val="0"/>
          <w:bCs w:val="0"/>
          <w:sz w:val="21"/>
          <w:szCs w:val="24"/>
          <w:highlight w:val="none"/>
        </w:rPr>
      </w:pPr>
      <w:r>
        <w:rPr>
          <w:rFonts w:hint="eastAsia" w:ascii="Calibri" w:hAnsi="Calibri" w:eastAsia="宋体" w:cs="Times New Roman"/>
          <w:b w:val="0"/>
          <w:bCs w:val="0"/>
          <w:sz w:val="21"/>
          <w:szCs w:val="24"/>
          <w:highlight w:val="none"/>
        </w:rPr>
        <w:t>（五）未经采购人批准，承储单位不得擅自调整更改计划和动用储备。</w:t>
      </w:r>
    </w:p>
    <w:p>
      <w:pPr>
        <w:pStyle w:val="5"/>
        <w:ind w:firstLine="422"/>
        <w:jc w:val="center"/>
        <w:rPr>
          <w:highlight w:val="none"/>
        </w:rPr>
      </w:pPr>
      <w:r>
        <w:rPr>
          <w:highlight w:val="none"/>
        </w:rPr>
        <w:t>第三部分商务要求</w:t>
      </w:r>
    </w:p>
    <w:tbl>
      <w:tblPr>
        <w:tblStyle w:val="5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rPr>
                <w:rFonts w:cs="Calibri"/>
                <w:highlight w:val="none"/>
              </w:rPr>
            </w:pPr>
            <w:r>
              <w:rPr>
                <w:rFonts w:cs="Calibri"/>
                <w:highlight w:val="none"/>
              </w:rPr>
              <w:t>序号</w:t>
            </w:r>
          </w:p>
        </w:tc>
        <w:tc>
          <w:tcPr>
            <w:tcW w:w="1290" w:type="dxa"/>
            <w:vAlign w:val="center"/>
          </w:tcPr>
          <w:p>
            <w:pPr>
              <w:rPr>
                <w:rFonts w:cs="Calibri"/>
                <w:highlight w:val="none"/>
              </w:rPr>
            </w:pPr>
            <w:r>
              <w:rPr>
                <w:rFonts w:cs="Calibri"/>
                <w:highlight w:val="none"/>
              </w:rPr>
              <w:t>内容名称</w:t>
            </w:r>
          </w:p>
        </w:tc>
        <w:tc>
          <w:tcPr>
            <w:tcW w:w="7460" w:type="dxa"/>
            <w:vAlign w:val="center"/>
          </w:tcPr>
          <w:p>
            <w:pPr>
              <w:rPr>
                <w:rFonts w:cs="Calibri"/>
                <w:highlight w:val="none"/>
              </w:rPr>
            </w:pPr>
            <w:r>
              <w:rPr>
                <w:rFonts w:cs="Calibri"/>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numPr>
                <w:ilvl w:val="0"/>
                <w:numId w:val="3"/>
              </w:numPr>
              <w:ind w:firstLine="0"/>
              <w:rPr>
                <w:rFonts w:cs="Calibri"/>
                <w:highlight w:val="none"/>
              </w:rPr>
            </w:pPr>
          </w:p>
        </w:tc>
        <w:tc>
          <w:tcPr>
            <w:tcW w:w="1290" w:type="dxa"/>
            <w:vAlign w:val="center"/>
          </w:tcPr>
          <w:p>
            <w:pPr>
              <w:rPr>
                <w:rFonts w:eastAsia="宋体" w:cs="Calibri"/>
                <w:highlight w:val="none"/>
              </w:rPr>
            </w:pPr>
            <w:r>
              <w:rPr>
                <w:rFonts w:eastAsia="宋体" w:cs="Calibri"/>
                <w:sz w:val="21"/>
                <w:highlight w:val="none"/>
              </w:rPr>
              <w:t>报价要求</w:t>
            </w:r>
          </w:p>
        </w:tc>
        <w:tc>
          <w:tcPr>
            <w:tcW w:w="7460" w:type="dxa"/>
            <w:vAlign w:val="center"/>
          </w:tcPr>
          <w:p>
            <w:pPr>
              <w:ind w:firstLine="210" w:firstLineChars="100"/>
              <w:rPr>
                <w:rFonts w:ascii="Calibri" w:hAnsi="Calibri" w:eastAsia="宋体" w:cs="Calibri"/>
                <w:sz w:val="21"/>
                <w:highlight w:val="none"/>
              </w:rPr>
            </w:pPr>
            <w:r>
              <w:rPr>
                <w:rFonts w:hint="default" w:ascii="Calibri" w:hAnsi="Calibri" w:eastAsia="宋体" w:cs="Calibri"/>
                <w:sz w:val="21"/>
                <w:highlight w:val="none"/>
              </w:rPr>
              <w:t>1.▲报价应包括完成本项目服务工作所需的人力物力成本、管理费、其他费用、安全文明生产装备费、设备的维护费、工具材料费、利润、税金等及合同明示或暗示的所有风险、责任、义务等各项完成本项目应有的费用。凡未列入的，将被视为均已包含在投标总报价中。只允许有一个报价，任何有选择的或有条件的报价将不予接受。</w:t>
            </w:r>
          </w:p>
          <w:p>
            <w:pPr>
              <w:ind w:firstLine="210" w:firstLineChars="100"/>
              <w:rPr>
                <w:rFonts w:ascii="Calibri" w:hAnsi="Calibri" w:eastAsia="宋体" w:cs="Calibri"/>
                <w:sz w:val="21"/>
                <w:highlight w:val="none"/>
                <w:u w:val="none"/>
              </w:rPr>
            </w:pPr>
            <w:r>
              <w:rPr>
                <w:rFonts w:hint="default" w:ascii="Calibri" w:hAnsi="Calibri" w:eastAsia="宋体" w:cs="Calibri"/>
                <w:sz w:val="21"/>
                <w:highlight w:val="none"/>
              </w:rPr>
              <w:t>2.</w:t>
            </w:r>
            <w:r>
              <w:rPr>
                <w:rFonts w:hint="default" w:ascii="Calibri" w:hAnsi="Calibri" w:eastAsia="宋体" w:cs="Calibri"/>
                <w:sz w:val="21"/>
                <w:highlight w:val="none"/>
                <w:u w:val="none"/>
              </w:rPr>
              <w:t>▲投标报价大于等于最高限价的，均作无效标处理。（报价保留小数点后两位）</w:t>
            </w:r>
          </w:p>
          <w:p>
            <w:pPr>
              <w:ind w:firstLine="210" w:firstLineChars="100"/>
              <w:rPr>
                <w:rFonts w:eastAsia="宋体" w:cs="Calibri"/>
                <w:highlight w:val="none"/>
              </w:rPr>
            </w:pPr>
            <w:r>
              <w:rPr>
                <w:rFonts w:hint="default" w:eastAsia="宋体" w:cs="Calibri"/>
                <w:sz w:val="21"/>
                <w:highlight w:val="none"/>
                <w:u w:val="none"/>
              </w:rPr>
              <w:t>3.</w:t>
            </w:r>
            <w:r>
              <w:rPr>
                <w:rFonts w:eastAsia="宋体" w:cs="Calibri"/>
                <w:sz w:val="21"/>
                <w:highlight w:val="none"/>
                <w:u w:val="none"/>
              </w:rPr>
              <w:t>▲本次报价币种为人民币价。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numPr>
                <w:ilvl w:val="0"/>
                <w:numId w:val="3"/>
              </w:numPr>
              <w:ind w:firstLine="0"/>
              <w:rPr>
                <w:rFonts w:cs="Calibri"/>
                <w:highlight w:val="none"/>
              </w:rPr>
            </w:pPr>
          </w:p>
        </w:tc>
        <w:tc>
          <w:tcPr>
            <w:tcW w:w="1290" w:type="dxa"/>
            <w:vAlign w:val="center"/>
          </w:tcPr>
          <w:p>
            <w:pPr>
              <w:rPr>
                <w:rFonts w:eastAsia="宋体" w:cs="Calibri"/>
                <w:highlight w:val="none"/>
              </w:rPr>
            </w:pPr>
            <w:r>
              <w:rPr>
                <w:rFonts w:eastAsia="宋体" w:cs="Calibri"/>
                <w:highlight w:val="none"/>
              </w:rPr>
              <w:t>合同双方</w:t>
            </w:r>
          </w:p>
        </w:tc>
        <w:tc>
          <w:tcPr>
            <w:tcW w:w="7460" w:type="dxa"/>
            <w:vAlign w:val="center"/>
          </w:tcPr>
          <w:p>
            <w:pPr>
              <w:ind w:firstLine="210" w:firstLineChars="100"/>
              <w:rPr>
                <w:rFonts w:cs="Calibri"/>
                <w:highlight w:val="none"/>
              </w:rPr>
            </w:pPr>
            <w:r>
              <w:rPr>
                <w:rFonts w:cs="Calibri"/>
                <w:highlight w:val="none"/>
              </w:rPr>
              <w:t>1.本项目合同甲方为</w:t>
            </w:r>
            <w:r>
              <w:rPr>
                <w:rFonts w:hint="eastAsia" w:cs="Calibri"/>
                <w:highlight w:val="none"/>
                <w:lang w:eastAsia="zh-CN"/>
              </w:rPr>
              <w:t>湖州市吴兴区商务局</w:t>
            </w:r>
            <w:r>
              <w:rPr>
                <w:rFonts w:cs="Calibri"/>
                <w:highlight w:val="none"/>
              </w:rPr>
              <w:t>，合同乙方为</w:t>
            </w:r>
            <w:r>
              <w:rPr>
                <w:rFonts w:hint="eastAsia" w:cs="Calibri"/>
                <w:highlight w:val="none"/>
              </w:rPr>
              <w:t>成交供应商。</w:t>
            </w:r>
          </w:p>
          <w:p>
            <w:pPr>
              <w:ind w:firstLine="210" w:firstLineChars="100"/>
              <w:rPr>
                <w:rFonts w:cs="Calibri"/>
                <w:highlight w:val="none"/>
              </w:rPr>
            </w:pPr>
            <w:r>
              <w:rPr>
                <w:rFonts w:hint="eastAsia" w:cs="Calibri"/>
                <w:highlight w:val="none"/>
              </w:rPr>
              <w:t>2.</w:t>
            </w:r>
            <w:r>
              <w:rPr>
                <w:rFonts w:cs="Calibri"/>
                <w:highlight w:val="none"/>
              </w:rPr>
              <w:t>合同款</w:t>
            </w:r>
            <w:r>
              <w:rPr>
                <w:rFonts w:hint="eastAsia" w:cs="Calibri"/>
                <w:highlight w:val="none"/>
              </w:rPr>
              <w:t>由合同甲方</w:t>
            </w:r>
            <w:r>
              <w:rPr>
                <w:rFonts w:cs="Calibri"/>
                <w:highlight w:val="none"/>
              </w:rPr>
              <w:t>支付给合同乙方。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numPr>
                <w:ilvl w:val="0"/>
                <w:numId w:val="3"/>
              </w:numPr>
              <w:ind w:firstLine="0"/>
              <w:rPr>
                <w:rFonts w:cs="Calibri"/>
                <w:highlight w:val="none"/>
              </w:rPr>
            </w:pPr>
          </w:p>
        </w:tc>
        <w:tc>
          <w:tcPr>
            <w:tcW w:w="1290" w:type="dxa"/>
            <w:vAlign w:val="center"/>
          </w:tcPr>
          <w:p>
            <w:pPr>
              <w:rPr>
                <w:rFonts w:cs="Calibri"/>
                <w:highlight w:val="none"/>
              </w:rPr>
            </w:pPr>
            <w:r>
              <w:rPr>
                <w:rFonts w:cs="Calibri"/>
                <w:highlight w:val="none"/>
              </w:rPr>
              <w:t>转包或分包</w:t>
            </w:r>
          </w:p>
        </w:tc>
        <w:tc>
          <w:tcPr>
            <w:tcW w:w="7460" w:type="dxa"/>
            <w:vAlign w:val="center"/>
          </w:tcPr>
          <w:p>
            <w:pPr>
              <w:adjustRightInd/>
              <w:ind w:firstLine="210" w:firstLineChars="100"/>
              <w:rPr>
                <w:rFonts w:eastAsia="宋体" w:cs="Calibri"/>
                <w:sz w:val="21"/>
                <w:highlight w:val="none"/>
              </w:rPr>
            </w:pPr>
            <w:r>
              <w:rPr>
                <w:rFonts w:eastAsia="宋体" w:cs="Calibri"/>
                <w:sz w:val="21"/>
                <w:highlight w:val="none"/>
              </w:rPr>
              <w:t>1.</w:t>
            </w:r>
            <w:r>
              <w:rPr>
                <w:rFonts w:eastAsia="宋体" w:cs="Calibri"/>
                <w:b w:val="0"/>
                <w:bCs w:val="0"/>
                <w:sz w:val="21"/>
                <w:highlight w:val="none"/>
                <w:u w:val="none"/>
              </w:rPr>
              <w:t>本项目不得转包：合同乙方不得将本合同标的转包由其他供应商承担；</w:t>
            </w:r>
          </w:p>
          <w:p>
            <w:pPr>
              <w:adjustRightInd/>
              <w:ind w:firstLine="210" w:firstLineChars="100"/>
              <w:rPr>
                <w:rFonts w:eastAsia="宋体" w:cs="Calibri"/>
                <w:b w:val="0"/>
                <w:bCs w:val="0"/>
                <w:sz w:val="21"/>
                <w:highlight w:val="none"/>
                <w:u w:val="none"/>
              </w:rPr>
            </w:pPr>
            <w:r>
              <w:rPr>
                <w:rFonts w:eastAsia="宋体" w:cs="Calibri"/>
                <w:sz w:val="21"/>
                <w:highlight w:val="none"/>
              </w:rPr>
              <w:t>2.</w:t>
            </w:r>
            <w:r>
              <w:rPr>
                <w:rFonts w:eastAsia="宋体" w:cs="Calibri"/>
                <w:b w:val="0"/>
                <w:bCs w:val="0"/>
                <w:sz w:val="21"/>
                <w:highlight w:val="none"/>
                <w:u w:val="none"/>
              </w:rPr>
              <w:t>本项目</w:t>
            </w:r>
            <w:r>
              <w:rPr>
                <w:rFonts w:hint="default" w:eastAsia="宋体" w:cs="Calibri"/>
                <w:b w:val="0"/>
                <w:bCs w:val="0"/>
                <w:sz w:val="21"/>
                <w:highlight w:val="none"/>
                <w:u w:val="none"/>
                <w:lang w:eastAsia="zh-CN"/>
              </w:rPr>
              <w:t>不</w:t>
            </w:r>
            <w:r>
              <w:rPr>
                <w:rFonts w:eastAsia="宋体" w:cs="Calibri"/>
                <w:b w:val="0"/>
                <w:bCs w:val="0"/>
                <w:sz w:val="21"/>
                <w:highlight w:val="none"/>
                <w:u w:val="none"/>
              </w:rPr>
              <w:t>允许分包：</w:t>
            </w:r>
          </w:p>
          <w:p>
            <w:pPr>
              <w:adjustRightInd/>
              <w:ind w:firstLine="210" w:firstLineChars="100"/>
              <w:rPr>
                <w:rFonts w:eastAsia="宋体" w:cs="Calibri"/>
                <w:sz w:val="21"/>
                <w:highlight w:val="none"/>
              </w:rPr>
            </w:pPr>
            <w:r>
              <w:rPr>
                <w:rFonts w:eastAsia="宋体" w:cs="Calibri"/>
                <w:sz w:val="21"/>
                <w:highlight w:val="none"/>
              </w:rPr>
              <w:t>3.</w:t>
            </w:r>
            <w:r>
              <w:rPr>
                <w:rFonts w:eastAsia="宋体" w:cs="Calibri"/>
                <w:b w:val="0"/>
                <w:bCs w:val="0"/>
                <w:sz w:val="21"/>
                <w:highlight w:val="none"/>
                <w:u w:val="none"/>
              </w:rPr>
              <w:t>享受《政府采购促进中小企业发展管理办法》的通知（财库〔2020〕46号）的规定扶持政策获得政府采购合同的，小微企业不得将合同分包给大中型企业，中型企业不得将合同分包给大型企业。</w:t>
            </w:r>
          </w:p>
          <w:p>
            <w:pPr>
              <w:ind w:firstLine="210" w:firstLineChars="100"/>
              <w:rPr>
                <w:rFonts w:cs="Calibri"/>
                <w:highlight w:val="none"/>
              </w:rPr>
            </w:pPr>
            <w:r>
              <w:rPr>
                <w:rFonts w:eastAsia="宋体" w:cs="Calibri"/>
                <w:sz w:val="21"/>
                <w:highlight w:val="none"/>
              </w:rPr>
              <w:t>4.</w:t>
            </w:r>
            <w:r>
              <w:rPr>
                <w:rFonts w:eastAsia="宋体" w:cs="Calibri"/>
                <w:b w:val="0"/>
                <w:bCs w:val="0"/>
                <w:sz w:val="21"/>
                <w:highlight w:val="none"/>
                <w:u w:val="none"/>
              </w:rPr>
              <w:t>如有违反以上情形，合同甲方有权解除合同，并追究合同乙方的违约责任。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numPr>
                <w:ilvl w:val="0"/>
                <w:numId w:val="3"/>
              </w:numPr>
              <w:ind w:firstLine="0"/>
              <w:rPr>
                <w:rFonts w:cs="Calibri"/>
                <w:highlight w:val="none"/>
              </w:rPr>
            </w:pPr>
          </w:p>
        </w:tc>
        <w:tc>
          <w:tcPr>
            <w:tcW w:w="1290" w:type="dxa"/>
            <w:vAlign w:val="center"/>
          </w:tcPr>
          <w:p>
            <w:pPr>
              <w:rPr>
                <w:rFonts w:cs="Calibri"/>
                <w:highlight w:val="none"/>
              </w:rPr>
            </w:pPr>
            <w:r>
              <w:rPr>
                <w:rFonts w:cs="Calibri"/>
                <w:highlight w:val="none"/>
              </w:rPr>
              <w:t>履约保证金</w:t>
            </w:r>
          </w:p>
        </w:tc>
        <w:tc>
          <w:tcPr>
            <w:tcW w:w="7460" w:type="dxa"/>
            <w:vAlign w:val="center"/>
          </w:tcPr>
          <w:p>
            <w:pPr>
              <w:adjustRightInd/>
              <w:ind w:firstLine="210" w:firstLineChars="100"/>
              <w:rPr>
                <w:rFonts w:eastAsia="宋体" w:cs="Calibri"/>
                <w:sz w:val="21"/>
                <w:highlight w:val="none"/>
              </w:rPr>
            </w:pPr>
            <w:r>
              <w:rPr>
                <w:rFonts w:eastAsia="宋体" w:cs="Calibri"/>
                <w:sz w:val="21"/>
                <w:highlight w:val="none"/>
              </w:rPr>
              <w:t>1.合同乙方应在合同签订后</w:t>
            </w:r>
            <w:r>
              <w:rPr>
                <w:rFonts w:hint="default" w:eastAsia="宋体" w:cs="Calibri"/>
                <w:sz w:val="21"/>
                <w:highlight w:val="none"/>
                <w:u w:val="none"/>
              </w:rPr>
              <w:t>5</w:t>
            </w:r>
            <w:r>
              <w:rPr>
                <w:rFonts w:eastAsia="宋体" w:cs="Calibri"/>
                <w:sz w:val="21"/>
                <w:highlight w:val="none"/>
              </w:rPr>
              <w:t>个工作日内向合同甲方提交履约保证金为【</w:t>
            </w:r>
            <w:r>
              <w:rPr>
                <w:rFonts w:hint="default" w:ascii="Calibri" w:hAnsi="Calibri" w:eastAsia="宋体" w:cs="Calibri"/>
                <w:sz w:val="21"/>
                <w:highlight w:val="none"/>
              </w:rPr>
              <w:t>合同金额的1%</w:t>
            </w:r>
            <w:r>
              <w:rPr>
                <w:rFonts w:eastAsia="宋体" w:cs="Calibri"/>
                <w:sz w:val="21"/>
                <w:highlight w:val="none"/>
              </w:rPr>
              <w:t>】元。</w:t>
            </w:r>
          </w:p>
          <w:p>
            <w:pPr>
              <w:adjustRightInd/>
              <w:ind w:firstLine="210" w:firstLineChars="100"/>
              <w:rPr>
                <w:rFonts w:eastAsia="宋体" w:cs="Calibri"/>
                <w:sz w:val="21"/>
                <w:highlight w:val="none"/>
              </w:rPr>
            </w:pPr>
            <w:r>
              <w:rPr>
                <w:rFonts w:eastAsia="宋体" w:cs="Calibri"/>
                <w:sz w:val="21"/>
                <w:highlight w:val="none"/>
              </w:rPr>
              <w:t>2.履约保证金应使用本合同货币，按下述方式中【</w:t>
            </w:r>
            <w:r>
              <w:rPr>
                <w:rFonts w:hint="eastAsia" w:eastAsia="宋体" w:cs="Calibri"/>
                <w:sz w:val="21"/>
                <w:highlight w:val="none"/>
                <w:lang w:eastAsia="zh-CN"/>
              </w:rPr>
              <w:t xml:space="preserve"> </w:t>
            </w:r>
            <w:r>
              <w:rPr>
                <w:rFonts w:hint="eastAsia" w:eastAsia="宋体" w:cs="Calibri"/>
                <w:sz w:val="21"/>
                <w:highlight w:val="none"/>
                <w:lang w:val="en-US" w:eastAsia="zh-CN"/>
              </w:rPr>
              <w:t xml:space="preserve">  </w:t>
            </w:r>
            <w:r>
              <w:rPr>
                <w:rFonts w:eastAsia="宋体" w:cs="Calibri"/>
                <w:sz w:val="21"/>
                <w:highlight w:val="none"/>
              </w:rPr>
              <w:t>】形式提交：</w:t>
            </w:r>
          </w:p>
          <w:p>
            <w:pPr>
              <w:adjustRightInd/>
              <w:ind w:firstLine="210" w:firstLineChars="100"/>
              <w:rPr>
                <w:rFonts w:eastAsia="宋体" w:cs="Calibri"/>
                <w:sz w:val="21"/>
                <w:highlight w:val="none"/>
              </w:rPr>
            </w:pPr>
            <w:r>
              <w:rPr>
                <w:rFonts w:eastAsia="宋体" w:cs="Calibri"/>
                <w:sz w:val="21"/>
                <w:highlight w:val="none"/>
              </w:rPr>
              <w:t>A.在中华人民共和国注册和营业的银行出具的保函，或保险公司出具的保函；</w:t>
            </w:r>
          </w:p>
          <w:p>
            <w:pPr>
              <w:adjustRightInd/>
              <w:ind w:firstLine="210" w:firstLineChars="100"/>
              <w:rPr>
                <w:rFonts w:eastAsia="宋体" w:cs="Calibri"/>
                <w:sz w:val="21"/>
                <w:highlight w:val="none"/>
              </w:rPr>
            </w:pPr>
            <w:r>
              <w:rPr>
                <w:rFonts w:eastAsia="宋体" w:cs="Calibri"/>
                <w:sz w:val="21"/>
                <w:highlight w:val="none"/>
              </w:rPr>
              <w:t>B.支票；</w:t>
            </w:r>
          </w:p>
          <w:p>
            <w:pPr>
              <w:adjustRightInd/>
              <w:ind w:firstLine="210" w:firstLineChars="100"/>
              <w:rPr>
                <w:rFonts w:eastAsia="宋体" w:cs="Calibri"/>
                <w:sz w:val="21"/>
                <w:highlight w:val="none"/>
              </w:rPr>
            </w:pPr>
            <w:r>
              <w:rPr>
                <w:rFonts w:eastAsia="宋体" w:cs="Calibri"/>
                <w:sz w:val="21"/>
                <w:highlight w:val="none"/>
              </w:rPr>
              <w:t>C.汇票；</w:t>
            </w:r>
          </w:p>
          <w:p>
            <w:pPr>
              <w:adjustRightInd/>
              <w:ind w:firstLine="210" w:firstLineChars="100"/>
              <w:rPr>
                <w:rFonts w:eastAsia="宋体" w:cs="Calibri"/>
                <w:sz w:val="21"/>
                <w:highlight w:val="none"/>
              </w:rPr>
            </w:pPr>
            <w:r>
              <w:rPr>
                <w:rFonts w:eastAsia="宋体" w:cs="Calibri"/>
                <w:sz w:val="21"/>
                <w:highlight w:val="none"/>
              </w:rPr>
              <w:t>D.其他非现金形式。</w:t>
            </w:r>
          </w:p>
          <w:p>
            <w:pPr>
              <w:adjustRightInd/>
              <w:ind w:firstLine="210" w:firstLineChars="100"/>
              <w:rPr>
                <w:rFonts w:eastAsia="宋体" w:cs="Calibri"/>
                <w:sz w:val="21"/>
                <w:highlight w:val="none"/>
              </w:rPr>
            </w:pPr>
            <w:r>
              <w:rPr>
                <w:rFonts w:eastAsia="宋体" w:cs="Calibri"/>
                <w:sz w:val="21"/>
                <w:highlight w:val="none"/>
              </w:rPr>
              <w:t>3.履约保证金有效期限：合同签订之日起至项目通过合同甲方验收后结束。</w:t>
            </w:r>
          </w:p>
          <w:p>
            <w:pPr>
              <w:adjustRightInd/>
              <w:ind w:firstLine="210" w:firstLineChars="100"/>
              <w:rPr>
                <w:rFonts w:eastAsia="宋体" w:cs="Calibri"/>
                <w:sz w:val="21"/>
                <w:highlight w:val="none"/>
              </w:rPr>
            </w:pPr>
            <w:r>
              <w:rPr>
                <w:rFonts w:eastAsia="宋体" w:cs="Calibri"/>
                <w:sz w:val="21"/>
                <w:highlight w:val="none"/>
              </w:rPr>
              <w:t>4.履约保证金退还：</w:t>
            </w:r>
          </w:p>
          <w:p>
            <w:pPr>
              <w:adjustRightInd/>
              <w:ind w:firstLine="210" w:firstLineChars="100"/>
              <w:rPr>
                <w:rFonts w:eastAsia="宋体" w:cs="Calibri"/>
                <w:sz w:val="21"/>
                <w:highlight w:val="none"/>
              </w:rPr>
            </w:pPr>
            <w:r>
              <w:rPr>
                <w:rFonts w:hint="eastAsia" w:eastAsia="宋体" w:cs="Calibri"/>
                <w:kern w:val="2"/>
                <w:sz w:val="21"/>
                <w:highlight w:val="none"/>
                <w:lang w:eastAsia="zh-CN"/>
              </w:rPr>
              <w:t>□</w:t>
            </w:r>
            <w:r>
              <w:rPr>
                <w:rFonts w:eastAsia="宋体" w:cs="Calibri"/>
                <w:sz w:val="21"/>
                <w:highlight w:val="none"/>
              </w:rPr>
              <w:t>有效期限满后七工作日内将本保函正本退还。</w:t>
            </w:r>
          </w:p>
          <w:p>
            <w:pPr>
              <w:adjustRightInd/>
              <w:ind w:firstLine="210" w:firstLineChars="100"/>
              <w:rPr>
                <w:rFonts w:eastAsia="宋体" w:cs="Calibri"/>
                <w:sz w:val="21"/>
                <w:highlight w:val="none"/>
              </w:rPr>
            </w:pPr>
            <w:r>
              <w:rPr>
                <w:rFonts w:hint="eastAsia" w:eastAsia="宋体" w:cs="Calibri"/>
                <w:kern w:val="2"/>
                <w:sz w:val="21"/>
                <w:highlight w:val="none"/>
                <w:lang w:eastAsia="zh-CN"/>
              </w:rPr>
              <w:t>□</w:t>
            </w:r>
            <w:r>
              <w:rPr>
                <w:rFonts w:eastAsia="宋体" w:cs="Calibri"/>
                <w:sz w:val="21"/>
                <w:highlight w:val="none"/>
              </w:rPr>
              <w:t>支票等其他形式：有效期限满后七工作日内退还履约保证金。</w:t>
            </w:r>
          </w:p>
          <w:p>
            <w:pPr>
              <w:ind w:firstLine="210" w:firstLineChars="100"/>
              <w:rPr>
                <w:rFonts w:eastAsia="宋体" w:cs="Calibri"/>
                <w:highlight w:val="none"/>
              </w:rPr>
            </w:pPr>
            <w:r>
              <w:rPr>
                <w:rFonts w:eastAsia="宋体" w:cs="Calibri"/>
                <w:sz w:val="21"/>
                <w:highlight w:val="none"/>
              </w:rPr>
              <w:t>说明：合同乙方也可以采取其他形式提交履约保证金。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numPr>
                <w:ilvl w:val="0"/>
                <w:numId w:val="3"/>
              </w:numPr>
              <w:ind w:firstLine="0"/>
              <w:rPr>
                <w:rFonts w:cs="Calibri"/>
                <w:highlight w:val="none"/>
              </w:rPr>
            </w:pPr>
          </w:p>
        </w:tc>
        <w:tc>
          <w:tcPr>
            <w:tcW w:w="1290" w:type="dxa"/>
            <w:vAlign w:val="center"/>
          </w:tcPr>
          <w:p>
            <w:pPr>
              <w:rPr>
                <w:rFonts w:hint="eastAsia" w:eastAsia="宋体" w:cs="Calibri"/>
                <w:highlight w:val="none"/>
              </w:rPr>
            </w:pPr>
            <w:r>
              <w:rPr>
                <w:rFonts w:hint="eastAsia" w:eastAsia="宋体" w:cs="Calibri"/>
                <w:highlight w:val="none"/>
              </w:rPr>
              <w:t>付款条件</w:t>
            </w:r>
          </w:p>
        </w:tc>
        <w:tc>
          <w:tcPr>
            <w:tcW w:w="7460" w:type="dxa"/>
            <w:vAlign w:val="center"/>
          </w:tcPr>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pPr>
                    <w:jc w:val="left"/>
                    <w:rPr>
                      <w:rFonts w:cs="Calibri"/>
                      <w:highlight w:val="none"/>
                    </w:rPr>
                  </w:pPr>
                  <w:r>
                    <w:rPr>
                      <w:rFonts w:cs="Calibri"/>
                      <w:highlight w:val="none"/>
                    </w:rPr>
                    <w:t>付款次数</w:t>
                  </w:r>
                </w:p>
              </w:tc>
              <w:tc>
                <w:tcPr>
                  <w:tcW w:w="1918" w:type="dxa"/>
                  <w:vAlign w:val="center"/>
                </w:tcPr>
                <w:p>
                  <w:pPr>
                    <w:rPr>
                      <w:rFonts w:cs="Calibri"/>
                      <w:highlight w:val="none"/>
                    </w:rPr>
                  </w:pPr>
                  <w:r>
                    <w:rPr>
                      <w:rFonts w:cs="Calibri"/>
                      <w:highlight w:val="none"/>
                    </w:rPr>
                    <w:t>约定支付条件</w:t>
                  </w:r>
                </w:p>
              </w:tc>
              <w:tc>
                <w:tcPr>
                  <w:tcW w:w="4644" w:type="dxa"/>
                  <w:vAlign w:val="center"/>
                </w:tcPr>
                <w:p>
                  <w:pPr>
                    <w:rPr>
                      <w:rFonts w:cs="Calibri"/>
                      <w:highlight w:val="none"/>
                    </w:rPr>
                  </w:pPr>
                  <w:r>
                    <w:rPr>
                      <w:rFonts w:cs="Calibri"/>
                      <w:highlight w:val="none"/>
                    </w:rPr>
                    <w:t>付款条件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72" w:type="dxa"/>
                  <w:vAlign w:val="center"/>
                </w:tcPr>
                <w:p>
                  <w:pPr>
                    <w:numPr>
                      <w:ilvl w:val="0"/>
                      <w:numId w:val="4"/>
                    </w:numPr>
                    <w:ind w:firstLine="0"/>
                    <w:rPr>
                      <w:rFonts w:cs="Calibri"/>
                      <w:highlight w:val="none"/>
                    </w:rPr>
                  </w:pPr>
                </w:p>
              </w:tc>
              <w:tc>
                <w:tcPr>
                  <w:tcW w:w="1918" w:type="dxa"/>
                  <w:vAlign w:val="center"/>
                </w:tcPr>
                <w:p>
                  <w:pPr>
                    <w:rPr>
                      <w:rFonts w:hint="eastAsia" w:eastAsia="宋体" w:cs="Calibri"/>
                      <w:snapToGrid w:val="0"/>
                      <w:szCs w:val="21"/>
                      <w:highlight w:val="none"/>
                    </w:rPr>
                  </w:pPr>
                  <w:r>
                    <w:rPr>
                      <w:rFonts w:hint="eastAsia" w:ascii="Calibri" w:hAnsi="Calibri" w:eastAsia="宋体" w:cs="Calibri"/>
                      <w:snapToGrid w:val="0"/>
                      <w:sz w:val="21"/>
                      <w:szCs w:val="21"/>
                      <w:highlight w:val="none"/>
                    </w:rPr>
                    <w:t>合同生效以及具备实施条件后</w:t>
                  </w:r>
                </w:p>
              </w:tc>
              <w:tc>
                <w:tcPr>
                  <w:tcW w:w="4644" w:type="dxa"/>
                  <w:vAlign w:val="center"/>
                </w:tcPr>
                <w:p>
                  <w:pPr>
                    <w:rPr>
                      <w:rFonts w:hint="eastAsia" w:eastAsia="宋体" w:cs="Calibri"/>
                      <w:snapToGrid w:val="0"/>
                      <w:szCs w:val="21"/>
                      <w:highlight w:val="none"/>
                    </w:rPr>
                  </w:pPr>
                  <w:r>
                    <w:rPr>
                      <w:rFonts w:hint="eastAsia" w:ascii="Calibri" w:hAnsi="Calibri" w:eastAsia="宋体" w:cs="Calibri"/>
                      <w:snapToGrid w:val="0"/>
                      <w:sz w:val="21"/>
                      <w:szCs w:val="21"/>
                      <w:highlight w:val="none"/>
                    </w:rPr>
                    <w:t>满足合同约定支付条件，合同甲方向合同乙方支付合同总价</w:t>
                  </w:r>
                  <w:r>
                    <w:rPr>
                      <w:rFonts w:hint="eastAsia" w:ascii="Calibri" w:hAnsi="Calibri" w:eastAsia="宋体" w:cs="Calibri"/>
                      <w:snapToGrid w:val="0"/>
                      <w:sz w:val="21"/>
                      <w:szCs w:val="21"/>
                      <w:highlight w:val="none"/>
                      <w:lang w:val="en-US" w:eastAsia="zh-CN"/>
                    </w:rPr>
                    <w:t>4</w:t>
                  </w:r>
                  <w:r>
                    <w:rPr>
                      <w:rFonts w:hint="eastAsia" w:ascii="Calibri" w:hAnsi="Calibri" w:eastAsia="宋体" w:cs="Calibri"/>
                      <w:snapToGrid w:val="0"/>
                      <w:sz w:val="21"/>
                      <w:szCs w:val="21"/>
                      <w:highlight w:val="none"/>
                    </w:rPr>
                    <w:t>0%的预付款；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72" w:type="dxa"/>
                  <w:vAlign w:val="center"/>
                </w:tcPr>
                <w:p>
                  <w:pPr>
                    <w:numPr>
                      <w:ilvl w:val="0"/>
                      <w:numId w:val="4"/>
                    </w:numPr>
                    <w:ind w:firstLine="0"/>
                    <w:rPr>
                      <w:rFonts w:cs="Calibri"/>
                      <w:highlight w:val="none"/>
                    </w:rPr>
                  </w:pPr>
                </w:p>
              </w:tc>
              <w:tc>
                <w:tcPr>
                  <w:tcW w:w="1918" w:type="dxa"/>
                  <w:vAlign w:val="center"/>
                </w:tcPr>
                <w:p>
                  <w:pPr>
                    <w:rPr>
                      <w:rFonts w:hint="eastAsia" w:eastAsia="宋体" w:cs="Calibri"/>
                      <w:snapToGrid w:val="0"/>
                      <w:szCs w:val="21"/>
                      <w:highlight w:val="none"/>
                    </w:rPr>
                  </w:pPr>
                  <w:r>
                    <w:rPr>
                      <w:rFonts w:hint="eastAsia" w:ascii="Calibri" w:hAnsi="Calibri" w:eastAsia="宋体" w:cs="Calibri"/>
                      <w:snapToGrid w:val="0"/>
                      <w:sz w:val="21"/>
                      <w:szCs w:val="21"/>
                      <w:highlight w:val="none"/>
                      <w:lang w:eastAsia="zh-CN"/>
                    </w:rPr>
                    <w:t>剩余费用</w:t>
                  </w:r>
                </w:p>
              </w:tc>
              <w:tc>
                <w:tcPr>
                  <w:tcW w:w="4644" w:type="dxa"/>
                  <w:vAlign w:val="center"/>
                </w:tcPr>
                <w:p>
                  <w:pPr>
                    <w:rPr>
                      <w:rFonts w:hint="eastAsia" w:eastAsia="宋体" w:cs="Calibri"/>
                      <w:snapToGrid w:val="0"/>
                      <w:szCs w:val="21"/>
                      <w:highlight w:val="none"/>
                    </w:rPr>
                  </w:pPr>
                  <w:r>
                    <w:rPr>
                      <w:rFonts w:hint="eastAsia" w:ascii="Calibri" w:hAnsi="Calibri" w:eastAsia="宋体" w:cs="Calibri"/>
                      <w:snapToGrid w:val="0"/>
                      <w:sz w:val="21"/>
                      <w:szCs w:val="21"/>
                      <w:highlight w:val="none"/>
                      <w:lang w:val="en-US"/>
                    </w:rPr>
                    <w:t>余款</w:t>
                  </w:r>
                  <w:r>
                    <w:rPr>
                      <w:rFonts w:hint="eastAsia" w:ascii="Calibri" w:hAnsi="Calibri" w:eastAsia="宋体" w:cs="Calibri"/>
                      <w:snapToGrid w:val="0"/>
                      <w:sz w:val="21"/>
                      <w:szCs w:val="21"/>
                      <w:highlight w:val="none"/>
                      <w:lang w:val="en-US" w:eastAsia="zh-CN"/>
                    </w:rPr>
                    <w:t>在</w:t>
                  </w:r>
                  <w:r>
                    <w:rPr>
                      <w:rFonts w:hint="eastAsia" w:ascii="Calibri" w:hAnsi="Calibri" w:eastAsia="宋体" w:cs="Calibri"/>
                      <w:snapToGrid w:val="0"/>
                      <w:sz w:val="21"/>
                      <w:szCs w:val="21"/>
                      <w:highlight w:val="none"/>
                      <w:lang w:val="en-US"/>
                    </w:rPr>
                    <w:t>采购项目履行完毕并经过采购人书面确认后支付</w:t>
                  </w:r>
                  <w:r>
                    <w:rPr>
                      <w:rFonts w:hint="eastAsia" w:ascii="Calibri" w:hAnsi="Calibri" w:eastAsia="宋体" w:cs="Calibri"/>
                      <w:snapToGrid w:val="0"/>
                      <w:sz w:val="21"/>
                      <w:szCs w:val="21"/>
                      <w:highlight w:val="none"/>
                    </w:rPr>
                    <w:t>。</w:t>
                  </w:r>
                </w:p>
              </w:tc>
            </w:tr>
          </w:tbl>
          <w:p>
            <w:pPr>
              <w:ind w:firstLine="210" w:firstLineChars="100"/>
              <w:rPr>
                <w:rFonts w:ascii="宋体" w:hAnsi="宋体" w:cs="宋体"/>
                <w:highlight w:val="none"/>
              </w:rPr>
            </w:pPr>
            <w:r>
              <w:rPr>
                <w:rFonts w:hint="eastAsia" w:ascii="宋体" w:hAnsi="宋体" w:cs="宋体"/>
                <w:highlight w:val="none"/>
              </w:rPr>
              <w:t>说明：</w:t>
            </w:r>
          </w:p>
          <w:p>
            <w:pPr>
              <w:ind w:firstLine="210" w:firstLineChars="100"/>
              <w:rPr>
                <w:rFonts w:ascii="宋体" w:hAnsi="宋体" w:cs="宋体"/>
                <w:highlight w:val="none"/>
              </w:rPr>
            </w:pPr>
            <w:r>
              <w:rPr>
                <w:rFonts w:hint="eastAsia" w:ascii="宋体" w:hAnsi="宋体" w:cs="宋体"/>
                <w:highlight w:val="none"/>
              </w:rPr>
              <w:t>（1）在签订合同时，如合同乙方明确表示无需预付款或者主动要求降低预付款比例的，预付款比例以双方协商为准。</w:t>
            </w:r>
          </w:p>
          <w:p>
            <w:pPr>
              <w:ind w:firstLine="210" w:firstLineChars="100"/>
              <w:rPr>
                <w:rFonts w:ascii="宋体" w:hAnsi="宋体" w:cs="宋体"/>
                <w:highlight w:val="none"/>
              </w:rPr>
            </w:pPr>
            <w:r>
              <w:rPr>
                <w:rFonts w:hint="eastAsia" w:ascii="宋体" w:hAnsi="宋体" w:cs="宋体"/>
                <w:highlight w:val="none"/>
              </w:rPr>
              <w:t>（2）预付款：合同生效以及具备实施条件后7个工作日内支付；</w:t>
            </w:r>
          </w:p>
          <w:p>
            <w:pPr>
              <w:ind w:firstLine="210" w:firstLineChars="100"/>
              <w:rPr>
                <w:rFonts w:ascii="宋体" w:hAnsi="宋体" w:cs="宋体"/>
                <w:highlight w:val="none"/>
              </w:rPr>
            </w:pPr>
            <w:r>
              <w:rPr>
                <w:rFonts w:hint="eastAsia" w:ascii="宋体" w:hAnsi="宋体" w:cs="宋体"/>
                <w:szCs w:val="21"/>
                <w:highlight w:val="none"/>
              </w:rPr>
              <w:t>合同甲方要求合同乙方提交银行、保险公司等金融机构出具的预付款保函。</w:t>
            </w:r>
          </w:p>
          <w:p>
            <w:pPr>
              <w:ind w:firstLine="210" w:firstLineChars="100"/>
              <w:rPr>
                <w:rFonts w:cs="Calibri"/>
                <w:highlight w:val="none"/>
              </w:rPr>
            </w:pPr>
            <w:r>
              <w:rPr>
                <w:rFonts w:hint="eastAsia" w:ascii="宋体" w:hAnsi="宋体" w:cs="宋体"/>
                <w:szCs w:val="21"/>
                <w:highlight w:val="none"/>
              </w:rPr>
              <w:t>（3）</w:t>
            </w:r>
            <w:r>
              <w:rPr>
                <w:rFonts w:hint="eastAsia" w:ascii="宋体" w:hAnsi="宋体" w:cs="宋体"/>
                <w:highlight w:val="none"/>
              </w:rPr>
              <w:t>其余合同款：满足支付条件后，</w:t>
            </w:r>
            <w:r>
              <w:rPr>
                <w:rFonts w:hint="eastAsia" w:ascii="宋体" w:hAnsi="宋体" w:cs="宋体"/>
                <w:szCs w:val="21"/>
                <w:highlight w:val="none"/>
              </w:rPr>
              <w:t>合同甲方</w:t>
            </w:r>
            <w:r>
              <w:rPr>
                <w:rFonts w:hint="eastAsia" w:ascii="宋体" w:hAnsi="宋体" w:cs="宋体"/>
                <w:highlight w:val="none"/>
              </w:rPr>
              <w:t>收到乙方提交的正规票据（符合</w:t>
            </w:r>
            <w:r>
              <w:rPr>
                <w:rFonts w:hint="eastAsia" w:ascii="宋体" w:hAnsi="宋体" w:cs="宋体"/>
                <w:szCs w:val="21"/>
                <w:highlight w:val="none"/>
              </w:rPr>
              <w:t>合同甲方</w:t>
            </w:r>
            <w:r>
              <w:rPr>
                <w:rFonts w:hint="eastAsia" w:ascii="宋体" w:hAnsi="宋体" w:cs="宋体"/>
                <w:highlight w:val="none"/>
              </w:rPr>
              <w:t>财务管理要求）后7个工作日内支付至</w:t>
            </w:r>
            <w:r>
              <w:rPr>
                <w:rFonts w:hint="eastAsia" w:ascii="宋体" w:hAnsi="宋体" w:cs="宋体"/>
                <w:szCs w:val="21"/>
                <w:highlight w:val="none"/>
              </w:rPr>
              <w:t>合同乙方</w:t>
            </w:r>
            <w:r>
              <w:rPr>
                <w:rFonts w:hint="eastAsia" w:ascii="宋体" w:hAnsi="宋体" w:cs="宋体"/>
                <w:highlight w:val="none"/>
              </w:rPr>
              <w:t>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numPr>
                <w:ilvl w:val="0"/>
                <w:numId w:val="3"/>
              </w:numPr>
              <w:ind w:firstLine="0"/>
              <w:rPr>
                <w:rFonts w:cs="Calibri"/>
                <w:highlight w:val="none"/>
              </w:rPr>
            </w:pPr>
          </w:p>
        </w:tc>
        <w:tc>
          <w:tcPr>
            <w:tcW w:w="1290" w:type="dxa"/>
            <w:vAlign w:val="center"/>
          </w:tcPr>
          <w:p>
            <w:pPr>
              <w:rPr>
                <w:rFonts w:hint="eastAsia" w:ascii="Calibri" w:hAnsi="Calibri" w:eastAsia="宋体" w:cs="Calibri"/>
                <w:kern w:val="2"/>
                <w:sz w:val="21"/>
                <w:szCs w:val="24"/>
                <w:highlight w:val="none"/>
                <w:lang w:val="en-US" w:eastAsia="zh-CN" w:bidi="ar-SA"/>
              </w:rPr>
            </w:pPr>
            <w:r>
              <w:rPr>
                <w:rFonts w:hint="eastAsia" w:eastAsia="宋体" w:cs="Calibri"/>
                <w:sz w:val="21"/>
                <w:highlight w:val="none"/>
              </w:rPr>
              <w:t>服务期限及地点</w:t>
            </w:r>
          </w:p>
        </w:tc>
        <w:tc>
          <w:tcPr>
            <w:tcW w:w="7460" w:type="dxa"/>
            <w:vAlign w:val="center"/>
          </w:tcPr>
          <w:p>
            <w:pPr>
              <w:adjustRightInd/>
              <w:ind w:firstLine="210" w:firstLineChars="100"/>
              <w:rPr>
                <w:rFonts w:hint="eastAsia" w:ascii="宋体" w:hAnsi="宋体" w:eastAsia="宋体" w:cs="宋体"/>
                <w:sz w:val="21"/>
                <w:highlight w:val="none"/>
              </w:rPr>
            </w:pPr>
            <w:r>
              <w:rPr>
                <w:rFonts w:hint="eastAsia" w:ascii="宋体" w:hAnsi="宋体" w:eastAsia="宋体" w:cs="宋体"/>
                <w:sz w:val="21"/>
                <w:highlight w:val="none"/>
              </w:rPr>
              <w:t>1.服务期：</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年（具体服务开始日期以采购人通知为准）。</w:t>
            </w:r>
          </w:p>
          <w:p>
            <w:pPr>
              <w:adjustRightInd/>
              <w:ind w:firstLine="210" w:firstLineChars="100"/>
              <w:rPr>
                <w:rFonts w:hint="eastAsia" w:ascii="Calibri" w:hAnsi="Calibri" w:eastAsia="宋体" w:cs="Calibri"/>
                <w:kern w:val="2"/>
                <w:sz w:val="24"/>
                <w:szCs w:val="24"/>
                <w:highlight w:val="none"/>
                <w:lang w:val="en-US" w:eastAsia="zh-CN" w:bidi="ar-SA"/>
              </w:rPr>
            </w:pPr>
            <w:r>
              <w:rPr>
                <w:rFonts w:hint="eastAsia" w:ascii="宋体" w:hAnsi="宋体" w:eastAsia="宋体" w:cs="宋体"/>
                <w:sz w:val="21"/>
                <w:highlight w:val="none"/>
              </w:rPr>
              <w:t>2.服务地点：采购人指定处。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numPr>
                <w:ilvl w:val="0"/>
                <w:numId w:val="3"/>
              </w:numPr>
              <w:ind w:firstLine="0"/>
              <w:rPr>
                <w:rFonts w:cs="Calibri"/>
                <w:highlight w:val="none"/>
              </w:rPr>
            </w:pPr>
          </w:p>
        </w:tc>
        <w:tc>
          <w:tcPr>
            <w:tcW w:w="1290" w:type="dxa"/>
            <w:vAlign w:val="center"/>
          </w:tcPr>
          <w:p>
            <w:pPr>
              <w:rPr>
                <w:rFonts w:hint="eastAsia" w:eastAsia="宋体" w:cs="Calibri"/>
                <w:highlight w:val="none"/>
              </w:rPr>
            </w:pPr>
            <w:r>
              <w:rPr>
                <w:rFonts w:hint="eastAsia" w:eastAsia="宋体" w:cs="Calibri"/>
                <w:highlight w:val="none"/>
              </w:rPr>
              <w:t>项目考核</w:t>
            </w:r>
            <w:r>
              <w:rPr>
                <w:rFonts w:hint="eastAsia" w:eastAsia="宋体" w:cs="Calibri"/>
                <w:highlight w:val="none"/>
                <w:lang w:eastAsia="zh-CN"/>
              </w:rPr>
              <w:t>验收</w:t>
            </w:r>
          </w:p>
        </w:tc>
        <w:tc>
          <w:tcPr>
            <w:tcW w:w="7460" w:type="dxa"/>
            <w:vAlign w:val="center"/>
          </w:tcPr>
          <w:p>
            <w:pPr>
              <w:adjustRightInd/>
              <w:ind w:firstLine="210" w:firstLineChars="100"/>
              <w:rPr>
                <w:rFonts w:hint="eastAsia" w:ascii="宋体" w:hAnsi="宋体" w:eastAsia="宋体" w:cs="宋体"/>
                <w:sz w:val="21"/>
                <w:highlight w:val="none"/>
              </w:rPr>
            </w:pPr>
            <w:r>
              <w:rPr>
                <w:rFonts w:hint="eastAsia" w:ascii="宋体" w:hAnsi="宋体" w:eastAsia="宋体" w:cs="宋体"/>
                <w:sz w:val="21"/>
                <w:highlight w:val="none"/>
              </w:rPr>
              <w:t>1.合同乙方应保质保量按时按约完成项目合同规定的各项工作，并于完成时按要求递交相关成果及佐证材料等。</w:t>
            </w:r>
          </w:p>
          <w:p>
            <w:pPr>
              <w:adjustRightInd/>
              <w:ind w:firstLine="210" w:firstLineChars="100"/>
              <w:rPr>
                <w:rFonts w:hint="eastAsia" w:ascii="宋体" w:hAnsi="宋体" w:eastAsia="宋体" w:cs="宋体"/>
                <w:sz w:val="21"/>
                <w:highlight w:val="none"/>
              </w:rPr>
            </w:pPr>
            <w:r>
              <w:rPr>
                <w:rFonts w:hint="eastAsia" w:ascii="宋体" w:hAnsi="宋体" w:eastAsia="宋体" w:cs="宋体"/>
                <w:sz w:val="21"/>
                <w:highlight w:val="none"/>
              </w:rPr>
              <w:t>2.完成项目内容后，合同乙方应及时向合同甲方发出书面验收申请，合同甲方在收到合同乙方书面验收申请后，组织实施验收和履约评价。</w:t>
            </w:r>
          </w:p>
          <w:p>
            <w:pPr>
              <w:adjustRightInd/>
              <w:ind w:firstLine="210" w:firstLineChars="100"/>
              <w:rPr>
                <w:rFonts w:hint="eastAsia" w:ascii="宋体" w:hAnsi="宋体" w:eastAsia="宋体" w:cs="宋体"/>
                <w:sz w:val="21"/>
                <w:highlight w:val="none"/>
              </w:rPr>
            </w:pPr>
            <w:r>
              <w:rPr>
                <w:rFonts w:hint="eastAsia" w:ascii="宋体" w:hAnsi="宋体" w:eastAsia="宋体" w:cs="宋体"/>
                <w:sz w:val="21"/>
                <w:highlight w:val="none"/>
              </w:rPr>
              <w:t>3.合同甲方将对合同乙方的项目质量进行客观评估。验收小组完成验收后出具验收（评审）意见。</w:t>
            </w:r>
          </w:p>
          <w:p>
            <w:pPr>
              <w:adjustRightInd/>
              <w:ind w:firstLine="210" w:firstLineChars="100"/>
              <w:rPr>
                <w:rFonts w:hint="eastAsia" w:ascii="宋体" w:hAnsi="宋体" w:eastAsia="宋体" w:cs="宋体"/>
                <w:sz w:val="21"/>
                <w:highlight w:val="none"/>
              </w:rPr>
            </w:pPr>
            <w:r>
              <w:rPr>
                <w:rFonts w:hint="eastAsia" w:ascii="宋体" w:hAnsi="宋体" w:eastAsia="宋体" w:cs="宋体"/>
                <w:sz w:val="21"/>
                <w:highlight w:val="none"/>
              </w:rPr>
              <w:t>4.对验收通过的项目，合同甲方将按照合同如期支付合同款。</w:t>
            </w:r>
          </w:p>
          <w:p>
            <w:pPr>
              <w:adjustRightInd/>
              <w:ind w:firstLine="210" w:firstLineChars="100"/>
              <w:rPr>
                <w:rFonts w:hint="eastAsia" w:ascii="宋体" w:hAnsi="宋体" w:eastAsia="宋体" w:cs="宋体"/>
                <w:sz w:val="21"/>
                <w:highlight w:val="none"/>
              </w:rPr>
            </w:pPr>
            <w:r>
              <w:rPr>
                <w:rFonts w:hint="eastAsia" w:ascii="宋体" w:hAnsi="宋体" w:eastAsia="宋体" w:cs="宋体"/>
                <w:sz w:val="21"/>
                <w:highlight w:val="none"/>
              </w:rPr>
              <w:t>5.对验收未通过的项目，将按合同约定要求供应商限期整改。对无法整改或整改后仍未达到合同要求的项目，将按验收不通过处理。</w:t>
            </w:r>
          </w:p>
          <w:p>
            <w:pPr>
              <w:ind w:firstLine="210" w:firstLineChars="100"/>
              <w:rPr>
                <w:rFonts w:hint="eastAsia" w:ascii="宋体" w:hAnsi="宋体" w:eastAsia="宋体" w:cs="宋体"/>
                <w:highlight w:val="none"/>
              </w:rPr>
            </w:pPr>
            <w:r>
              <w:rPr>
                <w:rFonts w:hint="eastAsia" w:ascii="宋体" w:hAnsi="宋体" w:eastAsia="宋体" w:cs="宋体"/>
                <w:sz w:val="21"/>
                <w:highlight w:val="none"/>
              </w:rPr>
              <w:t>6.验收组织、验收方式、验收程序按相关规定执行。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numPr>
                <w:ilvl w:val="0"/>
                <w:numId w:val="3"/>
              </w:numPr>
              <w:ind w:firstLine="0"/>
              <w:rPr>
                <w:rFonts w:cs="Calibri"/>
                <w:highlight w:val="none"/>
              </w:rPr>
            </w:pPr>
          </w:p>
        </w:tc>
        <w:tc>
          <w:tcPr>
            <w:tcW w:w="1290" w:type="dxa"/>
            <w:vAlign w:val="center"/>
          </w:tcPr>
          <w:p>
            <w:pPr>
              <w:rPr>
                <w:rFonts w:cs="Calibri"/>
                <w:highlight w:val="none"/>
              </w:rPr>
            </w:pPr>
            <w:r>
              <w:rPr>
                <w:rFonts w:hint="eastAsia" w:cs="Calibri"/>
                <w:highlight w:val="none"/>
              </w:rPr>
              <w:t>其他内容</w:t>
            </w:r>
          </w:p>
        </w:tc>
        <w:tc>
          <w:tcPr>
            <w:tcW w:w="7460" w:type="dxa"/>
            <w:vAlign w:val="center"/>
          </w:tcPr>
          <w:p>
            <w:pPr>
              <w:ind w:firstLine="210" w:firstLineChars="100"/>
              <w:rPr>
                <w:rFonts w:cs="Calibri"/>
                <w:highlight w:val="none"/>
              </w:rPr>
            </w:pPr>
            <w:r>
              <w:rPr>
                <w:rFonts w:hint="eastAsia" w:ascii="宋体" w:hAnsi="宋体" w:cs="宋体"/>
                <w:highlight w:val="none"/>
              </w:rPr>
              <w:t>详见采购文件的“第四章 合同草案条款”，供应商应对合同内容进行审核，如有偏离，请在响应文件的“偏离表”中反映。</w:t>
            </w:r>
          </w:p>
        </w:tc>
      </w:tr>
    </w:tbl>
    <w:p>
      <w:pPr>
        <w:pStyle w:val="5"/>
        <w:ind w:firstLine="422"/>
        <w:jc w:val="center"/>
        <w:rPr>
          <w:rFonts w:cs="Calibri"/>
          <w:highlight w:val="none"/>
        </w:rPr>
      </w:pPr>
      <w:r>
        <w:rPr>
          <w:rFonts w:cs="Calibri"/>
          <w:highlight w:val="none"/>
        </w:rPr>
        <w:t>第四部分政府采购政策要求</w:t>
      </w:r>
    </w:p>
    <w:p>
      <w:pPr>
        <w:pStyle w:val="5"/>
        <w:ind w:firstLine="422"/>
        <w:rPr>
          <w:rFonts w:cs="Calibri"/>
          <w:szCs w:val="21"/>
          <w:highlight w:val="none"/>
        </w:rPr>
      </w:pPr>
      <w:r>
        <w:rPr>
          <w:rFonts w:hint="eastAsia"/>
          <w:highlight w:val="none"/>
        </w:rPr>
        <w:t>一、采购本国货物：</w:t>
      </w:r>
      <w:r>
        <w:rPr>
          <w:rFonts w:cs="Calibri"/>
          <w:szCs w:val="21"/>
          <w:highlight w:val="none"/>
        </w:rPr>
        <w:t>▲</w:t>
      </w:r>
      <w:r>
        <w:rPr>
          <w:rFonts w:cs="Calibri"/>
          <w:szCs w:val="21"/>
          <w:highlight w:val="none"/>
          <w:u w:val="single"/>
        </w:rPr>
        <w:t>本项目采购本国生产的货物、工程和服务，不允许采购进口产品。</w:t>
      </w:r>
    </w:p>
    <w:p>
      <w:pPr>
        <w:pStyle w:val="5"/>
        <w:ind w:firstLine="422"/>
        <w:rPr>
          <w:highlight w:val="none"/>
        </w:rPr>
      </w:pPr>
      <w:r>
        <w:rPr>
          <w:rFonts w:hint="eastAsia"/>
          <w:highlight w:val="none"/>
        </w:rPr>
        <w:t>二、支持绿色发展</w:t>
      </w:r>
    </w:p>
    <w:p>
      <w:pPr>
        <w:ind w:firstLine="420" w:firstLineChars="200"/>
        <w:rPr>
          <w:highlight w:val="none"/>
        </w:rPr>
      </w:pPr>
      <w:r>
        <w:rPr>
          <w:rFonts w:hint="eastAsia"/>
          <w:highlight w:val="none"/>
        </w:rPr>
        <w:t>（1）</w:t>
      </w:r>
      <w:r>
        <w:rPr>
          <w:highlight w:val="none"/>
        </w:rPr>
        <w:t>节能产品的强制采购政策</w:t>
      </w:r>
    </w:p>
    <w:p>
      <w:pPr>
        <w:ind w:firstLine="420" w:firstLineChars="200"/>
        <w:rPr>
          <w:rFonts w:ascii="宋体" w:hAnsi="宋体" w:cs="宋体"/>
          <w:highlight w:val="none"/>
        </w:rPr>
      </w:pPr>
      <w:r>
        <w:rPr>
          <w:rFonts w:hint="eastAsia" w:ascii="宋体" w:hAnsi="宋体" w:cs="宋体"/>
          <w:highlight w:val="none"/>
        </w:rPr>
        <w:t>【说明：本项目不涉及强制节能产品】</w:t>
      </w:r>
    </w:p>
    <w:p>
      <w:pPr>
        <w:ind w:firstLine="420" w:firstLineChars="200"/>
        <w:rPr>
          <w:rFonts w:ascii="宋体" w:hAnsi="宋体" w:cs="宋体"/>
          <w:highlight w:val="none"/>
        </w:rPr>
      </w:pPr>
      <w:r>
        <w:rPr>
          <w:rFonts w:hint="eastAsia" w:ascii="宋体" w:hAnsi="宋体" w:cs="宋体"/>
          <w:highlight w:val="none"/>
        </w:rPr>
        <w:t>（2）节能产品、环境标志产品的优先采购政策</w:t>
      </w:r>
    </w:p>
    <w:p>
      <w:pPr>
        <w:ind w:firstLine="420" w:firstLineChars="200"/>
        <w:rPr>
          <w:rFonts w:ascii="宋体" w:hAnsi="宋体" w:cs="宋体"/>
          <w:highlight w:val="none"/>
        </w:rPr>
      </w:pPr>
      <w:r>
        <w:rPr>
          <w:rFonts w:hint="eastAsia" w:ascii="宋体" w:hAnsi="宋体" w:cs="宋体"/>
          <w:highlight w:val="none"/>
        </w:rPr>
        <w:t>【说明：本项目不涉及节能产品、环境标志产品】</w:t>
      </w:r>
    </w:p>
    <w:p>
      <w:pPr>
        <w:numPr>
          <w:ilvl w:val="0"/>
          <w:numId w:val="5"/>
        </w:numPr>
        <w:ind w:firstLine="420" w:firstLineChars="200"/>
        <w:rPr>
          <w:rFonts w:ascii="宋体" w:hAnsi="宋体" w:cs="宋体"/>
          <w:szCs w:val="21"/>
          <w:highlight w:val="none"/>
        </w:rPr>
      </w:pPr>
      <w:r>
        <w:rPr>
          <w:rFonts w:hint="eastAsia" w:ascii="宋体" w:hAnsi="宋体" w:cs="宋体"/>
          <w:szCs w:val="21"/>
          <w:highlight w:val="none"/>
        </w:rPr>
        <w:t>修缮、装修类项目采购建材的，供应商应按采购文件和合同规定的绿色建筑和绿色建材性能、指标进行采购。</w:t>
      </w:r>
    </w:p>
    <w:p>
      <w:pPr>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highlight w:val="none"/>
        </w:rPr>
        <w:t>说明：</w:t>
      </w:r>
      <w:r>
        <w:rPr>
          <w:rFonts w:hint="eastAsia" w:ascii="宋体" w:hAnsi="宋体" w:cs="宋体"/>
          <w:szCs w:val="21"/>
          <w:highlight w:val="none"/>
        </w:rPr>
        <w:t>本项目不涉及建材】</w:t>
      </w:r>
    </w:p>
    <w:p>
      <w:pPr>
        <w:ind w:firstLine="420" w:firstLineChars="200"/>
        <w:rPr>
          <w:rFonts w:ascii="宋体" w:hAnsi="宋体" w:cs="宋体"/>
          <w:szCs w:val="21"/>
          <w:highlight w:val="none"/>
        </w:rPr>
      </w:pPr>
      <w:r>
        <w:rPr>
          <w:rFonts w:hint="eastAsia" w:ascii="宋体" w:hAnsi="宋体" w:cs="宋体"/>
          <w:szCs w:val="21"/>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5"/>
        <w:ind w:firstLine="422"/>
        <w:rPr>
          <w:highlight w:val="none"/>
        </w:rPr>
      </w:pPr>
      <w:r>
        <w:rPr>
          <w:rFonts w:hint="eastAsia"/>
          <w:highlight w:val="none"/>
        </w:rPr>
        <w:t>三、</w:t>
      </w:r>
      <w:r>
        <w:rPr>
          <w:highlight w:val="none"/>
        </w:rPr>
        <w:t>支持创新发展</w:t>
      </w:r>
    </w:p>
    <w:p>
      <w:pPr>
        <w:ind w:firstLine="420" w:firstLineChars="200"/>
        <w:rPr>
          <w:rFonts w:cs="Calibri"/>
          <w:szCs w:val="21"/>
          <w:highlight w:val="none"/>
        </w:rPr>
      </w:pPr>
      <w:r>
        <w:rPr>
          <w:rFonts w:hint="eastAsia" w:cs="Calibri"/>
          <w:szCs w:val="21"/>
          <w:highlight w:val="none"/>
        </w:rPr>
        <w:t>（1）</w:t>
      </w:r>
      <w:r>
        <w:rPr>
          <w:rFonts w:cs="Calibri"/>
          <w:szCs w:val="21"/>
          <w:highlight w:val="none"/>
        </w:rPr>
        <w:t>采购人优先采购被认定为首台套产品和“制造精品”的自主创新产品。</w:t>
      </w:r>
    </w:p>
    <w:p>
      <w:pPr>
        <w:ind w:firstLine="420" w:firstLineChars="200"/>
        <w:rPr>
          <w:rFonts w:ascii="宋体" w:hAnsi="宋体" w:cs="宋体"/>
          <w:szCs w:val="21"/>
          <w:highlight w:val="none"/>
        </w:rPr>
      </w:pPr>
      <w:r>
        <w:rPr>
          <w:rFonts w:hint="eastAsia" w:ascii="宋体" w:hAnsi="宋体" w:cs="宋体"/>
          <w:szCs w:val="21"/>
          <w:highlight w:val="none"/>
        </w:rPr>
        <w:t>【说明：本项目不涉及】</w:t>
      </w:r>
    </w:p>
    <w:p>
      <w:pPr>
        <w:numPr>
          <w:ilvl w:val="0"/>
          <w:numId w:val="6"/>
        </w:numPr>
        <w:ind w:firstLine="420" w:firstLineChars="200"/>
        <w:rPr>
          <w:rFonts w:cs="Calibri"/>
          <w:szCs w:val="21"/>
          <w:highlight w:val="none"/>
        </w:rPr>
      </w:pPr>
      <w:r>
        <w:rPr>
          <w:rFonts w:cs="Calibri"/>
          <w:szCs w:val="21"/>
          <w:highlight w:val="none"/>
        </w:rPr>
        <w:t>首台套产品被纳入《首台套产品推广应用指导目录》之日起</w:t>
      </w:r>
      <w:r>
        <w:rPr>
          <w:rFonts w:hint="eastAsia" w:cs="Calibri"/>
          <w:szCs w:val="21"/>
          <w:highlight w:val="none"/>
        </w:rPr>
        <w:t>3</w:t>
      </w:r>
      <w:r>
        <w:rPr>
          <w:rFonts w:cs="Calibri"/>
          <w:szCs w:val="21"/>
          <w:highlight w:val="none"/>
        </w:rPr>
        <w:t>年内，以及产品核心技术高于国内领先水平，并具有明晰自主知识产权的“制造精品”产品，自认定之日起</w:t>
      </w:r>
      <w:r>
        <w:rPr>
          <w:rFonts w:hint="eastAsia" w:cs="Calibri"/>
          <w:szCs w:val="21"/>
          <w:highlight w:val="none"/>
        </w:rPr>
        <w:t>3</w:t>
      </w:r>
      <w:r>
        <w:rPr>
          <w:rFonts w:cs="Calibri"/>
          <w:szCs w:val="21"/>
          <w:highlight w:val="none"/>
        </w:rPr>
        <w:t>年内视同已具备相应销售业绩，参加政府采购活动时业绩分值为满分。</w:t>
      </w:r>
    </w:p>
    <w:p>
      <w:pPr>
        <w:ind w:firstLine="420" w:firstLineChars="200"/>
        <w:rPr>
          <w:rFonts w:ascii="宋体" w:hAnsi="宋体" w:cs="宋体"/>
          <w:szCs w:val="21"/>
          <w:highlight w:val="none"/>
        </w:rPr>
      </w:pPr>
      <w:r>
        <w:rPr>
          <w:rFonts w:hint="eastAsia" w:ascii="宋体" w:hAnsi="宋体" w:cs="宋体"/>
          <w:szCs w:val="21"/>
          <w:highlight w:val="none"/>
        </w:rPr>
        <w:t>【说明：本项目不涉及】</w:t>
      </w:r>
    </w:p>
    <w:p>
      <w:pPr>
        <w:pStyle w:val="5"/>
        <w:ind w:firstLine="422"/>
        <w:rPr>
          <w:highlight w:val="none"/>
        </w:rPr>
      </w:pPr>
      <w:r>
        <w:rPr>
          <w:rFonts w:hint="eastAsia"/>
          <w:highlight w:val="none"/>
        </w:rPr>
        <w:t>四</w:t>
      </w:r>
      <w:r>
        <w:rPr>
          <w:highlight w:val="none"/>
        </w:rPr>
        <w:t>、</w:t>
      </w:r>
      <w:r>
        <w:rPr>
          <w:rFonts w:hint="eastAsia"/>
          <w:highlight w:val="none"/>
        </w:rPr>
        <w:t>支持中小企业发展</w:t>
      </w:r>
    </w:p>
    <w:p>
      <w:pPr>
        <w:ind w:firstLine="420" w:firstLineChars="200"/>
        <w:rPr>
          <w:rFonts w:cs="Calibri"/>
          <w:szCs w:val="21"/>
          <w:highlight w:val="none"/>
        </w:rPr>
      </w:pPr>
      <w:r>
        <w:rPr>
          <w:rFonts w:cs="Calibri"/>
          <w:szCs w:val="21"/>
          <w:highlight w:val="none"/>
        </w:rPr>
        <w:t>（</w:t>
      </w:r>
      <w:r>
        <w:rPr>
          <w:rFonts w:hint="eastAsia" w:cs="Calibri"/>
          <w:szCs w:val="21"/>
          <w:highlight w:val="none"/>
        </w:rPr>
        <w:t>1</w:t>
      </w:r>
      <w:r>
        <w:rPr>
          <w:rFonts w:cs="Calibri"/>
          <w:szCs w:val="21"/>
          <w:highlight w:val="none"/>
        </w:rPr>
        <w:t>）根据财政部工业和信息化部关于印发《政府采购促进中小企业发展管理办法》的通知（财库〔2020〕46号）的规定，</w:t>
      </w:r>
      <w:r>
        <w:rPr>
          <w:rFonts w:cs="Calibri"/>
          <w:kern w:val="0"/>
          <w:szCs w:val="21"/>
          <w:highlight w:val="none"/>
        </w:rPr>
        <w:t>本项目属于</w:t>
      </w:r>
      <w:r>
        <w:rPr>
          <w:rFonts w:hint="eastAsia" w:cs="Calibri"/>
          <w:kern w:val="0"/>
          <w:szCs w:val="21"/>
          <w:highlight w:val="none"/>
        </w:rPr>
        <w:t>专门面向中小企业采购项目</w:t>
      </w:r>
      <w:r>
        <w:rPr>
          <w:rFonts w:cs="Calibri"/>
          <w:szCs w:val="21"/>
          <w:highlight w:val="none"/>
        </w:rPr>
        <w:t>；</w:t>
      </w:r>
    </w:p>
    <w:p>
      <w:pPr>
        <w:ind w:firstLine="420" w:firstLineChars="200"/>
        <w:rPr>
          <w:rFonts w:cs="Calibri"/>
          <w:szCs w:val="21"/>
          <w:highlight w:val="none"/>
        </w:rPr>
      </w:pPr>
      <w:r>
        <w:rPr>
          <w:rFonts w:cs="Calibri"/>
          <w:szCs w:val="21"/>
          <w:highlight w:val="none"/>
        </w:rPr>
        <w:t>采购标的对应的中小企业划分标准所属行业：【</w:t>
      </w:r>
      <w:r>
        <w:rPr>
          <w:rFonts w:hint="eastAsia" w:cs="Calibri"/>
          <w:szCs w:val="21"/>
          <w:highlight w:val="none"/>
        </w:rPr>
        <w:t>其他未列明行业</w:t>
      </w:r>
      <w:r>
        <w:rPr>
          <w:rFonts w:cs="Calibri"/>
          <w:szCs w:val="21"/>
          <w:highlight w:val="none"/>
        </w:rPr>
        <w:t>】；</w:t>
      </w:r>
    </w:p>
    <w:p>
      <w:pPr>
        <w:ind w:firstLine="420" w:firstLineChars="200"/>
        <w:rPr>
          <w:rFonts w:cs="Calibri"/>
          <w:highlight w:val="none"/>
        </w:rPr>
      </w:pPr>
      <w:r>
        <w:rPr>
          <w:rFonts w:cs="Calibri"/>
          <w:highlight w:val="none"/>
        </w:rPr>
        <w:t>中小企业划分标准：《中小企业划分标准》（工信部联企业[2011]300号）。</w:t>
      </w:r>
    </w:p>
    <w:p>
      <w:pPr>
        <w:ind w:firstLine="420" w:firstLineChars="200"/>
        <w:rPr>
          <w:highlight w:val="none"/>
        </w:rPr>
      </w:pPr>
      <w:r>
        <w:rPr>
          <w:rFonts w:hint="eastAsia" w:cs="Calibri"/>
          <w:highlight w:val="none"/>
        </w:rPr>
        <w:t>（2）</w:t>
      </w:r>
      <w:r>
        <w:rPr>
          <w:rFonts w:cs="Calibri"/>
          <w:szCs w:val="21"/>
          <w:highlight w:val="none"/>
        </w:rPr>
        <w:t>根据财政部司法部关于政府采购支持监狱企业发展有关问题的通知（财库〔2014〕68号）的规定，监狱企业视同小型、微型企业</w:t>
      </w:r>
      <w:r>
        <w:rPr>
          <w:rFonts w:hint="eastAsia" w:cs="Calibri"/>
          <w:szCs w:val="21"/>
          <w:highlight w:val="none"/>
        </w:rPr>
        <w:t>，需</w:t>
      </w:r>
      <w:r>
        <w:rPr>
          <w:rFonts w:cs="Calibri"/>
          <w:szCs w:val="21"/>
          <w:highlight w:val="none"/>
        </w:rPr>
        <w:t>在响应文件中提供【《监狱企业声明函》及其相关的充分的证明材料】</w:t>
      </w:r>
      <w:r>
        <w:rPr>
          <w:rFonts w:hint="eastAsia" w:cs="Calibri"/>
          <w:szCs w:val="21"/>
          <w:highlight w:val="none"/>
        </w:rPr>
        <w:t>。</w:t>
      </w:r>
    </w:p>
    <w:p>
      <w:pPr>
        <w:ind w:firstLine="420" w:firstLineChars="200"/>
        <w:rPr>
          <w:rFonts w:cs="Calibri"/>
          <w:szCs w:val="21"/>
          <w:highlight w:val="none"/>
        </w:rPr>
      </w:pPr>
      <w:r>
        <w:rPr>
          <w:rFonts w:cs="Calibri"/>
          <w:szCs w:val="21"/>
          <w:highlight w:val="none"/>
        </w:rPr>
        <w:t>（</w:t>
      </w:r>
      <w:r>
        <w:rPr>
          <w:rFonts w:hint="eastAsia" w:cs="Calibri"/>
          <w:szCs w:val="21"/>
          <w:highlight w:val="none"/>
        </w:rPr>
        <w:t>3</w:t>
      </w:r>
      <w:r>
        <w:rPr>
          <w:rFonts w:cs="Calibri"/>
          <w:szCs w:val="21"/>
          <w:highlight w:val="none"/>
        </w:rPr>
        <w:t>）根据财政部民政部中国残疾人联合会关于促进残疾人就业政府采购政策的通知（财库〔2017〕141号）的规定，残疾人福利性单位视同小型、微型企业</w:t>
      </w:r>
      <w:r>
        <w:rPr>
          <w:rFonts w:hint="eastAsia" w:cs="Calibri"/>
          <w:szCs w:val="21"/>
          <w:highlight w:val="none"/>
        </w:rPr>
        <w:t>，需</w:t>
      </w:r>
      <w:r>
        <w:rPr>
          <w:rFonts w:cs="Calibri"/>
          <w:szCs w:val="21"/>
          <w:highlight w:val="none"/>
        </w:rPr>
        <w:t>在响应文件中提供【《残疾人福利性单位声明函》】</w:t>
      </w:r>
    </w:p>
    <w:p>
      <w:pPr>
        <w:pStyle w:val="5"/>
        <w:ind w:firstLine="422"/>
        <w:jc w:val="center"/>
        <w:rPr>
          <w:highlight w:val="none"/>
        </w:rPr>
      </w:pPr>
    </w:p>
    <w:p>
      <w:pPr>
        <w:pStyle w:val="5"/>
        <w:ind w:firstLine="422"/>
        <w:jc w:val="center"/>
        <w:rPr>
          <w:highlight w:val="none"/>
        </w:rPr>
      </w:pPr>
      <w:r>
        <w:rPr>
          <w:rFonts w:hint="eastAsia"/>
          <w:highlight w:val="none"/>
        </w:rPr>
        <w:t>第五部分实质性要求</w:t>
      </w:r>
    </w:p>
    <w:p>
      <w:pPr>
        <w:adjustRightInd w:val="0"/>
        <w:ind w:firstLine="411" w:firstLineChars="196"/>
        <w:rPr>
          <w:rFonts w:cs="Calibri"/>
          <w:szCs w:val="21"/>
          <w:highlight w:val="none"/>
        </w:rPr>
      </w:pPr>
      <w:r>
        <w:rPr>
          <w:rFonts w:cs="Calibri"/>
          <w:szCs w:val="21"/>
          <w:highlight w:val="none"/>
        </w:rPr>
        <w:t>本章中所有带</w:t>
      </w:r>
      <w:r>
        <w:rPr>
          <w:rFonts w:cs="Calibri"/>
          <w:kern w:val="0"/>
          <w:szCs w:val="21"/>
          <w:highlight w:val="none"/>
        </w:rPr>
        <w:t>▲</w:t>
      </w:r>
      <w:r>
        <w:rPr>
          <w:rFonts w:cs="Calibri"/>
          <w:szCs w:val="21"/>
          <w:highlight w:val="none"/>
        </w:rPr>
        <w:t>的内容是采购人提出的实质性要求，磋商响应文件响应内容若不满足实质性要求，该磋商响应文件将被磋商小组认定为无效。</w:t>
      </w:r>
    </w:p>
    <w:p>
      <w:pPr>
        <w:pStyle w:val="17"/>
        <w:ind w:firstLine="210"/>
        <w:rPr>
          <w:highlight w:val="none"/>
        </w:rPr>
      </w:pPr>
    </w:p>
    <w:p>
      <w:pPr>
        <w:pStyle w:val="3"/>
        <w:rPr>
          <w:rFonts w:cs="Calibri"/>
          <w:color w:val="auto"/>
          <w:highlight w:val="none"/>
        </w:rPr>
      </w:pPr>
      <w:bookmarkStart w:id="47" w:name="_Toc325532437"/>
      <w:bookmarkStart w:id="48" w:name="_Toc14187"/>
      <w:bookmarkStart w:id="49" w:name="_Toc11217"/>
      <w:r>
        <w:rPr>
          <w:rFonts w:cs="Calibri"/>
          <w:color w:val="auto"/>
          <w:highlight w:val="none"/>
        </w:rPr>
        <w:t>第四章</w:t>
      </w:r>
      <w:bookmarkEnd w:id="47"/>
      <w:r>
        <w:rPr>
          <w:rFonts w:cs="Calibri"/>
          <w:color w:val="auto"/>
          <w:highlight w:val="none"/>
        </w:rPr>
        <w:t>合同草案条款</w:t>
      </w:r>
      <w:bookmarkEnd w:id="48"/>
      <w:bookmarkEnd w:id="49"/>
      <w:r>
        <w:rPr>
          <w:rFonts w:hint="eastAsia" w:cs="Calibri"/>
          <w:color w:val="auto"/>
          <w:highlight w:val="none"/>
        </w:rPr>
        <w:t>（供参考）</w:t>
      </w:r>
    </w:p>
    <w:p>
      <w:pPr>
        <w:jc w:val="center"/>
        <w:rPr>
          <w:rFonts w:cs="Calibri"/>
          <w:sz w:val="32"/>
          <w:szCs w:val="32"/>
          <w:highlight w:val="none"/>
        </w:rPr>
      </w:pPr>
    </w:p>
    <w:p>
      <w:pPr>
        <w:jc w:val="center"/>
        <w:rPr>
          <w:rFonts w:cs="Calibri"/>
          <w:sz w:val="32"/>
          <w:szCs w:val="32"/>
          <w:highlight w:val="none"/>
        </w:rPr>
      </w:pPr>
    </w:p>
    <w:p>
      <w:pPr>
        <w:jc w:val="center"/>
        <w:rPr>
          <w:rFonts w:cs="Calibri"/>
          <w:highlight w:val="none"/>
        </w:rPr>
      </w:pPr>
      <w:r>
        <w:rPr>
          <w:rFonts w:cs="Calibri"/>
          <w:b/>
          <w:bCs/>
          <w:highlight w:val="none"/>
        </w:rPr>
        <w:t>（甲乙双方应按</w:t>
      </w:r>
      <w:r>
        <w:rPr>
          <w:rFonts w:hint="eastAsia" w:cs="Calibri"/>
          <w:b/>
          <w:bCs/>
          <w:highlight w:val="none"/>
        </w:rPr>
        <w:t>采购文件</w:t>
      </w:r>
      <w:r>
        <w:rPr>
          <w:rFonts w:cs="Calibri"/>
          <w:b/>
          <w:bCs/>
          <w:highlight w:val="none"/>
        </w:rPr>
        <w:t>确定的事项及</w:t>
      </w:r>
      <w:r>
        <w:rPr>
          <w:rFonts w:hint="eastAsia" w:cs="Calibri"/>
          <w:b/>
          <w:bCs/>
          <w:highlight w:val="none"/>
        </w:rPr>
        <w:t>响应文件</w:t>
      </w:r>
      <w:r>
        <w:rPr>
          <w:rFonts w:cs="Calibri"/>
          <w:b/>
          <w:bCs/>
          <w:highlight w:val="none"/>
        </w:rPr>
        <w:t>响应内容签订本合同，不得对</w:t>
      </w:r>
      <w:r>
        <w:rPr>
          <w:rFonts w:hint="eastAsia" w:cs="Calibri"/>
          <w:b/>
          <w:bCs/>
          <w:highlight w:val="none"/>
        </w:rPr>
        <w:t>采购文件</w:t>
      </w:r>
      <w:r>
        <w:rPr>
          <w:rFonts w:cs="Calibri"/>
          <w:b/>
          <w:bCs/>
          <w:highlight w:val="none"/>
        </w:rPr>
        <w:t>确定的事项和</w:t>
      </w:r>
      <w:r>
        <w:rPr>
          <w:rFonts w:hint="eastAsia" w:cs="Calibri"/>
          <w:b/>
          <w:bCs/>
          <w:highlight w:val="none"/>
        </w:rPr>
        <w:t>成交供应商响应文件</w:t>
      </w:r>
      <w:r>
        <w:rPr>
          <w:rFonts w:cs="Calibri"/>
          <w:b/>
          <w:bCs/>
          <w:highlight w:val="none"/>
        </w:rPr>
        <w:t>作实质性修改）</w:t>
      </w:r>
    </w:p>
    <w:p>
      <w:pPr>
        <w:rPr>
          <w:rFonts w:cs="Calibri"/>
          <w:szCs w:val="21"/>
          <w:highlight w:val="none"/>
        </w:rPr>
      </w:pPr>
    </w:p>
    <w:p>
      <w:pPr>
        <w:rPr>
          <w:rFonts w:cs="Calibri"/>
          <w:szCs w:val="21"/>
          <w:highlight w:val="none"/>
        </w:rPr>
      </w:pPr>
    </w:p>
    <w:p>
      <w:pPr>
        <w:adjustRightInd w:val="0"/>
        <w:jc w:val="right"/>
        <w:rPr>
          <w:rFonts w:cs="Calibri"/>
          <w:sz w:val="24"/>
          <w:szCs w:val="18"/>
          <w:highlight w:val="none"/>
        </w:rPr>
      </w:pPr>
      <w:r>
        <w:rPr>
          <w:rFonts w:cs="Calibri"/>
          <w:sz w:val="24"/>
          <w:szCs w:val="18"/>
          <w:highlight w:val="none"/>
        </w:rPr>
        <w:t>合同编号</w:t>
      </w:r>
      <w:r>
        <w:rPr>
          <w:rFonts w:hint="eastAsia" w:cs="Calibri"/>
          <w:sz w:val="24"/>
          <w:szCs w:val="18"/>
          <w:highlight w:val="none"/>
        </w:rPr>
        <w:t>：【签订合同时填入对应内容】</w:t>
      </w:r>
    </w:p>
    <w:p>
      <w:pPr>
        <w:adjustRightInd w:val="0"/>
        <w:jc w:val="center"/>
        <w:rPr>
          <w:rFonts w:cs="Calibri"/>
          <w:b/>
          <w:sz w:val="44"/>
          <w:highlight w:val="none"/>
        </w:rPr>
      </w:pPr>
    </w:p>
    <w:p>
      <w:pPr>
        <w:adjustRightInd w:val="0"/>
        <w:jc w:val="center"/>
        <w:rPr>
          <w:rFonts w:cs="Calibri"/>
          <w:b/>
          <w:sz w:val="44"/>
          <w:highlight w:val="none"/>
        </w:rPr>
      </w:pPr>
    </w:p>
    <w:p>
      <w:pPr>
        <w:adjustRightInd w:val="0"/>
        <w:jc w:val="center"/>
        <w:rPr>
          <w:rFonts w:cs="Calibri"/>
          <w:b/>
          <w:sz w:val="44"/>
          <w:highlight w:val="none"/>
        </w:rPr>
      </w:pPr>
    </w:p>
    <w:p>
      <w:pPr>
        <w:adjustRightInd w:val="0"/>
        <w:jc w:val="center"/>
        <w:rPr>
          <w:rFonts w:cs="Calibri"/>
          <w:b/>
          <w:sz w:val="44"/>
          <w:highlight w:val="none"/>
        </w:rPr>
      </w:pPr>
      <w:r>
        <w:rPr>
          <w:rFonts w:cs="Calibri"/>
          <w:b/>
          <w:sz w:val="44"/>
          <w:highlight w:val="none"/>
        </w:rPr>
        <w:t>服务项目合同</w:t>
      </w:r>
    </w:p>
    <w:p>
      <w:pPr>
        <w:adjustRightInd w:val="0"/>
        <w:jc w:val="center"/>
        <w:rPr>
          <w:rFonts w:cs="Calibri"/>
          <w:b/>
          <w:sz w:val="44"/>
          <w:highlight w:val="none"/>
        </w:rPr>
      </w:pPr>
    </w:p>
    <w:p>
      <w:pPr>
        <w:adjustRightInd w:val="0"/>
        <w:jc w:val="center"/>
        <w:rPr>
          <w:rFonts w:cs="Calibri"/>
          <w:b/>
          <w:sz w:val="44"/>
          <w:highlight w:val="none"/>
        </w:rPr>
      </w:pPr>
    </w:p>
    <w:p>
      <w:pPr>
        <w:adjustRightInd w:val="0"/>
        <w:jc w:val="center"/>
        <w:rPr>
          <w:rFonts w:cs="Calibri"/>
          <w:b/>
          <w:sz w:val="44"/>
          <w:highlight w:val="none"/>
        </w:rPr>
      </w:pPr>
    </w:p>
    <w:p>
      <w:pPr>
        <w:adjustRightInd w:val="0"/>
        <w:jc w:val="center"/>
        <w:rPr>
          <w:rFonts w:cs="Calibri"/>
          <w:b/>
          <w:sz w:val="44"/>
          <w:highlight w:val="none"/>
        </w:rPr>
      </w:pPr>
    </w:p>
    <w:p>
      <w:pPr>
        <w:adjustRightInd w:val="0"/>
        <w:ind w:left="1375" w:hanging="1375"/>
        <w:rPr>
          <w:rFonts w:hint="eastAsia" w:eastAsia="宋体" w:cs="Calibri"/>
          <w:sz w:val="30"/>
          <w:szCs w:val="30"/>
          <w:highlight w:val="none"/>
          <w:u w:val="single"/>
          <w:lang w:eastAsia="zh-CN"/>
        </w:rPr>
      </w:pPr>
      <w:r>
        <w:rPr>
          <w:rFonts w:cs="Calibri"/>
          <w:sz w:val="30"/>
          <w:szCs w:val="30"/>
          <w:highlight w:val="none"/>
        </w:rPr>
        <w:t>项目名称：</w:t>
      </w:r>
      <w:r>
        <w:rPr>
          <w:rFonts w:hint="eastAsia" w:cs="Calibri"/>
          <w:sz w:val="30"/>
          <w:szCs w:val="30"/>
          <w:highlight w:val="none"/>
          <w:lang w:eastAsia="zh-CN"/>
        </w:rPr>
        <w:t>湖州市吴兴区猪肉（冻肉）储备项目</w:t>
      </w:r>
    </w:p>
    <w:p>
      <w:pPr>
        <w:adjustRightInd w:val="0"/>
        <w:rPr>
          <w:rFonts w:hint="eastAsia" w:eastAsia="宋体" w:cs="Calibri"/>
          <w:strike/>
          <w:sz w:val="30"/>
          <w:szCs w:val="30"/>
          <w:highlight w:val="none"/>
          <w:u w:val="single"/>
          <w:lang w:eastAsia="zh-CN"/>
        </w:rPr>
      </w:pPr>
      <w:r>
        <w:rPr>
          <w:rFonts w:cs="Calibri"/>
          <w:sz w:val="30"/>
          <w:szCs w:val="30"/>
          <w:highlight w:val="none"/>
        </w:rPr>
        <w:t>委托方：</w:t>
      </w:r>
      <w:r>
        <w:rPr>
          <w:rFonts w:hint="eastAsia" w:cs="Calibri"/>
          <w:sz w:val="30"/>
          <w:szCs w:val="30"/>
          <w:highlight w:val="none"/>
          <w:lang w:eastAsia="zh-CN"/>
        </w:rPr>
        <w:t>湖州市吴兴区商务局</w:t>
      </w:r>
    </w:p>
    <w:p>
      <w:pPr>
        <w:adjustRightInd w:val="0"/>
        <w:rPr>
          <w:rFonts w:cs="Calibri"/>
          <w:sz w:val="30"/>
          <w:szCs w:val="30"/>
          <w:highlight w:val="none"/>
        </w:rPr>
      </w:pPr>
      <w:r>
        <w:rPr>
          <w:rFonts w:cs="Calibri"/>
          <w:sz w:val="30"/>
          <w:szCs w:val="30"/>
          <w:highlight w:val="none"/>
        </w:rPr>
        <w:t>（甲方）</w:t>
      </w:r>
    </w:p>
    <w:p>
      <w:pPr>
        <w:adjustRightInd w:val="0"/>
        <w:jc w:val="left"/>
        <w:rPr>
          <w:rFonts w:cs="Calibri"/>
          <w:sz w:val="30"/>
          <w:szCs w:val="30"/>
          <w:highlight w:val="none"/>
        </w:rPr>
      </w:pPr>
      <w:r>
        <w:rPr>
          <w:rFonts w:cs="Calibri"/>
          <w:sz w:val="30"/>
          <w:szCs w:val="30"/>
          <w:highlight w:val="none"/>
        </w:rPr>
        <w:t>承担方：【</w:t>
      </w:r>
      <w:r>
        <w:rPr>
          <w:rFonts w:hint="eastAsia" w:cs="Calibri"/>
          <w:sz w:val="30"/>
          <w:szCs w:val="30"/>
          <w:highlight w:val="none"/>
        </w:rPr>
        <w:t>签订合同时填入对应内容</w:t>
      </w:r>
      <w:r>
        <w:rPr>
          <w:rFonts w:cs="Calibri"/>
          <w:sz w:val="30"/>
          <w:szCs w:val="30"/>
          <w:highlight w:val="none"/>
        </w:rPr>
        <w:t>】</w:t>
      </w:r>
    </w:p>
    <w:p>
      <w:pPr>
        <w:adjustRightInd w:val="0"/>
        <w:rPr>
          <w:rFonts w:cs="Calibri"/>
          <w:sz w:val="30"/>
          <w:szCs w:val="30"/>
          <w:highlight w:val="none"/>
        </w:rPr>
      </w:pPr>
      <w:r>
        <w:rPr>
          <w:rFonts w:cs="Calibri"/>
          <w:sz w:val="30"/>
          <w:szCs w:val="30"/>
          <w:highlight w:val="none"/>
        </w:rPr>
        <w:t>（乙方）</w:t>
      </w:r>
    </w:p>
    <w:p>
      <w:pPr>
        <w:adjustRightInd w:val="0"/>
        <w:rPr>
          <w:rFonts w:cs="Calibri"/>
          <w:sz w:val="30"/>
          <w:szCs w:val="30"/>
          <w:highlight w:val="none"/>
        </w:rPr>
      </w:pPr>
    </w:p>
    <w:p>
      <w:pPr>
        <w:adjustRightInd w:val="0"/>
        <w:rPr>
          <w:rFonts w:cs="Calibri"/>
          <w:sz w:val="30"/>
          <w:szCs w:val="30"/>
          <w:highlight w:val="none"/>
        </w:rPr>
      </w:pPr>
      <w:r>
        <w:rPr>
          <w:rFonts w:cs="Calibri"/>
          <w:sz w:val="30"/>
          <w:szCs w:val="30"/>
          <w:highlight w:val="none"/>
        </w:rPr>
        <w:t>签订地址：浙江省</w:t>
      </w:r>
      <w:r>
        <w:rPr>
          <w:rFonts w:hint="eastAsia" w:cs="Calibri"/>
          <w:sz w:val="30"/>
          <w:szCs w:val="30"/>
          <w:highlight w:val="none"/>
        </w:rPr>
        <w:t>湖州市</w:t>
      </w:r>
    </w:p>
    <w:p>
      <w:pPr>
        <w:adjustRightInd w:val="0"/>
        <w:rPr>
          <w:rFonts w:cs="Calibri"/>
          <w:sz w:val="30"/>
          <w:szCs w:val="30"/>
          <w:highlight w:val="none"/>
        </w:rPr>
      </w:pPr>
      <w:r>
        <w:rPr>
          <w:rFonts w:cs="Calibri"/>
          <w:sz w:val="30"/>
          <w:szCs w:val="30"/>
          <w:highlight w:val="none"/>
        </w:rPr>
        <w:t>签订日期：二〇二</w:t>
      </w:r>
      <w:r>
        <w:rPr>
          <w:rFonts w:hint="eastAsia" w:cs="Calibri"/>
          <w:sz w:val="30"/>
          <w:szCs w:val="30"/>
          <w:highlight w:val="none"/>
          <w:lang w:eastAsia="zh-CN"/>
        </w:rPr>
        <w:t>四</w:t>
      </w:r>
      <w:r>
        <w:rPr>
          <w:rFonts w:cs="Calibri"/>
          <w:sz w:val="30"/>
          <w:szCs w:val="30"/>
          <w:highlight w:val="none"/>
        </w:rPr>
        <w:t>年月日</w:t>
      </w:r>
    </w:p>
    <w:p>
      <w:pPr>
        <w:adjustRightInd w:val="0"/>
        <w:rPr>
          <w:rFonts w:cs="Calibri"/>
          <w:sz w:val="30"/>
          <w:szCs w:val="30"/>
          <w:highlight w:val="none"/>
        </w:rPr>
      </w:pPr>
    </w:p>
    <w:p>
      <w:pPr>
        <w:adjustRightInd w:val="0"/>
        <w:ind w:firstLine="584" w:firstLineChars="200"/>
        <w:rPr>
          <w:rFonts w:cs="Calibri"/>
          <w:spacing w:val="6"/>
          <w:sz w:val="28"/>
          <w:highlight w:val="none"/>
        </w:rPr>
      </w:pPr>
    </w:p>
    <w:p>
      <w:pPr>
        <w:pStyle w:val="26"/>
        <w:spacing w:line="460" w:lineRule="exact"/>
        <w:rPr>
          <w:rFonts w:hint="eastAsia" w:ascii="宋体" w:hAnsi="宋体" w:eastAsia="宋体" w:cs="宋体"/>
          <w:sz w:val="21"/>
          <w:szCs w:val="21"/>
          <w:highlight w:val="none"/>
        </w:rPr>
      </w:pPr>
      <w:r>
        <w:rPr>
          <w:rFonts w:cs="Calibri"/>
          <w:spacing w:val="6"/>
          <w:sz w:val="28"/>
          <w:highlight w:val="none"/>
        </w:rPr>
        <w:br w:type="page"/>
      </w:r>
      <w:bookmarkStart w:id="50" w:name="_Toc293916915"/>
      <w:r>
        <w:rPr>
          <w:rFonts w:hint="eastAsia" w:ascii="宋体" w:hAnsi="宋体" w:eastAsia="宋体" w:cs="宋体"/>
          <w:sz w:val="21"/>
          <w:szCs w:val="21"/>
          <w:highlight w:val="none"/>
        </w:rPr>
        <w:t>项目名称：                   财政审批编号：               合同号：</w:t>
      </w:r>
    </w:p>
    <w:p>
      <w:pPr>
        <w:pStyle w:val="26"/>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甲方（招标人）：</w:t>
      </w:r>
    </w:p>
    <w:p>
      <w:pPr>
        <w:pStyle w:val="26"/>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乙方（中标人）：</w:t>
      </w:r>
    </w:p>
    <w:p>
      <w:pPr>
        <w:pStyle w:val="26"/>
        <w:spacing w:line="480" w:lineRule="exact"/>
        <w:ind w:firstLine="480"/>
        <w:rPr>
          <w:rFonts w:hint="eastAsia" w:ascii="宋体" w:hAnsi="宋体" w:eastAsia="宋体" w:cs="宋体"/>
          <w:b/>
          <w:sz w:val="21"/>
          <w:szCs w:val="21"/>
          <w:highlight w:val="none"/>
        </w:rPr>
      </w:pPr>
      <w:r>
        <w:rPr>
          <w:rFonts w:hint="eastAsia" w:ascii="宋体" w:hAnsi="宋体" w:eastAsia="宋体" w:cs="宋体"/>
          <w:sz w:val="21"/>
          <w:szCs w:val="21"/>
          <w:highlight w:val="none"/>
        </w:rPr>
        <w:t>甲、乙双方根据关于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公开招标的结果，签署本合同。</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1.定义</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本合同中的下列术语应解释为：</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1.1“合同”系指供需双方签署的、合同格式中载明的供需双方所达成的协议，包括所有的附件、附录和构成合同的所有文件；</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1.2“合同价”系指根据合同规定，采购人在供应商完全履行合同义务后应付给的价格；</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1.3“货物”系指供应商根据合同规定向采购人提供的一切货物、质量保证书和其他技术资料及技术参数；</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1.4“服务”系指根据合同规定供应商承担与供货有关的辅助服务，如运输、装卸、安装、保险以及其他的服务，例如安装、调试提供技术援助、培训和其他类似的义务；</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1.5“采购人”系指具体使用货物和接受服务的使用单位；</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1.6“供应商”系指根据合同规定提供采购项目货物和服务的具有法人资格的公司、企业或实体；</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1.7“财政审批编号”系指市财政局审批编号。</w:t>
      </w:r>
    </w:p>
    <w:bookmarkEnd w:id="50"/>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2.合同项目与内容：   </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3.服务时间与服务地点</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服务时间：详见招标文件；</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服务地点：由采购人指定。</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4.签署合同的要求</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4.1、供应商必须按照投标文件和询标过程中承诺的条款以及中标通知书中规定的时间、地点与采购人签订合同；</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4.2、所签订的合同内容不得对招标文件和供应商的投标文件作实质性修改；</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4.3、采购人不得向供应商提出任何不合理的要求，作为签订合同的条件，不得与供应商私下订立背离合同实质性内容的协议；</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4.4、自采购合同签订之日起 7个工作日内，将采购合同正副各本2份送本项目招标代理机构备案。</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5.技术规范</w:t>
      </w:r>
    </w:p>
    <w:p>
      <w:pPr>
        <w:ind w:firstLine="420" w:firstLineChars="200"/>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本合同执行国家及本省、市现行项目实施及验收规范及有关条例、实施办法等。</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提供和交付的服务技术规范应与招标文件规定的技术规范相一致。</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6.知识产权</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供应商保证所提供的服务及货物均不存在知识产权纠纷。供应商应保证采购人在使用时不受第三方提出侵犯其专利权、商标权等知识产权的诉讼。</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7.付款方式：</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8.支付：支付应使用人民币；</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9.技术服务</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供应商应负责安排采购人相关人员进行培训。具体时间及培训内容在投标时由供应商提出建议；</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10.售后服务及承诺</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10.1供应商应明确承诺售后服务各项内容和措施，提供详细的服务地点、联系人、电话等有关资料；</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11.履约保证及后续服务</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11.1 供应商应在签订本合同之日起</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日内提供履约保证金</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元，提供由银行、保险公司出具保函形式提交履约保证金。</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11.2 供应商应按招标文件规定的服务标准向采购人提供服务。</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11.3 如采购人检查发现供应商提供的服务服务不符合标准要求，供应商应立即进行整改，直到符合要求为止。采购人可根据考核标准中扣除供应商因检查不合格而应该扣罚的款项（扣罚款项在签订合同时明确）。</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11.4 供应商提供的服务人员不符合本合同约定的数额，供应商应当自接到采购人通知之日起2日内予以补足，采购人有权按照缺岗天数及缺岗人数扣除相应的履约保证金。</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11.5 由于供应商服务人员原因在服务工作中给采购人造成损失，供应商应负责赔偿。</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11.6 在服务质量保证期内，供应商应对出现的服务质量及安全问题负责处理解决并承担一切费用。</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11.7 在本合同履行完毕后，采购人扣除供应商在履约过程中产生的本合同涉及的相关赔偿金额后，在/日内将剩余履约保证金退还至供应商。</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12.违约责任</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12.1 采购人无正当理由拒收接受服务的，采购人向供应商偿付合同款项百分之五作为违约金。</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12.2 采购人无故逾期验收和办理款项支付手续的,采购人应按逾期付款总额每日万分之五向供应商支付违约金。</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12.4如供应商提供的服务或与服务相关的物品存在知识产权纠纷而导致本合同无法继续履行，在采购人发函要求解决相关知识产权问题后</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 xml:space="preserve">日内仍未解决的，则采购人有权单方终止本合同的履行，并要求供应商承担相应赔偿责任。 </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13.不可抗力事件处理</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13.1 在合同有效期内，任何一方因不可抗力事件导致不能履行合同，则合同履行期可延长，其延长期与不可抗力影响期相同。</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13.2 不可抗力事件发生后，应立即通知对方，并寄送有关权威机构出具的证明。</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13.3 不可抗力事件延续120天以上，双方应通过友好协商，确定是否继续履行合同。</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14. 争议解决</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14.1在执行本合同中所发生的或与本合同有关的一切争端，合同双方应通过友好协商解决，经过协商仍不能解决，双方选择通过下列第</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种方式解决：</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（1）将争端提交湖州仲裁委员会仲裁</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（2）直接向采购人所在地有管辖权的人民法院起诉。</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14.2仲裁费用或诉讼费用应由败诉方负担。</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14.3在仲裁或诉讼期间，除进行仲裁或诉讼的部分外，本合同其它部分应继续执行。</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15.转让或分包</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15.1本合同范围的服务，应由供应商提供，不得转让他人供应；</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15.3本合同全部或部分的分包不能减轻供应商承担的责任，供应商仍须将分包人的任何行动、错误或疏忽当作是自己完成的并负全责；</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15.4在任何分包合同中，须注明分包人按分包合同的范围履行，在供应商按本合同的履行终止时（不论任何原因），亦同时一并终止；</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15.5如有转让和未经采购人同意的分包行为，采购人有权给予终止合同。</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16.适用法律</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合同适用法律有《中华人民共和国政府采购法》、《中华人民共和国民法典》等。</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17.合同生效及其他</w:t>
      </w:r>
    </w:p>
    <w:p>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17.1本合同经双方法人及法定代表人签字盖章生效；</w:t>
      </w:r>
    </w:p>
    <w:p>
      <w:pPr>
        <w:pStyle w:val="26"/>
        <w:spacing w:line="480" w:lineRule="exact"/>
        <w:ind w:firstLine="480"/>
        <w:rPr>
          <w:rFonts w:hint="eastAsia" w:ascii="宋体" w:hAnsi="宋体" w:eastAsia="宋体" w:cs="宋体"/>
          <w:bCs/>
          <w:sz w:val="21"/>
          <w:szCs w:val="21"/>
          <w:highlight w:val="none"/>
        </w:rPr>
      </w:pPr>
      <w:r>
        <w:rPr>
          <w:rFonts w:hint="eastAsia" w:ascii="宋体" w:hAnsi="宋体" w:eastAsia="宋体" w:cs="宋体"/>
          <w:bCs/>
          <w:sz w:val="21"/>
          <w:szCs w:val="21"/>
          <w:highlight w:val="none"/>
        </w:rPr>
        <w:t>17.2本合同一式陆份，成交供应商、采购人各执贰份；</w:t>
      </w:r>
      <w:r>
        <w:rPr>
          <w:rFonts w:hint="eastAsia" w:ascii="宋体" w:hAnsi="宋体" w:eastAsia="宋体" w:cs="宋体"/>
          <w:sz w:val="21"/>
          <w:szCs w:val="21"/>
          <w:highlight w:val="none"/>
        </w:rPr>
        <w:t>湖州市吴兴区财政局政府采购监管处和</w:t>
      </w:r>
      <w:r>
        <w:rPr>
          <w:rFonts w:hint="eastAsia" w:ascii="宋体" w:hAnsi="宋体" w:eastAsia="宋体" w:cs="宋体"/>
          <w:bCs/>
          <w:sz w:val="21"/>
          <w:szCs w:val="21"/>
          <w:highlight w:val="none"/>
        </w:rPr>
        <w:t>招标代理机构各执壹份。</w:t>
      </w:r>
    </w:p>
    <w:p>
      <w:pPr>
        <w:pStyle w:val="26"/>
        <w:spacing w:line="480" w:lineRule="exact"/>
        <w:ind w:firstLine="480"/>
        <w:rPr>
          <w:rFonts w:hint="eastAsia" w:ascii="宋体" w:hAnsi="宋体" w:eastAsia="宋体" w:cs="宋体"/>
          <w:bCs/>
          <w:sz w:val="21"/>
          <w:szCs w:val="21"/>
          <w:highlight w:val="none"/>
        </w:rPr>
      </w:pPr>
    </w:p>
    <w:p>
      <w:pPr>
        <w:pStyle w:val="26"/>
        <w:spacing w:line="480" w:lineRule="exact"/>
        <w:ind w:firstLine="480"/>
        <w:rPr>
          <w:rFonts w:hint="eastAsia" w:ascii="宋体" w:hAnsi="宋体" w:eastAsia="宋体" w:cs="宋体"/>
          <w:bCs/>
          <w:sz w:val="21"/>
          <w:szCs w:val="21"/>
          <w:highlight w:val="none"/>
        </w:rPr>
      </w:pPr>
    </w:p>
    <w:p>
      <w:pPr>
        <w:pStyle w:val="26"/>
        <w:spacing w:line="480" w:lineRule="exact"/>
        <w:ind w:firstLine="480"/>
        <w:rPr>
          <w:rFonts w:hint="eastAsia" w:ascii="宋体" w:hAnsi="宋体" w:eastAsia="宋体" w:cs="宋体"/>
          <w:bCs/>
          <w:sz w:val="21"/>
          <w:szCs w:val="21"/>
          <w:highlight w:val="none"/>
        </w:rPr>
      </w:pP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pPr>
              <w:rPr>
                <w:rFonts w:ascii="宋体" w:hAnsi="宋体" w:cs="宋体"/>
                <w:szCs w:val="21"/>
                <w:highlight w:val="none"/>
              </w:rPr>
            </w:pPr>
            <w:r>
              <w:rPr>
                <w:rFonts w:hint="eastAsia" w:ascii="宋体" w:hAnsi="宋体" w:cs="宋体"/>
                <w:szCs w:val="21"/>
                <w:highlight w:val="none"/>
              </w:rPr>
              <w:t xml:space="preserve">甲方（单位章）： </w:t>
            </w:r>
          </w:p>
        </w:tc>
        <w:tc>
          <w:tcPr>
            <w:tcW w:w="2500" w:type="pct"/>
            <w:vAlign w:val="center"/>
          </w:tcPr>
          <w:p>
            <w:pPr>
              <w:rPr>
                <w:rFonts w:ascii="宋体" w:hAnsi="宋体" w:cs="宋体"/>
                <w:szCs w:val="21"/>
                <w:highlight w:val="none"/>
              </w:rPr>
            </w:pPr>
            <w:r>
              <w:rPr>
                <w:rFonts w:hint="eastAsia" w:ascii="宋体" w:hAnsi="宋体" w:cs="宋体"/>
                <w:szCs w:val="21"/>
                <w:highlight w:val="none"/>
              </w:rPr>
              <w:t>乙方（单位章）：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pPr>
              <w:rPr>
                <w:rFonts w:ascii="宋体" w:hAnsi="宋体" w:cs="宋体"/>
                <w:szCs w:val="21"/>
                <w:highlight w:val="none"/>
              </w:rPr>
            </w:pPr>
            <w:r>
              <w:rPr>
                <w:rFonts w:hint="eastAsia" w:ascii="宋体" w:hAnsi="宋体" w:cs="宋体"/>
                <w:szCs w:val="21"/>
                <w:highlight w:val="none"/>
              </w:rPr>
              <w:t>法定代表人（签字或盖章）：</w:t>
            </w:r>
          </w:p>
        </w:tc>
        <w:tc>
          <w:tcPr>
            <w:tcW w:w="2500" w:type="pct"/>
            <w:vAlign w:val="center"/>
          </w:tcPr>
          <w:p>
            <w:pPr>
              <w:rPr>
                <w:rFonts w:ascii="宋体" w:hAnsi="宋体" w:cs="宋体"/>
                <w:szCs w:val="21"/>
                <w:highlight w:val="none"/>
              </w:rPr>
            </w:pPr>
            <w:r>
              <w:rPr>
                <w:rFonts w:hint="eastAsia" w:ascii="宋体" w:hAnsi="宋体" w:cs="宋体"/>
                <w:szCs w:val="21"/>
                <w:highlight w:val="none"/>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pPr>
              <w:rPr>
                <w:rFonts w:ascii="宋体" w:hAnsi="宋体" w:cs="宋体"/>
                <w:szCs w:val="21"/>
                <w:highlight w:val="none"/>
              </w:rPr>
            </w:pPr>
            <w:r>
              <w:rPr>
                <w:rFonts w:hint="eastAsia" w:ascii="宋体" w:hAnsi="宋体" w:cs="宋体"/>
                <w:szCs w:val="21"/>
                <w:highlight w:val="none"/>
              </w:rPr>
              <w:t>或授权代表（签字）：</w:t>
            </w:r>
          </w:p>
        </w:tc>
        <w:tc>
          <w:tcPr>
            <w:tcW w:w="2500" w:type="pct"/>
            <w:vAlign w:val="center"/>
          </w:tcPr>
          <w:p>
            <w:pPr>
              <w:rPr>
                <w:rFonts w:ascii="宋体" w:hAnsi="宋体" w:cs="宋体"/>
                <w:szCs w:val="21"/>
                <w:highlight w:val="none"/>
              </w:rPr>
            </w:pPr>
            <w:r>
              <w:rPr>
                <w:rFonts w:hint="eastAsia" w:ascii="宋体" w:hAnsi="宋体" w:cs="宋体"/>
                <w:szCs w:val="21"/>
                <w:highlight w:val="none"/>
              </w:rPr>
              <w:t>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pPr>
              <w:rPr>
                <w:rFonts w:ascii="宋体" w:hAnsi="宋体" w:cs="宋体"/>
                <w:szCs w:val="21"/>
                <w:highlight w:val="none"/>
              </w:rPr>
            </w:pPr>
            <w:r>
              <w:rPr>
                <w:rFonts w:hint="eastAsia" w:ascii="宋体" w:hAnsi="宋体" w:cs="宋体"/>
                <w:szCs w:val="21"/>
                <w:highlight w:val="none"/>
              </w:rPr>
              <w:t>地  址：</w:t>
            </w:r>
            <w:r>
              <w:rPr>
                <w:rFonts w:hint="eastAsia" w:ascii="楷体" w:hAnsi="楷体" w:eastAsia="楷体" w:cs="楷体"/>
                <w:i/>
                <w:iCs/>
                <w:snapToGrid w:val="0"/>
                <w:szCs w:val="21"/>
                <w:highlight w:val="none"/>
                <w:u w:val="single"/>
              </w:rPr>
              <w:t>签订合同时填入对应内容</w:t>
            </w:r>
          </w:p>
        </w:tc>
        <w:tc>
          <w:tcPr>
            <w:tcW w:w="2500" w:type="pct"/>
            <w:vAlign w:val="center"/>
          </w:tcPr>
          <w:p>
            <w:pPr>
              <w:rPr>
                <w:rFonts w:ascii="宋体" w:hAnsi="宋体" w:cs="宋体"/>
                <w:szCs w:val="21"/>
                <w:highlight w:val="none"/>
              </w:rPr>
            </w:pPr>
            <w:r>
              <w:rPr>
                <w:rFonts w:hint="eastAsia" w:ascii="宋体" w:hAnsi="宋体" w:cs="宋体"/>
                <w:szCs w:val="21"/>
                <w:highlight w:val="none"/>
              </w:rPr>
              <w:t>地  址：</w:t>
            </w:r>
            <w:r>
              <w:rPr>
                <w:rFonts w:hint="eastAsia" w:ascii="楷体" w:hAnsi="楷体" w:eastAsia="楷体" w:cs="楷体"/>
                <w:i/>
                <w:iCs/>
                <w:snapToGrid w:val="0"/>
                <w:szCs w:val="21"/>
                <w:highlight w:val="none"/>
                <w:u w:val="single"/>
              </w:rPr>
              <w:t>签订合同时填入对应内容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pPr>
              <w:rPr>
                <w:rFonts w:ascii="宋体" w:hAnsi="宋体" w:cs="宋体"/>
                <w:szCs w:val="21"/>
                <w:highlight w:val="none"/>
              </w:rPr>
            </w:pPr>
            <w:r>
              <w:rPr>
                <w:rFonts w:hint="eastAsia" w:ascii="宋体" w:hAnsi="宋体" w:cs="宋体"/>
                <w:szCs w:val="21"/>
                <w:highlight w:val="none"/>
              </w:rPr>
              <w:t>邮政编码：</w:t>
            </w:r>
            <w:r>
              <w:rPr>
                <w:rFonts w:hint="eastAsia" w:ascii="楷体" w:hAnsi="楷体" w:eastAsia="楷体" w:cs="楷体"/>
                <w:i/>
                <w:iCs/>
                <w:snapToGrid w:val="0"/>
                <w:szCs w:val="21"/>
                <w:highlight w:val="none"/>
                <w:u w:val="single"/>
              </w:rPr>
              <w:t>签订合同时填入对应内容</w:t>
            </w:r>
          </w:p>
        </w:tc>
        <w:tc>
          <w:tcPr>
            <w:tcW w:w="2500" w:type="pct"/>
            <w:vAlign w:val="center"/>
          </w:tcPr>
          <w:p>
            <w:pPr>
              <w:rPr>
                <w:rFonts w:ascii="宋体" w:hAnsi="宋体" w:cs="宋体"/>
                <w:szCs w:val="21"/>
                <w:highlight w:val="none"/>
              </w:rPr>
            </w:pPr>
            <w:r>
              <w:rPr>
                <w:rFonts w:hint="eastAsia" w:ascii="宋体" w:hAnsi="宋体" w:cs="宋体"/>
                <w:szCs w:val="21"/>
                <w:highlight w:val="none"/>
              </w:rPr>
              <w:t>邮政编码：</w:t>
            </w:r>
            <w:r>
              <w:rPr>
                <w:rFonts w:hint="eastAsia" w:ascii="楷体" w:hAnsi="楷体" w:eastAsia="楷体" w:cs="楷体"/>
                <w:i/>
                <w:iCs/>
                <w:snapToGrid w:val="0"/>
                <w:szCs w:val="21"/>
                <w:highlight w:val="none"/>
                <w:u w:val="single"/>
              </w:rPr>
              <w:t>签订合同时填入对应内容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pPr>
              <w:rPr>
                <w:rFonts w:ascii="宋体" w:hAnsi="宋体" w:cs="宋体"/>
                <w:szCs w:val="21"/>
                <w:highlight w:val="none"/>
              </w:rPr>
            </w:pPr>
            <w:r>
              <w:rPr>
                <w:rFonts w:hint="eastAsia" w:ascii="宋体" w:hAnsi="宋体" w:cs="宋体"/>
                <w:szCs w:val="21"/>
                <w:highlight w:val="none"/>
              </w:rPr>
              <w:t>电  话：</w:t>
            </w:r>
            <w:r>
              <w:rPr>
                <w:rFonts w:hint="eastAsia" w:ascii="楷体" w:hAnsi="楷体" w:eastAsia="楷体" w:cs="楷体"/>
                <w:i/>
                <w:iCs/>
                <w:snapToGrid w:val="0"/>
                <w:szCs w:val="21"/>
                <w:highlight w:val="none"/>
                <w:u w:val="single"/>
              </w:rPr>
              <w:t>签订合同时填入对应内容</w:t>
            </w:r>
          </w:p>
        </w:tc>
        <w:tc>
          <w:tcPr>
            <w:tcW w:w="2500" w:type="pct"/>
            <w:vAlign w:val="center"/>
          </w:tcPr>
          <w:p>
            <w:pPr>
              <w:rPr>
                <w:rFonts w:ascii="宋体" w:hAnsi="宋体" w:cs="宋体"/>
                <w:szCs w:val="21"/>
                <w:highlight w:val="none"/>
              </w:rPr>
            </w:pPr>
            <w:r>
              <w:rPr>
                <w:rFonts w:hint="eastAsia" w:ascii="宋体" w:hAnsi="宋体" w:cs="宋体"/>
                <w:szCs w:val="21"/>
                <w:highlight w:val="none"/>
              </w:rPr>
              <w:t>电  话：</w:t>
            </w:r>
            <w:r>
              <w:rPr>
                <w:rFonts w:hint="eastAsia" w:ascii="楷体" w:hAnsi="楷体" w:eastAsia="楷体" w:cs="楷体"/>
                <w:i/>
                <w:iCs/>
                <w:snapToGrid w:val="0"/>
                <w:szCs w:val="21"/>
                <w:highlight w:val="none"/>
                <w:u w:val="single"/>
              </w:rPr>
              <w:t>签订合同时填入对应内容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pPr>
              <w:rPr>
                <w:rFonts w:ascii="宋体" w:hAnsi="宋体" w:cs="宋体"/>
                <w:szCs w:val="21"/>
                <w:highlight w:val="none"/>
              </w:rPr>
            </w:pPr>
            <w:r>
              <w:rPr>
                <w:rFonts w:hint="eastAsia" w:ascii="宋体" w:hAnsi="宋体" w:cs="宋体"/>
                <w:szCs w:val="21"/>
                <w:highlight w:val="none"/>
              </w:rPr>
              <w:t>开户银行：</w:t>
            </w:r>
            <w:r>
              <w:rPr>
                <w:rFonts w:hint="eastAsia" w:ascii="楷体" w:hAnsi="楷体" w:eastAsia="楷体" w:cs="楷体"/>
                <w:i/>
                <w:iCs/>
                <w:snapToGrid w:val="0"/>
                <w:szCs w:val="21"/>
                <w:highlight w:val="none"/>
                <w:u w:val="single"/>
              </w:rPr>
              <w:t>签订合同时填入对应内容</w:t>
            </w:r>
          </w:p>
        </w:tc>
        <w:tc>
          <w:tcPr>
            <w:tcW w:w="2500" w:type="pct"/>
            <w:vAlign w:val="center"/>
          </w:tcPr>
          <w:p>
            <w:pPr>
              <w:rPr>
                <w:rFonts w:ascii="宋体" w:hAnsi="宋体" w:cs="宋体"/>
                <w:szCs w:val="21"/>
                <w:highlight w:val="none"/>
              </w:rPr>
            </w:pPr>
            <w:r>
              <w:rPr>
                <w:rFonts w:hint="eastAsia" w:ascii="宋体" w:hAnsi="宋体" w:cs="宋体"/>
                <w:szCs w:val="21"/>
                <w:highlight w:val="none"/>
              </w:rPr>
              <w:t>开户银行：</w:t>
            </w:r>
            <w:r>
              <w:rPr>
                <w:rFonts w:hint="eastAsia" w:ascii="楷体" w:hAnsi="楷体" w:eastAsia="楷体" w:cs="楷体"/>
                <w:i/>
                <w:iCs/>
                <w:snapToGrid w:val="0"/>
                <w:szCs w:val="21"/>
                <w:highlight w:val="none"/>
                <w:u w:val="single"/>
              </w:rPr>
              <w:t>签订合同时填入对应内容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pPr>
              <w:rPr>
                <w:rFonts w:ascii="宋体" w:hAnsi="宋体" w:cs="宋体"/>
                <w:szCs w:val="21"/>
                <w:highlight w:val="none"/>
              </w:rPr>
            </w:pPr>
            <w:r>
              <w:rPr>
                <w:rFonts w:hint="eastAsia" w:ascii="宋体" w:hAnsi="宋体" w:cs="宋体"/>
                <w:szCs w:val="21"/>
                <w:highlight w:val="none"/>
              </w:rPr>
              <w:t>账  号：</w:t>
            </w:r>
            <w:r>
              <w:rPr>
                <w:rFonts w:hint="eastAsia" w:ascii="楷体" w:hAnsi="楷体" w:eastAsia="楷体" w:cs="楷体"/>
                <w:i/>
                <w:iCs/>
                <w:snapToGrid w:val="0"/>
                <w:szCs w:val="21"/>
                <w:highlight w:val="none"/>
                <w:u w:val="single"/>
              </w:rPr>
              <w:t>签订合同时填入对应内容</w:t>
            </w:r>
          </w:p>
        </w:tc>
        <w:tc>
          <w:tcPr>
            <w:tcW w:w="2500" w:type="pct"/>
            <w:vAlign w:val="center"/>
          </w:tcPr>
          <w:p>
            <w:pPr>
              <w:rPr>
                <w:rFonts w:ascii="宋体" w:hAnsi="宋体" w:cs="宋体"/>
                <w:szCs w:val="21"/>
                <w:highlight w:val="none"/>
              </w:rPr>
            </w:pPr>
            <w:r>
              <w:rPr>
                <w:rFonts w:hint="eastAsia" w:ascii="宋体" w:hAnsi="宋体" w:cs="宋体"/>
                <w:szCs w:val="21"/>
                <w:highlight w:val="none"/>
              </w:rPr>
              <w:t>账  号：</w:t>
            </w:r>
            <w:r>
              <w:rPr>
                <w:rFonts w:hint="eastAsia" w:ascii="楷体" w:hAnsi="楷体" w:eastAsia="楷体" w:cs="楷体"/>
                <w:i/>
                <w:iCs/>
                <w:snapToGrid w:val="0"/>
                <w:szCs w:val="21"/>
                <w:highlight w:val="none"/>
                <w:u w:val="single"/>
              </w:rPr>
              <w:t>签订合同时填入对应内容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pPr>
              <w:rPr>
                <w:rFonts w:ascii="宋体" w:hAnsi="宋体" w:cs="宋体"/>
                <w:szCs w:val="21"/>
                <w:highlight w:val="none"/>
              </w:rPr>
            </w:pPr>
            <w:r>
              <w:rPr>
                <w:rFonts w:hint="eastAsia" w:ascii="宋体" w:hAnsi="宋体" w:cs="宋体"/>
                <w:szCs w:val="21"/>
                <w:highlight w:val="none"/>
              </w:rPr>
              <w:t>纳税人识别号：</w:t>
            </w:r>
            <w:r>
              <w:rPr>
                <w:rFonts w:hint="eastAsia" w:ascii="楷体" w:hAnsi="楷体" w:eastAsia="楷体" w:cs="楷体"/>
                <w:i/>
                <w:iCs/>
                <w:snapToGrid w:val="0"/>
                <w:szCs w:val="21"/>
                <w:highlight w:val="none"/>
                <w:u w:val="single"/>
              </w:rPr>
              <w:t>签订合同时填入对应内容</w:t>
            </w:r>
          </w:p>
        </w:tc>
        <w:tc>
          <w:tcPr>
            <w:tcW w:w="2500" w:type="pct"/>
            <w:vAlign w:val="center"/>
          </w:tcPr>
          <w:p>
            <w:pPr>
              <w:rPr>
                <w:rFonts w:ascii="宋体" w:hAnsi="宋体" w:cs="宋体"/>
                <w:szCs w:val="21"/>
                <w:highlight w:val="none"/>
              </w:rPr>
            </w:pPr>
            <w:r>
              <w:rPr>
                <w:rFonts w:hint="eastAsia" w:ascii="宋体" w:hAnsi="宋体" w:cs="宋体"/>
                <w:szCs w:val="21"/>
                <w:highlight w:val="none"/>
              </w:rPr>
              <w:t>纳税人识别号：</w:t>
            </w:r>
            <w:r>
              <w:rPr>
                <w:rFonts w:hint="eastAsia" w:ascii="楷体" w:hAnsi="楷体" w:eastAsia="楷体" w:cs="楷体"/>
                <w:i/>
                <w:iCs/>
                <w:snapToGrid w:val="0"/>
                <w:szCs w:val="21"/>
                <w:highlight w:val="none"/>
                <w:u w:val="single"/>
              </w:rPr>
              <w:t>签订合同时填入对应内容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2"/>
            <w:vAlign w:val="center"/>
          </w:tcPr>
          <w:p>
            <w:pPr>
              <w:rPr>
                <w:rFonts w:ascii="宋体" w:hAnsi="宋体" w:cs="宋体"/>
                <w:szCs w:val="21"/>
                <w:highlight w:val="none"/>
              </w:rPr>
            </w:pPr>
            <w:r>
              <w:rPr>
                <w:rFonts w:hint="eastAsia" w:ascii="宋体" w:hAnsi="宋体" w:cs="宋体"/>
                <w:szCs w:val="21"/>
                <w:highlight w:val="none"/>
              </w:rPr>
              <w:t>签订时间：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2"/>
            <w:vAlign w:val="center"/>
          </w:tcPr>
          <w:p>
            <w:pPr>
              <w:rPr>
                <w:rFonts w:ascii="宋体" w:hAnsi="宋体" w:cs="宋体"/>
                <w:szCs w:val="21"/>
                <w:highlight w:val="none"/>
              </w:rPr>
            </w:pPr>
            <w:r>
              <w:rPr>
                <w:rFonts w:cs="Calibri"/>
                <w:snapToGrid w:val="0"/>
                <w:szCs w:val="21"/>
                <w:highlight w:val="none"/>
              </w:rPr>
              <w:t>签约地点：</w:t>
            </w:r>
          </w:p>
        </w:tc>
      </w:tr>
    </w:tbl>
    <w:p>
      <w:pPr>
        <w:pStyle w:val="3"/>
        <w:rPr>
          <w:rFonts w:cs="Calibri"/>
          <w:color w:val="auto"/>
          <w:highlight w:val="none"/>
        </w:rPr>
      </w:pPr>
      <w:r>
        <w:rPr>
          <w:rFonts w:cs="Calibri"/>
          <w:color w:val="auto"/>
          <w:spacing w:val="6"/>
          <w:szCs w:val="21"/>
          <w:highlight w:val="none"/>
        </w:rPr>
        <w:br w:type="page"/>
      </w:r>
      <w:bookmarkStart w:id="51" w:name="_Toc21760"/>
      <w:bookmarkStart w:id="52" w:name="_Toc14015"/>
      <w:r>
        <w:rPr>
          <w:rFonts w:cs="Calibri"/>
          <w:color w:val="auto"/>
          <w:highlight w:val="none"/>
        </w:rPr>
        <w:t>第五章磋商评审办法</w:t>
      </w:r>
      <w:bookmarkEnd w:id="43"/>
      <w:bookmarkEnd w:id="44"/>
      <w:bookmarkEnd w:id="45"/>
      <w:bookmarkEnd w:id="46"/>
      <w:bookmarkEnd w:id="51"/>
      <w:bookmarkEnd w:id="52"/>
    </w:p>
    <w:p>
      <w:pPr>
        <w:adjustRightInd w:val="0"/>
        <w:ind w:firstLine="420" w:firstLineChars="200"/>
        <w:rPr>
          <w:rFonts w:cs="Calibri"/>
          <w:szCs w:val="21"/>
          <w:highlight w:val="none"/>
        </w:rPr>
      </w:pPr>
      <w:r>
        <w:rPr>
          <w:rFonts w:cs="Calibri"/>
          <w:szCs w:val="21"/>
          <w:highlight w:val="none"/>
        </w:rPr>
        <w:t>本评审办法遵照《中华人民共和国政府采购法》、《政府采购竞争性磋商采购方式管理暂行办法》等政府采购有关法律、法规、规章、文件的规定，并结合本项目的具体情况制定。</w:t>
      </w:r>
    </w:p>
    <w:p>
      <w:pPr>
        <w:pStyle w:val="5"/>
        <w:ind w:firstLine="422"/>
        <w:rPr>
          <w:rFonts w:cs="Calibri"/>
          <w:highlight w:val="none"/>
        </w:rPr>
      </w:pPr>
      <w:r>
        <w:rPr>
          <w:rFonts w:cs="Calibri"/>
          <w:highlight w:val="none"/>
        </w:rPr>
        <w:t>一、评审原则</w:t>
      </w:r>
    </w:p>
    <w:p>
      <w:pPr>
        <w:adjustRightInd w:val="0"/>
        <w:ind w:firstLine="420" w:firstLineChars="200"/>
        <w:rPr>
          <w:rFonts w:cs="Calibri"/>
          <w:szCs w:val="21"/>
          <w:highlight w:val="none"/>
        </w:rPr>
      </w:pPr>
      <w:r>
        <w:rPr>
          <w:rFonts w:cs="Calibri"/>
          <w:szCs w:val="21"/>
          <w:highlight w:val="none"/>
        </w:rPr>
        <w:t>磋商小组成员应当按照客观、公正、审慎的原则，根据采购文件规定的评审程序、评审方法和评审标准进行独立评审，并推荐成交候选人。磋商评审期间，磋商小组必须严格遵守保密规定，不得泄露评审的有关情况以及评审过程中获悉的国家秘密、商业秘密。如发现采购文件内容违反国家有关强制性规定的，磋商小组应当停止评审并向采购人或者采购代理机构说明情况。</w:t>
      </w:r>
    </w:p>
    <w:p>
      <w:pPr>
        <w:pStyle w:val="5"/>
        <w:ind w:firstLine="422"/>
        <w:rPr>
          <w:rFonts w:cs="Calibri"/>
          <w:highlight w:val="none"/>
        </w:rPr>
      </w:pPr>
      <w:r>
        <w:rPr>
          <w:rFonts w:cs="Calibri"/>
          <w:highlight w:val="none"/>
        </w:rPr>
        <w:t>二、磋商、评审</w:t>
      </w:r>
    </w:p>
    <w:p>
      <w:pPr>
        <w:adjustRightInd w:val="0"/>
        <w:ind w:firstLine="420" w:firstLineChars="200"/>
        <w:rPr>
          <w:rFonts w:cs="Calibri"/>
          <w:szCs w:val="21"/>
          <w:highlight w:val="none"/>
        </w:rPr>
      </w:pPr>
      <w:r>
        <w:rPr>
          <w:rFonts w:cs="Calibri"/>
          <w:szCs w:val="21"/>
          <w:highlight w:val="none"/>
        </w:rPr>
        <w:t>1.磋商、评审工作由磋商小组负责。</w:t>
      </w:r>
    </w:p>
    <w:p>
      <w:pPr>
        <w:adjustRightInd w:val="0"/>
        <w:ind w:firstLine="420" w:firstLineChars="200"/>
        <w:rPr>
          <w:rFonts w:cs="Calibri"/>
          <w:szCs w:val="21"/>
          <w:highlight w:val="none"/>
        </w:rPr>
      </w:pPr>
      <w:r>
        <w:rPr>
          <w:rFonts w:cs="Calibri"/>
          <w:szCs w:val="21"/>
          <w:highlight w:val="none"/>
        </w:rPr>
        <w:t>2.审查供应商的资格条件</w:t>
      </w:r>
    </w:p>
    <w:p>
      <w:pPr>
        <w:adjustRightInd w:val="0"/>
        <w:ind w:firstLine="420" w:firstLineChars="200"/>
        <w:rPr>
          <w:rFonts w:cs="Calibri"/>
          <w:szCs w:val="21"/>
          <w:highlight w:val="none"/>
        </w:rPr>
      </w:pPr>
      <w:r>
        <w:rPr>
          <w:rFonts w:cs="Calibri"/>
          <w:szCs w:val="21"/>
          <w:highlight w:val="none"/>
        </w:rPr>
        <w:t>磋商小组对所有供应商是否满足采购文件规定资格条件进行审查，经审查，如有供应商资格不符合采购文件规定资格条件，采用书面形式告知供应商。</w:t>
      </w:r>
    </w:p>
    <w:p>
      <w:pPr>
        <w:adjustRightInd w:val="0"/>
        <w:ind w:firstLine="420" w:firstLineChars="200"/>
        <w:rPr>
          <w:rFonts w:cs="Calibri"/>
          <w:szCs w:val="21"/>
          <w:highlight w:val="none"/>
        </w:rPr>
      </w:pPr>
      <w:r>
        <w:rPr>
          <w:rFonts w:cs="Calibri"/>
          <w:szCs w:val="21"/>
          <w:highlight w:val="none"/>
        </w:rPr>
        <w:t>3.符合性审查</w:t>
      </w:r>
    </w:p>
    <w:p>
      <w:pPr>
        <w:adjustRightInd w:val="0"/>
        <w:ind w:firstLine="420" w:firstLineChars="200"/>
        <w:rPr>
          <w:rFonts w:cs="Calibri"/>
          <w:szCs w:val="21"/>
          <w:highlight w:val="none"/>
        </w:rPr>
      </w:pPr>
      <w:r>
        <w:rPr>
          <w:rFonts w:cs="Calibri"/>
          <w:szCs w:val="21"/>
          <w:highlight w:val="none"/>
        </w:rPr>
        <w:t>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w:t>
      </w:r>
    </w:p>
    <w:p>
      <w:pPr>
        <w:adjustRightInd w:val="0"/>
        <w:ind w:firstLine="420" w:firstLineChars="200"/>
        <w:rPr>
          <w:rFonts w:cs="Calibri"/>
          <w:szCs w:val="21"/>
          <w:highlight w:val="none"/>
        </w:rPr>
      </w:pPr>
      <w:r>
        <w:rPr>
          <w:rFonts w:cs="Calibri"/>
          <w:szCs w:val="21"/>
          <w:highlight w:val="none"/>
        </w:rPr>
        <w:t>磋商小组要求供应商澄清、说明或者更正响应文件以书面形式作出。供应商的澄清、说明或者更正应当由法定代表人或其授权代表签字或者加盖公章。由授权代表签字的，应当附法定代表人授权书。</w:t>
      </w:r>
    </w:p>
    <w:p>
      <w:pPr>
        <w:adjustRightInd w:val="0"/>
        <w:ind w:firstLine="422" w:firstLineChars="200"/>
        <w:rPr>
          <w:rFonts w:cs="Calibri"/>
          <w:b/>
          <w:szCs w:val="21"/>
          <w:highlight w:val="none"/>
        </w:rPr>
      </w:pPr>
      <w:bookmarkStart w:id="53" w:name="_Toc419708028"/>
      <w:r>
        <w:rPr>
          <w:rFonts w:cs="Calibri"/>
          <w:b/>
          <w:szCs w:val="21"/>
          <w:highlight w:val="none"/>
        </w:rPr>
        <w:t>3.1</w:t>
      </w:r>
      <w:bookmarkEnd w:id="53"/>
      <w:r>
        <w:rPr>
          <w:rFonts w:cs="Calibri"/>
          <w:b/>
          <w:szCs w:val="21"/>
          <w:highlight w:val="none"/>
        </w:rPr>
        <w:t>资格及响应符合性审查</w:t>
      </w:r>
    </w:p>
    <w:p>
      <w:pPr>
        <w:autoSpaceDE w:val="0"/>
        <w:autoSpaceDN w:val="0"/>
        <w:ind w:firstLine="420" w:firstLineChars="200"/>
        <w:rPr>
          <w:rFonts w:cs="Calibri"/>
          <w:kern w:val="0"/>
          <w:szCs w:val="21"/>
          <w:highlight w:val="none"/>
        </w:rPr>
      </w:pPr>
      <w:r>
        <w:rPr>
          <w:rFonts w:cs="Calibri"/>
          <w:kern w:val="0"/>
          <w:szCs w:val="21"/>
          <w:highlight w:val="none"/>
        </w:rPr>
        <w:t>磋商响应文件如存在以下情况之一的，经磋商小组少数服从多数原则审核认定，作为符合性审查未通过，判定为无效响应，不进入后续评审：</w:t>
      </w:r>
    </w:p>
    <w:p>
      <w:pPr>
        <w:autoSpaceDE w:val="0"/>
        <w:autoSpaceDN w:val="0"/>
        <w:ind w:firstLine="422" w:firstLineChars="200"/>
        <w:rPr>
          <w:rFonts w:cs="Calibri"/>
          <w:b/>
          <w:bCs/>
          <w:kern w:val="0"/>
          <w:szCs w:val="21"/>
          <w:highlight w:val="none"/>
        </w:rPr>
      </w:pPr>
      <w:bookmarkStart w:id="54" w:name="_Toc419708029"/>
      <w:r>
        <w:rPr>
          <w:rFonts w:cs="Calibri"/>
          <w:b/>
          <w:bCs/>
          <w:kern w:val="0"/>
          <w:szCs w:val="21"/>
          <w:highlight w:val="none"/>
        </w:rPr>
        <w:t>（1）磋商响应文件中提供的资料无法证明供应商满足采购文件载明的供应商资格要求；</w:t>
      </w:r>
    </w:p>
    <w:p>
      <w:pPr>
        <w:autoSpaceDE w:val="0"/>
        <w:autoSpaceDN w:val="0"/>
        <w:ind w:firstLine="422" w:firstLineChars="200"/>
        <w:rPr>
          <w:rFonts w:cs="Calibri"/>
          <w:b/>
          <w:bCs/>
          <w:kern w:val="0"/>
          <w:szCs w:val="21"/>
          <w:highlight w:val="none"/>
        </w:rPr>
      </w:pPr>
      <w:r>
        <w:rPr>
          <w:rFonts w:cs="Calibri"/>
          <w:b/>
          <w:bCs/>
          <w:kern w:val="0"/>
          <w:szCs w:val="21"/>
          <w:highlight w:val="none"/>
        </w:rPr>
        <w:t>（2）磋商响应文件未按采购文件的要求盖章的；</w:t>
      </w:r>
    </w:p>
    <w:p>
      <w:pPr>
        <w:autoSpaceDE w:val="0"/>
        <w:autoSpaceDN w:val="0"/>
        <w:ind w:firstLine="422" w:firstLineChars="200"/>
        <w:rPr>
          <w:rFonts w:cs="Calibri"/>
          <w:b/>
          <w:bCs/>
          <w:kern w:val="0"/>
          <w:szCs w:val="21"/>
          <w:highlight w:val="none"/>
        </w:rPr>
      </w:pPr>
      <w:r>
        <w:rPr>
          <w:rFonts w:cs="Calibri"/>
          <w:b/>
          <w:bCs/>
          <w:kern w:val="0"/>
          <w:szCs w:val="21"/>
          <w:highlight w:val="none"/>
        </w:rPr>
        <w:t>（3）磋商响应文件标明的商务、技术响应与事实不符或虚假响应的；</w:t>
      </w:r>
    </w:p>
    <w:p>
      <w:pPr>
        <w:autoSpaceDE w:val="0"/>
        <w:autoSpaceDN w:val="0"/>
        <w:ind w:firstLine="422" w:firstLineChars="200"/>
        <w:rPr>
          <w:rFonts w:cs="Calibri"/>
          <w:b/>
          <w:bCs/>
          <w:kern w:val="0"/>
          <w:szCs w:val="21"/>
          <w:highlight w:val="none"/>
        </w:rPr>
      </w:pPr>
      <w:r>
        <w:rPr>
          <w:rFonts w:cs="Calibri"/>
          <w:b/>
          <w:bCs/>
          <w:kern w:val="0"/>
          <w:szCs w:val="21"/>
          <w:highlight w:val="none"/>
        </w:rPr>
        <w:t>（4）未实质性响应采购文件规定的实质性内容的；</w:t>
      </w:r>
    </w:p>
    <w:p>
      <w:pPr>
        <w:autoSpaceDE w:val="0"/>
        <w:autoSpaceDN w:val="0"/>
        <w:ind w:firstLine="422" w:firstLineChars="200"/>
        <w:rPr>
          <w:rFonts w:cs="Calibri"/>
          <w:b/>
          <w:bCs/>
          <w:kern w:val="0"/>
          <w:szCs w:val="21"/>
          <w:highlight w:val="none"/>
        </w:rPr>
      </w:pPr>
      <w:r>
        <w:rPr>
          <w:rFonts w:cs="Calibri"/>
          <w:b/>
          <w:bCs/>
          <w:kern w:val="0"/>
          <w:szCs w:val="21"/>
          <w:highlight w:val="none"/>
        </w:rPr>
        <w:t>（5）技术解决方案、服务实施方案不能满足本项目实施需要；</w:t>
      </w:r>
    </w:p>
    <w:p>
      <w:pPr>
        <w:autoSpaceDE w:val="0"/>
        <w:autoSpaceDN w:val="0"/>
        <w:ind w:firstLine="422" w:firstLineChars="200"/>
        <w:rPr>
          <w:rFonts w:cs="Calibri"/>
          <w:b/>
          <w:bCs/>
          <w:kern w:val="0"/>
          <w:szCs w:val="21"/>
          <w:highlight w:val="none"/>
        </w:rPr>
      </w:pPr>
      <w:r>
        <w:rPr>
          <w:rFonts w:cs="Calibri"/>
          <w:b/>
          <w:bCs/>
          <w:kern w:val="0"/>
          <w:szCs w:val="21"/>
          <w:highlight w:val="none"/>
        </w:rPr>
        <w:t>（6）磋商响应文件提出了不能满足采购文件要求的实施周期、质保期等要求的；</w:t>
      </w:r>
    </w:p>
    <w:p>
      <w:pPr>
        <w:autoSpaceDE w:val="0"/>
        <w:autoSpaceDN w:val="0"/>
        <w:ind w:firstLine="422" w:firstLineChars="200"/>
        <w:rPr>
          <w:rFonts w:cs="Calibri"/>
          <w:b/>
          <w:bCs/>
          <w:kern w:val="0"/>
          <w:szCs w:val="21"/>
          <w:highlight w:val="none"/>
        </w:rPr>
      </w:pPr>
      <w:r>
        <w:rPr>
          <w:rFonts w:cs="Calibri"/>
          <w:b/>
          <w:bCs/>
          <w:kern w:val="0"/>
          <w:szCs w:val="21"/>
          <w:highlight w:val="none"/>
        </w:rPr>
        <w:t>（7）存在串通情况的；</w:t>
      </w:r>
    </w:p>
    <w:p>
      <w:pPr>
        <w:ind w:firstLine="422" w:firstLineChars="200"/>
        <w:rPr>
          <w:rFonts w:cs="Calibri"/>
          <w:highlight w:val="none"/>
        </w:rPr>
      </w:pPr>
      <w:r>
        <w:rPr>
          <w:rFonts w:cs="Calibri"/>
          <w:b/>
          <w:szCs w:val="21"/>
          <w:highlight w:val="none"/>
        </w:rPr>
        <w:t>◇</w:t>
      </w:r>
      <w:r>
        <w:rPr>
          <w:rFonts w:cs="Calibri"/>
          <w:highlight w:val="none"/>
        </w:rPr>
        <w:t>不同</w:t>
      </w:r>
      <w:r>
        <w:rPr>
          <w:rFonts w:hint="eastAsia" w:cs="Calibri"/>
          <w:highlight w:val="none"/>
        </w:rPr>
        <w:t>供应商</w:t>
      </w:r>
      <w:r>
        <w:rPr>
          <w:rFonts w:cs="Calibri"/>
          <w:highlight w:val="none"/>
        </w:rPr>
        <w:t>的</w:t>
      </w:r>
      <w:r>
        <w:rPr>
          <w:rFonts w:hint="eastAsia" w:cs="Calibri"/>
          <w:highlight w:val="none"/>
        </w:rPr>
        <w:t>响应</w:t>
      </w:r>
      <w:r>
        <w:rPr>
          <w:rFonts w:cs="Calibri"/>
          <w:highlight w:val="none"/>
        </w:rPr>
        <w:t>文件由同一单位或者个人编制；</w:t>
      </w:r>
    </w:p>
    <w:p>
      <w:pPr>
        <w:ind w:firstLine="422" w:firstLineChars="200"/>
        <w:rPr>
          <w:rFonts w:cs="Calibri"/>
          <w:highlight w:val="none"/>
        </w:rPr>
      </w:pPr>
      <w:r>
        <w:rPr>
          <w:rFonts w:cs="Calibri"/>
          <w:b/>
          <w:szCs w:val="21"/>
          <w:highlight w:val="none"/>
        </w:rPr>
        <w:t>◇</w:t>
      </w:r>
      <w:r>
        <w:rPr>
          <w:rFonts w:cs="Calibri"/>
          <w:highlight w:val="none"/>
        </w:rPr>
        <w:t>不同</w:t>
      </w:r>
      <w:r>
        <w:rPr>
          <w:rFonts w:hint="eastAsia" w:cs="Calibri"/>
          <w:highlight w:val="none"/>
        </w:rPr>
        <w:t>供应商</w:t>
      </w:r>
      <w:r>
        <w:rPr>
          <w:rFonts w:cs="Calibri"/>
          <w:highlight w:val="none"/>
        </w:rPr>
        <w:t>委托同一单位或者个人办理</w:t>
      </w:r>
      <w:r>
        <w:rPr>
          <w:rFonts w:hint="eastAsia" w:cs="Calibri"/>
          <w:highlight w:val="none"/>
        </w:rPr>
        <w:t>磋商响应</w:t>
      </w:r>
      <w:r>
        <w:rPr>
          <w:rFonts w:cs="Calibri"/>
          <w:highlight w:val="none"/>
        </w:rPr>
        <w:t>事宜；</w:t>
      </w:r>
    </w:p>
    <w:p>
      <w:pPr>
        <w:ind w:firstLine="422" w:firstLineChars="200"/>
        <w:rPr>
          <w:rFonts w:cs="Calibri"/>
          <w:highlight w:val="none"/>
        </w:rPr>
      </w:pPr>
      <w:r>
        <w:rPr>
          <w:rFonts w:cs="Calibri"/>
          <w:b/>
          <w:szCs w:val="21"/>
          <w:highlight w:val="none"/>
        </w:rPr>
        <w:t>◇</w:t>
      </w:r>
      <w:r>
        <w:rPr>
          <w:rFonts w:cs="Calibri"/>
          <w:highlight w:val="none"/>
        </w:rPr>
        <w:t>不同</w:t>
      </w:r>
      <w:r>
        <w:rPr>
          <w:rFonts w:hint="eastAsia" w:cs="Calibri"/>
          <w:highlight w:val="none"/>
        </w:rPr>
        <w:t>供应商</w:t>
      </w:r>
      <w:r>
        <w:rPr>
          <w:rFonts w:cs="Calibri"/>
          <w:highlight w:val="none"/>
        </w:rPr>
        <w:t>的</w:t>
      </w:r>
      <w:r>
        <w:rPr>
          <w:rFonts w:hint="eastAsia" w:cs="Calibri"/>
          <w:highlight w:val="none"/>
        </w:rPr>
        <w:t>响应</w:t>
      </w:r>
      <w:r>
        <w:rPr>
          <w:rFonts w:cs="Calibri"/>
          <w:highlight w:val="none"/>
        </w:rPr>
        <w:t>文件载明的项目管理成员或者联系人员为同一人；</w:t>
      </w:r>
    </w:p>
    <w:p>
      <w:pPr>
        <w:ind w:firstLine="422" w:firstLineChars="200"/>
        <w:rPr>
          <w:rFonts w:cs="Calibri"/>
          <w:highlight w:val="none"/>
        </w:rPr>
      </w:pPr>
      <w:r>
        <w:rPr>
          <w:rFonts w:cs="Calibri"/>
          <w:b/>
          <w:szCs w:val="21"/>
          <w:highlight w:val="none"/>
        </w:rPr>
        <w:t>◇</w:t>
      </w:r>
      <w:r>
        <w:rPr>
          <w:rFonts w:cs="Calibri"/>
          <w:highlight w:val="none"/>
        </w:rPr>
        <w:t>不同</w:t>
      </w:r>
      <w:r>
        <w:rPr>
          <w:rFonts w:hint="eastAsia" w:cs="Calibri"/>
          <w:highlight w:val="none"/>
        </w:rPr>
        <w:t>供应商</w:t>
      </w:r>
      <w:r>
        <w:rPr>
          <w:rFonts w:cs="Calibri"/>
          <w:highlight w:val="none"/>
        </w:rPr>
        <w:t>的</w:t>
      </w:r>
      <w:r>
        <w:rPr>
          <w:rFonts w:hint="eastAsia" w:cs="Calibri"/>
          <w:highlight w:val="none"/>
        </w:rPr>
        <w:t>响应</w:t>
      </w:r>
      <w:r>
        <w:rPr>
          <w:rFonts w:cs="Calibri"/>
          <w:highlight w:val="none"/>
        </w:rPr>
        <w:t>文件异常一致或者报价呈规律性差异；</w:t>
      </w:r>
    </w:p>
    <w:p>
      <w:pPr>
        <w:pStyle w:val="6"/>
        <w:rPr>
          <w:highlight w:val="none"/>
        </w:rPr>
      </w:pPr>
      <w:r>
        <w:rPr>
          <w:rFonts w:cs="Calibri"/>
          <w:b/>
          <w:szCs w:val="21"/>
          <w:highlight w:val="none"/>
        </w:rPr>
        <w:t>◇</w:t>
      </w:r>
      <w:r>
        <w:rPr>
          <w:rFonts w:cs="Calibri"/>
          <w:highlight w:val="none"/>
        </w:rPr>
        <w:t>不同</w:t>
      </w:r>
      <w:r>
        <w:rPr>
          <w:rFonts w:hint="eastAsia" w:cs="Calibri"/>
          <w:highlight w:val="none"/>
        </w:rPr>
        <w:t>供应商</w:t>
      </w:r>
      <w:r>
        <w:rPr>
          <w:rFonts w:cs="Calibri"/>
          <w:highlight w:val="none"/>
        </w:rPr>
        <w:t>的</w:t>
      </w:r>
      <w:r>
        <w:rPr>
          <w:rFonts w:hint="eastAsia" w:cs="Calibri"/>
          <w:highlight w:val="none"/>
        </w:rPr>
        <w:t>响应</w:t>
      </w:r>
      <w:r>
        <w:rPr>
          <w:rFonts w:cs="Calibri"/>
          <w:highlight w:val="none"/>
        </w:rPr>
        <w:t>文件相互混装；</w:t>
      </w:r>
    </w:p>
    <w:p>
      <w:pPr>
        <w:autoSpaceDE w:val="0"/>
        <w:autoSpaceDN w:val="0"/>
        <w:ind w:firstLine="422" w:firstLineChars="200"/>
        <w:rPr>
          <w:rFonts w:cs="Calibri"/>
          <w:b/>
          <w:bCs/>
          <w:kern w:val="0"/>
          <w:szCs w:val="21"/>
          <w:highlight w:val="none"/>
        </w:rPr>
      </w:pPr>
      <w:r>
        <w:rPr>
          <w:rFonts w:cs="Calibri"/>
          <w:b/>
          <w:bCs/>
          <w:kern w:val="0"/>
          <w:szCs w:val="21"/>
          <w:highlight w:val="none"/>
        </w:rPr>
        <w:t>（8）存在法律、法规、规章、采购文件规定的其它无效情况的；</w:t>
      </w:r>
    </w:p>
    <w:p>
      <w:pPr>
        <w:autoSpaceDE w:val="0"/>
        <w:autoSpaceDN w:val="0"/>
        <w:ind w:firstLine="422" w:firstLineChars="200"/>
        <w:rPr>
          <w:rFonts w:cs="Calibri"/>
          <w:b/>
          <w:bCs/>
          <w:kern w:val="0"/>
          <w:szCs w:val="21"/>
          <w:highlight w:val="none"/>
        </w:rPr>
      </w:pPr>
      <w:r>
        <w:rPr>
          <w:rFonts w:cs="Calibri"/>
          <w:b/>
          <w:bCs/>
          <w:kern w:val="0"/>
          <w:szCs w:val="21"/>
          <w:highlight w:val="none"/>
        </w:rPr>
        <w:t>（9）退出磋商的供应商的磋商响应文件；</w:t>
      </w:r>
    </w:p>
    <w:p>
      <w:pPr>
        <w:adjustRightInd w:val="0"/>
        <w:ind w:firstLine="422" w:firstLineChars="200"/>
        <w:rPr>
          <w:rFonts w:cs="Calibri"/>
          <w:b/>
          <w:szCs w:val="21"/>
          <w:highlight w:val="none"/>
        </w:rPr>
      </w:pPr>
      <w:r>
        <w:rPr>
          <w:rFonts w:cs="Calibri"/>
          <w:b/>
          <w:szCs w:val="21"/>
          <w:highlight w:val="none"/>
        </w:rPr>
        <w:t>3.2报价符合性审查</w:t>
      </w:r>
      <w:bookmarkEnd w:id="54"/>
    </w:p>
    <w:p>
      <w:pPr>
        <w:adjustRightInd w:val="0"/>
        <w:ind w:firstLine="420" w:firstLineChars="200"/>
        <w:rPr>
          <w:rFonts w:cs="Calibri"/>
          <w:szCs w:val="21"/>
          <w:highlight w:val="none"/>
        </w:rPr>
      </w:pPr>
      <w:r>
        <w:rPr>
          <w:rFonts w:cs="Calibri"/>
          <w:szCs w:val="21"/>
          <w:highlight w:val="none"/>
        </w:rPr>
        <w:t>3.2.1 报价错误修正</w:t>
      </w:r>
    </w:p>
    <w:p>
      <w:pPr>
        <w:pStyle w:val="67"/>
        <w:spacing w:line="300" w:lineRule="auto"/>
        <w:ind w:firstLine="420"/>
        <w:rPr>
          <w:rFonts w:ascii="Calibri" w:hAnsi="Calibri" w:cs="Calibri"/>
          <w:highlight w:val="none"/>
        </w:rPr>
      </w:pPr>
      <w:r>
        <w:rPr>
          <w:rFonts w:ascii="Calibri" w:hAnsi="Calibri" w:cs="Calibri"/>
          <w:highlight w:val="none"/>
        </w:rPr>
        <w:t>磋商小组将对报价文件进行校核，报价出现前后不一致的，</w:t>
      </w:r>
      <w:r>
        <w:rPr>
          <w:rFonts w:ascii="Calibri" w:hAnsi="Calibri" w:cs="Calibri"/>
          <w:bCs/>
          <w:highlight w:val="none"/>
        </w:rPr>
        <w:t>按照下列规定修正：</w:t>
      </w:r>
    </w:p>
    <w:p>
      <w:pPr>
        <w:pStyle w:val="67"/>
        <w:spacing w:line="300" w:lineRule="auto"/>
        <w:ind w:firstLine="422"/>
        <w:rPr>
          <w:rFonts w:ascii="Calibri" w:hAnsi="Calibri" w:cs="Calibri"/>
          <w:b/>
          <w:highlight w:val="none"/>
        </w:rPr>
      </w:pPr>
      <w:r>
        <w:rPr>
          <w:rFonts w:ascii="Calibri" w:hAnsi="Calibri" w:cs="Calibri"/>
          <w:b/>
          <w:highlight w:val="none"/>
        </w:rPr>
        <w:t>（1）报价一览表（报价表）内容与磋商响应文件中相应内容不一致的，以报价一览表（报价表）为准；</w:t>
      </w:r>
    </w:p>
    <w:p>
      <w:pPr>
        <w:pStyle w:val="67"/>
        <w:spacing w:line="300" w:lineRule="auto"/>
        <w:ind w:firstLine="422"/>
        <w:rPr>
          <w:rFonts w:ascii="Calibri" w:hAnsi="Calibri" w:cs="Calibri"/>
          <w:b/>
          <w:highlight w:val="none"/>
        </w:rPr>
      </w:pPr>
      <w:r>
        <w:rPr>
          <w:rFonts w:ascii="Calibri" w:hAnsi="Calibri" w:cs="Calibri"/>
          <w:b/>
          <w:highlight w:val="none"/>
        </w:rPr>
        <w:t>（2）大写金额和小写金额不一致的，以大写金额为准；</w:t>
      </w:r>
    </w:p>
    <w:p>
      <w:pPr>
        <w:pStyle w:val="67"/>
        <w:spacing w:line="300" w:lineRule="auto"/>
        <w:ind w:firstLine="422"/>
        <w:rPr>
          <w:rFonts w:ascii="Calibri" w:hAnsi="Calibri" w:cs="Calibri"/>
          <w:b/>
          <w:highlight w:val="none"/>
        </w:rPr>
      </w:pPr>
      <w:r>
        <w:rPr>
          <w:rFonts w:ascii="Calibri" w:hAnsi="Calibri" w:cs="Calibri"/>
          <w:b/>
          <w:highlight w:val="none"/>
        </w:rPr>
        <w:t>（3）单价金额小数点或者百分比有明显错位的，以报价一览表的总价为准，并修改单价；</w:t>
      </w:r>
    </w:p>
    <w:p>
      <w:pPr>
        <w:pStyle w:val="67"/>
        <w:spacing w:line="300" w:lineRule="auto"/>
        <w:ind w:firstLine="422"/>
        <w:rPr>
          <w:rFonts w:ascii="Calibri" w:hAnsi="Calibri" w:cs="Calibri"/>
          <w:b/>
          <w:highlight w:val="none"/>
        </w:rPr>
      </w:pPr>
      <w:r>
        <w:rPr>
          <w:rFonts w:ascii="Calibri" w:hAnsi="Calibri" w:cs="Calibri"/>
          <w:b/>
          <w:highlight w:val="none"/>
        </w:rPr>
        <w:t>（4）总价金额与按单价汇总金额不一致的，以单价金额计算结果为准。</w:t>
      </w:r>
    </w:p>
    <w:p>
      <w:pPr>
        <w:pStyle w:val="67"/>
        <w:spacing w:line="300" w:lineRule="auto"/>
        <w:ind w:firstLine="422"/>
        <w:rPr>
          <w:rFonts w:ascii="Calibri" w:hAnsi="Calibri" w:cs="Calibri"/>
          <w:b/>
          <w:highlight w:val="none"/>
        </w:rPr>
      </w:pPr>
      <w:r>
        <w:rPr>
          <w:rFonts w:ascii="Calibri" w:hAnsi="Calibri" w:cs="Calibri"/>
          <w:b/>
          <w:highlight w:val="none"/>
        </w:rPr>
        <w:t>同时出现两种以上不一致的，按照前款规定的顺序修正。修正后的报价以澄清方式经供应商确认后产生约束力，供应商不确认的，磋商小组应判定其为无效标。</w:t>
      </w:r>
    </w:p>
    <w:p>
      <w:pPr>
        <w:adjustRightInd w:val="0"/>
        <w:ind w:firstLine="420" w:firstLineChars="200"/>
        <w:rPr>
          <w:rFonts w:cs="Calibri"/>
          <w:szCs w:val="21"/>
          <w:highlight w:val="none"/>
        </w:rPr>
      </w:pPr>
      <w:r>
        <w:rPr>
          <w:rFonts w:cs="Calibri"/>
          <w:szCs w:val="21"/>
          <w:highlight w:val="none"/>
        </w:rPr>
        <w:t>3.2.2合理报价澄清说明</w:t>
      </w:r>
    </w:p>
    <w:p>
      <w:pPr>
        <w:pStyle w:val="67"/>
        <w:spacing w:line="300" w:lineRule="auto"/>
        <w:ind w:firstLine="422"/>
        <w:rPr>
          <w:rFonts w:ascii="Calibri" w:hAnsi="Calibri" w:cs="Calibri"/>
          <w:b/>
          <w:bCs/>
          <w:highlight w:val="none"/>
        </w:rPr>
      </w:pPr>
      <w:r>
        <w:rPr>
          <w:rFonts w:ascii="Calibri" w:hAnsi="Calibri" w:cs="Calibri"/>
          <w:b/>
          <w:bCs/>
          <w:highlight w:val="none"/>
        </w:rPr>
        <w:t>磋商小组认为供应商的最后报价明显低于其他通过符合性审查供应商的报价，有可能影响产品质量或者不能诚信履约的，应当要求供应商在收到平台通知后30分钟内提供书面说明，必要时可要求供应商提交相关证明材料；磋商小组（少数服从多数原则）认为供应商不能证明其报价合理性的，应当将其作为无效标处理。</w:t>
      </w:r>
    </w:p>
    <w:p>
      <w:pPr>
        <w:autoSpaceDE w:val="0"/>
        <w:autoSpaceDN w:val="0"/>
        <w:ind w:firstLine="424" w:firstLineChars="202"/>
        <w:rPr>
          <w:rFonts w:cs="Calibri"/>
          <w:kern w:val="0"/>
          <w:szCs w:val="21"/>
          <w:highlight w:val="none"/>
        </w:rPr>
      </w:pPr>
      <w:r>
        <w:rPr>
          <w:rFonts w:cs="Calibri"/>
          <w:kern w:val="0"/>
          <w:szCs w:val="21"/>
          <w:highlight w:val="none"/>
        </w:rPr>
        <w:t>3.2.3磋商响应文件如存在以下情况之一的，经磋商小组少数服从多数原则审核认定，作为符合性审查未通过，判定为无效标，不进入后续评审：</w:t>
      </w:r>
    </w:p>
    <w:p>
      <w:pPr>
        <w:adjustRightInd w:val="0"/>
        <w:ind w:firstLine="422" w:firstLineChars="200"/>
        <w:rPr>
          <w:rFonts w:cs="Calibri"/>
          <w:b/>
          <w:bCs/>
          <w:szCs w:val="21"/>
          <w:highlight w:val="none"/>
        </w:rPr>
      </w:pPr>
      <w:bookmarkStart w:id="55" w:name="_Toc227380470"/>
      <w:r>
        <w:rPr>
          <w:rFonts w:cs="Calibri"/>
          <w:b/>
          <w:bCs/>
          <w:szCs w:val="21"/>
          <w:highlight w:val="none"/>
        </w:rPr>
        <w:t>（1）采购人不调整采购需求的情况下，供应商的最后报价高于初次报价；</w:t>
      </w:r>
    </w:p>
    <w:p>
      <w:pPr>
        <w:adjustRightInd w:val="0"/>
        <w:ind w:firstLine="422" w:firstLineChars="200"/>
        <w:rPr>
          <w:rFonts w:cs="Calibri"/>
          <w:b/>
          <w:bCs/>
          <w:szCs w:val="21"/>
          <w:highlight w:val="none"/>
        </w:rPr>
      </w:pPr>
      <w:r>
        <w:rPr>
          <w:rFonts w:cs="Calibri"/>
          <w:b/>
          <w:bCs/>
          <w:szCs w:val="21"/>
          <w:highlight w:val="none"/>
        </w:rPr>
        <w:t>（2）最后报价超过采购文件规定的预算价或最高限价；</w:t>
      </w:r>
    </w:p>
    <w:p>
      <w:pPr>
        <w:adjustRightInd w:val="0"/>
        <w:ind w:firstLine="422" w:firstLineChars="200"/>
        <w:rPr>
          <w:rFonts w:cs="Calibri"/>
          <w:b/>
          <w:bCs/>
          <w:szCs w:val="21"/>
          <w:highlight w:val="none"/>
        </w:rPr>
      </w:pPr>
      <w:r>
        <w:rPr>
          <w:rFonts w:cs="Calibri"/>
          <w:b/>
          <w:bCs/>
          <w:szCs w:val="21"/>
          <w:highlight w:val="none"/>
        </w:rPr>
        <w:t>（3）磋商小组认为供应商最后报价符合3.2.2合理报价澄清说明情形的；</w:t>
      </w:r>
    </w:p>
    <w:p>
      <w:pPr>
        <w:widowControl/>
        <w:ind w:firstLine="420" w:firstLineChars="200"/>
        <w:jc w:val="left"/>
        <w:rPr>
          <w:rFonts w:cs="Calibri"/>
          <w:kern w:val="0"/>
          <w:szCs w:val="21"/>
          <w:highlight w:val="none"/>
        </w:rPr>
      </w:pPr>
      <w:r>
        <w:rPr>
          <w:rFonts w:cs="Calibri"/>
          <w:kern w:val="0"/>
          <w:szCs w:val="21"/>
          <w:highlight w:val="none"/>
        </w:rPr>
        <w:t>4.磋商小组确定磋商要点和磋商程序，逐一与各供应商进行磋商，并记录磋商内容及供应商承诺内容。</w:t>
      </w:r>
    </w:p>
    <w:p>
      <w:pPr>
        <w:widowControl/>
        <w:ind w:firstLine="420" w:firstLineChars="200"/>
        <w:jc w:val="left"/>
        <w:rPr>
          <w:rFonts w:cs="Calibri"/>
          <w:kern w:val="0"/>
          <w:szCs w:val="21"/>
          <w:highlight w:val="none"/>
        </w:rPr>
      </w:pPr>
      <w:r>
        <w:rPr>
          <w:rFonts w:cs="Calibri"/>
          <w:kern w:val="0"/>
          <w:szCs w:val="21"/>
          <w:highlight w:val="none"/>
        </w:rPr>
        <w:t>在磋商过程中，磋商小组可以根据采购文件和磋商情况实质性变动采购需求中的技术、服务要求以及合同草案条款，经采购人代表确认后以书面形式统一发给各供应商，并要求其承诺或重新提交响应文件。磋商承诺由供应商的法定代表人或其授权代表签字或者加盖公章，由授权代表签字的，应当附法定代表人授权书。</w:t>
      </w:r>
    </w:p>
    <w:p>
      <w:pPr>
        <w:widowControl/>
        <w:ind w:firstLine="420" w:firstLineChars="200"/>
        <w:jc w:val="left"/>
        <w:rPr>
          <w:rFonts w:cs="Calibri"/>
          <w:kern w:val="0"/>
          <w:szCs w:val="21"/>
          <w:highlight w:val="none"/>
        </w:rPr>
      </w:pPr>
      <w:r>
        <w:rPr>
          <w:rFonts w:cs="Calibri"/>
          <w:kern w:val="0"/>
          <w:szCs w:val="21"/>
          <w:highlight w:val="none"/>
        </w:rPr>
        <w:t>经过磋商结束后，磋商小组对符合要求的有效供应商根据磋商响应文件响应情况、磋商情况等进行评审，并向采购人提出评审意见和评审报告。</w:t>
      </w:r>
    </w:p>
    <w:p>
      <w:pPr>
        <w:adjustRightInd w:val="0"/>
        <w:ind w:firstLine="420" w:firstLineChars="200"/>
        <w:rPr>
          <w:rFonts w:cs="Calibri"/>
          <w:szCs w:val="21"/>
          <w:highlight w:val="none"/>
        </w:rPr>
      </w:pPr>
      <w:r>
        <w:rPr>
          <w:rFonts w:cs="Calibri"/>
          <w:szCs w:val="21"/>
          <w:highlight w:val="none"/>
        </w:rPr>
        <w:t>评审报告应当包括以下主要内容：</w:t>
      </w:r>
    </w:p>
    <w:p>
      <w:pPr>
        <w:adjustRightInd w:val="0"/>
        <w:ind w:firstLine="420" w:firstLineChars="200"/>
        <w:rPr>
          <w:rFonts w:cs="Calibri"/>
          <w:szCs w:val="21"/>
          <w:highlight w:val="none"/>
        </w:rPr>
      </w:pPr>
      <w:r>
        <w:rPr>
          <w:rFonts w:cs="Calibri"/>
          <w:szCs w:val="21"/>
          <w:highlight w:val="none"/>
        </w:rPr>
        <w:t>（1）邀请供应商参加采购活动的具体方式和相关情况；</w:t>
      </w:r>
    </w:p>
    <w:p>
      <w:pPr>
        <w:adjustRightInd w:val="0"/>
        <w:ind w:firstLine="420" w:firstLineChars="200"/>
        <w:rPr>
          <w:rFonts w:cs="Calibri"/>
          <w:szCs w:val="21"/>
          <w:highlight w:val="none"/>
        </w:rPr>
      </w:pPr>
      <w:r>
        <w:rPr>
          <w:rFonts w:cs="Calibri"/>
          <w:szCs w:val="21"/>
          <w:highlight w:val="none"/>
        </w:rPr>
        <w:t>（2）响应文件开启日期和地点；</w:t>
      </w:r>
    </w:p>
    <w:p>
      <w:pPr>
        <w:adjustRightInd w:val="0"/>
        <w:ind w:firstLine="420" w:firstLineChars="200"/>
        <w:rPr>
          <w:rFonts w:cs="Calibri"/>
          <w:szCs w:val="21"/>
          <w:highlight w:val="none"/>
        </w:rPr>
      </w:pPr>
      <w:r>
        <w:rPr>
          <w:rFonts w:cs="Calibri"/>
          <w:szCs w:val="21"/>
          <w:highlight w:val="none"/>
        </w:rPr>
        <w:t>（3）获取采购文件的供应商名单和磋商小组成员名单；</w:t>
      </w:r>
    </w:p>
    <w:p>
      <w:pPr>
        <w:adjustRightInd w:val="0"/>
        <w:ind w:firstLine="420" w:firstLineChars="200"/>
        <w:rPr>
          <w:rFonts w:cs="Calibri"/>
          <w:szCs w:val="21"/>
          <w:highlight w:val="none"/>
        </w:rPr>
      </w:pPr>
      <w:r>
        <w:rPr>
          <w:rFonts w:cs="Calibri"/>
          <w:szCs w:val="21"/>
          <w:highlight w:val="none"/>
        </w:rPr>
        <w:t>（4）评审情况记录和说明，包括对供应商的资格审查情况、供应商响应文件评审情况、磋商情况、报价情况等；</w:t>
      </w:r>
    </w:p>
    <w:p>
      <w:pPr>
        <w:adjustRightInd w:val="0"/>
        <w:ind w:firstLine="420" w:firstLineChars="200"/>
        <w:rPr>
          <w:rFonts w:cs="Calibri"/>
          <w:szCs w:val="21"/>
          <w:highlight w:val="none"/>
        </w:rPr>
      </w:pPr>
      <w:r>
        <w:rPr>
          <w:rFonts w:cs="Calibri"/>
          <w:szCs w:val="21"/>
          <w:highlight w:val="none"/>
        </w:rPr>
        <w:t>（5）提出的成交候选供应商的排序名单及理由。</w:t>
      </w:r>
    </w:p>
    <w:p>
      <w:pPr>
        <w:widowControl/>
        <w:ind w:firstLine="420" w:firstLineChars="200"/>
        <w:jc w:val="left"/>
        <w:rPr>
          <w:rFonts w:cs="Calibri"/>
          <w:kern w:val="0"/>
          <w:szCs w:val="21"/>
          <w:highlight w:val="none"/>
        </w:rPr>
      </w:pPr>
      <w:r>
        <w:rPr>
          <w:rFonts w:cs="Calibri"/>
          <w:kern w:val="0"/>
          <w:szCs w:val="21"/>
          <w:highlight w:val="none"/>
        </w:rPr>
        <w:t>磋商小组对需要共同认定的事项存在争议的，应当按照少数服从多数的原则作出结论，持不同意见的磋商小组成员应当在评审报告上签署不同意见及理由，否则视为同意评审报告</w:t>
      </w:r>
    </w:p>
    <w:p>
      <w:pPr>
        <w:widowControl/>
        <w:ind w:firstLine="420" w:firstLineChars="200"/>
        <w:jc w:val="left"/>
        <w:rPr>
          <w:rFonts w:cs="Calibri"/>
          <w:kern w:val="0"/>
          <w:szCs w:val="21"/>
          <w:highlight w:val="none"/>
        </w:rPr>
      </w:pPr>
      <w:r>
        <w:rPr>
          <w:rFonts w:cs="Calibri"/>
          <w:kern w:val="0"/>
          <w:szCs w:val="21"/>
          <w:highlight w:val="none"/>
        </w:rPr>
        <w:t>评审报告有磋商小组全体人员签字认可。磋商小组成员对评审报告有异议的，磋商小组按照少数服从多数的原则推荐成交候选人。对评审报告有异议的磋商小组成员，应在评审报告上签署不同意见并说明理由。磋商小组成员拒绝在评审报告上签字又不书面说明其不同意见和理由的，视为同意评审报告。</w:t>
      </w:r>
    </w:p>
    <w:p>
      <w:pPr>
        <w:pStyle w:val="5"/>
        <w:ind w:firstLine="422"/>
        <w:rPr>
          <w:rFonts w:cs="Calibri"/>
          <w:highlight w:val="none"/>
        </w:rPr>
      </w:pPr>
      <w:r>
        <w:rPr>
          <w:rFonts w:cs="Calibri"/>
          <w:highlight w:val="none"/>
        </w:rPr>
        <w:t>三、评审细则</w:t>
      </w:r>
    </w:p>
    <w:p>
      <w:pPr>
        <w:pStyle w:val="29"/>
        <w:adjustRightInd w:val="0"/>
        <w:spacing w:line="300" w:lineRule="auto"/>
        <w:ind w:firstLine="420" w:firstLineChars="200"/>
        <w:rPr>
          <w:rFonts w:ascii="Calibri" w:cs="Calibri"/>
          <w:sz w:val="21"/>
          <w:szCs w:val="21"/>
          <w:highlight w:val="none"/>
        </w:rPr>
      </w:pPr>
      <w:r>
        <w:rPr>
          <w:rFonts w:ascii="Calibri" w:cs="Calibri"/>
          <w:sz w:val="21"/>
          <w:szCs w:val="21"/>
          <w:highlight w:val="none"/>
        </w:rPr>
        <w:t>1.本项目采用综合评分法（总分100分），磋商小组根据本评审办法进行评审，对各供应商的价格、商务、技术等评分因素在分值范围内进行各自打分。每个供应商最终得分=价格分+商务技术分。</w:t>
      </w:r>
    </w:p>
    <w:p>
      <w:pPr>
        <w:adjustRightInd w:val="0"/>
        <w:ind w:firstLine="420" w:firstLineChars="200"/>
        <w:rPr>
          <w:rFonts w:cs="Calibri"/>
          <w:szCs w:val="21"/>
          <w:highlight w:val="none"/>
        </w:rPr>
      </w:pPr>
      <w:r>
        <w:rPr>
          <w:rFonts w:cs="Calibri"/>
          <w:szCs w:val="21"/>
          <w:highlight w:val="none"/>
        </w:rPr>
        <w:t>2.评审时，磋商小组各成员应当独立对每个有效响应的文件进行评价、打分，然后汇总每个供应商每项评分因素的得分。</w:t>
      </w:r>
    </w:p>
    <w:p>
      <w:pPr>
        <w:adjustRightInd w:val="0"/>
        <w:ind w:firstLine="420" w:firstLineChars="200"/>
        <w:rPr>
          <w:rFonts w:cs="Calibri"/>
          <w:szCs w:val="21"/>
          <w:highlight w:val="none"/>
        </w:rPr>
      </w:pPr>
      <w:r>
        <w:rPr>
          <w:rFonts w:cs="Calibri"/>
          <w:szCs w:val="21"/>
          <w:highlight w:val="none"/>
        </w:rPr>
        <w:t>3.对供应商的价格分等客观评分项的评分应当一致，对其他需要借助专业知识评判的主观评分项，应当严格按照评分细则公正评分。</w:t>
      </w:r>
    </w:p>
    <w:p>
      <w:pPr>
        <w:adjustRightInd w:val="0"/>
        <w:ind w:firstLine="420" w:firstLineChars="200"/>
        <w:rPr>
          <w:rFonts w:cs="Calibri"/>
          <w:szCs w:val="21"/>
          <w:highlight w:val="none"/>
        </w:rPr>
      </w:pPr>
      <w:bookmarkStart w:id="56" w:name="_Toc345320402"/>
      <w:r>
        <w:rPr>
          <w:rFonts w:cs="Calibri"/>
          <w:szCs w:val="21"/>
          <w:highlight w:val="none"/>
        </w:rPr>
        <w:t>4.磋商小组按评审得分由高到低顺序推荐成交候选供应商，评审得分相同的，按照最后报价由低到高的顺序推荐，评审得分且最后报价相同的，按照技术指标优劣顺序推荐，并编写评审报告。</w:t>
      </w:r>
    </w:p>
    <w:p>
      <w:pPr>
        <w:pStyle w:val="5"/>
        <w:ind w:firstLine="422"/>
        <w:rPr>
          <w:rFonts w:cs="Calibri"/>
          <w:highlight w:val="none"/>
        </w:rPr>
      </w:pPr>
      <w:r>
        <w:rPr>
          <w:rFonts w:cs="Calibri"/>
          <w:highlight w:val="none"/>
        </w:rPr>
        <w:t>5.评分因素及分值范围</w:t>
      </w:r>
    </w:p>
    <w:p>
      <w:pPr>
        <w:pStyle w:val="5"/>
        <w:ind w:firstLine="422"/>
        <w:rPr>
          <w:rFonts w:cs="Calibri"/>
          <w:highlight w:val="none"/>
        </w:rPr>
      </w:pPr>
      <w:r>
        <w:rPr>
          <w:rFonts w:cs="Calibri"/>
          <w:highlight w:val="none"/>
        </w:rPr>
        <w:t>5.1商务技术分</w:t>
      </w:r>
      <w:bookmarkEnd w:id="56"/>
    </w:p>
    <w:p>
      <w:pPr>
        <w:adjustRightInd w:val="0"/>
        <w:ind w:firstLine="420" w:firstLineChars="200"/>
        <w:rPr>
          <w:rFonts w:cs="Calibri"/>
          <w:szCs w:val="21"/>
          <w:highlight w:val="none"/>
        </w:rPr>
      </w:pPr>
      <w:r>
        <w:rPr>
          <w:rFonts w:cs="Calibri"/>
          <w:szCs w:val="21"/>
          <w:highlight w:val="none"/>
        </w:rPr>
        <w:t>磋商小组根据评审情况在分值范围内独立打分。每个供应商的最终得分为磋商小组打分汇总后的算术平均值。</w:t>
      </w:r>
    </w:p>
    <w:tbl>
      <w:tblPr>
        <w:tblStyle w:val="49"/>
        <w:tblpPr w:leftFromText="180" w:rightFromText="180" w:vertAnchor="text" w:horzAnchor="margin" w:tblpXSpec="center" w:tblpY="257"/>
        <w:tblOverlap w:val="never"/>
        <w:tblW w:w="58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904"/>
        <w:gridCol w:w="5858"/>
        <w:gridCol w:w="990"/>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24" w:type="dxa"/>
            <w:tcBorders>
              <w:top w:val="single" w:color="auto" w:sz="4" w:space="0"/>
              <w:left w:val="single" w:color="auto" w:sz="4" w:space="0"/>
              <w:bottom w:val="single" w:color="auto" w:sz="4" w:space="0"/>
              <w:right w:val="single" w:color="auto" w:sz="4" w:space="0"/>
            </w:tcBorders>
            <w:vAlign w:val="center"/>
          </w:tcPr>
          <w:p>
            <w:pPr>
              <w:ind w:right="-21" w:rightChars="-10"/>
              <w:jc w:val="center"/>
              <w:rPr>
                <w:rFonts w:hint="eastAsia" w:ascii="宋体" w:hAnsi="宋体" w:eastAsia="宋体" w:cs="宋体"/>
                <w:sz w:val="21"/>
                <w:szCs w:val="21"/>
                <w:highlight w:val="none"/>
              </w:rPr>
            </w:pPr>
            <w:bookmarkStart w:id="57" w:name="_Toc345320401"/>
            <w:r>
              <w:rPr>
                <w:rFonts w:hint="eastAsia" w:ascii="宋体" w:hAnsi="宋体" w:eastAsia="宋体" w:cs="宋体"/>
                <w:sz w:val="21"/>
                <w:szCs w:val="21"/>
                <w:highlight w:val="none"/>
              </w:rPr>
              <w:t>序号</w:t>
            </w:r>
          </w:p>
        </w:tc>
        <w:tc>
          <w:tcPr>
            <w:tcW w:w="1904" w:type="dxa"/>
            <w:tcBorders>
              <w:top w:val="single" w:color="auto" w:sz="4" w:space="0"/>
              <w:left w:val="single" w:color="auto" w:sz="4" w:space="0"/>
              <w:bottom w:val="single" w:color="auto" w:sz="4" w:space="0"/>
              <w:right w:val="single" w:color="auto" w:sz="4" w:space="0"/>
            </w:tcBorders>
            <w:vAlign w:val="center"/>
          </w:tcPr>
          <w:p>
            <w:pPr>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评分项目</w:t>
            </w:r>
          </w:p>
        </w:tc>
        <w:tc>
          <w:tcPr>
            <w:tcW w:w="5858" w:type="dxa"/>
            <w:tcBorders>
              <w:top w:val="single" w:color="auto" w:sz="4" w:space="0"/>
              <w:left w:val="single" w:color="auto" w:sz="4" w:space="0"/>
              <w:bottom w:val="single" w:color="auto" w:sz="4" w:space="0"/>
              <w:right w:val="single" w:color="auto" w:sz="4" w:space="0"/>
            </w:tcBorders>
            <w:vAlign w:val="center"/>
          </w:tcPr>
          <w:p>
            <w:pPr>
              <w:ind w:right="-21" w:rightChars="-10" w:firstLine="42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评分内容</w:t>
            </w:r>
          </w:p>
        </w:tc>
        <w:tc>
          <w:tcPr>
            <w:tcW w:w="990" w:type="dxa"/>
            <w:tcBorders>
              <w:top w:val="single" w:color="auto" w:sz="4" w:space="0"/>
              <w:left w:val="single" w:color="auto" w:sz="4" w:space="0"/>
              <w:bottom w:val="single" w:color="auto" w:sz="4" w:space="0"/>
              <w:right w:val="single" w:color="auto" w:sz="4" w:space="0"/>
            </w:tcBorders>
            <w:vAlign w:val="center"/>
          </w:tcPr>
          <w:p>
            <w:pPr>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c>
          <w:tcPr>
            <w:tcW w:w="1336" w:type="dxa"/>
            <w:tcBorders>
              <w:top w:val="single" w:color="auto" w:sz="4" w:space="0"/>
              <w:left w:val="single" w:color="auto" w:sz="4" w:space="0"/>
              <w:bottom w:val="single" w:color="auto" w:sz="4" w:space="0"/>
              <w:right w:val="single" w:color="auto" w:sz="4" w:space="0"/>
            </w:tcBorders>
            <w:vAlign w:val="center"/>
          </w:tcPr>
          <w:p>
            <w:pPr>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打分方式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824" w:type="dxa"/>
            <w:tcBorders>
              <w:top w:val="single" w:color="auto" w:sz="4" w:space="0"/>
              <w:left w:val="single" w:color="auto" w:sz="4" w:space="0"/>
              <w:right w:val="single" w:color="auto" w:sz="4" w:space="0"/>
            </w:tcBorders>
            <w:vAlign w:val="center"/>
          </w:tcPr>
          <w:p>
            <w:pPr>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904" w:type="dxa"/>
            <w:tcBorders>
              <w:top w:val="single" w:color="auto" w:sz="4" w:space="0"/>
              <w:left w:val="single" w:color="auto" w:sz="4" w:space="0"/>
              <w:right w:val="single" w:color="auto" w:sz="4" w:space="0"/>
            </w:tcBorders>
            <w:vAlign w:val="center"/>
          </w:tcPr>
          <w:p>
            <w:pPr>
              <w:ind w:right="-21" w:rightChars="-10"/>
              <w:rPr>
                <w:rFonts w:hint="eastAsia" w:ascii="宋体" w:hAnsi="宋体" w:eastAsia="宋体" w:cs="宋体"/>
                <w:sz w:val="21"/>
                <w:szCs w:val="21"/>
                <w:highlight w:val="none"/>
              </w:rPr>
            </w:pPr>
            <w:r>
              <w:rPr>
                <w:rFonts w:hint="eastAsia" w:ascii="宋体" w:hAnsi="宋体" w:eastAsia="宋体" w:cs="宋体"/>
                <w:sz w:val="21"/>
                <w:szCs w:val="21"/>
                <w:highlight w:val="none"/>
              </w:rPr>
              <w:t>企业业绩</w:t>
            </w:r>
          </w:p>
        </w:tc>
        <w:tc>
          <w:tcPr>
            <w:tcW w:w="5858" w:type="dxa"/>
            <w:tcBorders>
              <w:top w:val="single" w:color="auto" w:sz="4" w:space="0"/>
              <w:left w:val="single" w:color="auto" w:sz="4" w:space="0"/>
              <w:bottom w:val="single" w:color="auto" w:sz="4" w:space="0"/>
              <w:right w:val="single" w:color="auto" w:sz="4" w:space="0"/>
            </w:tcBorders>
            <w:vAlign w:val="center"/>
          </w:tcPr>
          <w:p>
            <w:pPr>
              <w:ind w:right="-21" w:rightChars="-1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投标供应商2020年1月1日以来（以委托储备合同或协议签订时间为准），承担过类似冻猪肉储备业绩情况进行打分，每具有一个业绩得1分，本项最高得3分。</w:t>
            </w:r>
            <w:r>
              <w:rPr>
                <w:rFonts w:hint="eastAsia" w:ascii="宋体" w:hAnsi="宋体" w:eastAsia="宋体" w:cs="宋体"/>
                <w:kern w:val="2"/>
                <w:sz w:val="21"/>
                <w:szCs w:val="21"/>
                <w:highlight w:val="none"/>
                <w:lang w:val="en-US" w:eastAsia="zh-CN" w:bidi="ar-SA"/>
              </w:rPr>
              <w:t>注：</w:t>
            </w:r>
            <w:r>
              <w:rPr>
                <w:rFonts w:hint="eastAsia" w:ascii="宋体" w:hAnsi="宋体" w:eastAsia="宋体" w:cs="宋体"/>
                <w:sz w:val="21"/>
                <w:szCs w:val="21"/>
                <w:highlight w:val="none"/>
                <w:lang w:val="en-US" w:eastAsia="zh-CN"/>
              </w:rPr>
              <w:t>提供合同或协议扫描件并加盖单位公章。</w:t>
            </w:r>
          </w:p>
        </w:tc>
        <w:tc>
          <w:tcPr>
            <w:tcW w:w="990" w:type="dxa"/>
            <w:tcBorders>
              <w:top w:val="single" w:color="auto" w:sz="4" w:space="0"/>
              <w:left w:val="single" w:color="auto" w:sz="4" w:space="0"/>
              <w:bottom w:val="single" w:color="auto" w:sz="4" w:space="0"/>
              <w:right w:val="single" w:color="auto" w:sz="4" w:space="0"/>
            </w:tcBorders>
            <w:vAlign w:val="center"/>
          </w:tcPr>
          <w:p>
            <w:pPr>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tc>
        <w:tc>
          <w:tcPr>
            <w:tcW w:w="1336" w:type="dxa"/>
            <w:tcBorders>
              <w:top w:val="single" w:color="auto" w:sz="4" w:space="0"/>
              <w:left w:val="single" w:color="auto" w:sz="4" w:space="0"/>
              <w:bottom w:val="single" w:color="auto" w:sz="4" w:space="0"/>
              <w:right w:val="single" w:color="auto" w:sz="4" w:space="0"/>
            </w:tcBorders>
            <w:vAlign w:val="center"/>
          </w:tcPr>
          <w:p>
            <w:pPr>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824" w:type="dxa"/>
            <w:tcBorders>
              <w:top w:val="single" w:color="auto" w:sz="4" w:space="0"/>
              <w:left w:val="single" w:color="auto" w:sz="4" w:space="0"/>
              <w:right w:val="single" w:color="auto" w:sz="4" w:space="0"/>
            </w:tcBorders>
            <w:vAlign w:val="center"/>
          </w:tcPr>
          <w:p>
            <w:pPr>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904" w:type="dxa"/>
            <w:tcBorders>
              <w:top w:val="single" w:color="auto" w:sz="4" w:space="0"/>
              <w:left w:val="single" w:color="auto" w:sz="4" w:space="0"/>
              <w:right w:val="single" w:color="auto" w:sz="4" w:space="0"/>
            </w:tcBorders>
            <w:vAlign w:val="center"/>
          </w:tcPr>
          <w:p>
            <w:pPr>
              <w:ind w:right="-21" w:rightChars="-1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企业设备保障</w:t>
            </w:r>
          </w:p>
        </w:tc>
        <w:tc>
          <w:tcPr>
            <w:tcW w:w="5858" w:type="dxa"/>
            <w:tcBorders>
              <w:top w:val="single" w:color="auto" w:sz="4" w:space="0"/>
              <w:left w:val="single" w:color="auto" w:sz="4" w:space="0"/>
              <w:bottom w:val="single" w:color="auto" w:sz="4" w:space="0"/>
              <w:right w:val="single" w:color="auto" w:sz="4" w:space="0"/>
            </w:tcBorders>
            <w:shd w:val="clear" w:color="auto" w:fill="auto"/>
            <w:vAlign w:val="center"/>
          </w:tcPr>
          <w:p>
            <w:pPr>
              <w:ind w:right="-21" w:rightChars="-1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投标人自有冷藏厢式车有5辆的，得4分；每增加1辆加1分，最多加4分。</w:t>
            </w:r>
          </w:p>
          <w:p>
            <w:pPr>
              <w:ind w:right="-21" w:rightChars="-1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注：冷藏厢式车必须为自有车辆。投标时提供车辆登记证及有效行驶证扫描件。缺项或是不提供均不得分。</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ind w:right="-21" w:rightChars="-1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0-8分</w:t>
            </w:r>
          </w:p>
        </w:tc>
        <w:tc>
          <w:tcPr>
            <w:tcW w:w="1336" w:type="dxa"/>
            <w:tcBorders>
              <w:top w:val="single" w:color="auto" w:sz="4" w:space="0"/>
              <w:left w:val="single" w:color="auto" w:sz="4" w:space="0"/>
              <w:bottom w:val="single" w:color="auto" w:sz="4" w:space="0"/>
              <w:right w:val="single" w:color="auto" w:sz="4" w:space="0"/>
            </w:tcBorders>
            <w:vAlign w:val="center"/>
          </w:tcPr>
          <w:p>
            <w:pPr>
              <w:ind w:right="-21" w:rightChars="-1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824" w:type="dxa"/>
            <w:tcBorders>
              <w:top w:val="single" w:color="auto" w:sz="4" w:space="0"/>
              <w:left w:val="single" w:color="auto" w:sz="4" w:space="0"/>
              <w:right w:val="single" w:color="auto" w:sz="4" w:space="0"/>
            </w:tcBorders>
            <w:vAlign w:val="center"/>
          </w:tcPr>
          <w:p>
            <w:pPr>
              <w:ind w:right="-21" w:rightChars="-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904" w:type="dxa"/>
            <w:tcBorders>
              <w:top w:val="single" w:color="auto" w:sz="4" w:space="0"/>
              <w:left w:val="single" w:color="auto" w:sz="4" w:space="0"/>
              <w:right w:val="single" w:color="auto" w:sz="4" w:space="0"/>
            </w:tcBorders>
            <w:vAlign w:val="center"/>
          </w:tcPr>
          <w:p>
            <w:pPr>
              <w:ind w:right="-21" w:rightChars="-1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库容能力</w:t>
            </w:r>
          </w:p>
        </w:tc>
        <w:tc>
          <w:tcPr>
            <w:tcW w:w="5858" w:type="dxa"/>
            <w:tcBorders>
              <w:top w:val="single" w:color="auto" w:sz="4" w:space="0"/>
              <w:left w:val="single" w:color="auto" w:sz="4" w:space="0"/>
              <w:bottom w:val="single" w:color="auto" w:sz="4" w:space="0"/>
              <w:right w:val="single" w:color="auto" w:sz="4" w:space="0"/>
            </w:tcBorders>
            <w:shd w:val="clear" w:color="auto" w:fill="auto"/>
            <w:vAlign w:val="center"/>
          </w:tcPr>
          <w:p>
            <w:pPr>
              <w:ind w:right="-21" w:rightChars="-1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投标人自有冷库单体库容量≥400吨，得8分；300吨≤自有冷库单体库容量＜400吨，得6分；200吨≤自有单体库容量＜300吨，得4分；自有冷库库容总量＜200吨，不得分。</w:t>
            </w:r>
          </w:p>
          <w:p>
            <w:pPr>
              <w:ind w:right="-21" w:rightChars="-1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注：提供冷库证明材料及库容证明材料，不提供不得分。</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ind w:right="-21" w:rightChars="-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0-8分</w:t>
            </w:r>
          </w:p>
        </w:tc>
        <w:tc>
          <w:tcPr>
            <w:tcW w:w="1336" w:type="dxa"/>
            <w:tcBorders>
              <w:top w:val="single" w:color="auto" w:sz="4" w:space="0"/>
              <w:left w:val="single" w:color="auto" w:sz="4" w:space="0"/>
              <w:bottom w:val="single" w:color="auto" w:sz="4" w:space="0"/>
              <w:right w:val="single" w:color="auto" w:sz="4" w:space="0"/>
            </w:tcBorders>
            <w:vAlign w:val="center"/>
          </w:tcPr>
          <w:p>
            <w:pPr>
              <w:ind w:right="-21" w:rightChars="-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824" w:type="dxa"/>
            <w:vMerge w:val="restart"/>
            <w:tcBorders>
              <w:top w:val="single" w:color="auto" w:sz="4" w:space="0"/>
              <w:left w:val="single" w:color="auto" w:sz="4" w:space="0"/>
              <w:right w:val="single" w:color="auto" w:sz="4" w:space="0"/>
            </w:tcBorders>
            <w:vAlign w:val="center"/>
          </w:tcPr>
          <w:p>
            <w:pPr>
              <w:ind w:right="-21" w:rightChars="-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1904" w:type="dxa"/>
            <w:vMerge w:val="restart"/>
            <w:tcBorders>
              <w:top w:val="single" w:color="auto" w:sz="4" w:space="0"/>
              <w:left w:val="single" w:color="auto" w:sz="4" w:space="0"/>
              <w:right w:val="single" w:color="auto" w:sz="4" w:space="0"/>
            </w:tcBorders>
            <w:vAlign w:val="center"/>
          </w:tcPr>
          <w:p>
            <w:pPr>
              <w:ind w:right="-21" w:rightChars="-10"/>
              <w:rPr>
                <w:rFonts w:hint="eastAsia" w:ascii="宋体" w:hAnsi="宋体" w:eastAsia="宋体" w:cs="宋体"/>
                <w:sz w:val="21"/>
                <w:szCs w:val="21"/>
                <w:highlight w:val="none"/>
              </w:rPr>
            </w:pPr>
            <w:r>
              <w:rPr>
                <w:rFonts w:hint="eastAsia" w:ascii="宋体" w:hAnsi="宋体" w:eastAsia="宋体" w:cs="宋体"/>
                <w:sz w:val="21"/>
                <w:szCs w:val="21"/>
                <w:highlight w:val="none"/>
              </w:rPr>
              <w:t>项目方案</w:t>
            </w:r>
          </w:p>
        </w:tc>
        <w:tc>
          <w:tcPr>
            <w:tcW w:w="5858" w:type="dxa"/>
            <w:tcBorders>
              <w:top w:val="single" w:color="auto" w:sz="4" w:space="0"/>
              <w:left w:val="single" w:color="auto" w:sz="4" w:space="0"/>
              <w:bottom w:val="single" w:color="auto" w:sz="4" w:space="0"/>
              <w:right w:val="single" w:color="auto" w:sz="4" w:space="0"/>
            </w:tcBorders>
            <w:vAlign w:val="center"/>
          </w:tcPr>
          <w:p>
            <w:pPr>
              <w:ind w:right="-21" w:rightChars="-1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采购内容承储方案：根据文件要求并结合采购人需求，项目方案完整全面性0-2分；项目方案实用性0-2分；项目方案合理性0-2。</w:t>
            </w:r>
          </w:p>
        </w:tc>
        <w:tc>
          <w:tcPr>
            <w:tcW w:w="990" w:type="dxa"/>
            <w:tcBorders>
              <w:top w:val="single" w:color="auto" w:sz="4" w:space="0"/>
              <w:left w:val="single" w:color="auto" w:sz="4" w:space="0"/>
              <w:bottom w:val="single" w:color="auto" w:sz="4" w:space="0"/>
              <w:right w:val="single" w:color="auto" w:sz="4" w:space="0"/>
            </w:tcBorders>
            <w:vAlign w:val="center"/>
          </w:tcPr>
          <w:p>
            <w:pPr>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tc>
        <w:tc>
          <w:tcPr>
            <w:tcW w:w="1336" w:type="dxa"/>
            <w:tcBorders>
              <w:top w:val="single" w:color="auto" w:sz="4" w:space="0"/>
              <w:left w:val="single" w:color="auto" w:sz="4" w:space="0"/>
              <w:bottom w:val="single" w:color="auto" w:sz="4" w:space="0"/>
              <w:right w:val="single" w:color="auto" w:sz="4" w:space="0"/>
            </w:tcBorders>
            <w:vAlign w:val="center"/>
          </w:tcPr>
          <w:p>
            <w:pPr>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24" w:type="dxa"/>
            <w:vMerge w:val="continue"/>
            <w:tcBorders>
              <w:left w:val="single" w:color="auto" w:sz="4" w:space="0"/>
              <w:right w:val="single" w:color="auto" w:sz="4" w:space="0"/>
            </w:tcBorders>
            <w:vAlign w:val="center"/>
          </w:tcPr>
          <w:p>
            <w:pPr>
              <w:ind w:right="-21" w:rightChars="-10" w:firstLine="420"/>
              <w:rPr>
                <w:rFonts w:hint="eastAsia" w:ascii="宋体" w:hAnsi="宋体" w:eastAsia="宋体" w:cs="宋体"/>
                <w:sz w:val="21"/>
                <w:szCs w:val="21"/>
                <w:highlight w:val="none"/>
              </w:rPr>
            </w:pPr>
          </w:p>
        </w:tc>
        <w:tc>
          <w:tcPr>
            <w:tcW w:w="1904" w:type="dxa"/>
            <w:vMerge w:val="continue"/>
            <w:tcBorders>
              <w:left w:val="single" w:color="auto" w:sz="4" w:space="0"/>
              <w:right w:val="single" w:color="auto" w:sz="4" w:space="0"/>
            </w:tcBorders>
            <w:vAlign w:val="center"/>
          </w:tcPr>
          <w:p>
            <w:pPr>
              <w:ind w:right="-21" w:rightChars="-10" w:firstLine="420"/>
              <w:rPr>
                <w:rFonts w:hint="eastAsia" w:ascii="宋体" w:hAnsi="宋体" w:eastAsia="宋体" w:cs="宋体"/>
                <w:sz w:val="21"/>
                <w:szCs w:val="21"/>
                <w:highlight w:val="none"/>
              </w:rPr>
            </w:pPr>
          </w:p>
        </w:tc>
        <w:tc>
          <w:tcPr>
            <w:tcW w:w="5858" w:type="dxa"/>
            <w:tcBorders>
              <w:top w:val="single" w:color="auto" w:sz="4" w:space="0"/>
              <w:left w:val="single" w:color="auto" w:sz="4" w:space="0"/>
              <w:right w:val="single" w:color="auto" w:sz="4" w:space="0"/>
            </w:tcBorders>
            <w:vAlign w:val="center"/>
          </w:tcPr>
          <w:p>
            <w:pPr>
              <w:ind w:right="-21" w:rightChars="-1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、重难点分析：根据重点难点分析及相应方案进行评审。每项0-</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分，最多得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tc>
        <w:tc>
          <w:tcPr>
            <w:tcW w:w="990" w:type="dxa"/>
            <w:tcBorders>
              <w:top w:val="single" w:color="auto" w:sz="4" w:space="0"/>
              <w:left w:val="single" w:color="auto" w:sz="4" w:space="0"/>
              <w:right w:val="single" w:color="auto" w:sz="4" w:space="0"/>
            </w:tcBorders>
            <w:vAlign w:val="center"/>
          </w:tcPr>
          <w:p>
            <w:pPr>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tc>
        <w:tc>
          <w:tcPr>
            <w:tcW w:w="1336" w:type="dxa"/>
            <w:tcBorders>
              <w:top w:val="single" w:color="auto" w:sz="4" w:space="0"/>
              <w:left w:val="single" w:color="auto" w:sz="4" w:space="0"/>
              <w:bottom w:val="single" w:color="auto" w:sz="4" w:space="0"/>
              <w:right w:val="single" w:color="auto" w:sz="4" w:space="0"/>
            </w:tcBorders>
            <w:vAlign w:val="center"/>
          </w:tcPr>
          <w:p>
            <w:pPr>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24" w:type="dxa"/>
            <w:vMerge w:val="continue"/>
            <w:tcBorders>
              <w:left w:val="single" w:color="auto" w:sz="4" w:space="0"/>
              <w:right w:val="single" w:color="auto" w:sz="4" w:space="0"/>
            </w:tcBorders>
            <w:vAlign w:val="center"/>
          </w:tcPr>
          <w:p>
            <w:pPr>
              <w:ind w:right="-21" w:rightChars="-10" w:firstLine="420"/>
              <w:rPr>
                <w:rFonts w:hint="eastAsia" w:ascii="宋体" w:hAnsi="宋体" w:eastAsia="宋体" w:cs="宋体"/>
                <w:sz w:val="21"/>
                <w:szCs w:val="21"/>
                <w:highlight w:val="none"/>
              </w:rPr>
            </w:pPr>
          </w:p>
        </w:tc>
        <w:tc>
          <w:tcPr>
            <w:tcW w:w="1904" w:type="dxa"/>
            <w:vMerge w:val="continue"/>
            <w:tcBorders>
              <w:left w:val="single" w:color="auto" w:sz="4" w:space="0"/>
              <w:right w:val="single" w:color="auto" w:sz="4" w:space="0"/>
            </w:tcBorders>
            <w:vAlign w:val="center"/>
          </w:tcPr>
          <w:p>
            <w:pPr>
              <w:ind w:right="-21" w:rightChars="-10" w:firstLine="420"/>
              <w:rPr>
                <w:rFonts w:hint="eastAsia" w:ascii="宋体" w:hAnsi="宋体" w:eastAsia="宋体" w:cs="宋体"/>
                <w:sz w:val="21"/>
                <w:szCs w:val="21"/>
                <w:highlight w:val="none"/>
              </w:rPr>
            </w:pPr>
          </w:p>
        </w:tc>
        <w:tc>
          <w:tcPr>
            <w:tcW w:w="5858" w:type="dxa"/>
            <w:tcBorders>
              <w:top w:val="single" w:color="auto" w:sz="4" w:space="0"/>
              <w:left w:val="single" w:color="auto" w:sz="4" w:space="0"/>
              <w:right w:val="single" w:color="auto" w:sz="4" w:space="0"/>
            </w:tcBorders>
            <w:vAlign w:val="center"/>
          </w:tcPr>
          <w:p>
            <w:pPr>
              <w:ind w:right="-21" w:rightChars="-1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、服务</w:t>
            </w:r>
            <w:r>
              <w:rPr>
                <w:rFonts w:hint="eastAsia" w:ascii="宋体" w:hAnsi="宋体" w:eastAsia="宋体" w:cs="宋体"/>
                <w:sz w:val="21"/>
                <w:szCs w:val="21"/>
                <w:highlight w:val="none"/>
                <w:lang w:eastAsia="zh-CN"/>
              </w:rPr>
              <w:t>方案</w:t>
            </w:r>
            <w:r>
              <w:rPr>
                <w:rFonts w:hint="eastAsia" w:ascii="宋体" w:hAnsi="宋体" w:eastAsia="宋体" w:cs="宋体"/>
                <w:sz w:val="21"/>
                <w:szCs w:val="21"/>
                <w:highlight w:val="none"/>
              </w:rPr>
              <w:t>：根据服务方案（包括</w:t>
            </w:r>
            <w:r>
              <w:rPr>
                <w:rFonts w:hint="eastAsia" w:ascii="宋体" w:hAnsi="宋体" w:eastAsia="宋体" w:cs="宋体"/>
                <w:sz w:val="21"/>
                <w:szCs w:val="21"/>
                <w:highlight w:val="none"/>
                <w:lang w:eastAsia="zh-CN"/>
              </w:rPr>
              <w:t>台账管理</w:t>
            </w:r>
            <w:r>
              <w:rPr>
                <w:rFonts w:hint="eastAsia" w:ascii="宋体" w:hAnsi="宋体" w:eastAsia="宋体" w:cs="宋体"/>
                <w:sz w:val="21"/>
                <w:szCs w:val="21"/>
                <w:highlight w:val="none"/>
              </w:rPr>
              <w:t>、工作流程、工作标准等）相关</w:t>
            </w:r>
            <w:r>
              <w:rPr>
                <w:rFonts w:hint="eastAsia" w:ascii="宋体" w:hAnsi="宋体" w:eastAsia="宋体" w:cs="宋体"/>
                <w:sz w:val="21"/>
                <w:szCs w:val="21"/>
                <w:highlight w:val="none"/>
                <w:lang w:eastAsia="zh-CN"/>
              </w:rPr>
              <w:t>内容</w:t>
            </w:r>
            <w:r>
              <w:rPr>
                <w:rFonts w:hint="eastAsia" w:ascii="宋体" w:hAnsi="宋体" w:eastAsia="宋体" w:cs="宋体"/>
                <w:sz w:val="21"/>
                <w:szCs w:val="21"/>
                <w:highlight w:val="none"/>
              </w:rPr>
              <w:t>进行评审。每项0-</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分，最多得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tc>
        <w:tc>
          <w:tcPr>
            <w:tcW w:w="990" w:type="dxa"/>
            <w:tcBorders>
              <w:top w:val="single" w:color="auto" w:sz="4" w:space="0"/>
              <w:left w:val="single" w:color="auto" w:sz="4" w:space="0"/>
              <w:right w:val="single" w:color="auto" w:sz="4" w:space="0"/>
            </w:tcBorders>
            <w:vAlign w:val="center"/>
          </w:tcPr>
          <w:p>
            <w:pPr>
              <w:ind w:right="-21" w:rightChars="-1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tc>
        <w:tc>
          <w:tcPr>
            <w:tcW w:w="1336" w:type="dxa"/>
            <w:tcBorders>
              <w:top w:val="single" w:color="auto" w:sz="4" w:space="0"/>
              <w:left w:val="single" w:color="auto" w:sz="4" w:space="0"/>
              <w:bottom w:val="single" w:color="auto" w:sz="4" w:space="0"/>
              <w:right w:val="single" w:color="auto" w:sz="4" w:space="0"/>
            </w:tcBorders>
            <w:vAlign w:val="center"/>
          </w:tcPr>
          <w:p>
            <w:pPr>
              <w:ind w:right="-21" w:rightChars="-1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24" w:type="dxa"/>
            <w:vMerge w:val="continue"/>
            <w:tcBorders>
              <w:left w:val="single" w:color="auto" w:sz="4" w:space="0"/>
              <w:right w:val="single" w:color="auto" w:sz="4" w:space="0"/>
            </w:tcBorders>
            <w:vAlign w:val="center"/>
          </w:tcPr>
          <w:p>
            <w:pPr>
              <w:ind w:right="-21" w:rightChars="-10" w:firstLine="420"/>
              <w:rPr>
                <w:rFonts w:hint="eastAsia" w:ascii="宋体" w:hAnsi="宋体" w:eastAsia="宋体" w:cs="宋体"/>
                <w:sz w:val="21"/>
                <w:szCs w:val="21"/>
                <w:highlight w:val="none"/>
              </w:rPr>
            </w:pPr>
          </w:p>
        </w:tc>
        <w:tc>
          <w:tcPr>
            <w:tcW w:w="1904" w:type="dxa"/>
            <w:vMerge w:val="continue"/>
            <w:tcBorders>
              <w:left w:val="single" w:color="auto" w:sz="4" w:space="0"/>
              <w:right w:val="single" w:color="auto" w:sz="4" w:space="0"/>
            </w:tcBorders>
            <w:vAlign w:val="center"/>
          </w:tcPr>
          <w:p>
            <w:pPr>
              <w:ind w:right="-21" w:rightChars="-10" w:firstLine="420"/>
              <w:rPr>
                <w:rFonts w:hint="eastAsia" w:ascii="宋体" w:hAnsi="宋体" w:eastAsia="宋体" w:cs="宋体"/>
                <w:sz w:val="21"/>
                <w:szCs w:val="21"/>
                <w:highlight w:val="none"/>
              </w:rPr>
            </w:pPr>
          </w:p>
        </w:tc>
        <w:tc>
          <w:tcPr>
            <w:tcW w:w="5858" w:type="dxa"/>
            <w:tcBorders>
              <w:top w:val="single" w:color="auto" w:sz="4" w:space="0"/>
              <w:left w:val="single" w:color="auto" w:sz="4" w:space="0"/>
              <w:bottom w:val="single" w:color="auto" w:sz="4" w:space="0"/>
              <w:right w:val="single" w:color="auto" w:sz="4" w:space="0"/>
            </w:tcBorders>
            <w:vAlign w:val="center"/>
          </w:tcPr>
          <w:p>
            <w:pPr>
              <w:ind w:right="-21" w:rightChars="-1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突发事件处置</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eastAsia="zh-CN"/>
              </w:rPr>
              <w:t>提供的事件应急反应方案进行评分。</w:t>
            </w:r>
          </w:p>
        </w:tc>
        <w:tc>
          <w:tcPr>
            <w:tcW w:w="990" w:type="dxa"/>
            <w:tcBorders>
              <w:top w:val="single" w:color="auto" w:sz="4" w:space="0"/>
              <w:left w:val="single" w:color="auto" w:sz="4" w:space="0"/>
              <w:bottom w:val="single" w:color="auto" w:sz="4" w:space="0"/>
              <w:right w:val="single" w:color="auto" w:sz="4" w:space="0"/>
            </w:tcBorders>
            <w:vAlign w:val="center"/>
          </w:tcPr>
          <w:p>
            <w:pPr>
              <w:ind w:right="-21" w:rightChars="-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0-3分</w:t>
            </w:r>
          </w:p>
        </w:tc>
        <w:tc>
          <w:tcPr>
            <w:tcW w:w="1336" w:type="dxa"/>
            <w:tcBorders>
              <w:top w:val="single" w:color="auto" w:sz="4" w:space="0"/>
              <w:left w:val="single" w:color="auto" w:sz="4" w:space="0"/>
              <w:bottom w:val="single" w:color="auto" w:sz="4" w:space="0"/>
              <w:right w:val="single" w:color="auto" w:sz="4" w:space="0"/>
            </w:tcBorders>
            <w:vAlign w:val="center"/>
          </w:tcPr>
          <w:p>
            <w:pPr>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824" w:type="dxa"/>
            <w:tcBorders>
              <w:left w:val="single" w:color="auto" w:sz="4" w:space="0"/>
              <w:right w:val="single" w:color="auto" w:sz="4" w:space="0"/>
            </w:tcBorders>
            <w:vAlign w:val="center"/>
          </w:tcPr>
          <w:p>
            <w:pPr>
              <w:ind w:right="-21" w:rightChars="-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p>
        </w:tc>
        <w:tc>
          <w:tcPr>
            <w:tcW w:w="1904" w:type="dxa"/>
            <w:tcBorders>
              <w:left w:val="single" w:color="auto" w:sz="4" w:space="0"/>
              <w:right w:val="single" w:color="auto" w:sz="4" w:space="0"/>
            </w:tcBorders>
            <w:vAlign w:val="center"/>
          </w:tcPr>
          <w:p>
            <w:pPr>
              <w:ind w:right="-21" w:rightChars="-1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售后服务实施方案及保障措施</w:t>
            </w:r>
          </w:p>
        </w:tc>
        <w:tc>
          <w:tcPr>
            <w:tcW w:w="5858" w:type="dxa"/>
            <w:tcBorders>
              <w:top w:val="single" w:color="auto" w:sz="4" w:space="0"/>
              <w:left w:val="single" w:color="auto" w:sz="4" w:space="0"/>
              <w:bottom w:val="single" w:color="auto" w:sz="4" w:space="0"/>
              <w:right w:val="single" w:color="auto" w:sz="4" w:space="0"/>
            </w:tcBorders>
            <w:vAlign w:val="center"/>
          </w:tcPr>
          <w:p>
            <w:pPr>
              <w:ind w:right="-21" w:rightChars="-1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根据供应商提供的售后服务实施方案及保障措施进行评分（包括但不限于服务响应、人员安排、车辆调派、附加服务等），每项0-2分。</w:t>
            </w:r>
          </w:p>
        </w:tc>
        <w:tc>
          <w:tcPr>
            <w:tcW w:w="990" w:type="dxa"/>
            <w:tcBorders>
              <w:top w:val="single" w:color="auto" w:sz="4" w:space="0"/>
              <w:left w:val="single" w:color="auto" w:sz="4" w:space="0"/>
              <w:bottom w:val="single" w:color="auto" w:sz="4" w:space="0"/>
              <w:right w:val="single" w:color="auto" w:sz="4" w:space="0"/>
            </w:tcBorders>
            <w:vAlign w:val="center"/>
          </w:tcPr>
          <w:p>
            <w:pPr>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p>
        </w:tc>
        <w:tc>
          <w:tcPr>
            <w:tcW w:w="1336" w:type="dxa"/>
            <w:tcBorders>
              <w:top w:val="single" w:color="auto" w:sz="4" w:space="0"/>
              <w:left w:val="single" w:color="auto" w:sz="4" w:space="0"/>
              <w:bottom w:val="single" w:color="auto" w:sz="4" w:space="0"/>
              <w:right w:val="single" w:color="auto" w:sz="4" w:space="0"/>
            </w:tcBorders>
            <w:vAlign w:val="center"/>
          </w:tcPr>
          <w:p>
            <w:pPr>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824" w:type="dxa"/>
            <w:tcBorders>
              <w:left w:val="single" w:color="auto" w:sz="4" w:space="0"/>
              <w:right w:val="single" w:color="auto" w:sz="4" w:space="0"/>
            </w:tcBorders>
            <w:vAlign w:val="center"/>
          </w:tcPr>
          <w:p>
            <w:pPr>
              <w:ind w:right="-21" w:rightChars="-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904" w:type="dxa"/>
            <w:tcBorders>
              <w:left w:val="single" w:color="auto" w:sz="4" w:space="0"/>
              <w:right w:val="single" w:color="auto" w:sz="4" w:space="0"/>
            </w:tcBorders>
            <w:vAlign w:val="center"/>
          </w:tcPr>
          <w:p>
            <w:pPr>
              <w:ind w:right="-21" w:rightChars="-1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制度保障</w:t>
            </w:r>
          </w:p>
        </w:tc>
        <w:tc>
          <w:tcPr>
            <w:tcW w:w="5858" w:type="dxa"/>
            <w:tcBorders>
              <w:top w:val="single" w:color="auto" w:sz="4" w:space="0"/>
              <w:left w:val="single" w:color="auto" w:sz="4" w:space="0"/>
              <w:bottom w:val="single" w:color="auto" w:sz="4" w:space="0"/>
              <w:right w:val="single" w:color="auto" w:sz="4" w:space="0"/>
            </w:tcBorders>
            <w:vAlign w:val="center"/>
          </w:tcPr>
          <w:p>
            <w:pPr>
              <w:ind w:right="-21" w:rightChars="-1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1、根据建立的冷库岗位责任制、冷库卫生管理规范、冷库货物出入管理规范进行评分，每项0-2分（6分）；</w:t>
            </w:r>
          </w:p>
          <w:p>
            <w:pPr>
              <w:ind w:right="-21" w:rightChars="-1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2、根据冷库建立有24小时值班值守制度、安全生产应急预案、冷库投放应急预案进行评分，每项0-2分（6分）。</w:t>
            </w:r>
          </w:p>
        </w:tc>
        <w:tc>
          <w:tcPr>
            <w:tcW w:w="990" w:type="dxa"/>
            <w:tcBorders>
              <w:top w:val="single" w:color="auto" w:sz="4" w:space="0"/>
              <w:left w:val="single" w:color="auto" w:sz="4" w:space="0"/>
              <w:bottom w:val="single" w:color="auto" w:sz="4" w:space="0"/>
              <w:right w:val="single" w:color="auto" w:sz="4" w:space="0"/>
            </w:tcBorders>
            <w:vAlign w:val="center"/>
          </w:tcPr>
          <w:p>
            <w:pPr>
              <w:ind w:right="-21" w:rightChars="-1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分</w:t>
            </w:r>
          </w:p>
        </w:tc>
        <w:tc>
          <w:tcPr>
            <w:tcW w:w="1336" w:type="dxa"/>
            <w:tcBorders>
              <w:top w:val="single" w:color="auto" w:sz="4" w:space="0"/>
              <w:left w:val="single" w:color="auto" w:sz="4" w:space="0"/>
              <w:bottom w:val="single" w:color="auto" w:sz="4" w:space="0"/>
              <w:right w:val="single" w:color="auto" w:sz="4" w:space="0"/>
            </w:tcBorders>
            <w:vAlign w:val="center"/>
          </w:tcPr>
          <w:p>
            <w:pPr>
              <w:ind w:right="-21" w:rightChars="-1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8" w:hRule="atLeast"/>
        </w:trPr>
        <w:tc>
          <w:tcPr>
            <w:tcW w:w="824" w:type="dxa"/>
            <w:tcBorders>
              <w:left w:val="single" w:color="auto" w:sz="4" w:space="0"/>
              <w:right w:val="single" w:color="auto" w:sz="4" w:space="0"/>
            </w:tcBorders>
            <w:vAlign w:val="center"/>
          </w:tcPr>
          <w:p>
            <w:pPr>
              <w:ind w:right="-21" w:rightChars="-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1904" w:type="dxa"/>
            <w:tcBorders>
              <w:left w:val="single" w:color="auto" w:sz="4" w:space="0"/>
              <w:right w:val="single" w:color="auto" w:sz="4" w:space="0"/>
            </w:tcBorders>
            <w:vAlign w:val="center"/>
          </w:tcPr>
          <w:p>
            <w:pPr>
              <w:ind w:right="-21" w:rightChars="-1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本地化服务</w:t>
            </w:r>
          </w:p>
        </w:tc>
        <w:tc>
          <w:tcPr>
            <w:tcW w:w="5858" w:type="dxa"/>
            <w:tcBorders>
              <w:top w:val="single" w:color="auto" w:sz="4" w:space="0"/>
              <w:left w:val="single" w:color="auto" w:sz="4" w:space="0"/>
              <w:bottom w:val="single" w:color="auto" w:sz="4" w:space="0"/>
              <w:right w:val="single" w:color="auto" w:sz="4" w:space="0"/>
            </w:tcBorders>
            <w:vAlign w:val="center"/>
          </w:tcPr>
          <w:p>
            <w:pPr>
              <w:ind w:right="-21" w:rightChars="-1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为了应急状态下，能及时保障湖州市场供应，提供更好的本地化服务。投标人承诺提供用于本项目储备冻猪肉的冷库全部位于湖州市范围内的，得6分。</w:t>
            </w:r>
          </w:p>
          <w:p>
            <w:pPr>
              <w:ind w:right="-21" w:rightChars="-1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w:t>
            </w:r>
          </w:p>
          <w:p>
            <w:pPr>
              <w:ind w:right="-21" w:rightChars="-1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（1）【冷库是指符合《国家储备冻猪肉储存冷库资质条件》(SB/T10408-2007)要求的冷库（不包括储备吨位要求及标准中对储备冷冻牛、羊肉的要求）】。</w:t>
            </w:r>
          </w:p>
          <w:p>
            <w:pPr>
              <w:ind w:right="-21" w:rightChars="-10"/>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2）本项由投标人提供承诺函，承诺函内容必须含括拟投入使用的冷库信息及库容量信息；如冷库为中标后租赁，需承诺中标后至首次服务前提供符合要求的拟投入使用的冷库信息及库容量信息。未提供承诺函或未按要求提供的，该项不得分。</w:t>
            </w:r>
          </w:p>
        </w:tc>
        <w:tc>
          <w:tcPr>
            <w:tcW w:w="990" w:type="dxa"/>
            <w:tcBorders>
              <w:top w:val="single" w:color="auto" w:sz="4" w:space="0"/>
              <w:left w:val="single" w:color="auto" w:sz="4" w:space="0"/>
              <w:bottom w:val="single" w:color="auto" w:sz="4" w:space="0"/>
              <w:right w:val="single" w:color="auto" w:sz="4" w:space="0"/>
            </w:tcBorders>
            <w:vAlign w:val="center"/>
          </w:tcPr>
          <w:p>
            <w:pPr>
              <w:ind w:right="-21" w:rightChars="-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0-6分</w:t>
            </w:r>
          </w:p>
        </w:tc>
        <w:tc>
          <w:tcPr>
            <w:tcW w:w="1336" w:type="dxa"/>
            <w:tcBorders>
              <w:top w:val="single" w:color="auto" w:sz="4" w:space="0"/>
              <w:left w:val="single" w:color="auto" w:sz="4" w:space="0"/>
              <w:bottom w:val="single" w:color="auto" w:sz="4" w:space="0"/>
              <w:right w:val="single" w:color="auto" w:sz="4" w:space="0"/>
            </w:tcBorders>
            <w:vAlign w:val="center"/>
          </w:tcPr>
          <w:p>
            <w:pPr>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824" w:type="dxa"/>
            <w:tcBorders>
              <w:left w:val="single" w:color="auto" w:sz="4" w:space="0"/>
              <w:right w:val="single" w:color="auto" w:sz="4" w:space="0"/>
            </w:tcBorders>
            <w:vAlign w:val="center"/>
          </w:tcPr>
          <w:p>
            <w:pPr>
              <w:ind w:right="-21" w:rightChars="-1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8</w:t>
            </w:r>
          </w:p>
        </w:tc>
        <w:tc>
          <w:tcPr>
            <w:tcW w:w="1904" w:type="dxa"/>
            <w:tcBorders>
              <w:left w:val="single" w:color="auto" w:sz="4" w:space="0"/>
              <w:right w:val="single" w:color="auto" w:sz="4" w:space="0"/>
            </w:tcBorders>
            <w:vAlign w:val="center"/>
          </w:tcPr>
          <w:p>
            <w:pPr>
              <w:ind w:right="-21" w:rightChars="-1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食品安全保障</w:t>
            </w:r>
          </w:p>
        </w:tc>
        <w:tc>
          <w:tcPr>
            <w:tcW w:w="5858" w:type="dxa"/>
            <w:tcBorders>
              <w:top w:val="single" w:color="auto" w:sz="4" w:space="0"/>
              <w:left w:val="single" w:color="auto" w:sz="4" w:space="0"/>
              <w:bottom w:val="single" w:color="auto" w:sz="4" w:space="0"/>
              <w:right w:val="single" w:color="auto" w:sz="4" w:space="0"/>
            </w:tcBorders>
            <w:vAlign w:val="center"/>
          </w:tcPr>
          <w:p>
            <w:pPr>
              <w:ind w:right="-21" w:rightChars="-1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投标人购买年度销售额500万元以上的《食品安全责任险》的，得1分；投标人购买年度销售额1000万元及以上的《食品安全责任险》的，得2分。</w:t>
            </w:r>
          </w:p>
        </w:tc>
        <w:tc>
          <w:tcPr>
            <w:tcW w:w="990" w:type="dxa"/>
            <w:tcBorders>
              <w:top w:val="single" w:color="auto" w:sz="4" w:space="0"/>
              <w:left w:val="single" w:color="auto" w:sz="4" w:space="0"/>
              <w:bottom w:val="single" w:color="auto" w:sz="4" w:space="0"/>
              <w:right w:val="single" w:color="auto" w:sz="4" w:space="0"/>
            </w:tcBorders>
            <w:vAlign w:val="center"/>
          </w:tcPr>
          <w:p>
            <w:pPr>
              <w:ind w:right="-21" w:rightChars="-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0-2分</w:t>
            </w:r>
          </w:p>
        </w:tc>
        <w:tc>
          <w:tcPr>
            <w:tcW w:w="1336" w:type="dxa"/>
            <w:tcBorders>
              <w:top w:val="single" w:color="auto" w:sz="4" w:space="0"/>
              <w:left w:val="single" w:color="auto" w:sz="4" w:space="0"/>
              <w:bottom w:val="single" w:color="auto" w:sz="4" w:space="0"/>
              <w:right w:val="single" w:color="auto" w:sz="4" w:space="0"/>
            </w:tcBorders>
            <w:vAlign w:val="center"/>
          </w:tcPr>
          <w:p>
            <w:pPr>
              <w:ind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824" w:type="dxa"/>
            <w:tcBorders>
              <w:left w:val="single" w:color="auto" w:sz="4" w:space="0"/>
              <w:right w:val="single" w:color="auto" w:sz="4" w:space="0"/>
            </w:tcBorders>
            <w:vAlign w:val="center"/>
          </w:tcPr>
          <w:p>
            <w:pPr>
              <w:ind w:right="-21" w:rightChars="-1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9</w:t>
            </w:r>
          </w:p>
        </w:tc>
        <w:tc>
          <w:tcPr>
            <w:tcW w:w="1904" w:type="dxa"/>
            <w:tcBorders>
              <w:left w:val="single" w:color="auto" w:sz="4" w:space="0"/>
              <w:right w:val="single" w:color="auto" w:sz="4" w:space="0"/>
            </w:tcBorders>
            <w:vAlign w:val="center"/>
          </w:tcPr>
          <w:p>
            <w:pPr>
              <w:ind w:right="-21" w:rightChars="-1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企业认证</w:t>
            </w:r>
          </w:p>
        </w:tc>
        <w:tc>
          <w:tcPr>
            <w:tcW w:w="5858" w:type="dxa"/>
            <w:tcBorders>
              <w:top w:val="single" w:color="auto" w:sz="4" w:space="0"/>
              <w:left w:val="single" w:color="auto" w:sz="4" w:space="0"/>
              <w:bottom w:val="single" w:color="auto" w:sz="4" w:space="0"/>
              <w:right w:val="single" w:color="auto" w:sz="4" w:space="0"/>
            </w:tcBorders>
            <w:vAlign w:val="center"/>
          </w:tcPr>
          <w:p>
            <w:pPr>
              <w:ind w:right="-21" w:rightChars="-1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按提供的在有效期内的</w:t>
            </w:r>
            <w:r>
              <w:rPr>
                <w:rFonts w:hint="eastAsia" w:ascii="宋体" w:hAnsi="宋体" w:eastAsia="宋体" w:cs="宋体"/>
                <w:kern w:val="2"/>
                <w:sz w:val="21"/>
                <w:szCs w:val="21"/>
                <w:highlight w:val="none"/>
                <w:lang w:val="zh-CN" w:eastAsia="zh-CN" w:bidi="ar-SA"/>
              </w:rPr>
              <w:t>质量体系认证、职业健康体系认证、环境体系认证、食品安全管理体系认证、</w:t>
            </w:r>
            <w:r>
              <w:rPr>
                <w:rFonts w:hint="eastAsia" w:ascii="宋体" w:hAnsi="宋体" w:eastAsia="宋体" w:cs="宋体"/>
                <w:kern w:val="2"/>
                <w:sz w:val="21"/>
                <w:szCs w:val="21"/>
                <w:highlight w:val="none"/>
                <w:lang w:val="en-US" w:eastAsia="zh-CN" w:bidi="ar-SA"/>
              </w:rPr>
              <w:t>生鲜农产品配送服务认证证书</w:t>
            </w:r>
            <w:r>
              <w:rPr>
                <w:rFonts w:hint="eastAsia" w:ascii="宋体" w:hAnsi="宋体" w:eastAsia="宋体" w:cs="宋体"/>
                <w:kern w:val="2"/>
                <w:sz w:val="21"/>
                <w:szCs w:val="21"/>
                <w:highlight w:val="none"/>
                <w:lang w:val="zh-CN" w:eastAsia="zh-CN" w:bidi="ar-SA"/>
              </w:rPr>
              <w:t>进行评分，</w:t>
            </w:r>
            <w:r>
              <w:rPr>
                <w:rFonts w:hint="eastAsia" w:ascii="宋体" w:hAnsi="宋体" w:eastAsia="宋体" w:cs="宋体"/>
                <w:kern w:val="2"/>
                <w:sz w:val="21"/>
                <w:szCs w:val="21"/>
                <w:highlight w:val="none"/>
                <w:lang w:val="en-US" w:eastAsia="zh-CN" w:bidi="ar-SA"/>
              </w:rPr>
              <w:t>每个得1分。</w:t>
            </w:r>
          </w:p>
          <w:p>
            <w:pPr>
              <w:ind w:right="-21" w:rightChars="-1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注：提供证书扫描件，不提供不得分。</w:t>
            </w:r>
          </w:p>
        </w:tc>
        <w:tc>
          <w:tcPr>
            <w:tcW w:w="990" w:type="dxa"/>
            <w:tcBorders>
              <w:top w:val="single" w:color="auto" w:sz="4" w:space="0"/>
              <w:left w:val="single" w:color="auto" w:sz="4" w:space="0"/>
              <w:bottom w:val="single" w:color="auto" w:sz="4" w:space="0"/>
              <w:right w:val="single" w:color="auto" w:sz="4" w:space="0"/>
            </w:tcBorders>
            <w:vAlign w:val="center"/>
          </w:tcPr>
          <w:p>
            <w:pPr>
              <w:ind w:right="-21" w:rightChars="-1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0-5分</w:t>
            </w:r>
          </w:p>
        </w:tc>
        <w:tc>
          <w:tcPr>
            <w:tcW w:w="1336" w:type="dxa"/>
            <w:tcBorders>
              <w:top w:val="single" w:color="auto" w:sz="4" w:space="0"/>
              <w:left w:val="single" w:color="auto" w:sz="4" w:space="0"/>
              <w:bottom w:val="single" w:color="auto" w:sz="4" w:space="0"/>
              <w:right w:val="single" w:color="auto" w:sz="4" w:space="0"/>
            </w:tcBorders>
            <w:vAlign w:val="center"/>
          </w:tcPr>
          <w:p>
            <w:pPr>
              <w:ind w:right="-21" w:rightChars="-1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客观分</w:t>
            </w:r>
          </w:p>
        </w:tc>
      </w:tr>
    </w:tbl>
    <w:p>
      <w:pPr>
        <w:widowControl/>
        <w:spacing w:line="240" w:lineRule="auto"/>
        <w:ind w:firstLine="420" w:firstLineChars="200"/>
        <w:jc w:val="left"/>
        <w:rPr>
          <w:rFonts w:ascii="Calibri" w:hAnsi="Calibri" w:eastAsia="宋体" w:cs="Calibri"/>
          <w:kern w:val="0"/>
          <w:sz w:val="21"/>
          <w:szCs w:val="21"/>
          <w:highlight w:val="none"/>
        </w:rPr>
      </w:pPr>
      <w:r>
        <w:rPr>
          <w:rFonts w:hint="default" w:ascii="Calibri" w:hAnsi="Calibri" w:eastAsia="宋体" w:cs="Calibri"/>
          <w:b w:val="0"/>
          <w:bCs w:val="0"/>
          <w:iCs w:val="0"/>
          <w:kern w:val="0"/>
          <w:sz w:val="21"/>
          <w:szCs w:val="21"/>
          <w:highlight w:val="none"/>
        </w:rPr>
        <w:t>注：所有证书都应在有效期内，逾期不得分。</w:t>
      </w:r>
    </w:p>
    <w:p>
      <w:pPr>
        <w:pStyle w:val="5"/>
        <w:ind w:firstLine="422"/>
        <w:rPr>
          <w:rFonts w:cs="Calibri"/>
          <w:highlight w:val="none"/>
        </w:rPr>
      </w:pPr>
      <w:r>
        <w:rPr>
          <w:rFonts w:cs="Calibri"/>
          <w:highlight w:val="none"/>
        </w:rPr>
        <w:t>5.2价格分</w:t>
      </w:r>
      <w:bookmarkEnd w:id="57"/>
    </w:p>
    <w:p>
      <w:pPr>
        <w:widowControl/>
        <w:ind w:firstLine="420" w:firstLineChars="200"/>
        <w:rPr>
          <w:rFonts w:cs="Calibri"/>
          <w:kern w:val="0"/>
          <w:szCs w:val="21"/>
          <w:highlight w:val="none"/>
        </w:rPr>
      </w:pPr>
      <w:r>
        <w:rPr>
          <w:rFonts w:cs="Calibri"/>
          <w:kern w:val="0"/>
          <w:szCs w:val="21"/>
          <w:highlight w:val="none"/>
        </w:rPr>
        <w:t>价格评分将在有效响应文件范围内进行，最高得</w:t>
      </w:r>
      <w:r>
        <w:rPr>
          <w:rFonts w:hint="eastAsia" w:cs="Calibri"/>
          <w:kern w:val="0"/>
          <w:szCs w:val="21"/>
          <w:highlight w:val="none"/>
          <w:u w:val="single"/>
          <w:lang w:val="en-US" w:eastAsia="zh-CN"/>
        </w:rPr>
        <w:t>3</w:t>
      </w:r>
      <w:r>
        <w:rPr>
          <w:rFonts w:cs="Calibri"/>
          <w:kern w:val="0"/>
          <w:szCs w:val="21"/>
          <w:highlight w:val="none"/>
          <w:u w:val="single"/>
        </w:rPr>
        <w:t>0</w:t>
      </w:r>
      <w:r>
        <w:rPr>
          <w:rFonts w:cs="Calibri"/>
          <w:kern w:val="0"/>
          <w:szCs w:val="21"/>
          <w:highlight w:val="none"/>
        </w:rPr>
        <w:t>分，最低得</w:t>
      </w:r>
      <w:r>
        <w:rPr>
          <w:rFonts w:cs="Calibri"/>
          <w:kern w:val="0"/>
          <w:szCs w:val="21"/>
          <w:highlight w:val="none"/>
          <w:u w:val="single"/>
        </w:rPr>
        <w:t>0</w:t>
      </w:r>
      <w:r>
        <w:rPr>
          <w:rFonts w:cs="Calibri"/>
          <w:kern w:val="0"/>
          <w:szCs w:val="21"/>
          <w:highlight w:val="none"/>
        </w:rPr>
        <w:t>分（小数点后保留二位小数，第三位四舍五入）。满足采购文件要求且最后报价最低的供应商的价格为磋商基准价，其价格分为满分。其他供应商的价格分统一按照下列公式计算：</w:t>
      </w:r>
    </w:p>
    <w:p>
      <w:pPr>
        <w:widowControl/>
        <w:adjustRightInd w:val="0"/>
        <w:ind w:firstLine="420" w:firstLineChars="200"/>
        <w:rPr>
          <w:rFonts w:cs="Calibri"/>
          <w:kern w:val="0"/>
          <w:szCs w:val="21"/>
          <w:highlight w:val="none"/>
        </w:rPr>
      </w:pPr>
      <w:r>
        <w:rPr>
          <w:rFonts w:cs="Calibri"/>
          <w:kern w:val="0"/>
          <w:szCs w:val="21"/>
          <w:highlight w:val="none"/>
        </w:rPr>
        <w:t>磋商报价得分=（磋商基准价／最后磋商报价）×</w:t>
      </w:r>
      <w:r>
        <w:rPr>
          <w:rFonts w:hint="eastAsia" w:cs="Calibri"/>
          <w:kern w:val="0"/>
          <w:szCs w:val="21"/>
          <w:highlight w:val="none"/>
          <w:lang w:val="en-US" w:eastAsia="zh-CN"/>
        </w:rPr>
        <w:t>3</w:t>
      </w:r>
      <w:r>
        <w:rPr>
          <w:rFonts w:cs="Calibri"/>
          <w:kern w:val="0"/>
          <w:szCs w:val="21"/>
          <w:highlight w:val="none"/>
        </w:rPr>
        <w:t>0%×100</w:t>
      </w:r>
    </w:p>
    <w:p>
      <w:pPr>
        <w:pStyle w:val="5"/>
        <w:ind w:firstLine="422"/>
        <w:rPr>
          <w:rFonts w:cs="Calibri"/>
          <w:highlight w:val="none"/>
        </w:rPr>
      </w:pPr>
      <w:r>
        <w:rPr>
          <w:rFonts w:cs="Calibri"/>
          <w:highlight w:val="none"/>
        </w:rPr>
        <w:t>四、重新评审</w:t>
      </w:r>
    </w:p>
    <w:p>
      <w:pPr>
        <w:autoSpaceDE w:val="0"/>
        <w:autoSpaceDN w:val="0"/>
        <w:adjustRightInd w:val="0"/>
        <w:ind w:firstLine="420" w:firstLineChars="200"/>
        <w:textAlignment w:val="bottom"/>
        <w:rPr>
          <w:rFonts w:cs="Calibri"/>
          <w:szCs w:val="21"/>
          <w:highlight w:val="none"/>
        </w:rPr>
      </w:pPr>
      <w:r>
        <w:rPr>
          <w:rFonts w:cs="Calibri"/>
          <w:szCs w:val="21"/>
          <w:highlight w:val="none"/>
        </w:rPr>
        <w:t>评审结果形成后，除下列情形外，采购人或采购代理机构不得重新评审：</w:t>
      </w:r>
    </w:p>
    <w:p>
      <w:pPr>
        <w:autoSpaceDE w:val="0"/>
        <w:autoSpaceDN w:val="0"/>
        <w:adjustRightInd w:val="0"/>
        <w:ind w:firstLine="420" w:firstLineChars="200"/>
        <w:textAlignment w:val="bottom"/>
        <w:rPr>
          <w:rFonts w:cs="Calibri"/>
          <w:szCs w:val="21"/>
          <w:highlight w:val="none"/>
        </w:rPr>
      </w:pPr>
      <w:r>
        <w:rPr>
          <w:rFonts w:cs="Calibri"/>
          <w:szCs w:val="21"/>
          <w:highlight w:val="none"/>
        </w:rPr>
        <w:t>（一）资格性检查认定错误；</w:t>
      </w:r>
    </w:p>
    <w:p>
      <w:pPr>
        <w:autoSpaceDE w:val="0"/>
        <w:autoSpaceDN w:val="0"/>
        <w:adjustRightInd w:val="0"/>
        <w:ind w:firstLine="420" w:firstLineChars="200"/>
        <w:textAlignment w:val="bottom"/>
        <w:rPr>
          <w:rFonts w:cs="Calibri"/>
          <w:szCs w:val="21"/>
          <w:highlight w:val="none"/>
        </w:rPr>
      </w:pPr>
      <w:r>
        <w:rPr>
          <w:rFonts w:cs="Calibri"/>
          <w:szCs w:val="21"/>
          <w:highlight w:val="none"/>
        </w:rPr>
        <w:t>（二）分值汇总计算错误；</w:t>
      </w:r>
    </w:p>
    <w:p>
      <w:pPr>
        <w:autoSpaceDE w:val="0"/>
        <w:autoSpaceDN w:val="0"/>
        <w:adjustRightInd w:val="0"/>
        <w:ind w:firstLine="420" w:firstLineChars="200"/>
        <w:textAlignment w:val="bottom"/>
        <w:rPr>
          <w:rFonts w:cs="Calibri"/>
          <w:szCs w:val="21"/>
          <w:highlight w:val="none"/>
        </w:rPr>
      </w:pPr>
      <w:r>
        <w:rPr>
          <w:rFonts w:cs="Calibri"/>
          <w:szCs w:val="21"/>
          <w:highlight w:val="none"/>
        </w:rPr>
        <w:t>（三）分项评分超出评分标准范围；</w:t>
      </w:r>
    </w:p>
    <w:p>
      <w:pPr>
        <w:pStyle w:val="70"/>
        <w:rPr>
          <w:rFonts w:cs="Calibri"/>
          <w:szCs w:val="21"/>
          <w:highlight w:val="none"/>
        </w:rPr>
      </w:pPr>
      <w:r>
        <w:rPr>
          <w:rFonts w:cs="Calibri"/>
          <w:szCs w:val="21"/>
          <w:highlight w:val="none"/>
        </w:rPr>
        <w:t>（四）客观分评分不一致；</w:t>
      </w:r>
    </w:p>
    <w:p>
      <w:pPr>
        <w:pStyle w:val="70"/>
        <w:rPr>
          <w:rFonts w:cs="Calibri"/>
          <w:szCs w:val="21"/>
          <w:highlight w:val="none"/>
        </w:rPr>
      </w:pPr>
      <w:r>
        <w:rPr>
          <w:rFonts w:cs="Calibri"/>
          <w:szCs w:val="21"/>
          <w:highlight w:val="none"/>
        </w:rPr>
        <w:t>（五）经磋商小组一致认定评分畸高、畸低的情形。</w:t>
      </w:r>
    </w:p>
    <w:p>
      <w:pPr>
        <w:pStyle w:val="3"/>
        <w:rPr>
          <w:rFonts w:cs="Calibri"/>
          <w:color w:val="auto"/>
          <w:highlight w:val="none"/>
        </w:rPr>
      </w:pPr>
      <w:r>
        <w:rPr>
          <w:rFonts w:cs="Calibri"/>
          <w:color w:val="auto"/>
          <w:highlight w:val="none"/>
        </w:rPr>
        <w:br w:type="page"/>
      </w:r>
      <w:bookmarkStart w:id="58" w:name="_Toc13793"/>
      <w:bookmarkStart w:id="59" w:name="_Toc12435"/>
      <w:r>
        <w:rPr>
          <w:rFonts w:cs="Calibri"/>
          <w:color w:val="auto"/>
          <w:highlight w:val="none"/>
        </w:rPr>
        <w:t>第六章磋商</w:t>
      </w:r>
      <w:bookmarkEnd w:id="55"/>
      <w:r>
        <w:rPr>
          <w:rFonts w:cs="Calibri"/>
          <w:color w:val="auto"/>
          <w:highlight w:val="none"/>
        </w:rPr>
        <w:t>须知</w:t>
      </w:r>
      <w:bookmarkEnd w:id="58"/>
      <w:bookmarkEnd w:id="59"/>
    </w:p>
    <w:p>
      <w:pPr>
        <w:pStyle w:val="5"/>
        <w:ind w:firstLine="422"/>
        <w:rPr>
          <w:rFonts w:cs="Calibri"/>
          <w:highlight w:val="none"/>
        </w:rPr>
      </w:pPr>
      <w:r>
        <w:rPr>
          <w:rFonts w:cs="Calibri"/>
          <w:highlight w:val="none"/>
        </w:rPr>
        <w:t>磋商须知前附表</w:t>
      </w:r>
    </w:p>
    <w:tbl>
      <w:tblPr>
        <w:tblStyle w:val="49"/>
        <w:tblW w:w="5163" w:type="pct"/>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971"/>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highlight w:val="none"/>
              </w:rPr>
            </w:pPr>
            <w:r>
              <w:rPr>
                <w:rFonts w:cs="Calibri"/>
                <w:highlight w:val="none"/>
              </w:rPr>
              <w:t>磋商须知条款号</w:t>
            </w:r>
          </w:p>
        </w:tc>
        <w:tc>
          <w:tcPr>
            <w:tcW w:w="1971" w:type="dxa"/>
            <w:vAlign w:val="center"/>
          </w:tcPr>
          <w:p>
            <w:pPr>
              <w:rPr>
                <w:rFonts w:cs="Calibri"/>
                <w:highlight w:val="none"/>
              </w:rPr>
            </w:pPr>
            <w:r>
              <w:rPr>
                <w:rFonts w:cs="Calibri"/>
                <w:highlight w:val="none"/>
              </w:rPr>
              <w:t>名称</w:t>
            </w:r>
          </w:p>
        </w:tc>
        <w:tc>
          <w:tcPr>
            <w:tcW w:w="5953" w:type="dxa"/>
            <w:vAlign w:val="center"/>
          </w:tcPr>
          <w:p>
            <w:pPr>
              <w:rPr>
                <w:rFonts w:cs="Calibri"/>
                <w:highlight w:val="none"/>
              </w:rPr>
            </w:pPr>
            <w:r>
              <w:rPr>
                <w:rFonts w:cs="Calibri"/>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highlight w:val="none"/>
              </w:rPr>
            </w:pPr>
            <w:r>
              <w:rPr>
                <w:rFonts w:cs="Calibri"/>
                <w:highlight w:val="none"/>
              </w:rPr>
              <w:t>1.3</w:t>
            </w:r>
          </w:p>
        </w:tc>
        <w:tc>
          <w:tcPr>
            <w:tcW w:w="1971" w:type="dxa"/>
            <w:vAlign w:val="center"/>
          </w:tcPr>
          <w:p>
            <w:pPr>
              <w:rPr>
                <w:rFonts w:cs="Calibri"/>
                <w:highlight w:val="none"/>
              </w:rPr>
            </w:pPr>
            <w:r>
              <w:rPr>
                <w:rFonts w:cs="Calibri"/>
                <w:highlight w:val="none"/>
              </w:rPr>
              <w:t>采购人</w:t>
            </w:r>
          </w:p>
        </w:tc>
        <w:tc>
          <w:tcPr>
            <w:tcW w:w="5953" w:type="dxa"/>
            <w:vAlign w:val="center"/>
          </w:tcPr>
          <w:p>
            <w:pPr>
              <w:rPr>
                <w:rFonts w:hint="eastAsia" w:eastAsia="宋体" w:cs="Calibri"/>
                <w:highlight w:val="none"/>
                <w:lang w:eastAsia="zh-CN"/>
              </w:rPr>
            </w:pPr>
            <w:r>
              <w:rPr>
                <w:rFonts w:cs="Calibri"/>
                <w:highlight w:val="none"/>
              </w:rPr>
              <w:t>采购人名称：</w:t>
            </w:r>
            <w:r>
              <w:rPr>
                <w:rFonts w:hint="eastAsia" w:cs="Calibri"/>
                <w:highlight w:val="none"/>
                <w:lang w:eastAsia="zh-CN"/>
              </w:rPr>
              <w:t>湖州市吴兴区商务局</w:t>
            </w:r>
          </w:p>
          <w:p>
            <w:pPr>
              <w:rPr>
                <w:rFonts w:hint="eastAsia" w:eastAsia="宋体" w:cs="Calibri"/>
                <w:highlight w:val="none"/>
                <w:lang w:eastAsia="zh-CN"/>
              </w:rPr>
            </w:pPr>
            <w:r>
              <w:rPr>
                <w:rFonts w:cs="Calibri"/>
                <w:highlight w:val="none"/>
              </w:rPr>
              <w:t>项目联系人（询问）</w:t>
            </w:r>
            <w:r>
              <w:rPr>
                <w:rFonts w:hint="eastAsia" w:eastAsia="宋体" w:cs="Calibri"/>
                <w:highlight w:val="none"/>
              </w:rPr>
              <w:t>：</w:t>
            </w:r>
            <w:r>
              <w:rPr>
                <w:rFonts w:hint="eastAsia" w:eastAsia="宋体" w:cs="Calibri"/>
                <w:highlight w:val="none"/>
                <w:lang w:eastAsia="zh-CN"/>
              </w:rPr>
              <w:t>杨先生</w:t>
            </w:r>
          </w:p>
          <w:p>
            <w:pPr>
              <w:rPr>
                <w:highlight w:val="none"/>
              </w:rPr>
            </w:pPr>
            <w:r>
              <w:rPr>
                <w:rFonts w:hint="eastAsia" w:eastAsia="宋体" w:cs="Calibri"/>
                <w:highlight w:val="none"/>
              </w:rPr>
              <w:t>联系电话（询问）：</w:t>
            </w:r>
            <w:r>
              <w:rPr>
                <w:rFonts w:hint="eastAsia" w:eastAsia="宋体" w:cs="Calibri"/>
                <w:sz w:val="21"/>
                <w:highlight w:val="none"/>
              </w:rPr>
              <w:t>0572-2551558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highlight w:val="none"/>
              </w:rPr>
            </w:pPr>
            <w:r>
              <w:rPr>
                <w:rFonts w:cs="Calibri"/>
                <w:highlight w:val="none"/>
              </w:rPr>
              <w:t>1.3</w:t>
            </w:r>
          </w:p>
        </w:tc>
        <w:tc>
          <w:tcPr>
            <w:tcW w:w="1971" w:type="dxa"/>
            <w:vAlign w:val="center"/>
          </w:tcPr>
          <w:p>
            <w:pPr>
              <w:rPr>
                <w:rFonts w:cs="Calibri"/>
                <w:highlight w:val="none"/>
              </w:rPr>
            </w:pPr>
            <w:r>
              <w:rPr>
                <w:rFonts w:cs="Calibri"/>
                <w:highlight w:val="none"/>
              </w:rPr>
              <w:t>采购代理机构</w:t>
            </w:r>
          </w:p>
        </w:tc>
        <w:tc>
          <w:tcPr>
            <w:tcW w:w="5953" w:type="dxa"/>
            <w:vAlign w:val="center"/>
          </w:tcPr>
          <w:p>
            <w:pPr>
              <w:rPr>
                <w:rFonts w:cs="Calibri"/>
                <w:highlight w:val="none"/>
              </w:rPr>
            </w:pPr>
            <w:r>
              <w:rPr>
                <w:rFonts w:cs="Calibri"/>
                <w:highlight w:val="none"/>
              </w:rPr>
              <w:t>采购代理机构名称：浙江省成套招标代理有限公司</w:t>
            </w:r>
          </w:p>
          <w:p>
            <w:pPr>
              <w:rPr>
                <w:rFonts w:cs="Calibri"/>
                <w:highlight w:val="none"/>
              </w:rPr>
            </w:pPr>
            <w:r>
              <w:rPr>
                <w:rFonts w:cs="Calibri"/>
                <w:highlight w:val="none"/>
              </w:rPr>
              <w:t>地址：</w:t>
            </w:r>
            <w:r>
              <w:rPr>
                <w:rFonts w:hint="eastAsia" w:cs="Calibri"/>
                <w:highlight w:val="none"/>
              </w:rPr>
              <w:t>湖州市凤凰路137号国际贸易大厦9楼</w:t>
            </w:r>
          </w:p>
          <w:p>
            <w:pPr>
              <w:rPr>
                <w:rFonts w:cs="Calibri"/>
                <w:highlight w:val="none"/>
              </w:rPr>
            </w:pPr>
            <w:r>
              <w:rPr>
                <w:rFonts w:cs="Calibri"/>
                <w:highlight w:val="none"/>
              </w:rPr>
              <w:t>项目采购联系人：</w:t>
            </w:r>
            <w:r>
              <w:rPr>
                <w:rFonts w:hint="eastAsia" w:cs="Calibri"/>
                <w:highlight w:val="none"/>
              </w:rPr>
              <w:t>小俞</w:t>
            </w:r>
          </w:p>
          <w:p>
            <w:pPr>
              <w:rPr>
                <w:rFonts w:cs="Calibri"/>
                <w:highlight w:val="none"/>
              </w:rPr>
            </w:pPr>
            <w:r>
              <w:rPr>
                <w:rFonts w:cs="Calibri"/>
                <w:highlight w:val="none"/>
              </w:rPr>
              <w:t>联系电话：057</w:t>
            </w:r>
            <w:r>
              <w:rPr>
                <w:rFonts w:hint="eastAsia" w:cs="Calibri"/>
                <w:highlight w:val="none"/>
              </w:rPr>
              <w:t>2-2275857</w:t>
            </w:r>
          </w:p>
          <w:p>
            <w:pPr>
              <w:rPr>
                <w:rFonts w:cs="Calibri"/>
                <w:highlight w:val="none"/>
              </w:rPr>
            </w:pPr>
            <w:r>
              <w:rPr>
                <w:rFonts w:cs="Calibri"/>
                <w:highlight w:val="none"/>
              </w:rPr>
              <w:t>电子邮箱：</w:t>
            </w:r>
            <w:r>
              <w:rPr>
                <w:rFonts w:hint="eastAsia" w:cs="Calibri"/>
                <w:highlight w:val="none"/>
              </w:rPr>
              <w:t>1600494179</w:t>
            </w:r>
            <w:r>
              <w:rPr>
                <w:rFonts w:cs="Calibri"/>
                <w:highlight w:val="none"/>
              </w:rPr>
              <w:t>@</w:t>
            </w:r>
            <w:r>
              <w:rPr>
                <w:rFonts w:hint="eastAsia" w:cs="Calibri"/>
                <w:highlight w:val="none"/>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highlight w:val="none"/>
              </w:rPr>
            </w:pPr>
            <w:r>
              <w:rPr>
                <w:rFonts w:cs="Calibri"/>
                <w:highlight w:val="none"/>
              </w:rPr>
              <w:t>1.9</w:t>
            </w:r>
          </w:p>
        </w:tc>
        <w:tc>
          <w:tcPr>
            <w:tcW w:w="1971" w:type="dxa"/>
            <w:vAlign w:val="center"/>
          </w:tcPr>
          <w:p>
            <w:pPr>
              <w:rPr>
                <w:rFonts w:cs="Calibri"/>
                <w:highlight w:val="none"/>
              </w:rPr>
            </w:pPr>
            <w:r>
              <w:rPr>
                <w:rFonts w:cs="Calibri"/>
                <w:highlight w:val="none"/>
              </w:rPr>
              <w:t>踏勘现场</w:t>
            </w:r>
          </w:p>
        </w:tc>
        <w:tc>
          <w:tcPr>
            <w:tcW w:w="5953" w:type="dxa"/>
            <w:vAlign w:val="center"/>
          </w:tcPr>
          <w:p>
            <w:pPr>
              <w:rPr>
                <w:rFonts w:cs="Calibri"/>
                <w:highlight w:val="none"/>
              </w:rPr>
            </w:pPr>
            <w:r>
              <w:rPr>
                <w:rFonts w:cs="Calibri"/>
                <w:highlight w:val="none"/>
              </w:rPr>
              <w:t>不组织，供应商如有需要，经采购人同意后可自行前往，踏勘期间发生的费用或意外导致伤亡等一切责任和损失均由供应商自负。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highlight w:val="none"/>
              </w:rPr>
            </w:pPr>
            <w:r>
              <w:rPr>
                <w:rFonts w:cs="Calibri"/>
                <w:highlight w:val="none"/>
              </w:rPr>
              <w:t>1.10</w:t>
            </w:r>
          </w:p>
        </w:tc>
        <w:tc>
          <w:tcPr>
            <w:tcW w:w="1971" w:type="dxa"/>
            <w:vAlign w:val="center"/>
          </w:tcPr>
          <w:p>
            <w:pPr>
              <w:rPr>
                <w:rFonts w:cs="Calibri"/>
                <w:highlight w:val="none"/>
              </w:rPr>
            </w:pPr>
            <w:r>
              <w:rPr>
                <w:rFonts w:cs="Calibri"/>
                <w:highlight w:val="none"/>
              </w:rPr>
              <w:t>答疑会</w:t>
            </w:r>
          </w:p>
        </w:tc>
        <w:tc>
          <w:tcPr>
            <w:tcW w:w="5953" w:type="dxa"/>
            <w:vAlign w:val="center"/>
          </w:tcPr>
          <w:p>
            <w:pPr>
              <w:rPr>
                <w:rFonts w:cs="Calibri"/>
                <w:highlight w:val="none"/>
              </w:rPr>
            </w:pPr>
            <w:r>
              <w:rPr>
                <w:rFonts w:cs="Calibri"/>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highlight w:val="none"/>
              </w:rPr>
            </w:pPr>
            <w:r>
              <w:rPr>
                <w:rFonts w:cs="Calibri"/>
                <w:highlight w:val="none"/>
              </w:rPr>
              <w:t>3.3.2</w:t>
            </w:r>
          </w:p>
        </w:tc>
        <w:tc>
          <w:tcPr>
            <w:tcW w:w="1971" w:type="dxa"/>
            <w:vAlign w:val="center"/>
          </w:tcPr>
          <w:p>
            <w:pPr>
              <w:rPr>
                <w:rFonts w:cs="Calibri"/>
                <w:highlight w:val="none"/>
              </w:rPr>
            </w:pPr>
            <w:r>
              <w:rPr>
                <w:rFonts w:cs="Calibri"/>
                <w:highlight w:val="none"/>
              </w:rPr>
              <w:t>磋商响应文件盖章要求</w:t>
            </w:r>
          </w:p>
        </w:tc>
        <w:tc>
          <w:tcPr>
            <w:tcW w:w="5953" w:type="dxa"/>
            <w:vAlign w:val="center"/>
          </w:tcPr>
          <w:p>
            <w:pPr>
              <w:rPr>
                <w:rFonts w:cs="Calibri"/>
                <w:highlight w:val="none"/>
              </w:rPr>
            </w:pPr>
            <w:r>
              <w:rPr>
                <w:rFonts w:cs="Calibri"/>
                <w:highlight w:val="none"/>
              </w:rPr>
              <w:t>磋商响应文件按“第七章磋商响应文件格式”中提供的格式要求盖章。公章采用单位CA章或单位公章。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highlight w:val="none"/>
              </w:rPr>
            </w:pPr>
            <w:r>
              <w:rPr>
                <w:rFonts w:cs="Calibri"/>
                <w:highlight w:val="none"/>
              </w:rPr>
              <w:t>3.3.2</w:t>
            </w:r>
          </w:p>
        </w:tc>
        <w:tc>
          <w:tcPr>
            <w:tcW w:w="1971" w:type="dxa"/>
            <w:vAlign w:val="center"/>
          </w:tcPr>
          <w:p>
            <w:pPr>
              <w:rPr>
                <w:rFonts w:cs="Calibri"/>
                <w:highlight w:val="none"/>
              </w:rPr>
            </w:pPr>
            <w:r>
              <w:rPr>
                <w:rFonts w:cs="Calibri"/>
                <w:highlight w:val="none"/>
              </w:rPr>
              <w:t>磋商响应文件装订要求</w:t>
            </w:r>
          </w:p>
        </w:tc>
        <w:tc>
          <w:tcPr>
            <w:tcW w:w="5953" w:type="dxa"/>
            <w:vAlign w:val="center"/>
          </w:tcPr>
          <w:p>
            <w:pPr>
              <w:rPr>
                <w:rFonts w:cs="Calibri"/>
                <w:highlight w:val="none"/>
              </w:rPr>
            </w:pPr>
            <w:r>
              <w:rPr>
                <w:rFonts w:cs="Calibri"/>
                <w:highlight w:val="none"/>
              </w:rPr>
              <w:t>本项目响应时采用电子文件，不需提供纸质磋商响应文件，无装订要求。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highlight w:val="none"/>
              </w:rPr>
            </w:pPr>
            <w:r>
              <w:rPr>
                <w:rFonts w:cs="Calibri"/>
                <w:highlight w:val="none"/>
              </w:rPr>
              <w:t>3.5</w:t>
            </w:r>
          </w:p>
        </w:tc>
        <w:tc>
          <w:tcPr>
            <w:tcW w:w="1971" w:type="dxa"/>
            <w:vAlign w:val="center"/>
          </w:tcPr>
          <w:p>
            <w:pPr>
              <w:rPr>
                <w:rFonts w:cs="Calibri"/>
                <w:highlight w:val="none"/>
              </w:rPr>
            </w:pPr>
            <w:r>
              <w:rPr>
                <w:rFonts w:cs="Calibri"/>
                <w:highlight w:val="none"/>
              </w:rPr>
              <w:t>磋商保证金</w:t>
            </w:r>
          </w:p>
        </w:tc>
        <w:tc>
          <w:tcPr>
            <w:tcW w:w="5953" w:type="dxa"/>
            <w:vAlign w:val="center"/>
          </w:tcPr>
          <w:p>
            <w:pPr>
              <w:rPr>
                <w:rFonts w:cs="Calibri"/>
                <w:highlight w:val="none"/>
              </w:rPr>
            </w:pPr>
            <w:r>
              <w:rPr>
                <w:rFonts w:cs="Calibri"/>
                <w:highlight w:val="none"/>
              </w:rPr>
              <w:t>不需交纳磋商保证金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highlight w:val="none"/>
              </w:rPr>
            </w:pPr>
            <w:r>
              <w:rPr>
                <w:rFonts w:cs="Calibri"/>
                <w:highlight w:val="none"/>
              </w:rPr>
              <w:t>3.6</w:t>
            </w:r>
          </w:p>
        </w:tc>
        <w:tc>
          <w:tcPr>
            <w:tcW w:w="1971" w:type="dxa"/>
            <w:vAlign w:val="center"/>
          </w:tcPr>
          <w:p>
            <w:pPr>
              <w:rPr>
                <w:rFonts w:cs="Calibri"/>
                <w:highlight w:val="none"/>
              </w:rPr>
            </w:pPr>
            <w:r>
              <w:rPr>
                <w:rFonts w:cs="Calibri"/>
                <w:highlight w:val="none"/>
              </w:rPr>
              <w:t>磋商响应文件有效期</w:t>
            </w:r>
          </w:p>
        </w:tc>
        <w:tc>
          <w:tcPr>
            <w:tcW w:w="5953" w:type="dxa"/>
            <w:vAlign w:val="center"/>
          </w:tcPr>
          <w:p>
            <w:pPr>
              <w:rPr>
                <w:rFonts w:cs="Calibri"/>
                <w:highlight w:val="none"/>
              </w:rPr>
            </w:pPr>
            <w:r>
              <w:rPr>
                <w:rFonts w:cs="Calibri"/>
                <w:highlight w:val="none"/>
              </w:rPr>
              <w:t>自磋商响应文件提交截止时间起120天内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highlight w:val="none"/>
              </w:rPr>
            </w:pPr>
            <w:r>
              <w:rPr>
                <w:rFonts w:cs="Calibri"/>
                <w:highlight w:val="none"/>
              </w:rPr>
              <w:t>3.7</w:t>
            </w:r>
          </w:p>
        </w:tc>
        <w:tc>
          <w:tcPr>
            <w:tcW w:w="1971" w:type="dxa"/>
            <w:vAlign w:val="center"/>
          </w:tcPr>
          <w:p>
            <w:pPr>
              <w:rPr>
                <w:rFonts w:cs="Calibri"/>
                <w:highlight w:val="none"/>
              </w:rPr>
            </w:pPr>
            <w:r>
              <w:rPr>
                <w:rFonts w:cs="Calibri"/>
                <w:highlight w:val="none"/>
              </w:rPr>
              <w:t>磋商响应文件密封及标记要求</w:t>
            </w:r>
          </w:p>
        </w:tc>
        <w:tc>
          <w:tcPr>
            <w:tcW w:w="5953" w:type="dxa"/>
            <w:vAlign w:val="center"/>
          </w:tcPr>
          <w:p>
            <w:pPr>
              <w:rPr>
                <w:rFonts w:cs="Calibri"/>
                <w:highlight w:val="none"/>
              </w:rPr>
            </w:pPr>
            <w:r>
              <w:rPr>
                <w:rFonts w:cs="Calibri"/>
                <w:highlight w:val="none"/>
              </w:rPr>
              <w:t>供应商如提交备份电子磋商响应文件，以介质存储的数据电文形式的备份电子磋商响应文件应密封，封皮应注明供应商名称、项目名称。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highlight w:val="none"/>
              </w:rPr>
            </w:pPr>
            <w:r>
              <w:rPr>
                <w:rFonts w:cs="Calibri"/>
                <w:highlight w:val="none"/>
              </w:rPr>
              <w:t>3.8.1</w:t>
            </w:r>
          </w:p>
        </w:tc>
        <w:tc>
          <w:tcPr>
            <w:tcW w:w="1971" w:type="dxa"/>
            <w:vAlign w:val="center"/>
          </w:tcPr>
          <w:p>
            <w:pPr>
              <w:rPr>
                <w:rFonts w:cs="Calibri"/>
                <w:highlight w:val="none"/>
              </w:rPr>
            </w:pPr>
            <w:r>
              <w:rPr>
                <w:rFonts w:cs="Calibri"/>
                <w:highlight w:val="none"/>
              </w:rPr>
              <w:t>磋商响应文件提交截止时间</w:t>
            </w:r>
          </w:p>
        </w:tc>
        <w:tc>
          <w:tcPr>
            <w:tcW w:w="5953" w:type="dxa"/>
            <w:vAlign w:val="center"/>
          </w:tcPr>
          <w:p>
            <w:pPr>
              <w:rPr>
                <w:rFonts w:cs="Calibri"/>
                <w:highlight w:val="none"/>
              </w:rPr>
            </w:pPr>
            <w:r>
              <w:rPr>
                <w:rFonts w:cs="Calibri"/>
                <w:highlight w:val="none"/>
              </w:rPr>
              <w:t>按“竞争性磋商采购公告”规定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highlight w:val="none"/>
              </w:rPr>
            </w:pPr>
            <w:r>
              <w:rPr>
                <w:rFonts w:cs="Calibri"/>
                <w:highlight w:val="none"/>
              </w:rPr>
              <w:t>3.8.1</w:t>
            </w:r>
          </w:p>
        </w:tc>
        <w:tc>
          <w:tcPr>
            <w:tcW w:w="1971" w:type="dxa"/>
            <w:vAlign w:val="center"/>
          </w:tcPr>
          <w:p>
            <w:pPr>
              <w:rPr>
                <w:rFonts w:cs="Calibri"/>
                <w:highlight w:val="none"/>
              </w:rPr>
            </w:pPr>
            <w:r>
              <w:rPr>
                <w:rFonts w:cs="Calibri"/>
                <w:highlight w:val="none"/>
              </w:rPr>
              <w:t>磋商响应文件提交地点</w:t>
            </w:r>
          </w:p>
        </w:tc>
        <w:tc>
          <w:tcPr>
            <w:tcW w:w="5953" w:type="dxa"/>
            <w:vAlign w:val="center"/>
          </w:tcPr>
          <w:p>
            <w:pPr>
              <w:rPr>
                <w:rFonts w:cs="Calibri"/>
                <w:highlight w:val="none"/>
              </w:rPr>
            </w:pPr>
            <w:r>
              <w:rPr>
                <w:rFonts w:cs="Calibri"/>
                <w:highlight w:val="none"/>
              </w:rPr>
              <w:t>按“竞争性磋商采购公告”规定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highlight w:val="none"/>
              </w:rPr>
            </w:pPr>
            <w:r>
              <w:rPr>
                <w:rFonts w:cs="Calibri"/>
                <w:highlight w:val="none"/>
              </w:rPr>
              <w:t>4.3.1</w:t>
            </w:r>
          </w:p>
        </w:tc>
        <w:tc>
          <w:tcPr>
            <w:tcW w:w="1971" w:type="dxa"/>
            <w:vAlign w:val="center"/>
          </w:tcPr>
          <w:p>
            <w:pPr>
              <w:rPr>
                <w:rFonts w:cs="Calibri"/>
                <w:highlight w:val="none"/>
              </w:rPr>
            </w:pPr>
            <w:r>
              <w:rPr>
                <w:rFonts w:cs="Calibri"/>
                <w:highlight w:val="none"/>
              </w:rPr>
              <w:t>磋商响应文件开启时间和地点</w:t>
            </w:r>
          </w:p>
        </w:tc>
        <w:tc>
          <w:tcPr>
            <w:tcW w:w="5953" w:type="dxa"/>
            <w:vAlign w:val="center"/>
          </w:tcPr>
          <w:p>
            <w:pPr>
              <w:rPr>
                <w:rFonts w:cs="Calibri"/>
                <w:highlight w:val="none"/>
              </w:rPr>
            </w:pPr>
            <w:r>
              <w:rPr>
                <w:rFonts w:cs="Calibri"/>
                <w:highlight w:val="none"/>
              </w:rPr>
              <w:t>按“竞争性磋商采购公告”规定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highlight w:val="none"/>
              </w:rPr>
            </w:pPr>
            <w:r>
              <w:rPr>
                <w:rFonts w:cs="Calibri"/>
                <w:highlight w:val="none"/>
              </w:rPr>
              <w:t>5.8</w:t>
            </w:r>
          </w:p>
        </w:tc>
        <w:tc>
          <w:tcPr>
            <w:tcW w:w="1971" w:type="dxa"/>
            <w:vAlign w:val="center"/>
          </w:tcPr>
          <w:p>
            <w:pPr>
              <w:rPr>
                <w:rFonts w:cs="Calibri"/>
                <w:highlight w:val="none"/>
              </w:rPr>
            </w:pPr>
            <w:r>
              <w:rPr>
                <w:rFonts w:cs="Calibri"/>
                <w:highlight w:val="none"/>
              </w:rPr>
              <w:t>采购代理服务费</w:t>
            </w:r>
          </w:p>
        </w:tc>
        <w:tc>
          <w:tcPr>
            <w:tcW w:w="5953" w:type="dxa"/>
            <w:vAlign w:val="center"/>
          </w:tcPr>
          <w:p>
            <w:pPr>
              <w:rPr>
                <w:rFonts w:cs="Calibri"/>
                <w:highlight w:val="none"/>
              </w:rPr>
            </w:pPr>
            <w:r>
              <w:rPr>
                <w:rFonts w:cs="Calibri"/>
                <w:highlight w:val="none"/>
              </w:rPr>
              <w:t>采购代理服务费由成交供应商支付。</w:t>
            </w:r>
          </w:p>
          <w:p>
            <w:pPr>
              <w:rPr>
                <w:rFonts w:cs="Calibri"/>
                <w:highlight w:val="none"/>
              </w:rPr>
            </w:pPr>
            <w:r>
              <w:rPr>
                <w:rFonts w:cs="Calibri"/>
                <w:highlight w:val="none"/>
              </w:rPr>
              <w:t>采购代理服务费金额</w:t>
            </w:r>
            <w:r>
              <w:rPr>
                <w:rFonts w:hint="eastAsia" w:cs="Calibri"/>
                <w:highlight w:val="none"/>
              </w:rPr>
              <w:t>：人民币</w:t>
            </w:r>
            <w:r>
              <w:rPr>
                <w:rFonts w:hint="eastAsia" w:cs="Calibri"/>
                <w:highlight w:val="none"/>
                <w:lang w:val="en-US" w:eastAsia="zh-CN"/>
              </w:rPr>
              <w:t>12500</w:t>
            </w:r>
            <w:r>
              <w:rPr>
                <w:rFonts w:hint="eastAsia" w:cs="Calibri"/>
                <w:highlight w:val="none"/>
              </w:rPr>
              <w:t>元整</w:t>
            </w:r>
          </w:p>
          <w:p>
            <w:pPr>
              <w:rPr>
                <w:rFonts w:cs="Calibri"/>
                <w:highlight w:val="none"/>
              </w:rPr>
            </w:pPr>
            <w:r>
              <w:rPr>
                <w:rFonts w:cs="Calibri"/>
                <w:highlight w:val="none"/>
              </w:rPr>
              <w:t>采购代理服务费缴纳形式：</w:t>
            </w:r>
            <w:r>
              <w:rPr>
                <w:rFonts w:hint="eastAsia" w:cs="Calibri"/>
                <w:highlight w:val="none"/>
              </w:rPr>
              <w:t>转账</w:t>
            </w:r>
            <w:r>
              <w:rPr>
                <w:rFonts w:cs="Calibri"/>
                <w:highlight w:val="none"/>
              </w:rPr>
              <w:t>/现金</w:t>
            </w:r>
          </w:p>
          <w:p>
            <w:pPr>
              <w:rPr>
                <w:rFonts w:cs="Calibri"/>
                <w:highlight w:val="none"/>
              </w:rPr>
            </w:pPr>
            <w:r>
              <w:rPr>
                <w:rFonts w:cs="Calibri"/>
                <w:highlight w:val="none"/>
              </w:rPr>
              <w:t>采购代理服务费由成交供应商在接到成交通知书时以人民币方式向采购代理机构支付。汇入以下账户：</w:t>
            </w:r>
          </w:p>
          <w:p>
            <w:pPr>
              <w:rPr>
                <w:rFonts w:cs="Calibri"/>
                <w:highlight w:val="none"/>
              </w:rPr>
            </w:pPr>
            <w:r>
              <w:rPr>
                <w:rFonts w:hint="eastAsia" w:cs="Calibri"/>
                <w:highlight w:val="none"/>
              </w:rPr>
              <w:t>单位名称：浙江省成套招标代理有限公司湖州分公司</w:t>
            </w:r>
          </w:p>
          <w:p>
            <w:pPr>
              <w:rPr>
                <w:rFonts w:cs="Calibri"/>
                <w:highlight w:val="none"/>
              </w:rPr>
            </w:pPr>
            <w:r>
              <w:rPr>
                <w:rFonts w:hint="eastAsia" w:cs="Calibri"/>
                <w:highlight w:val="none"/>
              </w:rPr>
              <w:t>开户银行：湖州银行日月城支行</w:t>
            </w:r>
          </w:p>
          <w:p>
            <w:pPr>
              <w:rPr>
                <w:rFonts w:cs="Calibri"/>
                <w:highlight w:val="none"/>
              </w:rPr>
            </w:pPr>
            <w:r>
              <w:rPr>
                <w:rFonts w:hint="eastAsia" w:cs="Calibri"/>
                <w:highlight w:val="none"/>
              </w:rPr>
              <w:t>银行账号：</w:t>
            </w:r>
            <w:r>
              <w:rPr>
                <w:rFonts w:cs="Calibri"/>
                <w:highlight w:val="none"/>
              </w:rPr>
              <w:t>8000 2764 5000 167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highlight w:val="none"/>
              </w:rPr>
            </w:pPr>
            <w:r>
              <w:rPr>
                <w:rFonts w:cs="Calibri"/>
                <w:highlight w:val="none"/>
              </w:rPr>
              <w:t>10</w:t>
            </w:r>
          </w:p>
        </w:tc>
        <w:tc>
          <w:tcPr>
            <w:tcW w:w="1971" w:type="dxa"/>
            <w:vAlign w:val="center"/>
          </w:tcPr>
          <w:p>
            <w:pPr>
              <w:rPr>
                <w:rFonts w:cs="Calibri"/>
                <w:highlight w:val="none"/>
              </w:rPr>
            </w:pPr>
            <w:r>
              <w:rPr>
                <w:rFonts w:cs="Calibri"/>
                <w:highlight w:val="none"/>
              </w:rPr>
              <w:t>其他</w:t>
            </w:r>
          </w:p>
        </w:tc>
        <w:tc>
          <w:tcPr>
            <w:tcW w:w="5953" w:type="dxa"/>
            <w:vAlign w:val="center"/>
          </w:tcPr>
          <w:p>
            <w:pPr>
              <w:rPr>
                <w:rFonts w:cs="Calibri"/>
                <w:highlight w:val="none"/>
              </w:rPr>
            </w:pPr>
            <w:r>
              <w:rPr>
                <w:rFonts w:cs="Calibri"/>
                <w:highlight w:val="none"/>
              </w:rPr>
              <w:t>（1）请供应商仔细阅读本采购文件，其中带“▲”标记的条款为实质性内容，供应商须对带“▲”标记的条款作出实质性响应。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highlight w:val="none"/>
              </w:rPr>
            </w:pPr>
            <w:r>
              <w:rPr>
                <w:rFonts w:cs="Calibri"/>
                <w:highlight w:val="none"/>
              </w:rPr>
              <w:t>11</w:t>
            </w:r>
          </w:p>
        </w:tc>
        <w:tc>
          <w:tcPr>
            <w:tcW w:w="1971" w:type="dxa"/>
            <w:vAlign w:val="center"/>
          </w:tcPr>
          <w:p>
            <w:pPr>
              <w:rPr>
                <w:rFonts w:cs="Calibri"/>
                <w:highlight w:val="none"/>
              </w:rPr>
            </w:pPr>
            <w:r>
              <w:rPr>
                <w:rFonts w:cs="Calibri"/>
                <w:highlight w:val="none"/>
              </w:rPr>
              <w:t>特别提醒</w:t>
            </w:r>
          </w:p>
        </w:tc>
        <w:tc>
          <w:tcPr>
            <w:tcW w:w="5953" w:type="dxa"/>
            <w:vAlign w:val="center"/>
          </w:tcPr>
          <w:p>
            <w:pPr>
              <w:rPr>
                <w:rFonts w:cs="Calibri"/>
                <w:highlight w:val="none"/>
              </w:rPr>
            </w:pPr>
            <w:r>
              <w:rPr>
                <w:rFonts w:cs="Calibri"/>
                <w:highlight w:val="none"/>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中小企业信用融资栏目了解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highlight w:val="none"/>
              </w:rPr>
            </w:pPr>
            <w:r>
              <w:rPr>
                <w:rFonts w:cs="Calibri"/>
                <w:highlight w:val="none"/>
              </w:rPr>
              <w:t>12</w:t>
            </w:r>
          </w:p>
        </w:tc>
        <w:tc>
          <w:tcPr>
            <w:tcW w:w="1971" w:type="dxa"/>
            <w:vAlign w:val="center"/>
          </w:tcPr>
          <w:p>
            <w:pPr>
              <w:rPr>
                <w:rFonts w:cs="Calibri"/>
                <w:highlight w:val="none"/>
              </w:rPr>
            </w:pPr>
            <w:r>
              <w:rPr>
                <w:rFonts w:cs="Calibri"/>
                <w:highlight w:val="none"/>
              </w:rPr>
              <w:t>特别提醒</w:t>
            </w:r>
          </w:p>
        </w:tc>
        <w:tc>
          <w:tcPr>
            <w:tcW w:w="5953" w:type="dxa"/>
            <w:vAlign w:val="center"/>
          </w:tcPr>
          <w:p>
            <w:pPr>
              <w:rPr>
                <w:rFonts w:cs="Calibri"/>
                <w:highlight w:val="none"/>
              </w:rPr>
            </w:pPr>
            <w:r>
              <w:rPr>
                <w:rFonts w:cs="Calibri"/>
                <w:highlight w:val="none"/>
              </w:rPr>
              <w:t>根据《关于在政府采购活动中查询及使用信用记录有关问题的通知》财库[2016]125号的规定：</w:t>
            </w:r>
          </w:p>
          <w:p>
            <w:pPr>
              <w:rPr>
                <w:rFonts w:cs="Calibri"/>
                <w:highlight w:val="none"/>
              </w:rPr>
            </w:pPr>
            <w:r>
              <w:rPr>
                <w:rFonts w:cs="Calibri"/>
                <w:szCs w:val="21"/>
                <w:highlight w:val="none"/>
              </w:rPr>
              <w:t>（</w:t>
            </w:r>
            <w:r>
              <w:rPr>
                <w:rFonts w:cs="Calibri"/>
                <w:highlight w:val="none"/>
              </w:rPr>
              <w:t>1）采购人或采购代理机构将对本项目供应商的信用信息进行查询。</w:t>
            </w:r>
          </w:p>
          <w:p>
            <w:pPr>
              <w:rPr>
                <w:rFonts w:cs="Calibri"/>
                <w:highlight w:val="none"/>
              </w:rPr>
            </w:pPr>
            <w:r>
              <w:rPr>
                <w:rFonts w:cs="Calibri"/>
                <w:szCs w:val="21"/>
                <w:highlight w:val="none"/>
              </w:rPr>
              <w:t>（</w:t>
            </w:r>
            <w:r>
              <w:rPr>
                <w:rFonts w:cs="Calibri"/>
                <w:highlight w:val="none"/>
              </w:rPr>
              <w:t>2）查询渠道为信用中国网站、中国政府采购网。</w:t>
            </w:r>
          </w:p>
          <w:p>
            <w:pPr>
              <w:rPr>
                <w:rFonts w:cs="Calibri"/>
                <w:highlight w:val="none"/>
              </w:rPr>
            </w:pPr>
            <w:r>
              <w:rPr>
                <w:rFonts w:cs="Calibri"/>
                <w:szCs w:val="21"/>
                <w:highlight w:val="none"/>
              </w:rPr>
              <w:t>（</w:t>
            </w:r>
            <w:r>
              <w:rPr>
                <w:rFonts w:cs="Calibri"/>
                <w:highlight w:val="none"/>
              </w:rPr>
              <w:t>3）列入失信被执行人名单、重大税收违法案件当事人名单、政府采购严重违法失信行为记录名单等供应商信用信息均将用于本项目。</w:t>
            </w:r>
          </w:p>
          <w:p>
            <w:pPr>
              <w:rPr>
                <w:rFonts w:cs="Calibri"/>
                <w:highlight w:val="none"/>
              </w:rPr>
            </w:pPr>
            <w:r>
              <w:rPr>
                <w:rFonts w:cs="Calibri"/>
                <w:szCs w:val="21"/>
                <w:highlight w:val="none"/>
              </w:rPr>
              <w:t>（</w:t>
            </w:r>
            <w:r>
              <w:rPr>
                <w:rFonts w:cs="Calibri"/>
                <w:highlight w:val="none"/>
              </w:rPr>
              <w:t>4）信用信息查询记录和证据以网页截图等方式留存。</w:t>
            </w:r>
          </w:p>
          <w:p>
            <w:pPr>
              <w:rPr>
                <w:rFonts w:cs="Calibri"/>
                <w:highlight w:val="none"/>
              </w:rPr>
            </w:pPr>
            <w:r>
              <w:rPr>
                <w:rFonts w:cs="Calibri"/>
                <w:szCs w:val="21"/>
                <w:highlight w:val="none"/>
              </w:rPr>
              <w:t>（</w:t>
            </w:r>
            <w:r>
              <w:rPr>
                <w:rFonts w:cs="Calibri"/>
                <w:highlight w:val="none"/>
              </w:rPr>
              <w:t>5）磋商响应文件提交截止日当日网站显示的信用信息将作为评审和确定成交供应商的依据。</w:t>
            </w:r>
          </w:p>
          <w:p>
            <w:pPr>
              <w:rPr>
                <w:rFonts w:cs="Calibri"/>
                <w:highlight w:val="none"/>
              </w:rPr>
            </w:pPr>
            <w:r>
              <w:rPr>
                <w:rFonts w:cs="Calibri"/>
                <w:highlight w:val="none"/>
              </w:rPr>
              <w:t>（6）</w:t>
            </w:r>
            <w:r>
              <w:rPr>
                <w:rFonts w:cs="Calibri"/>
                <w:szCs w:val="21"/>
                <w:highlight w:val="none"/>
              </w:rPr>
              <w:t>联合体成员存在以上不良信用记录的，视同联合体存在不良信用记录。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highlight w:val="none"/>
              </w:rPr>
            </w:pPr>
            <w:r>
              <w:rPr>
                <w:rFonts w:cs="Calibri"/>
                <w:highlight w:val="none"/>
              </w:rPr>
              <w:t>13</w:t>
            </w:r>
          </w:p>
        </w:tc>
        <w:tc>
          <w:tcPr>
            <w:tcW w:w="1971" w:type="dxa"/>
            <w:vAlign w:val="center"/>
          </w:tcPr>
          <w:p>
            <w:pPr>
              <w:rPr>
                <w:rFonts w:cs="Calibri"/>
                <w:highlight w:val="none"/>
              </w:rPr>
            </w:pPr>
            <w:r>
              <w:rPr>
                <w:rFonts w:cs="Calibri"/>
                <w:highlight w:val="none"/>
              </w:rPr>
              <w:t>特别提醒</w:t>
            </w:r>
          </w:p>
        </w:tc>
        <w:tc>
          <w:tcPr>
            <w:tcW w:w="5953" w:type="dxa"/>
            <w:vAlign w:val="center"/>
          </w:tcPr>
          <w:p>
            <w:pPr>
              <w:rPr>
                <w:rFonts w:cs="Calibri"/>
                <w:highlight w:val="none"/>
              </w:rPr>
            </w:pPr>
            <w:r>
              <w:rPr>
                <w:rFonts w:cs="Calibri"/>
                <w:highlight w:val="none"/>
              </w:rPr>
              <w:t>成交供应商应在合同签订前完成政府采购云平台全部注册步骤并成为正式注册入库供应商，否则将导致合同款无法正常支付，责任由成交供应商承担。请供应商尽早完成注册。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highlight w:val="none"/>
              </w:rPr>
            </w:pPr>
            <w:r>
              <w:rPr>
                <w:rFonts w:cs="Calibri"/>
                <w:highlight w:val="none"/>
              </w:rPr>
              <w:t>14</w:t>
            </w:r>
          </w:p>
        </w:tc>
        <w:tc>
          <w:tcPr>
            <w:tcW w:w="1971" w:type="dxa"/>
            <w:vAlign w:val="center"/>
          </w:tcPr>
          <w:p>
            <w:pPr>
              <w:rPr>
                <w:rFonts w:cs="Calibri"/>
                <w:highlight w:val="none"/>
              </w:rPr>
            </w:pPr>
            <w:r>
              <w:rPr>
                <w:rFonts w:cs="Calibri"/>
                <w:highlight w:val="none"/>
              </w:rPr>
              <w:t>特别提醒</w:t>
            </w:r>
          </w:p>
        </w:tc>
        <w:tc>
          <w:tcPr>
            <w:tcW w:w="5953" w:type="dxa"/>
            <w:vAlign w:val="center"/>
          </w:tcPr>
          <w:p>
            <w:pPr>
              <w:rPr>
                <w:rFonts w:cs="Calibri"/>
                <w:highlight w:val="none"/>
              </w:rPr>
            </w:pPr>
            <w:r>
              <w:rPr>
                <w:rFonts w:cs="Calibri"/>
                <w:highlight w:val="none"/>
              </w:rPr>
              <w:t>成交供应商按需提供与电子磋商响应文件内容一致的纸质磋商响应文件一正</w:t>
            </w:r>
            <w:r>
              <w:rPr>
                <w:rFonts w:hint="eastAsia" w:cs="Calibri"/>
                <w:highlight w:val="none"/>
              </w:rPr>
              <w:t>一</w:t>
            </w:r>
            <w:r>
              <w:rPr>
                <w:rFonts w:cs="Calibri"/>
                <w:highlight w:val="none"/>
              </w:rPr>
              <w:t>副，装订成册，采用胶订或线订，不得采用活页夹等可随时拆换的方式装订。（胶订或线订以外装订形式视为活页装订）</w:t>
            </w:r>
            <w:r>
              <w:rPr>
                <w:rFonts w:hint="eastAsia" w:cs="Calibri"/>
                <w:highlight w:val="none"/>
              </w:rPr>
              <w:t>。纸质文件双面打印。</w:t>
            </w:r>
          </w:p>
          <w:p>
            <w:pPr>
              <w:rPr>
                <w:rFonts w:cs="Calibri"/>
                <w:highlight w:val="none"/>
              </w:rPr>
            </w:pPr>
            <w:r>
              <w:rPr>
                <w:rFonts w:cs="Calibri"/>
                <w:highlight w:val="none"/>
              </w:rPr>
              <w:t>成交供应商在领取成交通知书时提供纸质磋商响应文件。</w:t>
            </w:r>
          </w:p>
        </w:tc>
      </w:tr>
    </w:tbl>
    <w:p>
      <w:pPr>
        <w:rPr>
          <w:rFonts w:cs="Calibri"/>
          <w:b/>
          <w:bCs/>
          <w:sz w:val="24"/>
          <w:highlight w:val="none"/>
        </w:rPr>
      </w:pPr>
      <w:r>
        <w:rPr>
          <w:rFonts w:cs="Calibri"/>
          <w:b/>
          <w:bCs/>
          <w:sz w:val="24"/>
          <w:highlight w:val="none"/>
        </w:rPr>
        <w:br w:type="page"/>
      </w:r>
    </w:p>
    <w:p>
      <w:pPr>
        <w:pStyle w:val="5"/>
        <w:ind w:firstLine="422"/>
        <w:rPr>
          <w:rFonts w:cs="Calibri"/>
          <w:szCs w:val="21"/>
          <w:highlight w:val="none"/>
        </w:rPr>
      </w:pPr>
      <w:bookmarkStart w:id="60" w:name="_Toc82338239"/>
      <w:bookmarkStart w:id="61" w:name="_Toc227380480"/>
      <w:bookmarkStart w:id="62" w:name="_Toc82873322"/>
      <w:r>
        <w:rPr>
          <w:rFonts w:cs="Calibri"/>
          <w:szCs w:val="21"/>
          <w:highlight w:val="none"/>
        </w:rPr>
        <w:t>一、</w:t>
      </w:r>
      <w:bookmarkEnd w:id="60"/>
      <w:bookmarkEnd w:id="61"/>
      <w:bookmarkEnd w:id="62"/>
      <w:r>
        <w:rPr>
          <w:rFonts w:cs="Calibri"/>
          <w:szCs w:val="21"/>
          <w:highlight w:val="none"/>
        </w:rPr>
        <w:t>采购说明</w:t>
      </w:r>
    </w:p>
    <w:p>
      <w:pPr>
        <w:pStyle w:val="8"/>
        <w:ind w:firstLine="422"/>
        <w:rPr>
          <w:rFonts w:cs="Calibri"/>
          <w:highlight w:val="none"/>
        </w:rPr>
      </w:pPr>
      <w:bookmarkStart w:id="63" w:name="_Toc82338240"/>
      <w:bookmarkStart w:id="64" w:name="_Toc227380481"/>
      <w:bookmarkStart w:id="65" w:name="_Toc82873323"/>
      <w:r>
        <w:rPr>
          <w:rFonts w:cs="Calibri"/>
          <w:highlight w:val="none"/>
        </w:rPr>
        <w:t>1.1 采购依据</w:t>
      </w:r>
    </w:p>
    <w:p>
      <w:pPr>
        <w:autoSpaceDE w:val="0"/>
        <w:autoSpaceDN w:val="0"/>
        <w:ind w:firstLine="420" w:firstLineChars="200"/>
        <w:textAlignment w:val="bottom"/>
        <w:rPr>
          <w:rFonts w:cs="Calibri"/>
          <w:szCs w:val="21"/>
          <w:highlight w:val="none"/>
        </w:rPr>
      </w:pPr>
      <w:r>
        <w:rPr>
          <w:rFonts w:cs="Calibri"/>
          <w:szCs w:val="21"/>
          <w:highlight w:val="none"/>
        </w:rPr>
        <w:t>本次采购工作是按照《中华人民共和国政府采购法》、《政府采购竞争性磋商采购方式管理暂行办法》等有关法律、法规、规章、文件等规定组织和实施。</w:t>
      </w:r>
    </w:p>
    <w:p>
      <w:pPr>
        <w:pStyle w:val="8"/>
        <w:ind w:firstLine="422"/>
        <w:rPr>
          <w:rFonts w:cs="Calibri"/>
          <w:highlight w:val="none"/>
        </w:rPr>
      </w:pPr>
      <w:r>
        <w:rPr>
          <w:rFonts w:cs="Calibri"/>
          <w:highlight w:val="none"/>
        </w:rPr>
        <w:t>1.2 本项目采购方式</w:t>
      </w:r>
    </w:p>
    <w:p>
      <w:pPr>
        <w:autoSpaceDE w:val="0"/>
        <w:autoSpaceDN w:val="0"/>
        <w:ind w:firstLine="420" w:firstLineChars="200"/>
        <w:textAlignment w:val="bottom"/>
        <w:rPr>
          <w:rFonts w:cs="Calibri"/>
          <w:szCs w:val="21"/>
          <w:highlight w:val="none"/>
        </w:rPr>
      </w:pPr>
      <w:r>
        <w:rPr>
          <w:rFonts w:cs="Calibri"/>
          <w:szCs w:val="21"/>
          <w:highlight w:val="none"/>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3"/>
    <w:bookmarkEnd w:id="64"/>
    <w:bookmarkEnd w:id="65"/>
    <w:p>
      <w:pPr>
        <w:pStyle w:val="8"/>
        <w:ind w:firstLine="422"/>
        <w:rPr>
          <w:rFonts w:cs="Calibri"/>
          <w:highlight w:val="none"/>
        </w:rPr>
      </w:pPr>
      <w:r>
        <w:rPr>
          <w:rFonts w:cs="Calibri"/>
          <w:highlight w:val="none"/>
        </w:rPr>
        <w:t>1.3 定义</w:t>
      </w:r>
    </w:p>
    <w:p>
      <w:pPr>
        <w:autoSpaceDE w:val="0"/>
        <w:autoSpaceDN w:val="0"/>
        <w:ind w:firstLine="420" w:firstLineChars="200"/>
        <w:textAlignment w:val="bottom"/>
        <w:rPr>
          <w:rFonts w:cs="Calibri"/>
          <w:szCs w:val="21"/>
          <w:highlight w:val="none"/>
        </w:rPr>
      </w:pPr>
      <w:r>
        <w:rPr>
          <w:rFonts w:cs="Calibri"/>
          <w:szCs w:val="21"/>
          <w:highlight w:val="none"/>
        </w:rPr>
        <w:t>电子交易活动：是指以数据电文形式，依托政府采购项目电子交易平台进行的政府采购交易活动。</w:t>
      </w:r>
    </w:p>
    <w:p>
      <w:pPr>
        <w:autoSpaceDE w:val="0"/>
        <w:autoSpaceDN w:val="0"/>
        <w:ind w:firstLine="420" w:firstLineChars="200"/>
        <w:textAlignment w:val="bottom"/>
        <w:rPr>
          <w:rFonts w:cs="Calibri"/>
          <w:szCs w:val="21"/>
          <w:highlight w:val="none"/>
        </w:rPr>
      </w:pPr>
      <w:r>
        <w:rPr>
          <w:rFonts w:cs="Calibri"/>
          <w:szCs w:val="21"/>
          <w:highlight w:val="none"/>
        </w:rPr>
        <w:t>采购人：是指依法进行政府采购的国家机关、事业单位、团体组织，见“磋商须知前附表”，本文件中招标人与采购人意思相同</w:t>
      </w:r>
      <w:r>
        <w:rPr>
          <w:rFonts w:hint="eastAsia" w:cs="Calibri"/>
          <w:szCs w:val="21"/>
          <w:highlight w:val="none"/>
        </w:rPr>
        <w:t>。</w:t>
      </w:r>
    </w:p>
    <w:p>
      <w:pPr>
        <w:autoSpaceDE w:val="0"/>
        <w:autoSpaceDN w:val="0"/>
        <w:ind w:firstLine="420" w:firstLineChars="200"/>
        <w:textAlignment w:val="bottom"/>
        <w:rPr>
          <w:rFonts w:cs="Calibri"/>
          <w:szCs w:val="21"/>
          <w:highlight w:val="none"/>
        </w:rPr>
      </w:pPr>
      <w:r>
        <w:rPr>
          <w:rFonts w:cs="Calibri"/>
          <w:szCs w:val="21"/>
          <w:highlight w:val="none"/>
        </w:rPr>
        <w:t>采购代理机构：受采购人委托，在委托的范围内办理政府采购事宜的机构，见“磋商须知前附表”；</w:t>
      </w:r>
    </w:p>
    <w:p>
      <w:pPr>
        <w:autoSpaceDE w:val="0"/>
        <w:autoSpaceDN w:val="0"/>
        <w:ind w:firstLine="420" w:firstLineChars="200"/>
        <w:textAlignment w:val="bottom"/>
        <w:rPr>
          <w:rFonts w:cs="Calibri"/>
          <w:szCs w:val="21"/>
          <w:highlight w:val="none"/>
        </w:rPr>
      </w:pPr>
      <w:r>
        <w:rPr>
          <w:rFonts w:cs="Calibri"/>
          <w:szCs w:val="21"/>
          <w:highlight w:val="none"/>
        </w:rPr>
        <w:t>采购组织机构：指采购人和受采购人委托的采购代理机构</w:t>
      </w:r>
      <w:r>
        <w:rPr>
          <w:rFonts w:hint="eastAsia" w:cs="Calibri"/>
          <w:szCs w:val="21"/>
          <w:highlight w:val="none"/>
        </w:rPr>
        <w:t>。</w:t>
      </w:r>
    </w:p>
    <w:p>
      <w:pPr>
        <w:autoSpaceDE w:val="0"/>
        <w:autoSpaceDN w:val="0"/>
        <w:ind w:firstLine="420" w:firstLineChars="200"/>
        <w:textAlignment w:val="bottom"/>
        <w:rPr>
          <w:rFonts w:cs="Calibri"/>
          <w:szCs w:val="21"/>
          <w:highlight w:val="none"/>
        </w:rPr>
      </w:pPr>
      <w:r>
        <w:rPr>
          <w:rFonts w:cs="Calibri"/>
          <w:szCs w:val="21"/>
          <w:highlight w:val="none"/>
        </w:rPr>
        <w:t>供应商：是指参加本政府采购项目磋商、签订合同、实施的单位，按阶段不同，分别理解为潜在供应商、磋商供应商、成交候选供应商、成交供应商、乙方</w:t>
      </w:r>
      <w:r>
        <w:rPr>
          <w:rFonts w:hint="eastAsia" w:cs="Calibri"/>
          <w:szCs w:val="21"/>
          <w:highlight w:val="none"/>
        </w:rPr>
        <w:t>。</w:t>
      </w:r>
    </w:p>
    <w:p>
      <w:pPr>
        <w:autoSpaceDE w:val="0"/>
        <w:autoSpaceDN w:val="0"/>
        <w:ind w:firstLine="420" w:firstLineChars="200"/>
        <w:textAlignment w:val="bottom"/>
        <w:rPr>
          <w:rFonts w:cs="Calibri"/>
          <w:szCs w:val="21"/>
          <w:highlight w:val="none"/>
        </w:rPr>
      </w:pPr>
      <w:r>
        <w:rPr>
          <w:rFonts w:cs="Calibri"/>
          <w:szCs w:val="21"/>
          <w:highlight w:val="none"/>
        </w:rPr>
        <w:t>竞争性磋商采购文件：指向供应商发出的采购需求文件，本文件中采购文件与竞争性磋商采购文件意思相同</w:t>
      </w:r>
      <w:r>
        <w:rPr>
          <w:rFonts w:hint="eastAsia" w:cs="Calibri"/>
          <w:szCs w:val="21"/>
          <w:highlight w:val="none"/>
        </w:rPr>
        <w:t>。</w:t>
      </w:r>
    </w:p>
    <w:p>
      <w:pPr>
        <w:autoSpaceDE w:val="0"/>
        <w:autoSpaceDN w:val="0"/>
        <w:ind w:firstLine="420" w:firstLineChars="200"/>
        <w:textAlignment w:val="bottom"/>
        <w:rPr>
          <w:rFonts w:cs="Calibri"/>
          <w:szCs w:val="21"/>
          <w:highlight w:val="none"/>
        </w:rPr>
      </w:pPr>
      <w:r>
        <w:rPr>
          <w:rFonts w:cs="Calibri"/>
          <w:szCs w:val="21"/>
          <w:highlight w:val="none"/>
        </w:rPr>
        <w:t>磋商响应文件：指供应商针对采购文件作出响应的文件，包括电子磋商响应文件、备份电子磋商响应文件、成交后提供的纸质磋商响应文件，所有磋商响应文件内容应保持一致。本文件中响应文件与磋商响应文件意思相同</w:t>
      </w:r>
      <w:r>
        <w:rPr>
          <w:rFonts w:hint="eastAsia" w:cs="Calibri"/>
          <w:szCs w:val="21"/>
          <w:highlight w:val="none"/>
        </w:rPr>
        <w:t>。</w:t>
      </w:r>
    </w:p>
    <w:p>
      <w:pPr>
        <w:autoSpaceDE w:val="0"/>
        <w:autoSpaceDN w:val="0"/>
        <w:ind w:firstLine="420" w:firstLineChars="200"/>
        <w:textAlignment w:val="bottom"/>
        <w:rPr>
          <w:rFonts w:cs="Calibri"/>
          <w:szCs w:val="21"/>
          <w:highlight w:val="none"/>
        </w:rPr>
      </w:pPr>
      <w:r>
        <w:rPr>
          <w:rFonts w:cs="Calibri"/>
          <w:szCs w:val="21"/>
          <w:highlight w:val="none"/>
        </w:rPr>
        <w:t>磋商代表：是指参加本项目采购活动的供应商法定代表人或法定代表人授权代表</w:t>
      </w:r>
      <w:r>
        <w:rPr>
          <w:rFonts w:hint="eastAsia" w:cs="Calibri"/>
          <w:szCs w:val="21"/>
          <w:highlight w:val="none"/>
        </w:rPr>
        <w:t>。</w:t>
      </w:r>
    </w:p>
    <w:p>
      <w:pPr>
        <w:autoSpaceDE w:val="0"/>
        <w:autoSpaceDN w:val="0"/>
        <w:ind w:firstLine="420" w:firstLineChars="200"/>
        <w:textAlignment w:val="bottom"/>
        <w:rPr>
          <w:rFonts w:cs="Calibri"/>
          <w:szCs w:val="21"/>
          <w:highlight w:val="none"/>
        </w:rPr>
      </w:pPr>
      <w:r>
        <w:rPr>
          <w:rFonts w:cs="Calibri"/>
          <w:szCs w:val="21"/>
          <w:highlight w:val="none"/>
        </w:rPr>
        <w:t>联合体：是指两个以上单位组成联合体，以一个供应商的身份参加磋商</w:t>
      </w:r>
      <w:r>
        <w:rPr>
          <w:rFonts w:hint="eastAsia" w:cs="Calibri"/>
          <w:szCs w:val="21"/>
          <w:highlight w:val="none"/>
        </w:rPr>
        <w:t>。</w:t>
      </w:r>
    </w:p>
    <w:p>
      <w:pPr>
        <w:autoSpaceDE w:val="0"/>
        <w:autoSpaceDN w:val="0"/>
        <w:ind w:firstLine="420" w:firstLineChars="200"/>
        <w:textAlignment w:val="bottom"/>
        <w:rPr>
          <w:rFonts w:cs="Calibri"/>
          <w:szCs w:val="21"/>
          <w:highlight w:val="none"/>
        </w:rPr>
      </w:pPr>
      <w:r>
        <w:rPr>
          <w:rFonts w:cs="Calibri"/>
          <w:szCs w:val="21"/>
          <w:highlight w:val="none"/>
        </w:rPr>
        <w:t>甲方（发包人）：是指合同签订的一方，一般与采购人相同</w:t>
      </w:r>
      <w:r>
        <w:rPr>
          <w:rFonts w:hint="eastAsia" w:cs="Calibri"/>
          <w:szCs w:val="21"/>
          <w:highlight w:val="none"/>
        </w:rPr>
        <w:t>。</w:t>
      </w:r>
    </w:p>
    <w:p>
      <w:pPr>
        <w:autoSpaceDE w:val="0"/>
        <w:autoSpaceDN w:val="0"/>
        <w:ind w:firstLine="420" w:firstLineChars="200"/>
        <w:textAlignment w:val="bottom"/>
        <w:rPr>
          <w:rFonts w:cs="Calibri"/>
          <w:szCs w:val="21"/>
          <w:highlight w:val="none"/>
        </w:rPr>
      </w:pPr>
      <w:r>
        <w:rPr>
          <w:rFonts w:cs="Calibri"/>
          <w:szCs w:val="21"/>
          <w:highlight w:val="none"/>
        </w:rPr>
        <w:t>乙方（承包人）：是指合同签订的另一方，与成交供应商相同</w:t>
      </w:r>
      <w:r>
        <w:rPr>
          <w:rFonts w:hint="eastAsia" w:cs="Calibri"/>
          <w:szCs w:val="21"/>
          <w:highlight w:val="none"/>
        </w:rPr>
        <w:t>。</w:t>
      </w:r>
    </w:p>
    <w:p>
      <w:pPr>
        <w:autoSpaceDE w:val="0"/>
        <w:autoSpaceDN w:val="0"/>
        <w:ind w:firstLine="420" w:firstLineChars="200"/>
        <w:textAlignment w:val="bottom"/>
        <w:rPr>
          <w:rFonts w:cs="Calibri"/>
          <w:szCs w:val="21"/>
          <w:highlight w:val="none"/>
        </w:rPr>
      </w:pPr>
      <w:r>
        <w:rPr>
          <w:rFonts w:hint="eastAsia" w:cs="Calibri"/>
          <w:szCs w:val="21"/>
          <w:highlight w:val="none"/>
        </w:rPr>
        <w:t>分包供应商：是指与供应商签订分包意向协议的，将承担部分合同内容的其他供应商。</w:t>
      </w:r>
    </w:p>
    <w:p>
      <w:pPr>
        <w:autoSpaceDE w:val="0"/>
        <w:autoSpaceDN w:val="0"/>
        <w:ind w:firstLine="420" w:firstLineChars="200"/>
        <w:textAlignment w:val="bottom"/>
        <w:rPr>
          <w:rFonts w:cs="Calibri"/>
          <w:szCs w:val="21"/>
          <w:highlight w:val="none"/>
        </w:rPr>
      </w:pPr>
      <w:r>
        <w:rPr>
          <w:rFonts w:cs="Calibri"/>
          <w:szCs w:val="21"/>
          <w:highlight w:val="none"/>
        </w:rPr>
        <w:t>中小企业划分标准：《中小企业划分标准》（工信部联企业[2011]300号）。在政府采购活动中，供应商提供的货物、工程或者服务符合下列情形的，享受《政府采购促进中小企业发展管理办法》（财库〔2020〕46号）规定的中小企业扶持政策：</w:t>
      </w:r>
    </w:p>
    <w:p>
      <w:pPr>
        <w:autoSpaceDE w:val="0"/>
        <w:autoSpaceDN w:val="0"/>
        <w:ind w:firstLine="420" w:firstLineChars="200"/>
        <w:textAlignment w:val="bottom"/>
        <w:rPr>
          <w:rFonts w:cs="Calibri"/>
          <w:highlight w:val="none"/>
        </w:rPr>
      </w:pPr>
      <w:r>
        <w:rPr>
          <w:rFonts w:cs="Calibri"/>
          <w:szCs w:val="21"/>
          <w:highlight w:val="none"/>
        </w:rPr>
        <w:t>（1）在货物采购项目中，货物由中小企业制造，即货物由中小企</w:t>
      </w:r>
      <w:r>
        <w:rPr>
          <w:rFonts w:cs="Calibri"/>
          <w:highlight w:val="none"/>
        </w:rPr>
        <w:t>业生产且使用该中小企业商号或者注册商标；</w:t>
      </w:r>
    </w:p>
    <w:p>
      <w:pPr>
        <w:autoSpaceDE w:val="0"/>
        <w:autoSpaceDN w:val="0"/>
        <w:ind w:firstLine="420" w:firstLineChars="200"/>
        <w:textAlignment w:val="bottom"/>
        <w:rPr>
          <w:rFonts w:cs="Calibri"/>
          <w:highlight w:val="none"/>
        </w:rPr>
      </w:pPr>
      <w:r>
        <w:rPr>
          <w:rFonts w:cs="Calibri"/>
          <w:highlight w:val="none"/>
        </w:rPr>
        <w:t>（2）在工程采购项目中，工程由中小企业承建，即工程施工单位为中小企业；</w:t>
      </w:r>
    </w:p>
    <w:p>
      <w:pPr>
        <w:autoSpaceDE w:val="0"/>
        <w:autoSpaceDN w:val="0"/>
        <w:ind w:firstLine="420" w:firstLineChars="200"/>
        <w:textAlignment w:val="bottom"/>
        <w:rPr>
          <w:rFonts w:cs="Calibri"/>
          <w:highlight w:val="none"/>
        </w:rPr>
      </w:pPr>
      <w:r>
        <w:rPr>
          <w:rFonts w:cs="Calibri"/>
          <w:highlight w:val="none"/>
        </w:rPr>
        <w:t>（3）在服务采购项目中，服务由中小企业承接，即提供服务的人员为中小企业依照《中华人民共和国劳动合同法》订立劳动合同的从业人员。</w:t>
      </w:r>
    </w:p>
    <w:p>
      <w:pPr>
        <w:autoSpaceDE w:val="0"/>
        <w:autoSpaceDN w:val="0"/>
        <w:ind w:firstLine="420" w:firstLineChars="200"/>
        <w:textAlignment w:val="bottom"/>
        <w:rPr>
          <w:rFonts w:cs="Calibri"/>
          <w:highlight w:val="none"/>
        </w:rPr>
      </w:pPr>
      <w:r>
        <w:rPr>
          <w:rFonts w:cs="Calibri"/>
          <w:highlight w:val="none"/>
        </w:rPr>
        <w:t>在货物采购项目中，供应商提供的货物既有中小企业制造货物，也有大型企业制造货物的，不享受本办法规定的中小企业扶持政策。</w:t>
      </w:r>
    </w:p>
    <w:p>
      <w:pPr>
        <w:autoSpaceDE w:val="0"/>
        <w:autoSpaceDN w:val="0"/>
        <w:ind w:firstLine="420" w:firstLineChars="200"/>
        <w:textAlignment w:val="bottom"/>
        <w:rPr>
          <w:rFonts w:cs="Calibri"/>
          <w:highlight w:val="none"/>
        </w:rPr>
      </w:pPr>
      <w:r>
        <w:rPr>
          <w:rFonts w:cs="Calibri"/>
          <w:highlight w:val="none"/>
        </w:rPr>
        <w:t>以联合体形式参加政府采购活动，联合体各方均为中小企业的，联合体视同中小企业。其中，联合体各方均为小微企业的，联合体视同小微企业。</w:t>
      </w:r>
    </w:p>
    <w:p>
      <w:pPr>
        <w:autoSpaceDE w:val="0"/>
        <w:autoSpaceDN w:val="0"/>
        <w:ind w:firstLine="420" w:firstLineChars="200"/>
        <w:textAlignment w:val="bottom"/>
        <w:rPr>
          <w:rFonts w:cs="Calibri"/>
          <w:szCs w:val="21"/>
          <w:highlight w:val="none"/>
        </w:rPr>
      </w:pPr>
      <w:r>
        <w:rPr>
          <w:rFonts w:hint="eastAsia" w:cs="Calibri"/>
          <w:szCs w:val="21"/>
          <w:highlight w:val="none"/>
        </w:rPr>
        <w:t>本项目专门面向中小企业进行采购。对于未预留份额专门面向中小企业的政府采购货物或服务项目，以及预留份额政府采购货物或服务项目中的非预留部分标项，对小型和微型企业的投标报价给予20%的扣除，用扣除后的价格参与评审。</w:t>
      </w:r>
    </w:p>
    <w:p>
      <w:pPr>
        <w:adjustRightInd w:val="0"/>
        <w:ind w:firstLine="420" w:firstLineChars="200"/>
        <w:rPr>
          <w:rFonts w:cs="Calibri"/>
          <w:szCs w:val="21"/>
          <w:highlight w:val="none"/>
        </w:rPr>
      </w:pPr>
      <w:r>
        <w:rPr>
          <w:rFonts w:cs="Calibri"/>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highlight w:val="none"/>
        </w:rPr>
        <w:t>。</w:t>
      </w:r>
      <w:r>
        <w:rPr>
          <w:rFonts w:hint="eastAsia" w:cs="Calibri"/>
          <w:szCs w:val="21"/>
          <w:highlight w:val="none"/>
        </w:rPr>
        <w:t>《财政部、司法部关于政府采购支持监狱企业发展有关问题的通知》（财库[2034]68 号）规定的“监狱企业”在全部提供本单位制造的货物（由本单位承担工程/提供服务）或者提供其他监狱企业制造的货物（不包括使用非监狱企业注册商标的货物）参加政府采购活动时，视为小型、微型企业。监狱企业须提供《监狱企业声明函》及相关证明文件。备注：</w:t>
      </w:r>
    </w:p>
    <w:p>
      <w:pPr>
        <w:adjustRightInd w:val="0"/>
        <w:ind w:firstLine="420" w:firstLineChars="200"/>
        <w:rPr>
          <w:rFonts w:cs="Calibri"/>
          <w:szCs w:val="21"/>
          <w:highlight w:val="none"/>
        </w:rPr>
      </w:pPr>
      <w:r>
        <w:rPr>
          <w:rFonts w:hint="eastAsia" w:cs="Calibri"/>
          <w:szCs w:val="21"/>
          <w:highlight w:val="none"/>
        </w:rPr>
        <w:t>1）监狱企业证明文件是指省级以上监狱管理局、戒毒管理局（含新疆生产建设兵团）出具的属于监狱企业的证明文件；</w:t>
      </w:r>
    </w:p>
    <w:p>
      <w:pPr>
        <w:adjustRightInd w:val="0"/>
        <w:ind w:firstLine="420" w:firstLineChars="200"/>
        <w:rPr>
          <w:rFonts w:cs="Calibri"/>
          <w:szCs w:val="21"/>
          <w:highlight w:val="none"/>
        </w:rPr>
      </w:pPr>
      <w:r>
        <w:rPr>
          <w:rFonts w:hint="eastAsia" w:cs="Calibri"/>
          <w:szCs w:val="21"/>
          <w:highlight w:val="none"/>
        </w:rPr>
        <w:t>2）如果提供其他监狱企业制造的货物，还须同时提供该企业为监狱企业的证明文件。</w:t>
      </w:r>
    </w:p>
    <w:p>
      <w:pPr>
        <w:adjustRightInd w:val="0"/>
        <w:ind w:firstLine="420" w:firstLineChars="200"/>
        <w:rPr>
          <w:rFonts w:cs="Calibri"/>
          <w:szCs w:val="21"/>
          <w:highlight w:val="none"/>
        </w:rPr>
      </w:pPr>
      <w:r>
        <w:rPr>
          <w:rFonts w:hint="eastAsia" w:cs="Calibri"/>
          <w:szCs w:val="21"/>
          <w:highlight w:val="none"/>
        </w:rPr>
        <w:t>残疾人福利性单位：是指符合《财政部民政部中国残疾人联合会关于促进残疾人就业政府采购政策的通知》（财库〔2037〕141号）的规定单位。残疾人福利性单位在全部提供本单位制造的货物（由本单位承担工程/提供服务）或者提供其他残疾人福利性单位制造的货物（不包括使用非残疾人福利性单位注册商标的货物）参加政府采购活动时，视为小型、微型企业。残疾人福利性单位须提供《残疾人福利性单位声明函》。残疾人福利性单位应当同时满足以下条件：</w:t>
      </w:r>
    </w:p>
    <w:p>
      <w:pPr>
        <w:adjustRightInd w:val="0"/>
        <w:ind w:firstLine="420" w:firstLineChars="200"/>
        <w:rPr>
          <w:rFonts w:cs="Calibri"/>
          <w:szCs w:val="21"/>
          <w:highlight w:val="none"/>
        </w:rPr>
      </w:pPr>
      <w:r>
        <w:rPr>
          <w:rFonts w:hint="eastAsia" w:cs="Calibri"/>
          <w:szCs w:val="21"/>
          <w:highlight w:val="none"/>
        </w:rPr>
        <w:t>1）安置的残疾人占本单位在职职工人数的比例不低于25%（含25%），并且安置的残疾人人数不少于10人（含10人）；</w:t>
      </w:r>
    </w:p>
    <w:p>
      <w:pPr>
        <w:adjustRightInd w:val="0"/>
        <w:ind w:firstLine="420" w:firstLineChars="200"/>
        <w:rPr>
          <w:rFonts w:cs="Calibri"/>
          <w:szCs w:val="21"/>
          <w:highlight w:val="none"/>
        </w:rPr>
      </w:pPr>
      <w:r>
        <w:rPr>
          <w:rFonts w:hint="eastAsia" w:cs="Calibri"/>
          <w:szCs w:val="21"/>
          <w:highlight w:val="none"/>
        </w:rPr>
        <w:t>2）依法与安置的每位残疾人签订了一年以上（含一年）的劳动合同或服务协议；</w:t>
      </w:r>
    </w:p>
    <w:p>
      <w:pPr>
        <w:adjustRightInd w:val="0"/>
        <w:ind w:firstLine="420" w:firstLineChars="200"/>
        <w:rPr>
          <w:rFonts w:cs="Calibri"/>
          <w:szCs w:val="21"/>
          <w:highlight w:val="none"/>
        </w:rPr>
      </w:pPr>
      <w:r>
        <w:rPr>
          <w:rFonts w:hint="eastAsia" w:cs="Calibri"/>
          <w:szCs w:val="21"/>
          <w:highlight w:val="none"/>
        </w:rPr>
        <w:t>3）为安置的每位残疾人按月足额缴纳了基本养老保险、基本医疗保险、失业保险、工伤保险和生育保险等社会保险费；</w:t>
      </w:r>
    </w:p>
    <w:p>
      <w:pPr>
        <w:adjustRightInd w:val="0"/>
        <w:ind w:firstLine="420" w:firstLineChars="200"/>
        <w:rPr>
          <w:rFonts w:cs="Calibri"/>
          <w:szCs w:val="21"/>
          <w:highlight w:val="none"/>
        </w:rPr>
      </w:pPr>
      <w:r>
        <w:rPr>
          <w:rFonts w:hint="eastAsia" w:cs="Calibri"/>
          <w:szCs w:val="21"/>
          <w:highlight w:val="none"/>
        </w:rPr>
        <w:t>4）通过银行等金融机构向安置的每位残疾人，按月支付了不低于单位所在区县适用的经省级人民政府批准的月最低工资标准的工资；</w:t>
      </w:r>
    </w:p>
    <w:p>
      <w:pPr>
        <w:adjustRightInd w:val="0"/>
        <w:ind w:firstLine="420" w:firstLineChars="200"/>
        <w:rPr>
          <w:rFonts w:cs="Calibri"/>
          <w:szCs w:val="21"/>
          <w:highlight w:val="none"/>
        </w:rPr>
      </w:pPr>
      <w:r>
        <w:rPr>
          <w:rFonts w:hint="eastAsia" w:cs="Calibri"/>
          <w:szCs w:val="21"/>
          <w:highlight w:val="none"/>
        </w:rPr>
        <w:t>5）提供本单位制造的货物、承担的工程或者服务（以下简称产品），或者提供其他残疾人福利性单位制造的货物（不包括使用非残疾人福利性单位注册商标的货物）。</w:t>
      </w:r>
    </w:p>
    <w:p>
      <w:pPr>
        <w:autoSpaceDE w:val="0"/>
        <w:autoSpaceDN w:val="0"/>
        <w:ind w:firstLine="420" w:firstLineChars="200"/>
        <w:textAlignment w:val="bottom"/>
        <w:rPr>
          <w:rFonts w:cs="Calibri"/>
          <w:szCs w:val="21"/>
          <w:highlight w:val="none"/>
        </w:rPr>
      </w:pPr>
      <w:r>
        <w:rPr>
          <w:rFonts w:cs="Calibri"/>
          <w:szCs w:val="21"/>
          <w:highlight w:val="none"/>
        </w:rPr>
        <w:t>同级政府采购监督管理部门：</w:t>
      </w:r>
      <w:r>
        <w:rPr>
          <w:rFonts w:hint="eastAsia" w:cs="Calibri"/>
          <w:szCs w:val="21"/>
          <w:highlight w:val="none"/>
        </w:rPr>
        <w:t>湖州市吴兴区</w:t>
      </w:r>
      <w:r>
        <w:rPr>
          <w:rFonts w:cs="Calibri"/>
          <w:szCs w:val="21"/>
          <w:highlight w:val="none"/>
        </w:rPr>
        <w:t>财政</w:t>
      </w:r>
      <w:r>
        <w:rPr>
          <w:rFonts w:hint="eastAsia" w:cs="Calibri"/>
          <w:szCs w:val="21"/>
          <w:highlight w:val="none"/>
        </w:rPr>
        <w:t>局</w:t>
      </w:r>
      <w:r>
        <w:rPr>
          <w:rFonts w:cs="Calibri"/>
          <w:szCs w:val="21"/>
          <w:highlight w:val="none"/>
        </w:rPr>
        <w:t>政府采购监管处</w:t>
      </w:r>
      <w:r>
        <w:rPr>
          <w:rFonts w:hint="eastAsia" w:cs="Calibri"/>
          <w:szCs w:val="21"/>
          <w:highlight w:val="none"/>
        </w:rPr>
        <w:t>。</w:t>
      </w:r>
    </w:p>
    <w:p>
      <w:pPr>
        <w:pStyle w:val="8"/>
        <w:ind w:firstLine="422"/>
        <w:rPr>
          <w:rFonts w:cs="Calibri"/>
          <w:highlight w:val="none"/>
        </w:rPr>
      </w:pPr>
      <w:r>
        <w:rPr>
          <w:rFonts w:cs="Calibri"/>
          <w:highlight w:val="none"/>
        </w:rPr>
        <w:t>1.4 联合体</w:t>
      </w:r>
      <w:r>
        <w:rPr>
          <w:rFonts w:hint="eastAsia" w:cs="Calibri"/>
          <w:highlight w:val="none"/>
        </w:rPr>
        <w:t>：</w:t>
      </w:r>
      <w:r>
        <w:rPr>
          <w:rFonts w:cs="Calibri"/>
          <w:b w:val="0"/>
          <w:szCs w:val="24"/>
          <w:highlight w:val="none"/>
        </w:rPr>
        <w:t>本项目</w:t>
      </w:r>
      <w:r>
        <w:rPr>
          <w:rFonts w:hint="eastAsia" w:cs="Calibri"/>
          <w:b w:val="0"/>
          <w:szCs w:val="24"/>
          <w:highlight w:val="none"/>
        </w:rPr>
        <w:t>不</w:t>
      </w:r>
      <w:r>
        <w:rPr>
          <w:rFonts w:cs="Calibri"/>
          <w:b w:val="0"/>
          <w:szCs w:val="24"/>
          <w:highlight w:val="none"/>
        </w:rPr>
        <w:t>接受联合体。</w:t>
      </w:r>
    </w:p>
    <w:p>
      <w:pPr>
        <w:pStyle w:val="8"/>
        <w:ind w:firstLine="422"/>
        <w:rPr>
          <w:rFonts w:cs="Calibri"/>
          <w:highlight w:val="none"/>
        </w:rPr>
      </w:pPr>
      <w:r>
        <w:rPr>
          <w:rFonts w:cs="Calibri"/>
          <w:highlight w:val="none"/>
        </w:rPr>
        <w:t>1.5 费用</w:t>
      </w:r>
    </w:p>
    <w:p>
      <w:pPr>
        <w:pStyle w:val="67"/>
        <w:spacing w:line="300" w:lineRule="auto"/>
        <w:ind w:firstLine="420"/>
        <w:rPr>
          <w:rFonts w:ascii="Calibri" w:hAnsi="Calibri" w:cs="Calibri"/>
          <w:highlight w:val="none"/>
        </w:rPr>
      </w:pPr>
      <w:r>
        <w:rPr>
          <w:rFonts w:ascii="Calibri" w:hAnsi="Calibri" w:cs="Calibri"/>
          <w:highlight w:val="none"/>
        </w:rPr>
        <w:t>无论采购活动中的做法和结果如何，供应商自行承担采购活动中所发生的全部费用。</w:t>
      </w:r>
    </w:p>
    <w:p>
      <w:pPr>
        <w:pStyle w:val="8"/>
        <w:ind w:firstLine="422"/>
        <w:rPr>
          <w:rFonts w:cs="Calibri"/>
          <w:highlight w:val="none"/>
        </w:rPr>
      </w:pPr>
      <w:r>
        <w:rPr>
          <w:rFonts w:cs="Calibri"/>
          <w:highlight w:val="none"/>
        </w:rPr>
        <w:t>1.6 保密</w:t>
      </w:r>
    </w:p>
    <w:p>
      <w:pPr>
        <w:adjustRightInd w:val="0"/>
        <w:ind w:firstLine="420" w:firstLineChars="200"/>
        <w:rPr>
          <w:rFonts w:cs="Calibri"/>
          <w:szCs w:val="21"/>
          <w:highlight w:val="none"/>
        </w:rPr>
      </w:pPr>
      <w:r>
        <w:rPr>
          <w:rFonts w:cs="Calibri"/>
          <w:szCs w:val="21"/>
          <w:highlight w:val="none"/>
        </w:rPr>
        <w:t>参与采购活动的各方应对采购文件和磋商响应文件中的商业和技术等秘密保密，违者应对此造成的后果承担法律责任。</w:t>
      </w:r>
    </w:p>
    <w:p>
      <w:pPr>
        <w:pStyle w:val="8"/>
        <w:ind w:firstLine="422"/>
        <w:rPr>
          <w:rFonts w:cs="Calibri"/>
          <w:highlight w:val="none"/>
        </w:rPr>
      </w:pPr>
      <w:r>
        <w:rPr>
          <w:rFonts w:cs="Calibri"/>
          <w:highlight w:val="none"/>
        </w:rPr>
        <w:t>1.7 语言文字</w:t>
      </w:r>
    </w:p>
    <w:p>
      <w:pPr>
        <w:adjustRightInd w:val="0"/>
        <w:ind w:firstLine="420" w:firstLineChars="200"/>
        <w:rPr>
          <w:rFonts w:cs="Calibri"/>
          <w:szCs w:val="21"/>
          <w:highlight w:val="none"/>
        </w:rPr>
      </w:pPr>
      <w:r>
        <w:rPr>
          <w:rFonts w:cs="Calibri"/>
          <w:szCs w:val="21"/>
          <w:highlight w:val="none"/>
        </w:rPr>
        <w:t>除专用术语外，与采购有关的语言使用中文。专用术语应附有中文注释。</w:t>
      </w:r>
    </w:p>
    <w:p>
      <w:pPr>
        <w:pStyle w:val="8"/>
        <w:ind w:firstLine="422"/>
        <w:rPr>
          <w:rFonts w:cs="Calibri"/>
          <w:highlight w:val="none"/>
        </w:rPr>
      </w:pPr>
      <w:r>
        <w:rPr>
          <w:rFonts w:cs="Calibri"/>
          <w:highlight w:val="none"/>
        </w:rPr>
        <w:t>1.8 计量单位</w:t>
      </w:r>
    </w:p>
    <w:p>
      <w:pPr>
        <w:adjustRightInd w:val="0"/>
        <w:ind w:firstLine="420" w:firstLineChars="200"/>
        <w:rPr>
          <w:rFonts w:cs="Calibri"/>
          <w:szCs w:val="21"/>
          <w:highlight w:val="none"/>
        </w:rPr>
      </w:pPr>
      <w:r>
        <w:rPr>
          <w:rFonts w:cs="Calibri"/>
          <w:szCs w:val="21"/>
          <w:highlight w:val="none"/>
        </w:rPr>
        <w:t>所有计量均采用中华人民共和国法定计量单位。</w:t>
      </w:r>
    </w:p>
    <w:p>
      <w:pPr>
        <w:pStyle w:val="8"/>
        <w:ind w:firstLine="422"/>
        <w:rPr>
          <w:rFonts w:cs="Calibri"/>
          <w:highlight w:val="none"/>
        </w:rPr>
      </w:pPr>
      <w:r>
        <w:rPr>
          <w:rFonts w:cs="Calibri"/>
          <w:highlight w:val="none"/>
        </w:rPr>
        <w:t>1.9 踏勘现场</w:t>
      </w:r>
      <w:r>
        <w:rPr>
          <w:rFonts w:hint="eastAsia" w:cs="Calibri"/>
          <w:highlight w:val="none"/>
        </w:rPr>
        <w:t>：</w:t>
      </w:r>
      <w:r>
        <w:rPr>
          <w:rFonts w:hint="eastAsia" w:cs="Calibri"/>
          <w:b w:val="0"/>
          <w:szCs w:val="21"/>
          <w:highlight w:val="none"/>
        </w:rPr>
        <w:t>本项目不统一组织</w:t>
      </w:r>
      <w:r>
        <w:rPr>
          <w:rFonts w:cs="Calibri"/>
          <w:b w:val="0"/>
          <w:szCs w:val="21"/>
          <w:highlight w:val="none"/>
        </w:rPr>
        <w:t>踏勘现场</w:t>
      </w:r>
    </w:p>
    <w:p>
      <w:pPr>
        <w:adjustRightInd w:val="0"/>
        <w:ind w:firstLine="420" w:firstLineChars="200"/>
        <w:rPr>
          <w:rFonts w:cs="Calibri"/>
          <w:szCs w:val="21"/>
          <w:highlight w:val="none"/>
        </w:rPr>
      </w:pPr>
      <w:r>
        <w:rPr>
          <w:rFonts w:cs="Calibri"/>
          <w:szCs w:val="21"/>
          <w:highlight w:val="none"/>
        </w:rPr>
        <w:t>1.9.1磋商须知前附表规定组织踏勘现场的，采购人按磋商须知前附表规定的时间、地点组织供应商踏勘项目现场。</w:t>
      </w:r>
      <w:r>
        <w:rPr>
          <w:rFonts w:hint="eastAsia" w:cs="Calibri"/>
          <w:szCs w:val="21"/>
          <w:highlight w:val="none"/>
        </w:rPr>
        <w:t>本项目不组织</w:t>
      </w:r>
      <w:r>
        <w:rPr>
          <w:rFonts w:cs="Calibri"/>
          <w:szCs w:val="21"/>
          <w:highlight w:val="none"/>
        </w:rPr>
        <w:t>现场踏勘</w:t>
      </w:r>
      <w:r>
        <w:rPr>
          <w:rFonts w:hint="eastAsia" w:cs="Calibri"/>
          <w:szCs w:val="21"/>
          <w:highlight w:val="none"/>
        </w:rPr>
        <w:t>。</w:t>
      </w:r>
    </w:p>
    <w:p>
      <w:pPr>
        <w:adjustRightInd w:val="0"/>
        <w:ind w:firstLine="420" w:firstLineChars="200"/>
        <w:rPr>
          <w:rFonts w:cs="Calibri"/>
          <w:szCs w:val="21"/>
          <w:highlight w:val="none"/>
        </w:rPr>
      </w:pPr>
      <w:r>
        <w:rPr>
          <w:rFonts w:cs="Calibri"/>
          <w:szCs w:val="21"/>
          <w:highlight w:val="none"/>
        </w:rPr>
        <w:t>1.9.2供应商踏勘现场发生的费用自理。</w:t>
      </w:r>
    </w:p>
    <w:p>
      <w:pPr>
        <w:adjustRightInd w:val="0"/>
        <w:ind w:firstLine="420" w:firstLineChars="200"/>
        <w:rPr>
          <w:rFonts w:cs="Calibri"/>
          <w:szCs w:val="21"/>
          <w:highlight w:val="none"/>
        </w:rPr>
      </w:pPr>
      <w:r>
        <w:rPr>
          <w:rFonts w:cs="Calibri"/>
          <w:szCs w:val="21"/>
          <w:highlight w:val="none"/>
        </w:rPr>
        <w:t>1.9.3除采购人的原因外，供应商自行负责在踏勘现场中所发生的人员伤亡和财产损失。</w:t>
      </w:r>
    </w:p>
    <w:p>
      <w:pPr>
        <w:adjustRightInd w:val="0"/>
        <w:ind w:firstLine="420" w:firstLineChars="200"/>
        <w:rPr>
          <w:rFonts w:cs="Calibri"/>
          <w:szCs w:val="21"/>
          <w:highlight w:val="none"/>
        </w:rPr>
      </w:pPr>
      <w:r>
        <w:rPr>
          <w:rFonts w:cs="Calibri"/>
          <w:szCs w:val="21"/>
          <w:highlight w:val="none"/>
        </w:rPr>
        <w:t>1.9.4采购人在踏勘现场中介绍的场地和相关的周边环境情况，提供给供应商在编制磋商响应文件时参考，采购人不对供应商据此作出的判断和决策负责。</w:t>
      </w:r>
    </w:p>
    <w:p>
      <w:pPr>
        <w:pStyle w:val="8"/>
        <w:ind w:firstLine="422"/>
        <w:rPr>
          <w:rFonts w:cs="Calibri"/>
          <w:highlight w:val="none"/>
        </w:rPr>
      </w:pPr>
      <w:r>
        <w:rPr>
          <w:rFonts w:cs="Calibri"/>
          <w:highlight w:val="none"/>
        </w:rPr>
        <w:t>1.10 答疑会</w:t>
      </w:r>
      <w:r>
        <w:rPr>
          <w:rFonts w:hint="eastAsia" w:cs="Calibri"/>
          <w:highlight w:val="none"/>
        </w:rPr>
        <w:t>：</w:t>
      </w:r>
      <w:r>
        <w:rPr>
          <w:rFonts w:hint="eastAsia" w:cs="Calibri"/>
          <w:b w:val="0"/>
          <w:szCs w:val="21"/>
          <w:highlight w:val="none"/>
        </w:rPr>
        <w:t>本项目不统一召开项目</w:t>
      </w:r>
      <w:r>
        <w:rPr>
          <w:rFonts w:cs="Calibri"/>
          <w:b w:val="0"/>
          <w:szCs w:val="21"/>
          <w:highlight w:val="none"/>
        </w:rPr>
        <w:t>答疑会</w:t>
      </w:r>
    </w:p>
    <w:p>
      <w:pPr>
        <w:pStyle w:val="8"/>
        <w:ind w:firstLine="422"/>
        <w:rPr>
          <w:rFonts w:cs="Calibri"/>
          <w:highlight w:val="none"/>
        </w:rPr>
      </w:pPr>
      <w:r>
        <w:rPr>
          <w:rFonts w:cs="Calibri"/>
          <w:highlight w:val="none"/>
        </w:rPr>
        <w:t>1.11 分包</w:t>
      </w:r>
      <w:r>
        <w:rPr>
          <w:rFonts w:hint="eastAsia" w:cs="Calibri"/>
          <w:highlight w:val="none"/>
        </w:rPr>
        <w:t>及转包：</w:t>
      </w:r>
      <w:r>
        <w:rPr>
          <w:rFonts w:hint="eastAsia" w:cs="Calibri"/>
          <w:b w:val="0"/>
          <w:szCs w:val="21"/>
          <w:highlight w:val="none"/>
        </w:rPr>
        <w:t>本项目不允许分包，不允许转包。</w:t>
      </w:r>
    </w:p>
    <w:p>
      <w:pPr>
        <w:pStyle w:val="8"/>
        <w:ind w:firstLine="422"/>
        <w:rPr>
          <w:rFonts w:cs="Calibri"/>
          <w:szCs w:val="21"/>
          <w:highlight w:val="none"/>
        </w:rPr>
      </w:pPr>
      <w:r>
        <w:rPr>
          <w:rFonts w:cs="Calibri"/>
          <w:highlight w:val="none"/>
        </w:rPr>
        <w:t>1.12 偏离</w:t>
      </w:r>
      <w:r>
        <w:rPr>
          <w:rFonts w:hint="eastAsia" w:cs="Calibri"/>
          <w:highlight w:val="none"/>
        </w:rPr>
        <w:t>：</w:t>
      </w:r>
      <w:r>
        <w:rPr>
          <w:rFonts w:cs="Calibri"/>
          <w:b w:val="0"/>
          <w:szCs w:val="21"/>
          <w:highlight w:val="none"/>
        </w:rPr>
        <w:t>磋商响应文件应完全响应采购文件规定的实质性内容和条件。</w:t>
      </w:r>
    </w:p>
    <w:p>
      <w:pPr>
        <w:pStyle w:val="8"/>
        <w:ind w:firstLine="422"/>
        <w:rPr>
          <w:rFonts w:cs="Calibri"/>
          <w:highlight w:val="none"/>
        </w:rPr>
      </w:pPr>
      <w:r>
        <w:rPr>
          <w:rFonts w:cs="Calibri"/>
          <w:highlight w:val="none"/>
        </w:rPr>
        <w:t>1.13 其他</w:t>
      </w:r>
    </w:p>
    <w:p>
      <w:pPr>
        <w:pStyle w:val="67"/>
        <w:spacing w:line="300" w:lineRule="auto"/>
        <w:ind w:firstLine="420"/>
        <w:rPr>
          <w:rFonts w:ascii="Calibri" w:hAnsi="Calibri" w:cs="Calibri"/>
          <w:highlight w:val="none"/>
        </w:rPr>
      </w:pPr>
      <w:r>
        <w:rPr>
          <w:rFonts w:ascii="Calibri" w:hAnsi="Calibri" w:cs="Calibri"/>
          <w:highlight w:val="none"/>
        </w:rPr>
        <w:t>1.13.1</w:t>
      </w:r>
      <w:r>
        <w:rPr>
          <w:rFonts w:ascii="Calibri" w:hAnsi="Calibri" w:cs="Calibri"/>
          <w:b/>
          <w:highlight w:val="none"/>
        </w:rPr>
        <w:t>根据政府采购相关法律、法规、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pPr>
        <w:pStyle w:val="67"/>
        <w:spacing w:line="300" w:lineRule="auto"/>
        <w:ind w:firstLine="420"/>
        <w:rPr>
          <w:rFonts w:ascii="Calibri" w:hAnsi="Calibri" w:cs="Calibri"/>
          <w:bCs/>
          <w:highlight w:val="none"/>
        </w:rPr>
      </w:pPr>
      <w:r>
        <w:rPr>
          <w:rFonts w:ascii="Calibri" w:hAnsi="Calibri" w:cs="Calibri"/>
          <w:highlight w:val="none"/>
        </w:rPr>
        <w:t>1.13.2▲</w:t>
      </w:r>
      <w:r>
        <w:rPr>
          <w:rFonts w:ascii="Calibri" w:hAnsi="Calibri" w:cs="Calibri"/>
          <w:b/>
          <w:bCs/>
          <w:highlight w:val="none"/>
          <w:u w:val="single"/>
        </w:rPr>
        <w:t>供应商对所参加磋商的标项内的采购内容必须全部进行响应。</w:t>
      </w:r>
    </w:p>
    <w:p>
      <w:pPr>
        <w:pStyle w:val="67"/>
        <w:spacing w:line="300" w:lineRule="auto"/>
        <w:ind w:firstLine="420"/>
        <w:rPr>
          <w:rFonts w:ascii="Calibri" w:hAnsi="Calibri" w:cs="Calibri"/>
          <w:bCs/>
          <w:highlight w:val="none"/>
        </w:rPr>
      </w:pPr>
      <w:r>
        <w:rPr>
          <w:rFonts w:ascii="Calibri" w:hAnsi="Calibri" w:cs="Calibri"/>
          <w:highlight w:val="none"/>
        </w:rPr>
        <w:t>1.13.3</w:t>
      </w:r>
      <w:r>
        <w:rPr>
          <w:rFonts w:ascii="Calibri" w:hAnsi="Calibri" w:cs="Calibri"/>
          <w:bCs/>
          <w:highlight w:val="none"/>
        </w:rPr>
        <w:t>采购文件中如有描述歧义或前后不一致的地方，磋商小组有权按公平、合理的原则进行评判，但对同一条款的评判适用于每个供应商。</w:t>
      </w:r>
    </w:p>
    <w:p>
      <w:pPr>
        <w:pStyle w:val="67"/>
        <w:spacing w:line="300" w:lineRule="auto"/>
        <w:ind w:firstLine="420"/>
        <w:rPr>
          <w:rFonts w:ascii="Calibri" w:hAnsi="Calibri" w:cs="Calibri"/>
          <w:highlight w:val="none"/>
        </w:rPr>
      </w:pPr>
      <w:r>
        <w:rPr>
          <w:rFonts w:ascii="Calibri" w:hAnsi="Calibri" w:cs="Calibri"/>
          <w:highlight w:val="none"/>
        </w:rPr>
        <w:t>1.13</w:t>
      </w:r>
      <w:r>
        <w:rPr>
          <w:rFonts w:ascii="Calibri" w:hAnsi="Calibri" w:cs="Calibri"/>
          <w:bCs/>
          <w:highlight w:val="none"/>
        </w:rPr>
        <w:t>.4磋商响应文件的响应内容必须真实、明确、准确。否则，磋商小组将对其作出不利的评审。</w:t>
      </w:r>
    </w:p>
    <w:p>
      <w:pPr>
        <w:adjustRightInd w:val="0"/>
        <w:ind w:firstLine="420" w:firstLineChars="200"/>
        <w:rPr>
          <w:rFonts w:cs="Calibri"/>
          <w:szCs w:val="21"/>
          <w:highlight w:val="none"/>
        </w:rPr>
      </w:pPr>
      <w:r>
        <w:rPr>
          <w:rFonts w:cs="Calibri"/>
          <w:szCs w:val="21"/>
          <w:highlight w:val="none"/>
        </w:rPr>
        <w:t>1.13.</w:t>
      </w:r>
      <w:r>
        <w:rPr>
          <w:rFonts w:hint="eastAsia" w:cs="Calibri"/>
          <w:szCs w:val="21"/>
          <w:highlight w:val="none"/>
        </w:rPr>
        <w:t>5</w:t>
      </w:r>
      <w:r>
        <w:rPr>
          <w:rFonts w:cs="Calibri"/>
          <w:szCs w:val="21"/>
          <w:highlight w:val="none"/>
        </w:rPr>
        <w:t>项目资金为财政</w:t>
      </w:r>
      <w:r>
        <w:rPr>
          <w:rFonts w:hint="eastAsia" w:cs="Calibri"/>
          <w:szCs w:val="21"/>
          <w:highlight w:val="none"/>
        </w:rPr>
        <w:t>资金</w:t>
      </w:r>
      <w:r>
        <w:rPr>
          <w:rFonts w:cs="Calibri"/>
          <w:szCs w:val="21"/>
          <w:highlight w:val="none"/>
        </w:rPr>
        <w:t>，资金已落实。</w:t>
      </w:r>
    </w:p>
    <w:p>
      <w:pPr>
        <w:adjustRightInd w:val="0"/>
        <w:ind w:firstLine="420" w:firstLineChars="200"/>
        <w:rPr>
          <w:rFonts w:cs="Calibri"/>
          <w:szCs w:val="21"/>
          <w:highlight w:val="none"/>
        </w:rPr>
      </w:pPr>
      <w:r>
        <w:rPr>
          <w:rFonts w:cs="Calibri"/>
          <w:szCs w:val="21"/>
          <w:highlight w:val="none"/>
        </w:rPr>
        <w:t>1.13.</w:t>
      </w:r>
      <w:r>
        <w:rPr>
          <w:rFonts w:hint="eastAsia" w:cs="Calibri"/>
          <w:szCs w:val="21"/>
          <w:highlight w:val="none"/>
        </w:rPr>
        <w:t>6</w:t>
      </w:r>
      <w:r>
        <w:rPr>
          <w:rFonts w:cs="Calibri"/>
          <w:szCs w:val="21"/>
          <w:highlight w:val="none"/>
        </w:rPr>
        <w:t>供应商须对所响应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adjustRightInd w:val="0"/>
        <w:ind w:firstLine="422" w:firstLineChars="200"/>
        <w:rPr>
          <w:rFonts w:cs="Calibri"/>
          <w:b/>
          <w:kern w:val="0"/>
          <w:szCs w:val="21"/>
          <w:highlight w:val="none"/>
          <w:u w:val="single"/>
        </w:rPr>
      </w:pPr>
      <w:r>
        <w:rPr>
          <w:rFonts w:cs="Calibri"/>
          <w:b/>
          <w:kern w:val="0"/>
          <w:szCs w:val="21"/>
          <w:highlight w:val="none"/>
          <w:u w:val="single"/>
        </w:rPr>
        <w:t>1.13.</w:t>
      </w:r>
      <w:r>
        <w:rPr>
          <w:rFonts w:hint="eastAsia" w:cs="Calibri"/>
          <w:b/>
          <w:kern w:val="0"/>
          <w:szCs w:val="21"/>
          <w:highlight w:val="none"/>
          <w:u w:val="single"/>
        </w:rPr>
        <w:t>7</w:t>
      </w:r>
      <w:r>
        <w:rPr>
          <w:rFonts w:cs="Calibri"/>
          <w:b/>
          <w:kern w:val="0"/>
          <w:szCs w:val="21"/>
          <w:highlight w:val="none"/>
          <w:u w:val="single"/>
        </w:rPr>
        <w:t>供应商母公司（总机构）或者同一母公司下属的其他子公司（同一总机构下属的其他分支机构）的业绩、荣誉、知识产权、项目案例等不作为供应商的资信文件。</w:t>
      </w:r>
    </w:p>
    <w:p>
      <w:pPr>
        <w:pStyle w:val="5"/>
        <w:ind w:firstLine="422"/>
        <w:rPr>
          <w:rFonts w:cs="Calibri"/>
          <w:highlight w:val="none"/>
        </w:rPr>
      </w:pPr>
      <w:bookmarkStart w:id="66" w:name="_Toc334729025"/>
      <w:r>
        <w:rPr>
          <w:rFonts w:cs="Calibri"/>
          <w:highlight w:val="none"/>
        </w:rPr>
        <w:t>二、</w:t>
      </w:r>
      <w:bookmarkEnd w:id="66"/>
      <w:r>
        <w:rPr>
          <w:rFonts w:cs="Calibri"/>
          <w:highlight w:val="none"/>
        </w:rPr>
        <w:t>采购文件</w:t>
      </w:r>
    </w:p>
    <w:p>
      <w:pPr>
        <w:pStyle w:val="8"/>
        <w:ind w:firstLine="422"/>
        <w:rPr>
          <w:rFonts w:cs="Calibri"/>
          <w:highlight w:val="none"/>
        </w:rPr>
      </w:pPr>
      <w:r>
        <w:rPr>
          <w:rFonts w:cs="Calibri"/>
          <w:highlight w:val="none"/>
        </w:rPr>
        <w:t>2.1 采购文件组成</w:t>
      </w:r>
    </w:p>
    <w:p>
      <w:pPr>
        <w:autoSpaceDE w:val="0"/>
        <w:autoSpaceDN w:val="0"/>
        <w:ind w:firstLine="420" w:firstLineChars="200"/>
        <w:rPr>
          <w:rFonts w:cs="Calibri"/>
          <w:kern w:val="0"/>
          <w:szCs w:val="21"/>
          <w:highlight w:val="none"/>
        </w:rPr>
      </w:pPr>
      <w:r>
        <w:rPr>
          <w:rFonts w:cs="Calibri"/>
          <w:kern w:val="0"/>
          <w:szCs w:val="21"/>
          <w:highlight w:val="none"/>
        </w:rPr>
        <w:t>2.1.1 第一章竞争性磋商采购公告</w:t>
      </w:r>
    </w:p>
    <w:p>
      <w:pPr>
        <w:autoSpaceDE w:val="0"/>
        <w:autoSpaceDN w:val="0"/>
        <w:ind w:firstLine="420" w:firstLineChars="200"/>
        <w:rPr>
          <w:rFonts w:cs="Calibri"/>
          <w:kern w:val="0"/>
          <w:szCs w:val="21"/>
          <w:highlight w:val="none"/>
        </w:rPr>
      </w:pPr>
      <w:r>
        <w:rPr>
          <w:rFonts w:cs="Calibri"/>
          <w:kern w:val="0"/>
          <w:szCs w:val="21"/>
          <w:highlight w:val="none"/>
        </w:rPr>
        <w:t>2.1.2 第二章采购项目总体要求</w:t>
      </w:r>
    </w:p>
    <w:p>
      <w:pPr>
        <w:autoSpaceDE w:val="0"/>
        <w:autoSpaceDN w:val="0"/>
        <w:ind w:firstLine="420" w:firstLineChars="200"/>
        <w:rPr>
          <w:rFonts w:cs="Calibri"/>
          <w:kern w:val="0"/>
          <w:szCs w:val="21"/>
          <w:highlight w:val="none"/>
        </w:rPr>
      </w:pPr>
      <w:r>
        <w:rPr>
          <w:rFonts w:cs="Calibri"/>
          <w:kern w:val="0"/>
          <w:szCs w:val="21"/>
          <w:highlight w:val="none"/>
        </w:rPr>
        <w:t>2.1.3 第三章采购需求</w:t>
      </w:r>
    </w:p>
    <w:p>
      <w:pPr>
        <w:autoSpaceDE w:val="0"/>
        <w:autoSpaceDN w:val="0"/>
        <w:ind w:firstLine="420" w:firstLineChars="200"/>
        <w:rPr>
          <w:rFonts w:cs="Calibri"/>
          <w:kern w:val="0"/>
          <w:szCs w:val="21"/>
          <w:highlight w:val="none"/>
        </w:rPr>
      </w:pPr>
      <w:r>
        <w:rPr>
          <w:rFonts w:cs="Calibri"/>
          <w:kern w:val="0"/>
          <w:szCs w:val="21"/>
          <w:highlight w:val="none"/>
        </w:rPr>
        <w:t>2.1.4 第四章合同草案条款</w:t>
      </w:r>
    </w:p>
    <w:p>
      <w:pPr>
        <w:autoSpaceDE w:val="0"/>
        <w:autoSpaceDN w:val="0"/>
        <w:ind w:firstLine="420" w:firstLineChars="200"/>
        <w:rPr>
          <w:rFonts w:cs="Calibri"/>
          <w:kern w:val="0"/>
          <w:szCs w:val="21"/>
          <w:highlight w:val="none"/>
        </w:rPr>
      </w:pPr>
      <w:r>
        <w:rPr>
          <w:rFonts w:cs="Calibri"/>
          <w:kern w:val="0"/>
          <w:szCs w:val="21"/>
          <w:highlight w:val="none"/>
        </w:rPr>
        <w:t>2.1.5 第五章磋商评审办法</w:t>
      </w:r>
    </w:p>
    <w:p>
      <w:pPr>
        <w:autoSpaceDE w:val="0"/>
        <w:autoSpaceDN w:val="0"/>
        <w:ind w:firstLine="420" w:firstLineChars="200"/>
        <w:rPr>
          <w:rFonts w:cs="Calibri"/>
          <w:kern w:val="0"/>
          <w:szCs w:val="21"/>
          <w:highlight w:val="none"/>
        </w:rPr>
      </w:pPr>
      <w:r>
        <w:rPr>
          <w:rFonts w:cs="Calibri"/>
          <w:kern w:val="0"/>
          <w:szCs w:val="21"/>
          <w:highlight w:val="none"/>
        </w:rPr>
        <w:t>2.1.6 第六章磋商须知</w:t>
      </w:r>
    </w:p>
    <w:p>
      <w:pPr>
        <w:autoSpaceDE w:val="0"/>
        <w:autoSpaceDN w:val="0"/>
        <w:ind w:firstLine="420" w:firstLineChars="200"/>
        <w:rPr>
          <w:rFonts w:cs="Calibri"/>
          <w:kern w:val="0"/>
          <w:szCs w:val="21"/>
          <w:highlight w:val="none"/>
        </w:rPr>
      </w:pPr>
      <w:r>
        <w:rPr>
          <w:rFonts w:cs="Calibri"/>
          <w:kern w:val="0"/>
          <w:szCs w:val="21"/>
          <w:highlight w:val="none"/>
        </w:rPr>
        <w:t>2.1.7 第七章磋商响应文件格式</w:t>
      </w:r>
    </w:p>
    <w:p>
      <w:pPr>
        <w:autoSpaceDE w:val="0"/>
        <w:autoSpaceDN w:val="0"/>
        <w:ind w:firstLine="420" w:firstLineChars="200"/>
        <w:rPr>
          <w:rFonts w:cs="Calibri"/>
          <w:kern w:val="0"/>
          <w:szCs w:val="21"/>
          <w:highlight w:val="none"/>
        </w:rPr>
      </w:pPr>
      <w:r>
        <w:rPr>
          <w:rFonts w:cs="Calibri"/>
          <w:kern w:val="0"/>
          <w:szCs w:val="21"/>
          <w:highlight w:val="none"/>
        </w:rPr>
        <w:t>2.1.8 采购文件补充文件（如有）</w:t>
      </w:r>
    </w:p>
    <w:p>
      <w:pPr>
        <w:pStyle w:val="8"/>
        <w:ind w:firstLine="422"/>
        <w:rPr>
          <w:rFonts w:cs="Calibri"/>
          <w:highlight w:val="none"/>
        </w:rPr>
      </w:pPr>
      <w:r>
        <w:rPr>
          <w:rFonts w:cs="Calibri"/>
          <w:highlight w:val="none"/>
        </w:rPr>
        <w:t>2.2 采购文件的质疑</w:t>
      </w:r>
    </w:p>
    <w:p>
      <w:pPr>
        <w:autoSpaceDE w:val="0"/>
        <w:autoSpaceDN w:val="0"/>
        <w:ind w:firstLine="420" w:firstLineChars="200"/>
        <w:rPr>
          <w:rFonts w:cs="Calibri"/>
          <w:kern w:val="0"/>
          <w:szCs w:val="21"/>
          <w:highlight w:val="none"/>
        </w:rPr>
      </w:pPr>
      <w:r>
        <w:rPr>
          <w:rFonts w:cs="Calibri"/>
          <w:kern w:val="0"/>
          <w:szCs w:val="21"/>
          <w:highlight w:val="none"/>
        </w:rPr>
        <w:t>2.2.1 供应商认为采购文件规定内容使自己的合法权益受到损害的，供应商可以提出书面质疑。</w:t>
      </w:r>
    </w:p>
    <w:p>
      <w:pPr>
        <w:autoSpaceDE w:val="0"/>
        <w:autoSpaceDN w:val="0"/>
        <w:ind w:firstLine="420" w:firstLineChars="200"/>
        <w:rPr>
          <w:rFonts w:cs="Calibri"/>
          <w:kern w:val="0"/>
          <w:szCs w:val="21"/>
          <w:highlight w:val="none"/>
        </w:rPr>
      </w:pPr>
      <w:r>
        <w:rPr>
          <w:rFonts w:cs="Calibri"/>
          <w:kern w:val="0"/>
          <w:szCs w:val="21"/>
          <w:highlight w:val="none"/>
        </w:rPr>
        <w:t>2.2.2 质疑书须包括以下内容：</w:t>
      </w:r>
    </w:p>
    <w:p>
      <w:pPr>
        <w:autoSpaceDE w:val="0"/>
        <w:autoSpaceDN w:val="0"/>
        <w:ind w:firstLine="420" w:firstLineChars="200"/>
        <w:rPr>
          <w:rFonts w:cs="Calibri"/>
          <w:kern w:val="0"/>
          <w:szCs w:val="21"/>
          <w:highlight w:val="none"/>
        </w:rPr>
      </w:pPr>
      <w:r>
        <w:rPr>
          <w:rFonts w:cs="Calibri"/>
          <w:kern w:val="0"/>
          <w:szCs w:val="21"/>
          <w:highlight w:val="none"/>
        </w:rPr>
        <w:t>（1）供应商的姓名或者名称、地址、邮编、联系人及联系电话；</w:t>
      </w:r>
    </w:p>
    <w:p>
      <w:pPr>
        <w:autoSpaceDE w:val="0"/>
        <w:autoSpaceDN w:val="0"/>
        <w:ind w:firstLine="420" w:firstLineChars="200"/>
        <w:rPr>
          <w:rFonts w:cs="Calibri"/>
          <w:kern w:val="0"/>
          <w:szCs w:val="21"/>
          <w:highlight w:val="none"/>
        </w:rPr>
      </w:pPr>
      <w:r>
        <w:rPr>
          <w:rFonts w:cs="Calibri"/>
          <w:kern w:val="0"/>
          <w:szCs w:val="21"/>
          <w:highlight w:val="none"/>
        </w:rPr>
        <w:t>（2）质疑项目的名称、编号；</w:t>
      </w:r>
    </w:p>
    <w:p>
      <w:pPr>
        <w:autoSpaceDE w:val="0"/>
        <w:autoSpaceDN w:val="0"/>
        <w:ind w:firstLine="420" w:firstLineChars="200"/>
        <w:rPr>
          <w:rFonts w:cs="Calibri"/>
          <w:kern w:val="0"/>
          <w:szCs w:val="21"/>
          <w:highlight w:val="none"/>
        </w:rPr>
      </w:pPr>
      <w:r>
        <w:rPr>
          <w:rFonts w:cs="Calibri"/>
          <w:kern w:val="0"/>
          <w:szCs w:val="21"/>
          <w:highlight w:val="none"/>
        </w:rPr>
        <w:t>（3）具体、明确的质疑事项和与质疑事项相关的请求；</w:t>
      </w:r>
    </w:p>
    <w:p>
      <w:pPr>
        <w:autoSpaceDE w:val="0"/>
        <w:autoSpaceDN w:val="0"/>
        <w:ind w:firstLine="420" w:firstLineChars="200"/>
        <w:rPr>
          <w:rFonts w:cs="Calibri"/>
          <w:kern w:val="0"/>
          <w:szCs w:val="21"/>
          <w:highlight w:val="none"/>
        </w:rPr>
      </w:pPr>
      <w:r>
        <w:rPr>
          <w:rFonts w:cs="Calibri"/>
          <w:kern w:val="0"/>
          <w:szCs w:val="21"/>
          <w:highlight w:val="none"/>
        </w:rPr>
        <w:t>（4）事实依据；</w:t>
      </w:r>
    </w:p>
    <w:p>
      <w:pPr>
        <w:autoSpaceDE w:val="0"/>
        <w:autoSpaceDN w:val="0"/>
        <w:ind w:firstLine="420" w:firstLineChars="200"/>
        <w:rPr>
          <w:rFonts w:cs="Calibri"/>
          <w:kern w:val="0"/>
          <w:szCs w:val="21"/>
          <w:highlight w:val="none"/>
        </w:rPr>
      </w:pPr>
      <w:r>
        <w:rPr>
          <w:rFonts w:cs="Calibri"/>
          <w:kern w:val="0"/>
          <w:szCs w:val="21"/>
          <w:highlight w:val="none"/>
        </w:rPr>
        <w:t>（5）必要的法律依据；</w:t>
      </w:r>
    </w:p>
    <w:p>
      <w:pPr>
        <w:autoSpaceDE w:val="0"/>
        <w:autoSpaceDN w:val="0"/>
        <w:ind w:firstLine="420" w:firstLineChars="200"/>
        <w:rPr>
          <w:rFonts w:cs="Calibri"/>
          <w:kern w:val="0"/>
          <w:szCs w:val="21"/>
          <w:highlight w:val="none"/>
        </w:rPr>
      </w:pPr>
      <w:r>
        <w:rPr>
          <w:rFonts w:cs="Calibri"/>
          <w:kern w:val="0"/>
          <w:szCs w:val="21"/>
          <w:highlight w:val="none"/>
        </w:rPr>
        <w:t>（6）提出质疑的日期。</w:t>
      </w:r>
    </w:p>
    <w:p>
      <w:pPr>
        <w:autoSpaceDE w:val="0"/>
        <w:autoSpaceDN w:val="0"/>
        <w:ind w:firstLine="420" w:firstLineChars="200"/>
        <w:rPr>
          <w:rFonts w:cs="Calibri"/>
          <w:kern w:val="0"/>
          <w:szCs w:val="21"/>
          <w:highlight w:val="none"/>
        </w:rPr>
      </w:pPr>
      <w:r>
        <w:rPr>
          <w:rFonts w:cs="Calibri"/>
          <w:kern w:val="0"/>
          <w:szCs w:val="21"/>
          <w:highlight w:val="none"/>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pPr>
        <w:autoSpaceDE w:val="0"/>
        <w:autoSpaceDN w:val="0"/>
        <w:ind w:firstLine="420" w:firstLineChars="200"/>
        <w:rPr>
          <w:rFonts w:cs="Calibri"/>
          <w:kern w:val="0"/>
          <w:szCs w:val="21"/>
          <w:highlight w:val="none"/>
        </w:rPr>
      </w:pPr>
      <w:r>
        <w:rPr>
          <w:rFonts w:cs="Calibri"/>
          <w:kern w:val="0"/>
          <w:szCs w:val="21"/>
          <w:highlight w:val="none"/>
        </w:rPr>
        <w:t>2.2.4 质疑书中涉及的相关材料中有外文资料的，应当将与质疑相关的外文资料完整、客观、真实地翻译为中文，并注明翻译人员姓名、工作单位、联系方式等信息。</w:t>
      </w:r>
    </w:p>
    <w:p>
      <w:pPr>
        <w:autoSpaceDE w:val="0"/>
        <w:autoSpaceDN w:val="0"/>
        <w:ind w:firstLine="420" w:firstLineChars="200"/>
        <w:rPr>
          <w:rFonts w:cs="Calibri"/>
          <w:kern w:val="0"/>
          <w:szCs w:val="21"/>
          <w:highlight w:val="none"/>
        </w:rPr>
      </w:pPr>
      <w:r>
        <w:rPr>
          <w:rFonts w:cs="Calibri"/>
          <w:kern w:val="0"/>
          <w:szCs w:val="21"/>
          <w:highlight w:val="none"/>
        </w:rPr>
        <w:t>2.2.5 供应商为自然人的，应当由本人签字；供应商为法人或者其他组织的，应当由法定代表人、主要负责人，或者其授权代表签字或者盖章，并加盖公章。否则不予受理。</w:t>
      </w:r>
    </w:p>
    <w:p>
      <w:pPr>
        <w:autoSpaceDE w:val="0"/>
        <w:autoSpaceDN w:val="0"/>
        <w:ind w:firstLine="420" w:firstLineChars="200"/>
        <w:rPr>
          <w:rFonts w:cs="Calibri"/>
          <w:kern w:val="0"/>
          <w:szCs w:val="21"/>
          <w:highlight w:val="none"/>
        </w:rPr>
      </w:pPr>
      <w:r>
        <w:rPr>
          <w:rFonts w:cs="Calibri"/>
          <w:kern w:val="0"/>
          <w:szCs w:val="21"/>
          <w:highlight w:val="none"/>
        </w:rPr>
        <w:t xml:space="preserve">2.2.6 </w:t>
      </w:r>
      <w:r>
        <w:rPr>
          <w:rFonts w:cs="Calibri"/>
          <w:highlight w:val="none"/>
        </w:rPr>
        <w:t>质疑书以直接送达或邮寄送达方式（份数为一式三份）或传真送达方式或以扫描件在线提交方式</w:t>
      </w:r>
      <w:r>
        <w:rPr>
          <w:rFonts w:cs="Calibri"/>
          <w:kern w:val="0"/>
          <w:szCs w:val="21"/>
          <w:highlight w:val="none"/>
        </w:rPr>
        <w:t>。</w:t>
      </w:r>
    </w:p>
    <w:p>
      <w:pPr>
        <w:autoSpaceDE w:val="0"/>
        <w:autoSpaceDN w:val="0"/>
        <w:ind w:firstLine="420" w:firstLineChars="200"/>
        <w:rPr>
          <w:rFonts w:cs="Calibri"/>
          <w:kern w:val="0"/>
          <w:szCs w:val="21"/>
          <w:highlight w:val="none"/>
        </w:rPr>
      </w:pPr>
      <w:r>
        <w:rPr>
          <w:rFonts w:cs="Calibri"/>
          <w:kern w:val="0"/>
          <w:szCs w:val="21"/>
          <w:highlight w:val="none"/>
        </w:rPr>
        <w:t>2.2.7 质疑书以传真形式提交后，同时须向采购代理机构提交质疑书原件，采购代理机构以收到原件之日作为收到质疑日。</w:t>
      </w:r>
    </w:p>
    <w:p>
      <w:pPr>
        <w:adjustRightInd w:val="0"/>
        <w:ind w:firstLine="420" w:firstLineChars="200"/>
        <w:rPr>
          <w:rFonts w:cs="Calibri"/>
          <w:szCs w:val="21"/>
          <w:highlight w:val="none"/>
        </w:rPr>
      </w:pPr>
      <w:r>
        <w:rPr>
          <w:rFonts w:cs="Calibri"/>
          <w:highlight w:val="none"/>
        </w:rPr>
        <w:t>2.2.8</w:t>
      </w:r>
      <w:r>
        <w:rPr>
          <w:rFonts w:cs="Calibri"/>
          <w:szCs w:val="21"/>
          <w:highlight w:val="none"/>
        </w:rPr>
        <w:t>如联合体响应，质疑应由组成联合体的所有供应商共同提出。</w:t>
      </w:r>
    </w:p>
    <w:p>
      <w:pPr>
        <w:pStyle w:val="8"/>
        <w:ind w:firstLine="422"/>
        <w:rPr>
          <w:rFonts w:cs="Calibri"/>
          <w:highlight w:val="none"/>
        </w:rPr>
      </w:pPr>
      <w:bookmarkStart w:id="67" w:name="_Toc82338241"/>
      <w:bookmarkStart w:id="68" w:name="_Toc227380482"/>
      <w:bookmarkStart w:id="69" w:name="_Toc82873324"/>
      <w:r>
        <w:rPr>
          <w:rFonts w:cs="Calibri"/>
          <w:highlight w:val="none"/>
        </w:rPr>
        <w:t>2.3 采购文件的澄清</w:t>
      </w:r>
    </w:p>
    <w:p>
      <w:pPr>
        <w:autoSpaceDE w:val="0"/>
        <w:autoSpaceDN w:val="0"/>
        <w:ind w:firstLine="420" w:firstLineChars="200"/>
        <w:rPr>
          <w:rFonts w:cs="Calibri"/>
          <w:kern w:val="0"/>
          <w:szCs w:val="21"/>
          <w:highlight w:val="none"/>
        </w:rPr>
      </w:pPr>
      <w:r>
        <w:rPr>
          <w:rFonts w:cs="Calibri"/>
          <w:kern w:val="0"/>
          <w:szCs w:val="21"/>
          <w:highlight w:val="none"/>
        </w:rPr>
        <w:t>2.3.1 供应商对采购文件如有疑问要求澄清，供应商需将书面资料（加盖单位公章）传真或电子邮件或送达至采购代理机构，同时将电子文件发至磋商须知前附表注明的邮箱（电子邮件与书面文件有不一致的，以书面文件为准），并与采购代理机构进行确认。</w:t>
      </w:r>
    </w:p>
    <w:p>
      <w:pPr>
        <w:autoSpaceDE w:val="0"/>
        <w:autoSpaceDN w:val="0"/>
        <w:ind w:firstLine="420" w:firstLineChars="200"/>
        <w:rPr>
          <w:rFonts w:cs="Calibri"/>
          <w:kern w:val="0"/>
          <w:szCs w:val="21"/>
          <w:highlight w:val="none"/>
        </w:rPr>
      </w:pPr>
      <w:r>
        <w:rPr>
          <w:rFonts w:cs="Calibri"/>
          <w:kern w:val="0"/>
          <w:szCs w:val="21"/>
          <w:highlight w:val="none"/>
        </w:rPr>
        <w:t>2.3.2 供应商要求澄清的资料应加盖单位公章、写明日期。</w:t>
      </w:r>
    </w:p>
    <w:p>
      <w:pPr>
        <w:autoSpaceDE w:val="0"/>
        <w:autoSpaceDN w:val="0"/>
        <w:ind w:firstLine="420" w:firstLineChars="200"/>
        <w:rPr>
          <w:rFonts w:cs="Calibri"/>
          <w:kern w:val="0"/>
          <w:szCs w:val="21"/>
          <w:highlight w:val="none"/>
        </w:rPr>
      </w:pPr>
      <w:r>
        <w:rPr>
          <w:rFonts w:cs="Calibri"/>
          <w:kern w:val="0"/>
          <w:szCs w:val="21"/>
          <w:highlight w:val="none"/>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pPr>
        <w:autoSpaceDE w:val="0"/>
        <w:autoSpaceDN w:val="0"/>
        <w:ind w:firstLine="420" w:firstLineChars="200"/>
        <w:rPr>
          <w:rFonts w:cs="Calibri"/>
          <w:kern w:val="0"/>
          <w:szCs w:val="21"/>
          <w:highlight w:val="none"/>
        </w:rPr>
      </w:pPr>
      <w:r>
        <w:rPr>
          <w:rFonts w:cs="Calibri"/>
          <w:kern w:val="0"/>
          <w:szCs w:val="21"/>
          <w:highlight w:val="none"/>
        </w:rPr>
        <w:t>2.3.4 澄清的内容影响磋商响应文件编制的，采购代理机构将顺延磋商响应文件提交截止时间，使之满足政府采购的相关规定。</w:t>
      </w:r>
    </w:p>
    <w:p>
      <w:pPr>
        <w:autoSpaceDE w:val="0"/>
        <w:autoSpaceDN w:val="0"/>
        <w:ind w:firstLine="420" w:firstLineChars="200"/>
        <w:rPr>
          <w:rFonts w:cs="Calibri"/>
          <w:kern w:val="0"/>
          <w:szCs w:val="21"/>
          <w:highlight w:val="none"/>
        </w:rPr>
      </w:pPr>
      <w:r>
        <w:rPr>
          <w:rFonts w:cs="Calibri"/>
          <w:kern w:val="0"/>
          <w:szCs w:val="21"/>
          <w:highlight w:val="none"/>
        </w:rPr>
        <w:t>2.3.5 供应商在收到补充文件后，应在24小时内以书面形式向采购代理机构确认已收到该补充文件。</w:t>
      </w:r>
    </w:p>
    <w:p>
      <w:pPr>
        <w:autoSpaceDE w:val="0"/>
        <w:autoSpaceDN w:val="0"/>
        <w:ind w:firstLine="420" w:firstLineChars="200"/>
        <w:rPr>
          <w:rFonts w:cs="Calibri"/>
          <w:kern w:val="0"/>
          <w:szCs w:val="21"/>
          <w:highlight w:val="none"/>
        </w:rPr>
      </w:pPr>
      <w:r>
        <w:rPr>
          <w:rFonts w:cs="Calibri"/>
          <w:kern w:val="0"/>
          <w:szCs w:val="21"/>
          <w:highlight w:val="none"/>
        </w:rPr>
        <w:t>2.3.6 供应商未对采购文件提出疑问的，采购代理机构将视其为无异议。</w:t>
      </w:r>
    </w:p>
    <w:p>
      <w:pPr>
        <w:autoSpaceDE w:val="0"/>
        <w:autoSpaceDN w:val="0"/>
        <w:ind w:firstLine="420" w:firstLineChars="200"/>
        <w:rPr>
          <w:rFonts w:cs="Calibri"/>
          <w:kern w:val="0"/>
          <w:szCs w:val="21"/>
          <w:highlight w:val="none"/>
        </w:rPr>
      </w:pPr>
      <w:r>
        <w:rPr>
          <w:rFonts w:cs="Calibri"/>
          <w:kern w:val="0"/>
          <w:szCs w:val="21"/>
          <w:highlight w:val="none"/>
        </w:rPr>
        <w:t>2.3.7 当采购文件与补充文件就同一内容的表述不一致时，以最后发出的书面文件为准。</w:t>
      </w:r>
    </w:p>
    <w:p>
      <w:pPr>
        <w:pStyle w:val="8"/>
        <w:ind w:firstLine="422"/>
        <w:rPr>
          <w:rFonts w:cs="Calibri"/>
          <w:highlight w:val="none"/>
        </w:rPr>
      </w:pPr>
      <w:r>
        <w:rPr>
          <w:rFonts w:cs="Calibri"/>
          <w:highlight w:val="none"/>
        </w:rPr>
        <w:t>2.4 采购文件的修改</w:t>
      </w:r>
    </w:p>
    <w:p>
      <w:pPr>
        <w:autoSpaceDE w:val="0"/>
        <w:autoSpaceDN w:val="0"/>
        <w:ind w:firstLine="420" w:firstLineChars="200"/>
        <w:rPr>
          <w:rFonts w:cs="Calibri"/>
          <w:kern w:val="0"/>
          <w:szCs w:val="21"/>
          <w:highlight w:val="none"/>
        </w:rPr>
      </w:pPr>
      <w:r>
        <w:rPr>
          <w:rFonts w:cs="Calibri"/>
          <w:kern w:val="0"/>
          <w:szCs w:val="21"/>
          <w:highlight w:val="none"/>
        </w:rPr>
        <w:t>2.4.1 在磋商响应文件提交截止时间前，由于各种原因采购人可能以补充文件的形式修改完善采购文件。</w:t>
      </w:r>
    </w:p>
    <w:p>
      <w:pPr>
        <w:autoSpaceDE w:val="0"/>
        <w:autoSpaceDN w:val="0"/>
        <w:ind w:firstLine="420" w:firstLineChars="200"/>
        <w:rPr>
          <w:rFonts w:cs="Calibri"/>
          <w:kern w:val="0"/>
          <w:szCs w:val="21"/>
          <w:highlight w:val="none"/>
        </w:rPr>
      </w:pPr>
      <w:r>
        <w:rPr>
          <w:rFonts w:cs="Calibri"/>
          <w:kern w:val="0"/>
          <w:szCs w:val="21"/>
          <w:highlight w:val="none"/>
        </w:rPr>
        <w:t>2.4.2 补充文件作为采购文件组成部分，补充文件将以网上公告等形式告知所有获取采购文件的供应商，补充文件对供应商均有约束力。</w:t>
      </w:r>
    </w:p>
    <w:p>
      <w:pPr>
        <w:autoSpaceDE w:val="0"/>
        <w:autoSpaceDN w:val="0"/>
        <w:ind w:firstLine="420" w:firstLineChars="200"/>
        <w:rPr>
          <w:rFonts w:cs="Calibri"/>
          <w:kern w:val="0"/>
          <w:szCs w:val="21"/>
          <w:highlight w:val="none"/>
        </w:rPr>
      </w:pPr>
      <w:r>
        <w:rPr>
          <w:rFonts w:cs="Calibri"/>
          <w:kern w:val="0"/>
          <w:szCs w:val="21"/>
          <w:highlight w:val="none"/>
        </w:rPr>
        <w:t>2.4.3 修改的内容影响磋商响应文件编制的，采购代理机构将顺延磋商响应文件提交截止时间，使之满足政府采购的相关规定。</w:t>
      </w:r>
    </w:p>
    <w:p>
      <w:pPr>
        <w:autoSpaceDE w:val="0"/>
        <w:autoSpaceDN w:val="0"/>
        <w:ind w:firstLine="420" w:firstLineChars="200"/>
        <w:rPr>
          <w:rFonts w:cs="Calibri"/>
          <w:kern w:val="0"/>
          <w:szCs w:val="21"/>
          <w:highlight w:val="none"/>
        </w:rPr>
      </w:pPr>
      <w:r>
        <w:rPr>
          <w:rFonts w:cs="Calibri"/>
          <w:kern w:val="0"/>
          <w:szCs w:val="21"/>
          <w:highlight w:val="none"/>
        </w:rPr>
        <w:t>2.4.4 供应商在收到补充文件后，应在24小时内以书面形式向采购代理机构确认已收到该补充文件。</w:t>
      </w:r>
    </w:p>
    <w:p>
      <w:pPr>
        <w:autoSpaceDE w:val="0"/>
        <w:autoSpaceDN w:val="0"/>
        <w:ind w:firstLine="420" w:firstLineChars="200"/>
        <w:rPr>
          <w:rFonts w:cs="Calibri"/>
          <w:kern w:val="0"/>
          <w:szCs w:val="21"/>
          <w:highlight w:val="none"/>
        </w:rPr>
      </w:pPr>
      <w:r>
        <w:rPr>
          <w:rFonts w:cs="Calibri"/>
          <w:kern w:val="0"/>
          <w:szCs w:val="21"/>
          <w:highlight w:val="none"/>
        </w:rPr>
        <w:t>2.4.5 供应商收到补充文件后，对补充文件如有疑问要求澄清，应在24小时内将书面资料（加盖单位公章）传真或电子邮件或送达至采购代理机构，同时将电子文件发至磋商须知前附表注明的邮箱（电子邮件与书面文件有不一致的，以书面文件为准），并与采购代理机构进行确认。</w:t>
      </w:r>
    </w:p>
    <w:p>
      <w:pPr>
        <w:autoSpaceDE w:val="0"/>
        <w:autoSpaceDN w:val="0"/>
        <w:ind w:firstLine="420" w:firstLineChars="200"/>
        <w:rPr>
          <w:rFonts w:cs="Calibri"/>
          <w:kern w:val="0"/>
          <w:szCs w:val="21"/>
          <w:highlight w:val="none"/>
        </w:rPr>
      </w:pPr>
      <w:r>
        <w:rPr>
          <w:rFonts w:cs="Calibri"/>
          <w:kern w:val="0"/>
          <w:szCs w:val="21"/>
          <w:highlight w:val="none"/>
        </w:rPr>
        <w:t>2.4.6 供应商要求澄清的资料应加盖单位公章、写明日期。</w:t>
      </w:r>
    </w:p>
    <w:p>
      <w:pPr>
        <w:autoSpaceDE w:val="0"/>
        <w:autoSpaceDN w:val="0"/>
        <w:ind w:firstLine="420" w:firstLineChars="200"/>
        <w:rPr>
          <w:rFonts w:cs="Calibri"/>
          <w:kern w:val="0"/>
          <w:szCs w:val="21"/>
          <w:highlight w:val="none"/>
        </w:rPr>
      </w:pPr>
      <w:r>
        <w:rPr>
          <w:rFonts w:cs="Calibri"/>
          <w:kern w:val="0"/>
          <w:szCs w:val="21"/>
          <w:highlight w:val="none"/>
        </w:rPr>
        <w:t>2.4.7 对补充文件的澄清答复按2.3款规定。</w:t>
      </w:r>
    </w:p>
    <w:p>
      <w:pPr>
        <w:autoSpaceDE w:val="0"/>
        <w:autoSpaceDN w:val="0"/>
        <w:ind w:firstLine="420" w:firstLineChars="200"/>
        <w:rPr>
          <w:rFonts w:cs="Calibri"/>
          <w:kern w:val="0"/>
          <w:szCs w:val="21"/>
          <w:highlight w:val="none"/>
        </w:rPr>
      </w:pPr>
      <w:r>
        <w:rPr>
          <w:rFonts w:cs="Calibri"/>
          <w:kern w:val="0"/>
          <w:szCs w:val="21"/>
          <w:highlight w:val="none"/>
        </w:rPr>
        <w:t>2.4.8 当采购文件与补充文件就同一内容的表述不一致时，以最后发出的书面文件为准。</w:t>
      </w:r>
    </w:p>
    <w:p>
      <w:pPr>
        <w:autoSpaceDE w:val="0"/>
        <w:autoSpaceDN w:val="0"/>
        <w:ind w:firstLine="420" w:firstLineChars="200"/>
        <w:rPr>
          <w:rFonts w:cs="Calibri"/>
          <w:kern w:val="0"/>
          <w:szCs w:val="21"/>
          <w:highlight w:val="none"/>
        </w:rPr>
      </w:pPr>
      <w:r>
        <w:rPr>
          <w:rFonts w:cs="Calibri"/>
          <w:kern w:val="0"/>
          <w:szCs w:val="21"/>
          <w:highlight w:val="none"/>
        </w:rPr>
        <w:t>2.4.9 任何口头答复均不属于采购文件的组成部分。</w:t>
      </w:r>
    </w:p>
    <w:p>
      <w:pPr>
        <w:pStyle w:val="8"/>
        <w:ind w:firstLine="422"/>
        <w:rPr>
          <w:rFonts w:cs="Calibri"/>
          <w:highlight w:val="none"/>
        </w:rPr>
      </w:pPr>
      <w:r>
        <w:rPr>
          <w:rFonts w:cs="Calibri"/>
          <w:highlight w:val="none"/>
        </w:rPr>
        <w:t>三、</w:t>
      </w:r>
      <w:bookmarkEnd w:id="67"/>
      <w:bookmarkEnd w:id="68"/>
      <w:bookmarkEnd w:id="69"/>
      <w:r>
        <w:rPr>
          <w:rFonts w:cs="Calibri"/>
          <w:highlight w:val="none"/>
        </w:rPr>
        <w:t>磋商响应</w:t>
      </w:r>
    </w:p>
    <w:p>
      <w:pPr>
        <w:pStyle w:val="8"/>
        <w:ind w:firstLine="422"/>
        <w:rPr>
          <w:rFonts w:cs="Calibri"/>
          <w:highlight w:val="none"/>
        </w:rPr>
      </w:pPr>
      <w:r>
        <w:rPr>
          <w:rFonts w:cs="Calibri"/>
          <w:highlight w:val="none"/>
        </w:rPr>
        <w:t>3.1 磋商响应文件</w:t>
      </w:r>
    </w:p>
    <w:p>
      <w:pPr>
        <w:adjustRightInd w:val="0"/>
        <w:ind w:firstLine="420" w:firstLineChars="200"/>
        <w:rPr>
          <w:rFonts w:cs="Calibri"/>
          <w:szCs w:val="21"/>
          <w:highlight w:val="none"/>
        </w:rPr>
      </w:pPr>
      <w:r>
        <w:rPr>
          <w:rFonts w:cs="Calibri"/>
          <w:szCs w:val="21"/>
          <w:highlight w:val="none"/>
        </w:rPr>
        <w:t>3.1.1 供应商应仔细阅读采购文件规定的所有内容，以保证能全面准确理解采购文件，并按照采购文件要求，详细编制磋商响应文件，磋商响应文件内容必须针对本次采购项目进行响应。</w:t>
      </w:r>
    </w:p>
    <w:p>
      <w:pPr>
        <w:adjustRightInd w:val="0"/>
        <w:ind w:firstLine="420" w:firstLineChars="200"/>
        <w:rPr>
          <w:rFonts w:cs="Calibri"/>
          <w:szCs w:val="21"/>
          <w:highlight w:val="none"/>
        </w:rPr>
      </w:pPr>
      <w:r>
        <w:rPr>
          <w:rFonts w:cs="Calibri"/>
          <w:szCs w:val="21"/>
          <w:highlight w:val="none"/>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pPr>
        <w:pStyle w:val="8"/>
        <w:ind w:firstLine="422"/>
        <w:rPr>
          <w:rFonts w:cs="Calibri"/>
          <w:highlight w:val="none"/>
        </w:rPr>
      </w:pPr>
      <w:r>
        <w:rPr>
          <w:rFonts w:cs="Calibri"/>
          <w:highlight w:val="none"/>
        </w:rPr>
        <w:t>3.2 磋商响应文件构成</w:t>
      </w:r>
    </w:p>
    <w:p>
      <w:pPr>
        <w:pStyle w:val="8"/>
        <w:ind w:firstLine="422"/>
        <w:rPr>
          <w:rFonts w:cs="Calibri"/>
          <w:highlight w:val="none"/>
        </w:rPr>
      </w:pPr>
      <w:r>
        <w:rPr>
          <w:rFonts w:cs="Calibri"/>
          <w:highlight w:val="none"/>
        </w:rPr>
        <w:t>3.2.1 资格文件</w:t>
      </w:r>
    </w:p>
    <w:p>
      <w:pPr>
        <w:adjustRightInd w:val="0"/>
        <w:ind w:firstLine="420" w:firstLineChars="200"/>
        <w:rPr>
          <w:rFonts w:ascii="宋体" w:hAnsi="宋体" w:cs="宋体"/>
          <w:bCs/>
          <w:szCs w:val="21"/>
          <w:highlight w:val="none"/>
        </w:rPr>
      </w:pPr>
      <w:r>
        <w:rPr>
          <w:rFonts w:hint="eastAsia" w:ascii="宋体" w:hAnsi="宋体" w:cs="宋体"/>
          <w:bCs/>
          <w:szCs w:val="21"/>
          <w:highlight w:val="none"/>
        </w:rPr>
        <w:t>（1）法人营业执照副本、组织机构代码证及税务登记证或“三证合一”证书或“五证合一”证书及资质证书（如有）；</w:t>
      </w:r>
    </w:p>
    <w:p>
      <w:pPr>
        <w:adjustRightInd w:val="0"/>
        <w:ind w:firstLine="420" w:firstLineChars="200"/>
        <w:rPr>
          <w:rFonts w:hint="eastAsia" w:ascii="宋体" w:hAnsi="宋体" w:eastAsia="宋体" w:cs="宋体"/>
          <w:bCs/>
          <w:szCs w:val="21"/>
          <w:highlight w:val="none"/>
        </w:rPr>
      </w:pPr>
      <w:r>
        <w:rPr>
          <w:rFonts w:hint="eastAsia" w:ascii="宋体" w:hAnsi="宋体" w:cs="宋体"/>
          <w:bCs/>
          <w:szCs w:val="21"/>
          <w:highlight w:val="none"/>
          <w:lang w:val="zh-CN"/>
        </w:rPr>
        <w:t>（</w:t>
      </w:r>
      <w:r>
        <w:rPr>
          <w:rFonts w:hint="eastAsia" w:ascii="宋体" w:hAnsi="宋体" w:cs="宋体"/>
          <w:bCs/>
          <w:szCs w:val="21"/>
          <w:highlight w:val="none"/>
        </w:rPr>
        <w:t>2</w:t>
      </w:r>
      <w:r>
        <w:rPr>
          <w:rFonts w:hint="eastAsia" w:ascii="宋体" w:hAnsi="宋体" w:cs="宋体"/>
          <w:bCs/>
          <w:szCs w:val="21"/>
          <w:highlight w:val="none"/>
          <w:lang w:val="zh-CN"/>
        </w:rPr>
        <w:t>）法定代表人有效身份证明书及身份证明材料、法</w:t>
      </w:r>
      <w:r>
        <w:rPr>
          <w:rFonts w:hint="eastAsia" w:ascii="宋体" w:hAnsi="宋体" w:cs="宋体"/>
          <w:bCs/>
          <w:szCs w:val="21"/>
          <w:highlight w:val="none"/>
        </w:rPr>
        <w:t>定代表人授权委托书（法定代表人参与不需提</w:t>
      </w:r>
      <w:r>
        <w:rPr>
          <w:rFonts w:hint="eastAsia" w:ascii="宋体" w:hAnsi="宋体" w:eastAsia="宋体" w:cs="宋体"/>
          <w:bCs/>
          <w:szCs w:val="21"/>
          <w:highlight w:val="none"/>
        </w:rPr>
        <w:t>供此书）及授权代理人有效身份证明（法定代表人参与不需提供此书）；</w:t>
      </w:r>
    </w:p>
    <w:p>
      <w:pPr>
        <w:adjustRightInd w:val="0"/>
        <w:ind w:firstLine="420" w:firstLineChars="200"/>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w:t>
      </w:r>
      <w:r>
        <w:rPr>
          <w:rFonts w:hint="eastAsia" w:ascii="宋体" w:hAnsi="宋体" w:eastAsia="宋体" w:cs="宋体"/>
          <w:bCs/>
          <w:szCs w:val="21"/>
          <w:highlight w:val="none"/>
        </w:rPr>
        <w:t>3</w:t>
      </w:r>
      <w:r>
        <w:rPr>
          <w:rFonts w:hint="eastAsia" w:ascii="宋体" w:hAnsi="宋体" w:eastAsia="宋体" w:cs="宋体"/>
          <w:bCs/>
          <w:szCs w:val="21"/>
          <w:highlight w:val="none"/>
          <w:lang w:val="zh-CN"/>
        </w:rPr>
        <w:t>）</w:t>
      </w:r>
      <w:r>
        <w:rPr>
          <w:rFonts w:hint="eastAsia" w:ascii="宋体" w:hAnsi="宋体" w:eastAsia="宋体" w:cs="宋体"/>
          <w:bCs/>
          <w:sz w:val="21"/>
          <w:szCs w:val="21"/>
          <w:highlight w:val="none"/>
        </w:rPr>
        <w:t>符合参加政府采购活动应当具备的一般条件的承诺函</w:t>
      </w:r>
      <w:r>
        <w:rPr>
          <w:rFonts w:hint="eastAsia" w:ascii="宋体" w:hAnsi="宋体" w:eastAsia="宋体" w:cs="宋体"/>
          <w:bCs/>
          <w:szCs w:val="21"/>
          <w:highlight w:val="none"/>
          <w:lang w:val="zh-CN"/>
        </w:rPr>
        <w:t>（格式见附件）；</w:t>
      </w:r>
    </w:p>
    <w:p>
      <w:pPr>
        <w:adjustRightInd w:val="0"/>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lang w:val="zh-CN"/>
        </w:rPr>
        <w:t>（</w:t>
      </w:r>
      <w:r>
        <w:rPr>
          <w:rFonts w:hint="eastAsia" w:ascii="宋体" w:hAnsi="宋体" w:eastAsia="宋体" w:cs="宋体"/>
          <w:bCs/>
          <w:szCs w:val="21"/>
          <w:highlight w:val="none"/>
        </w:rPr>
        <w:t>4</w:t>
      </w:r>
      <w:r>
        <w:rPr>
          <w:rFonts w:hint="eastAsia" w:ascii="宋体" w:hAnsi="宋体" w:eastAsia="宋体" w:cs="宋体"/>
          <w:bCs/>
          <w:szCs w:val="21"/>
          <w:highlight w:val="none"/>
          <w:lang w:val="zh-CN"/>
        </w:rPr>
        <w:t>）</w:t>
      </w:r>
      <w:r>
        <w:rPr>
          <w:rFonts w:hint="eastAsia" w:ascii="宋体" w:hAnsi="宋体" w:eastAsia="宋体" w:cs="宋体"/>
          <w:bCs/>
          <w:sz w:val="21"/>
          <w:szCs w:val="21"/>
          <w:highlight w:val="none"/>
        </w:rPr>
        <w:t>落实政府采购政策需满足的资格要求</w:t>
      </w:r>
      <w:r>
        <w:rPr>
          <w:rFonts w:hint="eastAsia" w:ascii="宋体" w:hAnsi="宋体" w:eastAsia="宋体" w:cs="宋体"/>
          <w:bCs/>
          <w:szCs w:val="21"/>
          <w:highlight w:val="none"/>
        </w:rPr>
        <w:t>；</w:t>
      </w:r>
    </w:p>
    <w:p>
      <w:pPr>
        <w:ind w:firstLineChars="200"/>
        <w:rPr>
          <w:rFonts w:hint="eastAsia" w:ascii="宋体" w:hAnsi="宋体" w:eastAsia="宋体" w:cs="宋体"/>
          <w:bCs/>
          <w:szCs w:val="21"/>
          <w:highlight w:val="none"/>
          <w:lang w:val="zh-CN"/>
        </w:rPr>
      </w:pPr>
      <w:r>
        <w:rPr>
          <w:rFonts w:hint="eastAsia" w:ascii="宋体" w:hAnsi="宋体" w:eastAsia="宋体" w:cs="宋体"/>
          <w:bCs/>
          <w:szCs w:val="21"/>
          <w:highlight w:val="none"/>
        </w:rPr>
        <w:t>（5）</w:t>
      </w:r>
      <w:r>
        <w:rPr>
          <w:rFonts w:hint="eastAsia" w:ascii="宋体" w:hAnsi="宋体" w:eastAsia="宋体" w:cs="宋体"/>
          <w:bCs/>
          <w:sz w:val="21"/>
          <w:szCs w:val="21"/>
          <w:highlight w:val="none"/>
        </w:rPr>
        <w:t>本项目的特定资格要求</w:t>
      </w:r>
      <w:r>
        <w:rPr>
          <w:rFonts w:hint="eastAsia" w:ascii="宋体" w:hAnsi="宋体" w:eastAsia="宋体" w:cs="宋体"/>
          <w:bCs/>
          <w:sz w:val="21"/>
          <w:szCs w:val="21"/>
          <w:highlight w:val="none"/>
          <w:lang w:eastAsia="zh-CN"/>
        </w:rPr>
        <w:t>；</w:t>
      </w:r>
    </w:p>
    <w:p>
      <w:pPr>
        <w:adjustRightInd w:val="0"/>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w:t>
      </w: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rPr>
        <w:t>）</w:t>
      </w:r>
      <w:r>
        <w:rPr>
          <w:rFonts w:hint="eastAsia" w:ascii="宋体" w:hAnsi="宋体" w:eastAsia="宋体" w:cs="宋体"/>
          <w:bCs/>
          <w:szCs w:val="21"/>
          <w:highlight w:val="none"/>
          <w:lang w:val="zh-CN"/>
        </w:rPr>
        <w:t>投标供应商针对资格需要说明的其他文件和说明。</w:t>
      </w:r>
    </w:p>
    <w:p>
      <w:pPr>
        <w:pStyle w:val="8"/>
        <w:ind w:firstLine="422"/>
        <w:rPr>
          <w:rFonts w:cs="Calibri"/>
          <w:highlight w:val="none"/>
        </w:rPr>
      </w:pPr>
      <w:r>
        <w:rPr>
          <w:rFonts w:cs="Calibri"/>
          <w:highlight w:val="none"/>
        </w:rPr>
        <w:t>3.2.2 商务、技术文件</w:t>
      </w:r>
    </w:p>
    <w:p>
      <w:pPr>
        <w:adjustRightInd w:val="0"/>
        <w:ind w:firstLine="420" w:firstLineChars="200"/>
        <w:rPr>
          <w:rFonts w:ascii="宋体" w:hAnsi="宋体" w:cs="宋体"/>
          <w:bCs/>
          <w:szCs w:val="21"/>
          <w:highlight w:val="none"/>
        </w:rPr>
      </w:pPr>
      <w:r>
        <w:rPr>
          <w:rFonts w:hint="eastAsia" w:ascii="宋体" w:hAnsi="宋体" w:cs="宋体"/>
          <w:bCs/>
          <w:szCs w:val="21"/>
          <w:highlight w:val="none"/>
        </w:rPr>
        <w:t>（1）评分索引表；</w:t>
      </w:r>
    </w:p>
    <w:p>
      <w:pPr>
        <w:adjustRightInd w:val="0"/>
        <w:ind w:firstLine="420" w:firstLineChars="200"/>
        <w:rPr>
          <w:rFonts w:ascii="宋体" w:hAnsi="宋体" w:cs="宋体"/>
          <w:bCs/>
          <w:szCs w:val="21"/>
          <w:highlight w:val="none"/>
        </w:rPr>
      </w:pPr>
      <w:r>
        <w:rPr>
          <w:rFonts w:hint="eastAsia" w:ascii="宋体" w:hAnsi="宋体" w:cs="宋体"/>
          <w:bCs/>
          <w:szCs w:val="21"/>
          <w:highlight w:val="none"/>
        </w:rPr>
        <w:t>（2）根据评分内容自行编制；</w:t>
      </w:r>
    </w:p>
    <w:p>
      <w:pPr>
        <w:adjustRightInd w:val="0"/>
        <w:ind w:firstLine="420" w:firstLineChars="200"/>
        <w:rPr>
          <w:rFonts w:ascii="宋体" w:hAnsi="宋体" w:cs="宋体"/>
          <w:bCs/>
          <w:szCs w:val="21"/>
          <w:highlight w:val="none"/>
        </w:rPr>
      </w:pPr>
      <w:r>
        <w:rPr>
          <w:rFonts w:hint="eastAsia" w:ascii="宋体" w:hAnsi="宋体" w:cs="宋体"/>
          <w:bCs/>
          <w:szCs w:val="21"/>
          <w:highlight w:val="none"/>
        </w:rPr>
        <w:t>（3）廉政承诺书；</w:t>
      </w:r>
    </w:p>
    <w:p>
      <w:pPr>
        <w:adjustRightInd w:val="0"/>
        <w:ind w:firstLine="420" w:firstLineChars="200"/>
        <w:rPr>
          <w:rFonts w:ascii="宋体" w:hAnsi="宋体" w:cs="宋体"/>
          <w:bCs/>
          <w:szCs w:val="21"/>
          <w:highlight w:val="none"/>
        </w:rPr>
      </w:pPr>
      <w:r>
        <w:rPr>
          <w:rFonts w:hint="eastAsia" w:ascii="宋体" w:hAnsi="宋体" w:cs="宋体"/>
          <w:bCs/>
          <w:szCs w:val="21"/>
          <w:highlight w:val="none"/>
        </w:rPr>
        <w:t>（4）供应商认为需要提供的其他资料。</w:t>
      </w:r>
    </w:p>
    <w:p>
      <w:pPr>
        <w:pStyle w:val="8"/>
        <w:ind w:firstLine="422"/>
        <w:rPr>
          <w:rFonts w:cs="Calibri"/>
          <w:highlight w:val="none"/>
        </w:rPr>
      </w:pPr>
      <w:r>
        <w:rPr>
          <w:rFonts w:cs="Calibri"/>
          <w:highlight w:val="none"/>
        </w:rPr>
        <w:t>3.2.3 报价文件</w:t>
      </w:r>
    </w:p>
    <w:p>
      <w:pPr>
        <w:adjustRightInd w:val="0"/>
        <w:ind w:firstLine="420" w:firstLineChars="200"/>
        <w:rPr>
          <w:rFonts w:ascii="宋体" w:hAnsi="宋体" w:cs="宋体"/>
          <w:bCs/>
          <w:szCs w:val="21"/>
          <w:highlight w:val="none"/>
        </w:rPr>
      </w:pPr>
      <w:r>
        <w:rPr>
          <w:rFonts w:hint="eastAsia" w:ascii="宋体" w:hAnsi="宋体" w:cs="宋体"/>
          <w:bCs/>
          <w:szCs w:val="21"/>
          <w:highlight w:val="none"/>
        </w:rPr>
        <w:t>（1）磋商响应函；</w:t>
      </w:r>
    </w:p>
    <w:p>
      <w:pPr>
        <w:adjustRightInd w:val="0"/>
        <w:ind w:firstLine="420" w:firstLineChars="200"/>
        <w:rPr>
          <w:rFonts w:ascii="宋体" w:hAnsi="宋体" w:cs="宋体"/>
          <w:bCs/>
          <w:szCs w:val="21"/>
          <w:highlight w:val="none"/>
        </w:rPr>
      </w:pPr>
      <w:r>
        <w:rPr>
          <w:rFonts w:hint="eastAsia" w:ascii="宋体" w:hAnsi="宋体" w:cs="宋体"/>
          <w:bCs/>
          <w:szCs w:val="21"/>
          <w:highlight w:val="none"/>
        </w:rPr>
        <w:t>（2）初次报价一览表；</w:t>
      </w:r>
    </w:p>
    <w:p>
      <w:pPr>
        <w:adjustRightInd w:val="0"/>
        <w:ind w:firstLine="420" w:firstLineChars="200"/>
        <w:rPr>
          <w:rFonts w:ascii="宋体" w:hAnsi="宋体" w:cs="宋体"/>
          <w:bCs/>
          <w:szCs w:val="21"/>
          <w:highlight w:val="none"/>
        </w:rPr>
      </w:pPr>
      <w:r>
        <w:rPr>
          <w:rFonts w:hint="eastAsia" w:ascii="宋体" w:hAnsi="宋体" w:cs="宋体"/>
          <w:bCs/>
          <w:szCs w:val="21"/>
          <w:highlight w:val="none"/>
        </w:rPr>
        <w:t>（3）初次报价明细组成表；</w:t>
      </w:r>
    </w:p>
    <w:p>
      <w:pPr>
        <w:adjustRightInd w:val="0"/>
        <w:ind w:firstLine="420" w:firstLineChars="200"/>
        <w:rPr>
          <w:rFonts w:ascii="宋体" w:hAnsi="宋体" w:cs="宋体"/>
          <w:bCs/>
          <w:szCs w:val="21"/>
          <w:highlight w:val="none"/>
        </w:rPr>
      </w:pPr>
      <w:r>
        <w:rPr>
          <w:rFonts w:hint="eastAsia" w:ascii="宋体" w:hAnsi="宋体" w:cs="宋体"/>
          <w:bCs/>
          <w:szCs w:val="21"/>
          <w:highlight w:val="none"/>
        </w:rPr>
        <w:t>（</w:t>
      </w:r>
      <w:r>
        <w:rPr>
          <w:rFonts w:hint="eastAsia" w:ascii="宋体" w:hAnsi="宋体" w:cs="宋体"/>
          <w:bCs/>
          <w:szCs w:val="21"/>
          <w:highlight w:val="none"/>
          <w:lang w:val="en-US" w:eastAsia="zh-CN"/>
        </w:rPr>
        <w:t>4</w:t>
      </w:r>
      <w:r>
        <w:rPr>
          <w:rFonts w:hint="eastAsia" w:ascii="宋体" w:hAnsi="宋体" w:cs="宋体"/>
          <w:bCs/>
          <w:szCs w:val="21"/>
          <w:highlight w:val="none"/>
        </w:rPr>
        <w:t>）交纳采购代理服务费承诺书；</w:t>
      </w:r>
    </w:p>
    <w:p>
      <w:pPr>
        <w:adjustRightInd w:val="0"/>
        <w:ind w:firstLine="420" w:firstLineChars="200"/>
        <w:rPr>
          <w:highlight w:val="none"/>
        </w:rPr>
      </w:pPr>
      <w:r>
        <w:rPr>
          <w:rFonts w:hint="eastAsia" w:ascii="宋体" w:hAnsi="宋体" w:cs="宋体"/>
          <w:bCs/>
          <w:szCs w:val="21"/>
          <w:highlight w:val="none"/>
        </w:rPr>
        <w:t>（</w:t>
      </w:r>
      <w:r>
        <w:rPr>
          <w:rFonts w:hint="eastAsia" w:ascii="宋体" w:hAnsi="宋体" w:cs="宋体"/>
          <w:bCs/>
          <w:szCs w:val="21"/>
          <w:highlight w:val="none"/>
          <w:lang w:val="en-US" w:eastAsia="zh-CN"/>
        </w:rPr>
        <w:t>5</w:t>
      </w:r>
      <w:r>
        <w:rPr>
          <w:rFonts w:hint="eastAsia" w:ascii="宋体" w:hAnsi="宋体" w:cs="宋体"/>
          <w:bCs/>
          <w:szCs w:val="21"/>
          <w:highlight w:val="none"/>
        </w:rPr>
        <w:t>）供应商认为需要提供的其他资料。</w:t>
      </w:r>
    </w:p>
    <w:p>
      <w:pPr>
        <w:pStyle w:val="8"/>
        <w:ind w:firstLine="422"/>
        <w:rPr>
          <w:rFonts w:cs="Calibri"/>
          <w:highlight w:val="none"/>
        </w:rPr>
      </w:pPr>
      <w:r>
        <w:rPr>
          <w:rFonts w:cs="Calibri"/>
          <w:highlight w:val="none"/>
        </w:rPr>
        <w:t>3.3 磋商响应文件的编制</w:t>
      </w:r>
    </w:p>
    <w:p>
      <w:pPr>
        <w:pStyle w:val="8"/>
        <w:ind w:firstLine="422"/>
        <w:rPr>
          <w:rFonts w:cs="Calibri"/>
          <w:highlight w:val="none"/>
        </w:rPr>
      </w:pPr>
      <w:r>
        <w:rPr>
          <w:rFonts w:cs="Calibri"/>
          <w:highlight w:val="none"/>
        </w:rPr>
        <w:t>3.3.1 内容编制</w:t>
      </w:r>
    </w:p>
    <w:p>
      <w:pPr>
        <w:adjustRightInd w:val="0"/>
        <w:ind w:firstLine="420" w:firstLineChars="200"/>
        <w:rPr>
          <w:rFonts w:cs="Calibri"/>
          <w:szCs w:val="21"/>
          <w:highlight w:val="none"/>
        </w:rPr>
      </w:pPr>
      <w:r>
        <w:rPr>
          <w:rFonts w:cs="Calibri"/>
          <w:szCs w:val="21"/>
          <w:highlight w:val="none"/>
        </w:rPr>
        <w:t>（1）磋商响应文件应按照本章3.2款中规定的顺序及采用“第七章磋商响应文件格式”中提供的格式进行编制，并按“政府采购云平台”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pPr>
        <w:adjustRightInd w:val="0"/>
        <w:ind w:firstLine="420" w:firstLineChars="200"/>
        <w:rPr>
          <w:rFonts w:cs="Calibri"/>
          <w:szCs w:val="21"/>
          <w:highlight w:val="none"/>
        </w:rPr>
      </w:pPr>
      <w:r>
        <w:rPr>
          <w:rFonts w:cs="Calibri"/>
          <w:szCs w:val="21"/>
          <w:highlight w:val="none"/>
        </w:rPr>
        <w:t>（2）关联定位规则：一个关联点关联一页或关联多页；多个关联点可以关联同一页。</w:t>
      </w:r>
    </w:p>
    <w:p>
      <w:pPr>
        <w:adjustRightInd w:val="0"/>
        <w:ind w:firstLine="420" w:firstLineChars="200"/>
        <w:rPr>
          <w:rFonts w:cs="Calibri"/>
          <w:szCs w:val="21"/>
          <w:highlight w:val="none"/>
        </w:rPr>
      </w:pPr>
      <w:r>
        <w:rPr>
          <w:rFonts w:cs="Calibri"/>
          <w:szCs w:val="21"/>
          <w:highlight w:val="none"/>
        </w:rPr>
        <w:t>（3）分别编制资格文件、报价文件、商务技术文件。</w:t>
      </w:r>
    </w:p>
    <w:p>
      <w:pPr>
        <w:adjustRightInd w:val="0"/>
        <w:ind w:firstLine="420" w:firstLineChars="200"/>
        <w:rPr>
          <w:rFonts w:cs="Calibri"/>
          <w:szCs w:val="21"/>
          <w:highlight w:val="none"/>
        </w:rPr>
      </w:pPr>
      <w:r>
        <w:rPr>
          <w:rFonts w:cs="Calibri"/>
          <w:szCs w:val="21"/>
          <w:highlight w:val="none"/>
        </w:rPr>
        <w:t>（4）磋商响应文件应当对采购文件规定的内容进行对应明确说明，对采购文件规定的实质性内容应当作出响应。</w:t>
      </w:r>
    </w:p>
    <w:p>
      <w:pPr>
        <w:adjustRightInd w:val="0"/>
        <w:ind w:firstLine="420" w:firstLineChars="200"/>
        <w:rPr>
          <w:rFonts w:cs="Calibri"/>
          <w:szCs w:val="21"/>
          <w:highlight w:val="none"/>
        </w:rPr>
      </w:pPr>
      <w:r>
        <w:rPr>
          <w:rFonts w:cs="Calibri"/>
          <w:szCs w:val="21"/>
          <w:highlight w:val="none"/>
        </w:rPr>
        <w:t>（5）采购人如对采购文件有澄清或修改，供应商应按澄清或修改内容对电子磋商响应文件进行补充或者修改，补充和修改时如已传输提交了磋商响应文件的，应当先行撤回原文件，补充、修改后重新传输提交。</w:t>
      </w:r>
    </w:p>
    <w:p>
      <w:pPr>
        <w:adjustRightInd w:val="0"/>
        <w:ind w:firstLine="420" w:firstLineChars="200"/>
        <w:rPr>
          <w:rFonts w:cs="Calibri"/>
          <w:szCs w:val="21"/>
          <w:highlight w:val="none"/>
        </w:rPr>
      </w:pPr>
      <w:r>
        <w:rPr>
          <w:rFonts w:cs="Calibri"/>
          <w:szCs w:val="21"/>
          <w:highlight w:val="none"/>
        </w:rPr>
        <w:t>（6）由于字迹模糊或表达不清引起的后果由供应商负责。</w:t>
      </w:r>
    </w:p>
    <w:p>
      <w:pPr>
        <w:adjustRightInd w:val="0"/>
        <w:ind w:firstLine="420" w:firstLineChars="200"/>
        <w:rPr>
          <w:rFonts w:cs="Calibri"/>
          <w:szCs w:val="21"/>
          <w:highlight w:val="none"/>
        </w:rPr>
      </w:pPr>
      <w:r>
        <w:rPr>
          <w:rFonts w:cs="Calibri"/>
          <w:szCs w:val="21"/>
          <w:highlight w:val="none"/>
        </w:rPr>
        <w:t>（7）编制磋商响应文件时建议选用“谷歌或火狐浏览器”。</w:t>
      </w:r>
    </w:p>
    <w:p>
      <w:pPr>
        <w:adjustRightInd w:val="0"/>
        <w:ind w:firstLine="420" w:firstLineChars="200"/>
        <w:rPr>
          <w:rFonts w:cs="Calibri"/>
          <w:szCs w:val="21"/>
          <w:highlight w:val="none"/>
        </w:rPr>
      </w:pPr>
      <w:r>
        <w:rPr>
          <w:rFonts w:cs="Calibri"/>
          <w:szCs w:val="21"/>
          <w:highlight w:val="none"/>
        </w:rPr>
        <w:t>（8）磋商响应文件可以线下完成盖章后传输提交政府采购云平台。</w:t>
      </w:r>
    </w:p>
    <w:p>
      <w:pPr>
        <w:adjustRightInd w:val="0"/>
        <w:ind w:firstLine="420" w:firstLineChars="200"/>
        <w:rPr>
          <w:rFonts w:cs="Calibri"/>
          <w:szCs w:val="21"/>
          <w:highlight w:val="none"/>
        </w:rPr>
      </w:pPr>
      <w:r>
        <w:rPr>
          <w:rFonts w:cs="Calibri"/>
          <w:szCs w:val="21"/>
          <w:highlight w:val="none"/>
        </w:rPr>
        <w:t>（9）生成的电子磋商响应文件的文件后缀名为【.jmbs】，备份电子磋商响应文件的文件后缀名为【.bfbs】。</w:t>
      </w:r>
    </w:p>
    <w:p>
      <w:pPr>
        <w:pStyle w:val="8"/>
        <w:ind w:firstLine="422"/>
        <w:rPr>
          <w:rFonts w:cs="Calibri"/>
          <w:highlight w:val="none"/>
        </w:rPr>
      </w:pPr>
      <w:r>
        <w:rPr>
          <w:rFonts w:cs="Calibri"/>
          <w:highlight w:val="none"/>
        </w:rPr>
        <w:t>3.3.2 格式要求</w:t>
      </w:r>
    </w:p>
    <w:p>
      <w:pPr>
        <w:adjustRightInd w:val="0"/>
        <w:ind w:firstLine="420" w:firstLineChars="200"/>
        <w:rPr>
          <w:rFonts w:cs="Calibri"/>
          <w:szCs w:val="21"/>
          <w:highlight w:val="none"/>
        </w:rPr>
      </w:pPr>
      <w:r>
        <w:rPr>
          <w:rFonts w:cs="Calibri"/>
          <w:szCs w:val="21"/>
          <w:highlight w:val="none"/>
        </w:rPr>
        <w:t>（1）磋商响应文件应编制目录。</w:t>
      </w:r>
    </w:p>
    <w:p>
      <w:pPr>
        <w:adjustRightInd w:val="0"/>
        <w:ind w:firstLine="420" w:firstLineChars="200"/>
        <w:rPr>
          <w:rFonts w:cs="Calibri"/>
          <w:szCs w:val="21"/>
          <w:highlight w:val="none"/>
        </w:rPr>
      </w:pPr>
      <w:r>
        <w:rPr>
          <w:rFonts w:cs="Calibri"/>
          <w:szCs w:val="21"/>
          <w:highlight w:val="none"/>
        </w:rPr>
        <w:t>（2）磋商响应文件应按“磋商须知前附表”要求盖章。</w:t>
      </w:r>
    </w:p>
    <w:p>
      <w:pPr>
        <w:adjustRightInd w:val="0"/>
        <w:ind w:firstLine="420" w:firstLineChars="200"/>
        <w:rPr>
          <w:rFonts w:cs="Calibri"/>
          <w:szCs w:val="21"/>
          <w:highlight w:val="none"/>
        </w:rPr>
      </w:pPr>
      <w:r>
        <w:rPr>
          <w:rFonts w:cs="Calibri"/>
          <w:szCs w:val="21"/>
          <w:highlight w:val="none"/>
        </w:rPr>
        <w:t>（3）磋商响应文件装订要求详见“磋商须知前附表”。</w:t>
      </w:r>
    </w:p>
    <w:p>
      <w:pPr>
        <w:adjustRightInd w:val="0"/>
        <w:ind w:firstLine="420" w:firstLineChars="200"/>
        <w:rPr>
          <w:rFonts w:cs="Calibri"/>
          <w:szCs w:val="21"/>
          <w:highlight w:val="none"/>
        </w:rPr>
      </w:pPr>
      <w:r>
        <w:rPr>
          <w:rFonts w:cs="Calibri"/>
          <w:szCs w:val="21"/>
          <w:highlight w:val="none"/>
        </w:rPr>
        <w:t>（4）磋商响应文件格式为PDF。</w:t>
      </w:r>
    </w:p>
    <w:p>
      <w:pPr>
        <w:adjustRightInd w:val="0"/>
        <w:ind w:firstLine="420" w:firstLineChars="200"/>
        <w:rPr>
          <w:rFonts w:cs="Calibri"/>
          <w:szCs w:val="21"/>
          <w:highlight w:val="none"/>
        </w:rPr>
      </w:pPr>
      <w:r>
        <w:rPr>
          <w:rFonts w:cs="Calibri"/>
          <w:szCs w:val="21"/>
          <w:highlight w:val="none"/>
        </w:rPr>
        <w:t>（5）单个文件上传大小上限为300M。</w:t>
      </w:r>
    </w:p>
    <w:p>
      <w:pPr>
        <w:pStyle w:val="8"/>
        <w:ind w:firstLine="422"/>
        <w:rPr>
          <w:rFonts w:cs="Calibri"/>
          <w:highlight w:val="none"/>
        </w:rPr>
      </w:pPr>
      <w:r>
        <w:rPr>
          <w:rFonts w:cs="Calibri"/>
          <w:highlight w:val="none"/>
        </w:rPr>
        <w:t>3.4 报价</w:t>
      </w:r>
    </w:p>
    <w:p>
      <w:pPr>
        <w:adjustRightInd w:val="0"/>
        <w:ind w:firstLine="420" w:firstLineChars="200"/>
        <w:rPr>
          <w:rFonts w:cs="Calibri"/>
          <w:szCs w:val="21"/>
          <w:highlight w:val="none"/>
        </w:rPr>
      </w:pPr>
      <w:r>
        <w:rPr>
          <w:rFonts w:cs="Calibri"/>
          <w:szCs w:val="21"/>
          <w:highlight w:val="none"/>
        </w:rPr>
        <w:t>3.4.1 ▲</w:t>
      </w:r>
      <w:r>
        <w:rPr>
          <w:rFonts w:cs="Calibri"/>
          <w:b/>
          <w:bCs/>
          <w:szCs w:val="21"/>
          <w:highlight w:val="none"/>
          <w:u w:val="single"/>
        </w:rPr>
        <w:t>本项目报价为含税人民币价。</w:t>
      </w:r>
    </w:p>
    <w:p>
      <w:pPr>
        <w:adjustRightInd w:val="0"/>
        <w:ind w:firstLine="420" w:firstLineChars="200"/>
        <w:rPr>
          <w:rFonts w:cs="Calibri"/>
          <w:szCs w:val="21"/>
          <w:highlight w:val="none"/>
        </w:rPr>
      </w:pPr>
      <w:r>
        <w:rPr>
          <w:rFonts w:cs="Calibri"/>
          <w:szCs w:val="21"/>
          <w:highlight w:val="none"/>
        </w:rPr>
        <w:t>3.4.2 报价包括履行所有规定服务的全部费用。服务及服务成果须达到采购文件规定的质量标准及使用要求。</w:t>
      </w:r>
    </w:p>
    <w:p>
      <w:pPr>
        <w:adjustRightInd w:val="0"/>
        <w:ind w:firstLine="420" w:firstLineChars="200"/>
        <w:rPr>
          <w:rFonts w:cs="Calibri"/>
          <w:szCs w:val="21"/>
          <w:highlight w:val="none"/>
        </w:rPr>
      </w:pPr>
      <w:r>
        <w:rPr>
          <w:rFonts w:cs="Calibri"/>
          <w:szCs w:val="21"/>
          <w:highlight w:val="none"/>
        </w:rPr>
        <w:t>3.4.3 报价应按不同费用构成分开填写，具体详见“第七章磋商响应文件格式”。</w:t>
      </w:r>
    </w:p>
    <w:p>
      <w:pPr>
        <w:adjustRightInd w:val="0"/>
        <w:ind w:firstLine="420" w:firstLineChars="200"/>
        <w:rPr>
          <w:rFonts w:cs="Calibri"/>
          <w:szCs w:val="21"/>
          <w:highlight w:val="none"/>
        </w:rPr>
      </w:pPr>
      <w:r>
        <w:rPr>
          <w:rFonts w:cs="Calibri"/>
          <w:szCs w:val="21"/>
          <w:highlight w:val="none"/>
        </w:rPr>
        <w:t>3.4.4 供应商应在“政府采购云平台”中填写报价，报价应与上传的报价文件一致，如有不一致，以上传的报价文件中报价为准。</w:t>
      </w:r>
    </w:p>
    <w:p>
      <w:pPr>
        <w:pStyle w:val="8"/>
        <w:ind w:firstLine="422"/>
        <w:rPr>
          <w:rFonts w:cs="Calibri"/>
          <w:highlight w:val="none"/>
        </w:rPr>
      </w:pPr>
      <w:r>
        <w:rPr>
          <w:rFonts w:cs="Calibri"/>
          <w:highlight w:val="none"/>
        </w:rPr>
        <w:t>3.5 磋商保证金</w:t>
      </w:r>
    </w:p>
    <w:p>
      <w:pPr>
        <w:adjustRightInd w:val="0"/>
        <w:ind w:firstLine="420" w:firstLineChars="200"/>
        <w:rPr>
          <w:rFonts w:cs="Calibri"/>
          <w:szCs w:val="21"/>
          <w:highlight w:val="none"/>
        </w:rPr>
      </w:pPr>
      <w:r>
        <w:rPr>
          <w:rFonts w:cs="Calibri"/>
          <w:szCs w:val="21"/>
          <w:highlight w:val="none"/>
        </w:rPr>
        <w:t>3.5.1 本项目不需交纳磋商保证金。</w:t>
      </w:r>
    </w:p>
    <w:p>
      <w:pPr>
        <w:pStyle w:val="8"/>
        <w:ind w:firstLine="422"/>
        <w:rPr>
          <w:rFonts w:cs="Calibri"/>
          <w:highlight w:val="none"/>
        </w:rPr>
      </w:pPr>
      <w:r>
        <w:rPr>
          <w:rFonts w:cs="Calibri"/>
          <w:highlight w:val="none"/>
        </w:rPr>
        <w:t>3.6 磋商响应文件有效期</w:t>
      </w:r>
    </w:p>
    <w:p>
      <w:pPr>
        <w:adjustRightInd w:val="0"/>
        <w:ind w:firstLine="420" w:firstLineChars="200"/>
        <w:rPr>
          <w:rFonts w:cs="Calibri"/>
          <w:szCs w:val="21"/>
          <w:highlight w:val="none"/>
        </w:rPr>
      </w:pPr>
      <w:r>
        <w:rPr>
          <w:rFonts w:cs="Calibri"/>
          <w:szCs w:val="21"/>
          <w:highlight w:val="none"/>
        </w:rPr>
        <w:t>3.6.1 磋商响应文件有效期按“磋商须知前附表”规定，磋商响应文件应在该有效期内保持有效。合同签订后，磋商响应文件作为合同附件，磋商响应文件有效期同合同有效期。</w:t>
      </w:r>
    </w:p>
    <w:p>
      <w:pPr>
        <w:adjustRightInd w:val="0"/>
        <w:ind w:firstLine="420" w:firstLineChars="200"/>
        <w:rPr>
          <w:rFonts w:cs="Calibri"/>
          <w:szCs w:val="21"/>
          <w:highlight w:val="none"/>
        </w:rPr>
      </w:pPr>
      <w:r>
        <w:rPr>
          <w:rFonts w:cs="Calibri"/>
          <w:szCs w:val="21"/>
          <w:highlight w:val="none"/>
        </w:rPr>
        <w:t>3.6.2 在特殊情况下，采购人可与供应商协商延长磋商响应文件有效期，这种要求和答复均应以书面形式进行。</w:t>
      </w:r>
    </w:p>
    <w:p>
      <w:pPr>
        <w:adjustRightInd w:val="0"/>
        <w:ind w:firstLine="420" w:firstLineChars="200"/>
        <w:rPr>
          <w:rFonts w:cs="Calibri"/>
          <w:szCs w:val="21"/>
          <w:highlight w:val="none"/>
        </w:rPr>
      </w:pPr>
      <w:r>
        <w:rPr>
          <w:rFonts w:cs="Calibri"/>
          <w:szCs w:val="21"/>
          <w:highlight w:val="none"/>
        </w:rPr>
        <w:t>3.6.3 供应商可拒绝接受延期要求。同意延长有效期的供应商不能修改磋商响应文件。</w:t>
      </w:r>
    </w:p>
    <w:p>
      <w:pPr>
        <w:adjustRightInd w:val="0"/>
        <w:ind w:firstLine="420" w:firstLineChars="200"/>
        <w:rPr>
          <w:rFonts w:cs="Calibri"/>
          <w:szCs w:val="21"/>
          <w:highlight w:val="none"/>
        </w:rPr>
      </w:pPr>
      <w:r>
        <w:rPr>
          <w:rFonts w:cs="Calibri"/>
          <w:szCs w:val="21"/>
          <w:highlight w:val="none"/>
        </w:rPr>
        <w:t>3.6.4 磋商响应文件有效期内，供应商撤销响应文件的，应承担采购人提出的索赔。</w:t>
      </w:r>
    </w:p>
    <w:p>
      <w:pPr>
        <w:pStyle w:val="8"/>
        <w:ind w:firstLine="422"/>
        <w:rPr>
          <w:rFonts w:cs="Calibri"/>
          <w:highlight w:val="none"/>
        </w:rPr>
      </w:pPr>
      <w:r>
        <w:rPr>
          <w:rFonts w:cs="Calibri"/>
          <w:highlight w:val="none"/>
        </w:rPr>
        <w:t>3.7 磋商响应文件的密封及标记</w:t>
      </w:r>
    </w:p>
    <w:p>
      <w:pPr>
        <w:adjustRightInd w:val="0"/>
        <w:ind w:firstLine="420" w:firstLineChars="200"/>
        <w:rPr>
          <w:rFonts w:cs="Calibri"/>
          <w:szCs w:val="21"/>
          <w:highlight w:val="none"/>
        </w:rPr>
      </w:pPr>
      <w:r>
        <w:rPr>
          <w:rFonts w:cs="Calibri"/>
          <w:szCs w:val="21"/>
          <w:highlight w:val="none"/>
        </w:rPr>
        <w:t>3.7.1 磋商响应文件应按以下方法密封及标记</w:t>
      </w:r>
    </w:p>
    <w:p>
      <w:pPr>
        <w:adjustRightInd w:val="0"/>
        <w:ind w:firstLine="420" w:firstLineChars="200"/>
        <w:rPr>
          <w:rFonts w:cs="Calibri"/>
          <w:szCs w:val="21"/>
          <w:highlight w:val="none"/>
        </w:rPr>
      </w:pPr>
      <w:r>
        <w:rPr>
          <w:rFonts w:cs="Calibri"/>
          <w:szCs w:val="21"/>
          <w:highlight w:val="none"/>
        </w:rPr>
        <w:t>磋商响应文件密封及标记要求见“磋商须知前附表”。</w:t>
      </w:r>
    </w:p>
    <w:p>
      <w:pPr>
        <w:pStyle w:val="8"/>
        <w:ind w:firstLine="422"/>
        <w:rPr>
          <w:rFonts w:cs="Calibri"/>
          <w:highlight w:val="none"/>
        </w:rPr>
      </w:pPr>
      <w:r>
        <w:rPr>
          <w:rFonts w:cs="Calibri"/>
          <w:highlight w:val="none"/>
        </w:rPr>
        <w:t>3.8 磋商响应文件的提交</w:t>
      </w:r>
    </w:p>
    <w:p>
      <w:pPr>
        <w:widowControl/>
        <w:adjustRightInd w:val="0"/>
        <w:ind w:firstLine="420" w:firstLineChars="200"/>
        <w:jc w:val="left"/>
        <w:rPr>
          <w:rFonts w:cs="Calibri"/>
          <w:szCs w:val="21"/>
          <w:highlight w:val="none"/>
        </w:rPr>
      </w:pPr>
      <w:r>
        <w:rPr>
          <w:rFonts w:cs="Calibri"/>
          <w:highlight w:val="none"/>
        </w:rPr>
        <w:t>3.8</w:t>
      </w:r>
      <w:r>
        <w:rPr>
          <w:rFonts w:cs="Calibri"/>
          <w:szCs w:val="21"/>
          <w:highlight w:val="none"/>
        </w:rPr>
        <w:t>.1 提交磋商响应文件</w:t>
      </w:r>
    </w:p>
    <w:p>
      <w:pPr>
        <w:widowControl/>
        <w:adjustRightInd w:val="0"/>
        <w:ind w:firstLine="420" w:firstLineChars="200"/>
        <w:jc w:val="left"/>
        <w:rPr>
          <w:rFonts w:cs="Calibri"/>
          <w:szCs w:val="21"/>
          <w:highlight w:val="none"/>
        </w:rPr>
      </w:pPr>
      <w:r>
        <w:rPr>
          <w:rFonts w:cs="Calibri"/>
          <w:szCs w:val="21"/>
          <w:highlight w:val="none"/>
        </w:rPr>
        <w:t>（1）电子磋商响应文件传输提交</w:t>
      </w:r>
    </w:p>
    <w:p>
      <w:pPr>
        <w:widowControl/>
        <w:adjustRightInd w:val="0"/>
        <w:ind w:firstLine="420" w:firstLineChars="200"/>
        <w:jc w:val="left"/>
        <w:rPr>
          <w:rFonts w:cs="Calibri"/>
          <w:szCs w:val="21"/>
          <w:highlight w:val="none"/>
        </w:rPr>
      </w:pPr>
      <w:r>
        <w:rPr>
          <w:rFonts w:cs="Calibri"/>
          <w:szCs w:val="21"/>
          <w:highlight w:val="none"/>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pPr>
        <w:widowControl/>
        <w:adjustRightInd w:val="0"/>
        <w:ind w:firstLine="420" w:firstLineChars="200"/>
        <w:jc w:val="left"/>
        <w:rPr>
          <w:rFonts w:cs="Calibri"/>
          <w:szCs w:val="21"/>
          <w:highlight w:val="none"/>
        </w:rPr>
      </w:pPr>
      <w:r>
        <w:rPr>
          <w:rFonts w:cs="Calibri"/>
          <w:szCs w:val="21"/>
          <w:highlight w:val="none"/>
        </w:rPr>
        <w:t>（2）备份电子磋商响应文件提交</w:t>
      </w:r>
    </w:p>
    <w:p>
      <w:pPr>
        <w:widowControl/>
        <w:adjustRightInd w:val="0"/>
        <w:ind w:firstLine="420" w:firstLineChars="200"/>
        <w:jc w:val="left"/>
        <w:rPr>
          <w:rFonts w:cs="Calibri"/>
          <w:szCs w:val="21"/>
          <w:highlight w:val="none"/>
        </w:rPr>
      </w:pPr>
      <w:r>
        <w:rPr>
          <w:rFonts w:cs="Calibri"/>
          <w:szCs w:val="21"/>
          <w:highlight w:val="none"/>
        </w:rPr>
        <w:t>供应商可以提交备份电子磋商响应文件，如提交备份电子磋商响应文件，请按以下方式提交。</w:t>
      </w:r>
    </w:p>
    <w:p>
      <w:pPr>
        <w:widowControl/>
        <w:adjustRightInd w:val="0"/>
        <w:ind w:firstLine="420" w:firstLineChars="200"/>
        <w:jc w:val="left"/>
        <w:rPr>
          <w:rFonts w:cs="Calibri"/>
          <w:szCs w:val="21"/>
          <w:highlight w:val="none"/>
        </w:rPr>
      </w:pPr>
      <w:r>
        <w:rPr>
          <w:rFonts w:cs="Calibri"/>
          <w:szCs w:val="21"/>
          <w:highlight w:val="none"/>
        </w:rPr>
        <w:t>应当在磋商响应文件提交截止时间以前，供应商将以介质存储的数据电文形式的备份电子磋商响应文件密封并以邮寄或直接送达形式提交给采购代理机构工作人员（</w:t>
      </w:r>
      <w:r>
        <w:rPr>
          <w:rFonts w:hint="eastAsia" w:cs="Calibri"/>
          <w:szCs w:val="21"/>
          <w:highlight w:val="none"/>
        </w:rPr>
        <w:t>姓名：小俞，联系电话：</w:t>
      </w:r>
      <w:r>
        <w:rPr>
          <w:rFonts w:cs="Calibri"/>
          <w:szCs w:val="21"/>
          <w:highlight w:val="none"/>
        </w:rPr>
        <w:t>057</w:t>
      </w:r>
      <w:r>
        <w:rPr>
          <w:rFonts w:hint="eastAsia" w:cs="Calibri"/>
          <w:szCs w:val="21"/>
          <w:highlight w:val="none"/>
        </w:rPr>
        <w:t>2-2275857</w:t>
      </w:r>
      <w:r>
        <w:rPr>
          <w:rFonts w:cs="Calibri"/>
          <w:szCs w:val="21"/>
          <w:highlight w:val="none"/>
        </w:rPr>
        <w:t>，</w:t>
      </w:r>
      <w:r>
        <w:rPr>
          <w:rFonts w:hint="eastAsia" w:cs="Calibri"/>
          <w:szCs w:val="21"/>
          <w:highlight w:val="none"/>
        </w:rPr>
        <w:t>地址：湖州市凤凰路137号国际贸易大厦9楼906</w:t>
      </w:r>
      <w:r>
        <w:rPr>
          <w:rFonts w:cs="Calibri"/>
          <w:szCs w:val="21"/>
          <w:highlight w:val="none"/>
        </w:rPr>
        <w:t>），使其在磋商响应文件提交截止时间以前收到。封皮应注明供应商名称、项目名称。</w:t>
      </w:r>
    </w:p>
    <w:p>
      <w:pPr>
        <w:widowControl/>
        <w:adjustRightInd w:val="0"/>
        <w:ind w:firstLine="420" w:firstLineChars="200"/>
        <w:jc w:val="left"/>
        <w:rPr>
          <w:rFonts w:cs="Calibri"/>
          <w:szCs w:val="21"/>
          <w:highlight w:val="none"/>
        </w:rPr>
      </w:pPr>
      <w:r>
        <w:rPr>
          <w:rFonts w:cs="Calibri"/>
          <w:szCs w:val="21"/>
          <w:highlight w:val="none"/>
        </w:rPr>
        <w:t>备份电子磋商响应文件仅在在线解密异常处理时使用。磋商响应文件已按时解密的，备份电子磋商响应文件自动失效。</w:t>
      </w:r>
    </w:p>
    <w:p>
      <w:pPr>
        <w:pStyle w:val="67"/>
        <w:adjustRightInd w:val="0"/>
        <w:spacing w:line="300" w:lineRule="auto"/>
        <w:ind w:firstLine="420"/>
        <w:rPr>
          <w:rFonts w:ascii="Calibri" w:hAnsi="Calibri" w:cs="Calibri"/>
          <w:highlight w:val="none"/>
        </w:rPr>
      </w:pPr>
      <w:r>
        <w:rPr>
          <w:rFonts w:ascii="Calibri" w:hAnsi="Calibri" w:cs="Calibri"/>
          <w:highlight w:val="none"/>
        </w:rPr>
        <w:t>3.8.2 供应商提交的磋商响应文件均不予退还。</w:t>
      </w:r>
    </w:p>
    <w:p>
      <w:pPr>
        <w:pStyle w:val="67"/>
        <w:adjustRightInd w:val="0"/>
        <w:spacing w:line="300" w:lineRule="auto"/>
        <w:ind w:firstLine="420"/>
        <w:rPr>
          <w:rFonts w:ascii="Calibri" w:hAnsi="Calibri" w:cs="Calibri"/>
          <w:highlight w:val="none"/>
        </w:rPr>
      </w:pPr>
      <w:r>
        <w:rPr>
          <w:rFonts w:ascii="Calibri" w:hAnsi="Calibri" w:cs="Calibri"/>
          <w:highlight w:val="none"/>
        </w:rPr>
        <w:t>3.8.3 逾期传输的电子磋商响应文件，采购人将不予受理。</w:t>
      </w:r>
    </w:p>
    <w:p>
      <w:pPr>
        <w:pStyle w:val="67"/>
        <w:adjustRightInd w:val="0"/>
        <w:spacing w:line="300" w:lineRule="auto"/>
        <w:ind w:firstLine="420"/>
        <w:rPr>
          <w:rFonts w:ascii="Calibri" w:hAnsi="Calibri" w:cs="Calibri"/>
          <w:highlight w:val="none"/>
        </w:rPr>
      </w:pPr>
      <w:r>
        <w:rPr>
          <w:rFonts w:ascii="Calibri" w:hAnsi="Calibri" w:cs="Calibri"/>
          <w:highlight w:val="none"/>
        </w:rPr>
        <w:t>3.8.4 采购人如因故推迟磋商响应文件提交截止时间，应以书面形式通知所有供应商。在这种情况下，采购人和供应商的权利和义务将受到新的磋商响应文件提交截止时间的约束。</w:t>
      </w:r>
    </w:p>
    <w:p>
      <w:pPr>
        <w:pStyle w:val="8"/>
        <w:ind w:firstLine="422"/>
        <w:rPr>
          <w:rFonts w:cs="Calibri"/>
          <w:highlight w:val="none"/>
        </w:rPr>
      </w:pPr>
      <w:r>
        <w:rPr>
          <w:rFonts w:cs="Calibri"/>
          <w:highlight w:val="none"/>
        </w:rPr>
        <w:t>3.9 磋商响应文件的补充、修改和撤回</w:t>
      </w:r>
    </w:p>
    <w:p>
      <w:pPr>
        <w:adjustRightInd w:val="0"/>
        <w:ind w:firstLine="420" w:firstLineChars="200"/>
        <w:rPr>
          <w:rFonts w:cs="Calibri"/>
          <w:szCs w:val="21"/>
          <w:highlight w:val="none"/>
        </w:rPr>
      </w:pPr>
      <w:r>
        <w:rPr>
          <w:rFonts w:cs="Calibri"/>
          <w:szCs w:val="21"/>
          <w:highlight w:val="none"/>
        </w:rPr>
        <w:t>3.9.1 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w:t>
      </w:r>
    </w:p>
    <w:p>
      <w:pPr>
        <w:pStyle w:val="8"/>
        <w:ind w:firstLine="422"/>
        <w:rPr>
          <w:rFonts w:cs="Calibri"/>
          <w:highlight w:val="none"/>
        </w:rPr>
      </w:pPr>
      <w:r>
        <w:rPr>
          <w:rFonts w:cs="Calibri"/>
          <w:highlight w:val="none"/>
        </w:rPr>
        <w:t>3.10 备选磋商响应方案</w:t>
      </w:r>
    </w:p>
    <w:p>
      <w:pPr>
        <w:adjustRightInd w:val="0"/>
        <w:ind w:firstLine="420" w:firstLineChars="200"/>
        <w:rPr>
          <w:rFonts w:cs="Calibri"/>
          <w:szCs w:val="21"/>
          <w:highlight w:val="none"/>
        </w:rPr>
      </w:pPr>
      <w:r>
        <w:rPr>
          <w:rFonts w:cs="Calibri"/>
          <w:szCs w:val="21"/>
          <w:highlight w:val="none"/>
        </w:rPr>
        <w:t>供应商不得提交备选磋商响应方案，否则，磋商响应文件将被判定为无效标。【注：备选磋商响应方案不是指备份磋商响应文件】</w:t>
      </w:r>
    </w:p>
    <w:p>
      <w:pPr>
        <w:pStyle w:val="8"/>
        <w:ind w:firstLine="422"/>
        <w:rPr>
          <w:rFonts w:cs="Calibri"/>
          <w:highlight w:val="none"/>
        </w:rPr>
      </w:pPr>
      <w:r>
        <w:rPr>
          <w:rFonts w:cs="Calibri"/>
          <w:highlight w:val="none"/>
        </w:rPr>
        <w:t>3.11 不予受理的磋商响应文件</w:t>
      </w:r>
    </w:p>
    <w:p>
      <w:pPr>
        <w:adjustRightInd w:val="0"/>
        <w:ind w:firstLine="420" w:firstLineChars="200"/>
        <w:rPr>
          <w:rFonts w:cs="Calibri"/>
          <w:szCs w:val="21"/>
          <w:highlight w:val="none"/>
        </w:rPr>
      </w:pPr>
      <w:r>
        <w:rPr>
          <w:rFonts w:cs="Calibri"/>
          <w:szCs w:val="21"/>
          <w:highlight w:val="none"/>
        </w:rPr>
        <w:t>（1）逾期传输的或逾期送达的或者未送达指定地点的磋商响应文件；</w:t>
      </w:r>
    </w:p>
    <w:p>
      <w:pPr>
        <w:adjustRightInd w:val="0"/>
        <w:ind w:firstLine="420" w:firstLineChars="200"/>
        <w:rPr>
          <w:rFonts w:cs="Calibri"/>
          <w:szCs w:val="21"/>
          <w:highlight w:val="none"/>
        </w:rPr>
      </w:pPr>
      <w:r>
        <w:rPr>
          <w:rFonts w:cs="Calibri"/>
          <w:szCs w:val="21"/>
          <w:highlight w:val="none"/>
        </w:rPr>
        <w:t>（2）未密封的备份电子磋商响应文件；</w:t>
      </w:r>
    </w:p>
    <w:p>
      <w:pPr>
        <w:pStyle w:val="5"/>
        <w:ind w:firstLine="422"/>
        <w:rPr>
          <w:rFonts w:cs="Calibri"/>
          <w:highlight w:val="none"/>
        </w:rPr>
      </w:pPr>
      <w:r>
        <w:rPr>
          <w:rFonts w:cs="Calibri"/>
          <w:highlight w:val="none"/>
        </w:rPr>
        <w:t>四、磋商程序</w:t>
      </w:r>
    </w:p>
    <w:p>
      <w:pPr>
        <w:pStyle w:val="8"/>
        <w:ind w:firstLine="422"/>
        <w:rPr>
          <w:rFonts w:cs="Calibri"/>
          <w:highlight w:val="none"/>
        </w:rPr>
      </w:pPr>
      <w:r>
        <w:rPr>
          <w:rFonts w:cs="Calibri"/>
          <w:highlight w:val="none"/>
        </w:rPr>
        <w:t>4.1 组建磋商小组</w:t>
      </w:r>
    </w:p>
    <w:p>
      <w:pPr>
        <w:adjustRightInd w:val="0"/>
        <w:ind w:firstLine="420" w:firstLineChars="200"/>
        <w:rPr>
          <w:rFonts w:cs="Calibri"/>
          <w:szCs w:val="21"/>
          <w:highlight w:val="none"/>
        </w:rPr>
      </w:pPr>
      <w:r>
        <w:rPr>
          <w:rFonts w:cs="Calibri"/>
          <w:szCs w:val="21"/>
          <w:highlight w:val="none"/>
        </w:rPr>
        <w:t>采购组织机构将依法组建磋商小组。磋商小组由采购人代表和评审专家共3人及以上组成。</w:t>
      </w:r>
    </w:p>
    <w:p>
      <w:pPr>
        <w:pStyle w:val="8"/>
        <w:ind w:firstLine="422"/>
        <w:rPr>
          <w:rFonts w:cs="Calibri"/>
          <w:highlight w:val="none"/>
        </w:rPr>
      </w:pPr>
      <w:bookmarkStart w:id="70" w:name="_Toc251938331"/>
      <w:r>
        <w:rPr>
          <w:rFonts w:cs="Calibri"/>
          <w:highlight w:val="none"/>
        </w:rPr>
        <w:t>4.2 磋商准备</w:t>
      </w:r>
    </w:p>
    <w:p>
      <w:pPr>
        <w:adjustRightInd w:val="0"/>
        <w:ind w:firstLine="420" w:firstLineChars="200"/>
        <w:rPr>
          <w:rFonts w:cs="Calibri"/>
          <w:szCs w:val="21"/>
          <w:highlight w:val="none"/>
        </w:rPr>
      </w:pPr>
      <w:r>
        <w:rPr>
          <w:rFonts w:cs="Calibri"/>
          <w:szCs w:val="21"/>
          <w:highlight w:val="none"/>
        </w:rPr>
        <w:t>4.2.1采购人按“磋商须知前附表”规定的时间、地点公开开启磋商响应文件，并邀请所有供应商代表准时在线参加。</w:t>
      </w:r>
    </w:p>
    <w:p>
      <w:pPr>
        <w:adjustRightInd w:val="0"/>
        <w:ind w:firstLine="420" w:firstLineChars="200"/>
        <w:rPr>
          <w:rFonts w:cs="Calibri"/>
          <w:szCs w:val="21"/>
          <w:highlight w:val="none"/>
        </w:rPr>
      </w:pPr>
      <w:r>
        <w:rPr>
          <w:rFonts w:cs="Calibri"/>
          <w:szCs w:val="21"/>
          <w:highlight w:val="none"/>
        </w:rPr>
        <w:t>4.2.2供应商代表应在线参加磋商活动。</w:t>
      </w:r>
    </w:p>
    <w:p>
      <w:pPr>
        <w:adjustRightInd w:val="0"/>
        <w:ind w:firstLine="420" w:firstLineChars="200"/>
        <w:rPr>
          <w:rFonts w:cs="Calibri"/>
          <w:szCs w:val="21"/>
          <w:highlight w:val="none"/>
        </w:rPr>
      </w:pPr>
      <w:r>
        <w:rPr>
          <w:rFonts w:cs="Calibri"/>
          <w:szCs w:val="21"/>
          <w:highlight w:val="none"/>
        </w:rPr>
        <w:t>4.2.3磋商活动组织人员告知所有供应商磋商活动组织人员情况，已提交磋商响应文件的供应商名单、应当回避的情形、开启最后报价文件的预计时间等，组织供应商签署《政府采购活动现场确认声明书》。</w:t>
      </w:r>
    </w:p>
    <w:p>
      <w:pPr>
        <w:pStyle w:val="8"/>
        <w:ind w:firstLine="422"/>
        <w:rPr>
          <w:rFonts w:cs="Calibri"/>
          <w:highlight w:val="none"/>
        </w:rPr>
      </w:pPr>
      <w:r>
        <w:rPr>
          <w:rFonts w:cs="Calibri"/>
          <w:highlight w:val="none"/>
        </w:rPr>
        <w:t>4.3 在线解密</w:t>
      </w:r>
    </w:p>
    <w:p>
      <w:pPr>
        <w:widowControl/>
        <w:adjustRightInd w:val="0"/>
        <w:ind w:firstLine="420" w:firstLineChars="200"/>
        <w:jc w:val="left"/>
        <w:rPr>
          <w:rFonts w:cs="Calibri"/>
          <w:kern w:val="0"/>
          <w:szCs w:val="21"/>
          <w:highlight w:val="none"/>
        </w:rPr>
      </w:pPr>
      <w:r>
        <w:rPr>
          <w:rFonts w:cs="Calibri"/>
          <w:kern w:val="0"/>
          <w:szCs w:val="21"/>
          <w:highlight w:val="none"/>
        </w:rPr>
        <w:t>4.3.1在线解密开始时间</w:t>
      </w:r>
    </w:p>
    <w:p>
      <w:pPr>
        <w:pStyle w:val="67"/>
        <w:adjustRightInd w:val="0"/>
        <w:spacing w:line="300" w:lineRule="auto"/>
        <w:ind w:firstLine="420"/>
        <w:rPr>
          <w:rFonts w:ascii="Calibri" w:hAnsi="Calibri" w:cs="Calibri"/>
          <w:kern w:val="0"/>
          <w:highlight w:val="none"/>
        </w:rPr>
      </w:pPr>
      <w:r>
        <w:rPr>
          <w:rFonts w:ascii="Calibri" w:hAnsi="Calibri" w:cs="Calibri"/>
          <w:kern w:val="0"/>
          <w:highlight w:val="none"/>
        </w:rPr>
        <w:t>至磋商响应文件提交截止时间，磋商</w:t>
      </w:r>
      <w:r>
        <w:rPr>
          <w:rFonts w:ascii="Calibri" w:hAnsi="Calibri" w:cs="Calibri"/>
          <w:highlight w:val="none"/>
        </w:rPr>
        <w:t>活动组织人员</w:t>
      </w:r>
      <w:r>
        <w:rPr>
          <w:rFonts w:ascii="Calibri" w:hAnsi="Calibri" w:cs="Calibri"/>
          <w:kern w:val="0"/>
          <w:highlight w:val="none"/>
        </w:rPr>
        <w:t>启动在线解密程序，供应商应登录政府采购云平台在在线解密时间内对已提交的电子磋商响应文件进行解密。</w:t>
      </w:r>
    </w:p>
    <w:p>
      <w:pPr>
        <w:pStyle w:val="67"/>
        <w:adjustRightInd w:val="0"/>
        <w:spacing w:line="300" w:lineRule="auto"/>
        <w:ind w:firstLine="420"/>
        <w:rPr>
          <w:rFonts w:ascii="Calibri" w:hAnsi="Calibri" w:cs="Calibri"/>
          <w:kern w:val="0"/>
          <w:highlight w:val="none"/>
        </w:rPr>
      </w:pPr>
      <w:r>
        <w:rPr>
          <w:rFonts w:ascii="Calibri" w:hAnsi="Calibri" w:cs="Calibri"/>
          <w:kern w:val="0"/>
          <w:highlight w:val="none"/>
        </w:rPr>
        <w:t>4.3.2解密异常处理</w:t>
      </w:r>
    </w:p>
    <w:p>
      <w:pPr>
        <w:pStyle w:val="67"/>
        <w:adjustRightInd w:val="0"/>
        <w:spacing w:line="300" w:lineRule="auto"/>
        <w:ind w:firstLine="420"/>
        <w:rPr>
          <w:rFonts w:ascii="Calibri" w:hAnsi="Calibri" w:cs="Calibri"/>
          <w:kern w:val="0"/>
          <w:highlight w:val="none"/>
        </w:rPr>
      </w:pPr>
      <w:r>
        <w:rPr>
          <w:rFonts w:ascii="Calibri" w:hAnsi="Calibri" w:cs="Calibri"/>
          <w:kern w:val="0"/>
          <w:highlight w:val="none"/>
        </w:rPr>
        <w:t>如在线解密失败，</w:t>
      </w:r>
      <w:r>
        <w:rPr>
          <w:rFonts w:ascii="Calibri" w:hAnsi="Calibri" w:cs="Calibri"/>
          <w:highlight w:val="none"/>
        </w:rPr>
        <w:t>磋商活动组织人员</w:t>
      </w:r>
      <w:r>
        <w:rPr>
          <w:rFonts w:ascii="Calibri" w:hAnsi="Calibri" w:cs="Calibri"/>
          <w:kern w:val="0"/>
          <w:highlight w:val="none"/>
        </w:rPr>
        <w:t>将启动异常处理，上传供应商在磋商响应文件提交截止时间前提交的备份电子磋商响应文件进行再次解密，如未提供备份电子磋商响应文件，将不进行再次解密程序。无法在线解密视为供应商放弃磋商响应。</w:t>
      </w:r>
    </w:p>
    <w:p>
      <w:pPr>
        <w:widowControl/>
        <w:adjustRightInd w:val="0"/>
        <w:ind w:firstLine="420" w:firstLineChars="200"/>
        <w:jc w:val="left"/>
        <w:rPr>
          <w:rFonts w:cs="Calibri"/>
          <w:kern w:val="0"/>
          <w:szCs w:val="21"/>
          <w:highlight w:val="none"/>
        </w:rPr>
      </w:pPr>
      <w:r>
        <w:rPr>
          <w:rFonts w:cs="Calibri"/>
          <w:kern w:val="0"/>
          <w:szCs w:val="21"/>
          <w:highlight w:val="none"/>
        </w:rPr>
        <w:t>4.3.3在线解密时间</w:t>
      </w:r>
    </w:p>
    <w:p>
      <w:pPr>
        <w:adjustRightInd w:val="0"/>
        <w:ind w:firstLine="420" w:firstLineChars="200"/>
        <w:rPr>
          <w:rFonts w:cs="Calibri"/>
          <w:kern w:val="0"/>
          <w:szCs w:val="21"/>
          <w:highlight w:val="none"/>
        </w:rPr>
      </w:pPr>
      <w:r>
        <w:rPr>
          <w:rFonts w:cs="Calibri"/>
          <w:kern w:val="0"/>
          <w:szCs w:val="21"/>
          <w:highlight w:val="none"/>
        </w:rPr>
        <w:t>在线解密时间为30分钟。</w:t>
      </w:r>
    </w:p>
    <w:p>
      <w:pPr>
        <w:pStyle w:val="8"/>
        <w:ind w:firstLine="422"/>
        <w:rPr>
          <w:rFonts w:cs="Calibri"/>
          <w:highlight w:val="none"/>
        </w:rPr>
      </w:pPr>
      <w:r>
        <w:rPr>
          <w:rFonts w:cs="Calibri"/>
          <w:highlight w:val="none"/>
        </w:rPr>
        <w:t>4.4 在线开启磋商响应文件</w:t>
      </w:r>
    </w:p>
    <w:p>
      <w:pPr>
        <w:widowControl/>
        <w:adjustRightInd w:val="0"/>
        <w:ind w:firstLine="420" w:firstLineChars="200"/>
        <w:jc w:val="left"/>
        <w:rPr>
          <w:rFonts w:cs="Calibri"/>
          <w:kern w:val="0"/>
          <w:szCs w:val="21"/>
          <w:highlight w:val="none"/>
        </w:rPr>
      </w:pPr>
      <w:r>
        <w:rPr>
          <w:rFonts w:cs="Calibri"/>
          <w:kern w:val="0"/>
          <w:szCs w:val="21"/>
          <w:highlight w:val="none"/>
        </w:rPr>
        <w:t>待所有供应商在线解密结束后，</w:t>
      </w:r>
      <w:r>
        <w:rPr>
          <w:rFonts w:cs="Calibri"/>
          <w:szCs w:val="21"/>
          <w:highlight w:val="none"/>
        </w:rPr>
        <w:t>磋商活动组织人员</w:t>
      </w:r>
      <w:r>
        <w:rPr>
          <w:rFonts w:cs="Calibri"/>
          <w:kern w:val="0"/>
          <w:szCs w:val="21"/>
          <w:highlight w:val="none"/>
        </w:rPr>
        <w:t>在线开启磋商响应文件。</w:t>
      </w:r>
    </w:p>
    <w:p>
      <w:pPr>
        <w:pStyle w:val="8"/>
        <w:ind w:firstLine="422"/>
        <w:rPr>
          <w:rFonts w:cs="Calibri"/>
          <w:highlight w:val="none"/>
        </w:rPr>
      </w:pPr>
      <w:r>
        <w:rPr>
          <w:rFonts w:cs="Calibri"/>
          <w:highlight w:val="none"/>
        </w:rPr>
        <w:t>4.5 组织磋商活动</w:t>
      </w:r>
    </w:p>
    <w:p>
      <w:pPr>
        <w:adjustRightInd w:val="0"/>
        <w:ind w:firstLine="420" w:firstLineChars="200"/>
        <w:rPr>
          <w:rFonts w:cs="Calibri"/>
          <w:szCs w:val="21"/>
          <w:highlight w:val="none"/>
        </w:rPr>
      </w:pPr>
      <w:r>
        <w:rPr>
          <w:rFonts w:cs="Calibri"/>
          <w:szCs w:val="21"/>
          <w:highlight w:val="none"/>
        </w:rPr>
        <w:t>4.5.1磋商小组所有成员应当集中与单一供应商分别进行磋商，并将给予所有参加磋商的供应商平等的磋商机会。</w:t>
      </w:r>
    </w:p>
    <w:p>
      <w:pPr>
        <w:adjustRightInd w:val="0"/>
        <w:ind w:firstLine="420" w:firstLineChars="200"/>
        <w:rPr>
          <w:rFonts w:cs="Calibri"/>
          <w:szCs w:val="21"/>
          <w:highlight w:val="none"/>
        </w:rPr>
      </w:pPr>
      <w:r>
        <w:rPr>
          <w:rFonts w:cs="Calibri"/>
          <w:szCs w:val="21"/>
          <w:highlight w:val="none"/>
        </w:rPr>
        <w:t>4.5.2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pPr>
        <w:adjustRightInd w:val="0"/>
        <w:ind w:firstLine="420" w:firstLineChars="200"/>
        <w:rPr>
          <w:rFonts w:cs="Calibri"/>
          <w:szCs w:val="21"/>
          <w:highlight w:val="none"/>
        </w:rPr>
      </w:pPr>
      <w:r>
        <w:rPr>
          <w:rFonts w:cs="Calibri"/>
          <w:szCs w:val="21"/>
          <w:highlight w:val="none"/>
        </w:rPr>
        <w:t>4.5.3供应商按照采购文件的变动情况和磋商小组的要求进行承诺并作为磋商响应文件的一部分，并加盖单位公章，上传政府采购云平台。</w:t>
      </w:r>
    </w:p>
    <w:p>
      <w:pPr>
        <w:adjustRightInd w:val="0"/>
        <w:ind w:firstLine="420" w:firstLineChars="200"/>
        <w:rPr>
          <w:rFonts w:cs="Calibri"/>
          <w:szCs w:val="21"/>
          <w:highlight w:val="none"/>
        </w:rPr>
      </w:pPr>
      <w:r>
        <w:rPr>
          <w:rFonts w:cs="Calibri"/>
          <w:szCs w:val="21"/>
          <w:highlight w:val="none"/>
        </w:rPr>
        <w:t>4.5.4已提交响应文件的供应商，在提交最后报价之前，可以根据磋商情况退出磋商。</w:t>
      </w:r>
    </w:p>
    <w:p>
      <w:pPr>
        <w:adjustRightInd w:val="0"/>
        <w:ind w:firstLine="420" w:firstLineChars="200"/>
        <w:rPr>
          <w:rFonts w:cs="Calibri"/>
          <w:szCs w:val="21"/>
          <w:highlight w:val="none"/>
        </w:rPr>
      </w:pPr>
      <w:r>
        <w:rPr>
          <w:rFonts w:cs="Calibri"/>
          <w:szCs w:val="21"/>
          <w:highlight w:val="none"/>
        </w:rPr>
        <w:t>4.5.5在政府采购云平台中汇总各供应商的得分，通知供应商经评审无效的理由。</w:t>
      </w:r>
    </w:p>
    <w:p>
      <w:pPr>
        <w:adjustRightInd w:val="0"/>
        <w:ind w:firstLine="420" w:firstLineChars="200"/>
        <w:rPr>
          <w:rFonts w:cs="Calibri"/>
          <w:szCs w:val="21"/>
          <w:highlight w:val="none"/>
        </w:rPr>
      </w:pPr>
      <w:r>
        <w:rPr>
          <w:rFonts w:cs="Calibri"/>
          <w:szCs w:val="21"/>
          <w:highlight w:val="none"/>
        </w:rPr>
        <w:t>4.5.6磋商结束后，磋商小组将要求所有实质性响应的供应商按政府采购云平台规定时间内分别进行最后报价，最后报价是供应商响应文件的有效组成部分。</w:t>
      </w:r>
    </w:p>
    <w:p>
      <w:pPr>
        <w:adjustRightInd w:val="0"/>
        <w:ind w:firstLine="420" w:firstLineChars="200"/>
        <w:rPr>
          <w:rFonts w:cs="Calibri"/>
          <w:szCs w:val="21"/>
          <w:highlight w:val="none"/>
        </w:rPr>
      </w:pPr>
      <w:r>
        <w:rPr>
          <w:rFonts w:cs="Calibri"/>
          <w:szCs w:val="21"/>
          <w:highlight w:val="none"/>
        </w:rPr>
        <w:t>4.5.7待所有供应商报价上传政府采购云平台完成后，统一开启供应商的最后报价，同时当场制作并打印开标记录表，由供应商代表、唱标人、记录人和现场监督员在开标记录表上签字确认（供应商代表未签字且未说明理由，视为无异议）。磋商小组对报价的合理性进行审查核实、评分，政府采购云平台汇总各供应商最终得分，并在政府采购云平台上公布得分结果。</w:t>
      </w:r>
    </w:p>
    <w:p>
      <w:pPr>
        <w:adjustRightInd w:val="0"/>
        <w:ind w:firstLine="420" w:firstLineChars="200"/>
        <w:rPr>
          <w:rFonts w:cs="Calibri"/>
          <w:szCs w:val="21"/>
          <w:highlight w:val="none"/>
        </w:rPr>
      </w:pPr>
      <w:r>
        <w:rPr>
          <w:rFonts w:cs="Calibri"/>
          <w:szCs w:val="21"/>
          <w:highlight w:val="none"/>
        </w:rPr>
        <w:t>4.5.8磋商的任何一方不得透露与磋商有关的其他供应商的技术资料、价格和其他信息。</w:t>
      </w:r>
    </w:p>
    <w:p>
      <w:pPr>
        <w:adjustRightInd w:val="0"/>
        <w:ind w:firstLine="420" w:firstLineChars="200"/>
        <w:rPr>
          <w:rFonts w:cs="Calibri"/>
          <w:szCs w:val="21"/>
          <w:highlight w:val="none"/>
        </w:rPr>
      </w:pPr>
      <w:r>
        <w:rPr>
          <w:rFonts w:cs="Calibri"/>
          <w:szCs w:val="21"/>
          <w:highlight w:val="none"/>
        </w:rPr>
        <w:t>4.5.9采购代理机构对相关磋商内容进行记录，以存档备查。</w:t>
      </w:r>
    </w:p>
    <w:p>
      <w:pPr>
        <w:adjustRightInd w:val="0"/>
        <w:ind w:firstLine="420" w:firstLineChars="200"/>
        <w:rPr>
          <w:rFonts w:cs="Calibri"/>
          <w:szCs w:val="21"/>
          <w:highlight w:val="none"/>
        </w:rPr>
      </w:pPr>
      <w:r>
        <w:rPr>
          <w:rFonts w:cs="Calibri"/>
          <w:szCs w:val="21"/>
          <w:highlight w:val="none"/>
        </w:rPr>
        <w:t>4.5.10磋商评审期间，供应商应随时随地答复磋商小组的提出的问题，解答包括有关的商务、技术问题等，并按磋商小组要求及时形成磋商承诺。</w:t>
      </w:r>
    </w:p>
    <w:p>
      <w:pPr>
        <w:pStyle w:val="8"/>
        <w:ind w:firstLine="422"/>
        <w:rPr>
          <w:rFonts w:cs="Calibri"/>
          <w:highlight w:val="none"/>
        </w:rPr>
      </w:pPr>
      <w:r>
        <w:rPr>
          <w:rFonts w:cs="Calibri"/>
          <w:highlight w:val="none"/>
        </w:rPr>
        <w:t>4.6 磋商活动异议</w:t>
      </w:r>
    </w:p>
    <w:p>
      <w:pPr>
        <w:adjustRightInd w:val="0"/>
        <w:ind w:firstLine="420" w:firstLineChars="200"/>
        <w:rPr>
          <w:rFonts w:cs="Calibri"/>
          <w:szCs w:val="21"/>
          <w:highlight w:val="none"/>
        </w:rPr>
      </w:pPr>
      <w:r>
        <w:rPr>
          <w:rFonts w:cs="Calibri"/>
          <w:kern w:val="0"/>
          <w:szCs w:val="21"/>
          <w:highlight w:val="none"/>
        </w:rPr>
        <w:t>供应商如对磋商活动有异议，应当在活动现场提出，磋商活动组织人员将当场作出答复，并制作记录。</w:t>
      </w:r>
    </w:p>
    <w:p>
      <w:pPr>
        <w:pStyle w:val="5"/>
        <w:ind w:firstLine="422"/>
        <w:rPr>
          <w:rFonts w:cs="Calibri"/>
          <w:highlight w:val="none"/>
        </w:rPr>
      </w:pPr>
      <w:r>
        <w:rPr>
          <w:rFonts w:cs="Calibri"/>
          <w:highlight w:val="none"/>
        </w:rPr>
        <w:t>五、评审及合同签订</w:t>
      </w:r>
      <w:bookmarkEnd w:id="70"/>
    </w:p>
    <w:p>
      <w:pPr>
        <w:pStyle w:val="8"/>
        <w:ind w:firstLine="422"/>
        <w:rPr>
          <w:rFonts w:cs="Calibri"/>
          <w:highlight w:val="none"/>
        </w:rPr>
      </w:pPr>
      <w:r>
        <w:rPr>
          <w:rFonts w:cs="Calibri"/>
          <w:highlight w:val="none"/>
        </w:rPr>
        <w:t>5.1 评审</w:t>
      </w:r>
    </w:p>
    <w:p>
      <w:pPr>
        <w:adjustRightInd w:val="0"/>
        <w:ind w:firstLine="420" w:firstLineChars="200"/>
        <w:rPr>
          <w:rFonts w:cs="Calibri"/>
          <w:szCs w:val="21"/>
          <w:highlight w:val="none"/>
        </w:rPr>
      </w:pPr>
      <w:r>
        <w:rPr>
          <w:rFonts w:cs="Calibri"/>
          <w:szCs w:val="21"/>
          <w:highlight w:val="none"/>
        </w:rPr>
        <w:t>本项目采用综合评分法。</w:t>
      </w:r>
    </w:p>
    <w:p>
      <w:pPr>
        <w:adjustRightInd w:val="0"/>
        <w:ind w:firstLine="420" w:firstLineChars="200"/>
        <w:rPr>
          <w:rFonts w:cs="Calibri"/>
          <w:szCs w:val="21"/>
          <w:highlight w:val="none"/>
        </w:rPr>
      </w:pPr>
      <w:r>
        <w:rPr>
          <w:rFonts w:cs="Calibri"/>
          <w:szCs w:val="21"/>
          <w:highlight w:val="none"/>
        </w:rPr>
        <w:t>经磋商确定最终采购需求、供应商提交磋商承诺后，磋商小组根据评审办法完成商务技术评分并汇总。</w:t>
      </w:r>
    </w:p>
    <w:p>
      <w:pPr>
        <w:adjustRightInd w:val="0"/>
        <w:ind w:firstLine="420" w:firstLineChars="200"/>
        <w:rPr>
          <w:rFonts w:cs="Calibri"/>
          <w:szCs w:val="21"/>
          <w:highlight w:val="none"/>
        </w:rPr>
      </w:pPr>
      <w:r>
        <w:rPr>
          <w:rFonts w:cs="Calibri"/>
          <w:szCs w:val="21"/>
          <w:highlight w:val="none"/>
        </w:rPr>
        <w:t>供应商提交最后报价后，磋商小组根据评审办法对报价进行评分并汇总。</w:t>
      </w:r>
    </w:p>
    <w:p>
      <w:pPr>
        <w:adjustRightInd w:val="0"/>
        <w:ind w:firstLine="420" w:firstLineChars="200"/>
        <w:rPr>
          <w:rFonts w:cs="Calibri"/>
          <w:szCs w:val="21"/>
          <w:highlight w:val="none"/>
        </w:rPr>
      </w:pPr>
      <w:r>
        <w:rPr>
          <w:rFonts w:cs="Calibri"/>
          <w:szCs w:val="21"/>
          <w:highlight w:val="none"/>
        </w:rPr>
        <w:t>政府采购云平台汇总各供应商的商务技术分、报价分作为各供应商的评审得分。</w:t>
      </w:r>
    </w:p>
    <w:p>
      <w:pPr>
        <w:adjustRightInd w:val="0"/>
        <w:ind w:firstLine="420" w:firstLineChars="200"/>
        <w:rPr>
          <w:rFonts w:cs="Calibri"/>
          <w:szCs w:val="21"/>
          <w:highlight w:val="none"/>
        </w:rPr>
      </w:pPr>
      <w:r>
        <w:rPr>
          <w:rFonts w:cs="Calibri"/>
          <w:szCs w:val="21"/>
          <w:highlight w:val="none"/>
        </w:rPr>
        <w:t>具体评审办法详见“第五章磋商评审办法”。本项目原则上采用电子评审方法。</w:t>
      </w:r>
    </w:p>
    <w:p>
      <w:pPr>
        <w:adjustRightInd w:val="0"/>
        <w:ind w:firstLine="420" w:firstLineChars="200"/>
        <w:rPr>
          <w:rFonts w:cs="Calibri"/>
          <w:szCs w:val="21"/>
          <w:highlight w:val="none"/>
        </w:rPr>
      </w:pPr>
      <w:r>
        <w:rPr>
          <w:rFonts w:cs="Calibri"/>
          <w:szCs w:val="21"/>
          <w:highlight w:val="none"/>
        </w:rPr>
        <w:t>磋商小组根据综合评分情况，将供应商的评审得分由高到低顺序，并推荐3名以上成交候选供应商，并编写评审报告。符合《政府采购竞争性磋商采购方式管理暂行办法》第二十一条第三款情形的和《关于政府采购竞争性磋商采购方式管理暂行办法有关问题的补充通知》（财库〔2015〕124号），可以推荐2家成交候选供应商。评审得分相同的，按照最后报价由低到高的顺序推荐。评审得分且最后报价相同的，按照技术服务水平优劣顺序推荐。</w:t>
      </w:r>
    </w:p>
    <w:p>
      <w:pPr>
        <w:pStyle w:val="8"/>
        <w:ind w:firstLine="422"/>
        <w:rPr>
          <w:rFonts w:cs="Calibri"/>
          <w:highlight w:val="none"/>
        </w:rPr>
      </w:pPr>
      <w:r>
        <w:rPr>
          <w:rFonts w:cs="Calibri"/>
          <w:highlight w:val="none"/>
        </w:rPr>
        <w:t>5.2 终止竞争性磋商采购活动</w:t>
      </w:r>
    </w:p>
    <w:p>
      <w:pPr>
        <w:adjustRightInd w:val="0"/>
        <w:ind w:firstLine="420" w:firstLineChars="200"/>
        <w:rPr>
          <w:rFonts w:cs="Calibri"/>
          <w:szCs w:val="21"/>
          <w:highlight w:val="none"/>
        </w:rPr>
      </w:pPr>
      <w:r>
        <w:rPr>
          <w:rFonts w:cs="Calibri"/>
          <w:szCs w:val="21"/>
          <w:highlight w:val="none"/>
        </w:rPr>
        <w:t>出现下列情形之一的，采购组织机构将终止竞争性磋商采购活动：</w:t>
      </w:r>
    </w:p>
    <w:p>
      <w:pPr>
        <w:adjustRightInd w:val="0"/>
        <w:ind w:firstLine="420" w:firstLineChars="200"/>
        <w:rPr>
          <w:rFonts w:cs="Calibri"/>
          <w:szCs w:val="21"/>
          <w:highlight w:val="none"/>
        </w:rPr>
      </w:pPr>
      <w:r>
        <w:rPr>
          <w:rFonts w:cs="Calibri"/>
          <w:szCs w:val="21"/>
          <w:highlight w:val="none"/>
        </w:rPr>
        <w:t>（1）因情况变化，不再符合规定的竞争性磋商采购方式适用情形的；</w:t>
      </w:r>
    </w:p>
    <w:p>
      <w:pPr>
        <w:adjustRightInd w:val="0"/>
        <w:ind w:firstLine="420" w:firstLineChars="200"/>
        <w:rPr>
          <w:rFonts w:cs="Calibri"/>
          <w:szCs w:val="21"/>
          <w:highlight w:val="none"/>
        </w:rPr>
      </w:pPr>
      <w:r>
        <w:rPr>
          <w:rFonts w:cs="Calibri"/>
          <w:szCs w:val="21"/>
          <w:highlight w:val="none"/>
        </w:rPr>
        <w:t>（2）出现影响采购公正的违法、违规行为的；</w:t>
      </w:r>
    </w:p>
    <w:p>
      <w:pPr>
        <w:adjustRightInd w:val="0"/>
        <w:ind w:firstLine="420" w:firstLineChars="200"/>
        <w:rPr>
          <w:rFonts w:cs="Calibri"/>
          <w:szCs w:val="21"/>
          <w:highlight w:val="none"/>
        </w:rPr>
      </w:pPr>
      <w:r>
        <w:rPr>
          <w:rFonts w:cs="Calibri"/>
          <w:szCs w:val="21"/>
          <w:highlight w:val="none"/>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pPr>
        <w:adjustRightInd w:val="0"/>
        <w:ind w:firstLine="420" w:firstLineChars="200"/>
        <w:rPr>
          <w:rFonts w:cs="Calibri"/>
          <w:szCs w:val="21"/>
          <w:highlight w:val="none"/>
        </w:rPr>
      </w:pPr>
      <w:r>
        <w:rPr>
          <w:rFonts w:cs="Calibri"/>
          <w:szCs w:val="21"/>
          <w:highlight w:val="none"/>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pPr>
        <w:adjustRightInd w:val="0"/>
        <w:ind w:firstLine="420" w:firstLineChars="200"/>
        <w:rPr>
          <w:rFonts w:cs="Calibri"/>
          <w:szCs w:val="21"/>
          <w:highlight w:val="none"/>
        </w:rPr>
      </w:pPr>
      <w:r>
        <w:rPr>
          <w:rFonts w:cs="Calibri"/>
          <w:szCs w:val="21"/>
          <w:highlight w:val="none"/>
        </w:rPr>
        <w:t>（5）因重大变故，采购任务取消的；</w:t>
      </w:r>
    </w:p>
    <w:p>
      <w:pPr>
        <w:pStyle w:val="8"/>
        <w:ind w:firstLine="422"/>
        <w:rPr>
          <w:rFonts w:cs="Calibri"/>
          <w:highlight w:val="none"/>
        </w:rPr>
      </w:pPr>
      <w:r>
        <w:rPr>
          <w:rFonts w:cs="Calibri"/>
          <w:highlight w:val="none"/>
        </w:rPr>
        <w:t>5.3 确定采购结果</w:t>
      </w:r>
    </w:p>
    <w:p>
      <w:pPr>
        <w:adjustRightInd w:val="0"/>
        <w:ind w:firstLine="420" w:firstLineChars="200"/>
        <w:rPr>
          <w:rFonts w:cs="Calibri"/>
          <w:szCs w:val="21"/>
          <w:highlight w:val="none"/>
        </w:rPr>
      </w:pPr>
      <w:r>
        <w:rPr>
          <w:rFonts w:cs="Calibri"/>
          <w:szCs w:val="21"/>
          <w:highlight w:val="none"/>
        </w:rPr>
        <w:t>采购代理机构在评审结束后2个工作日内将评审报告送采购人确认；</w:t>
      </w:r>
    </w:p>
    <w:p>
      <w:pPr>
        <w:pStyle w:val="67"/>
        <w:spacing w:line="300" w:lineRule="auto"/>
        <w:ind w:firstLine="420"/>
        <w:rPr>
          <w:rFonts w:ascii="Calibri" w:hAnsi="Calibri" w:cs="Calibri"/>
          <w:highlight w:val="none"/>
        </w:rPr>
      </w:pPr>
      <w:r>
        <w:rPr>
          <w:rFonts w:ascii="Calibri" w:hAnsi="Calibri" w:cs="Calibri"/>
          <w:highlight w:val="none"/>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8"/>
        <w:ind w:firstLine="422"/>
        <w:rPr>
          <w:rFonts w:cs="Calibri"/>
          <w:highlight w:val="none"/>
        </w:rPr>
      </w:pPr>
      <w:r>
        <w:rPr>
          <w:rFonts w:cs="Calibri"/>
          <w:highlight w:val="none"/>
        </w:rPr>
        <w:t>5.4 结果公告</w:t>
      </w:r>
    </w:p>
    <w:p>
      <w:pPr>
        <w:adjustRightInd w:val="0"/>
        <w:ind w:firstLine="420" w:firstLineChars="200"/>
        <w:rPr>
          <w:rFonts w:cs="Calibri"/>
          <w:szCs w:val="21"/>
          <w:highlight w:val="none"/>
        </w:rPr>
      </w:pPr>
      <w:r>
        <w:rPr>
          <w:rFonts w:cs="Calibri"/>
          <w:szCs w:val="21"/>
          <w:highlight w:val="none"/>
        </w:rPr>
        <w:t>在采购人确认采购结果后，采购代理机构将成交结果发布在政府采购网上进行公告。</w:t>
      </w:r>
    </w:p>
    <w:p>
      <w:pPr>
        <w:pStyle w:val="8"/>
        <w:ind w:firstLine="422"/>
        <w:rPr>
          <w:rFonts w:cs="Calibri"/>
          <w:highlight w:val="none"/>
        </w:rPr>
      </w:pPr>
      <w:r>
        <w:rPr>
          <w:rFonts w:cs="Calibri"/>
          <w:highlight w:val="none"/>
        </w:rPr>
        <w:t>5.5 发出成交通知书</w:t>
      </w:r>
    </w:p>
    <w:p>
      <w:pPr>
        <w:adjustRightInd w:val="0"/>
        <w:ind w:firstLine="420" w:firstLineChars="200"/>
        <w:rPr>
          <w:rFonts w:cs="Calibri"/>
          <w:szCs w:val="21"/>
          <w:highlight w:val="none"/>
        </w:rPr>
      </w:pPr>
      <w:r>
        <w:rPr>
          <w:rFonts w:cs="Calibri"/>
          <w:szCs w:val="21"/>
          <w:highlight w:val="none"/>
        </w:rPr>
        <w:t>5.5.1发布成交结果公告同时，采购代理机构将以书面形式向成交供应商发出成交通知书。</w:t>
      </w:r>
    </w:p>
    <w:p>
      <w:pPr>
        <w:pStyle w:val="8"/>
        <w:ind w:firstLine="422"/>
        <w:rPr>
          <w:rFonts w:cs="Calibri"/>
          <w:highlight w:val="none"/>
        </w:rPr>
      </w:pPr>
      <w:r>
        <w:rPr>
          <w:rFonts w:cs="Calibri"/>
          <w:highlight w:val="none"/>
        </w:rPr>
        <w:t>5.6 采购过程、采购结果质疑</w:t>
      </w:r>
    </w:p>
    <w:p>
      <w:pPr>
        <w:adjustRightInd w:val="0"/>
        <w:ind w:firstLine="420" w:firstLineChars="200"/>
        <w:rPr>
          <w:rFonts w:cs="Calibri"/>
          <w:szCs w:val="21"/>
          <w:highlight w:val="none"/>
        </w:rPr>
      </w:pPr>
      <w:r>
        <w:rPr>
          <w:rFonts w:cs="Calibri"/>
          <w:szCs w:val="21"/>
          <w:highlight w:val="none"/>
        </w:rPr>
        <w:t>5.6.1供应商认为采购过程、采购结果使自己的合法权益受到损害的，供应商可以提出书面质疑。质疑应当有明确的请求和必要的证明材料。</w:t>
      </w:r>
    </w:p>
    <w:p>
      <w:pPr>
        <w:adjustRightInd w:val="0"/>
        <w:ind w:firstLine="420" w:firstLineChars="200"/>
        <w:rPr>
          <w:rFonts w:cs="Calibri"/>
          <w:szCs w:val="21"/>
          <w:highlight w:val="none"/>
        </w:rPr>
      </w:pPr>
      <w:r>
        <w:rPr>
          <w:rFonts w:cs="Calibri"/>
          <w:szCs w:val="21"/>
          <w:highlight w:val="none"/>
        </w:rPr>
        <w:t>5.6.2质疑书须包括以下内容：</w:t>
      </w:r>
    </w:p>
    <w:p>
      <w:pPr>
        <w:adjustRightInd w:val="0"/>
        <w:ind w:firstLine="420" w:firstLineChars="200"/>
        <w:rPr>
          <w:rFonts w:cs="Calibri"/>
          <w:szCs w:val="21"/>
          <w:highlight w:val="none"/>
        </w:rPr>
      </w:pPr>
      <w:r>
        <w:rPr>
          <w:rFonts w:cs="Calibri"/>
          <w:szCs w:val="21"/>
          <w:highlight w:val="none"/>
        </w:rPr>
        <w:t>（1）供应商的姓名或者名称、地址、邮编、联系人及联系电话；</w:t>
      </w:r>
    </w:p>
    <w:p>
      <w:pPr>
        <w:adjustRightInd w:val="0"/>
        <w:ind w:firstLine="420" w:firstLineChars="200"/>
        <w:rPr>
          <w:rFonts w:cs="Calibri"/>
          <w:szCs w:val="21"/>
          <w:highlight w:val="none"/>
        </w:rPr>
      </w:pPr>
      <w:r>
        <w:rPr>
          <w:rFonts w:cs="Calibri"/>
          <w:szCs w:val="21"/>
          <w:highlight w:val="none"/>
        </w:rPr>
        <w:t>（2）质疑项目的名称、编号；</w:t>
      </w:r>
    </w:p>
    <w:p>
      <w:pPr>
        <w:adjustRightInd w:val="0"/>
        <w:ind w:firstLine="420" w:firstLineChars="200"/>
        <w:rPr>
          <w:rFonts w:cs="Calibri"/>
          <w:szCs w:val="21"/>
          <w:highlight w:val="none"/>
        </w:rPr>
      </w:pPr>
      <w:r>
        <w:rPr>
          <w:rFonts w:cs="Calibri"/>
          <w:szCs w:val="21"/>
          <w:highlight w:val="none"/>
        </w:rPr>
        <w:t>（3）具体、明确的质疑事项和与质疑事项相关的请求；</w:t>
      </w:r>
    </w:p>
    <w:p>
      <w:pPr>
        <w:adjustRightInd w:val="0"/>
        <w:ind w:firstLine="420" w:firstLineChars="200"/>
        <w:rPr>
          <w:rFonts w:cs="Calibri"/>
          <w:szCs w:val="21"/>
          <w:highlight w:val="none"/>
        </w:rPr>
      </w:pPr>
      <w:r>
        <w:rPr>
          <w:rFonts w:cs="Calibri"/>
          <w:szCs w:val="21"/>
          <w:highlight w:val="none"/>
        </w:rPr>
        <w:t>（4）事实依据；</w:t>
      </w:r>
    </w:p>
    <w:p>
      <w:pPr>
        <w:adjustRightInd w:val="0"/>
        <w:ind w:firstLine="420" w:firstLineChars="200"/>
        <w:rPr>
          <w:rFonts w:cs="Calibri"/>
          <w:szCs w:val="21"/>
          <w:highlight w:val="none"/>
        </w:rPr>
      </w:pPr>
      <w:r>
        <w:rPr>
          <w:rFonts w:cs="Calibri"/>
          <w:szCs w:val="21"/>
          <w:highlight w:val="none"/>
        </w:rPr>
        <w:t>（5）必要的法律依据；</w:t>
      </w:r>
    </w:p>
    <w:p>
      <w:pPr>
        <w:adjustRightInd w:val="0"/>
        <w:ind w:firstLine="420" w:firstLineChars="200"/>
        <w:rPr>
          <w:rFonts w:cs="Calibri"/>
          <w:szCs w:val="21"/>
          <w:highlight w:val="none"/>
        </w:rPr>
      </w:pPr>
      <w:r>
        <w:rPr>
          <w:rFonts w:cs="Calibri"/>
          <w:szCs w:val="21"/>
          <w:highlight w:val="none"/>
        </w:rPr>
        <w:t>（6）提出质疑的日期。</w:t>
      </w:r>
    </w:p>
    <w:p>
      <w:pPr>
        <w:adjustRightInd w:val="0"/>
        <w:ind w:firstLine="420" w:firstLineChars="200"/>
        <w:rPr>
          <w:rFonts w:cs="Calibri"/>
          <w:szCs w:val="21"/>
          <w:highlight w:val="none"/>
        </w:rPr>
      </w:pPr>
      <w:r>
        <w:rPr>
          <w:rFonts w:cs="Calibri"/>
          <w:szCs w:val="21"/>
          <w:highlight w:val="none"/>
        </w:rPr>
        <w:t>5.6.3采购过程的质疑期限自为各采购程序环节结束之日起7个工作日内，供应商应在质疑期限内一次性向采购代理机构提出针对采购过程的质疑，逾期提出不予受理。</w:t>
      </w:r>
    </w:p>
    <w:p>
      <w:pPr>
        <w:adjustRightInd w:val="0"/>
        <w:ind w:firstLine="420" w:firstLineChars="200"/>
        <w:rPr>
          <w:rFonts w:cs="Calibri"/>
          <w:szCs w:val="21"/>
          <w:highlight w:val="none"/>
        </w:rPr>
      </w:pPr>
      <w:r>
        <w:rPr>
          <w:rFonts w:cs="Calibri"/>
          <w:szCs w:val="21"/>
          <w:highlight w:val="none"/>
        </w:rPr>
        <w:t>采购结果的质疑期限自采购结果公告期限届满之日（公告发布之日后第2个工作日）起7个工作日内，供应商应在质疑期限内一次性向采购代理机构提出针对采购结果的质疑，逾期提出不予受理。</w:t>
      </w:r>
    </w:p>
    <w:p>
      <w:pPr>
        <w:adjustRightInd w:val="0"/>
        <w:ind w:firstLine="420" w:firstLineChars="200"/>
        <w:rPr>
          <w:rFonts w:cs="Calibri"/>
          <w:szCs w:val="21"/>
          <w:highlight w:val="none"/>
        </w:rPr>
      </w:pPr>
      <w:r>
        <w:rPr>
          <w:rFonts w:cs="Calibri"/>
          <w:szCs w:val="21"/>
          <w:highlight w:val="none"/>
        </w:rPr>
        <w:t>5.6.4质疑书中涉及的相关材料中有外文资料的，应当将与质疑相关的外文资料完整、客观、真实地翻译为中文，并注明翻译人员姓名、工作单位、联系方式等信息。</w:t>
      </w:r>
    </w:p>
    <w:p>
      <w:pPr>
        <w:adjustRightInd w:val="0"/>
        <w:ind w:firstLine="420" w:firstLineChars="200"/>
        <w:rPr>
          <w:rFonts w:cs="Calibri"/>
          <w:szCs w:val="21"/>
          <w:highlight w:val="none"/>
        </w:rPr>
      </w:pPr>
      <w:r>
        <w:rPr>
          <w:rFonts w:cs="Calibri"/>
          <w:szCs w:val="21"/>
          <w:highlight w:val="none"/>
        </w:rPr>
        <w:t>5.6.5供应商为自然人的，应当由本人签字；供应商为法人或者其他组织的，应当由法定代表人、主要负责人，或者其授权代表签字或者盖章，并加盖公章。否则不予受理。</w:t>
      </w:r>
    </w:p>
    <w:p>
      <w:pPr>
        <w:adjustRightInd w:val="0"/>
        <w:ind w:firstLine="420" w:firstLineChars="200"/>
        <w:rPr>
          <w:rFonts w:cs="Calibri"/>
          <w:szCs w:val="21"/>
          <w:highlight w:val="none"/>
        </w:rPr>
      </w:pPr>
      <w:r>
        <w:rPr>
          <w:rFonts w:cs="Calibri"/>
          <w:szCs w:val="21"/>
          <w:highlight w:val="none"/>
        </w:rPr>
        <w:t>5.6.6</w:t>
      </w:r>
      <w:r>
        <w:rPr>
          <w:rFonts w:cs="Calibri"/>
          <w:highlight w:val="none"/>
        </w:rPr>
        <w:t>质疑书以直接送达或邮寄送达方式（份数为一式三份）或传真送达方式或以扫描件在线提交方式</w:t>
      </w:r>
      <w:r>
        <w:rPr>
          <w:rFonts w:cs="Calibri"/>
          <w:szCs w:val="21"/>
          <w:highlight w:val="none"/>
        </w:rPr>
        <w:t>。</w:t>
      </w:r>
    </w:p>
    <w:p>
      <w:pPr>
        <w:adjustRightInd w:val="0"/>
        <w:ind w:firstLine="420" w:firstLineChars="200"/>
        <w:rPr>
          <w:rFonts w:cs="Calibri"/>
          <w:szCs w:val="21"/>
          <w:highlight w:val="none"/>
        </w:rPr>
      </w:pPr>
      <w:r>
        <w:rPr>
          <w:rFonts w:cs="Calibri"/>
          <w:szCs w:val="21"/>
          <w:highlight w:val="none"/>
        </w:rPr>
        <w:t>5.6.7质疑书以传真形式提交后，同时须向采购代理机构提交质疑书原件，采购代理机构以收到原件之日作为收到质疑日。</w:t>
      </w:r>
    </w:p>
    <w:p>
      <w:pPr>
        <w:adjustRightInd w:val="0"/>
        <w:ind w:firstLine="420" w:firstLineChars="200"/>
        <w:rPr>
          <w:rFonts w:cs="Calibri"/>
          <w:szCs w:val="21"/>
          <w:highlight w:val="none"/>
        </w:rPr>
      </w:pPr>
      <w:r>
        <w:rPr>
          <w:rFonts w:cs="Calibri"/>
          <w:szCs w:val="21"/>
          <w:highlight w:val="none"/>
        </w:rPr>
        <w:t>5.6.8供应商不得捏造事实、提供虚假材料或者以非法手段取得证明材料进行质疑。</w:t>
      </w:r>
    </w:p>
    <w:p>
      <w:pPr>
        <w:adjustRightInd w:val="0"/>
        <w:ind w:firstLine="420" w:firstLineChars="200"/>
        <w:rPr>
          <w:rFonts w:cs="Calibri"/>
          <w:szCs w:val="21"/>
          <w:highlight w:val="none"/>
        </w:rPr>
      </w:pPr>
      <w:r>
        <w:rPr>
          <w:rFonts w:cs="Calibri"/>
          <w:highlight w:val="none"/>
        </w:rPr>
        <w:t>5.6.9</w:t>
      </w:r>
      <w:r>
        <w:rPr>
          <w:rFonts w:cs="Calibri"/>
          <w:szCs w:val="21"/>
          <w:highlight w:val="none"/>
        </w:rPr>
        <w:t>如联合体响应，质疑应由组成联合体的所有供应商共同提出。</w:t>
      </w:r>
    </w:p>
    <w:p>
      <w:pPr>
        <w:pStyle w:val="8"/>
        <w:ind w:firstLine="422"/>
        <w:rPr>
          <w:rFonts w:cs="Calibri"/>
          <w:highlight w:val="none"/>
        </w:rPr>
      </w:pPr>
      <w:r>
        <w:rPr>
          <w:rFonts w:cs="Calibri"/>
          <w:highlight w:val="none"/>
        </w:rPr>
        <w:t>5.7 签订合同</w:t>
      </w:r>
    </w:p>
    <w:p>
      <w:pPr>
        <w:adjustRightInd w:val="0"/>
        <w:ind w:firstLine="420" w:firstLineChars="200"/>
        <w:rPr>
          <w:rFonts w:cs="Calibri"/>
          <w:szCs w:val="21"/>
          <w:highlight w:val="none"/>
        </w:rPr>
      </w:pPr>
      <w:r>
        <w:rPr>
          <w:rFonts w:cs="Calibri"/>
          <w:szCs w:val="21"/>
          <w:highlight w:val="none"/>
        </w:rPr>
        <w:t>5.7.1 成交供应商应在接到成交通知书后按成交通知书规定的时间、地点与采购人签订合同。</w:t>
      </w:r>
    </w:p>
    <w:p>
      <w:pPr>
        <w:adjustRightInd w:val="0"/>
        <w:ind w:firstLine="420" w:firstLineChars="200"/>
        <w:rPr>
          <w:rFonts w:cs="Calibri"/>
          <w:szCs w:val="21"/>
          <w:highlight w:val="none"/>
        </w:rPr>
      </w:pPr>
      <w:r>
        <w:rPr>
          <w:rFonts w:cs="Calibri"/>
          <w:szCs w:val="21"/>
          <w:highlight w:val="none"/>
        </w:rPr>
        <w:t>5.7.2采购文件及补充文件、磋商修改文件、成交供应商的磋商响应文件及磋商响应修改文件、磋商过程中有关承诺文件和成交通知书均作为合同附件。</w:t>
      </w:r>
    </w:p>
    <w:p>
      <w:pPr>
        <w:adjustRightInd w:val="0"/>
        <w:ind w:firstLine="420" w:firstLineChars="200"/>
        <w:rPr>
          <w:rFonts w:cs="Calibri"/>
          <w:szCs w:val="21"/>
          <w:highlight w:val="none"/>
        </w:rPr>
      </w:pPr>
      <w:r>
        <w:rPr>
          <w:rFonts w:cs="Calibri"/>
          <w:szCs w:val="21"/>
          <w:highlight w:val="none"/>
        </w:rPr>
        <w:t>5.7.3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ind w:firstLine="420" w:firstLineChars="200"/>
        <w:rPr>
          <w:rFonts w:cs="Calibri"/>
          <w:szCs w:val="21"/>
          <w:highlight w:val="none"/>
        </w:rPr>
      </w:pPr>
      <w:r>
        <w:rPr>
          <w:rFonts w:cs="Calibri"/>
          <w:szCs w:val="21"/>
          <w:highlight w:val="none"/>
        </w:rPr>
        <w:t>5.7.4拒签合同</w:t>
      </w:r>
    </w:p>
    <w:p>
      <w:pPr>
        <w:adjustRightInd w:val="0"/>
        <w:ind w:firstLine="420" w:firstLineChars="200"/>
        <w:rPr>
          <w:rFonts w:cs="Calibri"/>
          <w:szCs w:val="21"/>
          <w:highlight w:val="none"/>
        </w:rPr>
      </w:pPr>
      <w:r>
        <w:rPr>
          <w:rFonts w:cs="Calibri"/>
          <w:szCs w:val="21"/>
          <w:highlight w:val="none"/>
        </w:rPr>
        <w:t>成交供应商接到成交通知书后，在规定时间内借故否认已经承诺的条件而拒签合同者，以违约处理，并赔偿采购人由此造成的直接经济损失。采购人将向同级政府采购监管部门进行汇报。</w:t>
      </w:r>
    </w:p>
    <w:p>
      <w:pPr>
        <w:adjustRightInd w:val="0"/>
        <w:ind w:firstLine="420" w:firstLineChars="200"/>
        <w:rPr>
          <w:rFonts w:cs="Calibri"/>
          <w:szCs w:val="21"/>
          <w:highlight w:val="none"/>
        </w:rPr>
      </w:pPr>
      <w:r>
        <w:rPr>
          <w:rFonts w:cs="Calibri"/>
          <w:szCs w:val="21"/>
          <w:highlight w:val="none"/>
        </w:rPr>
        <w:t>成交供应商拒绝签订政府采购合同的，采购人可以按照评审报告推荐的成交候选人名单排序，确定下一候选人为成交供应商，也可以重新开展政府采购活动。拒绝签订政府采购合同的成交供应商不得参加对该项目重新开展的采购活动。</w:t>
      </w:r>
    </w:p>
    <w:p>
      <w:pPr>
        <w:pStyle w:val="8"/>
        <w:ind w:firstLine="422"/>
        <w:rPr>
          <w:rFonts w:cs="Calibri"/>
          <w:highlight w:val="none"/>
        </w:rPr>
      </w:pPr>
      <w:r>
        <w:rPr>
          <w:rFonts w:cs="Calibri"/>
          <w:highlight w:val="none"/>
        </w:rPr>
        <w:t>5.8 采购代理服务费</w:t>
      </w:r>
    </w:p>
    <w:p>
      <w:pPr>
        <w:adjustRightInd w:val="0"/>
        <w:ind w:firstLine="420" w:firstLineChars="200"/>
        <w:rPr>
          <w:rFonts w:cs="Calibri"/>
          <w:szCs w:val="21"/>
          <w:highlight w:val="none"/>
        </w:rPr>
      </w:pPr>
      <w:r>
        <w:rPr>
          <w:rFonts w:cs="Calibri"/>
          <w:szCs w:val="21"/>
          <w:highlight w:val="none"/>
        </w:rPr>
        <w:t>本次采购代理服务费按“磋商须知前附表”规定收取。</w:t>
      </w:r>
    </w:p>
    <w:p>
      <w:pPr>
        <w:adjustRightInd w:val="0"/>
        <w:ind w:firstLine="420" w:firstLineChars="200"/>
        <w:rPr>
          <w:rFonts w:cs="Calibri"/>
          <w:szCs w:val="21"/>
          <w:highlight w:val="none"/>
        </w:rPr>
      </w:pPr>
      <w:r>
        <w:rPr>
          <w:rFonts w:cs="Calibri"/>
          <w:szCs w:val="21"/>
          <w:highlight w:val="none"/>
        </w:rPr>
        <w:t>成交供应商不按采购文件规定交纳采购代理服务费，将取消其成交资格。成交供应商应向采购代理机构交纳采购文件规定的采购代理服务费作为赔偿。</w:t>
      </w:r>
    </w:p>
    <w:p>
      <w:pPr>
        <w:pStyle w:val="8"/>
        <w:ind w:firstLine="422"/>
        <w:rPr>
          <w:rFonts w:cs="Calibri"/>
          <w:highlight w:val="none"/>
        </w:rPr>
      </w:pPr>
      <w:r>
        <w:rPr>
          <w:rFonts w:cs="Calibri"/>
          <w:highlight w:val="none"/>
        </w:rPr>
        <w:t>六、其他</w:t>
      </w:r>
    </w:p>
    <w:p>
      <w:pPr>
        <w:adjustRightInd w:val="0"/>
        <w:ind w:firstLine="420" w:firstLineChars="200"/>
        <w:rPr>
          <w:rFonts w:cs="Calibri"/>
          <w:szCs w:val="21"/>
          <w:highlight w:val="none"/>
        </w:rPr>
      </w:pPr>
      <w:r>
        <w:rPr>
          <w:rFonts w:cs="Calibri"/>
          <w:szCs w:val="21"/>
          <w:highlight w:val="none"/>
        </w:rPr>
        <w:t>6.1采购过程中出现以下情形，导致电子交易平台无法正常运行，或者无法保证电子交易的公平、公正和安全时，采购组织机构将中止电子交易活动：</w:t>
      </w:r>
    </w:p>
    <w:p>
      <w:pPr>
        <w:adjustRightInd w:val="0"/>
        <w:ind w:firstLine="420" w:firstLineChars="200"/>
        <w:rPr>
          <w:rFonts w:cs="Calibri"/>
          <w:szCs w:val="21"/>
          <w:highlight w:val="none"/>
        </w:rPr>
      </w:pPr>
      <w:r>
        <w:rPr>
          <w:rFonts w:cs="Calibri"/>
          <w:szCs w:val="21"/>
          <w:highlight w:val="none"/>
        </w:rPr>
        <w:t>（1）电子交易平台发生故障而无法登录访问的；</w:t>
      </w:r>
    </w:p>
    <w:p>
      <w:pPr>
        <w:adjustRightInd w:val="0"/>
        <w:ind w:firstLine="420" w:firstLineChars="200"/>
        <w:rPr>
          <w:rFonts w:cs="Calibri"/>
          <w:szCs w:val="21"/>
          <w:highlight w:val="none"/>
        </w:rPr>
      </w:pPr>
      <w:r>
        <w:rPr>
          <w:rFonts w:cs="Calibri"/>
          <w:szCs w:val="21"/>
          <w:highlight w:val="none"/>
        </w:rPr>
        <w:t>（2）电子交易平台应用或数据库出现错误，不能进行正常操作的；</w:t>
      </w:r>
    </w:p>
    <w:p>
      <w:pPr>
        <w:adjustRightInd w:val="0"/>
        <w:ind w:firstLine="420" w:firstLineChars="200"/>
        <w:rPr>
          <w:rFonts w:cs="Calibri"/>
          <w:szCs w:val="21"/>
          <w:highlight w:val="none"/>
        </w:rPr>
      </w:pPr>
      <w:r>
        <w:rPr>
          <w:rFonts w:cs="Calibri"/>
          <w:szCs w:val="21"/>
          <w:highlight w:val="none"/>
        </w:rPr>
        <w:t>（3）电子交易平台发现严重安全漏洞，有潜在泄密危险的；</w:t>
      </w:r>
    </w:p>
    <w:p>
      <w:pPr>
        <w:adjustRightInd w:val="0"/>
        <w:ind w:firstLine="420" w:firstLineChars="200"/>
        <w:rPr>
          <w:rFonts w:cs="Calibri"/>
          <w:szCs w:val="21"/>
          <w:highlight w:val="none"/>
        </w:rPr>
      </w:pPr>
      <w:r>
        <w:rPr>
          <w:rFonts w:cs="Calibri"/>
          <w:szCs w:val="21"/>
          <w:highlight w:val="none"/>
        </w:rPr>
        <w:t>（4）病毒发作导致不能进行正常操作的；</w:t>
      </w:r>
    </w:p>
    <w:p>
      <w:pPr>
        <w:adjustRightInd w:val="0"/>
        <w:ind w:firstLine="420" w:firstLineChars="200"/>
        <w:rPr>
          <w:rFonts w:cs="Calibri"/>
          <w:szCs w:val="21"/>
          <w:highlight w:val="none"/>
        </w:rPr>
      </w:pPr>
      <w:r>
        <w:rPr>
          <w:rFonts w:cs="Calibri"/>
          <w:szCs w:val="21"/>
          <w:highlight w:val="none"/>
        </w:rPr>
        <w:t>（5）其他无法保证电子交易的公平、公正和安全的情况。</w:t>
      </w:r>
    </w:p>
    <w:p>
      <w:pPr>
        <w:adjustRightInd w:val="0"/>
        <w:ind w:firstLine="420" w:firstLineChars="200"/>
        <w:rPr>
          <w:rFonts w:cs="Calibri"/>
          <w:b/>
          <w:sz w:val="28"/>
          <w:szCs w:val="28"/>
          <w:highlight w:val="none"/>
        </w:rPr>
      </w:pPr>
      <w:r>
        <w:rPr>
          <w:rFonts w:cs="Calibri"/>
          <w:szCs w:val="21"/>
          <w:highlight w:val="none"/>
        </w:rPr>
        <w:t>出现前款规定情形，不影响采购公平、公正性的，采购组织机构将待上述情形消除后继续组织电子交易活动，也可以决定某些环节以纸质形式进行；影响或可能影响采购公平、公正性的，将重新采购。</w:t>
      </w:r>
      <w:r>
        <w:rPr>
          <w:rFonts w:cs="Calibri"/>
          <w:b/>
          <w:sz w:val="28"/>
          <w:szCs w:val="28"/>
          <w:highlight w:val="none"/>
        </w:rPr>
        <w:br w:type="page"/>
      </w:r>
    </w:p>
    <w:p>
      <w:pPr>
        <w:pStyle w:val="3"/>
        <w:rPr>
          <w:rFonts w:cs="Calibri"/>
          <w:color w:val="auto"/>
          <w:highlight w:val="none"/>
        </w:rPr>
      </w:pPr>
      <w:bookmarkStart w:id="71" w:name="_Toc8657"/>
      <w:bookmarkStart w:id="72" w:name="_Toc23596"/>
      <w:bookmarkStart w:id="73" w:name="_Toc227380487"/>
      <w:bookmarkStart w:id="74" w:name="_Toc82338246"/>
      <w:bookmarkStart w:id="75" w:name="_Toc82873329"/>
      <w:r>
        <w:rPr>
          <w:rFonts w:cs="Calibri"/>
          <w:color w:val="auto"/>
          <w:highlight w:val="none"/>
        </w:rPr>
        <w:t>第七章磋商响应文件格式</w:t>
      </w:r>
      <w:bookmarkEnd w:id="71"/>
      <w:bookmarkEnd w:id="72"/>
      <w:bookmarkEnd w:id="73"/>
      <w:bookmarkEnd w:id="74"/>
      <w:bookmarkEnd w:id="75"/>
    </w:p>
    <w:p>
      <w:pPr>
        <w:jc w:val="center"/>
        <w:rPr>
          <w:rFonts w:cs="Calibri"/>
          <w:highlight w:val="none"/>
        </w:rPr>
      </w:pPr>
      <w:r>
        <w:rPr>
          <w:rFonts w:cs="Calibri"/>
          <w:highlight w:val="none"/>
        </w:rPr>
        <w:t>（未提供格式的由供应商自拟）</w:t>
      </w:r>
    </w:p>
    <w:p>
      <w:pPr>
        <w:ind w:firstLine="2850" w:firstLineChars="1183"/>
        <w:jc w:val="left"/>
        <w:rPr>
          <w:rFonts w:ascii="宋体" w:hAnsi="宋体" w:cs="宋体"/>
          <w:b/>
          <w:sz w:val="24"/>
          <w:highlight w:val="none"/>
        </w:rPr>
      </w:pPr>
      <w:r>
        <w:rPr>
          <w:rFonts w:hint="eastAsia" w:ascii="宋体" w:hAnsi="宋体" w:cs="宋体"/>
          <w:b/>
          <w:sz w:val="24"/>
          <w:highlight w:val="none"/>
        </w:rPr>
        <w:t>法定代表人有效身份证明书</w:t>
      </w:r>
    </w:p>
    <w:p>
      <w:pPr>
        <w:pStyle w:val="6"/>
        <w:spacing w:line="400" w:lineRule="exact"/>
        <w:ind w:firstLine="513" w:firstLineChars="156"/>
        <w:jc w:val="center"/>
        <w:rPr>
          <w:rFonts w:ascii="宋体" w:hAnsi="宋体" w:cs="宋体"/>
          <w:b/>
          <w:bCs/>
          <w:spacing w:val="24"/>
          <w:sz w:val="28"/>
          <w:szCs w:val="28"/>
          <w:highlight w:val="none"/>
        </w:rPr>
      </w:pPr>
    </w:p>
    <w:p>
      <w:pPr>
        <w:pStyle w:val="6"/>
        <w:spacing w:line="400" w:lineRule="exact"/>
        <w:ind w:firstLine="451" w:firstLineChars="156"/>
        <w:jc w:val="center"/>
        <w:rPr>
          <w:rFonts w:ascii="宋体" w:hAnsi="宋体" w:cs="宋体"/>
          <w:b/>
          <w:bCs/>
          <w:spacing w:val="24"/>
          <w:sz w:val="24"/>
          <w:highlight w:val="none"/>
        </w:rPr>
      </w:pPr>
    </w:p>
    <w:p>
      <w:pPr>
        <w:pStyle w:val="6"/>
        <w:spacing w:line="400" w:lineRule="exact"/>
        <w:ind w:firstLine="1560" w:firstLineChars="650"/>
        <w:rPr>
          <w:rFonts w:ascii="宋体" w:hAnsi="宋体" w:cs="宋体"/>
          <w:sz w:val="24"/>
          <w:highlight w:val="none"/>
        </w:rPr>
      </w:pPr>
      <w:r>
        <w:rPr>
          <w:rFonts w:hint="eastAsia" w:ascii="宋体" w:hAnsi="宋体" w:cs="宋体"/>
          <w:sz w:val="24"/>
          <w:highlight w:val="none"/>
        </w:rPr>
        <w:t>（姓名）是</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（单位全称）的法定代表人，身份证号码为</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p>
    <w:p>
      <w:pPr>
        <w:pStyle w:val="6"/>
        <w:spacing w:line="400" w:lineRule="exact"/>
        <w:ind w:firstLine="374" w:firstLineChars="156"/>
        <w:rPr>
          <w:rFonts w:ascii="宋体" w:hAnsi="宋体" w:cs="宋体"/>
          <w:sz w:val="24"/>
          <w:highlight w:val="none"/>
        </w:rPr>
      </w:pPr>
    </w:p>
    <w:p>
      <w:pPr>
        <w:pStyle w:val="6"/>
        <w:spacing w:line="400" w:lineRule="exact"/>
        <w:ind w:firstLine="374" w:firstLineChars="156"/>
        <w:rPr>
          <w:rFonts w:ascii="宋体" w:hAnsi="宋体" w:cs="宋体"/>
          <w:sz w:val="24"/>
          <w:highlight w:val="none"/>
        </w:rPr>
      </w:pPr>
    </w:p>
    <w:p>
      <w:pPr>
        <w:pStyle w:val="6"/>
        <w:spacing w:line="400" w:lineRule="exact"/>
        <w:ind w:firstLine="374" w:firstLineChars="156"/>
        <w:rPr>
          <w:rFonts w:ascii="宋体" w:hAnsi="宋体" w:cs="宋体"/>
          <w:sz w:val="24"/>
          <w:highlight w:val="none"/>
        </w:rPr>
      </w:pPr>
      <w:r>
        <w:rPr>
          <w:rFonts w:hint="eastAsia" w:ascii="宋体" w:hAnsi="宋体" w:cs="宋体"/>
          <w:sz w:val="24"/>
          <w:highlight w:val="none"/>
        </w:rPr>
        <w:t xml:space="preserve">    特此证明</w:t>
      </w:r>
    </w:p>
    <w:p>
      <w:pPr>
        <w:pStyle w:val="6"/>
        <w:spacing w:line="400" w:lineRule="exact"/>
        <w:ind w:firstLine="374" w:firstLineChars="156"/>
        <w:rPr>
          <w:rFonts w:ascii="宋体" w:hAnsi="宋体" w:cs="宋体"/>
          <w:sz w:val="24"/>
          <w:highlight w:val="none"/>
        </w:rPr>
      </w:pPr>
    </w:p>
    <w:p>
      <w:pPr>
        <w:pStyle w:val="6"/>
        <w:spacing w:line="400" w:lineRule="exact"/>
        <w:ind w:firstLine="374" w:firstLineChars="156"/>
        <w:rPr>
          <w:rFonts w:ascii="宋体" w:hAnsi="宋体" w:cs="宋体"/>
          <w:sz w:val="24"/>
          <w:highlight w:val="none"/>
        </w:rPr>
      </w:pPr>
    </w:p>
    <w:p>
      <w:pPr>
        <w:pStyle w:val="6"/>
        <w:spacing w:line="400" w:lineRule="exact"/>
        <w:ind w:firstLine="374" w:firstLineChars="156"/>
        <w:rPr>
          <w:rFonts w:ascii="宋体" w:hAnsi="宋体" w:cs="宋体"/>
          <w:sz w:val="24"/>
          <w:highlight w:val="none"/>
        </w:rPr>
      </w:pPr>
    </w:p>
    <w:p>
      <w:pPr>
        <w:pStyle w:val="6"/>
        <w:spacing w:line="400" w:lineRule="exact"/>
        <w:ind w:firstLine="374" w:firstLineChars="156"/>
        <w:rPr>
          <w:rFonts w:ascii="宋体" w:hAnsi="宋体" w:cs="宋体"/>
          <w:sz w:val="24"/>
          <w:highlight w:val="none"/>
        </w:rPr>
      </w:pPr>
    </w:p>
    <w:p>
      <w:pPr>
        <w:pStyle w:val="6"/>
        <w:spacing w:line="400" w:lineRule="exact"/>
        <w:ind w:firstLine="374" w:firstLineChars="156"/>
        <w:rPr>
          <w:rFonts w:ascii="宋体" w:hAnsi="宋体" w:cs="宋体"/>
          <w:sz w:val="24"/>
          <w:highlight w:val="none"/>
        </w:rPr>
      </w:pPr>
      <w:r>
        <w:rPr>
          <w:rFonts w:hint="eastAsia" w:ascii="宋体" w:hAnsi="宋体" w:cs="宋体"/>
          <w:sz w:val="24"/>
          <w:highlight w:val="none"/>
        </w:rPr>
        <w:t xml:space="preserve">                      竞标人：（盖章）</w:t>
      </w:r>
    </w:p>
    <w:p>
      <w:pPr>
        <w:pStyle w:val="6"/>
        <w:spacing w:line="400" w:lineRule="exact"/>
        <w:ind w:firstLine="374" w:firstLineChars="156"/>
        <w:rPr>
          <w:rFonts w:ascii="宋体" w:hAnsi="宋体" w:cs="宋体"/>
          <w:sz w:val="24"/>
          <w:highlight w:val="none"/>
        </w:rPr>
      </w:pPr>
    </w:p>
    <w:p>
      <w:pPr>
        <w:pStyle w:val="6"/>
        <w:spacing w:line="400" w:lineRule="exact"/>
        <w:ind w:firstLine="3012" w:firstLineChars="1255"/>
        <w:rPr>
          <w:rFonts w:ascii="宋体" w:hAnsi="宋体" w:cs="宋体"/>
          <w:sz w:val="24"/>
          <w:highlight w:val="none"/>
        </w:rPr>
      </w:pPr>
      <w:r>
        <w:rPr>
          <w:rFonts w:hint="eastAsia" w:ascii="宋体" w:hAnsi="宋体" w:cs="宋体"/>
          <w:sz w:val="24"/>
          <w:highlight w:val="none"/>
        </w:rPr>
        <w:t>法定代表人或其授权代理人（签名或盖章）</w:t>
      </w:r>
    </w:p>
    <w:p>
      <w:pPr>
        <w:pStyle w:val="6"/>
        <w:spacing w:line="400" w:lineRule="exact"/>
        <w:ind w:firstLine="374" w:firstLineChars="156"/>
        <w:jc w:val="center"/>
        <w:rPr>
          <w:rFonts w:ascii="宋体" w:hAnsi="宋体" w:cs="宋体"/>
          <w:sz w:val="24"/>
          <w:highlight w:val="none"/>
        </w:rPr>
      </w:pPr>
    </w:p>
    <w:p>
      <w:pPr>
        <w:pStyle w:val="6"/>
        <w:spacing w:line="400" w:lineRule="exact"/>
        <w:ind w:firstLine="374" w:firstLineChars="156"/>
        <w:rPr>
          <w:rFonts w:ascii="宋体" w:hAnsi="宋体" w:cs="宋体"/>
          <w:sz w:val="24"/>
          <w:highlight w:val="none"/>
        </w:rPr>
      </w:pPr>
      <w:r>
        <w:rPr>
          <w:rFonts w:hint="eastAsia" w:ascii="宋体" w:hAnsi="宋体" w:cs="宋体"/>
          <w:sz w:val="24"/>
          <w:highlight w:val="none"/>
        </w:rPr>
        <w:t xml:space="preserve">                                            日期：    年   月   日</w:t>
      </w:r>
    </w:p>
    <w:p>
      <w:pPr>
        <w:pStyle w:val="6"/>
        <w:spacing w:line="400" w:lineRule="exact"/>
        <w:ind w:firstLine="374" w:firstLineChars="156"/>
        <w:jc w:val="center"/>
        <w:rPr>
          <w:rFonts w:ascii="宋体" w:hAnsi="宋体" w:cs="宋体"/>
          <w:sz w:val="24"/>
          <w:highlight w:val="none"/>
        </w:rPr>
      </w:pPr>
    </w:p>
    <w:p>
      <w:pPr>
        <w:pStyle w:val="6"/>
        <w:spacing w:line="400" w:lineRule="exact"/>
        <w:ind w:firstLine="374" w:firstLineChars="156"/>
        <w:rPr>
          <w:rFonts w:ascii="宋体" w:hAnsi="宋体" w:cs="宋体"/>
          <w:sz w:val="24"/>
          <w:highlight w:val="none"/>
        </w:rPr>
      </w:pPr>
      <w:r>
        <w:rPr>
          <w:rFonts w:hint="eastAsia" w:ascii="宋体" w:hAnsi="宋体" w:cs="宋体"/>
          <w:sz w:val="24"/>
          <w:highlight w:val="none"/>
        </w:rPr>
        <w:t>————————————————————————————————</w:t>
      </w:r>
    </w:p>
    <w:p>
      <w:pPr>
        <w:pStyle w:val="6"/>
        <w:spacing w:line="400" w:lineRule="exact"/>
        <w:ind w:firstLine="0"/>
        <w:rPr>
          <w:rFonts w:ascii="宋体" w:hAnsi="宋体" w:cs="宋体"/>
          <w:sz w:val="24"/>
          <w:highlight w:val="none"/>
        </w:rPr>
      </w:pPr>
    </w:p>
    <w:p>
      <w:pPr>
        <w:pStyle w:val="6"/>
        <w:spacing w:line="400" w:lineRule="exact"/>
        <w:ind w:firstLine="374" w:firstLineChars="156"/>
        <w:jc w:val="center"/>
        <w:rPr>
          <w:rFonts w:ascii="宋体" w:hAnsi="宋体" w:cs="宋体"/>
          <w:sz w:val="24"/>
          <w:highlight w:val="none"/>
        </w:rPr>
      </w:pPr>
      <w:r>
        <w:rPr>
          <w:rFonts w:hint="eastAsia" w:ascii="宋体" w:hAnsi="宋体" w:cs="宋体"/>
          <w:sz w:val="24"/>
          <w:highlight w:val="none"/>
        </w:rPr>
        <w:t>有效身份证明复印件粘贴处</w:t>
      </w:r>
    </w:p>
    <w:p>
      <w:pPr>
        <w:pStyle w:val="6"/>
        <w:spacing w:line="400" w:lineRule="exact"/>
        <w:ind w:firstLine="436" w:firstLineChars="156"/>
        <w:jc w:val="center"/>
        <w:rPr>
          <w:rFonts w:ascii="宋体" w:hAnsi="宋体" w:cs="宋体"/>
          <w:sz w:val="28"/>
          <w:szCs w:val="28"/>
          <w:highlight w:val="none"/>
        </w:rPr>
      </w:pPr>
    </w:p>
    <w:p>
      <w:pPr>
        <w:pStyle w:val="6"/>
        <w:spacing w:line="400" w:lineRule="exact"/>
        <w:ind w:firstLine="468" w:firstLineChars="156"/>
        <w:jc w:val="center"/>
        <w:rPr>
          <w:rFonts w:ascii="宋体" w:hAnsi="宋体" w:cs="宋体"/>
          <w:sz w:val="30"/>
          <w:highlight w:val="none"/>
        </w:rPr>
      </w:pPr>
    </w:p>
    <w:p>
      <w:pPr>
        <w:pStyle w:val="6"/>
        <w:spacing w:line="400" w:lineRule="exact"/>
        <w:ind w:firstLine="545" w:firstLineChars="156"/>
        <w:jc w:val="center"/>
        <w:rPr>
          <w:rFonts w:ascii="宋体" w:hAnsi="宋体" w:cs="宋体"/>
          <w:b/>
          <w:bCs/>
          <w:spacing w:val="24"/>
          <w:sz w:val="30"/>
          <w:highlight w:val="none"/>
        </w:rPr>
      </w:pPr>
    </w:p>
    <w:p>
      <w:pPr>
        <w:pStyle w:val="6"/>
        <w:spacing w:line="400" w:lineRule="exact"/>
        <w:ind w:firstLine="545" w:firstLineChars="156"/>
        <w:jc w:val="center"/>
        <w:rPr>
          <w:rFonts w:ascii="宋体" w:hAnsi="宋体" w:cs="宋体"/>
          <w:b/>
          <w:sz w:val="24"/>
          <w:highlight w:val="none"/>
        </w:rPr>
      </w:pPr>
      <w:r>
        <w:rPr>
          <w:rFonts w:hint="eastAsia" w:ascii="宋体" w:hAnsi="宋体" w:cs="宋体"/>
          <w:b/>
          <w:bCs/>
          <w:spacing w:val="24"/>
          <w:sz w:val="30"/>
          <w:highlight w:val="none"/>
        </w:rPr>
        <w:br w:type="page"/>
      </w:r>
      <w:r>
        <w:rPr>
          <w:rFonts w:hint="eastAsia" w:ascii="宋体" w:hAnsi="宋体" w:cs="宋体"/>
          <w:b/>
          <w:sz w:val="24"/>
          <w:highlight w:val="none"/>
        </w:rPr>
        <w:t>法定代表人授权委托书</w:t>
      </w:r>
    </w:p>
    <w:p>
      <w:pPr>
        <w:spacing w:line="400" w:lineRule="exact"/>
        <w:ind w:firstLine="480" w:firstLineChars="200"/>
        <w:rPr>
          <w:rFonts w:ascii="宋体" w:hAnsi="宋体" w:cs="宋体"/>
          <w:sz w:val="24"/>
          <w:highlight w:val="none"/>
        </w:rPr>
      </w:pPr>
    </w:p>
    <w:p>
      <w:pPr>
        <w:spacing w:line="400" w:lineRule="exact"/>
        <w:ind w:firstLine="480" w:firstLineChars="200"/>
        <w:rPr>
          <w:rFonts w:ascii="宋体" w:hAnsi="宋体" w:cs="宋体"/>
          <w:sz w:val="24"/>
          <w:highlight w:val="none"/>
        </w:rPr>
      </w:pPr>
    </w:p>
    <w:p>
      <w:pPr>
        <w:rPr>
          <w:rFonts w:hint="eastAsia" w:ascii="宋体" w:hAnsi="宋体" w:cs="宋体"/>
          <w:kern w:val="0"/>
          <w:sz w:val="24"/>
          <w:highlight w:val="none"/>
        </w:rPr>
      </w:pPr>
      <w:r>
        <w:rPr>
          <w:rFonts w:hint="eastAsia" w:ascii="宋体" w:hAnsi="宋体" w:cs="宋体"/>
          <w:sz w:val="24"/>
          <w:highlight w:val="none"/>
          <w:lang w:eastAsia="zh-CN"/>
        </w:rPr>
        <w:t>湖州市吴兴区商务局</w:t>
      </w:r>
      <w:r>
        <w:rPr>
          <w:rFonts w:hint="eastAsia" w:ascii="宋体" w:hAnsi="宋体" w:cs="宋体"/>
          <w:sz w:val="24"/>
          <w:highlight w:val="none"/>
        </w:rPr>
        <w:t>、浙江省成套招标代理有限公司</w:t>
      </w:r>
      <w:r>
        <w:rPr>
          <w:rFonts w:hint="eastAsia" w:ascii="宋体" w:hAnsi="宋体" w:cs="宋体"/>
          <w:kern w:val="0"/>
          <w:sz w:val="24"/>
          <w:highlight w:val="none"/>
          <w:lang w:val="zh-CN"/>
        </w:rPr>
        <w:t>：</w:t>
      </w:r>
    </w:p>
    <w:p>
      <w:pPr>
        <w:ind w:firstLine="576"/>
        <w:rPr>
          <w:rFonts w:hint="eastAsia"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【姓名】</w:t>
      </w:r>
      <w:r>
        <w:rPr>
          <w:rFonts w:hint="eastAsia" w:ascii="宋体" w:hAnsi="宋体" w:cs="宋体"/>
          <w:kern w:val="0"/>
          <w:sz w:val="24"/>
          <w:highlight w:val="none"/>
          <w:lang w:val="zh-CN"/>
        </w:rPr>
        <w:t>为我方代理人（身份证号码：</w:t>
      </w:r>
      <w:r>
        <w:rPr>
          <w:rFonts w:hint="eastAsia" w:ascii="宋体" w:hAnsi="宋体" w:cs="宋体"/>
          <w:kern w:val="0"/>
          <w:sz w:val="24"/>
          <w:highlight w:val="none"/>
          <w:u w:val="single"/>
          <w:lang w:val="zh-CN"/>
        </w:rPr>
        <w:t>【</w:t>
      </w:r>
      <w:r>
        <w:rPr>
          <w:rFonts w:hint="eastAsia" w:ascii="宋体" w:hAnsi="宋体" w:cs="宋体"/>
          <w:kern w:val="0"/>
          <w:sz w:val="24"/>
          <w:highlight w:val="none"/>
          <w:u w:val="single"/>
        </w:rPr>
        <w:t>身份证号码</w:t>
      </w:r>
      <w:r>
        <w:rPr>
          <w:rFonts w:hint="eastAsia" w:ascii="宋体" w:hAnsi="宋体" w:cs="宋体"/>
          <w:kern w:val="0"/>
          <w:sz w:val="24"/>
          <w:highlight w:val="none"/>
          <w:u w:val="single"/>
          <w:lang w:val="zh-CN"/>
        </w:rPr>
        <w:t>】</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w:t>
      </w:r>
      <w:r>
        <w:rPr>
          <w:rFonts w:hint="eastAsia" w:ascii="宋体" w:hAnsi="宋体" w:cs="宋体"/>
          <w:kern w:val="0"/>
          <w:sz w:val="24"/>
          <w:highlight w:val="none"/>
          <w:u w:val="single"/>
        </w:rPr>
        <w:t>手机号码</w:t>
      </w:r>
      <w:r>
        <w:rPr>
          <w:rFonts w:hint="eastAsia" w:ascii="宋体" w:hAnsi="宋体" w:cs="宋体"/>
          <w:kern w:val="0"/>
          <w:sz w:val="24"/>
          <w:highlight w:val="none"/>
          <w:u w:val="single"/>
          <w:lang w:val="zh-CN"/>
        </w:rPr>
        <w:t>】</w:t>
      </w:r>
      <w:r>
        <w:rPr>
          <w:rFonts w:hint="eastAsia" w:ascii="宋体" w:hAnsi="宋体" w:cs="宋体"/>
          <w:kern w:val="0"/>
          <w:sz w:val="24"/>
          <w:highlight w:val="none"/>
          <w:lang w:val="zh-CN"/>
        </w:rPr>
        <w:t>），以我方名义处理</w:t>
      </w:r>
      <w:r>
        <w:rPr>
          <w:rFonts w:hint="eastAsia" w:ascii="宋体" w:hAnsi="宋体" w:cs="宋体"/>
          <w:sz w:val="24"/>
          <w:highlight w:val="none"/>
          <w:u w:val="single"/>
          <w:lang w:val="zh-CN"/>
        </w:rPr>
        <w:t>湖州市吴兴区猪肉（冻肉）储备项目</w:t>
      </w:r>
      <w:r>
        <w:rPr>
          <w:rFonts w:hint="eastAsia" w:ascii="宋体" w:hAnsi="宋体" w:cs="宋体"/>
          <w:sz w:val="24"/>
          <w:highlight w:val="none"/>
        </w:rPr>
        <w:t>（项目编号：</w:t>
      </w:r>
      <w:r>
        <w:rPr>
          <w:rFonts w:hint="eastAsia" w:ascii="宋体" w:hAnsi="宋体" w:cs="宋体"/>
          <w:sz w:val="24"/>
          <w:highlight w:val="none"/>
          <w:u w:val="single"/>
          <w:lang w:eastAsia="zh-CN"/>
        </w:rPr>
        <w:t>CTZB-2024040086</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pPr>
        <w:spacing w:line="520" w:lineRule="exact"/>
        <w:ind w:firstLine="480" w:firstLineChars="200"/>
        <w:rPr>
          <w:rFonts w:ascii="宋体" w:hAnsi="宋体" w:cs="宋体"/>
          <w:sz w:val="24"/>
          <w:highlight w:val="none"/>
        </w:rPr>
      </w:pPr>
      <w:r>
        <w:rPr>
          <w:rFonts w:hint="eastAsia" w:ascii="宋体" w:hAnsi="宋体" w:cs="宋体"/>
          <w:sz w:val="24"/>
          <w:highlight w:val="none"/>
        </w:rPr>
        <w:t>被授权人无转委托权，特此委托。</w:t>
      </w:r>
    </w:p>
    <w:p>
      <w:pPr>
        <w:spacing w:line="520" w:lineRule="exact"/>
        <w:rPr>
          <w:rFonts w:ascii="宋体" w:hAnsi="宋体" w:cs="宋体"/>
          <w:b/>
          <w:sz w:val="24"/>
          <w:highlight w:val="none"/>
        </w:rPr>
      </w:pPr>
    </w:p>
    <w:p>
      <w:pPr>
        <w:spacing w:line="520" w:lineRule="exact"/>
        <w:ind w:left="2698" w:leftChars="1285" w:firstLine="600" w:firstLineChars="250"/>
        <w:rPr>
          <w:rFonts w:ascii="宋体" w:hAnsi="宋体" w:cs="宋体"/>
          <w:sz w:val="24"/>
          <w:highlight w:val="none"/>
          <w:u w:val="single"/>
        </w:rPr>
      </w:pPr>
      <w:r>
        <w:rPr>
          <w:rFonts w:hint="eastAsia" w:ascii="宋体" w:hAnsi="宋体" w:cs="宋体"/>
          <w:sz w:val="24"/>
          <w:highlight w:val="none"/>
        </w:rPr>
        <w:t>授权代理人：</w:t>
      </w:r>
      <w:r>
        <w:rPr>
          <w:rFonts w:hint="eastAsia" w:ascii="宋体" w:hAnsi="宋体" w:cs="宋体"/>
          <w:sz w:val="24"/>
          <w:highlight w:val="none"/>
          <w:u w:val="single"/>
        </w:rPr>
        <w:t xml:space="preserve">   （签字）           </w:t>
      </w:r>
    </w:p>
    <w:p>
      <w:pPr>
        <w:spacing w:line="520" w:lineRule="exact"/>
        <w:ind w:left="2698" w:leftChars="1285" w:firstLine="600" w:firstLineChars="250"/>
        <w:rPr>
          <w:rFonts w:ascii="宋体" w:hAnsi="宋体" w:cs="宋体"/>
          <w:sz w:val="24"/>
          <w:highlight w:val="none"/>
          <w:u w:val="single"/>
        </w:rPr>
      </w:pPr>
      <w:r>
        <w:rPr>
          <w:rFonts w:hint="eastAsia" w:ascii="宋体" w:hAnsi="宋体" w:cs="宋体"/>
          <w:sz w:val="24"/>
          <w:highlight w:val="none"/>
        </w:rPr>
        <w:t>身份证号码：</w:t>
      </w:r>
    </w:p>
    <w:p>
      <w:pPr>
        <w:spacing w:line="520" w:lineRule="exact"/>
        <w:ind w:left="2698" w:leftChars="1285" w:firstLine="600" w:firstLineChars="250"/>
        <w:rPr>
          <w:rFonts w:ascii="宋体" w:hAnsi="宋体" w:cs="宋体"/>
          <w:sz w:val="24"/>
          <w:highlight w:val="none"/>
          <w:u w:val="single"/>
        </w:rPr>
      </w:pPr>
      <w:r>
        <w:rPr>
          <w:rFonts w:hint="eastAsia" w:ascii="宋体" w:hAnsi="宋体" w:cs="宋体"/>
          <w:sz w:val="24"/>
          <w:highlight w:val="none"/>
        </w:rPr>
        <w:t>职务：</w:t>
      </w:r>
    </w:p>
    <w:p>
      <w:pPr>
        <w:spacing w:line="520" w:lineRule="exact"/>
        <w:ind w:left="2698" w:leftChars="1285" w:firstLine="600" w:firstLineChars="250"/>
        <w:rPr>
          <w:rFonts w:ascii="宋体" w:hAnsi="宋体" w:cs="宋体"/>
          <w:sz w:val="24"/>
          <w:highlight w:val="none"/>
        </w:rPr>
      </w:pPr>
      <w:r>
        <w:rPr>
          <w:rFonts w:hint="eastAsia" w:ascii="宋体" w:hAnsi="宋体" w:cs="宋体"/>
          <w:sz w:val="24"/>
          <w:highlight w:val="none"/>
        </w:rPr>
        <w:t>竞标人：</w:t>
      </w:r>
      <w:r>
        <w:rPr>
          <w:rFonts w:hint="eastAsia" w:ascii="宋体" w:hAnsi="宋体" w:cs="宋体"/>
          <w:sz w:val="24"/>
          <w:highlight w:val="none"/>
          <w:u w:val="single"/>
        </w:rPr>
        <w:t xml:space="preserve">           （盖章）       </w:t>
      </w:r>
    </w:p>
    <w:p>
      <w:pPr>
        <w:spacing w:line="520" w:lineRule="exact"/>
        <w:jc w:val="center"/>
        <w:rPr>
          <w:rFonts w:ascii="宋体" w:hAnsi="宋体" w:cs="宋体"/>
          <w:sz w:val="24"/>
          <w:highlight w:val="none"/>
          <w:u w:val="single"/>
        </w:rPr>
      </w:pPr>
      <w:r>
        <w:rPr>
          <w:rFonts w:hint="eastAsia" w:ascii="宋体" w:hAnsi="宋体" w:cs="宋体"/>
          <w:sz w:val="24"/>
          <w:highlight w:val="none"/>
        </w:rPr>
        <w:t xml:space="preserve">                 法定代表人：</w:t>
      </w:r>
      <w:r>
        <w:rPr>
          <w:rFonts w:hint="eastAsia" w:ascii="宋体" w:hAnsi="宋体" w:cs="宋体"/>
          <w:sz w:val="24"/>
          <w:highlight w:val="none"/>
          <w:u w:val="single"/>
        </w:rPr>
        <w:t xml:space="preserve">            （签名或盖章）</w:t>
      </w:r>
    </w:p>
    <w:p>
      <w:pPr>
        <w:spacing w:line="520" w:lineRule="exact"/>
        <w:jc w:val="center"/>
        <w:rPr>
          <w:rFonts w:ascii="宋体" w:hAnsi="宋体" w:cs="宋体"/>
          <w:sz w:val="24"/>
          <w:highlight w:val="none"/>
          <w:u w:val="single"/>
        </w:rPr>
      </w:pPr>
    </w:p>
    <w:p>
      <w:pPr>
        <w:pStyle w:val="6"/>
        <w:spacing w:line="520" w:lineRule="exact"/>
        <w:ind w:firstLine="4574" w:firstLineChars="1906"/>
        <w:rPr>
          <w:rFonts w:ascii="宋体" w:hAnsi="宋体" w:cs="宋体"/>
          <w:sz w:val="24"/>
          <w:highlight w:val="none"/>
        </w:rPr>
      </w:pPr>
      <w:r>
        <w:rPr>
          <w:rFonts w:hint="eastAsia" w:ascii="宋体" w:hAnsi="宋体" w:cs="宋体"/>
          <w:sz w:val="24"/>
          <w:highlight w:val="none"/>
        </w:rPr>
        <w:t>日期：    年   月   日</w:t>
      </w:r>
    </w:p>
    <w:p>
      <w:pPr>
        <w:pStyle w:val="6"/>
        <w:spacing w:line="520" w:lineRule="exact"/>
        <w:ind w:firstLine="374" w:firstLineChars="156"/>
        <w:rPr>
          <w:rFonts w:ascii="宋体" w:hAnsi="宋体" w:cs="宋体"/>
          <w:sz w:val="24"/>
          <w:highlight w:val="none"/>
        </w:rPr>
      </w:pPr>
      <w:r>
        <w:rPr>
          <w:rFonts w:hint="eastAsia" w:ascii="宋体" w:hAnsi="宋体" w:cs="宋体"/>
          <w:sz w:val="24"/>
          <w:highlight w:val="none"/>
        </w:rPr>
        <w:t>—————————————————————————————————</w:t>
      </w:r>
    </w:p>
    <w:p>
      <w:pPr>
        <w:pStyle w:val="6"/>
        <w:spacing w:line="520" w:lineRule="exact"/>
        <w:ind w:firstLine="374" w:firstLineChars="156"/>
        <w:jc w:val="center"/>
        <w:rPr>
          <w:rFonts w:ascii="宋体" w:hAnsi="宋体" w:cs="宋体"/>
          <w:sz w:val="24"/>
          <w:highlight w:val="none"/>
        </w:rPr>
      </w:pPr>
    </w:p>
    <w:p>
      <w:pPr>
        <w:pStyle w:val="6"/>
        <w:spacing w:line="520" w:lineRule="exact"/>
        <w:ind w:firstLine="374" w:firstLineChars="156"/>
        <w:jc w:val="center"/>
        <w:rPr>
          <w:rFonts w:ascii="宋体" w:hAnsi="宋体" w:cs="宋体"/>
          <w:sz w:val="24"/>
          <w:highlight w:val="none"/>
        </w:rPr>
      </w:pPr>
      <w:r>
        <w:rPr>
          <w:rFonts w:hint="eastAsia" w:ascii="宋体" w:hAnsi="宋体" w:cs="宋体"/>
          <w:sz w:val="24"/>
          <w:highlight w:val="none"/>
        </w:rPr>
        <w:t>授权代理人有效身份证明复印件粘贴处</w:t>
      </w:r>
    </w:p>
    <w:p>
      <w:pPr>
        <w:pStyle w:val="6"/>
        <w:spacing w:line="520" w:lineRule="exact"/>
        <w:ind w:firstLine="374" w:firstLineChars="156"/>
        <w:jc w:val="center"/>
        <w:rPr>
          <w:rFonts w:ascii="宋体" w:hAnsi="宋体" w:cs="宋体"/>
          <w:sz w:val="24"/>
          <w:highlight w:val="none"/>
        </w:rPr>
      </w:pPr>
    </w:p>
    <w:p>
      <w:pPr>
        <w:pStyle w:val="6"/>
        <w:spacing w:line="520" w:lineRule="exact"/>
        <w:ind w:firstLine="374" w:firstLineChars="156"/>
        <w:jc w:val="center"/>
        <w:rPr>
          <w:rFonts w:ascii="宋体" w:hAnsi="宋体" w:cs="宋体"/>
          <w:sz w:val="24"/>
          <w:highlight w:val="none"/>
        </w:rPr>
      </w:pPr>
    </w:p>
    <w:p>
      <w:pPr>
        <w:spacing w:line="520" w:lineRule="exact"/>
        <w:rPr>
          <w:rFonts w:ascii="宋体" w:hAnsi="宋体" w:cs="宋体"/>
          <w:b/>
          <w:bCs/>
          <w:sz w:val="24"/>
          <w:highlight w:val="none"/>
        </w:rPr>
      </w:pPr>
    </w:p>
    <w:p>
      <w:pPr>
        <w:spacing w:line="520" w:lineRule="exact"/>
        <w:rPr>
          <w:rFonts w:ascii="宋体" w:hAnsi="宋体" w:cs="宋体"/>
          <w:b/>
          <w:bCs/>
          <w:sz w:val="30"/>
          <w:highlight w:val="none"/>
        </w:rPr>
      </w:pPr>
    </w:p>
    <w:p>
      <w:pPr>
        <w:spacing w:line="520" w:lineRule="exact"/>
        <w:rPr>
          <w:rFonts w:ascii="微软雅黑" w:hAnsi="微软雅黑" w:eastAsia="微软雅黑" w:cs="微软雅黑"/>
          <w:b/>
          <w:bCs/>
          <w:sz w:val="30"/>
          <w:highlight w:val="none"/>
        </w:rPr>
      </w:pPr>
    </w:p>
    <w:p>
      <w:pPr>
        <w:pStyle w:val="17"/>
        <w:ind w:firstLine="300"/>
        <w:rPr>
          <w:highlight w:val="none"/>
        </w:rPr>
      </w:pPr>
      <w:r>
        <w:rPr>
          <w:rFonts w:hint="eastAsia" w:ascii="微软雅黑" w:hAnsi="微软雅黑" w:eastAsia="微软雅黑" w:cs="微软雅黑"/>
          <w:b/>
          <w:bCs/>
          <w:sz w:val="30"/>
          <w:highlight w:val="none"/>
        </w:rPr>
        <w:br w:type="page"/>
      </w:r>
    </w:p>
    <w:p>
      <w:pPr>
        <w:pStyle w:val="6"/>
        <w:spacing w:line="400" w:lineRule="exact"/>
        <w:ind w:firstLine="376" w:firstLineChars="156"/>
        <w:jc w:val="center"/>
        <w:rPr>
          <w:rFonts w:cs="Calibri"/>
          <w:b/>
          <w:bCs/>
          <w:sz w:val="24"/>
          <w:highlight w:val="none"/>
        </w:rPr>
      </w:pPr>
      <w:r>
        <w:rPr>
          <w:rFonts w:cs="Calibri"/>
          <w:b/>
          <w:bCs/>
          <w:sz w:val="24"/>
          <w:highlight w:val="none"/>
        </w:rPr>
        <w:t>符合参加政府采购活动应当具备的一般条件的承诺函</w:t>
      </w:r>
    </w:p>
    <w:p>
      <w:pPr>
        <w:rPr>
          <w:rFonts w:hint="eastAsia" w:cs="Calibri"/>
          <w:sz w:val="24"/>
          <w:highlight w:val="none"/>
          <w:lang w:eastAsia="zh-CN"/>
        </w:rPr>
      </w:pPr>
    </w:p>
    <w:p>
      <w:pPr>
        <w:rPr>
          <w:rFonts w:hint="eastAsia" w:cs="Calibri"/>
          <w:sz w:val="24"/>
          <w:highlight w:val="none"/>
          <w:lang w:eastAsia="zh-CN"/>
        </w:rPr>
      </w:pPr>
    </w:p>
    <w:p>
      <w:pPr>
        <w:rPr>
          <w:rFonts w:cs="Calibri"/>
          <w:sz w:val="24"/>
          <w:highlight w:val="none"/>
        </w:rPr>
      </w:pPr>
      <w:r>
        <w:rPr>
          <w:rFonts w:hint="eastAsia" w:cs="Calibri"/>
          <w:sz w:val="24"/>
          <w:highlight w:val="none"/>
          <w:lang w:eastAsia="zh-CN"/>
        </w:rPr>
        <w:t>湖州市吴兴区商务局</w:t>
      </w:r>
      <w:r>
        <w:rPr>
          <w:rFonts w:cs="Calibri"/>
          <w:sz w:val="24"/>
          <w:highlight w:val="none"/>
        </w:rPr>
        <w:t>、浙江省成套招标代理有限公司：</w:t>
      </w:r>
    </w:p>
    <w:p>
      <w:pPr>
        <w:ind w:firstLine="480" w:firstLineChars="200"/>
        <w:rPr>
          <w:rFonts w:cs="Calibri"/>
          <w:sz w:val="24"/>
          <w:highlight w:val="none"/>
        </w:rPr>
      </w:pPr>
      <w:r>
        <w:rPr>
          <w:rFonts w:cs="Calibri"/>
          <w:sz w:val="24"/>
          <w:highlight w:val="none"/>
        </w:rPr>
        <w:t>我方参与</w:t>
      </w:r>
      <w:r>
        <w:rPr>
          <w:rFonts w:hint="eastAsia" w:cs="Calibri"/>
          <w:sz w:val="24"/>
          <w:highlight w:val="none"/>
          <w:lang w:eastAsia="zh-CN"/>
        </w:rPr>
        <w:t>湖州市吴兴区猪肉（冻肉）储备项目</w:t>
      </w:r>
      <w:r>
        <w:rPr>
          <w:rFonts w:cs="Calibri"/>
          <w:sz w:val="24"/>
          <w:highlight w:val="none"/>
        </w:rPr>
        <w:t>（项目编号：</w:t>
      </w:r>
      <w:r>
        <w:rPr>
          <w:rFonts w:hint="eastAsia" w:cs="Calibri"/>
          <w:sz w:val="24"/>
          <w:highlight w:val="none"/>
          <w:lang w:eastAsia="zh-CN"/>
        </w:rPr>
        <w:t>CTZB-2024040086</w:t>
      </w:r>
      <w:r>
        <w:rPr>
          <w:rFonts w:cs="Calibri"/>
          <w:sz w:val="24"/>
          <w:highlight w:val="none"/>
        </w:rPr>
        <w:t>）政府采购活动，郑重承诺：</w:t>
      </w:r>
    </w:p>
    <w:p>
      <w:pPr>
        <w:ind w:firstLine="480" w:firstLineChars="200"/>
        <w:rPr>
          <w:rFonts w:cs="Calibri"/>
          <w:sz w:val="24"/>
          <w:highlight w:val="none"/>
        </w:rPr>
      </w:pPr>
      <w:r>
        <w:rPr>
          <w:rFonts w:cs="Calibri"/>
          <w:sz w:val="24"/>
          <w:highlight w:val="none"/>
        </w:rPr>
        <w:t>（一）具备《中华人民共和国政府采购法》第二十二条第一款规定的条件：</w:t>
      </w:r>
    </w:p>
    <w:p>
      <w:pPr>
        <w:ind w:firstLine="480" w:firstLineChars="200"/>
        <w:rPr>
          <w:rFonts w:cs="Calibri"/>
          <w:sz w:val="24"/>
          <w:highlight w:val="none"/>
        </w:rPr>
      </w:pPr>
      <w:r>
        <w:rPr>
          <w:rFonts w:cs="Calibri"/>
          <w:sz w:val="24"/>
          <w:highlight w:val="none"/>
        </w:rPr>
        <w:t>1.具有独立承担民事责任的能力；</w:t>
      </w:r>
    </w:p>
    <w:p>
      <w:pPr>
        <w:ind w:firstLine="480" w:firstLineChars="200"/>
        <w:rPr>
          <w:rFonts w:cs="Calibri"/>
          <w:sz w:val="24"/>
          <w:highlight w:val="none"/>
        </w:rPr>
      </w:pPr>
      <w:r>
        <w:rPr>
          <w:rFonts w:cs="Calibri"/>
          <w:sz w:val="24"/>
          <w:highlight w:val="none"/>
        </w:rPr>
        <w:t xml:space="preserve">2.具有良好的商业信誉和健全的财务会计制度； </w:t>
      </w:r>
    </w:p>
    <w:p>
      <w:pPr>
        <w:ind w:firstLine="480" w:firstLineChars="200"/>
        <w:rPr>
          <w:rFonts w:cs="Calibri"/>
          <w:sz w:val="24"/>
          <w:highlight w:val="none"/>
        </w:rPr>
      </w:pPr>
      <w:r>
        <w:rPr>
          <w:rFonts w:cs="Calibri"/>
          <w:sz w:val="24"/>
          <w:highlight w:val="none"/>
        </w:rPr>
        <w:t>3.具有履行合同所必需的设备和专业技术能力；</w:t>
      </w:r>
    </w:p>
    <w:p>
      <w:pPr>
        <w:ind w:firstLine="480" w:firstLineChars="200"/>
        <w:rPr>
          <w:rFonts w:cs="Calibri"/>
          <w:sz w:val="24"/>
          <w:highlight w:val="none"/>
        </w:rPr>
      </w:pPr>
      <w:r>
        <w:rPr>
          <w:rFonts w:cs="Calibri"/>
          <w:sz w:val="24"/>
          <w:highlight w:val="none"/>
        </w:rPr>
        <w:t>4.有依法缴纳税收和社会保障资金的良好记录；</w:t>
      </w:r>
    </w:p>
    <w:p>
      <w:pPr>
        <w:ind w:firstLine="480" w:firstLineChars="200"/>
        <w:rPr>
          <w:rFonts w:cs="Calibri"/>
          <w:sz w:val="24"/>
          <w:highlight w:val="none"/>
        </w:rPr>
      </w:pPr>
      <w:r>
        <w:rPr>
          <w:rFonts w:cs="Calibri"/>
          <w:sz w:val="24"/>
          <w:highlight w:val="none"/>
        </w:rPr>
        <w:t>5.参加政府采购活动前三年内，在经营活动中没有重大违法记录；</w:t>
      </w:r>
    </w:p>
    <w:p>
      <w:pPr>
        <w:ind w:firstLine="480" w:firstLineChars="200"/>
        <w:rPr>
          <w:rFonts w:cs="Calibri"/>
          <w:sz w:val="24"/>
          <w:highlight w:val="none"/>
        </w:rPr>
      </w:pPr>
      <w:r>
        <w:rPr>
          <w:rFonts w:cs="Calibri"/>
          <w:sz w:val="24"/>
          <w:highlight w:val="none"/>
        </w:rPr>
        <w:t>6.具有法律、行政法规规定的其他条件。</w:t>
      </w:r>
    </w:p>
    <w:p>
      <w:pPr>
        <w:ind w:firstLine="480" w:firstLineChars="200"/>
        <w:rPr>
          <w:rFonts w:cs="Calibri"/>
          <w:sz w:val="24"/>
          <w:highlight w:val="none"/>
        </w:rPr>
      </w:pPr>
      <w:r>
        <w:rPr>
          <w:rFonts w:cs="Calibri"/>
          <w:sz w:val="24"/>
          <w:highlight w:val="none"/>
        </w:rPr>
        <w:t>（二）未被信用中国（www.creditchina.gov.cn）、中国政府采购网（www.ccgp.gov.cn）列入失信被执行人、重大税收违法案件当事人名单、政府采购严重违法失信行为记录名单。</w:t>
      </w:r>
    </w:p>
    <w:p>
      <w:pPr>
        <w:ind w:firstLine="480" w:firstLineChars="200"/>
        <w:rPr>
          <w:rFonts w:cs="Calibri"/>
          <w:kern w:val="0"/>
          <w:sz w:val="24"/>
          <w:highlight w:val="none"/>
          <w:lang w:val="zh-CN"/>
        </w:rPr>
      </w:pPr>
      <w:r>
        <w:rPr>
          <w:rFonts w:cs="Calibri"/>
          <w:kern w:val="0"/>
          <w:sz w:val="24"/>
          <w:highlight w:val="none"/>
          <w:lang w:val="zh-CN"/>
        </w:rPr>
        <w:t>投标人名称（电子签名或单位公章）：</w:t>
      </w:r>
    </w:p>
    <w:p>
      <w:pPr>
        <w:ind w:firstLine="480" w:firstLineChars="200"/>
        <w:rPr>
          <w:rFonts w:cs="Calibri"/>
          <w:kern w:val="0"/>
          <w:sz w:val="24"/>
          <w:highlight w:val="none"/>
          <w:lang w:val="zh-CN"/>
        </w:rPr>
      </w:pPr>
      <w:r>
        <w:rPr>
          <w:rFonts w:cs="Calibri"/>
          <w:kern w:val="0"/>
          <w:sz w:val="24"/>
          <w:highlight w:val="none"/>
          <w:lang w:val="zh-CN"/>
        </w:rPr>
        <w:t>日期：</w:t>
      </w:r>
      <w:r>
        <w:rPr>
          <w:rFonts w:hint="eastAsia" w:cs="Calibri"/>
          <w:kern w:val="0"/>
          <w:sz w:val="24"/>
          <w:highlight w:val="none"/>
          <w:lang w:val="en-US" w:eastAsia="zh-CN"/>
        </w:rPr>
        <w:t xml:space="preserve">   </w:t>
      </w:r>
      <w:r>
        <w:rPr>
          <w:rFonts w:cs="Calibri"/>
          <w:kern w:val="0"/>
          <w:sz w:val="24"/>
          <w:highlight w:val="none"/>
          <w:lang w:val="zh-CN"/>
        </w:rPr>
        <w:t>年  月   日</w:t>
      </w:r>
    </w:p>
    <w:p>
      <w:pPr>
        <w:ind w:firstLine="480" w:firstLineChars="200"/>
        <w:rPr>
          <w:rFonts w:cs="Calibri"/>
          <w:kern w:val="0"/>
          <w:sz w:val="24"/>
          <w:highlight w:val="none"/>
          <w:lang w:val="zh-CN"/>
        </w:rPr>
      </w:pPr>
    </w:p>
    <w:p>
      <w:pPr>
        <w:pStyle w:val="145"/>
        <w:spacing w:before="120"/>
        <w:rPr>
          <w:rFonts w:ascii="Calibri" w:hAnsi="Calibri" w:cs="Calibri"/>
          <w:highlight w:val="none"/>
          <w:lang w:val="zh-CN"/>
        </w:rPr>
      </w:pPr>
    </w:p>
    <w:p>
      <w:pPr>
        <w:pStyle w:val="5"/>
        <w:tabs>
          <w:tab w:val="left" w:pos="432"/>
        </w:tabs>
        <w:ind w:firstLine="482"/>
        <w:rPr>
          <w:rFonts w:cs="Calibri"/>
          <w:highlight w:val="none"/>
        </w:rPr>
      </w:pPr>
    </w:p>
    <w:p>
      <w:pPr>
        <w:rPr>
          <w:rFonts w:cs="Calibri"/>
          <w:highlight w:val="none"/>
        </w:rPr>
      </w:pPr>
    </w:p>
    <w:p>
      <w:pPr>
        <w:pStyle w:val="145"/>
        <w:spacing w:before="120"/>
        <w:rPr>
          <w:rFonts w:ascii="Calibri" w:hAnsi="Calibri" w:cs="Calibri"/>
          <w:highlight w:val="none"/>
        </w:rPr>
      </w:pPr>
    </w:p>
    <w:p>
      <w:pPr>
        <w:pStyle w:val="145"/>
        <w:spacing w:before="120"/>
        <w:rPr>
          <w:rFonts w:ascii="Calibri" w:hAnsi="Calibri" w:cs="Calibri"/>
          <w:highlight w:val="none"/>
        </w:rPr>
      </w:pPr>
    </w:p>
    <w:p>
      <w:pPr>
        <w:pStyle w:val="145"/>
        <w:spacing w:before="120"/>
        <w:rPr>
          <w:rFonts w:ascii="Calibri" w:hAnsi="Calibri" w:cs="Calibri"/>
          <w:highlight w:val="none"/>
        </w:rPr>
      </w:pPr>
    </w:p>
    <w:p>
      <w:pPr>
        <w:ind w:firstLine="560" w:firstLineChars="200"/>
        <w:rPr>
          <w:rFonts w:cs="Calibri"/>
          <w:kern w:val="0"/>
          <w:sz w:val="28"/>
          <w:szCs w:val="28"/>
          <w:highlight w:val="none"/>
        </w:rPr>
      </w:pPr>
    </w:p>
    <w:p>
      <w:pPr>
        <w:pStyle w:val="17"/>
        <w:ind w:firstLine="210"/>
        <w:rPr>
          <w:highlight w:val="none"/>
        </w:rPr>
      </w:pPr>
      <w:bookmarkStart w:id="76" w:name="_Toc437953149"/>
    </w:p>
    <w:p>
      <w:pPr>
        <w:pStyle w:val="17"/>
        <w:ind w:firstLine="210"/>
        <w:rPr>
          <w:highlight w:val="none"/>
        </w:rPr>
      </w:pPr>
    </w:p>
    <w:p>
      <w:pPr>
        <w:pStyle w:val="17"/>
        <w:ind w:firstLine="210"/>
        <w:rPr>
          <w:highlight w:val="none"/>
        </w:rPr>
      </w:pPr>
    </w:p>
    <w:p>
      <w:pPr>
        <w:pStyle w:val="17"/>
        <w:ind w:firstLine="210"/>
        <w:rPr>
          <w:highlight w:val="none"/>
        </w:rPr>
      </w:pPr>
    </w:p>
    <w:p>
      <w:pPr>
        <w:pStyle w:val="17"/>
        <w:ind w:firstLine="210"/>
        <w:rPr>
          <w:highlight w:val="none"/>
        </w:rPr>
      </w:pPr>
    </w:p>
    <w:p>
      <w:pPr>
        <w:pStyle w:val="17"/>
        <w:ind w:firstLine="210"/>
        <w:rPr>
          <w:highlight w:val="none"/>
        </w:rPr>
      </w:pPr>
    </w:p>
    <w:p>
      <w:pPr>
        <w:pStyle w:val="17"/>
        <w:ind w:firstLine="210"/>
        <w:rPr>
          <w:highlight w:val="none"/>
        </w:rPr>
      </w:pPr>
    </w:p>
    <w:p>
      <w:pPr>
        <w:pStyle w:val="17"/>
        <w:ind w:firstLine="210"/>
        <w:rPr>
          <w:highlight w:val="none"/>
        </w:rPr>
      </w:pPr>
    </w:p>
    <w:p>
      <w:pPr>
        <w:pStyle w:val="17"/>
        <w:ind w:firstLine="210"/>
        <w:rPr>
          <w:highlight w:val="none"/>
        </w:rPr>
      </w:pPr>
    </w:p>
    <w:p>
      <w:pPr>
        <w:ind w:right="480"/>
        <w:jc w:val="center"/>
        <w:rPr>
          <w:rFonts w:cs="Calibri"/>
          <w:b/>
          <w:kern w:val="0"/>
          <w:sz w:val="32"/>
          <w:szCs w:val="32"/>
          <w:highlight w:val="none"/>
        </w:rPr>
      </w:pPr>
      <w:r>
        <w:rPr>
          <w:rFonts w:cs="Calibri"/>
          <w:b/>
          <w:kern w:val="0"/>
          <w:sz w:val="32"/>
          <w:szCs w:val="32"/>
          <w:highlight w:val="none"/>
        </w:rPr>
        <w:t>落实政府采购政策需满足的资格要求</w:t>
      </w:r>
    </w:p>
    <w:p>
      <w:pPr>
        <w:ind w:firstLine="480" w:firstLineChars="200"/>
        <w:rPr>
          <w:rFonts w:cs="Calibri"/>
          <w:sz w:val="24"/>
          <w:highlight w:val="none"/>
        </w:rPr>
      </w:pPr>
      <w:r>
        <w:rPr>
          <w:rFonts w:cs="Calibri"/>
          <w:sz w:val="24"/>
          <w:highlight w:val="none"/>
        </w:rPr>
        <w:t>（</w:t>
      </w:r>
      <w:r>
        <w:rPr>
          <w:rFonts w:cs="Calibri"/>
          <w:b/>
          <w:bCs/>
          <w:sz w:val="24"/>
          <w:highlight w:val="none"/>
        </w:rPr>
        <w:t>说明：根据招标公告落实政府采购政策需满足的资格要求选择提供相应的材料；未要求的，无需提供</w:t>
      </w:r>
      <w:r>
        <w:rPr>
          <w:rFonts w:cs="Calibri"/>
          <w:sz w:val="24"/>
          <w:highlight w:val="none"/>
        </w:rPr>
        <w:t>）</w:t>
      </w:r>
    </w:p>
    <w:p>
      <w:pPr>
        <w:ind w:firstLine="472" w:firstLineChars="196"/>
        <w:jc w:val="left"/>
        <w:rPr>
          <w:rFonts w:cs="Calibri"/>
          <w:sz w:val="24"/>
          <w:highlight w:val="none"/>
        </w:rPr>
      </w:pPr>
      <w:r>
        <w:rPr>
          <w:rFonts w:cs="Calibri"/>
          <w:b/>
          <w:sz w:val="24"/>
          <w:highlight w:val="none"/>
        </w:rPr>
        <w:sym w:font="Wingdings 2" w:char="0052"/>
      </w:r>
      <w:r>
        <w:rPr>
          <w:rFonts w:cs="Calibri"/>
          <w:b/>
          <w:sz w:val="24"/>
          <w:highlight w:val="none"/>
        </w:rPr>
        <w:t>A</w:t>
      </w:r>
      <w:r>
        <w:rPr>
          <w:rFonts w:cs="Calibri"/>
          <w:sz w:val="24"/>
          <w:highlight w:val="none"/>
        </w:rPr>
        <w:t>.专门面向中小企业，服务全部由符合政策要求的中小企业（或小微企业）承接的，提供相应的中小企业声明函或残疾人福利性单位声明函或提供属于监狱企业的证明文件。</w:t>
      </w:r>
    </w:p>
    <w:p>
      <w:pPr>
        <w:rPr>
          <w:rFonts w:cs="Calibri"/>
          <w:b/>
          <w:sz w:val="24"/>
          <w:highlight w:val="none"/>
        </w:rPr>
      </w:pPr>
    </w:p>
    <w:p>
      <w:pPr>
        <w:widowControl/>
        <w:ind w:firstLine="472" w:firstLineChars="196"/>
        <w:jc w:val="left"/>
        <w:rPr>
          <w:rFonts w:cs="Calibri"/>
          <w:sz w:val="24"/>
          <w:highlight w:val="none"/>
        </w:rPr>
      </w:pPr>
      <w:r>
        <w:rPr>
          <w:rFonts w:cs="Calibri"/>
          <w:b/>
          <w:sz w:val="24"/>
          <w:highlight w:val="none"/>
        </w:rPr>
        <w:sym w:font="Wingdings 2" w:char="00A3"/>
      </w:r>
      <w:r>
        <w:rPr>
          <w:rFonts w:cs="Calibri"/>
          <w:b/>
          <w:sz w:val="24"/>
          <w:highlight w:val="none"/>
        </w:rPr>
        <w:t>B.</w:t>
      </w:r>
      <w:r>
        <w:rPr>
          <w:rFonts w:cs="Calibri"/>
          <w:sz w:val="24"/>
          <w:highlight w:val="none"/>
        </w:rPr>
        <w:t>以联合体形式参加的，提供联合协议和中小企业声明函，联合协议中中小企业合同金额应当达到招标公告载明的比例；如果供应商本身提供所有标的均由中小企业承接的，视同符合了资格条件，无需再与其他中小企业组成联合体参加政府采购活动，无需提供联合协议。</w:t>
      </w:r>
    </w:p>
    <w:p>
      <w:pPr>
        <w:rPr>
          <w:rFonts w:cs="Calibri"/>
          <w:b/>
          <w:sz w:val="24"/>
          <w:highlight w:val="none"/>
        </w:rPr>
      </w:pPr>
    </w:p>
    <w:p>
      <w:pPr>
        <w:ind w:firstLine="482" w:firstLineChars="200"/>
        <w:rPr>
          <w:rFonts w:cs="Calibri"/>
          <w:highlight w:val="none"/>
        </w:rPr>
      </w:pPr>
      <w:r>
        <w:rPr>
          <w:rFonts w:cs="Calibri"/>
          <w:b/>
          <w:sz w:val="24"/>
          <w:highlight w:val="none"/>
        </w:rPr>
        <w:sym w:font="Wingdings 2" w:char="00A3"/>
      </w:r>
      <w:r>
        <w:rPr>
          <w:rFonts w:cs="Calibri"/>
          <w:b/>
          <w:sz w:val="24"/>
          <w:highlight w:val="none"/>
        </w:rPr>
        <w:t>C.</w:t>
      </w:r>
      <w:r>
        <w:rPr>
          <w:rFonts w:cs="Calibri"/>
          <w:sz w:val="24"/>
          <w:highlight w:val="none"/>
        </w:rPr>
        <w:t>合同分包的，提供分包意向协议和中小企业声明函，分包意向协议中中小企业合同金额应当达到招标公告载明的比例；如果供应商本身提供所有标的均由中小企业承接，视同符合了资格条件，无需再向中小企业分包，无需提供分包意向协议。</w:t>
      </w:r>
    </w:p>
    <w:p>
      <w:pPr>
        <w:rPr>
          <w:rFonts w:cs="Calibri"/>
          <w:b/>
          <w:kern w:val="0"/>
          <w:sz w:val="32"/>
          <w:szCs w:val="32"/>
          <w:highlight w:val="none"/>
        </w:rPr>
      </w:pPr>
    </w:p>
    <w:p>
      <w:pPr>
        <w:widowControl/>
        <w:ind w:left="150"/>
        <w:jc w:val="center"/>
        <w:rPr>
          <w:rFonts w:cs="Calibri"/>
          <w:b/>
          <w:kern w:val="0"/>
          <w:sz w:val="32"/>
          <w:szCs w:val="32"/>
          <w:highlight w:val="none"/>
        </w:rPr>
      </w:pPr>
      <w:r>
        <w:rPr>
          <w:rFonts w:cs="Calibri"/>
          <w:b/>
          <w:kern w:val="0"/>
          <w:sz w:val="32"/>
          <w:szCs w:val="32"/>
          <w:highlight w:val="none"/>
        </w:rPr>
        <w:t>本项目的特定资格要求</w:t>
      </w:r>
    </w:p>
    <w:tbl>
      <w:tblPr>
        <w:tblStyle w:val="50"/>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jc w:val="left"/>
              <w:rPr>
                <w:rFonts w:cs="Calibri"/>
                <w:szCs w:val="21"/>
                <w:highlight w:val="none"/>
              </w:rPr>
            </w:pPr>
            <w:r>
              <w:rPr>
                <w:rFonts w:cs="Calibri"/>
                <w:szCs w:val="21"/>
                <w:highlight w:val="none"/>
              </w:rPr>
              <w:t>序号</w:t>
            </w:r>
          </w:p>
        </w:tc>
        <w:tc>
          <w:tcPr>
            <w:tcW w:w="4225" w:type="dxa"/>
            <w:vAlign w:val="center"/>
          </w:tcPr>
          <w:p>
            <w:pPr>
              <w:jc w:val="left"/>
              <w:rPr>
                <w:rFonts w:cs="Calibri"/>
                <w:szCs w:val="21"/>
                <w:highlight w:val="none"/>
              </w:rPr>
            </w:pPr>
            <w:r>
              <w:rPr>
                <w:rFonts w:cs="Calibri"/>
                <w:szCs w:val="21"/>
                <w:highlight w:val="none"/>
              </w:rPr>
              <w:t>资格条件</w:t>
            </w:r>
          </w:p>
        </w:tc>
        <w:tc>
          <w:tcPr>
            <w:tcW w:w="4253" w:type="dxa"/>
            <w:vAlign w:val="center"/>
          </w:tcPr>
          <w:p>
            <w:pPr>
              <w:jc w:val="left"/>
              <w:rPr>
                <w:rFonts w:cs="Calibri"/>
                <w:szCs w:val="21"/>
                <w:highlight w:val="none"/>
              </w:rPr>
            </w:pPr>
            <w:r>
              <w:rPr>
                <w:rFonts w:cs="Calibri"/>
                <w:szCs w:val="21"/>
                <w:highlight w:val="none"/>
              </w:rPr>
              <w:t>应提供的资格审查资料（除承诺函、说明、声明外的其他证件提供复印件）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jc w:val="left"/>
              <w:rPr>
                <w:rFonts w:eastAsia="宋体" w:cs="Calibri"/>
                <w:szCs w:val="21"/>
                <w:highlight w:val="none"/>
              </w:rPr>
            </w:pPr>
            <w:r>
              <w:rPr>
                <w:rFonts w:cs="Calibri"/>
                <w:szCs w:val="21"/>
                <w:highlight w:val="none"/>
              </w:rPr>
              <w:t>1</w:t>
            </w:r>
          </w:p>
        </w:tc>
        <w:tc>
          <w:tcPr>
            <w:tcW w:w="4225" w:type="dxa"/>
            <w:vAlign w:val="center"/>
          </w:tcPr>
          <w:p>
            <w:pPr>
              <w:jc w:val="left"/>
              <w:rPr>
                <w:rFonts w:hint="eastAsia" w:cs="Calibri"/>
                <w:szCs w:val="21"/>
                <w:highlight w:val="none"/>
                <w:lang w:eastAsia="zh-CN"/>
              </w:rPr>
            </w:pPr>
            <w:r>
              <w:rPr>
                <w:rFonts w:hint="eastAsia" w:cs="Calibri"/>
                <w:szCs w:val="21"/>
                <w:highlight w:val="none"/>
                <w:lang w:eastAsia="zh-CN"/>
              </w:rPr>
              <w:t>投标人为中小</w:t>
            </w:r>
            <w:r>
              <w:rPr>
                <w:rFonts w:hint="eastAsia" w:cs="Calibri"/>
                <w:szCs w:val="21"/>
                <w:highlight w:val="none"/>
                <w:lang w:val="en-US" w:eastAsia="zh-CN"/>
              </w:rPr>
              <w:t>/小微企业</w:t>
            </w:r>
          </w:p>
        </w:tc>
        <w:tc>
          <w:tcPr>
            <w:tcW w:w="4253" w:type="dxa"/>
            <w:vAlign w:val="center"/>
          </w:tcPr>
          <w:p>
            <w:pPr>
              <w:jc w:val="left"/>
              <w:rPr>
                <w:rFonts w:hint="eastAsia" w:cs="Calibri"/>
                <w:szCs w:val="21"/>
                <w:highlight w:val="none"/>
                <w:lang w:eastAsia="zh-CN"/>
              </w:rPr>
            </w:pPr>
            <w:r>
              <w:rPr>
                <w:rFonts w:hint="eastAsia" w:cs="Calibri"/>
                <w:szCs w:val="21"/>
                <w:highlight w:val="none"/>
                <w:lang w:eastAsia="zh-CN"/>
              </w:rPr>
              <w:t>（1）提供《中小企业声明函》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jc w:val="left"/>
              <w:rPr>
                <w:rFonts w:eastAsia="宋体" w:cs="Calibri"/>
                <w:szCs w:val="21"/>
                <w:highlight w:val="none"/>
              </w:rPr>
            </w:pPr>
            <w:r>
              <w:rPr>
                <w:rFonts w:cs="Calibri"/>
                <w:szCs w:val="21"/>
                <w:highlight w:val="none"/>
              </w:rPr>
              <w:t>2</w:t>
            </w:r>
          </w:p>
        </w:tc>
        <w:tc>
          <w:tcPr>
            <w:tcW w:w="4225" w:type="dxa"/>
            <w:vAlign w:val="center"/>
          </w:tcPr>
          <w:p>
            <w:pPr>
              <w:jc w:val="left"/>
              <w:rPr>
                <w:rFonts w:hint="eastAsia" w:cs="Calibri"/>
                <w:szCs w:val="21"/>
                <w:highlight w:val="none"/>
                <w:lang w:val="en-US" w:eastAsia="zh-CN"/>
              </w:rPr>
            </w:pPr>
            <w:r>
              <w:rPr>
                <w:rFonts w:hint="eastAsia" w:cs="Calibri"/>
                <w:szCs w:val="21"/>
                <w:highlight w:val="none"/>
                <w:lang w:val="en-US" w:eastAsia="zh-CN"/>
              </w:rPr>
              <w:t>具有有效的《食品经营许可证》或《食品流通许可证》</w:t>
            </w:r>
          </w:p>
        </w:tc>
        <w:tc>
          <w:tcPr>
            <w:tcW w:w="4253" w:type="dxa"/>
            <w:vAlign w:val="center"/>
          </w:tcPr>
          <w:p>
            <w:pPr>
              <w:jc w:val="left"/>
              <w:rPr>
                <w:rFonts w:hint="eastAsia" w:cs="Calibri"/>
                <w:szCs w:val="21"/>
                <w:highlight w:val="none"/>
                <w:lang w:val="en-US" w:eastAsia="zh-CN"/>
              </w:rPr>
            </w:pPr>
            <w:r>
              <w:rPr>
                <w:rFonts w:hint="eastAsia" w:cs="Calibri"/>
                <w:szCs w:val="21"/>
                <w:highlight w:val="none"/>
                <w:lang w:val="en-US" w:eastAsia="zh-CN"/>
              </w:rPr>
              <w:t>（2）具有有效的《食品经营许可证》或《食品流通许可证》</w:t>
            </w:r>
          </w:p>
        </w:tc>
      </w:tr>
    </w:tbl>
    <w:p>
      <w:pPr>
        <w:pStyle w:val="6"/>
        <w:spacing w:line="400" w:lineRule="exact"/>
        <w:ind w:firstLine="376" w:firstLineChars="156"/>
        <w:jc w:val="center"/>
        <w:rPr>
          <w:rFonts w:hint="eastAsia" w:ascii="宋体" w:hAnsi="宋体" w:cs="宋体"/>
          <w:b/>
          <w:sz w:val="24"/>
          <w:highlight w:val="none"/>
        </w:rPr>
      </w:pPr>
    </w:p>
    <w:p>
      <w:pPr>
        <w:pStyle w:val="6"/>
        <w:spacing w:line="400" w:lineRule="exact"/>
        <w:ind w:firstLine="376" w:firstLineChars="156"/>
        <w:jc w:val="center"/>
        <w:rPr>
          <w:rFonts w:hint="eastAsia" w:ascii="宋体" w:hAnsi="宋体" w:cs="宋体"/>
          <w:b/>
          <w:sz w:val="24"/>
          <w:highlight w:val="none"/>
        </w:rPr>
      </w:pPr>
    </w:p>
    <w:p>
      <w:pPr>
        <w:pStyle w:val="6"/>
        <w:spacing w:line="400" w:lineRule="exact"/>
        <w:ind w:firstLine="376" w:firstLineChars="156"/>
        <w:jc w:val="center"/>
        <w:rPr>
          <w:rFonts w:hint="eastAsia" w:ascii="宋体" w:hAnsi="宋体" w:cs="宋体"/>
          <w:b/>
          <w:sz w:val="24"/>
          <w:highlight w:val="none"/>
        </w:rPr>
      </w:pPr>
    </w:p>
    <w:p>
      <w:pPr>
        <w:pStyle w:val="6"/>
        <w:spacing w:line="400" w:lineRule="exact"/>
        <w:ind w:firstLine="376" w:firstLineChars="156"/>
        <w:jc w:val="center"/>
        <w:rPr>
          <w:rFonts w:hint="eastAsia" w:ascii="宋体" w:hAnsi="宋体" w:cs="宋体"/>
          <w:b/>
          <w:sz w:val="24"/>
          <w:highlight w:val="none"/>
        </w:rPr>
      </w:pPr>
    </w:p>
    <w:p>
      <w:pPr>
        <w:pStyle w:val="6"/>
        <w:spacing w:line="400" w:lineRule="exact"/>
        <w:ind w:firstLine="376" w:firstLineChars="156"/>
        <w:jc w:val="center"/>
        <w:rPr>
          <w:rFonts w:hint="eastAsia" w:ascii="宋体" w:hAnsi="宋体" w:cs="宋体"/>
          <w:b/>
          <w:sz w:val="24"/>
          <w:highlight w:val="none"/>
        </w:rPr>
      </w:pPr>
    </w:p>
    <w:p>
      <w:pPr>
        <w:pStyle w:val="6"/>
        <w:spacing w:line="400" w:lineRule="exact"/>
        <w:ind w:firstLine="376" w:firstLineChars="156"/>
        <w:jc w:val="center"/>
        <w:rPr>
          <w:rFonts w:hint="eastAsia" w:ascii="宋体" w:hAnsi="宋体" w:cs="宋体"/>
          <w:b/>
          <w:sz w:val="24"/>
          <w:highlight w:val="none"/>
        </w:rPr>
      </w:pPr>
    </w:p>
    <w:p>
      <w:pPr>
        <w:pStyle w:val="6"/>
        <w:spacing w:line="400" w:lineRule="exact"/>
        <w:ind w:firstLine="376" w:firstLineChars="156"/>
        <w:jc w:val="center"/>
        <w:rPr>
          <w:rFonts w:hint="eastAsia" w:ascii="宋体" w:hAnsi="宋体" w:cs="宋体"/>
          <w:b/>
          <w:sz w:val="24"/>
          <w:highlight w:val="none"/>
        </w:rPr>
      </w:pPr>
    </w:p>
    <w:p>
      <w:pPr>
        <w:pStyle w:val="6"/>
        <w:spacing w:line="400" w:lineRule="exact"/>
        <w:ind w:firstLine="376" w:firstLineChars="156"/>
        <w:jc w:val="center"/>
        <w:rPr>
          <w:rFonts w:hint="eastAsia" w:ascii="宋体" w:hAnsi="宋体" w:cs="宋体"/>
          <w:b/>
          <w:sz w:val="24"/>
          <w:highlight w:val="none"/>
        </w:rPr>
      </w:pPr>
    </w:p>
    <w:p>
      <w:pPr>
        <w:pStyle w:val="6"/>
        <w:spacing w:line="400" w:lineRule="exact"/>
        <w:ind w:firstLine="376" w:firstLineChars="156"/>
        <w:jc w:val="center"/>
        <w:rPr>
          <w:rFonts w:hint="eastAsia" w:ascii="宋体" w:hAnsi="宋体" w:cs="宋体"/>
          <w:b/>
          <w:sz w:val="24"/>
          <w:highlight w:val="none"/>
        </w:rPr>
      </w:pPr>
    </w:p>
    <w:p>
      <w:pPr>
        <w:pStyle w:val="6"/>
        <w:spacing w:line="400" w:lineRule="exact"/>
        <w:ind w:firstLine="376" w:firstLineChars="156"/>
        <w:jc w:val="center"/>
        <w:rPr>
          <w:rFonts w:hint="eastAsia" w:ascii="宋体" w:hAnsi="宋体" w:cs="宋体"/>
          <w:b/>
          <w:sz w:val="24"/>
          <w:highlight w:val="none"/>
        </w:rPr>
      </w:pPr>
    </w:p>
    <w:p>
      <w:pPr>
        <w:pStyle w:val="6"/>
        <w:spacing w:line="400" w:lineRule="exact"/>
        <w:ind w:firstLine="376" w:firstLineChars="156"/>
        <w:jc w:val="center"/>
        <w:rPr>
          <w:rFonts w:hint="eastAsia" w:ascii="宋体" w:hAnsi="宋体" w:cs="宋体"/>
          <w:b/>
          <w:sz w:val="24"/>
          <w:highlight w:val="none"/>
        </w:rPr>
      </w:pPr>
    </w:p>
    <w:p>
      <w:pPr>
        <w:pStyle w:val="6"/>
        <w:spacing w:line="400" w:lineRule="exact"/>
        <w:ind w:firstLine="376" w:firstLineChars="156"/>
        <w:jc w:val="center"/>
        <w:rPr>
          <w:rFonts w:hint="eastAsia" w:ascii="宋体" w:hAnsi="宋体" w:cs="宋体"/>
          <w:b/>
          <w:sz w:val="24"/>
          <w:highlight w:val="none"/>
        </w:rPr>
      </w:pPr>
    </w:p>
    <w:p>
      <w:pPr>
        <w:pStyle w:val="6"/>
        <w:spacing w:line="400" w:lineRule="exact"/>
        <w:ind w:firstLine="376" w:firstLineChars="156"/>
        <w:jc w:val="center"/>
        <w:rPr>
          <w:rFonts w:hint="eastAsia" w:ascii="宋体" w:hAnsi="宋体" w:cs="宋体"/>
          <w:b/>
          <w:sz w:val="24"/>
          <w:highlight w:val="none"/>
        </w:rPr>
      </w:pPr>
    </w:p>
    <w:p>
      <w:pPr>
        <w:pStyle w:val="6"/>
        <w:spacing w:line="400" w:lineRule="exact"/>
        <w:ind w:firstLine="376" w:firstLineChars="156"/>
        <w:jc w:val="center"/>
        <w:rPr>
          <w:rFonts w:hint="eastAsia" w:ascii="宋体" w:hAnsi="宋体" w:cs="宋体"/>
          <w:b/>
          <w:sz w:val="24"/>
          <w:highlight w:val="none"/>
        </w:rPr>
      </w:pPr>
    </w:p>
    <w:p>
      <w:pPr>
        <w:pStyle w:val="6"/>
        <w:spacing w:line="400" w:lineRule="exact"/>
        <w:ind w:firstLine="376" w:firstLineChars="156"/>
        <w:jc w:val="center"/>
        <w:rPr>
          <w:rFonts w:ascii="宋体" w:hAnsi="宋体" w:cs="宋体"/>
          <w:b/>
          <w:sz w:val="24"/>
          <w:highlight w:val="none"/>
        </w:rPr>
      </w:pPr>
      <w:r>
        <w:rPr>
          <w:rFonts w:hint="eastAsia" w:ascii="宋体" w:hAnsi="宋体" w:cs="宋体"/>
          <w:b/>
          <w:sz w:val="24"/>
          <w:highlight w:val="none"/>
        </w:rPr>
        <w:t>中小业声明函</w:t>
      </w:r>
    </w:p>
    <w:p>
      <w:pPr>
        <w:pStyle w:val="143"/>
        <w:spacing w:line="480" w:lineRule="auto"/>
        <w:ind w:firstLine="480" w:firstLineChars="200"/>
        <w:rPr>
          <w:sz w:val="24"/>
          <w:szCs w:val="24"/>
          <w:highlight w:val="none"/>
        </w:rPr>
      </w:pPr>
      <w:r>
        <w:rPr>
          <w:rFonts w:hint="eastAsia"/>
          <w:sz w:val="24"/>
          <w:szCs w:val="24"/>
          <w:highlight w:val="none"/>
        </w:rPr>
        <w:t>本公司（联合体）郑重声明，根据《政府采购促进中小企业发展管理办法》（财库</w:t>
      </w:r>
      <w:r>
        <w:rPr>
          <w:rFonts w:hint="eastAsia"/>
          <w:sz w:val="24"/>
          <w:szCs w:val="24"/>
          <w:highlight w:val="none"/>
          <w:lang w:val="en-US" w:eastAsia="zh-CN"/>
        </w:rPr>
        <w:t>财库[2020] 46号</w:t>
      </w:r>
      <w:r>
        <w:rPr>
          <w:rFonts w:hint="eastAsia"/>
          <w:sz w:val="24"/>
          <w:szCs w:val="24"/>
          <w:highlight w:val="none"/>
        </w:rPr>
        <w:t>）的规定，本公司（联合体）参加</w:t>
      </w:r>
      <w:r>
        <w:rPr>
          <w:rFonts w:hint="eastAsia"/>
          <w:i/>
          <w:iCs/>
          <w:sz w:val="24"/>
          <w:szCs w:val="24"/>
          <w:highlight w:val="none"/>
          <w:u w:val="single"/>
        </w:rPr>
        <w:t>（单位名称）</w:t>
      </w:r>
      <w:r>
        <w:rPr>
          <w:rFonts w:hint="eastAsia"/>
          <w:sz w:val="24"/>
          <w:szCs w:val="24"/>
          <w:highlight w:val="none"/>
        </w:rPr>
        <w:t>的</w:t>
      </w:r>
      <w:r>
        <w:rPr>
          <w:rFonts w:hint="eastAsia"/>
          <w:i/>
          <w:iCs/>
          <w:sz w:val="24"/>
          <w:szCs w:val="24"/>
          <w:highlight w:val="none"/>
          <w:u w:val="single"/>
        </w:rPr>
        <w:t>（项目名称）</w:t>
      </w:r>
      <w:r>
        <w:rPr>
          <w:rFonts w:hint="eastAsia"/>
          <w:sz w:val="24"/>
          <w:szCs w:val="24"/>
          <w:highlight w:val="none"/>
        </w:rPr>
        <w:t>采购活动，服务全部由符合政策要求的中小企业承接（或者：工程的施工单位全部为符合政策要求的中小企业）。相关企业（含联合体中的中小企业、签订分包意向协议的中小企业）的具体情 况如下：</w:t>
      </w:r>
      <w:bookmarkStart w:id="77" w:name="bookmark35"/>
      <w:bookmarkEnd w:id="77"/>
    </w:p>
    <w:p>
      <w:pPr>
        <w:pStyle w:val="143"/>
        <w:numPr>
          <w:ilvl w:val="0"/>
          <w:numId w:val="7"/>
        </w:numPr>
        <w:spacing w:line="480" w:lineRule="auto"/>
        <w:ind w:firstLine="480" w:firstLineChars="200"/>
        <w:rPr>
          <w:sz w:val="24"/>
          <w:szCs w:val="24"/>
          <w:highlight w:val="none"/>
        </w:rPr>
      </w:pPr>
      <w:r>
        <w:rPr>
          <w:rFonts w:hint="eastAsia"/>
          <w:i/>
          <w:iCs/>
          <w:sz w:val="24"/>
          <w:szCs w:val="24"/>
          <w:highlight w:val="none"/>
          <w:u w:val="single"/>
        </w:rPr>
        <w:t>（标的名称）</w:t>
      </w:r>
      <w:r>
        <w:rPr>
          <w:rFonts w:hint="eastAsia"/>
          <w:sz w:val="24"/>
          <w:szCs w:val="24"/>
          <w:highlight w:val="none"/>
        </w:rPr>
        <w:t>,属于</w:t>
      </w:r>
      <w:r>
        <w:rPr>
          <w:rFonts w:hint="eastAsia"/>
          <w:i/>
          <w:iCs/>
          <w:sz w:val="24"/>
          <w:szCs w:val="24"/>
          <w:highlight w:val="none"/>
          <w:u w:val="single"/>
        </w:rPr>
        <w:t>（采购文件中明确的所属行业）</w:t>
      </w:r>
      <w:r>
        <w:rPr>
          <w:rFonts w:hint="eastAsia"/>
          <w:sz w:val="24"/>
          <w:szCs w:val="24"/>
          <w:highlight w:val="none"/>
        </w:rPr>
        <w:t>, 承接（承建）企业为</w:t>
      </w:r>
      <w:r>
        <w:rPr>
          <w:rFonts w:hint="eastAsia"/>
          <w:i/>
          <w:iCs/>
          <w:sz w:val="24"/>
          <w:szCs w:val="24"/>
          <w:highlight w:val="none"/>
          <w:u w:val="single"/>
        </w:rPr>
        <w:t>（企业名称）</w:t>
      </w:r>
      <w:r>
        <w:rPr>
          <w:rFonts w:hint="eastAsia"/>
          <w:sz w:val="24"/>
          <w:szCs w:val="24"/>
          <w:highlight w:val="none"/>
        </w:rPr>
        <w:t>,从业人员</w:t>
      </w:r>
      <w:r>
        <w:rPr>
          <w:rFonts w:hint="eastAsia"/>
          <w:sz w:val="24"/>
          <w:szCs w:val="24"/>
          <w:highlight w:val="none"/>
          <w:u w:val="single"/>
        </w:rPr>
        <w:tab/>
      </w:r>
      <w:r>
        <w:rPr>
          <w:rFonts w:hint="eastAsia"/>
          <w:sz w:val="24"/>
          <w:szCs w:val="24"/>
          <w:highlight w:val="none"/>
        </w:rPr>
        <w:t>人，营业收入为万元，资产总额为万元</w:t>
      </w:r>
      <w:r>
        <w:rPr>
          <w:rFonts w:hint="eastAsia"/>
          <w:sz w:val="24"/>
          <w:szCs w:val="24"/>
          <w:highlight w:val="none"/>
          <w:lang w:val="en-US" w:eastAsia="zh-CN" w:bidi="en-US"/>
        </w:rPr>
        <w:t>，</w:t>
      </w:r>
      <w:r>
        <w:rPr>
          <w:rFonts w:hint="eastAsia"/>
          <w:sz w:val="24"/>
          <w:szCs w:val="24"/>
          <w:highlight w:val="none"/>
        </w:rPr>
        <w:t>属于</w:t>
      </w:r>
      <w:r>
        <w:rPr>
          <w:rFonts w:hint="eastAsia"/>
          <w:i/>
          <w:iCs/>
          <w:sz w:val="24"/>
          <w:szCs w:val="24"/>
          <w:highlight w:val="none"/>
          <w:u w:val="single"/>
        </w:rPr>
        <w:t>（中型企业、小型企业、微型企业）</w:t>
      </w:r>
      <w:r>
        <w:rPr>
          <w:rFonts w:hint="eastAsia"/>
          <w:sz w:val="24"/>
          <w:szCs w:val="24"/>
          <w:highlight w:val="none"/>
        </w:rPr>
        <w:t>,</w:t>
      </w:r>
      <w:bookmarkStart w:id="78" w:name="bookmark36"/>
      <w:bookmarkEnd w:id="78"/>
    </w:p>
    <w:p>
      <w:pPr>
        <w:pStyle w:val="143"/>
        <w:numPr>
          <w:ilvl w:val="0"/>
          <w:numId w:val="7"/>
        </w:numPr>
        <w:spacing w:line="480" w:lineRule="auto"/>
        <w:ind w:firstLine="480" w:firstLineChars="200"/>
        <w:rPr>
          <w:sz w:val="24"/>
          <w:szCs w:val="24"/>
          <w:highlight w:val="none"/>
        </w:rPr>
      </w:pPr>
      <w:r>
        <w:rPr>
          <w:rFonts w:hint="eastAsia"/>
          <w:i/>
          <w:iCs/>
          <w:sz w:val="24"/>
          <w:szCs w:val="24"/>
          <w:highlight w:val="none"/>
          <w:u w:val="single"/>
        </w:rPr>
        <w:t>（标的名称）</w:t>
      </w:r>
      <w:r>
        <w:rPr>
          <w:rFonts w:hint="eastAsia"/>
          <w:sz w:val="24"/>
          <w:szCs w:val="24"/>
          <w:highlight w:val="none"/>
        </w:rPr>
        <w:t>,属于</w:t>
      </w:r>
      <w:r>
        <w:rPr>
          <w:rFonts w:hint="eastAsia"/>
          <w:i/>
          <w:iCs/>
          <w:sz w:val="24"/>
          <w:szCs w:val="24"/>
          <w:highlight w:val="none"/>
          <w:u w:val="single"/>
        </w:rPr>
        <w:t>（采购文件中明确的所属行业）</w:t>
      </w:r>
      <w:r>
        <w:rPr>
          <w:rFonts w:hint="eastAsia"/>
          <w:sz w:val="24"/>
          <w:szCs w:val="24"/>
          <w:highlight w:val="none"/>
        </w:rPr>
        <w:t>, 承接（承建）企业为</w:t>
      </w:r>
      <w:r>
        <w:rPr>
          <w:rFonts w:hint="eastAsia"/>
          <w:i/>
          <w:iCs/>
          <w:sz w:val="24"/>
          <w:szCs w:val="24"/>
          <w:highlight w:val="none"/>
          <w:u w:val="single"/>
        </w:rPr>
        <w:t>（企业名称）</w:t>
      </w:r>
      <w:r>
        <w:rPr>
          <w:rFonts w:hint="eastAsia"/>
          <w:sz w:val="24"/>
          <w:szCs w:val="24"/>
          <w:highlight w:val="none"/>
        </w:rPr>
        <w:t>,从业人员</w:t>
      </w:r>
      <w:r>
        <w:rPr>
          <w:rFonts w:hint="eastAsia"/>
          <w:sz w:val="24"/>
          <w:szCs w:val="24"/>
          <w:highlight w:val="none"/>
          <w:u w:val="single"/>
        </w:rPr>
        <w:tab/>
      </w:r>
      <w:r>
        <w:rPr>
          <w:rFonts w:hint="eastAsia"/>
          <w:sz w:val="24"/>
          <w:szCs w:val="24"/>
          <w:highlight w:val="none"/>
        </w:rPr>
        <w:t>人，营业 收入为万元，资产总额为万元，属于</w:t>
      </w:r>
      <w:r>
        <w:rPr>
          <w:rFonts w:hint="eastAsia"/>
          <w:i/>
          <w:iCs/>
          <w:sz w:val="24"/>
          <w:szCs w:val="24"/>
          <w:highlight w:val="none"/>
          <w:u w:val="single"/>
        </w:rPr>
        <w:t>（中型企业、小型企业、微型企</w:t>
      </w:r>
      <w:r>
        <w:rPr>
          <w:rFonts w:hint="eastAsia"/>
          <w:i/>
          <w:iCs/>
          <w:sz w:val="24"/>
          <w:szCs w:val="24"/>
          <w:highlight w:val="none"/>
          <w:u w:val="single"/>
          <w:lang w:val="zh-CN" w:eastAsia="zh-CN" w:bidi="zh-CN"/>
        </w:rPr>
        <w:t>业）</w:t>
      </w:r>
      <w:r>
        <w:rPr>
          <w:rFonts w:hint="eastAsia"/>
          <w:sz w:val="24"/>
          <w:szCs w:val="24"/>
          <w:highlight w:val="none"/>
          <w:lang w:val="zh-CN" w:eastAsia="zh-CN" w:bidi="zh-CN"/>
        </w:rPr>
        <w:t>,</w:t>
      </w:r>
    </w:p>
    <w:p>
      <w:pPr>
        <w:pStyle w:val="143"/>
        <w:spacing w:line="480" w:lineRule="auto"/>
        <w:ind w:firstLine="660"/>
        <w:rPr>
          <w:sz w:val="24"/>
          <w:szCs w:val="24"/>
          <w:highlight w:val="none"/>
        </w:rPr>
      </w:pPr>
      <w:r>
        <w:rPr>
          <w:rFonts w:hint="eastAsia"/>
          <w:sz w:val="24"/>
          <w:szCs w:val="24"/>
          <w:highlight w:val="none"/>
        </w:rPr>
        <w:t>以上企业，不属于大企业的分支机构，不存在控股股东为大企业的情形，也不存在与大企业的负责人为同一人的情形。</w:t>
      </w:r>
    </w:p>
    <w:p>
      <w:pPr>
        <w:pStyle w:val="143"/>
        <w:spacing w:line="480" w:lineRule="auto"/>
        <w:ind w:firstLine="660"/>
        <w:rPr>
          <w:sz w:val="24"/>
          <w:szCs w:val="24"/>
          <w:highlight w:val="none"/>
        </w:rPr>
      </w:pPr>
      <w:r>
        <w:rPr>
          <w:rFonts w:hint="eastAsia"/>
          <w:sz w:val="24"/>
          <w:szCs w:val="24"/>
          <w:highlight w:val="none"/>
        </w:rPr>
        <w:t>本企业对上述声明内容的真实性负责。如有虚假，将依法承担相应责任。</w:t>
      </w:r>
    </w:p>
    <w:p>
      <w:pPr>
        <w:pStyle w:val="143"/>
        <w:spacing w:line="480" w:lineRule="auto"/>
        <w:ind w:firstLine="0"/>
        <w:jc w:val="center"/>
        <w:rPr>
          <w:sz w:val="24"/>
          <w:szCs w:val="24"/>
          <w:highlight w:val="none"/>
        </w:rPr>
      </w:pPr>
      <w:r>
        <w:rPr>
          <w:rFonts w:hint="eastAsia"/>
          <w:sz w:val="24"/>
          <w:szCs w:val="24"/>
          <w:highlight w:val="none"/>
        </w:rPr>
        <w:t>企业名称（盖章）：</w:t>
      </w:r>
    </w:p>
    <w:p>
      <w:pPr>
        <w:pStyle w:val="143"/>
        <w:spacing w:line="480" w:lineRule="auto"/>
        <w:ind w:firstLine="0"/>
        <w:jc w:val="center"/>
        <w:rPr>
          <w:sz w:val="24"/>
          <w:szCs w:val="24"/>
          <w:highlight w:val="none"/>
        </w:rPr>
      </w:pPr>
      <w:r>
        <w:rPr>
          <w:rFonts w:hint="eastAsia"/>
          <w:sz w:val="24"/>
          <w:szCs w:val="24"/>
          <w:highlight w:val="none"/>
        </w:rPr>
        <w:t>日期：</w:t>
      </w:r>
    </w:p>
    <w:p>
      <w:pPr>
        <w:spacing w:before="10" w:line="271" w:lineRule="auto"/>
        <w:ind w:right="31" w:firstLine="720" w:firstLineChars="300"/>
        <w:rPr>
          <w:rFonts w:ascii="宋体" w:hAnsi="宋体" w:cs="宋体"/>
          <w:sz w:val="24"/>
          <w:highlight w:val="none"/>
        </w:rPr>
      </w:pPr>
      <w:r>
        <w:rPr>
          <w:rFonts w:hint="eastAsia" w:ascii="宋体" w:hAnsi="宋体" w:cs="宋体"/>
          <w:sz w:val="24"/>
          <w:highlight w:val="none"/>
        </w:rPr>
        <w:t>注：从业人员、营业收入、资产总额填报上一年度数据，无上一年度数据的新成立企业可不填报。</w:t>
      </w:r>
    </w:p>
    <w:p>
      <w:pPr>
        <w:spacing w:before="10" w:line="271" w:lineRule="auto"/>
        <w:ind w:right="31" w:firstLine="720" w:firstLineChars="300"/>
        <w:rPr>
          <w:rFonts w:ascii="宋体" w:hAnsi="宋体" w:cs="宋体"/>
          <w:sz w:val="24"/>
          <w:highlight w:val="none"/>
        </w:rPr>
      </w:pPr>
      <w:r>
        <w:rPr>
          <w:rFonts w:hint="eastAsia" w:ascii="宋体" w:hAnsi="宋体" w:cs="宋体"/>
          <w:sz w:val="24"/>
          <w:highlight w:val="none"/>
        </w:rPr>
        <w:t>填写说明：</w:t>
      </w:r>
    </w:p>
    <w:p>
      <w:pPr>
        <w:spacing w:before="10" w:line="271" w:lineRule="auto"/>
        <w:ind w:right="31" w:firstLine="720" w:firstLineChars="300"/>
        <w:rPr>
          <w:rFonts w:ascii="宋体" w:hAnsi="宋体" w:cs="宋体"/>
          <w:sz w:val="24"/>
          <w:highlight w:val="none"/>
        </w:rPr>
      </w:pPr>
      <w:r>
        <w:rPr>
          <w:rFonts w:hint="eastAsia" w:ascii="宋体" w:hAnsi="宋体" w:cs="宋体"/>
          <w:sz w:val="24"/>
          <w:highlight w:val="none"/>
        </w:rPr>
        <w:t>1）所投标项内的产品如由多个企业制造的，在填写企业类型时，按产品生产企业 中规模最大的企业类型填写；</w:t>
      </w:r>
    </w:p>
    <w:p>
      <w:pPr>
        <w:spacing w:before="10" w:line="271" w:lineRule="auto"/>
        <w:ind w:right="31" w:firstLine="720" w:firstLineChars="300"/>
        <w:rPr>
          <w:rFonts w:ascii="宋体" w:hAnsi="宋体" w:cs="宋体"/>
          <w:sz w:val="24"/>
          <w:highlight w:val="none"/>
        </w:rPr>
      </w:pPr>
      <w:r>
        <w:rPr>
          <w:rFonts w:hint="eastAsia" w:ascii="宋体" w:hAnsi="宋体" w:cs="宋体"/>
          <w:sz w:val="24"/>
          <w:highlight w:val="none"/>
        </w:rPr>
        <w:t>2）投标产品制造商投标，提供供应商出具的《中小企业声明函》及其相关的充分 的证明材料；代理商投标，提供供应商及主要产品制造商出具的《中小企业声明函》及其相关的充分的证明材料；</w:t>
      </w:r>
    </w:p>
    <w:p>
      <w:pPr>
        <w:spacing w:before="10" w:line="271" w:lineRule="auto"/>
        <w:ind w:left="114" w:right="31" w:firstLine="480"/>
        <w:rPr>
          <w:rFonts w:ascii="微软雅黑" w:hAnsi="微软雅黑" w:eastAsia="微软雅黑" w:cs="微软雅黑"/>
          <w:sz w:val="24"/>
          <w:highlight w:val="none"/>
        </w:rPr>
      </w:pPr>
      <w:r>
        <w:rPr>
          <w:rFonts w:hint="eastAsia" w:ascii="宋体" w:hAnsi="宋体" w:cs="宋体"/>
          <w:sz w:val="24"/>
          <w:highlight w:val="none"/>
        </w:rPr>
        <w:t>▲供应商提供的中小企业声明函与实际情况不符的，视为供应商提供虚假材料投标的，投标无效。本项目对应行业：其他未列明行业。</w:t>
      </w:r>
    </w:p>
    <w:p>
      <w:pPr>
        <w:ind w:left="3714" w:right="3691"/>
        <w:jc w:val="center"/>
        <w:rPr>
          <w:rFonts w:ascii="微软雅黑" w:hAnsi="微软雅黑" w:eastAsia="微软雅黑" w:cs="微软雅黑"/>
          <w:sz w:val="24"/>
          <w:highlight w:val="none"/>
        </w:rPr>
      </w:pPr>
    </w:p>
    <w:p>
      <w:pPr>
        <w:pStyle w:val="6"/>
        <w:spacing w:line="400" w:lineRule="exact"/>
        <w:ind w:firstLine="376" w:firstLineChars="156"/>
        <w:jc w:val="center"/>
        <w:rPr>
          <w:rFonts w:ascii="宋体" w:hAnsi="宋体" w:cs="宋体"/>
          <w:b/>
          <w:sz w:val="24"/>
          <w:highlight w:val="none"/>
        </w:rPr>
      </w:pPr>
      <w:r>
        <w:rPr>
          <w:rFonts w:hint="eastAsia" w:ascii="宋体" w:hAnsi="宋体" w:cs="宋体"/>
          <w:b/>
          <w:sz w:val="24"/>
          <w:highlight w:val="none"/>
        </w:rPr>
        <w:t>监狱企业声函</w:t>
      </w:r>
    </w:p>
    <w:p>
      <w:pPr>
        <w:spacing w:before="55" w:line="270" w:lineRule="auto"/>
        <w:ind w:left="563" w:right="62" w:hanging="2"/>
        <w:jc w:val="center"/>
        <w:rPr>
          <w:rFonts w:ascii="宋体" w:hAnsi="宋体" w:cs="宋体"/>
          <w:sz w:val="24"/>
          <w:highlight w:val="none"/>
        </w:rPr>
      </w:pPr>
      <w:r>
        <w:rPr>
          <w:rFonts w:hint="eastAsia" w:ascii="宋体" w:hAnsi="宋体" w:cs="宋体"/>
          <w:sz w:val="24"/>
          <w:highlight w:val="none"/>
        </w:rPr>
        <w:t xml:space="preserve">【不属于监狱企业的无需填写、递交】 </w:t>
      </w:r>
    </w:p>
    <w:p>
      <w:pPr>
        <w:spacing w:before="55" w:line="270" w:lineRule="auto"/>
        <w:ind w:left="563" w:right="62" w:hanging="2"/>
        <w:jc w:val="center"/>
        <w:rPr>
          <w:rFonts w:ascii="宋体" w:hAnsi="宋体" w:cs="宋体"/>
          <w:sz w:val="24"/>
          <w:highlight w:val="none"/>
        </w:rPr>
      </w:pPr>
      <w:r>
        <w:rPr>
          <w:rFonts w:hint="eastAsia" w:ascii="宋体" w:hAnsi="宋体" w:cs="宋体"/>
          <w:sz w:val="24"/>
          <w:highlight w:val="none"/>
        </w:rPr>
        <w:t>本公司郑重声明</w:t>
      </w:r>
      <w:r>
        <w:rPr>
          <w:rFonts w:hint="eastAsia" w:ascii="宋体" w:hAnsi="宋体" w:cs="宋体"/>
          <w:spacing w:val="-10"/>
          <w:sz w:val="24"/>
          <w:highlight w:val="none"/>
        </w:rPr>
        <w:t>，</w:t>
      </w:r>
      <w:r>
        <w:rPr>
          <w:rFonts w:hint="eastAsia" w:ascii="宋体" w:hAnsi="宋体" w:cs="宋体"/>
          <w:sz w:val="24"/>
          <w:highlight w:val="none"/>
        </w:rPr>
        <w:t>根</w:t>
      </w:r>
      <w:r>
        <w:rPr>
          <w:rFonts w:hint="eastAsia" w:ascii="宋体" w:hAnsi="宋体" w:cs="宋体"/>
          <w:spacing w:val="-12"/>
          <w:sz w:val="24"/>
          <w:highlight w:val="none"/>
        </w:rPr>
        <w:t>据</w:t>
      </w:r>
      <w:r>
        <w:rPr>
          <w:rFonts w:hint="eastAsia" w:ascii="宋体" w:hAnsi="宋体" w:cs="宋体"/>
          <w:sz w:val="24"/>
          <w:highlight w:val="none"/>
        </w:rPr>
        <w:t>《关于政府采购支持监狱企业发展有关问题的通知》（财</w:t>
      </w:r>
    </w:p>
    <w:p>
      <w:pPr>
        <w:tabs>
          <w:tab w:val="left" w:pos="2740"/>
          <w:tab w:val="left" w:pos="4180"/>
          <w:tab w:val="left" w:pos="6680"/>
        </w:tabs>
        <w:spacing w:before="14" w:line="271" w:lineRule="auto"/>
        <w:ind w:left="594" w:right="31" w:hanging="480"/>
        <w:rPr>
          <w:rFonts w:ascii="宋体" w:hAnsi="宋体" w:cs="宋体"/>
          <w:sz w:val="24"/>
          <w:highlight w:val="none"/>
        </w:rPr>
      </w:pPr>
      <w:r>
        <w:rPr>
          <w:rFonts w:hint="eastAsia" w:ascii="宋体" w:hAnsi="宋体" w:cs="宋体"/>
          <w:sz w:val="24"/>
          <w:highlight w:val="none"/>
        </w:rPr>
        <w:t>库</w:t>
      </w:r>
      <w:r>
        <w:rPr>
          <w:rFonts w:hint="eastAsia" w:ascii="宋体" w:hAnsi="宋体" w:cs="宋体"/>
          <w:w w:val="155"/>
          <w:sz w:val="24"/>
          <w:highlight w:val="none"/>
        </w:rPr>
        <w:t>[</w:t>
      </w:r>
      <w:r>
        <w:rPr>
          <w:rFonts w:hint="eastAsia" w:ascii="宋体" w:hAnsi="宋体" w:cs="宋体"/>
          <w:w w:val="86"/>
          <w:sz w:val="24"/>
          <w:highlight w:val="none"/>
        </w:rPr>
        <w:t>2014</w:t>
      </w:r>
      <w:r>
        <w:rPr>
          <w:rFonts w:hint="eastAsia" w:ascii="宋体" w:hAnsi="宋体" w:cs="宋体"/>
          <w:w w:val="155"/>
          <w:sz w:val="24"/>
          <w:highlight w:val="none"/>
        </w:rPr>
        <w:t>]</w:t>
      </w:r>
      <w:r>
        <w:rPr>
          <w:rFonts w:hint="eastAsia" w:ascii="宋体" w:hAnsi="宋体" w:cs="宋体"/>
          <w:w w:val="86"/>
          <w:sz w:val="24"/>
          <w:highlight w:val="none"/>
        </w:rPr>
        <w:t>68</w:t>
      </w:r>
      <w:r>
        <w:rPr>
          <w:rFonts w:hint="eastAsia" w:ascii="宋体" w:hAnsi="宋体" w:cs="宋体"/>
          <w:sz w:val="24"/>
          <w:highlight w:val="none"/>
        </w:rPr>
        <w:t>号）的规定，本公司为</w:t>
      </w:r>
      <w:r>
        <w:rPr>
          <w:rFonts w:hint="eastAsia" w:ascii="宋体" w:hAnsi="宋体" w:cs="宋体"/>
          <w:sz w:val="24"/>
          <w:highlight w:val="none"/>
          <w:u w:val="single" w:color="000000"/>
        </w:rPr>
        <w:t>监狱企业</w:t>
      </w:r>
      <w:r>
        <w:rPr>
          <w:rFonts w:hint="eastAsia" w:ascii="宋体" w:hAnsi="宋体" w:cs="宋体"/>
          <w:sz w:val="24"/>
          <w:highlight w:val="none"/>
        </w:rPr>
        <w:t>。 根据上述标准，我公司属于监狱企业</w:t>
      </w:r>
    </w:p>
    <w:p>
      <w:pPr>
        <w:tabs>
          <w:tab w:val="left" w:pos="2740"/>
          <w:tab w:val="left" w:pos="4180"/>
          <w:tab w:val="left" w:pos="6680"/>
        </w:tabs>
        <w:spacing w:before="14" w:line="271" w:lineRule="auto"/>
        <w:ind w:left="594" w:right="31" w:hanging="480"/>
        <w:rPr>
          <w:rFonts w:ascii="宋体" w:hAnsi="宋体" w:cs="宋体"/>
          <w:sz w:val="24"/>
          <w:highlight w:val="none"/>
        </w:rPr>
      </w:pPr>
      <w:r>
        <w:rPr>
          <w:rFonts w:hint="eastAsia" w:ascii="宋体" w:hAnsi="宋体" w:cs="宋体"/>
          <w:sz w:val="24"/>
          <w:highlight w:val="none"/>
        </w:rPr>
        <w:t>的理由为</w:t>
      </w:r>
      <w:r>
        <w:rPr>
          <w:rFonts w:hint="eastAsia" w:ascii="宋体" w:hAnsi="宋体" w:cs="宋体"/>
          <w:spacing w:val="-1"/>
          <w:sz w:val="24"/>
          <w:highlight w:val="none"/>
        </w:rPr>
        <w:t>：</w:t>
      </w:r>
      <w:r>
        <w:rPr>
          <w:rFonts w:hint="eastAsia" w:ascii="宋体" w:hAnsi="宋体" w:cs="宋体"/>
          <w:sz w:val="24"/>
          <w:highlight w:val="none"/>
          <w:u w:val="single" w:color="000000"/>
        </w:rPr>
        <w:tab/>
      </w:r>
      <w:r>
        <w:rPr>
          <w:rFonts w:hint="eastAsia" w:ascii="宋体" w:hAnsi="宋体" w:cs="宋体"/>
          <w:sz w:val="24"/>
          <w:highlight w:val="none"/>
        </w:rPr>
        <w:t>。 本公司为参</w:t>
      </w:r>
      <w:r>
        <w:rPr>
          <w:rFonts w:hint="eastAsia" w:ascii="宋体" w:hAnsi="宋体" w:cs="宋体"/>
          <w:spacing w:val="-7"/>
          <w:sz w:val="24"/>
          <w:highlight w:val="none"/>
        </w:rPr>
        <w:t>加</w:t>
      </w:r>
      <w:r>
        <w:rPr>
          <w:rFonts w:hint="eastAsia" w:ascii="宋体" w:hAnsi="宋体" w:cs="宋体"/>
          <w:spacing w:val="-2"/>
          <w:sz w:val="24"/>
          <w:highlight w:val="none"/>
        </w:rPr>
        <w:t>（</w:t>
      </w:r>
      <w:r>
        <w:rPr>
          <w:rFonts w:hint="eastAsia" w:ascii="宋体" w:hAnsi="宋体" w:cs="宋体"/>
          <w:sz w:val="24"/>
          <w:highlight w:val="none"/>
          <w:u w:val="single" w:color="000000"/>
        </w:rPr>
        <w:tab/>
      </w:r>
      <w:r>
        <w:rPr>
          <w:rFonts w:hint="eastAsia" w:ascii="宋体" w:hAnsi="宋体" w:cs="宋体"/>
          <w:sz w:val="24"/>
          <w:highlight w:val="none"/>
          <w:u w:val="single" w:color="000000"/>
        </w:rPr>
        <w:t>项目名称</w:t>
      </w:r>
      <w:r>
        <w:rPr>
          <w:rFonts w:hint="eastAsia" w:ascii="宋体" w:hAnsi="宋体" w:cs="宋体"/>
          <w:sz w:val="24"/>
          <w:highlight w:val="none"/>
          <w:u w:val="single" w:color="000000"/>
        </w:rPr>
        <w:tab/>
      </w:r>
      <w:r>
        <w:rPr>
          <w:rFonts w:hint="eastAsia" w:ascii="宋体" w:hAnsi="宋体" w:cs="宋体"/>
          <w:sz w:val="24"/>
          <w:highlight w:val="none"/>
        </w:rPr>
        <w:t>）</w:t>
      </w:r>
      <w:r>
        <w:rPr>
          <w:rFonts w:hint="eastAsia" w:ascii="宋体" w:hAnsi="宋体" w:cs="宋体"/>
          <w:spacing w:val="-2"/>
          <w:sz w:val="24"/>
          <w:highlight w:val="none"/>
        </w:rPr>
        <w:t>（</w:t>
      </w:r>
      <w:r>
        <w:rPr>
          <w:rFonts w:hint="eastAsia" w:ascii="宋体" w:hAnsi="宋体" w:cs="宋体"/>
          <w:sz w:val="24"/>
          <w:highlight w:val="none"/>
        </w:rPr>
        <w:t>项目</w:t>
      </w:r>
    </w:p>
    <w:p>
      <w:pPr>
        <w:tabs>
          <w:tab w:val="left" w:pos="2740"/>
          <w:tab w:val="left" w:pos="4180"/>
          <w:tab w:val="left" w:pos="6680"/>
        </w:tabs>
        <w:spacing w:before="14" w:line="271" w:lineRule="auto"/>
        <w:ind w:left="594" w:right="31" w:hanging="480"/>
        <w:rPr>
          <w:rFonts w:ascii="宋体" w:hAnsi="宋体" w:cs="宋体"/>
          <w:sz w:val="24"/>
          <w:highlight w:val="none"/>
        </w:rPr>
      </w:pPr>
      <w:r>
        <w:rPr>
          <w:rFonts w:hint="eastAsia" w:ascii="宋体" w:hAnsi="宋体" w:cs="宋体"/>
          <w:sz w:val="24"/>
          <w:highlight w:val="none"/>
        </w:rPr>
        <w:t>编号</w:t>
      </w:r>
      <w:r>
        <w:rPr>
          <w:rFonts w:hint="eastAsia" w:ascii="宋体" w:hAnsi="宋体" w:cs="宋体"/>
          <w:spacing w:val="-7"/>
          <w:sz w:val="24"/>
          <w:highlight w:val="none"/>
        </w:rPr>
        <w:t>：</w:t>
      </w:r>
      <w:r>
        <w:rPr>
          <w:rFonts w:hint="eastAsia" w:ascii="宋体" w:hAnsi="宋体" w:cs="宋体"/>
          <w:sz w:val="24"/>
          <w:highlight w:val="none"/>
          <w:u w:val="single" w:color="000000"/>
        </w:rPr>
        <w:tab/>
      </w:r>
      <w:r>
        <w:rPr>
          <w:rFonts w:hint="eastAsia" w:ascii="宋体" w:hAnsi="宋体" w:cs="宋体"/>
          <w:spacing w:val="-7"/>
          <w:sz w:val="24"/>
          <w:highlight w:val="none"/>
        </w:rPr>
        <w:t>）</w:t>
      </w:r>
      <w:r>
        <w:rPr>
          <w:rFonts w:hint="eastAsia" w:ascii="宋体" w:hAnsi="宋体" w:cs="宋体"/>
          <w:sz w:val="24"/>
          <w:highlight w:val="none"/>
        </w:rPr>
        <w:t>采购活动提供本企业提供服务。 本公司对上述声明的真实</w:t>
      </w:r>
    </w:p>
    <w:p>
      <w:pPr>
        <w:tabs>
          <w:tab w:val="left" w:pos="2740"/>
          <w:tab w:val="left" w:pos="4180"/>
          <w:tab w:val="left" w:pos="6680"/>
        </w:tabs>
        <w:spacing w:before="14" w:line="271" w:lineRule="auto"/>
        <w:ind w:left="594" w:right="31" w:hanging="480"/>
        <w:rPr>
          <w:rFonts w:ascii="宋体" w:hAnsi="宋体" w:cs="宋体"/>
          <w:sz w:val="24"/>
          <w:highlight w:val="none"/>
        </w:rPr>
      </w:pPr>
      <w:r>
        <w:rPr>
          <w:rFonts w:hint="eastAsia" w:ascii="宋体" w:hAnsi="宋体" w:cs="宋体"/>
          <w:sz w:val="24"/>
          <w:highlight w:val="none"/>
        </w:rPr>
        <w:t>性负责。如有虚假，将依法承担相应责任。</w:t>
      </w:r>
    </w:p>
    <w:p>
      <w:pPr>
        <w:spacing w:line="200" w:lineRule="exact"/>
        <w:rPr>
          <w:rFonts w:ascii="宋体" w:hAnsi="宋体" w:cs="宋体"/>
          <w:sz w:val="20"/>
          <w:szCs w:val="20"/>
          <w:highlight w:val="none"/>
        </w:rPr>
      </w:pPr>
    </w:p>
    <w:p>
      <w:pPr>
        <w:spacing w:before="18" w:line="260" w:lineRule="exact"/>
        <w:rPr>
          <w:rFonts w:ascii="宋体" w:hAnsi="宋体" w:cs="宋体"/>
          <w:sz w:val="26"/>
          <w:szCs w:val="26"/>
          <w:highlight w:val="none"/>
        </w:rPr>
      </w:pPr>
    </w:p>
    <w:p>
      <w:pPr>
        <w:tabs>
          <w:tab w:val="left" w:pos="1780"/>
          <w:tab w:val="left" w:pos="2260"/>
          <w:tab w:val="left" w:pos="2740"/>
        </w:tabs>
        <w:spacing w:line="272" w:lineRule="auto"/>
        <w:ind w:left="594" w:right="6110"/>
        <w:rPr>
          <w:rFonts w:ascii="宋体" w:hAnsi="宋体" w:cs="宋体"/>
          <w:sz w:val="24"/>
          <w:highlight w:val="none"/>
        </w:rPr>
      </w:pPr>
      <w:r>
        <w:rPr>
          <w:rFonts w:hint="eastAsia" w:ascii="宋体" w:hAnsi="宋体" w:cs="宋体"/>
          <w:sz w:val="24"/>
          <w:highlight w:val="none"/>
        </w:rPr>
        <w:t xml:space="preserve">竞标人名称（盖章）： </w:t>
      </w:r>
    </w:p>
    <w:p>
      <w:pPr>
        <w:tabs>
          <w:tab w:val="left" w:pos="1780"/>
          <w:tab w:val="left" w:pos="2260"/>
          <w:tab w:val="left" w:pos="2740"/>
        </w:tabs>
        <w:spacing w:line="272" w:lineRule="auto"/>
        <w:ind w:left="594" w:right="6110"/>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rPr>
        <w:tab/>
      </w:r>
      <w:r>
        <w:rPr>
          <w:rFonts w:hint="eastAsia" w:ascii="宋体" w:hAnsi="宋体" w:cs="宋体"/>
          <w:sz w:val="24"/>
          <w:highlight w:val="none"/>
        </w:rPr>
        <w:t>年</w:t>
      </w:r>
      <w:r>
        <w:rPr>
          <w:rFonts w:hint="eastAsia" w:ascii="宋体" w:hAnsi="宋体" w:cs="宋体"/>
          <w:sz w:val="24"/>
          <w:highlight w:val="none"/>
        </w:rPr>
        <w:tab/>
      </w:r>
      <w:r>
        <w:rPr>
          <w:rFonts w:hint="eastAsia" w:ascii="宋体" w:hAnsi="宋体" w:cs="宋体"/>
          <w:sz w:val="24"/>
          <w:highlight w:val="none"/>
        </w:rPr>
        <w:t>月 日</w:t>
      </w:r>
    </w:p>
    <w:p>
      <w:pPr>
        <w:spacing w:line="930" w:lineRule="atLeast"/>
        <w:ind w:left="594" w:right="31"/>
        <w:jc w:val="center"/>
        <w:rPr>
          <w:rFonts w:ascii="微软雅黑" w:hAnsi="微软雅黑" w:eastAsia="微软雅黑" w:cs="微软雅黑"/>
          <w:b/>
          <w:spacing w:val="12"/>
          <w:sz w:val="24"/>
          <w:highlight w:val="none"/>
        </w:rPr>
      </w:pPr>
    </w:p>
    <w:p>
      <w:pPr>
        <w:pStyle w:val="6"/>
        <w:spacing w:line="400" w:lineRule="exact"/>
        <w:ind w:firstLine="376" w:firstLineChars="156"/>
        <w:jc w:val="center"/>
        <w:rPr>
          <w:rFonts w:ascii="宋体" w:hAnsi="宋体" w:cs="宋体"/>
          <w:b/>
          <w:sz w:val="24"/>
          <w:highlight w:val="none"/>
        </w:rPr>
      </w:pPr>
      <w:r>
        <w:rPr>
          <w:rFonts w:hint="eastAsia" w:ascii="宋体" w:hAnsi="宋体" w:cs="宋体"/>
          <w:b/>
          <w:sz w:val="24"/>
          <w:highlight w:val="none"/>
        </w:rPr>
        <w:t>残疾人福利性单位声明函</w:t>
      </w:r>
    </w:p>
    <w:p>
      <w:pPr>
        <w:spacing w:before="55" w:line="270" w:lineRule="auto"/>
        <w:ind w:left="563" w:right="62" w:hanging="2"/>
        <w:jc w:val="center"/>
        <w:rPr>
          <w:rFonts w:ascii="宋体" w:hAnsi="宋体" w:cs="宋体"/>
          <w:sz w:val="24"/>
          <w:highlight w:val="none"/>
        </w:rPr>
      </w:pPr>
      <w:r>
        <w:rPr>
          <w:rFonts w:hint="eastAsia" w:ascii="宋体" w:hAnsi="宋体" w:cs="宋体"/>
          <w:sz w:val="24"/>
          <w:highlight w:val="none"/>
        </w:rPr>
        <w:t>【非残疾人福利性单位无需提供】</w:t>
      </w:r>
    </w:p>
    <w:p>
      <w:pPr>
        <w:spacing w:before="55" w:line="270" w:lineRule="auto"/>
        <w:ind w:left="563" w:right="62" w:hanging="2"/>
        <w:jc w:val="center"/>
        <w:rPr>
          <w:rFonts w:ascii="宋体" w:hAnsi="宋体" w:cs="宋体"/>
          <w:spacing w:val="-11"/>
          <w:sz w:val="24"/>
          <w:highlight w:val="none"/>
        </w:rPr>
      </w:pPr>
    </w:p>
    <w:p>
      <w:pPr>
        <w:spacing w:line="360" w:lineRule="auto"/>
        <w:ind w:right="28" w:firstLine="488" w:firstLineChars="200"/>
        <w:rPr>
          <w:rFonts w:ascii="宋体" w:hAnsi="宋体" w:cs="宋体"/>
          <w:sz w:val="24"/>
          <w:highlight w:val="none"/>
        </w:rPr>
      </w:pPr>
      <w:r>
        <w:rPr>
          <w:rFonts w:hint="eastAsia" w:ascii="宋体" w:hAnsi="宋体" w:cs="宋体"/>
          <w:spacing w:val="2"/>
          <w:sz w:val="24"/>
          <w:highlight w:val="none"/>
        </w:rPr>
        <w:t>本单位郑重声</w:t>
      </w:r>
      <w:r>
        <w:rPr>
          <w:rFonts w:hint="eastAsia" w:ascii="宋体" w:hAnsi="宋体" w:cs="宋体"/>
          <w:sz w:val="24"/>
          <w:highlight w:val="none"/>
        </w:rPr>
        <w:t>明</w:t>
      </w:r>
      <w:r>
        <w:rPr>
          <w:rFonts w:hint="eastAsia" w:ascii="宋体" w:hAnsi="宋体" w:cs="宋体"/>
          <w:spacing w:val="2"/>
          <w:sz w:val="24"/>
          <w:highlight w:val="none"/>
        </w:rPr>
        <w:t>，根据《财政</w:t>
      </w:r>
      <w:r>
        <w:rPr>
          <w:rFonts w:hint="eastAsia" w:ascii="宋体" w:hAnsi="宋体" w:cs="宋体"/>
          <w:sz w:val="24"/>
          <w:highlight w:val="none"/>
        </w:rPr>
        <w:t>部</w:t>
      </w:r>
      <w:r>
        <w:rPr>
          <w:rFonts w:hint="eastAsia" w:ascii="宋体" w:hAnsi="宋体" w:cs="宋体"/>
          <w:spacing w:val="2"/>
          <w:sz w:val="24"/>
          <w:highlight w:val="none"/>
        </w:rPr>
        <w:t>民政</w:t>
      </w:r>
      <w:r>
        <w:rPr>
          <w:rFonts w:hint="eastAsia" w:ascii="宋体" w:hAnsi="宋体" w:cs="宋体"/>
          <w:sz w:val="24"/>
          <w:highlight w:val="none"/>
        </w:rPr>
        <w:t>部</w:t>
      </w:r>
      <w:r>
        <w:rPr>
          <w:rFonts w:hint="eastAsia" w:ascii="宋体" w:hAnsi="宋体" w:cs="宋体"/>
          <w:spacing w:val="2"/>
          <w:sz w:val="24"/>
          <w:highlight w:val="none"/>
        </w:rPr>
        <w:t>中国残疾人联</w:t>
      </w:r>
      <w:r>
        <w:rPr>
          <w:rFonts w:hint="eastAsia" w:ascii="宋体" w:hAnsi="宋体" w:cs="宋体"/>
          <w:sz w:val="24"/>
          <w:highlight w:val="none"/>
        </w:rPr>
        <w:t>合</w:t>
      </w:r>
      <w:r>
        <w:rPr>
          <w:rFonts w:hint="eastAsia" w:ascii="宋体" w:hAnsi="宋体" w:cs="宋体"/>
          <w:spacing w:val="2"/>
          <w:sz w:val="24"/>
          <w:highlight w:val="none"/>
        </w:rPr>
        <w:t>会关于促进残疾人就</w:t>
      </w:r>
      <w:r>
        <w:rPr>
          <w:rFonts w:hint="eastAsia" w:ascii="宋体" w:hAnsi="宋体" w:cs="宋体"/>
          <w:sz w:val="24"/>
          <w:highlight w:val="none"/>
        </w:rPr>
        <w:t>业政府</w:t>
      </w:r>
      <w:r>
        <w:rPr>
          <w:rFonts w:hint="eastAsia" w:ascii="宋体" w:hAnsi="宋体" w:cs="宋体"/>
          <w:spacing w:val="2"/>
          <w:sz w:val="24"/>
          <w:highlight w:val="none"/>
        </w:rPr>
        <w:t>采</w:t>
      </w:r>
      <w:r>
        <w:rPr>
          <w:rFonts w:hint="eastAsia" w:ascii="宋体" w:hAnsi="宋体" w:cs="宋体"/>
          <w:sz w:val="24"/>
          <w:highlight w:val="none"/>
        </w:rPr>
        <w:t>购政策的</w:t>
      </w:r>
      <w:r>
        <w:rPr>
          <w:rFonts w:hint="eastAsia" w:ascii="宋体" w:hAnsi="宋体" w:cs="宋体"/>
          <w:spacing w:val="2"/>
          <w:sz w:val="24"/>
          <w:highlight w:val="none"/>
        </w:rPr>
        <w:t>通</w:t>
      </w:r>
      <w:r>
        <w:rPr>
          <w:rFonts w:hint="eastAsia" w:ascii="宋体" w:hAnsi="宋体" w:cs="宋体"/>
          <w:sz w:val="24"/>
          <w:highlight w:val="none"/>
        </w:rPr>
        <w:t>知》（</w:t>
      </w:r>
      <w:r>
        <w:rPr>
          <w:rFonts w:hint="eastAsia" w:ascii="宋体" w:hAnsi="宋体" w:cs="宋体"/>
          <w:spacing w:val="2"/>
          <w:sz w:val="24"/>
          <w:highlight w:val="none"/>
        </w:rPr>
        <w:t>财</w:t>
      </w:r>
      <w:r>
        <w:rPr>
          <w:rFonts w:hint="eastAsia" w:ascii="宋体" w:hAnsi="宋体" w:cs="宋体"/>
          <w:sz w:val="24"/>
          <w:highlight w:val="none"/>
        </w:rPr>
        <w:t>库〔2017〕</w:t>
      </w:r>
      <w:r>
        <w:rPr>
          <w:rFonts w:hint="eastAsia" w:ascii="宋体" w:hAnsi="宋体" w:cs="宋体"/>
          <w:w w:val="86"/>
          <w:sz w:val="24"/>
          <w:highlight w:val="none"/>
        </w:rPr>
        <w:t>141</w:t>
      </w:r>
      <w:r>
        <w:rPr>
          <w:rFonts w:hint="eastAsia" w:ascii="宋体" w:hAnsi="宋体" w:cs="宋体"/>
          <w:sz w:val="24"/>
          <w:highlight w:val="none"/>
        </w:rPr>
        <w:t>号）</w:t>
      </w:r>
      <w:r>
        <w:rPr>
          <w:rFonts w:hint="eastAsia" w:ascii="宋体" w:hAnsi="宋体" w:cs="宋体"/>
          <w:spacing w:val="2"/>
          <w:sz w:val="24"/>
          <w:highlight w:val="none"/>
        </w:rPr>
        <w:t>的</w:t>
      </w:r>
      <w:r>
        <w:rPr>
          <w:rFonts w:hint="eastAsia" w:ascii="宋体" w:hAnsi="宋体" w:cs="宋体"/>
          <w:sz w:val="24"/>
          <w:highlight w:val="none"/>
        </w:rPr>
        <w:t>规定，本</w:t>
      </w:r>
      <w:r>
        <w:rPr>
          <w:rFonts w:hint="eastAsia" w:ascii="宋体" w:hAnsi="宋体" w:cs="宋体"/>
          <w:spacing w:val="2"/>
          <w:sz w:val="24"/>
          <w:highlight w:val="none"/>
        </w:rPr>
        <w:t>单</w:t>
      </w:r>
      <w:r>
        <w:rPr>
          <w:rFonts w:hint="eastAsia" w:ascii="宋体" w:hAnsi="宋体" w:cs="宋体"/>
          <w:sz w:val="24"/>
          <w:highlight w:val="none"/>
        </w:rPr>
        <w:t>位为符</w:t>
      </w:r>
      <w:r>
        <w:rPr>
          <w:rFonts w:hint="eastAsia" w:ascii="宋体" w:hAnsi="宋体" w:cs="宋体"/>
          <w:spacing w:val="2"/>
          <w:sz w:val="24"/>
          <w:highlight w:val="none"/>
        </w:rPr>
        <w:t>合</w:t>
      </w:r>
      <w:r>
        <w:rPr>
          <w:rFonts w:hint="eastAsia" w:ascii="宋体" w:hAnsi="宋体" w:cs="宋体"/>
          <w:sz w:val="24"/>
          <w:highlight w:val="none"/>
        </w:rPr>
        <w:t>条件的残</w:t>
      </w:r>
      <w:r>
        <w:rPr>
          <w:rFonts w:hint="eastAsia" w:ascii="宋体" w:hAnsi="宋体" w:cs="宋体"/>
          <w:spacing w:val="2"/>
          <w:sz w:val="24"/>
          <w:highlight w:val="none"/>
        </w:rPr>
        <w:t>疾</w:t>
      </w:r>
      <w:r>
        <w:rPr>
          <w:rFonts w:hint="eastAsia" w:ascii="宋体" w:hAnsi="宋体" w:cs="宋体"/>
          <w:sz w:val="24"/>
          <w:highlight w:val="none"/>
        </w:rPr>
        <w:t>人</w:t>
      </w:r>
      <w:r>
        <w:rPr>
          <w:rFonts w:hint="eastAsia" w:ascii="宋体" w:hAnsi="宋体" w:cs="宋体"/>
          <w:spacing w:val="2"/>
          <w:sz w:val="24"/>
          <w:highlight w:val="none"/>
        </w:rPr>
        <w:t>福利性单位，且本单位参加</w:t>
      </w:r>
      <w:r>
        <w:rPr>
          <w:rFonts w:hint="eastAsia" w:ascii="宋体" w:hAnsi="宋体" w:cs="宋体"/>
          <w:sz w:val="24"/>
          <w:highlight w:val="none"/>
          <w:u w:val="single" w:color="000000"/>
        </w:rPr>
        <w:tab/>
      </w:r>
      <w:r>
        <w:rPr>
          <w:rFonts w:hint="eastAsia" w:ascii="宋体" w:hAnsi="宋体" w:cs="宋体"/>
          <w:spacing w:val="2"/>
          <w:sz w:val="24"/>
          <w:highlight w:val="none"/>
        </w:rPr>
        <w:t>单位的</w:t>
      </w:r>
      <w:r>
        <w:rPr>
          <w:rFonts w:hint="eastAsia" w:ascii="宋体" w:hAnsi="宋体" w:cs="宋体"/>
          <w:sz w:val="24"/>
          <w:highlight w:val="none"/>
          <w:u w:val="single" w:color="000000"/>
        </w:rPr>
        <w:tab/>
      </w:r>
      <w:r>
        <w:rPr>
          <w:rFonts w:hint="eastAsia" w:ascii="宋体" w:hAnsi="宋体" w:cs="宋体"/>
          <w:spacing w:val="2"/>
          <w:sz w:val="24"/>
          <w:highlight w:val="none"/>
        </w:rPr>
        <w:t>项目采购活动提供本单位制造的货</w:t>
      </w:r>
      <w:r>
        <w:rPr>
          <w:rFonts w:hint="eastAsia" w:ascii="宋体" w:hAnsi="宋体" w:cs="宋体"/>
          <w:sz w:val="24"/>
          <w:highlight w:val="none"/>
        </w:rPr>
        <w:t>物（由本单位承担工程</w:t>
      </w:r>
      <w:r>
        <w:rPr>
          <w:rFonts w:hint="eastAsia" w:ascii="宋体" w:hAnsi="宋体" w:cs="宋体"/>
          <w:w w:val="119"/>
          <w:sz w:val="24"/>
          <w:highlight w:val="none"/>
        </w:rPr>
        <w:t>/</w:t>
      </w:r>
      <w:r>
        <w:rPr>
          <w:rFonts w:hint="eastAsia" w:ascii="宋体" w:hAnsi="宋体" w:cs="宋体"/>
          <w:sz w:val="24"/>
          <w:highlight w:val="none"/>
        </w:rPr>
        <w:t>提供服务</w:t>
      </w:r>
      <w:r>
        <w:rPr>
          <w:rFonts w:hint="eastAsia" w:ascii="宋体" w:hAnsi="宋体" w:cs="宋体"/>
          <w:spacing w:val="-14"/>
          <w:sz w:val="24"/>
          <w:highlight w:val="none"/>
        </w:rPr>
        <w:t>），</w:t>
      </w:r>
      <w:r>
        <w:rPr>
          <w:rFonts w:hint="eastAsia" w:ascii="宋体" w:hAnsi="宋体" w:cs="宋体"/>
          <w:sz w:val="24"/>
          <w:highlight w:val="none"/>
        </w:rPr>
        <w:t>或者提供其他残疾人福利性单位制造的货</w:t>
      </w:r>
      <w:r>
        <w:rPr>
          <w:rFonts w:hint="eastAsia" w:ascii="宋体" w:hAnsi="宋体" w:cs="宋体"/>
          <w:spacing w:val="-12"/>
          <w:sz w:val="24"/>
          <w:highlight w:val="none"/>
        </w:rPr>
        <w:t>物</w:t>
      </w:r>
      <w:r>
        <w:rPr>
          <w:rFonts w:hint="eastAsia" w:ascii="宋体" w:hAnsi="宋体" w:cs="宋体"/>
          <w:sz w:val="24"/>
          <w:highlight w:val="none"/>
        </w:rPr>
        <w:t>（不包 括使用非残疾人福利性单位注册商标的货物）。</w:t>
      </w:r>
    </w:p>
    <w:p>
      <w:pPr>
        <w:spacing w:before="14"/>
        <w:ind w:right="-20"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spacing w:before="6" w:line="180" w:lineRule="exact"/>
        <w:rPr>
          <w:rFonts w:ascii="宋体" w:hAnsi="宋体" w:cs="宋体"/>
          <w:sz w:val="18"/>
          <w:szCs w:val="18"/>
          <w:highlight w:val="none"/>
        </w:rPr>
      </w:pPr>
    </w:p>
    <w:p>
      <w:pPr>
        <w:spacing w:line="200" w:lineRule="exact"/>
        <w:rPr>
          <w:rFonts w:ascii="宋体" w:hAnsi="宋体" w:cs="宋体"/>
          <w:sz w:val="20"/>
          <w:szCs w:val="20"/>
          <w:highlight w:val="none"/>
        </w:rPr>
      </w:pPr>
    </w:p>
    <w:p>
      <w:pPr>
        <w:spacing w:line="200" w:lineRule="exact"/>
        <w:rPr>
          <w:rFonts w:ascii="宋体" w:hAnsi="宋体" w:cs="宋体"/>
          <w:sz w:val="20"/>
          <w:szCs w:val="20"/>
          <w:highlight w:val="none"/>
        </w:rPr>
      </w:pPr>
    </w:p>
    <w:p>
      <w:pPr>
        <w:tabs>
          <w:tab w:val="left" w:pos="1780"/>
          <w:tab w:val="left" w:pos="2260"/>
          <w:tab w:val="left" w:pos="2740"/>
        </w:tabs>
        <w:spacing w:line="272" w:lineRule="auto"/>
        <w:ind w:left="594" w:right="6110"/>
        <w:rPr>
          <w:rFonts w:ascii="宋体" w:hAnsi="宋体" w:cs="宋体"/>
          <w:sz w:val="24"/>
          <w:highlight w:val="none"/>
        </w:rPr>
      </w:pPr>
      <w:r>
        <w:rPr>
          <w:rFonts w:hint="eastAsia" w:ascii="宋体" w:hAnsi="宋体" w:cs="宋体"/>
          <w:sz w:val="24"/>
          <w:highlight w:val="none"/>
        </w:rPr>
        <w:t xml:space="preserve">竞标人名称（盖章）： </w:t>
      </w:r>
    </w:p>
    <w:p>
      <w:pPr>
        <w:tabs>
          <w:tab w:val="left" w:pos="1780"/>
          <w:tab w:val="left" w:pos="2260"/>
          <w:tab w:val="left" w:pos="2740"/>
        </w:tabs>
        <w:spacing w:line="272" w:lineRule="auto"/>
        <w:ind w:left="594" w:right="6110"/>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rPr>
        <w:tab/>
      </w:r>
      <w:r>
        <w:rPr>
          <w:rFonts w:hint="eastAsia" w:ascii="宋体" w:hAnsi="宋体" w:cs="宋体"/>
          <w:sz w:val="24"/>
          <w:highlight w:val="none"/>
        </w:rPr>
        <w:t>年</w:t>
      </w:r>
      <w:r>
        <w:rPr>
          <w:rFonts w:hint="eastAsia" w:ascii="宋体" w:hAnsi="宋体" w:cs="宋体"/>
          <w:sz w:val="24"/>
          <w:highlight w:val="none"/>
        </w:rPr>
        <w:tab/>
      </w:r>
      <w:r>
        <w:rPr>
          <w:rFonts w:hint="eastAsia" w:ascii="宋体" w:hAnsi="宋体" w:cs="宋体"/>
          <w:sz w:val="24"/>
          <w:highlight w:val="none"/>
        </w:rPr>
        <w:t>月 日</w:t>
      </w:r>
    </w:p>
    <w:p>
      <w:pPr>
        <w:pStyle w:val="5"/>
        <w:ind w:firstLine="422"/>
        <w:rPr>
          <w:rFonts w:cs="Calibri"/>
          <w:kern w:val="0"/>
          <w:highlight w:val="none"/>
        </w:rPr>
      </w:pPr>
    </w:p>
    <w:p>
      <w:pPr>
        <w:pStyle w:val="5"/>
        <w:ind w:firstLine="422"/>
        <w:rPr>
          <w:rFonts w:cs="Calibri"/>
          <w:kern w:val="0"/>
          <w:highlight w:val="none"/>
        </w:rPr>
      </w:pPr>
    </w:p>
    <w:p>
      <w:pPr>
        <w:rPr>
          <w:highlight w:val="none"/>
        </w:rPr>
      </w:pPr>
    </w:p>
    <w:p>
      <w:pPr>
        <w:pStyle w:val="5"/>
        <w:ind w:firstLine="422"/>
        <w:rPr>
          <w:rFonts w:cs="Calibri"/>
          <w:kern w:val="0"/>
          <w:highlight w:val="none"/>
        </w:rPr>
      </w:pPr>
    </w:p>
    <w:p>
      <w:pPr>
        <w:pStyle w:val="5"/>
        <w:ind w:firstLine="422"/>
        <w:rPr>
          <w:rFonts w:cs="Calibri"/>
          <w:kern w:val="0"/>
          <w:highlight w:val="none"/>
        </w:rPr>
      </w:pPr>
    </w:p>
    <w:p>
      <w:pPr>
        <w:pStyle w:val="5"/>
        <w:ind w:firstLine="422"/>
        <w:rPr>
          <w:rFonts w:cs="Calibri"/>
          <w:kern w:val="0"/>
          <w:highlight w:val="none"/>
        </w:rPr>
      </w:pPr>
    </w:p>
    <w:p>
      <w:pPr>
        <w:pStyle w:val="5"/>
        <w:ind w:firstLine="422"/>
        <w:rPr>
          <w:rFonts w:cs="Calibri"/>
          <w:kern w:val="0"/>
          <w:highlight w:val="none"/>
        </w:rPr>
      </w:pPr>
    </w:p>
    <w:p>
      <w:pPr>
        <w:rPr>
          <w:rFonts w:cs="Calibri"/>
          <w:kern w:val="0"/>
          <w:highlight w:val="none"/>
        </w:rPr>
      </w:pPr>
    </w:p>
    <w:p>
      <w:pPr>
        <w:pStyle w:val="17"/>
        <w:ind w:firstLine="210"/>
        <w:rPr>
          <w:highlight w:val="none"/>
        </w:rPr>
      </w:pPr>
    </w:p>
    <w:p>
      <w:pPr>
        <w:rPr>
          <w:highlight w:val="none"/>
        </w:rPr>
      </w:pPr>
    </w:p>
    <w:bookmarkEnd w:id="76"/>
    <w:p>
      <w:pPr>
        <w:pStyle w:val="8"/>
        <w:ind w:firstLine="422"/>
        <w:rPr>
          <w:rFonts w:cs="Calibri"/>
          <w:highlight w:val="none"/>
        </w:rPr>
      </w:pPr>
      <w:bookmarkStart w:id="79" w:name="_Toc245088215"/>
      <w:bookmarkStart w:id="80" w:name="_Toc345575550"/>
    </w:p>
    <w:p>
      <w:pPr>
        <w:pStyle w:val="8"/>
        <w:ind w:firstLine="422"/>
        <w:rPr>
          <w:rFonts w:cs="Calibri"/>
          <w:highlight w:val="none"/>
        </w:rPr>
      </w:pPr>
    </w:p>
    <w:p>
      <w:pPr>
        <w:pStyle w:val="8"/>
        <w:ind w:firstLine="422"/>
        <w:rPr>
          <w:rFonts w:cs="Calibri"/>
          <w:highlight w:val="none"/>
        </w:rPr>
      </w:pPr>
    </w:p>
    <w:bookmarkEnd w:id="79"/>
    <w:bookmarkEnd w:id="80"/>
    <w:p>
      <w:pPr>
        <w:jc w:val="center"/>
        <w:rPr>
          <w:rFonts w:cs="Calibri"/>
          <w:b/>
          <w:bCs/>
          <w:sz w:val="28"/>
          <w:szCs w:val="28"/>
          <w:highlight w:val="none"/>
        </w:rPr>
      </w:pPr>
      <w:r>
        <w:rPr>
          <w:rFonts w:hint="eastAsia" w:cs="Calibri"/>
          <w:b/>
          <w:bCs/>
          <w:sz w:val="28"/>
          <w:szCs w:val="28"/>
          <w:highlight w:val="none"/>
        </w:rPr>
        <w:t>企业业绩</w:t>
      </w:r>
    </w:p>
    <w:p>
      <w:pPr>
        <w:pStyle w:val="26"/>
        <w:adjustRightInd w:val="0"/>
        <w:rPr>
          <w:rFonts w:hint="eastAsia" w:ascii="Calibri" w:hAnsi="Calibri" w:eastAsia="宋体" w:cs="Calibri"/>
          <w:szCs w:val="21"/>
          <w:highlight w:val="none"/>
          <w:lang w:eastAsia="zh-CN"/>
        </w:rPr>
      </w:pPr>
      <w:r>
        <w:rPr>
          <w:rFonts w:ascii="Calibri" w:hAnsi="Calibri" w:cs="Calibri"/>
          <w:szCs w:val="21"/>
          <w:highlight w:val="none"/>
        </w:rPr>
        <w:t>采购人：</w:t>
      </w:r>
      <w:r>
        <w:rPr>
          <w:rFonts w:hint="eastAsia" w:ascii="Calibri" w:hAnsi="Calibri" w:cs="Calibri"/>
          <w:szCs w:val="21"/>
          <w:highlight w:val="none"/>
          <w:lang w:eastAsia="zh-CN"/>
        </w:rPr>
        <w:t>湖州市吴兴区商务局</w:t>
      </w:r>
    </w:p>
    <w:p>
      <w:pPr>
        <w:pStyle w:val="26"/>
        <w:adjustRightInd w:val="0"/>
        <w:rPr>
          <w:rFonts w:hint="eastAsia" w:ascii="Calibri" w:hAnsi="Calibri" w:eastAsia="宋体" w:cs="Calibri"/>
          <w:highlight w:val="none"/>
          <w:lang w:eastAsia="zh-CN"/>
        </w:rPr>
      </w:pPr>
      <w:r>
        <w:rPr>
          <w:rFonts w:ascii="Calibri" w:hAnsi="Calibri" w:cs="Calibri"/>
          <w:highlight w:val="none"/>
        </w:rPr>
        <w:t>项目名称：</w:t>
      </w:r>
      <w:r>
        <w:rPr>
          <w:rFonts w:hint="eastAsia" w:ascii="Calibri" w:hAnsi="Calibri" w:cs="Calibri"/>
          <w:kern w:val="0"/>
          <w:szCs w:val="21"/>
          <w:highlight w:val="none"/>
          <w:lang w:eastAsia="zh-CN"/>
        </w:rPr>
        <w:t>湖州市吴兴区猪肉（冻肉）储备项目</w:t>
      </w:r>
    </w:p>
    <w:p>
      <w:pPr>
        <w:rPr>
          <w:rFonts w:hint="eastAsia" w:eastAsia="宋体" w:cs="Calibri"/>
          <w:highlight w:val="none"/>
          <w:lang w:eastAsia="zh-CN"/>
        </w:rPr>
      </w:pPr>
      <w:r>
        <w:rPr>
          <w:rFonts w:cs="Calibri"/>
          <w:highlight w:val="none"/>
        </w:rPr>
        <w:t>项目编号：</w:t>
      </w:r>
      <w:r>
        <w:rPr>
          <w:rFonts w:hint="eastAsia" w:cs="Calibri"/>
          <w:highlight w:val="none"/>
          <w:lang w:eastAsia="zh-CN"/>
        </w:rPr>
        <w:t>CTZB-2024040086</w:t>
      </w:r>
    </w:p>
    <w:p>
      <w:pPr>
        <w:rPr>
          <w:rFonts w:hint="eastAsia" w:eastAsia="宋体" w:cs="Calibri"/>
          <w:highlight w:val="none"/>
          <w:lang w:eastAsia="zh-CN"/>
        </w:rPr>
      </w:pPr>
      <w:r>
        <w:rPr>
          <w:rFonts w:cs="Calibri"/>
          <w:highlight w:val="none"/>
        </w:rPr>
        <w:t>标项名称：</w:t>
      </w:r>
      <w:r>
        <w:rPr>
          <w:rFonts w:hint="eastAsia" w:cs="Calibri"/>
          <w:highlight w:val="none"/>
          <w:lang w:eastAsia="zh-CN"/>
        </w:rPr>
        <w:t>湖州市吴兴区猪肉（冻肉）储备项目</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73"/>
        <w:gridCol w:w="1429"/>
        <w:gridCol w:w="1608"/>
        <w:gridCol w:w="1073"/>
        <w:gridCol w:w="1073"/>
        <w:gridCol w:w="894"/>
        <w:gridCol w:w="894"/>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cs="Calibri"/>
                <w:caps/>
                <w:highlight w:val="none"/>
              </w:rPr>
            </w:pPr>
            <w:r>
              <w:rPr>
                <w:rFonts w:cs="Calibri"/>
                <w:caps/>
                <w:highlight w:val="none"/>
              </w:rPr>
              <w:t>序号</w:t>
            </w:r>
          </w:p>
        </w:tc>
        <w:tc>
          <w:tcPr>
            <w:tcW w:w="1080" w:type="dxa"/>
            <w:vAlign w:val="center"/>
          </w:tcPr>
          <w:p>
            <w:pPr>
              <w:jc w:val="center"/>
              <w:rPr>
                <w:rFonts w:cs="Calibri"/>
                <w:caps/>
                <w:highlight w:val="none"/>
              </w:rPr>
            </w:pPr>
            <w:r>
              <w:rPr>
                <w:rFonts w:cs="Calibri"/>
                <w:highlight w:val="none"/>
              </w:rPr>
              <w:t>合同编号</w:t>
            </w:r>
          </w:p>
        </w:tc>
        <w:tc>
          <w:tcPr>
            <w:tcW w:w="1440" w:type="dxa"/>
            <w:vAlign w:val="center"/>
          </w:tcPr>
          <w:p>
            <w:pPr>
              <w:jc w:val="center"/>
              <w:rPr>
                <w:rFonts w:cs="Calibri"/>
                <w:caps/>
                <w:highlight w:val="none"/>
              </w:rPr>
            </w:pPr>
            <w:r>
              <w:rPr>
                <w:rFonts w:cs="Calibri"/>
                <w:caps/>
                <w:highlight w:val="none"/>
              </w:rPr>
              <w:t>用户名称</w:t>
            </w:r>
          </w:p>
        </w:tc>
        <w:tc>
          <w:tcPr>
            <w:tcW w:w="1620" w:type="dxa"/>
            <w:vAlign w:val="center"/>
          </w:tcPr>
          <w:p>
            <w:pPr>
              <w:jc w:val="center"/>
              <w:rPr>
                <w:rFonts w:cs="Calibri"/>
                <w:caps/>
                <w:highlight w:val="none"/>
              </w:rPr>
            </w:pPr>
            <w:r>
              <w:rPr>
                <w:rFonts w:cs="Calibri"/>
                <w:caps/>
                <w:highlight w:val="none"/>
              </w:rPr>
              <w:t>合同内容描述</w:t>
            </w:r>
          </w:p>
        </w:tc>
        <w:tc>
          <w:tcPr>
            <w:tcW w:w="1080" w:type="dxa"/>
            <w:vAlign w:val="center"/>
          </w:tcPr>
          <w:p>
            <w:pPr>
              <w:jc w:val="center"/>
              <w:rPr>
                <w:rFonts w:cs="Calibri"/>
                <w:caps/>
                <w:highlight w:val="none"/>
              </w:rPr>
            </w:pPr>
            <w:r>
              <w:rPr>
                <w:rFonts w:cs="Calibri"/>
                <w:caps/>
                <w:highlight w:val="none"/>
              </w:rPr>
              <w:t>合同金额</w:t>
            </w:r>
          </w:p>
        </w:tc>
        <w:tc>
          <w:tcPr>
            <w:tcW w:w="1080" w:type="dxa"/>
            <w:vAlign w:val="center"/>
          </w:tcPr>
          <w:p>
            <w:pPr>
              <w:jc w:val="center"/>
              <w:rPr>
                <w:rFonts w:cs="Calibri"/>
                <w:caps/>
                <w:highlight w:val="none"/>
              </w:rPr>
            </w:pPr>
            <w:r>
              <w:rPr>
                <w:rFonts w:cs="Calibri"/>
                <w:highlight w:val="none"/>
              </w:rPr>
              <w:t>签约及完成日期</w:t>
            </w:r>
          </w:p>
        </w:tc>
        <w:tc>
          <w:tcPr>
            <w:tcW w:w="900" w:type="dxa"/>
            <w:vAlign w:val="center"/>
          </w:tcPr>
          <w:p>
            <w:pPr>
              <w:jc w:val="center"/>
              <w:rPr>
                <w:rFonts w:cs="Calibri"/>
                <w:highlight w:val="none"/>
              </w:rPr>
            </w:pPr>
            <w:r>
              <w:rPr>
                <w:rFonts w:cs="Calibri"/>
                <w:highlight w:val="none"/>
              </w:rPr>
              <w:t>联系人</w:t>
            </w:r>
          </w:p>
        </w:tc>
        <w:tc>
          <w:tcPr>
            <w:tcW w:w="900" w:type="dxa"/>
            <w:vAlign w:val="center"/>
          </w:tcPr>
          <w:p>
            <w:pPr>
              <w:jc w:val="center"/>
              <w:rPr>
                <w:rFonts w:cs="Calibri"/>
                <w:highlight w:val="none"/>
              </w:rPr>
            </w:pPr>
            <w:r>
              <w:rPr>
                <w:rFonts w:cs="Calibri"/>
                <w:highlight w:val="none"/>
              </w:rPr>
              <w:t>联系电话</w:t>
            </w:r>
          </w:p>
        </w:tc>
        <w:tc>
          <w:tcPr>
            <w:tcW w:w="719" w:type="dxa"/>
            <w:vAlign w:val="center"/>
          </w:tcPr>
          <w:p>
            <w:pPr>
              <w:jc w:val="center"/>
              <w:rPr>
                <w:rFonts w:cs="Calibri"/>
                <w:highlight w:val="none"/>
              </w:rPr>
            </w:pPr>
            <w:r>
              <w:rPr>
                <w:rFonts w:cs="Calibri"/>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cs="Calibri"/>
                <w:spacing w:val="20"/>
                <w:highlight w:val="none"/>
              </w:rPr>
            </w:pPr>
          </w:p>
        </w:tc>
        <w:tc>
          <w:tcPr>
            <w:tcW w:w="1080" w:type="dxa"/>
            <w:vAlign w:val="center"/>
          </w:tcPr>
          <w:p>
            <w:pPr>
              <w:jc w:val="center"/>
              <w:rPr>
                <w:rFonts w:cs="Calibri"/>
                <w:spacing w:val="20"/>
                <w:highlight w:val="none"/>
              </w:rPr>
            </w:pPr>
          </w:p>
        </w:tc>
        <w:tc>
          <w:tcPr>
            <w:tcW w:w="1440" w:type="dxa"/>
            <w:vAlign w:val="center"/>
          </w:tcPr>
          <w:p>
            <w:pPr>
              <w:jc w:val="center"/>
              <w:rPr>
                <w:rFonts w:cs="Calibri"/>
                <w:spacing w:val="20"/>
                <w:highlight w:val="none"/>
              </w:rPr>
            </w:pPr>
          </w:p>
        </w:tc>
        <w:tc>
          <w:tcPr>
            <w:tcW w:w="1620" w:type="dxa"/>
            <w:vAlign w:val="center"/>
          </w:tcPr>
          <w:p>
            <w:pPr>
              <w:jc w:val="center"/>
              <w:rPr>
                <w:rFonts w:cs="Calibri"/>
                <w:spacing w:val="20"/>
                <w:highlight w:val="none"/>
              </w:rPr>
            </w:pPr>
          </w:p>
        </w:tc>
        <w:tc>
          <w:tcPr>
            <w:tcW w:w="1080" w:type="dxa"/>
            <w:vAlign w:val="center"/>
          </w:tcPr>
          <w:p>
            <w:pPr>
              <w:jc w:val="center"/>
              <w:rPr>
                <w:rFonts w:cs="Calibri"/>
                <w:spacing w:val="20"/>
                <w:highlight w:val="none"/>
              </w:rPr>
            </w:pPr>
          </w:p>
        </w:tc>
        <w:tc>
          <w:tcPr>
            <w:tcW w:w="1080" w:type="dxa"/>
            <w:vAlign w:val="center"/>
          </w:tcPr>
          <w:p>
            <w:pPr>
              <w:jc w:val="center"/>
              <w:rPr>
                <w:rFonts w:cs="Calibri"/>
                <w:spacing w:val="20"/>
                <w:highlight w:val="none"/>
              </w:rPr>
            </w:pPr>
          </w:p>
        </w:tc>
        <w:tc>
          <w:tcPr>
            <w:tcW w:w="900" w:type="dxa"/>
            <w:vAlign w:val="center"/>
          </w:tcPr>
          <w:p>
            <w:pPr>
              <w:jc w:val="center"/>
              <w:rPr>
                <w:rFonts w:cs="Calibri"/>
                <w:spacing w:val="20"/>
                <w:highlight w:val="none"/>
              </w:rPr>
            </w:pPr>
          </w:p>
        </w:tc>
        <w:tc>
          <w:tcPr>
            <w:tcW w:w="900" w:type="dxa"/>
            <w:vAlign w:val="center"/>
          </w:tcPr>
          <w:p>
            <w:pPr>
              <w:jc w:val="center"/>
              <w:rPr>
                <w:rFonts w:cs="Calibri"/>
                <w:spacing w:val="20"/>
                <w:highlight w:val="none"/>
              </w:rPr>
            </w:pPr>
          </w:p>
        </w:tc>
        <w:tc>
          <w:tcPr>
            <w:tcW w:w="719" w:type="dxa"/>
            <w:vAlign w:val="center"/>
          </w:tcPr>
          <w:p>
            <w:pPr>
              <w:jc w:val="center"/>
              <w:rPr>
                <w:rFonts w:cs="Calibri"/>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cs="Calibri"/>
                <w:spacing w:val="20"/>
                <w:highlight w:val="none"/>
              </w:rPr>
            </w:pPr>
          </w:p>
        </w:tc>
        <w:tc>
          <w:tcPr>
            <w:tcW w:w="1080" w:type="dxa"/>
            <w:vAlign w:val="center"/>
          </w:tcPr>
          <w:p>
            <w:pPr>
              <w:jc w:val="center"/>
              <w:rPr>
                <w:rFonts w:cs="Calibri"/>
                <w:spacing w:val="20"/>
                <w:highlight w:val="none"/>
              </w:rPr>
            </w:pPr>
          </w:p>
        </w:tc>
        <w:tc>
          <w:tcPr>
            <w:tcW w:w="1440" w:type="dxa"/>
            <w:vAlign w:val="center"/>
          </w:tcPr>
          <w:p>
            <w:pPr>
              <w:jc w:val="center"/>
              <w:rPr>
                <w:rFonts w:cs="Calibri"/>
                <w:spacing w:val="20"/>
                <w:highlight w:val="none"/>
              </w:rPr>
            </w:pPr>
          </w:p>
        </w:tc>
        <w:tc>
          <w:tcPr>
            <w:tcW w:w="1620" w:type="dxa"/>
            <w:vAlign w:val="center"/>
          </w:tcPr>
          <w:p>
            <w:pPr>
              <w:jc w:val="center"/>
              <w:rPr>
                <w:rFonts w:cs="Calibri"/>
                <w:spacing w:val="20"/>
                <w:highlight w:val="none"/>
              </w:rPr>
            </w:pPr>
          </w:p>
        </w:tc>
        <w:tc>
          <w:tcPr>
            <w:tcW w:w="1080" w:type="dxa"/>
            <w:vAlign w:val="center"/>
          </w:tcPr>
          <w:p>
            <w:pPr>
              <w:jc w:val="center"/>
              <w:rPr>
                <w:rFonts w:cs="Calibri"/>
                <w:spacing w:val="20"/>
                <w:highlight w:val="none"/>
              </w:rPr>
            </w:pPr>
          </w:p>
        </w:tc>
        <w:tc>
          <w:tcPr>
            <w:tcW w:w="1080" w:type="dxa"/>
            <w:vAlign w:val="center"/>
          </w:tcPr>
          <w:p>
            <w:pPr>
              <w:jc w:val="center"/>
              <w:rPr>
                <w:rFonts w:cs="Calibri"/>
                <w:spacing w:val="20"/>
                <w:highlight w:val="none"/>
              </w:rPr>
            </w:pPr>
          </w:p>
        </w:tc>
        <w:tc>
          <w:tcPr>
            <w:tcW w:w="900" w:type="dxa"/>
            <w:vAlign w:val="center"/>
          </w:tcPr>
          <w:p>
            <w:pPr>
              <w:jc w:val="center"/>
              <w:rPr>
                <w:rFonts w:cs="Calibri"/>
                <w:spacing w:val="20"/>
                <w:highlight w:val="none"/>
              </w:rPr>
            </w:pPr>
          </w:p>
        </w:tc>
        <w:tc>
          <w:tcPr>
            <w:tcW w:w="900" w:type="dxa"/>
            <w:vAlign w:val="center"/>
          </w:tcPr>
          <w:p>
            <w:pPr>
              <w:jc w:val="center"/>
              <w:rPr>
                <w:rFonts w:cs="Calibri"/>
                <w:spacing w:val="20"/>
                <w:highlight w:val="none"/>
              </w:rPr>
            </w:pPr>
          </w:p>
        </w:tc>
        <w:tc>
          <w:tcPr>
            <w:tcW w:w="719" w:type="dxa"/>
            <w:vAlign w:val="center"/>
          </w:tcPr>
          <w:p>
            <w:pPr>
              <w:jc w:val="center"/>
              <w:rPr>
                <w:rFonts w:cs="Calibri"/>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cs="Calibri"/>
                <w:spacing w:val="20"/>
                <w:highlight w:val="none"/>
              </w:rPr>
            </w:pPr>
          </w:p>
        </w:tc>
        <w:tc>
          <w:tcPr>
            <w:tcW w:w="1080" w:type="dxa"/>
            <w:vAlign w:val="center"/>
          </w:tcPr>
          <w:p>
            <w:pPr>
              <w:jc w:val="center"/>
              <w:rPr>
                <w:rFonts w:cs="Calibri"/>
                <w:spacing w:val="20"/>
                <w:highlight w:val="none"/>
              </w:rPr>
            </w:pPr>
          </w:p>
        </w:tc>
        <w:tc>
          <w:tcPr>
            <w:tcW w:w="1440" w:type="dxa"/>
            <w:vAlign w:val="center"/>
          </w:tcPr>
          <w:p>
            <w:pPr>
              <w:jc w:val="center"/>
              <w:rPr>
                <w:rFonts w:cs="Calibri"/>
                <w:spacing w:val="20"/>
                <w:highlight w:val="none"/>
              </w:rPr>
            </w:pPr>
          </w:p>
        </w:tc>
        <w:tc>
          <w:tcPr>
            <w:tcW w:w="1620" w:type="dxa"/>
            <w:vAlign w:val="center"/>
          </w:tcPr>
          <w:p>
            <w:pPr>
              <w:jc w:val="center"/>
              <w:rPr>
                <w:rFonts w:cs="Calibri"/>
                <w:spacing w:val="20"/>
                <w:highlight w:val="none"/>
              </w:rPr>
            </w:pPr>
          </w:p>
        </w:tc>
        <w:tc>
          <w:tcPr>
            <w:tcW w:w="1080" w:type="dxa"/>
            <w:vAlign w:val="center"/>
          </w:tcPr>
          <w:p>
            <w:pPr>
              <w:jc w:val="center"/>
              <w:rPr>
                <w:rFonts w:cs="Calibri"/>
                <w:spacing w:val="20"/>
                <w:highlight w:val="none"/>
              </w:rPr>
            </w:pPr>
          </w:p>
        </w:tc>
        <w:tc>
          <w:tcPr>
            <w:tcW w:w="1080" w:type="dxa"/>
            <w:vAlign w:val="center"/>
          </w:tcPr>
          <w:p>
            <w:pPr>
              <w:jc w:val="center"/>
              <w:rPr>
                <w:rFonts w:cs="Calibri"/>
                <w:spacing w:val="20"/>
                <w:highlight w:val="none"/>
              </w:rPr>
            </w:pPr>
          </w:p>
        </w:tc>
        <w:tc>
          <w:tcPr>
            <w:tcW w:w="900" w:type="dxa"/>
            <w:vAlign w:val="center"/>
          </w:tcPr>
          <w:p>
            <w:pPr>
              <w:jc w:val="center"/>
              <w:rPr>
                <w:rFonts w:cs="Calibri"/>
                <w:spacing w:val="20"/>
                <w:highlight w:val="none"/>
              </w:rPr>
            </w:pPr>
          </w:p>
        </w:tc>
        <w:tc>
          <w:tcPr>
            <w:tcW w:w="900" w:type="dxa"/>
            <w:vAlign w:val="center"/>
          </w:tcPr>
          <w:p>
            <w:pPr>
              <w:jc w:val="center"/>
              <w:rPr>
                <w:rFonts w:cs="Calibri"/>
                <w:spacing w:val="20"/>
                <w:highlight w:val="none"/>
              </w:rPr>
            </w:pPr>
          </w:p>
        </w:tc>
        <w:tc>
          <w:tcPr>
            <w:tcW w:w="719" w:type="dxa"/>
            <w:vAlign w:val="center"/>
          </w:tcPr>
          <w:p>
            <w:pPr>
              <w:jc w:val="center"/>
              <w:rPr>
                <w:rFonts w:cs="Calibri"/>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cs="Calibri"/>
                <w:spacing w:val="20"/>
                <w:highlight w:val="none"/>
              </w:rPr>
            </w:pPr>
          </w:p>
        </w:tc>
        <w:tc>
          <w:tcPr>
            <w:tcW w:w="1080" w:type="dxa"/>
            <w:vAlign w:val="center"/>
          </w:tcPr>
          <w:p>
            <w:pPr>
              <w:jc w:val="center"/>
              <w:rPr>
                <w:rFonts w:cs="Calibri"/>
                <w:spacing w:val="20"/>
                <w:highlight w:val="none"/>
              </w:rPr>
            </w:pPr>
          </w:p>
        </w:tc>
        <w:tc>
          <w:tcPr>
            <w:tcW w:w="1440" w:type="dxa"/>
            <w:vAlign w:val="center"/>
          </w:tcPr>
          <w:p>
            <w:pPr>
              <w:jc w:val="center"/>
              <w:rPr>
                <w:rFonts w:cs="Calibri"/>
                <w:spacing w:val="20"/>
                <w:highlight w:val="none"/>
              </w:rPr>
            </w:pPr>
          </w:p>
        </w:tc>
        <w:tc>
          <w:tcPr>
            <w:tcW w:w="1620" w:type="dxa"/>
            <w:vAlign w:val="center"/>
          </w:tcPr>
          <w:p>
            <w:pPr>
              <w:jc w:val="center"/>
              <w:rPr>
                <w:rFonts w:cs="Calibri"/>
                <w:spacing w:val="20"/>
                <w:highlight w:val="none"/>
              </w:rPr>
            </w:pPr>
          </w:p>
        </w:tc>
        <w:tc>
          <w:tcPr>
            <w:tcW w:w="1080" w:type="dxa"/>
            <w:vAlign w:val="center"/>
          </w:tcPr>
          <w:p>
            <w:pPr>
              <w:jc w:val="center"/>
              <w:rPr>
                <w:rFonts w:cs="Calibri"/>
                <w:spacing w:val="20"/>
                <w:highlight w:val="none"/>
              </w:rPr>
            </w:pPr>
          </w:p>
        </w:tc>
        <w:tc>
          <w:tcPr>
            <w:tcW w:w="1080" w:type="dxa"/>
            <w:vAlign w:val="center"/>
          </w:tcPr>
          <w:p>
            <w:pPr>
              <w:jc w:val="center"/>
              <w:rPr>
                <w:rFonts w:cs="Calibri"/>
                <w:spacing w:val="20"/>
                <w:highlight w:val="none"/>
              </w:rPr>
            </w:pPr>
          </w:p>
        </w:tc>
        <w:tc>
          <w:tcPr>
            <w:tcW w:w="900" w:type="dxa"/>
            <w:vAlign w:val="center"/>
          </w:tcPr>
          <w:p>
            <w:pPr>
              <w:jc w:val="center"/>
              <w:rPr>
                <w:rFonts w:cs="Calibri"/>
                <w:spacing w:val="20"/>
                <w:highlight w:val="none"/>
              </w:rPr>
            </w:pPr>
          </w:p>
        </w:tc>
        <w:tc>
          <w:tcPr>
            <w:tcW w:w="900" w:type="dxa"/>
            <w:vAlign w:val="center"/>
          </w:tcPr>
          <w:p>
            <w:pPr>
              <w:jc w:val="center"/>
              <w:rPr>
                <w:rFonts w:cs="Calibri"/>
                <w:spacing w:val="20"/>
                <w:highlight w:val="none"/>
              </w:rPr>
            </w:pPr>
          </w:p>
        </w:tc>
        <w:tc>
          <w:tcPr>
            <w:tcW w:w="719" w:type="dxa"/>
            <w:vAlign w:val="center"/>
          </w:tcPr>
          <w:p>
            <w:pPr>
              <w:jc w:val="center"/>
              <w:rPr>
                <w:rFonts w:cs="Calibri"/>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cs="Calibri"/>
                <w:spacing w:val="20"/>
                <w:highlight w:val="none"/>
              </w:rPr>
            </w:pPr>
          </w:p>
        </w:tc>
        <w:tc>
          <w:tcPr>
            <w:tcW w:w="1080" w:type="dxa"/>
            <w:vAlign w:val="center"/>
          </w:tcPr>
          <w:p>
            <w:pPr>
              <w:jc w:val="center"/>
              <w:rPr>
                <w:rFonts w:cs="Calibri"/>
                <w:spacing w:val="20"/>
                <w:highlight w:val="none"/>
              </w:rPr>
            </w:pPr>
          </w:p>
        </w:tc>
        <w:tc>
          <w:tcPr>
            <w:tcW w:w="1440" w:type="dxa"/>
            <w:vAlign w:val="center"/>
          </w:tcPr>
          <w:p>
            <w:pPr>
              <w:jc w:val="center"/>
              <w:rPr>
                <w:rFonts w:cs="Calibri"/>
                <w:spacing w:val="20"/>
                <w:highlight w:val="none"/>
              </w:rPr>
            </w:pPr>
          </w:p>
        </w:tc>
        <w:tc>
          <w:tcPr>
            <w:tcW w:w="1620" w:type="dxa"/>
            <w:vAlign w:val="center"/>
          </w:tcPr>
          <w:p>
            <w:pPr>
              <w:jc w:val="center"/>
              <w:rPr>
                <w:rFonts w:cs="Calibri"/>
                <w:spacing w:val="20"/>
                <w:highlight w:val="none"/>
              </w:rPr>
            </w:pPr>
          </w:p>
        </w:tc>
        <w:tc>
          <w:tcPr>
            <w:tcW w:w="1080" w:type="dxa"/>
            <w:vAlign w:val="center"/>
          </w:tcPr>
          <w:p>
            <w:pPr>
              <w:jc w:val="center"/>
              <w:rPr>
                <w:rFonts w:cs="Calibri"/>
                <w:spacing w:val="20"/>
                <w:highlight w:val="none"/>
              </w:rPr>
            </w:pPr>
          </w:p>
        </w:tc>
        <w:tc>
          <w:tcPr>
            <w:tcW w:w="1080" w:type="dxa"/>
            <w:vAlign w:val="center"/>
          </w:tcPr>
          <w:p>
            <w:pPr>
              <w:jc w:val="center"/>
              <w:rPr>
                <w:rFonts w:cs="Calibri"/>
                <w:spacing w:val="20"/>
                <w:highlight w:val="none"/>
              </w:rPr>
            </w:pPr>
          </w:p>
        </w:tc>
        <w:tc>
          <w:tcPr>
            <w:tcW w:w="900" w:type="dxa"/>
            <w:vAlign w:val="center"/>
          </w:tcPr>
          <w:p>
            <w:pPr>
              <w:jc w:val="center"/>
              <w:rPr>
                <w:rFonts w:cs="Calibri"/>
                <w:spacing w:val="20"/>
                <w:highlight w:val="none"/>
              </w:rPr>
            </w:pPr>
          </w:p>
        </w:tc>
        <w:tc>
          <w:tcPr>
            <w:tcW w:w="900" w:type="dxa"/>
            <w:vAlign w:val="center"/>
          </w:tcPr>
          <w:p>
            <w:pPr>
              <w:jc w:val="center"/>
              <w:rPr>
                <w:rFonts w:cs="Calibri"/>
                <w:spacing w:val="20"/>
                <w:highlight w:val="none"/>
              </w:rPr>
            </w:pPr>
          </w:p>
        </w:tc>
        <w:tc>
          <w:tcPr>
            <w:tcW w:w="719" w:type="dxa"/>
            <w:vAlign w:val="center"/>
          </w:tcPr>
          <w:p>
            <w:pPr>
              <w:jc w:val="center"/>
              <w:rPr>
                <w:rFonts w:cs="Calibri"/>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cs="Calibri"/>
                <w:spacing w:val="20"/>
                <w:highlight w:val="none"/>
              </w:rPr>
            </w:pPr>
          </w:p>
        </w:tc>
        <w:tc>
          <w:tcPr>
            <w:tcW w:w="1080" w:type="dxa"/>
            <w:vAlign w:val="center"/>
          </w:tcPr>
          <w:p>
            <w:pPr>
              <w:jc w:val="center"/>
              <w:rPr>
                <w:rFonts w:cs="Calibri"/>
                <w:spacing w:val="20"/>
                <w:highlight w:val="none"/>
              </w:rPr>
            </w:pPr>
          </w:p>
        </w:tc>
        <w:tc>
          <w:tcPr>
            <w:tcW w:w="1440" w:type="dxa"/>
            <w:vAlign w:val="center"/>
          </w:tcPr>
          <w:p>
            <w:pPr>
              <w:jc w:val="center"/>
              <w:rPr>
                <w:rFonts w:cs="Calibri"/>
                <w:spacing w:val="20"/>
                <w:highlight w:val="none"/>
              </w:rPr>
            </w:pPr>
          </w:p>
        </w:tc>
        <w:tc>
          <w:tcPr>
            <w:tcW w:w="1620" w:type="dxa"/>
            <w:vAlign w:val="center"/>
          </w:tcPr>
          <w:p>
            <w:pPr>
              <w:jc w:val="center"/>
              <w:rPr>
                <w:rFonts w:cs="Calibri"/>
                <w:spacing w:val="20"/>
                <w:highlight w:val="none"/>
              </w:rPr>
            </w:pPr>
          </w:p>
        </w:tc>
        <w:tc>
          <w:tcPr>
            <w:tcW w:w="1080" w:type="dxa"/>
            <w:vAlign w:val="center"/>
          </w:tcPr>
          <w:p>
            <w:pPr>
              <w:jc w:val="center"/>
              <w:rPr>
                <w:rFonts w:cs="Calibri"/>
                <w:spacing w:val="20"/>
                <w:highlight w:val="none"/>
              </w:rPr>
            </w:pPr>
          </w:p>
        </w:tc>
        <w:tc>
          <w:tcPr>
            <w:tcW w:w="1080" w:type="dxa"/>
            <w:vAlign w:val="center"/>
          </w:tcPr>
          <w:p>
            <w:pPr>
              <w:jc w:val="center"/>
              <w:rPr>
                <w:rFonts w:cs="Calibri"/>
                <w:spacing w:val="20"/>
                <w:highlight w:val="none"/>
              </w:rPr>
            </w:pPr>
          </w:p>
        </w:tc>
        <w:tc>
          <w:tcPr>
            <w:tcW w:w="900" w:type="dxa"/>
            <w:vAlign w:val="center"/>
          </w:tcPr>
          <w:p>
            <w:pPr>
              <w:jc w:val="center"/>
              <w:rPr>
                <w:rFonts w:cs="Calibri"/>
                <w:spacing w:val="20"/>
                <w:highlight w:val="none"/>
              </w:rPr>
            </w:pPr>
          </w:p>
        </w:tc>
        <w:tc>
          <w:tcPr>
            <w:tcW w:w="900" w:type="dxa"/>
            <w:vAlign w:val="center"/>
          </w:tcPr>
          <w:p>
            <w:pPr>
              <w:jc w:val="center"/>
              <w:rPr>
                <w:rFonts w:cs="Calibri"/>
                <w:spacing w:val="20"/>
                <w:highlight w:val="none"/>
              </w:rPr>
            </w:pPr>
          </w:p>
        </w:tc>
        <w:tc>
          <w:tcPr>
            <w:tcW w:w="719" w:type="dxa"/>
            <w:vAlign w:val="center"/>
          </w:tcPr>
          <w:p>
            <w:pPr>
              <w:jc w:val="center"/>
              <w:rPr>
                <w:rFonts w:cs="Calibri"/>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cs="Calibri"/>
                <w:spacing w:val="20"/>
                <w:highlight w:val="none"/>
              </w:rPr>
            </w:pPr>
          </w:p>
        </w:tc>
        <w:tc>
          <w:tcPr>
            <w:tcW w:w="1080" w:type="dxa"/>
            <w:vAlign w:val="center"/>
          </w:tcPr>
          <w:p>
            <w:pPr>
              <w:jc w:val="center"/>
              <w:rPr>
                <w:rFonts w:cs="Calibri"/>
                <w:spacing w:val="20"/>
                <w:highlight w:val="none"/>
              </w:rPr>
            </w:pPr>
          </w:p>
        </w:tc>
        <w:tc>
          <w:tcPr>
            <w:tcW w:w="1440" w:type="dxa"/>
            <w:vAlign w:val="center"/>
          </w:tcPr>
          <w:p>
            <w:pPr>
              <w:jc w:val="center"/>
              <w:rPr>
                <w:rFonts w:cs="Calibri"/>
                <w:spacing w:val="20"/>
                <w:highlight w:val="none"/>
              </w:rPr>
            </w:pPr>
          </w:p>
        </w:tc>
        <w:tc>
          <w:tcPr>
            <w:tcW w:w="1620" w:type="dxa"/>
            <w:vAlign w:val="center"/>
          </w:tcPr>
          <w:p>
            <w:pPr>
              <w:jc w:val="center"/>
              <w:rPr>
                <w:rFonts w:cs="Calibri"/>
                <w:spacing w:val="20"/>
                <w:highlight w:val="none"/>
              </w:rPr>
            </w:pPr>
          </w:p>
        </w:tc>
        <w:tc>
          <w:tcPr>
            <w:tcW w:w="1080" w:type="dxa"/>
            <w:vAlign w:val="center"/>
          </w:tcPr>
          <w:p>
            <w:pPr>
              <w:jc w:val="center"/>
              <w:rPr>
                <w:rFonts w:cs="Calibri"/>
                <w:spacing w:val="20"/>
                <w:highlight w:val="none"/>
              </w:rPr>
            </w:pPr>
          </w:p>
        </w:tc>
        <w:tc>
          <w:tcPr>
            <w:tcW w:w="1080" w:type="dxa"/>
            <w:vAlign w:val="center"/>
          </w:tcPr>
          <w:p>
            <w:pPr>
              <w:jc w:val="center"/>
              <w:rPr>
                <w:rFonts w:cs="Calibri"/>
                <w:spacing w:val="20"/>
                <w:highlight w:val="none"/>
              </w:rPr>
            </w:pPr>
          </w:p>
        </w:tc>
        <w:tc>
          <w:tcPr>
            <w:tcW w:w="900" w:type="dxa"/>
            <w:vAlign w:val="center"/>
          </w:tcPr>
          <w:p>
            <w:pPr>
              <w:jc w:val="center"/>
              <w:rPr>
                <w:rFonts w:cs="Calibri"/>
                <w:spacing w:val="20"/>
                <w:highlight w:val="none"/>
              </w:rPr>
            </w:pPr>
          </w:p>
        </w:tc>
        <w:tc>
          <w:tcPr>
            <w:tcW w:w="900" w:type="dxa"/>
            <w:vAlign w:val="center"/>
          </w:tcPr>
          <w:p>
            <w:pPr>
              <w:jc w:val="center"/>
              <w:rPr>
                <w:rFonts w:cs="Calibri"/>
                <w:spacing w:val="20"/>
                <w:highlight w:val="none"/>
              </w:rPr>
            </w:pPr>
          </w:p>
        </w:tc>
        <w:tc>
          <w:tcPr>
            <w:tcW w:w="719" w:type="dxa"/>
            <w:vAlign w:val="center"/>
          </w:tcPr>
          <w:p>
            <w:pPr>
              <w:jc w:val="center"/>
              <w:rPr>
                <w:rFonts w:cs="Calibri"/>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cs="Calibri"/>
                <w:spacing w:val="20"/>
                <w:highlight w:val="none"/>
              </w:rPr>
            </w:pPr>
          </w:p>
        </w:tc>
        <w:tc>
          <w:tcPr>
            <w:tcW w:w="1080" w:type="dxa"/>
            <w:vAlign w:val="center"/>
          </w:tcPr>
          <w:p>
            <w:pPr>
              <w:jc w:val="center"/>
              <w:rPr>
                <w:rFonts w:cs="Calibri"/>
                <w:spacing w:val="20"/>
                <w:highlight w:val="none"/>
              </w:rPr>
            </w:pPr>
          </w:p>
        </w:tc>
        <w:tc>
          <w:tcPr>
            <w:tcW w:w="1440" w:type="dxa"/>
            <w:vAlign w:val="center"/>
          </w:tcPr>
          <w:p>
            <w:pPr>
              <w:jc w:val="center"/>
              <w:rPr>
                <w:rFonts w:cs="Calibri"/>
                <w:spacing w:val="20"/>
                <w:highlight w:val="none"/>
              </w:rPr>
            </w:pPr>
          </w:p>
        </w:tc>
        <w:tc>
          <w:tcPr>
            <w:tcW w:w="1620" w:type="dxa"/>
            <w:vAlign w:val="center"/>
          </w:tcPr>
          <w:p>
            <w:pPr>
              <w:jc w:val="center"/>
              <w:rPr>
                <w:rFonts w:cs="Calibri"/>
                <w:spacing w:val="20"/>
                <w:highlight w:val="none"/>
              </w:rPr>
            </w:pPr>
          </w:p>
        </w:tc>
        <w:tc>
          <w:tcPr>
            <w:tcW w:w="1080" w:type="dxa"/>
            <w:vAlign w:val="center"/>
          </w:tcPr>
          <w:p>
            <w:pPr>
              <w:jc w:val="center"/>
              <w:rPr>
                <w:rFonts w:cs="Calibri"/>
                <w:spacing w:val="20"/>
                <w:highlight w:val="none"/>
              </w:rPr>
            </w:pPr>
          </w:p>
        </w:tc>
        <w:tc>
          <w:tcPr>
            <w:tcW w:w="1080" w:type="dxa"/>
            <w:vAlign w:val="center"/>
          </w:tcPr>
          <w:p>
            <w:pPr>
              <w:jc w:val="center"/>
              <w:rPr>
                <w:rFonts w:cs="Calibri"/>
                <w:spacing w:val="20"/>
                <w:highlight w:val="none"/>
              </w:rPr>
            </w:pPr>
          </w:p>
        </w:tc>
        <w:tc>
          <w:tcPr>
            <w:tcW w:w="900" w:type="dxa"/>
            <w:vAlign w:val="center"/>
          </w:tcPr>
          <w:p>
            <w:pPr>
              <w:jc w:val="center"/>
              <w:rPr>
                <w:rFonts w:cs="Calibri"/>
                <w:spacing w:val="20"/>
                <w:highlight w:val="none"/>
              </w:rPr>
            </w:pPr>
          </w:p>
        </w:tc>
        <w:tc>
          <w:tcPr>
            <w:tcW w:w="900" w:type="dxa"/>
            <w:vAlign w:val="center"/>
          </w:tcPr>
          <w:p>
            <w:pPr>
              <w:jc w:val="center"/>
              <w:rPr>
                <w:rFonts w:cs="Calibri"/>
                <w:spacing w:val="20"/>
                <w:highlight w:val="none"/>
              </w:rPr>
            </w:pPr>
          </w:p>
        </w:tc>
        <w:tc>
          <w:tcPr>
            <w:tcW w:w="719" w:type="dxa"/>
            <w:vAlign w:val="center"/>
          </w:tcPr>
          <w:p>
            <w:pPr>
              <w:jc w:val="center"/>
              <w:rPr>
                <w:rFonts w:cs="Calibri"/>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cs="Calibri"/>
                <w:spacing w:val="20"/>
                <w:highlight w:val="none"/>
              </w:rPr>
            </w:pPr>
          </w:p>
        </w:tc>
        <w:tc>
          <w:tcPr>
            <w:tcW w:w="1080" w:type="dxa"/>
            <w:vAlign w:val="center"/>
          </w:tcPr>
          <w:p>
            <w:pPr>
              <w:jc w:val="center"/>
              <w:rPr>
                <w:rFonts w:cs="Calibri"/>
                <w:spacing w:val="20"/>
                <w:highlight w:val="none"/>
              </w:rPr>
            </w:pPr>
          </w:p>
        </w:tc>
        <w:tc>
          <w:tcPr>
            <w:tcW w:w="1440" w:type="dxa"/>
            <w:vAlign w:val="center"/>
          </w:tcPr>
          <w:p>
            <w:pPr>
              <w:jc w:val="center"/>
              <w:rPr>
                <w:rFonts w:cs="Calibri"/>
                <w:spacing w:val="20"/>
                <w:highlight w:val="none"/>
              </w:rPr>
            </w:pPr>
          </w:p>
        </w:tc>
        <w:tc>
          <w:tcPr>
            <w:tcW w:w="1620" w:type="dxa"/>
            <w:vAlign w:val="center"/>
          </w:tcPr>
          <w:p>
            <w:pPr>
              <w:jc w:val="center"/>
              <w:rPr>
                <w:rFonts w:cs="Calibri"/>
                <w:spacing w:val="20"/>
                <w:highlight w:val="none"/>
              </w:rPr>
            </w:pPr>
          </w:p>
        </w:tc>
        <w:tc>
          <w:tcPr>
            <w:tcW w:w="1080" w:type="dxa"/>
            <w:vAlign w:val="center"/>
          </w:tcPr>
          <w:p>
            <w:pPr>
              <w:jc w:val="center"/>
              <w:rPr>
                <w:rFonts w:cs="Calibri"/>
                <w:spacing w:val="20"/>
                <w:highlight w:val="none"/>
              </w:rPr>
            </w:pPr>
          </w:p>
        </w:tc>
        <w:tc>
          <w:tcPr>
            <w:tcW w:w="1080" w:type="dxa"/>
            <w:vAlign w:val="center"/>
          </w:tcPr>
          <w:p>
            <w:pPr>
              <w:jc w:val="center"/>
              <w:rPr>
                <w:rFonts w:cs="Calibri"/>
                <w:spacing w:val="20"/>
                <w:highlight w:val="none"/>
              </w:rPr>
            </w:pPr>
          </w:p>
        </w:tc>
        <w:tc>
          <w:tcPr>
            <w:tcW w:w="900" w:type="dxa"/>
            <w:vAlign w:val="center"/>
          </w:tcPr>
          <w:p>
            <w:pPr>
              <w:jc w:val="center"/>
              <w:rPr>
                <w:rFonts w:cs="Calibri"/>
                <w:spacing w:val="20"/>
                <w:highlight w:val="none"/>
              </w:rPr>
            </w:pPr>
          </w:p>
        </w:tc>
        <w:tc>
          <w:tcPr>
            <w:tcW w:w="900" w:type="dxa"/>
            <w:vAlign w:val="center"/>
          </w:tcPr>
          <w:p>
            <w:pPr>
              <w:jc w:val="center"/>
              <w:rPr>
                <w:rFonts w:cs="Calibri"/>
                <w:spacing w:val="20"/>
                <w:highlight w:val="none"/>
              </w:rPr>
            </w:pPr>
          </w:p>
        </w:tc>
        <w:tc>
          <w:tcPr>
            <w:tcW w:w="719" w:type="dxa"/>
            <w:vAlign w:val="center"/>
          </w:tcPr>
          <w:p>
            <w:pPr>
              <w:jc w:val="center"/>
              <w:rPr>
                <w:rFonts w:cs="Calibri"/>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cs="Calibri"/>
                <w:spacing w:val="20"/>
                <w:highlight w:val="none"/>
              </w:rPr>
            </w:pPr>
          </w:p>
        </w:tc>
        <w:tc>
          <w:tcPr>
            <w:tcW w:w="1080" w:type="dxa"/>
            <w:vAlign w:val="center"/>
          </w:tcPr>
          <w:p>
            <w:pPr>
              <w:jc w:val="center"/>
              <w:rPr>
                <w:rFonts w:cs="Calibri"/>
                <w:spacing w:val="20"/>
                <w:highlight w:val="none"/>
              </w:rPr>
            </w:pPr>
          </w:p>
        </w:tc>
        <w:tc>
          <w:tcPr>
            <w:tcW w:w="1440" w:type="dxa"/>
            <w:vAlign w:val="center"/>
          </w:tcPr>
          <w:p>
            <w:pPr>
              <w:jc w:val="center"/>
              <w:rPr>
                <w:rFonts w:cs="Calibri"/>
                <w:spacing w:val="20"/>
                <w:highlight w:val="none"/>
              </w:rPr>
            </w:pPr>
          </w:p>
        </w:tc>
        <w:tc>
          <w:tcPr>
            <w:tcW w:w="1620" w:type="dxa"/>
            <w:vAlign w:val="center"/>
          </w:tcPr>
          <w:p>
            <w:pPr>
              <w:jc w:val="center"/>
              <w:rPr>
                <w:rFonts w:cs="Calibri"/>
                <w:spacing w:val="20"/>
                <w:highlight w:val="none"/>
              </w:rPr>
            </w:pPr>
          </w:p>
        </w:tc>
        <w:tc>
          <w:tcPr>
            <w:tcW w:w="1080" w:type="dxa"/>
            <w:vAlign w:val="center"/>
          </w:tcPr>
          <w:p>
            <w:pPr>
              <w:jc w:val="center"/>
              <w:rPr>
                <w:rFonts w:cs="Calibri"/>
                <w:spacing w:val="20"/>
                <w:highlight w:val="none"/>
              </w:rPr>
            </w:pPr>
          </w:p>
        </w:tc>
        <w:tc>
          <w:tcPr>
            <w:tcW w:w="1080" w:type="dxa"/>
            <w:vAlign w:val="center"/>
          </w:tcPr>
          <w:p>
            <w:pPr>
              <w:jc w:val="center"/>
              <w:rPr>
                <w:rFonts w:cs="Calibri"/>
                <w:spacing w:val="20"/>
                <w:highlight w:val="none"/>
              </w:rPr>
            </w:pPr>
          </w:p>
        </w:tc>
        <w:tc>
          <w:tcPr>
            <w:tcW w:w="900" w:type="dxa"/>
            <w:vAlign w:val="center"/>
          </w:tcPr>
          <w:p>
            <w:pPr>
              <w:jc w:val="center"/>
              <w:rPr>
                <w:rFonts w:cs="Calibri"/>
                <w:spacing w:val="20"/>
                <w:highlight w:val="none"/>
              </w:rPr>
            </w:pPr>
          </w:p>
        </w:tc>
        <w:tc>
          <w:tcPr>
            <w:tcW w:w="900" w:type="dxa"/>
            <w:vAlign w:val="center"/>
          </w:tcPr>
          <w:p>
            <w:pPr>
              <w:jc w:val="center"/>
              <w:rPr>
                <w:rFonts w:cs="Calibri"/>
                <w:spacing w:val="20"/>
                <w:highlight w:val="none"/>
              </w:rPr>
            </w:pPr>
          </w:p>
        </w:tc>
        <w:tc>
          <w:tcPr>
            <w:tcW w:w="719" w:type="dxa"/>
            <w:vAlign w:val="center"/>
          </w:tcPr>
          <w:p>
            <w:pPr>
              <w:jc w:val="center"/>
              <w:rPr>
                <w:rFonts w:cs="Calibri"/>
                <w:spacing w:val="20"/>
                <w:highlight w:val="none"/>
              </w:rPr>
            </w:pPr>
          </w:p>
        </w:tc>
      </w:tr>
    </w:tbl>
    <w:p>
      <w:pPr>
        <w:adjustRightInd w:val="0"/>
        <w:rPr>
          <w:rFonts w:cs="Calibri"/>
          <w:highlight w:val="none"/>
        </w:rPr>
      </w:pPr>
    </w:p>
    <w:p>
      <w:pPr>
        <w:adjustRightInd w:val="0"/>
        <w:ind w:firstLine="420" w:firstLineChars="200"/>
        <w:rPr>
          <w:rFonts w:cs="Calibri"/>
          <w:spacing w:val="20"/>
          <w:szCs w:val="21"/>
          <w:highlight w:val="none"/>
          <w:u w:val="single"/>
        </w:rPr>
      </w:pPr>
      <w:r>
        <w:rPr>
          <w:rFonts w:cs="Calibri"/>
          <w:szCs w:val="21"/>
          <w:highlight w:val="none"/>
        </w:rPr>
        <w:t>供应商全称：（盖单位公章）</w:t>
      </w:r>
    </w:p>
    <w:p>
      <w:pPr>
        <w:adjustRightInd w:val="0"/>
        <w:ind w:firstLine="420" w:firstLineChars="200"/>
        <w:rPr>
          <w:rFonts w:cs="Calibri"/>
          <w:szCs w:val="21"/>
          <w:highlight w:val="none"/>
        </w:rPr>
      </w:pPr>
      <w:r>
        <w:rPr>
          <w:rFonts w:cs="Calibri"/>
          <w:szCs w:val="21"/>
          <w:highlight w:val="none"/>
        </w:rPr>
        <w:t>日期：年月日</w:t>
      </w:r>
    </w:p>
    <w:p>
      <w:pPr>
        <w:rPr>
          <w:rFonts w:cs="Calibri"/>
          <w:szCs w:val="21"/>
          <w:highlight w:val="none"/>
        </w:rPr>
      </w:pPr>
    </w:p>
    <w:p>
      <w:pPr>
        <w:pStyle w:val="26"/>
        <w:adjustRightInd w:val="0"/>
        <w:rPr>
          <w:rFonts w:ascii="Calibri" w:hAnsi="Calibri" w:cs="Calibri"/>
          <w:highlight w:val="none"/>
        </w:rPr>
      </w:pPr>
      <w:r>
        <w:rPr>
          <w:rFonts w:ascii="Calibri" w:hAnsi="Calibri" w:cs="Calibri"/>
          <w:highlight w:val="none"/>
        </w:rPr>
        <w:t>填写说明：</w:t>
      </w:r>
    </w:p>
    <w:p>
      <w:pPr>
        <w:pStyle w:val="26"/>
        <w:adjustRightInd w:val="0"/>
        <w:rPr>
          <w:rFonts w:ascii="Calibri" w:hAnsi="Calibri" w:cs="Calibri"/>
          <w:highlight w:val="none"/>
        </w:rPr>
      </w:pPr>
      <w:r>
        <w:rPr>
          <w:rFonts w:ascii="Calibri" w:hAnsi="Calibri" w:cs="Calibri"/>
          <w:highlight w:val="none"/>
        </w:rPr>
        <w:t>（1）此表不提供，可视为无业绩。</w:t>
      </w:r>
    </w:p>
    <w:p>
      <w:pPr>
        <w:pStyle w:val="26"/>
        <w:adjustRightInd w:val="0"/>
        <w:rPr>
          <w:rFonts w:ascii="Calibri" w:hAnsi="Calibri" w:cs="Calibri"/>
          <w:highlight w:val="none"/>
        </w:rPr>
      </w:pPr>
      <w:r>
        <w:rPr>
          <w:rFonts w:ascii="Calibri" w:hAnsi="Calibri" w:cs="Calibri"/>
          <w:highlight w:val="none"/>
        </w:rPr>
        <w:t>（2）此表仅提供了格式，表格不够可自行增加。</w:t>
      </w:r>
    </w:p>
    <w:p>
      <w:pPr>
        <w:pStyle w:val="26"/>
        <w:adjustRightInd w:val="0"/>
        <w:rPr>
          <w:rFonts w:ascii="Calibri" w:hAnsi="Calibri" w:cs="Calibri"/>
          <w:highlight w:val="none"/>
        </w:rPr>
      </w:pPr>
      <w:r>
        <w:rPr>
          <w:rFonts w:ascii="Calibri" w:hAnsi="Calibri" w:cs="Calibri"/>
          <w:highlight w:val="none"/>
        </w:rPr>
        <w:t>（3）表后附合同等相关证明材料。</w:t>
      </w:r>
    </w:p>
    <w:p>
      <w:pPr>
        <w:jc w:val="center"/>
        <w:rPr>
          <w:rFonts w:cs="Calibri"/>
          <w:b/>
          <w:bCs/>
          <w:sz w:val="28"/>
          <w:szCs w:val="28"/>
          <w:highlight w:val="none"/>
        </w:rPr>
      </w:pPr>
      <w:r>
        <w:rPr>
          <w:rFonts w:cs="Calibri"/>
          <w:spacing w:val="20"/>
          <w:highlight w:val="none"/>
        </w:rPr>
        <w:br w:type="page"/>
      </w:r>
      <w:r>
        <w:rPr>
          <w:rFonts w:cs="Calibri"/>
          <w:b/>
          <w:bCs/>
          <w:sz w:val="28"/>
          <w:szCs w:val="28"/>
          <w:highlight w:val="none"/>
        </w:rPr>
        <w:t>廉政承诺书</w:t>
      </w:r>
    </w:p>
    <w:p>
      <w:pPr>
        <w:rPr>
          <w:rFonts w:cs="Calibri"/>
          <w:szCs w:val="21"/>
          <w:highlight w:val="none"/>
        </w:rPr>
      </w:pPr>
      <w:r>
        <w:rPr>
          <w:rFonts w:hint="eastAsia" w:cs="Calibri"/>
          <w:szCs w:val="21"/>
          <w:highlight w:val="none"/>
          <w:u w:val="single"/>
        </w:rPr>
        <w:t>（采购人）</w:t>
      </w:r>
      <w:r>
        <w:rPr>
          <w:rFonts w:cs="Calibri"/>
          <w:szCs w:val="21"/>
          <w:highlight w:val="none"/>
        </w:rPr>
        <w:t>：</w:t>
      </w:r>
    </w:p>
    <w:p>
      <w:pPr>
        <w:ind w:firstLine="420" w:firstLineChars="200"/>
        <w:rPr>
          <w:rFonts w:cs="Calibri"/>
          <w:szCs w:val="21"/>
          <w:highlight w:val="none"/>
        </w:rPr>
      </w:pPr>
      <w:r>
        <w:rPr>
          <w:rFonts w:cs="Calibri"/>
          <w:szCs w:val="21"/>
          <w:highlight w:val="none"/>
        </w:rPr>
        <w:t>我单位响应</w:t>
      </w:r>
      <w:r>
        <w:rPr>
          <w:rFonts w:hint="eastAsia" w:cs="Calibri"/>
          <w:szCs w:val="21"/>
          <w:highlight w:val="none"/>
          <w:u w:val="single"/>
          <w:lang w:eastAsia="zh-CN"/>
        </w:rPr>
        <w:t>湖州市吴兴区商务局</w:t>
      </w:r>
      <w:r>
        <w:rPr>
          <w:rFonts w:cs="Calibri"/>
          <w:szCs w:val="21"/>
          <w:highlight w:val="none"/>
        </w:rPr>
        <w:t>（采购人）</w:t>
      </w:r>
      <w:r>
        <w:rPr>
          <w:rFonts w:hint="eastAsia" w:cs="Calibri"/>
          <w:szCs w:val="21"/>
          <w:highlight w:val="none"/>
          <w:u w:val="single"/>
          <w:lang w:eastAsia="zh-CN"/>
        </w:rPr>
        <w:t>湖州市吴兴区猪肉（冻肉）储备项目</w:t>
      </w:r>
      <w:r>
        <w:rPr>
          <w:rFonts w:cs="Calibri"/>
          <w:szCs w:val="21"/>
          <w:highlight w:val="none"/>
        </w:rPr>
        <w:t>（项目名称）</w:t>
      </w:r>
      <w:r>
        <w:rPr>
          <w:rFonts w:hint="eastAsia" w:cs="Calibri"/>
          <w:szCs w:val="21"/>
          <w:highlight w:val="none"/>
          <w:u w:val="single"/>
          <w:lang w:eastAsia="zh-CN"/>
        </w:rPr>
        <w:t>CTZB-2024040086</w:t>
      </w:r>
      <w:r>
        <w:rPr>
          <w:rFonts w:cs="Calibri"/>
          <w:szCs w:val="21"/>
          <w:highlight w:val="none"/>
        </w:rPr>
        <w:t>（项目编号）</w:t>
      </w:r>
      <w:r>
        <w:rPr>
          <w:rFonts w:hint="eastAsia" w:cs="Calibri"/>
          <w:highlight w:val="none"/>
          <w:u w:val="single"/>
          <w:lang w:eastAsia="zh-CN"/>
        </w:rPr>
        <w:t>湖州市吴兴区猪肉（冻肉）储备项目</w:t>
      </w:r>
      <w:r>
        <w:rPr>
          <w:rFonts w:cs="Calibri"/>
          <w:szCs w:val="21"/>
          <w:highlight w:val="none"/>
        </w:rPr>
        <w:t>（标项名称）项目采购要求并参加磋商。在这次磋商过程中和成交后，我们将严格遵守国家法律法规要求，并郑重承诺：</w:t>
      </w:r>
    </w:p>
    <w:p>
      <w:pPr>
        <w:ind w:firstLine="420" w:firstLineChars="200"/>
        <w:rPr>
          <w:rFonts w:cs="Calibri"/>
          <w:szCs w:val="21"/>
          <w:highlight w:val="none"/>
        </w:rPr>
      </w:pPr>
      <w:r>
        <w:rPr>
          <w:rFonts w:cs="Calibri"/>
          <w:szCs w:val="21"/>
          <w:highlight w:val="none"/>
        </w:rPr>
        <w:t>一、不向项目有关人员及部门赠送礼金礼物、有价证券、回扣以及中介费、介绍费、咨询费等好处费；</w:t>
      </w:r>
    </w:p>
    <w:p>
      <w:pPr>
        <w:ind w:firstLine="420" w:firstLineChars="200"/>
        <w:rPr>
          <w:rFonts w:cs="Calibri"/>
          <w:szCs w:val="21"/>
          <w:highlight w:val="none"/>
        </w:rPr>
      </w:pPr>
      <w:r>
        <w:rPr>
          <w:rFonts w:cs="Calibri"/>
          <w:szCs w:val="21"/>
          <w:highlight w:val="none"/>
        </w:rPr>
        <w:t>二、不为项目有关人员及部门报销应由你方单位或个人支付的费用；</w:t>
      </w:r>
    </w:p>
    <w:p>
      <w:pPr>
        <w:ind w:firstLine="420" w:firstLineChars="200"/>
        <w:rPr>
          <w:rFonts w:cs="Calibri"/>
          <w:szCs w:val="21"/>
          <w:highlight w:val="none"/>
        </w:rPr>
      </w:pPr>
      <w:r>
        <w:rPr>
          <w:rFonts w:cs="Calibri"/>
          <w:szCs w:val="21"/>
          <w:highlight w:val="none"/>
        </w:rPr>
        <w:t>三、不向项目有关人员及部门提供有可能影响公正的宴请和健身娱乐等活动；</w:t>
      </w:r>
    </w:p>
    <w:p>
      <w:pPr>
        <w:ind w:firstLine="420" w:firstLineChars="200"/>
        <w:rPr>
          <w:rFonts w:cs="Calibri"/>
          <w:szCs w:val="21"/>
          <w:highlight w:val="none"/>
        </w:rPr>
      </w:pPr>
      <w:r>
        <w:rPr>
          <w:rFonts w:cs="Calibri"/>
          <w:szCs w:val="21"/>
          <w:highlight w:val="none"/>
        </w:rPr>
        <w:t>四、不为项目有关人员及部门出国（境）、旅游等提供方便；</w:t>
      </w:r>
    </w:p>
    <w:p>
      <w:pPr>
        <w:ind w:firstLine="420" w:firstLineChars="200"/>
        <w:rPr>
          <w:rFonts w:cs="Calibri"/>
          <w:szCs w:val="21"/>
          <w:highlight w:val="none"/>
        </w:rPr>
      </w:pPr>
      <w:r>
        <w:rPr>
          <w:rFonts w:cs="Calibri"/>
          <w:szCs w:val="21"/>
          <w:highlight w:val="none"/>
        </w:rPr>
        <w:t>五、不为项目有关人员个人装修住房、婚丧嫁娶、配偶子女工作安排等提供好处；</w:t>
      </w:r>
    </w:p>
    <w:p>
      <w:pPr>
        <w:ind w:firstLine="420" w:firstLineChars="200"/>
        <w:rPr>
          <w:rFonts w:cs="Calibri"/>
          <w:szCs w:val="21"/>
          <w:highlight w:val="none"/>
        </w:rPr>
      </w:pPr>
      <w:r>
        <w:rPr>
          <w:rFonts w:cs="Calibri"/>
          <w:szCs w:val="21"/>
          <w:highlight w:val="none"/>
        </w:rPr>
        <w:t>如违反上述承诺，你单位有权立即取消我单位磋商、成交资格。由此引起的相应损失均由我单位承担。</w:t>
      </w:r>
    </w:p>
    <w:p>
      <w:pPr>
        <w:rPr>
          <w:rFonts w:cs="Calibri"/>
          <w:szCs w:val="21"/>
          <w:highlight w:val="none"/>
        </w:rPr>
      </w:pPr>
    </w:p>
    <w:p>
      <w:pPr>
        <w:rPr>
          <w:rFonts w:cs="Calibri"/>
          <w:szCs w:val="21"/>
          <w:highlight w:val="none"/>
        </w:rPr>
      </w:pPr>
    </w:p>
    <w:p>
      <w:pPr>
        <w:adjustRightInd w:val="0"/>
        <w:ind w:firstLine="420" w:firstLineChars="200"/>
        <w:rPr>
          <w:rFonts w:cs="Calibri"/>
          <w:spacing w:val="20"/>
          <w:szCs w:val="21"/>
          <w:highlight w:val="none"/>
          <w:u w:val="single"/>
        </w:rPr>
      </w:pPr>
      <w:r>
        <w:rPr>
          <w:rFonts w:cs="Calibri"/>
          <w:szCs w:val="21"/>
          <w:highlight w:val="none"/>
        </w:rPr>
        <w:t>供应商全称：（盖单位公章）</w:t>
      </w:r>
    </w:p>
    <w:p>
      <w:pPr>
        <w:adjustRightInd w:val="0"/>
        <w:ind w:firstLine="420" w:firstLineChars="200"/>
        <w:rPr>
          <w:rFonts w:cs="Calibri"/>
          <w:highlight w:val="none"/>
        </w:rPr>
      </w:pPr>
      <w:r>
        <w:rPr>
          <w:rFonts w:cs="Calibri"/>
          <w:szCs w:val="21"/>
          <w:highlight w:val="none"/>
        </w:rPr>
        <w:t>日期：年月日</w:t>
      </w:r>
    </w:p>
    <w:p>
      <w:pPr>
        <w:pStyle w:val="26"/>
        <w:adjustRightInd w:val="0"/>
        <w:jc w:val="center"/>
        <w:rPr>
          <w:rFonts w:ascii="Calibri" w:hAnsi="Calibri" w:cs="Calibri"/>
          <w:b/>
          <w:bCs/>
          <w:sz w:val="28"/>
          <w:szCs w:val="28"/>
          <w:highlight w:val="none"/>
        </w:rPr>
      </w:pPr>
      <w:r>
        <w:rPr>
          <w:rFonts w:cs="Calibri"/>
          <w:szCs w:val="21"/>
          <w:highlight w:val="none"/>
        </w:rPr>
        <w:br w:type="page"/>
      </w:r>
      <w:r>
        <w:rPr>
          <w:rFonts w:ascii="Calibri" w:hAnsi="Calibri" w:cs="Calibri"/>
          <w:b/>
          <w:bCs/>
          <w:sz w:val="28"/>
          <w:szCs w:val="28"/>
          <w:highlight w:val="none"/>
        </w:rPr>
        <w:t>其他资信资料</w:t>
      </w:r>
    </w:p>
    <w:tbl>
      <w:tblPr>
        <w:tblStyle w:val="49"/>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pPr>
              <w:jc w:val="center"/>
              <w:rPr>
                <w:rFonts w:cs="Calibri"/>
                <w:szCs w:val="21"/>
                <w:highlight w:val="none"/>
              </w:rPr>
            </w:pPr>
            <w:r>
              <w:rPr>
                <w:rFonts w:cs="Calibri"/>
                <w:szCs w:val="21"/>
                <w:highlight w:val="none"/>
              </w:rPr>
              <w:t>单位名称</w:t>
            </w:r>
          </w:p>
        </w:tc>
        <w:tc>
          <w:tcPr>
            <w:tcW w:w="1078" w:type="dxa"/>
            <w:vAlign w:val="center"/>
          </w:tcPr>
          <w:p>
            <w:pPr>
              <w:jc w:val="center"/>
              <w:rPr>
                <w:rFonts w:cs="Calibri"/>
                <w:szCs w:val="21"/>
                <w:highlight w:val="none"/>
              </w:rPr>
            </w:pPr>
          </w:p>
        </w:tc>
        <w:tc>
          <w:tcPr>
            <w:tcW w:w="895" w:type="dxa"/>
            <w:gridSpan w:val="2"/>
            <w:vAlign w:val="center"/>
          </w:tcPr>
          <w:p>
            <w:pPr>
              <w:jc w:val="center"/>
              <w:rPr>
                <w:rFonts w:cs="Calibri"/>
                <w:szCs w:val="21"/>
                <w:highlight w:val="none"/>
              </w:rPr>
            </w:pPr>
            <w:r>
              <w:rPr>
                <w:rFonts w:cs="Calibri"/>
                <w:szCs w:val="21"/>
                <w:highlight w:val="none"/>
              </w:rPr>
              <w:t>电话</w:t>
            </w:r>
          </w:p>
        </w:tc>
        <w:tc>
          <w:tcPr>
            <w:tcW w:w="2045" w:type="dxa"/>
            <w:vAlign w:val="center"/>
          </w:tcPr>
          <w:p>
            <w:pPr>
              <w:jc w:val="center"/>
              <w:rPr>
                <w:rFonts w:cs="Calibri"/>
                <w:szCs w:val="21"/>
                <w:highlight w:val="none"/>
              </w:rPr>
            </w:pPr>
          </w:p>
        </w:tc>
        <w:tc>
          <w:tcPr>
            <w:tcW w:w="689" w:type="dxa"/>
            <w:vAlign w:val="center"/>
          </w:tcPr>
          <w:p>
            <w:pPr>
              <w:jc w:val="center"/>
              <w:rPr>
                <w:rFonts w:cs="Calibri"/>
                <w:szCs w:val="21"/>
                <w:highlight w:val="none"/>
              </w:rPr>
            </w:pPr>
            <w:r>
              <w:rPr>
                <w:rFonts w:cs="Calibri"/>
                <w:szCs w:val="21"/>
                <w:highlight w:val="none"/>
              </w:rPr>
              <w:t>主管部门</w:t>
            </w:r>
          </w:p>
        </w:tc>
        <w:tc>
          <w:tcPr>
            <w:tcW w:w="674" w:type="dxa"/>
            <w:vAlign w:val="center"/>
          </w:tcPr>
          <w:p>
            <w:pPr>
              <w:jc w:val="center"/>
              <w:rPr>
                <w:rFonts w:cs="Calibri"/>
                <w:szCs w:val="21"/>
                <w:highlight w:val="none"/>
              </w:rPr>
            </w:pPr>
          </w:p>
        </w:tc>
        <w:tc>
          <w:tcPr>
            <w:tcW w:w="1355" w:type="dxa"/>
            <w:gridSpan w:val="2"/>
            <w:vAlign w:val="center"/>
          </w:tcPr>
          <w:p>
            <w:pPr>
              <w:jc w:val="center"/>
              <w:rPr>
                <w:rFonts w:cs="Calibri"/>
                <w:szCs w:val="21"/>
                <w:highlight w:val="none"/>
              </w:rPr>
            </w:pPr>
            <w:r>
              <w:rPr>
                <w:rFonts w:cs="Calibri"/>
                <w:szCs w:val="21"/>
                <w:highlight w:val="none"/>
              </w:rPr>
              <w:t>单位法人</w:t>
            </w:r>
          </w:p>
        </w:tc>
        <w:tc>
          <w:tcPr>
            <w:tcW w:w="657" w:type="dxa"/>
            <w:vAlign w:val="center"/>
          </w:tcPr>
          <w:p>
            <w:pPr>
              <w:jc w:val="center"/>
              <w:rPr>
                <w:rFonts w:cs="Calibri"/>
                <w:szCs w:val="21"/>
                <w:highlight w:val="none"/>
              </w:rPr>
            </w:pPr>
          </w:p>
        </w:tc>
        <w:tc>
          <w:tcPr>
            <w:tcW w:w="594" w:type="dxa"/>
            <w:vAlign w:val="center"/>
          </w:tcPr>
          <w:p>
            <w:pPr>
              <w:jc w:val="center"/>
              <w:rPr>
                <w:rFonts w:cs="Calibri"/>
                <w:szCs w:val="21"/>
                <w:highlight w:val="none"/>
              </w:rPr>
            </w:pPr>
            <w:r>
              <w:rPr>
                <w:rFonts w:cs="Calibri"/>
                <w:szCs w:val="21"/>
                <w:highlight w:val="none"/>
              </w:rPr>
              <w:t>职务</w:t>
            </w:r>
          </w:p>
        </w:tc>
        <w:tc>
          <w:tcPr>
            <w:tcW w:w="572" w:type="dxa"/>
            <w:vAlign w:val="center"/>
          </w:tcPr>
          <w:p>
            <w:pPr>
              <w:jc w:val="center"/>
              <w:rPr>
                <w:rFonts w:cs="Calibri"/>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pPr>
              <w:jc w:val="center"/>
              <w:rPr>
                <w:rFonts w:cs="Calibri"/>
                <w:szCs w:val="21"/>
                <w:highlight w:val="none"/>
              </w:rPr>
            </w:pPr>
            <w:r>
              <w:rPr>
                <w:rFonts w:cs="Calibri"/>
                <w:szCs w:val="21"/>
                <w:highlight w:val="none"/>
              </w:rPr>
              <w:t>地址</w:t>
            </w:r>
          </w:p>
        </w:tc>
        <w:tc>
          <w:tcPr>
            <w:tcW w:w="1078" w:type="dxa"/>
            <w:vAlign w:val="center"/>
          </w:tcPr>
          <w:p>
            <w:pPr>
              <w:jc w:val="center"/>
              <w:rPr>
                <w:rFonts w:cs="Calibri"/>
                <w:szCs w:val="21"/>
                <w:highlight w:val="none"/>
              </w:rPr>
            </w:pPr>
          </w:p>
        </w:tc>
        <w:tc>
          <w:tcPr>
            <w:tcW w:w="895" w:type="dxa"/>
            <w:gridSpan w:val="2"/>
            <w:vAlign w:val="center"/>
          </w:tcPr>
          <w:p>
            <w:pPr>
              <w:jc w:val="center"/>
              <w:rPr>
                <w:rFonts w:cs="Calibri"/>
                <w:szCs w:val="21"/>
                <w:highlight w:val="none"/>
              </w:rPr>
            </w:pPr>
            <w:r>
              <w:rPr>
                <w:rFonts w:cs="Calibri"/>
                <w:szCs w:val="21"/>
                <w:highlight w:val="none"/>
              </w:rPr>
              <w:t>传真</w:t>
            </w:r>
          </w:p>
        </w:tc>
        <w:tc>
          <w:tcPr>
            <w:tcW w:w="2045" w:type="dxa"/>
            <w:vAlign w:val="center"/>
          </w:tcPr>
          <w:p>
            <w:pPr>
              <w:jc w:val="center"/>
              <w:rPr>
                <w:rFonts w:cs="Calibri"/>
                <w:szCs w:val="21"/>
                <w:highlight w:val="none"/>
              </w:rPr>
            </w:pPr>
          </w:p>
        </w:tc>
        <w:tc>
          <w:tcPr>
            <w:tcW w:w="689" w:type="dxa"/>
            <w:vAlign w:val="center"/>
          </w:tcPr>
          <w:p>
            <w:pPr>
              <w:jc w:val="center"/>
              <w:rPr>
                <w:rFonts w:cs="Calibri"/>
                <w:szCs w:val="21"/>
                <w:highlight w:val="none"/>
              </w:rPr>
            </w:pPr>
            <w:r>
              <w:rPr>
                <w:rFonts w:cs="Calibri"/>
                <w:szCs w:val="21"/>
                <w:highlight w:val="none"/>
              </w:rPr>
              <w:t>单位性质</w:t>
            </w:r>
          </w:p>
        </w:tc>
        <w:tc>
          <w:tcPr>
            <w:tcW w:w="674" w:type="dxa"/>
            <w:vAlign w:val="center"/>
          </w:tcPr>
          <w:p>
            <w:pPr>
              <w:jc w:val="center"/>
              <w:rPr>
                <w:rFonts w:cs="Calibri"/>
                <w:szCs w:val="21"/>
                <w:highlight w:val="none"/>
              </w:rPr>
            </w:pPr>
          </w:p>
        </w:tc>
        <w:tc>
          <w:tcPr>
            <w:tcW w:w="1355" w:type="dxa"/>
            <w:gridSpan w:val="2"/>
            <w:vAlign w:val="center"/>
          </w:tcPr>
          <w:p>
            <w:pPr>
              <w:jc w:val="center"/>
              <w:rPr>
                <w:rFonts w:cs="Calibri"/>
                <w:szCs w:val="21"/>
                <w:highlight w:val="none"/>
              </w:rPr>
            </w:pPr>
            <w:r>
              <w:rPr>
                <w:rFonts w:cs="Calibri"/>
                <w:szCs w:val="21"/>
                <w:highlight w:val="none"/>
              </w:rPr>
              <w:t>技术负责人</w:t>
            </w:r>
          </w:p>
        </w:tc>
        <w:tc>
          <w:tcPr>
            <w:tcW w:w="657" w:type="dxa"/>
            <w:vAlign w:val="center"/>
          </w:tcPr>
          <w:p>
            <w:pPr>
              <w:jc w:val="center"/>
              <w:rPr>
                <w:rFonts w:cs="Calibri"/>
                <w:szCs w:val="21"/>
                <w:highlight w:val="none"/>
              </w:rPr>
            </w:pPr>
          </w:p>
        </w:tc>
        <w:tc>
          <w:tcPr>
            <w:tcW w:w="594" w:type="dxa"/>
            <w:vAlign w:val="center"/>
          </w:tcPr>
          <w:p>
            <w:pPr>
              <w:jc w:val="center"/>
              <w:rPr>
                <w:rFonts w:cs="Calibri"/>
                <w:szCs w:val="21"/>
                <w:highlight w:val="none"/>
              </w:rPr>
            </w:pPr>
            <w:r>
              <w:rPr>
                <w:rFonts w:cs="Calibri"/>
                <w:szCs w:val="21"/>
                <w:highlight w:val="none"/>
              </w:rPr>
              <w:t>职务</w:t>
            </w:r>
          </w:p>
        </w:tc>
        <w:tc>
          <w:tcPr>
            <w:tcW w:w="572" w:type="dxa"/>
            <w:vAlign w:val="center"/>
          </w:tcPr>
          <w:p>
            <w:pPr>
              <w:jc w:val="center"/>
              <w:rPr>
                <w:rFonts w:cs="Calibri"/>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pPr>
              <w:jc w:val="center"/>
              <w:rPr>
                <w:rFonts w:cs="Calibri"/>
                <w:szCs w:val="21"/>
                <w:highlight w:val="none"/>
              </w:rPr>
            </w:pPr>
            <w:r>
              <w:rPr>
                <w:rFonts w:cs="Calibri"/>
                <w:szCs w:val="21"/>
                <w:highlight w:val="none"/>
              </w:rPr>
              <w:t>单位概况</w:t>
            </w:r>
          </w:p>
        </w:tc>
        <w:tc>
          <w:tcPr>
            <w:tcW w:w="1193" w:type="dxa"/>
            <w:gridSpan w:val="2"/>
            <w:vAlign w:val="center"/>
          </w:tcPr>
          <w:p>
            <w:pPr>
              <w:jc w:val="center"/>
              <w:rPr>
                <w:rFonts w:cs="Calibri"/>
                <w:szCs w:val="21"/>
                <w:highlight w:val="none"/>
              </w:rPr>
            </w:pPr>
            <w:r>
              <w:rPr>
                <w:rFonts w:cs="Calibri"/>
                <w:szCs w:val="21"/>
                <w:highlight w:val="none"/>
              </w:rPr>
              <w:t>营业执照经营范围</w:t>
            </w:r>
          </w:p>
        </w:tc>
        <w:tc>
          <w:tcPr>
            <w:tcW w:w="2825" w:type="dxa"/>
            <w:gridSpan w:val="2"/>
            <w:vAlign w:val="center"/>
          </w:tcPr>
          <w:p>
            <w:pPr>
              <w:jc w:val="left"/>
              <w:rPr>
                <w:rFonts w:cs="Calibri"/>
                <w:szCs w:val="21"/>
                <w:highlight w:val="none"/>
              </w:rPr>
            </w:pPr>
          </w:p>
        </w:tc>
        <w:tc>
          <w:tcPr>
            <w:tcW w:w="689" w:type="dxa"/>
            <w:vMerge w:val="restart"/>
            <w:vAlign w:val="center"/>
          </w:tcPr>
          <w:p>
            <w:pPr>
              <w:jc w:val="center"/>
              <w:rPr>
                <w:rFonts w:cs="Calibri"/>
                <w:szCs w:val="21"/>
                <w:highlight w:val="none"/>
              </w:rPr>
            </w:pPr>
            <w:r>
              <w:rPr>
                <w:rFonts w:cs="Calibri"/>
                <w:szCs w:val="21"/>
                <w:highlight w:val="none"/>
              </w:rPr>
              <w:t>上一年主要经济指标</w:t>
            </w:r>
          </w:p>
        </w:tc>
        <w:tc>
          <w:tcPr>
            <w:tcW w:w="1367" w:type="dxa"/>
            <w:gridSpan w:val="2"/>
            <w:tcBorders>
              <w:right w:val="single" w:color="auto" w:sz="4" w:space="0"/>
            </w:tcBorders>
            <w:vAlign w:val="center"/>
          </w:tcPr>
          <w:p>
            <w:pPr>
              <w:jc w:val="center"/>
              <w:rPr>
                <w:rFonts w:cs="Calibri"/>
                <w:szCs w:val="21"/>
                <w:highlight w:val="none"/>
              </w:rPr>
            </w:pPr>
            <w:r>
              <w:rPr>
                <w:rFonts w:cs="Calibri"/>
                <w:szCs w:val="21"/>
                <w:highlight w:val="none"/>
              </w:rPr>
              <w:t>年营业收入</w:t>
            </w:r>
          </w:p>
        </w:tc>
        <w:tc>
          <w:tcPr>
            <w:tcW w:w="2485" w:type="dxa"/>
            <w:gridSpan w:val="4"/>
            <w:tcBorders>
              <w:left w:val="single" w:color="auto" w:sz="4" w:space="0"/>
            </w:tcBorders>
            <w:vAlign w:val="center"/>
          </w:tcPr>
          <w:p>
            <w:pPr>
              <w:jc w:val="center"/>
              <w:rPr>
                <w:rFonts w:cs="Calibri"/>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cs="Calibri"/>
                <w:szCs w:val="21"/>
                <w:highlight w:val="none"/>
              </w:rPr>
            </w:pPr>
          </w:p>
        </w:tc>
        <w:tc>
          <w:tcPr>
            <w:tcW w:w="1193" w:type="dxa"/>
            <w:gridSpan w:val="2"/>
            <w:vAlign w:val="center"/>
          </w:tcPr>
          <w:p>
            <w:pPr>
              <w:jc w:val="center"/>
              <w:rPr>
                <w:rFonts w:cs="Calibri"/>
                <w:szCs w:val="21"/>
                <w:highlight w:val="none"/>
              </w:rPr>
            </w:pPr>
            <w:r>
              <w:rPr>
                <w:rFonts w:cs="Calibri"/>
                <w:szCs w:val="21"/>
                <w:highlight w:val="none"/>
              </w:rPr>
              <w:t>统一社会信用代码</w:t>
            </w:r>
          </w:p>
        </w:tc>
        <w:tc>
          <w:tcPr>
            <w:tcW w:w="2825" w:type="dxa"/>
            <w:gridSpan w:val="2"/>
            <w:vAlign w:val="center"/>
          </w:tcPr>
          <w:p>
            <w:pPr>
              <w:jc w:val="center"/>
              <w:rPr>
                <w:rFonts w:cs="Calibri"/>
                <w:szCs w:val="21"/>
                <w:highlight w:val="none"/>
              </w:rPr>
            </w:pPr>
          </w:p>
        </w:tc>
        <w:tc>
          <w:tcPr>
            <w:tcW w:w="689" w:type="dxa"/>
            <w:vMerge w:val="continue"/>
            <w:vAlign w:val="center"/>
          </w:tcPr>
          <w:p>
            <w:pPr>
              <w:jc w:val="center"/>
              <w:rPr>
                <w:rFonts w:cs="Calibri"/>
                <w:szCs w:val="21"/>
                <w:highlight w:val="none"/>
              </w:rPr>
            </w:pPr>
          </w:p>
        </w:tc>
        <w:tc>
          <w:tcPr>
            <w:tcW w:w="1367" w:type="dxa"/>
            <w:gridSpan w:val="2"/>
            <w:tcBorders>
              <w:right w:val="single" w:color="auto" w:sz="4" w:space="0"/>
            </w:tcBorders>
            <w:vAlign w:val="center"/>
          </w:tcPr>
          <w:p>
            <w:pPr>
              <w:jc w:val="center"/>
              <w:rPr>
                <w:rFonts w:cs="Calibri"/>
                <w:szCs w:val="21"/>
                <w:highlight w:val="none"/>
              </w:rPr>
            </w:pPr>
            <w:r>
              <w:rPr>
                <w:rFonts w:cs="Calibri"/>
                <w:szCs w:val="21"/>
                <w:highlight w:val="none"/>
              </w:rPr>
              <w:t>资产总额</w:t>
            </w:r>
          </w:p>
        </w:tc>
        <w:tc>
          <w:tcPr>
            <w:tcW w:w="2485" w:type="dxa"/>
            <w:gridSpan w:val="4"/>
            <w:tcBorders>
              <w:left w:val="single" w:color="auto" w:sz="4" w:space="0"/>
            </w:tcBorders>
            <w:vAlign w:val="center"/>
          </w:tcPr>
          <w:p>
            <w:pPr>
              <w:jc w:val="center"/>
              <w:rPr>
                <w:rFonts w:cs="Calibri"/>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cs="Calibri"/>
                <w:szCs w:val="21"/>
                <w:highlight w:val="none"/>
              </w:rPr>
            </w:pPr>
          </w:p>
        </w:tc>
        <w:tc>
          <w:tcPr>
            <w:tcW w:w="1193" w:type="dxa"/>
            <w:gridSpan w:val="2"/>
            <w:vAlign w:val="center"/>
          </w:tcPr>
          <w:p>
            <w:pPr>
              <w:jc w:val="center"/>
              <w:rPr>
                <w:rFonts w:cs="Calibri"/>
                <w:szCs w:val="21"/>
                <w:highlight w:val="none"/>
              </w:rPr>
            </w:pPr>
            <w:r>
              <w:rPr>
                <w:rFonts w:cs="Calibri"/>
                <w:szCs w:val="21"/>
                <w:highlight w:val="none"/>
              </w:rPr>
              <w:t>资质情况</w:t>
            </w:r>
          </w:p>
        </w:tc>
        <w:tc>
          <w:tcPr>
            <w:tcW w:w="2825" w:type="dxa"/>
            <w:gridSpan w:val="2"/>
            <w:vAlign w:val="center"/>
          </w:tcPr>
          <w:p>
            <w:pPr>
              <w:jc w:val="center"/>
              <w:rPr>
                <w:rFonts w:cs="Calibri"/>
                <w:szCs w:val="21"/>
                <w:highlight w:val="none"/>
              </w:rPr>
            </w:pPr>
          </w:p>
        </w:tc>
        <w:tc>
          <w:tcPr>
            <w:tcW w:w="689" w:type="dxa"/>
            <w:vMerge w:val="continue"/>
            <w:vAlign w:val="center"/>
          </w:tcPr>
          <w:p>
            <w:pPr>
              <w:jc w:val="center"/>
              <w:rPr>
                <w:rFonts w:cs="Calibri"/>
                <w:szCs w:val="21"/>
                <w:highlight w:val="none"/>
              </w:rPr>
            </w:pPr>
          </w:p>
        </w:tc>
        <w:tc>
          <w:tcPr>
            <w:tcW w:w="1367" w:type="dxa"/>
            <w:gridSpan w:val="2"/>
            <w:tcBorders>
              <w:bottom w:val="single" w:color="auto" w:sz="4" w:space="0"/>
              <w:right w:val="single" w:color="auto" w:sz="4" w:space="0"/>
            </w:tcBorders>
            <w:vAlign w:val="center"/>
          </w:tcPr>
          <w:p>
            <w:pPr>
              <w:jc w:val="center"/>
              <w:rPr>
                <w:rFonts w:cs="Calibri"/>
                <w:szCs w:val="21"/>
                <w:highlight w:val="none"/>
              </w:rPr>
            </w:pPr>
          </w:p>
        </w:tc>
        <w:tc>
          <w:tcPr>
            <w:tcW w:w="2485" w:type="dxa"/>
            <w:gridSpan w:val="4"/>
            <w:tcBorders>
              <w:left w:val="single" w:color="auto" w:sz="4" w:space="0"/>
              <w:bottom w:val="single" w:color="auto" w:sz="4" w:space="0"/>
            </w:tcBorders>
            <w:vAlign w:val="center"/>
          </w:tcPr>
          <w:p>
            <w:pPr>
              <w:jc w:val="center"/>
              <w:rPr>
                <w:rFonts w:cs="Calibri"/>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cs="Calibri"/>
                <w:szCs w:val="21"/>
                <w:highlight w:val="none"/>
              </w:rPr>
            </w:pPr>
          </w:p>
        </w:tc>
        <w:tc>
          <w:tcPr>
            <w:tcW w:w="1193" w:type="dxa"/>
            <w:gridSpan w:val="2"/>
            <w:vAlign w:val="center"/>
          </w:tcPr>
          <w:p>
            <w:pPr>
              <w:jc w:val="center"/>
              <w:rPr>
                <w:rFonts w:cs="Calibri"/>
                <w:szCs w:val="21"/>
                <w:highlight w:val="none"/>
              </w:rPr>
            </w:pPr>
            <w:r>
              <w:rPr>
                <w:rFonts w:cs="Calibri"/>
                <w:szCs w:val="21"/>
                <w:highlight w:val="none"/>
              </w:rPr>
              <w:t>信用情况</w:t>
            </w:r>
          </w:p>
        </w:tc>
        <w:tc>
          <w:tcPr>
            <w:tcW w:w="2825" w:type="dxa"/>
            <w:gridSpan w:val="2"/>
            <w:vAlign w:val="center"/>
          </w:tcPr>
          <w:p>
            <w:pPr>
              <w:jc w:val="center"/>
              <w:rPr>
                <w:rFonts w:cs="Calibri"/>
                <w:szCs w:val="21"/>
                <w:highlight w:val="none"/>
              </w:rPr>
            </w:pPr>
          </w:p>
        </w:tc>
        <w:tc>
          <w:tcPr>
            <w:tcW w:w="689" w:type="dxa"/>
            <w:vMerge w:val="continue"/>
            <w:vAlign w:val="center"/>
          </w:tcPr>
          <w:p>
            <w:pPr>
              <w:jc w:val="center"/>
              <w:rPr>
                <w:rFonts w:cs="Calibri"/>
                <w:szCs w:val="21"/>
                <w:highlight w:val="none"/>
              </w:rPr>
            </w:pPr>
          </w:p>
        </w:tc>
        <w:tc>
          <w:tcPr>
            <w:tcW w:w="1367" w:type="dxa"/>
            <w:gridSpan w:val="2"/>
            <w:tcBorders>
              <w:top w:val="single" w:color="auto" w:sz="4" w:space="0"/>
              <w:bottom w:val="single" w:color="auto" w:sz="4" w:space="0"/>
              <w:right w:val="single" w:color="auto" w:sz="4" w:space="0"/>
            </w:tcBorders>
            <w:vAlign w:val="center"/>
          </w:tcPr>
          <w:p>
            <w:pPr>
              <w:jc w:val="center"/>
              <w:rPr>
                <w:rFonts w:cs="Calibri"/>
                <w:szCs w:val="21"/>
                <w:highlight w:val="none"/>
              </w:rPr>
            </w:pPr>
          </w:p>
        </w:tc>
        <w:tc>
          <w:tcPr>
            <w:tcW w:w="2485" w:type="dxa"/>
            <w:gridSpan w:val="4"/>
            <w:tcBorders>
              <w:top w:val="single" w:color="auto" w:sz="4" w:space="0"/>
              <w:left w:val="single" w:color="auto" w:sz="4" w:space="0"/>
              <w:bottom w:val="single" w:color="auto" w:sz="4" w:space="0"/>
            </w:tcBorders>
            <w:vAlign w:val="center"/>
          </w:tcPr>
          <w:p>
            <w:pPr>
              <w:jc w:val="center"/>
              <w:rPr>
                <w:rFonts w:cs="Calibri"/>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cs="Calibri"/>
                <w:szCs w:val="21"/>
                <w:highlight w:val="none"/>
              </w:rPr>
            </w:pPr>
          </w:p>
        </w:tc>
        <w:tc>
          <w:tcPr>
            <w:tcW w:w="1193" w:type="dxa"/>
            <w:gridSpan w:val="2"/>
            <w:tcBorders>
              <w:bottom w:val="single" w:color="auto" w:sz="4" w:space="0"/>
            </w:tcBorders>
            <w:vAlign w:val="center"/>
          </w:tcPr>
          <w:p>
            <w:pPr>
              <w:jc w:val="center"/>
              <w:rPr>
                <w:rFonts w:cs="Calibri"/>
                <w:szCs w:val="21"/>
                <w:highlight w:val="none"/>
              </w:rPr>
            </w:pPr>
            <w:r>
              <w:rPr>
                <w:rFonts w:cs="Calibri"/>
                <w:szCs w:val="21"/>
                <w:highlight w:val="none"/>
              </w:rPr>
              <w:t>荣誉情况</w:t>
            </w:r>
          </w:p>
        </w:tc>
        <w:tc>
          <w:tcPr>
            <w:tcW w:w="2825" w:type="dxa"/>
            <w:gridSpan w:val="2"/>
            <w:tcBorders>
              <w:bottom w:val="single" w:color="auto" w:sz="4" w:space="0"/>
            </w:tcBorders>
            <w:vAlign w:val="center"/>
          </w:tcPr>
          <w:p>
            <w:pPr>
              <w:jc w:val="center"/>
              <w:rPr>
                <w:rFonts w:cs="Calibri"/>
                <w:szCs w:val="21"/>
                <w:highlight w:val="none"/>
              </w:rPr>
            </w:pPr>
          </w:p>
        </w:tc>
        <w:tc>
          <w:tcPr>
            <w:tcW w:w="689" w:type="dxa"/>
            <w:vMerge w:val="continue"/>
            <w:vAlign w:val="center"/>
          </w:tcPr>
          <w:p>
            <w:pPr>
              <w:jc w:val="center"/>
              <w:rPr>
                <w:rFonts w:cs="Calibri"/>
                <w:szCs w:val="21"/>
                <w:highlight w:val="none"/>
              </w:rPr>
            </w:pPr>
          </w:p>
        </w:tc>
        <w:tc>
          <w:tcPr>
            <w:tcW w:w="1367" w:type="dxa"/>
            <w:gridSpan w:val="2"/>
            <w:tcBorders>
              <w:top w:val="single" w:color="auto" w:sz="4" w:space="0"/>
              <w:bottom w:val="single" w:color="auto" w:sz="4" w:space="0"/>
              <w:right w:val="single" w:color="auto" w:sz="4" w:space="0"/>
            </w:tcBorders>
            <w:vAlign w:val="center"/>
          </w:tcPr>
          <w:p>
            <w:pPr>
              <w:jc w:val="center"/>
              <w:rPr>
                <w:rFonts w:cs="Calibri"/>
                <w:szCs w:val="21"/>
                <w:highlight w:val="none"/>
              </w:rPr>
            </w:pPr>
          </w:p>
        </w:tc>
        <w:tc>
          <w:tcPr>
            <w:tcW w:w="2485" w:type="dxa"/>
            <w:gridSpan w:val="4"/>
            <w:tcBorders>
              <w:top w:val="single" w:color="auto" w:sz="4" w:space="0"/>
              <w:left w:val="single" w:color="auto" w:sz="4" w:space="0"/>
            </w:tcBorders>
            <w:vAlign w:val="center"/>
          </w:tcPr>
          <w:p>
            <w:pPr>
              <w:jc w:val="center"/>
              <w:rPr>
                <w:rFonts w:cs="Calibri"/>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cs="Calibri"/>
                <w:szCs w:val="21"/>
                <w:highlight w:val="none"/>
              </w:rPr>
            </w:pPr>
          </w:p>
        </w:tc>
        <w:tc>
          <w:tcPr>
            <w:tcW w:w="1193" w:type="dxa"/>
            <w:gridSpan w:val="2"/>
            <w:tcBorders>
              <w:bottom w:val="single" w:color="auto" w:sz="4" w:space="0"/>
            </w:tcBorders>
            <w:vAlign w:val="center"/>
          </w:tcPr>
          <w:p>
            <w:pPr>
              <w:jc w:val="center"/>
              <w:rPr>
                <w:rFonts w:cs="Calibri"/>
                <w:szCs w:val="21"/>
                <w:highlight w:val="none"/>
              </w:rPr>
            </w:pPr>
            <w:r>
              <w:rPr>
                <w:rFonts w:cs="Calibri"/>
                <w:szCs w:val="21"/>
                <w:highlight w:val="none"/>
              </w:rPr>
              <w:t>体系认证</w:t>
            </w:r>
          </w:p>
        </w:tc>
        <w:tc>
          <w:tcPr>
            <w:tcW w:w="2825" w:type="dxa"/>
            <w:gridSpan w:val="2"/>
            <w:tcBorders>
              <w:bottom w:val="single" w:color="auto" w:sz="4" w:space="0"/>
            </w:tcBorders>
            <w:vAlign w:val="center"/>
          </w:tcPr>
          <w:p>
            <w:pPr>
              <w:jc w:val="center"/>
              <w:rPr>
                <w:rFonts w:cs="Calibri"/>
                <w:szCs w:val="21"/>
                <w:highlight w:val="none"/>
              </w:rPr>
            </w:pPr>
          </w:p>
        </w:tc>
        <w:tc>
          <w:tcPr>
            <w:tcW w:w="689" w:type="dxa"/>
            <w:vMerge w:val="continue"/>
            <w:vAlign w:val="center"/>
          </w:tcPr>
          <w:p>
            <w:pPr>
              <w:jc w:val="center"/>
              <w:rPr>
                <w:rFonts w:cs="Calibri"/>
                <w:szCs w:val="21"/>
                <w:highlight w:val="none"/>
              </w:rPr>
            </w:pPr>
          </w:p>
        </w:tc>
        <w:tc>
          <w:tcPr>
            <w:tcW w:w="1367" w:type="dxa"/>
            <w:gridSpan w:val="2"/>
            <w:tcBorders>
              <w:top w:val="single" w:color="auto" w:sz="4" w:space="0"/>
              <w:bottom w:val="single" w:color="auto" w:sz="4" w:space="0"/>
              <w:right w:val="single" w:color="auto" w:sz="4" w:space="0"/>
            </w:tcBorders>
            <w:vAlign w:val="center"/>
          </w:tcPr>
          <w:p>
            <w:pPr>
              <w:jc w:val="center"/>
              <w:rPr>
                <w:rFonts w:cs="Calibri"/>
                <w:szCs w:val="21"/>
                <w:highlight w:val="none"/>
              </w:rPr>
            </w:pPr>
          </w:p>
        </w:tc>
        <w:tc>
          <w:tcPr>
            <w:tcW w:w="2485" w:type="dxa"/>
            <w:gridSpan w:val="4"/>
            <w:tcBorders>
              <w:top w:val="single" w:color="auto" w:sz="4" w:space="0"/>
              <w:left w:val="single" w:color="auto" w:sz="4" w:space="0"/>
            </w:tcBorders>
            <w:vAlign w:val="center"/>
          </w:tcPr>
          <w:p>
            <w:pPr>
              <w:jc w:val="center"/>
              <w:rPr>
                <w:rFonts w:cs="Calibri"/>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cs="Calibri"/>
                <w:szCs w:val="21"/>
                <w:highlight w:val="none"/>
              </w:rPr>
            </w:pPr>
          </w:p>
        </w:tc>
        <w:tc>
          <w:tcPr>
            <w:tcW w:w="1193" w:type="dxa"/>
            <w:gridSpan w:val="2"/>
            <w:tcBorders>
              <w:bottom w:val="single" w:color="auto" w:sz="4" w:space="0"/>
            </w:tcBorders>
            <w:vAlign w:val="center"/>
          </w:tcPr>
          <w:p>
            <w:pPr>
              <w:jc w:val="center"/>
              <w:rPr>
                <w:rFonts w:cs="Calibri"/>
                <w:szCs w:val="21"/>
                <w:highlight w:val="none"/>
              </w:rPr>
            </w:pPr>
            <w:r>
              <w:rPr>
                <w:rFonts w:cs="Calibri"/>
                <w:szCs w:val="21"/>
                <w:highlight w:val="none"/>
              </w:rPr>
              <w:t>开户银行</w:t>
            </w:r>
          </w:p>
        </w:tc>
        <w:tc>
          <w:tcPr>
            <w:tcW w:w="2825" w:type="dxa"/>
            <w:gridSpan w:val="2"/>
            <w:tcBorders>
              <w:bottom w:val="single" w:color="auto" w:sz="4" w:space="0"/>
            </w:tcBorders>
            <w:vAlign w:val="center"/>
          </w:tcPr>
          <w:p>
            <w:pPr>
              <w:jc w:val="center"/>
              <w:rPr>
                <w:rFonts w:cs="Calibri"/>
                <w:szCs w:val="21"/>
                <w:highlight w:val="none"/>
              </w:rPr>
            </w:pPr>
          </w:p>
        </w:tc>
        <w:tc>
          <w:tcPr>
            <w:tcW w:w="689" w:type="dxa"/>
            <w:vMerge w:val="continue"/>
            <w:vAlign w:val="center"/>
          </w:tcPr>
          <w:p>
            <w:pPr>
              <w:jc w:val="center"/>
              <w:rPr>
                <w:rFonts w:cs="Calibri"/>
                <w:szCs w:val="21"/>
                <w:highlight w:val="none"/>
              </w:rPr>
            </w:pPr>
          </w:p>
        </w:tc>
        <w:tc>
          <w:tcPr>
            <w:tcW w:w="1367" w:type="dxa"/>
            <w:gridSpan w:val="2"/>
            <w:tcBorders>
              <w:top w:val="single" w:color="auto" w:sz="4" w:space="0"/>
              <w:bottom w:val="single" w:color="auto" w:sz="4" w:space="0"/>
              <w:right w:val="single" w:color="auto" w:sz="4" w:space="0"/>
            </w:tcBorders>
            <w:vAlign w:val="center"/>
          </w:tcPr>
          <w:p>
            <w:pPr>
              <w:jc w:val="center"/>
              <w:rPr>
                <w:rFonts w:cs="Calibri"/>
                <w:szCs w:val="21"/>
                <w:highlight w:val="none"/>
              </w:rPr>
            </w:pPr>
          </w:p>
        </w:tc>
        <w:tc>
          <w:tcPr>
            <w:tcW w:w="2485" w:type="dxa"/>
            <w:gridSpan w:val="4"/>
            <w:tcBorders>
              <w:top w:val="single" w:color="auto" w:sz="4" w:space="0"/>
              <w:left w:val="single" w:color="auto" w:sz="4" w:space="0"/>
            </w:tcBorders>
            <w:vAlign w:val="center"/>
          </w:tcPr>
          <w:p>
            <w:pPr>
              <w:jc w:val="center"/>
              <w:rPr>
                <w:rFonts w:cs="Calibri"/>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cs="Calibri"/>
                <w:szCs w:val="21"/>
                <w:highlight w:val="none"/>
              </w:rPr>
            </w:pPr>
          </w:p>
        </w:tc>
        <w:tc>
          <w:tcPr>
            <w:tcW w:w="1193" w:type="dxa"/>
            <w:gridSpan w:val="2"/>
            <w:tcBorders>
              <w:bottom w:val="single" w:color="auto" w:sz="4" w:space="0"/>
            </w:tcBorders>
            <w:vAlign w:val="center"/>
          </w:tcPr>
          <w:p>
            <w:pPr>
              <w:jc w:val="center"/>
              <w:rPr>
                <w:rFonts w:cs="Calibri"/>
                <w:szCs w:val="21"/>
                <w:highlight w:val="none"/>
              </w:rPr>
            </w:pPr>
            <w:r>
              <w:rPr>
                <w:rFonts w:cs="Calibri"/>
                <w:szCs w:val="21"/>
                <w:highlight w:val="none"/>
              </w:rPr>
              <w:t>账号</w:t>
            </w:r>
          </w:p>
        </w:tc>
        <w:tc>
          <w:tcPr>
            <w:tcW w:w="2825" w:type="dxa"/>
            <w:gridSpan w:val="2"/>
            <w:tcBorders>
              <w:bottom w:val="single" w:color="auto" w:sz="4" w:space="0"/>
            </w:tcBorders>
            <w:vAlign w:val="center"/>
          </w:tcPr>
          <w:p>
            <w:pPr>
              <w:jc w:val="center"/>
              <w:rPr>
                <w:rFonts w:cs="Calibri"/>
                <w:szCs w:val="21"/>
                <w:highlight w:val="none"/>
              </w:rPr>
            </w:pPr>
          </w:p>
        </w:tc>
        <w:tc>
          <w:tcPr>
            <w:tcW w:w="689" w:type="dxa"/>
            <w:vMerge w:val="continue"/>
            <w:vAlign w:val="center"/>
          </w:tcPr>
          <w:p>
            <w:pPr>
              <w:jc w:val="center"/>
              <w:rPr>
                <w:rFonts w:cs="Calibri"/>
                <w:szCs w:val="21"/>
                <w:highlight w:val="none"/>
              </w:rPr>
            </w:pPr>
          </w:p>
        </w:tc>
        <w:tc>
          <w:tcPr>
            <w:tcW w:w="1367" w:type="dxa"/>
            <w:gridSpan w:val="2"/>
            <w:tcBorders>
              <w:top w:val="single" w:color="auto" w:sz="4" w:space="0"/>
              <w:bottom w:val="single" w:color="auto" w:sz="4" w:space="0"/>
              <w:right w:val="single" w:color="auto" w:sz="4" w:space="0"/>
            </w:tcBorders>
            <w:vAlign w:val="center"/>
          </w:tcPr>
          <w:p>
            <w:pPr>
              <w:jc w:val="center"/>
              <w:rPr>
                <w:rFonts w:cs="Calibri"/>
                <w:szCs w:val="21"/>
                <w:highlight w:val="none"/>
              </w:rPr>
            </w:pPr>
          </w:p>
        </w:tc>
        <w:tc>
          <w:tcPr>
            <w:tcW w:w="2485" w:type="dxa"/>
            <w:gridSpan w:val="4"/>
            <w:tcBorders>
              <w:top w:val="single" w:color="auto" w:sz="4" w:space="0"/>
              <w:left w:val="single" w:color="auto" w:sz="4" w:space="0"/>
            </w:tcBorders>
            <w:vAlign w:val="center"/>
          </w:tcPr>
          <w:p>
            <w:pPr>
              <w:jc w:val="center"/>
              <w:rPr>
                <w:rFonts w:cs="Calibri"/>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pPr>
              <w:jc w:val="center"/>
              <w:rPr>
                <w:rFonts w:cs="Calibri"/>
                <w:szCs w:val="21"/>
                <w:highlight w:val="none"/>
              </w:rPr>
            </w:pPr>
          </w:p>
        </w:tc>
        <w:tc>
          <w:tcPr>
            <w:tcW w:w="1193" w:type="dxa"/>
            <w:gridSpan w:val="2"/>
            <w:tcBorders>
              <w:bottom w:val="single" w:color="auto" w:sz="4" w:space="0"/>
            </w:tcBorders>
            <w:vAlign w:val="center"/>
          </w:tcPr>
          <w:p>
            <w:pPr>
              <w:jc w:val="center"/>
              <w:rPr>
                <w:rFonts w:cs="Calibri"/>
                <w:szCs w:val="21"/>
                <w:highlight w:val="none"/>
              </w:rPr>
            </w:pPr>
            <w:r>
              <w:rPr>
                <w:rFonts w:cs="Calibri"/>
                <w:szCs w:val="21"/>
                <w:highlight w:val="none"/>
              </w:rPr>
              <w:t>职工总数</w:t>
            </w:r>
          </w:p>
        </w:tc>
        <w:tc>
          <w:tcPr>
            <w:tcW w:w="2825" w:type="dxa"/>
            <w:gridSpan w:val="2"/>
            <w:tcBorders>
              <w:bottom w:val="single" w:color="auto" w:sz="4" w:space="0"/>
            </w:tcBorders>
            <w:vAlign w:val="center"/>
          </w:tcPr>
          <w:p>
            <w:pPr>
              <w:jc w:val="left"/>
              <w:rPr>
                <w:rFonts w:cs="Calibri"/>
                <w:szCs w:val="21"/>
                <w:highlight w:val="none"/>
              </w:rPr>
            </w:pPr>
            <w:r>
              <w:rPr>
                <w:rFonts w:cs="Calibri"/>
                <w:szCs w:val="21"/>
                <w:highlight w:val="none"/>
              </w:rPr>
              <w:t>共人</w:t>
            </w:r>
          </w:p>
          <w:p>
            <w:pPr>
              <w:jc w:val="left"/>
              <w:rPr>
                <w:rFonts w:cs="Calibri"/>
                <w:szCs w:val="21"/>
                <w:highlight w:val="none"/>
              </w:rPr>
            </w:pPr>
            <w:r>
              <w:rPr>
                <w:rFonts w:cs="Calibri"/>
                <w:szCs w:val="21"/>
                <w:highlight w:val="none"/>
              </w:rPr>
              <w:t>其中：</w:t>
            </w:r>
          </w:p>
        </w:tc>
        <w:tc>
          <w:tcPr>
            <w:tcW w:w="689" w:type="dxa"/>
            <w:vMerge w:val="continue"/>
            <w:tcBorders>
              <w:bottom w:val="single" w:color="auto" w:sz="4" w:space="0"/>
            </w:tcBorders>
            <w:vAlign w:val="center"/>
          </w:tcPr>
          <w:p>
            <w:pPr>
              <w:jc w:val="center"/>
              <w:rPr>
                <w:rFonts w:cs="Calibri"/>
                <w:szCs w:val="21"/>
                <w:highlight w:val="none"/>
              </w:rPr>
            </w:pPr>
          </w:p>
        </w:tc>
        <w:tc>
          <w:tcPr>
            <w:tcW w:w="1367" w:type="dxa"/>
            <w:gridSpan w:val="2"/>
            <w:tcBorders>
              <w:top w:val="single" w:color="auto" w:sz="4" w:space="0"/>
              <w:bottom w:val="single" w:color="auto" w:sz="4" w:space="0"/>
              <w:right w:val="single" w:color="auto" w:sz="4" w:space="0"/>
            </w:tcBorders>
            <w:vAlign w:val="center"/>
          </w:tcPr>
          <w:p>
            <w:pPr>
              <w:jc w:val="center"/>
              <w:rPr>
                <w:rFonts w:cs="Calibri"/>
                <w:szCs w:val="21"/>
                <w:highlight w:val="none"/>
              </w:rPr>
            </w:pPr>
          </w:p>
        </w:tc>
        <w:tc>
          <w:tcPr>
            <w:tcW w:w="2485" w:type="dxa"/>
            <w:gridSpan w:val="4"/>
            <w:tcBorders>
              <w:top w:val="single" w:color="auto" w:sz="4" w:space="0"/>
              <w:left w:val="single" w:color="auto" w:sz="4" w:space="0"/>
            </w:tcBorders>
            <w:vAlign w:val="center"/>
          </w:tcPr>
          <w:p>
            <w:pPr>
              <w:jc w:val="center"/>
              <w:rPr>
                <w:rFonts w:cs="Calibri"/>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pPr>
              <w:jc w:val="center"/>
              <w:rPr>
                <w:rFonts w:cs="Calibri"/>
                <w:szCs w:val="21"/>
                <w:highlight w:val="none"/>
              </w:rPr>
            </w:pPr>
            <w:r>
              <w:rPr>
                <w:rFonts w:cs="Calibri"/>
                <w:szCs w:val="21"/>
                <w:highlight w:val="none"/>
              </w:rPr>
              <w:t>其他说明</w:t>
            </w:r>
          </w:p>
        </w:tc>
        <w:tc>
          <w:tcPr>
            <w:tcW w:w="8559" w:type="dxa"/>
            <w:gridSpan w:val="11"/>
            <w:vAlign w:val="center"/>
          </w:tcPr>
          <w:p>
            <w:pPr>
              <w:rPr>
                <w:rFonts w:cs="Calibri"/>
                <w:szCs w:val="21"/>
                <w:highlight w:val="none"/>
                <w:u w:val="single"/>
              </w:rPr>
            </w:pPr>
          </w:p>
        </w:tc>
      </w:tr>
    </w:tbl>
    <w:p>
      <w:pPr>
        <w:ind w:firstLine="420" w:firstLineChars="200"/>
        <w:rPr>
          <w:rFonts w:cs="Calibri"/>
          <w:szCs w:val="21"/>
          <w:highlight w:val="none"/>
        </w:rPr>
      </w:pPr>
      <w:r>
        <w:rPr>
          <w:rFonts w:cs="Calibri"/>
          <w:szCs w:val="21"/>
          <w:highlight w:val="none"/>
        </w:rPr>
        <w:t>【说明】：相关证明材料附后。</w:t>
      </w:r>
    </w:p>
    <w:p>
      <w:pPr>
        <w:adjustRightInd w:val="0"/>
        <w:ind w:firstLine="420" w:firstLineChars="200"/>
        <w:rPr>
          <w:rFonts w:cs="Calibri"/>
          <w:spacing w:val="20"/>
          <w:szCs w:val="21"/>
          <w:highlight w:val="none"/>
          <w:u w:val="single"/>
        </w:rPr>
      </w:pPr>
      <w:r>
        <w:rPr>
          <w:rFonts w:cs="Calibri"/>
          <w:szCs w:val="21"/>
          <w:highlight w:val="none"/>
        </w:rPr>
        <w:t>供应商全称：（盖单位公章）</w:t>
      </w:r>
    </w:p>
    <w:p>
      <w:pPr>
        <w:adjustRightInd w:val="0"/>
        <w:ind w:firstLine="420" w:firstLineChars="200"/>
        <w:rPr>
          <w:rFonts w:cs="Calibri"/>
          <w:szCs w:val="21"/>
          <w:highlight w:val="none"/>
        </w:rPr>
      </w:pPr>
      <w:r>
        <w:rPr>
          <w:rFonts w:cs="Calibri"/>
          <w:szCs w:val="21"/>
          <w:highlight w:val="none"/>
        </w:rPr>
        <w:t>日期：年月日</w:t>
      </w:r>
    </w:p>
    <w:p>
      <w:pPr>
        <w:ind w:firstLine="420" w:firstLineChars="200"/>
        <w:rPr>
          <w:rFonts w:cs="Calibri"/>
          <w:szCs w:val="21"/>
          <w:highlight w:val="none"/>
        </w:rPr>
      </w:pPr>
    </w:p>
    <w:p>
      <w:pPr>
        <w:pStyle w:val="26"/>
        <w:adjustRightInd w:val="0"/>
        <w:rPr>
          <w:rFonts w:ascii="Calibri" w:hAnsi="Calibri" w:cs="Calibri"/>
          <w:highlight w:val="none"/>
        </w:rPr>
      </w:pPr>
      <w:r>
        <w:rPr>
          <w:rFonts w:ascii="Calibri" w:hAnsi="Calibri" w:cs="Calibri"/>
          <w:highlight w:val="none"/>
        </w:rPr>
        <w:t>说明：</w:t>
      </w:r>
    </w:p>
    <w:p>
      <w:pPr>
        <w:pStyle w:val="26"/>
        <w:adjustRightInd w:val="0"/>
        <w:rPr>
          <w:rFonts w:ascii="Calibri" w:hAnsi="Calibri" w:cs="Calibri"/>
          <w:highlight w:val="none"/>
        </w:rPr>
      </w:pPr>
      <w:r>
        <w:rPr>
          <w:rFonts w:ascii="Calibri" w:hAnsi="Calibri" w:cs="Calibri"/>
          <w:highlight w:val="none"/>
        </w:rPr>
        <w:t>（1）供应商简介、技术力量、资质、信用、荣誉、管理体系认证等资料。（资格审查资料中已提供的不需重复提供）附后。</w:t>
      </w:r>
    </w:p>
    <w:p>
      <w:pPr>
        <w:pStyle w:val="26"/>
        <w:adjustRightInd w:val="0"/>
        <w:rPr>
          <w:rFonts w:ascii="Calibri" w:hAnsi="Calibri" w:cs="Calibri"/>
          <w:highlight w:val="none"/>
        </w:rPr>
      </w:pPr>
      <w:r>
        <w:rPr>
          <w:rFonts w:ascii="Calibri" w:hAnsi="Calibri" w:cs="Calibri"/>
          <w:highlight w:val="none"/>
        </w:rPr>
        <w:t>（2）供应商应如实填写以上内容，不得有虚假。没有内容可不填。</w:t>
      </w:r>
    </w:p>
    <w:p>
      <w:pPr>
        <w:pStyle w:val="26"/>
        <w:adjustRightInd w:val="0"/>
        <w:rPr>
          <w:rFonts w:ascii="Calibri" w:hAnsi="Calibri" w:cs="Calibri"/>
          <w:highlight w:val="none"/>
        </w:rPr>
      </w:pPr>
      <w:r>
        <w:rPr>
          <w:rFonts w:ascii="Calibri" w:hAnsi="Calibri" w:cs="Calibri"/>
          <w:highlight w:val="none"/>
        </w:rPr>
        <w:t>（3）评审办法所要求资料请务必提供。</w:t>
      </w:r>
    </w:p>
    <w:p>
      <w:pPr>
        <w:pStyle w:val="22"/>
        <w:ind w:left="840" w:hanging="420"/>
        <w:rPr>
          <w:rFonts w:cs="Calibri"/>
          <w:spacing w:val="20"/>
          <w:highlight w:val="none"/>
        </w:rPr>
      </w:pPr>
      <w:r>
        <w:rPr>
          <w:rFonts w:cs="Calibri"/>
          <w:highlight w:val="none"/>
        </w:rPr>
        <w:br w:type="page"/>
      </w:r>
    </w:p>
    <w:p>
      <w:pPr>
        <w:jc w:val="center"/>
        <w:rPr>
          <w:rFonts w:cs="Calibri"/>
          <w:b/>
          <w:bCs/>
          <w:sz w:val="28"/>
          <w:szCs w:val="28"/>
          <w:highlight w:val="none"/>
        </w:rPr>
      </w:pPr>
      <w:r>
        <w:rPr>
          <w:rFonts w:cs="Calibri"/>
          <w:b/>
          <w:bCs/>
          <w:sz w:val="28"/>
          <w:szCs w:val="28"/>
          <w:highlight w:val="none"/>
        </w:rPr>
        <w:t>磋商响应函</w:t>
      </w:r>
    </w:p>
    <w:p>
      <w:pPr>
        <w:rPr>
          <w:rFonts w:cs="Calibri"/>
          <w:highlight w:val="none"/>
        </w:rPr>
      </w:pPr>
      <w:r>
        <w:rPr>
          <w:rFonts w:hint="eastAsia" w:cs="Calibri"/>
          <w:highlight w:val="none"/>
          <w:lang w:eastAsia="zh-CN"/>
        </w:rPr>
        <w:t>湖州市吴兴区商务局</w:t>
      </w:r>
      <w:r>
        <w:rPr>
          <w:rFonts w:cs="Calibri"/>
          <w:highlight w:val="none"/>
        </w:rPr>
        <w:t>：</w:t>
      </w:r>
    </w:p>
    <w:p>
      <w:pPr>
        <w:rPr>
          <w:rFonts w:cs="Calibri"/>
          <w:highlight w:val="none"/>
        </w:rPr>
      </w:pPr>
      <w:r>
        <w:rPr>
          <w:rFonts w:cs="Calibri"/>
          <w:highlight w:val="none"/>
        </w:rPr>
        <w:t>浙江省成套招标代理有限公司：</w:t>
      </w:r>
    </w:p>
    <w:p>
      <w:pPr>
        <w:ind w:firstLine="420" w:firstLineChars="200"/>
        <w:rPr>
          <w:rFonts w:cs="Calibri"/>
          <w:highlight w:val="none"/>
        </w:rPr>
      </w:pPr>
      <w:r>
        <w:rPr>
          <w:rFonts w:cs="Calibri"/>
          <w:highlight w:val="none"/>
          <w:u w:val="single"/>
        </w:rPr>
        <w:t>（供应商全称）</w:t>
      </w:r>
      <w:r>
        <w:rPr>
          <w:rFonts w:cs="Calibri"/>
          <w:highlight w:val="none"/>
        </w:rPr>
        <w:t>参加你方组织的</w:t>
      </w:r>
      <w:r>
        <w:rPr>
          <w:rFonts w:hint="eastAsia" w:cs="Calibri"/>
          <w:highlight w:val="none"/>
          <w:u w:val="single"/>
          <w:lang w:eastAsia="zh-CN"/>
        </w:rPr>
        <w:t>湖州市吴兴区商务局</w:t>
      </w:r>
      <w:r>
        <w:rPr>
          <w:rFonts w:cs="Calibri"/>
          <w:highlight w:val="none"/>
        </w:rPr>
        <w:t>（采购人）</w:t>
      </w:r>
      <w:r>
        <w:rPr>
          <w:rFonts w:hint="eastAsia" w:cs="Calibri"/>
          <w:highlight w:val="none"/>
          <w:u w:val="single"/>
          <w:lang w:eastAsia="zh-CN"/>
        </w:rPr>
        <w:t>湖州市吴兴区猪肉（冻肉）储备项目</w:t>
      </w:r>
      <w:r>
        <w:rPr>
          <w:rFonts w:cs="Calibri"/>
          <w:highlight w:val="none"/>
        </w:rPr>
        <w:t>（项目名称）</w:t>
      </w:r>
      <w:r>
        <w:rPr>
          <w:rFonts w:hint="eastAsia" w:cs="Calibri"/>
          <w:highlight w:val="none"/>
          <w:u w:val="single"/>
          <w:lang w:eastAsia="zh-CN"/>
        </w:rPr>
        <w:t>CTZB-2024040086</w:t>
      </w:r>
      <w:r>
        <w:rPr>
          <w:rFonts w:cs="Calibri"/>
          <w:highlight w:val="none"/>
        </w:rPr>
        <w:t>（项目编号）的竞争性磋商采购活动，并对</w:t>
      </w:r>
      <w:r>
        <w:rPr>
          <w:rFonts w:hint="eastAsia" w:cs="Calibri"/>
          <w:highlight w:val="none"/>
          <w:u w:val="single"/>
          <w:lang w:eastAsia="zh-CN"/>
        </w:rPr>
        <w:t>湖州市吴兴区猪肉（冻肉）储备项目</w:t>
      </w:r>
      <w:r>
        <w:rPr>
          <w:rFonts w:cs="Calibri"/>
          <w:highlight w:val="none"/>
        </w:rPr>
        <w:t>（标项名称）进行磋商响应。为此我方：</w:t>
      </w:r>
    </w:p>
    <w:p>
      <w:pPr>
        <w:ind w:firstLine="420" w:firstLineChars="200"/>
        <w:rPr>
          <w:rFonts w:cs="Calibri"/>
          <w:highlight w:val="none"/>
        </w:rPr>
      </w:pPr>
      <w:r>
        <w:rPr>
          <w:rFonts w:cs="Calibri"/>
          <w:highlight w:val="none"/>
        </w:rPr>
        <w:t>1、承诺在磋商须知规定的磋商响应文件提交截止日起遵守本磋商响应文件中的承诺，且在磋商响应文件有效期满之前均具有约束力。</w:t>
      </w:r>
    </w:p>
    <w:p>
      <w:pPr>
        <w:ind w:firstLine="420" w:firstLineChars="200"/>
        <w:rPr>
          <w:rFonts w:cs="Calibri"/>
          <w:highlight w:val="none"/>
        </w:rPr>
      </w:pPr>
      <w:r>
        <w:rPr>
          <w:rFonts w:cs="Calibri"/>
          <w:highlight w:val="none"/>
        </w:rPr>
        <w:t>2、承诺已经具备本项目采购文件规定的参加本项目政府采购活动的供应商应当具备的资格条件。</w:t>
      </w:r>
    </w:p>
    <w:p>
      <w:pPr>
        <w:ind w:firstLine="420" w:firstLineChars="200"/>
        <w:rPr>
          <w:rFonts w:cs="Calibri"/>
          <w:highlight w:val="none"/>
        </w:rPr>
      </w:pPr>
      <w:r>
        <w:rPr>
          <w:rFonts w:cs="Calibri"/>
          <w:highlight w:val="none"/>
        </w:rPr>
        <w:t>3、已详细审核全部采购文件，包括采购文件补充文件（如果有）、有关附件，确认无误。</w:t>
      </w:r>
    </w:p>
    <w:p>
      <w:pPr>
        <w:ind w:firstLine="420" w:firstLineChars="200"/>
        <w:rPr>
          <w:rFonts w:cs="Calibri"/>
          <w:highlight w:val="none"/>
        </w:rPr>
      </w:pPr>
      <w:r>
        <w:rPr>
          <w:rFonts w:cs="Calibri"/>
          <w:highlight w:val="none"/>
        </w:rPr>
        <w:t>4、提供磋商须知规定的全部磋商响应文件。</w:t>
      </w:r>
    </w:p>
    <w:p>
      <w:pPr>
        <w:ind w:firstLine="420" w:firstLineChars="200"/>
        <w:rPr>
          <w:rFonts w:cs="Calibri"/>
          <w:highlight w:val="none"/>
        </w:rPr>
      </w:pPr>
      <w:r>
        <w:rPr>
          <w:rFonts w:cs="Calibri"/>
          <w:highlight w:val="none"/>
        </w:rPr>
        <w:t>5、初次报价详见《初次报价一览表》。</w:t>
      </w:r>
    </w:p>
    <w:p>
      <w:pPr>
        <w:ind w:firstLine="420" w:firstLineChars="200"/>
        <w:rPr>
          <w:rFonts w:cs="Calibri"/>
          <w:highlight w:val="none"/>
        </w:rPr>
      </w:pPr>
      <w:r>
        <w:rPr>
          <w:rFonts w:cs="Calibri"/>
          <w:highlight w:val="none"/>
        </w:rPr>
        <w:t>6、保证遵守采购文件中的其他有关规定。</w:t>
      </w:r>
    </w:p>
    <w:p>
      <w:pPr>
        <w:ind w:firstLine="420" w:firstLineChars="200"/>
        <w:rPr>
          <w:rFonts w:cs="Calibri"/>
          <w:highlight w:val="none"/>
        </w:rPr>
      </w:pPr>
      <w:r>
        <w:rPr>
          <w:rFonts w:cs="Calibri"/>
          <w:highlight w:val="none"/>
        </w:rPr>
        <w:t>7、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pPr>
        <w:ind w:firstLine="420" w:firstLineChars="200"/>
        <w:rPr>
          <w:rFonts w:cs="Calibri"/>
          <w:highlight w:val="none"/>
        </w:rPr>
      </w:pPr>
      <w:r>
        <w:rPr>
          <w:rFonts w:cs="Calibri"/>
          <w:highlight w:val="none"/>
        </w:rPr>
        <w:t>8、保证忠实地执行双方所签订的合同，并承担合同规定的责任和义务。</w:t>
      </w:r>
    </w:p>
    <w:p>
      <w:pPr>
        <w:ind w:firstLine="420" w:firstLineChars="200"/>
        <w:rPr>
          <w:rFonts w:cs="Calibri"/>
          <w:highlight w:val="none"/>
        </w:rPr>
      </w:pPr>
      <w:r>
        <w:rPr>
          <w:rFonts w:cs="Calibri"/>
          <w:highlight w:val="none"/>
        </w:rPr>
        <w:t>9、承诺不存在以下行为：</w:t>
      </w:r>
    </w:p>
    <w:p>
      <w:pPr>
        <w:ind w:firstLine="420" w:firstLineChars="200"/>
        <w:rPr>
          <w:rFonts w:cs="Calibri"/>
          <w:highlight w:val="none"/>
        </w:rPr>
      </w:pPr>
      <w:r>
        <w:rPr>
          <w:rFonts w:cs="Calibri"/>
          <w:highlight w:val="none"/>
        </w:rPr>
        <w:t>a）提供虚假材料谋取中标、成交的；</w:t>
      </w:r>
    </w:p>
    <w:p>
      <w:pPr>
        <w:ind w:firstLine="420" w:firstLineChars="200"/>
        <w:rPr>
          <w:rFonts w:cs="Calibri"/>
          <w:highlight w:val="none"/>
        </w:rPr>
      </w:pPr>
      <w:r>
        <w:rPr>
          <w:rFonts w:cs="Calibri"/>
          <w:highlight w:val="none"/>
        </w:rPr>
        <w:t>b）采取不正当手段诋毁、排挤其他供应商的；</w:t>
      </w:r>
    </w:p>
    <w:p>
      <w:pPr>
        <w:ind w:firstLine="420" w:firstLineChars="200"/>
        <w:rPr>
          <w:rFonts w:cs="Calibri"/>
          <w:highlight w:val="none"/>
        </w:rPr>
      </w:pPr>
      <w:r>
        <w:rPr>
          <w:rFonts w:cs="Calibri"/>
          <w:highlight w:val="none"/>
        </w:rPr>
        <w:t>c）与采购人、其它供应商或者采购代理机构恶意串通的；</w:t>
      </w:r>
    </w:p>
    <w:p>
      <w:pPr>
        <w:ind w:firstLine="420" w:firstLineChars="200"/>
        <w:rPr>
          <w:rFonts w:cs="Calibri"/>
          <w:highlight w:val="none"/>
        </w:rPr>
      </w:pPr>
      <w:r>
        <w:rPr>
          <w:rFonts w:cs="Calibri"/>
          <w:highlight w:val="none"/>
        </w:rPr>
        <w:t>d）向采购人、采购代理机构行贿或者提供其他不正当利益的；</w:t>
      </w:r>
    </w:p>
    <w:p>
      <w:pPr>
        <w:ind w:firstLine="420" w:firstLineChars="200"/>
        <w:rPr>
          <w:rFonts w:cs="Calibri"/>
          <w:highlight w:val="none"/>
        </w:rPr>
      </w:pPr>
      <w:r>
        <w:rPr>
          <w:rFonts w:cs="Calibri"/>
          <w:highlight w:val="none"/>
        </w:rPr>
        <w:t>e）拒绝有关部门监督检查或提供虚假情况的。</w:t>
      </w:r>
    </w:p>
    <w:p>
      <w:pPr>
        <w:ind w:firstLine="420" w:firstLineChars="200"/>
        <w:rPr>
          <w:rFonts w:cs="Calibri"/>
          <w:highlight w:val="none"/>
        </w:rPr>
      </w:pPr>
      <w:r>
        <w:rPr>
          <w:rFonts w:cs="Calibri"/>
          <w:highlight w:val="none"/>
        </w:rPr>
        <w:t>10、本磋商响应文件自磋商之日起120天内有效（如成交，顺延至合同结束）。</w:t>
      </w:r>
    </w:p>
    <w:p>
      <w:pPr>
        <w:ind w:firstLine="420" w:firstLineChars="200"/>
        <w:rPr>
          <w:rFonts w:cs="Calibri"/>
          <w:highlight w:val="none"/>
        </w:rPr>
      </w:pPr>
      <w:r>
        <w:rPr>
          <w:rFonts w:cs="Calibri"/>
          <w:highlight w:val="none"/>
        </w:rPr>
        <w:t>11、承诺，磋商响应文件有效期内我单位如果撤销磋商响应文件的，我单位接受采购人提出的索赔。</w:t>
      </w:r>
    </w:p>
    <w:p>
      <w:pPr>
        <w:rPr>
          <w:rFonts w:cs="Calibri"/>
          <w:highlight w:val="none"/>
        </w:rPr>
      </w:pPr>
    </w:p>
    <w:p>
      <w:pPr>
        <w:rPr>
          <w:rFonts w:cs="Calibri"/>
          <w:highlight w:val="none"/>
        </w:rPr>
      </w:pPr>
    </w:p>
    <w:p>
      <w:pPr>
        <w:rPr>
          <w:rFonts w:cs="Calibri"/>
          <w:highlight w:val="none"/>
        </w:rPr>
      </w:pPr>
      <w:r>
        <w:rPr>
          <w:rFonts w:cs="Calibri"/>
          <w:highlight w:val="none"/>
        </w:rPr>
        <w:t>供应商全称：（盖单位公章）</w:t>
      </w:r>
    </w:p>
    <w:p>
      <w:pPr>
        <w:rPr>
          <w:rFonts w:cs="Calibri"/>
          <w:highlight w:val="none"/>
        </w:rPr>
      </w:pPr>
      <w:r>
        <w:rPr>
          <w:rFonts w:cs="Calibri"/>
          <w:highlight w:val="none"/>
        </w:rPr>
        <w:t>日期：年月日</w:t>
      </w:r>
    </w:p>
    <w:p>
      <w:pPr>
        <w:rPr>
          <w:rFonts w:cs="Calibri"/>
          <w:highlight w:val="none"/>
          <w:u w:val="single"/>
        </w:rPr>
      </w:pPr>
      <w:r>
        <w:rPr>
          <w:rFonts w:cs="Calibri"/>
          <w:highlight w:val="none"/>
        </w:rPr>
        <w:t>单位地址：</w:t>
      </w:r>
    </w:p>
    <w:p>
      <w:pPr>
        <w:rPr>
          <w:rFonts w:cs="Calibri"/>
          <w:highlight w:val="none"/>
          <w:u w:val="single"/>
        </w:rPr>
      </w:pPr>
      <w:r>
        <w:rPr>
          <w:rFonts w:cs="Calibri"/>
          <w:highlight w:val="none"/>
        </w:rPr>
        <w:t>邮编：</w:t>
      </w:r>
    </w:p>
    <w:p>
      <w:pPr>
        <w:rPr>
          <w:rFonts w:cs="Calibri"/>
          <w:highlight w:val="none"/>
          <w:u w:val="single"/>
        </w:rPr>
      </w:pPr>
      <w:r>
        <w:rPr>
          <w:rFonts w:cs="Calibri"/>
          <w:highlight w:val="none"/>
        </w:rPr>
        <w:t>电话：</w:t>
      </w:r>
    </w:p>
    <w:p>
      <w:pPr>
        <w:rPr>
          <w:rFonts w:cs="Calibri"/>
          <w:highlight w:val="none"/>
        </w:rPr>
      </w:pPr>
      <w:r>
        <w:rPr>
          <w:rFonts w:cs="Calibri"/>
          <w:highlight w:val="none"/>
        </w:rPr>
        <w:t>传真：</w:t>
      </w:r>
    </w:p>
    <w:p>
      <w:pPr>
        <w:pStyle w:val="8"/>
        <w:ind w:firstLine="422"/>
        <w:rPr>
          <w:rFonts w:cs="Calibri"/>
          <w:highlight w:val="none"/>
        </w:rPr>
      </w:pPr>
      <w:r>
        <w:rPr>
          <w:rFonts w:cs="Calibri"/>
          <w:highlight w:val="none"/>
        </w:rPr>
        <w:br w:type="page"/>
      </w:r>
    </w:p>
    <w:p>
      <w:pPr>
        <w:jc w:val="center"/>
        <w:rPr>
          <w:rFonts w:cs="Calibri"/>
          <w:b/>
          <w:bCs/>
          <w:sz w:val="28"/>
          <w:szCs w:val="28"/>
          <w:highlight w:val="none"/>
        </w:rPr>
      </w:pPr>
      <w:r>
        <w:rPr>
          <w:rFonts w:cs="Calibri"/>
          <w:b/>
          <w:bCs/>
          <w:sz w:val="28"/>
          <w:szCs w:val="28"/>
          <w:highlight w:val="none"/>
        </w:rPr>
        <w:t>初次报价一览表</w:t>
      </w:r>
    </w:p>
    <w:p>
      <w:pPr>
        <w:rPr>
          <w:rFonts w:hint="eastAsia" w:eastAsia="宋体" w:cs="Calibri"/>
          <w:highlight w:val="none"/>
          <w:lang w:eastAsia="zh-CN"/>
        </w:rPr>
      </w:pPr>
      <w:r>
        <w:rPr>
          <w:rFonts w:cs="Calibri"/>
          <w:highlight w:val="none"/>
        </w:rPr>
        <w:t>采购人：</w:t>
      </w:r>
      <w:r>
        <w:rPr>
          <w:rFonts w:hint="eastAsia" w:cs="Calibri"/>
          <w:highlight w:val="none"/>
          <w:lang w:eastAsia="zh-CN"/>
        </w:rPr>
        <w:t>湖州市吴兴区商务局</w:t>
      </w:r>
    </w:p>
    <w:p>
      <w:pPr>
        <w:rPr>
          <w:rFonts w:hint="eastAsia" w:eastAsia="宋体" w:cs="Calibri"/>
          <w:highlight w:val="none"/>
          <w:lang w:eastAsia="zh-CN"/>
        </w:rPr>
      </w:pPr>
      <w:r>
        <w:rPr>
          <w:rFonts w:cs="Calibri"/>
          <w:highlight w:val="none"/>
        </w:rPr>
        <w:t>项目名称：</w:t>
      </w:r>
      <w:r>
        <w:rPr>
          <w:rFonts w:hint="eastAsia" w:cs="Calibri"/>
          <w:highlight w:val="none"/>
          <w:lang w:eastAsia="zh-CN"/>
        </w:rPr>
        <w:t>湖州市吴兴区猪肉（冻肉）储备项目</w:t>
      </w:r>
    </w:p>
    <w:p>
      <w:pPr>
        <w:rPr>
          <w:rFonts w:hint="eastAsia" w:eastAsia="宋体" w:cs="Calibri"/>
          <w:highlight w:val="none"/>
          <w:lang w:eastAsia="zh-CN"/>
        </w:rPr>
      </w:pPr>
      <w:r>
        <w:rPr>
          <w:rFonts w:cs="Calibri"/>
          <w:highlight w:val="none"/>
        </w:rPr>
        <w:t>项目编号：</w:t>
      </w:r>
      <w:r>
        <w:rPr>
          <w:rFonts w:hint="eastAsia" w:cs="Calibri"/>
          <w:highlight w:val="none"/>
          <w:lang w:eastAsia="zh-CN"/>
        </w:rPr>
        <w:t>CTZB-2024040086</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4111"/>
        <w:gridCol w:w="708"/>
        <w:gridCol w:w="708"/>
        <w:gridCol w:w="3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pPr>
              <w:jc w:val="center"/>
              <w:rPr>
                <w:rFonts w:cs="Calibri"/>
                <w:b/>
                <w:highlight w:val="none"/>
              </w:rPr>
            </w:pPr>
            <w:r>
              <w:rPr>
                <w:rFonts w:cs="Calibri"/>
                <w:b/>
                <w:highlight w:val="none"/>
              </w:rPr>
              <w:t>序号</w:t>
            </w:r>
          </w:p>
        </w:tc>
        <w:tc>
          <w:tcPr>
            <w:tcW w:w="4066" w:type="dxa"/>
            <w:vAlign w:val="center"/>
          </w:tcPr>
          <w:p>
            <w:pPr>
              <w:jc w:val="center"/>
              <w:rPr>
                <w:rFonts w:cs="Calibri"/>
                <w:b/>
                <w:highlight w:val="none"/>
              </w:rPr>
            </w:pPr>
            <w:r>
              <w:rPr>
                <w:rFonts w:cs="Calibri"/>
                <w:b/>
                <w:highlight w:val="none"/>
              </w:rPr>
              <w:t>标项名称</w:t>
            </w:r>
          </w:p>
        </w:tc>
        <w:tc>
          <w:tcPr>
            <w:tcW w:w="700" w:type="dxa"/>
            <w:vAlign w:val="center"/>
          </w:tcPr>
          <w:p>
            <w:pPr>
              <w:jc w:val="center"/>
              <w:rPr>
                <w:rFonts w:cs="Calibri"/>
                <w:b/>
                <w:highlight w:val="none"/>
              </w:rPr>
            </w:pPr>
            <w:r>
              <w:rPr>
                <w:rFonts w:cs="Calibri"/>
                <w:b/>
                <w:highlight w:val="none"/>
              </w:rPr>
              <w:t>数量</w:t>
            </w:r>
          </w:p>
        </w:tc>
        <w:tc>
          <w:tcPr>
            <w:tcW w:w="700" w:type="dxa"/>
            <w:vAlign w:val="center"/>
          </w:tcPr>
          <w:p>
            <w:pPr>
              <w:jc w:val="center"/>
              <w:rPr>
                <w:rFonts w:cs="Calibri"/>
                <w:b/>
                <w:highlight w:val="none"/>
              </w:rPr>
            </w:pPr>
            <w:r>
              <w:rPr>
                <w:rFonts w:cs="Calibri"/>
                <w:b/>
                <w:highlight w:val="none"/>
              </w:rPr>
              <w:t>单位</w:t>
            </w:r>
          </w:p>
        </w:tc>
        <w:tc>
          <w:tcPr>
            <w:tcW w:w="3176" w:type="dxa"/>
            <w:vAlign w:val="center"/>
          </w:tcPr>
          <w:p>
            <w:pPr>
              <w:jc w:val="center"/>
              <w:rPr>
                <w:rFonts w:cs="Calibri"/>
                <w:b/>
                <w:highlight w:val="none"/>
              </w:rPr>
            </w:pPr>
            <w:r>
              <w:rPr>
                <w:rFonts w:hint="eastAsia" w:cs="Calibri"/>
                <w:b/>
                <w:highlight w:val="none"/>
              </w:rPr>
              <w:t>实施周期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pPr>
              <w:widowControl/>
              <w:jc w:val="center"/>
              <w:rPr>
                <w:rFonts w:cs="Calibri"/>
                <w:kern w:val="0"/>
                <w:szCs w:val="21"/>
                <w:highlight w:val="none"/>
              </w:rPr>
            </w:pPr>
            <w:r>
              <w:rPr>
                <w:rFonts w:cs="Calibri"/>
                <w:kern w:val="0"/>
                <w:szCs w:val="21"/>
                <w:highlight w:val="none"/>
              </w:rPr>
              <w:t>1</w:t>
            </w:r>
          </w:p>
        </w:tc>
        <w:tc>
          <w:tcPr>
            <w:tcW w:w="4066" w:type="dxa"/>
            <w:vAlign w:val="center"/>
          </w:tcPr>
          <w:p>
            <w:pPr>
              <w:widowControl/>
              <w:jc w:val="left"/>
              <w:rPr>
                <w:rFonts w:hint="eastAsia" w:eastAsia="宋体" w:cs="Calibri"/>
                <w:kern w:val="0"/>
                <w:szCs w:val="21"/>
                <w:highlight w:val="none"/>
                <w:lang w:eastAsia="zh-CN"/>
              </w:rPr>
            </w:pPr>
            <w:r>
              <w:rPr>
                <w:rFonts w:hint="eastAsia" w:cs="Calibri"/>
                <w:highlight w:val="none"/>
                <w:lang w:eastAsia="zh-CN"/>
              </w:rPr>
              <w:t>湖州市吴兴区猪肉（冻肉）储备项目</w:t>
            </w:r>
          </w:p>
        </w:tc>
        <w:tc>
          <w:tcPr>
            <w:tcW w:w="700" w:type="dxa"/>
            <w:vAlign w:val="center"/>
          </w:tcPr>
          <w:p>
            <w:pPr>
              <w:widowControl/>
              <w:jc w:val="center"/>
              <w:rPr>
                <w:rFonts w:cs="Calibri"/>
                <w:kern w:val="0"/>
                <w:szCs w:val="21"/>
                <w:highlight w:val="none"/>
              </w:rPr>
            </w:pPr>
            <w:r>
              <w:rPr>
                <w:rFonts w:cs="Calibri"/>
                <w:szCs w:val="21"/>
                <w:highlight w:val="none"/>
              </w:rPr>
              <w:t>1</w:t>
            </w:r>
          </w:p>
        </w:tc>
        <w:tc>
          <w:tcPr>
            <w:tcW w:w="700" w:type="dxa"/>
            <w:vAlign w:val="center"/>
          </w:tcPr>
          <w:p>
            <w:pPr>
              <w:widowControl/>
              <w:jc w:val="center"/>
              <w:rPr>
                <w:rFonts w:cs="Calibri"/>
                <w:kern w:val="0"/>
                <w:szCs w:val="21"/>
                <w:highlight w:val="none"/>
              </w:rPr>
            </w:pPr>
            <w:r>
              <w:rPr>
                <w:rFonts w:cs="Calibri"/>
                <w:kern w:val="0"/>
                <w:szCs w:val="21"/>
                <w:highlight w:val="none"/>
              </w:rPr>
              <w:t>项</w:t>
            </w:r>
          </w:p>
        </w:tc>
        <w:tc>
          <w:tcPr>
            <w:tcW w:w="3176" w:type="dxa"/>
            <w:vAlign w:val="center"/>
          </w:tcPr>
          <w:p>
            <w:pPr>
              <w:jc w:val="center"/>
              <w:rPr>
                <w:rFonts w:cs="Calibri"/>
                <w:b/>
                <w:highlight w:val="none"/>
              </w:rPr>
            </w:pPr>
            <w:r>
              <w:rPr>
                <w:rFonts w:cs="Calibri"/>
                <w:b/>
                <w:bCs/>
                <w:highlight w:val="none"/>
              </w:rPr>
              <w:t>响应采购文件规定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pPr>
              <w:jc w:val="center"/>
              <w:rPr>
                <w:rFonts w:cs="Calibri"/>
                <w:b/>
                <w:highlight w:val="none"/>
              </w:rPr>
            </w:pPr>
            <w:r>
              <w:rPr>
                <w:rFonts w:cs="Calibri"/>
                <w:b/>
                <w:highlight w:val="none"/>
              </w:rPr>
              <w:t>2</w:t>
            </w:r>
          </w:p>
        </w:tc>
        <w:tc>
          <w:tcPr>
            <w:tcW w:w="4066" w:type="dxa"/>
            <w:vAlign w:val="center"/>
          </w:tcPr>
          <w:p>
            <w:pPr>
              <w:jc w:val="center"/>
              <w:rPr>
                <w:rFonts w:cs="Calibri"/>
                <w:b/>
                <w:highlight w:val="none"/>
              </w:rPr>
            </w:pPr>
            <w:r>
              <w:rPr>
                <w:rFonts w:cs="Calibri"/>
                <w:highlight w:val="none"/>
              </w:rPr>
              <w:t>报价合计</w:t>
            </w:r>
          </w:p>
        </w:tc>
        <w:tc>
          <w:tcPr>
            <w:tcW w:w="4576" w:type="dxa"/>
            <w:gridSpan w:val="3"/>
            <w:vAlign w:val="center"/>
          </w:tcPr>
          <w:p>
            <w:pPr>
              <w:rPr>
                <w:rFonts w:cs="Calibri"/>
                <w:highlight w:val="none"/>
              </w:rPr>
            </w:pPr>
            <w:r>
              <w:rPr>
                <w:rFonts w:cs="Calibri"/>
                <w:highlight w:val="none"/>
              </w:rPr>
              <w:t>小写：￥</w:t>
            </w:r>
          </w:p>
          <w:p>
            <w:pPr>
              <w:rPr>
                <w:rFonts w:cs="Calibri"/>
                <w:b/>
                <w:highlight w:val="none"/>
              </w:rPr>
            </w:pPr>
            <w:r>
              <w:rPr>
                <w:rFonts w:cs="Calibri"/>
                <w:highlight w:val="none"/>
              </w:rPr>
              <w:t>大写：人民币</w:t>
            </w:r>
          </w:p>
        </w:tc>
      </w:tr>
    </w:tbl>
    <w:p>
      <w:pPr>
        <w:adjustRightInd w:val="0"/>
        <w:ind w:firstLine="420" w:firstLineChars="200"/>
        <w:rPr>
          <w:rFonts w:cs="Calibri"/>
          <w:szCs w:val="21"/>
          <w:highlight w:val="none"/>
        </w:rPr>
      </w:pPr>
    </w:p>
    <w:p>
      <w:pPr>
        <w:adjustRightInd w:val="0"/>
        <w:ind w:firstLine="420" w:firstLineChars="200"/>
        <w:rPr>
          <w:rFonts w:cs="Calibri"/>
          <w:spacing w:val="20"/>
          <w:szCs w:val="21"/>
          <w:highlight w:val="none"/>
          <w:u w:val="single"/>
        </w:rPr>
      </w:pPr>
      <w:r>
        <w:rPr>
          <w:rFonts w:cs="Calibri"/>
          <w:szCs w:val="21"/>
          <w:highlight w:val="none"/>
        </w:rPr>
        <w:t>供应商全称：（盖单位公章）</w:t>
      </w:r>
    </w:p>
    <w:p>
      <w:pPr>
        <w:adjustRightInd w:val="0"/>
        <w:ind w:firstLine="420" w:firstLineChars="200"/>
        <w:rPr>
          <w:rFonts w:cs="Calibri"/>
          <w:szCs w:val="21"/>
          <w:highlight w:val="none"/>
        </w:rPr>
      </w:pPr>
      <w:r>
        <w:rPr>
          <w:rFonts w:cs="Calibri"/>
          <w:szCs w:val="21"/>
          <w:highlight w:val="none"/>
        </w:rPr>
        <w:t>日期：年月日</w:t>
      </w:r>
    </w:p>
    <w:p>
      <w:pPr>
        <w:rPr>
          <w:rFonts w:cs="Calibri"/>
          <w:highlight w:val="none"/>
        </w:rPr>
      </w:pPr>
    </w:p>
    <w:p>
      <w:pPr>
        <w:rPr>
          <w:rFonts w:cs="Calibri"/>
          <w:highlight w:val="none"/>
        </w:rPr>
      </w:pPr>
      <w:r>
        <w:rPr>
          <w:rFonts w:hint="eastAsia" w:cs="Calibri"/>
          <w:highlight w:val="none"/>
        </w:rPr>
        <w:t>填写说明：</w:t>
      </w:r>
    </w:p>
    <w:p>
      <w:pPr>
        <w:rPr>
          <w:rFonts w:cs="Calibri"/>
          <w:highlight w:val="none"/>
        </w:rPr>
      </w:pPr>
      <w:r>
        <w:rPr>
          <w:rFonts w:hint="eastAsia" w:cs="Calibri"/>
          <w:highlight w:val="none"/>
        </w:rPr>
        <w:t>（1）具体价格明细详见《初次报价组成明细表》。</w:t>
      </w:r>
    </w:p>
    <w:p>
      <w:pPr>
        <w:rPr>
          <w:rFonts w:cs="Calibri"/>
          <w:highlight w:val="none"/>
        </w:rPr>
      </w:pPr>
      <w:r>
        <w:rPr>
          <w:rFonts w:hint="eastAsia" w:cs="Calibri"/>
          <w:highlight w:val="none"/>
        </w:rPr>
        <w:t>（2）大写金额与小写金额不一致时，以大写金额为准。</w:t>
      </w:r>
    </w:p>
    <w:p>
      <w:pPr>
        <w:pStyle w:val="8"/>
        <w:ind w:firstLine="422"/>
        <w:rPr>
          <w:rFonts w:cs="Calibri"/>
          <w:highlight w:val="none"/>
        </w:rPr>
      </w:pPr>
      <w:r>
        <w:rPr>
          <w:rFonts w:cs="Calibri"/>
          <w:highlight w:val="none"/>
        </w:rPr>
        <w:br w:type="page"/>
      </w:r>
    </w:p>
    <w:p>
      <w:pPr>
        <w:jc w:val="center"/>
        <w:rPr>
          <w:rFonts w:cs="Calibri"/>
          <w:b/>
          <w:bCs/>
          <w:sz w:val="28"/>
          <w:szCs w:val="28"/>
          <w:highlight w:val="none"/>
        </w:rPr>
      </w:pPr>
      <w:r>
        <w:rPr>
          <w:rFonts w:cs="Calibri"/>
          <w:b/>
          <w:bCs/>
          <w:sz w:val="28"/>
          <w:szCs w:val="28"/>
          <w:highlight w:val="none"/>
        </w:rPr>
        <w:t>初次报价组成明细表</w:t>
      </w:r>
    </w:p>
    <w:p>
      <w:pPr>
        <w:rPr>
          <w:rFonts w:hint="eastAsia" w:eastAsia="宋体" w:cs="Calibri"/>
          <w:highlight w:val="none"/>
          <w:lang w:eastAsia="zh-CN"/>
        </w:rPr>
      </w:pPr>
      <w:r>
        <w:rPr>
          <w:rFonts w:cs="Calibri"/>
          <w:highlight w:val="none"/>
        </w:rPr>
        <w:t>采购人：</w:t>
      </w:r>
      <w:r>
        <w:rPr>
          <w:rFonts w:hint="eastAsia" w:cs="Calibri"/>
          <w:highlight w:val="none"/>
          <w:lang w:eastAsia="zh-CN"/>
        </w:rPr>
        <w:t>湖州市吴兴区商务局</w:t>
      </w:r>
    </w:p>
    <w:p>
      <w:pPr>
        <w:rPr>
          <w:rFonts w:hint="eastAsia" w:eastAsia="宋体" w:cs="Calibri"/>
          <w:highlight w:val="none"/>
          <w:lang w:eastAsia="zh-CN"/>
        </w:rPr>
      </w:pPr>
      <w:r>
        <w:rPr>
          <w:rFonts w:cs="Calibri"/>
          <w:highlight w:val="none"/>
        </w:rPr>
        <w:t>项目名称：</w:t>
      </w:r>
      <w:r>
        <w:rPr>
          <w:rFonts w:hint="eastAsia" w:cs="Calibri"/>
          <w:highlight w:val="none"/>
          <w:lang w:eastAsia="zh-CN"/>
        </w:rPr>
        <w:t>湖州市吴兴区猪肉（冻肉）储备项目</w:t>
      </w:r>
    </w:p>
    <w:p>
      <w:pPr>
        <w:rPr>
          <w:rFonts w:hint="eastAsia" w:eastAsia="宋体" w:cs="Calibri"/>
          <w:highlight w:val="none"/>
          <w:lang w:eastAsia="zh-CN"/>
        </w:rPr>
      </w:pPr>
      <w:r>
        <w:rPr>
          <w:rFonts w:cs="Calibri"/>
          <w:highlight w:val="none"/>
        </w:rPr>
        <w:t>项目编号：</w:t>
      </w:r>
      <w:r>
        <w:rPr>
          <w:rFonts w:hint="eastAsia" w:cs="Calibri"/>
          <w:highlight w:val="none"/>
          <w:lang w:eastAsia="zh-CN"/>
        </w:rPr>
        <w:t>CTZB-2024040086</w:t>
      </w:r>
    </w:p>
    <w:p>
      <w:pPr>
        <w:rPr>
          <w:rFonts w:hint="eastAsia" w:eastAsia="宋体" w:cs="Calibri"/>
          <w:highlight w:val="none"/>
          <w:lang w:eastAsia="zh-CN"/>
        </w:rPr>
      </w:pPr>
      <w:r>
        <w:rPr>
          <w:rFonts w:cs="Calibri"/>
          <w:szCs w:val="21"/>
          <w:highlight w:val="none"/>
        </w:rPr>
        <w:t>标项名称：</w:t>
      </w:r>
      <w:r>
        <w:rPr>
          <w:rFonts w:hint="eastAsia" w:cs="Calibri"/>
          <w:highlight w:val="none"/>
          <w:lang w:eastAsia="zh-CN"/>
        </w:rPr>
        <w:t>湖州市吴兴区猪肉（冻肉）储备项目</w:t>
      </w:r>
    </w:p>
    <w:p>
      <w:pPr>
        <w:jc w:val="right"/>
        <w:rPr>
          <w:rFonts w:cs="Calibri"/>
          <w:szCs w:val="21"/>
          <w:highlight w:val="none"/>
        </w:rPr>
      </w:pPr>
      <w:r>
        <w:rPr>
          <w:rFonts w:cs="Calibri"/>
          <w:szCs w:val="21"/>
          <w:highlight w:val="none"/>
        </w:rPr>
        <w:t>（价格单位：元人民币）</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833"/>
        <w:gridCol w:w="1633"/>
        <w:gridCol w:w="738"/>
        <w:gridCol w:w="754"/>
        <w:gridCol w:w="1221"/>
        <w:gridCol w:w="1191"/>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pPr>
              <w:rPr>
                <w:rFonts w:cs="Calibri"/>
                <w:highlight w:val="none"/>
              </w:rPr>
            </w:pPr>
            <w:r>
              <w:rPr>
                <w:rFonts w:cs="Calibri"/>
                <w:highlight w:val="none"/>
              </w:rPr>
              <w:t>序号</w:t>
            </w:r>
          </w:p>
        </w:tc>
        <w:tc>
          <w:tcPr>
            <w:tcW w:w="1833" w:type="dxa"/>
            <w:vAlign w:val="center"/>
          </w:tcPr>
          <w:p>
            <w:pPr>
              <w:rPr>
                <w:rFonts w:cs="Calibri"/>
                <w:highlight w:val="none"/>
              </w:rPr>
            </w:pPr>
            <w:r>
              <w:rPr>
                <w:rFonts w:cs="Calibri"/>
                <w:highlight w:val="none"/>
              </w:rPr>
              <w:t>内容名称</w:t>
            </w:r>
          </w:p>
        </w:tc>
        <w:tc>
          <w:tcPr>
            <w:tcW w:w="1633" w:type="dxa"/>
            <w:vAlign w:val="center"/>
          </w:tcPr>
          <w:p>
            <w:pPr>
              <w:rPr>
                <w:rFonts w:cs="Calibri"/>
                <w:highlight w:val="none"/>
              </w:rPr>
            </w:pPr>
            <w:r>
              <w:rPr>
                <w:rFonts w:cs="Calibri"/>
                <w:highlight w:val="none"/>
              </w:rPr>
              <w:t>内容描述</w:t>
            </w:r>
          </w:p>
        </w:tc>
        <w:tc>
          <w:tcPr>
            <w:tcW w:w="738" w:type="dxa"/>
            <w:vAlign w:val="center"/>
          </w:tcPr>
          <w:p>
            <w:pPr>
              <w:rPr>
                <w:rFonts w:cs="Calibri"/>
                <w:highlight w:val="none"/>
              </w:rPr>
            </w:pPr>
            <w:r>
              <w:rPr>
                <w:rFonts w:cs="Calibri"/>
                <w:highlight w:val="none"/>
              </w:rPr>
              <w:t>数量</w:t>
            </w:r>
          </w:p>
        </w:tc>
        <w:tc>
          <w:tcPr>
            <w:tcW w:w="754" w:type="dxa"/>
            <w:vAlign w:val="center"/>
          </w:tcPr>
          <w:p>
            <w:pPr>
              <w:rPr>
                <w:rFonts w:cs="Calibri"/>
                <w:highlight w:val="none"/>
              </w:rPr>
            </w:pPr>
            <w:r>
              <w:rPr>
                <w:rFonts w:cs="Calibri"/>
                <w:highlight w:val="none"/>
              </w:rPr>
              <w:t>单位</w:t>
            </w:r>
          </w:p>
        </w:tc>
        <w:tc>
          <w:tcPr>
            <w:tcW w:w="1221" w:type="dxa"/>
            <w:vAlign w:val="center"/>
          </w:tcPr>
          <w:p>
            <w:pPr>
              <w:rPr>
                <w:rFonts w:cs="Calibri"/>
                <w:highlight w:val="none"/>
              </w:rPr>
            </w:pPr>
            <w:r>
              <w:rPr>
                <w:rFonts w:cs="Calibri"/>
                <w:highlight w:val="none"/>
              </w:rPr>
              <w:t>单价</w:t>
            </w:r>
          </w:p>
        </w:tc>
        <w:tc>
          <w:tcPr>
            <w:tcW w:w="1191" w:type="dxa"/>
            <w:vAlign w:val="center"/>
          </w:tcPr>
          <w:p>
            <w:pPr>
              <w:rPr>
                <w:rFonts w:cs="Calibri"/>
                <w:highlight w:val="none"/>
              </w:rPr>
            </w:pPr>
            <w:r>
              <w:rPr>
                <w:rFonts w:cs="Calibri"/>
                <w:highlight w:val="none"/>
              </w:rPr>
              <w:t>合价</w:t>
            </w:r>
          </w:p>
        </w:tc>
        <w:tc>
          <w:tcPr>
            <w:tcW w:w="1258" w:type="dxa"/>
            <w:vAlign w:val="center"/>
          </w:tcPr>
          <w:p>
            <w:pPr>
              <w:rPr>
                <w:rFonts w:cs="Calibri"/>
                <w:highlight w:val="none"/>
              </w:rPr>
            </w:pPr>
            <w:r>
              <w:rPr>
                <w:rFonts w:cs="Calibri"/>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pPr>
              <w:rPr>
                <w:rFonts w:cs="Calibri"/>
                <w:highlight w:val="none"/>
              </w:rPr>
            </w:pPr>
          </w:p>
        </w:tc>
        <w:tc>
          <w:tcPr>
            <w:tcW w:w="1833" w:type="dxa"/>
            <w:vAlign w:val="center"/>
          </w:tcPr>
          <w:p>
            <w:pPr>
              <w:rPr>
                <w:rFonts w:cs="Calibri"/>
                <w:highlight w:val="none"/>
              </w:rPr>
            </w:pPr>
          </w:p>
        </w:tc>
        <w:tc>
          <w:tcPr>
            <w:tcW w:w="1633" w:type="dxa"/>
            <w:vAlign w:val="center"/>
          </w:tcPr>
          <w:p>
            <w:pPr>
              <w:rPr>
                <w:rFonts w:cs="Calibri"/>
                <w:highlight w:val="none"/>
              </w:rPr>
            </w:pPr>
          </w:p>
        </w:tc>
        <w:tc>
          <w:tcPr>
            <w:tcW w:w="738" w:type="dxa"/>
            <w:vAlign w:val="center"/>
          </w:tcPr>
          <w:p>
            <w:pPr>
              <w:rPr>
                <w:rFonts w:cs="Calibri"/>
                <w:highlight w:val="none"/>
              </w:rPr>
            </w:pPr>
          </w:p>
        </w:tc>
        <w:tc>
          <w:tcPr>
            <w:tcW w:w="754" w:type="dxa"/>
            <w:vAlign w:val="center"/>
          </w:tcPr>
          <w:p>
            <w:pPr>
              <w:rPr>
                <w:rFonts w:cs="Calibri"/>
                <w:highlight w:val="none"/>
              </w:rPr>
            </w:pPr>
          </w:p>
        </w:tc>
        <w:tc>
          <w:tcPr>
            <w:tcW w:w="1221" w:type="dxa"/>
            <w:vAlign w:val="center"/>
          </w:tcPr>
          <w:p>
            <w:pPr>
              <w:rPr>
                <w:rFonts w:cs="Calibri"/>
                <w:highlight w:val="none"/>
              </w:rPr>
            </w:pPr>
          </w:p>
        </w:tc>
        <w:tc>
          <w:tcPr>
            <w:tcW w:w="1191" w:type="dxa"/>
          </w:tcPr>
          <w:p>
            <w:pPr>
              <w:rPr>
                <w:rFonts w:cs="Calibri"/>
                <w:highlight w:val="none"/>
              </w:rPr>
            </w:pPr>
          </w:p>
        </w:tc>
        <w:tc>
          <w:tcPr>
            <w:tcW w:w="1258" w:type="dxa"/>
            <w:vAlign w:val="center"/>
          </w:tcPr>
          <w:p>
            <w:pPr>
              <w:rPr>
                <w:rFonts w:cs="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pPr>
              <w:rPr>
                <w:rFonts w:cs="Calibri"/>
                <w:highlight w:val="none"/>
              </w:rPr>
            </w:pPr>
          </w:p>
        </w:tc>
        <w:tc>
          <w:tcPr>
            <w:tcW w:w="1833" w:type="dxa"/>
            <w:vAlign w:val="center"/>
          </w:tcPr>
          <w:p>
            <w:pPr>
              <w:rPr>
                <w:rFonts w:cs="Calibri"/>
                <w:highlight w:val="none"/>
              </w:rPr>
            </w:pPr>
          </w:p>
        </w:tc>
        <w:tc>
          <w:tcPr>
            <w:tcW w:w="1633" w:type="dxa"/>
            <w:vAlign w:val="center"/>
          </w:tcPr>
          <w:p>
            <w:pPr>
              <w:rPr>
                <w:rFonts w:cs="Calibri"/>
                <w:highlight w:val="none"/>
              </w:rPr>
            </w:pPr>
          </w:p>
        </w:tc>
        <w:tc>
          <w:tcPr>
            <w:tcW w:w="738" w:type="dxa"/>
            <w:vAlign w:val="center"/>
          </w:tcPr>
          <w:p>
            <w:pPr>
              <w:rPr>
                <w:rFonts w:cs="Calibri"/>
                <w:highlight w:val="none"/>
              </w:rPr>
            </w:pPr>
          </w:p>
        </w:tc>
        <w:tc>
          <w:tcPr>
            <w:tcW w:w="754" w:type="dxa"/>
            <w:vAlign w:val="center"/>
          </w:tcPr>
          <w:p>
            <w:pPr>
              <w:rPr>
                <w:rFonts w:cs="Calibri"/>
                <w:highlight w:val="none"/>
              </w:rPr>
            </w:pPr>
          </w:p>
        </w:tc>
        <w:tc>
          <w:tcPr>
            <w:tcW w:w="1221" w:type="dxa"/>
            <w:vAlign w:val="center"/>
          </w:tcPr>
          <w:p>
            <w:pPr>
              <w:rPr>
                <w:rFonts w:cs="Calibri"/>
                <w:highlight w:val="none"/>
              </w:rPr>
            </w:pPr>
          </w:p>
        </w:tc>
        <w:tc>
          <w:tcPr>
            <w:tcW w:w="1191" w:type="dxa"/>
          </w:tcPr>
          <w:p>
            <w:pPr>
              <w:rPr>
                <w:rFonts w:cs="Calibri"/>
                <w:highlight w:val="none"/>
              </w:rPr>
            </w:pPr>
          </w:p>
        </w:tc>
        <w:tc>
          <w:tcPr>
            <w:tcW w:w="1258" w:type="dxa"/>
            <w:vAlign w:val="center"/>
          </w:tcPr>
          <w:p>
            <w:pPr>
              <w:rPr>
                <w:rFonts w:cs="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pPr>
              <w:rPr>
                <w:rFonts w:cs="Calibri"/>
                <w:highlight w:val="none"/>
              </w:rPr>
            </w:pPr>
          </w:p>
        </w:tc>
        <w:tc>
          <w:tcPr>
            <w:tcW w:w="1833" w:type="dxa"/>
            <w:vAlign w:val="center"/>
          </w:tcPr>
          <w:p>
            <w:pPr>
              <w:rPr>
                <w:rFonts w:cs="Calibri"/>
                <w:highlight w:val="none"/>
              </w:rPr>
            </w:pPr>
          </w:p>
        </w:tc>
        <w:tc>
          <w:tcPr>
            <w:tcW w:w="1633" w:type="dxa"/>
            <w:vAlign w:val="center"/>
          </w:tcPr>
          <w:p>
            <w:pPr>
              <w:rPr>
                <w:rFonts w:cs="Calibri"/>
                <w:highlight w:val="none"/>
              </w:rPr>
            </w:pPr>
          </w:p>
        </w:tc>
        <w:tc>
          <w:tcPr>
            <w:tcW w:w="738" w:type="dxa"/>
            <w:vAlign w:val="center"/>
          </w:tcPr>
          <w:p>
            <w:pPr>
              <w:rPr>
                <w:rFonts w:cs="Calibri"/>
                <w:highlight w:val="none"/>
              </w:rPr>
            </w:pPr>
          </w:p>
        </w:tc>
        <w:tc>
          <w:tcPr>
            <w:tcW w:w="754" w:type="dxa"/>
            <w:vAlign w:val="center"/>
          </w:tcPr>
          <w:p>
            <w:pPr>
              <w:rPr>
                <w:rFonts w:cs="Calibri"/>
                <w:highlight w:val="none"/>
              </w:rPr>
            </w:pPr>
          </w:p>
        </w:tc>
        <w:tc>
          <w:tcPr>
            <w:tcW w:w="1221" w:type="dxa"/>
            <w:vAlign w:val="center"/>
          </w:tcPr>
          <w:p>
            <w:pPr>
              <w:rPr>
                <w:rFonts w:cs="Calibri"/>
                <w:highlight w:val="none"/>
              </w:rPr>
            </w:pPr>
          </w:p>
        </w:tc>
        <w:tc>
          <w:tcPr>
            <w:tcW w:w="1191" w:type="dxa"/>
          </w:tcPr>
          <w:p>
            <w:pPr>
              <w:rPr>
                <w:rFonts w:cs="Calibri"/>
                <w:highlight w:val="none"/>
              </w:rPr>
            </w:pPr>
          </w:p>
        </w:tc>
        <w:tc>
          <w:tcPr>
            <w:tcW w:w="1258" w:type="dxa"/>
            <w:vAlign w:val="center"/>
          </w:tcPr>
          <w:p>
            <w:pPr>
              <w:rPr>
                <w:rFonts w:cs="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pPr>
              <w:rPr>
                <w:rFonts w:cs="Calibri"/>
                <w:highlight w:val="none"/>
              </w:rPr>
            </w:pPr>
          </w:p>
        </w:tc>
        <w:tc>
          <w:tcPr>
            <w:tcW w:w="1833" w:type="dxa"/>
            <w:vAlign w:val="center"/>
          </w:tcPr>
          <w:p>
            <w:pPr>
              <w:rPr>
                <w:rFonts w:cs="Calibri"/>
                <w:highlight w:val="none"/>
              </w:rPr>
            </w:pPr>
          </w:p>
        </w:tc>
        <w:tc>
          <w:tcPr>
            <w:tcW w:w="1633" w:type="dxa"/>
            <w:vAlign w:val="center"/>
          </w:tcPr>
          <w:p>
            <w:pPr>
              <w:rPr>
                <w:rFonts w:cs="Calibri"/>
                <w:highlight w:val="none"/>
              </w:rPr>
            </w:pPr>
          </w:p>
        </w:tc>
        <w:tc>
          <w:tcPr>
            <w:tcW w:w="738" w:type="dxa"/>
            <w:vAlign w:val="center"/>
          </w:tcPr>
          <w:p>
            <w:pPr>
              <w:rPr>
                <w:rFonts w:cs="Calibri"/>
                <w:highlight w:val="none"/>
              </w:rPr>
            </w:pPr>
          </w:p>
        </w:tc>
        <w:tc>
          <w:tcPr>
            <w:tcW w:w="754" w:type="dxa"/>
            <w:vAlign w:val="center"/>
          </w:tcPr>
          <w:p>
            <w:pPr>
              <w:rPr>
                <w:rFonts w:cs="Calibri"/>
                <w:highlight w:val="none"/>
              </w:rPr>
            </w:pPr>
          </w:p>
        </w:tc>
        <w:tc>
          <w:tcPr>
            <w:tcW w:w="1221" w:type="dxa"/>
            <w:vAlign w:val="center"/>
          </w:tcPr>
          <w:p>
            <w:pPr>
              <w:rPr>
                <w:rFonts w:cs="Calibri"/>
                <w:highlight w:val="none"/>
              </w:rPr>
            </w:pPr>
          </w:p>
        </w:tc>
        <w:tc>
          <w:tcPr>
            <w:tcW w:w="1191" w:type="dxa"/>
          </w:tcPr>
          <w:p>
            <w:pPr>
              <w:rPr>
                <w:rFonts w:cs="Calibri"/>
                <w:highlight w:val="none"/>
              </w:rPr>
            </w:pPr>
          </w:p>
        </w:tc>
        <w:tc>
          <w:tcPr>
            <w:tcW w:w="1258" w:type="dxa"/>
            <w:vAlign w:val="center"/>
          </w:tcPr>
          <w:p>
            <w:pPr>
              <w:rPr>
                <w:rFonts w:cs="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pPr>
              <w:rPr>
                <w:rFonts w:cs="Calibri"/>
                <w:highlight w:val="none"/>
              </w:rPr>
            </w:pPr>
          </w:p>
        </w:tc>
        <w:tc>
          <w:tcPr>
            <w:tcW w:w="6179" w:type="dxa"/>
            <w:gridSpan w:val="5"/>
            <w:vAlign w:val="center"/>
          </w:tcPr>
          <w:p>
            <w:pPr>
              <w:rPr>
                <w:rFonts w:cs="Calibri"/>
                <w:highlight w:val="none"/>
              </w:rPr>
            </w:pPr>
            <w:r>
              <w:rPr>
                <w:rFonts w:cs="Calibri"/>
                <w:highlight w:val="none"/>
              </w:rPr>
              <w:t>合计（以上费用之和）</w:t>
            </w:r>
          </w:p>
        </w:tc>
        <w:tc>
          <w:tcPr>
            <w:tcW w:w="1191" w:type="dxa"/>
          </w:tcPr>
          <w:p>
            <w:pPr>
              <w:rPr>
                <w:rFonts w:cs="Calibri"/>
                <w:highlight w:val="none"/>
              </w:rPr>
            </w:pPr>
          </w:p>
        </w:tc>
        <w:tc>
          <w:tcPr>
            <w:tcW w:w="1258" w:type="dxa"/>
            <w:vAlign w:val="center"/>
          </w:tcPr>
          <w:p>
            <w:pPr>
              <w:rPr>
                <w:rFonts w:cs="Calibri"/>
                <w:highlight w:val="none"/>
              </w:rPr>
            </w:pPr>
          </w:p>
        </w:tc>
      </w:tr>
    </w:tbl>
    <w:p>
      <w:pPr>
        <w:pStyle w:val="26"/>
        <w:adjustRightInd w:val="0"/>
        <w:ind w:firstLine="480"/>
        <w:rPr>
          <w:rFonts w:ascii="Calibri" w:hAnsi="Calibri" w:cs="Calibri"/>
          <w:highlight w:val="none"/>
        </w:rPr>
      </w:pPr>
    </w:p>
    <w:p>
      <w:pPr>
        <w:ind w:firstLine="420" w:firstLineChars="200"/>
        <w:rPr>
          <w:rFonts w:cs="Calibri"/>
          <w:highlight w:val="none"/>
        </w:rPr>
      </w:pPr>
      <w:r>
        <w:rPr>
          <w:rFonts w:cs="Calibri"/>
          <w:highlight w:val="none"/>
        </w:rPr>
        <w:t>供应商全称：（盖单位公章）</w:t>
      </w:r>
    </w:p>
    <w:p>
      <w:pPr>
        <w:ind w:firstLine="420" w:firstLineChars="200"/>
        <w:rPr>
          <w:rFonts w:cs="Calibri"/>
          <w:highlight w:val="none"/>
        </w:rPr>
      </w:pPr>
      <w:r>
        <w:rPr>
          <w:rFonts w:cs="Calibri"/>
          <w:highlight w:val="none"/>
        </w:rPr>
        <w:t>日期：年月日</w:t>
      </w:r>
    </w:p>
    <w:p>
      <w:pPr>
        <w:ind w:firstLine="420" w:firstLineChars="200"/>
        <w:rPr>
          <w:rFonts w:cs="Calibri"/>
          <w:highlight w:val="none"/>
        </w:rPr>
      </w:pPr>
    </w:p>
    <w:p>
      <w:pPr>
        <w:ind w:firstLine="420" w:firstLineChars="200"/>
        <w:rPr>
          <w:rFonts w:ascii="宋体" w:hAnsi="宋体" w:cs="宋体"/>
          <w:highlight w:val="none"/>
        </w:rPr>
      </w:pPr>
      <w:r>
        <w:rPr>
          <w:rFonts w:hint="eastAsia" w:ascii="宋体" w:hAnsi="宋体" w:cs="宋体"/>
          <w:highlight w:val="none"/>
        </w:rPr>
        <w:t>报价说明：</w:t>
      </w:r>
    </w:p>
    <w:p>
      <w:pPr>
        <w:ind w:firstLine="420" w:firstLineChars="200"/>
        <w:rPr>
          <w:rFonts w:ascii="宋体" w:hAnsi="宋体" w:cs="宋体"/>
          <w:highlight w:val="none"/>
        </w:rPr>
      </w:pPr>
      <w:r>
        <w:rPr>
          <w:rFonts w:hint="eastAsia" w:ascii="宋体" w:hAnsi="宋体" w:cs="宋体"/>
          <w:highlight w:val="none"/>
        </w:rPr>
        <w:t>（1）除甲方提供采购文件约定的内容外，其他均由乙方完成。</w:t>
      </w:r>
    </w:p>
    <w:p>
      <w:pPr>
        <w:ind w:firstLine="420" w:firstLineChars="200"/>
        <w:rPr>
          <w:rFonts w:ascii="宋体" w:hAnsi="宋体" w:cs="宋体"/>
          <w:highlight w:val="none"/>
        </w:rPr>
      </w:pPr>
      <w:r>
        <w:rPr>
          <w:rFonts w:hint="eastAsia" w:ascii="宋体" w:hAnsi="宋体" w:cs="宋体"/>
          <w:highlight w:val="none"/>
        </w:rPr>
        <w:t>（2）服务、工程所使用的设备按设备使用费计入。</w:t>
      </w:r>
    </w:p>
    <w:p>
      <w:pPr>
        <w:ind w:firstLine="420" w:firstLineChars="200"/>
        <w:rPr>
          <w:rFonts w:ascii="宋体" w:hAnsi="宋体" w:cs="宋体"/>
          <w:highlight w:val="none"/>
        </w:rPr>
      </w:pPr>
      <w:r>
        <w:rPr>
          <w:rFonts w:hint="eastAsia" w:ascii="宋体" w:hAnsi="宋体" w:cs="宋体"/>
          <w:highlight w:val="none"/>
        </w:rPr>
        <w:t>（3）合计费用结转至初次报价一览表。</w:t>
      </w:r>
    </w:p>
    <w:p>
      <w:pPr>
        <w:ind w:firstLine="420" w:firstLineChars="200"/>
        <w:rPr>
          <w:rFonts w:ascii="宋体" w:hAnsi="宋体" w:cs="宋体"/>
          <w:highlight w:val="none"/>
        </w:rPr>
      </w:pPr>
      <w:r>
        <w:rPr>
          <w:rFonts w:hint="eastAsia" w:ascii="宋体" w:hAnsi="宋体" w:cs="宋体"/>
          <w:highlight w:val="none"/>
        </w:rPr>
        <w:t>（4）表中不得有给予采购人的赠品、回扣或者与本项目采购无关的其他商品、服务。</w:t>
      </w:r>
    </w:p>
    <w:p>
      <w:pPr>
        <w:ind w:firstLine="420" w:firstLineChars="200"/>
        <w:rPr>
          <w:rFonts w:ascii="宋体" w:hAnsi="宋体" w:cs="宋体"/>
          <w:highlight w:val="none"/>
        </w:rPr>
      </w:pPr>
      <w:r>
        <w:rPr>
          <w:rFonts w:hint="eastAsia" w:ascii="宋体" w:hAnsi="宋体" w:cs="宋体"/>
          <w:highlight w:val="none"/>
        </w:rPr>
        <w:t>（5）各分项报价应合理，且不应低于成本。</w:t>
      </w:r>
    </w:p>
    <w:p>
      <w:pPr>
        <w:ind w:firstLine="420" w:firstLineChars="200"/>
        <w:rPr>
          <w:rFonts w:ascii="宋体" w:hAnsi="宋体" w:cs="宋体"/>
          <w:highlight w:val="none"/>
        </w:rPr>
      </w:pPr>
      <w:r>
        <w:rPr>
          <w:rFonts w:hint="eastAsia" w:ascii="宋体" w:hAnsi="宋体" w:cs="宋体"/>
          <w:highlight w:val="none"/>
        </w:rPr>
        <w:t>（6）根据联合协议、分包意向协议内容，在备注栏填写承接主体。如供应商非联合体或不分包，不用填写。</w:t>
      </w:r>
    </w:p>
    <w:p>
      <w:pPr>
        <w:pStyle w:val="8"/>
        <w:ind w:firstLine="422"/>
        <w:rPr>
          <w:rFonts w:cs="Calibri"/>
          <w:bCs/>
          <w:sz w:val="24"/>
          <w:highlight w:val="none"/>
        </w:rPr>
      </w:pPr>
      <w:r>
        <w:rPr>
          <w:rFonts w:cs="Calibri"/>
          <w:highlight w:val="none"/>
        </w:rPr>
        <w:br w:type="page"/>
      </w:r>
    </w:p>
    <w:p>
      <w:pPr>
        <w:jc w:val="center"/>
        <w:rPr>
          <w:rFonts w:cs="Calibri"/>
          <w:b/>
          <w:bCs/>
          <w:sz w:val="28"/>
          <w:szCs w:val="28"/>
          <w:highlight w:val="none"/>
        </w:rPr>
      </w:pPr>
      <w:r>
        <w:rPr>
          <w:rFonts w:cs="Calibri"/>
          <w:b/>
          <w:bCs/>
          <w:sz w:val="28"/>
          <w:szCs w:val="28"/>
          <w:highlight w:val="none"/>
        </w:rPr>
        <w:t>交纳采购代理服务费承诺书</w:t>
      </w:r>
    </w:p>
    <w:p>
      <w:pPr>
        <w:adjustRightInd w:val="0"/>
        <w:rPr>
          <w:rFonts w:cs="Calibri"/>
          <w:szCs w:val="21"/>
          <w:highlight w:val="none"/>
        </w:rPr>
      </w:pPr>
      <w:r>
        <w:rPr>
          <w:rFonts w:cs="Calibri"/>
          <w:szCs w:val="21"/>
          <w:highlight w:val="none"/>
        </w:rPr>
        <w:t>浙江省成套招标代理有限公司：</w:t>
      </w:r>
    </w:p>
    <w:p>
      <w:pPr>
        <w:adjustRightInd w:val="0"/>
        <w:ind w:firstLine="420" w:firstLineChars="200"/>
        <w:rPr>
          <w:rFonts w:cs="Calibri"/>
          <w:szCs w:val="21"/>
          <w:highlight w:val="none"/>
        </w:rPr>
      </w:pPr>
    </w:p>
    <w:p>
      <w:pPr>
        <w:adjustRightInd w:val="0"/>
        <w:ind w:firstLine="420" w:firstLineChars="200"/>
        <w:rPr>
          <w:rFonts w:cs="Calibri"/>
          <w:szCs w:val="21"/>
          <w:highlight w:val="none"/>
        </w:rPr>
      </w:pPr>
      <w:r>
        <w:rPr>
          <w:rFonts w:cs="Calibri"/>
          <w:szCs w:val="21"/>
          <w:highlight w:val="none"/>
        </w:rPr>
        <w:t>我单位在你公司组织的</w:t>
      </w:r>
      <w:r>
        <w:rPr>
          <w:rFonts w:hint="eastAsia" w:cs="Calibri"/>
          <w:szCs w:val="21"/>
          <w:highlight w:val="none"/>
          <w:u w:val="single"/>
          <w:lang w:eastAsia="zh-CN"/>
        </w:rPr>
        <w:t>湖州市吴兴区商务局</w:t>
      </w:r>
      <w:r>
        <w:rPr>
          <w:rFonts w:cs="Calibri"/>
          <w:szCs w:val="21"/>
          <w:highlight w:val="none"/>
        </w:rPr>
        <w:t>（采购人）</w:t>
      </w:r>
      <w:r>
        <w:rPr>
          <w:rFonts w:hint="eastAsia" w:cs="Calibri"/>
          <w:szCs w:val="21"/>
          <w:highlight w:val="none"/>
          <w:u w:val="single"/>
          <w:lang w:eastAsia="zh-CN"/>
        </w:rPr>
        <w:t>湖州市吴兴区猪肉（冻肉）储备项目</w:t>
      </w:r>
      <w:r>
        <w:rPr>
          <w:rFonts w:cs="Calibri"/>
          <w:szCs w:val="21"/>
          <w:highlight w:val="none"/>
        </w:rPr>
        <w:t>（项目名称）</w:t>
      </w:r>
      <w:r>
        <w:rPr>
          <w:rFonts w:hint="eastAsia" w:cs="Calibri"/>
          <w:szCs w:val="21"/>
          <w:highlight w:val="none"/>
          <w:u w:val="single"/>
          <w:lang w:eastAsia="zh-CN"/>
        </w:rPr>
        <w:t>CTZB-2024040086</w:t>
      </w:r>
      <w:r>
        <w:rPr>
          <w:rFonts w:cs="Calibri"/>
          <w:szCs w:val="21"/>
          <w:highlight w:val="none"/>
        </w:rPr>
        <w:t>（项目编号）</w:t>
      </w:r>
      <w:r>
        <w:rPr>
          <w:rFonts w:hint="eastAsia" w:cs="Calibri"/>
          <w:highlight w:val="none"/>
          <w:u w:val="single"/>
          <w:lang w:eastAsia="zh-CN"/>
        </w:rPr>
        <w:t>湖州市吴兴区猪肉（冻肉）储备项目</w:t>
      </w:r>
      <w:r>
        <w:rPr>
          <w:rFonts w:cs="Calibri"/>
          <w:szCs w:val="21"/>
          <w:highlight w:val="none"/>
        </w:rPr>
        <w:t>（标项名称）的采购中若获成交，我单位保证按文件的规定，向浙江省成套招标代理有限公司支付采购代理服务费。如我单位未按上述承诺支付采购代理服务费</w:t>
      </w:r>
      <w:r>
        <w:rPr>
          <w:rFonts w:hint="eastAsia" w:cs="Calibri"/>
          <w:szCs w:val="21"/>
          <w:highlight w:val="none"/>
        </w:rPr>
        <w:t>，</w:t>
      </w:r>
      <w:r>
        <w:rPr>
          <w:rFonts w:cs="Calibri"/>
          <w:szCs w:val="21"/>
          <w:highlight w:val="none"/>
        </w:rPr>
        <w:t>由此产生的一切法律后果和责任由我单位承担。</w:t>
      </w:r>
    </w:p>
    <w:p>
      <w:pPr>
        <w:adjustRightInd w:val="0"/>
        <w:ind w:firstLine="420" w:firstLineChars="200"/>
        <w:rPr>
          <w:rFonts w:cs="Calibri"/>
          <w:szCs w:val="21"/>
          <w:highlight w:val="none"/>
        </w:rPr>
      </w:pPr>
      <w:r>
        <w:rPr>
          <w:rFonts w:cs="Calibri"/>
          <w:szCs w:val="21"/>
          <w:highlight w:val="none"/>
        </w:rPr>
        <w:t>我单位声明放弃对此提出任何异议和追索的权利。</w:t>
      </w:r>
    </w:p>
    <w:p>
      <w:pPr>
        <w:adjustRightInd w:val="0"/>
        <w:ind w:firstLine="420" w:firstLineChars="200"/>
        <w:rPr>
          <w:rFonts w:cs="Calibri"/>
          <w:szCs w:val="21"/>
          <w:highlight w:val="none"/>
        </w:rPr>
      </w:pPr>
    </w:p>
    <w:p>
      <w:pPr>
        <w:pStyle w:val="26"/>
        <w:adjustRightInd w:val="0"/>
        <w:ind w:firstLine="420" w:firstLineChars="200"/>
        <w:rPr>
          <w:rFonts w:ascii="Calibri" w:hAnsi="Calibri" w:cs="Calibri"/>
          <w:szCs w:val="21"/>
          <w:highlight w:val="none"/>
        </w:rPr>
      </w:pPr>
      <w:r>
        <w:rPr>
          <w:rFonts w:ascii="Calibri" w:hAnsi="Calibri" w:cs="Calibri"/>
          <w:szCs w:val="21"/>
          <w:highlight w:val="none"/>
        </w:rPr>
        <w:t>特此承诺。</w:t>
      </w:r>
    </w:p>
    <w:p>
      <w:pPr>
        <w:adjustRightInd w:val="0"/>
        <w:ind w:firstLine="420" w:firstLineChars="200"/>
        <w:rPr>
          <w:rFonts w:cs="Calibri"/>
          <w:spacing w:val="20"/>
          <w:szCs w:val="21"/>
          <w:highlight w:val="none"/>
          <w:u w:val="single"/>
        </w:rPr>
      </w:pPr>
      <w:r>
        <w:rPr>
          <w:rFonts w:cs="Calibri"/>
          <w:szCs w:val="21"/>
          <w:highlight w:val="none"/>
        </w:rPr>
        <w:t>供应商全称：（盖单位公章）</w:t>
      </w:r>
    </w:p>
    <w:p>
      <w:pPr>
        <w:adjustRightInd w:val="0"/>
        <w:ind w:firstLine="420" w:firstLineChars="200"/>
        <w:rPr>
          <w:rFonts w:cs="Calibri"/>
          <w:szCs w:val="21"/>
          <w:highlight w:val="none"/>
        </w:rPr>
      </w:pPr>
      <w:r>
        <w:rPr>
          <w:rFonts w:cs="Calibri"/>
          <w:szCs w:val="21"/>
          <w:highlight w:val="none"/>
        </w:rPr>
        <w:t>日期：年月日</w:t>
      </w:r>
    </w:p>
    <w:p>
      <w:pPr>
        <w:rPr>
          <w:rFonts w:cs="Calibri"/>
          <w:highlight w:val="none"/>
        </w:rPr>
      </w:pPr>
      <w:r>
        <w:rPr>
          <w:rFonts w:cs="Calibri"/>
          <w:highlight w:val="none"/>
        </w:rPr>
        <w:br w:type="page"/>
      </w:r>
    </w:p>
    <w:p>
      <w:pPr>
        <w:pStyle w:val="26"/>
        <w:adjustRightInd w:val="0"/>
        <w:jc w:val="center"/>
        <w:rPr>
          <w:rFonts w:ascii="Calibri" w:hAnsi="Calibri" w:cs="Calibri"/>
          <w:b/>
          <w:bCs/>
          <w:sz w:val="28"/>
          <w:szCs w:val="28"/>
          <w:highlight w:val="none"/>
        </w:rPr>
      </w:pPr>
      <w:r>
        <w:rPr>
          <w:rFonts w:ascii="Calibri" w:hAnsi="Calibri" w:cs="Calibri"/>
          <w:b/>
          <w:bCs/>
          <w:sz w:val="28"/>
          <w:szCs w:val="28"/>
          <w:highlight w:val="none"/>
        </w:rPr>
        <w:t>政府采购活动现场确认声明书</w:t>
      </w:r>
    </w:p>
    <w:p>
      <w:pPr>
        <w:rPr>
          <w:rFonts w:cs="Calibri"/>
          <w:highlight w:val="none"/>
        </w:rPr>
      </w:pPr>
      <w:r>
        <w:rPr>
          <w:rFonts w:cs="Calibri"/>
          <w:highlight w:val="none"/>
        </w:rPr>
        <w:t>浙江省成套招标代理有限公司：</w:t>
      </w:r>
    </w:p>
    <w:p>
      <w:pPr>
        <w:ind w:firstLine="420" w:firstLineChars="200"/>
        <w:rPr>
          <w:rFonts w:cs="Calibri"/>
          <w:highlight w:val="none"/>
        </w:rPr>
      </w:pPr>
      <w:r>
        <w:rPr>
          <w:rFonts w:cs="Calibri"/>
          <w:highlight w:val="none"/>
        </w:rPr>
        <w:t>本人经由单位法定代表人合法授权参加</w:t>
      </w:r>
      <w:r>
        <w:rPr>
          <w:rFonts w:hint="eastAsia" w:cs="Calibri"/>
          <w:highlight w:val="none"/>
          <w:u w:val="single"/>
          <w:lang w:eastAsia="zh-CN"/>
        </w:rPr>
        <w:t>湖州市吴兴区商务局</w:t>
      </w:r>
      <w:r>
        <w:rPr>
          <w:rFonts w:cs="Calibri"/>
          <w:highlight w:val="none"/>
        </w:rPr>
        <w:t>（采购人）</w:t>
      </w:r>
      <w:r>
        <w:rPr>
          <w:rFonts w:hint="eastAsia" w:cs="Calibri"/>
          <w:highlight w:val="none"/>
          <w:u w:val="single"/>
          <w:lang w:eastAsia="zh-CN"/>
        </w:rPr>
        <w:t>湖州市吴兴区猪肉（冻肉）储备项目</w:t>
      </w:r>
      <w:r>
        <w:rPr>
          <w:rFonts w:cs="Calibri"/>
          <w:highlight w:val="none"/>
        </w:rPr>
        <w:t>（项目名称）</w:t>
      </w:r>
      <w:r>
        <w:rPr>
          <w:rFonts w:hint="eastAsia" w:cs="Calibri"/>
          <w:szCs w:val="21"/>
          <w:highlight w:val="none"/>
          <w:u w:val="single"/>
          <w:lang w:eastAsia="zh-CN"/>
        </w:rPr>
        <w:t>CTZB-2024040086</w:t>
      </w:r>
      <w:r>
        <w:rPr>
          <w:rFonts w:cs="Calibri"/>
          <w:highlight w:val="none"/>
        </w:rPr>
        <w:t>（项目编号）</w:t>
      </w:r>
      <w:r>
        <w:rPr>
          <w:rFonts w:hint="eastAsia" w:cs="Calibri"/>
          <w:highlight w:val="none"/>
          <w:u w:val="single"/>
          <w:lang w:eastAsia="zh-CN"/>
        </w:rPr>
        <w:t>湖州市吴兴区猪肉（冻肉）储备项目</w:t>
      </w:r>
      <w:r>
        <w:rPr>
          <w:rFonts w:cs="Calibri"/>
          <w:szCs w:val="21"/>
          <w:highlight w:val="none"/>
        </w:rPr>
        <w:t>（标项名称）</w:t>
      </w:r>
      <w:r>
        <w:rPr>
          <w:rFonts w:cs="Calibri"/>
          <w:highlight w:val="none"/>
        </w:rPr>
        <w:t>政府采购活动，经与本单位法人代表人联系确认，现就有关公平竞争事项郑重声明如下：</w:t>
      </w:r>
    </w:p>
    <w:p>
      <w:pPr>
        <w:ind w:firstLine="420" w:firstLineChars="200"/>
        <w:rPr>
          <w:rFonts w:cs="Calibri"/>
          <w:highlight w:val="none"/>
        </w:rPr>
      </w:pPr>
      <w:r>
        <w:rPr>
          <w:rFonts w:cs="Calibri"/>
          <w:highlight w:val="none"/>
        </w:rPr>
        <w:t>一、本单位与采购人之间</w:t>
      </w:r>
      <w:r>
        <w:rPr>
          <w:rFonts w:cs="Calibri"/>
          <w:kern w:val="0"/>
          <w:szCs w:val="21"/>
          <w:highlight w:val="none"/>
        </w:rPr>
        <w:sym w:font="Wingdings 2" w:char="00A3"/>
      </w:r>
      <w:r>
        <w:rPr>
          <w:rFonts w:cs="Calibri"/>
          <w:highlight w:val="none"/>
        </w:rPr>
        <w:t>不存在利害关系</w:t>
      </w:r>
      <w:r>
        <w:rPr>
          <w:rFonts w:cs="Calibri"/>
          <w:kern w:val="0"/>
          <w:szCs w:val="21"/>
          <w:highlight w:val="none"/>
        </w:rPr>
        <w:sym w:font="Wingdings 2" w:char="00A3"/>
      </w:r>
      <w:r>
        <w:rPr>
          <w:rFonts w:cs="Calibri"/>
          <w:highlight w:val="none"/>
        </w:rPr>
        <w:t>存在下列利害关系【】：</w:t>
      </w:r>
    </w:p>
    <w:p>
      <w:pPr>
        <w:ind w:firstLine="420" w:firstLineChars="200"/>
        <w:rPr>
          <w:rFonts w:cs="Calibri"/>
          <w:highlight w:val="none"/>
        </w:rPr>
      </w:pPr>
      <w:r>
        <w:rPr>
          <w:rFonts w:cs="Calibri"/>
          <w:highlight w:val="none"/>
        </w:rPr>
        <w:t>A.投资关系    B.行政隶属关系    C.业务指导关系</w:t>
      </w:r>
    </w:p>
    <w:p>
      <w:pPr>
        <w:ind w:firstLine="420" w:firstLineChars="200"/>
        <w:rPr>
          <w:rFonts w:cs="Calibri"/>
          <w:highlight w:val="none"/>
        </w:rPr>
      </w:pPr>
      <w:r>
        <w:rPr>
          <w:rFonts w:cs="Calibri"/>
          <w:highlight w:val="none"/>
        </w:rPr>
        <w:t>D.其他可能影响采购公正的利害关系（如有，请如实说明）【】。</w:t>
      </w:r>
    </w:p>
    <w:p>
      <w:pPr>
        <w:ind w:firstLine="420" w:firstLineChars="200"/>
        <w:rPr>
          <w:rFonts w:cs="Calibri"/>
          <w:highlight w:val="none"/>
        </w:rPr>
      </w:pPr>
      <w:r>
        <w:rPr>
          <w:rFonts w:cs="Calibri"/>
          <w:highlight w:val="none"/>
        </w:rPr>
        <w:t>二、现已清楚知道参加本项目采购活动的其他所有供应商名称，本单位</w:t>
      </w:r>
      <w:r>
        <w:rPr>
          <w:rFonts w:cs="Calibri"/>
          <w:kern w:val="0"/>
          <w:szCs w:val="21"/>
          <w:highlight w:val="none"/>
        </w:rPr>
        <w:sym w:font="Wingdings 2" w:char="00A3"/>
      </w:r>
      <w:r>
        <w:rPr>
          <w:rFonts w:cs="Calibri"/>
          <w:highlight w:val="none"/>
        </w:rPr>
        <w:t>与其他所有供应商之间均不存在利害关系</w:t>
      </w:r>
      <w:r>
        <w:rPr>
          <w:rFonts w:cs="Calibri"/>
          <w:kern w:val="0"/>
          <w:szCs w:val="21"/>
          <w:highlight w:val="none"/>
        </w:rPr>
        <w:sym w:font="Wingdings 2" w:char="00A3"/>
      </w:r>
      <w:r>
        <w:rPr>
          <w:rFonts w:cs="Calibri"/>
          <w:highlight w:val="none"/>
        </w:rPr>
        <w:t>与【】（供应商名称）之间存在下列利害关系【】：</w:t>
      </w:r>
    </w:p>
    <w:p>
      <w:pPr>
        <w:ind w:firstLine="420" w:firstLineChars="200"/>
        <w:rPr>
          <w:rFonts w:cs="Calibri"/>
          <w:highlight w:val="none"/>
        </w:rPr>
      </w:pPr>
      <w:r>
        <w:rPr>
          <w:rFonts w:cs="Calibri"/>
          <w:highlight w:val="none"/>
        </w:rPr>
        <w:t>A.法定代表人或负责人或实际控制人是同一人</w:t>
      </w:r>
    </w:p>
    <w:p>
      <w:pPr>
        <w:ind w:firstLine="420" w:firstLineChars="200"/>
        <w:rPr>
          <w:rFonts w:cs="Calibri"/>
          <w:highlight w:val="none"/>
        </w:rPr>
      </w:pPr>
      <w:r>
        <w:rPr>
          <w:rFonts w:cs="Calibri"/>
          <w:highlight w:val="none"/>
        </w:rPr>
        <w:t>B.法定代表人或负责人或实际控制人是夫妻关系</w:t>
      </w:r>
    </w:p>
    <w:p>
      <w:pPr>
        <w:ind w:firstLine="420" w:firstLineChars="200"/>
        <w:rPr>
          <w:rFonts w:cs="Calibri"/>
          <w:highlight w:val="none"/>
        </w:rPr>
      </w:pPr>
      <w:r>
        <w:rPr>
          <w:rFonts w:cs="Calibri"/>
          <w:highlight w:val="none"/>
        </w:rPr>
        <w:t>C.法定代表人或负责人或实际控制人是直系血亲关系</w:t>
      </w:r>
    </w:p>
    <w:p>
      <w:pPr>
        <w:ind w:firstLine="420" w:firstLineChars="200"/>
        <w:rPr>
          <w:rFonts w:cs="Calibri"/>
          <w:highlight w:val="none"/>
        </w:rPr>
      </w:pPr>
      <w:r>
        <w:rPr>
          <w:rFonts w:cs="Calibri"/>
          <w:highlight w:val="none"/>
        </w:rPr>
        <w:t>D.法定代表人或负责人或实际控制人存在三代以内旁系血亲关系</w:t>
      </w:r>
    </w:p>
    <w:p>
      <w:pPr>
        <w:ind w:firstLine="420" w:firstLineChars="200"/>
        <w:rPr>
          <w:rFonts w:cs="Calibri"/>
          <w:highlight w:val="none"/>
        </w:rPr>
      </w:pPr>
      <w:r>
        <w:rPr>
          <w:rFonts w:cs="Calibri"/>
          <w:highlight w:val="none"/>
        </w:rPr>
        <w:t>E.法定代表人或负责人或实际控制人存在近姻亲关系</w:t>
      </w:r>
    </w:p>
    <w:p>
      <w:pPr>
        <w:ind w:firstLine="420" w:firstLineChars="200"/>
        <w:rPr>
          <w:rFonts w:cs="Calibri"/>
          <w:highlight w:val="none"/>
        </w:rPr>
      </w:pPr>
      <w:r>
        <w:rPr>
          <w:rFonts w:cs="Calibri"/>
          <w:highlight w:val="none"/>
        </w:rPr>
        <w:t>F.法定代表人或负责人或实际控制人存在股份控制或实际控制关系</w:t>
      </w:r>
    </w:p>
    <w:p>
      <w:pPr>
        <w:ind w:firstLine="420" w:firstLineChars="200"/>
        <w:rPr>
          <w:rFonts w:cs="Calibri"/>
          <w:highlight w:val="none"/>
        </w:rPr>
      </w:pPr>
      <w:r>
        <w:rPr>
          <w:rFonts w:cs="Calibri"/>
          <w:highlight w:val="none"/>
        </w:rPr>
        <w:t>G.存在共同直接或间接投资设立子公司、联营企业和合营企业情况</w:t>
      </w:r>
    </w:p>
    <w:p>
      <w:pPr>
        <w:ind w:firstLine="420" w:firstLineChars="200"/>
        <w:rPr>
          <w:rFonts w:cs="Calibri"/>
          <w:highlight w:val="none"/>
        </w:rPr>
      </w:pPr>
      <w:r>
        <w:rPr>
          <w:rFonts w:cs="Calibri"/>
          <w:highlight w:val="none"/>
        </w:rPr>
        <w:t>H.存在分级代理或代销关系、同一生产制造商关系、管理关系、重要业务（占主营业务收入50%以上）或重要财务往来关系（如融资）等其他实质性控制关系</w:t>
      </w:r>
    </w:p>
    <w:p>
      <w:pPr>
        <w:ind w:firstLine="420" w:firstLineChars="200"/>
        <w:rPr>
          <w:rFonts w:cs="Calibri"/>
          <w:highlight w:val="none"/>
        </w:rPr>
      </w:pPr>
      <w:r>
        <w:rPr>
          <w:rFonts w:cs="Calibri"/>
          <w:highlight w:val="none"/>
        </w:rPr>
        <w:t>I.其他利害关系情况【】。</w:t>
      </w:r>
    </w:p>
    <w:p>
      <w:pPr>
        <w:ind w:firstLine="420" w:firstLineChars="200"/>
        <w:rPr>
          <w:rFonts w:cs="Calibri"/>
          <w:highlight w:val="none"/>
        </w:rPr>
      </w:pPr>
      <w:r>
        <w:rPr>
          <w:rFonts w:cs="Calibri"/>
          <w:highlight w:val="none"/>
        </w:rPr>
        <w:t>三、现已清楚知道并严格遵守政府采购法律法规和现场纪律。</w:t>
      </w:r>
    </w:p>
    <w:p>
      <w:pPr>
        <w:ind w:firstLine="420" w:firstLineChars="200"/>
        <w:rPr>
          <w:rFonts w:cs="Calibri"/>
          <w:highlight w:val="none"/>
        </w:rPr>
      </w:pPr>
      <w:r>
        <w:rPr>
          <w:rFonts w:cs="Calibri"/>
          <w:highlight w:val="none"/>
        </w:rPr>
        <w:t>四、我发现【】供应商之间存在或可能存在上述第二条第【】项利害关系。</w:t>
      </w:r>
    </w:p>
    <w:p>
      <w:pPr>
        <w:ind w:firstLine="420" w:firstLineChars="200"/>
        <w:rPr>
          <w:rFonts w:cs="Calibri"/>
          <w:highlight w:val="none"/>
        </w:rPr>
      </w:pPr>
    </w:p>
    <w:p>
      <w:pPr>
        <w:adjustRightInd w:val="0"/>
        <w:ind w:firstLine="420" w:firstLineChars="200"/>
        <w:rPr>
          <w:rFonts w:cs="Calibri"/>
          <w:spacing w:val="20"/>
          <w:szCs w:val="21"/>
          <w:highlight w:val="none"/>
          <w:u w:val="single"/>
        </w:rPr>
      </w:pPr>
      <w:r>
        <w:rPr>
          <w:rFonts w:cs="Calibri"/>
          <w:szCs w:val="21"/>
          <w:highlight w:val="none"/>
        </w:rPr>
        <w:t>供应商全称：（盖单位公章）</w:t>
      </w:r>
    </w:p>
    <w:p>
      <w:pPr>
        <w:adjustRightInd w:val="0"/>
        <w:ind w:firstLine="420" w:firstLineChars="200"/>
        <w:rPr>
          <w:rFonts w:cs="Calibri"/>
          <w:szCs w:val="21"/>
          <w:highlight w:val="none"/>
        </w:rPr>
      </w:pPr>
      <w:r>
        <w:rPr>
          <w:rFonts w:cs="Calibri"/>
          <w:szCs w:val="21"/>
          <w:highlight w:val="none"/>
        </w:rPr>
        <w:t>日期：年月日</w:t>
      </w:r>
    </w:p>
    <w:p>
      <w:pPr>
        <w:ind w:firstLine="420" w:firstLineChars="200"/>
        <w:rPr>
          <w:rFonts w:cs="Calibri"/>
          <w:highlight w:val="none"/>
        </w:rPr>
      </w:pPr>
    </w:p>
    <w:p>
      <w:pPr>
        <w:ind w:firstLine="420" w:firstLineChars="200"/>
        <w:rPr>
          <w:rFonts w:cs="Calibri"/>
          <w:highlight w:val="none"/>
        </w:rPr>
      </w:pPr>
      <w:r>
        <w:rPr>
          <w:rFonts w:cs="Calibri"/>
          <w:highlight w:val="none"/>
        </w:rPr>
        <w:t>说明：</w:t>
      </w:r>
    </w:p>
    <w:p>
      <w:pPr>
        <w:ind w:firstLine="420" w:firstLineChars="200"/>
        <w:rPr>
          <w:rFonts w:cs="Calibri"/>
          <w:highlight w:val="none"/>
        </w:rPr>
      </w:pPr>
      <w:r>
        <w:rPr>
          <w:rFonts w:cs="Calibri"/>
          <w:highlight w:val="none"/>
        </w:rPr>
        <w:t>（1）供应商解密响应文件及获知其他供应商信息进行如实声明并盖章，以扫描件形式提交给采购代理机构，邮箱：</w:t>
      </w:r>
      <w:r>
        <w:rPr>
          <w:rFonts w:hint="eastAsia" w:cs="Calibri"/>
          <w:highlight w:val="none"/>
        </w:rPr>
        <w:t>1600494179@qq.com</w:t>
      </w:r>
      <w:r>
        <w:rPr>
          <w:rFonts w:cs="Calibri"/>
          <w:highlight w:val="none"/>
        </w:rPr>
        <w:t>。</w:t>
      </w:r>
    </w:p>
    <w:p>
      <w:pPr>
        <w:ind w:firstLine="420" w:firstLineChars="200"/>
        <w:rPr>
          <w:rFonts w:cs="Calibri"/>
          <w:highlight w:val="none"/>
        </w:rPr>
      </w:pPr>
      <w:r>
        <w:rPr>
          <w:rFonts w:cs="Calibri"/>
          <w:highlight w:val="none"/>
        </w:rPr>
        <w:t>（2）此声明书不用编入响应文件中。</w:t>
      </w:r>
    </w:p>
    <w:p>
      <w:pPr>
        <w:rPr>
          <w:rFonts w:cs="Calibri"/>
          <w:highlight w:val="none"/>
        </w:rPr>
      </w:pPr>
    </w:p>
    <w:sectPr>
      <w:headerReference r:id="rId5" w:type="default"/>
      <w:footerReference r:id="rId6" w:type="default"/>
      <w:footerReference r:id="rId7"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ì.">
    <w:altName w:val="宋体"/>
    <w:panose1 w:val="00000000000000000000"/>
    <w:charset w:val="86"/>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MS UI Gothic">
    <w:panose1 w:val="020B0600070205080204"/>
    <w:charset w:val="80"/>
    <w:family w:val="swiss"/>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srt">
    <w:altName w:val="微软雅黑"/>
    <w:panose1 w:val="00000000000000000000"/>
    <w:charset w:val="00"/>
    <w:family w:val="roman"/>
    <w:pitch w:val="default"/>
    <w:sig w:usb0="00000000" w:usb1="00000000" w:usb2="00000000" w:usb3="00000000" w:csb0="00040001" w:csb1="00000000"/>
  </w:font>
  <w:font w:name="??">
    <w:altName w:val="Segoe Print"/>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1769" w:wrap="around" w:vAnchor="text" w:hAnchor="margin" w:xAlign="center" w:y="7"/>
      <w:pBdr>
        <w:top w:val="none" w:color="auto" w:sz="0" w:space="0"/>
      </w:pBdr>
      <w:rPr>
        <w:rStyle w:val="53"/>
      </w:rPr>
    </w:pPr>
    <w:r>
      <w:rPr>
        <w:rStyle w:val="53"/>
        <w:rFonts w:hint="eastAsia"/>
      </w:rPr>
      <w:t>第</w:t>
    </w:r>
    <w:r>
      <w:fldChar w:fldCharType="begin"/>
    </w:r>
    <w:r>
      <w:rPr>
        <w:rStyle w:val="53"/>
      </w:rPr>
      <w:instrText xml:space="preserve">PAGE  </w:instrText>
    </w:r>
    <w:r>
      <w:fldChar w:fldCharType="separate"/>
    </w:r>
    <w:r>
      <w:rPr>
        <w:rStyle w:val="53"/>
      </w:rPr>
      <w:t>11</w:t>
    </w:r>
    <w:r>
      <w:fldChar w:fldCharType="end"/>
    </w:r>
    <w:r>
      <w:rPr>
        <w:rStyle w:val="53"/>
        <w:rFonts w:hint="eastAsia"/>
      </w:rPr>
      <w:t>页，共</w:t>
    </w:r>
    <w:r>
      <w:fldChar w:fldCharType="begin"/>
    </w:r>
    <w:r>
      <w:instrText xml:space="preserve"> NUMPAGES   \* MERGEFORMAT </w:instrText>
    </w:r>
    <w:r>
      <w:fldChar w:fldCharType="separate"/>
    </w:r>
    <w:r>
      <w:rPr>
        <w:lang w:val="zh-CN"/>
      </w:rPr>
      <w:t>43</w:t>
    </w:r>
    <w:r>
      <w:rPr>
        <w:lang w:val="zh-CN"/>
      </w:rPr>
      <w:fldChar w:fldCharType="end"/>
    </w:r>
    <w:r>
      <w:rPr>
        <w:rStyle w:val="53"/>
        <w:rFonts w:hint="eastAsia"/>
      </w:rPr>
      <w:t>页</w:t>
    </w:r>
  </w:p>
  <w:p>
    <w:pPr>
      <w:pStyle w:val="31"/>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3117850</wp:posOffset>
              </wp:positionV>
              <wp:extent cx="9001125" cy="0"/>
              <wp:effectExtent l="0" t="5080" r="0" b="4445"/>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5pt;height:0pt;width:708.75pt;z-index:251659264;mso-width-relative:page;mso-height-relative:page;" filled="f" stroked="t" coordsize="21600,21600" o:gfxdata="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AJ9h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3"/>
      </w:rPr>
    </w:pPr>
    <w:r>
      <w:fldChar w:fldCharType="begin"/>
    </w:r>
    <w:r>
      <w:rPr>
        <w:rStyle w:val="53"/>
      </w:rPr>
      <w:instrText xml:space="preserve">PAGE  </w:instrText>
    </w:r>
    <w:r>
      <w:fldChar w:fldCharType="end"/>
    </w:r>
  </w:p>
  <w:p>
    <w:pPr>
      <w:pStyle w:val="3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cs="Calibri"/>
        <w:sz w:val="16"/>
        <w:szCs w:val="16"/>
      </w:rPr>
    </w:pPr>
    <w:r>
      <w:rPr>
        <w:rFonts w:hint="eastAsia" w:cs="Calibri"/>
        <w:sz w:val="16"/>
        <w:szCs w:val="16"/>
        <w:lang w:eastAsia="zh-CN"/>
      </w:rPr>
      <w:t>湖州市吴兴区猪肉（冻肉）储备项目</w:t>
    </w:r>
    <w:r>
      <w:rPr>
        <w:rFonts w:cs="Calibri"/>
        <w:sz w:val="16"/>
        <w:szCs w:val="16"/>
      </w:rPr>
      <w:t>采购文件（竞争性磋商）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EE2B4"/>
    <w:multiLevelType w:val="singleLevel"/>
    <w:tmpl w:val="ACBEE2B4"/>
    <w:lvl w:ilvl="0" w:tentative="0">
      <w:start w:val="1"/>
      <w:numFmt w:val="decimal"/>
      <w:lvlText w:val="%1."/>
      <w:lvlJc w:val="left"/>
      <w:pPr>
        <w:tabs>
          <w:tab w:val="left" w:pos="312"/>
        </w:tabs>
      </w:pPr>
    </w:lvl>
  </w:abstractNum>
  <w:abstractNum w:abstractNumId="1">
    <w:nsid w:val="C02323CC"/>
    <w:multiLevelType w:val="singleLevel"/>
    <w:tmpl w:val="C02323CC"/>
    <w:lvl w:ilvl="0" w:tentative="0">
      <w:start w:val="3"/>
      <w:numFmt w:val="decimal"/>
      <w:suff w:val="nothing"/>
      <w:lvlText w:val="（%1）"/>
      <w:lvlJc w:val="left"/>
    </w:lvl>
  </w:abstractNum>
  <w:abstractNum w:abstractNumId="2">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3">
    <w:nsid w:val="308B45BD"/>
    <w:multiLevelType w:val="singleLevel"/>
    <w:tmpl w:val="308B45BD"/>
    <w:lvl w:ilvl="0" w:tentative="0">
      <w:start w:val="2"/>
      <w:numFmt w:val="decimal"/>
      <w:suff w:val="nothing"/>
      <w:lvlText w:val="（%1）"/>
      <w:lvlJc w:val="left"/>
    </w:lvl>
  </w:abstractNum>
  <w:abstractNum w:abstractNumId="4">
    <w:nsid w:val="4BD8F0C5"/>
    <w:multiLevelType w:val="singleLevel"/>
    <w:tmpl w:val="4BD8F0C5"/>
    <w:lvl w:ilvl="0" w:tentative="0">
      <w:start w:val="1"/>
      <w:numFmt w:val="decimal"/>
      <w:suff w:val="nothing"/>
      <w:lvlText w:val="%1．"/>
      <w:lvlJc w:val="left"/>
      <w:pPr>
        <w:ind w:left="0" w:firstLine="400"/>
      </w:pPr>
      <w:rPr>
        <w:rFonts w:hint="default"/>
      </w:rPr>
    </w:lvl>
  </w:abstractNum>
  <w:abstractNum w:abstractNumId="5">
    <w:nsid w:val="51EC1376"/>
    <w:multiLevelType w:val="multilevel"/>
    <w:tmpl w:val="51EC1376"/>
    <w:lvl w:ilvl="0" w:tentative="0">
      <w:start w:val="1"/>
      <w:numFmt w:val="decimal"/>
      <w:pStyle w:val="111"/>
      <w:lvlText w:val="%1、"/>
      <w:lvlJc w:val="left"/>
      <w:pPr>
        <w:tabs>
          <w:tab w:val="left" w:pos="780"/>
        </w:tabs>
        <w:ind w:left="780" w:hanging="360"/>
      </w:pPr>
      <w:rPr>
        <w:rFonts w:hint="eastAsia"/>
      </w:rPr>
    </w:lvl>
    <w:lvl w:ilvl="1" w:tentative="0">
      <w:start w:val="1"/>
      <w:numFmt w:val="lowerLetter"/>
      <w:lvlText w:val="%2)"/>
      <w:lvlJc w:val="left"/>
      <w:pPr>
        <w:tabs>
          <w:tab w:val="left" w:pos="1283"/>
        </w:tabs>
        <w:ind w:left="1283" w:hanging="420"/>
      </w:pPr>
    </w:lvl>
    <w:lvl w:ilvl="2" w:tentative="0">
      <w:start w:val="1"/>
      <w:numFmt w:val="lowerRoman"/>
      <w:lvlText w:val="%3."/>
      <w:lvlJc w:val="right"/>
      <w:pPr>
        <w:tabs>
          <w:tab w:val="left" w:pos="1703"/>
        </w:tabs>
        <w:ind w:left="1703" w:hanging="420"/>
      </w:pPr>
    </w:lvl>
    <w:lvl w:ilvl="3" w:tentative="0">
      <w:start w:val="1"/>
      <w:numFmt w:val="decimal"/>
      <w:lvlText w:val="%4."/>
      <w:lvlJc w:val="left"/>
      <w:pPr>
        <w:tabs>
          <w:tab w:val="left" w:pos="2123"/>
        </w:tabs>
        <w:ind w:left="2123" w:hanging="420"/>
      </w:pPr>
    </w:lvl>
    <w:lvl w:ilvl="4" w:tentative="0">
      <w:start w:val="1"/>
      <w:numFmt w:val="lowerLetter"/>
      <w:lvlText w:val="%5)"/>
      <w:lvlJc w:val="left"/>
      <w:pPr>
        <w:tabs>
          <w:tab w:val="left" w:pos="2543"/>
        </w:tabs>
        <w:ind w:left="2543" w:hanging="420"/>
      </w:pPr>
    </w:lvl>
    <w:lvl w:ilvl="5" w:tentative="0">
      <w:start w:val="1"/>
      <w:numFmt w:val="lowerRoman"/>
      <w:lvlText w:val="%6."/>
      <w:lvlJc w:val="right"/>
      <w:pPr>
        <w:tabs>
          <w:tab w:val="left" w:pos="2963"/>
        </w:tabs>
        <w:ind w:left="2963" w:hanging="420"/>
      </w:pPr>
    </w:lvl>
    <w:lvl w:ilvl="6" w:tentative="0">
      <w:start w:val="1"/>
      <w:numFmt w:val="decimal"/>
      <w:lvlText w:val="%7."/>
      <w:lvlJc w:val="left"/>
      <w:pPr>
        <w:tabs>
          <w:tab w:val="left" w:pos="3383"/>
        </w:tabs>
        <w:ind w:left="3383" w:hanging="420"/>
      </w:pPr>
    </w:lvl>
    <w:lvl w:ilvl="7" w:tentative="0">
      <w:start w:val="1"/>
      <w:numFmt w:val="lowerLetter"/>
      <w:lvlText w:val="%8)"/>
      <w:lvlJc w:val="left"/>
      <w:pPr>
        <w:tabs>
          <w:tab w:val="left" w:pos="3803"/>
        </w:tabs>
        <w:ind w:left="3803" w:hanging="420"/>
      </w:pPr>
    </w:lvl>
    <w:lvl w:ilvl="8" w:tentative="0">
      <w:start w:val="1"/>
      <w:numFmt w:val="lowerRoman"/>
      <w:lvlText w:val="%9."/>
      <w:lvlJc w:val="right"/>
      <w:pPr>
        <w:tabs>
          <w:tab w:val="left" w:pos="4223"/>
        </w:tabs>
        <w:ind w:left="4223" w:hanging="420"/>
      </w:pPr>
    </w:lvl>
  </w:abstractNum>
  <w:abstractNum w:abstractNumId="6">
    <w:nsid w:val="64E749FC"/>
    <w:multiLevelType w:val="singleLevel"/>
    <w:tmpl w:val="64E749FC"/>
    <w:lvl w:ilvl="0" w:tentative="0">
      <w:start w:val="1"/>
      <w:numFmt w:val="decimal"/>
      <w:suff w:val="nothing"/>
      <w:lvlText w:val="%1．"/>
      <w:lvlJc w:val="left"/>
      <w:pPr>
        <w:ind w:left="0" w:firstLine="400"/>
      </w:pPr>
      <w:rPr>
        <w:rFonts w:hint="default"/>
      </w:rPr>
    </w:lvl>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91"/>
  <w:drawingGridVerticalSpacing w:val="156"/>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ZWEzMjE4ODU1YzM3NzU5OTIxODFmYTc0MDczNjcifQ=="/>
  </w:docVars>
  <w:rsids>
    <w:rsidRoot w:val="00172A27"/>
    <w:rsid w:val="00001555"/>
    <w:rsid w:val="00002208"/>
    <w:rsid w:val="00003935"/>
    <w:rsid w:val="00004339"/>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0FA5"/>
    <w:rsid w:val="0005426F"/>
    <w:rsid w:val="00054AD5"/>
    <w:rsid w:val="00056CE8"/>
    <w:rsid w:val="00062D81"/>
    <w:rsid w:val="00063B94"/>
    <w:rsid w:val="00065758"/>
    <w:rsid w:val="000675AD"/>
    <w:rsid w:val="0007230D"/>
    <w:rsid w:val="00072E7F"/>
    <w:rsid w:val="000736B8"/>
    <w:rsid w:val="00075C56"/>
    <w:rsid w:val="0007646C"/>
    <w:rsid w:val="00076522"/>
    <w:rsid w:val="00077A7E"/>
    <w:rsid w:val="00081966"/>
    <w:rsid w:val="00083005"/>
    <w:rsid w:val="00084417"/>
    <w:rsid w:val="00091306"/>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D7D26"/>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4D4"/>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100"/>
    <w:rsid w:val="001B6D11"/>
    <w:rsid w:val="001B7171"/>
    <w:rsid w:val="001C198C"/>
    <w:rsid w:val="001C3DAC"/>
    <w:rsid w:val="001C6488"/>
    <w:rsid w:val="001C7ADC"/>
    <w:rsid w:val="001D3D30"/>
    <w:rsid w:val="001D4F44"/>
    <w:rsid w:val="001E12EC"/>
    <w:rsid w:val="001E3B3B"/>
    <w:rsid w:val="001E4342"/>
    <w:rsid w:val="001E4C35"/>
    <w:rsid w:val="001E676A"/>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13AC"/>
    <w:rsid w:val="00232ECC"/>
    <w:rsid w:val="00236135"/>
    <w:rsid w:val="00236F70"/>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5816"/>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57C0"/>
    <w:rsid w:val="00337F26"/>
    <w:rsid w:val="00342D6D"/>
    <w:rsid w:val="00343047"/>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69B6"/>
    <w:rsid w:val="003779F3"/>
    <w:rsid w:val="00381551"/>
    <w:rsid w:val="00384BA8"/>
    <w:rsid w:val="00387764"/>
    <w:rsid w:val="00392C69"/>
    <w:rsid w:val="00393CD8"/>
    <w:rsid w:val="003951B5"/>
    <w:rsid w:val="00395518"/>
    <w:rsid w:val="00395928"/>
    <w:rsid w:val="0039783E"/>
    <w:rsid w:val="003A21EA"/>
    <w:rsid w:val="003A411A"/>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0B6C"/>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7CC"/>
    <w:rsid w:val="00544E1D"/>
    <w:rsid w:val="00545828"/>
    <w:rsid w:val="00545967"/>
    <w:rsid w:val="005463AB"/>
    <w:rsid w:val="005510C1"/>
    <w:rsid w:val="005557D4"/>
    <w:rsid w:val="00556530"/>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A7FDE"/>
    <w:rsid w:val="005B3B03"/>
    <w:rsid w:val="005B3FFC"/>
    <w:rsid w:val="005B4BB7"/>
    <w:rsid w:val="005B67F9"/>
    <w:rsid w:val="005C0CFD"/>
    <w:rsid w:val="005C147B"/>
    <w:rsid w:val="005C39F6"/>
    <w:rsid w:val="005C5390"/>
    <w:rsid w:val="005D1955"/>
    <w:rsid w:val="005D2053"/>
    <w:rsid w:val="005E01A1"/>
    <w:rsid w:val="005E31B1"/>
    <w:rsid w:val="005E51A0"/>
    <w:rsid w:val="005E5F6A"/>
    <w:rsid w:val="005E6E62"/>
    <w:rsid w:val="005E7AD2"/>
    <w:rsid w:val="005F081A"/>
    <w:rsid w:val="005F0F1D"/>
    <w:rsid w:val="005F1FAD"/>
    <w:rsid w:val="005F730C"/>
    <w:rsid w:val="00603818"/>
    <w:rsid w:val="00603EBB"/>
    <w:rsid w:val="00604748"/>
    <w:rsid w:val="0060714D"/>
    <w:rsid w:val="00612BAA"/>
    <w:rsid w:val="00612EB8"/>
    <w:rsid w:val="00623D04"/>
    <w:rsid w:val="00631815"/>
    <w:rsid w:val="00632B9C"/>
    <w:rsid w:val="006351EF"/>
    <w:rsid w:val="00635D9D"/>
    <w:rsid w:val="00637BD0"/>
    <w:rsid w:val="00640F44"/>
    <w:rsid w:val="006416D5"/>
    <w:rsid w:val="00647B7A"/>
    <w:rsid w:val="00652F3D"/>
    <w:rsid w:val="00673036"/>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5E17"/>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037C"/>
    <w:rsid w:val="007C4448"/>
    <w:rsid w:val="007C5ADD"/>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14835"/>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370E"/>
    <w:rsid w:val="00874AF3"/>
    <w:rsid w:val="00875555"/>
    <w:rsid w:val="00876AFF"/>
    <w:rsid w:val="008812D4"/>
    <w:rsid w:val="00893AC6"/>
    <w:rsid w:val="00893FD1"/>
    <w:rsid w:val="0089410A"/>
    <w:rsid w:val="008978A8"/>
    <w:rsid w:val="008A0AEF"/>
    <w:rsid w:val="008A1EB8"/>
    <w:rsid w:val="008A254B"/>
    <w:rsid w:val="008A2F08"/>
    <w:rsid w:val="008A437D"/>
    <w:rsid w:val="008A5413"/>
    <w:rsid w:val="008A63E9"/>
    <w:rsid w:val="008A7424"/>
    <w:rsid w:val="008A749A"/>
    <w:rsid w:val="008B048D"/>
    <w:rsid w:val="008B6734"/>
    <w:rsid w:val="008C060B"/>
    <w:rsid w:val="008C071C"/>
    <w:rsid w:val="008C2208"/>
    <w:rsid w:val="008C39D1"/>
    <w:rsid w:val="008C6E34"/>
    <w:rsid w:val="008D015E"/>
    <w:rsid w:val="008D311C"/>
    <w:rsid w:val="008D3D57"/>
    <w:rsid w:val="008D4FC4"/>
    <w:rsid w:val="008D52AE"/>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1976"/>
    <w:rsid w:val="009243F0"/>
    <w:rsid w:val="00924E6D"/>
    <w:rsid w:val="00925653"/>
    <w:rsid w:val="00933038"/>
    <w:rsid w:val="0093397B"/>
    <w:rsid w:val="00937827"/>
    <w:rsid w:val="00941D1A"/>
    <w:rsid w:val="0094299D"/>
    <w:rsid w:val="00944BF4"/>
    <w:rsid w:val="00945787"/>
    <w:rsid w:val="0094677D"/>
    <w:rsid w:val="00950AC3"/>
    <w:rsid w:val="00953540"/>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5FDC"/>
    <w:rsid w:val="009E70FB"/>
    <w:rsid w:val="009F1E58"/>
    <w:rsid w:val="009F1EFB"/>
    <w:rsid w:val="009F4236"/>
    <w:rsid w:val="009F4E26"/>
    <w:rsid w:val="009F60A5"/>
    <w:rsid w:val="00A01BB3"/>
    <w:rsid w:val="00A0320E"/>
    <w:rsid w:val="00A03CD9"/>
    <w:rsid w:val="00A10176"/>
    <w:rsid w:val="00A11972"/>
    <w:rsid w:val="00A156CB"/>
    <w:rsid w:val="00A15F10"/>
    <w:rsid w:val="00A22C5D"/>
    <w:rsid w:val="00A25196"/>
    <w:rsid w:val="00A31712"/>
    <w:rsid w:val="00A32FFF"/>
    <w:rsid w:val="00A3454A"/>
    <w:rsid w:val="00A34BFB"/>
    <w:rsid w:val="00A35E4B"/>
    <w:rsid w:val="00A3631B"/>
    <w:rsid w:val="00A40976"/>
    <w:rsid w:val="00A434B1"/>
    <w:rsid w:val="00A4362A"/>
    <w:rsid w:val="00A46BAC"/>
    <w:rsid w:val="00A4704B"/>
    <w:rsid w:val="00A50206"/>
    <w:rsid w:val="00A51DE1"/>
    <w:rsid w:val="00A54AB4"/>
    <w:rsid w:val="00A55858"/>
    <w:rsid w:val="00A57281"/>
    <w:rsid w:val="00A63316"/>
    <w:rsid w:val="00A63FF0"/>
    <w:rsid w:val="00A65F83"/>
    <w:rsid w:val="00A661D7"/>
    <w:rsid w:val="00A6652F"/>
    <w:rsid w:val="00A67BBC"/>
    <w:rsid w:val="00A72840"/>
    <w:rsid w:val="00A731AD"/>
    <w:rsid w:val="00A75219"/>
    <w:rsid w:val="00A762B3"/>
    <w:rsid w:val="00A81439"/>
    <w:rsid w:val="00A8592D"/>
    <w:rsid w:val="00A91532"/>
    <w:rsid w:val="00A92284"/>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26676"/>
    <w:rsid w:val="00B32C56"/>
    <w:rsid w:val="00B32DAA"/>
    <w:rsid w:val="00B3554A"/>
    <w:rsid w:val="00B37137"/>
    <w:rsid w:val="00B37EB9"/>
    <w:rsid w:val="00B4067F"/>
    <w:rsid w:val="00B40B1B"/>
    <w:rsid w:val="00B40E4E"/>
    <w:rsid w:val="00B44112"/>
    <w:rsid w:val="00B51934"/>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E147F"/>
    <w:rsid w:val="00BE3C78"/>
    <w:rsid w:val="00BE6DA7"/>
    <w:rsid w:val="00BE7DB7"/>
    <w:rsid w:val="00BF4D64"/>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2FE"/>
    <w:rsid w:val="00CF5856"/>
    <w:rsid w:val="00CF6681"/>
    <w:rsid w:val="00CF675C"/>
    <w:rsid w:val="00D01C1C"/>
    <w:rsid w:val="00D03E5E"/>
    <w:rsid w:val="00D040B1"/>
    <w:rsid w:val="00D0518A"/>
    <w:rsid w:val="00D10DF3"/>
    <w:rsid w:val="00D14274"/>
    <w:rsid w:val="00D21E67"/>
    <w:rsid w:val="00D2405C"/>
    <w:rsid w:val="00D2648A"/>
    <w:rsid w:val="00D26570"/>
    <w:rsid w:val="00D268F3"/>
    <w:rsid w:val="00D27906"/>
    <w:rsid w:val="00D30704"/>
    <w:rsid w:val="00D31980"/>
    <w:rsid w:val="00D32D94"/>
    <w:rsid w:val="00D339F7"/>
    <w:rsid w:val="00D41480"/>
    <w:rsid w:val="00D41AA5"/>
    <w:rsid w:val="00D42DC7"/>
    <w:rsid w:val="00D43F11"/>
    <w:rsid w:val="00D44874"/>
    <w:rsid w:val="00D45D56"/>
    <w:rsid w:val="00D50778"/>
    <w:rsid w:val="00D5388E"/>
    <w:rsid w:val="00D53917"/>
    <w:rsid w:val="00D53FCB"/>
    <w:rsid w:val="00D543C0"/>
    <w:rsid w:val="00D54CA9"/>
    <w:rsid w:val="00D563E6"/>
    <w:rsid w:val="00D6429B"/>
    <w:rsid w:val="00D65008"/>
    <w:rsid w:val="00D67DB2"/>
    <w:rsid w:val="00D706B1"/>
    <w:rsid w:val="00D72422"/>
    <w:rsid w:val="00D72D76"/>
    <w:rsid w:val="00D80104"/>
    <w:rsid w:val="00D82236"/>
    <w:rsid w:val="00D8252B"/>
    <w:rsid w:val="00D84BAD"/>
    <w:rsid w:val="00D84E31"/>
    <w:rsid w:val="00D862C4"/>
    <w:rsid w:val="00D90055"/>
    <w:rsid w:val="00D92794"/>
    <w:rsid w:val="00DA2DF6"/>
    <w:rsid w:val="00DA6264"/>
    <w:rsid w:val="00DB14CC"/>
    <w:rsid w:val="00DC0113"/>
    <w:rsid w:val="00DC0E03"/>
    <w:rsid w:val="00DC12A6"/>
    <w:rsid w:val="00DC2D6C"/>
    <w:rsid w:val="00DC49C1"/>
    <w:rsid w:val="00DC749E"/>
    <w:rsid w:val="00DD062E"/>
    <w:rsid w:val="00DD0C3E"/>
    <w:rsid w:val="00DD126B"/>
    <w:rsid w:val="00DD1C29"/>
    <w:rsid w:val="00DD3872"/>
    <w:rsid w:val="00DE42CF"/>
    <w:rsid w:val="00DF3FBF"/>
    <w:rsid w:val="00DF52AF"/>
    <w:rsid w:val="00DF67F9"/>
    <w:rsid w:val="00DF7745"/>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4D2D"/>
    <w:rsid w:val="00E76F25"/>
    <w:rsid w:val="00E77371"/>
    <w:rsid w:val="00E805CE"/>
    <w:rsid w:val="00E82015"/>
    <w:rsid w:val="00E870C3"/>
    <w:rsid w:val="00E91BFD"/>
    <w:rsid w:val="00E9294C"/>
    <w:rsid w:val="00E97093"/>
    <w:rsid w:val="00E971B9"/>
    <w:rsid w:val="00EA041E"/>
    <w:rsid w:val="00EA1578"/>
    <w:rsid w:val="00EA2C76"/>
    <w:rsid w:val="00EA5DED"/>
    <w:rsid w:val="00EA63F2"/>
    <w:rsid w:val="00EA67FB"/>
    <w:rsid w:val="00EB0FEC"/>
    <w:rsid w:val="00EB4130"/>
    <w:rsid w:val="00EB4662"/>
    <w:rsid w:val="00EC035C"/>
    <w:rsid w:val="00EC0563"/>
    <w:rsid w:val="00EC1932"/>
    <w:rsid w:val="00EC6324"/>
    <w:rsid w:val="00ED2560"/>
    <w:rsid w:val="00ED382F"/>
    <w:rsid w:val="00ED7D54"/>
    <w:rsid w:val="00EE1DDD"/>
    <w:rsid w:val="00EE1EBC"/>
    <w:rsid w:val="00EE3B24"/>
    <w:rsid w:val="00EF04D5"/>
    <w:rsid w:val="00EF376A"/>
    <w:rsid w:val="00EF4E46"/>
    <w:rsid w:val="00EF5988"/>
    <w:rsid w:val="00EF715A"/>
    <w:rsid w:val="00F005F3"/>
    <w:rsid w:val="00F02E7D"/>
    <w:rsid w:val="00F04863"/>
    <w:rsid w:val="00F1094D"/>
    <w:rsid w:val="00F1207C"/>
    <w:rsid w:val="00F1450D"/>
    <w:rsid w:val="00F21940"/>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3971"/>
    <w:rsid w:val="00F75265"/>
    <w:rsid w:val="00F75DF2"/>
    <w:rsid w:val="00F7713D"/>
    <w:rsid w:val="00F77194"/>
    <w:rsid w:val="00F801B1"/>
    <w:rsid w:val="00F82514"/>
    <w:rsid w:val="00F90528"/>
    <w:rsid w:val="00F90B74"/>
    <w:rsid w:val="00F946E2"/>
    <w:rsid w:val="00F962E1"/>
    <w:rsid w:val="00F97094"/>
    <w:rsid w:val="00F973E1"/>
    <w:rsid w:val="00FA527E"/>
    <w:rsid w:val="00FA795A"/>
    <w:rsid w:val="00FB10B3"/>
    <w:rsid w:val="00FB178A"/>
    <w:rsid w:val="00FB3897"/>
    <w:rsid w:val="00FB7654"/>
    <w:rsid w:val="00FB7A63"/>
    <w:rsid w:val="00FC4001"/>
    <w:rsid w:val="00FC4241"/>
    <w:rsid w:val="00FC5FDC"/>
    <w:rsid w:val="00FC782E"/>
    <w:rsid w:val="00FD5C6E"/>
    <w:rsid w:val="00FD68F5"/>
    <w:rsid w:val="00FD7D97"/>
    <w:rsid w:val="00FE53DF"/>
    <w:rsid w:val="00FE562C"/>
    <w:rsid w:val="00FF46BC"/>
    <w:rsid w:val="00FF4D2D"/>
    <w:rsid w:val="00FF51F3"/>
    <w:rsid w:val="00FF6D17"/>
    <w:rsid w:val="0103445E"/>
    <w:rsid w:val="01120479"/>
    <w:rsid w:val="01334FF4"/>
    <w:rsid w:val="013E13E7"/>
    <w:rsid w:val="01486D7F"/>
    <w:rsid w:val="01837DFC"/>
    <w:rsid w:val="01985C4C"/>
    <w:rsid w:val="01BE78D4"/>
    <w:rsid w:val="01C173E4"/>
    <w:rsid w:val="01F22DC1"/>
    <w:rsid w:val="01F82DAD"/>
    <w:rsid w:val="01FB398A"/>
    <w:rsid w:val="02016F64"/>
    <w:rsid w:val="020A63E2"/>
    <w:rsid w:val="0222150B"/>
    <w:rsid w:val="022D2F02"/>
    <w:rsid w:val="024F477C"/>
    <w:rsid w:val="02965E45"/>
    <w:rsid w:val="02D51E20"/>
    <w:rsid w:val="02E025B6"/>
    <w:rsid w:val="02E113B7"/>
    <w:rsid w:val="02ED0332"/>
    <w:rsid w:val="030E3568"/>
    <w:rsid w:val="03182DCD"/>
    <w:rsid w:val="032468C6"/>
    <w:rsid w:val="032D79CA"/>
    <w:rsid w:val="033A4330"/>
    <w:rsid w:val="033D192D"/>
    <w:rsid w:val="033D2FD3"/>
    <w:rsid w:val="03542F2B"/>
    <w:rsid w:val="035B193B"/>
    <w:rsid w:val="039D7FC0"/>
    <w:rsid w:val="03AA4690"/>
    <w:rsid w:val="03BC36B1"/>
    <w:rsid w:val="03DC2541"/>
    <w:rsid w:val="03EB12EC"/>
    <w:rsid w:val="042637E4"/>
    <w:rsid w:val="044404A4"/>
    <w:rsid w:val="04582F43"/>
    <w:rsid w:val="046C21D0"/>
    <w:rsid w:val="04BE315F"/>
    <w:rsid w:val="04C169E7"/>
    <w:rsid w:val="04CD00BB"/>
    <w:rsid w:val="04D63A8A"/>
    <w:rsid w:val="04E61F8D"/>
    <w:rsid w:val="04F24DB2"/>
    <w:rsid w:val="04F353B0"/>
    <w:rsid w:val="0523174C"/>
    <w:rsid w:val="05284B01"/>
    <w:rsid w:val="0528662C"/>
    <w:rsid w:val="05442AF4"/>
    <w:rsid w:val="057C5175"/>
    <w:rsid w:val="059A2095"/>
    <w:rsid w:val="05AA7904"/>
    <w:rsid w:val="05CB3FE6"/>
    <w:rsid w:val="05DE77EA"/>
    <w:rsid w:val="060D6AAF"/>
    <w:rsid w:val="060F3CF8"/>
    <w:rsid w:val="0622018E"/>
    <w:rsid w:val="06494C8A"/>
    <w:rsid w:val="06497AC1"/>
    <w:rsid w:val="066B76FB"/>
    <w:rsid w:val="06880704"/>
    <w:rsid w:val="06A42F11"/>
    <w:rsid w:val="06A65263"/>
    <w:rsid w:val="06A87B60"/>
    <w:rsid w:val="06BC7C85"/>
    <w:rsid w:val="06D46291"/>
    <w:rsid w:val="06EF5C85"/>
    <w:rsid w:val="06F10509"/>
    <w:rsid w:val="06F3065B"/>
    <w:rsid w:val="06F63906"/>
    <w:rsid w:val="0704440F"/>
    <w:rsid w:val="077B0015"/>
    <w:rsid w:val="07B30615"/>
    <w:rsid w:val="07B60D24"/>
    <w:rsid w:val="07D16D13"/>
    <w:rsid w:val="07E81710"/>
    <w:rsid w:val="07EA6F1B"/>
    <w:rsid w:val="08175E57"/>
    <w:rsid w:val="081956D6"/>
    <w:rsid w:val="082B34DD"/>
    <w:rsid w:val="08326A59"/>
    <w:rsid w:val="085B49C4"/>
    <w:rsid w:val="086728B2"/>
    <w:rsid w:val="0899481A"/>
    <w:rsid w:val="08AB7DD3"/>
    <w:rsid w:val="08BE0C90"/>
    <w:rsid w:val="08C933B6"/>
    <w:rsid w:val="08CF3F9D"/>
    <w:rsid w:val="08D31323"/>
    <w:rsid w:val="08D40463"/>
    <w:rsid w:val="08E9568D"/>
    <w:rsid w:val="08EA24DD"/>
    <w:rsid w:val="08F64D53"/>
    <w:rsid w:val="08F860AB"/>
    <w:rsid w:val="091B708B"/>
    <w:rsid w:val="09335E6F"/>
    <w:rsid w:val="093C6528"/>
    <w:rsid w:val="094758C6"/>
    <w:rsid w:val="095B3DEE"/>
    <w:rsid w:val="09600284"/>
    <w:rsid w:val="096535E0"/>
    <w:rsid w:val="099C6A7F"/>
    <w:rsid w:val="09B50647"/>
    <w:rsid w:val="09CC47B5"/>
    <w:rsid w:val="09F61EEA"/>
    <w:rsid w:val="0A12388E"/>
    <w:rsid w:val="0A196EA2"/>
    <w:rsid w:val="0A2A53B5"/>
    <w:rsid w:val="0A66612B"/>
    <w:rsid w:val="0A86332C"/>
    <w:rsid w:val="0ADE3054"/>
    <w:rsid w:val="0B325CE9"/>
    <w:rsid w:val="0B613989"/>
    <w:rsid w:val="0B631646"/>
    <w:rsid w:val="0B7D6714"/>
    <w:rsid w:val="0B836CE6"/>
    <w:rsid w:val="0B8D3FF9"/>
    <w:rsid w:val="0B902857"/>
    <w:rsid w:val="0BB12BE1"/>
    <w:rsid w:val="0BB94150"/>
    <w:rsid w:val="0BD21CE8"/>
    <w:rsid w:val="0C001555"/>
    <w:rsid w:val="0C007C47"/>
    <w:rsid w:val="0C2262FF"/>
    <w:rsid w:val="0C4F43B0"/>
    <w:rsid w:val="0CB247C5"/>
    <w:rsid w:val="0CD77550"/>
    <w:rsid w:val="0CD93960"/>
    <w:rsid w:val="0CF443DD"/>
    <w:rsid w:val="0D062B49"/>
    <w:rsid w:val="0D47443B"/>
    <w:rsid w:val="0D54643C"/>
    <w:rsid w:val="0D9576E6"/>
    <w:rsid w:val="0DA70A34"/>
    <w:rsid w:val="0DAD33DD"/>
    <w:rsid w:val="0DB43079"/>
    <w:rsid w:val="0DC37249"/>
    <w:rsid w:val="0DDB01EB"/>
    <w:rsid w:val="0DF3539D"/>
    <w:rsid w:val="0E02269E"/>
    <w:rsid w:val="0E5928BF"/>
    <w:rsid w:val="0E645043"/>
    <w:rsid w:val="0E9D5E34"/>
    <w:rsid w:val="0EB27F2F"/>
    <w:rsid w:val="0EC732F2"/>
    <w:rsid w:val="0ECC6E3B"/>
    <w:rsid w:val="0F024787"/>
    <w:rsid w:val="0F0F349E"/>
    <w:rsid w:val="0F186266"/>
    <w:rsid w:val="0F38344E"/>
    <w:rsid w:val="0FB40065"/>
    <w:rsid w:val="0FB8100A"/>
    <w:rsid w:val="0FD257E8"/>
    <w:rsid w:val="0FDA7CFF"/>
    <w:rsid w:val="0FF23F06"/>
    <w:rsid w:val="10010654"/>
    <w:rsid w:val="100E7C6E"/>
    <w:rsid w:val="10171F5F"/>
    <w:rsid w:val="10223F85"/>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9083B"/>
    <w:rsid w:val="114D2145"/>
    <w:rsid w:val="1155745A"/>
    <w:rsid w:val="116E580D"/>
    <w:rsid w:val="117229AE"/>
    <w:rsid w:val="1188593E"/>
    <w:rsid w:val="11C534F4"/>
    <w:rsid w:val="11ED44F6"/>
    <w:rsid w:val="11FA7022"/>
    <w:rsid w:val="12225CAA"/>
    <w:rsid w:val="12331108"/>
    <w:rsid w:val="124C7CA7"/>
    <w:rsid w:val="125911CB"/>
    <w:rsid w:val="1268648E"/>
    <w:rsid w:val="12801E21"/>
    <w:rsid w:val="12992652"/>
    <w:rsid w:val="129E6D8E"/>
    <w:rsid w:val="12A60800"/>
    <w:rsid w:val="12CB0B66"/>
    <w:rsid w:val="12DC417E"/>
    <w:rsid w:val="130217AC"/>
    <w:rsid w:val="130376C9"/>
    <w:rsid w:val="1309704D"/>
    <w:rsid w:val="1315075F"/>
    <w:rsid w:val="131F54F1"/>
    <w:rsid w:val="1336059B"/>
    <w:rsid w:val="134802D7"/>
    <w:rsid w:val="134C311B"/>
    <w:rsid w:val="13555691"/>
    <w:rsid w:val="13794918"/>
    <w:rsid w:val="13A47384"/>
    <w:rsid w:val="13A815C6"/>
    <w:rsid w:val="13B162DB"/>
    <w:rsid w:val="13D14E45"/>
    <w:rsid w:val="13E152F9"/>
    <w:rsid w:val="140439C5"/>
    <w:rsid w:val="14210810"/>
    <w:rsid w:val="14243715"/>
    <w:rsid w:val="14556013"/>
    <w:rsid w:val="145701F2"/>
    <w:rsid w:val="149E6C5C"/>
    <w:rsid w:val="14A50D22"/>
    <w:rsid w:val="14CE6D4C"/>
    <w:rsid w:val="14D038EB"/>
    <w:rsid w:val="14D91F1E"/>
    <w:rsid w:val="14EF6400"/>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409B7"/>
    <w:rsid w:val="16342717"/>
    <w:rsid w:val="1644358F"/>
    <w:rsid w:val="164E0A14"/>
    <w:rsid w:val="16520B08"/>
    <w:rsid w:val="166E1806"/>
    <w:rsid w:val="16952663"/>
    <w:rsid w:val="16986B0A"/>
    <w:rsid w:val="16A70E2A"/>
    <w:rsid w:val="16D00BFB"/>
    <w:rsid w:val="17041FCF"/>
    <w:rsid w:val="17072651"/>
    <w:rsid w:val="173468E7"/>
    <w:rsid w:val="173A1021"/>
    <w:rsid w:val="17730733"/>
    <w:rsid w:val="177971A3"/>
    <w:rsid w:val="177C4AD2"/>
    <w:rsid w:val="179363BB"/>
    <w:rsid w:val="17A64122"/>
    <w:rsid w:val="18563E21"/>
    <w:rsid w:val="185B1319"/>
    <w:rsid w:val="1866638A"/>
    <w:rsid w:val="187B7C20"/>
    <w:rsid w:val="18AC086B"/>
    <w:rsid w:val="18BD208E"/>
    <w:rsid w:val="18C518CD"/>
    <w:rsid w:val="18D17796"/>
    <w:rsid w:val="18DE28CC"/>
    <w:rsid w:val="18DE3F6B"/>
    <w:rsid w:val="18FF5A77"/>
    <w:rsid w:val="190E5651"/>
    <w:rsid w:val="192106A5"/>
    <w:rsid w:val="19303ECE"/>
    <w:rsid w:val="19373A71"/>
    <w:rsid w:val="194D4493"/>
    <w:rsid w:val="197665B2"/>
    <w:rsid w:val="197E5D3E"/>
    <w:rsid w:val="199913F8"/>
    <w:rsid w:val="1A3B03DE"/>
    <w:rsid w:val="1A577BAA"/>
    <w:rsid w:val="1A743C4A"/>
    <w:rsid w:val="1A743CA4"/>
    <w:rsid w:val="1A7D0EA2"/>
    <w:rsid w:val="1A7F4313"/>
    <w:rsid w:val="1A8139D1"/>
    <w:rsid w:val="1A867CAD"/>
    <w:rsid w:val="1AB07625"/>
    <w:rsid w:val="1AC65C1F"/>
    <w:rsid w:val="1AE61979"/>
    <w:rsid w:val="1AE66F85"/>
    <w:rsid w:val="1AF03491"/>
    <w:rsid w:val="1AFF16E8"/>
    <w:rsid w:val="1B140699"/>
    <w:rsid w:val="1B670F46"/>
    <w:rsid w:val="1BC518CB"/>
    <w:rsid w:val="1BCD267C"/>
    <w:rsid w:val="1C1D240C"/>
    <w:rsid w:val="1C203990"/>
    <w:rsid w:val="1C4537D7"/>
    <w:rsid w:val="1C4C1751"/>
    <w:rsid w:val="1C4D5007"/>
    <w:rsid w:val="1C771E8E"/>
    <w:rsid w:val="1C833DA6"/>
    <w:rsid w:val="1CA3251C"/>
    <w:rsid w:val="1CAA3065"/>
    <w:rsid w:val="1CDA02F9"/>
    <w:rsid w:val="1CEA1E96"/>
    <w:rsid w:val="1D0646BA"/>
    <w:rsid w:val="1D0B0FCF"/>
    <w:rsid w:val="1D0D3BB9"/>
    <w:rsid w:val="1D25436B"/>
    <w:rsid w:val="1D2E3157"/>
    <w:rsid w:val="1D343D4E"/>
    <w:rsid w:val="1D384069"/>
    <w:rsid w:val="1D4073AC"/>
    <w:rsid w:val="1D586930"/>
    <w:rsid w:val="1D881D7D"/>
    <w:rsid w:val="1D9634DE"/>
    <w:rsid w:val="1D996DB1"/>
    <w:rsid w:val="1D9E434C"/>
    <w:rsid w:val="1DB96EDC"/>
    <w:rsid w:val="1DB97D03"/>
    <w:rsid w:val="1DCF5E36"/>
    <w:rsid w:val="1DE54F9D"/>
    <w:rsid w:val="1E745391"/>
    <w:rsid w:val="1E7A7BD3"/>
    <w:rsid w:val="1EA80644"/>
    <w:rsid w:val="1EC14988"/>
    <w:rsid w:val="1ED7767C"/>
    <w:rsid w:val="1EDF52B6"/>
    <w:rsid w:val="1EEA067A"/>
    <w:rsid w:val="1EF83844"/>
    <w:rsid w:val="1F12160D"/>
    <w:rsid w:val="1F1C6048"/>
    <w:rsid w:val="1F44199E"/>
    <w:rsid w:val="1F5415DF"/>
    <w:rsid w:val="1F7C24D6"/>
    <w:rsid w:val="1F83374D"/>
    <w:rsid w:val="1F8E26CD"/>
    <w:rsid w:val="1F9D53D1"/>
    <w:rsid w:val="1FAA0B28"/>
    <w:rsid w:val="1FBF1726"/>
    <w:rsid w:val="1FCA14B3"/>
    <w:rsid w:val="200A7B30"/>
    <w:rsid w:val="204826B0"/>
    <w:rsid w:val="205D73C6"/>
    <w:rsid w:val="206A2F59"/>
    <w:rsid w:val="207B4CEA"/>
    <w:rsid w:val="209065F4"/>
    <w:rsid w:val="209D7086"/>
    <w:rsid w:val="20AB42AF"/>
    <w:rsid w:val="20D52763"/>
    <w:rsid w:val="20EA57AB"/>
    <w:rsid w:val="21017212"/>
    <w:rsid w:val="211846FE"/>
    <w:rsid w:val="21324BA9"/>
    <w:rsid w:val="21517ACD"/>
    <w:rsid w:val="217454DF"/>
    <w:rsid w:val="217E5682"/>
    <w:rsid w:val="2198281D"/>
    <w:rsid w:val="21C84DEE"/>
    <w:rsid w:val="21F3538F"/>
    <w:rsid w:val="220471B2"/>
    <w:rsid w:val="221B6478"/>
    <w:rsid w:val="22335622"/>
    <w:rsid w:val="22357B8F"/>
    <w:rsid w:val="224520D9"/>
    <w:rsid w:val="224C428D"/>
    <w:rsid w:val="22505779"/>
    <w:rsid w:val="226903A2"/>
    <w:rsid w:val="22777F2E"/>
    <w:rsid w:val="229B189C"/>
    <w:rsid w:val="22BD691A"/>
    <w:rsid w:val="22CE3BB6"/>
    <w:rsid w:val="22EF4B9E"/>
    <w:rsid w:val="231101B5"/>
    <w:rsid w:val="232718F4"/>
    <w:rsid w:val="234A090B"/>
    <w:rsid w:val="2378778E"/>
    <w:rsid w:val="23A06BF6"/>
    <w:rsid w:val="23CD49DC"/>
    <w:rsid w:val="23D66D1E"/>
    <w:rsid w:val="23E739FB"/>
    <w:rsid w:val="24157457"/>
    <w:rsid w:val="24274687"/>
    <w:rsid w:val="24304972"/>
    <w:rsid w:val="244360F3"/>
    <w:rsid w:val="2452531A"/>
    <w:rsid w:val="2459181C"/>
    <w:rsid w:val="248957CC"/>
    <w:rsid w:val="24993AA7"/>
    <w:rsid w:val="24A74E2C"/>
    <w:rsid w:val="24D10FF1"/>
    <w:rsid w:val="25274506"/>
    <w:rsid w:val="25314771"/>
    <w:rsid w:val="25325CC2"/>
    <w:rsid w:val="253458A0"/>
    <w:rsid w:val="25396313"/>
    <w:rsid w:val="25495DFB"/>
    <w:rsid w:val="255B5DBE"/>
    <w:rsid w:val="25664C67"/>
    <w:rsid w:val="25666142"/>
    <w:rsid w:val="256D0FC3"/>
    <w:rsid w:val="25882DAD"/>
    <w:rsid w:val="261F4C11"/>
    <w:rsid w:val="262440AA"/>
    <w:rsid w:val="262B38B7"/>
    <w:rsid w:val="262C6D0F"/>
    <w:rsid w:val="262D1FD4"/>
    <w:rsid w:val="26375198"/>
    <w:rsid w:val="264F1882"/>
    <w:rsid w:val="265C50C0"/>
    <w:rsid w:val="26A97287"/>
    <w:rsid w:val="26C659E8"/>
    <w:rsid w:val="26CF3502"/>
    <w:rsid w:val="271F4AA6"/>
    <w:rsid w:val="272A7E74"/>
    <w:rsid w:val="274A1BF0"/>
    <w:rsid w:val="277427C9"/>
    <w:rsid w:val="27B42E23"/>
    <w:rsid w:val="27BE60C1"/>
    <w:rsid w:val="27C33502"/>
    <w:rsid w:val="27C97CD5"/>
    <w:rsid w:val="27CD3A9C"/>
    <w:rsid w:val="27EC572E"/>
    <w:rsid w:val="27EF5AEC"/>
    <w:rsid w:val="27F23BC7"/>
    <w:rsid w:val="28086973"/>
    <w:rsid w:val="282D2A42"/>
    <w:rsid w:val="283266BB"/>
    <w:rsid w:val="28596316"/>
    <w:rsid w:val="28625326"/>
    <w:rsid w:val="28644D0F"/>
    <w:rsid w:val="288C4451"/>
    <w:rsid w:val="28A601D2"/>
    <w:rsid w:val="28A836E8"/>
    <w:rsid w:val="28AF5A4B"/>
    <w:rsid w:val="28BD1D41"/>
    <w:rsid w:val="28CD464E"/>
    <w:rsid w:val="28D80159"/>
    <w:rsid w:val="28E70F43"/>
    <w:rsid w:val="291741CD"/>
    <w:rsid w:val="291D02B7"/>
    <w:rsid w:val="29206AAE"/>
    <w:rsid w:val="29252970"/>
    <w:rsid w:val="294555F2"/>
    <w:rsid w:val="2947203A"/>
    <w:rsid w:val="295E7D6B"/>
    <w:rsid w:val="29631A28"/>
    <w:rsid w:val="296F5A87"/>
    <w:rsid w:val="2977450A"/>
    <w:rsid w:val="2994694C"/>
    <w:rsid w:val="29A34DF3"/>
    <w:rsid w:val="29AE37E5"/>
    <w:rsid w:val="29BA263D"/>
    <w:rsid w:val="29FE6DC7"/>
    <w:rsid w:val="2A096E25"/>
    <w:rsid w:val="2A3C5448"/>
    <w:rsid w:val="2A415D03"/>
    <w:rsid w:val="2A512622"/>
    <w:rsid w:val="2A6D1762"/>
    <w:rsid w:val="2A8F65AC"/>
    <w:rsid w:val="2AB92E95"/>
    <w:rsid w:val="2AD43F55"/>
    <w:rsid w:val="2AD9750D"/>
    <w:rsid w:val="2AD97C96"/>
    <w:rsid w:val="2ADB6052"/>
    <w:rsid w:val="2AE003BC"/>
    <w:rsid w:val="2AEC64E3"/>
    <w:rsid w:val="2B00200C"/>
    <w:rsid w:val="2B074226"/>
    <w:rsid w:val="2B1D778C"/>
    <w:rsid w:val="2B2120DC"/>
    <w:rsid w:val="2B225143"/>
    <w:rsid w:val="2B3D0E54"/>
    <w:rsid w:val="2B422360"/>
    <w:rsid w:val="2B4A6F65"/>
    <w:rsid w:val="2B767FE9"/>
    <w:rsid w:val="2BA75C66"/>
    <w:rsid w:val="2BCC070B"/>
    <w:rsid w:val="2BCC1B53"/>
    <w:rsid w:val="2BD07260"/>
    <w:rsid w:val="2BDC0564"/>
    <w:rsid w:val="2BDF2AE1"/>
    <w:rsid w:val="2BFC0F4D"/>
    <w:rsid w:val="2C013630"/>
    <w:rsid w:val="2C1645AB"/>
    <w:rsid w:val="2C5A4BCE"/>
    <w:rsid w:val="2C6E2A5B"/>
    <w:rsid w:val="2C800E25"/>
    <w:rsid w:val="2C924033"/>
    <w:rsid w:val="2CB17108"/>
    <w:rsid w:val="2CCC3030"/>
    <w:rsid w:val="2CCE5989"/>
    <w:rsid w:val="2CD95FB4"/>
    <w:rsid w:val="2CDF46AB"/>
    <w:rsid w:val="2D020EEB"/>
    <w:rsid w:val="2D05526C"/>
    <w:rsid w:val="2D3745DD"/>
    <w:rsid w:val="2D523A9F"/>
    <w:rsid w:val="2D69660C"/>
    <w:rsid w:val="2DCF0FCB"/>
    <w:rsid w:val="2E115C39"/>
    <w:rsid w:val="2E1823F3"/>
    <w:rsid w:val="2E31217D"/>
    <w:rsid w:val="2E334A71"/>
    <w:rsid w:val="2E3F6ECF"/>
    <w:rsid w:val="2E4157A8"/>
    <w:rsid w:val="2E5A7BC0"/>
    <w:rsid w:val="2E6B453A"/>
    <w:rsid w:val="2E7F374F"/>
    <w:rsid w:val="2E8B2C5E"/>
    <w:rsid w:val="2E96733F"/>
    <w:rsid w:val="2EBD193C"/>
    <w:rsid w:val="2EC62150"/>
    <w:rsid w:val="2ED90DB9"/>
    <w:rsid w:val="2EF12C10"/>
    <w:rsid w:val="2EF23899"/>
    <w:rsid w:val="2EF55DFE"/>
    <w:rsid w:val="2F0034AA"/>
    <w:rsid w:val="2F1F1AC4"/>
    <w:rsid w:val="2F203794"/>
    <w:rsid w:val="2F2923C7"/>
    <w:rsid w:val="2F2E3CC8"/>
    <w:rsid w:val="2F3655C1"/>
    <w:rsid w:val="2F405A9B"/>
    <w:rsid w:val="2F5B483E"/>
    <w:rsid w:val="2F8634AE"/>
    <w:rsid w:val="2F8B65CB"/>
    <w:rsid w:val="2F8F7873"/>
    <w:rsid w:val="2FA16F06"/>
    <w:rsid w:val="2FAE6B5E"/>
    <w:rsid w:val="2FBF6EED"/>
    <w:rsid w:val="2FE76D40"/>
    <w:rsid w:val="2FE805E8"/>
    <w:rsid w:val="2FF15056"/>
    <w:rsid w:val="2FF63FA8"/>
    <w:rsid w:val="2FF86EFF"/>
    <w:rsid w:val="2FFD710E"/>
    <w:rsid w:val="301C4809"/>
    <w:rsid w:val="306040EB"/>
    <w:rsid w:val="309B35B1"/>
    <w:rsid w:val="30C87BDC"/>
    <w:rsid w:val="30CD2034"/>
    <w:rsid w:val="30E55A17"/>
    <w:rsid w:val="30E70E04"/>
    <w:rsid w:val="30F720C1"/>
    <w:rsid w:val="310A3FBD"/>
    <w:rsid w:val="310D7518"/>
    <w:rsid w:val="311264CC"/>
    <w:rsid w:val="313931A5"/>
    <w:rsid w:val="31416FA3"/>
    <w:rsid w:val="315258AF"/>
    <w:rsid w:val="315B1111"/>
    <w:rsid w:val="319434F7"/>
    <w:rsid w:val="31A165DD"/>
    <w:rsid w:val="31A93E60"/>
    <w:rsid w:val="31BC699C"/>
    <w:rsid w:val="31BD1D91"/>
    <w:rsid w:val="31C435E7"/>
    <w:rsid w:val="31D95FF3"/>
    <w:rsid w:val="31EB6588"/>
    <w:rsid w:val="321175F8"/>
    <w:rsid w:val="3217548E"/>
    <w:rsid w:val="321C2010"/>
    <w:rsid w:val="32361419"/>
    <w:rsid w:val="323D1FDB"/>
    <w:rsid w:val="325E43F3"/>
    <w:rsid w:val="32C160E8"/>
    <w:rsid w:val="32DD4713"/>
    <w:rsid w:val="32E7381C"/>
    <w:rsid w:val="32FA20C8"/>
    <w:rsid w:val="32FC4A5B"/>
    <w:rsid w:val="330702C3"/>
    <w:rsid w:val="330A1147"/>
    <w:rsid w:val="332F4A1F"/>
    <w:rsid w:val="33380434"/>
    <w:rsid w:val="335B6B6E"/>
    <w:rsid w:val="335E2BA1"/>
    <w:rsid w:val="336F55DF"/>
    <w:rsid w:val="3384576D"/>
    <w:rsid w:val="339E4FB8"/>
    <w:rsid w:val="33CB06BF"/>
    <w:rsid w:val="33D97D25"/>
    <w:rsid w:val="33DA1665"/>
    <w:rsid w:val="33EE5A07"/>
    <w:rsid w:val="33F66100"/>
    <w:rsid w:val="34054F1B"/>
    <w:rsid w:val="340674E7"/>
    <w:rsid w:val="34292E8E"/>
    <w:rsid w:val="3430602A"/>
    <w:rsid w:val="34375E4C"/>
    <w:rsid w:val="345D169B"/>
    <w:rsid w:val="3460766F"/>
    <w:rsid w:val="348F1EE9"/>
    <w:rsid w:val="349B5802"/>
    <w:rsid w:val="34A93B17"/>
    <w:rsid w:val="34BA0D4E"/>
    <w:rsid w:val="34BC6C17"/>
    <w:rsid w:val="34BF1D18"/>
    <w:rsid w:val="34CA0CFE"/>
    <w:rsid w:val="350E7228"/>
    <w:rsid w:val="3514580A"/>
    <w:rsid w:val="352F6547"/>
    <w:rsid w:val="356928AF"/>
    <w:rsid w:val="357E53C0"/>
    <w:rsid w:val="35977EFB"/>
    <w:rsid w:val="35AB3D52"/>
    <w:rsid w:val="35B067CD"/>
    <w:rsid w:val="35B64499"/>
    <w:rsid w:val="35BD3869"/>
    <w:rsid w:val="35EF65E1"/>
    <w:rsid w:val="36011B29"/>
    <w:rsid w:val="361A7EA4"/>
    <w:rsid w:val="36202418"/>
    <w:rsid w:val="36437C97"/>
    <w:rsid w:val="36946BC1"/>
    <w:rsid w:val="36985DB9"/>
    <w:rsid w:val="36A22195"/>
    <w:rsid w:val="36DA66B9"/>
    <w:rsid w:val="372E522E"/>
    <w:rsid w:val="373174A6"/>
    <w:rsid w:val="37350B76"/>
    <w:rsid w:val="374024B5"/>
    <w:rsid w:val="3747333B"/>
    <w:rsid w:val="374A2D93"/>
    <w:rsid w:val="374D5C57"/>
    <w:rsid w:val="37520B1E"/>
    <w:rsid w:val="377D40BB"/>
    <w:rsid w:val="37A41082"/>
    <w:rsid w:val="37C821A8"/>
    <w:rsid w:val="37E72B6D"/>
    <w:rsid w:val="3808077E"/>
    <w:rsid w:val="38495F3C"/>
    <w:rsid w:val="388A48A5"/>
    <w:rsid w:val="38B66E3D"/>
    <w:rsid w:val="38C9794F"/>
    <w:rsid w:val="38CF4D4C"/>
    <w:rsid w:val="38EA55B0"/>
    <w:rsid w:val="38F32802"/>
    <w:rsid w:val="38FD58FA"/>
    <w:rsid w:val="39181530"/>
    <w:rsid w:val="391E65D7"/>
    <w:rsid w:val="39267924"/>
    <w:rsid w:val="39340367"/>
    <w:rsid w:val="39551AF6"/>
    <w:rsid w:val="395956BB"/>
    <w:rsid w:val="397446DD"/>
    <w:rsid w:val="397A6973"/>
    <w:rsid w:val="397F7126"/>
    <w:rsid w:val="399D0085"/>
    <w:rsid w:val="39BC7DFB"/>
    <w:rsid w:val="39C953F0"/>
    <w:rsid w:val="39D1050B"/>
    <w:rsid w:val="39D13C16"/>
    <w:rsid w:val="39EC777E"/>
    <w:rsid w:val="3A136B0B"/>
    <w:rsid w:val="3A4D0084"/>
    <w:rsid w:val="3A960A01"/>
    <w:rsid w:val="3AAC2CCC"/>
    <w:rsid w:val="3AAE3606"/>
    <w:rsid w:val="3AB34E04"/>
    <w:rsid w:val="3AB8441D"/>
    <w:rsid w:val="3ACA2721"/>
    <w:rsid w:val="3AE46B63"/>
    <w:rsid w:val="3B1178AD"/>
    <w:rsid w:val="3B14171A"/>
    <w:rsid w:val="3B157586"/>
    <w:rsid w:val="3B3322F5"/>
    <w:rsid w:val="3B8273EB"/>
    <w:rsid w:val="3B93283D"/>
    <w:rsid w:val="3BA42103"/>
    <w:rsid w:val="3BA638C5"/>
    <w:rsid w:val="3BDE5D47"/>
    <w:rsid w:val="3BE91E03"/>
    <w:rsid w:val="3BEF4E3D"/>
    <w:rsid w:val="3BF14035"/>
    <w:rsid w:val="3BFD5EE1"/>
    <w:rsid w:val="3C000E42"/>
    <w:rsid w:val="3C0A5DD9"/>
    <w:rsid w:val="3C2F1539"/>
    <w:rsid w:val="3C531413"/>
    <w:rsid w:val="3C541E98"/>
    <w:rsid w:val="3C5557E4"/>
    <w:rsid w:val="3C69645F"/>
    <w:rsid w:val="3C780106"/>
    <w:rsid w:val="3C985175"/>
    <w:rsid w:val="3CA03BBE"/>
    <w:rsid w:val="3CAD6717"/>
    <w:rsid w:val="3CB051F1"/>
    <w:rsid w:val="3CC30E48"/>
    <w:rsid w:val="3CE44CA1"/>
    <w:rsid w:val="3CF469FF"/>
    <w:rsid w:val="3CFC5420"/>
    <w:rsid w:val="3D1D132C"/>
    <w:rsid w:val="3D24286F"/>
    <w:rsid w:val="3D3D3E73"/>
    <w:rsid w:val="3D451F63"/>
    <w:rsid w:val="3D4C5492"/>
    <w:rsid w:val="3D627784"/>
    <w:rsid w:val="3D6E7FAE"/>
    <w:rsid w:val="3D737885"/>
    <w:rsid w:val="3D8C7CFA"/>
    <w:rsid w:val="3DB21BDB"/>
    <w:rsid w:val="3DBE1AA9"/>
    <w:rsid w:val="3DBE70F1"/>
    <w:rsid w:val="3DD2747B"/>
    <w:rsid w:val="3DFB5872"/>
    <w:rsid w:val="3E05668B"/>
    <w:rsid w:val="3E1A5671"/>
    <w:rsid w:val="3E3C10D7"/>
    <w:rsid w:val="3E422C18"/>
    <w:rsid w:val="3E5E28E2"/>
    <w:rsid w:val="3E643218"/>
    <w:rsid w:val="3EC87993"/>
    <w:rsid w:val="3EE4772F"/>
    <w:rsid w:val="3EEC59CA"/>
    <w:rsid w:val="3F0A3CE6"/>
    <w:rsid w:val="3F2655B1"/>
    <w:rsid w:val="3F566231"/>
    <w:rsid w:val="3F622D97"/>
    <w:rsid w:val="3F846BD8"/>
    <w:rsid w:val="3F851DAB"/>
    <w:rsid w:val="3F8F6511"/>
    <w:rsid w:val="3F903E4E"/>
    <w:rsid w:val="3F922DD6"/>
    <w:rsid w:val="3FA32B4A"/>
    <w:rsid w:val="3FB20B83"/>
    <w:rsid w:val="3FB935C2"/>
    <w:rsid w:val="3FDA0A13"/>
    <w:rsid w:val="3FE00F78"/>
    <w:rsid w:val="403B06A3"/>
    <w:rsid w:val="405E1F3A"/>
    <w:rsid w:val="405F7EBC"/>
    <w:rsid w:val="407C1AA8"/>
    <w:rsid w:val="40A06314"/>
    <w:rsid w:val="40AE413F"/>
    <w:rsid w:val="40C771EC"/>
    <w:rsid w:val="40CC10C9"/>
    <w:rsid w:val="40D749B2"/>
    <w:rsid w:val="40F005A0"/>
    <w:rsid w:val="40F109E7"/>
    <w:rsid w:val="40F33AF8"/>
    <w:rsid w:val="410243AF"/>
    <w:rsid w:val="4104082A"/>
    <w:rsid w:val="410E1577"/>
    <w:rsid w:val="41134483"/>
    <w:rsid w:val="411D67CE"/>
    <w:rsid w:val="41500919"/>
    <w:rsid w:val="41557EB2"/>
    <w:rsid w:val="417866B9"/>
    <w:rsid w:val="417919AA"/>
    <w:rsid w:val="4185702D"/>
    <w:rsid w:val="41A15B66"/>
    <w:rsid w:val="41C60AF2"/>
    <w:rsid w:val="41D209EC"/>
    <w:rsid w:val="41DB5D98"/>
    <w:rsid w:val="41E057C0"/>
    <w:rsid w:val="423A09FD"/>
    <w:rsid w:val="425930E7"/>
    <w:rsid w:val="42615824"/>
    <w:rsid w:val="426C6358"/>
    <w:rsid w:val="427E7FB8"/>
    <w:rsid w:val="42901BD1"/>
    <w:rsid w:val="429D695A"/>
    <w:rsid w:val="42BE0CB6"/>
    <w:rsid w:val="42D37249"/>
    <w:rsid w:val="42DE505D"/>
    <w:rsid w:val="42F32AA2"/>
    <w:rsid w:val="431904A2"/>
    <w:rsid w:val="431B6072"/>
    <w:rsid w:val="43273968"/>
    <w:rsid w:val="434A0217"/>
    <w:rsid w:val="434D0AEC"/>
    <w:rsid w:val="435E2B2C"/>
    <w:rsid w:val="43B84329"/>
    <w:rsid w:val="43D608EB"/>
    <w:rsid w:val="43DD713F"/>
    <w:rsid w:val="441D69D8"/>
    <w:rsid w:val="44843BC2"/>
    <w:rsid w:val="449A6ED7"/>
    <w:rsid w:val="44A05E16"/>
    <w:rsid w:val="44AC19BE"/>
    <w:rsid w:val="44B150E0"/>
    <w:rsid w:val="44BB2D6C"/>
    <w:rsid w:val="44BD1F06"/>
    <w:rsid w:val="44E21ED2"/>
    <w:rsid w:val="44EE15C7"/>
    <w:rsid w:val="44F40F86"/>
    <w:rsid w:val="44F70BE4"/>
    <w:rsid w:val="45005166"/>
    <w:rsid w:val="450F35C7"/>
    <w:rsid w:val="45204836"/>
    <w:rsid w:val="453F4F27"/>
    <w:rsid w:val="4556254C"/>
    <w:rsid w:val="45571762"/>
    <w:rsid w:val="45647F27"/>
    <w:rsid w:val="45650434"/>
    <w:rsid w:val="456A6B72"/>
    <w:rsid w:val="45812DD0"/>
    <w:rsid w:val="459F32A6"/>
    <w:rsid w:val="45C315A6"/>
    <w:rsid w:val="45D72F81"/>
    <w:rsid w:val="45DD4427"/>
    <w:rsid w:val="45FA3F1E"/>
    <w:rsid w:val="45FA5D55"/>
    <w:rsid w:val="462110F6"/>
    <w:rsid w:val="464126D0"/>
    <w:rsid w:val="46AA0FFE"/>
    <w:rsid w:val="46AC7CE9"/>
    <w:rsid w:val="46BB5A23"/>
    <w:rsid w:val="46DB7B2E"/>
    <w:rsid w:val="46F627F6"/>
    <w:rsid w:val="47181281"/>
    <w:rsid w:val="471B3F5C"/>
    <w:rsid w:val="471D1840"/>
    <w:rsid w:val="474A28D9"/>
    <w:rsid w:val="4760773B"/>
    <w:rsid w:val="477C620C"/>
    <w:rsid w:val="479039AE"/>
    <w:rsid w:val="47A82966"/>
    <w:rsid w:val="47A96487"/>
    <w:rsid w:val="47BA5E8D"/>
    <w:rsid w:val="47BB5841"/>
    <w:rsid w:val="47BC20FE"/>
    <w:rsid w:val="47EE62A3"/>
    <w:rsid w:val="47FA5321"/>
    <w:rsid w:val="482209A0"/>
    <w:rsid w:val="483C591E"/>
    <w:rsid w:val="48751200"/>
    <w:rsid w:val="48786DFA"/>
    <w:rsid w:val="48927083"/>
    <w:rsid w:val="48AB48A2"/>
    <w:rsid w:val="48B3657A"/>
    <w:rsid w:val="48E576D8"/>
    <w:rsid w:val="49206D66"/>
    <w:rsid w:val="493F7B37"/>
    <w:rsid w:val="494451AE"/>
    <w:rsid w:val="49597B5E"/>
    <w:rsid w:val="495A6201"/>
    <w:rsid w:val="495E69EE"/>
    <w:rsid w:val="496A759D"/>
    <w:rsid w:val="497B2F0B"/>
    <w:rsid w:val="49924CB5"/>
    <w:rsid w:val="49B80147"/>
    <w:rsid w:val="49D2102B"/>
    <w:rsid w:val="49D92519"/>
    <w:rsid w:val="49DC4519"/>
    <w:rsid w:val="49E66694"/>
    <w:rsid w:val="49FB4485"/>
    <w:rsid w:val="4A082CE2"/>
    <w:rsid w:val="4A24773D"/>
    <w:rsid w:val="4A253E62"/>
    <w:rsid w:val="4A2D5051"/>
    <w:rsid w:val="4A4C3286"/>
    <w:rsid w:val="4A5479B0"/>
    <w:rsid w:val="4A575DEC"/>
    <w:rsid w:val="4A62703C"/>
    <w:rsid w:val="4A687DF0"/>
    <w:rsid w:val="4A6B54C3"/>
    <w:rsid w:val="4A745B35"/>
    <w:rsid w:val="4A75259C"/>
    <w:rsid w:val="4A8C0A08"/>
    <w:rsid w:val="4A931394"/>
    <w:rsid w:val="4A9D16F1"/>
    <w:rsid w:val="4AAE6624"/>
    <w:rsid w:val="4AC735EC"/>
    <w:rsid w:val="4AD8095E"/>
    <w:rsid w:val="4AF173EE"/>
    <w:rsid w:val="4B3A0112"/>
    <w:rsid w:val="4B3C5FDC"/>
    <w:rsid w:val="4B431506"/>
    <w:rsid w:val="4B4F38FD"/>
    <w:rsid w:val="4B587D50"/>
    <w:rsid w:val="4BD60C65"/>
    <w:rsid w:val="4BE60228"/>
    <w:rsid w:val="4BE932B7"/>
    <w:rsid w:val="4C117205"/>
    <w:rsid w:val="4C1F5D7A"/>
    <w:rsid w:val="4C22094B"/>
    <w:rsid w:val="4C2819F4"/>
    <w:rsid w:val="4C33748F"/>
    <w:rsid w:val="4C35131C"/>
    <w:rsid w:val="4C361AF4"/>
    <w:rsid w:val="4C510646"/>
    <w:rsid w:val="4C634260"/>
    <w:rsid w:val="4C715A50"/>
    <w:rsid w:val="4CAE58A1"/>
    <w:rsid w:val="4CE53E69"/>
    <w:rsid w:val="4D133327"/>
    <w:rsid w:val="4D242750"/>
    <w:rsid w:val="4D2E27CC"/>
    <w:rsid w:val="4D53524D"/>
    <w:rsid w:val="4D5E54FB"/>
    <w:rsid w:val="4D6025E4"/>
    <w:rsid w:val="4D6F4DC4"/>
    <w:rsid w:val="4D8436B7"/>
    <w:rsid w:val="4DC57707"/>
    <w:rsid w:val="4DC96C7F"/>
    <w:rsid w:val="4DDD1B47"/>
    <w:rsid w:val="4DF80AFB"/>
    <w:rsid w:val="4E02283F"/>
    <w:rsid w:val="4E036E8C"/>
    <w:rsid w:val="4E097368"/>
    <w:rsid w:val="4E1567A7"/>
    <w:rsid w:val="4E434158"/>
    <w:rsid w:val="4E58592C"/>
    <w:rsid w:val="4E6B55B6"/>
    <w:rsid w:val="4E735675"/>
    <w:rsid w:val="4E776E4B"/>
    <w:rsid w:val="4E8C7B5A"/>
    <w:rsid w:val="4E9135BE"/>
    <w:rsid w:val="4EB17E6E"/>
    <w:rsid w:val="4ED6776C"/>
    <w:rsid w:val="4EDA62F8"/>
    <w:rsid w:val="4F024D20"/>
    <w:rsid w:val="4F103E11"/>
    <w:rsid w:val="4F1D71BE"/>
    <w:rsid w:val="4F1E4542"/>
    <w:rsid w:val="4F255831"/>
    <w:rsid w:val="4F663425"/>
    <w:rsid w:val="4FAF5590"/>
    <w:rsid w:val="4FB209EE"/>
    <w:rsid w:val="50045AA5"/>
    <w:rsid w:val="500F75AC"/>
    <w:rsid w:val="503C1EAD"/>
    <w:rsid w:val="504D35A5"/>
    <w:rsid w:val="506E2E6E"/>
    <w:rsid w:val="50B371A3"/>
    <w:rsid w:val="50DD15E4"/>
    <w:rsid w:val="50E72296"/>
    <w:rsid w:val="50E72960"/>
    <w:rsid w:val="51611E59"/>
    <w:rsid w:val="516F5F0E"/>
    <w:rsid w:val="51774ACE"/>
    <w:rsid w:val="518669C8"/>
    <w:rsid w:val="518E041E"/>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F35B8D"/>
    <w:rsid w:val="52F932EF"/>
    <w:rsid w:val="533F34CD"/>
    <w:rsid w:val="537D475E"/>
    <w:rsid w:val="53814E26"/>
    <w:rsid w:val="53994EB3"/>
    <w:rsid w:val="53CB7048"/>
    <w:rsid w:val="53DD1816"/>
    <w:rsid w:val="53DF147F"/>
    <w:rsid w:val="545E12E4"/>
    <w:rsid w:val="54A363F3"/>
    <w:rsid w:val="54BD20BA"/>
    <w:rsid w:val="54E12A5C"/>
    <w:rsid w:val="550D12DE"/>
    <w:rsid w:val="550F1D67"/>
    <w:rsid w:val="551B18C3"/>
    <w:rsid w:val="551F73FB"/>
    <w:rsid w:val="55226F39"/>
    <w:rsid w:val="552F0C08"/>
    <w:rsid w:val="553E1602"/>
    <w:rsid w:val="55515ED3"/>
    <w:rsid w:val="555A700D"/>
    <w:rsid w:val="555F767E"/>
    <w:rsid w:val="55623CF6"/>
    <w:rsid w:val="55756E92"/>
    <w:rsid w:val="55CD7939"/>
    <w:rsid w:val="55D502DA"/>
    <w:rsid w:val="55F63716"/>
    <w:rsid w:val="56043806"/>
    <w:rsid w:val="5647017D"/>
    <w:rsid w:val="56493F7D"/>
    <w:rsid w:val="565863CD"/>
    <w:rsid w:val="565A1B38"/>
    <w:rsid w:val="57065352"/>
    <w:rsid w:val="57144DE4"/>
    <w:rsid w:val="57207BBB"/>
    <w:rsid w:val="57221F02"/>
    <w:rsid w:val="573D20F0"/>
    <w:rsid w:val="574809C6"/>
    <w:rsid w:val="5768564B"/>
    <w:rsid w:val="57836605"/>
    <w:rsid w:val="579075F8"/>
    <w:rsid w:val="57A36481"/>
    <w:rsid w:val="57BA63F6"/>
    <w:rsid w:val="57CD4269"/>
    <w:rsid w:val="57CE7D24"/>
    <w:rsid w:val="57EF57C0"/>
    <w:rsid w:val="580D1242"/>
    <w:rsid w:val="580F5847"/>
    <w:rsid w:val="581415B5"/>
    <w:rsid w:val="581B1B0C"/>
    <w:rsid w:val="582C2F64"/>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A704C"/>
    <w:rsid w:val="58D67214"/>
    <w:rsid w:val="58E612CD"/>
    <w:rsid w:val="58EB6B81"/>
    <w:rsid w:val="58F05AC9"/>
    <w:rsid w:val="591F39C2"/>
    <w:rsid w:val="595720BA"/>
    <w:rsid w:val="59587D98"/>
    <w:rsid w:val="5984178B"/>
    <w:rsid w:val="5988157A"/>
    <w:rsid w:val="59A44D23"/>
    <w:rsid w:val="59BD535B"/>
    <w:rsid w:val="59C42B40"/>
    <w:rsid w:val="59D56643"/>
    <w:rsid w:val="59E6110D"/>
    <w:rsid w:val="59ED2DED"/>
    <w:rsid w:val="5A16452F"/>
    <w:rsid w:val="5A2B21D8"/>
    <w:rsid w:val="5A2B348D"/>
    <w:rsid w:val="5A5B1B5F"/>
    <w:rsid w:val="5A6C2177"/>
    <w:rsid w:val="5A873851"/>
    <w:rsid w:val="5A977CEC"/>
    <w:rsid w:val="5ACC310F"/>
    <w:rsid w:val="5AEF238F"/>
    <w:rsid w:val="5B021F5B"/>
    <w:rsid w:val="5B095AB0"/>
    <w:rsid w:val="5B0D0A39"/>
    <w:rsid w:val="5B1B1FA5"/>
    <w:rsid w:val="5B1F3174"/>
    <w:rsid w:val="5B360730"/>
    <w:rsid w:val="5B595B24"/>
    <w:rsid w:val="5B6F46E6"/>
    <w:rsid w:val="5B765854"/>
    <w:rsid w:val="5B7B13CC"/>
    <w:rsid w:val="5B8251FB"/>
    <w:rsid w:val="5B8854DF"/>
    <w:rsid w:val="5BBB77FC"/>
    <w:rsid w:val="5BD77540"/>
    <w:rsid w:val="5BDC7AB6"/>
    <w:rsid w:val="5BF03357"/>
    <w:rsid w:val="5C1D2EA1"/>
    <w:rsid w:val="5C5C26D0"/>
    <w:rsid w:val="5C8037D0"/>
    <w:rsid w:val="5C890A5F"/>
    <w:rsid w:val="5CAF48DE"/>
    <w:rsid w:val="5CB20C2D"/>
    <w:rsid w:val="5CDE7F12"/>
    <w:rsid w:val="5CE57AF4"/>
    <w:rsid w:val="5D034253"/>
    <w:rsid w:val="5D1D1E82"/>
    <w:rsid w:val="5D4C5D6D"/>
    <w:rsid w:val="5D7A6A64"/>
    <w:rsid w:val="5D7F73A2"/>
    <w:rsid w:val="5D925372"/>
    <w:rsid w:val="5DA37B55"/>
    <w:rsid w:val="5DAC2710"/>
    <w:rsid w:val="5DB10D79"/>
    <w:rsid w:val="5DBB7FCD"/>
    <w:rsid w:val="5DCA702B"/>
    <w:rsid w:val="5DE2467B"/>
    <w:rsid w:val="5DF70E96"/>
    <w:rsid w:val="5E3414A2"/>
    <w:rsid w:val="5E39468C"/>
    <w:rsid w:val="5E3B448A"/>
    <w:rsid w:val="5E747306"/>
    <w:rsid w:val="5E953361"/>
    <w:rsid w:val="5E976C9D"/>
    <w:rsid w:val="5E9A0FEE"/>
    <w:rsid w:val="5ED347D3"/>
    <w:rsid w:val="5EEF3871"/>
    <w:rsid w:val="5F7506B8"/>
    <w:rsid w:val="5F751700"/>
    <w:rsid w:val="5F84739D"/>
    <w:rsid w:val="5FA300E3"/>
    <w:rsid w:val="5FBD57C0"/>
    <w:rsid w:val="603337FB"/>
    <w:rsid w:val="605A7B11"/>
    <w:rsid w:val="605C71A6"/>
    <w:rsid w:val="60607583"/>
    <w:rsid w:val="6063299F"/>
    <w:rsid w:val="60671536"/>
    <w:rsid w:val="609D4724"/>
    <w:rsid w:val="60A35923"/>
    <w:rsid w:val="60AA2E11"/>
    <w:rsid w:val="60C33C72"/>
    <w:rsid w:val="60C45715"/>
    <w:rsid w:val="610774DD"/>
    <w:rsid w:val="611E7573"/>
    <w:rsid w:val="612C6D65"/>
    <w:rsid w:val="612D42C0"/>
    <w:rsid w:val="61303C8D"/>
    <w:rsid w:val="61632129"/>
    <w:rsid w:val="61654195"/>
    <w:rsid w:val="616C4DE5"/>
    <w:rsid w:val="61916D13"/>
    <w:rsid w:val="61AA59A7"/>
    <w:rsid w:val="61AC5290"/>
    <w:rsid w:val="61C2572F"/>
    <w:rsid w:val="61E2527F"/>
    <w:rsid w:val="61EC72EA"/>
    <w:rsid w:val="61F8664C"/>
    <w:rsid w:val="61FA3742"/>
    <w:rsid w:val="62196A6F"/>
    <w:rsid w:val="622306A5"/>
    <w:rsid w:val="62400C29"/>
    <w:rsid w:val="62487DDF"/>
    <w:rsid w:val="62C31FED"/>
    <w:rsid w:val="62C4171F"/>
    <w:rsid w:val="63084B52"/>
    <w:rsid w:val="6319475A"/>
    <w:rsid w:val="63426DA0"/>
    <w:rsid w:val="635C30B6"/>
    <w:rsid w:val="63700553"/>
    <w:rsid w:val="637A029C"/>
    <w:rsid w:val="63917582"/>
    <w:rsid w:val="6396771B"/>
    <w:rsid w:val="63C92C80"/>
    <w:rsid w:val="63CE010C"/>
    <w:rsid w:val="63EF11F3"/>
    <w:rsid w:val="64000A02"/>
    <w:rsid w:val="643D25EC"/>
    <w:rsid w:val="645067A3"/>
    <w:rsid w:val="64562EC2"/>
    <w:rsid w:val="64777DF5"/>
    <w:rsid w:val="64826BF5"/>
    <w:rsid w:val="649846DB"/>
    <w:rsid w:val="649E4BEF"/>
    <w:rsid w:val="6522064E"/>
    <w:rsid w:val="65313719"/>
    <w:rsid w:val="65387C9C"/>
    <w:rsid w:val="655A5966"/>
    <w:rsid w:val="657D7A2E"/>
    <w:rsid w:val="65B4602A"/>
    <w:rsid w:val="65D7151B"/>
    <w:rsid w:val="65DC34E5"/>
    <w:rsid w:val="65DD1B9C"/>
    <w:rsid w:val="662A4074"/>
    <w:rsid w:val="66417776"/>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D6BE6"/>
    <w:rsid w:val="676026D1"/>
    <w:rsid w:val="676A4DBB"/>
    <w:rsid w:val="67AD0AE3"/>
    <w:rsid w:val="67CA2110"/>
    <w:rsid w:val="67CD2178"/>
    <w:rsid w:val="67DD2A74"/>
    <w:rsid w:val="67FB7BD3"/>
    <w:rsid w:val="680F6BAC"/>
    <w:rsid w:val="684358A6"/>
    <w:rsid w:val="684419AC"/>
    <w:rsid w:val="68490BA5"/>
    <w:rsid w:val="685A0C57"/>
    <w:rsid w:val="687E680D"/>
    <w:rsid w:val="68A97CC5"/>
    <w:rsid w:val="68BC039A"/>
    <w:rsid w:val="68BF7F18"/>
    <w:rsid w:val="68C717F9"/>
    <w:rsid w:val="68DD0C5C"/>
    <w:rsid w:val="68F27373"/>
    <w:rsid w:val="69076936"/>
    <w:rsid w:val="691F1A6B"/>
    <w:rsid w:val="693044D0"/>
    <w:rsid w:val="69390EB4"/>
    <w:rsid w:val="69531D49"/>
    <w:rsid w:val="696A3B76"/>
    <w:rsid w:val="698311CB"/>
    <w:rsid w:val="69B665B8"/>
    <w:rsid w:val="69C26D94"/>
    <w:rsid w:val="69D72936"/>
    <w:rsid w:val="6A043665"/>
    <w:rsid w:val="6A0D2428"/>
    <w:rsid w:val="6A1046F6"/>
    <w:rsid w:val="6A23335C"/>
    <w:rsid w:val="6A2719E1"/>
    <w:rsid w:val="6A375FAE"/>
    <w:rsid w:val="6A416A6A"/>
    <w:rsid w:val="6A5364FE"/>
    <w:rsid w:val="6A5C2A16"/>
    <w:rsid w:val="6A774CA4"/>
    <w:rsid w:val="6A786C3C"/>
    <w:rsid w:val="6A82754B"/>
    <w:rsid w:val="6A960474"/>
    <w:rsid w:val="6A9F7261"/>
    <w:rsid w:val="6AA10C29"/>
    <w:rsid w:val="6AAE3BD7"/>
    <w:rsid w:val="6ACC49F1"/>
    <w:rsid w:val="6ACF1964"/>
    <w:rsid w:val="6AD9452C"/>
    <w:rsid w:val="6AE2386B"/>
    <w:rsid w:val="6AEC2EDF"/>
    <w:rsid w:val="6B096FBE"/>
    <w:rsid w:val="6B1A2EA8"/>
    <w:rsid w:val="6B1F50C0"/>
    <w:rsid w:val="6B21560C"/>
    <w:rsid w:val="6B2E5313"/>
    <w:rsid w:val="6B3368A5"/>
    <w:rsid w:val="6B506065"/>
    <w:rsid w:val="6B5C1652"/>
    <w:rsid w:val="6B687347"/>
    <w:rsid w:val="6B7C154F"/>
    <w:rsid w:val="6B85537C"/>
    <w:rsid w:val="6B92261A"/>
    <w:rsid w:val="6B943718"/>
    <w:rsid w:val="6B9B2CBA"/>
    <w:rsid w:val="6BAD5A34"/>
    <w:rsid w:val="6BCA5141"/>
    <w:rsid w:val="6BE8415A"/>
    <w:rsid w:val="6BF06490"/>
    <w:rsid w:val="6BFF4E8E"/>
    <w:rsid w:val="6C254D0A"/>
    <w:rsid w:val="6C30020F"/>
    <w:rsid w:val="6C3D2DFC"/>
    <w:rsid w:val="6C6B02EF"/>
    <w:rsid w:val="6C6C4666"/>
    <w:rsid w:val="6C9777E2"/>
    <w:rsid w:val="6C9A465F"/>
    <w:rsid w:val="6CA15D35"/>
    <w:rsid w:val="6CAB6AA2"/>
    <w:rsid w:val="6CAF7A44"/>
    <w:rsid w:val="6CC70B29"/>
    <w:rsid w:val="6CFD17A1"/>
    <w:rsid w:val="6D0E430A"/>
    <w:rsid w:val="6D192110"/>
    <w:rsid w:val="6D326AF7"/>
    <w:rsid w:val="6D4742E6"/>
    <w:rsid w:val="6D4E2611"/>
    <w:rsid w:val="6D4F5BCD"/>
    <w:rsid w:val="6D505255"/>
    <w:rsid w:val="6D973D87"/>
    <w:rsid w:val="6DA23902"/>
    <w:rsid w:val="6DAE3E97"/>
    <w:rsid w:val="6E5A72EC"/>
    <w:rsid w:val="6E753CE4"/>
    <w:rsid w:val="6E8C082B"/>
    <w:rsid w:val="6EA96B47"/>
    <w:rsid w:val="6ECF3FB3"/>
    <w:rsid w:val="6EE273C2"/>
    <w:rsid w:val="6EE661C0"/>
    <w:rsid w:val="6EEE02B7"/>
    <w:rsid w:val="6EEF1689"/>
    <w:rsid w:val="6EF7635F"/>
    <w:rsid w:val="6EF8241A"/>
    <w:rsid w:val="6EFE771B"/>
    <w:rsid w:val="6EFF1BE0"/>
    <w:rsid w:val="6F4416F0"/>
    <w:rsid w:val="6F597DBC"/>
    <w:rsid w:val="6F603FAD"/>
    <w:rsid w:val="6F6D5EB4"/>
    <w:rsid w:val="6FA53E02"/>
    <w:rsid w:val="6FA61409"/>
    <w:rsid w:val="6FB940AF"/>
    <w:rsid w:val="6FC456DD"/>
    <w:rsid w:val="6FCA2C1D"/>
    <w:rsid w:val="6FD617B9"/>
    <w:rsid w:val="6FEA4E9A"/>
    <w:rsid w:val="6FFA3DC5"/>
    <w:rsid w:val="6FFB38F9"/>
    <w:rsid w:val="702E1EF7"/>
    <w:rsid w:val="704F6D52"/>
    <w:rsid w:val="705F38B5"/>
    <w:rsid w:val="7071680F"/>
    <w:rsid w:val="70AB5F28"/>
    <w:rsid w:val="70BD4882"/>
    <w:rsid w:val="70CB41BA"/>
    <w:rsid w:val="70CC63CE"/>
    <w:rsid w:val="70DF3185"/>
    <w:rsid w:val="70FD4B00"/>
    <w:rsid w:val="711075A4"/>
    <w:rsid w:val="71362079"/>
    <w:rsid w:val="714516AC"/>
    <w:rsid w:val="714A49EB"/>
    <w:rsid w:val="714C07A5"/>
    <w:rsid w:val="715568E1"/>
    <w:rsid w:val="71680445"/>
    <w:rsid w:val="716C1361"/>
    <w:rsid w:val="717034F6"/>
    <w:rsid w:val="71AA0173"/>
    <w:rsid w:val="71C735F6"/>
    <w:rsid w:val="71D60DAD"/>
    <w:rsid w:val="71E37648"/>
    <w:rsid w:val="71EC4739"/>
    <w:rsid w:val="7221626D"/>
    <w:rsid w:val="72250CBC"/>
    <w:rsid w:val="7228547A"/>
    <w:rsid w:val="72694E7B"/>
    <w:rsid w:val="72A11EFB"/>
    <w:rsid w:val="72C53C93"/>
    <w:rsid w:val="72CE11D5"/>
    <w:rsid w:val="72E44E5C"/>
    <w:rsid w:val="72E96746"/>
    <w:rsid w:val="73222073"/>
    <w:rsid w:val="7324418F"/>
    <w:rsid w:val="73561454"/>
    <w:rsid w:val="736540EA"/>
    <w:rsid w:val="738F7E33"/>
    <w:rsid w:val="739053D9"/>
    <w:rsid w:val="73BC38F8"/>
    <w:rsid w:val="73BF1A3D"/>
    <w:rsid w:val="73C81838"/>
    <w:rsid w:val="73E6670B"/>
    <w:rsid w:val="73EE2546"/>
    <w:rsid w:val="73F50A08"/>
    <w:rsid w:val="74336AEC"/>
    <w:rsid w:val="7447504B"/>
    <w:rsid w:val="747B5ADB"/>
    <w:rsid w:val="748A65D1"/>
    <w:rsid w:val="749C58E1"/>
    <w:rsid w:val="74AB6438"/>
    <w:rsid w:val="75165677"/>
    <w:rsid w:val="751A39B7"/>
    <w:rsid w:val="75235932"/>
    <w:rsid w:val="75361722"/>
    <w:rsid w:val="7555100E"/>
    <w:rsid w:val="758C00D8"/>
    <w:rsid w:val="75B16F7B"/>
    <w:rsid w:val="75C84ED8"/>
    <w:rsid w:val="76165B7C"/>
    <w:rsid w:val="762D0D05"/>
    <w:rsid w:val="766643CE"/>
    <w:rsid w:val="76691BBB"/>
    <w:rsid w:val="769737C0"/>
    <w:rsid w:val="76CB4933"/>
    <w:rsid w:val="76DC0C89"/>
    <w:rsid w:val="76E510DF"/>
    <w:rsid w:val="76E56077"/>
    <w:rsid w:val="76EB0CA1"/>
    <w:rsid w:val="76EF12AB"/>
    <w:rsid w:val="77033FC7"/>
    <w:rsid w:val="770B2528"/>
    <w:rsid w:val="77163F86"/>
    <w:rsid w:val="77195370"/>
    <w:rsid w:val="77334A1B"/>
    <w:rsid w:val="773439F2"/>
    <w:rsid w:val="773D770D"/>
    <w:rsid w:val="77412B74"/>
    <w:rsid w:val="77603F06"/>
    <w:rsid w:val="77872819"/>
    <w:rsid w:val="77B4681C"/>
    <w:rsid w:val="77CF18B6"/>
    <w:rsid w:val="78073C70"/>
    <w:rsid w:val="78333460"/>
    <w:rsid w:val="78374149"/>
    <w:rsid w:val="78380C3F"/>
    <w:rsid w:val="785C77FF"/>
    <w:rsid w:val="788A3EF2"/>
    <w:rsid w:val="78BB542A"/>
    <w:rsid w:val="78D52F1B"/>
    <w:rsid w:val="78EE0311"/>
    <w:rsid w:val="79510127"/>
    <w:rsid w:val="798D5623"/>
    <w:rsid w:val="79C73ADB"/>
    <w:rsid w:val="79E35F15"/>
    <w:rsid w:val="79EB4E78"/>
    <w:rsid w:val="7A04188E"/>
    <w:rsid w:val="7A0B26BE"/>
    <w:rsid w:val="7A5A4652"/>
    <w:rsid w:val="7AA75347"/>
    <w:rsid w:val="7AB919D9"/>
    <w:rsid w:val="7ACA37C4"/>
    <w:rsid w:val="7B110EA8"/>
    <w:rsid w:val="7B204E77"/>
    <w:rsid w:val="7B2670AA"/>
    <w:rsid w:val="7B3D698C"/>
    <w:rsid w:val="7B3E2CD1"/>
    <w:rsid w:val="7B456061"/>
    <w:rsid w:val="7B48126A"/>
    <w:rsid w:val="7B6A7FCE"/>
    <w:rsid w:val="7B832841"/>
    <w:rsid w:val="7B8849C9"/>
    <w:rsid w:val="7B8C579B"/>
    <w:rsid w:val="7C042C24"/>
    <w:rsid w:val="7C0C7AE5"/>
    <w:rsid w:val="7C18518B"/>
    <w:rsid w:val="7C1966A5"/>
    <w:rsid w:val="7C423439"/>
    <w:rsid w:val="7C6B5B85"/>
    <w:rsid w:val="7C6C3025"/>
    <w:rsid w:val="7C743607"/>
    <w:rsid w:val="7C896B62"/>
    <w:rsid w:val="7CA227B8"/>
    <w:rsid w:val="7CA821D2"/>
    <w:rsid w:val="7CAE2851"/>
    <w:rsid w:val="7CB53907"/>
    <w:rsid w:val="7CC322D8"/>
    <w:rsid w:val="7CD341C6"/>
    <w:rsid w:val="7D00114D"/>
    <w:rsid w:val="7D017ED7"/>
    <w:rsid w:val="7D327BF0"/>
    <w:rsid w:val="7D530B8B"/>
    <w:rsid w:val="7D61205A"/>
    <w:rsid w:val="7D6C641A"/>
    <w:rsid w:val="7D815718"/>
    <w:rsid w:val="7DFB529C"/>
    <w:rsid w:val="7E010587"/>
    <w:rsid w:val="7E121CE7"/>
    <w:rsid w:val="7E1C4976"/>
    <w:rsid w:val="7E220734"/>
    <w:rsid w:val="7E2B33E9"/>
    <w:rsid w:val="7E3A4BC5"/>
    <w:rsid w:val="7E45707E"/>
    <w:rsid w:val="7E4B4DE6"/>
    <w:rsid w:val="7E59498D"/>
    <w:rsid w:val="7E63227B"/>
    <w:rsid w:val="7E6D383F"/>
    <w:rsid w:val="7E717212"/>
    <w:rsid w:val="7EBB0DF7"/>
    <w:rsid w:val="7EC6515A"/>
    <w:rsid w:val="7ECD28DB"/>
    <w:rsid w:val="7ED15400"/>
    <w:rsid w:val="7ED7769E"/>
    <w:rsid w:val="7EE74459"/>
    <w:rsid w:val="7EF00D35"/>
    <w:rsid w:val="7F0662C5"/>
    <w:rsid w:val="7F21355F"/>
    <w:rsid w:val="7F3537F8"/>
    <w:rsid w:val="7F443B8F"/>
    <w:rsid w:val="7F58461F"/>
    <w:rsid w:val="7F611D3F"/>
    <w:rsid w:val="7F947550"/>
    <w:rsid w:val="7F9D0E91"/>
    <w:rsid w:val="7FA34429"/>
    <w:rsid w:val="7FAA04CC"/>
    <w:rsid w:val="7FDE7E37"/>
    <w:rsid w:val="7FE82BA1"/>
    <w:rsid w:val="96CEA2FA"/>
    <w:rsid w:val="EEDF194D"/>
    <w:rsid w:val="EF810A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3">
    <w:name w:val="heading 1"/>
    <w:basedOn w:val="4"/>
    <w:next w:val="1"/>
    <w:link w:val="66"/>
    <w:autoRedefine/>
    <w:qFormat/>
    <w:uiPriority w:val="0"/>
    <w:pPr>
      <w:keepNext/>
      <w:adjustRightInd w:val="0"/>
      <w:spacing w:line="300" w:lineRule="auto"/>
      <w:jc w:val="center"/>
      <w:outlineLvl w:val="0"/>
    </w:pPr>
    <w:rPr>
      <w:rFonts w:ascii="Calibri" w:hAnsi="Calibri" w:eastAsia="宋体"/>
      <w:b/>
      <w:color w:val="000000"/>
    </w:rPr>
  </w:style>
  <w:style w:type="paragraph" w:styleId="5">
    <w:name w:val="heading 2"/>
    <w:basedOn w:val="1"/>
    <w:next w:val="6"/>
    <w:link w:val="60"/>
    <w:autoRedefine/>
    <w:qFormat/>
    <w:uiPriority w:val="0"/>
    <w:pPr>
      <w:keepNext/>
      <w:keepLines/>
      <w:adjustRightInd w:val="0"/>
      <w:ind w:firstLine="200" w:firstLineChars="200"/>
      <w:outlineLvl w:val="1"/>
    </w:pPr>
    <w:rPr>
      <w:rFonts w:cs="Arial"/>
      <w:b/>
      <w:bCs/>
      <w:szCs w:val="32"/>
    </w:rPr>
  </w:style>
  <w:style w:type="paragraph" w:styleId="8">
    <w:name w:val="heading 3"/>
    <w:basedOn w:val="1"/>
    <w:next w:val="1"/>
    <w:autoRedefine/>
    <w:qFormat/>
    <w:uiPriority w:val="0"/>
    <w:pPr>
      <w:widowControl/>
      <w:autoSpaceDE w:val="0"/>
      <w:autoSpaceDN w:val="0"/>
      <w:ind w:firstLine="200" w:firstLineChars="200"/>
      <w:outlineLvl w:val="2"/>
    </w:pPr>
    <w:rPr>
      <w:b/>
      <w:szCs w:val="20"/>
    </w:rPr>
  </w:style>
  <w:style w:type="paragraph" w:styleId="9">
    <w:name w:val="heading 4"/>
    <w:basedOn w:val="1"/>
    <w:next w:val="1"/>
    <w:link w:val="121"/>
    <w:autoRedefine/>
    <w:qFormat/>
    <w:uiPriority w:val="0"/>
    <w:pPr>
      <w:keepNext/>
      <w:keepLines/>
      <w:spacing w:before="280" w:after="290" w:line="376" w:lineRule="auto"/>
      <w:outlineLvl w:val="3"/>
    </w:pPr>
    <w:rPr>
      <w:rFonts w:ascii="Cambria" w:hAnsi="Cambria"/>
      <w:b/>
      <w:bCs/>
      <w:sz w:val="28"/>
      <w:szCs w:val="28"/>
    </w:rPr>
  </w:style>
  <w:style w:type="paragraph" w:styleId="10">
    <w:name w:val="heading 5"/>
    <w:basedOn w:val="1"/>
    <w:next w:val="1"/>
    <w:autoRedefine/>
    <w:qFormat/>
    <w:uiPriority w:val="0"/>
    <w:pPr>
      <w:keepNext/>
      <w:keepLines/>
      <w:adjustRightInd w:val="0"/>
      <w:spacing w:before="280" w:after="290" w:line="376" w:lineRule="auto"/>
      <w:ind w:firstLine="200" w:firstLineChars="200"/>
      <w:outlineLvl w:val="4"/>
    </w:pPr>
    <w:rPr>
      <w:b/>
      <w:bCs/>
      <w:sz w:val="28"/>
      <w:szCs w:val="28"/>
    </w:rPr>
  </w:style>
  <w:style w:type="character" w:default="1" w:styleId="51">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customStyle="1" w:styleId="2">
    <w:name w:val="DAS正文"/>
    <w:basedOn w:val="1"/>
    <w:autoRedefine/>
    <w:qFormat/>
    <w:uiPriority w:val="0"/>
    <w:pPr>
      <w:spacing w:line="360" w:lineRule="auto"/>
      <w:ind w:right="181" w:firstLine="480" w:firstLineChars="200"/>
    </w:pPr>
    <w:rPr>
      <w:rFonts w:ascii="Verdana" w:hAnsi="Verdana"/>
    </w:rPr>
  </w:style>
  <w:style w:type="paragraph" w:customStyle="1" w:styleId="4">
    <w:name w:val="正文-目录"/>
    <w:autoRedefine/>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paragraph" w:styleId="6">
    <w:name w:val="Normal Indent"/>
    <w:basedOn w:val="1"/>
    <w:next w:val="7"/>
    <w:link w:val="69"/>
    <w:autoRedefine/>
    <w:qFormat/>
    <w:uiPriority w:val="0"/>
    <w:pPr>
      <w:ind w:firstLine="420"/>
    </w:pPr>
  </w:style>
  <w:style w:type="paragraph" w:styleId="7">
    <w:name w:val="toc 4"/>
    <w:basedOn w:val="1"/>
    <w:next w:val="1"/>
    <w:autoRedefine/>
    <w:qFormat/>
    <w:uiPriority w:val="39"/>
    <w:pPr>
      <w:ind w:left="630"/>
      <w:jc w:val="left"/>
    </w:pPr>
    <w:rPr>
      <w:szCs w:val="21"/>
    </w:rPr>
  </w:style>
  <w:style w:type="paragraph" w:styleId="11">
    <w:name w:val="List 3"/>
    <w:basedOn w:val="1"/>
    <w:autoRedefine/>
    <w:qFormat/>
    <w:uiPriority w:val="0"/>
    <w:pPr>
      <w:ind w:left="100" w:leftChars="400" w:hanging="200" w:hangingChars="200"/>
    </w:pPr>
    <w:rPr>
      <w:szCs w:val="20"/>
    </w:rPr>
  </w:style>
  <w:style w:type="paragraph" w:styleId="12">
    <w:name w:val="toc 7"/>
    <w:basedOn w:val="1"/>
    <w:next w:val="1"/>
    <w:autoRedefine/>
    <w:qFormat/>
    <w:uiPriority w:val="39"/>
    <w:pPr>
      <w:ind w:left="1260"/>
      <w:jc w:val="left"/>
    </w:pPr>
    <w:rPr>
      <w:szCs w:val="21"/>
    </w:rPr>
  </w:style>
  <w:style w:type="paragraph" w:styleId="13">
    <w:name w:val="Document Map"/>
    <w:basedOn w:val="1"/>
    <w:autoRedefine/>
    <w:semiHidden/>
    <w:qFormat/>
    <w:uiPriority w:val="0"/>
    <w:pPr>
      <w:shd w:val="clear" w:color="auto" w:fill="000080"/>
    </w:pPr>
  </w:style>
  <w:style w:type="paragraph" w:styleId="14">
    <w:name w:val="annotation text"/>
    <w:basedOn w:val="1"/>
    <w:autoRedefine/>
    <w:semiHidden/>
    <w:qFormat/>
    <w:uiPriority w:val="0"/>
    <w:pPr>
      <w:jc w:val="left"/>
    </w:pPr>
  </w:style>
  <w:style w:type="paragraph" w:styleId="15">
    <w:name w:val="Body Text 3"/>
    <w:basedOn w:val="1"/>
    <w:autoRedefine/>
    <w:qFormat/>
    <w:uiPriority w:val="0"/>
    <w:pPr>
      <w:spacing w:line="440" w:lineRule="atLeast"/>
      <w:jc w:val="center"/>
    </w:pPr>
    <w:rPr>
      <w:rFonts w:ascii="楷体_GB2312" w:eastAsia="楷体_GB2312"/>
      <w:b/>
      <w:color w:val="000000"/>
      <w:sz w:val="30"/>
    </w:rPr>
  </w:style>
  <w:style w:type="paragraph" w:styleId="16">
    <w:name w:val="Body Text"/>
    <w:basedOn w:val="1"/>
    <w:next w:val="17"/>
    <w:autoRedefine/>
    <w:qFormat/>
    <w:uiPriority w:val="0"/>
    <w:pPr>
      <w:adjustRightInd w:val="0"/>
      <w:spacing w:line="315" w:lineRule="atLeast"/>
      <w:jc w:val="left"/>
      <w:textAlignment w:val="baseline"/>
    </w:pPr>
    <w:rPr>
      <w:rFonts w:ascii="仿宋_GB2312" w:eastAsia="仿宋_GB2312"/>
      <w:kern w:val="0"/>
      <w:sz w:val="28"/>
      <w:szCs w:val="20"/>
    </w:rPr>
  </w:style>
  <w:style w:type="paragraph" w:styleId="17">
    <w:name w:val="Body Text First Indent"/>
    <w:basedOn w:val="16"/>
    <w:autoRedefine/>
    <w:qFormat/>
    <w:uiPriority w:val="0"/>
    <w:pPr>
      <w:spacing w:after="120" w:line="288" w:lineRule="auto"/>
      <w:ind w:firstLine="420" w:firstLineChars="100"/>
      <w:jc w:val="both"/>
      <w:textAlignment w:val="auto"/>
    </w:pPr>
    <w:rPr>
      <w:rFonts w:ascii="Times New Roman" w:eastAsia="宋体"/>
      <w:kern w:val="2"/>
      <w:sz w:val="21"/>
    </w:rPr>
  </w:style>
  <w:style w:type="paragraph" w:styleId="18">
    <w:name w:val="Body Text Indent"/>
    <w:basedOn w:val="1"/>
    <w:next w:val="19"/>
    <w:autoRedefine/>
    <w:qFormat/>
    <w:uiPriority w:val="0"/>
    <w:pPr>
      <w:widowControl/>
      <w:autoSpaceDE w:val="0"/>
      <w:autoSpaceDN w:val="0"/>
      <w:spacing w:before="120" w:line="400" w:lineRule="atLeast"/>
      <w:ind w:firstLine="570"/>
      <w:textAlignment w:val="bottom"/>
    </w:pPr>
    <w:rPr>
      <w:rFonts w:ascii="宋体"/>
      <w:kern w:val="0"/>
      <w:sz w:val="24"/>
      <w:szCs w:val="20"/>
    </w:rPr>
  </w:style>
  <w:style w:type="paragraph" w:styleId="19">
    <w:name w:val="Body Text First Indent 2"/>
    <w:basedOn w:val="18"/>
    <w:next w:val="20"/>
    <w:autoRedefine/>
    <w:unhideWhenUsed/>
    <w:qFormat/>
    <w:uiPriority w:val="99"/>
    <w:pPr>
      <w:tabs>
        <w:tab w:val="left" w:pos="0"/>
        <w:tab w:val="left" w:pos="993"/>
        <w:tab w:val="left" w:pos="1134"/>
      </w:tabs>
      <w:ind w:firstLine="420" w:firstLineChars="200"/>
    </w:pPr>
  </w:style>
  <w:style w:type="paragraph" w:customStyle="1" w:styleId="20">
    <w:name w:val="xl53"/>
    <w:basedOn w:val="21"/>
    <w:next w:val="1"/>
    <w:autoRedefine/>
    <w:qFormat/>
    <w:uiPriority w:val="0"/>
    <w:pPr>
      <w:spacing w:before="100" w:beforeAutospacing="1"/>
    </w:pPr>
    <w:rPr>
      <w:rFonts w:ascii="宋体" w:hAnsi="宋体"/>
      <w:b/>
      <w:bCs/>
      <w:sz w:val="24"/>
    </w:rPr>
  </w:style>
  <w:style w:type="paragraph" w:customStyle="1" w:styleId="21">
    <w:name w:val="正文（四号）"/>
    <w:basedOn w:val="1"/>
    <w:autoRedefine/>
    <w:qFormat/>
    <w:uiPriority w:val="0"/>
    <w:rPr>
      <w:rFonts w:cs="宋体"/>
      <w:szCs w:val="28"/>
    </w:rPr>
  </w:style>
  <w:style w:type="paragraph" w:styleId="22">
    <w:name w:val="List 2"/>
    <w:basedOn w:val="1"/>
    <w:autoRedefine/>
    <w:qFormat/>
    <w:uiPriority w:val="0"/>
    <w:pPr>
      <w:ind w:left="100" w:leftChars="200" w:hanging="200" w:hangingChars="200"/>
    </w:pPr>
  </w:style>
  <w:style w:type="paragraph" w:styleId="23">
    <w:name w:val="Block Text"/>
    <w:basedOn w:val="1"/>
    <w:autoRedefine/>
    <w:qFormat/>
    <w:uiPriority w:val="0"/>
    <w:pPr>
      <w:adjustRightInd w:val="0"/>
      <w:ind w:left="420" w:right="33"/>
      <w:jc w:val="left"/>
    </w:pPr>
    <w:rPr>
      <w:kern w:val="0"/>
      <w:sz w:val="24"/>
      <w:szCs w:val="20"/>
    </w:rPr>
  </w:style>
  <w:style w:type="paragraph" w:styleId="24">
    <w:name w:val="toc 5"/>
    <w:basedOn w:val="1"/>
    <w:next w:val="1"/>
    <w:autoRedefine/>
    <w:qFormat/>
    <w:uiPriority w:val="39"/>
    <w:pPr>
      <w:ind w:left="840"/>
      <w:jc w:val="left"/>
    </w:pPr>
    <w:rPr>
      <w:szCs w:val="21"/>
    </w:rPr>
  </w:style>
  <w:style w:type="paragraph" w:styleId="25">
    <w:name w:val="toc 3"/>
    <w:basedOn w:val="1"/>
    <w:next w:val="1"/>
    <w:autoRedefine/>
    <w:qFormat/>
    <w:uiPriority w:val="39"/>
    <w:pPr>
      <w:adjustRightInd w:val="0"/>
      <w:spacing w:line="360" w:lineRule="auto"/>
      <w:ind w:left="420"/>
      <w:jc w:val="left"/>
    </w:pPr>
    <w:rPr>
      <w:iCs/>
    </w:rPr>
  </w:style>
  <w:style w:type="paragraph" w:styleId="26">
    <w:name w:val="Plain Text"/>
    <w:basedOn w:val="1"/>
    <w:link w:val="118"/>
    <w:autoRedefine/>
    <w:qFormat/>
    <w:uiPriority w:val="0"/>
    <w:rPr>
      <w:rFonts w:ascii="宋体" w:hAnsi="Courier New"/>
      <w:szCs w:val="20"/>
    </w:rPr>
  </w:style>
  <w:style w:type="paragraph" w:styleId="27">
    <w:name w:val="toc 8"/>
    <w:basedOn w:val="1"/>
    <w:next w:val="1"/>
    <w:autoRedefine/>
    <w:qFormat/>
    <w:uiPriority w:val="39"/>
    <w:pPr>
      <w:ind w:left="1470"/>
      <w:jc w:val="left"/>
    </w:pPr>
    <w:rPr>
      <w:szCs w:val="21"/>
    </w:rPr>
  </w:style>
  <w:style w:type="paragraph" w:styleId="28">
    <w:name w:val="Date"/>
    <w:basedOn w:val="1"/>
    <w:next w:val="1"/>
    <w:autoRedefine/>
    <w:qFormat/>
    <w:uiPriority w:val="0"/>
    <w:pPr>
      <w:ind w:left="100" w:leftChars="2500"/>
    </w:pPr>
    <w:rPr>
      <w:color w:val="000000"/>
      <w:sz w:val="24"/>
    </w:rPr>
  </w:style>
  <w:style w:type="paragraph" w:styleId="29">
    <w:name w:val="Body Text Indent 2"/>
    <w:basedOn w:val="1"/>
    <w:autoRedefine/>
    <w:qFormat/>
    <w:uiPriority w:val="0"/>
    <w:pPr>
      <w:widowControl/>
      <w:spacing w:line="480" w:lineRule="atLeast"/>
      <w:ind w:firstLine="480"/>
    </w:pPr>
    <w:rPr>
      <w:rFonts w:ascii="宋体"/>
      <w:kern w:val="0"/>
      <w:sz w:val="24"/>
      <w:szCs w:val="20"/>
    </w:rPr>
  </w:style>
  <w:style w:type="paragraph" w:styleId="30">
    <w:name w:val="Balloon Text"/>
    <w:basedOn w:val="1"/>
    <w:autoRedefine/>
    <w:semiHidden/>
    <w:qFormat/>
    <w:uiPriority w:val="0"/>
    <w:rPr>
      <w:sz w:val="18"/>
      <w:szCs w:val="18"/>
    </w:rPr>
  </w:style>
  <w:style w:type="paragraph" w:styleId="31">
    <w:name w:val="footer"/>
    <w:basedOn w:val="1"/>
    <w:link w:val="129"/>
    <w:autoRedefine/>
    <w:qFormat/>
    <w:uiPriority w:val="0"/>
    <w:pPr>
      <w:pBdr>
        <w:top w:val="single" w:color="auto" w:sz="4" w:space="1"/>
      </w:pBdr>
      <w:tabs>
        <w:tab w:val="center" w:pos="4153"/>
        <w:tab w:val="right" w:pos="8306"/>
      </w:tabs>
      <w:jc w:val="left"/>
    </w:pPr>
    <w:rPr>
      <w:sz w:val="18"/>
      <w:szCs w:val="18"/>
    </w:rPr>
  </w:style>
  <w:style w:type="paragraph" w:styleId="32">
    <w:name w:val="header"/>
    <w:basedOn w:val="1"/>
    <w:link w:val="119"/>
    <w:autoRedefine/>
    <w:qFormat/>
    <w:uiPriority w:val="0"/>
    <w:pPr>
      <w:pBdr>
        <w:bottom w:val="single" w:color="auto" w:sz="6" w:space="1"/>
      </w:pBdr>
      <w:tabs>
        <w:tab w:val="center" w:pos="4153"/>
        <w:tab w:val="right" w:pos="8306"/>
      </w:tabs>
      <w:jc w:val="center"/>
    </w:pPr>
    <w:rPr>
      <w:sz w:val="18"/>
      <w:szCs w:val="18"/>
    </w:rPr>
  </w:style>
  <w:style w:type="paragraph" w:styleId="33">
    <w:name w:val="toc 1"/>
    <w:basedOn w:val="1"/>
    <w:next w:val="1"/>
    <w:autoRedefine/>
    <w:qFormat/>
    <w:uiPriority w:val="39"/>
    <w:pPr>
      <w:tabs>
        <w:tab w:val="right" w:leader="dot" w:pos="9403"/>
      </w:tabs>
    </w:pPr>
    <w:rPr>
      <w:rFonts w:cs="Arial"/>
      <w:b/>
      <w:bCs/>
      <w:caps/>
    </w:rPr>
  </w:style>
  <w:style w:type="paragraph" w:styleId="34">
    <w:name w:val="Subtitle"/>
    <w:basedOn w:val="1"/>
    <w:next w:val="1"/>
    <w:link w:val="125"/>
    <w:autoRedefine/>
    <w:qFormat/>
    <w:uiPriority w:val="0"/>
    <w:pPr>
      <w:spacing w:before="240" w:after="60" w:line="312" w:lineRule="auto"/>
      <w:jc w:val="center"/>
      <w:outlineLvl w:val="1"/>
    </w:pPr>
    <w:rPr>
      <w:rFonts w:ascii="Cambria" w:hAnsi="Cambria"/>
      <w:b/>
      <w:bCs/>
      <w:kern w:val="28"/>
      <w:sz w:val="32"/>
      <w:szCs w:val="32"/>
    </w:rPr>
  </w:style>
  <w:style w:type="paragraph" w:styleId="35">
    <w:name w:val="List"/>
    <w:basedOn w:val="1"/>
    <w:autoRedefine/>
    <w:qFormat/>
    <w:uiPriority w:val="0"/>
    <w:pPr>
      <w:ind w:left="200" w:hanging="200" w:hangingChars="200"/>
    </w:pPr>
  </w:style>
  <w:style w:type="paragraph" w:styleId="36">
    <w:name w:val="toc 6"/>
    <w:basedOn w:val="1"/>
    <w:next w:val="1"/>
    <w:autoRedefine/>
    <w:qFormat/>
    <w:uiPriority w:val="39"/>
    <w:pPr>
      <w:ind w:left="1050"/>
      <w:jc w:val="left"/>
    </w:pPr>
    <w:rPr>
      <w:szCs w:val="21"/>
    </w:rPr>
  </w:style>
  <w:style w:type="paragraph" w:styleId="37">
    <w:name w:val="List 5"/>
    <w:basedOn w:val="1"/>
    <w:autoRedefine/>
    <w:qFormat/>
    <w:uiPriority w:val="0"/>
    <w:pPr>
      <w:ind w:left="100" w:leftChars="800" w:hanging="200" w:hangingChars="200"/>
    </w:pPr>
    <w:rPr>
      <w:szCs w:val="20"/>
    </w:rPr>
  </w:style>
  <w:style w:type="paragraph" w:styleId="38">
    <w:name w:val="Body Text Indent 3"/>
    <w:basedOn w:val="1"/>
    <w:autoRedefine/>
    <w:qFormat/>
    <w:uiPriority w:val="0"/>
    <w:pPr>
      <w:autoSpaceDE w:val="0"/>
      <w:autoSpaceDN w:val="0"/>
      <w:spacing w:line="400" w:lineRule="atLeast"/>
      <w:ind w:firstLine="443" w:firstLineChars="200"/>
      <w:textAlignment w:val="bottom"/>
    </w:pPr>
    <w:rPr>
      <w:rFonts w:eastAsia="黑体"/>
      <w:color w:val="000000"/>
      <w:sz w:val="24"/>
    </w:rPr>
  </w:style>
  <w:style w:type="paragraph" w:styleId="39">
    <w:name w:val="table of figures"/>
    <w:basedOn w:val="1"/>
    <w:next w:val="1"/>
    <w:autoRedefine/>
    <w:qFormat/>
    <w:uiPriority w:val="0"/>
    <w:pPr>
      <w:ind w:left="200" w:leftChars="200" w:hanging="200" w:hangingChars="200"/>
    </w:pPr>
  </w:style>
  <w:style w:type="paragraph" w:styleId="40">
    <w:name w:val="toc 2"/>
    <w:basedOn w:val="1"/>
    <w:next w:val="1"/>
    <w:autoRedefine/>
    <w:qFormat/>
    <w:uiPriority w:val="39"/>
    <w:pPr>
      <w:tabs>
        <w:tab w:val="right" w:leader="dot" w:pos="9403"/>
      </w:tabs>
      <w:spacing w:line="360" w:lineRule="auto"/>
      <w:ind w:firstLine="420" w:firstLineChars="200"/>
      <w:jc w:val="left"/>
    </w:pPr>
    <w:rPr>
      <w:rFonts w:ascii="Arial" w:hAnsi="Arial"/>
      <w:smallCaps/>
    </w:rPr>
  </w:style>
  <w:style w:type="paragraph" w:styleId="41">
    <w:name w:val="toc 9"/>
    <w:basedOn w:val="1"/>
    <w:next w:val="1"/>
    <w:autoRedefine/>
    <w:qFormat/>
    <w:uiPriority w:val="39"/>
    <w:pPr>
      <w:ind w:left="1680"/>
      <w:jc w:val="left"/>
    </w:pPr>
    <w:rPr>
      <w:szCs w:val="21"/>
    </w:rPr>
  </w:style>
  <w:style w:type="paragraph" w:styleId="42">
    <w:name w:val="Body Text 2"/>
    <w:basedOn w:val="1"/>
    <w:autoRedefine/>
    <w:qFormat/>
    <w:uiPriority w:val="0"/>
    <w:rPr>
      <w:b/>
      <w:bCs/>
      <w:color w:val="000000"/>
      <w:sz w:val="28"/>
    </w:rPr>
  </w:style>
  <w:style w:type="paragraph" w:styleId="43">
    <w:name w:val="List 4"/>
    <w:basedOn w:val="1"/>
    <w:autoRedefine/>
    <w:qFormat/>
    <w:uiPriority w:val="0"/>
    <w:pPr>
      <w:ind w:left="100" w:leftChars="600" w:hanging="200" w:hangingChars="200"/>
    </w:pPr>
    <w:rPr>
      <w:szCs w:val="20"/>
    </w:rPr>
  </w:style>
  <w:style w:type="paragraph" w:styleId="4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autoRedefine/>
    <w:semiHidden/>
    <w:qFormat/>
    <w:uiPriority w:val="0"/>
    <w:pPr>
      <w:ind w:firstLine="200" w:firstLineChars="200"/>
    </w:pPr>
    <w:rPr>
      <w:sz w:val="24"/>
    </w:rPr>
  </w:style>
  <w:style w:type="paragraph" w:styleId="47">
    <w:name w:val="Title"/>
    <w:basedOn w:val="1"/>
    <w:autoRedefine/>
    <w:qFormat/>
    <w:uiPriority w:val="0"/>
    <w:pPr>
      <w:jc w:val="center"/>
    </w:pPr>
    <w:rPr>
      <w:sz w:val="30"/>
    </w:rPr>
  </w:style>
  <w:style w:type="paragraph" w:styleId="48">
    <w:name w:val="annotation subject"/>
    <w:basedOn w:val="14"/>
    <w:next w:val="14"/>
    <w:autoRedefine/>
    <w:semiHidden/>
    <w:qFormat/>
    <w:uiPriority w:val="0"/>
    <w:rPr>
      <w:b/>
      <w:bCs/>
    </w:rPr>
  </w:style>
  <w:style w:type="table" w:styleId="50">
    <w:name w:val="Table Grid"/>
    <w:basedOn w:val="4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autoRedefine/>
    <w:qFormat/>
    <w:uiPriority w:val="0"/>
    <w:rPr>
      <w:b/>
      <w:bCs/>
    </w:rPr>
  </w:style>
  <w:style w:type="character" w:styleId="53">
    <w:name w:val="page number"/>
    <w:basedOn w:val="51"/>
    <w:autoRedefine/>
    <w:qFormat/>
    <w:uiPriority w:val="0"/>
    <w:rPr>
      <w:rFonts w:ascii="Calibri" w:hAnsi="Calibri" w:eastAsia="宋体"/>
    </w:rPr>
  </w:style>
  <w:style w:type="character" w:styleId="54">
    <w:name w:val="FollowedHyperlink"/>
    <w:autoRedefine/>
    <w:qFormat/>
    <w:uiPriority w:val="0"/>
    <w:rPr>
      <w:color w:val="800080"/>
      <w:u w:val="single"/>
    </w:rPr>
  </w:style>
  <w:style w:type="character" w:styleId="55">
    <w:name w:val="Emphasis"/>
    <w:autoRedefine/>
    <w:qFormat/>
    <w:uiPriority w:val="0"/>
    <w:rPr>
      <w:color w:val="CC0033"/>
    </w:rPr>
  </w:style>
  <w:style w:type="character" w:styleId="56">
    <w:name w:val="Hyperlink"/>
    <w:autoRedefine/>
    <w:qFormat/>
    <w:uiPriority w:val="99"/>
    <w:rPr>
      <w:color w:val="0000FF"/>
      <w:u w:val="single"/>
    </w:rPr>
  </w:style>
  <w:style w:type="character" w:styleId="57">
    <w:name w:val="annotation reference"/>
    <w:autoRedefine/>
    <w:semiHidden/>
    <w:qFormat/>
    <w:uiPriority w:val="0"/>
    <w:rPr>
      <w:sz w:val="21"/>
      <w:szCs w:val="21"/>
    </w:rPr>
  </w:style>
  <w:style w:type="paragraph" w:customStyle="1" w:styleId="58">
    <w:name w:val="正文首行缩进2字符"/>
    <w:basedOn w:val="1"/>
    <w:autoRedefine/>
    <w:qFormat/>
    <w:uiPriority w:val="0"/>
    <w:pPr>
      <w:widowControl/>
      <w:adjustRightInd w:val="0"/>
    </w:pPr>
  </w:style>
  <w:style w:type="paragraph" w:customStyle="1" w:styleId="59">
    <w:name w:val="目录 44"/>
    <w:next w:val="1"/>
    <w:autoRedefine/>
    <w:qFormat/>
    <w:uiPriority w:val="0"/>
    <w:pPr>
      <w:wordWrap w:val="0"/>
      <w:ind w:left="850"/>
      <w:jc w:val="both"/>
    </w:pPr>
    <w:rPr>
      <w:rFonts w:ascii="Times New Roman" w:hAnsi="Times New Roman" w:eastAsia="宋体" w:cs="Times New Roman"/>
      <w:sz w:val="21"/>
      <w:szCs w:val="22"/>
      <w:lang w:val="en-US" w:eastAsia="zh-CN" w:bidi="ar-SA"/>
    </w:rPr>
  </w:style>
  <w:style w:type="character" w:customStyle="1" w:styleId="60">
    <w:name w:val="标题 2 Char"/>
    <w:link w:val="5"/>
    <w:autoRedefine/>
    <w:qFormat/>
    <w:uiPriority w:val="0"/>
    <w:rPr>
      <w:rFonts w:ascii="Calibri" w:hAnsi="Calibri" w:eastAsia="宋体" w:cs="Arial"/>
      <w:b/>
      <w:bCs/>
      <w:szCs w:val="32"/>
    </w:rPr>
  </w:style>
  <w:style w:type="character" w:customStyle="1" w:styleId="61">
    <w:name w:val="NormalCharacter"/>
    <w:autoRedefine/>
    <w:qFormat/>
    <w:uiPriority w:val="0"/>
    <w:rPr>
      <w:rFonts w:ascii="Calibri" w:hAnsi="Calibri" w:eastAsia="宋体" w:cs="Times New Roman"/>
      <w:kern w:val="2"/>
      <w:sz w:val="24"/>
      <w:lang w:val="en-US" w:eastAsia="zh-CN" w:bidi="ar-SA"/>
    </w:rPr>
  </w:style>
  <w:style w:type="paragraph" w:customStyle="1" w:styleId="62">
    <w:name w:val="Default"/>
    <w:next w:val="63"/>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6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5">
    <w:name w:val="首行缩进"/>
    <w:basedOn w:val="1"/>
    <w:autoRedefine/>
    <w:qFormat/>
    <w:uiPriority w:val="0"/>
    <w:pPr>
      <w:spacing w:line="360" w:lineRule="auto"/>
      <w:ind w:firstLine="480" w:firstLineChars="200"/>
    </w:pPr>
    <w:rPr>
      <w:rFonts w:hAnsi="宋体" w:cs="宋体"/>
      <w:sz w:val="24"/>
    </w:rPr>
  </w:style>
  <w:style w:type="character" w:customStyle="1" w:styleId="66">
    <w:name w:val="标题 1 Char"/>
    <w:link w:val="3"/>
    <w:autoRedefine/>
    <w:qFormat/>
    <w:uiPriority w:val="0"/>
    <w:rPr>
      <w:rFonts w:ascii="Calibri" w:hAnsi="Calibri" w:eastAsia="宋体"/>
      <w:b/>
      <w:color w:val="000000"/>
      <w:sz w:val="28"/>
    </w:rPr>
  </w:style>
  <w:style w:type="paragraph" w:customStyle="1" w:styleId="67">
    <w:name w:val="样式1"/>
    <w:basedOn w:val="1"/>
    <w:next w:val="1"/>
    <w:link w:val="116"/>
    <w:autoRedefine/>
    <w:qFormat/>
    <w:uiPriority w:val="0"/>
    <w:pPr>
      <w:spacing w:line="400" w:lineRule="atLeast"/>
      <w:ind w:firstLine="200" w:firstLineChars="200"/>
    </w:pPr>
    <w:rPr>
      <w:rFonts w:ascii="宋体" w:hAnsi="宋体"/>
      <w:szCs w:val="21"/>
    </w:rPr>
  </w:style>
  <w:style w:type="character" w:customStyle="1" w:styleId="68">
    <w:name w:val="样式1 Char Char"/>
    <w:autoRedefine/>
    <w:qFormat/>
    <w:uiPriority w:val="0"/>
    <w:rPr>
      <w:rFonts w:ascii="Arial" w:hAnsi="Arial" w:eastAsia="宋体"/>
      <w:kern w:val="2"/>
      <w:sz w:val="21"/>
      <w:szCs w:val="24"/>
      <w:lang w:val="en-US" w:eastAsia="zh-CN" w:bidi="ar-SA"/>
    </w:rPr>
  </w:style>
  <w:style w:type="character" w:customStyle="1" w:styleId="69">
    <w:name w:val="正文缩进 Char"/>
    <w:link w:val="6"/>
    <w:autoRedefine/>
    <w:qFormat/>
    <w:uiPriority w:val="0"/>
    <w:rPr>
      <w:rFonts w:eastAsia="宋体"/>
      <w:kern w:val="2"/>
      <w:sz w:val="21"/>
      <w:szCs w:val="24"/>
      <w:lang w:val="en-US" w:eastAsia="zh-CN" w:bidi="ar-SA"/>
    </w:rPr>
  </w:style>
  <w:style w:type="paragraph" w:customStyle="1" w:styleId="70">
    <w:name w:val="Normal Indent1"/>
    <w:basedOn w:val="1"/>
    <w:autoRedefine/>
    <w:qFormat/>
    <w:uiPriority w:val="0"/>
    <w:pPr>
      <w:ind w:firstLine="420" w:firstLineChars="200"/>
    </w:pPr>
  </w:style>
  <w:style w:type="paragraph" w:customStyle="1" w:styleId="71">
    <w:name w:val="投标正文"/>
    <w:basedOn w:val="1"/>
    <w:link w:val="131"/>
    <w:autoRedefine/>
    <w:qFormat/>
    <w:uiPriority w:val="0"/>
    <w:pPr>
      <w:spacing w:line="360" w:lineRule="auto"/>
      <w:ind w:left="100" w:firstLine="480" w:firstLineChars="200"/>
    </w:pPr>
    <w:rPr>
      <w:kern w:val="0"/>
      <w:sz w:val="24"/>
    </w:rPr>
  </w:style>
  <w:style w:type="paragraph" w:customStyle="1" w:styleId="72">
    <w:name w:val="正文段"/>
    <w:basedOn w:val="1"/>
    <w:autoRedefine/>
    <w:qFormat/>
    <w:uiPriority w:val="0"/>
    <w:pPr>
      <w:spacing w:line="312" w:lineRule="auto"/>
      <w:ind w:firstLine="480" w:firstLineChars="200"/>
    </w:pPr>
    <w:rPr>
      <w:sz w:val="24"/>
      <w:szCs w:val="21"/>
    </w:rPr>
  </w:style>
  <w:style w:type="paragraph" w:customStyle="1" w:styleId="73">
    <w:name w:val="1"/>
    <w:basedOn w:val="1"/>
    <w:next w:val="38"/>
    <w:autoRedefine/>
    <w:qFormat/>
    <w:uiPriority w:val="0"/>
    <w:pPr>
      <w:widowControl/>
      <w:spacing w:line="440" w:lineRule="atLeast"/>
      <w:ind w:firstLine="480"/>
    </w:pPr>
    <w:rPr>
      <w:kern w:val="0"/>
      <w:sz w:val="24"/>
      <w:szCs w:val="20"/>
    </w:rPr>
  </w:style>
  <w:style w:type="paragraph" w:customStyle="1" w:styleId="74">
    <w:name w:val="Char4"/>
    <w:basedOn w:val="6"/>
    <w:autoRedefine/>
    <w:qFormat/>
    <w:uiPriority w:val="0"/>
    <w:pPr>
      <w:widowControl/>
      <w:spacing w:afterLines="50" w:line="360" w:lineRule="auto"/>
      <w:ind w:firstLine="480" w:firstLineChars="200"/>
      <w:jc w:val="left"/>
    </w:pPr>
  </w:style>
  <w:style w:type="paragraph" w:customStyle="1" w:styleId="75">
    <w:name w:val="正文1"/>
    <w:basedOn w:val="13"/>
    <w:next w:val="1"/>
    <w:autoRedefine/>
    <w:qFormat/>
    <w:uiPriority w:val="0"/>
    <w:pPr>
      <w:ind w:firstLine="200" w:firstLineChars="200"/>
    </w:pPr>
    <w:rPr>
      <w:sz w:val="24"/>
    </w:rPr>
  </w:style>
  <w:style w:type="paragraph" w:customStyle="1" w:styleId="76">
    <w:name w:val="内文正文"/>
    <w:basedOn w:val="26"/>
    <w:autoRedefine/>
    <w:qFormat/>
    <w:uiPriority w:val="0"/>
    <w:pPr>
      <w:adjustRightInd w:val="0"/>
      <w:spacing w:line="400" w:lineRule="exact"/>
      <w:ind w:firstLine="200" w:firstLineChars="200"/>
    </w:pPr>
    <w:rPr>
      <w:rFonts w:ascii="Arial" w:hAnsi="Arial" w:cs="Courier New"/>
      <w:color w:val="000000"/>
      <w:szCs w:val="21"/>
    </w:rPr>
  </w:style>
  <w:style w:type="paragraph" w:customStyle="1" w:styleId="77">
    <w:name w:val="正文2"/>
    <w:basedOn w:val="1"/>
    <w:link w:val="134"/>
    <w:autoRedefine/>
    <w:qFormat/>
    <w:uiPriority w:val="0"/>
    <w:pPr>
      <w:spacing w:before="156" w:line="360" w:lineRule="auto"/>
      <w:ind w:firstLine="510" w:firstLineChars="200"/>
    </w:pPr>
    <w:rPr>
      <w:sz w:val="24"/>
      <w:szCs w:val="20"/>
    </w:rPr>
  </w:style>
  <w:style w:type="paragraph" w:customStyle="1" w:styleId="78">
    <w:name w:val="Char1 Char Char Char Char Char Char"/>
    <w:basedOn w:val="1"/>
    <w:autoRedefine/>
    <w:qFormat/>
    <w:uiPriority w:val="0"/>
    <w:rPr>
      <w:rFonts w:ascii="仿宋_GB2312" w:eastAsia="仿宋_GB2312"/>
      <w:b/>
      <w:sz w:val="32"/>
      <w:szCs w:val="32"/>
    </w:rPr>
  </w:style>
  <w:style w:type="paragraph" w:customStyle="1" w:styleId="79">
    <w:name w:val="普通文字"/>
    <w:basedOn w:val="1"/>
    <w:autoRedefine/>
    <w:qFormat/>
    <w:uiPriority w:val="0"/>
    <w:pPr>
      <w:widowControl/>
      <w:spacing w:line="351" w:lineRule="atLeast"/>
      <w:ind w:firstLine="419"/>
      <w:textAlignment w:val="baseline"/>
    </w:pPr>
    <w:rPr>
      <w:rFonts w:ascii="宋体"/>
      <w:color w:val="000000"/>
      <w:kern w:val="0"/>
      <w:szCs w:val="20"/>
      <w:u w:color="000000"/>
    </w:rPr>
  </w:style>
  <w:style w:type="paragraph" w:customStyle="1" w:styleId="80">
    <w:name w:val="table_lines"/>
    <w:basedOn w:val="1"/>
    <w:autoRedefine/>
    <w:qFormat/>
    <w:uiPriority w:val="0"/>
    <w:pPr>
      <w:widowControl/>
      <w:jc w:val="left"/>
    </w:pPr>
    <w:rPr>
      <w:kern w:val="0"/>
      <w:sz w:val="20"/>
      <w:szCs w:val="20"/>
      <w:lang w:val="de-DE" w:eastAsia="de-DE"/>
    </w:rPr>
  </w:style>
  <w:style w:type="paragraph" w:customStyle="1" w:styleId="81">
    <w:name w:val="Char1 Char Char Char"/>
    <w:basedOn w:val="1"/>
    <w:autoRedefine/>
    <w:qFormat/>
    <w:uiPriority w:val="0"/>
    <w:rPr>
      <w:szCs w:val="20"/>
    </w:rPr>
  </w:style>
  <w:style w:type="paragraph" w:customStyle="1" w:styleId="82">
    <w:name w:val="g11"/>
    <w:basedOn w:val="1"/>
    <w:autoRedefine/>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83">
    <w:name w:val="普通(网站)1"/>
    <w:basedOn w:val="1"/>
    <w:autoRedefine/>
    <w:qFormat/>
    <w:uiPriority w:val="0"/>
    <w:pPr>
      <w:widowControl/>
      <w:jc w:val="left"/>
    </w:pPr>
    <w:rPr>
      <w:rFonts w:ascii="ˎ̥" w:hAnsi="ˎ̥" w:cs="宋体"/>
      <w:color w:val="000000"/>
      <w:kern w:val="0"/>
      <w:sz w:val="13"/>
      <w:szCs w:val="13"/>
    </w:rPr>
  </w:style>
  <w:style w:type="paragraph" w:customStyle="1" w:styleId="84">
    <w:name w:val="样式4"/>
    <w:basedOn w:val="31"/>
    <w:autoRedefine/>
    <w:qFormat/>
    <w:uiPriority w:val="0"/>
    <w:pPr>
      <w:pBdr>
        <w:bottom w:val="single" w:color="auto" w:sz="4" w:space="1"/>
      </w:pBdr>
      <w:tabs>
        <w:tab w:val="right" w:pos="9901"/>
        <w:tab w:val="clear" w:pos="4153"/>
        <w:tab w:val="clear" w:pos="8306"/>
      </w:tabs>
    </w:pPr>
    <w:rPr>
      <w:sz w:val="21"/>
    </w:rPr>
  </w:style>
  <w:style w:type="paragraph" w:customStyle="1" w:styleId="85">
    <w:name w:val="列出段落1"/>
    <w:basedOn w:val="1"/>
    <w:autoRedefine/>
    <w:qFormat/>
    <w:uiPriority w:val="0"/>
    <w:pPr>
      <w:ind w:firstLine="420" w:firstLineChars="200"/>
    </w:pPr>
  </w:style>
  <w:style w:type="paragraph" w:customStyle="1" w:styleId="86">
    <w:name w:val="普通(网站)11"/>
    <w:basedOn w:val="1"/>
    <w:autoRedefine/>
    <w:qFormat/>
    <w:uiPriority w:val="0"/>
    <w:pPr>
      <w:widowControl/>
      <w:jc w:val="left"/>
    </w:pPr>
    <w:rPr>
      <w:rFonts w:ascii="ˎ̥" w:hAnsi="ˎ̥" w:cs="宋体"/>
      <w:color w:val="000000"/>
      <w:kern w:val="0"/>
      <w:sz w:val="13"/>
      <w:szCs w:val="13"/>
    </w:rPr>
  </w:style>
  <w:style w:type="paragraph" w:customStyle="1" w:styleId="87">
    <w:name w:val="条文1"/>
    <w:basedOn w:val="1"/>
    <w:autoRedefine/>
    <w:qFormat/>
    <w:uiPriority w:val="0"/>
    <w:pPr>
      <w:tabs>
        <w:tab w:val="left" w:pos="720"/>
      </w:tabs>
      <w:spacing w:line="360" w:lineRule="auto"/>
    </w:pPr>
    <w:rPr>
      <w:rFonts w:ascii="MS UI Gothic" w:hAnsi="MS UI Gothic"/>
      <w:kern w:val="44"/>
      <w:sz w:val="24"/>
      <w:szCs w:val="20"/>
    </w:rPr>
  </w:style>
  <w:style w:type="paragraph" w:customStyle="1" w:styleId="88">
    <w:name w:val="Char1 Char Char Char Char Char Char1"/>
    <w:basedOn w:val="1"/>
    <w:autoRedefine/>
    <w:qFormat/>
    <w:uiPriority w:val="0"/>
    <w:rPr>
      <w:rFonts w:ascii="仿宋_GB2312" w:eastAsia="仿宋_GB2312"/>
      <w:b/>
      <w:sz w:val="32"/>
      <w:szCs w:val="32"/>
    </w:rPr>
  </w:style>
  <w:style w:type="paragraph" w:customStyle="1" w:styleId="89">
    <w:name w:val="Char2"/>
    <w:basedOn w:val="1"/>
    <w:autoRedefine/>
    <w:qFormat/>
    <w:uiPriority w:val="0"/>
    <w:rPr>
      <w:rFonts w:ascii="仿宋_GB2312" w:eastAsia="仿宋_GB2312"/>
      <w:b/>
      <w:sz w:val="32"/>
      <w:szCs w:val="32"/>
    </w:rPr>
  </w:style>
  <w:style w:type="paragraph" w:customStyle="1" w:styleId="90">
    <w:name w:val="样式3"/>
    <w:basedOn w:val="26"/>
    <w:autoRedefine/>
    <w:qFormat/>
    <w:uiPriority w:val="0"/>
    <w:pPr>
      <w:spacing w:line="0" w:lineRule="atLeast"/>
      <w:outlineLvl w:val="0"/>
    </w:pPr>
    <w:rPr>
      <w:sz w:val="28"/>
    </w:rPr>
  </w:style>
  <w:style w:type="paragraph" w:customStyle="1" w:styleId="91">
    <w:name w:val="_Style 71"/>
    <w:basedOn w:val="3"/>
    <w:next w:val="1"/>
    <w:autoRedefine/>
    <w:qFormat/>
    <w:uiPriority w:val="39"/>
    <w:pPr>
      <w:keepLines/>
      <w:widowControl/>
      <w:spacing w:before="480" w:line="276" w:lineRule="auto"/>
      <w:jc w:val="left"/>
      <w:outlineLvl w:val="9"/>
    </w:pPr>
    <w:rPr>
      <w:rFonts w:ascii="Cambria" w:hAnsi="Cambria"/>
      <w:b w:val="0"/>
      <w:bCs/>
      <w:color w:val="365F91"/>
      <w:kern w:val="0"/>
    </w:rPr>
  </w:style>
  <w:style w:type="paragraph" w:customStyle="1" w:styleId="92">
    <w:name w:val="Char"/>
    <w:basedOn w:val="1"/>
    <w:autoRedefine/>
    <w:qFormat/>
    <w:uiPriority w:val="0"/>
    <w:rPr>
      <w:rFonts w:ascii="仿宋_GB2312" w:eastAsia="仿宋_GB2312"/>
      <w:b/>
      <w:sz w:val="32"/>
      <w:szCs w:val="32"/>
    </w:rPr>
  </w:style>
  <w:style w:type="paragraph" w:customStyle="1" w:styleId="93">
    <w:name w:val="列出段落2"/>
    <w:basedOn w:val="1"/>
    <w:autoRedefine/>
    <w:qFormat/>
    <w:uiPriority w:val="0"/>
    <w:pPr>
      <w:ind w:firstLine="420" w:firstLineChars="200"/>
    </w:pPr>
  </w:style>
  <w:style w:type="paragraph" w:customStyle="1" w:styleId="94">
    <w:name w:val="样式 标题 2 + 首行缩进:  2 字符"/>
    <w:basedOn w:val="5"/>
    <w:autoRedefine/>
    <w:qFormat/>
    <w:uiPriority w:val="0"/>
    <w:pPr>
      <w:ind w:firstLine="482"/>
    </w:pPr>
    <w:rPr>
      <w:rFonts w:cs="宋体"/>
      <w:szCs w:val="20"/>
    </w:rPr>
  </w:style>
  <w:style w:type="paragraph" w:customStyle="1" w:styleId="95">
    <w:name w:val="gf正文1"/>
    <w:basedOn w:val="1"/>
    <w:link w:val="113"/>
    <w:autoRedefine/>
    <w:qFormat/>
    <w:uiPriority w:val="0"/>
    <w:pPr>
      <w:tabs>
        <w:tab w:val="left" w:pos="3240"/>
        <w:tab w:val="left" w:pos="3960"/>
      </w:tabs>
      <w:adjustRightInd w:val="0"/>
      <w:spacing w:line="360" w:lineRule="auto"/>
      <w:ind w:firstLine="480" w:firstLineChars="200"/>
    </w:pPr>
    <w:rPr>
      <w:rFonts w:ascii="宋体" w:hAnsi="宋体"/>
      <w:sz w:val="24"/>
      <w:szCs w:val="20"/>
    </w:rPr>
  </w:style>
  <w:style w:type="paragraph" w:customStyle="1" w:styleId="96">
    <w:name w:val="Char Char Char"/>
    <w:basedOn w:val="1"/>
    <w:autoRedefine/>
    <w:qFormat/>
    <w:uiPriority w:val="0"/>
    <w:rPr>
      <w:rFonts w:eastAsia="Times New Roman"/>
      <w:kern w:val="0"/>
      <w:sz w:val="20"/>
      <w:szCs w:val="20"/>
      <w:lang w:val="zh-CN"/>
    </w:rPr>
  </w:style>
  <w:style w:type="paragraph" w:customStyle="1" w:styleId="97">
    <w:name w:val="正文－恩普"/>
    <w:basedOn w:val="6"/>
    <w:autoRedefine/>
    <w:qFormat/>
    <w:uiPriority w:val="0"/>
    <w:pPr>
      <w:widowControl/>
      <w:spacing w:afterLines="50" w:line="360" w:lineRule="auto"/>
      <w:ind w:firstLine="480" w:firstLineChars="200"/>
      <w:jc w:val="left"/>
    </w:pPr>
    <w:rPr>
      <w:kern w:val="0"/>
      <w:sz w:val="24"/>
      <w:szCs w:val="20"/>
    </w:rPr>
  </w:style>
  <w:style w:type="paragraph" w:customStyle="1" w:styleId="98">
    <w:name w:val="默认段落字体 Para Char Char Char Char Char Char Char Char Char1 Char Char Char Char"/>
    <w:basedOn w:val="1"/>
    <w:autoRedefine/>
    <w:qFormat/>
    <w:uiPriority w:val="0"/>
    <w:rPr>
      <w:rFonts w:ascii="Tahoma" w:hAnsi="Tahoma"/>
      <w:sz w:val="24"/>
      <w:szCs w:val="20"/>
    </w:rPr>
  </w:style>
  <w:style w:type="paragraph" w:customStyle="1" w:styleId="99">
    <w:name w:val="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0">
    <w:name w:val="_Style 80"/>
    <w:basedOn w:val="1"/>
    <w:link w:val="115"/>
    <w:autoRedefine/>
    <w:qFormat/>
    <w:uiPriority w:val="0"/>
    <w:pPr>
      <w:ind w:firstLine="420" w:firstLineChars="200"/>
    </w:pPr>
    <w:rPr>
      <w:szCs w:val="22"/>
    </w:rPr>
  </w:style>
  <w:style w:type="paragraph" w:customStyle="1" w:styleId="101">
    <w:name w:val="Char21"/>
    <w:basedOn w:val="1"/>
    <w:autoRedefine/>
    <w:qFormat/>
    <w:uiPriority w:val="0"/>
    <w:rPr>
      <w:rFonts w:ascii="仿宋_GB2312" w:eastAsia="仿宋_GB2312"/>
      <w:b/>
      <w:sz w:val="32"/>
      <w:szCs w:val="32"/>
    </w:rPr>
  </w:style>
  <w:style w:type="paragraph" w:customStyle="1" w:styleId="102">
    <w:name w:val="Char3"/>
    <w:basedOn w:val="1"/>
    <w:link w:val="126"/>
    <w:autoRedefine/>
    <w:qFormat/>
    <w:uiPriority w:val="0"/>
    <w:rPr>
      <w:rFonts w:ascii="仿宋_GB2312" w:eastAsia="仿宋_GB2312"/>
      <w:b/>
      <w:sz w:val="32"/>
      <w:szCs w:val="32"/>
    </w:rPr>
  </w:style>
  <w:style w:type="paragraph" w:customStyle="1" w:styleId="103">
    <w:name w:val="四级目录 Char Char Char Char Char"/>
    <w:next w:val="1"/>
    <w:autoRedefine/>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04">
    <w:name w:val="正文文字缩进 3"/>
    <w:basedOn w:val="1"/>
    <w:autoRedefine/>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05">
    <w:name w:val="Char1 Char Char Char1"/>
    <w:basedOn w:val="1"/>
    <w:autoRedefine/>
    <w:qFormat/>
    <w:uiPriority w:val="0"/>
    <w:rPr>
      <w:szCs w:val="20"/>
    </w:rPr>
  </w:style>
  <w:style w:type="paragraph" w:customStyle="1" w:styleId="106">
    <w:name w:val="Char1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8">
    <w:name w:val="正文文字缩进 2"/>
    <w:basedOn w:val="1"/>
    <w:autoRedefine/>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09">
    <w:name w:val="样式 样式 标题 3 + (符号) 宋体 四号 加粗 黑色 段前: 0 磅 段后: 0 磅 行距: 固定值 22 磅 + 段前:..."/>
    <w:basedOn w:val="1"/>
    <w:autoRedefine/>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10">
    <w:name w:val="Char41"/>
    <w:basedOn w:val="6"/>
    <w:autoRedefine/>
    <w:qFormat/>
    <w:uiPriority w:val="0"/>
    <w:pPr>
      <w:widowControl/>
      <w:spacing w:afterLines="50" w:line="360" w:lineRule="auto"/>
      <w:ind w:firstLine="480" w:firstLineChars="200"/>
      <w:jc w:val="left"/>
    </w:pPr>
  </w:style>
  <w:style w:type="paragraph" w:customStyle="1" w:styleId="111">
    <w:name w:val="默认段落字体 Para Char"/>
    <w:basedOn w:val="1"/>
    <w:autoRedefine/>
    <w:qFormat/>
    <w:uiPriority w:val="0"/>
    <w:pPr>
      <w:numPr>
        <w:ilvl w:val="0"/>
        <w:numId w:val="1"/>
      </w:numPr>
      <w:tabs>
        <w:tab w:val="left" w:pos="454"/>
      </w:tabs>
    </w:pPr>
  </w:style>
  <w:style w:type="paragraph" w:customStyle="1" w:styleId="112">
    <w:name w:val="图"/>
    <w:basedOn w:val="1"/>
    <w:autoRedefine/>
    <w:qFormat/>
    <w:uiPriority w:val="0"/>
    <w:pPr>
      <w:keepNext/>
      <w:adjustRightInd w:val="0"/>
      <w:spacing w:before="60" w:after="60"/>
      <w:jc w:val="center"/>
      <w:textAlignment w:val="center"/>
    </w:pPr>
    <w:rPr>
      <w:snapToGrid w:val="0"/>
      <w:spacing w:val="20"/>
      <w:kern w:val="0"/>
      <w:sz w:val="24"/>
      <w:szCs w:val="20"/>
      <w:lang w:val="zh-CN"/>
    </w:rPr>
  </w:style>
  <w:style w:type="character" w:customStyle="1" w:styleId="113">
    <w:name w:val="gf正文1 Char"/>
    <w:link w:val="95"/>
    <w:autoRedefine/>
    <w:qFormat/>
    <w:uiPriority w:val="0"/>
    <w:rPr>
      <w:rFonts w:ascii="宋体" w:hAnsi="宋体" w:eastAsia="宋体"/>
      <w:kern w:val="2"/>
      <w:sz w:val="24"/>
      <w:lang w:val="en-US" w:eastAsia="zh-CN" w:bidi="ar-SA"/>
    </w:rPr>
  </w:style>
  <w:style w:type="character" w:customStyle="1" w:styleId="114">
    <w:name w:val="zbggmain style9"/>
    <w:basedOn w:val="51"/>
    <w:autoRedefine/>
    <w:qFormat/>
    <w:uiPriority w:val="0"/>
  </w:style>
  <w:style w:type="character" w:customStyle="1" w:styleId="115">
    <w:name w:val="列出段落 Char"/>
    <w:link w:val="100"/>
    <w:autoRedefine/>
    <w:qFormat/>
    <w:uiPriority w:val="0"/>
    <w:rPr>
      <w:rFonts w:ascii="Calibri" w:hAnsi="Calibri" w:eastAsia="宋体"/>
      <w:kern w:val="2"/>
      <w:sz w:val="21"/>
      <w:szCs w:val="22"/>
      <w:lang w:val="en-US" w:eastAsia="zh-CN" w:bidi="ar-SA"/>
    </w:rPr>
  </w:style>
  <w:style w:type="character" w:customStyle="1" w:styleId="116">
    <w:name w:val="样式1 Char"/>
    <w:link w:val="67"/>
    <w:autoRedefine/>
    <w:qFormat/>
    <w:uiPriority w:val="0"/>
    <w:rPr>
      <w:rFonts w:ascii="宋体" w:hAnsi="宋体" w:eastAsia="宋体"/>
      <w:kern w:val="2"/>
      <w:sz w:val="21"/>
      <w:szCs w:val="21"/>
      <w:lang w:val="en-US" w:eastAsia="zh-CN" w:bidi="ar-SA"/>
    </w:rPr>
  </w:style>
  <w:style w:type="character" w:customStyle="1" w:styleId="117">
    <w:name w:val="普通文字 Char Char1"/>
    <w:autoRedefine/>
    <w:qFormat/>
    <w:uiPriority w:val="0"/>
    <w:rPr>
      <w:rFonts w:ascii="宋体" w:hAnsi="Courier New" w:eastAsia="宋体"/>
      <w:kern w:val="2"/>
      <w:sz w:val="21"/>
      <w:lang w:val="en-US" w:eastAsia="zh-CN" w:bidi="ar-SA"/>
    </w:rPr>
  </w:style>
  <w:style w:type="character" w:customStyle="1" w:styleId="118">
    <w:name w:val="纯文本 Char"/>
    <w:link w:val="26"/>
    <w:autoRedefine/>
    <w:qFormat/>
    <w:uiPriority w:val="0"/>
    <w:rPr>
      <w:rFonts w:ascii="宋体" w:hAnsi="Courier New" w:eastAsia="宋体"/>
      <w:kern w:val="2"/>
      <w:sz w:val="21"/>
      <w:lang w:val="en-US" w:eastAsia="zh-CN" w:bidi="ar-SA"/>
    </w:rPr>
  </w:style>
  <w:style w:type="character" w:customStyle="1" w:styleId="119">
    <w:name w:val="页眉 Char"/>
    <w:link w:val="32"/>
    <w:autoRedefine/>
    <w:qFormat/>
    <w:uiPriority w:val="0"/>
    <w:rPr>
      <w:rFonts w:eastAsia="宋体"/>
      <w:kern w:val="2"/>
      <w:sz w:val="18"/>
      <w:szCs w:val="18"/>
      <w:lang w:val="en-US" w:eastAsia="zh-CN" w:bidi="ar-SA"/>
    </w:rPr>
  </w:style>
  <w:style w:type="character" w:customStyle="1" w:styleId="120">
    <w:name w:val="1page sec3 Char Char"/>
    <w:autoRedefine/>
    <w:qFormat/>
    <w:uiPriority w:val="0"/>
    <w:rPr>
      <w:rFonts w:eastAsia="宋体"/>
      <w:kern w:val="2"/>
      <w:sz w:val="18"/>
      <w:szCs w:val="18"/>
      <w:lang w:val="en-US" w:eastAsia="zh-CN" w:bidi="ar-SA"/>
    </w:rPr>
  </w:style>
  <w:style w:type="character" w:customStyle="1" w:styleId="121">
    <w:name w:val="标题 4 Char"/>
    <w:link w:val="9"/>
    <w:autoRedefine/>
    <w:semiHidden/>
    <w:qFormat/>
    <w:uiPriority w:val="0"/>
    <w:rPr>
      <w:rFonts w:ascii="Cambria" w:hAnsi="Cambria" w:eastAsia="宋体" w:cs="Times New Roman"/>
      <w:b/>
      <w:bCs/>
      <w:kern w:val="2"/>
      <w:sz w:val="28"/>
      <w:szCs w:val="28"/>
    </w:rPr>
  </w:style>
  <w:style w:type="character" w:customStyle="1" w:styleId="122">
    <w:name w:val="unnamed51"/>
    <w:autoRedefine/>
    <w:qFormat/>
    <w:uiPriority w:val="0"/>
    <w:rPr>
      <w:sz w:val="22"/>
      <w:szCs w:val="22"/>
    </w:rPr>
  </w:style>
  <w:style w:type="character" w:customStyle="1" w:styleId="123">
    <w:name w:val="Char Char3"/>
    <w:autoRedefine/>
    <w:qFormat/>
    <w:uiPriority w:val="0"/>
    <w:rPr>
      <w:rFonts w:ascii="Arial" w:hAnsi="Arial" w:eastAsia="宋体"/>
      <w:b/>
      <w:bCs/>
      <w:kern w:val="2"/>
      <w:sz w:val="21"/>
      <w:szCs w:val="32"/>
      <w:lang w:val="en-US" w:eastAsia="zh-CN" w:bidi="ar-SA"/>
    </w:rPr>
  </w:style>
  <w:style w:type="character" w:customStyle="1" w:styleId="124">
    <w:name w:val="普通文字 Char Char2"/>
    <w:autoRedefine/>
    <w:qFormat/>
    <w:uiPriority w:val="0"/>
    <w:rPr>
      <w:rFonts w:ascii="宋体" w:hAnsi="Courier New" w:eastAsia="宋体"/>
      <w:kern w:val="2"/>
      <w:sz w:val="21"/>
      <w:lang w:val="en-US" w:eastAsia="zh-CN" w:bidi="ar-SA"/>
    </w:rPr>
  </w:style>
  <w:style w:type="character" w:customStyle="1" w:styleId="125">
    <w:name w:val="副标题 Char"/>
    <w:link w:val="34"/>
    <w:autoRedefine/>
    <w:qFormat/>
    <w:uiPriority w:val="0"/>
    <w:rPr>
      <w:rFonts w:ascii="Cambria" w:hAnsi="Cambria"/>
      <w:b/>
      <w:bCs/>
      <w:kern w:val="28"/>
      <w:sz w:val="32"/>
      <w:szCs w:val="32"/>
    </w:rPr>
  </w:style>
  <w:style w:type="character" w:customStyle="1" w:styleId="126">
    <w:name w:val="Char Char Char1"/>
    <w:link w:val="102"/>
    <w:autoRedefine/>
    <w:qFormat/>
    <w:uiPriority w:val="0"/>
    <w:rPr>
      <w:rFonts w:ascii="仿宋_GB2312" w:eastAsia="仿宋_GB2312"/>
      <w:b/>
      <w:kern w:val="2"/>
      <w:sz w:val="32"/>
      <w:szCs w:val="32"/>
      <w:lang w:val="en-US" w:eastAsia="zh-CN" w:bidi="ar-SA"/>
    </w:rPr>
  </w:style>
  <w:style w:type="character" w:customStyle="1" w:styleId="127">
    <w:name w:val="Char Char"/>
    <w:autoRedefine/>
    <w:qFormat/>
    <w:uiPriority w:val="0"/>
    <w:rPr>
      <w:rFonts w:eastAsia="宋体"/>
      <w:kern w:val="2"/>
      <w:sz w:val="18"/>
      <w:szCs w:val="18"/>
      <w:lang w:val="en-US" w:eastAsia="zh-CN" w:bidi="ar-SA"/>
    </w:rPr>
  </w:style>
  <w:style w:type="character" w:customStyle="1" w:styleId="128">
    <w:name w:val="Char Char2"/>
    <w:autoRedefine/>
    <w:qFormat/>
    <w:uiPriority w:val="0"/>
    <w:rPr>
      <w:rFonts w:ascii="宋体" w:hAnsi="Courier New" w:eastAsia="宋体" w:cs="Courier New"/>
      <w:kern w:val="2"/>
      <w:sz w:val="21"/>
      <w:szCs w:val="21"/>
      <w:lang w:val="en-US" w:eastAsia="zh-CN" w:bidi="ar-SA"/>
    </w:rPr>
  </w:style>
  <w:style w:type="character" w:customStyle="1" w:styleId="129">
    <w:name w:val="页脚 Char"/>
    <w:link w:val="31"/>
    <w:autoRedefine/>
    <w:qFormat/>
    <w:uiPriority w:val="0"/>
    <w:rPr>
      <w:rFonts w:ascii="Calibri" w:hAnsi="Calibri" w:eastAsia="宋体"/>
      <w:kern w:val="2"/>
      <w:sz w:val="18"/>
      <w:szCs w:val="18"/>
      <w:lang w:val="en-US" w:eastAsia="zh-CN" w:bidi="ar-SA"/>
    </w:rPr>
  </w:style>
  <w:style w:type="character" w:customStyle="1" w:styleId="130">
    <w:name w:val="特点 Char"/>
    <w:autoRedefine/>
    <w:qFormat/>
    <w:uiPriority w:val="0"/>
    <w:rPr>
      <w:rFonts w:eastAsia="宋体"/>
      <w:kern w:val="2"/>
      <w:sz w:val="21"/>
      <w:szCs w:val="24"/>
      <w:lang w:val="en-US" w:eastAsia="zh-CN" w:bidi="ar-SA"/>
    </w:rPr>
  </w:style>
  <w:style w:type="character" w:customStyle="1" w:styleId="131">
    <w:name w:val="投标正文 Char"/>
    <w:link w:val="71"/>
    <w:autoRedefine/>
    <w:qFormat/>
    <w:uiPriority w:val="0"/>
    <w:rPr>
      <w:rFonts w:ascii="Calibri" w:hAnsi="Calibri"/>
      <w:sz w:val="24"/>
      <w:szCs w:val="24"/>
    </w:rPr>
  </w:style>
  <w:style w:type="character" w:customStyle="1" w:styleId="132">
    <w:name w:val="样式1 Char Char Char"/>
    <w:autoRedefine/>
    <w:qFormat/>
    <w:uiPriority w:val="0"/>
    <w:rPr>
      <w:rFonts w:ascii="Arial" w:hAnsi="Arial" w:eastAsia="宋体"/>
      <w:kern w:val="2"/>
      <w:sz w:val="21"/>
      <w:szCs w:val="24"/>
      <w:lang w:val="en-US" w:eastAsia="zh-CN" w:bidi="ar-SA"/>
    </w:rPr>
  </w:style>
  <w:style w:type="character" w:customStyle="1" w:styleId="133">
    <w:name w:val="Char Char31"/>
    <w:autoRedefine/>
    <w:qFormat/>
    <w:uiPriority w:val="0"/>
    <w:rPr>
      <w:rFonts w:ascii="Arial" w:hAnsi="Arial" w:eastAsia="宋体"/>
      <w:b/>
      <w:bCs/>
      <w:kern w:val="2"/>
      <w:sz w:val="21"/>
      <w:szCs w:val="32"/>
      <w:lang w:val="en-US" w:eastAsia="zh-CN" w:bidi="ar-SA"/>
    </w:rPr>
  </w:style>
  <w:style w:type="character" w:customStyle="1" w:styleId="134">
    <w:name w:val="正文2 Char"/>
    <w:link w:val="77"/>
    <w:autoRedefine/>
    <w:qFormat/>
    <w:uiPriority w:val="0"/>
    <w:rPr>
      <w:rFonts w:eastAsia="宋体"/>
      <w:kern w:val="2"/>
      <w:sz w:val="24"/>
      <w:lang w:bidi="ar-SA"/>
    </w:rPr>
  </w:style>
  <w:style w:type="character" w:customStyle="1" w:styleId="135">
    <w:name w:val="srt131"/>
    <w:autoRedefine/>
    <w:qFormat/>
    <w:uiPriority w:val="0"/>
    <w:rPr>
      <w:rFonts w:ascii="srt" w:eastAsia="宋体"/>
      <w:color w:val="000000"/>
      <w:spacing w:val="0"/>
      <w:w w:val="100"/>
      <w:sz w:val="21"/>
      <w:u w:val="none" w:color="000000"/>
      <w:vertAlign w:val="baseline"/>
      <w:lang w:val="en-US" w:eastAsia="zh-CN"/>
    </w:rPr>
  </w:style>
  <w:style w:type="paragraph" w:styleId="136">
    <w:name w:val="List Paragraph"/>
    <w:basedOn w:val="1"/>
    <w:autoRedefine/>
    <w:qFormat/>
    <w:uiPriority w:val="99"/>
    <w:pPr>
      <w:ind w:firstLine="420" w:firstLineChars="200"/>
    </w:pPr>
    <w:rPr>
      <w:szCs w:val="22"/>
    </w:rPr>
  </w:style>
  <w:style w:type="paragraph" w:customStyle="1" w:styleId="137">
    <w:name w:val="列出段落3"/>
    <w:basedOn w:val="1"/>
    <w:autoRedefine/>
    <w:unhideWhenUsed/>
    <w:qFormat/>
    <w:uiPriority w:val="99"/>
    <w:pPr>
      <w:ind w:firstLine="420" w:firstLineChars="200"/>
    </w:pPr>
  </w:style>
  <w:style w:type="paragraph" w:customStyle="1" w:styleId="138">
    <w:name w:val="纯文本1"/>
    <w:basedOn w:val="75"/>
    <w:autoRedefine/>
    <w:qFormat/>
    <w:uiPriority w:val="0"/>
    <w:pPr>
      <w:widowControl/>
      <w:jc w:val="left"/>
    </w:pPr>
    <w:rPr>
      <w:rFonts w:ascii="宋体" w:hAnsi="Courier New"/>
      <w:szCs w:val="20"/>
    </w:rPr>
  </w:style>
  <w:style w:type="paragraph" w:customStyle="1" w:styleId="139">
    <w:name w:val="[Normal]"/>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40">
    <w:name w:val="纯文本2"/>
    <w:basedOn w:val="1"/>
    <w:autoRedefine/>
    <w:qFormat/>
    <w:uiPriority w:val="0"/>
    <w:rPr>
      <w:rFonts w:ascii="宋体" w:hAnsi="Courier New"/>
      <w:szCs w:val="20"/>
    </w:rPr>
  </w:style>
  <w:style w:type="paragraph" w:customStyle="1" w:styleId="141">
    <w:name w:val="No Spacing1"/>
    <w:autoRedefine/>
    <w:qFormat/>
    <w:uiPriority w:val="0"/>
    <w:rPr>
      <w:rFonts w:ascii="Times New Roman" w:hAnsi="Times New Roman" w:eastAsia="??" w:cs="宋体"/>
      <w:sz w:val="22"/>
      <w:szCs w:val="22"/>
      <w:lang w:val="en-US" w:eastAsia="en-US" w:bidi="ar-SA"/>
    </w:rPr>
  </w:style>
  <w:style w:type="paragraph" w:customStyle="1" w:styleId="142">
    <w:name w:val="列表段落1"/>
    <w:basedOn w:val="1"/>
    <w:autoRedefine/>
    <w:qFormat/>
    <w:uiPriority w:val="0"/>
    <w:pPr>
      <w:ind w:firstLine="420" w:firstLineChars="200"/>
    </w:pPr>
    <w:rPr>
      <w:szCs w:val="22"/>
    </w:rPr>
  </w:style>
  <w:style w:type="paragraph" w:customStyle="1" w:styleId="143">
    <w:name w:val="Body text|1"/>
    <w:basedOn w:val="1"/>
    <w:autoRedefine/>
    <w:qFormat/>
    <w:uiPriority w:val="0"/>
    <w:pPr>
      <w:spacing w:line="401" w:lineRule="auto"/>
      <w:ind w:firstLine="400"/>
    </w:pPr>
    <w:rPr>
      <w:rFonts w:ascii="宋体" w:hAnsi="宋体" w:cs="宋体"/>
      <w:sz w:val="30"/>
      <w:szCs w:val="30"/>
      <w:lang w:val="zh-TW" w:eastAsia="zh-TW" w:bidi="zh-TW"/>
    </w:rPr>
  </w:style>
  <w:style w:type="character" w:styleId="144">
    <w:name w:val="Placeholder Text"/>
    <w:basedOn w:val="51"/>
    <w:autoRedefine/>
    <w:unhideWhenUsed/>
    <w:qFormat/>
    <w:uiPriority w:val="99"/>
    <w:rPr>
      <w:color w:val="808080"/>
    </w:rPr>
  </w:style>
  <w:style w:type="paragraph" w:customStyle="1" w:styleId="145">
    <w:name w:val="章正文"/>
    <w:basedOn w:val="1"/>
    <w:autoRedefine/>
    <w:qFormat/>
    <w:uiPriority w:val="0"/>
    <w:pPr>
      <w:adjustRightInd/>
      <w:spacing w:beforeLines="50" w:after="120"/>
      <w:ind w:firstLine="480" w:firstLineChars="200"/>
    </w:pPr>
    <w:rPr>
      <w:rFonts w:ascii="Helvetica" w:hAnsi="Helvetica"/>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30546</Words>
  <Characters>32469</Characters>
  <Lines>229</Lines>
  <Paragraphs>64</Paragraphs>
  <TotalTime>59</TotalTime>
  <ScaleCrop>false</ScaleCrop>
  <LinksUpToDate>false</LinksUpToDate>
  <CharactersWithSpaces>32946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2022-12-30T09:06:00Z</dcterms:created>
  <dc:creator>lyj</dc:creator>
  <cp:lastModifiedBy>俞婧姈</cp:lastModifiedBy>
  <cp:lastPrinted>2022-11-01T09:13:00Z</cp:lastPrinted>
  <dcterms:modified xsi:type="dcterms:W3CDTF">2024-04-24T00:43:34Z</dcterms:modified>
  <dc:title>招标文件</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6C774189658846EDB787B5F3305E467E_13</vt:lpwstr>
  </property>
</Properties>
</file>