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_GB2312" w:hAnsi="仿宋" w:eastAsia="仿宋_GB2312" w:cs="仿宋_GB2312"/>
          <w:b/>
          <w:sz w:val="28"/>
          <w:szCs w:val="28"/>
        </w:rPr>
      </w:pPr>
    </w:p>
    <w:p>
      <w:pPr>
        <w:adjustRightInd/>
        <w:spacing w:line="360" w:lineRule="auto"/>
        <w:jc w:val="center"/>
        <w:rPr>
          <w:rFonts w:hint="eastAsia" w:ascii="仿宋" w:hAnsi="仿宋" w:eastAsia="仿宋" w:cs="仿宋_GB2312"/>
          <w:b/>
          <w:bCs/>
          <w:sz w:val="48"/>
          <w:szCs w:val="48"/>
          <w:lang w:eastAsia="zh-CN"/>
        </w:rPr>
      </w:pPr>
      <w:r>
        <w:rPr>
          <w:rFonts w:hint="eastAsia" w:ascii="仿宋" w:hAnsi="仿宋" w:eastAsia="仿宋" w:cs="仿宋_GB2312"/>
          <w:b/>
          <w:bCs/>
          <w:sz w:val="48"/>
          <w:szCs w:val="48"/>
          <w:lang w:eastAsia="zh-CN"/>
        </w:rPr>
        <w:t>於潜“耕织云图”数字田园集成创新示范区项目（一期）</w:t>
      </w:r>
    </w:p>
    <w:p>
      <w:pPr>
        <w:pStyle w:val="2"/>
      </w:pPr>
    </w:p>
    <w:p>
      <w:pPr>
        <w:adjustRightInd/>
        <w:spacing w:line="360" w:lineRule="auto"/>
        <w:jc w:val="center"/>
        <w:rPr>
          <w:rFonts w:ascii="仿宋" w:hAnsi="仿宋" w:eastAsia="仿宋" w:cs="仿宋_GB2312"/>
          <w:b/>
          <w:bCs/>
          <w:sz w:val="72"/>
          <w:szCs w:val="72"/>
        </w:rPr>
      </w:pPr>
      <w:r>
        <w:rPr>
          <w:rFonts w:hint="eastAsia" w:ascii="仿宋" w:hAnsi="仿宋" w:eastAsia="仿宋" w:cs="仿宋_GB2312"/>
          <w:b/>
          <w:bCs/>
          <w:sz w:val="72"/>
          <w:szCs w:val="72"/>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306</w:t>
      </w:r>
      <w:r>
        <w:rPr>
          <w:rFonts w:hint="eastAsia" w:ascii="仿宋" w:hAnsi="仿宋" w:eastAsia="仿宋" w:cs="仿宋_GB2312"/>
          <w:sz w:val="30"/>
          <w:szCs w:val="30"/>
        </w:rPr>
        <w:t>号</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pStyle w:val="2"/>
        <w:rPr>
          <w:rFonts w:ascii="仿宋" w:hAnsi="仿宋" w:eastAsia="仿宋" w:cs="仿宋_GB2312"/>
          <w:sz w:val="32"/>
          <w:szCs w:val="32"/>
        </w:rPr>
      </w:pPr>
    </w:p>
    <w:p>
      <w:pPr>
        <w:rPr>
          <w:rFonts w:ascii="仿宋" w:hAnsi="仿宋" w:eastAsia="仿宋" w:cs="仿宋_GB2312"/>
          <w:sz w:val="32"/>
          <w:szCs w:val="32"/>
        </w:rPr>
      </w:pPr>
    </w:p>
    <w:p>
      <w:pPr>
        <w:pStyle w:val="2"/>
      </w:pPr>
    </w:p>
    <w:p>
      <w:pPr>
        <w:pageBreakBefore w:val="0"/>
        <w:widowControl w:val="0"/>
        <w:kinsoku/>
        <w:wordWrap/>
        <w:overflowPunct/>
        <w:topLinePunct w:val="0"/>
        <w:autoSpaceDE/>
        <w:autoSpaceDN/>
        <w:bidi w:val="0"/>
        <w:snapToGrid w:val="0"/>
        <w:spacing w:line="360" w:lineRule="auto"/>
        <w:ind w:left="0" w:leftChars="0" w:firstLine="1280" w:firstLineChars="400"/>
        <w:jc w:val="both"/>
        <w:textAlignment w:val="auto"/>
        <w:rPr>
          <w:rFonts w:hint="eastAsia" w:ascii="仿宋" w:hAnsi="仿宋" w:eastAsia="仿宋" w:cs="仿宋_GB2312"/>
          <w:sz w:val="32"/>
          <w:szCs w:val="32"/>
          <w:lang w:val="en-US" w:eastAsia="zh-CN"/>
        </w:rPr>
      </w:pPr>
      <w:r>
        <w:rPr>
          <w:rFonts w:hint="eastAsia" w:ascii="仿宋" w:hAnsi="仿宋" w:eastAsia="仿宋" w:cs="仿宋_GB2312"/>
          <w:bCs/>
          <w:color w:val="000000"/>
          <w:sz w:val="32"/>
          <w:szCs w:val="32"/>
        </w:rPr>
        <w:t>采购单位：</w:t>
      </w:r>
      <w:r>
        <w:rPr>
          <w:rFonts w:hint="eastAsia" w:ascii="仿宋" w:hAnsi="仿宋" w:eastAsia="仿宋" w:cs="仿宋_GB2312"/>
          <w:bCs/>
          <w:color w:val="000000"/>
          <w:sz w:val="32"/>
          <w:szCs w:val="32"/>
          <w:lang w:eastAsia="zh-CN"/>
        </w:rPr>
        <w:t>杭州市临安区於潜镇人民政府</w:t>
      </w:r>
    </w:p>
    <w:p>
      <w:pPr>
        <w:pageBreakBefore w:val="0"/>
        <w:widowControl w:val="0"/>
        <w:kinsoku/>
        <w:wordWrap/>
        <w:overflowPunct/>
        <w:topLinePunct w:val="0"/>
        <w:autoSpaceDE/>
        <w:autoSpaceDN/>
        <w:bidi w:val="0"/>
        <w:spacing w:line="360" w:lineRule="auto"/>
        <w:ind w:left="0" w:leftChars="0" w:firstLine="1280" w:firstLineChars="400"/>
        <w:jc w:val="both"/>
        <w:textAlignment w:val="auto"/>
        <w:rPr>
          <w:rFonts w:hint="eastAsia" w:ascii="仿宋" w:hAnsi="仿宋" w:eastAsia="仿宋" w:cs="仿宋_GB2312"/>
          <w:bCs/>
          <w:color w:val="000000"/>
          <w:sz w:val="32"/>
          <w:szCs w:val="32"/>
          <w:lang w:eastAsia="zh-CN"/>
        </w:rPr>
      </w:pPr>
      <w:r>
        <w:rPr>
          <w:rFonts w:hint="eastAsia" w:ascii="仿宋" w:hAnsi="仿宋" w:eastAsia="仿宋" w:cs="仿宋_GB2312"/>
          <w:bCs/>
          <w:color w:val="000000"/>
          <w:sz w:val="32"/>
          <w:szCs w:val="32"/>
        </w:rPr>
        <w:t>采购机构：</w:t>
      </w:r>
      <w:r>
        <w:rPr>
          <w:rFonts w:hint="eastAsia" w:ascii="仿宋" w:hAnsi="仿宋" w:eastAsia="仿宋" w:cs="仿宋_GB2312"/>
          <w:bCs/>
          <w:color w:val="000000"/>
          <w:sz w:val="32"/>
          <w:szCs w:val="32"/>
          <w:lang w:eastAsia="zh-CN"/>
        </w:rPr>
        <w:t>浙江华耀建设咨询有限公司</w:t>
      </w:r>
    </w:p>
    <w:p>
      <w:pPr>
        <w:pStyle w:val="2"/>
        <w:pageBreakBefore w:val="0"/>
        <w:widowControl w:val="0"/>
        <w:kinsoku/>
        <w:wordWrap/>
        <w:overflowPunct/>
        <w:topLinePunct w:val="0"/>
        <w:autoSpaceDE/>
        <w:autoSpaceDN/>
        <w:bidi w:val="0"/>
        <w:ind w:left="0" w:leftChars="0" w:firstLine="1264" w:firstLineChars="395"/>
        <w:textAlignment w:val="auto"/>
        <w:rPr>
          <w:rFonts w:hint="eastAsia" w:ascii="仿宋" w:hAnsi="仿宋" w:eastAsia="仿宋" w:cs="仿宋_GB2312"/>
          <w:b w:val="0"/>
          <w:bCs/>
          <w:color w:val="000000"/>
          <w:kern w:val="2"/>
          <w:sz w:val="32"/>
          <w:szCs w:val="32"/>
          <w:lang w:val="en-US" w:eastAsia="zh-CN" w:bidi="ar-SA"/>
        </w:rPr>
      </w:pPr>
      <w:r>
        <w:rPr>
          <w:rFonts w:hint="eastAsia" w:ascii="仿宋" w:hAnsi="仿宋" w:eastAsia="仿宋" w:cs="仿宋_GB2312"/>
          <w:b w:val="0"/>
          <w:bCs/>
          <w:color w:val="000000"/>
          <w:kern w:val="2"/>
          <w:sz w:val="32"/>
          <w:szCs w:val="32"/>
          <w:lang w:val="en-US" w:eastAsia="zh-CN" w:bidi="ar-SA"/>
        </w:rPr>
        <w:t>备案单位：杭州市临安区政府采购办公室</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lang w:eastAsia="zh-CN"/>
        </w:rPr>
        <w:t>於潜“耕织云图”数字田园集成创新示范区项目（一期）</w:t>
      </w:r>
      <w:r>
        <w:rPr>
          <w:rFonts w:hint="eastAsia" w:ascii="仿宋_GB2312" w:hAnsi="仿宋" w:eastAsia="仿宋_GB2312"/>
          <w:sz w:val="24"/>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highlight w:val="yellow"/>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b w:val="0"/>
          <w:bCs/>
          <w:sz w:val="24"/>
        </w:rPr>
        <w:t>[2022]</w:t>
      </w:r>
      <w:r>
        <w:rPr>
          <w:rFonts w:hint="eastAsia" w:ascii="仿宋_GB2312" w:hAnsi="仿宋" w:eastAsia="仿宋_GB2312"/>
          <w:b w:val="0"/>
          <w:bCs/>
          <w:sz w:val="24"/>
          <w:lang w:val="en-US" w:eastAsia="zh-CN"/>
        </w:rPr>
        <w:t>306</w:t>
      </w:r>
      <w:r>
        <w:rPr>
          <w:rFonts w:hint="eastAsia" w:ascii="仿宋_GB2312" w:hAnsi="仿宋" w:eastAsia="仿宋_GB2312"/>
          <w:b w:val="0"/>
          <w:bCs/>
          <w:sz w:val="24"/>
        </w:rPr>
        <w:t>号</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b w:val="0"/>
          <w:bCs/>
          <w:sz w:val="24"/>
          <w:lang w:eastAsia="zh-CN"/>
        </w:rPr>
        <w:t>於潜“耕织云图”数字田园集成创新示范区项目（一期）</w:t>
      </w:r>
    </w:p>
    <w:p>
      <w:pPr>
        <w:spacing w:line="360" w:lineRule="auto"/>
        <w:rPr>
          <w:rFonts w:ascii="仿宋_GB2312" w:hAnsi="仿宋" w:eastAsia="仿宋_GB2312"/>
          <w:sz w:val="24"/>
          <w:highlight w:val="none"/>
        </w:rPr>
      </w:pPr>
      <w:r>
        <w:rPr>
          <w:rFonts w:ascii="仿宋_GB2312" w:hAnsi="仿宋" w:eastAsia="仿宋_GB2312"/>
          <w:sz w:val="24"/>
        </w:rPr>
        <w:t xml:space="preserve"> </w:t>
      </w: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val="0"/>
          <w:bCs/>
          <w:sz w:val="24"/>
          <w:highlight w:val="none"/>
          <w:lang w:val="en-US" w:eastAsia="zh-CN"/>
        </w:rPr>
        <w:t>6600000元</w:t>
      </w:r>
      <w:r>
        <w:rPr>
          <w:rFonts w:ascii="仿宋_GB2312" w:hAnsi="仿宋" w:eastAsia="仿宋_GB2312"/>
          <w:b w:val="0"/>
          <w:bCs/>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hint="eastAsia" w:ascii="仿宋_GB2312" w:hAnsi="仿宋" w:eastAsia="仿宋_GB2312"/>
          <w:b w:val="0"/>
          <w:bCs/>
          <w:sz w:val="24"/>
          <w:highlight w:val="none"/>
          <w:lang w:val="en-US" w:eastAsia="zh-CN"/>
        </w:rPr>
        <w:t>6200000</w:t>
      </w:r>
      <w:r>
        <w:rPr>
          <w:rFonts w:hint="eastAsia" w:ascii="仿宋_GB2312" w:hAnsi="仿宋" w:eastAsia="仿宋_GB2312"/>
          <w:b w:val="0"/>
          <w:bCs/>
          <w:sz w:val="24"/>
          <w:highlight w:val="none"/>
        </w:rPr>
        <w:t>元</w:t>
      </w:r>
      <w:r>
        <w:rPr>
          <w:rFonts w:ascii="仿宋_GB2312" w:hAnsi="仿宋" w:eastAsia="仿宋_GB2312"/>
          <w:b w:val="0"/>
          <w:bCs/>
          <w:sz w:val="24"/>
          <w:highlight w:val="none"/>
        </w:rPr>
        <w:t xml:space="preserve"> </w:t>
      </w:r>
      <w:r>
        <w:rPr>
          <w:rFonts w:hint="eastAsia" w:ascii="仿宋_GB2312" w:hAnsi="仿宋" w:eastAsia="仿宋_GB2312"/>
          <w:sz w:val="24"/>
          <w:highlight w:val="none"/>
        </w:rPr>
        <w:t xml:space="preserve"> </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 w:val="0"/>
          <w:bCs/>
          <w:color w:val="auto"/>
          <w:sz w:val="24"/>
        </w:rPr>
        <w:t>打造於潜“耕织云图”集成应用平台；推进数字技术在农业生产中的应用：构建育秧中心管理，水稻、果园高效管理，水稻病虫害监测预警，农业全产业链追溯，数字农业服务等硬件设备及信息化应用系统平台，植入浙农码管理追溯系统，建立水稻全产业链，为政府、大型企业、专业合作社、农民提供精准、有效、持续的信息化服务，推进精准种植在粮食种植中的技术创新和应用</w:t>
      </w:r>
      <w:r>
        <w:rPr>
          <w:rFonts w:ascii="仿宋_GB2312" w:hAnsi="仿宋" w:eastAsia="仿宋_GB2312"/>
          <w:b w:val="0"/>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pStyle w:val="129"/>
        <w:ind w:firstLine="482"/>
        <w:outlineLvl w:val="2"/>
        <w:rPr>
          <w:rFonts w:hint="default" w:ascii="仿宋_GB2312" w:hAnsi="仿宋" w:eastAsia="仿宋_GB2312"/>
          <w:lang w:val="en-US" w:eastAsia="zh-CN"/>
        </w:rPr>
      </w:pPr>
      <w:r>
        <w:rPr>
          <w:rFonts w:hint="eastAsia" w:ascii="仿宋_GB2312" w:hAnsi="仿宋" w:eastAsia="仿宋_GB2312"/>
          <w:b/>
        </w:rPr>
        <w:t>合同履约期限：</w:t>
      </w:r>
      <w:r>
        <w:rPr>
          <w:rFonts w:hint="eastAsia" w:ascii="仿宋_GB2312" w:hAnsi="仿宋" w:eastAsia="仿宋_GB2312"/>
          <w:b w:val="0"/>
          <w:bCs/>
          <w:lang w:eastAsia="zh-CN"/>
        </w:rPr>
        <w:t>合同签订后</w:t>
      </w:r>
      <w:r>
        <w:rPr>
          <w:rFonts w:hint="eastAsia" w:ascii="仿宋_GB2312" w:hAnsi="仿宋" w:eastAsia="仿宋_GB2312"/>
          <w:b w:val="0"/>
          <w:bCs/>
          <w:lang w:val="en-US" w:eastAsia="zh-CN"/>
        </w:rPr>
        <w:t>1个月</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snapToGrid w:val="0"/>
              <w:color w:val="auto"/>
              <w:kern w:val="0"/>
              <w:sz w:val="24"/>
              <w:szCs w:val="20"/>
              <w:lang w:val="en-US" w:eastAsia="zh-CN" w:bidi="ar-SA"/>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snapToGrid w:val="0"/>
              <w:color w:val="auto"/>
              <w:kern w:val="0"/>
              <w:sz w:val="24"/>
              <w:szCs w:val="20"/>
              <w:lang w:val="en-US" w:eastAsia="zh-CN" w:bidi="ar-SA"/>
            </w:rPr>
            <w:t>þ</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sz w:val="24"/>
          <w:lang w:eastAsia="zh-CN"/>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r>
        <w:rPr>
          <w:rFonts w:hint="eastAsia" w:ascii="仿宋" w:hAnsi="仿宋" w:eastAsia="仿宋" w:cs="仿宋_GB2312"/>
          <w:snapToGrid w:val="0"/>
          <w:kern w:val="28"/>
          <w:sz w:val="24"/>
          <w:szCs w:val="20"/>
          <w:lang w:eastAsia="zh-CN"/>
        </w:rPr>
        <w:t>无；</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bookmarkStart w:id="401" w:name="_GoBack"/>
      <w:bookmarkEnd w:id="401"/>
    </w:p>
    <w:p>
      <w:pPr>
        <w:spacing w:line="360" w:lineRule="auto"/>
        <w:ind w:firstLine="482" w:firstLineChars="200"/>
        <w:rPr>
          <w:rFonts w:ascii="仿宋_GB2312" w:hAnsi="仿宋" w:eastAsia="仿宋_GB2312"/>
          <w:sz w:val="24"/>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21</w:t>
      </w:r>
      <w:r>
        <w:rPr>
          <w:rFonts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0</w:t>
      </w:r>
      <w:r>
        <w:rPr>
          <w:rFonts w:ascii="仿宋_GB2312" w:hAnsi="仿宋" w:eastAsia="仿宋_GB2312"/>
          <w:sz w:val="24"/>
        </w:rPr>
        <w:t xml:space="preserve">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 w:hAnsi="仿宋" w:eastAsia="仿宋" w:cs="仿宋"/>
          <w:sz w:val="24"/>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rPr>
        <w:t>提交投标文件截止</w:t>
      </w:r>
      <w:r>
        <w:rPr>
          <w:rFonts w:hint="eastAsia" w:ascii="仿宋_GB2312" w:hAnsi="仿宋" w:eastAsia="仿宋_GB2312"/>
          <w:b/>
          <w:sz w:val="24"/>
          <w:highlight w:val="none"/>
        </w:rPr>
        <w:t>时间：</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eastAsia="zh-CN"/>
        </w:rPr>
        <w:t>杭州市临安区於潜镇人民政府</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lang w:eastAsia="zh-CN"/>
        </w:rPr>
        <w:t>杭州市临安区於潜镇人民街</w:t>
      </w:r>
      <w:r>
        <w:rPr>
          <w:rFonts w:hint="eastAsia" w:ascii="仿宋_GB2312" w:hAnsi="仿宋" w:eastAsia="仿宋_GB2312"/>
          <w:sz w:val="24"/>
          <w:lang w:val="en-US" w:eastAsia="zh-CN"/>
        </w:rPr>
        <w:t>132号</w:t>
      </w:r>
      <w:r>
        <w:rPr>
          <w:rFonts w:hint="eastAsia" w:ascii="仿宋" w:hAnsi="仿宋" w:eastAsia="仿宋"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项目联系人：陈晨</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hint="default" w:ascii="仿宋_GB2312" w:hAnsi="仿宋" w:eastAsia="仿宋_GB2312"/>
          <w:sz w:val="24"/>
          <w:highlight w:val="none"/>
          <w:lang w:val="en-US"/>
        </w:rPr>
      </w:pPr>
      <w:r>
        <w:rPr>
          <w:rFonts w:ascii="仿宋_GB2312" w:hAnsi="仿宋" w:eastAsia="仿宋_GB2312"/>
          <w:sz w:val="24"/>
          <w:highlight w:val="none"/>
        </w:rPr>
        <w:t xml:space="preserve">    项目联系方式：</w:t>
      </w:r>
      <w:r>
        <w:rPr>
          <w:rFonts w:hint="eastAsia" w:ascii="仿宋_GB2312" w:hAnsi="仿宋" w:eastAsia="仿宋_GB2312"/>
          <w:sz w:val="24"/>
          <w:highlight w:val="none"/>
          <w:lang w:val="en-US" w:eastAsia="zh-CN"/>
        </w:rPr>
        <w:t>0571-63866036</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lang w:eastAsia="zh-CN"/>
        </w:rPr>
        <w:t>吴能菊</w:t>
      </w:r>
      <w:r>
        <w:rPr>
          <w:rFonts w:hint="eastAsia" w:ascii="仿宋_GB2312" w:hAnsi="仿宋" w:eastAsia="仿宋_GB2312"/>
          <w:sz w:val="24"/>
          <w:highlight w:val="none"/>
          <w:lang w:val="en-US" w:eastAsia="zh-CN"/>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lang w:val="en-US" w:eastAsia="zh-CN"/>
        </w:rPr>
        <w:t xml:space="preserve">0571-63866005 </w:t>
      </w:r>
      <w:r>
        <w:rPr>
          <w:rFonts w:hint="eastAsia" w:ascii="仿宋_GB2312" w:hAnsi="仿宋" w:eastAsia="仿宋_GB2312"/>
          <w:sz w:val="24"/>
          <w:highlight w:val="none"/>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hint="eastAsia" w:ascii="仿宋_GB2312" w:hAnsi="仿宋" w:eastAsia="仿宋_GB2312"/>
          <w:sz w:val="24"/>
          <w:lang w:eastAsia="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eastAsia="zh-CN"/>
        </w:rPr>
        <w:t>浙江华耀建设咨询有限公司</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_GB2312" w:hAnsi="仿宋" w:eastAsia="仿宋_GB2312"/>
          <w:sz w:val="24"/>
          <w:lang w:eastAsia="zh-CN"/>
        </w:rPr>
        <w:t>杭州市临安区锦城街道钱王街</w:t>
      </w:r>
      <w:r>
        <w:rPr>
          <w:rFonts w:hint="eastAsia" w:ascii="仿宋_GB2312" w:hAnsi="仿宋" w:eastAsia="仿宋_GB2312"/>
          <w:sz w:val="24"/>
          <w:lang w:val="en-US" w:eastAsia="zh-CN"/>
        </w:rPr>
        <w:t>465号1幢2楼</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项目联系人：</w:t>
      </w:r>
      <w:r>
        <w:rPr>
          <w:rFonts w:hint="eastAsia" w:ascii="仿宋_GB2312" w:hAnsi="仿宋" w:eastAsia="仿宋_GB2312"/>
          <w:sz w:val="24"/>
          <w:lang w:eastAsia="zh-CN"/>
        </w:rPr>
        <w:t>阮浦东</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w:t>
      </w:r>
      <w:r>
        <w:rPr>
          <w:rFonts w:hint="eastAsia" w:ascii="仿宋_GB2312" w:hAnsi="仿宋" w:eastAsia="仿宋_GB2312"/>
          <w:sz w:val="24"/>
          <w:lang w:val="en-US" w:eastAsia="zh-CN"/>
        </w:rPr>
        <w:t>18072948455</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eastAsia="zh-CN"/>
        </w:rPr>
        <w:t>王燕平</w:t>
      </w:r>
      <w:r>
        <w:rPr>
          <w:rFonts w:hint="eastAsia" w:ascii="仿宋_GB2312" w:hAnsi="仿宋" w:eastAsia="仿宋_GB2312"/>
          <w:sz w:val="24"/>
          <w:lang w:val="en-US" w:eastAsia="zh-CN"/>
        </w:rPr>
        <w:tab/>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en-US" w:eastAsia="zh-CN"/>
        </w:rPr>
        <w:t>15068834440</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 w:hAnsi="仿宋" w:eastAsia="仿宋" w:cs="仿宋"/>
          <w:sz w:val="24"/>
        </w:rPr>
        <w:t>杭州市临安区财政局政府采购监督管理科</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杭州市临安区锦北街道科技大道4398号市民中心4号楼B座1129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 w:hAnsi="仿宋" w:eastAsia="仿宋" w:cs="仿宋"/>
          <w:sz w:val="24"/>
        </w:rPr>
        <w:t>0571-63722886</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 w:hAnsi="仿宋" w:eastAsia="仿宋" w:cs="仿宋"/>
          <w:sz w:val="24"/>
        </w:rPr>
        <w:t>喻伟建</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 w:hAnsi="仿宋" w:eastAsia="仿宋" w:cs="仿宋"/>
          <w:sz w:val="24"/>
        </w:rPr>
        <w:t>0571-61073953</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0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60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60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关本项目所需的人工费、材料费、设备使用费、人员来往的交通、通信、食宿、企业管理费、利润、税金、售后服务费、招标代理费、技术服务费、技术培训费、政策性文件规定及合同包含的所有风险、责任、成果验收以及采购文件约定工作内容所包含的等一切费用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szCs w:val="21"/>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pStyle w:val="2"/>
              <w:keepNext/>
              <w:keepLines/>
              <w:pageBreakBefore w:val="0"/>
              <w:widowControl w:val="0"/>
              <w:kinsoku/>
              <w:wordWrap/>
              <w:overflowPunct/>
              <w:topLinePunct w:val="0"/>
              <w:autoSpaceDE/>
              <w:autoSpaceDN/>
              <w:bidi w:val="0"/>
              <w:adjustRightInd/>
              <w:snapToGrid/>
              <w:ind w:left="0" w:leftChars="0" w:firstLine="241" w:firstLineChars="100"/>
              <w:textAlignment w:val="auto"/>
              <w:rPr>
                <w:rFonts w:hint="eastAsia" w:ascii="仿宋_GB2312" w:hAnsi="仿宋" w:eastAsia="仿宋_GB2312" w:cs="Arial"/>
                <w:b/>
                <w:bCs w:val="0"/>
                <w:kern w:val="0"/>
                <w:sz w:val="24"/>
                <w:szCs w:val="24"/>
                <w:lang w:val="en-US" w:eastAsia="zh-CN" w:bidi="ar-SA"/>
              </w:rPr>
            </w:pPr>
            <w:r>
              <w:rPr>
                <w:rFonts w:hint="eastAsia" w:ascii="仿宋_GB2312" w:hAnsi="仿宋" w:eastAsia="仿宋_GB2312" w:cs="Arial"/>
                <w:b/>
                <w:bCs w:val="0"/>
                <w:kern w:val="0"/>
                <w:sz w:val="24"/>
                <w:szCs w:val="24"/>
                <w:lang w:val="en-US" w:eastAsia="zh-CN" w:bidi="ar-SA"/>
              </w:rPr>
              <w:t>《投标（开标）一览表》填写不完整或字迹不能辨认或有漏项的</w:t>
            </w:r>
            <w:r>
              <w:rPr>
                <w:rFonts w:hint="eastAsia" w:cs="Arial"/>
                <w:b/>
                <w:bCs w:val="0"/>
                <w:kern w:val="0"/>
                <w:sz w:val="24"/>
                <w:szCs w:val="24"/>
                <w:lang w:val="en-US" w:eastAsia="zh-CN" w:bidi="ar-SA"/>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仿宋_GB2312" w:hAnsi="仿宋" w:eastAsia="仿宋_GB2312" w:cs="仿宋_GB2312"/>
                <w:sz w:val="24"/>
              </w:rPr>
            </w:pPr>
            <w:r>
              <w:rPr>
                <w:rFonts w:hint="eastAsia" w:ascii="仿宋_GB2312" w:hAnsi="仿宋" w:eastAsia="仿宋_GB2312"/>
                <w:sz w:val="24"/>
              </w:rPr>
              <w:t>不</w:t>
            </w:r>
            <w:r>
              <w:rPr>
                <w:rFonts w:hint="eastAsia" w:ascii="仿宋_GB2312" w:hAnsi="仿宋" w:eastAsia="仿宋_GB2312"/>
                <w:sz w:val="24"/>
                <w:lang w:eastAsia="zh-CN"/>
              </w:rPr>
              <w:t>允许</w:t>
            </w:r>
            <w:r>
              <w:rPr>
                <w:rFonts w:hint="eastAsia" w:ascii="仿宋_GB2312" w:hAnsi="仿宋" w:eastAsia="仿宋_GB2312"/>
                <w:sz w:val="24"/>
              </w:rPr>
              <w:t>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22"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609"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609"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_GB2312" w:hAnsi="仿宋" w:eastAsia="仿宋"/>
                <w:sz w:val="24"/>
                <w:szCs w:val="20"/>
                <w:lang w:eastAsia="zh-CN"/>
              </w:rPr>
            </w:pPr>
            <w:r>
              <w:rPr>
                <w:rFonts w:hint="eastAsia" w:ascii="仿宋" w:hAnsi="仿宋" w:eastAsia="仿宋"/>
                <w:sz w:val="24"/>
              </w:rPr>
              <w:t>采购单位不集中安排潜在投标人勘踏现场，请各潜在投标人自行查看现场</w:t>
            </w:r>
            <w:r>
              <w:rPr>
                <w:rFonts w:hint="eastAsia" w:ascii="仿宋" w:hAns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b/>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b/>
                <w:kern w:val="0"/>
                <w:sz w:val="24"/>
                <w:lang w:val="zh-CN"/>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lang w:eastAsia="zh-CN"/>
              </w:rPr>
              <w:t>货物类</w:t>
            </w:r>
            <w:r>
              <w:rPr>
                <w:rFonts w:hint="eastAsia" w:ascii="仿宋_GB2312" w:hAnsi="仿宋"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609"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60" w:lineRule="auto"/>
              <w:ind w:left="0"/>
              <w:textAlignment w:val="auto"/>
              <w:rPr>
                <w:rFonts w:hint="eastAsia" w:ascii="仿宋" w:hAnsi="仿宋" w:eastAsia="仿宋" w:cs="仿宋"/>
                <w:sz w:val="24"/>
                <w:highlight w:val="none"/>
                <w:u w:val="single"/>
              </w:rPr>
            </w:pPr>
            <w:r>
              <w:rPr>
                <w:rFonts w:hint="eastAsia" w:ascii="仿宋" w:hAnsi="仿宋" w:eastAsia="仿宋" w:cs="仿宋"/>
                <w:sz w:val="24"/>
                <w:highlight w:val="none"/>
              </w:rPr>
              <w:t>采购标的：</w:t>
            </w:r>
            <w:r>
              <w:rPr>
                <w:rFonts w:hint="eastAsia" w:ascii="仿宋" w:hAnsi="仿宋" w:eastAsia="仿宋" w:cs="仿宋"/>
                <w:sz w:val="24"/>
                <w:highlight w:val="none"/>
                <w:u w:val="single"/>
                <w:lang w:val="en-US" w:eastAsia="zh-CN"/>
              </w:rPr>
              <w:t xml:space="preserve"> 详见硬件设备明细表 </w:t>
            </w:r>
            <w:r>
              <w:rPr>
                <w:rFonts w:hint="eastAsia" w:ascii="仿宋" w:hAnsi="仿宋" w:eastAsia="仿宋" w:cs="仿宋"/>
                <w:sz w:val="24"/>
                <w:highlight w:val="none"/>
              </w:rPr>
              <w:t>；所属行业：</w:t>
            </w:r>
            <w:r>
              <w:rPr>
                <w:rFonts w:hint="eastAsia" w:ascii="仿宋" w:hAnsi="仿宋" w:eastAsia="仿宋" w:cs="仿宋"/>
                <w:sz w:val="24"/>
                <w:highlight w:val="none"/>
                <w:u w:val="single"/>
                <w:lang w:val="en-US" w:eastAsia="zh-CN"/>
              </w:rPr>
              <w:t>工业</w:t>
            </w:r>
            <w:r>
              <w:rPr>
                <w:rFonts w:hint="eastAsia" w:ascii="仿宋" w:hAnsi="仿宋" w:eastAsia="仿宋" w:cs="仿宋"/>
                <w:sz w:val="24"/>
                <w:highlight w:val="none"/>
                <w:u w:val="single"/>
              </w:rPr>
              <w:t>。</w:t>
            </w:r>
          </w:p>
          <w:p>
            <w:pPr>
              <w:pStyle w:val="2"/>
              <w:pageBreakBefore w:val="0"/>
              <w:widowControl w:val="0"/>
              <w:kinsoku/>
              <w:wordWrap/>
              <w:overflowPunct/>
              <w:topLinePunct w:val="0"/>
              <w:autoSpaceDE/>
              <w:autoSpaceDN/>
              <w:bidi w:val="0"/>
              <w:ind w:left="0"/>
              <w:jc w:val="left"/>
              <w:textAlignment w:val="auto"/>
              <w:rPr>
                <w:highlight w:val="none"/>
                <w:lang w:val="en-US"/>
              </w:rPr>
            </w:pPr>
            <w:r>
              <w:rPr>
                <w:rFonts w:hint="eastAsia" w:ascii="仿宋" w:hAnsi="仿宋" w:eastAsia="仿宋" w:cs="仿宋"/>
                <w:sz w:val="24"/>
                <w:highlight w:val="none"/>
                <w:u w:val="single"/>
              </w:rPr>
              <w:t>注：</w:t>
            </w:r>
            <w:r>
              <w:rPr>
                <w:rFonts w:hint="eastAsia" w:ascii="仿宋" w:eastAsia="仿宋" w:cs="仿宋"/>
                <w:b w:val="0"/>
                <w:bCs w:val="0"/>
                <w:sz w:val="24"/>
                <w:highlight w:val="none"/>
                <w:u w:val="single"/>
                <w:lang w:eastAsia="zh-CN"/>
              </w:rPr>
              <w:t>注：</w:t>
            </w:r>
            <w:r>
              <w:rPr>
                <w:rFonts w:hint="eastAsia" w:ascii="仿宋" w:hAnsi="仿宋" w:eastAsia="仿宋" w:cs="仿宋"/>
                <w:b w:val="0"/>
                <w:bCs w:val="0"/>
                <w:sz w:val="24"/>
                <w:highlight w:val="none"/>
                <w:u w:val="single"/>
              </w:rPr>
              <w:t>《中小企业声明函》中所列行业与采购文件所明确的行业不一致但不改变划型结果的不影响声明有效性。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9</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 w:eastAsia="仿宋"/>
                <w:sz w:val="24"/>
                <w:lang w:eastAsia="zh-CN"/>
              </w:rPr>
            </w:pPr>
            <w:r>
              <w:rPr>
                <w:rFonts w:hint="eastAsia" w:ascii="仿宋" w:hAnsi="仿宋" w:eastAsia="仿宋" w:cs="仿宋"/>
                <w:snapToGrid w:val="0"/>
                <w:color w:val="000000"/>
                <w:sz w:val="24"/>
                <w:szCs w:val="21"/>
              </w:rPr>
              <w:t>凡已在浙江政府采购网网上注册入库，并取得临安区政府采购合同的中小企业供应商，均可申请政府采购信用融资，联系方式见附表</w:t>
            </w:r>
            <w:r>
              <w:rPr>
                <w:rFonts w:hint="eastAsia" w:ascii="仿宋" w:hAnsi="仿宋" w:eastAsia="仿宋" w:cs="仿宋"/>
                <w:snapToGrid w:val="0"/>
                <w:color w:val="000000"/>
                <w:sz w:val="24"/>
                <w:szCs w:val="21"/>
                <w:lang w:eastAsia="zh-CN"/>
              </w:rPr>
              <w:t>：</w:t>
            </w:r>
          </w:p>
          <w:tbl>
            <w:tblPr>
              <w:tblStyle w:val="62"/>
              <w:tblW w:w="63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0"/>
              <w:gridCol w:w="1079"/>
              <w:gridCol w:w="1596"/>
              <w:gridCol w:w="1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8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金融机构各称</w:t>
                  </w:r>
                </w:p>
              </w:tc>
              <w:tc>
                <w:tcPr>
                  <w:tcW w:w="107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159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8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1820"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南</w:t>
                  </w:r>
                  <w:r>
                    <w:rPr>
                      <w:rFonts w:hint="eastAsia" w:ascii="仿宋" w:hAnsi="仿宋" w:eastAsia="仿宋" w:cs="仿宋"/>
                      <w:color w:val="030303"/>
                      <w:sz w:val="24"/>
                      <w:szCs w:val="24"/>
                      <w:shd w:val="clear" w:color="auto" w:fill="FFFFFF"/>
                    </w:rPr>
                    <w:t>浔银行</w:t>
                  </w:r>
                </w:p>
              </w:tc>
              <w:tc>
                <w:tcPr>
                  <w:tcW w:w="1079"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color w:val="030303"/>
                      <w:sz w:val="24"/>
                      <w:szCs w:val="24"/>
                      <w:shd w:val="clear" w:color="auto" w:fill="FFFFFF"/>
                    </w:rPr>
                    <w:t>方薇</w:t>
                  </w:r>
                </w:p>
              </w:tc>
              <w:tc>
                <w:tcPr>
                  <w:tcW w:w="1596" w:type="dxa"/>
                  <w:tcBorders>
                    <w:bottom w:val="single" w:color="auto" w:sz="4" w:space="0"/>
                  </w:tcBorders>
                  <w:vAlign w:val="center"/>
                </w:tcPr>
                <w:p>
                  <w:pPr>
                    <w:jc w:val="center"/>
                    <w:rPr>
                      <w:rFonts w:hint="eastAsia" w:ascii="仿宋" w:hAnsi="仿宋" w:eastAsia="仿宋" w:cs="仿宋"/>
                      <w:color w:val="030303"/>
                      <w:sz w:val="24"/>
                      <w:szCs w:val="24"/>
                      <w:shd w:val="clear" w:color="auto" w:fill="FFFFFF"/>
                    </w:rPr>
                  </w:pPr>
                  <w:r>
                    <w:rPr>
                      <w:rFonts w:hint="eastAsia" w:ascii="仿宋" w:hAnsi="仿宋" w:eastAsia="仿宋" w:cs="仿宋"/>
                      <w:color w:val="030303"/>
                      <w:sz w:val="24"/>
                      <w:szCs w:val="24"/>
                      <w:shd w:val="clear" w:color="auto" w:fill="FFFFFF"/>
                    </w:rPr>
                    <w:t>13868003773</w:t>
                  </w:r>
                </w:p>
              </w:tc>
              <w:tc>
                <w:tcPr>
                  <w:tcW w:w="1818" w:type="dxa"/>
                  <w:tcBorders>
                    <w:bottom w:val="single" w:color="auto" w:sz="4" w:space="0"/>
                  </w:tcBorders>
                  <w:vAlign w:val="center"/>
                </w:tcPr>
                <w:p>
                  <w:pPr>
                    <w:pStyle w:val="58"/>
                    <w:jc w:val="center"/>
                    <w:rPr>
                      <w:rFonts w:hint="eastAsia" w:ascii="仿宋" w:hAnsi="仿宋" w:eastAsia="仿宋" w:cs="仿宋"/>
                      <w:sz w:val="24"/>
                      <w:szCs w:val="24"/>
                    </w:rPr>
                  </w:pPr>
                  <w:r>
                    <w:rPr>
                      <w:rFonts w:hint="eastAsia" w:ascii="仿宋" w:hAnsi="仿宋" w:eastAsia="仿宋" w:cs="仿宋"/>
                      <w:sz w:val="24"/>
                      <w:szCs w:val="24"/>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820"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浦发银行临安分行</w:t>
                  </w:r>
                </w:p>
              </w:tc>
              <w:tc>
                <w:tcPr>
                  <w:tcW w:w="1079"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沈</w:t>
                  </w:r>
                  <w:r>
                    <w:rPr>
                      <w:rFonts w:hint="eastAsia" w:ascii="仿宋" w:hAnsi="仿宋" w:eastAsia="仿宋" w:cs="仿宋"/>
                      <w:color w:val="030303"/>
                      <w:sz w:val="24"/>
                      <w:szCs w:val="24"/>
                      <w:shd w:val="clear" w:color="auto" w:fill="FFFFFF"/>
                    </w:rPr>
                    <w:t>丹丹</w:t>
                  </w:r>
                </w:p>
              </w:tc>
              <w:tc>
                <w:tcPr>
                  <w:tcW w:w="1596" w:type="dxa"/>
                  <w:tcBorders>
                    <w:top w:val="single" w:color="auto" w:sz="4" w:space="0"/>
                    <w:bottom w:val="single" w:color="auto" w:sz="4" w:space="0"/>
                  </w:tcBorders>
                  <w:vAlign w:val="center"/>
                </w:tcPr>
                <w:p>
                  <w:pPr>
                    <w:jc w:val="center"/>
                    <w:rPr>
                      <w:rFonts w:hint="eastAsia" w:ascii="仿宋" w:hAnsi="仿宋" w:eastAsia="仿宋" w:cs="仿宋"/>
                      <w:color w:val="030303"/>
                      <w:sz w:val="24"/>
                      <w:szCs w:val="24"/>
                      <w:shd w:val="clear" w:color="auto" w:fill="FFFFFF"/>
                    </w:rPr>
                  </w:pPr>
                  <w:r>
                    <w:rPr>
                      <w:rFonts w:hint="eastAsia" w:ascii="仿宋" w:hAnsi="仿宋" w:eastAsia="仿宋" w:cs="仿宋"/>
                      <w:color w:val="030303"/>
                      <w:sz w:val="24"/>
                      <w:szCs w:val="24"/>
                      <w:shd w:val="clear" w:color="auto" w:fill="FFFFFF"/>
                    </w:rPr>
                    <w:t>61092936</w:t>
                  </w:r>
                </w:p>
                <w:p>
                  <w:pPr>
                    <w:jc w:val="center"/>
                    <w:rPr>
                      <w:rFonts w:hint="eastAsia" w:ascii="仿宋" w:hAnsi="仿宋" w:eastAsia="仿宋" w:cs="仿宋"/>
                      <w:color w:val="030303"/>
                      <w:sz w:val="24"/>
                      <w:szCs w:val="24"/>
                      <w:shd w:val="clear" w:color="auto" w:fill="FFFFFF"/>
                    </w:rPr>
                  </w:pPr>
                  <w:r>
                    <w:rPr>
                      <w:rFonts w:hint="eastAsia" w:ascii="仿宋" w:hAnsi="仿宋" w:eastAsia="仿宋" w:cs="仿宋"/>
                      <w:color w:val="030303"/>
                      <w:sz w:val="24"/>
                      <w:szCs w:val="24"/>
                      <w:shd w:val="clear" w:color="auto" w:fill="FFFFFF"/>
                    </w:rPr>
                    <w:t>13777851690</w:t>
                  </w:r>
                </w:p>
              </w:tc>
              <w:tc>
                <w:tcPr>
                  <w:tcW w:w="1818"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820"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color w:val="030303"/>
                      <w:sz w:val="24"/>
                      <w:szCs w:val="24"/>
                      <w:shd w:val="clear" w:color="auto" w:fill="FFFFFF"/>
                    </w:rPr>
                    <w:t>杭州银行临安支行</w:t>
                  </w:r>
                </w:p>
              </w:tc>
              <w:tc>
                <w:tcPr>
                  <w:tcW w:w="1079"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金林妹</w:t>
                  </w:r>
                </w:p>
              </w:tc>
              <w:tc>
                <w:tcPr>
                  <w:tcW w:w="1596" w:type="dxa"/>
                  <w:tcBorders>
                    <w:top w:val="single" w:color="auto" w:sz="4" w:space="0"/>
                    <w:bottom w:val="single" w:color="auto" w:sz="4" w:space="0"/>
                  </w:tcBorders>
                  <w:vAlign w:val="center"/>
                </w:tcPr>
                <w:p>
                  <w:pPr>
                    <w:jc w:val="center"/>
                    <w:rPr>
                      <w:rFonts w:hint="eastAsia" w:ascii="仿宋" w:hAnsi="仿宋" w:eastAsia="仿宋" w:cs="仿宋"/>
                      <w:color w:val="030303"/>
                      <w:sz w:val="24"/>
                      <w:szCs w:val="24"/>
                      <w:shd w:val="clear" w:color="auto" w:fill="FFFFFF"/>
                    </w:rPr>
                  </w:pPr>
                  <w:r>
                    <w:rPr>
                      <w:rFonts w:hint="eastAsia" w:ascii="仿宋" w:hAnsi="仿宋" w:eastAsia="仿宋" w:cs="仿宋"/>
                      <w:color w:val="030303"/>
                      <w:sz w:val="24"/>
                      <w:szCs w:val="24"/>
                      <w:shd w:val="clear" w:color="auto" w:fill="FFFFFF"/>
                    </w:rPr>
                    <w:t>13666638571</w:t>
                  </w:r>
                </w:p>
              </w:tc>
              <w:tc>
                <w:tcPr>
                  <w:tcW w:w="1818"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1820"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临安中信村镇银行</w:t>
                  </w:r>
                </w:p>
              </w:tc>
              <w:tc>
                <w:tcPr>
                  <w:tcW w:w="1079"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吕祎</w:t>
                  </w:r>
                </w:p>
              </w:tc>
              <w:tc>
                <w:tcPr>
                  <w:tcW w:w="1596" w:type="dxa"/>
                  <w:tcBorders>
                    <w:top w:val="single" w:color="auto" w:sz="4" w:space="0"/>
                    <w:bottom w:val="single" w:color="auto" w:sz="4" w:space="0"/>
                  </w:tcBorders>
                  <w:vAlign w:val="center"/>
                </w:tcPr>
                <w:p>
                  <w:pPr>
                    <w:jc w:val="center"/>
                    <w:rPr>
                      <w:rFonts w:hint="eastAsia" w:ascii="仿宋" w:hAnsi="仿宋" w:eastAsia="仿宋" w:cs="仿宋"/>
                      <w:color w:val="030303"/>
                      <w:sz w:val="24"/>
                      <w:szCs w:val="24"/>
                      <w:shd w:val="clear" w:color="auto" w:fill="FFFFFF"/>
                    </w:rPr>
                  </w:pPr>
                  <w:r>
                    <w:rPr>
                      <w:rFonts w:hint="eastAsia" w:ascii="仿宋" w:hAnsi="仿宋" w:eastAsia="仿宋" w:cs="仿宋"/>
                      <w:color w:val="030303"/>
                      <w:sz w:val="24"/>
                      <w:szCs w:val="24"/>
                      <w:shd w:val="clear" w:color="auto" w:fill="FFFFFF"/>
                    </w:rPr>
                    <w:t>13787100002 61109033</w:t>
                  </w:r>
                </w:p>
              </w:tc>
              <w:tc>
                <w:tcPr>
                  <w:tcW w:w="1818" w:type="dxa"/>
                  <w:tcBorders>
                    <w:top w:val="single" w:color="auto" w:sz="4" w:space="0"/>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石镜街777号</w:t>
                  </w:r>
                </w:p>
              </w:tc>
            </w:tr>
          </w:tbl>
          <w:p>
            <w:pPr>
              <w:spacing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609"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杭州市临安区锦城街道钱王街465号1幢2楼</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sz w:val="24"/>
                <w:u w:val="single"/>
                <w:lang w:eastAsia="zh-CN"/>
              </w:rPr>
              <w:t>王燕平</w:t>
            </w:r>
            <w:r>
              <w:rPr>
                <w:rFonts w:hint="eastAsia" w:ascii="仿宋_GB2312" w:hAnsi="仿宋" w:eastAsia="仿宋_GB2312"/>
                <w:sz w:val="24"/>
                <w:u w:val="single"/>
                <w:lang w:val="en-US" w:eastAsia="zh-CN"/>
              </w:rPr>
              <w:t>15068834440</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60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采购代理服务费按发改价格（2011）534号文件标准的70%计取，由中标人支付，费用在发出中标通知书前一次性付清</w:t>
            </w:r>
            <w:r>
              <w:rPr>
                <w:rFonts w:hint="eastAsia" w:ascii="仿宋_GB2312" w:hAnsi="仿宋" w:eastAsia="仿宋_GB2312"/>
                <w:snapToGrid w:val="0"/>
                <w:kern w:val="28"/>
                <w:sz w:val="24"/>
                <w:lang w:eastAsia="zh-CN"/>
              </w:rPr>
              <w:t>。</w:t>
            </w:r>
          </w:p>
        </w:tc>
      </w:tr>
    </w:tbl>
    <w:p>
      <w:pPr>
        <w:snapToGrid w:val="0"/>
        <w:spacing w:line="360" w:lineRule="auto"/>
        <w:jc w:val="center"/>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p>
      <w:pPr>
        <w:pStyle w:val="79"/>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w:t>
      </w:r>
      <w:r>
        <w:rPr>
          <w:rFonts w:hint="eastAsia" w:ascii="仿宋" w:hAnsi="仿宋" w:eastAsia="仿宋" w:cs="仿宋"/>
          <w:snapToGrid w:val="0"/>
          <w:color w:val="000000"/>
          <w:sz w:val="24"/>
          <w:szCs w:val="21"/>
        </w:rPr>
        <w:t>凡已在浙江政府采购网网上注册入库，并取得临安区政府采购合同的中小企业供应商，均可申请政府采购信用融资</w:t>
      </w:r>
      <w:r>
        <w:rPr>
          <w:rFonts w:ascii="仿宋_GB2312" w:hAnsi="仿宋" w:eastAsia="仿宋_GB2312"/>
          <w:sz w:val="24"/>
        </w:rPr>
        <w:t>。</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_GB2312" w:hAnsi="仿宋" w:eastAsia="仿宋" w:cs="仿宋_GB2312"/>
          <w:sz w:val="18"/>
          <w:szCs w:val="18"/>
          <w:lang w:val="en-US" w:eastAsia="zh-CN"/>
        </w:rPr>
      </w:pPr>
      <w:r>
        <w:rPr>
          <w:rFonts w:ascii="仿宋_GB2312" w:hAnsi="仿宋" w:eastAsia="仿宋_GB2312" w:cs="仿宋_GB2312"/>
          <w:szCs w:val="24"/>
          <w:lang w:val="en-US"/>
        </w:rPr>
        <w:t xml:space="preserve">    </w:t>
      </w:r>
      <w:r>
        <w:rPr>
          <w:rFonts w:hint="eastAsia" w:ascii="仿宋" w:hAnsi="仿宋" w:eastAsia="仿宋"/>
          <w:b/>
          <w:sz w:val="24"/>
        </w:rPr>
        <w:t>▲</w:t>
      </w:r>
      <w:r>
        <w:rPr>
          <w:rFonts w:hint="eastAsia" w:ascii="仿宋" w:hAnsi="仿宋" w:eastAsia="仿宋" w:cs="仿宋_GB2312"/>
          <w:b/>
          <w:sz w:val="24"/>
          <w:szCs w:val="21"/>
        </w:rPr>
        <w:t>投标文件未按招标文件的澄清、修改的内容编制，又不符合实质性要求的，投标无效</w:t>
      </w:r>
      <w:r>
        <w:rPr>
          <w:rFonts w:hint="eastAsia" w:ascii="仿宋" w:hAnsi="仿宋" w:eastAsia="仿宋" w:cs="仿宋_GB2312"/>
          <w:b/>
          <w:sz w:val="24"/>
          <w:szCs w:val="21"/>
          <w:lang w:eastAsia="zh-CN"/>
        </w:rPr>
        <w:t>。</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w:t>
      </w:r>
      <w:r>
        <w:rPr>
          <w:rFonts w:hint="eastAsia" w:ascii="仿宋_GB2312" w:hAnsi="仿宋" w:eastAsia="仿宋_GB2312" w:cs="仿宋_GB2312"/>
          <w:sz w:val="24"/>
        </w:rPr>
        <w:t>具有独立承担民事责任的能力（企业法人营业执照）</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w:t>
      </w:r>
      <w:r>
        <w:rPr>
          <w:rFonts w:hint="eastAsia" w:ascii="仿宋_GB2312" w:hAnsi="仿宋" w:eastAsia="仿宋_GB2312" w:cs="仿宋_GB2312"/>
          <w:sz w:val="24"/>
        </w:rPr>
        <w:t>具有良好的商业信誉和健全的财务会计制度（最近一年财务报表，新成立的公司提供情况说明)</w:t>
      </w:r>
      <w:r>
        <w:rPr>
          <w:rFonts w:ascii="仿宋_GB2312" w:hAnsi="仿宋" w:eastAsia="仿宋_GB2312" w:cs="仿宋_GB2312"/>
          <w:sz w:val="24"/>
        </w:rPr>
        <w:t>；</w:t>
      </w:r>
    </w:p>
    <w:p>
      <w:pPr>
        <w:snapToGrid w:val="0"/>
        <w:spacing w:line="360" w:lineRule="auto"/>
        <w:ind w:firstLine="960" w:firstLineChars="400"/>
        <w:rPr>
          <w:rFonts w:hint="eastAsia" w:ascii="仿宋_GB2312" w:hAnsi="仿宋" w:eastAsia="仿宋_GB2312" w:cs="仿宋_GB2312"/>
          <w:sz w:val="24"/>
          <w:lang w:eastAsia="zh-CN"/>
        </w:rPr>
      </w:pPr>
      <w:r>
        <w:rPr>
          <w:rFonts w:ascii="仿宋_GB2312" w:hAnsi="仿宋" w:eastAsia="仿宋_GB2312" w:cs="仿宋_GB2312"/>
          <w:sz w:val="24"/>
        </w:rPr>
        <w:t>11.1.3</w:t>
      </w:r>
      <w:r>
        <w:rPr>
          <w:rFonts w:hint="eastAsia" w:ascii="仿宋_GB2312" w:hAnsi="仿宋" w:eastAsia="仿宋_GB2312" w:cs="仿宋_GB2312"/>
          <w:sz w:val="24"/>
        </w:rPr>
        <w:t>具有履行合同所必需的设备和专业技术能力的承诺函</w:t>
      </w:r>
      <w:r>
        <w:rPr>
          <w:rFonts w:hint="eastAsia" w:ascii="仿宋_GB2312" w:hAnsi="仿宋" w:eastAsia="仿宋_GB2312" w:cs="仿宋_GB2312"/>
          <w:sz w:val="24"/>
          <w:lang w:eastAsia="zh-CN"/>
        </w:rPr>
        <w:t>；</w:t>
      </w:r>
    </w:p>
    <w:p>
      <w:pPr>
        <w:pStyle w:val="79"/>
        <w:spacing w:line="360" w:lineRule="auto"/>
        <w:rPr>
          <w:rFonts w:hint="eastAsia" w:ascii="宋体" w:hAnsi="宋体" w:cs="宋体"/>
          <w:color w:val="auto"/>
          <w:sz w:val="24"/>
          <w:szCs w:val="21"/>
          <w:highlight w:val="none"/>
          <w:lang w:eastAsia="zh-CN"/>
        </w:rPr>
      </w:pPr>
      <w:r>
        <w:rPr>
          <w:rFonts w:hint="eastAsia" w:hAnsi="仿宋" w:cs="仿宋_GB2312"/>
          <w:sz w:val="24"/>
          <w:lang w:val="en-US" w:eastAsia="zh-CN"/>
        </w:rPr>
        <w:t xml:space="preserve">        11.1.4 </w:t>
      </w:r>
      <w:r>
        <w:rPr>
          <w:rFonts w:hint="eastAsia" w:ascii="宋体" w:hAnsi="宋体" w:cs="宋体"/>
          <w:color w:val="auto"/>
          <w:sz w:val="24"/>
          <w:szCs w:val="21"/>
          <w:highlight w:val="none"/>
          <w:lang w:eastAsia="zh-CN"/>
        </w:rPr>
        <w:t>具有</w:t>
      </w:r>
      <w:r>
        <w:rPr>
          <w:rFonts w:hint="eastAsia" w:ascii="宋体" w:hAnsi="宋体" w:cs="宋体"/>
          <w:color w:val="auto"/>
          <w:sz w:val="24"/>
          <w:szCs w:val="21"/>
          <w:highlight w:val="none"/>
        </w:rPr>
        <w:t>依法缴纳税收和社会保障资金的</w:t>
      </w:r>
      <w:r>
        <w:rPr>
          <w:rFonts w:hint="eastAsia" w:ascii="宋体" w:hAnsi="宋体" w:cs="宋体"/>
          <w:color w:val="auto"/>
          <w:sz w:val="24"/>
          <w:szCs w:val="21"/>
          <w:highlight w:val="none"/>
          <w:lang w:eastAsia="zh-CN"/>
        </w:rPr>
        <w:t>（纳税证明）；</w:t>
      </w:r>
    </w:p>
    <w:p>
      <w:pPr>
        <w:pStyle w:val="79"/>
        <w:spacing w:line="360" w:lineRule="auto"/>
        <w:ind w:firstLine="960" w:firstLineChars="400"/>
        <w:rPr>
          <w:rFonts w:hint="eastAsia" w:hAnsi="仿宋" w:eastAsia="仿宋_GB2312" w:cs="仿宋_GB2312"/>
          <w:sz w:val="24"/>
          <w:lang w:val="en-US" w:eastAsia="zh-CN"/>
        </w:rPr>
      </w:pPr>
      <w:r>
        <w:rPr>
          <w:rFonts w:hint="eastAsia" w:hAnsi="仿宋" w:cs="仿宋_GB2312"/>
          <w:sz w:val="24"/>
          <w:lang w:val="en-US" w:eastAsia="zh-CN"/>
        </w:rPr>
        <w:t xml:space="preserve">11.1.5 </w:t>
      </w:r>
      <w:r>
        <w:rPr>
          <w:rFonts w:hint="eastAsia" w:ascii="宋体" w:hAnsi="宋体" w:cs="宋体"/>
          <w:color w:val="auto"/>
          <w:sz w:val="24"/>
          <w:szCs w:val="21"/>
          <w:highlight w:val="none"/>
        </w:rPr>
        <w:t>参加政府采购活动前3年内在经营活动中没有重大违法记录的声明函</w:t>
      </w:r>
      <w:r>
        <w:rPr>
          <w:rFonts w:hint="eastAsia" w:ascii="宋体" w:hAnsi="宋体" w:cs="宋体"/>
          <w:color w:val="auto"/>
          <w:sz w:val="24"/>
          <w:szCs w:val="21"/>
          <w:highlight w:val="none"/>
          <w:lang w:eastAsia="zh-CN"/>
        </w:rPr>
        <w:t>；</w:t>
      </w:r>
    </w:p>
    <w:p>
      <w:pPr>
        <w:pStyle w:val="79"/>
        <w:spacing w:line="360" w:lineRule="auto"/>
        <w:ind w:firstLine="960" w:firstLineChars="400"/>
        <w:rPr>
          <w:rFonts w:hint="eastAsia" w:ascii="宋体" w:hAnsi="宋体" w:cs="宋体"/>
          <w:color w:val="auto"/>
          <w:sz w:val="24"/>
          <w:szCs w:val="21"/>
          <w:highlight w:val="none"/>
          <w:lang w:eastAsia="zh-CN"/>
        </w:rPr>
      </w:pPr>
      <w:r>
        <w:rPr>
          <w:rFonts w:hint="eastAsia" w:hAnsi="仿宋" w:cs="仿宋_GB2312"/>
          <w:sz w:val="24"/>
          <w:lang w:val="en-US" w:eastAsia="zh-CN"/>
        </w:rPr>
        <w:t xml:space="preserve">11.1.6 </w:t>
      </w:r>
      <w:r>
        <w:rPr>
          <w:rFonts w:hint="eastAsia" w:ascii="宋体" w:hAnsi="宋体" w:cs="宋体"/>
          <w:color w:val="auto"/>
          <w:sz w:val="24"/>
          <w:szCs w:val="21"/>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szCs w:val="21"/>
          <w:highlight w:val="none"/>
          <w:lang w:eastAsia="zh-CN"/>
        </w:rPr>
        <w:t>的承诺函或官网截图。</w:t>
      </w:r>
    </w:p>
    <w:p>
      <w:pPr>
        <w:pStyle w:val="79"/>
        <w:spacing w:line="360" w:lineRule="auto"/>
        <w:ind w:firstLine="964" w:firstLineChars="400"/>
        <w:rPr>
          <w:rFonts w:hint="default" w:ascii="宋体" w:hAnsi="宋体" w:cs="宋体"/>
          <w:color w:val="auto"/>
          <w:sz w:val="24"/>
          <w:szCs w:val="21"/>
          <w:highlight w:val="none"/>
          <w:lang w:val="en-US" w:eastAsia="zh-CN"/>
        </w:rPr>
      </w:pPr>
      <w:r>
        <w:rPr>
          <w:rFonts w:hint="eastAsia" w:ascii="宋体" w:hAnsi="宋体" w:cs="宋体"/>
          <w:b/>
          <w:bCs/>
          <w:color w:val="auto"/>
          <w:spacing w:val="0"/>
          <w:kern w:val="2"/>
          <w:sz w:val="24"/>
          <w:szCs w:val="21"/>
          <w:highlight w:val="none"/>
          <w:lang w:val="en-US" w:eastAsia="zh-CN" w:bidi="ar-SA"/>
        </w:rPr>
        <w:t>上述资格条件审查材料有一项不提供的，视为资格审查不通过</w:t>
      </w:r>
      <w:r>
        <w:rPr>
          <w:rFonts w:hint="eastAsia" w:hAnsi="宋体" w:cs="宋体"/>
          <w:b/>
          <w:bCs/>
          <w:color w:val="auto"/>
          <w:spacing w:val="0"/>
          <w:kern w:val="2"/>
          <w:sz w:val="24"/>
          <w:szCs w:val="21"/>
          <w:highlight w:val="none"/>
          <w:lang w:val="en-US" w:eastAsia="zh-CN" w:bidi="ar-SA"/>
        </w:rPr>
        <w:t>，做无效标处理。</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w:t>
      </w:r>
      <w:r>
        <w:rPr>
          <w:rFonts w:hint="eastAsia" w:ascii="仿宋_GB2312" w:hAnsi="仿宋" w:eastAsia="仿宋_GB2312" w:cs="仿宋_GB2312"/>
          <w:sz w:val="24"/>
          <w:highlight w:val="none"/>
          <w:lang w:eastAsia="zh-CN"/>
        </w:rPr>
        <w:t>法人</w:t>
      </w:r>
      <w:r>
        <w:rPr>
          <w:rFonts w:ascii="仿宋_GB2312" w:hAnsi="仿宋" w:eastAsia="仿宋_GB2312" w:cs="仿宋_GB2312"/>
          <w:sz w:val="24"/>
          <w:highlight w:val="none"/>
        </w:rPr>
        <w:t>授权委托书；</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w:t>
      </w:r>
      <w:r>
        <w:rPr>
          <w:rFonts w:hint="eastAsia" w:ascii="仿宋_GB2312" w:hAnsi="仿宋" w:eastAsia="仿宋_GB2312" w:cs="仿宋_GB2312"/>
          <w:sz w:val="24"/>
        </w:rPr>
        <w:t>法定代表人及其授权代表的身份证（复印件）</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w:t>
      </w:r>
      <w:r>
        <w:rPr>
          <w:rFonts w:hint="eastAsia" w:ascii="仿宋_GB2312" w:hAnsi="仿宋" w:eastAsia="仿宋_GB2312" w:cs="仿宋_GB2312"/>
          <w:sz w:val="24"/>
        </w:rPr>
        <w:t>投标人企业介绍（含企业概况、技术力量、主要产品、生产规模、市场业绩等）</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w:t>
      </w:r>
      <w:r>
        <w:rPr>
          <w:rFonts w:hint="eastAsia" w:ascii="仿宋_GB2312" w:hAnsi="仿宋" w:eastAsia="仿宋_GB2312" w:cs="仿宋_GB2312"/>
          <w:sz w:val="24"/>
        </w:rPr>
        <w:t>主要类似业绩证明（含同类项目实施实施情况、合同、用户情况）</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6</w:t>
      </w:r>
      <w:r>
        <w:rPr>
          <w:rFonts w:ascii="仿宋_GB2312" w:hAnsi="仿宋" w:eastAsia="仿宋_GB2312" w:cs="仿宋_GB2312"/>
          <w:sz w:val="24"/>
        </w:rPr>
        <w:t>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7</w:t>
      </w:r>
      <w:r>
        <w:rPr>
          <w:rFonts w:ascii="仿宋_GB2312" w:hAnsi="仿宋" w:eastAsia="仿宋_GB2312" w:cs="仿宋_GB2312"/>
          <w:sz w:val="24"/>
        </w:rPr>
        <w:t>商务技术偏离表；</w:t>
      </w:r>
    </w:p>
    <w:p>
      <w:pPr>
        <w:snapToGrid w:val="0"/>
        <w:spacing w:line="360" w:lineRule="auto"/>
        <w:ind w:firstLine="960" w:firstLineChars="400"/>
        <w:rPr>
          <w:rFonts w:hint="eastAsia"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政府采购供应商廉洁自律承诺书；</w:t>
      </w:r>
    </w:p>
    <w:p>
      <w:pPr>
        <w:pStyle w:val="79"/>
        <w:ind w:firstLine="960" w:firstLineChars="400"/>
        <w:rPr>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hAnsi="仿宋" w:cs="仿宋_GB2312"/>
          <w:sz w:val="24"/>
          <w:lang w:val="en-US" w:eastAsia="zh-CN"/>
        </w:rPr>
        <w:t xml:space="preserve">9 </w:t>
      </w:r>
      <w:r>
        <w:rPr>
          <w:rFonts w:hint="eastAsia"/>
          <w:lang w:val="zh-CN"/>
        </w:rPr>
        <w:t>投标人需要说明的其他文件和资料（格式自拟）</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pStyle w:val="79"/>
        <w:spacing w:line="360" w:lineRule="auto"/>
        <w:ind w:firstLine="960" w:firstLineChars="400"/>
        <w:rPr>
          <w:rFonts w:hint="default" w:eastAsia="仿宋_GB2312"/>
          <w:lang w:val="en-US" w:eastAsia="zh-CN"/>
        </w:rPr>
      </w:pPr>
      <w:r>
        <w:rPr>
          <w:rFonts w:hint="eastAsia" w:hAnsi="仿宋" w:cs="仿宋_GB2312"/>
          <w:sz w:val="24"/>
          <w:lang w:val="en-US" w:eastAsia="zh-CN"/>
        </w:rPr>
        <w:t>11.3.2报价明细表；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w:t>
      </w:r>
      <w:r>
        <w:rPr>
          <w:rFonts w:hint="eastAsia" w:ascii="仿宋_GB2312" w:hAnsi="仿宋" w:eastAsia="仿宋_GB2312" w:cs="仿宋_GB2312"/>
          <w:sz w:val="24"/>
          <w:lang w:val="en-US" w:eastAsia="zh-CN"/>
        </w:rPr>
        <w:t>3</w:t>
      </w:r>
      <w:r>
        <w:rPr>
          <w:rFonts w:ascii="仿宋_GB2312" w:hAnsi="仿宋" w:eastAsia="仿宋_GB2312" w:cs="仿宋_GB2312"/>
          <w:sz w:val="24"/>
        </w:rPr>
        <w:t>中小企业声明函</w:t>
      </w:r>
      <w:r>
        <w:rPr>
          <w:rFonts w:hint="eastAsia" w:ascii="仿宋_GB2312" w:hAnsi="仿宋" w:eastAsia="仿宋_GB2312" w:cs="仿宋_GB2312"/>
          <w:sz w:val="24"/>
        </w:rPr>
        <w:t>（如果有）</w:t>
      </w:r>
      <w:r>
        <w:rPr>
          <w:rFonts w:ascii="仿宋_GB2312" w:hAnsi="仿宋" w:eastAsia="仿宋_GB2312" w:cs="仿宋_GB2312"/>
          <w:sz w:val="24"/>
        </w:rPr>
        <w:t>。</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sz w:val="32"/>
        </w:rPr>
      </w:pPr>
    </w:p>
    <w:p>
      <w:pPr>
        <w:pStyle w:val="12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480" w:firstLineChars="200"/>
        <w:contextualSpacing/>
        <w:rPr>
          <w:rFonts w:hint="eastAsia" w:ascii="仿宋_GB2312" w:hAnsi="仿宋" w:eastAsia="仿宋_GB2312" w:cs="仿宋_GB2312"/>
          <w:b/>
          <w:sz w:val="24"/>
        </w:rPr>
      </w:pPr>
      <w:r>
        <w:rPr>
          <w:rFonts w:ascii="仿宋" w:hAnsi="仿宋" w:eastAsia="仿宋" w:cs="仿宋_GB2312"/>
          <w:sz w:val="24"/>
          <w:szCs w:val="22"/>
        </w:rPr>
        <w:t>18.4</w:t>
      </w:r>
      <w:r>
        <w:rPr>
          <w:rFonts w:hint="eastAsia" w:ascii="仿宋" w:hAnsi="仿宋" w:eastAsia="仿宋" w:cs="仿宋_GB2312"/>
          <w:sz w:val="24"/>
          <w:szCs w:val="22"/>
        </w:rPr>
        <w:t>开标记录开启后，请将附件</w:t>
      </w:r>
      <w:r>
        <w:rPr>
          <w:rFonts w:ascii="仿宋" w:hAnsi="仿宋" w:eastAsia="仿宋" w:cs="仿宋_GB2312"/>
          <w:sz w:val="24"/>
          <w:szCs w:val="22"/>
        </w:rPr>
        <w:t>2</w:t>
      </w:r>
      <w:r>
        <w:rPr>
          <w:rFonts w:hint="eastAsia" w:ascii="仿宋" w:hAnsi="仿宋" w:eastAsia="仿宋" w:cs="仿宋_GB2312"/>
          <w:sz w:val="24"/>
          <w:szCs w:val="22"/>
        </w:rPr>
        <w:t>《政府采购活动现场确认声明书》填写完整发送至邮箱：1944829752</w:t>
      </w:r>
      <w:r>
        <w:rPr>
          <w:rFonts w:ascii="仿宋" w:hAnsi="仿宋" w:eastAsia="仿宋" w:cs="仿宋_GB2312"/>
          <w:sz w:val="24"/>
          <w:szCs w:val="22"/>
        </w:rPr>
        <w:t>@qq.com</w:t>
      </w:r>
    </w:p>
    <w:p>
      <w:pPr>
        <w:keepNext w:val="0"/>
        <w:keepLines w:val="0"/>
        <w:pageBreakBefore w:val="0"/>
        <w:widowControl/>
        <w:kinsoku/>
        <w:wordWrap/>
        <w:overflowPunct/>
        <w:topLinePunct w:val="0"/>
        <w:autoSpaceDE/>
        <w:autoSpaceDN/>
        <w:bidi w:val="0"/>
        <w:adjustRightInd w:val="0"/>
        <w:snapToGrid/>
        <w:spacing w:beforeAutospacing="0" w:after="240" w:line="240" w:lineRule="auto"/>
        <w:jc w:val="left"/>
        <w:textAlignment w:val="auto"/>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403820"/>
      <w:bookmarkEnd w:id="14"/>
      <w:bookmarkStart w:id="15" w:name="_Hlt74707468"/>
      <w:bookmarkEnd w:id="15"/>
      <w:bookmarkStart w:id="16" w:name="_Hlt68073093"/>
      <w:bookmarkEnd w:id="16"/>
      <w:bookmarkStart w:id="17" w:name="_Hlt68057669"/>
      <w:bookmarkEnd w:id="17"/>
      <w:bookmarkStart w:id="18" w:name="_Hlt75236101"/>
      <w:bookmarkEnd w:id="18"/>
      <w:bookmarkStart w:id="19" w:name="_Hlt74729768"/>
      <w:bookmarkEnd w:id="19"/>
      <w:bookmarkStart w:id="20" w:name="_Hlt68072990"/>
      <w:bookmarkEnd w:id="20"/>
      <w:bookmarkStart w:id="21" w:name="_Hlt68072998"/>
      <w:bookmarkEnd w:id="21"/>
      <w:bookmarkStart w:id="22" w:name="_Hlt74730295"/>
      <w:bookmarkEnd w:id="22"/>
      <w:bookmarkStart w:id="23" w:name="_Hlt75236290"/>
      <w:bookmarkEnd w:id="23"/>
      <w:bookmarkStart w:id="24" w:name="_Hlt74714665"/>
      <w:bookmarkEnd w:id="24"/>
      <w:bookmarkStart w:id="25" w:name="_Hlt75236011"/>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ind w:firstLine="480" w:firstLineChars="200"/>
        <w:rPr>
          <w:rFonts w:hint="eastAsia" w:ascii="仿宋" w:hAnsi="仿宋" w:eastAsia="仿宋" w:cs="Times New Roman"/>
          <w:sz w:val="24"/>
          <w:lang w:eastAsia="zh-CN"/>
        </w:rPr>
      </w:pPr>
      <w:r>
        <w:rPr>
          <w:rFonts w:hint="eastAsia" w:ascii="仿宋" w:hAnsi="仿宋" w:eastAsia="仿宋" w:cs="Times New Roman"/>
          <w:sz w:val="24"/>
          <w:lang w:eastAsia="zh-CN"/>
        </w:rPr>
        <w:t>打造於潜“耕织云图”集成应用平台；推进数字技术在农业生产中的应用：构建育秧中心管理，水稻、果园高效管理，水稻病虫害监测预警，农业全产业链追溯，数字农业服务等硬件设备及信息化应用系统平台，植入浙农码管理追溯系统，建立水稻全产业链，为政府、大型企业、专业合作社、农民提供精准、有效、持续的信息化服务，推进精准种植在粮食种植中的技术创新和应用。</w:t>
      </w:r>
    </w:p>
    <w:p>
      <w:pPr>
        <w:pStyle w:val="79"/>
        <w:rPr>
          <w:rFonts w:hint="eastAsia"/>
          <w:lang w:eastAsia="zh-CN"/>
        </w:rPr>
      </w:pPr>
      <w:r>
        <w:rPr>
          <w:rFonts w:hint="eastAsia" w:ascii="仿宋" w:hAnsi="仿宋" w:eastAsia="仿宋" w:cs="Times New Roman"/>
          <w:b/>
          <w:bCs/>
          <w:sz w:val="28"/>
          <w:szCs w:val="28"/>
          <w:lang w:eastAsia="zh-CN"/>
        </w:rPr>
        <w:t>一、招标内容</w:t>
      </w:r>
    </w:p>
    <w:tbl>
      <w:tblPr>
        <w:tblStyle w:val="62"/>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891"/>
        <w:gridCol w:w="1266"/>
        <w:gridCol w:w="1334"/>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序号</w:t>
            </w:r>
          </w:p>
        </w:tc>
        <w:tc>
          <w:tcPr>
            <w:tcW w:w="2891" w:type="dxa"/>
            <w:noWrap w:val="0"/>
            <w:vAlign w:val="center"/>
          </w:tcPr>
          <w:p>
            <w:pPr>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采购内容</w:t>
            </w:r>
          </w:p>
        </w:tc>
        <w:tc>
          <w:tcPr>
            <w:tcW w:w="1266"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单位</w:t>
            </w:r>
          </w:p>
        </w:tc>
        <w:tc>
          <w:tcPr>
            <w:tcW w:w="1334"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数量</w:t>
            </w:r>
          </w:p>
        </w:tc>
        <w:tc>
          <w:tcPr>
            <w:tcW w:w="2036"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2891" w:type="dxa"/>
            <w:noWrap w:val="0"/>
            <w:vAlign w:val="center"/>
          </w:tcPr>
          <w:p>
            <w:pPr>
              <w:spacing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信息化建设</w:t>
            </w:r>
          </w:p>
        </w:tc>
        <w:tc>
          <w:tcPr>
            <w:tcW w:w="1266"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1334"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036"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2891"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硬件设备</w:t>
            </w:r>
          </w:p>
        </w:tc>
        <w:tc>
          <w:tcPr>
            <w:tcW w:w="1266"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w:t>
            </w:r>
          </w:p>
        </w:tc>
        <w:tc>
          <w:tcPr>
            <w:tcW w:w="1334" w:type="dxa"/>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2036" w:type="dxa"/>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320</w:t>
            </w:r>
            <w:r>
              <w:rPr>
                <w:rFonts w:hint="eastAsia" w:ascii="宋体" w:hAnsi="宋体" w:eastAsia="宋体" w:cs="宋体"/>
                <w:color w:val="auto"/>
                <w:sz w:val="24"/>
                <w:szCs w:val="24"/>
                <w:highlight w:val="none"/>
                <w:lang w:val="en-US" w:eastAsia="zh-CN"/>
              </w:rPr>
              <w:t>万元</w:t>
            </w:r>
          </w:p>
        </w:tc>
      </w:tr>
    </w:tbl>
    <w:p>
      <w:pPr>
        <w:pStyle w:val="79"/>
        <w:rPr>
          <w:rFonts w:hint="eastAsia"/>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pPr>
    </w:p>
    <w:p>
      <w:pPr>
        <w:pStyle w:val="79"/>
        <w:jc w:val="center"/>
        <w:rPr>
          <w:rFonts w:hint="eastAsia"/>
          <w:b/>
          <w:bCs/>
          <w:sz w:val="32"/>
          <w:szCs w:val="32"/>
          <w:lang w:eastAsia="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9"/>
        <w:numPr>
          <w:ilvl w:val="0"/>
          <w:numId w:val="1"/>
        </w:numPr>
        <w:jc w:val="center"/>
        <w:rPr>
          <w:rFonts w:hint="eastAsia"/>
          <w:b/>
          <w:bCs/>
          <w:sz w:val="32"/>
          <w:szCs w:val="32"/>
          <w:lang w:eastAsia="zh-CN"/>
        </w:rPr>
      </w:pPr>
      <w:r>
        <w:rPr>
          <w:rFonts w:hint="eastAsia"/>
          <w:b/>
          <w:bCs/>
          <w:sz w:val="32"/>
          <w:szCs w:val="32"/>
          <w:lang w:eastAsia="zh-CN"/>
        </w:rPr>
        <w:t>信息化建设明细表</w:t>
      </w:r>
    </w:p>
    <w:tbl>
      <w:tblPr>
        <w:tblStyle w:val="62"/>
        <w:tblW w:w="124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8"/>
        <w:gridCol w:w="1483"/>
        <w:gridCol w:w="1103"/>
        <w:gridCol w:w="9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2408"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水稻全产业链系统项目清单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172"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626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A、数字田园服务中心(育秧中心)</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育秧中心(管理端)</w:t>
            </w:r>
          </w:p>
        </w:tc>
        <w:tc>
          <w:tcPr>
            <w:tcW w:w="267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育秧订单模块</w:t>
            </w:r>
          </w:p>
        </w:tc>
        <w:tc>
          <w:tcPr>
            <w:tcW w:w="626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当育秧中心接收农户的种子后，可根据实际情况在创建育秧订单时增加多种数据，如种子类别/预计用时/预计产量/农户名称/联系方式/备注信息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育秧订单创建完毕后可直接打印接收单给农户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实时查看所有的育秧订单，也可按照种子类别/农户名称/联系方式/时间等条件进行精确查找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修改订单状态，如取消订单，将订单设置成完成状态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删除或者批量删除订单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环境数据模块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空气温度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空气湿度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光照强度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空气CO2浓度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土壤温度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土壤湿度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土壤PH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土壤EC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土壤氮含量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土壤磷含量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土壤钾含量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PM1.0 -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PM2.5 -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PM10 -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空气氧含量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风向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大气温度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大气湿度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风速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UV-紫外线辐射强度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光照强度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气压 - 物联网模块数据流转提取瞬时态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智能控制模块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智能控制模块系物联网平台下属模块。在育秧中心中主要用于进行育秧大棚智能化控制。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本模块可提供如下功能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控制单元业务命名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独立线路控制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卷帘机控制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灯光二态控制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亮度无级控制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批量操作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智能水肥模块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智能水肥模块系物联网平台下属模块。在育秧中心中主要用于对育秧大棚中的滴灌系统进行精准控制。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轮灌区地理信息云地同步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轮灌区管理信息联动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农业物联网环境数据互通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手自一体控制模式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肥桶管理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震荡器混肥比例微调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极限边缘阈值管理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设备状态一览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轮灌实时数据上报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轮灌任务配置下发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轮灌任务结果上报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运行轮灌区选择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数据统计模块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查看销售数据统计如每日/每月的订单总数，可选择表格查看或者统计图查看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查看销售数据统计如每日/每月的访问总数，可选择表格查看或者统计图查看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查看销售数据统计如每日/每月的商品数据统计，可选择表格查看或者统计图查看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查看销售数据统计如每日/每月的会员数据统计，可选择表格查看或者统计图查看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可管理接入系统的摄像头设备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可展示摄像头实时视频流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可配置摄像头生成延时摄像视频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可添加编辑摄像头一些基础信息，如摄像头备注等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可删除或者批量删除摄像头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育秧室管理模块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可创建新育秧室，创建信息包括育秧室面积,育秧产能，育秧设备信息，绑定智能化设备，管理人员信息，图片展示，是否开放, 剩余空间等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基础信息维护，可编辑修改已经创建的育秧室信息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可对智能设备进行划拨, 如绑定/移除环境数据收集物联网设备。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绑定/移除监控设备。配置延时视频生成参数等。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可删除或者批量删已创建的除育秧室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可查看智能设备的实时数据或者历史数据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可展示监控设备实时视频流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育秧大棚管理模块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可创建新育秧大棚，创建信息包括面积, 是否开放, 剩余空间等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基础信息维护，可编辑修改已经创建的育秧大棚信息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可对智能设备进行划拨, 如绑定/移除环境数据收集物联网设备。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绑定/移除监控设备。配置延时视频生成参数等。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绑定/移除控制设备，可绑定多个智能控制物联网设备用于远程操作大棚中的有效动作。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可删除或者批量删已创建的除育秧室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可查看智能设备的实时数据或者历史数据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可展示监控设备实时视频流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可查看控制设备状态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可云端操作控制设备状态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育秧报告模块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此模块主要用于在产生育秧订单后，基于智能物联网及智能可视化技术采集育秧过程中的数据信息并生成数据可视化报告，让农户对育秧过程有形象的了解。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可为进行中的订单创建育秧室溯源记录，通过选取育秧室及时间区间，并选择需要参与报告生成的参数即可生成一段育秧数据。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可为进入大棚阶段的育秧订单创建溯源记录，通过选取育秧大棚及时间区段即可生成全量育秧报告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可删除育秧报告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系统集成测试</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进行系统集成测试，判定各模块是否工作正常并达到上线标准。共包含1个部署单元，每个单元15天，包含Functional Testing/Smoking Testing/Performance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部署</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系统部署</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将系统部署至指定环境。共包含1个部署单元。每个部署单元平均5天。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B、绿色大米无人农场</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9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农业高效管理系统</w:t>
            </w:r>
          </w:p>
        </w:tc>
        <w:tc>
          <w:tcPr>
            <w:tcW w:w="267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设备接入引导</w:t>
            </w:r>
          </w:p>
        </w:tc>
        <w:tc>
          <w:tcPr>
            <w:tcW w:w="626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远程配置设备，为设备提供蜂窝（2G、3G、4G、5G）接入模式，远程升级。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远程配置设备，为设备提供NB-IoT接入模式，远程升级。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远程配置设备，为设备提供LoRaWAN接入模式，远程升级。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远程配置设备，为设备提供Wi-Fi接入模式，远程升级。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提供MQTT、CoAP、HTTP、HTTPS等多种协议的设备端SDK，既满足长连接的实时性需求，也满足短连接的低功耗需求。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自动设备拓扑构建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通过智能信道自发现构建整体设备拓扑。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自动识别父子设备，自动挂接中心网关，自动双边数据信道建立等。确保设备上电即自动组网入网。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平台通过拓扑结构进行模拟可变路由，在单点设备出现弱信号时，使用邻近设备进行消息补偿重试，以增强通讯稳定性。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提供设备物模型，物模型模块功能，解决了农业场景中复杂的设备建模，便于在同一产品下，开发不同功能，简化应用开发。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支持设备网络状态检测能力。通过Wi-Fi接入网络的设备可以将网络状态信息通过指定Topic上报至云端，可提供设备上下线变更通知服务，方便实时获取设备状态。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云存储网关，给云上和云下应用提供业界标准的NFS和CIFS文件存储服务提供数据存储能力，方便用户海量设备数据的存储及实时访问。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OTA升级，赋能设备远程升级。通过MQTT协议接入物联网平台的设备再次上线后，物联网平台自动检测到设备上线，OTA服务端验证该设备是否需要升级。如果需要升级，物联网平台再次推送升级消息给设备，否则不推送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提供设备影子缓存机制，用于缓存设备状态。设备在线时，可以直接获取云端指令；设备离线后，再次上线可以主动拉取云端指令。将设备与应用解耦，解决不稳定无线网络下的通信不可靠痛点。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实时获取上线设备数据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选择时间查看设备历史数据，并用统计图直观展示出来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设备TSL证书加密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提供芯片级安全存储方案（ID²）及设备密钥安全管理机制，防止设备密钥被破解。安全级别很高。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提供X.509证书的设备认证机制，支持基于MQTT协议直连的设备使用X.509证书进行认证。安全级别很高。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提供一机一密的设备认证机制，降低设备被攻破的安全风险。适合有能力批量预分配设备证书（ProductKey、DeviceName和DeviceSecret），将设备证书信息烧录到每个设备的芯片。安全级别高。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一型一密的设备认证机制。设备预烧产品证书（ProductKey和ProductSecret），认证时动态获取设备证书（包括ProductKey、DeviceName和DeviceSecret）。适合批量生产时无法将设备证书烧录每个设备的情况。安全级别普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设备入网授权下发</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物联网平台会为设备颁发ProductSecret、DeviceSecret等密钥。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设备接入物联网平台时，需使用密钥进行身份认证。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认证方式：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1.一机一密：每台设备烧录自己的设备证书（ProductKey、DeviceName和DeviceSecret）。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2.一型一密预注册：同一产品下设备烧录相同产品证书（ProductKey和ProductSecret）。开通产品的动态注册功能，设备通过动态注册获取DeviceSecret。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3.一型一密免预注册：同一产品下设备烧录相同产品证书（ProductKey和ProductSecret）。开通产品的动态注册功能，通过动态注册，设备不获取DeviceSecret，而是获取ClientID与DeviceToken的组合。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4.子设备动态注册：网关连接上云后，子设备通过动态注册获取DeviceSecret。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平台负责维持密钥有效期。一旦秘钥过期就会提示管理员，及时更新秘钥有效期。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每台设备秘钥都是唯一，平台负责维持密钥唯一性。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平台自动在前后置通讯节点拦截数据并加解密以保障数据通讯安全，并且提供了三副本技术保障数据的可靠性。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边缘端点设备接入回跳</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平台开放边缘节点接入能力，确保设备上电时快速寻找与之网络链路维度最接近的节点，确保设备通讯实效性。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边缘节点中的可信链接可由平台自动调整，无论设备对接任何边缘节点都可与中心网络直接通讯。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设备解析模型下发</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平台可根据设备实际业务创建(管理)设备数据模型。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设备数据模型中包含元信息/状态信息/通讯事件注册信息/设备服务注册信息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合法入网后，平台将下发统一通讯解析模型，用于设备端构建合规的上报信息包结构。当资源受限或配置较低，设备端不适合直接构造物模型的JSON数据结构体与物联网平台进行直接通信。这种情况下，可以将设备上报的原数据直接透传到物联网平台。物联网平台调用您提交的数据解析脚本，将设备上行数据解析为物联网平台定义的标准格式，再进行业务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平台在接收设备信息时将使用设备数据模型进行数据校验及清洗，确保流转至后方业务池中的数据合法合规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双通实时通讯握手</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建立平台与设备间双向实时长通讯绑定，用于平台下发实时可回执控制指令，确保设备在低延时操作中的可触达性。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平台需与低延时控制设备建立一对一TCP/IP通讯链路。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平台需实现QoS=1的通讯回执模式，在下发设备指令后持续等待接收设备执行回执信息。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平台需实现回执模式下通讯失败后的重试策略，使用3次递增重尝机制，多次投递控制指令。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平台需实现设备回执去重，筛选抛弃过期回执。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MQTT双边协议</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平台与设备基于MQTT协议进行双边订阅及发布关联，建立独立业务通讯信道，用于平台下发或设备上报特定消息包。协议初始化后，双边需自动订阅消息通道。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1）设备上下线状态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2）设备属性上报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3）设备事件上报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4）设备属性批量上报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5）设备事件批量上报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6）设备生命周期变更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7）设备拓扑关系变更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8）网关发现子设备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9）设备下行指令结果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10）历史属性上报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11）历史事件上报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12）OTA升级状态通知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13）OTA升级进度通知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14）OTA模块版本号上报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15）OTA升级批次状态通知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16）设备标签变更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17）设备任务的状态通知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消息队列构建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云端构建百万级可控时序队列用于处理下方所有入网设备的所有消息，低延迟、高并发、高可用、高可靠。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确保消息被有序处理。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确保消息最少被处理一次。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确保处理失败的消息能够被重试。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确保消息持有唯一版本号。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 确保消息路径可追踪性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传感器瞬时数据</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设备电量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网关目标IP地址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网关目标端口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网关WIFI名称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网关WIFI密码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空气温度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空气湿度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光照强度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空气CO2浓度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土壤温度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土壤湿度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土壤PH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土壤EC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土壤氮含量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土壤磷含量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土壤钾含量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PM1.0 -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PM2.5 -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PM10 -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空气氧含量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风向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湿度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风速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累计雨量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UV-紫外线辐射强度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光照强度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气压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叶面温度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叶面湿度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茎秆微变化 - 云端基于双边通讯解析模型构建设备数据快照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传感器历史数据入池</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云端基于双边通讯解析模型建立数据池，用于支撑海量设备的独立短报文数据存储。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数据湖需支持NoSQL无结构化存储方式。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数据湖需支持QueryDSL查询模式。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数据湖需支持标准RDBMS SQL查询模式。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数据湖需构建满足Timeline模型及WideColumn模型的存储结构。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 数据湖确保设备上报数据被时序存储。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 数据湖需确保设备生命周期数据完整性。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控制器指令下发(异步)</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云端基于消息队列下发非实时性控制指令，确保控制指令投递至正确队列。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控制器指令下发(同步)</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云端基于双边实时通讯协议下发具有强实效性控制指令并确保得到设备答复及回执。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大数据多维分析</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通过对设备历史数据进行结构化处理后，提供多维度视角分析能力，如指定设备按自定时间周期聚合后的指定设备数据值的最大/最小/均值量。农场中按上报信息排序的设备排名等。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空气温度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空气湿度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光照强度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空气CO2浓度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土壤温度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土壤湿度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土壤PH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土壤EC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土壤氮含量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土壤磷含量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土壤钾含量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PM1.0 -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PM2.5 -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PM10 -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空气氧含量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风向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湿度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风速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UV-紫外线辐射强度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光照强度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气压 - 最高值查询过程/最低值查询过程/平均值查询过程/按年月日分组统计策略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市物联网公共组件平台对接</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双边接口授信。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建立连接之后，需要立刻发送认证请求。如果15秒内没有认证成功，服务器将主动关闭连接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服务端与物联网平台建立连接时，需传入心跳时间（AMQP协议参数idle-timeout），取值范围为30~300秒。 如果超过心跳时间，连接上无任何帧通信，物联网平台将关闭连接。建立连接后，用户服务端需在心跳时间内发送PING包来维持连接。若没有在心跳时间内发送PING包，物联网平台将断开连接。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由于消费客户端离线、消息消费慢等原因，消息不能实时消费，而进入堆积队列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 消息保存时长为一天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9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农作物长势及病虫害监测系统</w:t>
            </w: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周期性采集指令</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云端周期性向物联网智能图像设备下发采集指令，使设备自动收集指定图像数据。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可对视频图像序列自动地进行运动对象提取、描述、跟踪、识别和行为分析等。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可展示收集好的指定图像数据。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图像采集数据上云</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借助计算机强大的数据处理功能，设备接收到采集指令后自动采集分析图像数据。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可将采集好的图像数据整合时间/地理等外部参数打包上报至云端。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可展示处理好的图像数据。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农业环境数据拉通</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将原本分散的农场数据统一汇聚和拼接起来，形成完整的用户信息视图，将农场中的环境数据进行栅格划分，标记可能出现病虫害的环境指标点，为用户提供有效预警。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大农业资料仓接入</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资料仓提供海量农业病虫害数据，使用户能够快速对病虫害进行学术性定位，并从资料库中获取准确的病情研判指标及应对策略。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植物孢子检测</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孢子检测设备在运作过程中通过进出风口流通采集分析影响区域范围内单位立方中植物孢子数量以判定当前区块植物生长状态。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专家库</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汇总大量农业专家信息，通过直观方式展现给用户，并对专家的特长，业务范围进行分类，提供直接连通农业专家的能力。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可编辑修改专家信息，如特长，业务范围等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可删除或者批量删除专家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9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农产品质量安全追溯系统(管理端)</w:t>
            </w: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企业介绍展示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以农业生产者的系统档案信息为基础，实现对基础信息的实时记录和上传功能。形成包括企业图片、简介、产品介绍等在内的展示。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可编辑修改企业信息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环境监控展示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实现对农作物种植气象信息的实时记录、查询和上传功能，形成果树生长环境展示。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实现对农作物土壤信息的实时记录、查询和上传功能，形成果树生长环境展示。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实现对农作物图像信息的实时记录、查询和上传功能，形成果树生长环境展示。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实现对农作物地理位置信息的实时记录、查询和上传功能，形成果树生长环境展示。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环境监控采集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设置在农田的智能监测基站，利用物联网传感及成像技术自动采集气象、土壤、图像、地理位置等农业种植段信息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视频监控展示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通过部署在农田内的智能监控系统，采集现场视频记录，形成视频监控展示，实现全程可视化的溯源数据、图像记录。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智能视频抽帧拼接合成</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分布式多媒体云通过对云端溯源图像信息整合抽取并通过集群算力自动根据时序信息将多张点位图像合并为延时视频，使用户能够通过几分钟查看此溯源对应的农作物的生长过程。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溯源码管理模块</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生成全局唯一的溯源码，一个溯源码对应一个完整的溯源信息。通过向市场用户分发溯源码， 市场用户可通过扫描溯源码直接查看此产品对应的完整溯源周期中的生长信息，其中包括延时生长视频，物联网数据，农事记录等。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物联网数据仓互通</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管理员可将物联网数据仓中指定的一个或多个设备的物联网环境数据提取并绑定至溯源信息中。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可自动生成指定周期中的数据曲线，用于向客户提供农场品生长过程中的环境情况。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创建农事操作记录时自动在某一溯源下创建，自动绑定归类到某一溯源下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市级溯源平台对接</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对接市级溯源平台，通过三方接口同步农户在市溯源平台中留存的溯源相关信息。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账户信息同步接口集成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种植操作接口集成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施肥信息接口集成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防治信息接口集成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 采收信息接口集成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 检测信息接口集成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 地块信息接口集成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 种植维护信息接口集成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 环境数据信息集成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 溯源记录绑定关联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溯源码分发</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管理员可通过溯源信息自动生成不同规格，不同样式的溯源码，也可自动将溯源码转换为便于市场流通的二维码，并可提供打印，便于贴于农产品包装处。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49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农产品质量安全追溯系统(用户端)</w:t>
            </w: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手机号登陆绑定</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用户通过手机号登陆，通过登录时填写的phoneNum，发送验证码，进行相应校验，并验证手机号是否和验证码匹配。方便收集市场信息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二维码扫描</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通过图像智能识别算法，可快速准确地读取纸质或屏幕上的一维码及二维码，扫描由溯源码生成的二维码并自动获取整体溯源信息。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延时视频播放</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视频控件自动播放媒体云集群生成的延时视频，保证视频传输安全，秒级全链路监控，实时获知直播动态。多源合流方案，保障视频稳定。提供上下行码率自适应、窄带高清转码™、截图、录制、视频审核、时移、数据监控、云导播、低延时直播、实时日志、视频流管理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物联网数据报表渲染</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处理所有标准数据挖掘问题的方法:回归、分类、聚类、关联规则挖掘以及属性选择，提供可视化交互方面的支持，使用物联网数据展示曲线图/饼图等报表，便于客户观察溯源信息。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农事操作记录展示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用户可选择查看所以农事操作记录或者阶段时间内的农事操作记录，便于用户深刻了解产品生长种植加工情况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快速分享</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用户可将信息或直播页面分享至微信私域，通过好友消息/群消息/朋友圈等渠道打开营销信息进入微信私域的渠道，以提升用户粘度，用户广度，裂变度最终提升营收效益及访问流量。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农场信息展示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基于B/S模式, 针对农场内部信息管理和流程, 开发企业信息展示模块，由基本信息录入、新闻管理，公告管理，文档管理，权限管理，统计管理等组成，展示农场基本信息。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49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农事派工系统</w:t>
            </w: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管理员可在某一农场下创建人员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管理员可编辑修改人员信息，如名称/联系方式/职务/上下级关系等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管理员可查询某一农场下所有人员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工单管理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管理员可创建工单，在创建时还可指派工单给指定人员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管理员可关闭工单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管理员可编辑修改工单信息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管理员可查看所有工单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工作类目管理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管理员可新增工作类目，如除草/施肥/平地/插秧/收获等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管理员可编辑修改已经创建的工作类目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管理员可删除或者批量删除工作类目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管理员可查看所有工作类目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通知分发</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管理员可选择通知接受工单的人员，短信，人工电话等形式推送工单内容信息等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工时汇总</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系统可自动统计工单内人员工时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效率分析</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系统可出具月度/年度工单处理效率图表数据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系统可出具月度/年度人均开单量图表数据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系统可出具月度/年度总支出经费图表数据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系统可出具月度/年度人均支出经费图表数据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系统可出具月度/年度工单平均支出经费图表数据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农机AI自动驾驶平台</w:t>
            </w: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查看/管理农场下属的农机列表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可绑定及移除农机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能够动态、实时显示当前车辆在线状态（即设备网络拨号状态）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可编辑修改农机信息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农机地理信息</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可查看农场下属所有农机的地理位置信息，及二维地图展示。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在操作窗口中输入或选择车辆牌号，系统自动在地图上显示车辆的位置状态（经度、纬度、速度、方向、定位状态、报警状态）等信息。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农机工作状态</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可查看农机当前工作数据状态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车辆安装图像实时无线监控功能模块，中心下发指令提取当前车辆内部图像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中心发起监听命令，可监听车辆内的音频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农机工作成果</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可查看农机工作成果数据，如耕地面积，收获质量等。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可观看实时视频，观看视频的过程中，可以对当前图像进行本地抓图，方便取证。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可以针对当前正在预览的画面进行录像，保存到本地磁盘指定的位置。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农机工作历史</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可查看农机历史作业时长，作业面积，作业效率等。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用户选定一时间段（可以为当前开始时间，也可以为过去一段时间），在GIS电子地图上显示某车辆的行驶轨迹。包含速度、报警等同步信息。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智能生长预测模型构建</w:t>
            </w: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环境数据建模</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在进行模型建立的初期，需要会同农业专家及需求方进行多次研讨会议，定义环境数据收集维度范围及对应模型指标，设计相应数据模型算法，建立环境数据模型。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环境数据流转整合</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物联网大数据平台对属地中空气温湿度，土壤温湿度，土壤肥力，光照强度，降水量进行采集归档。在大数据积累前提下，根据历年水稻生长情况对环境数据进行切片分析，汇总输出标准水稻生长环境模型。此模型可用于生长期/成熟期水稻产品的品质度量及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环境模型基础服务实现</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将环境模型转换为实际逻辑代码，以进入系统调用范围，使其在全系统间得到数据互通和指令调用的权限。同时开发用户友好的界面以展示模型概况。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水稻生长模型研判定性</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进行模型建立的初期，需要会同农业专家及需求方进行多次研讨会议，以决定模型发展方向。同时需要进行水稻生长过程梳理，环境因素影响，农业行为影响，品种选择，关键时间点等多个可变因素收集并总结出基本模型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水稻生长模型数据收集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模型的基本框架成型的前提下，需要根据模型框架中的各维度指标尽可能收集有效数据，如品种来源，育秧质量，插秧时间，施肥种类，施肥剂量，株高，株宽等历史数据并归档整理，并设计相应算法，对收集的信息量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水稻生长模型数据栅格匹配</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模型回归性优化过程中需要使用上方收集并整理归档后的数据进行匹配验证，通过比对结果调整模型可变因素判定阈值。通过重复上述步骤多次，以逐渐产生合理的评估模型。最终由农业专家评估后确认模型是否达到部署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在线物候检测设备两级贯通</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使用在线式多光谱技术对区块内作物状态进行批量扫描分析，可提取植物叶绿素占比，健康状态。并将数据回传至模型库，用于为模型提供宏观判定条件。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水稻生长模型系统集成</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在模型建模完成后，需要将模型由学术性规则转换为内核逻辑代码以用于与系统内其他模块集成。同时需要构建用户友好的可操作界面作为数据收集来源，并展示最终的评估结果。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水稻病虫害样本库构建</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水稻病虫害具有种类多、为害重、症状形态复杂等特点。虽然水稻病虫害的诊断知识已相当丰富 ,但分布零散。通过建立农业病虫害图像库 ,以害虫、病害检索表为依据 ,通过构造害虫、病害识别特征数据库 ,建立特征索引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病虫害数据收集</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通过虫情监测器收集作用范围内虫情指标，如单位面积粘虫数量，虫体活性，虫体大小等指标判定是否达到模型阈值。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通过孢子测试分析仪收集作物病害指标，如指定当量孢子密度值，瞬时冲击值等。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病虫害预测服务开发</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通过病虫害数据收集所得的基础数据结合农场中物联网设备回传数据进行计算研判对外提供预测服务及由样本库提供的病虫害详细信息。同时提供用户友好的操作界面以便直观查看。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浙农码智能防返贫</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根据模型定义，调取平台中各模块数据输入模型进行浙农码评分，对接浙农码平台自动上报评分并生成各色浙农码。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浙农码推送接口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浙农码提取接口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农事记录数据提取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施肥记录数据提取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 环境数据提取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 线下奖项得分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 权重配比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 农户操作界面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 管理员汇总报告页面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49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w:t>
            </w: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系统集成测试(SIT)</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进行系统集成测试，判定各模块是否工作正常并达到上线标准。共包含5个部署单元，每个单元15天，包含Functional Testing/Smoking Testing/Performance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农业物高效管理系统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农作物长势及病虫害监测系统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农产品质量安全追溯系统(管理端)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农产品质量安全追溯系统(用户端)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农机AI自动驾驶平台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49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部署</w:t>
            </w:r>
          </w:p>
        </w:tc>
        <w:tc>
          <w:tcPr>
            <w:tcW w:w="267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系统部署</w:t>
            </w: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将系统部署至指定环境。共包含5个部署单元。每个部署单元平均5天。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农业物高效管理系统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农作物长势及病虫害监测系统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农产品质量安全追溯系统(管理端)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农产品质量安全追溯系统(用户端)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9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7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农机AI自动驾驶平台</w:t>
            </w:r>
          </w:p>
        </w:tc>
      </w:tr>
    </w:tbl>
    <w:p>
      <w:pPr>
        <w:pStyle w:val="79"/>
        <w:widowControl w:val="0"/>
        <w:numPr>
          <w:ilvl w:val="0"/>
          <w:numId w:val="0"/>
        </w:numPr>
        <w:autoSpaceDE w:val="0"/>
        <w:autoSpaceDN w:val="0"/>
        <w:adjustRightInd w:val="0"/>
        <w:jc w:val="center"/>
        <w:rPr>
          <w:rFonts w:hint="eastAsia"/>
          <w:b/>
          <w:bCs/>
          <w:sz w:val="32"/>
          <w:szCs w:val="32"/>
          <w:lang w:val="en-US" w:eastAsia="zh-CN"/>
        </w:rPr>
      </w:pPr>
    </w:p>
    <w:tbl>
      <w:tblPr>
        <w:tblStyle w:val="62"/>
        <w:tblW w:w="144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752"/>
        <w:gridCol w:w="2340"/>
        <w:gridCol w:w="9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4429"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农旅数字提升项目清单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092"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963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4429"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C、数字化果园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5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智能灌溉/打药管理系统</w:t>
            </w:r>
          </w:p>
        </w:tc>
        <w:tc>
          <w:tcPr>
            <w:tcW w:w="23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云端独立直连信道构建</w:t>
            </w:r>
          </w:p>
        </w:tc>
        <w:tc>
          <w:tcPr>
            <w:tcW w:w="963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云端为大设备提供独立稳定通信信道，提供消息补偿送达机制，确保通讯消息绝对送达。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轮灌区地理信息云地同步</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云端与设备端实时同步轮灌区信息，打破设备端信息孤岛，使轮灌区信息接入农场管理数据体系。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轮灌区管理信息联动</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根据时间段调度整个灌区电磁阀的轮流工作。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自动/手动控制灌溉和采集墒情。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整个系统可协调工作实施轮灌,充分提高灌溉用水效率,实现节水、节电,减少劳动强度,降低人力投入成本。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农业物联网环境数据互通</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系统通过分析处理传感器数据等信息，达到所设值或人为操作，作为灌溉设备运行的控制条件，实现智能化灌溉。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农业物联网环境数据监控</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运用物联网、大数据、云计算与传感器技术相结合的方式对农业生产中的环境温度、温度、光照强度、土壤墒情等参数进行实时监控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手自一体控制模式</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提供手动指令用于快速触发任务。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提供自动模式定时定期进行指定设备行为。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切换输出模块根据压互切换模块中自动切换开关或手动切换开关的控制结果控制所述继电器，以改变各待切换电压互感器接入线路的状态，即实现电压互感器的切换。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肥桶管理</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云端与设备端实时同步肥桶信息，以往各园区曾采用的文丘里吸肥器,利用水流压差将各肥料桶内肥料吸入管道进行灌溉施肥,打破设备端信息孤岛，使轮灌区信息接入农场管理数据体系。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震荡器混肥比例微调</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云端可对设备的震荡器进行微调控制，通过用于微调可调振荡器的周期时间以匹配以预定位时间运行的控制器区域网络总线的方法,确保设备输出水肥比例满足用户要求。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极限边缘阈值管理</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指定设备保护性边缘阈值，当设备运行使触发任意阈值时能够自动停机并保护数据现场。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缘阈值可触发期望的动作,包括改进操作诸如减缓操作,其中参数的所述值被测量为在由边缘阈值和极限阈值限定的值之间。可基于多个参数来限定多个阈值,从而进一步实现校准使用,诸如根据超过基于灌溉、施肥、打药等循环数量的边缘阈值以及超过基于电流消耗超过一定值的程度的边缘阈值两者来减缓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设备状态一览</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基于设备状态实时监测技术，对系统内设备进行技术状态实时监测，运行数据自动采集，管理程序关联控制提供设备实时状态数据管理界面。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轮灌实时数据上报</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在设备进行单位工作时，云端实时接收设备任务状态，显示设备运行状态信息及实时运行曲线，确保任务运行数据能够被用户感知。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轮灌任务配置下发</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云端可向设备下发用户配置过的任务策略以应对高级操作场景，确保轮灌/打药/施肥等任务指令能够被末端控制设备接收。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轮灌任务结果上报</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云端可存储设备在一次任务后的汇总结果，如用水量/用肥量/总时长等。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系统用户通过数据采集模块的任务列表菜单，可以打开进入到任务列表页面，在系统中通过任务列表查看任务结果。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生态监测平台</w:t>
            </w: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空气指标模块</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管理员可将片区中根据生态环境部指定交易的空气指标相关数据录入系统中，如富氧离子数据，PM2.5，二氧化硫等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管理员可查看空气指标相关数据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管理员可编辑修改空气指标相关数据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土壤指标模块</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管理员可将土壤肥力，土壤酸碱度，土壤硬度，土壤沙化程度相关数据录入系统中。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管理员可查看土壤指标相关数据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管理员可编辑修改土壤指标相关数据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水域指标模块</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管理员可将片区中水域相关指标录入系统，如清洁度，PH值，漂浮物数量，厌氧生物数量，沉积层高度，河道水位，分支数量。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管理员可查看水域指标相关数据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管理员可编辑修改水域指标相关数据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数据汇总模块</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数据汇总模块用于将各指标模块中的数据归档清理后展示于总揽图表中以帮助管理员研判当前片区中的生态质量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历年指标模块</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系统可任意抽调历年指标数据用于对比分析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包括系统登录，注册，个人设置，密码管理，退出登陆等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区别于普通用户，管理员还有权限分配，角色管理，平台基础信息设置，日志记录，操作行为记录，数据导出打印等功能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需求分析(BA)</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系统需求分析，接口对接等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系统架构(SA)</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架构设计合理，方便后期拓展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美工设计(UI/VI)</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系统UI设计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前端开发(FE)</w:t>
            </w:r>
          </w:p>
        </w:tc>
        <w:tc>
          <w:tcPr>
            <w:tcW w:w="9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数据仓流转接口</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农场地理信息</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提供农场范围地理经纬度信息, 用于在地图组件中渲染农场图层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区域地理信息</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提供农场下属的管理区域地理经纬度范围信息, 用于在地图组件中渲染区域图层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设备地理信息</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提供农场中所有设备的经纬度信息, 用于在地图组件中渲染设备图标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设备模型</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提供设备模型数据, 主要包含设备内的物联网数据类型/名称/单位等。在显示设备详情时用于构建页面。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设备实时状态</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提供设备实时状态。如是否在线/接入IP/网络质量/最后通讯时间等。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设备历史状态</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提供设备组网/上线/离线的历史时序数据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设备在线数量</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提供在线设备数量统计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设备离线数量</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提供离线设备数量统计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传感器历史数据</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提供传感器设备模型中单数据采集点的历史时序数据，常用于展示数据指标与时间线的关联关系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传感器实时数据</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提供传感器设备模型中包含的所有数据快照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控制器指令下发</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提供向下方控制器发送控制指令能力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控制器实时数据</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提供查询控制器所有电位状态能力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控制器指令记录</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提供查询控制器接收的指令记录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安防监控图像数据</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提供接入平台中的安防监控图像数据，可提供历史录制，快照图片，实时直播流等。常用于监控上屏。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植物监测图像数据</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提供接入平台中的植物监测器的图像数据，可提供历史录制，快照图片，实时直播流等。此为病虫害监测模块下的数据。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植物生长节点图像数据</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提供接入平台中的植物监测器的延时图像合成数据。此为病虫害监测模块下的数据。常用于展示植物的生长过程。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区域数量</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提供平台中区域数量信息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会员数量</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提供前台会员用户数量统计信息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管理员数量</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提供平台中管理员数量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溯源</w:t>
            </w:r>
          </w:p>
        </w:tc>
        <w:tc>
          <w:tcPr>
            <w:tcW w:w="96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提供平台内溯源数量查询，可根据状态筛选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w:t>
            </w: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系统集成测试(SIT)</w:t>
            </w:r>
          </w:p>
        </w:tc>
        <w:tc>
          <w:tcPr>
            <w:tcW w:w="963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进行系统集成测试，判定各模块是否工作正常并达到上线标准。共包含1个部署单元，每个单元15天，包含Functional Testing/Smoking Testing/Performance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部署</w:t>
            </w: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系统部署</w:t>
            </w:r>
          </w:p>
        </w:tc>
        <w:tc>
          <w:tcPr>
            <w:tcW w:w="963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将系统部署至指定环境。共包含6个部署单元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9"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tbl>
      <w:tblPr>
        <w:tblStyle w:val="62"/>
        <w:tblW w:w="14379"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58"/>
        <w:gridCol w:w="1536"/>
        <w:gridCol w:w="2016"/>
        <w:gridCol w:w="10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4379" w:type="dxa"/>
            <w:gridSpan w:val="4"/>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於潜耕织云图集成应用平台项目清单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6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3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12185" w:type="dxa"/>
            <w:gridSpan w:val="2"/>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4210" w:type="dxa"/>
            <w:gridSpan w:val="3"/>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一、三维实景展示中心</w:t>
            </w:r>
          </w:p>
        </w:tc>
        <w:tc>
          <w:tcPr>
            <w:tcW w:w="10169" w:type="dxa"/>
            <w:tcBorders>
              <w:tl2br w:val="nil"/>
              <w:tr2bl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0"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欢迎页</w:t>
            </w:r>
          </w:p>
        </w:tc>
        <w:tc>
          <w:tcPr>
            <w:tcW w:w="2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页面开发</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1.於潜耕织云图集成应用平台欢迎面页及登陆页2张的设计、修改与开发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34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用户权限</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1.进入於潜耕织云图集成应用平台用户权限的设置、配置及认证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01"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首页</w:t>
            </w:r>
          </w:p>
        </w:tc>
        <w:tc>
          <w:tcPr>
            <w:tcW w:w="2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指标展示</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1.从一体化数据平台及相关应用系统中获取基础数据，利用大数据分析，算法等技术手段，基于三维地图将於潜党建，产业，文化，生态资源，交通，乡村治理等方面的相关内容进行上图标注、展示、分析与宣传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2.党建主要展现内容：党员基本人员、地址、学习情况，活动情况等，图片及视频等方式展示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3.产业主要展现内容：历年的一产、二产、三产的数据与分析情况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4.文化主要展现内容：分耕织文化、天目窑文件、红色文化及名人文化用图片、视频等方式分别进行展示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5.交通主要展现内容：於潜镇整体交通、营运车辆等相关指数与图表的展示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6.乡村治理主要展现内容:於潜镇各种汇总指标如：人房车、我的回复、我要服务、我要反映等各方面汇总指标的展示。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7、生态资资源主展内容：於潜镇的各类生态资源指标用各类图表方式进行展示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10"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光明村</w:t>
            </w: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光明村主页</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1.获取一体化公共数据平台及现有系统，采集相关平台的数据、并进行计算与汇总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2将无人农场，智慧新零售，村庄经营，未来乡村，提速增效等相关数据及指标，在三维地图上进行标注、展示与分析。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无人农场主要展现内容：设备状态、设备在离线数量、传感器数据及指令信息，气象站监测上图、土壤墒情数据、土壤肥力、病虫害监测、水稻生长情况监测与管理等，图片及视频、图表等方式汇总情况的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4.智慧新零售主要展现内容：基本情况、新增商户、累计商户、每日交易情况/销售额、每月交易情况/销售额、库存、新增会员数量、累计会员数量及近7日人流量的统计等汇总数据上图展示与分析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村庄经营主要展现内容：旅游场景，旅游活动，景区人流统计，景区运营收入，引进人才数，本地人才数，累计引进人才数，产业生产数量，产业收入等进行可视化上图与标注，实现村庄经营等汇总数据的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6.未来乡村主要展现内容：将人房信息上图、资源标注、乡村漫游及未来发展规划等汇报数据进行展示与分析。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7.提速增效主要展现内容:光明村特色乡村建设带动增收的基本情况。利用可视化图表，如折线图等，可实现光明村集体经济增收及村民经济增收历史变化曲线的展示与分析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无人农场</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1.获取相关IOT设备的数据，并进行筛选、计算与展示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要包括无人农场内设备状态、设备在离线数量、传感器数据及指令等信息，实现气象站监测上图、土壤墒情数据、土壤肥力、病虫害监测、水稻生长情况监测与管理等详细数据的在三维护地图的标注、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3.农场监控、稻田及果园等远程监控，包括面积、品种、产量等基础信息在三维地图上进行标注、展示与分析，并可通过视频实时查看无人农场的情况。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42"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智慧新零售</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1.获取智慧新零售平台或相关应用平台的数据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2.零售商户、视频临控点在三维地图上进行标注、展示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3.对新增商户、累计商户、每日交易情况/销售额、每月交易情况/销售额、库存、新增会员数量、累计会员数量及近7日人流量的统计等数据进行详细展示与分析。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4.通过视频监控，实时查看及监控现场交易与使用情况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37"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村庄经营</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2.将获取数据在三维地图上进行标注、展示与分析，包括：基本旅游场景的上图管理与呈现，旅游活动的上图展示，景区人流统计上图展示及景区运营收入等详细数据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3.针对村庄中人才情况（包括引进人才数，本地人才数，累计引进人才数）及产业情况（产业生产数量，产业收入）进行可视化上图与标注，实现对村庄经营可视化直观展示与分析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5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未来乡村</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1、获取一体公共数据平台或应用平台的数据，并进行筛选、计算与汇总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2、人房信息上图：将根据统计信息完成乡村人口情况及村落户数进行上图展示与管理，也可以在查询的结果集中选中一个人口记录信息，查询其详细属性，以及关联的其他信息等。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3、资源标注：为提升乡村管理水平，对乡村内重点资源，重要地块以及重点感知设施设备进行上图标注。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4、乡村漫游：在三维展示平台基础上，展示道路、农植、风景点位等相关情况，身临其境体验未来乡村建设情况。同时，对乡村内的农作物分布、人员情况及发展情况等辅以图表说明，详细介绍乡村自身情况。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5、未来发展：根据乡村位置进行分析，将乡村周边未来几年内的发展情况进行展示与分析，其中包括公路等交通利民设施修建覆盖情况，以及周边地块的规划及发展、分析。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1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提速增效</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1.获取一体公共数据平台或相关平台的与提速增效相关的数据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2.在三维地图上对特色资源进行标注，并全面展示光明村特色乡村建设带动增收的基本情况。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3.用折线图、饼图等各种图表方式，展示村庄集体经济增收及村民经济增收历史变化曲线的展示，完成近3-4年集体经济增收及村民经济增收情况，效率情况的展示与对比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0"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潜东村</w:t>
            </w: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潜东村主页</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1.获取一体化公共数据平台或相关平台的基础数据，并进行筛选、计算与汇总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2.共享稻田主要展现内容：稻田产量，稻田水稻生长情况，共享稻田收入，稻田监控信息等内容的在三维地图上标注、汇总展示与分析。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共享厨房主要展现内容：前台会员用户数量统计信息、共享厨房订单统计数据、共享厨房线上交易金额、共享厨房用餐人数、共享厨房收入（可按日、月聚合展示）、菜品数量、菜品排行、厨房数量及信息、厨师数量及信息、灶台数量及信息以及菜品数量等以图片及视频、图表等方式将数据汇总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村庄经营主要展现内容：旅游场景，旅游活动，景区人流统计，景区运营收入，引进人才数，本地人才数，累计引进人才数，产业生产数量，产业收入等在三维地图标注，并将汇总展示与分析实，现村庄经营可视化直观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5.提速增效主要展现内容:潜东村特色乡村建设带动增收的基本情况。利用可视化图表，如折线图等，可实现村庄集体经济增收及村民经济增收历史变化曲线的展示。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27"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共享稻田</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1.获取认养稻田应用系统的数据，并进行筛选、计算与汇总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2.通过三维可视化的方式，将相关资源上图，展示乡村内认养稻田的基本情况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3.通过三维可视化的方式及数据情况，了解稻田品质的基本情况。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4.在三维地图上展示视频点位，并挂接视频监控，对稻田的远程监测与管控。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用三维实景加视频,全面展示潜东村共享稻田“倡导人与自然的和谐共存，追求自然的、生态的、环保的新桃源生活方式；同时挖掘和融合乡村的历史、民俗等人文要素，打造一处诗意的、有底蕴和有内涵的精神乐园”的建设理念，对潜东村艺术稻田进行细致化呈现与表达，并展示带动产业发展的详细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29"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共享厨房</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1.获取共享厨房相关的数据，并进行进行筛选、计算与展示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2.注在三维场景中对共享厨房进行标注，展示与分析，对共享厨房进行精细节化管理。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3.可点击查看当前共享厨房实时视频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4.展示前台会员用户数量统计信息、共享厨房订单统计数据、共享厨房线上交易金额、共享厨房用餐人数、共享厨房收入（可按日、月聚合展示）、菜品数量、菜品排行等基本数据展示；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5.对于厨房数量及信息、厨师数量及信息、灶台数量及信息以及菜品数量及信息的展示。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88"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村庄经营</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为带动乡村旅游文化基本发展，促进乡村旅游经济的快速上升，系统提供相关接口，通过对接相关管理平台，完成基本旅游场景的上图管理与呈现，包括旅游活动的上图展示，景区人流统计上图展示及景区运营收入的上图展示，提高农旅管理的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2.针对村庄中人才情况（包括引进人才数，本地人才数，累计引进人才数）及产业情况（产业生产数量，产业收入）进行可视化上图与标注，实现村庄经营可视化直观展示。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提速增效</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1.获取一体公共数据平台及相关平台的与提速增效相关的数据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2.在三维地图上对特色资源进行标注，并全面展示潜东村特色乡村建设带动增收的基本情况。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3.用折线图、饼图等各种图表方式，展示共享稻田、共享厨房带来的村民经济增收历史变化曲线的展示，完成近3-4年集体经济增收及村民经济增收情况，突出潜东村乡村建设的优异性与高效性。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47"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绍鲁村</w:t>
            </w: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绍鲁村主页</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1.获取一体化公共数据平台或现有平台的基础数据，并进行筛选、计算与展示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2..特色农场主要展现内容：皮园、悦林庄果园的位置联动与基本情况在三维地图上标志、展示，并通过视频监控，对稻田的远程查看、监测。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3.自然教学主要展现内容：青创客（皮园）、小城e家电商平台的挂接，实现直播场次、人次、类别及合格人次的数据上图与展示。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4.非遗文化主要展现内容：对绍鲁村包括绍鲁糕饼在内的非遗物产的基本情况在三维地图标注、展示及介绍，实现非遗物产的宣传与保护。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速增效主要展现内容：对绍鲁村特色乡村建设带动增收的基本情况在三维地图标注、展示及介绍。利用可视化图表，如折线图等，可实现村庄集体经济增收及村民经济增收历史变化曲线的展示与分析，展示增收和增效情况，并对收和增效情况进行对比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4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特色农场</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1.获取一体化公共数据平台或特色农场的基础数据，并进行筛选、计算与展示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2.在三维地图上图标注与展示相关资源信息，实现皮园、悦林庄果园等位置进行联动展示基本信息情况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3.通过视频点位上图，并调用视频监控，完成稻田的远程查扯与查看。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1"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自然教学</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1.获取一体化公共数据平台或青创客（皮园）、小城e家电商平台等应用系统基础数据，并进行筛选、计算与展示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2.电商平台挂接及培训视频接入。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3.在三维地图上展示青创客（皮园）、小城e家电商平台直播场次、人次、类别及合格人次的数据上图、展示、分析，实现运营数据的在线监测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4.通过导入培训视频，实现培训视频在线观看，提高管理效率。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18"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非遗文化</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1.获取一体化公共数据平台及特色农场的基础数据，并进行筛选、计算与展示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2.对绍鲁村包括绍鲁糕饼在内的非遗物产的相关资源在三维地图上进行标注、展示与分析，体现非遗物产的发展情况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3.通过视频方式，对绍鲁村包括绍鲁糕饼在内的非遗物产的展示及介绍，实现非遗物产的梳理。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1"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提速增效</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1.获取一体公共数据平台或相关平台的与提速增效相关的数据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2.在三维地图上对绍鲁村资源进行标注，并全面展示绍鲁村非遗文化、自然教学等建设带动增收的基本情况。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3.用折线图、饼图等各种图表方式，展示共非遗文化、自然教学带来的村民经济增收历史变化曲线的展示，完成近3-4年集体经济增收及村民经济增收情况，突出绍鲁村乡村建设与发展情况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5"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产业</w:t>
            </w: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一产</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1.获取一体化公共数据平台或产业相关的基础数据，并进行筛选、计算与展示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2.基于三维地图，标注一产经济实体的具体位置及每个经济实体详细的数据展示与分析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3.利用图表、报表等展现形式展现产业主要内容：历年的一产的数据与分析及对比情况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二产</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1.获取一体化公共数据平台或产业相关的基础数据，并进行筛选、计算与展示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2.基于三维地图，标注於潜二产经济实体的具体位置及每个经济实体详细的数据展示与分析采用图片、视频等方式的展示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3.产业主要展现内容：历年来二产相关的数据与分析及对比情况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1"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三产</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1.获取一体化公共数据平台或产业相关的基础数据，并进行筛选、计算与展示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2.基于三维地图，标注於潜三产经济实体的具体位置及每个经济实体详细的数据展示与分析采用图片、视频等方式的展示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3.产业主要展现内容：历年来三产相关的数据与分析及对比情况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0"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w:t>
            </w: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耕织图</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2.基于三维地图，标注耕织图文化具体点位及相关内容进行上图及每个点位的详细数据分析与展示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3耕织图主要展现内容：用图片、视频、图表等特效方式展示与宣传耕织图文化相关内容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1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天目窑</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2.基于三维地图，标注天目窑具体点位及相关内容进行上图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3天目窑主要展现内容：用图片、视频、图表等特效方式展示与宣传天目窑制作、销售的过程及配套的数据展示与分析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17"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红色文化</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2.基于三维地图，标注天目窑具体点位及相关内容的详细数据的分析与展示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3.用图片、视频、图表等特效方式展示与宣传将红色文化的内容进行介绍、展示，体现红色文化的精髓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名人文化</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1.基于三维地图，标注名人具体地址及相关内容进行上图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2.用并用图片、视频、图表等特效方式展示与宣传名人的事迹及对於潜的影响的介绍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45"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w:t>
            </w: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2.在三维地图上，标注於潜森林生态资源情况，并对单个森林生态资源进行详细数据展示与分析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3.森林主要展现内容：森林面积，森林占比，退耕还林等森林各项指数的数据与分析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2.在三维地图上，标注於潜水资源，并进行详细数据展示与分析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2.以图表的展现形式展现水资源主要内容：水资源面积，水污染指数，水资源保护等水资源各项的数据与分析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低碳</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1.获取一体化公共数据平台或相关平台的基础数据，并进行筛选、计算与汇总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2.在三维地图上，标注於潜低碳相关的内容的具体地址，并进行详细数据展示与分析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3.以图表，报表等展现形式展现低碳主要内容：低碳比率，低碳指数，低碳活动等各项数据与分析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4.通过数据分析，展示低碳成果相关的数据及对比分析的情况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2" w:hRule="atLeast"/>
        </w:trPr>
        <w:tc>
          <w:tcPr>
            <w:tcW w:w="6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数据接口</w:t>
            </w:r>
          </w:p>
        </w:tc>
        <w:tc>
          <w:tcPr>
            <w:tcW w:w="2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数据接口研发</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1.研发数据接入接口，获取一体化公共数据平台的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2.研发数据接入接口，获取於潜相关平台的特色数据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3.部分没有系统的数据手工导入或录入程序的研发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4.三维地图的点位及数据标注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4210" w:type="dxa"/>
            <w:gridSpan w:val="3"/>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二、智慧特色场景</w:t>
            </w:r>
          </w:p>
        </w:tc>
        <w:tc>
          <w:tcPr>
            <w:tcW w:w="10169" w:type="dxa"/>
            <w:tcBorders>
              <w:tl2br w:val="nil"/>
              <w:tr2bl w:val="nil"/>
            </w:tcBorders>
            <w:shd w:val="clear" w:color="auto" w:fill="FFFFFF"/>
            <w:noWrap/>
            <w:vAlign w:val="bottom"/>
          </w:tcPr>
          <w:p>
            <w:pP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25"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6"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水稻全产业链</w:t>
            </w: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水稻全产业链介绍</w:t>
            </w:r>
          </w:p>
        </w:tc>
        <w:tc>
          <w:tcPr>
            <w:tcW w:w="10169" w:type="dxa"/>
            <w:tcBorders>
              <w:tl2br w:val="nil"/>
              <w:tr2bl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以特定的水稻品种为核心，以物联网传感器系统、农业大数据为基础，采集相关系统数据。建立从水稻育秧、水稻田间管理、稻谷加工到绿色水稻品牌推广全要素、全链条、全产业和全区域，全新的数字稻田种植标准化内容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2.通过三维的方式，全方面展示水稻产业链过程中和各类数据，实现农业生产环境的智能感知展示、智能预警展示，为农业生产提供精准化种植、可视化管理、智能化决策等展示。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139"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水稻育秧阶段</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kern w:val="0"/>
                <w:sz w:val="20"/>
                <w:szCs w:val="20"/>
                <w:u w:val="none"/>
                <w:lang w:val="en-US" w:eastAsia="zh-CN" w:bidi="ar"/>
              </w:rPr>
              <w:t>水稻育秧阶段主要是全面展示於潜的育秧中心，通过三维实景，体现於潜育秧的现代化水平，该阶段主要包括育秧信息的基础信息上图展示、温湿度控制展示、出苗率的统计展示、销售情况展示。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本信息：（1）系统通过三维可视化平台完成育秧中心的上图管理，实现基础信息上图，实现育秧室概况一览表。（2）包括育秧室的分布位置、简单情况，育秧室总数量、育秧室总成交额、总收入及总出苗率等，并用三维可视化统计图表展示，提高展示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育秧室：（1）三维可视化平台针对育秧室的基本情况完成分别标注与上图展示。（2）分别体现各个育秧室基本情况与信息，实现单个育秧室的成交额、收入、出苗率的统计图表上图展示。（3）根据往年数据进行能耗与出苗率、收入的预测，科学指导育秧工作。（4）系统通过对接相关管理平台，可在三维场景中针对育秧室当前状态完成在线标注</w:t>
            </w:r>
            <w:r>
              <w:rPr>
                <w:rFonts w:hint="eastAsia" w:ascii="宋体" w:hAnsi="宋体" w:eastAsia="宋体" w:cs="宋体"/>
                <w:i w:val="0"/>
                <w:iCs w:val="0"/>
                <w:color w:val="FFFFFF"/>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并支持手动或自动状态控制、调节。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温湿度控制：（1）通过对接相关感知设备，可实现育苗室内实时温度湿度的上图展示，并对温度、湿度进行查看。（2）根据大数据建模算法对温度、湿度过高或过低进行预警。（3）可以手工操纵感知进行温度、湿度调度，在特殊情况下，还可以自动进行温度或湿度的调节。</w:t>
            </w:r>
            <w:r>
              <w:rPr>
                <w:rFonts w:hint="eastAsia" w:ascii="宋体" w:hAnsi="宋体" w:eastAsia="宋体" w:cs="宋体"/>
                <w:i w:val="0"/>
                <w:iCs w:val="0"/>
                <w:color w:val="FFFFFF"/>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4.出苗率：（1）通过历史统计数据，实现近年来出苗率数据折线图表示。（2）根据苗率、销售情况相关数据对出苗率进行科学生产与销售。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5.销售情况：（1）通过对接相关管理平台，对近年来秧苗销售量进行折线图表示，展示其变化趋势。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82"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水稻田间管理阶段</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1.获取化无人旋耕、智能化无人插秧系统、稻田高效管理系统、水稻长势及病虫害监测系统等相关系统数据采集，并进行筛选、计算与展示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2.标注无人旋耕、无人插秧系统等机器设备在三维地图的位置，充分展示无人旋耕、无人插秧的设备运行状态，并将相关资源类数据进行标注上图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3.通过在三维地图标注的视频监控点位，实时查看无人水稻田间的运作过程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4.通过现成系统采集水稻相关数据，如：长势及病虫害监测及稻生长、水稻病虫害及水稻生长环境模型，进行水稻相关展示。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3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绿色水稻品牌推广</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kern w:val="0"/>
                <w:sz w:val="20"/>
                <w:szCs w:val="20"/>
                <w:u w:val="none"/>
                <w:lang w:val="en-US" w:eastAsia="zh-CN" w:bidi="ar"/>
              </w:rPr>
              <w:t>1.获取现成相关平台数据，进行筛选、计算与展示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过获取现成相关平台产地环境、农业投入品、农事生产过程、质量检测、加工储运等质量安全关键环节全程可追溯数据，浙农码及农业大数据充分展示农产业的追溯过程，追溯产品总数及详细的产品认证信息、农事记录、环境数据、生长期图片、实时视频等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3.在三维地图上标注具体的农产品的产地地理位置信息，并可以查看与该农产品相关的详细数据信息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1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数据对接</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1.特色研发数据接入接口，获取现成水稻全产业相关平台的於潜特色数据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主要包括：智能化无人旋耕、智能化无人插秧系统、稻田高效管理系统、水稻长势及病虫害监测系统数据、数字育秧中数据、浙农码数据、追溯数据、电商销售数据等多类数据接口。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2.部分没有系统的数据手工导入及录入程序的研发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6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16" w:type="dxa"/>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169" w:type="dxa"/>
            <w:tcBorders>
              <w:tl2br w:val="nil"/>
              <w:tr2bl w:val="nil"/>
            </w:tcBorders>
            <w:shd w:val="clear" w:color="auto" w:fill="FFFFFF"/>
            <w:noWrap/>
            <w:vAlign w:val="bottom"/>
          </w:tcPr>
          <w:p>
            <w:pP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4210" w:type="dxa"/>
            <w:gridSpan w:val="3"/>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三、管理指挥中心</w:t>
            </w:r>
          </w:p>
        </w:tc>
        <w:tc>
          <w:tcPr>
            <w:tcW w:w="10169" w:type="dxa"/>
            <w:tcBorders>
              <w:tl2br w:val="nil"/>
              <w:tr2bl w:val="nil"/>
            </w:tcBorders>
            <w:shd w:val="clear" w:color="auto" w:fill="FFFFFF"/>
            <w:noWrap/>
            <w:vAlign w:val="bottom"/>
          </w:tcPr>
          <w:p>
            <w:pP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5"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管理指挥中心</w:t>
            </w: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基本信息</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1.获取一体化数据公共平台或於潜管理指挥相关系统特色数据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2.将人口、住房、宅基地、统一地址、车辆、森林、公共资源等信息在三维地图上进行展示、标注，实现一图知於潜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3.并根据需求对不同类别的资源进行不同颜色的色块在三维地图上进行上图展示，实现分类管理管控。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1705"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视频监控集成</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kern w:val="0"/>
                <w:sz w:val="20"/>
                <w:szCs w:val="20"/>
                <w:u w:val="none"/>
                <w:lang w:val="en-US" w:eastAsia="zh-CN" w:bidi="ar"/>
              </w:rPr>
              <w:t>1.通过互联网接口，与区里的统一视频平台进行对接。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2.集成於潜镇内视频监控系统,可以将视频监控位置、监控范围在三维上直观的表现出来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3.支持在系统中通过关键字、区域范围等实现对於潜镇各区域摄像头信息精确检索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4.并显示各摄像头的实时监控图像，辅助政府管理单位、公安业务单位等完成对於潜镇重点区域的有效监管。</w:t>
            </w:r>
            <w:r>
              <w:rPr>
                <w:rFonts w:hint="eastAsia" w:ascii="宋体" w:hAnsi="宋体" w:eastAsia="宋体" w:cs="宋体"/>
                <w:i w:val="0"/>
                <w:iCs w:val="0"/>
                <w:color w:val="FFFFFF"/>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6.进行三维联动管理，视频联动可以将视频监控信息在三维场景中进行还原，可搜索查询点击打开播放器视频内容，联动的方式增强了用户空间位置的概念，从而更好地了解辖区内的视频监控分布现状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18"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乡村治理</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1、通过获取临安区或於潜镇相关业务系统的数据，实现数据的汇聚，在管理指挥中心即可查看各业务系统的内容数据。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②交通管理：通过对接相关交通资源感知平台，基于三维可视化系统，实现於潜镇交通环境整体监测，包括路面拥堵情况，交通设备设施基本运行状况等在线显示；同时结合相关卡口实现路面信息可视化监管。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③环境保护：通过接入Iot设备的环境数据进行上图标注、以三维场景模式、图表方式进行展示，对于异常的预警数据及时在三维地图上实时展示，为美丽乡村保驾护航。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④综治维稳：对综治事件信息、人员信息等信息在三维场景中进行标注，对预警信息进行闪烁标注醒目预警，与三维场景进行展示。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77"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民呼我为</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kern w:val="0"/>
                <w:sz w:val="20"/>
                <w:szCs w:val="20"/>
                <w:u w:val="none"/>
                <w:lang w:val="en-US" w:eastAsia="zh-CN" w:bidi="ar"/>
              </w:rPr>
              <w:t>1.数据展示:通过对接临安区现有数据平台，实现於潜镇民呼我为平台内容的各种指标、我的回复、我要服务、我要反映等各方面指标的展示。并以统计图表的形式进行展现，实现直观化一体化表达。2.数据预警:通过对接临安区现有平台，收集我的回复、我要服务、我要反映等方面的数据，进行大数据建模与分析处理，根据条件设定预警阀值进行预警，产生预警在管理指挥大屏上进行展示，通过原有的系统工单确认后，通过相关部门业务人员作出及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数据对接</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1.研发数据接入接口，获取现有相关平台的於潜特色数据。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4210" w:type="dxa"/>
            <w:gridSpan w:val="3"/>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四、统一应用门户</w:t>
            </w:r>
          </w:p>
        </w:tc>
        <w:tc>
          <w:tcPr>
            <w:tcW w:w="10169" w:type="dxa"/>
            <w:tcBorders>
              <w:tl2br w:val="nil"/>
              <w:tr2bl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65" w:hRule="atLeast"/>
        </w:trPr>
        <w:tc>
          <w:tcPr>
            <w:tcW w:w="65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统一应用门户</w:t>
            </w: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门户展示</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1.根据於潜镇实现的特色应用、数据使用权限及实际需求，建立统一应用后台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2.根据用户的根据不同权限，登录统一应用后台后，将个性化展示应用内容及操作权限，同时，也为用户提供更好的系统体验。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3.部门管理配置功能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4.数据录入功能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5.外部系统链接配置功能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6.菜单自定义配置功能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80" w:hRule="atLeast"/>
        </w:trPr>
        <w:tc>
          <w:tcPr>
            <w:tcW w:w="65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1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统一认证</w:t>
            </w:r>
          </w:p>
        </w:tc>
        <w:tc>
          <w:tcPr>
            <w:tcW w:w="10169"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过统一用户认证建立平台用户系统，完成各应用系统间的单点登录，实现用户及组织的统一管理，包括组织框架的增删改查，树形展示等，用户在系统上可以增加、删除、变更、查询、统计等操作，也可对用户角色进行分配并将组织、用户信息同步推送至各应用子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2.在用户操作过程中，进行操作记录日志，日志自动实时备份，对后期系统运维时提供窗口，对日志查看与管理，精准定位问题原因。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3.登录方式：登录认证方式按照用户操作场景可分为用户登录时的身份认证与操作产品功能认证。用户登录时的身份认证方式有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4.账号密码认证:账密认证支持用户输入账号密码进行登录认证，其中账号大多是用户的手机号、邮箱地址、用户名称等，密码为用户自定义密码。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5.手机登录认证:手机验证码认证支持用户通过手机、验证码进行登录认证，提高用户身份识别准确率以及实时性。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6.第三方登录认证:支持接入微信、钉钉账号等登录方式用来识别用户的身份。降低用户进入该网站的门槛，微信、支付宝、钉钉等第三方登录方式的用户身份识别准确率高。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7.二维码登录认证:用户使用手机微信、浙政钉的扫一扫等扫描功能扫描二维码即可认证登录到应用。用户使用方便快捷，用户体验好。用户登录转化率高，转化成本低。</w:t>
            </w:r>
          </w:p>
        </w:tc>
      </w:tr>
    </w:tbl>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tbl>
      <w:tblPr>
        <w:tblStyle w:val="62"/>
        <w:tblW w:w="1436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4"/>
        <w:gridCol w:w="2685"/>
        <w:gridCol w:w="2416"/>
        <w:gridCol w:w="2274"/>
        <w:gridCol w:w="4125"/>
        <w:gridCol w:w="975"/>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4367"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三维地图平台软件及数据建设服务清单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367" w:type="dxa"/>
            <w:gridSpan w:val="7"/>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一、三维地图平台软件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685"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模块</w:t>
            </w:r>
          </w:p>
        </w:tc>
        <w:tc>
          <w:tcPr>
            <w:tcW w:w="2416"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6399" w:type="dxa"/>
            <w:gridSpan w:val="2"/>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详细清单</w:t>
            </w:r>
          </w:p>
        </w:tc>
        <w:tc>
          <w:tcPr>
            <w:tcW w:w="975"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088"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三维地图引擎平台</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三维地图服务平台</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数据服务管理</w:t>
            </w:r>
          </w:p>
        </w:tc>
        <w:tc>
          <w:tcPr>
            <w:tcW w:w="4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3dtiles数据、地形、影像等地理信息数据发布</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统一权限管理</w:t>
            </w:r>
          </w:p>
        </w:tc>
        <w:tc>
          <w:tcPr>
            <w:tcW w:w="4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三维数据权限、用户菜单权限配置管理</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w:t>
            </w:r>
          </w:p>
        </w:tc>
        <w:tc>
          <w:tcPr>
            <w:tcW w:w="4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用户新增、用户更新、用户角色配置</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菜单管理</w:t>
            </w:r>
          </w:p>
        </w:tc>
        <w:tc>
          <w:tcPr>
            <w:tcW w:w="4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引擎平台功能菜单权限、功能菜单启停操作管理</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标注服务</w:t>
            </w:r>
          </w:p>
        </w:tc>
        <w:tc>
          <w:tcPr>
            <w:tcW w:w="4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点、线、面体矢量绘制数据编辑接口、视点接口服务</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4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系统资源使用及运行情况监测、系统参数设置</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三维地图引擎平台</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地图漫游</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1.支持对辖区全三维场景地图的基本操作，能够实现无级放大、缩小、上升、下降、俯视、仰视、旋转，实现对场景的360°全方位操作。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2、支持人行、车行、飞行等模拟漫游操作。</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图层管理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1.三维数据基础图层：系统支持场景数据的分图层管理，用户可以根据需求操作图层的开启和隐藏。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2.图层组织树操作，矢量图层、数据图层。</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视点功能</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1.系统具备视点管理的功能，能根据用户在场景中选定的任意高度和任意角度的位置信息进行添加、删除、修改保存，类似书签的功能，方便用户对特定场景进行定位，快速切换到指定视点进行浏览。</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标注管理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1.系统提供用户自定义标记功能，支持标注的添加、删除、编辑、修改、模糊搜索、精确定位等操作；支持任意修改标注的字体、样式、位置等；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2.支持点标注等多种方式，同时可以为标注添加附属的说明信息。</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空间量测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支持距离、高度、面积、体积测量工具</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特效</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支持天气雨、雾、云、雪、风向效果模拟，支持水面特效，粒子特效、火焰特效、热力图、道路流光、雷达扫描等特效展示</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在线地图对接</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支持在线百度、高德、天地图等在线地图对接</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路径漫游</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1.支持在场景中自定义漫游路径，提供播放、暂停、停止等功能。并可调整漫游速度等参数。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2.路径绘制，支持鼠标点选绘制漫游路径。</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367" w:type="dxa"/>
            <w:gridSpan w:val="7"/>
            <w:tcBorders>
              <w:top w:val="single" w:color="000000" w:sz="4" w:space="0"/>
              <w:left w:val="single" w:color="000000" w:sz="4" w:space="0"/>
              <w:bottom w:val="single" w:color="000000" w:sz="4" w:space="0"/>
              <w:right w:val="nil"/>
            </w:tcBorders>
            <w:shd w:val="clear" w:color="auto" w:fill="F2F2F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二、三维地图数据建设服务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三维可视化数据服务</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3cm倾斜摄影</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数据采集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10平方公里倾斜摄影数据的采集，采用多镜头无人进行数据的外业采集，对倾斜数据进行精修，重点修补水面、车辆等场景中的漏洞</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公里</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人工三维模型制作</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精细模型制作</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1平方公里的精细模型，根据CAD电子图纸或人工采集完成室外结构制作，绿化、水系、小品精细化制作，纹理材质应与建模物体外观保持一致，反映出纹理的实际图像、颜色、透明度等与现状保持一致。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公里</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p>
    <w:p>
      <w:pPr>
        <w:pStyle w:val="79"/>
        <w:widowControl w:val="0"/>
        <w:numPr>
          <w:ilvl w:val="0"/>
          <w:numId w:val="0"/>
        </w:numPr>
        <w:autoSpaceDE w:val="0"/>
        <w:autoSpaceDN w:val="0"/>
        <w:adjustRightInd w:val="0"/>
        <w:jc w:val="center"/>
        <w:rPr>
          <w:rFonts w:hint="eastAsia"/>
          <w:b/>
          <w:bCs/>
          <w:sz w:val="32"/>
          <w:szCs w:val="32"/>
          <w:lang w:val="en-US" w:eastAsia="zh-CN"/>
        </w:rPr>
      </w:pPr>
      <w:r>
        <w:rPr>
          <w:rFonts w:hint="eastAsia"/>
          <w:b/>
          <w:bCs/>
          <w:sz w:val="32"/>
          <w:szCs w:val="32"/>
          <w:lang w:val="en-US" w:eastAsia="zh-CN"/>
        </w:rPr>
        <w:t>二、硬件设备明细表</w:t>
      </w:r>
    </w:p>
    <w:p>
      <w:pPr>
        <w:pStyle w:val="79"/>
        <w:widowControl w:val="0"/>
        <w:numPr>
          <w:ilvl w:val="0"/>
          <w:numId w:val="0"/>
        </w:numPr>
        <w:autoSpaceDE w:val="0"/>
        <w:autoSpaceDN w:val="0"/>
        <w:adjustRightInd w:val="0"/>
        <w:jc w:val="center"/>
        <w:rPr>
          <w:rFonts w:hint="eastAsia"/>
          <w:b/>
          <w:bCs/>
          <w:sz w:val="32"/>
          <w:szCs w:val="32"/>
          <w:lang w:val="en-US" w:eastAsia="zh-CN"/>
        </w:rPr>
      </w:pPr>
    </w:p>
    <w:tbl>
      <w:tblPr>
        <w:tblStyle w:val="62"/>
        <w:tblW w:w="14392" w:type="dxa"/>
        <w:tblInd w:w="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972"/>
        <w:gridCol w:w="2282"/>
        <w:gridCol w:w="9588"/>
        <w:gridCol w:w="787"/>
        <w:gridCol w:w="7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2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产品类别</w:t>
            </w:r>
          </w:p>
        </w:tc>
        <w:tc>
          <w:tcPr>
            <w:tcW w:w="9588" w:type="dxa"/>
            <w:tcBorders>
              <w:tl2br w:val="nil"/>
              <w:tr2bl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技术规格</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7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14392" w:type="dxa"/>
            <w:gridSpan w:val="5"/>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二、水稻全产业链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jc w:val="center"/>
              <w:rPr>
                <w:rFonts w:hint="eastAsia" w:ascii="宋体" w:hAnsi="宋体" w:eastAsia="宋体" w:cs="宋体"/>
                <w:i w:val="0"/>
                <w:iCs w:val="0"/>
                <w:color w:val="000000"/>
                <w:sz w:val="22"/>
                <w:szCs w:val="22"/>
                <w:u w:val="none"/>
              </w:rPr>
            </w:pP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C、绿色大米无人农场（光明村）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视频监控设备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282" w:type="dxa"/>
            <w:vMerge w:val="restart"/>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臻全彩枪球一体机</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1)摄像机内置不少于3个镜头，可输出至少一路全景视频和一路细节视频，其中全景路内置不少于2个镜头，细节路内置1个镜头。</w:t>
            </w:r>
          </w:p>
        </w:tc>
        <w:tc>
          <w:tcPr>
            <w:tcW w:w="787"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63"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98"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2)全景通道内置2个镜头，光圈不小于F1.0，具有不小于1/2.8靶面尺寸，内置4颗补光灯。</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3）细节通道内置镜头，支持不小于40倍光学变倍，镜头最大焦距不小于240mm，具备不小于1/1.8靶面尺寸，内置10颗红外补光灯及1颗白光灯。</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4）内置不少于2个GPU芯片。</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74"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5）全景路视频图像分辨率不小于3840 × 1080，细节路视频图像分辨率不小于2560x1440。</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6）支持最低照度可达彩色0.0002 lx，黑白0.0001 lx。</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7）全景通道可输出两个镜头无缝拼接的全景图像，拼接偏差像素不大于4个像素，全景画面水平视场角不小于192°。</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8）全景通道可进行垂直旋转，旋转范围不低于10°可调。</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9"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9）摄像机可在预览画面及抓拍图片中叠加人员和车辆的移动轨迹，轨迹颜色支持红色、黄色、蓝色、绿色、及紫色，轨迹末尾具有一个方向箭头，指向目标离开的方向，抓拍图片大小不大于500KB。</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10）摄像机可通过IE浏览器最多添加20个物体标签，可开启或关闭标签显示功能，显示透明度可配置。</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74"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11）具备声音警戒功能，可设置11种警戒音、提示音、自定义语音，报警次数1～50次可设；可通过区域入侵侦测、越界侦测、进入区域侦测、离开区域侦测等报警事件，联动声音报警。</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9"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具备闪光灯警戒功能，可设置闪光灯闪烁时间（1-300），闪烁频率（高、中、低、常亮），亮度（1-100），当监控画面中有目标触发区域入侵侦测、越界侦测、进入区域侦测、离开区域侦测等报警事件时，可联动白光灯闪烁进行报警。</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13）当篮球、小狗、树叶等非人或车辆目标经过检测区域时不会触发报警。</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14）摄像机具备AR标签管理功能，可对监控区域的常规点位、卡口点位、人脸点位、重点道路等进行标签标注，最多可添加500个标签。</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15）摄像机具备AR标签抖动漂移功能，当样机云台明显抖动、转动、或进行镜头变倍时，标签应跟随标定的目标物移动，并在画面中与目标物保持相对静止。</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9" w:hRule="atLeast"/>
        </w:trPr>
        <w:tc>
          <w:tcPr>
            <w:tcW w:w="972"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摄像机具备AR标签联动查看功能，选中标签并将标签置于屏幕中心位置进行显示，可通过点击视频画面中的标签查看标签内容并对标签关联的摄像机视频进行预览，并可通过点击摄像机预览窗口进行放大窗口操作。</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282" w:type="dxa"/>
            <w:tcBorders>
              <w:tl2br w:val="nil"/>
              <w:tr2bl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立杆的高度统一为4.5m，挑壁1m，方向可调杆底端焊接固定法兰盘</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63" w:type="dxa"/>
            <w:tcBorders>
              <w:tl2br w:val="nil"/>
              <w:tr2bl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282" w:type="dxa"/>
            <w:tcBorders>
              <w:tl2br w:val="nil"/>
              <w:tr2bl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抱杆机箱</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30cm*40cm*20cm防水、防腐蚀</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282" w:type="dxa"/>
            <w:tcBorders>
              <w:tl2br w:val="nil"/>
              <w:tr2bl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独立基础</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基础穴深1m，底面直径1.5m，混凝浇灌，强度等级C25</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光纤收发器</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光纤收发器，1光4电接口</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视频控制设备</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支持16路4K，smart265编码，2个sata接口；4盘位；</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l2br w:val="nil"/>
              <w:tr2bl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3.5英寸，4T，7200转，SATA 6Gb/s，监控级</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l2br w:val="nil"/>
              <w:tr2bl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控制电脑及软件</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酷睿i5，8G内存，128G+1T硬盘，22寸液晶显示，集成软件</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光缆</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2芯单模光纤，LC-LC，长度定制</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RVV1.5*2</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配管</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pvc套管，DN20</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环境智能采集设备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687" w:hRule="atLeast"/>
        </w:trPr>
        <w:tc>
          <w:tcPr>
            <w:tcW w:w="972"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vMerge w:val="restart"/>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智能气象站</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空气温湿度传感器:工作温度：-20℃～+125℃，0～100%RH；量程范围：-40～125℃, 0～100%RH；分辨率：温度：0.01℃，湿度：0.04%RH；精确度：温度：±0.1℃，湿度：±2%RH；工作电压：DC4.2-36V宽电压输入；系统功耗： 静态功耗≤1mW，最大功耗≤80mW；传输协议：WSN通信协议；校准：命令方式校准；自动识别：特征码自动查询识别；响应时间：≤1ms；ESD人体静电防护：支持；防护等级：IP65。光照强度传感器:工作温度：-20℃～+85℃，0～100%RH；量程范围：0～200000Lux；分辨率：1Lux；精确度：1%FS；工作电压：DC4.2-36V宽电压输入；系统功耗： 静态功耗≤1mW，最大功耗≤80mW；传输协议：WSN通信协议；校准：命令方式校准；自动识别：特征码自动查询识别；响应时间：≤1ms；ESD人体静电防护：支持；防护等级：IP65。二氧化碳传感器:工作温度：-20℃～+85℃，0～85%RH无凝结；量程范围:0ppm～2000ppm；分辨率：1ppm；精确度：±50ppm+5%FS；温度响应：自带温度补偿；工作电压：DC4.2-36V宽电压输入；系统功耗： 静态功耗≤1mW，最大功耗≤500mW；传输协议：WSN通信协议；校准：命令方式校准；自动识别：特征码自动查询识别；响应时间：≤3S；ESD人体静电防护：支持；防护等级：IP65。氧气传感器:工作温度：-20℃～+85℃，0～85%RH无凝结；量程范围：0～100%；分辨率：0.01%；精确度：1%FS；工作电压：DC4.2-36V宽电压输入；系统功耗： 静态功耗≤1mW，最大功耗≤500mW；传输协议：WSN通信协议；校准：命令方式校准；自动识别：特征码自动查询识别；响应时间：≤100ms；ESD人体静电防护：支持；防护等级：IP65</w:t>
            </w:r>
          </w:p>
        </w:tc>
        <w:tc>
          <w:tcPr>
            <w:tcW w:w="787"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299" w:hRule="atLeast"/>
        </w:trPr>
        <w:tc>
          <w:tcPr>
            <w:tcW w:w="972"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282" w:type="dxa"/>
            <w:vMerge w:val="continue"/>
            <w:tcBorders>
              <w:tl2br w:val="nil"/>
              <w:tr2bl w:val="nil"/>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PM2.5传感器:工作温度：-20℃～+85℃，0～99%RH无凝结；量程范围：0～500ug/m³；分辨率：1ug/m³；精确度：±10ug/m³；工作电压：DC4.2-36V宽电压输入；系统功耗： 静态功耗≤1mW，最大功耗≤500mW；传输协议：WSN通信协议；校准：命令方式校准；自动识别：特征码自动查询识别；响应时间：≤1S；ESD人体静电防护：支持；防护等级：IP65。大气压强传感器:工作温度：-20℃～+85℃，0～85%RH无凝结；量程范围：300～1100hPa；分辨率：0.1hPa, 精确度：±3hpa；工作电压：DC4.2-36V宽电压输入；系统功耗：静态功耗≤1mW，最大功耗≤80mW；传输协议：WSN通信协议；校准：命令方式校准；自动识别：特征码自动查询识别；响应时间：≤1ms；ESD人体静电防护：支持；防护等级：IP65。紫外线强度传感器：工作温度：-20℃～+85℃，0～85%RH无凝结；分辨率：1uW/cm2, 精确度：±1uW/cm2；工作电压：DC4.2-36V宽电压输入；系统功耗：静态功耗≤1mW，最大功耗≤80mW；传输协议：WSN通信协议；校准：命令方式校准；自动识别：特征码自动查询识别；响应时间：≤1ms；ESD人体静电防护：支持；防护等级：IP65。光有效值传感器:工作温度：-20℃～+85℃，0～100%RH；量程范围：0～2500umol/m².s；分辨率：1umol/m².s, 精确度：±5%rdg+10dgts；线性度：±2%；光谱范围：400～700nm；工作电压：DC4.2-36V宽电压输入；系统功耗： 静态功耗≤1mW，最大功耗≤80mW；传输协议：WSN通信协议；校准：命令方式校准；自动识别：特征码自动查询识别；响应时间：≤1ms；ESD人体静电防护：支持；防护等级：IP65。风向传感器：工作温度：-20℃～+85℃，0～85%RH无凝结；响应时间：≤0.5s；工作电压：DC4.2-36V宽电压输入；系统功耗： 静态功耗≤1mW，最大功耗≤80mW；传输协议：WSN通信协议；校准：命令方式校准；自动识别：特征码自动查询识别；响应时间：≤1ms；ESD人体静电防护：支持；防护等级：IP65。风速传感器：工作温度：-20℃～+85℃，0～85%RH无凝结；量程范围：0-50m/s；分辨率: 0.1m/s；精确度率: 1m/s@风速&lt;10m/s，10%@风速&gt;10m/s；工作电压：DC4.2-36V宽电压输入；系统功耗： 静态功耗≤1mW，最大功耗≤80mW；传输协议：WSN通信协议；校准：命令方式校准；自动识别：特征码自动查询识别；响应时间：≤1ms；ESD人体静电防护：支持；防护等级：IP65</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量传感器：工作温度：-20℃～+125℃，0～100%RH；量程范围：0-9999mm；分辨率：1mm；精确度：±10%；工作电压：DC4.2-36V宽电压输入；系统功耗：静态功耗≤1mW，最大功耗≤80mW；传输协议：WSN通信协议；校准：命令方式校准；自动识别：特征码自动查询识别；响应时间：≤1ms；ESD人体静电防护：支持；防护等级：IP65。</w:t>
            </w:r>
          </w:p>
        </w:tc>
        <w:tc>
          <w:tcPr>
            <w:tcW w:w="787"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677"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土壤墒情综合监测设备</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土壤温度传感器：五层土壤温度采集。工作温度：-55℃～+125℃，0～100%RH；量程范围：－55℃～+125℃；分辨率：0.01%；精确度：0.5℃；工作电压：DC4.2-36V宽电压输入；系统功耗： 静态功耗≤1mW，最大功耗≤80mW；传输协议：WSN通信协议；校准：命令方式校准；自动识别：特征码自动查询识别；响应时间：≤1ms；ESD人体静电防护：支持；防护等级：IP68。土壤墒情传感器：四层土壤湿度采集。工作温度：-20℃～+85℃，0～100%RH；量程范围：0～100%；分辨率：0.01%；精确度：1%FS；工作电压：DC4.2-36V宽电压输入；系统功耗： 静态功耗≤1mW，最大功耗≤80mW；传输协议：WSN通信协议；校准：命令方式校准；自动识别：特征码自动查询识别；响应时间：≤1ms；ESD人体静电防护：支持；防护等级：IP68。</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097"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土壤肥力综合监测设备</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土壤PH传感器：二层土壤PH采集（含二套土壤PH传感器），工作温度：-20℃～+85℃，0～100%RH；量程范围：0～14.00PH；分辨率：0.01PH；精确度：±0.1；稳定性：±0.02PH/24h；工作电压：DC4.2-36V宽电压输入；系统功耗： 静态功耗≤1mW，最大功耗≤80mW；传输协议：WSN通信协议；校准：命令方式校准；自动识别：特征码自动查询识别；响应时间：≤1ms；ESD人体静电防护：支持；防护等级：IP65。土壤EC传感器</w:t>
            </w:r>
            <w:r>
              <w:rPr>
                <w:rFonts w:hint="eastAsia" w:ascii="宋体" w:hAnsi="宋体" w:eastAsia="宋体" w:cs="宋体"/>
                <w:b/>
                <w:bCs/>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二层土壤EC采集（含二套土壤EC传感器），工作温度：-20℃～+85℃，0～100%RH；量程范围：0～10000us/cm；分辨率：1us/cm；精确度：±3%；工作电压：DC4.2-36V宽电压输入；系统功耗： 静态功耗≤1mW，最大功耗≤80mW；传输协议：WSN通信协议；校准：命令方式校准；自动识别：特征码自动查询识别；响应时间：≤1ms；ESD人体静电防护：支持；防护等级：IP65。土壤氮、磷、钾传感器：二层土壤氮磷钾采集（含二套土壤氮磷钾传感器），工作温度：-20℃～+85℃，0～100%RH；量程范围：0～1999mg/kg；分辨率：1mg/kg；精确度：±2%FS；工作电压：DC4.2-36V宽电压输入；系统功耗： 静态功耗≤1mW，最大功耗≤80mW；传输协议：WSN通信协议；校准：命令方式校准；自动识别：特征码自动查询识别；响应时间：≤1ms；ESD人体静电防护：支持；防护等级：IP65。</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67"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82"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智能网关</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温度：-20℃～+85℃，10～80%RH；工作电压：DC9-36V宽电压输入；传输协议：WSN通信协议；通信接口：支持lora,GPRS,4G/5G,WIFI通信；无线通信距离：大于3KM；功能描述：中央控制主机，可实现云端通信，带反馈开关，通过智能采集控制器，完成温室环境及水肥信息采集、环境监测、信号转换、与中央集控网络通信。</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水稻自动灌溉排水系统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智能电动水闸</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不锈钢智能水闸，水闸有效行程200mm，电机功率10W，极限负载300N，水位上限200-350mm,含水渠基础施工改造。</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67"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智能水闸控制器</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供电系统：包含12V/5AH太阳能专用电池，10W太阳能板，太阳能充放电管理单元；智能水闸控制模块:工作温度：-20℃～+85℃，通讯方式：433M无线通讯，最大通讯距离＞3KM；输出接口：继电器输出，正负电源输出；外部接口：可外接水位传感器，水温传感器。控制方式：本地按钮控制、远程控制。</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稻田水位传感器</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不锈钢材质，水稻田专用结构设计，量程范围：0-500mm。</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智能水位监控一体机</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功能描述：带有嵌入式现场控制下位机与信号采集模块和设备驱动模块，可完成与丛机之间的灌溉精准调控、水位信息采集、环境监测、信号转换、与中央集控网络通信，支持2-7km远距离无线通信,支持4G/5G通信。</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控制软件</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大田自动灌溉，排水控制软件模块。</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无人机撒播喷药设备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T30</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大疆T30无人机主机</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T30智能飞行电池</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充电站</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智能充电管家</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遥控器</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智能遥控器3.0</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工具箱</w:t>
            </w:r>
          </w:p>
        </w:tc>
        <w:tc>
          <w:tcPr>
            <w:tcW w:w="9588" w:type="dxa"/>
            <w:tcBorders>
              <w:tl2br w:val="nil"/>
              <w:tr2bl w:val="nil"/>
            </w:tcBorders>
            <w:shd w:val="clear" w:color="auto" w:fill="FFFFFF"/>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工具集</w:t>
            </w:r>
          </w:p>
        </w:tc>
        <w:tc>
          <w:tcPr>
            <w:tcW w:w="787" w:type="dxa"/>
            <w:tcBorders>
              <w:tl2br w:val="nil"/>
              <w:tr2bl w:val="nil"/>
            </w:tcBorders>
            <w:shd w:val="clear" w:color="auto" w:fill="FFFFFF"/>
            <w:noWrap/>
            <w:vAlign w:val="bottom"/>
          </w:tcPr>
          <w:p>
            <w:pPr>
              <w:jc w:val="center"/>
              <w:rPr>
                <w:rFonts w:hint="eastAsia" w:ascii="宋体" w:hAnsi="宋体" w:eastAsia="宋体" w:cs="宋体"/>
                <w:i w:val="0"/>
                <w:iCs w:val="0"/>
                <w:color w:val="000000"/>
                <w:sz w:val="22"/>
                <w:szCs w:val="22"/>
                <w:u w:val="none"/>
              </w:rPr>
            </w:pP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撒播系统</w:t>
            </w:r>
          </w:p>
        </w:tc>
        <w:tc>
          <w:tcPr>
            <w:tcW w:w="9588" w:type="dxa"/>
            <w:tcBorders>
              <w:tl2br w:val="nil"/>
              <w:tr2bl w:val="nil"/>
            </w:tcBorders>
            <w:shd w:val="clear" w:color="auto" w:fill="FFFFFF"/>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T系列撒播系统 40KG</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3999关怀计划3年</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大疆智慧云平台</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网络RTK服务（含RTK高精度定位模块）</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大疆智图基础班</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大疆资深飞手上门培训</w:t>
            </w:r>
          </w:p>
        </w:tc>
        <w:tc>
          <w:tcPr>
            <w:tcW w:w="78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w:t>
            </w:r>
          </w:p>
        </w:tc>
        <w:tc>
          <w:tcPr>
            <w:tcW w:w="7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植物物候深度感知系统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植物物候深度感知系统</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由500万像素的工业级相机高像素摄像机、大容量数据采集器、多光谱成像仪为核心部件组成的系统，获取农作物高质量图像数据，光谱数据。在线分析作物光谱状态。</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w:t>
            </w:r>
          </w:p>
        </w:tc>
        <w:tc>
          <w:tcPr>
            <w:tcW w:w="13420" w:type="dxa"/>
            <w:gridSpan w:val="4"/>
            <w:tcBorders>
              <w:tl2br w:val="nil"/>
              <w:tr2bl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农机自动导航系统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91"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农机自动导航系统</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超大扭矩方向盘，高精度姿态传感器，高清摄像头，10.1寸触控屏；支持自动驾驶，多车协调，智能引导、远程协助、远程升级。高精度作业。</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w:t>
            </w:r>
          </w:p>
        </w:tc>
        <w:tc>
          <w:tcPr>
            <w:tcW w:w="13420" w:type="dxa"/>
            <w:gridSpan w:val="4"/>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农作物长势及病虫害监测传感单元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463"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智能孢子捕捉分析仪</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24小时无间断自动捕捉病菌孢子高清显微拍照，照片自动选取并上传；自动选取高清照片上传至云端服务器；能实行远程控制；</w:t>
            </w:r>
            <w:r>
              <w:rPr>
                <w:rFonts w:hint="eastAsia" w:ascii="宋体" w:hAnsi="宋体" w:eastAsia="宋体" w:cs="宋体"/>
                <w:i w:val="0"/>
                <w:iCs w:val="0"/>
                <w:color w:val="000000"/>
                <w:kern w:val="0"/>
                <w:sz w:val="24"/>
                <w:szCs w:val="24"/>
                <w:u w:val="none"/>
                <w:lang w:val="en-US" w:eastAsia="zh-CN" w:bidi="ar"/>
              </w:rPr>
              <w:t>利用最前沿的图像处理技术，对照片进行分析处理，即可对测报设备每天收集的害虫进行分类与计数，并且形成数据库，通过数据分析与统计，就能判断某个区域某种作物发生某种虫害的趋势，并且发出有效预警，提醒相关管理人员提前采取防治措施，实现精准施药，减少病害损失，减少农药使用。</w:t>
            </w:r>
            <w:r>
              <w:rPr>
                <w:rFonts w:hint="eastAsia" w:ascii="宋体" w:hAnsi="宋体" w:eastAsia="宋体" w:cs="宋体"/>
                <w:i w:val="0"/>
                <w:iCs w:val="0"/>
                <w:color w:val="000000"/>
                <w:kern w:val="0"/>
                <w:sz w:val="22"/>
                <w:szCs w:val="22"/>
                <w:u w:val="none"/>
                <w:lang w:val="en-US" w:eastAsia="zh-CN" w:bidi="ar"/>
              </w:rPr>
              <w:t>可在固定的测报区域内，顶点观察特定区域孢子种类及数量；可连续、定时、可调工作；太阳能供电装置；光学百倍显微成像系统；转盘驱动，系统具有用完提醒装置。</w:t>
            </w:r>
            <w:r>
              <w:rPr>
                <w:rFonts w:hint="eastAsia" w:ascii="宋体" w:hAnsi="宋体" w:eastAsia="宋体" w:cs="宋体"/>
                <w:i w:val="0"/>
                <w:iCs w:val="0"/>
                <w:color w:val="000000"/>
                <w:kern w:val="0"/>
                <w:sz w:val="24"/>
                <w:szCs w:val="24"/>
                <w:u w:val="none"/>
                <w:lang w:val="en-US" w:eastAsia="zh-CN" w:bidi="ar"/>
              </w:rPr>
              <w:t>为农业高产，农产品高品质提供了有力保障。</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43"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智慧虫情监测站</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波长365mm,20W黑色诱虫灯，光通量为2700lm-2920lm;红外加热；虫处理面积257.5mm-262mm；撞击屏：互称120°角，单屏尺寸：长595±2mm，宽213±2mm，厚5mm，红外虫体处理仓温度：工作15分钟后到达85±5℃；灯管启动时间：≤5S；网络摄像机：500W像素；识别方式：区域卷积神经网络；通讯方式：以太网（默认）/4G；工作温度：0-40℃；工作环境湿度：0-95%（相对湿度）、无凝结；功率：待机≤5W；整灯功率：≤450W；绝缘电阻：≥2.5MΩ（漏电保护）</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8" w:hRule="atLeast"/>
        </w:trPr>
        <w:tc>
          <w:tcPr>
            <w:tcW w:w="97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82"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底座基建</w:t>
            </w:r>
          </w:p>
        </w:tc>
        <w:tc>
          <w:tcPr>
            <w:tcW w:w="9588" w:type="dxa"/>
            <w:tcBorders>
              <w:tl2br w:val="nil"/>
              <w:tr2bl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3m*3m,深度40cm的水泥平台，配隔栅围栏</w:t>
            </w:r>
          </w:p>
        </w:tc>
        <w:tc>
          <w:tcPr>
            <w:tcW w:w="7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平米</w:t>
            </w:r>
          </w:p>
        </w:tc>
        <w:tc>
          <w:tcPr>
            <w:tcW w:w="76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bl>
    <w:p>
      <w:pPr>
        <w:pStyle w:val="79"/>
        <w:widowControl w:val="0"/>
        <w:numPr>
          <w:ilvl w:val="0"/>
          <w:numId w:val="0"/>
        </w:numPr>
        <w:autoSpaceDE w:val="0"/>
        <w:autoSpaceDN w:val="0"/>
        <w:adjustRightInd w:val="0"/>
        <w:jc w:val="both"/>
        <w:rPr>
          <w:rFonts w:hint="eastAsia"/>
          <w:b/>
          <w:bCs/>
          <w:sz w:val="32"/>
          <w:szCs w:val="32"/>
          <w:lang w:val="en-US" w:eastAsia="zh-CN"/>
        </w:rPr>
      </w:pPr>
    </w:p>
    <w:tbl>
      <w:tblPr>
        <w:tblStyle w:val="62"/>
        <w:tblW w:w="1439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2448"/>
        <w:gridCol w:w="9758"/>
        <w:gridCol w:w="787"/>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产品类别</w:t>
            </w:r>
          </w:p>
        </w:tc>
        <w:tc>
          <w:tcPr>
            <w:tcW w:w="975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技术规格</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392" w:type="dxa"/>
            <w:gridSpan w:val="5"/>
            <w:tcBorders>
              <w:top w:val="nil"/>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三、农旅数字化提升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bottom"/>
          </w:tcPr>
          <w:p>
            <w:pPr>
              <w:jc w:val="center"/>
              <w:rPr>
                <w:rFonts w:hint="eastAsia" w:ascii="宋体" w:hAnsi="宋体" w:eastAsia="宋体" w:cs="宋体"/>
                <w:i w:val="0"/>
                <w:iCs w:val="0"/>
                <w:color w:val="000000"/>
                <w:sz w:val="22"/>
                <w:szCs w:val="22"/>
                <w:u w:val="none"/>
              </w:rPr>
            </w:pP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A、共享稻田（潜东村）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bottom"/>
          </w:tcPr>
          <w:p>
            <w:pPr>
              <w:jc w:val="center"/>
              <w:rPr>
                <w:rFonts w:hint="eastAsia" w:ascii="宋体" w:hAnsi="宋体" w:eastAsia="宋体" w:cs="宋体"/>
                <w:i w:val="0"/>
                <w:iCs w:val="0"/>
                <w:color w:val="000000"/>
                <w:sz w:val="22"/>
                <w:szCs w:val="22"/>
                <w:u w:val="none"/>
              </w:rPr>
            </w:pPr>
          </w:p>
        </w:tc>
        <w:tc>
          <w:tcPr>
            <w:tcW w:w="13756" w:type="dxa"/>
            <w:gridSpan w:val="4"/>
            <w:tcBorders>
              <w:top w:val="nil"/>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潜东村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13756" w:type="dxa"/>
            <w:gridSpan w:val="4"/>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视频监控设备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1" w:hRule="atLeast"/>
        </w:trPr>
        <w:tc>
          <w:tcPr>
            <w:tcW w:w="636"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48"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臻全彩枪球一体机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1)摄像机内置不少于3个镜头，可输出至少一路全景视频和一路细节视频，其中全景路内置不少于2个镜头，细节路内置1个镜头。</w:t>
            </w:r>
          </w:p>
        </w:tc>
        <w:tc>
          <w:tcPr>
            <w:tcW w:w="78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2)全景通道内置2个镜头，光圈不小于F1.0，具有不小于1/2.8靶面尺寸，内置4颗补光灯。</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3）细节通道内置镜头，支持不小于40倍光学变倍，镜头最大焦距不小于240mm，具备不小于1/1.8靶面尺寸，内置10颗红外补光灯及1颗白光灯。</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4）内置不少于2个GPU芯片。</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5）全景路视频图像分辨率不小于3840 × 1080，细节路视频图像分辨率不小于2560x1440。</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6）支持最低照度可达彩色0.0002 lx，黑白0.0001 lx。</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7）全景通道可输出两个镜头无缝拼接的全景图像，拼接偏差像素不大于4个像素，全景画面水平视场角不小于192°。</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8）全景通道可进行垂直旋转，旋转范围不低于10°可调。</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9）摄像机可在预览画面及抓拍图片中叠加人员和车辆的移动轨迹，轨迹颜色支持红色、黄色、蓝色、绿色、及紫色，轨迹末尾具有一个方向箭头，指向目标离开的方向，抓拍图片大小不大于500KB。</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10）摄像机可通过IE浏览器最多添加20个物体标签，可开启或关闭标签显示功能，显示透明度可配置。</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11）具备声音警戒功能，可设置11种警戒音、提示音、自定义语音，报警次数1～50次可设；可通过区域入侵侦测、越界侦测、进入区域侦测、离开区域侦测等报警事件，联动声音报警。</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具备闪光灯警戒功能，可设置闪光灯闪烁时间（1-300），闪烁频率（高、中、低、常亮），亮度（1-100），当监控画面中有目标触发区域入侵侦测、越界侦测、进入区域侦测、离开区域侦测等报警事件时，可联动白光灯闪烁进行报警。</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13）当篮球、小狗、树叶等非人或车辆目标经过检测区域时不会触发报警。</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14）摄像机具备AR标签管理功能，可对监控区域的常规点位、卡口点位、人脸点位、重点道路等进行标签标注，最多可添加500个标签。</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15）摄像机具备AR标签抖动漂移功能，当样机云台明显抖动、转动、或进行镜头变倍时，标签应跟随标定的目标物移动，并在画面中与目标物保持相对静止。</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摄像机具备AR标签联动查看功能，选中标签并将标签置于屏幕中心位置进行显示，可通过点击视频画面中的标签查看标签内容并对标签关联的摄像机视频进行预览，并可通过点击摄像机预览窗口进行放大窗口操作。</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立杆的高度统一为4.5m，挑壁1m，方向可调杆底端焊接固定法兰盘。</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抱杆机箱</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30cm*40cm*20cm防水、防腐蚀。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独立基础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基础穴深1m，底面直径1.5m，混凝浇灌，强度等级C25。</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高清网络直播摄像机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400万星光级摄像机，分辨率可达1920×1080@25fps,支持低码率、低延时、ROI感兴趣区域增强编码,支持smart265编码，高效阵列红外灯,使用寿命长,照射距离可达50米，支持smart IR，防止夜间红外过曝，ICR红外滤片式自动切换,实现真正的日夜监控，支持PoE供电功能，支持3D数字降噪，支持120dB真宽动态，双码流,支持手机监控，走廊模式,背光补偿,自动电子快门功能,适应不同监控环境，支持智能报警，越界侦测,区域入侵侦测等，带直播功能。</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高清摄像机支架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高清摄像机配套支架，可定制。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立杆的高度统一为4.5m，挑壁1m，方向可调杆底端焊接固定法兰盘。</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抱杆机箱</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30cm*40cm*20cm防水、防腐蚀。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独立基础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基础穴深1m，底面直径0.5m，混凝浇灌，强度等级C25。</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核心交换机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12个万兆电口,12个万兆SFP,4复用千兆电口,4复用千兆SFP,600W交流电源*2,交换网板,冗余风扇,高级OS软件,含一体化总装机箱。</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光纤收发器</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光纤收发器，1光4电接口。</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42U标准机柜尺寸：600*1000*2055mm，镀锌烤漆</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视频控制设备</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支持16路4K，smart265编码，2个sata接口；4盘位；</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3.5英寸，4T，7200转，SATA 6Gb/s，监控级</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拼接单元</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LCD液晶显示单元；LG面板;尺寸：55英寸；分辨率：1920x1080；视角：178°(水平)/ 178°(垂直)；响应时间：8ms(G to G)；对比度：1400:1；亮度：500cd/㎡；物理拼缝：1.8mm；输入接口：HDMI × 1, DVI × 1, VGA × 1, YPbPr × 1, CVBS × 1, USB × 1输出接口：DVI × 1, VGA × 1, CVBS × 2控制接口：RS232 IN × 1, RS232 OUT × 2可选配接口：3G SDI(输入×1、输出×1)、DP、HDbaseT、TVI(输入×1、输出×1)、网络源；功耗：≤192W；电源要求：AC 100-240V～, 50/60Hz；寿命：≥60000 小时；工作温度和湿度：0℃～40℃，10%～90% RH（无冷凝水）;外形尺寸：1211.54 (W) mm × 682.34 (H) mm × 67.35 (D) mm；边框宽厚：0.9mm（左/上）,0.9mm（右/下）；</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底座支架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工业全钢/型材特制，55寸液晶拼接屏专用液压式前维护壁挂架，可轻易推进弹出方便维护，屏体受力小，稳固性强，不易变形走位，墙体打膨胀螺丝固定，要求墙体为实体墙可承重。</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高清矩阵</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配套品牌数字高清HDMI矩阵：支持4路高清电脑等设备HDMI信号输入，12路高清HDMI信号输出，全高清1920X1080完美呈现，输入信号可任意拼接、组合、切换、单屏、全屏显示，视频上墙，双带宽自增益，R232控制。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配线</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DVI/HDMI传输线缆，长度定制，液晶拼接大屏通信专用线缆工业级线材，抗信号干扰，信号连接线。</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超五类纯铜五类，传输距离达120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跟</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控制电脑及软件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酷睿i5，8G内存，128G+1T硬盘，显卡GTX1660，22寸液晶显示，集成软件。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控制台</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三联监控操作台。</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传输线缆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DVI传输线缆，工程级别，长度可定制。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8芯单模光纤，LC-LC，长度定制。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超五类纯铜五类，传输距离达120m。</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RVV1.5*2。</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配管</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PVC套管，DN20。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环境智能采集设备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9"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土壤墒情综合监测设备</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土壤温度传感器：五层土壤温度采集。工作温度：-55℃～+125℃，0～100%RH；量程范围：－55℃～+125℃；分辨率：0.01%；精确度：0.5℃；工作电压：DC4.2-36V宽电压输入；系统功耗： 静态功耗≤1mW，最大功耗≤80mW；传输协议：WSN通信协议；校准：命令方式校准；自动识别：特征码自动查询识别；响应时间：≤1ms；ESD人体静电防护：支持；防护等级：IP68。土壤墒情传感器：四层土壤湿度采集。工作温度：-20℃～+85℃，0～100%RH；量程范围：0～100%；分辨率：0.01%；精确度：1%FS；工作电压：DC4.2-36V宽电压输入；系统功耗： 静态功耗≤1mW，最大功耗≤80mW；传输协议：WSN通信协议；校准：命令方式校准；自动识别：特征码自动查询识别；响应时间：≤1ms；ESD人体静电防护：支持；防护等级：IP68。</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9"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土壤肥力综合监测设备</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土壤PH传感器：二层土壤PH采集（含二套土壤PH传感器），工作温度：-20℃～+85℃，0～100%RH；量程范围：0～14.00PH；分辨率：0.01PH；精确度：±0.1；稳定性：±0.02PH/24h；工作电压：DC4.2-36V宽电压输入；系统功耗： 静态功耗≤1mW，最大功耗≤80mW；传输协议：WSN通信协议；校准：命令方式校准；自动识别：特征码自动查询识别；响应时间：≤1ms；ESD人体静电防护：支持；防护等级：IP65。土壤EC传感器：二层土壤EC采集（含二套土壤EC传感器），工作温度：-20℃～+85℃，0～100%RH；量程范围：0～10000us/cm；分辨率：1us/cm；精确度：±3%；工作电压：DC4.2-36V宽电压输入；系统功耗： 静态功耗≤1mW，最大功耗≤80mW；传输协议：WSN通信协议；校准：命令方式校准；自动识别：特征码自动查询识别；响应时间：≤1ms；ESD人体静电防护：支持；防护等级：IP65。土壤氮、磷、钾传感器：二层土壤氮磷钾采集（含二套土壤氮磷钾传感器），工作温度：-20℃～+85℃，0～100%RH；量程范围：0～1999mg/kg；分辨率：1mg/kg；精确度：±2%FS；工作电压：DC4.2-36V宽电压输入；系统功耗： 静态功耗≤1mW，最大功耗≤80mW；传输协议：WSN通信协议；校准：命令方式校准；自动识别：特征码自动查询识别；响应时间：≤1ms；ESD人体静电防护：支持；防护等级：IP65。</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48"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智能网关</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温度：-20℃～+85℃，10～80%RH；工作电压：DC9-36V宽电压输入；传输协议：WSN通信协议；通信接口：支持lora,GPRS,4G/5G,WIFI通信；无线通信距离：大于3KM；功能描述：中央控制主机，可实现云端通信，带反馈开关，通过智能采集控制器，完成温室环境及水肥信息采集、环境监测、信号转换、与中央集控网络通信。</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bottom"/>
          </w:tcPr>
          <w:p>
            <w:pPr>
              <w:jc w:val="center"/>
              <w:rPr>
                <w:rFonts w:hint="eastAsia" w:ascii="宋体" w:hAnsi="宋体" w:eastAsia="宋体" w:cs="宋体"/>
                <w:i w:val="0"/>
                <w:iCs w:val="0"/>
                <w:color w:val="000000"/>
                <w:sz w:val="22"/>
                <w:szCs w:val="22"/>
                <w:u w:val="none"/>
              </w:rPr>
            </w:pP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B、果园数字化示范基地（光明村）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视频监控设备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1" w:hRule="atLeast"/>
        </w:trPr>
        <w:tc>
          <w:tcPr>
            <w:tcW w:w="636"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48"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臻全彩枪球一体机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1)摄像机内置不少于3个镜头，可输出至少一路全景视频和一路细节视频，其中全景路内置不少于2个镜头，细节路内置1个镜头。</w:t>
            </w:r>
          </w:p>
        </w:tc>
        <w:tc>
          <w:tcPr>
            <w:tcW w:w="78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2)全景通道内置2个镜头，光圈不小于F1.0，具有不小于1/2.8靶面尺寸，内置4颗补光灯。</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3）细节通道内置镜头，支持不小于40倍光学变倍，镜头最大焦距不小于240mm，具备不小于1/1.8靶面尺寸，内置10颗红外补光灯及1颗白光灯。</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4）内置不少于2个GPU芯片。</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5）全景路视频图像分辨率不小于3840 × 1080，细节路视频图像分辨率不小于2560x1440。</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6）支持最低照度可达彩色0.0002 lx，黑白0.0001 lx。</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7）全景通道可输出两个镜头无缝拼接的全景图像，拼接偏差像素不大于4个像素，全景画面水平视场角不小于192°。</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8）全景通道可进行垂直旋转，旋转范围不低于10°可调。</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9）摄像机可在预览画面及抓拍图片中叠加人员和车辆的移动轨迹，轨迹颜色支持红色、黄色、蓝色、绿色、及紫色，轨迹末尾具有一个方向箭头，指向目标离开的方向，抓拍图片大小不大于500KB。</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10）摄像机可通过IE浏览器最多添加20个物体标签，可开启或关闭标签显示功能，显示透明度可配置。</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11）具备声音警戒功能，可设置11种警戒音、提示音、自定义语音，报警次数1～50次可设；可通过区域入侵侦测、越界侦测、进入区域侦测、离开区域侦测等报警事件，联动声音报警。</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具备闪光灯警戒功能，可设置闪光灯闪烁时间（1-300），闪烁频率（高、中、低、常亮），亮度（1-100），当监控画面中有目标触发区域入侵侦测、越界侦测、进入区域侦测、离开区域侦测等报警事件时，可联动白光灯闪烁进行报警。</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13）当篮球、小狗、树叶等非人或车辆目标经过检测区域时不会触发报警。</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14）摄像机具备AR标签管理功能，可对监控区域的常规点位、卡口点位、人脸点位、重点道路等进行标签标注，最多可添加500个标签。</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15）摄像机具备AR标签抖动漂移功能，当样机云台明显抖动、转动、或进行镜头变倍时，标签应跟随标定的目标物移动，并在画面中与目标物保持相对静止。</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36"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448"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摄像机具备AR标签联动查看功能，选中标签并将标签置于屏幕中心位置进行显示，可通过点击视频画面中的标签查看标签内容并对标签关联的摄像机视频进行预览，并可通过点击摄像机预览窗口进行放大窗口操作。</w:t>
            </w:r>
          </w:p>
        </w:tc>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立杆的高度统一为4.5m，挑壁1m，方向可调杆底端焊接固定法兰盘</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48" w:type="dxa"/>
            <w:tcBorders>
              <w:top w:val="nil"/>
              <w:left w:val="nil"/>
              <w:bottom w:val="single" w:color="000000" w:sz="8" w:space="0"/>
              <w:right w:val="single" w:color="000000" w:sz="8"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抱杆机箱</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30cm*40cm*20cm防水、防腐蚀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48" w:type="dxa"/>
            <w:tcBorders>
              <w:top w:val="nil"/>
              <w:left w:val="nil"/>
              <w:bottom w:val="single" w:color="000000" w:sz="8" w:space="0"/>
              <w:right w:val="single" w:color="000000" w:sz="8"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独立基础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基础穴深1m，底面直径1.5m，混凝浇灌，强度等级C25</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光纤收发器</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光纤收发器，1光4电接口</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视频控制设备</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支持16路4K，smart265编码，2个sata接口；4盘位；</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3.5英寸，4T，7200转，SATA 6Gb/s，监控级</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控制电脑及软件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酷睿i5，8G内存，128G+1T硬盘，22寸液晶显示，集成软件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2芯单模光纤，LC-LC，长度定制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RVV1.5*2</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配管</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pvc套管，DN20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环境智能采集设备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9"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土壤墒情综合监测设备</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土壤温度传感器：五层土壤温度采集。工作温度：-55℃～+125℃，0～100%RH；量程范围：－55℃～+125℃；分辨率：0.01%；精确度：0.5℃；工作电压：DC4.2-36V宽电压输入；系统功耗： 静态功耗≤1mW，最大功耗≤80mW；传输协议：WSN通信协议；校准：命令方式校准；自动识别：特征码自动查询识别；响应时间：≤1ms；ESD人体静电防护：支持；防护等级：IP68。土壤墒情传感器：四层土壤湿度采集。工作温度：-20℃～+85℃，0～100%RH；量程范围：0～100%；分辨率：0.01%；精确度：1%FS；工作电压：DC4.2-36V宽电压输入；系统功耗： 静态功耗≤1mW，最大功耗≤80mW；传输协议：WSN通信协议；校准：命令方式校准；自动识别：特征码自动查询识别；响应时间：≤1ms；ESD人体静电防护：支持；防护等级：IP68。</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9"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土壤肥力综合监测设备</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采集控制器：额定电压：DC9-36V宽电压输入；额定电流：≤200MA；工作温度：-20℃～+85℃；通信接口：支持lora,485,GPRS,WIFI通信；无线通信距离：大于3KM；通信协议：传输协议：WSN通信协议；采集接口：A/D，串口，485，4-20MA；采集路数：最大支持接入256路传感器信号；设备支架及底座：30*20*300CM定制支架，可安装传感器，采集卡，监控等设备。太阳能供电系统：包含12V/40AH太阳能专用电池，100W太阳能板，太阳能充放电管理单元；土壤PH传感器：二层土壤PH采集（含二套土壤PH传感器），工作温度：-20℃～+85℃，0～100%RH；量程范围：0～14.00PH；分辨率：0.01PH；精确度：±0.1；稳定性：±0.02PH/24h；工作电压：DC4.2-36V宽电压输入；系统功耗： 静态功耗≤1mW，最大功耗≤80mW；传输协议：WSN通信协议；校准：命令方式校准；自动识别：特征码自动查询识别；响应时间：≤1ms；ESD人体静电防护：支持；防护等级：IP65。土壤EC传感器：二层土壤EC采集（含二套土壤EC传感器），工作温度：-20℃～+85℃，0～100%RH；量程范围：0～10000us/cm；分辨率：1us/cm；精确度：±3%；工作电压：DC4.2-36V宽电压输入；系统功耗： 静态功耗≤1mW，最大功耗≤80mW；传输协议：WSN通信协议；校准：命令方式校准；自动识别：特征码自动查询识别；响应时间：≤1ms；ESD人体静电防护：支持；防护等级：IP65。土壤氮、磷、钾传感器：二层土壤氮磷钾采集（含二套土壤氮磷钾传感器），工作温度：-20℃～+85℃，0～100%RH；量程范围：0～1999mg/kg；分辨率：1mg/kg；精确度：±2%FS；工作电压：DC4.2-36V宽电压输入；系统功耗： 静态功耗≤1mW，最大功耗≤80mW；传输协议：WSN通信协议；校准：命令方式校准；自动识别：特征码自动查询识别；响应时间：≤1ms；ESD人体静电防护：支持；防护等级：IP65。</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4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智能网关</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温度：-20℃～+85℃，10～80%RH；工作电压：DC9-36V宽电压输入；传输协议：WSN通信协议；通信接口：支持lora,GPRS,4G/5G,WIFI通信；无线通信距离：大于3KM；功能描述：中央控制主机，可实现云端通信，带反馈开关，通过智能采集控制器，完成温室环境及水肥信息采集、环境监测、信号转换、与中央集控网络通信。</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水肥一体化灌溉首部设备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电源柜</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泵房专用定制电源箱（20kw）带防浪涌保护，电压表，电流表，空开等</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中型砂石自动反冲洗</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3组砂石过滤自动反冲洗：可设置根据压差、定时等多种反冲洗模式，自动冲洗免维护，带嵌入式微电脑控制器、触摸屏、网络通信接口、过滤流量120m³每小时。</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立式离心管道泵</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1.泵式灌溉（18.5kw主泵，总40m³  80m扬程）</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恒压控制柜</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配置18.5kw变频控制柜，压力罐，不锈钢五通，不锈钢止回阀，压力传感器，压力表。</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中型叠片自动反冲洗</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4组L型叠片过滤自动反冲洗：可设置根据压差、定时等多种反冲洗模式，自动冲洗免维护，带嵌入式微电脑控制器、触摸屏、网络通信接口、过滤流量120m³每小时。</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微质子水处理器</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微质子水过滤器。</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3"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4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全自动精准施肥机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可以远程控制施肥机，由吸肥泵、母液管、EC/PH检测仪、施肥泵、控制系统、彩页液晶触摸屏、过滤器、田间电磁阀等组成。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EC/PH传感器带10寸触摸屏面板、嵌入式智能控制器、网络接口。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1）通过EC/PH传感器监控，精准控制肥液浓度。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2）4注肥通道。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3）可预先设置多种施肥配方，配方灵活。可满足不同种植需要，适用于温室、大田、苗圃、山地等多种场合。                                                            4）支持50-200亩果园灌溉。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5）手自一体可切换设计。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6）配备注肥泵。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7）支持移动端操作。</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轮灌控制主机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8路电磁阀/电动阀，无线连接，与水肥主机联动</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不锈钢底阀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304不锈钢</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法兰连接件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法兰片螺丝螺栓</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带搅拌肥桶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1000L化工级塑料肥桶，带搅拌电机，减速电机，搅拌杆，底座支架。</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肥桶控制柜</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智能肥桶可控制柜，集成处理器，带嵌入式软件，与水肥主机联动，带电磁阀控制，水位传感器控制反馈。</w:t>
            </w:r>
          </w:p>
        </w:tc>
        <w:tc>
          <w:tcPr>
            <w:tcW w:w="7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水肥一体化现场采集控制装置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灌溉控制分机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描述：带有嵌入式现场控制下位机与信号采集模块和设备驱动模块，可完成与主机之间的灌溉施肥精准调控、水肥信息采集、环境监测、信号转换、与中央集控网络通信，支持2-7km无线距离,含支架太阳能。太阳能供电系统：包含12V/5AH太阳能专用电池，10W太阳能板，太阳能充放电管理单元；智能水闸控制模块:工作温度：-20℃～+85℃，通讯方式：433M无线通讯，最大通讯距离＞3KM；输出接口：继电器输出，正负电源输出；外部接口：可外接水位传感器，水温传感器。控制方式：本地按钮控制、远程控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电磁阀及配件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定制3寸、低功耗电磁阀、DC24V</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自动打药系统灌溉首部设备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陶瓷三缸柱塞泵</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380V 7.5kw陶瓷免黄油，一体三缸柱塞泵</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恒压控制柜</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配置7.5kw恒压变频控制柜</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全自动精准打药机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EC/PH传感器带10寸触摸屏面板、嵌入式智能控制器、网络接口。支持0-30路电磁阀接入，可有线 无线接入。智能联网模块，支持移动联通电信卡，WIFI接入。</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带搅拌药桶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1000L化工级塑料药桶，带搅拌电机，减速电机，搅拌杆，底座支架。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1000L化工级塑料药桶，清水桶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药桶控制柜</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智能药桶可控制柜，集成处理器，带嵌入式软件，与打药主机联动，带电磁阀控制，水位传感器控制反馈。</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自动打药现场采集控制装置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灌溉控制分机</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功能描述：带有嵌入式现场控制下位机与信号采集模块和设备驱动模块，可完成与主机之间的灌溉施肥精准调控、水肥信息采集、环境监测、信号转换、与中央集控网络通信，支持2-7km无线距离,含支架太阳能。太阳能供电系统：包含12V/5AH太阳能专用电池，10W太阳能板，太阳能充放电管理单元；智能水闸控制模块:工作温度：-20℃～+85℃，通讯方式：433M无线通讯，最大通讯距离＞3KM； </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电磁阀及配件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耐高压脉冲式电磁阀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w:t>
            </w:r>
          </w:p>
        </w:tc>
        <w:tc>
          <w:tcPr>
            <w:tcW w:w="13756"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现场灌溉管网及喷药系统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泵房建设</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泵房</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稳流器滴头</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工作压力1.0-3.0公斤，流量8L/h,稳流器滴头</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旁通球阀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de20 球阀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63-25鞍座</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堵头</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de20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打孔器</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hint="eastAsia" w:ascii="宋体" w:hAnsi="宋体" w:eastAsia="宋体" w:cs="宋体"/>
                <w:i w:val="0"/>
                <w:iCs w:val="0"/>
                <w:color w:val="000000"/>
                <w:sz w:val="22"/>
                <w:szCs w:val="22"/>
                <w:u w:val="none"/>
              </w:rPr>
            </w:pP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HDPE管道</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1.0Mpa De90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HDPE管</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1.0Mpa De63</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LDPE盘管</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ldpe20  0.4Mpa De20</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DN80三通</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pe90正三通</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DN80法兰</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连接电磁阀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DN50法兰</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连接减压阀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大小头</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90-63焊接大小头</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dn50球阀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63末端排水阀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阀箱</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电磁阀箱</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减压阀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DN63可调式减压阀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压力表</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压力表</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排气阀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排气阀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尼龙高压主管</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外径12mm-内径7mm 尼龙高压主管</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三通</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不锈钢三通</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不锈钢配件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弯头三通等配件</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工具包</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hint="eastAsia" w:ascii="宋体" w:hAnsi="宋体" w:eastAsia="宋体" w:cs="宋体"/>
                <w:i w:val="0"/>
                <w:iCs w:val="0"/>
                <w:color w:val="000000"/>
                <w:sz w:val="22"/>
                <w:szCs w:val="22"/>
                <w:u w:val="none"/>
              </w:rPr>
            </w:pP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雾化喷头</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全铜雾化喷头，工作压力30-70公斤，喷洒半径6米</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喷头底座</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全铜快插雾化喷头底座</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高压毛管</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9.52毛管</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1.5mm 包塑钢丝绳</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角钢</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60cm长 30*30定制镀锌角钢</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钢丝绳配件</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304不锈钢管 钢丝绳夹头，卡扣</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堵头</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堵头</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剪刀</w:t>
            </w:r>
          </w:p>
        </w:tc>
        <w:tc>
          <w:tcPr>
            <w:tcW w:w="9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剪刀</w:t>
            </w:r>
          </w:p>
        </w:tc>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bl>
    <w:p>
      <w:pPr>
        <w:pStyle w:val="79"/>
        <w:widowControl w:val="0"/>
        <w:numPr>
          <w:ilvl w:val="0"/>
          <w:numId w:val="0"/>
        </w:numPr>
        <w:autoSpaceDE w:val="0"/>
        <w:autoSpaceDN w:val="0"/>
        <w:adjustRightInd w:val="0"/>
        <w:jc w:val="center"/>
        <w:rPr>
          <w:rFonts w:hint="eastAsia"/>
          <w:b/>
          <w:bCs/>
          <w:sz w:val="32"/>
          <w:szCs w:val="32"/>
          <w:lang w:val="en-US" w:eastAsia="zh-CN"/>
        </w:rPr>
      </w:pPr>
    </w:p>
    <w:p>
      <w:pPr>
        <w:spacing w:line="360" w:lineRule="auto"/>
        <w:rPr>
          <w:rFonts w:hint="eastAsia" w:ascii="仿宋" w:hAnsi="仿宋" w:eastAsia="仿宋" w:cs="Times New Roman"/>
          <w:b/>
          <w:bCs/>
          <w:snapToGrid w:val="0"/>
          <w:kern w:val="2"/>
          <w:sz w:val="28"/>
          <w:szCs w:val="28"/>
          <w:highlight w:val="none"/>
          <w:lang w:val="zh-CN" w:eastAsia="zh-CN" w:bidi="ar-SA"/>
        </w:rPr>
        <w:sectPr>
          <w:pgSz w:w="16838" w:h="11906" w:orient="landscape"/>
          <w:pgMar w:top="1417" w:right="1276" w:bottom="1417" w:left="1247" w:header="851" w:footer="992" w:gutter="0"/>
          <w:pgBorders>
            <w:top w:val="none" w:sz="0" w:space="0"/>
            <w:left w:val="none" w:sz="0" w:space="0"/>
            <w:bottom w:val="none" w:sz="0" w:space="0"/>
            <w:right w:val="none" w:sz="0" w:space="0"/>
          </w:pgBorders>
          <w:cols w:space="0" w:num="1"/>
          <w:titlePg/>
          <w:rtlGutter w:val="0"/>
          <w:docGrid w:linePitch="312" w:charSpace="0"/>
        </w:sectPr>
      </w:pPr>
    </w:p>
    <w:p>
      <w:pPr>
        <w:spacing w:line="360" w:lineRule="auto"/>
        <w:rPr>
          <w:rFonts w:hint="eastAsia" w:ascii="仿宋" w:hAnsi="仿宋" w:eastAsia="仿宋" w:cs="Times New Roman"/>
          <w:b/>
          <w:bCs/>
          <w:snapToGrid w:val="0"/>
          <w:kern w:val="2"/>
          <w:sz w:val="28"/>
          <w:szCs w:val="28"/>
          <w:highlight w:val="none"/>
          <w:lang w:val="zh-CN" w:eastAsia="zh-CN" w:bidi="ar-SA"/>
        </w:rPr>
      </w:pPr>
      <w:r>
        <w:rPr>
          <w:rFonts w:hint="eastAsia" w:ascii="仿宋" w:hAnsi="仿宋" w:eastAsia="仿宋" w:cs="Times New Roman"/>
          <w:b/>
          <w:bCs/>
          <w:snapToGrid w:val="0"/>
          <w:kern w:val="2"/>
          <w:sz w:val="28"/>
          <w:szCs w:val="28"/>
          <w:highlight w:val="none"/>
          <w:lang w:val="zh-CN" w:eastAsia="zh-CN" w:bidi="ar-SA"/>
        </w:rPr>
        <w:t>二、期限</w:t>
      </w:r>
    </w:p>
    <w:p>
      <w:pPr>
        <w:spacing w:line="360" w:lineRule="auto"/>
        <w:ind w:firstLine="480" w:firstLineChars="200"/>
        <w:rPr>
          <w:rFonts w:hint="eastAsia" w:ascii="仿宋" w:hAnsi="仿宋" w:eastAsia="仿宋" w:cs="Times New Roman"/>
          <w:sz w:val="24"/>
          <w:highlight w:val="none"/>
          <w:lang w:val="zh-CN" w:eastAsia="zh-CN"/>
        </w:rPr>
      </w:pPr>
      <w:r>
        <w:rPr>
          <w:rFonts w:hint="eastAsia" w:ascii="仿宋" w:hAnsi="仿宋" w:eastAsia="仿宋" w:cs="Times New Roman"/>
          <w:sz w:val="24"/>
          <w:highlight w:val="none"/>
          <w:lang w:val="zh-CN" w:eastAsia="zh-CN"/>
        </w:rPr>
        <w:t>期限为合同签订后</w:t>
      </w:r>
      <w:r>
        <w:rPr>
          <w:rFonts w:hint="eastAsia" w:ascii="仿宋" w:hAnsi="仿宋" w:eastAsia="仿宋" w:cs="Times New Roman"/>
          <w:sz w:val="24"/>
          <w:highlight w:val="none"/>
          <w:lang w:val="en-US" w:eastAsia="zh-CN"/>
        </w:rPr>
        <w:t>1</w:t>
      </w:r>
      <w:r>
        <w:rPr>
          <w:rFonts w:hint="eastAsia" w:ascii="仿宋" w:hAnsi="仿宋" w:eastAsia="仿宋" w:cs="Times New Roman"/>
          <w:sz w:val="24"/>
          <w:highlight w:val="none"/>
          <w:lang w:val="zh-CN" w:eastAsia="zh-CN"/>
        </w:rPr>
        <w:t>个月。</w:t>
      </w:r>
    </w:p>
    <w:p>
      <w:pPr>
        <w:spacing w:line="360" w:lineRule="auto"/>
        <w:rPr>
          <w:rFonts w:hint="eastAsia" w:ascii="仿宋" w:hAnsi="仿宋" w:eastAsia="仿宋"/>
          <w:sz w:val="24"/>
        </w:rPr>
      </w:pPr>
      <w:r>
        <w:rPr>
          <w:rFonts w:hint="eastAsia" w:ascii="仿宋" w:hAnsi="仿宋" w:eastAsia="仿宋" w:cs="Times New Roman"/>
          <w:b/>
          <w:bCs/>
          <w:snapToGrid w:val="0"/>
          <w:kern w:val="2"/>
          <w:sz w:val="28"/>
          <w:szCs w:val="28"/>
          <w:lang w:val="zh-CN" w:eastAsia="zh-CN" w:bidi="ar-SA"/>
        </w:rPr>
        <w:t>三、工作要求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1.中标单位应按协议要求</w:t>
      </w:r>
      <w:r>
        <w:rPr>
          <w:rFonts w:hint="eastAsia" w:ascii="仿宋" w:hAnsi="仿宋" w:eastAsia="仿宋" w:cs="仿宋"/>
          <w:sz w:val="24"/>
          <w:szCs w:val="24"/>
          <w:lang w:val="en-US" w:eastAsia="zh-CN"/>
        </w:rPr>
        <w:t>期限（即1个月）完成项目建设</w:t>
      </w:r>
      <w:r>
        <w:rPr>
          <w:rFonts w:hint="eastAsia" w:ascii="仿宋" w:hAnsi="仿宋" w:eastAsia="仿宋" w:cs="仿宋"/>
          <w:sz w:val="24"/>
          <w:szCs w:val="24"/>
          <w:lang w:eastAsia="zh-CN"/>
        </w:rPr>
        <w:t>；</w:t>
      </w:r>
    </w:p>
    <w:p>
      <w:pPr>
        <w:pStyle w:val="79"/>
        <w:spacing w:line="360" w:lineRule="auto"/>
        <w:ind w:firstLine="480"/>
        <w:rPr>
          <w:rFonts w:hint="eastAsia"/>
          <w:lang w:val="en-US" w:eastAsia="zh-CN"/>
        </w:rPr>
      </w:pPr>
      <w:r>
        <w:rPr>
          <w:rFonts w:hint="eastAsia" w:ascii="仿宋" w:hAnsi="仿宋" w:eastAsia="仿宋" w:cs="仿宋"/>
          <w:sz w:val="24"/>
          <w:szCs w:val="24"/>
          <w:lang w:val="en-US" w:eastAsia="zh-CN"/>
        </w:rPr>
        <w:t>2.</w:t>
      </w:r>
      <w:r>
        <w:rPr>
          <w:rFonts w:hint="eastAsia"/>
          <w:lang w:val="en-US" w:eastAsia="zh-CN"/>
        </w:rPr>
        <w:t>中标单位根据甲方需求定制个性化的软件UI设计及设备外观设计；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3.根据甲方需求与现有子系统与平台完成数据对接；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.中标单位在产品通过验收前，应及时解决功能需求不匹配及软件系统功能故障等问题；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.中标单位提供项目验收期间的技术支持；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.未经采购单位同意，中标单位不得将本项目中采购单位的个性化建设成果到任意第三方演示、展示。否则，采购单位保留追责的权利。</w:t>
      </w: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pStyle w:val="79"/>
        <w:rPr>
          <w:rFonts w:hint="eastAsia" w:ascii="仿宋" w:hAnsi="仿宋" w:eastAsia="仿宋" w:cs="仿宋"/>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2085"/>
      <w:bookmarkEnd w:id="27"/>
      <w:bookmarkStart w:id="28" w:name="_Toc184310315"/>
      <w:bookmarkEnd w:id="28"/>
      <w:bookmarkStart w:id="29" w:name="_Toc184310341"/>
      <w:bookmarkEnd w:id="29"/>
      <w:bookmarkStart w:id="30" w:name="_Toc184312067"/>
      <w:bookmarkEnd w:id="30"/>
      <w:bookmarkStart w:id="31" w:name="_Toc184312133"/>
      <w:bookmarkEnd w:id="31"/>
      <w:bookmarkStart w:id="32" w:name="_Toc184313270"/>
      <w:bookmarkEnd w:id="32"/>
      <w:bookmarkStart w:id="33" w:name="_Toc184312100"/>
      <w:bookmarkEnd w:id="33"/>
      <w:bookmarkStart w:id="34" w:name="_Toc184312105"/>
      <w:bookmarkEnd w:id="34"/>
      <w:bookmarkStart w:id="35" w:name="_Toc184314471"/>
      <w:bookmarkEnd w:id="35"/>
      <w:bookmarkStart w:id="36" w:name="_Toc184310328"/>
      <w:bookmarkEnd w:id="36"/>
      <w:bookmarkStart w:id="37" w:name="_Toc184312099"/>
      <w:bookmarkEnd w:id="37"/>
      <w:bookmarkStart w:id="38" w:name="_Toc184312077"/>
      <w:bookmarkEnd w:id="38"/>
      <w:bookmarkStart w:id="39" w:name="_Toc184313287"/>
      <w:bookmarkEnd w:id="39"/>
      <w:bookmarkStart w:id="40" w:name="_Toc184312096"/>
      <w:bookmarkEnd w:id="40"/>
      <w:bookmarkStart w:id="41" w:name="_Toc184308082"/>
      <w:bookmarkEnd w:id="41"/>
      <w:bookmarkStart w:id="42" w:name="_Toc184308107"/>
      <w:bookmarkEnd w:id="42"/>
      <w:bookmarkStart w:id="43" w:name="_Toc184310285"/>
      <w:bookmarkEnd w:id="43"/>
      <w:bookmarkStart w:id="44" w:name="_Toc184314448"/>
      <w:bookmarkEnd w:id="44"/>
      <w:bookmarkStart w:id="45" w:name="_Toc184310326"/>
      <w:bookmarkEnd w:id="45"/>
      <w:bookmarkStart w:id="46" w:name="_Toc184308069"/>
      <w:bookmarkEnd w:id="46"/>
      <w:bookmarkStart w:id="47" w:name="_Toc184312090"/>
      <w:bookmarkEnd w:id="47"/>
      <w:bookmarkStart w:id="48" w:name="_Toc184312095"/>
      <w:bookmarkEnd w:id="48"/>
      <w:bookmarkStart w:id="49" w:name="_Toc184312079"/>
      <w:bookmarkEnd w:id="49"/>
      <w:bookmarkStart w:id="50" w:name="_Toc184308054"/>
      <w:bookmarkEnd w:id="50"/>
      <w:bookmarkStart w:id="51" w:name="_Toc184312120"/>
      <w:bookmarkEnd w:id="51"/>
      <w:bookmarkStart w:id="52" w:name="_Toc184312136"/>
      <w:bookmarkEnd w:id="52"/>
      <w:bookmarkStart w:id="53" w:name="_Toc184310304"/>
      <w:bookmarkEnd w:id="53"/>
      <w:bookmarkStart w:id="54" w:name="_Toc184313300"/>
      <w:bookmarkEnd w:id="54"/>
      <w:bookmarkStart w:id="55" w:name="_Toc184313278"/>
      <w:bookmarkEnd w:id="55"/>
      <w:bookmarkStart w:id="56" w:name="_Toc184308103"/>
      <w:bookmarkEnd w:id="56"/>
      <w:bookmarkStart w:id="57" w:name="_Toc184313285"/>
      <w:bookmarkEnd w:id="57"/>
      <w:bookmarkStart w:id="58" w:name="_Toc184310325"/>
      <w:bookmarkEnd w:id="58"/>
      <w:bookmarkStart w:id="59" w:name="_Toc184308078"/>
      <w:bookmarkEnd w:id="59"/>
      <w:bookmarkStart w:id="60" w:name="_Toc184310286"/>
      <w:bookmarkEnd w:id="60"/>
      <w:bookmarkStart w:id="61" w:name="_Toc184312107"/>
      <w:bookmarkEnd w:id="61"/>
      <w:bookmarkStart w:id="62" w:name="_Toc184312073"/>
      <w:bookmarkEnd w:id="62"/>
      <w:bookmarkStart w:id="63" w:name="_Toc184312134"/>
      <w:bookmarkEnd w:id="63"/>
      <w:bookmarkStart w:id="64" w:name="_Toc184313292"/>
      <w:bookmarkEnd w:id="64"/>
      <w:bookmarkStart w:id="65" w:name="_Toc184310332"/>
      <w:bookmarkEnd w:id="65"/>
      <w:bookmarkStart w:id="66" w:name="_Toc184313240"/>
      <w:bookmarkEnd w:id="66"/>
      <w:bookmarkStart w:id="67" w:name="_Toc184310344"/>
      <w:bookmarkEnd w:id="67"/>
      <w:bookmarkStart w:id="68" w:name="_Toc184310342"/>
      <w:bookmarkEnd w:id="68"/>
      <w:bookmarkStart w:id="69" w:name="_Toc184313272"/>
      <w:bookmarkEnd w:id="69"/>
      <w:bookmarkStart w:id="70" w:name="_Toc184308091"/>
      <w:bookmarkEnd w:id="70"/>
      <w:bookmarkStart w:id="71" w:name="_Toc184310319"/>
      <w:bookmarkEnd w:id="71"/>
      <w:bookmarkStart w:id="72" w:name="_Toc184308070"/>
      <w:bookmarkEnd w:id="72"/>
      <w:bookmarkStart w:id="73" w:name="_Toc184312109"/>
      <w:bookmarkEnd w:id="73"/>
      <w:bookmarkStart w:id="74" w:name="_Toc184314475"/>
      <w:bookmarkEnd w:id="74"/>
      <w:bookmarkStart w:id="75" w:name="_Toc184312081"/>
      <w:bookmarkEnd w:id="75"/>
      <w:bookmarkStart w:id="76" w:name="_Toc184310305"/>
      <w:bookmarkEnd w:id="76"/>
      <w:bookmarkStart w:id="77" w:name="_Toc184314464"/>
      <w:bookmarkEnd w:id="77"/>
      <w:bookmarkStart w:id="78" w:name="_Toc184312068"/>
      <w:bookmarkEnd w:id="78"/>
      <w:bookmarkStart w:id="79" w:name="_Toc184310312"/>
      <w:bookmarkEnd w:id="79"/>
      <w:bookmarkStart w:id="80" w:name="_Toc184312082"/>
      <w:bookmarkEnd w:id="80"/>
      <w:bookmarkStart w:id="81" w:name="_Toc184310314"/>
      <w:bookmarkEnd w:id="81"/>
      <w:bookmarkStart w:id="82" w:name="_Toc184314469"/>
      <w:bookmarkEnd w:id="82"/>
      <w:bookmarkStart w:id="83" w:name="_Toc184314450"/>
      <w:bookmarkEnd w:id="83"/>
      <w:bookmarkStart w:id="84" w:name="_Toc184314412"/>
      <w:bookmarkEnd w:id="84"/>
      <w:bookmarkStart w:id="85" w:name="_Toc184313281"/>
      <w:bookmarkEnd w:id="85"/>
      <w:bookmarkStart w:id="86" w:name="_Toc184312139"/>
      <w:bookmarkEnd w:id="86"/>
      <w:bookmarkStart w:id="87" w:name="_Toc184308097"/>
      <w:bookmarkEnd w:id="87"/>
      <w:bookmarkStart w:id="88" w:name="_Toc184310287"/>
      <w:bookmarkEnd w:id="88"/>
      <w:bookmarkStart w:id="89" w:name="_Toc184310313"/>
      <w:bookmarkEnd w:id="89"/>
      <w:bookmarkStart w:id="90" w:name="_Toc184314461"/>
      <w:bookmarkEnd w:id="90"/>
      <w:bookmarkStart w:id="91" w:name="_Toc184310329"/>
      <w:bookmarkEnd w:id="91"/>
      <w:bookmarkStart w:id="92" w:name="_Toc184310276"/>
      <w:bookmarkEnd w:id="92"/>
      <w:bookmarkStart w:id="93" w:name="_Toc184310336"/>
      <w:bookmarkEnd w:id="93"/>
      <w:bookmarkStart w:id="94" w:name="_Toc184312074"/>
      <w:bookmarkEnd w:id="94"/>
      <w:bookmarkStart w:id="95" w:name="_Toc184312119"/>
      <w:bookmarkEnd w:id="95"/>
      <w:bookmarkStart w:id="96" w:name="_Toc184313274"/>
      <w:bookmarkEnd w:id="96"/>
      <w:bookmarkStart w:id="97" w:name="_Toc184312075"/>
      <w:bookmarkEnd w:id="97"/>
      <w:bookmarkStart w:id="98" w:name="_Toc184314416"/>
      <w:bookmarkEnd w:id="98"/>
      <w:bookmarkStart w:id="99" w:name="_Toc184312113"/>
      <w:bookmarkEnd w:id="99"/>
      <w:bookmarkStart w:id="100" w:name="_Toc184313253"/>
      <w:bookmarkEnd w:id="100"/>
      <w:bookmarkStart w:id="101" w:name="_Toc184312080"/>
      <w:bookmarkEnd w:id="101"/>
      <w:bookmarkStart w:id="102" w:name="_Toc184314455"/>
      <w:bookmarkEnd w:id="102"/>
      <w:bookmarkStart w:id="103" w:name="_Toc184314447"/>
      <w:bookmarkEnd w:id="103"/>
      <w:bookmarkStart w:id="104" w:name="_Toc184308048"/>
      <w:bookmarkEnd w:id="104"/>
      <w:bookmarkStart w:id="105" w:name="_Toc184312104"/>
      <w:bookmarkEnd w:id="105"/>
      <w:bookmarkStart w:id="106" w:name="_Toc184313249"/>
      <w:bookmarkEnd w:id="106"/>
      <w:bookmarkStart w:id="107" w:name="_Toc184308065"/>
      <w:bookmarkEnd w:id="107"/>
      <w:bookmarkStart w:id="108" w:name="_Toc184310297"/>
      <w:bookmarkEnd w:id="108"/>
      <w:bookmarkStart w:id="109" w:name="_Toc184314415"/>
      <w:bookmarkEnd w:id="109"/>
      <w:bookmarkStart w:id="110" w:name="_Toc184312115"/>
      <w:bookmarkEnd w:id="110"/>
      <w:bookmarkStart w:id="111" w:name="_Toc184313259"/>
      <w:bookmarkEnd w:id="111"/>
      <w:bookmarkStart w:id="112" w:name="_Toc184313273"/>
      <w:bookmarkEnd w:id="112"/>
      <w:bookmarkStart w:id="113" w:name="_Toc184314410"/>
      <w:bookmarkEnd w:id="113"/>
      <w:bookmarkStart w:id="114" w:name="_Toc184314417"/>
      <w:bookmarkEnd w:id="114"/>
      <w:bookmarkStart w:id="115" w:name="_Toc184314468"/>
      <w:bookmarkEnd w:id="115"/>
      <w:bookmarkStart w:id="116" w:name="_Toc184312121"/>
      <w:bookmarkEnd w:id="116"/>
      <w:bookmarkStart w:id="117" w:name="_Toc184312086"/>
      <w:bookmarkEnd w:id="117"/>
      <w:bookmarkStart w:id="118" w:name="_Toc184308045"/>
      <w:bookmarkEnd w:id="118"/>
      <w:bookmarkStart w:id="119" w:name="_Toc184308087"/>
      <w:bookmarkEnd w:id="119"/>
      <w:bookmarkStart w:id="120" w:name="_Toc184314473"/>
      <w:bookmarkEnd w:id="120"/>
      <w:bookmarkStart w:id="121" w:name="_Toc184312071"/>
      <w:bookmarkEnd w:id="121"/>
      <w:bookmarkStart w:id="122" w:name="_Toc184312072"/>
      <w:bookmarkEnd w:id="122"/>
      <w:bookmarkStart w:id="123" w:name="_Toc184313286"/>
      <w:bookmarkEnd w:id="123"/>
      <w:bookmarkStart w:id="124" w:name="_Toc184313256"/>
      <w:bookmarkEnd w:id="124"/>
      <w:bookmarkStart w:id="125" w:name="_Toc184314481"/>
      <w:bookmarkEnd w:id="125"/>
      <w:bookmarkStart w:id="126" w:name="_Toc184310293"/>
      <w:bookmarkEnd w:id="126"/>
      <w:bookmarkStart w:id="127" w:name="_Toc184308076"/>
      <w:bookmarkEnd w:id="127"/>
      <w:bookmarkStart w:id="128" w:name="_Toc184312132"/>
      <w:bookmarkEnd w:id="128"/>
      <w:bookmarkStart w:id="129" w:name="_Toc184313245"/>
      <w:bookmarkEnd w:id="129"/>
      <w:bookmarkStart w:id="130" w:name="_Toc184312092"/>
      <w:bookmarkEnd w:id="130"/>
      <w:bookmarkStart w:id="131" w:name="_Toc184314421"/>
      <w:bookmarkEnd w:id="131"/>
      <w:bookmarkStart w:id="132" w:name="_Toc184310317"/>
      <w:bookmarkEnd w:id="132"/>
      <w:bookmarkStart w:id="133" w:name="_Toc184310290"/>
      <w:bookmarkEnd w:id="133"/>
      <w:bookmarkStart w:id="134" w:name="_Toc184308049"/>
      <w:bookmarkEnd w:id="134"/>
      <w:bookmarkStart w:id="135" w:name="_Toc184312128"/>
      <w:bookmarkEnd w:id="135"/>
      <w:bookmarkStart w:id="136" w:name="_Toc184308039"/>
      <w:bookmarkEnd w:id="136"/>
      <w:bookmarkStart w:id="137" w:name="_Toc184313262"/>
      <w:bookmarkEnd w:id="137"/>
      <w:bookmarkStart w:id="138" w:name="_Toc184313242"/>
      <w:bookmarkEnd w:id="138"/>
      <w:bookmarkStart w:id="139" w:name="_Toc184314439"/>
      <w:bookmarkEnd w:id="139"/>
      <w:bookmarkStart w:id="140" w:name="_Toc184313308"/>
      <w:bookmarkEnd w:id="140"/>
      <w:bookmarkStart w:id="141" w:name="_Toc184313306"/>
      <w:bookmarkEnd w:id="141"/>
      <w:bookmarkStart w:id="142" w:name="_Toc184310288"/>
      <w:bookmarkEnd w:id="142"/>
      <w:bookmarkStart w:id="143" w:name="_Toc184314430"/>
      <w:bookmarkEnd w:id="143"/>
      <w:bookmarkStart w:id="144" w:name="_Toc184314470"/>
      <w:bookmarkEnd w:id="144"/>
      <w:bookmarkStart w:id="145" w:name="_Toc184310307"/>
      <w:bookmarkEnd w:id="145"/>
      <w:bookmarkStart w:id="146" w:name="_Toc184314429"/>
      <w:bookmarkEnd w:id="146"/>
      <w:bookmarkStart w:id="147" w:name="_Toc184310311"/>
      <w:bookmarkEnd w:id="147"/>
      <w:bookmarkStart w:id="148" w:name="_Toc184310278"/>
      <w:bookmarkEnd w:id="148"/>
      <w:bookmarkStart w:id="149" w:name="_Toc184314474"/>
      <w:bookmarkEnd w:id="149"/>
      <w:bookmarkStart w:id="150" w:name="_Toc184314451"/>
      <w:bookmarkEnd w:id="150"/>
      <w:bookmarkStart w:id="151" w:name="_Toc184310343"/>
      <w:bookmarkEnd w:id="151"/>
      <w:bookmarkStart w:id="152" w:name="_Toc184314440"/>
      <w:bookmarkEnd w:id="152"/>
      <w:bookmarkStart w:id="153" w:name="_Toc184308102"/>
      <w:bookmarkEnd w:id="153"/>
      <w:bookmarkStart w:id="154" w:name="_Toc184308056"/>
      <w:bookmarkEnd w:id="154"/>
      <w:bookmarkStart w:id="155" w:name="_Toc184314458"/>
      <w:bookmarkEnd w:id="155"/>
      <w:bookmarkStart w:id="156" w:name="_Toc184313293"/>
      <w:bookmarkEnd w:id="156"/>
      <w:bookmarkStart w:id="157" w:name="_Toc184308075"/>
      <w:bookmarkEnd w:id="157"/>
      <w:bookmarkStart w:id="158" w:name="_Toc184310292"/>
      <w:bookmarkEnd w:id="158"/>
      <w:bookmarkStart w:id="159" w:name="_Toc184308095"/>
      <w:bookmarkEnd w:id="159"/>
      <w:bookmarkStart w:id="160" w:name="_Toc184312106"/>
      <w:bookmarkEnd w:id="160"/>
      <w:bookmarkStart w:id="161" w:name="_Toc184314411"/>
      <w:bookmarkEnd w:id="161"/>
      <w:bookmarkStart w:id="162" w:name="_Toc184308042"/>
      <w:bookmarkEnd w:id="162"/>
      <w:bookmarkStart w:id="163" w:name="_Toc184313243"/>
      <w:bookmarkEnd w:id="163"/>
      <w:bookmarkStart w:id="164" w:name="_Toc184312116"/>
      <w:bookmarkEnd w:id="164"/>
      <w:bookmarkStart w:id="165" w:name="_Toc184310309"/>
      <w:bookmarkEnd w:id="165"/>
      <w:bookmarkStart w:id="166" w:name="_Toc184310322"/>
      <w:bookmarkEnd w:id="166"/>
      <w:bookmarkStart w:id="167" w:name="_Toc184313289"/>
      <w:bookmarkEnd w:id="167"/>
      <w:bookmarkStart w:id="168" w:name="_Toc184310274"/>
      <w:bookmarkEnd w:id="168"/>
      <w:bookmarkStart w:id="169" w:name="_Toc184312122"/>
      <w:bookmarkEnd w:id="169"/>
      <w:bookmarkStart w:id="170" w:name="_Toc184310295"/>
      <w:bookmarkEnd w:id="170"/>
      <w:bookmarkStart w:id="171" w:name="_Toc184308047"/>
      <w:bookmarkEnd w:id="171"/>
      <w:bookmarkStart w:id="172" w:name="_Toc184310339"/>
      <w:bookmarkEnd w:id="172"/>
      <w:bookmarkStart w:id="173" w:name="_Toc184314442"/>
      <w:bookmarkEnd w:id="173"/>
      <w:bookmarkStart w:id="174" w:name="_Toc184312083"/>
      <w:bookmarkEnd w:id="174"/>
      <w:bookmarkStart w:id="175" w:name="_Toc184313247"/>
      <w:bookmarkEnd w:id="175"/>
      <w:bookmarkStart w:id="176" w:name="_Toc184313309"/>
      <w:bookmarkEnd w:id="176"/>
      <w:bookmarkStart w:id="177" w:name="_Toc184312088"/>
      <w:bookmarkEnd w:id="177"/>
      <w:bookmarkStart w:id="178" w:name="_Toc184312108"/>
      <w:bookmarkEnd w:id="178"/>
      <w:bookmarkStart w:id="179" w:name="_Toc184312078"/>
      <w:bookmarkEnd w:id="179"/>
      <w:bookmarkStart w:id="180" w:name="_Toc184314445"/>
      <w:bookmarkEnd w:id="180"/>
      <w:bookmarkStart w:id="181" w:name="_Toc184310281"/>
      <w:bookmarkEnd w:id="181"/>
      <w:bookmarkStart w:id="182" w:name="_Toc184314425"/>
      <w:bookmarkEnd w:id="182"/>
      <w:bookmarkStart w:id="183" w:name="_Toc184312098"/>
      <w:bookmarkEnd w:id="183"/>
      <w:bookmarkStart w:id="184" w:name="_Toc184308055"/>
      <w:bookmarkEnd w:id="184"/>
      <w:bookmarkStart w:id="185" w:name="_Toc184310296"/>
      <w:bookmarkEnd w:id="185"/>
      <w:bookmarkStart w:id="186" w:name="_Toc184310275"/>
      <w:bookmarkEnd w:id="186"/>
      <w:bookmarkStart w:id="187" w:name="_Toc184310327"/>
      <w:bookmarkEnd w:id="187"/>
      <w:bookmarkStart w:id="188" w:name="_Toc184310300"/>
      <w:bookmarkEnd w:id="188"/>
      <w:bookmarkStart w:id="189" w:name="_Toc184314466"/>
      <w:bookmarkEnd w:id="189"/>
      <w:bookmarkStart w:id="190" w:name="_Toc184312069"/>
      <w:bookmarkEnd w:id="190"/>
      <w:bookmarkStart w:id="191" w:name="_Toc184314465"/>
      <w:bookmarkEnd w:id="191"/>
      <w:bookmarkStart w:id="192" w:name="_Toc184310318"/>
      <w:bookmarkEnd w:id="192"/>
      <w:bookmarkStart w:id="193" w:name="_Toc184310310"/>
      <w:bookmarkEnd w:id="193"/>
      <w:bookmarkStart w:id="194" w:name="_Toc184310284"/>
      <w:bookmarkEnd w:id="194"/>
      <w:bookmarkStart w:id="195" w:name="_Toc184308072"/>
      <w:bookmarkEnd w:id="195"/>
      <w:bookmarkStart w:id="196" w:name="_Toc184313244"/>
      <w:bookmarkEnd w:id="196"/>
      <w:bookmarkStart w:id="197" w:name="_Toc184313296"/>
      <w:bookmarkEnd w:id="197"/>
      <w:bookmarkStart w:id="198" w:name="_Toc184310306"/>
      <w:bookmarkEnd w:id="198"/>
      <w:bookmarkStart w:id="199" w:name="_Toc184313301"/>
      <w:bookmarkEnd w:id="199"/>
      <w:bookmarkStart w:id="200" w:name="_Toc184313295"/>
      <w:bookmarkEnd w:id="200"/>
      <w:bookmarkStart w:id="201" w:name="_Toc184314478"/>
      <w:bookmarkEnd w:id="201"/>
      <w:bookmarkStart w:id="202" w:name="_Toc184312087"/>
      <w:bookmarkEnd w:id="202"/>
      <w:bookmarkStart w:id="203" w:name="_Toc184312097"/>
      <w:bookmarkEnd w:id="203"/>
      <w:bookmarkStart w:id="204" w:name="_Toc184308073"/>
      <w:bookmarkEnd w:id="204"/>
      <w:bookmarkStart w:id="205" w:name="_Toc184314433"/>
      <w:bookmarkEnd w:id="205"/>
      <w:bookmarkStart w:id="206" w:name="_Toc184312124"/>
      <w:bookmarkEnd w:id="206"/>
      <w:bookmarkStart w:id="207" w:name="_Toc184314413"/>
      <w:bookmarkEnd w:id="207"/>
      <w:bookmarkStart w:id="208" w:name="_Toc184308084"/>
      <w:bookmarkEnd w:id="208"/>
      <w:bookmarkStart w:id="209" w:name="_Toc184314418"/>
      <w:bookmarkEnd w:id="209"/>
      <w:bookmarkStart w:id="210" w:name="_Toc184313239"/>
      <w:bookmarkEnd w:id="210"/>
      <w:bookmarkStart w:id="211" w:name="_Toc184312118"/>
      <w:bookmarkEnd w:id="211"/>
      <w:bookmarkStart w:id="212" w:name="_Toc184313258"/>
      <w:bookmarkEnd w:id="212"/>
      <w:bookmarkStart w:id="213" w:name="_Toc184308083"/>
      <w:bookmarkEnd w:id="213"/>
      <w:bookmarkStart w:id="214" w:name="_Toc184310282"/>
      <w:bookmarkEnd w:id="214"/>
      <w:bookmarkStart w:id="215" w:name="_Toc184308059"/>
      <w:bookmarkEnd w:id="215"/>
      <w:bookmarkStart w:id="216" w:name="_Toc184313251"/>
      <w:bookmarkEnd w:id="216"/>
      <w:bookmarkStart w:id="217" w:name="_Toc184310323"/>
      <w:bookmarkEnd w:id="217"/>
      <w:bookmarkStart w:id="218" w:name="_Toc184310334"/>
      <w:bookmarkEnd w:id="218"/>
      <w:bookmarkStart w:id="219" w:name="_Toc184314477"/>
      <w:bookmarkEnd w:id="219"/>
      <w:bookmarkStart w:id="220" w:name="_Toc184314444"/>
      <w:bookmarkEnd w:id="220"/>
      <w:bookmarkStart w:id="221" w:name="_Toc184308094"/>
      <w:bookmarkEnd w:id="221"/>
      <w:bookmarkStart w:id="222" w:name="_Toc184308068"/>
      <w:bookmarkEnd w:id="222"/>
      <w:bookmarkStart w:id="223" w:name="_Toc184308051"/>
      <w:bookmarkEnd w:id="223"/>
      <w:bookmarkStart w:id="224" w:name="_Toc184310335"/>
      <w:bookmarkEnd w:id="224"/>
      <w:bookmarkStart w:id="225" w:name="_Toc184308090"/>
      <w:bookmarkEnd w:id="225"/>
      <w:bookmarkStart w:id="226" w:name="_Toc184314422"/>
      <w:bookmarkEnd w:id="226"/>
      <w:bookmarkStart w:id="227" w:name="_Toc184312127"/>
      <w:bookmarkEnd w:id="227"/>
      <w:bookmarkStart w:id="228" w:name="_Toc184314424"/>
      <w:bookmarkEnd w:id="228"/>
      <w:bookmarkStart w:id="229" w:name="_Toc184314436"/>
      <w:bookmarkEnd w:id="229"/>
      <w:bookmarkStart w:id="230" w:name="_Toc184312138"/>
      <w:bookmarkEnd w:id="230"/>
      <w:bookmarkStart w:id="231" w:name="_Toc184314460"/>
      <w:bookmarkEnd w:id="231"/>
      <w:bookmarkStart w:id="232" w:name="_Toc184308052"/>
      <w:bookmarkEnd w:id="232"/>
      <w:bookmarkStart w:id="233" w:name="_Toc184313241"/>
      <w:bookmarkEnd w:id="233"/>
      <w:bookmarkStart w:id="234" w:name="_Toc184312103"/>
      <w:bookmarkEnd w:id="234"/>
      <w:bookmarkStart w:id="235" w:name="_Toc184310272"/>
      <w:bookmarkEnd w:id="235"/>
      <w:bookmarkStart w:id="236" w:name="_Toc184313248"/>
      <w:bookmarkEnd w:id="236"/>
      <w:bookmarkStart w:id="237" w:name="_Toc184314441"/>
      <w:bookmarkEnd w:id="237"/>
      <w:bookmarkStart w:id="238" w:name="_Toc184310331"/>
      <w:bookmarkEnd w:id="238"/>
      <w:bookmarkStart w:id="239" w:name="_Toc184314454"/>
      <w:bookmarkEnd w:id="239"/>
      <w:bookmarkStart w:id="240" w:name="_Toc184314479"/>
      <w:bookmarkEnd w:id="240"/>
      <w:bookmarkStart w:id="241" w:name="_Toc184313302"/>
      <w:bookmarkEnd w:id="241"/>
      <w:bookmarkStart w:id="242" w:name="_Toc184312126"/>
      <w:bookmarkEnd w:id="242"/>
      <w:bookmarkStart w:id="243" w:name="_Toc184313304"/>
      <w:bookmarkEnd w:id="243"/>
      <w:bookmarkStart w:id="244" w:name="_Toc184314453"/>
      <w:bookmarkEnd w:id="244"/>
      <w:bookmarkStart w:id="245" w:name="_Toc184310316"/>
      <w:bookmarkEnd w:id="245"/>
      <w:bookmarkStart w:id="246" w:name="_Toc184312091"/>
      <w:bookmarkEnd w:id="246"/>
      <w:bookmarkStart w:id="247" w:name="_Toc184313252"/>
      <w:bookmarkEnd w:id="247"/>
      <w:bookmarkStart w:id="248" w:name="_Toc184308066"/>
      <w:bookmarkEnd w:id="248"/>
      <w:bookmarkStart w:id="249" w:name="_Toc184314467"/>
      <w:bookmarkEnd w:id="249"/>
      <w:bookmarkStart w:id="250" w:name="_Toc184308046"/>
      <w:bookmarkEnd w:id="250"/>
      <w:bookmarkStart w:id="251" w:name="_Toc184308108"/>
      <w:bookmarkEnd w:id="251"/>
      <w:bookmarkStart w:id="252" w:name="_Toc184308037"/>
      <w:bookmarkEnd w:id="252"/>
      <w:bookmarkStart w:id="253" w:name="_Toc184314456"/>
      <w:bookmarkEnd w:id="253"/>
      <w:bookmarkStart w:id="254" w:name="_Toc184310324"/>
      <w:bookmarkEnd w:id="254"/>
      <w:bookmarkStart w:id="255" w:name="_Toc184310333"/>
      <w:bookmarkEnd w:id="255"/>
      <w:bookmarkStart w:id="256" w:name="_Toc184310320"/>
      <w:bookmarkEnd w:id="256"/>
      <w:bookmarkStart w:id="257" w:name="_Toc184313263"/>
      <w:bookmarkEnd w:id="257"/>
      <w:bookmarkStart w:id="258" w:name="_Toc184312101"/>
      <w:bookmarkEnd w:id="258"/>
      <w:bookmarkStart w:id="259" w:name="_Toc184313305"/>
      <w:bookmarkEnd w:id="259"/>
      <w:bookmarkStart w:id="260" w:name="_Toc184314432"/>
      <w:bookmarkEnd w:id="260"/>
      <w:bookmarkStart w:id="261" w:name="_Toc184312076"/>
      <w:bookmarkEnd w:id="261"/>
      <w:bookmarkStart w:id="262" w:name="_Toc184312112"/>
      <w:bookmarkEnd w:id="262"/>
      <w:bookmarkStart w:id="263" w:name="_Toc184312102"/>
      <w:bookmarkEnd w:id="263"/>
      <w:bookmarkStart w:id="264" w:name="_Toc184308040"/>
      <w:bookmarkEnd w:id="264"/>
      <w:bookmarkStart w:id="265" w:name="_Toc184312131"/>
      <w:bookmarkEnd w:id="265"/>
      <w:bookmarkStart w:id="266" w:name="_Toc184313282"/>
      <w:bookmarkEnd w:id="266"/>
      <w:bookmarkStart w:id="267" w:name="_Toc184314446"/>
      <w:bookmarkEnd w:id="267"/>
      <w:bookmarkStart w:id="268" w:name="_Toc184308093"/>
      <w:bookmarkEnd w:id="268"/>
      <w:bookmarkStart w:id="269" w:name="_Toc184308080"/>
      <w:bookmarkEnd w:id="269"/>
      <w:bookmarkStart w:id="270" w:name="_Toc184314438"/>
      <w:bookmarkEnd w:id="270"/>
      <w:bookmarkStart w:id="271" w:name="_Toc184314420"/>
      <w:bookmarkEnd w:id="271"/>
      <w:bookmarkStart w:id="272" w:name="_Toc184308098"/>
      <w:bookmarkEnd w:id="272"/>
      <w:bookmarkStart w:id="273" w:name="_Toc184310301"/>
      <w:bookmarkEnd w:id="273"/>
      <w:bookmarkStart w:id="274" w:name="_Toc184308101"/>
      <w:bookmarkEnd w:id="274"/>
      <w:bookmarkStart w:id="275" w:name="_Toc184308096"/>
      <w:bookmarkEnd w:id="275"/>
      <w:bookmarkStart w:id="276" w:name="_Toc184312084"/>
      <w:bookmarkEnd w:id="276"/>
      <w:bookmarkStart w:id="277" w:name="_Toc184313254"/>
      <w:bookmarkEnd w:id="277"/>
      <w:bookmarkStart w:id="278" w:name="_Toc184310302"/>
      <w:bookmarkEnd w:id="278"/>
      <w:bookmarkStart w:id="279" w:name="_Toc184313266"/>
      <w:bookmarkEnd w:id="279"/>
      <w:bookmarkStart w:id="280" w:name="_Toc184312117"/>
      <w:bookmarkEnd w:id="280"/>
      <w:bookmarkStart w:id="281" w:name="_Toc184313297"/>
      <w:bookmarkEnd w:id="281"/>
      <w:bookmarkStart w:id="282" w:name="_Toc184308106"/>
      <w:bookmarkEnd w:id="282"/>
      <w:bookmarkStart w:id="283" w:name="_Toc184313298"/>
      <w:bookmarkEnd w:id="283"/>
      <w:bookmarkStart w:id="284" w:name="_Toc184308043"/>
      <w:bookmarkEnd w:id="284"/>
      <w:bookmarkStart w:id="285" w:name="_Toc184313260"/>
      <w:bookmarkEnd w:id="285"/>
      <w:bookmarkStart w:id="286" w:name="_Toc184308092"/>
      <w:bookmarkEnd w:id="286"/>
      <w:bookmarkStart w:id="287" w:name="_Toc184313303"/>
      <w:bookmarkEnd w:id="287"/>
      <w:bookmarkStart w:id="288" w:name="_Toc184314435"/>
      <w:bookmarkEnd w:id="288"/>
      <w:bookmarkStart w:id="289" w:name="_Toc184313280"/>
      <w:bookmarkEnd w:id="289"/>
      <w:bookmarkStart w:id="290" w:name="_Toc184313291"/>
      <w:bookmarkEnd w:id="290"/>
      <w:bookmarkStart w:id="291" w:name="_Toc184310303"/>
      <w:bookmarkEnd w:id="291"/>
      <w:bookmarkStart w:id="292" w:name="_Toc184308060"/>
      <w:bookmarkEnd w:id="292"/>
      <w:bookmarkStart w:id="293" w:name="_Toc184310279"/>
      <w:bookmarkEnd w:id="293"/>
      <w:bookmarkStart w:id="294" w:name="_Toc184310340"/>
      <w:bookmarkEnd w:id="294"/>
      <w:bookmarkStart w:id="295" w:name="_Toc184313275"/>
      <w:bookmarkEnd w:id="295"/>
      <w:bookmarkStart w:id="296" w:name="_Toc184312111"/>
      <w:bookmarkEnd w:id="296"/>
      <w:bookmarkStart w:id="297" w:name="_Toc184314426"/>
      <w:bookmarkEnd w:id="297"/>
      <w:bookmarkStart w:id="298" w:name="_Toc184310294"/>
      <w:bookmarkEnd w:id="298"/>
      <w:bookmarkStart w:id="299" w:name="_Toc184314459"/>
      <w:bookmarkEnd w:id="299"/>
      <w:bookmarkStart w:id="300" w:name="_Toc184314419"/>
      <w:bookmarkEnd w:id="300"/>
      <w:bookmarkStart w:id="301" w:name="_Toc184310330"/>
      <w:bookmarkEnd w:id="301"/>
      <w:bookmarkStart w:id="302" w:name="_Toc184313268"/>
      <w:bookmarkEnd w:id="302"/>
      <w:bookmarkStart w:id="303" w:name="_Toc184313310"/>
      <w:bookmarkEnd w:id="303"/>
      <w:bookmarkStart w:id="304" w:name="_Toc184312125"/>
      <w:bookmarkEnd w:id="304"/>
      <w:bookmarkStart w:id="305" w:name="_Toc184312093"/>
      <w:bookmarkEnd w:id="305"/>
      <w:bookmarkStart w:id="306" w:name="_Toc184308064"/>
      <w:bookmarkEnd w:id="306"/>
      <w:bookmarkStart w:id="307" w:name="_Toc184308038"/>
      <w:bookmarkEnd w:id="307"/>
      <w:bookmarkStart w:id="308" w:name="_Toc184313294"/>
      <w:bookmarkEnd w:id="308"/>
      <w:bookmarkStart w:id="309" w:name="_Toc184313277"/>
      <w:bookmarkEnd w:id="309"/>
      <w:bookmarkStart w:id="310" w:name="_Toc184310273"/>
      <w:bookmarkEnd w:id="310"/>
      <w:bookmarkStart w:id="311" w:name="_Toc184312123"/>
      <w:bookmarkEnd w:id="311"/>
      <w:bookmarkStart w:id="312" w:name="_Toc184312129"/>
      <w:bookmarkEnd w:id="312"/>
      <w:bookmarkStart w:id="313" w:name="_Toc184314437"/>
      <w:bookmarkEnd w:id="313"/>
      <w:bookmarkStart w:id="314" w:name="_Toc184308105"/>
      <w:bookmarkEnd w:id="314"/>
      <w:bookmarkStart w:id="315" w:name="_Toc184308085"/>
      <w:bookmarkEnd w:id="315"/>
      <w:bookmarkStart w:id="316" w:name="_Toc184308088"/>
      <w:bookmarkEnd w:id="316"/>
      <w:bookmarkStart w:id="317" w:name="_Toc184314434"/>
      <w:bookmarkEnd w:id="317"/>
      <w:bookmarkStart w:id="318" w:name="_Toc184310283"/>
      <w:bookmarkEnd w:id="318"/>
      <w:bookmarkStart w:id="319" w:name="_Toc184308067"/>
      <w:bookmarkEnd w:id="319"/>
      <w:bookmarkStart w:id="320" w:name="_Toc184310298"/>
      <w:bookmarkEnd w:id="320"/>
      <w:bookmarkStart w:id="321" w:name="_Toc184308079"/>
      <w:bookmarkEnd w:id="321"/>
      <w:bookmarkStart w:id="322" w:name="_Toc184308063"/>
      <w:bookmarkEnd w:id="322"/>
      <w:bookmarkStart w:id="323" w:name="_Toc184310289"/>
      <w:bookmarkEnd w:id="323"/>
      <w:bookmarkStart w:id="324" w:name="_Toc184313299"/>
      <w:bookmarkEnd w:id="324"/>
      <w:bookmarkStart w:id="325" w:name="_Toc184313288"/>
      <w:bookmarkEnd w:id="325"/>
      <w:bookmarkStart w:id="326" w:name="_Toc184313279"/>
      <w:bookmarkEnd w:id="326"/>
      <w:bookmarkStart w:id="327" w:name="_Toc184312135"/>
      <w:bookmarkEnd w:id="327"/>
      <w:bookmarkStart w:id="328" w:name="_Toc184310338"/>
      <w:bookmarkEnd w:id="328"/>
      <w:bookmarkStart w:id="329" w:name="_Toc184314472"/>
      <w:bookmarkEnd w:id="329"/>
      <w:bookmarkStart w:id="330" w:name="_Toc184308050"/>
      <w:bookmarkEnd w:id="330"/>
      <w:bookmarkStart w:id="331" w:name="_Toc184308041"/>
      <w:bookmarkEnd w:id="331"/>
      <w:bookmarkStart w:id="332" w:name="_Toc184314480"/>
      <w:bookmarkEnd w:id="332"/>
      <w:bookmarkStart w:id="333" w:name="_Toc184314482"/>
      <w:bookmarkEnd w:id="333"/>
      <w:bookmarkStart w:id="334" w:name="_Toc184314452"/>
      <w:bookmarkEnd w:id="334"/>
      <w:bookmarkStart w:id="335" w:name="_Toc184314414"/>
      <w:bookmarkEnd w:id="335"/>
      <w:bookmarkStart w:id="336" w:name="_Toc184310337"/>
      <w:bookmarkEnd w:id="336"/>
      <w:bookmarkStart w:id="337" w:name="_Toc184312114"/>
      <w:bookmarkEnd w:id="337"/>
      <w:bookmarkStart w:id="338" w:name="_Toc184308081"/>
      <w:bookmarkEnd w:id="338"/>
      <w:bookmarkStart w:id="339" w:name="_Toc184310277"/>
      <w:bookmarkEnd w:id="339"/>
      <w:bookmarkStart w:id="340" w:name="_Toc184313271"/>
      <w:bookmarkEnd w:id="340"/>
      <w:bookmarkStart w:id="341" w:name="_Toc184310308"/>
      <w:bookmarkEnd w:id="341"/>
      <w:bookmarkStart w:id="342" w:name="_Toc184313261"/>
      <w:bookmarkEnd w:id="342"/>
      <w:bookmarkStart w:id="343" w:name="_Toc184308077"/>
      <w:bookmarkEnd w:id="343"/>
      <w:bookmarkStart w:id="344" w:name="_Toc184313267"/>
      <w:bookmarkEnd w:id="344"/>
      <w:bookmarkStart w:id="345" w:name="_Toc184312094"/>
      <w:bookmarkEnd w:id="345"/>
      <w:bookmarkStart w:id="346" w:name="_Toc184308104"/>
      <w:bookmarkEnd w:id="346"/>
      <w:bookmarkStart w:id="347" w:name="_Toc184314428"/>
      <w:bookmarkEnd w:id="347"/>
      <w:bookmarkStart w:id="348" w:name="_Toc184308057"/>
      <w:bookmarkEnd w:id="348"/>
      <w:bookmarkStart w:id="349" w:name="_Toc184308089"/>
      <w:bookmarkEnd w:id="349"/>
      <w:bookmarkStart w:id="350" w:name="_Toc184312110"/>
      <w:bookmarkEnd w:id="350"/>
      <w:bookmarkStart w:id="351" w:name="_Toc184310280"/>
      <w:bookmarkEnd w:id="351"/>
      <w:bookmarkStart w:id="352" w:name="_Toc184308099"/>
      <w:bookmarkEnd w:id="352"/>
      <w:bookmarkStart w:id="353" w:name="_Toc184313250"/>
      <w:bookmarkEnd w:id="353"/>
      <w:bookmarkStart w:id="354" w:name="_Toc184314423"/>
      <w:bookmarkEnd w:id="354"/>
      <w:bookmarkStart w:id="355" w:name="_Toc184313255"/>
      <w:bookmarkEnd w:id="355"/>
      <w:bookmarkStart w:id="356" w:name="_Toc184314443"/>
      <w:bookmarkEnd w:id="356"/>
      <w:bookmarkStart w:id="357" w:name="_Toc184310291"/>
      <w:bookmarkEnd w:id="357"/>
      <w:bookmarkStart w:id="358" w:name="_Toc184310321"/>
      <w:bookmarkEnd w:id="358"/>
      <w:bookmarkStart w:id="359" w:name="_Toc184313238"/>
      <w:bookmarkEnd w:id="359"/>
      <w:bookmarkStart w:id="360" w:name="_Toc184313307"/>
      <w:bookmarkEnd w:id="360"/>
      <w:bookmarkStart w:id="361" w:name="_Toc184308044"/>
      <w:bookmarkEnd w:id="361"/>
      <w:bookmarkStart w:id="362" w:name="_Toc184313269"/>
      <w:bookmarkEnd w:id="362"/>
      <w:bookmarkStart w:id="363" w:name="_Toc184308100"/>
      <w:bookmarkEnd w:id="363"/>
      <w:bookmarkStart w:id="364" w:name="_Toc184312089"/>
      <w:bookmarkEnd w:id="364"/>
      <w:bookmarkStart w:id="365" w:name="_Toc184313284"/>
      <w:bookmarkEnd w:id="365"/>
      <w:bookmarkStart w:id="366" w:name="_Toc184310299"/>
      <w:bookmarkEnd w:id="366"/>
      <w:bookmarkStart w:id="367" w:name="_Toc184314463"/>
      <w:bookmarkEnd w:id="367"/>
      <w:bookmarkStart w:id="368" w:name="_Toc184314462"/>
      <w:bookmarkEnd w:id="368"/>
      <w:bookmarkStart w:id="369" w:name="_Toc184313257"/>
      <w:bookmarkEnd w:id="369"/>
      <w:bookmarkStart w:id="370" w:name="_Toc184308086"/>
      <w:bookmarkEnd w:id="370"/>
      <w:bookmarkStart w:id="371" w:name="_Toc184308053"/>
      <w:bookmarkEnd w:id="371"/>
      <w:bookmarkStart w:id="372" w:name="_Toc184312070"/>
      <w:bookmarkEnd w:id="372"/>
      <w:bookmarkStart w:id="373" w:name="_Toc184308036"/>
      <w:bookmarkEnd w:id="373"/>
      <w:bookmarkStart w:id="374" w:name="_Toc184308071"/>
      <w:bookmarkEnd w:id="374"/>
      <w:bookmarkStart w:id="375" w:name="_Toc184314457"/>
      <w:bookmarkEnd w:id="375"/>
      <w:bookmarkStart w:id="376" w:name="_Toc184313265"/>
      <w:bookmarkEnd w:id="376"/>
      <w:bookmarkStart w:id="377" w:name="_Toc184314449"/>
      <w:bookmarkEnd w:id="377"/>
      <w:bookmarkStart w:id="378" w:name="_Toc184312137"/>
      <w:bookmarkEnd w:id="378"/>
      <w:bookmarkStart w:id="379" w:name="_Toc184308058"/>
      <w:bookmarkEnd w:id="379"/>
      <w:bookmarkStart w:id="380" w:name="_Toc184314427"/>
      <w:bookmarkEnd w:id="380"/>
      <w:bookmarkStart w:id="381" w:name="_Toc184313264"/>
      <w:bookmarkEnd w:id="381"/>
      <w:bookmarkStart w:id="382" w:name="_Toc184308074"/>
      <w:bookmarkEnd w:id="382"/>
      <w:bookmarkStart w:id="383" w:name="_Toc184308062"/>
      <w:bookmarkEnd w:id="383"/>
      <w:bookmarkStart w:id="384" w:name="_Toc184313283"/>
      <w:bookmarkEnd w:id="384"/>
      <w:bookmarkStart w:id="385" w:name="_Toc184313290"/>
      <w:bookmarkEnd w:id="385"/>
      <w:bookmarkStart w:id="386" w:name="_Toc184308061"/>
      <w:bookmarkEnd w:id="386"/>
      <w:bookmarkStart w:id="387" w:name="_Toc184314431"/>
      <w:bookmarkEnd w:id="387"/>
      <w:bookmarkStart w:id="388" w:name="_Toc184314476"/>
      <w:bookmarkEnd w:id="388"/>
      <w:bookmarkStart w:id="389" w:name="_Toc184313246"/>
      <w:bookmarkEnd w:id="389"/>
      <w:bookmarkStart w:id="390" w:name="_Toc184312130"/>
      <w:bookmarkEnd w:id="390"/>
      <w:bookmarkStart w:id="391" w:name="_Toc184313276"/>
      <w:bookmarkEnd w:id="391"/>
      <w:r>
        <w:rPr>
          <w:rFonts w:hint="eastAsia" w:ascii="仿宋" w:hAnsi="仿宋" w:eastAsia="仿宋" w:cs="仿宋_GB2312"/>
          <w:b/>
          <w:sz w:val="36"/>
          <w:szCs w:val="36"/>
        </w:rPr>
        <w:t>评标办法</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第一条  </w:t>
      </w:r>
      <w:r>
        <w:rPr>
          <w:rFonts w:hint="eastAsia" w:ascii="仿宋" w:hAnsi="仿宋" w:eastAsia="仿宋" w:cs="仿宋"/>
          <w:color w:val="auto"/>
          <w:sz w:val="24"/>
          <w:szCs w:val="24"/>
          <w:highlight w:val="none"/>
        </w:rPr>
        <w:t>评标按下列程序进行：</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（一）依法组建评标委员会；</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（二）评标前准备；</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（三）资格审查；</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eastAsia="zh-CN"/>
        </w:rPr>
        <w:t>商务</w:t>
      </w:r>
      <w:r>
        <w:rPr>
          <w:rFonts w:hint="eastAsia" w:ascii="仿宋" w:hAnsi="仿宋" w:eastAsia="仿宋" w:cs="仿宋"/>
          <w:color w:val="auto"/>
          <w:sz w:val="24"/>
          <w:szCs w:val="24"/>
          <w:highlight w:val="none"/>
        </w:rPr>
        <w:t>技术评审；</w:t>
      </w:r>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（五）报价评审</w:t>
      </w:r>
      <w:r>
        <w:rPr>
          <w:rFonts w:hint="eastAsia" w:ascii="仿宋" w:hAnsi="仿宋" w:eastAsia="仿宋" w:cs="仿宋"/>
          <w:color w:val="auto"/>
          <w:sz w:val="24"/>
          <w:szCs w:val="24"/>
          <w:highlight w:val="none"/>
          <w:lang w:eastAsia="zh-CN"/>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（六）完成评标报告。</w:t>
      </w:r>
    </w:p>
    <w:p>
      <w:pPr>
        <w:tabs>
          <w:tab w:val="center" w:pos="4153"/>
          <w:tab w:val="right" w:pos="8306"/>
        </w:tabs>
        <w:snapToGrid w:val="0"/>
        <w:spacing w:line="400" w:lineRule="exact"/>
        <w:ind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第二条</w:t>
      </w:r>
      <w:r>
        <w:rPr>
          <w:rFonts w:hint="eastAsia" w:ascii="仿宋" w:hAnsi="仿宋" w:eastAsia="仿宋" w:cs="仿宋"/>
          <w:color w:val="auto"/>
          <w:sz w:val="24"/>
          <w:szCs w:val="24"/>
          <w:highlight w:val="none"/>
        </w:rPr>
        <w:t xml:space="preserve">  采购机构依法组建由</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人以上（含）奇数的人员组成的评标委员会，负责对投标文件进行审查、质询、评审和比较等。谈判小组由采购单位代表和政府采购专家组成，其中政府采购专家人数不少于成员总数的三分之二。</w:t>
      </w:r>
    </w:p>
    <w:p>
      <w:pPr>
        <w:tabs>
          <w:tab w:val="center" w:pos="4153"/>
          <w:tab w:val="right" w:pos="8306"/>
        </w:tabs>
        <w:snapToGrid w:val="0"/>
        <w:spacing w:line="400" w:lineRule="exact"/>
        <w:ind w:firstLine="557" w:firstLineChars="231"/>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第三条 </w:t>
      </w:r>
      <w:r>
        <w:rPr>
          <w:rFonts w:hint="eastAsia" w:ascii="仿宋" w:hAnsi="仿宋" w:eastAsia="仿宋" w:cs="仿宋"/>
          <w:color w:val="auto"/>
          <w:sz w:val="24"/>
          <w:szCs w:val="24"/>
          <w:highlight w:val="none"/>
        </w:rPr>
        <w:t xml:space="preserve"> 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82" w:firstLineChars="200"/>
        <w:rPr>
          <w:rFonts w:hint="eastAsia" w:ascii="仿宋" w:hAnsi="仿宋" w:eastAsia="仿宋" w:cs="仿宋"/>
          <w:bCs/>
          <w:color w:val="auto"/>
          <w:sz w:val="24"/>
          <w:szCs w:val="24"/>
          <w:highlight w:val="none"/>
        </w:rPr>
      </w:pPr>
      <w:r>
        <w:rPr>
          <w:rFonts w:hint="eastAsia" w:ascii="仿宋" w:hAnsi="仿宋" w:eastAsia="仿宋" w:cs="仿宋"/>
          <w:b/>
          <w:bCs w:val="0"/>
          <w:color w:val="auto"/>
          <w:sz w:val="24"/>
          <w:szCs w:val="24"/>
          <w:highlight w:val="none"/>
        </w:rPr>
        <w:t xml:space="preserve">第四条 </w:t>
      </w:r>
      <w:r>
        <w:rPr>
          <w:rFonts w:hint="eastAsia" w:ascii="仿宋" w:hAnsi="仿宋" w:eastAsia="仿宋" w:cs="仿宋"/>
          <w:bCs/>
          <w:color w:val="auto"/>
          <w:sz w:val="24"/>
          <w:szCs w:val="24"/>
          <w:highlight w:val="none"/>
        </w:rPr>
        <w:t xml:space="preserve"> 本项目先开</w:t>
      </w:r>
      <w:r>
        <w:rPr>
          <w:rFonts w:hint="eastAsia" w:ascii="仿宋" w:hAnsi="仿宋" w:eastAsia="仿宋" w:cs="仿宋"/>
          <w:bCs/>
          <w:color w:val="auto"/>
          <w:sz w:val="24"/>
          <w:szCs w:val="24"/>
          <w:highlight w:val="none"/>
          <w:lang w:eastAsia="zh-CN"/>
        </w:rPr>
        <w:t>资格文件</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商务</w:t>
      </w:r>
      <w:r>
        <w:rPr>
          <w:rFonts w:hint="eastAsia" w:ascii="仿宋" w:hAnsi="仿宋" w:eastAsia="仿宋" w:cs="仿宋"/>
          <w:bCs/>
          <w:color w:val="auto"/>
          <w:sz w:val="24"/>
          <w:szCs w:val="24"/>
          <w:highlight w:val="none"/>
        </w:rPr>
        <w:t>技术文件，再开报价文件。其中</w:t>
      </w:r>
      <w:r>
        <w:rPr>
          <w:rFonts w:hint="eastAsia" w:ascii="仿宋" w:hAnsi="仿宋" w:eastAsia="仿宋" w:cs="仿宋"/>
          <w:bCs/>
          <w:color w:val="auto"/>
          <w:sz w:val="24"/>
          <w:szCs w:val="24"/>
          <w:highlight w:val="none"/>
          <w:lang w:eastAsia="zh-CN"/>
        </w:rPr>
        <w:t>商务</w:t>
      </w:r>
      <w:r>
        <w:rPr>
          <w:rFonts w:hint="eastAsia" w:ascii="仿宋" w:hAnsi="仿宋" w:eastAsia="仿宋" w:cs="仿宋"/>
          <w:bCs/>
          <w:color w:val="auto"/>
          <w:sz w:val="24"/>
          <w:szCs w:val="24"/>
          <w:highlight w:val="none"/>
        </w:rPr>
        <w:t>技术分占</w:t>
      </w:r>
      <w:r>
        <w:rPr>
          <w:rFonts w:hint="eastAsia" w:ascii="仿宋" w:hAnsi="仿宋" w:eastAsia="仿宋" w:cs="仿宋"/>
          <w:bCs/>
          <w:color w:val="auto"/>
          <w:sz w:val="24"/>
          <w:szCs w:val="24"/>
          <w:highlight w:val="none"/>
          <w:lang w:val="en-US" w:eastAsia="zh-CN"/>
        </w:rPr>
        <w:t>70</w:t>
      </w:r>
      <w:r>
        <w:rPr>
          <w:rFonts w:hint="eastAsia" w:ascii="仿宋" w:hAnsi="仿宋" w:eastAsia="仿宋" w:cs="仿宋"/>
          <w:bCs/>
          <w:color w:val="auto"/>
          <w:sz w:val="24"/>
          <w:szCs w:val="24"/>
          <w:highlight w:val="none"/>
        </w:rPr>
        <w:t>%，报价分占</w:t>
      </w:r>
      <w:r>
        <w:rPr>
          <w:rFonts w:hint="eastAsia" w:ascii="仿宋" w:hAnsi="仿宋" w:eastAsia="仿宋" w:cs="仿宋"/>
          <w:bCs/>
          <w:color w:val="auto"/>
          <w:sz w:val="24"/>
          <w:szCs w:val="24"/>
          <w:highlight w:val="none"/>
          <w:lang w:val="en-US" w:eastAsia="zh-CN"/>
        </w:rPr>
        <w:t>30</w:t>
      </w:r>
      <w:r>
        <w:rPr>
          <w:rFonts w:hint="eastAsia" w:ascii="仿宋" w:hAnsi="仿宋" w:eastAsia="仿宋" w:cs="仿宋"/>
          <w:bCs/>
          <w:color w:val="auto"/>
          <w:sz w:val="24"/>
          <w:szCs w:val="24"/>
          <w:highlight w:val="none"/>
        </w:rPr>
        <w:t>%。</w:t>
      </w:r>
    </w:p>
    <w:p>
      <w:pPr>
        <w:spacing w:line="400" w:lineRule="exact"/>
        <w:ind w:firstLine="463" w:firstLineChars="192"/>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bCs w:val="0"/>
          <w:color w:val="auto"/>
          <w:sz w:val="24"/>
          <w:szCs w:val="24"/>
          <w:highlight w:val="none"/>
        </w:rPr>
        <w:t>第五条</w:t>
      </w:r>
      <w:r>
        <w:rPr>
          <w:rFonts w:hint="eastAsia" w:ascii="仿宋" w:hAnsi="仿宋" w:eastAsia="仿宋" w:cs="仿宋"/>
          <w:bCs/>
          <w:color w:val="auto"/>
          <w:sz w:val="24"/>
          <w:szCs w:val="24"/>
          <w:highlight w:val="none"/>
        </w:rPr>
        <w:t xml:space="preserve">  本项目采用综合评分法。即在全部满足采购文件实质性要求的前提下，评标委员会对通过评审的所有投标人以总分由高到低推荐一名中标候选人，并进行采购结果公示。</w:t>
      </w:r>
    </w:p>
    <w:p>
      <w:pPr>
        <w:keepNext w:val="0"/>
        <w:keepLines w:val="0"/>
        <w:pageBreakBefore w:val="0"/>
        <w:widowControl w:val="0"/>
        <w:numPr>
          <w:ilvl w:val="0"/>
          <w:numId w:val="0"/>
        </w:numPr>
        <w:kinsoku/>
        <w:wordWrap/>
        <w:overflowPunct/>
        <w:topLinePunct w:val="0"/>
        <w:autoSpaceDE/>
        <w:autoSpaceDN/>
        <w:bidi w:val="0"/>
        <w:adjustRightIn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第六条</w:t>
      </w: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b/>
          <w:color w:val="auto"/>
          <w:sz w:val="24"/>
          <w:szCs w:val="24"/>
          <w:highlight w:val="none"/>
        </w:rPr>
        <w:t>评标步骤</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在资格审查时，如发现下列情形之一的，</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响应文件将被视为无效投标：</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bCs/>
          <w:color w:val="auto"/>
          <w:sz w:val="24"/>
          <w:szCs w:val="24"/>
          <w:highlight w:val="none"/>
        </w:rPr>
        <w:t>投标人因自身原因解密失败的；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2）投标人未能提供合格的资格文件；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snapToGrid w:val="0"/>
          <w:color w:val="auto"/>
          <w:sz w:val="24"/>
          <w:szCs w:val="24"/>
          <w:highlight w:val="none"/>
        </w:rPr>
        <w:t>3）</w:t>
      </w:r>
      <w:r>
        <w:rPr>
          <w:rFonts w:hint="eastAsia" w:ascii="仿宋" w:hAnsi="仿宋" w:eastAsia="仿宋" w:cs="仿宋"/>
          <w:color w:val="auto"/>
          <w:sz w:val="24"/>
          <w:szCs w:val="24"/>
          <w:highlight w:val="none"/>
        </w:rPr>
        <w:t>投标人应盖公章而未盖公章、未有效授权、法定代表人授权书填写不完整或有涂改的；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4）投标文件内容虚假的；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5）投标文件的实质性内容未使用中文表述、意思表述不明确、前后矛盾或者使用计量单位不符合采购文件要求的（经评标委员会认定允许其当场更正的笔误除外）；</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6）投标文件的关键内容字迹模糊、无法辨认的,或者投标文件中经修正的内容字迹模糊难以辩认或者修改处未按规定签名盖章的；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7）投标有效期、交货期、质保期等不能满足采购文件实质性要求的；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8）投标人拒绝按采购文件修正原则对投标文件进行修正的；</w:t>
      </w:r>
    </w:p>
    <w:p>
      <w:pPr>
        <w:pStyle w:val="24"/>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9）不符合法律、法规和本采购文件规定的其他实质性要求的。</w:t>
      </w:r>
    </w:p>
    <w:p>
      <w:pPr>
        <w:keepNext w:val="0"/>
        <w:keepLines w:val="0"/>
        <w:pageBreakBefore w:val="0"/>
        <w:widowControl w:val="0"/>
        <w:kinsoku/>
        <w:wordWrap/>
        <w:overflowPunct/>
        <w:topLinePunct w:val="0"/>
        <w:autoSpaceDE/>
        <w:autoSpaceDN/>
        <w:bidi w:val="0"/>
        <w:adjustRightInd/>
        <w:snapToGrid w:val="0"/>
        <w:spacing w:line="400" w:lineRule="exact"/>
        <w:ind w:left="720" w:leftChars="228" w:hanging="241" w:hangingChars="1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在技术评议时，如发现下列情形之一的，投标文件将被视为无效：</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1）明显不符合采购文件中规定的采购需求的响应方案；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2）与采购文件有重大偏离的谈判响应文件；</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3）不响应或者擅自改变采购文件实质性要求或者投标文件有采购人不能接受的附加条件的；</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4）投标人技术方案不明确，存在一个或一个以上备选（替代）方案的；</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5）资格文件、商务技术文件中出现投标报价信息的。</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ascii="仿宋" w:hAnsi="仿宋" w:eastAsia="仿宋" w:cs="仿宋"/>
          <w:b/>
          <w:bCs/>
          <w:iCs/>
          <w:color w:val="auto"/>
          <w:sz w:val="24"/>
          <w:szCs w:val="24"/>
          <w:highlight w:val="none"/>
        </w:rPr>
      </w:pPr>
      <w:r>
        <w:rPr>
          <w:rFonts w:hint="eastAsia" w:ascii="仿宋" w:hAnsi="仿宋" w:eastAsia="仿宋" w:cs="仿宋"/>
          <w:b/>
          <w:color w:val="auto"/>
          <w:sz w:val="24"/>
          <w:szCs w:val="24"/>
          <w:highlight w:val="none"/>
        </w:rPr>
        <w:t>▲商务技术评分表</w:t>
      </w:r>
    </w:p>
    <w:tbl>
      <w:tblPr>
        <w:tblStyle w:val="62"/>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537"/>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66" w:type="dxa"/>
            <w:noWrap/>
            <w:vAlign w:val="center"/>
          </w:tcPr>
          <w:p>
            <w:pPr>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考评项目</w:t>
            </w:r>
          </w:p>
        </w:tc>
        <w:tc>
          <w:tcPr>
            <w:tcW w:w="7537" w:type="dxa"/>
            <w:noWrap/>
            <w:vAlign w:val="center"/>
          </w:tcPr>
          <w:p>
            <w:pPr>
              <w:spacing w:line="360" w:lineRule="exact"/>
              <w:ind w:firstLine="422" w:firstLineChars="20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评分标准（细则）</w:t>
            </w:r>
          </w:p>
        </w:tc>
        <w:tc>
          <w:tcPr>
            <w:tcW w:w="1143" w:type="dxa"/>
            <w:noWrap/>
            <w:vAlign w:val="center"/>
          </w:tcPr>
          <w:p>
            <w:pPr>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6" w:type="dxa"/>
            <w:vMerge w:val="restart"/>
            <w:noWrap/>
            <w:vAlign w:val="center"/>
          </w:tcPr>
          <w:p>
            <w:pPr>
              <w:spacing w:line="360" w:lineRule="exact"/>
              <w:jc w:val="center"/>
              <w:rPr>
                <w:rFonts w:hint="eastAsia" w:ascii="宋体" w:hAnsi="宋体" w:eastAsia="宋体" w:cs="宋体"/>
                <w:bCs/>
                <w:color w:val="auto"/>
                <w:szCs w:val="21"/>
                <w:highlight w:val="none"/>
              </w:rPr>
            </w:pPr>
            <w:r>
              <w:rPr>
                <w:rFonts w:hint="eastAsia" w:ascii="宋体" w:hAnsi="宋体" w:cs="宋体"/>
                <w:bCs/>
                <w:color w:val="auto"/>
                <w:szCs w:val="21"/>
                <w:highlight w:val="none"/>
                <w:lang w:eastAsia="zh-CN"/>
              </w:rPr>
              <w:t>商务部分</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15</w:t>
            </w:r>
            <w:r>
              <w:rPr>
                <w:rFonts w:hint="eastAsia" w:ascii="宋体" w:hAnsi="宋体" w:eastAsia="宋体" w:cs="宋体"/>
                <w:bCs/>
                <w:color w:val="auto"/>
                <w:szCs w:val="21"/>
                <w:highlight w:val="none"/>
              </w:rPr>
              <w:t>分）</w:t>
            </w:r>
          </w:p>
        </w:tc>
        <w:tc>
          <w:tcPr>
            <w:tcW w:w="7537" w:type="dxa"/>
            <w:noWrap/>
            <w:vAlign w:val="top"/>
          </w:tcPr>
          <w:p>
            <w:pPr>
              <w:spacing w:line="30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w:t>
            </w:r>
            <w:r>
              <w:rPr>
                <w:rFonts w:hint="eastAsia" w:ascii="宋体" w:hAnsi="宋体" w:cs="宋体"/>
                <w:color w:val="auto"/>
                <w:szCs w:val="21"/>
                <w:highlight w:val="none"/>
                <w:lang w:eastAsia="zh-CN"/>
              </w:rPr>
              <w:t>单位</w:t>
            </w:r>
            <w:r>
              <w:rPr>
                <w:rFonts w:hint="eastAsia" w:ascii="宋体" w:hAnsi="宋体" w:eastAsia="宋体" w:cs="宋体"/>
                <w:color w:val="auto"/>
                <w:szCs w:val="21"/>
                <w:highlight w:val="none"/>
              </w:rPr>
              <w:t>具有有效的质量管理体系认证、IT服务管理体系认证、信息安全体系认证，每项体系得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分，最高得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分。（须提供有效的认证证书复印件并加盖公章）。</w:t>
            </w:r>
          </w:p>
        </w:tc>
        <w:tc>
          <w:tcPr>
            <w:tcW w:w="1143" w:type="dxa"/>
            <w:noWrap/>
            <w:vAlign w:val="center"/>
          </w:tcPr>
          <w:p>
            <w:pPr>
              <w:spacing w:before="156"/>
              <w:jc w:val="center"/>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投标单位具有浙江省软件协会出具的软件企业证书的得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（须提供证书复印件并加盖公章）</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w:t>
            </w:r>
            <w:r>
              <w:rPr>
                <w:rFonts w:hint="eastAsia" w:ascii="宋体" w:hAnsi="宋体" w:cs="宋体"/>
                <w:color w:val="auto"/>
                <w:szCs w:val="21"/>
                <w:highlight w:val="none"/>
                <w:lang w:eastAsia="zh-CN"/>
              </w:rPr>
              <w:t>单位</w:t>
            </w:r>
            <w:r>
              <w:rPr>
                <w:rFonts w:hint="eastAsia" w:ascii="宋体" w:hAnsi="宋体" w:eastAsia="宋体" w:cs="宋体"/>
                <w:color w:val="auto"/>
                <w:szCs w:val="21"/>
                <w:highlight w:val="none"/>
              </w:rPr>
              <w:t>具有本项目系统相关计算机软件著作权登记书</w:t>
            </w:r>
            <w:r>
              <w:rPr>
                <w:rFonts w:hint="eastAsia" w:ascii="宋体" w:hAnsi="宋体" w:cs="宋体"/>
                <w:color w:val="auto"/>
                <w:szCs w:val="21"/>
                <w:highlight w:val="none"/>
                <w:lang w:eastAsia="zh-CN"/>
              </w:rPr>
              <w:t>的</w:t>
            </w:r>
            <w:r>
              <w:rPr>
                <w:rFonts w:hint="eastAsia" w:ascii="宋体" w:hAnsi="宋体" w:eastAsia="宋体" w:cs="宋体"/>
                <w:color w:val="auto"/>
                <w:szCs w:val="21"/>
                <w:highlight w:val="none"/>
              </w:rPr>
              <w:t>得1分，最</w:t>
            </w:r>
            <w:r>
              <w:rPr>
                <w:rFonts w:hint="eastAsia" w:ascii="宋体" w:hAnsi="宋体" w:cs="宋体"/>
                <w:color w:val="auto"/>
                <w:szCs w:val="21"/>
                <w:highlight w:val="none"/>
                <w:lang w:eastAsia="zh-CN"/>
              </w:rPr>
              <w:t>高</w:t>
            </w:r>
            <w:r>
              <w:rPr>
                <w:rFonts w:hint="eastAsia" w:ascii="宋体" w:hAnsi="宋体" w:eastAsia="宋体" w:cs="宋体"/>
                <w:color w:val="auto"/>
                <w:szCs w:val="21"/>
                <w:highlight w:val="none"/>
              </w:rPr>
              <w:t>得3分。（须提供</w:t>
            </w:r>
            <w:r>
              <w:rPr>
                <w:rFonts w:hint="eastAsia" w:ascii="宋体" w:hAnsi="宋体" w:cs="宋体"/>
                <w:color w:val="auto"/>
                <w:szCs w:val="21"/>
                <w:highlight w:val="none"/>
                <w:lang w:eastAsia="zh-CN"/>
              </w:rPr>
              <w:t>证书</w:t>
            </w:r>
            <w:r>
              <w:rPr>
                <w:rFonts w:hint="eastAsia" w:ascii="宋体" w:hAnsi="宋体" w:eastAsia="宋体" w:cs="宋体"/>
                <w:color w:val="auto"/>
                <w:szCs w:val="21"/>
                <w:highlight w:val="none"/>
              </w:rPr>
              <w:t>复印件并加盖公章）</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default"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投标单位</w:t>
            </w:r>
            <w:r>
              <w:rPr>
                <w:rFonts w:hint="eastAsia" w:ascii="宋体" w:hAnsi="宋体" w:cs="宋体"/>
                <w:color w:val="auto"/>
                <w:szCs w:val="21"/>
                <w:highlight w:val="none"/>
                <w:lang w:val="en-US" w:eastAsia="zh-CN"/>
              </w:rPr>
              <w:t>在</w:t>
            </w:r>
            <w:r>
              <w:rPr>
                <w:rFonts w:hint="default" w:ascii="宋体" w:hAnsi="宋体" w:eastAsia="宋体" w:cs="宋体"/>
                <w:color w:val="auto"/>
                <w:szCs w:val="21"/>
                <w:highlight w:val="none"/>
                <w:lang w:val="en-US" w:eastAsia="zh-CN"/>
              </w:rPr>
              <w:t>投标截止时间前5年内（以合同签订日期为准）做过类似项目</w:t>
            </w:r>
            <w:r>
              <w:rPr>
                <w:rFonts w:hint="eastAsia" w:ascii="宋体" w:hAnsi="宋体" w:cs="宋体"/>
                <w:color w:val="auto"/>
                <w:szCs w:val="21"/>
                <w:highlight w:val="none"/>
                <w:lang w:val="en-US" w:eastAsia="zh-CN"/>
              </w:rPr>
              <w:t>的，每个得1分，最高得3分</w:t>
            </w:r>
            <w:r>
              <w:rPr>
                <w:rFonts w:hint="default" w:ascii="宋体" w:hAnsi="宋体" w:eastAsia="宋体" w:cs="宋体"/>
                <w:color w:val="auto"/>
                <w:szCs w:val="21"/>
                <w:highlight w:val="none"/>
                <w:lang w:val="en-US" w:eastAsia="zh-CN"/>
              </w:rPr>
              <w:t>（须提供合同复印件</w:t>
            </w:r>
            <w:r>
              <w:rPr>
                <w:rFonts w:hint="eastAsia" w:ascii="宋体" w:hAnsi="宋体" w:eastAsia="宋体" w:cs="宋体"/>
                <w:color w:val="auto"/>
                <w:szCs w:val="21"/>
                <w:highlight w:val="none"/>
              </w:rPr>
              <w:t>并加盖公章</w:t>
            </w:r>
            <w:r>
              <w:rPr>
                <w:rFonts w:hint="default" w:ascii="宋体" w:hAnsi="宋体" w:eastAsia="宋体" w:cs="宋体"/>
                <w:color w:val="auto"/>
                <w:szCs w:val="21"/>
                <w:highlight w:val="none"/>
                <w:lang w:val="en-US" w:eastAsia="zh-CN"/>
              </w:rPr>
              <w:t>）</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color w:val="auto"/>
                <w:szCs w:val="21"/>
                <w:highlight w:val="none"/>
              </w:rPr>
            </w:pPr>
            <w:r>
              <w:rPr>
                <w:rFonts w:hint="default" w:ascii="宋体" w:hAnsi="宋体" w:eastAsia="宋体" w:cs="宋体"/>
                <w:color w:val="auto"/>
                <w:szCs w:val="21"/>
                <w:highlight w:val="none"/>
                <w:lang w:val="en-US" w:eastAsia="zh-CN"/>
              </w:rPr>
              <w:t>投标单位</w:t>
            </w:r>
            <w:r>
              <w:rPr>
                <w:rFonts w:hint="eastAsia" w:ascii="宋体" w:hAnsi="宋体" w:eastAsia="宋体" w:cs="宋体"/>
                <w:color w:val="auto"/>
                <w:szCs w:val="21"/>
                <w:highlight w:val="none"/>
              </w:rPr>
              <w:t>在全国各地建设有水稻种植基地或合作建设的水稻种植基地，拥有1个基地得2分，最</w:t>
            </w:r>
            <w:r>
              <w:rPr>
                <w:rFonts w:hint="eastAsia" w:ascii="宋体" w:hAnsi="宋体" w:cs="宋体"/>
                <w:color w:val="auto"/>
                <w:szCs w:val="21"/>
                <w:highlight w:val="none"/>
                <w:lang w:eastAsia="zh-CN"/>
              </w:rPr>
              <w:t>高</w:t>
            </w:r>
            <w:r>
              <w:rPr>
                <w:rFonts w:hint="eastAsia" w:ascii="宋体" w:hAnsi="宋体" w:eastAsia="宋体" w:cs="宋体"/>
                <w:color w:val="auto"/>
                <w:szCs w:val="21"/>
                <w:highlight w:val="none"/>
              </w:rPr>
              <w:t>得4分。（需提供土地流转协议复印件，合作建设的需提供土地流转协议复印件与合作方证明文件）</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66" w:type="dxa"/>
            <w:vMerge w:val="restart"/>
            <w:noWrap/>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技术部分</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55</w:t>
            </w:r>
            <w:r>
              <w:rPr>
                <w:rFonts w:hint="eastAsia" w:ascii="宋体" w:hAnsi="宋体" w:eastAsia="宋体" w:cs="宋体"/>
                <w:color w:val="auto"/>
                <w:szCs w:val="21"/>
                <w:highlight w:val="none"/>
              </w:rPr>
              <w:t>分）</w:t>
            </w:r>
          </w:p>
        </w:tc>
        <w:tc>
          <w:tcPr>
            <w:tcW w:w="7537" w:type="dxa"/>
            <w:noWrap/>
            <w:vAlign w:val="center"/>
          </w:tcPr>
          <w:p>
            <w:pPr>
              <w:spacing w:line="300" w:lineRule="exact"/>
              <w:rPr>
                <w:rFonts w:hint="default" w:ascii="Times New Roman" w:hAnsi="Times New Roman" w:eastAsia="宋体" w:cs="Times New Roman"/>
                <w:color w:val="auto"/>
                <w:szCs w:val="24"/>
                <w:highlight w:val="none"/>
              </w:rPr>
            </w:pPr>
            <w:r>
              <w:rPr>
                <w:rFonts w:hint="default" w:ascii="Times New Roman" w:hAnsi="Times New Roman" w:cs="Times New Roman"/>
                <w:color w:val="auto"/>
                <w:szCs w:val="24"/>
                <w:highlight w:val="none"/>
                <w:lang w:val="en-US" w:eastAsia="zh-CN"/>
              </w:rPr>
              <w:t>项目团队配置，根据项目团队配置合理性酌情打分</w:t>
            </w:r>
            <w:r>
              <w:rPr>
                <w:rFonts w:hint="eastAsia"/>
                <w:highlight w:val="none"/>
                <w:lang w:val="en-US" w:eastAsia="zh-CN"/>
              </w:rPr>
              <w:t>0-6分</w:t>
            </w:r>
            <w:r>
              <w:rPr>
                <w:rFonts w:hint="default" w:ascii="Times New Roman" w:hAnsi="Times New Roman" w:cs="Times New Roman"/>
                <w:color w:val="auto"/>
                <w:szCs w:val="24"/>
                <w:highlight w:val="none"/>
                <w:lang w:val="en-US" w:eastAsia="zh-CN"/>
              </w:rPr>
              <w:t>，团队内拥有浙江省内市级以上人才计划专家加1分，拥有农业相关技术专家加1分，最高得</w:t>
            </w:r>
            <w:r>
              <w:rPr>
                <w:rFonts w:hint="eastAsia"/>
                <w:highlight w:val="none"/>
                <w:lang w:val="en-US" w:eastAsia="zh-CN"/>
              </w:rPr>
              <w:t>8</w:t>
            </w:r>
            <w:r>
              <w:rPr>
                <w:rFonts w:hint="default" w:ascii="Times New Roman" w:hAnsi="Times New Roman" w:cs="Times New Roman"/>
                <w:color w:val="auto"/>
                <w:szCs w:val="24"/>
                <w:highlight w:val="none"/>
                <w:lang w:val="en-US" w:eastAsia="zh-CN"/>
              </w:rPr>
              <w:t>分</w:t>
            </w:r>
            <w:r>
              <w:rPr>
                <w:rFonts w:hint="default" w:ascii="Times New Roman" w:hAnsi="Times New Roman" w:eastAsia="宋体" w:cs="Times New Roman"/>
                <w:szCs w:val="24"/>
                <w:highlight w:val="none"/>
              </w:rPr>
              <w:t>（须提供</w:t>
            </w:r>
            <w:r>
              <w:rPr>
                <w:rFonts w:hint="eastAsia" w:ascii="Times New Roman" w:eastAsia="宋体" w:cs="Times New Roman"/>
                <w:szCs w:val="24"/>
                <w:highlight w:val="none"/>
                <w:lang w:eastAsia="zh-CN"/>
              </w:rPr>
              <w:t>相关</w:t>
            </w:r>
            <w:r>
              <w:rPr>
                <w:rFonts w:hint="default" w:ascii="Times New Roman" w:hAnsi="Times New Roman" w:eastAsia="宋体" w:cs="Times New Roman"/>
                <w:szCs w:val="24"/>
                <w:highlight w:val="none"/>
              </w:rPr>
              <w:t>证书复印件并加盖公章）</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6" w:type="dxa"/>
            <w:vMerge w:val="continue"/>
            <w:noWrap/>
            <w:vAlign w:val="center"/>
          </w:tcPr>
          <w:p>
            <w:pPr>
              <w:spacing w:line="360" w:lineRule="exact"/>
              <w:jc w:val="center"/>
              <w:rPr>
                <w:rFonts w:hint="eastAsia" w:ascii="宋体" w:hAnsi="宋体" w:cs="宋体"/>
                <w:color w:val="auto"/>
                <w:szCs w:val="21"/>
                <w:highlight w:val="none"/>
                <w:lang w:eastAsia="zh-CN"/>
              </w:rPr>
            </w:pPr>
          </w:p>
        </w:tc>
        <w:tc>
          <w:tcPr>
            <w:tcW w:w="7537" w:type="dxa"/>
            <w:noWrap/>
            <w:vAlign w:val="center"/>
          </w:tcPr>
          <w:p>
            <w:pPr>
              <w:spacing w:line="300" w:lineRule="exact"/>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对</w:t>
            </w:r>
            <w:r>
              <w:rPr>
                <w:rFonts w:hint="eastAsia" w:ascii="宋体" w:hAnsi="宋体" w:cs="宋体"/>
                <w:color w:val="auto"/>
                <w:szCs w:val="21"/>
                <w:highlight w:val="none"/>
                <w:lang w:eastAsia="zh-CN"/>
              </w:rPr>
              <w:t>项目</w:t>
            </w:r>
            <w:r>
              <w:rPr>
                <w:rFonts w:hint="eastAsia" w:ascii="宋体" w:hAnsi="宋体" w:cs="宋体"/>
                <w:color w:val="auto"/>
                <w:szCs w:val="21"/>
                <w:highlight w:val="none"/>
                <w:lang w:val="en-US" w:eastAsia="zh-CN"/>
              </w:rPr>
              <w:t>具有充分</w:t>
            </w:r>
            <w:r>
              <w:rPr>
                <w:rFonts w:hint="eastAsia" w:ascii="宋体" w:hAnsi="宋体" w:cs="宋体"/>
                <w:color w:val="auto"/>
                <w:szCs w:val="21"/>
                <w:highlight w:val="none"/>
                <w:lang w:eastAsia="zh-CN"/>
              </w:rPr>
              <w:t>的理解，</w:t>
            </w:r>
            <w:r>
              <w:rPr>
                <w:rFonts w:hint="eastAsia" w:ascii="宋体" w:hAnsi="宋体" w:cs="宋体"/>
                <w:color w:val="auto"/>
                <w:szCs w:val="21"/>
                <w:highlight w:val="none"/>
                <w:lang w:val="en-US" w:eastAsia="zh-CN"/>
              </w:rPr>
              <w:t>科学分析项目建设的重点难点，定制详细的软硬件配置方案和</w:t>
            </w:r>
            <w:r>
              <w:rPr>
                <w:rFonts w:hint="eastAsia" w:ascii="宋体" w:hAnsi="宋体" w:cs="宋体"/>
                <w:color w:val="auto"/>
                <w:szCs w:val="21"/>
                <w:highlight w:val="none"/>
                <w:lang w:eastAsia="zh-CN"/>
              </w:rPr>
              <w:t>实施方案，</w:t>
            </w:r>
            <w:r>
              <w:rPr>
                <w:rFonts w:hint="eastAsia" w:ascii="宋体" w:hAnsi="宋体" w:cs="宋体"/>
                <w:color w:val="auto"/>
                <w:szCs w:val="21"/>
                <w:highlight w:val="none"/>
                <w:lang w:val="en-US" w:eastAsia="zh-CN"/>
              </w:rPr>
              <w:t>根据方案是否具有可靠性、科学性，是否符合项目规划，匹配项目需求，</w:t>
            </w:r>
            <w:r>
              <w:rPr>
                <w:rFonts w:hint="eastAsia" w:ascii="宋体" w:hAnsi="宋体" w:cs="宋体"/>
                <w:color w:val="auto"/>
                <w:szCs w:val="21"/>
                <w:highlight w:val="none"/>
                <w:lang w:eastAsia="zh-CN"/>
              </w:rPr>
              <w:t>进行酌情打分</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根据投标单位对本项目的施工进度计划及安全措施保障</w:t>
            </w:r>
            <w:r>
              <w:rPr>
                <w:rFonts w:hint="eastAsia" w:ascii="宋体" w:hAnsi="宋体" w:cs="宋体"/>
                <w:color w:val="auto"/>
                <w:szCs w:val="21"/>
                <w:highlight w:val="none"/>
                <w:lang w:eastAsia="zh-CN"/>
              </w:rPr>
              <w:t>进行酌情打分。</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技术偏离，技术文件全部符合招标文件要求的得5分，技术文件部分符合招标文件要求的得3分，技术文件与招标文件要较大偏离的不得分</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根据项目实际情况提供的质量保证承诺说明</w:t>
            </w:r>
            <w:r>
              <w:rPr>
                <w:rFonts w:hint="eastAsia" w:ascii="宋体" w:hAnsi="宋体" w:cs="宋体"/>
                <w:color w:val="auto"/>
                <w:szCs w:val="21"/>
                <w:highlight w:val="none"/>
                <w:lang w:eastAsia="zh-CN"/>
              </w:rPr>
              <w:t>进行酌情打分</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售后服务承诺（包括保修年限、范围、保修条件）及其他优惠（包括解决问题、排除故障的速度及其他）的情况进行酌情打分。</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根据对培训方案及进度安排的合理、齐全程度酌情打分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0-6</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b/>
          <w:bCs/>
          <w:iCs/>
          <w:color w:val="auto"/>
          <w:sz w:val="24"/>
          <w:szCs w:val="24"/>
          <w:highlight w:val="none"/>
        </w:rPr>
        <w:t>注：</w:t>
      </w:r>
      <w:r>
        <w:rPr>
          <w:rFonts w:hint="eastAsia" w:ascii="仿宋" w:hAnsi="仿宋" w:eastAsia="仿宋" w:cs="仿宋"/>
          <w:b/>
          <w:bCs/>
          <w:iCs/>
          <w:color w:val="auto"/>
          <w:sz w:val="24"/>
          <w:szCs w:val="24"/>
          <w:highlight w:val="none"/>
          <w:lang w:val="en-US" w:eastAsia="zh-CN"/>
        </w:rPr>
        <w:t>①</w:t>
      </w:r>
      <w:r>
        <w:rPr>
          <w:rFonts w:hint="eastAsia" w:ascii="仿宋" w:hAnsi="仿宋" w:eastAsia="仿宋" w:cs="仿宋"/>
          <w:b/>
          <w:bCs/>
          <w:iCs/>
          <w:color w:val="auto"/>
          <w:sz w:val="24"/>
          <w:szCs w:val="24"/>
          <w:highlight w:val="none"/>
        </w:rPr>
        <w:t>评分所有</w:t>
      </w:r>
      <w:r>
        <w:rPr>
          <w:rFonts w:hint="eastAsia" w:ascii="仿宋" w:hAnsi="仿宋" w:eastAsia="仿宋" w:cs="仿宋"/>
          <w:b/>
          <w:bCs/>
          <w:iCs/>
          <w:color w:val="auto"/>
          <w:sz w:val="24"/>
          <w:szCs w:val="24"/>
          <w:highlight w:val="none"/>
          <w:lang w:eastAsia="zh-CN"/>
        </w:rPr>
        <w:t>相关证明材料</w:t>
      </w:r>
      <w:r>
        <w:rPr>
          <w:rFonts w:hint="eastAsia" w:ascii="仿宋" w:hAnsi="仿宋" w:eastAsia="仿宋" w:cs="仿宋"/>
          <w:b/>
          <w:bCs/>
          <w:iCs/>
          <w:color w:val="auto"/>
          <w:sz w:val="24"/>
          <w:szCs w:val="24"/>
          <w:highlight w:val="none"/>
        </w:rPr>
        <w:t>须</w:t>
      </w:r>
      <w:r>
        <w:rPr>
          <w:rFonts w:hint="eastAsia" w:ascii="仿宋" w:hAnsi="仿宋" w:eastAsia="仿宋" w:cs="仿宋"/>
          <w:b/>
          <w:bCs/>
          <w:iCs/>
          <w:color w:val="auto"/>
          <w:sz w:val="24"/>
          <w:szCs w:val="24"/>
          <w:highlight w:val="none"/>
          <w:lang w:eastAsia="zh-CN"/>
        </w:rPr>
        <w:t>提供</w:t>
      </w:r>
      <w:r>
        <w:rPr>
          <w:rFonts w:hint="eastAsia" w:ascii="仿宋" w:hAnsi="仿宋" w:eastAsia="仿宋" w:cs="仿宋"/>
          <w:b/>
          <w:bCs/>
          <w:iCs/>
          <w:color w:val="auto"/>
          <w:sz w:val="24"/>
          <w:szCs w:val="24"/>
          <w:highlight w:val="none"/>
        </w:rPr>
        <w:t>，若</w:t>
      </w:r>
      <w:r>
        <w:rPr>
          <w:rFonts w:hint="eastAsia" w:ascii="仿宋" w:hAnsi="仿宋" w:eastAsia="仿宋" w:cs="仿宋"/>
          <w:b/>
          <w:bCs/>
          <w:iCs/>
          <w:color w:val="auto"/>
          <w:sz w:val="24"/>
          <w:szCs w:val="24"/>
          <w:highlight w:val="none"/>
          <w:lang w:eastAsia="zh-CN"/>
        </w:rPr>
        <w:t>未提供</w:t>
      </w:r>
      <w:r>
        <w:rPr>
          <w:rFonts w:hint="eastAsia" w:ascii="仿宋" w:hAnsi="仿宋" w:eastAsia="仿宋" w:cs="仿宋"/>
          <w:b/>
          <w:bCs/>
          <w:iCs/>
          <w:color w:val="auto"/>
          <w:sz w:val="24"/>
          <w:szCs w:val="24"/>
          <w:highlight w:val="none"/>
        </w:rPr>
        <w:t>的，该项不得分</w:t>
      </w:r>
      <w:r>
        <w:rPr>
          <w:rFonts w:hint="eastAsia" w:ascii="仿宋" w:hAnsi="仿宋" w:eastAsia="仿宋" w:cs="仿宋"/>
          <w:b/>
          <w:bCs/>
          <w:i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0"/>
          <w:sz w:val="24"/>
          <w:szCs w:val="24"/>
          <w:highlight w:val="none"/>
          <w:lang w:val="en-US" w:eastAsia="zh-CN"/>
        </w:rPr>
        <w:t>②</w:t>
      </w:r>
      <w:r>
        <w:rPr>
          <w:rFonts w:hint="eastAsia" w:ascii="仿宋" w:hAnsi="仿宋" w:eastAsia="仿宋" w:cs="仿宋"/>
          <w:b/>
          <w:bCs/>
          <w:color w:val="auto"/>
          <w:kern w:val="0"/>
          <w:sz w:val="24"/>
          <w:szCs w:val="24"/>
          <w:highlight w:val="none"/>
        </w:rPr>
        <w:t>各响应人的技术得分为所有评委的有效评分的算术平均数。</w:t>
      </w:r>
      <w:r>
        <w:rPr>
          <w:rFonts w:hint="eastAsia" w:ascii="仿宋" w:hAnsi="仿宋" w:eastAsia="仿宋" w:cs="仿宋"/>
          <w:b/>
          <w:bCs/>
          <w:color w:val="auto"/>
          <w:sz w:val="24"/>
          <w:szCs w:val="24"/>
          <w:highlight w:val="none"/>
        </w:rPr>
        <w:t>评分时保留小数2位,小数点采用四舍五入方法</w:t>
      </w:r>
      <w:r>
        <w:rPr>
          <w:rFonts w:hint="eastAsia" w:ascii="仿宋" w:hAnsi="仿宋" w:eastAsia="仿宋" w:cs="仿宋"/>
          <w:b/>
          <w:bCs/>
          <w:color w:val="auto"/>
          <w:sz w:val="24"/>
          <w:szCs w:val="24"/>
          <w:highlight w:val="none"/>
          <w:lang w:eastAsia="zh-CN"/>
        </w:rPr>
        <w:t>；</w:t>
      </w:r>
    </w:p>
    <w:p>
      <w:pPr>
        <w:pStyle w:val="23"/>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2"/>
          <w:sz w:val="24"/>
          <w:szCs w:val="24"/>
          <w:highlight w:val="none"/>
          <w:lang w:val="en-US" w:eastAsia="zh-CN" w:bidi="ar-SA"/>
        </w:rPr>
        <w:t>③为方便专家评审，请各供应商参照本表进行自评，并将自评表编入投标文件，置于投标文件目录之前。</w:t>
      </w:r>
    </w:p>
    <w:p>
      <w:pPr>
        <w:pStyle w:val="23"/>
        <w:keepNext w:val="0"/>
        <w:keepLines w:val="0"/>
        <w:pageBreakBefore w:val="0"/>
        <w:widowControl w:val="0"/>
        <w:kinsoku/>
        <w:wordWrap/>
        <w:overflowPunct/>
        <w:topLinePunct w:val="0"/>
        <w:autoSpaceDE/>
        <w:autoSpaceDN/>
        <w:bidi w:val="0"/>
        <w:adjustRightInd/>
        <w:spacing w:after="0"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报价计算（</w:t>
      </w:r>
      <w:r>
        <w:rPr>
          <w:rFonts w:hint="eastAsia" w:ascii="仿宋" w:hAnsi="仿宋" w:eastAsia="仿宋" w:cs="仿宋"/>
          <w:b/>
          <w:color w:val="auto"/>
          <w:sz w:val="24"/>
          <w:szCs w:val="24"/>
          <w:highlight w:val="none"/>
          <w:lang w:val="en-US" w:eastAsia="zh-CN"/>
        </w:rPr>
        <w:t>30</w:t>
      </w:r>
      <w:r>
        <w:rPr>
          <w:rFonts w:hint="eastAsia" w:ascii="仿宋" w:hAnsi="仿宋" w:eastAsia="仿宋" w:cs="仿宋"/>
          <w:b/>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1）全部报价中，超过项目上限价的报价无效。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2）根据《政府采购促进中小企业发展暂行办法》的要求，对小型和微型企业产品的价格给予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b/>
          <w:bCs/>
          <w:color w:val="auto"/>
          <w:sz w:val="24"/>
          <w:szCs w:val="24"/>
          <w:highlight w:val="none"/>
        </w:rPr>
        <w:t>以全部有效报价的最低价作为评标基准价，其最低报价为满分；各投标方的投标报价分统一按照[投标报价得分=（评标基准价/投标报价）*价格权值*100]的计算公式计算。</w:t>
      </w:r>
    </w:p>
    <w:p>
      <w:pPr>
        <w:snapToGrid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4）如得分相同，投标报价低者为中标供应商；如得分且投标报价相同的，</w:t>
      </w:r>
      <w:r>
        <w:rPr>
          <w:rFonts w:hint="eastAsia" w:ascii="仿宋" w:hAnsi="仿宋" w:eastAsia="仿宋" w:cs="仿宋"/>
          <w:color w:val="auto"/>
          <w:sz w:val="24"/>
          <w:szCs w:val="24"/>
          <w:highlight w:val="none"/>
          <w:lang w:eastAsia="zh-CN"/>
        </w:rPr>
        <w:t>资信及商务得分</w:t>
      </w:r>
      <w:r>
        <w:rPr>
          <w:rFonts w:hint="eastAsia" w:ascii="仿宋" w:hAnsi="仿宋" w:eastAsia="仿宋" w:cs="仿宋"/>
          <w:color w:val="auto"/>
          <w:sz w:val="24"/>
          <w:szCs w:val="24"/>
          <w:highlight w:val="none"/>
        </w:rPr>
        <w:t>高者为中标供应商。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报价包括人工费、材料费、设备使用费、人员来往的交通、通信、食宿、企业管理费、利润、税金、售后服务费、招标代理费、技术服务费、技术培训费、政策性文件规定及合同包含的所有风险、责任、成果验收以及采购文件约定工作内容所包含的等一切费用。</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错误修正</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报价文件如果出现计算或表达上的错误，修正错误的原则如下：</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报价一览表总价与报价明细表汇总数不一致的，</w:t>
      </w:r>
      <w:r>
        <w:rPr>
          <w:rFonts w:hint="eastAsia" w:ascii="仿宋" w:hAnsi="仿宋" w:eastAsia="仿宋" w:cs="仿宋"/>
          <w:color w:val="auto"/>
          <w:kern w:val="0"/>
          <w:sz w:val="24"/>
          <w:szCs w:val="24"/>
          <w:highlight w:val="none"/>
        </w:rPr>
        <w:t>以开标一览表为准；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大写金额和小写金额不一致的，以大写金额为准；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总价金额与单价汇总金额不一致的，以单价金额计算结果为准；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对不同文字文本投标文件的解释发生异议的，以中文正本为准。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按上述修正错误的原则及方法调整或修正</w:t>
      </w:r>
      <w:r>
        <w:rPr>
          <w:rFonts w:hint="eastAsia" w:ascii="仿宋" w:hAnsi="仿宋" w:eastAsia="仿宋" w:cs="仿宋"/>
          <w:color w:val="auto"/>
          <w:sz w:val="24"/>
          <w:szCs w:val="24"/>
          <w:highlight w:val="none"/>
        </w:rPr>
        <w:t>投标文件</w:t>
      </w:r>
      <w:r>
        <w:rPr>
          <w:rFonts w:hint="eastAsia" w:ascii="仿宋" w:hAnsi="仿宋" w:eastAsia="仿宋" w:cs="仿宋"/>
          <w:bCs/>
          <w:color w:val="auto"/>
          <w:sz w:val="24"/>
          <w:szCs w:val="24"/>
          <w:highlight w:val="none"/>
        </w:rPr>
        <w:t>的报价，</w:t>
      </w:r>
      <w:r>
        <w:rPr>
          <w:rFonts w:hint="eastAsia" w:ascii="仿宋" w:hAnsi="仿宋" w:eastAsia="仿宋" w:cs="仿宋"/>
          <w:color w:val="auto"/>
          <w:sz w:val="24"/>
          <w:szCs w:val="24"/>
          <w:highlight w:val="none"/>
        </w:rPr>
        <w:t>投标人</w:t>
      </w:r>
      <w:r>
        <w:rPr>
          <w:rFonts w:hint="eastAsia" w:ascii="仿宋" w:hAnsi="仿宋" w:eastAsia="仿宋" w:cs="仿宋"/>
          <w:bCs/>
          <w:color w:val="auto"/>
          <w:sz w:val="24"/>
          <w:szCs w:val="24"/>
          <w:highlight w:val="none"/>
        </w:rPr>
        <w:t>同意并签字确认后，调整后的报价对</w:t>
      </w:r>
      <w:r>
        <w:rPr>
          <w:rFonts w:hint="eastAsia" w:ascii="仿宋" w:hAnsi="仿宋" w:eastAsia="仿宋" w:cs="仿宋"/>
          <w:color w:val="auto"/>
          <w:sz w:val="24"/>
          <w:szCs w:val="24"/>
          <w:highlight w:val="none"/>
        </w:rPr>
        <w:t>投标人</w:t>
      </w:r>
      <w:r>
        <w:rPr>
          <w:rFonts w:hint="eastAsia" w:ascii="仿宋" w:hAnsi="仿宋" w:eastAsia="仿宋" w:cs="仿宋"/>
          <w:bCs/>
          <w:color w:val="auto"/>
          <w:sz w:val="24"/>
          <w:szCs w:val="24"/>
          <w:highlight w:val="none"/>
        </w:rPr>
        <w:t>具有约束作用。如果</w:t>
      </w:r>
      <w:r>
        <w:rPr>
          <w:rFonts w:hint="eastAsia" w:ascii="仿宋" w:hAnsi="仿宋" w:eastAsia="仿宋" w:cs="仿宋"/>
          <w:color w:val="auto"/>
          <w:sz w:val="24"/>
          <w:szCs w:val="24"/>
          <w:highlight w:val="none"/>
        </w:rPr>
        <w:t>投标人</w:t>
      </w:r>
      <w:r>
        <w:rPr>
          <w:rFonts w:hint="eastAsia" w:ascii="仿宋" w:hAnsi="仿宋" w:eastAsia="仿宋" w:cs="仿宋"/>
          <w:bCs/>
          <w:color w:val="auto"/>
          <w:sz w:val="24"/>
          <w:szCs w:val="24"/>
          <w:highlight w:val="none"/>
        </w:rPr>
        <w:t>不接受修正后的报价，则其投标将作为无效处理。</w:t>
      </w:r>
    </w:p>
    <w:p>
      <w:pPr>
        <w:pStyle w:val="34"/>
        <w:keepNext w:val="0"/>
        <w:keepLines w:val="0"/>
        <w:pageBreakBefore w:val="0"/>
        <w:widowControl w:val="0"/>
        <w:kinsoku/>
        <w:wordWrap/>
        <w:overflowPunct/>
        <w:topLinePunct w:val="0"/>
        <w:autoSpaceDE/>
        <w:autoSpaceDN/>
        <w:bidi w:val="0"/>
        <w:snapToGrid w:val="0"/>
        <w:spacing w:before="0" w:beforeLines="0" w:after="0" w:afterLines="0"/>
        <w:ind w:left="720" w:leftChars="228" w:hanging="241" w:hangingChars="1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在报价评议时，如发现下列情形之一的，</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响应文件将被视为无效：</w:t>
      </w:r>
    </w:p>
    <w:p>
      <w:pPr>
        <w:pStyle w:val="34"/>
        <w:keepNext w:val="0"/>
        <w:keepLines w:val="0"/>
        <w:pageBreakBefore w:val="0"/>
        <w:widowControl w:val="0"/>
        <w:kinsoku/>
        <w:wordWrap/>
        <w:overflowPunct/>
        <w:topLinePunct w:val="0"/>
        <w:autoSpaceDE/>
        <w:autoSpaceDN/>
        <w:bidi w:val="0"/>
        <w:snapToGrid w:val="0"/>
        <w:spacing w:before="0" w:beforeLines="0" w:after="0" w:afterLines="0" w:line="400" w:lineRule="exact"/>
        <w:ind w:left="719" w:leftChars="228" w:hanging="240" w:hanging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1）以赠送方式的报价；</w:t>
      </w:r>
    </w:p>
    <w:p>
      <w:pPr>
        <w:pStyle w:val="34"/>
        <w:keepNext w:val="0"/>
        <w:keepLines w:val="0"/>
        <w:pageBreakBefore w:val="0"/>
        <w:widowControl w:val="0"/>
        <w:kinsoku/>
        <w:wordWrap/>
        <w:overflowPunct/>
        <w:topLinePunct w:val="0"/>
        <w:autoSpaceDE/>
        <w:autoSpaceDN/>
        <w:bidi w:val="0"/>
        <w:snapToGrid w:val="0"/>
        <w:spacing w:before="0" w:beforeLines="0" w:after="0" w:afterLines="0" w:line="400" w:lineRule="exact"/>
        <w:ind w:left="719" w:leftChars="228" w:hanging="240" w:hanging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2）投标报价超出</w:t>
      </w:r>
      <w:r>
        <w:rPr>
          <w:rFonts w:hint="eastAsia" w:ascii="仿宋" w:hAnsi="仿宋" w:eastAsia="仿宋" w:cs="仿宋"/>
          <w:color w:val="auto"/>
          <w:sz w:val="24"/>
          <w:szCs w:val="24"/>
          <w:highlight w:val="none"/>
          <w:lang w:eastAsia="zh-CN"/>
        </w:rPr>
        <w:t>上</w:t>
      </w:r>
      <w:r>
        <w:rPr>
          <w:rFonts w:hint="eastAsia" w:ascii="仿宋" w:hAnsi="仿宋" w:eastAsia="仿宋" w:cs="仿宋"/>
          <w:color w:val="auto"/>
          <w:sz w:val="24"/>
          <w:szCs w:val="24"/>
          <w:highlight w:val="none"/>
        </w:rPr>
        <w:t>限价的；</w:t>
      </w:r>
    </w:p>
    <w:p>
      <w:pPr>
        <w:pStyle w:val="34"/>
        <w:keepNext w:val="0"/>
        <w:keepLines w:val="0"/>
        <w:pageBreakBefore w:val="0"/>
        <w:widowControl w:val="0"/>
        <w:kinsoku/>
        <w:wordWrap/>
        <w:overflowPunct/>
        <w:topLinePunct w:val="0"/>
        <w:autoSpaceDE/>
        <w:autoSpaceDN/>
        <w:bidi w:val="0"/>
        <w:snapToGrid w:val="0"/>
        <w:spacing w:before="0" w:beforeLines="0" w:after="0" w:afterLines="0"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keepNext w:val="0"/>
        <w:keepLines w:val="0"/>
        <w:pageBreakBefore w:val="0"/>
        <w:widowControl w:val="0"/>
        <w:kinsoku/>
        <w:wordWrap/>
        <w:overflowPunct/>
        <w:topLinePunct w:val="0"/>
        <w:autoSpaceDE/>
        <w:autoSpaceDN/>
        <w:bidi w:val="0"/>
        <w:spacing w:after="0" w:line="400" w:lineRule="exact"/>
        <w:ind w:firstLine="482"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color w:val="auto"/>
          <w:sz w:val="24"/>
          <w:szCs w:val="24"/>
          <w:highlight w:val="none"/>
        </w:rPr>
        <w:t>不符合法律、法规和本</w:t>
      </w:r>
      <w:r>
        <w:rPr>
          <w:rFonts w:hint="eastAsia" w:ascii="仿宋" w:hAnsi="仿宋" w:eastAsia="仿宋" w:cs="仿宋"/>
          <w:b/>
          <w:color w:val="auto"/>
          <w:sz w:val="24"/>
          <w:szCs w:val="24"/>
          <w:highlight w:val="none"/>
          <w:lang w:eastAsia="zh-CN"/>
        </w:rPr>
        <w:t>采购</w:t>
      </w:r>
      <w:r>
        <w:rPr>
          <w:rFonts w:hint="eastAsia" w:ascii="仿宋" w:hAnsi="仿宋" w:eastAsia="仿宋" w:cs="仿宋"/>
          <w:b/>
          <w:color w:val="auto"/>
          <w:sz w:val="24"/>
          <w:szCs w:val="24"/>
          <w:highlight w:val="none"/>
        </w:rPr>
        <w:t>文件规定的其他实质性要求的（</w:t>
      </w:r>
      <w:r>
        <w:rPr>
          <w:rFonts w:hint="eastAsia" w:ascii="仿宋" w:hAnsi="仿宋" w:eastAsia="仿宋" w:cs="仿宋"/>
          <w:bCs/>
          <w:color w:val="auto"/>
          <w:sz w:val="24"/>
          <w:szCs w:val="24"/>
          <w:highlight w:val="none"/>
        </w:rPr>
        <w:t>实质上没有响应</w:t>
      </w:r>
      <w:r>
        <w:rPr>
          <w:rFonts w:hint="eastAsia" w:ascii="仿宋" w:hAnsi="仿宋" w:eastAsia="仿宋" w:cs="仿宋"/>
          <w:color w:val="auto"/>
          <w:kern w:val="0"/>
          <w:sz w:val="24"/>
          <w:szCs w:val="24"/>
          <w:highlight w:val="none"/>
          <w:lang w:val="zh-CN"/>
        </w:rPr>
        <w:t>投标</w:t>
      </w:r>
      <w:r>
        <w:rPr>
          <w:rFonts w:hint="eastAsia" w:ascii="仿宋" w:hAnsi="仿宋" w:eastAsia="仿宋" w:cs="仿宋"/>
          <w:bCs/>
          <w:color w:val="auto"/>
          <w:sz w:val="24"/>
          <w:szCs w:val="24"/>
          <w:highlight w:val="none"/>
        </w:rPr>
        <w:t>响应文件要求的</w:t>
      </w:r>
      <w:r>
        <w:rPr>
          <w:rFonts w:hint="eastAsia" w:ascii="仿宋" w:hAnsi="仿宋" w:eastAsia="仿宋" w:cs="仿宋"/>
          <w:bCs/>
          <w:color w:val="auto"/>
          <w:sz w:val="24"/>
          <w:szCs w:val="24"/>
          <w:highlight w:val="none"/>
          <w:lang w:eastAsia="zh-CN"/>
        </w:rPr>
        <w:t>报价</w:t>
      </w:r>
      <w:r>
        <w:rPr>
          <w:rFonts w:hint="eastAsia" w:ascii="仿宋" w:hAnsi="仿宋" w:eastAsia="仿宋" w:cs="仿宋"/>
          <w:bCs/>
          <w:color w:val="auto"/>
          <w:sz w:val="24"/>
          <w:szCs w:val="24"/>
          <w:highlight w:val="none"/>
        </w:rPr>
        <w:t>将被视为无效，但经评标委员会认定属于投标人疏忽、笔误所造成的差错，应当允许其在开标结束之前进行修改或者补正</w:t>
      </w:r>
      <w:r>
        <w:rPr>
          <w:rFonts w:hint="eastAsia" w:ascii="仿宋" w:hAnsi="仿宋" w:eastAsia="仿宋" w:cs="仿宋"/>
          <w:b/>
          <w:color w:val="auto"/>
          <w:sz w:val="24"/>
          <w:szCs w:val="24"/>
          <w:highlight w:val="none"/>
        </w:rPr>
        <w:t>）</w:t>
      </w:r>
      <w:r>
        <w:rPr>
          <w:rFonts w:hint="eastAsia" w:ascii="仿宋" w:hAnsi="仿宋" w:eastAsia="仿宋" w:cs="仿宋"/>
          <w:bCs/>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第七条  开标内容的保密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1）开标开始后，直到宣布成交结果止，凡属于审查、澄清、评价和比较的所有资料，都不应向</w:t>
      </w:r>
      <w:r>
        <w:rPr>
          <w:rFonts w:hint="eastAsia" w:ascii="仿宋" w:hAnsi="仿宋" w:eastAsia="仿宋" w:cs="仿宋"/>
          <w:bCs/>
          <w:color w:val="auto"/>
          <w:sz w:val="24"/>
          <w:szCs w:val="24"/>
          <w:highlight w:val="none"/>
        </w:rPr>
        <w:t>投标人</w:t>
      </w:r>
      <w:r>
        <w:rPr>
          <w:rFonts w:hint="eastAsia" w:ascii="仿宋" w:hAnsi="仿宋" w:eastAsia="仿宋" w:cs="仿宋"/>
          <w:color w:val="auto"/>
          <w:sz w:val="24"/>
          <w:szCs w:val="24"/>
          <w:highlight w:val="none"/>
        </w:rPr>
        <w:t>或与开标无关的其他人泄露。</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w:t>
      </w:r>
      <w:r>
        <w:rPr>
          <w:rFonts w:hint="eastAsia" w:ascii="仿宋" w:hAnsi="仿宋" w:eastAsia="仿宋" w:cs="仿宋"/>
          <w:bCs/>
          <w:color w:val="auto"/>
          <w:sz w:val="24"/>
          <w:szCs w:val="24"/>
          <w:highlight w:val="none"/>
        </w:rPr>
        <w:t>投标</w:t>
      </w:r>
      <w:r>
        <w:rPr>
          <w:rFonts w:hint="eastAsia" w:ascii="仿宋" w:hAnsi="仿宋" w:eastAsia="仿宋" w:cs="仿宋"/>
          <w:color w:val="auto"/>
          <w:sz w:val="24"/>
          <w:szCs w:val="24"/>
          <w:highlight w:val="none"/>
        </w:rPr>
        <w:t>文件的审查、澄清、评价和比较以及确定成交供应商过程中，</w:t>
      </w:r>
      <w:r>
        <w:rPr>
          <w:rFonts w:hint="eastAsia" w:ascii="仿宋" w:hAnsi="仿宋" w:eastAsia="仿宋" w:cs="仿宋"/>
          <w:bCs/>
          <w:color w:val="auto"/>
          <w:sz w:val="24"/>
          <w:szCs w:val="24"/>
          <w:highlight w:val="none"/>
        </w:rPr>
        <w:t>投标人</w:t>
      </w:r>
      <w:r>
        <w:rPr>
          <w:rFonts w:hint="eastAsia" w:ascii="仿宋" w:hAnsi="仿宋" w:eastAsia="仿宋" w:cs="仿宋"/>
          <w:color w:val="auto"/>
          <w:sz w:val="24"/>
          <w:szCs w:val="24"/>
          <w:highlight w:val="none"/>
        </w:rPr>
        <w:t>对采购机构和评审小组施加影响的任何行为，都将导致取消资格。</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第八条  </w:t>
      </w:r>
      <w:r>
        <w:rPr>
          <w:rFonts w:hint="eastAsia" w:ascii="仿宋" w:hAnsi="仿宋" w:eastAsia="仿宋" w:cs="仿宋"/>
          <w:b/>
          <w:bCs/>
          <w:color w:val="auto"/>
          <w:sz w:val="24"/>
          <w:szCs w:val="24"/>
          <w:highlight w:val="none"/>
        </w:rPr>
        <w:t>投标</w:t>
      </w:r>
      <w:r>
        <w:rPr>
          <w:rFonts w:hint="eastAsia" w:ascii="仿宋" w:hAnsi="仿宋" w:eastAsia="仿宋" w:cs="仿宋"/>
          <w:b/>
          <w:color w:val="auto"/>
          <w:sz w:val="24"/>
          <w:szCs w:val="24"/>
          <w:highlight w:val="none"/>
        </w:rPr>
        <w:t>文件的澄清</w:t>
      </w:r>
    </w:p>
    <w:p>
      <w:pPr>
        <w:pStyle w:val="26"/>
        <w:snapToGrid w:val="0"/>
        <w:spacing w:line="360" w:lineRule="auto"/>
        <w:rPr>
          <w:rFonts w:hint="eastAsia" w:ascii="仿宋" w:hAnsi="仿宋" w:eastAsia="仿宋" w:cs="仿宋"/>
          <w:sz w:val="24"/>
          <w:szCs w:val="24"/>
        </w:rPr>
      </w:pPr>
      <w:r>
        <w:rPr>
          <w:rFonts w:hint="eastAsia" w:ascii="仿宋" w:hAnsi="仿宋" w:eastAsia="仿宋" w:cs="仿宋"/>
          <w:color w:val="auto"/>
          <w:sz w:val="24"/>
          <w:szCs w:val="24"/>
          <w:highlight w:val="none"/>
        </w:rPr>
        <w:t>对</w:t>
      </w:r>
      <w:r>
        <w:rPr>
          <w:rFonts w:hint="eastAsia" w:ascii="仿宋" w:hAnsi="仿宋" w:eastAsia="仿宋" w:cs="仿宋"/>
          <w:bCs/>
          <w:color w:val="auto"/>
          <w:sz w:val="24"/>
          <w:szCs w:val="24"/>
          <w:highlight w:val="none"/>
        </w:rPr>
        <w:t>投标</w:t>
      </w:r>
      <w:r>
        <w:rPr>
          <w:rFonts w:hint="eastAsia" w:ascii="仿宋" w:hAnsi="仿宋" w:eastAsia="仿宋" w:cs="仿宋"/>
          <w:color w:val="auto"/>
          <w:sz w:val="24"/>
          <w:szCs w:val="24"/>
          <w:highlight w:val="none"/>
        </w:rPr>
        <w:t>文件中含义不明、表述不一致或有明显计算错误等内容，评审小组将对</w:t>
      </w:r>
      <w:r>
        <w:rPr>
          <w:rFonts w:hint="eastAsia" w:ascii="仿宋" w:hAnsi="仿宋" w:eastAsia="仿宋" w:cs="仿宋"/>
          <w:bCs/>
          <w:color w:val="auto"/>
          <w:sz w:val="24"/>
          <w:szCs w:val="24"/>
          <w:highlight w:val="none"/>
        </w:rPr>
        <w:t>投标人</w:t>
      </w:r>
      <w:r>
        <w:rPr>
          <w:rFonts w:hint="eastAsia" w:ascii="仿宋" w:hAnsi="仿宋" w:eastAsia="仿宋" w:cs="仿宋"/>
          <w:color w:val="auto"/>
          <w:sz w:val="24"/>
          <w:szCs w:val="24"/>
          <w:highlight w:val="none"/>
        </w:rPr>
        <w:t>进行询标，并要求</w:t>
      </w:r>
      <w:r>
        <w:rPr>
          <w:rFonts w:hint="eastAsia" w:ascii="仿宋" w:hAnsi="仿宋" w:eastAsia="仿宋" w:cs="仿宋"/>
          <w:bCs/>
          <w:color w:val="auto"/>
          <w:sz w:val="24"/>
          <w:szCs w:val="24"/>
          <w:highlight w:val="none"/>
        </w:rPr>
        <w:t>投标人</w:t>
      </w:r>
      <w:r>
        <w:rPr>
          <w:rFonts w:hint="eastAsia" w:ascii="仿宋" w:hAnsi="仿宋" w:eastAsia="仿宋" w:cs="仿宋"/>
          <w:color w:val="auto"/>
          <w:sz w:val="24"/>
          <w:szCs w:val="24"/>
          <w:highlight w:val="none"/>
        </w:rPr>
        <w:t>作书面澄清；</w:t>
      </w:r>
      <w:r>
        <w:rPr>
          <w:rFonts w:hint="eastAsia" w:ascii="仿宋" w:hAnsi="仿宋" w:eastAsia="仿宋" w:cs="仿宋"/>
          <w:bCs/>
          <w:color w:val="auto"/>
          <w:sz w:val="24"/>
          <w:szCs w:val="24"/>
          <w:highlight w:val="none"/>
        </w:rPr>
        <w:t>投标人</w:t>
      </w:r>
      <w:r>
        <w:rPr>
          <w:rFonts w:hint="eastAsia" w:ascii="仿宋" w:hAnsi="仿宋" w:eastAsia="仿宋" w:cs="仿宋"/>
          <w:color w:val="auto"/>
          <w:sz w:val="24"/>
          <w:szCs w:val="24"/>
          <w:highlight w:val="none"/>
        </w:rPr>
        <w:t>的书面澄清，应由法定代表人或授权代表签字，作为</w:t>
      </w:r>
      <w:r>
        <w:rPr>
          <w:rFonts w:hint="eastAsia" w:ascii="仿宋" w:hAnsi="仿宋" w:eastAsia="仿宋" w:cs="仿宋"/>
          <w:bCs/>
          <w:color w:val="auto"/>
          <w:sz w:val="24"/>
          <w:szCs w:val="24"/>
          <w:highlight w:val="none"/>
        </w:rPr>
        <w:t>投标</w:t>
      </w:r>
      <w:r>
        <w:rPr>
          <w:rFonts w:hint="eastAsia" w:ascii="仿宋" w:hAnsi="仿宋" w:eastAsia="仿宋" w:cs="仿宋"/>
          <w:color w:val="auto"/>
          <w:sz w:val="24"/>
          <w:szCs w:val="24"/>
          <w:highlight w:val="none"/>
        </w:rPr>
        <w:t>文件的补充部分</w:t>
      </w:r>
      <w:r>
        <w:rPr>
          <w:rFonts w:hint="eastAsia" w:ascii="仿宋" w:hAnsi="仿宋" w:eastAsia="仿宋" w:cs="仿宋"/>
          <w:sz w:val="24"/>
          <w:szCs w:val="24"/>
        </w:rPr>
        <w:t>。</w:t>
      </w:r>
    </w:p>
    <w:p>
      <w:pPr>
        <w:pStyle w:val="26"/>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pStyle w:val="79"/>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hint="eastAsia" w:ascii="仿宋" w:hAnsi="仿宋" w:eastAsia="仿宋" w:cs="仿宋"/>
          <w:b/>
          <w:bCs/>
          <w:sz w:val="24"/>
        </w:rPr>
      </w:pPr>
    </w:p>
    <w:p>
      <w:pPr>
        <w:rPr>
          <w:rFonts w:hint="eastAsia" w:ascii="仿宋" w:hAnsi="仿宋" w:eastAsia="仿宋" w:cs="仿宋"/>
          <w:b/>
          <w:bCs/>
          <w:sz w:val="24"/>
          <w:u w:val="single"/>
        </w:rPr>
      </w:pPr>
      <w:r>
        <w:rPr>
          <w:rFonts w:hint="eastAsia" w:ascii="仿宋" w:hAnsi="仿宋" w:eastAsia="仿宋" w:cs="仿宋"/>
          <w:b/>
          <w:bCs/>
          <w:sz w:val="24"/>
        </w:rPr>
        <w:t>合同编号：</w:t>
      </w:r>
      <w:r>
        <w:rPr>
          <w:rFonts w:hint="eastAsia" w:ascii="仿宋" w:hAnsi="仿宋" w:eastAsia="仿宋" w:cs="仿宋"/>
          <w:b/>
          <w:bCs/>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360" w:lineRule="auto"/>
        <w:jc w:val="center"/>
        <w:rPr>
          <w:rFonts w:ascii="仿宋" w:hAnsi="仿宋" w:eastAsia="仿宋"/>
          <w:b/>
          <w:sz w:val="24"/>
        </w:rPr>
      </w:pPr>
    </w:p>
    <w:p>
      <w:pPr>
        <w:pStyle w:val="79"/>
        <w:spacing w:line="360" w:lineRule="auto"/>
        <w:ind w:firstLine="643" w:firstLineChars="200"/>
        <w:rPr>
          <w:rFonts w:ascii="宋体" w:hAnsi="宋体" w:cs="宋体"/>
          <w:b/>
          <w:color w:val="auto"/>
          <w:sz w:val="32"/>
          <w:szCs w:val="32"/>
          <w:u w:val="single"/>
        </w:rPr>
      </w:pPr>
      <w:r>
        <w:rPr>
          <w:rFonts w:hint="eastAsia" w:ascii="宋体" w:hAnsi="宋体" w:cs="宋体"/>
          <w:b/>
          <w:color w:val="auto"/>
          <w:sz w:val="32"/>
          <w:szCs w:val="32"/>
        </w:rPr>
        <w:t>项目名称：</w:t>
      </w:r>
      <w:r>
        <w:rPr>
          <w:rFonts w:hint="eastAsia" w:ascii="宋体" w:hAnsi="宋体" w:cs="宋体"/>
          <w:b/>
          <w:color w:val="auto"/>
          <w:sz w:val="32"/>
          <w:szCs w:val="32"/>
          <w:u w:val="single"/>
        </w:rPr>
        <w:t>　　　　　　　　　　　　　　</w:t>
      </w:r>
    </w:p>
    <w:p>
      <w:pPr>
        <w:pStyle w:val="79"/>
        <w:spacing w:line="360" w:lineRule="auto"/>
        <w:rPr>
          <w:rFonts w:ascii="宋体" w:hAnsi="宋体" w:cs="宋体"/>
          <w:b/>
          <w:color w:val="auto"/>
          <w:sz w:val="32"/>
          <w:szCs w:val="32"/>
        </w:rPr>
      </w:pPr>
    </w:p>
    <w:p>
      <w:pPr>
        <w:pStyle w:val="79"/>
        <w:spacing w:line="360" w:lineRule="auto"/>
        <w:rPr>
          <w:rFonts w:ascii="宋体" w:hAnsi="宋体" w:cs="宋体"/>
          <w:b/>
          <w:color w:val="auto"/>
          <w:sz w:val="32"/>
          <w:szCs w:val="32"/>
        </w:rPr>
      </w:pPr>
    </w:p>
    <w:p>
      <w:pPr>
        <w:pStyle w:val="79"/>
        <w:spacing w:line="360" w:lineRule="auto"/>
        <w:ind w:firstLine="643" w:firstLineChars="200"/>
        <w:rPr>
          <w:rFonts w:ascii="宋体" w:hAnsi="宋体" w:cs="宋体"/>
          <w:b/>
          <w:color w:val="auto"/>
          <w:sz w:val="32"/>
          <w:szCs w:val="32"/>
        </w:rPr>
      </w:pPr>
      <w:r>
        <w:rPr>
          <w:rFonts w:hint="eastAsia" w:ascii="宋体" w:hAnsi="宋体" w:cs="宋体"/>
          <w:b/>
          <w:color w:val="auto"/>
          <w:sz w:val="32"/>
          <w:szCs w:val="32"/>
        </w:rPr>
        <w:t>甲    方：</w:t>
      </w:r>
      <w:r>
        <w:rPr>
          <w:rFonts w:hint="eastAsia" w:ascii="宋体" w:hAnsi="宋体" w:cs="宋体"/>
          <w:b/>
          <w:color w:val="auto"/>
          <w:sz w:val="32"/>
          <w:szCs w:val="32"/>
          <w:u w:val="single"/>
        </w:rPr>
        <w:t>　　　　　　　　　　　　　　</w:t>
      </w:r>
    </w:p>
    <w:p>
      <w:pPr>
        <w:pStyle w:val="79"/>
        <w:spacing w:line="360" w:lineRule="auto"/>
        <w:ind w:firstLine="643" w:firstLineChars="200"/>
        <w:rPr>
          <w:rFonts w:ascii="宋体" w:hAnsi="宋体" w:cs="宋体"/>
          <w:b/>
          <w:color w:val="auto"/>
          <w:sz w:val="32"/>
          <w:szCs w:val="32"/>
        </w:rPr>
      </w:pPr>
    </w:p>
    <w:p>
      <w:pPr>
        <w:pStyle w:val="79"/>
        <w:spacing w:line="360" w:lineRule="auto"/>
        <w:rPr>
          <w:rFonts w:ascii="宋体" w:hAnsi="宋体" w:cs="宋体"/>
          <w:b/>
          <w:color w:val="auto"/>
          <w:sz w:val="32"/>
          <w:szCs w:val="32"/>
        </w:rPr>
      </w:pPr>
    </w:p>
    <w:p>
      <w:pPr>
        <w:pStyle w:val="79"/>
        <w:spacing w:line="360" w:lineRule="auto"/>
        <w:ind w:firstLine="643" w:firstLineChars="200"/>
        <w:rPr>
          <w:rFonts w:ascii="宋体" w:hAnsi="宋体" w:cs="宋体"/>
          <w:b/>
          <w:color w:val="auto"/>
          <w:sz w:val="32"/>
          <w:szCs w:val="32"/>
        </w:rPr>
      </w:pPr>
      <w:r>
        <w:rPr>
          <w:rFonts w:hint="eastAsia" w:ascii="宋体" w:hAnsi="宋体" w:cs="宋体"/>
          <w:b/>
          <w:color w:val="auto"/>
          <w:sz w:val="32"/>
          <w:szCs w:val="32"/>
        </w:rPr>
        <w:t>乙    方：</w:t>
      </w:r>
      <w:r>
        <w:rPr>
          <w:rFonts w:hint="eastAsia" w:ascii="宋体" w:hAnsi="宋体" w:cs="宋体"/>
          <w:b/>
          <w:color w:val="auto"/>
          <w:sz w:val="32"/>
          <w:szCs w:val="32"/>
          <w:u w:val="single"/>
        </w:rPr>
        <w:t>　　　　　　　　　　　　　　</w:t>
      </w:r>
    </w:p>
    <w:p>
      <w:pPr>
        <w:pStyle w:val="79"/>
        <w:spacing w:line="360" w:lineRule="auto"/>
        <w:ind w:firstLine="643" w:firstLineChars="200"/>
        <w:rPr>
          <w:rFonts w:ascii="宋体" w:hAnsi="宋体" w:cs="宋体"/>
          <w:b/>
          <w:color w:val="auto"/>
          <w:sz w:val="32"/>
          <w:szCs w:val="32"/>
        </w:rPr>
      </w:pPr>
    </w:p>
    <w:p>
      <w:pPr>
        <w:pStyle w:val="79"/>
        <w:spacing w:line="360" w:lineRule="auto"/>
        <w:rPr>
          <w:rFonts w:ascii="宋体" w:hAnsi="宋体" w:cs="宋体"/>
          <w:b/>
          <w:color w:val="auto"/>
          <w:sz w:val="32"/>
          <w:szCs w:val="32"/>
        </w:rPr>
      </w:pPr>
    </w:p>
    <w:p>
      <w:pPr>
        <w:pStyle w:val="79"/>
        <w:spacing w:line="360" w:lineRule="auto"/>
        <w:ind w:firstLine="643" w:firstLineChars="200"/>
        <w:rPr>
          <w:rFonts w:ascii="宋体" w:hAnsi="宋体" w:cs="宋体"/>
          <w:b/>
          <w:color w:val="auto"/>
          <w:sz w:val="32"/>
          <w:szCs w:val="32"/>
        </w:rPr>
      </w:pPr>
      <w:r>
        <w:rPr>
          <w:rFonts w:hint="eastAsia" w:ascii="宋体" w:hAnsi="宋体" w:cs="宋体"/>
          <w:b/>
          <w:color w:val="auto"/>
          <w:sz w:val="32"/>
          <w:szCs w:val="32"/>
        </w:rPr>
        <w:t>签订地：</w:t>
      </w:r>
      <w:r>
        <w:rPr>
          <w:rFonts w:hint="eastAsia" w:ascii="宋体" w:hAnsi="宋体" w:cs="宋体"/>
          <w:b/>
          <w:color w:val="auto"/>
          <w:sz w:val="32"/>
          <w:szCs w:val="32"/>
          <w:u w:val="single"/>
        </w:rPr>
        <w:t>　　　　　　　　　　　　　　　</w:t>
      </w:r>
    </w:p>
    <w:p>
      <w:pPr>
        <w:pStyle w:val="79"/>
        <w:spacing w:line="360" w:lineRule="auto"/>
        <w:ind w:firstLine="643" w:firstLineChars="200"/>
        <w:rPr>
          <w:rFonts w:ascii="宋体" w:hAnsi="宋体" w:cs="宋体"/>
          <w:b/>
          <w:color w:val="auto"/>
          <w:sz w:val="32"/>
          <w:szCs w:val="32"/>
        </w:rPr>
      </w:pPr>
    </w:p>
    <w:p>
      <w:pPr>
        <w:pStyle w:val="79"/>
        <w:spacing w:line="360" w:lineRule="auto"/>
        <w:rPr>
          <w:rFonts w:ascii="宋体" w:hAnsi="宋体" w:cs="宋体"/>
          <w:b/>
          <w:color w:val="auto"/>
          <w:sz w:val="32"/>
          <w:szCs w:val="32"/>
        </w:rPr>
      </w:pPr>
    </w:p>
    <w:p>
      <w:pPr>
        <w:pStyle w:val="79"/>
        <w:spacing w:line="360" w:lineRule="auto"/>
        <w:rPr>
          <w:rFonts w:ascii="宋体" w:hAnsi="宋体" w:cs="宋体"/>
          <w:b/>
          <w:color w:val="auto"/>
          <w:sz w:val="32"/>
          <w:szCs w:val="32"/>
        </w:rPr>
      </w:pPr>
    </w:p>
    <w:p>
      <w:pPr>
        <w:pStyle w:val="79"/>
        <w:spacing w:line="360" w:lineRule="auto"/>
        <w:ind w:firstLine="643" w:firstLineChars="200"/>
        <w:rPr>
          <w:rFonts w:ascii="宋体" w:hAnsi="宋体" w:cs="宋体"/>
          <w:b/>
          <w:color w:val="auto"/>
          <w:sz w:val="32"/>
          <w:szCs w:val="32"/>
        </w:rPr>
      </w:pPr>
      <w:r>
        <w:rPr>
          <w:rFonts w:hint="eastAsia" w:ascii="宋体" w:hAnsi="宋体" w:cs="宋体"/>
          <w:b/>
          <w:color w:val="auto"/>
          <w:sz w:val="32"/>
          <w:szCs w:val="32"/>
        </w:rPr>
        <w:t>签订日期：   年     月    日</w:t>
      </w:r>
    </w:p>
    <w:p>
      <w:pPr>
        <w:pStyle w:val="79"/>
        <w:ind w:firstLine="643" w:firstLineChars="200"/>
        <w:rPr>
          <w:rFonts w:ascii="宋体" w:hAnsi="宋体" w:cs="宋体"/>
          <w:b/>
          <w:color w:val="auto"/>
          <w:sz w:val="32"/>
          <w:szCs w:val="32"/>
        </w:rPr>
      </w:pPr>
    </w:p>
    <w:p>
      <w:pPr>
        <w:pStyle w:val="79"/>
        <w:ind w:firstLine="643" w:firstLineChars="200"/>
        <w:rPr>
          <w:rFonts w:ascii="宋体" w:hAnsi="宋体" w:cs="宋体"/>
          <w:b/>
          <w:color w:val="auto"/>
          <w:sz w:val="32"/>
          <w:szCs w:val="32"/>
        </w:rPr>
      </w:pPr>
    </w:p>
    <w:p>
      <w:pPr>
        <w:pStyle w:val="79"/>
        <w:ind w:firstLine="643" w:firstLineChars="200"/>
        <w:rPr>
          <w:rFonts w:ascii="宋体" w:hAnsi="宋体" w:cs="宋体"/>
          <w:b/>
          <w:color w:val="auto"/>
          <w:sz w:val="32"/>
          <w:szCs w:val="32"/>
        </w:rPr>
      </w:pPr>
    </w:p>
    <w:p>
      <w:pPr>
        <w:pStyle w:val="79"/>
        <w:ind w:firstLine="643" w:firstLineChars="200"/>
        <w:rPr>
          <w:rFonts w:ascii="宋体" w:hAnsi="宋体" w:cs="宋体"/>
          <w:b/>
          <w:color w:val="auto"/>
          <w:sz w:val="32"/>
          <w:szCs w:val="32"/>
        </w:rPr>
      </w:pPr>
    </w:p>
    <w:p>
      <w:pPr>
        <w:pStyle w:val="79"/>
        <w:ind w:firstLine="643" w:firstLineChars="200"/>
        <w:rPr>
          <w:rFonts w:ascii="宋体" w:hAnsi="宋体" w:cs="宋体"/>
          <w:b/>
          <w:color w:val="auto"/>
          <w:sz w:val="32"/>
          <w:szCs w:val="32"/>
        </w:rPr>
      </w:pPr>
    </w:p>
    <w:p>
      <w:pPr>
        <w:keepNext w:val="0"/>
        <w:keepLines w:val="0"/>
        <w:pageBreakBefore w:val="0"/>
        <w:widowControl w:val="0"/>
        <w:kinsoku/>
        <w:wordWrap/>
        <w:overflowPunct/>
        <w:topLinePunct w:val="0"/>
        <w:bidi w:val="0"/>
        <w:adjustRightInd w:val="0"/>
        <w:snapToGrid w:val="0"/>
        <w:spacing w:line="460" w:lineRule="exact"/>
        <w:ind w:firstLine="482" w:firstLineChars="200"/>
        <w:textAlignment w:val="auto"/>
        <w:rPr>
          <w:rFonts w:hint="eastAsia" w:ascii="仿宋" w:hAnsi="仿宋" w:eastAsia="仿宋" w:cs="仿宋"/>
          <w:sz w:val="24"/>
          <w:szCs w:val="24"/>
          <w:u w:val="single"/>
          <w:lang w:eastAsia="zh-CN"/>
        </w:rPr>
      </w:pPr>
      <w:r>
        <w:rPr>
          <w:rFonts w:hint="eastAsia" w:ascii="仿宋" w:hAnsi="仿宋" w:eastAsia="仿宋" w:cs="仿宋"/>
          <w:b/>
          <w:bCs/>
          <w:sz w:val="24"/>
          <w:szCs w:val="24"/>
        </w:rPr>
        <w:t>甲方：</w:t>
      </w:r>
      <w:r>
        <w:rPr>
          <w:rFonts w:hint="eastAsia" w:ascii="仿宋" w:hAnsi="仿宋" w:eastAsia="仿宋" w:cs="仿宋"/>
          <w:sz w:val="24"/>
          <w:szCs w:val="24"/>
          <w:u w:val="single"/>
          <w:lang w:eastAsia="zh-CN"/>
        </w:rPr>
        <w:t>杭州市临安区於潜镇人民政府</w:t>
      </w:r>
    </w:p>
    <w:p>
      <w:pPr>
        <w:keepNext w:val="0"/>
        <w:keepLines w:val="0"/>
        <w:pageBreakBefore w:val="0"/>
        <w:widowControl w:val="0"/>
        <w:kinsoku/>
        <w:wordWrap/>
        <w:overflowPunct/>
        <w:topLinePunct w:val="0"/>
        <w:bidi w:val="0"/>
        <w:adjustRightInd w:val="0"/>
        <w:snapToGrid w:val="0"/>
        <w:spacing w:line="46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乙方：</w:t>
      </w:r>
      <w:r>
        <w:rPr>
          <w:rFonts w:hint="eastAsia" w:ascii="仿宋" w:hAnsi="仿宋" w:eastAsia="仿宋" w:cs="仿宋"/>
          <w:b/>
          <w:bCs/>
          <w:sz w:val="24"/>
          <w:szCs w:val="24"/>
          <w:u w:val="single"/>
        </w:rPr>
        <w:t xml:space="preserve">                          </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甲乙双方根据《中华人民共和国民法典》等有关法律法规和本合同的采购文件、报价文件及承诺，经双方友好协商，签订本合同，具体内容如下：</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一、项目名称</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_GB2312" w:hAnsi="仿宋" w:eastAsia="仿宋_GB2312"/>
          <w:b w:val="0"/>
          <w:bCs/>
          <w:sz w:val="24"/>
          <w:lang w:eastAsia="zh-CN"/>
        </w:rPr>
        <w:t>於潜“耕织云图”数字田园集成创新示范区项目（一期）</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二、项目建设计划</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（一）项目进度：合同签订后</w:t>
      </w:r>
      <w:r>
        <w:rPr>
          <w:rFonts w:hint="eastAsia" w:ascii="仿宋" w:hAnsi="仿宋" w:eastAsia="仿宋" w:cs="仿宋"/>
          <w:sz w:val="24"/>
          <w:szCs w:val="24"/>
          <w:u w:val="single"/>
        </w:rPr>
        <w:t xml:space="preserve">    </w:t>
      </w:r>
      <w:r>
        <w:rPr>
          <w:rFonts w:hint="eastAsia" w:ascii="仿宋" w:hAnsi="仿宋" w:eastAsia="仿宋" w:cs="仿宋"/>
          <w:sz w:val="24"/>
          <w:szCs w:val="24"/>
        </w:rPr>
        <w:t>日完成项目建设。</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（二）交付地点：            </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（三）交付内容：</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三、服务方式</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甲方的安排，乙方通过现场和远程协助等形式提供项目建设咨询服务和产品等成果物。现场服务方式包括：上门指导、面对面沟通、面对面汇报、会议研讨等；远程服务方式包括：电话、邮件、网络视频、远程会议等。</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（一）对接客户需求、系统运行展示、系统上线调试、技术培训、纠错调整、系统备份、维护保养等工作，以现场服务方式为主，远程服务为辅；</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（二）系统框架设计、后台程序开发等工作，以远程服务为主，现场服务为辅；</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（三）其他未尽事宜，原则上以现场服务为主，远程服务为辅。</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四、履行地点</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（一）履行地点：         </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（二）本合同的履行方式：遵守平等、公平、诚实信用等民法基本原则；合同签订后至双方权利义务履行完毕为止，届时合同自行终止。</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五、协议费用及支付方式</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（一）甲方应支付乙方项目系统建设服务经费总金额为人民币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元整（RMB     元），分三次付清。</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（二）甲方应在服务协议签订之日起10个工作日内，向乙方支付全部合同金额的</w:t>
      </w:r>
      <w:r>
        <w:rPr>
          <w:rFonts w:hint="eastAsia" w:ascii="仿宋" w:hAnsi="仿宋" w:eastAsia="仿宋" w:cs="仿宋"/>
          <w:sz w:val="24"/>
          <w:szCs w:val="24"/>
          <w:u w:val="single"/>
        </w:rPr>
        <w:t xml:space="preserve">     </w:t>
      </w:r>
      <w:r>
        <w:rPr>
          <w:rFonts w:hint="eastAsia" w:ascii="仿宋" w:hAnsi="仿宋" w:eastAsia="仿宋" w:cs="仿宋"/>
          <w:sz w:val="24"/>
          <w:szCs w:val="24"/>
        </w:rPr>
        <w:t>％，即人民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元整（RMB</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（三）软件系统研发完成后，甲方向乙方支付全部合同金额的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%，即人民币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元整（RMB</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（四）项目验收完成后，甲方向乙方支付全部合同金额的</w:t>
      </w:r>
      <w:r>
        <w:rPr>
          <w:rFonts w:hint="eastAsia" w:ascii="仿宋" w:hAnsi="仿宋" w:eastAsia="仿宋" w:cs="仿宋"/>
          <w:sz w:val="24"/>
          <w:szCs w:val="24"/>
          <w:u w:val="single"/>
        </w:rPr>
        <w:t xml:space="preserve">   </w:t>
      </w:r>
      <w:r>
        <w:rPr>
          <w:rFonts w:hint="eastAsia" w:ascii="仿宋" w:hAnsi="仿宋" w:eastAsia="仿宋" w:cs="仿宋"/>
          <w:sz w:val="24"/>
          <w:szCs w:val="24"/>
        </w:rPr>
        <w:t>%，即人民币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元整（RMB</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六、技术情报和资料保密</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（一）乙方不得将甲方的资料及保密信息向第三方泄露；协议终止后，乙方应将甲方提供的相关资料归还甲方；</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甲方及其工作人员对乙方提供的专业意见、建议和方案、各项分析资料和相应信息系统，以及在履行协议过程中了解的乙方有关经营管理数据、资料和信息等商业秘密有保密义务，未经乙方书面许可，不得向第三方披露，信息系统不得交由第三方使用；</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（三）保密期限不受协议有效期限的约束。</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七、权利与义务</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（一）甲方的权利</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1.甲方在本项目费用结清后对本项目研究的甲方个性化成果拥有永久所有权，对乙方交付的全部成果拥有永久使用权，仅限甲方内部使用；</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2.甲方有权要求乙方按甲方要求完成系统、数据导入和备份；</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3.甲方可以根据协议服务事项，在约定的差旅费用控制总量范围内，要求乙方工作人员现场或远程服务；</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4.甲方对乙方提供的工作人员的工作能力、工作态度等可以提出质疑，并提出选择更换或要求改进。</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（二）甲方的义务</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1.配合乙方做好系统开发、实施所必需的协调工作，指定专人负责项目全过程中的各项具体工作，配合乙方完成系统的试运行工作并组织项目验收工作，提供软件运行的硬件、网络及相关软件环境；</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2.按照乙方的数据接口要求提供系统所需的业务数据，并及时解答项目过程中所涉及的问题；</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3.按照协议规定，按期支付协议款项。</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（三）乙方的权利</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1.在项目执行过程中，乙方有权要求甲方提供必要的工作配合；</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2.在项目执行过程中，在超出约定的差旅费用控制总量范围的，乙方有权选择服务方式；</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3.在项目执行过程中，因乙方现场人员服务效果及提供的成果物质量与甲方标准不符等原因，超出约定的差旅费用控制总量范围的，由乙方自行负担相关责任；</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4.乙方有权要求甲方按服务协议约定按期支付项目建设费用及差旅食宿等其他费用；</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（四）乙方的义务</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根据甲方需求定制个性化的软件UI设计及设备外观设计；</w:t>
      </w:r>
    </w:p>
    <w:p>
      <w:pPr>
        <w:pStyle w:val="79"/>
        <w:ind w:firstLine="480" w:firstLineChars="200"/>
        <w:rPr>
          <w:rFonts w:hint="eastAsia" w:eastAsia="仿宋_GB2312"/>
          <w:lang w:val="en-US" w:eastAsia="zh-CN"/>
        </w:rPr>
      </w:pPr>
      <w:r>
        <w:rPr>
          <w:rFonts w:hint="eastAsia"/>
          <w:lang w:val="en-US" w:eastAsia="zh-CN"/>
        </w:rPr>
        <w:t>2.</w:t>
      </w:r>
      <w:r>
        <w:rPr>
          <w:rFonts w:hint="eastAsia" w:ascii="仿宋" w:hAnsi="仿宋" w:eastAsia="仿宋" w:cs="仿宋"/>
          <w:sz w:val="24"/>
          <w:szCs w:val="24"/>
          <w:lang w:val="en-US" w:eastAsia="zh-CN"/>
        </w:rPr>
        <w:t>根据甲方需求与现有子系统与平台完成数据对接；</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.乙方在产品通过验收前，应及时解决功能需求不匹配及软件系统功能故障等问题；</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.乙方提供项目验收期间的技术支持；</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.未经甲方同意，乙方不得将本项目中甲方的个性化建设成果到任意第三方演示、展示。否则，甲方保留追责的权利。</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八、验收的标准和方式</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（一）验收标准以有关本项目标的技术的内容、范围、形式和要求为标准；</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（二）验收方式为：程序系统经试运行后得到认可，所有递交文档都必须评审通过，并且经双方授权代表签字确认；</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（三）验收时间：在系统部署上线运行后，甲方应根据系统运行情况及时启动系统验收工作，原则上不得超过3个月；</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（四）项目验收前，乙方应完整提交给甲方本项目的全部成果材料作为验收的必备条件，包括软件安装程序、安装说明书、用户操作手册、技术手册、产品部署工作记录、软件培训材料等。</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九、售后服务条款</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（一）验收合格之日起的   年内为免费质保期，第   年起为有偿服务，应承诺不高于市场价，服务合同另行签订；</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（二）质保期内，如产品因非人为因素出现故障而造成短期停用时，则服务期相应顺延。如停用时间累计超过60天则服务期重新计算；</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（三）对甲方的服务通知，乙方在接报后2小时内响应，24小时内到达现场。</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十、违约条款</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（一）若乙方不能在规定的日期内提供符合甲方需求的服务及相应成果物，甲方有权从逾期之日起，以每周扣除合同金额1‰的方式在项目余款中扣除；其中：</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1.因甲方未能及时对甲方需求、或乙方上一阶段的工作予以书面确认，而导致乙方未能及时启动本阶段工作的情况除外；</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2.因甲方未能及时向乙方提供本阶段工作所需要的前提条件（如，合格的硬件、规范的业务数据、项目计划中预设时间的会议、培训及其他沟通形式等）的情况除外；</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（二）若甲方无正当理由拒绝接收产品或拒绝接受服务，或甲方未能按期向乙方付款，甲方应向乙方缴纳违约金，每延期一周，违约金为合同金额的1‰；其中：</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1.因乙方未能及时提供符合甲方标准的相关支付依据（如合同、工作确认文件等），而导致甲方不能及时启动支付流程的情况除外；</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2.因乙方未能及时开具符合甲方标准的发票，而导致甲方未能及时启动支付流程的情况除外；</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（三）如遇甲方上级单位、政策、或主要领导变动而导致的系统暂停或终止，应按照双方协商确定的已完工工作,支付乙方费用；</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（四）违反保密义务造成对方损失的，应承担赔偿责任；</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（五）其余违约责任按《合同法》及相关法律法规或双方协商处理；</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如果发生违约事件，履约方要求违约方支付违约金时，应当以书面方式通知违约方，内容包括违约事件、违约金、支付时间和方式等。</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十一、免责条款</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若发生不可抗力事件，则须由受不可抗力事件影响的一方，取得公证机关的不能履行或不能全部履行服务协议的证明手续，并在事件发生后的三十个工作日内通知对方。双方同意，可凭此证明解除全部或部分相关责任，但应采取相应的补救措施，减少对方的损失。若服务协议能够继续履行，应继续履行。</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十二、其他</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（一）协议变更</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协议的变更及修改须经双方同意，以书面形式变更，与服务协议具有同等法律效力。</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（二）协议解除</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1.有下列情况之一的，可以解除协议：</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（1）客观情况发生变化，使协议履行已无必要，经甲乙双方协商一致的；</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（2）因不可抗力，使协议不能实际履行的。</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2.因不可抗力而解除协议的，按照免责条款执行。</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3.协议解除或者终止后，根据已完成项目内容进行费用结算。</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（三）争议的解决办法</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因执行服务协议而发生的或与服务协议有关的争议，由双方协商解决。若不能协商解决，应提交杭州仲裁委员会按照该会仲裁规则进行仲裁。仲裁裁决是终局的，对双方当事人均有约束力。</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（四）附则</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1.开发协议自双方代表人签字并加盖公章（或合同专用章）之日起生效。若双方签署日期存在不一致的，则本合同自最后一方签署之日生效。</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2.开发协议一经双方签字、盖章即生效，协议执行期间，甲、乙双方均不得随意变更或解除协议。</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3.本协议未尽事宜，双方可另行协商，所签署之补充协议或其它文件作为附件，与本协议具同等法律效力。</w:t>
      </w:r>
    </w:p>
    <w:p>
      <w:pPr>
        <w:keepNext w:val="0"/>
        <w:keepLines w:val="0"/>
        <w:pageBreakBefore w:val="0"/>
        <w:widowControl w:val="0"/>
        <w:kinsoku/>
        <w:wordWrap/>
        <w:overflowPunct/>
        <w:topLinePunct w:val="0"/>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4.本合同正本一式伍份，具有同等法律效力。甲、乙双方各执贰份，招标代理公司一份。</w:t>
      </w:r>
    </w:p>
    <w:tbl>
      <w:tblPr>
        <w:tblStyle w:val="6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bidi w:val="0"/>
              <w:adjustRightInd w:val="0"/>
              <w:snapToGrid w:val="0"/>
              <w:spacing w:line="460" w:lineRule="exact"/>
              <w:ind w:left="1680" w:hanging="1680" w:hangingChars="700"/>
              <w:textAlignment w:val="auto"/>
              <w:rPr>
                <w:rFonts w:hint="eastAsia" w:ascii="仿宋" w:hAnsi="仿宋" w:eastAsia="仿宋" w:cs="仿宋"/>
                <w:sz w:val="24"/>
                <w:szCs w:val="24"/>
              </w:rPr>
            </w:pPr>
            <w:r>
              <w:rPr>
                <w:rFonts w:hint="eastAsia" w:ascii="仿宋" w:hAnsi="仿宋" w:eastAsia="仿宋" w:cs="仿宋"/>
                <w:sz w:val="24"/>
                <w:szCs w:val="24"/>
              </w:rPr>
              <w:t xml:space="preserve">甲方（盖章）： </w:t>
            </w:r>
          </w:p>
          <w:p>
            <w:pPr>
              <w:keepNext w:val="0"/>
              <w:keepLines w:val="0"/>
              <w:pageBreakBefore w:val="0"/>
              <w:widowControl w:val="0"/>
              <w:kinsoku/>
              <w:wordWrap/>
              <w:overflowPunct/>
              <w:topLinePunct w:val="0"/>
              <w:bidi w:val="0"/>
              <w:adjustRightInd w:val="0"/>
              <w:snapToGrid w:val="0"/>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法定（授权）代表人：</w:t>
            </w:r>
          </w:p>
          <w:p>
            <w:pPr>
              <w:keepNext w:val="0"/>
              <w:keepLines w:val="0"/>
              <w:pageBreakBefore w:val="0"/>
              <w:widowControl w:val="0"/>
              <w:kinsoku/>
              <w:wordWrap/>
              <w:overflowPunct/>
              <w:topLinePunct w:val="0"/>
              <w:bidi w:val="0"/>
              <w:adjustRightInd w:val="0"/>
              <w:snapToGrid w:val="0"/>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联系电话：</w:t>
            </w:r>
          </w:p>
          <w:p>
            <w:pPr>
              <w:keepNext w:val="0"/>
              <w:keepLines w:val="0"/>
              <w:pageBreakBefore w:val="0"/>
              <w:widowControl w:val="0"/>
              <w:kinsoku/>
              <w:wordWrap/>
              <w:overflowPunct/>
              <w:topLinePunct w:val="0"/>
              <w:bidi w:val="0"/>
              <w:adjustRightInd w:val="0"/>
              <w:snapToGrid w:val="0"/>
              <w:spacing w:line="460" w:lineRule="exact"/>
              <w:textAlignment w:val="auto"/>
              <w:rPr>
                <w:rFonts w:hint="eastAsia" w:ascii="仿宋" w:hAnsi="仿宋" w:eastAsia="仿宋" w:cs="仿宋"/>
                <w:sz w:val="24"/>
                <w:szCs w:val="24"/>
              </w:rPr>
            </w:pPr>
          </w:p>
        </w:tc>
        <w:tc>
          <w:tcPr>
            <w:tcW w:w="4261" w:type="dxa"/>
          </w:tcPr>
          <w:p>
            <w:pPr>
              <w:keepNext w:val="0"/>
              <w:keepLines w:val="0"/>
              <w:pageBreakBefore w:val="0"/>
              <w:widowControl w:val="0"/>
              <w:kinsoku/>
              <w:wordWrap/>
              <w:overflowPunct/>
              <w:topLinePunct w:val="0"/>
              <w:bidi w:val="0"/>
              <w:adjustRightInd w:val="0"/>
              <w:snapToGrid w:val="0"/>
              <w:spacing w:line="460" w:lineRule="exact"/>
              <w:ind w:left="1680" w:hanging="1680" w:hangingChars="700"/>
              <w:textAlignment w:val="auto"/>
              <w:rPr>
                <w:rFonts w:hint="eastAsia" w:ascii="仿宋" w:hAnsi="仿宋" w:eastAsia="仿宋" w:cs="仿宋"/>
                <w:sz w:val="24"/>
                <w:szCs w:val="24"/>
              </w:rPr>
            </w:pPr>
            <w:r>
              <w:rPr>
                <w:rFonts w:hint="eastAsia" w:ascii="仿宋" w:hAnsi="仿宋" w:eastAsia="仿宋" w:cs="仿宋"/>
                <w:sz w:val="24"/>
                <w:szCs w:val="24"/>
              </w:rPr>
              <w:t xml:space="preserve">乙方（盖章）： </w:t>
            </w:r>
          </w:p>
          <w:p>
            <w:pPr>
              <w:keepNext w:val="0"/>
              <w:keepLines w:val="0"/>
              <w:pageBreakBefore w:val="0"/>
              <w:widowControl w:val="0"/>
              <w:kinsoku/>
              <w:wordWrap/>
              <w:overflowPunct/>
              <w:topLinePunct w:val="0"/>
              <w:bidi w:val="0"/>
              <w:adjustRightInd w:val="0"/>
              <w:snapToGrid w:val="0"/>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法定（授权）代表人：</w:t>
            </w:r>
          </w:p>
          <w:p>
            <w:pPr>
              <w:keepNext w:val="0"/>
              <w:keepLines w:val="0"/>
              <w:pageBreakBefore w:val="0"/>
              <w:widowControl w:val="0"/>
              <w:kinsoku/>
              <w:wordWrap/>
              <w:overflowPunct/>
              <w:topLinePunct w:val="0"/>
              <w:bidi w:val="0"/>
              <w:adjustRightInd w:val="0"/>
              <w:snapToGrid w:val="0"/>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联系电话： </w:t>
            </w:r>
          </w:p>
          <w:p>
            <w:pPr>
              <w:keepNext w:val="0"/>
              <w:keepLines w:val="0"/>
              <w:pageBreakBefore w:val="0"/>
              <w:widowControl w:val="0"/>
              <w:kinsoku/>
              <w:wordWrap/>
              <w:overflowPunct/>
              <w:topLinePunct w:val="0"/>
              <w:bidi w:val="0"/>
              <w:adjustRightInd w:val="0"/>
              <w:snapToGrid w:val="0"/>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帐    号： </w:t>
            </w:r>
          </w:p>
        </w:tc>
      </w:tr>
    </w:tbl>
    <w:p>
      <w:pPr>
        <w:keepNext w:val="0"/>
        <w:keepLines w:val="0"/>
        <w:pageBreakBefore w:val="0"/>
        <w:widowControl w:val="0"/>
        <w:kinsoku/>
        <w:wordWrap/>
        <w:overflowPunct/>
        <w:topLinePunct w:val="0"/>
        <w:bidi w:val="0"/>
        <w:adjustRightInd w:val="0"/>
        <w:snapToGrid w:val="0"/>
        <w:spacing w:line="460" w:lineRule="exact"/>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签订时间：    年    月    日</w:t>
      </w:r>
    </w:p>
    <w:p>
      <w:pPr>
        <w:pStyle w:val="44"/>
        <w:keepNext w:val="0"/>
        <w:keepLines w:val="0"/>
        <w:pageBreakBefore w:val="0"/>
        <w:widowControl w:val="0"/>
        <w:kinsoku/>
        <w:wordWrap/>
        <w:overflowPunct/>
        <w:topLinePunct w:val="0"/>
        <w:bidi w:val="0"/>
        <w:adjustRightInd w:val="0"/>
        <w:spacing w:line="46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bidi w:val="0"/>
        <w:adjustRightInd w:val="0"/>
        <w:spacing w:line="460" w:lineRule="exact"/>
        <w:textAlignment w:val="auto"/>
        <w:rPr>
          <w:rFonts w:hint="eastAsia" w:ascii="仿宋" w:hAnsi="仿宋" w:eastAsia="仿宋" w:cs="仿宋"/>
        </w:rPr>
      </w:pPr>
    </w:p>
    <w:p>
      <w:pPr>
        <w:keepNext w:val="0"/>
        <w:keepLines w:val="0"/>
        <w:pageBreakBefore w:val="0"/>
        <w:widowControl w:val="0"/>
        <w:kinsoku/>
        <w:wordWrap/>
        <w:overflowPunct/>
        <w:topLinePunct w:val="0"/>
        <w:bidi w:val="0"/>
        <w:adjustRightInd w:val="0"/>
        <w:spacing w:line="460" w:lineRule="exact"/>
        <w:ind w:left="-420" w:leftChars="-200" w:right="-420" w:rightChars="-200"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备注：合同签订前，甲方有权根据实际情况进行补充、调整</w:t>
      </w:r>
      <w:r>
        <w:rPr>
          <w:rFonts w:hint="eastAsia" w:ascii="仿宋" w:hAnsi="仿宋" w:eastAsia="仿宋" w:cs="仿宋"/>
          <w:sz w:val="24"/>
          <w:szCs w:val="24"/>
        </w:rPr>
        <w:t>。</w:t>
      </w:r>
    </w:p>
    <w:p>
      <w:pPr>
        <w:pStyle w:val="79"/>
        <w:rPr>
          <w:rFonts w:hint="eastAsia"/>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Pr>
        <w:pStyle w:val="79"/>
        <w:rPr>
          <w:rFonts w:hint="eastAsia" w:ascii="仿宋" w:hAnsi="仿宋" w:eastAsia="仿宋" w:cs="仿宋"/>
          <w:sz w:val="24"/>
          <w:szCs w:val="24"/>
        </w:rPr>
      </w:pPr>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left"/>
        <w:outlineLvl w:val="0"/>
        <w:rPr>
          <w:rFonts w:hint="eastAsia" w:ascii="仿宋" w:hAnsi="仿宋" w:eastAsia="仿宋" w:cs="仿宋"/>
          <w:sz w:val="24"/>
        </w:rPr>
      </w:pPr>
      <w:r>
        <w:rPr>
          <w:rFonts w:hint="eastAsia" w:ascii="仿宋" w:hAnsi="仿宋" w:eastAsia="仿宋" w:cs="仿宋"/>
          <w:sz w:val="24"/>
        </w:rPr>
        <w:t>投标人按照以下格式编制投标文件</w:t>
      </w:r>
    </w:p>
    <w:p>
      <w:pPr>
        <w:pStyle w:val="44"/>
      </w:pPr>
    </w:p>
    <w:p>
      <w:pPr>
        <w:spacing w:line="360" w:lineRule="auto"/>
        <w:jc w:val="center"/>
        <w:outlineLvl w:val="0"/>
        <w:rPr>
          <w:rFonts w:ascii="仿宋_GB2312" w:hAnsi="仿宋" w:eastAsia="仿宋_GB2312" w:cs="仿宋_GB2312"/>
          <w:b/>
          <w:kern w:val="0"/>
          <w:sz w:val="36"/>
          <w:szCs w:val="36"/>
        </w:rPr>
      </w:pPr>
      <w:r>
        <w:rPr>
          <w:rFonts w:hint="eastAsia" w:ascii="仿宋" w:hAnsi="仿宋" w:eastAsia="仿宋" w:cs="仿宋"/>
          <w:sz w:val="36"/>
          <w:szCs w:val="36"/>
          <w:lang w:val="zh-CN"/>
        </w:rPr>
        <w:t>▲</w:t>
      </w: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480" w:lineRule="auto"/>
        <w:rPr>
          <w:rFonts w:hint="eastAsia" w:ascii="仿宋" w:hAnsi="仿宋" w:eastAsia="仿宋" w:cs="仿宋"/>
          <w:sz w:val="24"/>
        </w:rPr>
      </w:pPr>
      <w:r>
        <w:rPr>
          <w:rFonts w:hint="eastAsia" w:ascii="仿宋" w:hAnsi="仿宋" w:eastAsia="仿宋" w:cs="仿宋"/>
          <w:sz w:val="24"/>
        </w:rPr>
        <w:t>（1）具有独立承担民事责任的能力（企业法人营业执照）………………………（页码）</w:t>
      </w:r>
    </w:p>
    <w:p>
      <w:pPr>
        <w:snapToGrid w:val="0"/>
        <w:spacing w:line="480" w:lineRule="auto"/>
        <w:rPr>
          <w:rFonts w:hint="eastAsia" w:ascii="仿宋" w:hAnsi="仿宋" w:eastAsia="仿宋" w:cs="仿宋"/>
          <w:sz w:val="24"/>
        </w:rPr>
      </w:pPr>
      <w:r>
        <w:rPr>
          <w:rFonts w:hint="eastAsia" w:ascii="仿宋" w:hAnsi="仿宋" w:eastAsia="仿宋" w:cs="仿宋"/>
          <w:sz w:val="24"/>
        </w:rPr>
        <w:t>（2）具有良好的商业信誉和健全的财务会计制度（最近一年财务报表，新成立的公司提供情况说明)…………………………………………………………………………（页码）</w:t>
      </w:r>
    </w:p>
    <w:p>
      <w:pPr>
        <w:snapToGrid w:val="0"/>
        <w:spacing w:line="480" w:lineRule="auto"/>
        <w:rPr>
          <w:rFonts w:hint="eastAsia" w:ascii="仿宋" w:hAnsi="仿宋" w:eastAsia="仿宋" w:cs="仿宋"/>
          <w:sz w:val="24"/>
        </w:rPr>
      </w:pPr>
      <w:r>
        <w:rPr>
          <w:rFonts w:hint="eastAsia" w:ascii="仿宋" w:hAnsi="仿宋" w:eastAsia="仿宋" w:cs="仿宋"/>
          <w:sz w:val="24"/>
        </w:rPr>
        <w:t>（3）具有履行合同所必需的设备和专业技术能力的承诺函………………………（页码）</w:t>
      </w:r>
    </w:p>
    <w:p>
      <w:pPr>
        <w:snapToGrid w:val="0"/>
        <w:spacing w:line="48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eastAsia="zh-CN"/>
        </w:rPr>
        <w:t>具有</w:t>
      </w:r>
      <w:r>
        <w:rPr>
          <w:rFonts w:hint="eastAsia" w:ascii="仿宋" w:hAnsi="仿宋" w:eastAsia="仿宋" w:cs="仿宋"/>
          <w:sz w:val="24"/>
        </w:rPr>
        <w:t>依法缴纳税收和社会保障资金的</w:t>
      </w:r>
      <w:r>
        <w:rPr>
          <w:rFonts w:hint="eastAsia" w:ascii="仿宋" w:hAnsi="仿宋" w:eastAsia="仿宋" w:cs="仿宋"/>
          <w:sz w:val="24"/>
          <w:lang w:eastAsia="zh-CN"/>
        </w:rPr>
        <w:t>（税收完税证明、纳税证明）</w:t>
      </w:r>
      <w:r>
        <w:rPr>
          <w:rFonts w:hint="eastAsia" w:ascii="仿宋" w:hAnsi="仿宋" w:eastAsia="仿宋" w:cs="仿宋"/>
          <w:sz w:val="24"/>
        </w:rPr>
        <w:t>………（页码）</w:t>
      </w:r>
    </w:p>
    <w:p>
      <w:pPr>
        <w:snapToGrid w:val="0"/>
        <w:spacing w:line="48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）参加政府采购活动前3年内在经营活动中没有重大违法记录的声明函……（页码）</w:t>
      </w:r>
    </w:p>
    <w:p>
      <w:pPr>
        <w:snapToGrid w:val="0"/>
        <w:spacing w:line="48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未被“信用中国”（www.creditchina.gov.cn）、中国政府采购网（www.ccgp.gov.cn）列入失信被执行人、重大税收违法案件当事人名单、政府采购严重违法失信行为记录名单的承诺函或官网截图………………………………………………………………（页码）</w:t>
      </w:r>
    </w:p>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hint="eastAsia" w:ascii="仿宋_GB2312" w:hAnsi="仿宋" w:eastAsia="仿宋_GB2312" w:cs="仿宋_GB2312"/>
          <w:b/>
          <w:kern w:val="0"/>
          <w:sz w:val="32"/>
          <w:szCs w:val="32"/>
          <w:lang w:eastAsia="zh-CN"/>
        </w:rPr>
        <w:t>一、</w:t>
      </w:r>
      <w:r>
        <w:rPr>
          <w:rFonts w:hint="eastAsia" w:ascii="仿宋_GB2312" w:hAnsi="仿宋" w:eastAsia="仿宋_GB2312" w:cs="仿宋_GB2312"/>
          <w:b/>
          <w:kern w:val="0"/>
          <w:sz w:val="32"/>
          <w:szCs w:val="32"/>
        </w:rPr>
        <w:t xml:space="preserve">  具有独立承担民事责任的能力</w:t>
      </w:r>
    </w:p>
    <w:p>
      <w:pPr>
        <w:snapToGrid w:val="0"/>
        <w:spacing w:line="360" w:lineRule="auto"/>
        <w:ind w:right="480"/>
        <w:jc w:val="center"/>
        <w:rPr>
          <w:rFonts w:ascii="仿宋_GB2312" w:hAnsi="仿宋" w:eastAsia="仿宋_GB2312" w:cs="仿宋_GB2312"/>
          <w:b/>
          <w:kern w:val="0"/>
          <w:sz w:val="32"/>
          <w:szCs w:val="32"/>
        </w:rPr>
      </w:pPr>
    </w:p>
    <w:p>
      <w:pPr>
        <w:pStyle w:val="44"/>
        <w:jc w:val="center"/>
        <w:rPr>
          <w:rFonts w:hint="eastAsia" w:eastAsia="仿宋"/>
          <w:sz w:val="28"/>
          <w:szCs w:val="28"/>
          <w:lang w:eastAsia="zh-CN"/>
        </w:rPr>
      </w:pPr>
      <w:r>
        <w:rPr>
          <w:rFonts w:hint="eastAsia" w:ascii="仿宋" w:hAnsi="仿宋" w:eastAsia="仿宋" w:cs="仿宋"/>
          <w:sz w:val="28"/>
          <w:szCs w:val="28"/>
        </w:rPr>
        <w:t>企业法人营业执照</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二、具有良好的商业信誉和健全的财务会计制度</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最近一年财务报表，新成立的公司提供情况说明</w:t>
      </w:r>
    </w:p>
    <w:p>
      <w:pPr>
        <w:pStyle w:val="44"/>
        <w:rPr>
          <w:rFonts w:hint="eastAsia" w:ascii="仿宋" w:hAnsi="仿宋" w:eastAsia="仿宋" w:cs="仿宋"/>
          <w:kern w:val="2"/>
          <w:sz w:val="28"/>
          <w:szCs w:val="28"/>
          <w:lang w:val="en-US" w:eastAsia="zh-CN" w:bidi="ar-SA"/>
        </w:rPr>
      </w:pPr>
    </w:p>
    <w:p>
      <w:pPr>
        <w:rPr>
          <w:rFonts w:hint="eastAsia" w:ascii="仿宋" w:hAnsi="仿宋" w:eastAsia="仿宋" w:cs="仿宋"/>
          <w:kern w:val="2"/>
          <w:sz w:val="28"/>
          <w:szCs w:val="28"/>
          <w:lang w:val="en-US" w:eastAsia="zh-CN" w:bidi="ar-SA"/>
        </w:rPr>
      </w:pPr>
    </w:p>
    <w:p>
      <w:pPr>
        <w:pStyle w:val="44"/>
        <w:jc w:val="center"/>
        <w:rPr>
          <w:rFonts w:hint="eastAsia" w:ascii="仿宋_GB2312" w:hAnsi="仿宋" w:eastAsia="仿宋_GB2312" w:cs="仿宋_GB2312"/>
          <w:b/>
          <w:kern w:val="0"/>
          <w:sz w:val="32"/>
          <w:szCs w:val="32"/>
          <w:lang w:val="en-US" w:eastAsia="zh-CN" w:bidi="ar-SA"/>
        </w:rPr>
      </w:pPr>
      <w:r>
        <w:rPr>
          <w:rFonts w:hint="eastAsia" w:ascii="仿宋_GB2312" w:hAnsi="仿宋" w:eastAsia="仿宋_GB2312" w:cs="仿宋_GB2312"/>
          <w:b/>
          <w:kern w:val="0"/>
          <w:sz w:val="32"/>
          <w:szCs w:val="32"/>
          <w:lang w:val="en-US" w:eastAsia="zh-CN" w:bidi="ar-SA"/>
        </w:rPr>
        <w:t>三、具有履行合同所必需的设备和专业技术能力的承诺函</w:t>
      </w:r>
    </w:p>
    <w:p>
      <w:pPr>
        <w:rPr>
          <w:rFonts w:hint="eastAsia" w:ascii="仿宋" w:hAnsi="仿宋" w:eastAsia="仿宋" w:cs="仿宋"/>
          <w:kern w:val="2"/>
          <w:sz w:val="28"/>
          <w:szCs w:val="28"/>
          <w:lang w:val="en-US" w:eastAsia="zh-CN" w:bidi="ar-SA"/>
        </w:rPr>
      </w:pPr>
    </w:p>
    <w:p>
      <w:pPr>
        <w:pStyle w:val="44"/>
        <w:rPr>
          <w:rFonts w:hint="eastAsia" w:ascii="仿宋" w:hAnsi="仿宋" w:eastAsia="仿宋" w:cs="仿宋"/>
          <w:kern w:val="2"/>
          <w:sz w:val="28"/>
          <w:szCs w:val="28"/>
          <w:lang w:val="en-US" w:eastAsia="zh-CN" w:bidi="ar-SA"/>
        </w:rPr>
      </w:pPr>
    </w:p>
    <w:p>
      <w:pPr>
        <w:snapToGrid w:val="0"/>
        <w:spacing w:line="360" w:lineRule="auto"/>
        <w:rPr>
          <w:rFonts w:hint="eastAsia" w:ascii="仿宋" w:hAnsi="仿宋" w:eastAsia="仿宋" w:cs="仿宋"/>
          <w:sz w:val="28"/>
          <w:szCs w:val="28"/>
        </w:rPr>
      </w:pPr>
      <w:r>
        <w:rPr>
          <w:rFonts w:hint="eastAsia" w:ascii="仿宋" w:hAnsi="仿宋" w:eastAsia="仿宋" w:cs="仿宋"/>
          <w:sz w:val="28"/>
          <w:szCs w:val="28"/>
        </w:rPr>
        <w:t>（采购人）、（采购代理机构）：</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我方郑重承诺，我方具有履行项目名称：</w:t>
      </w:r>
      <w:r>
        <w:rPr>
          <w:rFonts w:hint="eastAsia" w:ascii="仿宋" w:hAnsi="仿宋" w:eastAsia="仿宋" w:cs="仿宋"/>
          <w:kern w:val="0"/>
          <w:sz w:val="28"/>
          <w:szCs w:val="28"/>
          <w:lang w:val="zh-CN"/>
        </w:rPr>
        <w:t>【招标编号：】</w:t>
      </w:r>
      <w:r>
        <w:rPr>
          <w:rFonts w:hint="eastAsia" w:ascii="仿宋" w:hAnsi="仿宋" w:eastAsia="仿宋" w:cs="仿宋"/>
          <w:sz w:val="28"/>
          <w:szCs w:val="28"/>
        </w:rPr>
        <w:t>合同所必需的设备和专业技术能力。如中标，我方将保证合同顺利履行。</w:t>
      </w:r>
    </w:p>
    <w:p>
      <w:pPr>
        <w:snapToGrid w:val="0"/>
        <w:spacing w:line="360" w:lineRule="auto"/>
        <w:rPr>
          <w:rFonts w:hint="eastAsia" w:ascii="仿宋" w:hAnsi="仿宋" w:eastAsia="仿宋" w:cs="仿宋"/>
          <w:kern w:val="0"/>
          <w:sz w:val="28"/>
          <w:szCs w:val="28"/>
          <w:lang w:val="zh-CN"/>
        </w:rPr>
      </w:pPr>
    </w:p>
    <w:p>
      <w:pPr>
        <w:snapToGrid w:val="0"/>
        <w:spacing w:line="360" w:lineRule="auto"/>
        <w:ind w:firstLine="5880" w:firstLineChars="2100"/>
        <w:jc w:val="right"/>
        <w:rPr>
          <w:rFonts w:hint="eastAsia" w:ascii="仿宋" w:hAnsi="仿宋" w:eastAsia="仿宋" w:cs="仿宋"/>
          <w:kern w:val="0"/>
          <w:sz w:val="28"/>
          <w:szCs w:val="28"/>
        </w:rPr>
      </w:pPr>
      <w:r>
        <w:rPr>
          <w:rFonts w:hint="eastAsia" w:ascii="仿宋" w:hAnsi="仿宋" w:eastAsia="仿宋" w:cs="仿宋"/>
          <w:kern w:val="0"/>
          <w:sz w:val="28"/>
          <w:szCs w:val="28"/>
          <w:lang w:val="zh-CN"/>
        </w:rPr>
        <w:t xml:space="preserve"> 投标人名称(电子签名)：</w:t>
      </w:r>
    </w:p>
    <w:p>
      <w:pPr>
        <w:jc w:val="righ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日期</w:t>
      </w:r>
      <w:r>
        <w:rPr>
          <w:rFonts w:hint="eastAsia" w:ascii="仿宋" w:hAnsi="仿宋" w:eastAsia="仿宋" w:cs="仿宋"/>
          <w:kern w:val="0"/>
          <w:sz w:val="28"/>
          <w:szCs w:val="28"/>
        </w:rPr>
        <w:t xml:space="preserve">：  年  </w:t>
      </w:r>
      <w:r>
        <w:rPr>
          <w:rFonts w:hint="eastAsia" w:ascii="仿宋" w:hAnsi="仿宋" w:eastAsia="仿宋" w:cs="仿宋"/>
          <w:kern w:val="0"/>
          <w:sz w:val="28"/>
          <w:szCs w:val="28"/>
          <w:lang w:val="zh-CN"/>
        </w:rPr>
        <w:t>月</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lang w:val="zh-CN"/>
        </w:rPr>
        <w:t>日</w:t>
      </w:r>
    </w:p>
    <w:p>
      <w:pPr>
        <w:pStyle w:val="79"/>
        <w:rPr>
          <w:rFonts w:hint="eastAsia" w:ascii="仿宋" w:hAnsi="仿宋" w:eastAsia="仿宋" w:cs="仿宋"/>
          <w:kern w:val="0"/>
          <w:sz w:val="28"/>
          <w:szCs w:val="28"/>
          <w:lang w:val="zh-CN"/>
        </w:rPr>
      </w:pPr>
    </w:p>
    <w:p>
      <w:pPr>
        <w:pStyle w:val="79"/>
        <w:rPr>
          <w:rFonts w:hint="eastAsia" w:ascii="仿宋" w:hAnsi="仿宋" w:eastAsia="仿宋" w:cs="仿宋"/>
          <w:kern w:val="0"/>
          <w:sz w:val="28"/>
          <w:szCs w:val="28"/>
          <w:lang w:val="zh-CN"/>
        </w:rPr>
      </w:pPr>
    </w:p>
    <w:p>
      <w:pPr>
        <w:pStyle w:val="79"/>
        <w:jc w:val="center"/>
        <w:rPr>
          <w:rFonts w:hint="eastAsia" w:ascii="仿宋_GB2312" w:hAnsi="仿宋" w:eastAsia="仿宋_GB2312" w:cs="仿宋_GB2312"/>
          <w:b/>
          <w:color w:val="auto"/>
          <w:kern w:val="0"/>
          <w:sz w:val="32"/>
          <w:szCs w:val="32"/>
          <w:lang w:val="zh-CN" w:eastAsia="zh-CN" w:bidi="ar-SA"/>
        </w:rPr>
      </w:pPr>
      <w:r>
        <w:rPr>
          <w:rFonts w:hint="eastAsia" w:ascii="仿宋_GB2312" w:hAnsi="仿宋" w:eastAsia="仿宋_GB2312" w:cs="仿宋_GB2312"/>
          <w:b/>
          <w:color w:val="auto"/>
          <w:kern w:val="0"/>
          <w:sz w:val="32"/>
          <w:szCs w:val="32"/>
          <w:lang w:val="zh-CN" w:eastAsia="zh-CN" w:bidi="ar-SA"/>
        </w:rPr>
        <w:t>四、具有依法缴纳税收和社会保障资金的</w:t>
      </w:r>
    </w:p>
    <w:p>
      <w:pPr>
        <w:pStyle w:val="79"/>
        <w:rPr>
          <w:rFonts w:hint="eastAsia" w:ascii="仿宋" w:hAnsi="仿宋" w:eastAsia="仿宋" w:cs="仿宋"/>
          <w:kern w:val="0"/>
          <w:sz w:val="28"/>
          <w:szCs w:val="28"/>
          <w:lang w:val="zh-CN"/>
        </w:rPr>
      </w:pPr>
    </w:p>
    <w:p>
      <w:pPr>
        <w:pStyle w:val="79"/>
        <w:rPr>
          <w:rFonts w:hint="eastAsia" w:ascii="仿宋" w:hAnsi="仿宋" w:eastAsia="仿宋" w:cs="仿宋"/>
          <w:kern w:val="0"/>
          <w:sz w:val="28"/>
          <w:szCs w:val="28"/>
          <w:lang w:val="zh-CN"/>
        </w:rPr>
      </w:pPr>
    </w:p>
    <w:p>
      <w:pPr>
        <w:pStyle w:val="79"/>
        <w:jc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税收完税证明、纳税证明</w:t>
      </w:r>
    </w:p>
    <w:p>
      <w:pPr>
        <w:pStyle w:val="44"/>
        <w:rPr>
          <w:rFonts w:hint="eastAsia"/>
          <w:lang w:val="en-US" w:eastAsia="zh-CN"/>
        </w:rPr>
      </w:pPr>
    </w:p>
    <w:p>
      <w:pPr>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rPr>
          <w:rFonts w:hint="eastAsia"/>
          <w:lang w:val="en-US" w:eastAsia="zh-CN"/>
        </w:rPr>
      </w:pPr>
    </w:p>
    <w:p>
      <w:pPr>
        <w:pStyle w:val="79"/>
        <w:jc w:val="center"/>
        <w:rPr>
          <w:rFonts w:hint="eastAsia" w:ascii="仿宋_GB2312" w:hAnsi="仿宋" w:eastAsia="仿宋_GB2312" w:cs="仿宋_GB2312"/>
          <w:b/>
          <w:color w:val="auto"/>
          <w:kern w:val="0"/>
          <w:sz w:val="32"/>
          <w:szCs w:val="32"/>
          <w:lang w:val="en-US" w:eastAsia="zh-CN" w:bidi="ar-SA"/>
        </w:rPr>
      </w:pPr>
      <w:r>
        <w:rPr>
          <w:rFonts w:hint="eastAsia" w:hAnsi="仿宋" w:cs="仿宋_GB2312"/>
          <w:b/>
          <w:color w:val="auto"/>
          <w:kern w:val="0"/>
          <w:sz w:val="32"/>
          <w:szCs w:val="32"/>
          <w:lang w:val="zh-CN" w:eastAsia="zh-CN" w:bidi="ar-SA"/>
        </w:rPr>
        <w:t>五、</w:t>
      </w:r>
      <w:r>
        <w:rPr>
          <w:rFonts w:hint="eastAsia" w:ascii="仿宋_GB2312" w:hAnsi="仿宋" w:eastAsia="仿宋_GB2312" w:cs="仿宋_GB2312"/>
          <w:b/>
          <w:color w:val="auto"/>
          <w:kern w:val="0"/>
          <w:sz w:val="32"/>
          <w:szCs w:val="32"/>
          <w:lang w:val="zh-CN" w:eastAsia="zh-CN" w:bidi="ar-SA"/>
        </w:rPr>
        <w:t>参加政府采购活动前3年内在经营活动中没有重大违法记录的声明</w:t>
      </w:r>
      <w:r>
        <w:rPr>
          <w:rFonts w:hint="eastAsia" w:hAnsi="仿宋" w:cs="仿宋_GB2312"/>
          <w:b/>
          <w:color w:val="auto"/>
          <w:kern w:val="0"/>
          <w:sz w:val="32"/>
          <w:szCs w:val="32"/>
          <w:lang w:val="zh-CN" w:eastAsia="zh-CN" w:bidi="ar-SA"/>
        </w:rPr>
        <w:t>函</w:t>
      </w:r>
    </w:p>
    <w:p>
      <w:pPr>
        <w:snapToGrid w:val="0"/>
        <w:spacing w:line="360" w:lineRule="auto"/>
        <w:ind w:right="480"/>
        <w:jc w:val="both"/>
        <w:rPr>
          <w:rFonts w:hint="eastAsia" w:ascii="仿宋_GB2312" w:hAnsi="仿宋" w:eastAsia="仿宋_GB2312" w:cs="仿宋_GB2312"/>
          <w:b/>
          <w:kern w:val="0"/>
          <w:sz w:val="32"/>
          <w:szCs w:val="32"/>
          <w:lang w:eastAsia="zh-CN"/>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方声明投标截止时间前三年，在经营活动中没有重大违法记录。</w:t>
      </w:r>
    </w:p>
    <w:p>
      <w:pPr>
        <w:snapToGrid w:val="0"/>
        <w:spacing w:line="360" w:lineRule="auto"/>
        <w:ind w:firstLine="480" w:firstLineChars="200"/>
        <w:rPr>
          <w:rFonts w:ascii="仿宋_GB2312" w:hAnsi="仿宋" w:eastAsia="仿宋_GB2312" w:cs="仿宋_GB2312"/>
          <w:sz w:val="24"/>
        </w:rPr>
      </w:pP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六、未被“信用中国”（www.creditchina.gov.cn）、中国政府采购网（www.ccgp.gov.cn）列入失信被执行人、重大税收违法案件当事人名单、政府采购严重违法失信行为记录名单</w:t>
      </w:r>
    </w:p>
    <w:p>
      <w:pPr>
        <w:snapToGrid w:val="0"/>
        <w:spacing w:line="360" w:lineRule="auto"/>
        <w:ind w:right="480"/>
        <w:jc w:val="center"/>
        <w:rPr>
          <w:rFonts w:ascii="仿宋_GB2312" w:hAnsi="仿宋" w:eastAsia="仿宋_GB2312" w:cs="仿宋_GB2312"/>
          <w:b/>
          <w:kern w:val="0"/>
          <w:sz w:val="32"/>
          <w:szCs w:val="32"/>
        </w:rPr>
      </w:pPr>
    </w:p>
    <w:p>
      <w:pPr>
        <w:jc w:val="center"/>
        <w:rPr>
          <w:sz w:val="28"/>
          <w:szCs w:val="28"/>
        </w:rPr>
      </w:pPr>
      <w:r>
        <w:rPr>
          <w:rFonts w:hint="eastAsia" w:ascii="仿宋" w:hAnsi="仿宋" w:eastAsia="仿宋" w:cs="仿宋"/>
          <w:sz w:val="28"/>
          <w:szCs w:val="28"/>
        </w:rPr>
        <w:t>承诺函</w:t>
      </w:r>
      <w:r>
        <w:rPr>
          <w:rFonts w:hint="eastAsia" w:ascii="仿宋" w:hAnsi="仿宋" w:eastAsia="仿宋" w:cs="仿宋"/>
          <w:sz w:val="28"/>
          <w:szCs w:val="28"/>
          <w:lang w:eastAsia="zh-CN"/>
        </w:rPr>
        <w:t>（格式自拟）</w:t>
      </w:r>
      <w:r>
        <w:rPr>
          <w:rFonts w:hint="eastAsia" w:ascii="仿宋" w:hAnsi="仿宋" w:eastAsia="仿宋" w:cs="仿宋"/>
          <w:sz w:val="28"/>
          <w:szCs w:val="28"/>
        </w:rPr>
        <w:t>或官网截图</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spacing w:line="360" w:lineRule="auto"/>
        <w:ind w:right="420" w:firstLine="3614" w:firstLineChars="100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（2）法人授权委托书</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（3）法定代表人及其授权代表的身份证（复印件）</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（4）投标人企业介绍（含企业概况、技术力量、主要产品、生产规模、市场业绩等）</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（5）主要类似业绩证明（含同类项目实施实施情况、合同、用户情况）</w:t>
      </w:r>
      <w:r>
        <w:rPr>
          <w:rFonts w:hint="eastAsia" w:ascii="仿宋" w:hAnsi="仿宋" w:eastAsia="仿宋" w:cs="仿宋"/>
        </w:rPr>
        <w:t>……（页码）</w:t>
      </w:r>
    </w:p>
    <w:p>
      <w:pPr>
        <w:pStyle w:val="44"/>
        <w:spacing w:line="360" w:lineRule="auto"/>
        <w:ind w:firstLine="480" w:firstLineChars="20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lang w:val="zh-CN"/>
        </w:rPr>
        <w:t>）投标人需要说明的其他文件和资料（格式自拟）</w:t>
      </w:r>
      <w:r>
        <w:rPr>
          <w:rFonts w:hint="eastAsia" w:ascii="仿宋" w:hAnsi="仿宋" w:eastAsia="仿宋" w:cs="仿宋"/>
        </w:rPr>
        <w:t>……………………………（页码）</w:t>
      </w:r>
    </w:p>
    <w:p>
      <w:pPr>
        <w:pStyle w:val="44"/>
        <w:rPr>
          <w:rFonts w:hint="eastAsia"/>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pStyle w:val="79"/>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具有独立承担民事责任的能力（企业法人营业执照）；</w:t>
      </w:r>
    </w:p>
    <w:p>
      <w:pPr>
        <w:snapToGrid w:val="0"/>
        <w:spacing w:line="360" w:lineRule="auto"/>
        <w:ind w:left="420" w:leftChars="2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.1.2具有良好的商业信誉和健全的财务会计制度（最近一年财务报表，新成立的公司提供情况说明)；</w:t>
      </w:r>
    </w:p>
    <w:p>
      <w:pPr>
        <w:snapToGrid w:val="0"/>
        <w:spacing w:line="360" w:lineRule="auto"/>
        <w:ind w:left="420" w:leftChars="2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.1.3具有履行合同所必需的设备和专业技术能力的承诺函；</w:t>
      </w:r>
    </w:p>
    <w:p>
      <w:pPr>
        <w:snapToGrid w:val="0"/>
        <w:spacing w:line="360" w:lineRule="auto"/>
        <w:ind w:left="420" w:leftChars="2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.1.4 具有依法缴纳税收和社会保障资金的（纳税证明）；</w:t>
      </w:r>
    </w:p>
    <w:p>
      <w:pPr>
        <w:snapToGrid w:val="0"/>
        <w:spacing w:line="360" w:lineRule="auto"/>
        <w:ind w:left="420" w:leftChars="2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.1.5 参加政府采购活动前3年内在经营活动中没有重大违法记录的声明函；</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.1.6 未被“信用中国”（www.creditchina.gov.cn）、中国政府采购网（www.ccgp.gov.cn）列入失信被执行人、重大税收违法案件当事人名单、政府采购严重违法失信行为记录名单的承诺函或官网截图。</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 xml:space="preserve">.2.1投标函； </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.2.2法人授权委托书；</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.2.3法定代表人及其授权代表的身份证（复印件）；</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.2.4投标人企业介绍（含企业概况、技术力量、主要产品、生产规模、市场业绩等）；</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.2.5主要类似业绩证明（含同类项目实施实施情况、合同、用户情况）；</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评标标准相应的商务技术资料；</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w:t>
      </w: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商务技术偏离表；</w:t>
      </w:r>
    </w:p>
    <w:p>
      <w:pPr>
        <w:snapToGrid w:val="0"/>
        <w:spacing w:line="360" w:lineRule="auto"/>
        <w:ind w:left="420" w:leftChars="200"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政府采购供应商廉洁自律承诺书；</w:t>
      </w:r>
    </w:p>
    <w:p>
      <w:pPr>
        <w:snapToGrid w:val="0"/>
        <w:spacing w:line="360" w:lineRule="auto"/>
        <w:ind w:left="420" w:leftChars="200" w:firstLine="480" w:firstLineChars="200"/>
        <w:rPr>
          <w:rFonts w:ascii="仿宋_GB2312" w:hAnsi="仿宋" w:eastAsia="仿宋_GB2312" w:cs="仿宋_GB2312"/>
          <w:sz w:val="24"/>
          <w:lang w:val="zh-CN"/>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lang w:val="zh-CN"/>
        </w:rPr>
        <w:t>.2.</w:t>
      </w:r>
      <w:r>
        <w:rPr>
          <w:rFonts w:hint="eastAsia" w:ascii="仿宋_GB2312" w:hAnsi="仿宋" w:eastAsia="仿宋_GB2312" w:cs="仿宋_GB2312"/>
          <w:sz w:val="24"/>
          <w:lang w:val="en-US" w:eastAsia="zh-CN"/>
        </w:rPr>
        <w:t>9</w:t>
      </w:r>
      <w:r>
        <w:rPr>
          <w:rFonts w:hint="eastAsia" w:ascii="仿宋_GB2312" w:hAnsi="仿宋" w:eastAsia="仿宋_GB2312" w:cs="仿宋_GB2312"/>
          <w:sz w:val="24"/>
          <w:lang w:val="zh-CN"/>
        </w:rPr>
        <w:t xml:space="preserve"> 投标人需要说明的其他文件和资料（格式自拟）；</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pStyle w:val="79"/>
        <w:spacing w:line="360" w:lineRule="auto"/>
        <w:ind w:firstLine="960" w:firstLineChars="400"/>
        <w:rPr>
          <w:rFonts w:hint="default" w:eastAsia="仿宋_GB2312"/>
          <w:lang w:val="en-US" w:eastAsia="zh-CN"/>
        </w:rPr>
      </w:pPr>
      <w:r>
        <w:rPr>
          <w:rFonts w:hint="eastAsia" w:hAnsi="仿宋" w:cs="仿宋_GB2312"/>
          <w:sz w:val="24"/>
          <w:lang w:val="en-US" w:eastAsia="zh-CN"/>
        </w:rPr>
        <w:t>2.3.2报价明细表；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lang w:val="en-US" w:eastAsia="zh-CN"/>
        </w:rPr>
        <w:t>3</w:t>
      </w:r>
      <w:r>
        <w:rPr>
          <w:rFonts w:ascii="仿宋_GB2312" w:hAnsi="仿宋" w:eastAsia="仿宋_GB2312" w:cs="仿宋_GB2312"/>
          <w:sz w:val="24"/>
        </w:rPr>
        <w:t>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w:t>
      </w:r>
      <w:r>
        <w:rPr>
          <w:rFonts w:ascii="仿宋_GB2312" w:hAnsi="仿宋" w:eastAsia="仿宋_GB2312" w:cs="仿宋_GB2312"/>
          <w:kern w:val="0"/>
          <w:sz w:val="24"/>
          <w:lang w:val="zh-CN"/>
        </w:rPr>
        <w:t>签名</w:t>
      </w:r>
      <w:r>
        <w:rPr>
          <w:rFonts w:hint="eastAsia" w:ascii="仿宋_GB2312" w:hAnsi="仿宋" w:eastAsia="仿宋_GB2312" w:cs="仿宋_GB2312"/>
          <w:sz w:val="24"/>
        </w:rPr>
        <w:t>）：</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adjustRightInd w:val="0"/>
        <w:snapToGrid w:val="0"/>
        <w:spacing w:line="360" w:lineRule="auto"/>
        <w:jc w:val="center"/>
        <w:rPr>
          <w:rFonts w:hint="eastAsia" w:ascii="宋体" w:hAnsi="宋体"/>
          <w:b/>
          <w:color w:val="auto"/>
          <w:kern w:val="0"/>
          <w:sz w:val="32"/>
          <w:szCs w:val="32"/>
          <w:highlight w:val="none"/>
          <w:lang w:val="zh-CN"/>
        </w:rPr>
      </w:pPr>
      <w:r>
        <w:rPr>
          <w:rFonts w:hint="eastAsia" w:ascii="宋体" w:hAnsi="宋体"/>
          <w:b/>
          <w:color w:val="auto"/>
          <w:kern w:val="0"/>
          <w:sz w:val="32"/>
          <w:szCs w:val="32"/>
          <w:highlight w:val="none"/>
          <w:lang w:val="en-US" w:eastAsia="zh-CN"/>
        </w:rPr>
        <w:t>二、法人</w:t>
      </w:r>
      <w:r>
        <w:rPr>
          <w:rFonts w:hint="eastAsia" w:ascii="宋体" w:hAnsi="宋体"/>
          <w:b/>
          <w:color w:val="auto"/>
          <w:kern w:val="0"/>
          <w:sz w:val="32"/>
          <w:szCs w:val="32"/>
          <w:highlight w:val="none"/>
          <w:lang w:val="zh-CN"/>
        </w:rPr>
        <w:t>授权委托书</w:t>
      </w:r>
    </w:p>
    <w:p>
      <w:pPr>
        <w:adjustRightInd w:val="0"/>
        <w:snapToGrid w:val="0"/>
        <w:spacing w:line="360" w:lineRule="auto"/>
        <w:rPr>
          <w:rFonts w:hint="eastAsia" w:ascii="宋体" w:hAnsi="宋体"/>
          <w:color w:val="auto"/>
          <w:sz w:val="24"/>
          <w:highlight w:val="none"/>
        </w:rPr>
      </w:pPr>
    </w:p>
    <w:p>
      <w:pPr>
        <w:adjustRightInd w:val="0"/>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sz w:val="24"/>
        </w:rPr>
        <w:t>（采购人）、（采购代理机构）</w:t>
      </w:r>
      <w:r>
        <w:rPr>
          <w:rFonts w:hint="eastAsia" w:ascii="仿宋" w:hAnsi="仿宋" w:eastAsia="仿宋" w:cs="仿宋"/>
          <w:color w:val="auto"/>
          <w:kern w:val="0"/>
          <w:sz w:val="24"/>
          <w:highlight w:val="none"/>
          <w:lang w:val="zh-CN"/>
        </w:rPr>
        <w:t>：</w:t>
      </w:r>
    </w:p>
    <w:p>
      <w:pPr>
        <w:adjustRightInd w:val="0"/>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兹委派我公司</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先生/女士(其在本公司的职务是：</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 xml:space="preserve"> ，联系电话：</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传真：</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)，代表我公司全权处理</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项目(编号：</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 xml:space="preserve"> )政府采购</w:t>
      </w:r>
      <w:r>
        <w:rPr>
          <w:rFonts w:hint="eastAsia" w:ascii="仿宋" w:hAnsi="仿宋" w:eastAsia="仿宋" w:cs="仿宋"/>
          <w:color w:val="auto"/>
          <w:kern w:val="0"/>
          <w:sz w:val="24"/>
          <w:highlight w:val="none"/>
        </w:rPr>
        <w:t>投标</w:t>
      </w:r>
      <w:r>
        <w:rPr>
          <w:rFonts w:hint="eastAsia" w:ascii="仿宋" w:hAnsi="仿宋" w:eastAsia="仿宋" w:cs="仿宋"/>
          <w:color w:val="auto"/>
          <w:kern w:val="0"/>
          <w:sz w:val="24"/>
          <w:highlight w:val="none"/>
          <w:lang w:val="zh-CN"/>
        </w:rPr>
        <w:t>的一切事项，若中标则全权代表本公司签订相关合同，并负责处理合同履行等事宜。</w:t>
      </w:r>
    </w:p>
    <w:p>
      <w:pPr>
        <w:adjustRightInd w:val="0"/>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本委托书有效期：自   年 月  日起至    年  月  日止。</w:t>
      </w:r>
    </w:p>
    <w:p>
      <w:pPr>
        <w:adjustRightInd w:val="0"/>
        <w:snapToGrid w:val="0"/>
        <w:spacing w:line="360" w:lineRule="auto"/>
        <w:ind w:firstLine="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特此告知。</w:t>
      </w:r>
    </w:p>
    <w:p>
      <w:pPr>
        <w:pStyle w:val="44"/>
        <w:rPr>
          <w:rFonts w:hint="eastAsia"/>
          <w:lang w:val="zh-CN"/>
        </w:rPr>
      </w:pPr>
    </w:p>
    <w:p>
      <w:pPr>
        <w:adjustRightInd w:val="0"/>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w:t>
      </w:r>
      <w:r>
        <w:rPr>
          <w:rFonts w:ascii="仿宋_GB2312" w:hAnsi="仿宋" w:eastAsia="仿宋_GB2312" w:cs="仿宋_GB2312"/>
          <w:kern w:val="0"/>
          <w:sz w:val="24"/>
          <w:lang w:val="zh-CN"/>
        </w:rPr>
        <w:t>签名</w:t>
      </w:r>
      <w:r>
        <w:rPr>
          <w:rFonts w:hint="eastAsia" w:ascii="仿宋" w:hAnsi="仿宋" w:eastAsia="仿宋" w:cs="仿宋"/>
          <w:color w:val="auto"/>
          <w:kern w:val="0"/>
          <w:sz w:val="24"/>
          <w:highlight w:val="none"/>
          <w:lang w:val="zh-CN"/>
        </w:rPr>
        <w:t>）：</w:t>
      </w:r>
    </w:p>
    <w:p>
      <w:pPr>
        <w:adjustRightInd w:val="0"/>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法定代表人(签字或盖章)：</w:t>
      </w:r>
    </w:p>
    <w:p>
      <w:pPr>
        <w:jc w:val="center"/>
        <w:rPr>
          <w:rFonts w:hint="eastAsia" w:ascii="仿宋" w:hAnsi="仿宋" w:eastAsia="仿宋" w:cs="仿宋"/>
          <w:b/>
          <w:kern w:val="0"/>
          <w:sz w:val="32"/>
          <w:szCs w:val="32"/>
          <w:lang w:val="zh-CN"/>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签发日期：  年  月   日</w:t>
      </w: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44"/>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pStyle w:val="44"/>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pStyle w:val="44"/>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pStyle w:val="44"/>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pStyle w:val="44"/>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pStyle w:val="44"/>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pStyle w:val="44"/>
        <w:rPr>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三、法定代表人及其授权代表的身份证（复印件）</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autoSpaceDE w:val="0"/>
        <w:autoSpaceDN w:val="0"/>
        <w:spacing w:line="360" w:lineRule="auto"/>
        <w:jc w:val="center"/>
        <w:rPr>
          <w:rFonts w:ascii="仿宋_GB2312" w:hAnsi="仿宋" w:eastAsia="仿宋_GB2312" w:cs="仿宋_GB2312"/>
          <w:b/>
          <w:sz w:val="24"/>
        </w:rPr>
      </w:pPr>
    </w:p>
    <w:p>
      <w:pPr>
        <w:pStyle w:val="147"/>
        <w:spacing w:line="360" w:lineRule="auto"/>
        <w:rPr>
          <w:rFonts w:ascii="仿宋_GB2312" w:hAnsi="仿宋" w:eastAsia="仿宋_GB2312"/>
          <w:bCs/>
          <w:sz w:val="24"/>
        </w:rPr>
      </w:pPr>
      <w:r>
        <w:rPr>
          <w:rFonts w:hint="eastAsia" w:ascii="仿宋" w:hAnsi="仿宋" w:eastAsia="仿宋" w:cs="仿宋"/>
          <w:bCs/>
          <w:sz w:val="24"/>
        </w:rPr>
        <w:t>法定代表人身份证件扫描件</w:t>
      </w:r>
      <w:r>
        <w:rPr>
          <w:rFonts w:hint="eastAsia" w:ascii="仿宋_GB2312" w:hAnsi="仿宋" w:eastAsia="仿宋_GB2312"/>
          <w:bCs/>
          <w:sz w:val="24"/>
        </w:rPr>
        <w: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jc w:val="center"/>
        </w:trPr>
        <w:tc>
          <w:tcPr>
            <w:tcW w:w="9207" w:type="dxa"/>
          </w:tcPr>
          <w:p>
            <w:pPr>
              <w:pStyle w:val="14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7"/>
              <w:adjustRightInd w:val="0"/>
              <w:spacing w:line="360" w:lineRule="auto"/>
              <w:rPr>
                <w:rFonts w:ascii="仿宋_GB2312" w:hAnsi="仿宋" w:eastAsia="仿宋_GB2312"/>
                <w:bCs/>
                <w:sz w:val="24"/>
              </w:rPr>
            </w:pPr>
          </w:p>
        </w:tc>
      </w:tr>
    </w:tbl>
    <w:p>
      <w:pPr>
        <w:pStyle w:val="147"/>
        <w:spacing w:line="360" w:lineRule="auto"/>
        <w:rPr>
          <w:rFonts w:hint="eastAsia" w:ascii="仿宋" w:hAnsi="仿宋" w:eastAsia="仿宋" w:cs="仿宋"/>
          <w:bCs/>
          <w:sz w:val="24"/>
        </w:rPr>
      </w:pPr>
      <w:r>
        <w:rPr>
          <w:rFonts w:hint="eastAsia" w:ascii="仿宋" w:hAnsi="仿宋" w:eastAsia="仿宋" w:cs="仿宋"/>
          <w:bCs/>
          <w:sz w:val="24"/>
        </w:rPr>
        <w:t>授权代表身份证件扫描件：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9207" w:type="dxa"/>
          </w:tcPr>
          <w:p>
            <w:pPr>
              <w:pStyle w:val="147"/>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7"/>
              <w:spacing w:line="360" w:lineRule="auto"/>
              <w:rPr>
                <w:rFonts w:hint="eastAsia" w:ascii="仿宋" w:hAnsi="仿宋" w:eastAsia="仿宋" w:cs="仿宋"/>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44"/>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四、</w:t>
      </w:r>
      <w:r>
        <w:rPr>
          <w:rFonts w:hint="eastAsia" w:ascii="仿宋_GB2312" w:hAnsi="仿宋" w:eastAsia="仿宋_GB2312" w:cs="仿宋_GB2312"/>
          <w:b/>
          <w:kern w:val="0"/>
          <w:sz w:val="32"/>
          <w:szCs w:val="32"/>
        </w:rPr>
        <w:t>投标人企业介绍</w:t>
      </w:r>
    </w:p>
    <w:p>
      <w:pPr>
        <w:spacing w:line="480" w:lineRule="exact"/>
        <w:jc w:val="center"/>
        <w:rPr>
          <w:rFonts w:hint="eastAsia" w:ascii="宋体" w:hAnsi="宋体"/>
          <w:color w:val="auto"/>
          <w:sz w:val="24"/>
          <w:highlight w:val="none"/>
        </w:rPr>
      </w:pPr>
      <w:r>
        <w:rPr>
          <w:rFonts w:hint="eastAsia" w:ascii="宋体" w:hAnsi="宋体"/>
          <w:color w:val="auto"/>
          <w:sz w:val="24"/>
          <w:highlight w:val="none"/>
        </w:rPr>
        <w:t>（由</w:t>
      </w:r>
      <w:r>
        <w:rPr>
          <w:rFonts w:hint="eastAsia" w:ascii="宋体" w:hAnsi="宋体" w:cs="Arial"/>
          <w:color w:val="auto"/>
          <w:sz w:val="24"/>
          <w:highlight w:val="none"/>
        </w:rPr>
        <w:t>投标人</w:t>
      </w:r>
      <w:r>
        <w:rPr>
          <w:rFonts w:hint="eastAsia" w:ascii="宋体" w:hAnsi="宋体"/>
          <w:color w:val="auto"/>
          <w:sz w:val="24"/>
          <w:highlight w:val="none"/>
        </w:rPr>
        <w:t>自行编制）</w:t>
      </w:r>
    </w:p>
    <w:p>
      <w:pPr>
        <w:autoSpaceDE w:val="0"/>
        <w:autoSpaceDN w:val="0"/>
        <w:adjustRightInd w:val="0"/>
        <w:spacing w:after="143" w:line="440" w:lineRule="exact"/>
        <w:rPr>
          <w:rFonts w:hint="eastAsia" w:ascii="宋体" w:hAnsi="宋体"/>
          <w:b/>
          <w:color w:val="auto"/>
          <w:sz w:val="24"/>
          <w:highlight w:val="none"/>
        </w:rPr>
      </w:pPr>
      <w:r>
        <w:rPr>
          <w:rFonts w:hint="eastAsia" w:ascii="宋体" w:hAnsi="宋体"/>
          <w:b/>
          <w:color w:val="auto"/>
          <w:sz w:val="24"/>
          <w:highlight w:val="none"/>
        </w:rPr>
        <w:t xml:space="preserve">附表: </w:t>
      </w:r>
      <w:r>
        <w:rPr>
          <w:rFonts w:hint="eastAsia" w:ascii="宋体" w:hAnsi="宋体" w:cs="Arial"/>
          <w:b/>
          <w:color w:val="auto"/>
          <w:sz w:val="24"/>
          <w:highlight w:val="none"/>
        </w:rPr>
        <w:t>投标人</w:t>
      </w:r>
      <w:r>
        <w:rPr>
          <w:rFonts w:hint="eastAsia" w:ascii="宋体" w:hAnsi="宋体"/>
          <w:b/>
          <w:color w:val="auto"/>
          <w:sz w:val="24"/>
          <w:highlight w:val="none"/>
        </w:rPr>
        <w:t xml:space="preserve">信息 </w:t>
      </w:r>
    </w:p>
    <w:tbl>
      <w:tblPr>
        <w:tblStyle w:val="62"/>
        <w:tblW w:w="0" w:type="auto"/>
        <w:jc w:val="center"/>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rPr>
          <w:jc w:val="center"/>
        </w:trPr>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叙述/提供</w:t>
            </w:r>
          </w:p>
        </w:tc>
      </w:tr>
      <w:tr>
        <w:tblPrEx>
          <w:tblCellMar>
            <w:top w:w="0" w:type="dxa"/>
            <w:left w:w="168" w:type="dxa"/>
            <w:bottom w:w="0" w:type="dxa"/>
            <w:right w:w="168" w:type="dxa"/>
          </w:tblCellMar>
        </w:tblPrEx>
        <w:trPr>
          <w:jc w:val="center"/>
        </w:trPr>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rPr>
              <w:tab/>
            </w:r>
            <w:r>
              <w:rPr>
                <w:rFonts w:hint="eastAsia" w:ascii="宋体" w:hAnsi="宋体"/>
                <w:b/>
                <w:bCs/>
                <w:color w:val="auto"/>
                <w:sz w:val="24"/>
                <w:highlight w:val="none"/>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1.1</w:t>
            </w:r>
            <w:r>
              <w:rPr>
                <w:rFonts w:hint="eastAsia" w:ascii="宋体" w:hAnsi="宋体"/>
                <w:color w:val="auto"/>
                <w:sz w:val="24"/>
                <w:highlight w:val="none"/>
              </w:rPr>
              <w:tab/>
            </w:r>
            <w:r>
              <w:rPr>
                <w:rFonts w:hint="eastAsia" w:ascii="宋体" w:hAnsi="宋体"/>
                <w:color w:val="auto"/>
                <w:sz w:val="24"/>
                <w:highlight w:val="none"/>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1.2</w:t>
            </w:r>
            <w:r>
              <w:rPr>
                <w:rFonts w:hint="eastAsia" w:ascii="宋体" w:hAnsi="宋体"/>
                <w:color w:val="auto"/>
                <w:sz w:val="24"/>
                <w:highlight w:val="none"/>
              </w:rPr>
              <w:tab/>
            </w:r>
            <w:r>
              <w:rPr>
                <w:rFonts w:hint="eastAsia" w:ascii="宋体" w:hAnsi="宋体"/>
                <w:color w:val="auto"/>
                <w:sz w:val="24"/>
                <w:highlight w:val="none"/>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1.3</w:t>
            </w:r>
            <w:r>
              <w:rPr>
                <w:rFonts w:hint="eastAsia" w:ascii="宋体" w:hAnsi="宋体"/>
                <w:color w:val="auto"/>
                <w:sz w:val="24"/>
                <w:highlight w:val="none"/>
              </w:rPr>
              <w:tab/>
            </w:r>
            <w:r>
              <w:rPr>
                <w:rFonts w:hint="eastAsia" w:ascii="宋体" w:hAnsi="宋体"/>
                <w:color w:val="auto"/>
                <w:sz w:val="24"/>
                <w:highlight w:val="none"/>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1.4</w:t>
            </w:r>
            <w:r>
              <w:rPr>
                <w:rFonts w:hint="eastAsia" w:ascii="宋体" w:hAnsi="宋体"/>
                <w:color w:val="auto"/>
                <w:sz w:val="24"/>
                <w:highlight w:val="none"/>
              </w:rPr>
              <w:tab/>
            </w:r>
            <w:r>
              <w:rPr>
                <w:rFonts w:hint="eastAsia" w:ascii="宋体" w:hAnsi="宋体"/>
                <w:color w:val="auto"/>
                <w:sz w:val="24"/>
                <w:highlight w:val="none"/>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1.5</w:t>
            </w:r>
            <w:r>
              <w:rPr>
                <w:rFonts w:hint="eastAsia" w:ascii="宋体" w:hAnsi="宋体"/>
                <w:color w:val="auto"/>
                <w:sz w:val="24"/>
                <w:highlight w:val="none"/>
              </w:rPr>
              <w:tab/>
            </w:r>
            <w:r>
              <w:rPr>
                <w:rFonts w:hint="eastAsia" w:ascii="宋体" w:hAnsi="宋体"/>
                <w:color w:val="auto"/>
                <w:sz w:val="24"/>
                <w:highlight w:val="none"/>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1.6</w:t>
            </w:r>
            <w:r>
              <w:rPr>
                <w:rFonts w:hint="eastAsia" w:ascii="宋体" w:hAnsi="宋体"/>
                <w:color w:val="auto"/>
                <w:sz w:val="24"/>
                <w:highlight w:val="none"/>
              </w:rPr>
              <w:tab/>
            </w:r>
            <w:r>
              <w:rPr>
                <w:rFonts w:hint="eastAsia" w:ascii="宋体" w:hAnsi="宋体"/>
                <w:color w:val="auto"/>
                <w:sz w:val="24"/>
                <w:highlight w:val="none"/>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rPr>
              <w:tab/>
            </w:r>
            <w:r>
              <w:rPr>
                <w:rFonts w:hint="eastAsia" w:ascii="宋体" w:hAnsi="宋体"/>
                <w:color w:val="auto"/>
                <w:sz w:val="24"/>
                <w:highlight w:val="none"/>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1.8</w:t>
            </w:r>
            <w:r>
              <w:rPr>
                <w:rFonts w:hint="eastAsia" w:ascii="宋体" w:hAnsi="宋体"/>
                <w:color w:val="auto"/>
                <w:sz w:val="24"/>
                <w:highlight w:val="none"/>
              </w:rPr>
              <w:tab/>
            </w:r>
            <w:r>
              <w:rPr>
                <w:rFonts w:hint="eastAsia" w:ascii="宋体" w:hAnsi="宋体"/>
                <w:color w:val="auto"/>
                <w:sz w:val="24"/>
                <w:highlight w:val="none"/>
              </w:rPr>
              <w:t>典型工程实例: 需提供合同</w:t>
            </w:r>
            <w:r>
              <w:rPr>
                <w:rFonts w:hint="eastAsia" w:ascii="宋体" w:hAnsi="宋体"/>
                <w:color w:val="auto"/>
                <w:sz w:val="24"/>
                <w:highlight w:val="none"/>
              </w:rPr>
              <w:tab/>
            </w:r>
            <w:r>
              <w:rPr>
                <w:rFonts w:hint="eastAsia" w:ascii="宋体" w:hAnsi="宋体"/>
                <w:color w:val="auto"/>
                <w:sz w:val="24"/>
                <w:highlight w:val="none"/>
              </w:rPr>
              <w:t>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2.</w:t>
            </w:r>
            <w:r>
              <w:rPr>
                <w:rFonts w:hint="eastAsia" w:ascii="宋体" w:hAnsi="宋体"/>
                <w:b/>
                <w:bCs/>
                <w:color w:val="auto"/>
                <w:sz w:val="24"/>
                <w:highlight w:val="none"/>
              </w:rPr>
              <w:tab/>
            </w:r>
            <w:r>
              <w:rPr>
                <w:rFonts w:hint="eastAsia" w:ascii="宋体" w:hAnsi="宋体"/>
                <w:b/>
                <w:bCs/>
                <w:color w:val="auto"/>
                <w:sz w:val="24"/>
                <w:highlight w:val="none"/>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2.1</w:t>
            </w:r>
            <w:r>
              <w:rPr>
                <w:rFonts w:hint="eastAsia" w:ascii="宋体" w:hAnsi="宋体"/>
                <w:color w:val="auto"/>
                <w:sz w:val="24"/>
                <w:highlight w:val="none"/>
              </w:rPr>
              <w:tab/>
            </w:r>
            <w:r>
              <w:rPr>
                <w:rFonts w:hint="eastAsia" w:ascii="宋体" w:hAnsi="宋体"/>
                <w:color w:val="auto"/>
                <w:sz w:val="24"/>
                <w:highlight w:val="none"/>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b/>
                <w:bCs/>
                <w:color w:val="auto"/>
                <w:sz w:val="24"/>
                <w:highlight w:val="none"/>
              </w:rPr>
              <w:t>3．公司的组织结构简图</w:t>
            </w:r>
            <w:r>
              <w:rPr>
                <w:rFonts w:hint="eastAsia" w:ascii="宋体" w:hAnsi="宋体"/>
                <w:color w:val="auto"/>
                <w:sz w:val="24"/>
                <w:highlight w:val="none"/>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4．法定代表人身份证明</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5．其它</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p>
        </w:tc>
      </w:tr>
    </w:tbl>
    <w:p>
      <w:pPr>
        <w:jc w:val="center"/>
        <w:rPr>
          <w:rFonts w:ascii="仿宋_GB2312" w:hAnsi="仿宋" w:eastAsia="仿宋_GB2312" w:cs="仿宋_GB2312"/>
          <w:b/>
          <w:kern w:val="0"/>
          <w:sz w:val="32"/>
          <w:szCs w:val="32"/>
        </w:rPr>
      </w:pPr>
    </w:p>
    <w:p>
      <w:pPr>
        <w:snapToGrid w:val="0"/>
        <w:spacing w:line="360" w:lineRule="auto"/>
        <w:ind w:firstLine="576"/>
        <w:jc w:val="right"/>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投标人名称(电子签名)：                              </w:t>
      </w:r>
    </w:p>
    <w:p>
      <w:pPr>
        <w:jc w:val="right"/>
        <w:rPr>
          <w:rFonts w:ascii="仿宋_GB2312" w:hAnsi="仿宋" w:eastAsia="仿宋_GB2312" w:cs="仿宋_GB2312"/>
          <w:b/>
          <w:kern w:val="0"/>
          <w:sz w:val="32"/>
          <w:szCs w:val="32"/>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4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4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4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44"/>
        <w:rPr>
          <w:rFonts w:ascii="仿宋_GB2312" w:hAnsi="仿宋" w:eastAsia="仿宋_GB2312" w:cs="仿宋_GB2312"/>
          <w:b/>
          <w:kern w:val="0"/>
          <w:sz w:val="32"/>
          <w:szCs w:val="32"/>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28"/>
          <w:szCs w:val="28"/>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、主要类似业绩证明</w:t>
      </w:r>
    </w:p>
    <w:p>
      <w:pPr>
        <w:autoSpaceDE w:val="0"/>
        <w:autoSpaceDN w:val="0"/>
        <w:adjustRightInd w:val="0"/>
        <w:spacing w:line="440" w:lineRule="exact"/>
        <w:ind w:firstLine="120"/>
        <w:rPr>
          <w:rFonts w:hint="eastAsia" w:ascii="宋体" w:hAnsi="宋体"/>
          <w:b/>
          <w:color w:val="auto"/>
          <w:sz w:val="24"/>
          <w:highlight w:val="none"/>
        </w:rPr>
      </w:pPr>
      <w:r>
        <w:rPr>
          <w:rFonts w:hint="eastAsia" w:ascii="宋体" w:hAnsi="宋体"/>
          <w:b/>
          <w:color w:val="auto"/>
          <w:sz w:val="24"/>
          <w:highlight w:val="none"/>
        </w:rPr>
        <w:t>附表 :相关项目建设业绩一览表</w:t>
      </w:r>
    </w:p>
    <w:tbl>
      <w:tblPr>
        <w:tblStyle w:val="62"/>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w:t>
            </w:r>
          </w:p>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w:t>
            </w:r>
          </w:p>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投资</w:t>
            </w:r>
          </w:p>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bl>
    <w:p>
      <w:pPr>
        <w:snapToGrid w:val="0"/>
        <w:spacing w:line="360" w:lineRule="auto"/>
        <w:ind w:firstLine="576"/>
        <w:rPr>
          <w:rFonts w:hint="eastAsia" w:ascii="仿宋_GB2312" w:hAnsi="仿宋" w:eastAsia="宋体" w:cs="仿宋_GB2312"/>
          <w:b/>
          <w:kern w:val="0"/>
          <w:sz w:val="24"/>
          <w:lang w:val="zh-CN" w:eastAsia="zh-CN"/>
        </w:rPr>
      </w:pPr>
      <w:r>
        <w:rPr>
          <w:rFonts w:hint="eastAsia" w:ascii="宋体" w:hAnsi="宋体"/>
          <w:b/>
          <w:color w:val="auto"/>
          <w:sz w:val="24"/>
          <w:highlight w:val="none"/>
        </w:rPr>
        <w:t>注：</w:t>
      </w:r>
      <w:r>
        <w:rPr>
          <w:rFonts w:hint="eastAsia" w:ascii="宋体" w:hAnsi="宋体" w:cs="Arial"/>
          <w:b/>
          <w:color w:val="auto"/>
          <w:sz w:val="24"/>
          <w:highlight w:val="none"/>
        </w:rPr>
        <w:t>投标人</w:t>
      </w:r>
      <w:r>
        <w:rPr>
          <w:rFonts w:hint="eastAsia" w:ascii="宋体" w:hAnsi="宋体"/>
          <w:b/>
          <w:color w:val="auto"/>
          <w:sz w:val="24"/>
          <w:highlight w:val="none"/>
        </w:rPr>
        <w:t>可按上述的格式自行编制，须随表提交相应的</w:t>
      </w:r>
      <w:r>
        <w:rPr>
          <w:rFonts w:hint="eastAsia" w:ascii="宋体" w:hAnsi="宋体"/>
          <w:b/>
          <w:color w:val="auto"/>
          <w:sz w:val="24"/>
          <w:highlight w:val="none"/>
          <w:lang w:eastAsia="zh-CN"/>
        </w:rPr>
        <w:t>证明材料</w:t>
      </w:r>
      <w:r>
        <w:rPr>
          <w:rFonts w:hint="eastAsia" w:ascii="宋体" w:hAnsi="宋体"/>
          <w:b/>
          <w:color w:val="auto"/>
          <w:sz w:val="24"/>
          <w:highlight w:val="none"/>
        </w:rPr>
        <w:t>复印件</w:t>
      </w:r>
      <w:r>
        <w:rPr>
          <w:rFonts w:hint="eastAsia" w:ascii="宋体" w:hAnsi="宋体"/>
          <w:b/>
          <w:color w:val="auto"/>
          <w:sz w:val="24"/>
          <w:highlight w:val="none"/>
          <w:lang w:eastAsia="zh-CN"/>
        </w:rPr>
        <w:t>。</w:t>
      </w:r>
    </w:p>
    <w:p>
      <w:pPr>
        <w:snapToGrid w:val="0"/>
        <w:spacing w:line="360" w:lineRule="auto"/>
        <w:ind w:firstLine="576"/>
        <w:jc w:val="right"/>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日期：  年  月   日</w:t>
      </w: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44"/>
        <w:rPr>
          <w:rFonts w:ascii="仿宋_GB2312" w:hAnsi="仿宋" w:eastAsia="仿宋_GB2312" w:cs="仿宋_GB2312"/>
          <w:kern w:val="0"/>
          <w:sz w:val="24"/>
          <w:lang w:val="zh-CN"/>
        </w:rPr>
      </w:pPr>
    </w:p>
    <w:p>
      <w:pPr>
        <w:rPr>
          <w:lang w:val="zh-CN"/>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、评标标准相应的商务技术资料</w:t>
      </w:r>
    </w:p>
    <w:p>
      <w:pPr>
        <w:spacing w:line="480" w:lineRule="exact"/>
        <w:jc w:val="center"/>
        <w:rPr>
          <w:rFonts w:hint="eastAsia" w:ascii="宋体" w:hAnsi="宋体"/>
          <w:color w:val="auto"/>
          <w:sz w:val="24"/>
          <w:highlight w:val="none"/>
        </w:rPr>
      </w:pPr>
      <w:r>
        <w:rPr>
          <w:rFonts w:hint="eastAsia" w:ascii="宋体" w:hAnsi="宋体"/>
          <w:color w:val="auto"/>
          <w:sz w:val="24"/>
          <w:highlight w:val="none"/>
        </w:rPr>
        <w:t>（由</w:t>
      </w:r>
      <w:r>
        <w:rPr>
          <w:rFonts w:hint="eastAsia" w:ascii="宋体" w:hAnsi="宋体" w:cs="Arial"/>
          <w:color w:val="auto"/>
          <w:sz w:val="24"/>
          <w:highlight w:val="none"/>
        </w:rPr>
        <w:t>投标人</w:t>
      </w:r>
      <w:r>
        <w:rPr>
          <w:rFonts w:hint="eastAsia" w:ascii="宋体" w:hAnsi="宋体"/>
          <w:color w:val="auto"/>
          <w:sz w:val="24"/>
          <w:highlight w:val="none"/>
        </w:rPr>
        <w:t>自行编制）</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jc w:val="center"/>
        <w:rPr>
          <w:rFonts w:hint="eastAsia" w:ascii="仿宋_GB2312" w:hAnsi="仿宋" w:eastAsia="仿宋_GB2312" w:cs="仿宋_GB2312"/>
          <w:b/>
          <w:color w:val="auto"/>
          <w:kern w:val="0"/>
          <w:sz w:val="32"/>
          <w:szCs w:val="32"/>
          <w:lang w:val="zh-CN" w:eastAsia="zh-CN" w:bidi="ar-SA"/>
        </w:rPr>
      </w:pPr>
    </w:p>
    <w:p>
      <w:pPr>
        <w:pStyle w:val="79"/>
        <w:jc w:val="center"/>
        <w:rPr>
          <w:rFonts w:hint="eastAsia" w:ascii="仿宋_GB2312" w:hAnsi="仿宋" w:eastAsia="仿宋_GB2312" w:cs="仿宋_GB2312"/>
          <w:b/>
          <w:color w:val="auto"/>
          <w:kern w:val="0"/>
          <w:sz w:val="32"/>
          <w:szCs w:val="32"/>
          <w:lang w:val="zh-CN" w:eastAsia="zh-CN" w:bidi="ar-SA"/>
        </w:rPr>
      </w:pPr>
      <w:r>
        <w:rPr>
          <w:rFonts w:hint="eastAsia" w:ascii="仿宋_GB2312" w:hAnsi="仿宋" w:eastAsia="仿宋_GB2312" w:cs="仿宋_GB2312"/>
          <w:b/>
          <w:color w:val="auto"/>
          <w:kern w:val="0"/>
          <w:sz w:val="32"/>
          <w:szCs w:val="32"/>
          <w:lang w:val="zh-CN" w:eastAsia="zh-CN" w:bidi="ar-SA"/>
        </w:rPr>
        <w:t>九、投标人需要说明的其他文件和资料</w:t>
      </w:r>
    </w:p>
    <w:p>
      <w:pPr>
        <w:pStyle w:val="79"/>
        <w:rPr>
          <w:rFonts w:ascii="仿宋_GB2312" w:hAnsi="仿宋" w:eastAsia="仿宋_GB2312" w:cs="仿宋_GB2312"/>
          <w:b/>
          <w:bCs/>
          <w:sz w:val="24"/>
        </w:rPr>
      </w:pPr>
    </w:p>
    <w:p>
      <w:pPr>
        <w:pStyle w:val="79"/>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w:t>
      </w:r>
    </w:p>
    <w:p>
      <w:pPr>
        <w:pStyle w:val="79"/>
        <w:jc w:val="center"/>
        <w:rPr>
          <w:rFonts w:hint="eastAsia" w:ascii="仿宋" w:hAnsi="仿宋" w:eastAsia="仿宋" w:cs="仿宋"/>
          <w:sz w:val="28"/>
          <w:szCs w:val="28"/>
          <w:lang w:val="zh-CN"/>
        </w:rPr>
      </w:pPr>
    </w:p>
    <w:p>
      <w:pPr>
        <w:pStyle w:val="79"/>
        <w:jc w:val="center"/>
        <w:rPr>
          <w:rFonts w:hint="eastAsia" w:ascii="仿宋" w:hAnsi="仿宋" w:eastAsia="仿宋" w:cs="仿宋"/>
          <w:sz w:val="28"/>
          <w:szCs w:val="28"/>
          <w:lang w:val="zh-CN"/>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pStyle w:val="79"/>
        <w:jc w:val="center"/>
        <w:rPr>
          <w:rFonts w:ascii="仿宋_GB2312" w:hAnsi="仿宋" w:eastAsia="仿宋_GB2312" w:cs="仿宋_GB2312"/>
          <w:b/>
          <w:bCs/>
          <w:sz w:val="24"/>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79"/>
        <w:rPr>
          <w:rFonts w:ascii="仿宋_GB2312" w:hAnsi="仿宋" w:eastAsia="仿宋_GB2312" w:cs="仿宋_GB2312"/>
          <w:b/>
          <w:bCs/>
          <w:sz w:val="24"/>
        </w:rPr>
      </w:pPr>
    </w:p>
    <w:p>
      <w:pPr>
        <w:pStyle w:val="79"/>
        <w:rPr>
          <w:rFonts w:ascii="仿宋_GB2312" w:hAnsi="仿宋" w:eastAsia="仿宋_GB2312" w:cs="仿宋_GB2312"/>
          <w:b/>
          <w:bCs/>
          <w:sz w:val="24"/>
        </w:rPr>
      </w:pPr>
    </w:p>
    <w:p>
      <w:pPr>
        <w:pStyle w:val="79"/>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numPr>
          <w:ilvl w:val="0"/>
          <w:numId w:val="2"/>
        </w:numPr>
        <w:snapToGrid w:val="0"/>
        <w:spacing w:line="360" w:lineRule="auto"/>
        <w:rPr>
          <w:rFonts w:hint="eastAsia" w:ascii="仿宋_GB2312" w:hAnsi="仿宋" w:eastAsia="仿宋_GB2312" w:cs="仿宋_GB2312"/>
          <w:sz w:val="24"/>
        </w:rPr>
      </w:pPr>
      <w:r>
        <w:rPr>
          <w:rFonts w:ascii="仿宋_GB2312" w:hAnsi="仿宋" w:eastAsia="仿宋_GB2312" w:cs="仿宋_GB2312"/>
          <w:sz w:val="24"/>
        </w:rPr>
        <w:t>开标一览表（报价表）……</w:t>
      </w:r>
      <w:r>
        <w:rPr>
          <w:rFonts w:hint="eastAsia" w:ascii="仿宋_GB2312" w:hAnsi="仿宋" w:eastAsia="仿宋_GB2312" w:cs="仿宋_GB2312"/>
          <w:sz w:val="24"/>
        </w:rPr>
        <w:t>…………………………………………………（页码）</w:t>
      </w:r>
    </w:p>
    <w:p>
      <w:pPr>
        <w:pStyle w:val="79"/>
        <w:numPr>
          <w:ilvl w:val="0"/>
          <w:numId w:val="2"/>
        </w:numPr>
        <w:spacing w:line="360" w:lineRule="auto"/>
      </w:pPr>
      <w:r>
        <w:rPr>
          <w:rFonts w:hint="eastAsia"/>
          <w:lang w:eastAsia="zh-CN"/>
        </w:rPr>
        <w:t>报价明细表</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3</w:t>
      </w:r>
      <w:r>
        <w:rPr>
          <w:rFonts w:ascii="仿宋_GB2312" w:hAnsi="仿宋" w:eastAsia="仿宋_GB2312" w:cs="仿宋_GB2312"/>
          <w:sz w:val="24"/>
        </w:rPr>
        <w:t>）中小企业声明函</w:t>
      </w:r>
      <w:r>
        <w:rPr>
          <w:rFonts w:hint="eastAsia" w:ascii="仿宋_GB2312" w:hAnsi="仿宋" w:eastAsia="仿宋_GB2312" w:cs="仿宋_GB2312"/>
          <w:sz w:val="24"/>
        </w:rPr>
        <w:t>（如果有）…………………………………………………（页码）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79"/>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before="50" w:after="50" w:line="400" w:lineRule="exact"/>
        <w:ind w:firstLine="720" w:firstLineChars="300"/>
        <w:rPr>
          <w:rFonts w:hint="eastAsia" w:ascii="宋体" w:hAnsi="宋体"/>
          <w:color w:val="auto"/>
          <w:sz w:val="24"/>
          <w:highlight w:val="none"/>
          <w:u w:val="single"/>
        </w:rPr>
      </w:pPr>
      <w:r>
        <w:rPr>
          <w:rFonts w:hint="eastAsia" w:ascii="宋体" w:hAnsi="宋体"/>
          <w:color w:val="auto"/>
          <w:sz w:val="24"/>
          <w:highlight w:val="none"/>
        </w:rPr>
        <w:t>单位全称（公章）：</w:t>
      </w:r>
      <w:r>
        <w:rPr>
          <w:rFonts w:hint="eastAsia" w:ascii="宋体" w:hAnsi="宋体"/>
          <w:color w:val="auto"/>
          <w:sz w:val="24"/>
          <w:highlight w:val="none"/>
          <w:u w:val="singl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p>
    <w:tbl>
      <w:tblPr>
        <w:tblStyle w:val="62"/>
        <w:tblW w:w="88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3"/>
        <w:gridCol w:w="2847"/>
        <w:gridCol w:w="1050"/>
        <w:gridCol w:w="1225"/>
        <w:gridCol w:w="2025"/>
        <w:gridCol w:w="1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5" w:hRule="exac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Arial"/>
                <w:b/>
                <w:bCs w:val="0"/>
                <w:color w:val="auto"/>
                <w:sz w:val="22"/>
                <w:szCs w:val="22"/>
                <w:highlight w:val="none"/>
                <w:lang w:val="en-US" w:eastAsia="zh-CN"/>
              </w:rPr>
            </w:pPr>
            <w:r>
              <w:rPr>
                <w:rFonts w:hint="eastAsia" w:ascii="宋体" w:hAnsi="宋体" w:cs="Arial"/>
                <w:b/>
                <w:bCs w:val="0"/>
                <w:color w:val="auto"/>
                <w:sz w:val="22"/>
                <w:szCs w:val="22"/>
                <w:highlight w:val="none"/>
                <w:lang w:val="en-US" w:eastAsia="zh-CN"/>
              </w:rPr>
              <w:t>序号</w:t>
            </w:r>
          </w:p>
        </w:tc>
        <w:tc>
          <w:tcPr>
            <w:tcW w:w="28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
                <w:bCs w:val="0"/>
                <w:color w:val="auto"/>
                <w:sz w:val="22"/>
                <w:szCs w:val="22"/>
                <w:highlight w:val="none"/>
              </w:rPr>
            </w:pPr>
            <w:r>
              <w:rPr>
                <w:rFonts w:hint="eastAsia" w:ascii="宋体" w:hAnsi="宋体" w:eastAsia="宋体" w:cs="宋体"/>
                <w:b/>
                <w:bCs/>
                <w:color w:val="auto"/>
                <w:sz w:val="22"/>
                <w:szCs w:val="22"/>
                <w:highlight w:val="none"/>
                <w:lang w:eastAsia="zh-CN"/>
              </w:rPr>
              <w:t>采购内容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
                <w:bCs w:val="0"/>
                <w:color w:val="auto"/>
                <w:sz w:val="22"/>
                <w:szCs w:val="22"/>
                <w:highlight w:val="none"/>
                <w:lang w:eastAsia="zh-CN"/>
              </w:rPr>
            </w:pPr>
            <w:r>
              <w:rPr>
                <w:rFonts w:hint="eastAsia" w:ascii="宋体" w:hAnsi="宋体" w:eastAsia="宋体" w:cs="宋体"/>
                <w:b/>
                <w:bCs/>
                <w:color w:val="auto"/>
                <w:sz w:val="22"/>
                <w:szCs w:val="22"/>
                <w:highlight w:val="none"/>
                <w:lang w:eastAsia="zh-CN"/>
              </w:rPr>
              <w:t>单位</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
                <w:bCs w:val="0"/>
                <w:color w:val="auto"/>
                <w:sz w:val="22"/>
                <w:szCs w:val="22"/>
                <w:highlight w:val="none"/>
              </w:rPr>
            </w:pPr>
            <w:r>
              <w:rPr>
                <w:rFonts w:hint="eastAsia" w:ascii="宋体" w:hAnsi="宋体" w:eastAsia="宋体" w:cs="宋体"/>
                <w:b/>
                <w:bCs/>
                <w:color w:val="auto"/>
                <w:sz w:val="22"/>
                <w:szCs w:val="22"/>
                <w:highlight w:val="none"/>
                <w:lang w:eastAsia="zh-CN"/>
              </w:rPr>
              <w:t>数量</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Arial"/>
                <w:b/>
                <w:bCs w:val="0"/>
                <w:color w:val="auto"/>
                <w:sz w:val="22"/>
                <w:szCs w:val="22"/>
                <w:highlight w:val="none"/>
                <w:lang w:eastAsia="zh-CN"/>
              </w:rPr>
            </w:pPr>
            <w:r>
              <w:rPr>
                <w:rFonts w:hint="eastAsia" w:ascii="宋体" w:hAnsi="宋体" w:eastAsia="宋体" w:cs="宋体"/>
                <w:b/>
                <w:bCs/>
                <w:color w:val="auto"/>
                <w:sz w:val="22"/>
                <w:szCs w:val="22"/>
                <w:highlight w:val="none"/>
                <w:lang w:eastAsia="zh-CN"/>
              </w:rPr>
              <w:t>投标报价</w:t>
            </w:r>
            <w:r>
              <w:rPr>
                <w:rFonts w:hint="eastAsia" w:ascii="宋体" w:hAnsi="宋体" w:cs="Arial"/>
                <w:b/>
                <w:bCs w:val="0"/>
                <w:color w:val="auto"/>
                <w:sz w:val="22"/>
                <w:szCs w:val="22"/>
                <w:highlight w:val="none"/>
                <w:lang w:eastAsia="zh-CN"/>
              </w:rPr>
              <w:t>（元）</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Arial"/>
                <w:b/>
                <w:bCs w:val="0"/>
                <w:color w:val="auto"/>
                <w:sz w:val="22"/>
                <w:szCs w:val="22"/>
                <w:highlight w:val="none"/>
              </w:rPr>
            </w:pPr>
            <w:r>
              <w:rPr>
                <w:rFonts w:hint="eastAsia" w:ascii="宋体" w:hAnsi="宋体" w:cs="Arial"/>
                <w:b/>
                <w:bCs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exac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default" w:ascii="宋体" w:hAnsi="宋体" w:cs="Arial"/>
                <w:bCs/>
                <w:color w:val="auto"/>
                <w:sz w:val="24"/>
                <w:highlight w:val="none"/>
                <w:lang w:val="en-US" w:eastAsia="zh-CN"/>
              </w:rPr>
            </w:pPr>
            <w:r>
              <w:rPr>
                <w:rFonts w:hint="eastAsia" w:ascii="宋体" w:hAnsi="宋体" w:cs="Arial"/>
                <w:bCs/>
                <w:color w:val="auto"/>
                <w:sz w:val="24"/>
                <w:highlight w:val="none"/>
                <w:lang w:val="en-US" w:eastAsia="zh-CN"/>
              </w:rPr>
              <w:t>1</w:t>
            </w:r>
          </w:p>
        </w:tc>
        <w:tc>
          <w:tcPr>
            <w:tcW w:w="28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bCs/>
                <w:color w:val="auto"/>
                <w:sz w:val="24"/>
                <w:highlight w:val="none"/>
                <w:lang w:eastAsia="zh-CN"/>
              </w:rPr>
            </w:pPr>
            <w:r>
              <w:rPr>
                <w:rFonts w:hint="eastAsia" w:ascii="宋体" w:hAnsi="宋体" w:cs="宋体"/>
                <w:color w:val="auto"/>
                <w:sz w:val="24"/>
                <w:szCs w:val="24"/>
                <w:highlight w:val="none"/>
                <w:lang w:eastAsia="zh-CN"/>
              </w:rPr>
              <w:t>信息化建设</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Cs/>
                <w:color w:val="auto"/>
                <w:sz w:val="24"/>
                <w:highlight w:val="none"/>
              </w:rPr>
            </w:pPr>
            <w:r>
              <w:rPr>
                <w:rFonts w:hint="eastAsia" w:ascii="宋体" w:hAnsi="宋体" w:eastAsia="宋体" w:cs="宋体"/>
                <w:color w:val="auto"/>
                <w:sz w:val="24"/>
                <w:szCs w:val="24"/>
                <w:highlight w:val="none"/>
                <w:lang w:val="en-US" w:eastAsia="zh-CN"/>
              </w:rPr>
              <w:t>项</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Cs/>
                <w:color w:val="auto"/>
                <w:sz w:val="24"/>
                <w:highlight w:val="none"/>
              </w:rPr>
            </w:pPr>
            <w:r>
              <w:rPr>
                <w:rFonts w:hint="eastAsia" w:ascii="宋体" w:hAnsi="宋体" w:eastAsia="宋体" w:cs="宋体"/>
                <w:color w:val="auto"/>
                <w:sz w:val="24"/>
                <w:szCs w:val="24"/>
                <w:highlight w:val="none"/>
                <w:lang w:val="en-US" w:eastAsia="zh-CN"/>
              </w:rPr>
              <w:t>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default" w:ascii="宋体" w:hAnsi="宋体" w:cs="Arial"/>
                <w:bCs/>
                <w:color w:val="auto"/>
                <w:sz w:val="24"/>
                <w:highlight w:val="none"/>
                <w:lang w:val="en-US" w:eastAsia="zh-CN"/>
              </w:rPr>
            </w:pPr>
            <w:r>
              <w:rPr>
                <w:rFonts w:hint="eastAsia" w:ascii="宋体" w:hAnsi="宋体" w:cs="Arial"/>
                <w:bCs/>
                <w:color w:val="auto"/>
                <w:sz w:val="24"/>
                <w:highlight w:val="none"/>
                <w:lang w:val="en-US" w:eastAsia="zh-CN"/>
              </w:rPr>
              <w:t>2</w:t>
            </w:r>
          </w:p>
        </w:tc>
        <w:tc>
          <w:tcPr>
            <w:tcW w:w="28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Cs/>
                <w:color w:val="auto"/>
                <w:sz w:val="24"/>
                <w:highlight w:val="none"/>
                <w:lang w:eastAsia="zh-CN"/>
              </w:rPr>
            </w:pPr>
            <w:r>
              <w:rPr>
                <w:rFonts w:hint="eastAsia" w:ascii="宋体" w:hAnsi="宋体" w:cs="宋体"/>
                <w:color w:val="auto"/>
                <w:sz w:val="24"/>
                <w:szCs w:val="24"/>
                <w:highlight w:val="none"/>
                <w:lang w:val="en-US" w:eastAsia="zh-CN"/>
              </w:rPr>
              <w:t>硬件设备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Cs/>
                <w:color w:val="auto"/>
                <w:sz w:val="24"/>
                <w:highlight w:val="none"/>
              </w:rPr>
            </w:pPr>
            <w:r>
              <w:rPr>
                <w:rFonts w:hint="eastAsia" w:ascii="宋体" w:hAnsi="宋体" w:eastAsia="宋体" w:cs="宋体"/>
                <w:color w:val="auto"/>
                <w:sz w:val="24"/>
                <w:szCs w:val="24"/>
                <w:highlight w:val="none"/>
                <w:lang w:val="en-US" w:eastAsia="zh-CN"/>
              </w:rPr>
              <w:t>项</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Arial"/>
                <w:bCs/>
                <w:color w:val="auto"/>
                <w:sz w:val="24"/>
                <w:highlight w:val="none"/>
              </w:rPr>
            </w:pPr>
            <w:r>
              <w:rPr>
                <w:rFonts w:hint="eastAsia" w:ascii="宋体" w:hAnsi="宋体" w:cs="宋体"/>
                <w:color w:val="auto"/>
                <w:sz w:val="24"/>
                <w:szCs w:val="24"/>
                <w:highlight w:val="none"/>
                <w:lang w:val="en-US" w:eastAsia="zh-CN"/>
              </w:rPr>
              <w:t>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default" w:ascii="宋体" w:hAnsi="宋体" w:cs="Arial"/>
                <w:bCs/>
                <w:color w:val="auto"/>
                <w:sz w:val="24"/>
                <w:highlight w:val="none"/>
                <w:lang w:val="en-US" w:eastAsia="zh-CN"/>
              </w:rPr>
            </w:pPr>
            <w:r>
              <w:rPr>
                <w:rFonts w:hint="eastAsia" w:ascii="宋体" w:hAnsi="宋体" w:cs="Arial"/>
                <w:bCs/>
                <w:color w:val="auto"/>
                <w:sz w:val="24"/>
                <w:highlight w:val="none"/>
                <w:lang w:val="en-US" w:eastAsia="zh-CN"/>
              </w:rPr>
              <w:t>3</w:t>
            </w:r>
          </w:p>
        </w:tc>
        <w:tc>
          <w:tcPr>
            <w:tcW w:w="512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合    计</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exact"/>
          <w:jc w:val="center"/>
        </w:trPr>
        <w:tc>
          <w:tcPr>
            <w:tcW w:w="8828"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left"/>
              <w:rPr>
                <w:rFonts w:hint="eastAsia" w:ascii="宋体" w:hAnsi="宋体" w:eastAsia="仿宋_GB2312" w:cs="宋体"/>
                <w:b/>
                <w:bCs w:val="0"/>
                <w:color w:val="auto"/>
                <w:sz w:val="24"/>
                <w:szCs w:val="24"/>
                <w:highlight w:val="none"/>
                <w:lang w:val="en-US" w:eastAsia="zh-CN"/>
              </w:rPr>
            </w:pPr>
            <w:r>
              <w:rPr>
                <w:rFonts w:hint="eastAsia" w:ascii="仿宋_GB2312" w:hAnsi="仿宋" w:eastAsia="仿宋_GB2312" w:cs="仿宋_GB2312"/>
                <w:b/>
                <w:sz w:val="24"/>
                <w:lang w:eastAsia="zh-CN"/>
              </w:rPr>
              <w:t>合计</w:t>
            </w:r>
            <w:r>
              <w:rPr>
                <w:rFonts w:hint="eastAsia" w:ascii="仿宋_GB2312" w:hAnsi="仿宋" w:eastAsia="仿宋_GB2312" w:cs="仿宋_GB2312"/>
                <w:b/>
                <w:sz w:val="24"/>
              </w:rPr>
              <w:t>投标报价（</w:t>
            </w:r>
            <w:r>
              <w:rPr>
                <w:rFonts w:hint="eastAsia" w:ascii="仿宋_GB2312" w:hAnsi="仿宋" w:eastAsia="仿宋_GB2312" w:cs="仿宋_GB2312"/>
                <w:b/>
                <w:sz w:val="24"/>
                <w:lang w:eastAsia="zh-CN"/>
              </w:rPr>
              <w:t>大写</w:t>
            </w:r>
            <w:r>
              <w:rPr>
                <w:rFonts w:hint="eastAsia" w:ascii="仿宋_GB2312" w:hAnsi="仿宋" w:eastAsia="仿宋_GB2312" w:cs="仿宋_GB2312"/>
                <w:b/>
                <w:sz w:val="24"/>
              </w:rPr>
              <w:t>）</w:t>
            </w:r>
            <w:r>
              <w:rPr>
                <w:rFonts w:hint="eastAsia" w:ascii="仿宋_GB2312" w:hAnsi="仿宋" w:eastAsia="仿宋_GB2312" w:cs="仿宋_GB2312"/>
                <w:b/>
                <w:sz w:val="24"/>
                <w:lang w:eastAsia="zh-CN"/>
              </w:rPr>
              <w:t>：</w:t>
            </w:r>
          </w:p>
        </w:tc>
      </w:tr>
    </w:tbl>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olor w:val="auto"/>
          <w:sz w:val="24"/>
          <w:highlight w:val="none"/>
        </w:rPr>
      </w:pPr>
      <w:r>
        <w:rPr>
          <w:rFonts w:hint="eastAsia" w:ascii="宋体" w:hAnsi="宋体"/>
          <w:color w:val="auto"/>
          <w:sz w:val="24"/>
          <w:highlight w:val="none"/>
        </w:rPr>
        <w:t>注: 1、此表报价单不得涂改，请按规定要求填报。</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2、以上报价应与“报价明细表”中的“合计”数相一致。</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项目所需的人工费、材料费、设备使用费、人员来往的交通、通信、食宿、企业管理费、利润、税金、售后服务费、招标代理费、技术服务费、技术培训费、政策性文件规定及合同包含的所有风险、责任、成果验收以及采购文件约定工作内容所包含的等一切费用均计入报价。开标一览表（报价表）是报价的唯一载体。投标文件中价格全部采用人民币报价。招标文件未列明，而投标人认为必需的费用也需列入报价。</w:t>
      </w:r>
    </w:p>
    <w:p>
      <w:pPr>
        <w:pStyle w:val="79"/>
        <w:keepNext w:val="0"/>
        <w:keepLines w:val="0"/>
        <w:pageBreakBefore w:val="0"/>
        <w:widowControl w:val="0"/>
        <w:kinsoku/>
        <w:wordWrap/>
        <w:overflowPunct/>
        <w:topLinePunct w:val="0"/>
        <w:bidi w:val="0"/>
        <w:adjustRightInd w:val="0"/>
        <w:spacing w:line="440" w:lineRule="exact"/>
        <w:ind w:firstLine="48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pStyle w:val="79"/>
        <w:keepNext w:val="0"/>
        <w:keepLines w:val="0"/>
        <w:pageBreakBefore w:val="0"/>
        <w:widowControl w:val="0"/>
        <w:kinsoku/>
        <w:wordWrap/>
        <w:overflowPunct/>
        <w:topLinePunct w:val="0"/>
        <w:bidi w:val="0"/>
        <w:adjustRightInd w:val="0"/>
        <w:spacing w:line="440" w:lineRule="exact"/>
        <w:ind w:firstLine="480"/>
        <w:textAlignment w:val="auto"/>
        <w:rPr>
          <w:rFonts w:hint="default" w:ascii="宋体" w:hAnsi="宋体" w:eastAsia="宋体" w:cs="Times New Roman"/>
          <w:color w:val="auto"/>
          <w:kern w:val="2"/>
          <w:sz w:val="24"/>
          <w:szCs w:val="24"/>
          <w:highlight w:val="none"/>
          <w:lang w:val="en-US" w:eastAsia="zh-CN" w:bidi="ar-SA"/>
        </w:rPr>
      </w:pPr>
    </w:p>
    <w:p>
      <w:pPr>
        <w:pStyle w:val="79"/>
        <w:keepNext w:val="0"/>
        <w:keepLines w:val="0"/>
        <w:pageBreakBefore w:val="0"/>
        <w:widowControl w:val="0"/>
        <w:kinsoku/>
        <w:wordWrap/>
        <w:overflowPunct/>
        <w:topLinePunct w:val="0"/>
        <w:bidi w:val="0"/>
        <w:adjustRightInd w:val="0"/>
        <w:spacing w:line="440" w:lineRule="exact"/>
        <w:ind w:firstLine="480"/>
        <w:textAlignment w:val="auto"/>
        <w:rPr>
          <w:rFonts w:hint="default" w:ascii="宋体" w:hAnsi="宋体" w:eastAsia="宋体" w:cs="Times New Roman"/>
          <w:color w:val="auto"/>
          <w:kern w:val="2"/>
          <w:sz w:val="24"/>
          <w:szCs w:val="24"/>
          <w:highlight w:val="none"/>
          <w:lang w:val="en-US" w:eastAsia="zh-CN" w:bidi="ar-SA"/>
        </w:rPr>
      </w:pPr>
    </w:p>
    <w:p>
      <w:pPr>
        <w:pStyle w:val="44"/>
        <w:tabs>
          <w:tab w:val="right" w:leader="dot" w:pos="10204"/>
        </w:tabs>
        <w:rPr>
          <w:rFonts w:hint="eastAsia"/>
          <w:color w:val="auto"/>
          <w:highlight w:val="none"/>
        </w:rPr>
      </w:pPr>
    </w:p>
    <w:p>
      <w:pPr>
        <w:snapToGrid w:val="0"/>
        <w:spacing w:line="360" w:lineRule="auto"/>
        <w:ind w:firstLine="482"/>
        <w:rPr>
          <w:rFonts w:hint="eastAsia" w:ascii="宋体" w:hAnsi="宋体"/>
          <w:color w:val="auto"/>
          <w:sz w:val="24"/>
          <w:highlight w:val="none"/>
          <w:lang w:val="en-US" w:eastAsia="zh-CN"/>
        </w:rPr>
      </w:pPr>
      <w:r>
        <w:rPr>
          <w:rFonts w:hint="eastAsia" w:ascii="宋体" w:hAnsi="宋体"/>
          <w:color w:val="auto"/>
          <w:sz w:val="24"/>
          <w:highlight w:val="none"/>
        </w:rPr>
        <w:t>投标人名称（电子签名）：                                 日  期</w:t>
      </w:r>
      <w:r>
        <w:rPr>
          <w:rFonts w:hint="eastAsia" w:ascii="宋体" w:hAnsi="宋体"/>
          <w:color w:val="auto"/>
          <w:sz w:val="24"/>
          <w:highlight w:val="none"/>
          <w:lang w:val="en-US" w:eastAsia="zh-CN"/>
        </w:rPr>
        <w:t>:</w:t>
      </w:r>
    </w:p>
    <w:p>
      <w:pPr>
        <w:pStyle w:val="79"/>
        <w:rPr>
          <w:rFonts w:hint="eastAsia" w:ascii="宋体" w:hAnsi="宋体"/>
          <w:color w:val="auto"/>
          <w:sz w:val="24"/>
          <w:highlight w:val="none"/>
          <w:lang w:val="en-US" w:eastAsia="zh-CN"/>
        </w:rPr>
      </w:pPr>
    </w:p>
    <w:p>
      <w:pPr>
        <w:pStyle w:val="79"/>
        <w:rPr>
          <w:rFonts w:hint="eastAsia" w:ascii="宋体" w:hAnsi="宋体"/>
          <w:color w:val="auto"/>
          <w:sz w:val="24"/>
          <w:highlight w:val="none"/>
          <w:lang w:val="en-US" w:eastAsia="zh-CN"/>
        </w:rPr>
      </w:pPr>
    </w:p>
    <w:p>
      <w:pPr>
        <w:pStyle w:val="79"/>
        <w:rPr>
          <w:rFonts w:hint="eastAsia" w:ascii="宋体" w:hAnsi="宋体"/>
          <w:color w:val="auto"/>
          <w:sz w:val="24"/>
          <w:highlight w:val="none"/>
          <w:lang w:val="en-US" w:eastAsia="zh-CN"/>
        </w:rPr>
      </w:pPr>
    </w:p>
    <w:p>
      <w:pPr>
        <w:pStyle w:val="79"/>
        <w:rPr>
          <w:rFonts w:hint="eastAsia" w:ascii="宋体" w:hAnsi="宋体"/>
          <w:color w:val="auto"/>
          <w:sz w:val="24"/>
          <w:highlight w:val="none"/>
          <w:lang w:val="en-US" w:eastAsia="zh-CN"/>
        </w:rPr>
      </w:pPr>
    </w:p>
    <w:p>
      <w:pPr>
        <w:pStyle w:val="79"/>
        <w:rPr>
          <w:lang w:val="zh-CN"/>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lang w:eastAsia="zh-CN"/>
        </w:rPr>
        <w:t>二、</w:t>
      </w:r>
      <w:r>
        <w:rPr>
          <w:rFonts w:hint="eastAsia" w:ascii="仿宋_GB2312" w:hAnsi="仿宋" w:eastAsia="仿宋_GB2312" w:cs="仿宋_GB2312"/>
          <w:kern w:val="2"/>
          <w:sz w:val="32"/>
          <w:szCs w:val="32"/>
        </w:rPr>
        <w:t>报 价 明 细 表</w:t>
      </w: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r>
        <w:rPr>
          <w:rFonts w:hint="eastAsia" w:ascii="仿宋_GB2312" w:hAnsi="仿宋" w:eastAsia="仿宋_GB2312" w:cs="仿宋_GB2312"/>
          <w:kern w:val="2"/>
          <w:sz w:val="32"/>
          <w:szCs w:val="32"/>
          <w:lang w:val="en-US" w:eastAsia="zh-CN"/>
        </w:rPr>
        <w:t>1、</w:t>
      </w:r>
      <w:r>
        <w:rPr>
          <w:rFonts w:hint="eastAsia" w:ascii="仿宋_GB2312" w:hAnsi="仿宋" w:eastAsia="仿宋_GB2312" w:cs="仿宋_GB2312"/>
          <w:kern w:val="2"/>
          <w:sz w:val="32"/>
          <w:szCs w:val="32"/>
          <w:lang w:eastAsia="zh-CN"/>
        </w:rPr>
        <w:t>信息化建设报价明细表</w:t>
      </w: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r>
        <w:rPr>
          <w:rFonts w:hint="eastAsia" w:ascii="仿宋_GB2312" w:hAnsi="仿宋" w:eastAsia="仿宋_GB2312" w:cs="仿宋_GB2312"/>
          <w:kern w:val="2"/>
          <w:sz w:val="32"/>
          <w:szCs w:val="32"/>
          <w:lang w:eastAsia="zh-CN"/>
        </w:rPr>
        <w:t>（格式投标单位自行编辑）</w:t>
      </w: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eastAsia="zh-CN"/>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lang w:val="en-US" w:eastAsia="zh-CN"/>
        </w:rPr>
        <w:sectPr>
          <w:pgSz w:w="11906" w:h="16838"/>
          <w:pgMar w:top="1247" w:right="1418" w:bottom="1276" w:left="1418"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690"/>
        <w:keepNext w:val="0"/>
        <w:pageBreakBefore/>
        <w:tabs>
          <w:tab w:val="clear" w:pos="720"/>
        </w:tabs>
        <w:snapToGrid w:val="0"/>
        <w:spacing w:before="120" w:after="120"/>
        <w:ind w:firstLine="643"/>
        <w:outlineLvl w:val="9"/>
        <w:rPr>
          <w:rFonts w:hint="eastAsia" w:ascii="仿宋_GB2312" w:hAnsi="仿宋" w:eastAsia="仿宋_GB2312" w:cs="仿宋_GB2312"/>
          <w:kern w:val="2"/>
          <w:sz w:val="21"/>
          <w:szCs w:val="21"/>
          <w:lang w:eastAsia="zh-CN"/>
        </w:rPr>
      </w:pPr>
      <w:r>
        <w:rPr>
          <w:rFonts w:hint="eastAsia" w:ascii="仿宋_GB2312" w:hAnsi="仿宋" w:eastAsia="仿宋_GB2312" w:cs="仿宋_GB2312"/>
          <w:kern w:val="2"/>
          <w:sz w:val="32"/>
          <w:szCs w:val="32"/>
          <w:lang w:val="en-US" w:eastAsia="zh-CN"/>
        </w:rPr>
        <w:t>2、硬件设备报价明细表</w:t>
      </w:r>
    </w:p>
    <w:tbl>
      <w:tblPr>
        <w:tblStyle w:val="62"/>
        <w:tblW w:w="14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114"/>
        <w:gridCol w:w="1843"/>
        <w:gridCol w:w="3118"/>
        <w:gridCol w:w="1375"/>
        <w:gridCol w:w="1288"/>
        <w:gridCol w:w="1387"/>
        <w:gridCol w:w="1325"/>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37" w:type="dxa"/>
            <w:vAlign w:val="center"/>
          </w:tcPr>
          <w:p>
            <w:pPr>
              <w:spacing w:line="24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114" w:type="dxa"/>
            <w:vAlign w:val="center"/>
          </w:tcPr>
          <w:p>
            <w:pPr>
              <w:spacing w:line="24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240" w:lineRule="auto"/>
              <w:jc w:val="center"/>
              <w:rPr>
                <w:rFonts w:ascii="仿宋_GB2312" w:hAnsi="仿宋" w:eastAsia="仿宋_GB2312"/>
                <w:b/>
                <w:sz w:val="24"/>
              </w:rPr>
            </w:pPr>
          </w:p>
          <w:p>
            <w:pPr>
              <w:spacing w:line="24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24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1375" w:type="dxa"/>
            <w:vAlign w:val="center"/>
          </w:tcPr>
          <w:p>
            <w:pPr>
              <w:spacing w:line="240" w:lineRule="auto"/>
              <w:jc w:val="center"/>
              <w:rPr>
                <w:rFonts w:hint="eastAsia" w:ascii="仿宋_GB2312" w:hAnsi="仿宋" w:eastAsia="仿宋_GB2312" w:cs="仿宋_GB2312"/>
                <w:b/>
                <w:sz w:val="24"/>
                <w:lang w:eastAsia="zh-CN"/>
              </w:rPr>
            </w:pPr>
            <w:r>
              <w:rPr>
                <w:rFonts w:hint="eastAsia" w:ascii="仿宋_GB2312" w:hAnsi="仿宋" w:eastAsia="仿宋_GB2312" w:cs="仿宋_GB2312"/>
                <w:b/>
                <w:sz w:val="24"/>
                <w:lang w:eastAsia="zh-CN"/>
              </w:rPr>
              <w:t>单位</w:t>
            </w:r>
          </w:p>
        </w:tc>
        <w:tc>
          <w:tcPr>
            <w:tcW w:w="1288" w:type="dxa"/>
            <w:vAlign w:val="center"/>
          </w:tcPr>
          <w:p>
            <w:pPr>
              <w:spacing w:line="24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387" w:type="dxa"/>
            <w:vAlign w:val="center"/>
          </w:tcPr>
          <w:p>
            <w:pPr>
              <w:spacing w:line="24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325" w:type="dxa"/>
            <w:vAlign w:val="center"/>
          </w:tcPr>
          <w:p>
            <w:pPr>
              <w:spacing w:line="240" w:lineRule="auto"/>
              <w:jc w:val="center"/>
              <w:rPr>
                <w:rFonts w:ascii="仿宋_GB2312" w:hAnsi="仿宋" w:eastAsia="仿宋_GB2312"/>
                <w:b/>
                <w:sz w:val="24"/>
              </w:rPr>
            </w:pPr>
            <w:r>
              <w:rPr>
                <w:rFonts w:hint="eastAsia" w:ascii="仿宋_GB2312" w:hAnsi="仿宋" w:eastAsia="仿宋_GB2312"/>
                <w:b/>
                <w:sz w:val="24"/>
              </w:rPr>
              <w:t>总价</w:t>
            </w:r>
          </w:p>
        </w:tc>
        <w:tc>
          <w:tcPr>
            <w:tcW w:w="2075" w:type="dxa"/>
            <w:vAlign w:val="center"/>
          </w:tcPr>
          <w:p>
            <w:pPr>
              <w:spacing w:line="240" w:lineRule="auto"/>
              <w:jc w:val="center"/>
              <w:rPr>
                <w:rFonts w:ascii="仿宋_GB2312" w:hAnsi="仿宋" w:eastAsia="仿宋_GB2312"/>
                <w:b/>
                <w:sz w:val="24"/>
              </w:rPr>
            </w:pPr>
          </w:p>
          <w:p>
            <w:pPr>
              <w:spacing w:line="24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24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37"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114"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1375" w:type="dxa"/>
            <w:vAlign w:val="center"/>
          </w:tcPr>
          <w:p>
            <w:pPr>
              <w:snapToGrid w:val="0"/>
              <w:spacing w:line="360" w:lineRule="auto"/>
              <w:jc w:val="center"/>
              <w:rPr>
                <w:rFonts w:ascii="仿宋_GB2312" w:hAnsi="仿宋" w:eastAsia="仿宋_GB2312" w:cs="仿宋_GB2312"/>
                <w:sz w:val="24"/>
              </w:rPr>
            </w:pPr>
          </w:p>
        </w:tc>
        <w:tc>
          <w:tcPr>
            <w:tcW w:w="1288" w:type="dxa"/>
            <w:vAlign w:val="center"/>
          </w:tcPr>
          <w:p>
            <w:pPr>
              <w:spacing w:line="360" w:lineRule="auto"/>
              <w:jc w:val="center"/>
              <w:rPr>
                <w:rFonts w:ascii="仿宋_GB2312" w:hAnsi="仿宋" w:eastAsia="仿宋_GB2312" w:cs="仿宋_GB2312"/>
                <w:sz w:val="24"/>
              </w:rPr>
            </w:pPr>
          </w:p>
        </w:tc>
        <w:tc>
          <w:tcPr>
            <w:tcW w:w="1387" w:type="dxa"/>
            <w:vAlign w:val="center"/>
          </w:tcPr>
          <w:p>
            <w:pPr>
              <w:spacing w:line="360" w:lineRule="auto"/>
              <w:jc w:val="center"/>
              <w:rPr>
                <w:rFonts w:ascii="仿宋_GB2312" w:hAnsi="仿宋" w:eastAsia="仿宋_GB2312" w:cs="仿宋_GB2312"/>
                <w:sz w:val="24"/>
              </w:rPr>
            </w:pPr>
          </w:p>
        </w:tc>
        <w:tc>
          <w:tcPr>
            <w:tcW w:w="1325" w:type="dxa"/>
            <w:vAlign w:val="center"/>
          </w:tcPr>
          <w:p>
            <w:pPr>
              <w:spacing w:line="360" w:lineRule="auto"/>
              <w:jc w:val="center"/>
              <w:rPr>
                <w:rFonts w:ascii="仿宋_GB2312" w:hAnsi="仿宋" w:eastAsia="仿宋_GB2312" w:cs="仿宋_GB2312"/>
                <w:sz w:val="24"/>
              </w:rPr>
            </w:pPr>
          </w:p>
        </w:tc>
        <w:tc>
          <w:tcPr>
            <w:tcW w:w="207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7"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114"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1375" w:type="dxa"/>
            <w:vAlign w:val="center"/>
          </w:tcPr>
          <w:p>
            <w:pPr>
              <w:snapToGrid w:val="0"/>
              <w:spacing w:line="360" w:lineRule="auto"/>
              <w:jc w:val="center"/>
              <w:rPr>
                <w:rFonts w:ascii="仿宋_GB2312" w:hAnsi="仿宋" w:eastAsia="仿宋_GB2312" w:cs="仿宋_GB2312"/>
                <w:sz w:val="24"/>
              </w:rPr>
            </w:pPr>
          </w:p>
        </w:tc>
        <w:tc>
          <w:tcPr>
            <w:tcW w:w="1288" w:type="dxa"/>
            <w:vAlign w:val="center"/>
          </w:tcPr>
          <w:p>
            <w:pPr>
              <w:spacing w:line="360" w:lineRule="auto"/>
              <w:jc w:val="center"/>
              <w:rPr>
                <w:rFonts w:ascii="仿宋_GB2312" w:hAnsi="仿宋" w:eastAsia="仿宋_GB2312" w:cs="仿宋_GB2312"/>
                <w:sz w:val="24"/>
              </w:rPr>
            </w:pPr>
          </w:p>
        </w:tc>
        <w:tc>
          <w:tcPr>
            <w:tcW w:w="1387" w:type="dxa"/>
            <w:vAlign w:val="center"/>
          </w:tcPr>
          <w:p>
            <w:pPr>
              <w:spacing w:line="360" w:lineRule="auto"/>
              <w:jc w:val="center"/>
              <w:rPr>
                <w:rFonts w:ascii="仿宋_GB2312" w:hAnsi="仿宋" w:eastAsia="仿宋_GB2312" w:cs="仿宋_GB2312"/>
                <w:sz w:val="24"/>
              </w:rPr>
            </w:pPr>
          </w:p>
        </w:tc>
        <w:tc>
          <w:tcPr>
            <w:tcW w:w="1325" w:type="dxa"/>
            <w:vAlign w:val="center"/>
          </w:tcPr>
          <w:p>
            <w:pPr>
              <w:spacing w:line="360" w:lineRule="auto"/>
              <w:jc w:val="center"/>
              <w:rPr>
                <w:rFonts w:ascii="仿宋_GB2312" w:hAnsi="仿宋" w:eastAsia="仿宋_GB2312" w:cs="仿宋_GB2312"/>
                <w:sz w:val="24"/>
              </w:rPr>
            </w:pPr>
          </w:p>
        </w:tc>
        <w:tc>
          <w:tcPr>
            <w:tcW w:w="207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114"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1375" w:type="dxa"/>
            <w:vAlign w:val="center"/>
          </w:tcPr>
          <w:p>
            <w:pPr>
              <w:snapToGrid w:val="0"/>
              <w:spacing w:line="360" w:lineRule="auto"/>
              <w:jc w:val="center"/>
              <w:rPr>
                <w:rFonts w:ascii="仿宋_GB2312" w:hAnsi="仿宋" w:eastAsia="仿宋_GB2312" w:cs="仿宋_GB2312"/>
                <w:sz w:val="24"/>
              </w:rPr>
            </w:pPr>
          </w:p>
        </w:tc>
        <w:tc>
          <w:tcPr>
            <w:tcW w:w="1288" w:type="dxa"/>
            <w:vAlign w:val="center"/>
          </w:tcPr>
          <w:p>
            <w:pPr>
              <w:spacing w:line="360" w:lineRule="auto"/>
              <w:jc w:val="center"/>
              <w:rPr>
                <w:rFonts w:ascii="仿宋_GB2312" w:hAnsi="仿宋" w:eastAsia="仿宋_GB2312" w:cs="仿宋_GB2312"/>
                <w:sz w:val="24"/>
              </w:rPr>
            </w:pPr>
          </w:p>
        </w:tc>
        <w:tc>
          <w:tcPr>
            <w:tcW w:w="1387" w:type="dxa"/>
            <w:vAlign w:val="center"/>
          </w:tcPr>
          <w:p>
            <w:pPr>
              <w:spacing w:line="360" w:lineRule="auto"/>
              <w:jc w:val="center"/>
              <w:rPr>
                <w:rFonts w:ascii="仿宋_GB2312" w:hAnsi="仿宋" w:eastAsia="仿宋_GB2312" w:cs="仿宋_GB2312"/>
                <w:sz w:val="24"/>
              </w:rPr>
            </w:pPr>
          </w:p>
        </w:tc>
        <w:tc>
          <w:tcPr>
            <w:tcW w:w="1325" w:type="dxa"/>
            <w:vAlign w:val="center"/>
          </w:tcPr>
          <w:p>
            <w:pPr>
              <w:spacing w:line="360" w:lineRule="auto"/>
              <w:jc w:val="center"/>
              <w:rPr>
                <w:rFonts w:ascii="仿宋_GB2312" w:hAnsi="仿宋" w:eastAsia="仿宋_GB2312" w:cs="仿宋_GB2312"/>
                <w:sz w:val="24"/>
              </w:rPr>
            </w:pPr>
          </w:p>
        </w:tc>
        <w:tc>
          <w:tcPr>
            <w:tcW w:w="207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7" w:type="dxa"/>
            <w:vAlign w:val="center"/>
          </w:tcPr>
          <w:p>
            <w:pPr>
              <w:spacing w:line="360" w:lineRule="auto"/>
              <w:jc w:val="center"/>
              <w:rPr>
                <w:rFonts w:ascii="仿宋_GB2312" w:hAnsi="仿宋" w:eastAsia="仿宋_GB2312" w:cs="仿宋_GB2312"/>
                <w:sz w:val="24"/>
              </w:rPr>
            </w:pPr>
          </w:p>
        </w:tc>
        <w:tc>
          <w:tcPr>
            <w:tcW w:w="1114"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1375" w:type="dxa"/>
            <w:vAlign w:val="center"/>
          </w:tcPr>
          <w:p>
            <w:pPr>
              <w:snapToGrid w:val="0"/>
              <w:spacing w:line="360" w:lineRule="auto"/>
              <w:jc w:val="center"/>
              <w:rPr>
                <w:rFonts w:ascii="仿宋_GB2312" w:hAnsi="仿宋" w:eastAsia="仿宋_GB2312" w:cs="仿宋_GB2312"/>
                <w:sz w:val="24"/>
              </w:rPr>
            </w:pPr>
          </w:p>
        </w:tc>
        <w:tc>
          <w:tcPr>
            <w:tcW w:w="1288" w:type="dxa"/>
            <w:vAlign w:val="center"/>
          </w:tcPr>
          <w:p>
            <w:pPr>
              <w:spacing w:line="360" w:lineRule="auto"/>
              <w:jc w:val="center"/>
              <w:rPr>
                <w:rFonts w:ascii="仿宋_GB2312" w:hAnsi="仿宋" w:eastAsia="仿宋_GB2312" w:cs="仿宋_GB2312"/>
                <w:sz w:val="24"/>
              </w:rPr>
            </w:pPr>
          </w:p>
        </w:tc>
        <w:tc>
          <w:tcPr>
            <w:tcW w:w="1387" w:type="dxa"/>
            <w:vAlign w:val="center"/>
          </w:tcPr>
          <w:p>
            <w:pPr>
              <w:spacing w:line="360" w:lineRule="auto"/>
              <w:jc w:val="center"/>
              <w:rPr>
                <w:rFonts w:ascii="仿宋_GB2312" w:hAnsi="仿宋" w:eastAsia="仿宋_GB2312" w:cs="仿宋_GB2312"/>
                <w:sz w:val="24"/>
              </w:rPr>
            </w:pPr>
          </w:p>
        </w:tc>
        <w:tc>
          <w:tcPr>
            <w:tcW w:w="1325" w:type="dxa"/>
            <w:vAlign w:val="center"/>
          </w:tcPr>
          <w:p>
            <w:pPr>
              <w:spacing w:line="360" w:lineRule="auto"/>
              <w:jc w:val="center"/>
              <w:rPr>
                <w:rFonts w:ascii="仿宋_GB2312" w:hAnsi="仿宋" w:eastAsia="仿宋_GB2312" w:cs="仿宋_GB2312"/>
                <w:sz w:val="24"/>
              </w:rPr>
            </w:pPr>
          </w:p>
        </w:tc>
        <w:tc>
          <w:tcPr>
            <w:tcW w:w="207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7" w:type="dxa"/>
            <w:vAlign w:val="center"/>
          </w:tcPr>
          <w:p>
            <w:pPr>
              <w:spacing w:line="360" w:lineRule="auto"/>
              <w:jc w:val="center"/>
              <w:rPr>
                <w:rFonts w:ascii="仿宋_GB2312" w:hAnsi="仿宋" w:eastAsia="仿宋_GB2312" w:cs="仿宋_GB2312"/>
                <w:sz w:val="24"/>
              </w:rPr>
            </w:pPr>
          </w:p>
        </w:tc>
        <w:tc>
          <w:tcPr>
            <w:tcW w:w="1114"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1375" w:type="dxa"/>
            <w:vAlign w:val="center"/>
          </w:tcPr>
          <w:p>
            <w:pPr>
              <w:snapToGrid w:val="0"/>
              <w:spacing w:line="360" w:lineRule="auto"/>
              <w:jc w:val="center"/>
              <w:rPr>
                <w:rFonts w:ascii="仿宋_GB2312" w:hAnsi="仿宋" w:eastAsia="仿宋_GB2312" w:cs="仿宋_GB2312"/>
                <w:sz w:val="24"/>
              </w:rPr>
            </w:pPr>
          </w:p>
        </w:tc>
        <w:tc>
          <w:tcPr>
            <w:tcW w:w="1288" w:type="dxa"/>
            <w:vAlign w:val="center"/>
          </w:tcPr>
          <w:p>
            <w:pPr>
              <w:spacing w:line="360" w:lineRule="auto"/>
              <w:jc w:val="center"/>
              <w:rPr>
                <w:rFonts w:ascii="仿宋_GB2312" w:hAnsi="仿宋" w:eastAsia="仿宋_GB2312" w:cs="仿宋_GB2312"/>
                <w:sz w:val="24"/>
              </w:rPr>
            </w:pPr>
          </w:p>
        </w:tc>
        <w:tc>
          <w:tcPr>
            <w:tcW w:w="1387" w:type="dxa"/>
            <w:vAlign w:val="center"/>
          </w:tcPr>
          <w:p>
            <w:pPr>
              <w:spacing w:line="360" w:lineRule="auto"/>
              <w:jc w:val="center"/>
              <w:rPr>
                <w:rFonts w:ascii="仿宋_GB2312" w:hAnsi="仿宋" w:eastAsia="仿宋_GB2312" w:cs="仿宋_GB2312"/>
                <w:sz w:val="24"/>
              </w:rPr>
            </w:pPr>
          </w:p>
        </w:tc>
        <w:tc>
          <w:tcPr>
            <w:tcW w:w="1325" w:type="dxa"/>
            <w:vAlign w:val="center"/>
          </w:tcPr>
          <w:p>
            <w:pPr>
              <w:spacing w:line="360" w:lineRule="auto"/>
              <w:jc w:val="center"/>
              <w:rPr>
                <w:rFonts w:ascii="仿宋_GB2312" w:hAnsi="仿宋" w:eastAsia="仿宋_GB2312" w:cs="仿宋_GB2312"/>
                <w:sz w:val="24"/>
              </w:rPr>
            </w:pPr>
          </w:p>
        </w:tc>
        <w:tc>
          <w:tcPr>
            <w:tcW w:w="207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450" w:type="dxa"/>
            <w:gridSpan w:val="5"/>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450" w:type="dxa"/>
            <w:gridSpan w:val="5"/>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362" w:type="dxa"/>
            <w:gridSpan w:val="9"/>
            <w:vAlign w:val="center"/>
          </w:tcPr>
          <w:p>
            <w:pPr>
              <w:spacing w:line="360" w:lineRule="auto"/>
              <w:jc w:val="left"/>
              <w:rPr>
                <w:rFonts w:ascii="仿宋_GB2312" w:hAnsi="仿宋" w:eastAsia="仿宋_GB2312" w:cs="仿宋_GB2312"/>
                <w:sz w:val="24"/>
              </w:rPr>
            </w:pPr>
            <w:r>
              <w:rPr>
                <w:rFonts w:hint="eastAsia" w:ascii="仿宋_GB2312" w:hAnsi="仿宋" w:eastAsia="仿宋_GB2312" w:cs="仿宋_GB2312"/>
                <w:b/>
                <w:bCs/>
                <w:sz w:val="24"/>
              </w:rPr>
              <w:t>注：须根据采购需求中的“硬件设备明细表”内容编辑。</w:t>
            </w:r>
          </w:p>
        </w:tc>
      </w:tr>
    </w:tbl>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7" w:right="1247" w:bottom="1417" w:left="1276"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lang w:eastAsia="zh-CN"/>
        </w:rPr>
        <w:t>三</w:t>
      </w:r>
      <w:r>
        <w:rPr>
          <w:rFonts w:hint="eastAsia" w:ascii="仿宋_GB2312" w:hAnsi="仿宋" w:eastAsia="仿宋_GB2312" w:cs="仿宋_GB2312"/>
          <w:kern w:val="2"/>
          <w:sz w:val="32"/>
          <w:szCs w:val="32"/>
        </w:rPr>
        <w:t>、</w:t>
      </w:r>
      <w:r>
        <w:rPr>
          <w:rFonts w:hint="eastAsia" w:ascii="仿宋_GB2312" w:hAnsi="宋体" w:eastAsia="仿宋_GB2312"/>
          <w:sz w:val="32"/>
          <w:szCs w:val="32"/>
        </w:rPr>
        <w:t>中小企业声明函</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货物</w:t>
      </w:r>
      <w:r>
        <w:rPr>
          <w:rFonts w:hint="eastAsia" w:ascii="仿宋" w:hAnsi="仿宋" w:eastAsia="仿宋" w:cs="仿宋"/>
          <w:kern w:val="2"/>
          <w:sz w:val="32"/>
          <w:szCs w:val="32"/>
        </w:rPr>
        <w:t>）</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u w:val="single"/>
        </w:rPr>
        <w:t>（单位名称）</w:t>
      </w:r>
      <w:r>
        <w:rPr>
          <w:rFonts w:ascii="仿宋_GB2312" w:hAnsi="宋体" w:eastAsia="仿宋_GB2312"/>
          <w:sz w:val="24"/>
          <w:u w:val="single"/>
        </w:rPr>
        <w:t xml:space="preserve"> </w:t>
      </w:r>
      <w:r>
        <w:rPr>
          <w:rFonts w:hint="eastAsia" w:ascii="仿宋_GB2312" w:hAnsi="宋体" w:eastAsia="仿宋_GB2312"/>
          <w:sz w:val="24"/>
        </w:rPr>
        <w:t>的</w:t>
      </w:r>
      <w:r>
        <w:rPr>
          <w:rFonts w:ascii="仿宋_GB2312" w:hAnsi="宋体" w:eastAsia="仿宋_GB2312"/>
          <w:sz w:val="24"/>
          <w:u w:val="single"/>
        </w:rPr>
        <w:t xml:space="preserve"> </w:t>
      </w:r>
      <w:r>
        <w:rPr>
          <w:rFonts w:hint="eastAsia" w:ascii="仿宋_GB2312" w:hAnsi="宋体" w:eastAsia="仿宋_GB2312"/>
          <w:sz w:val="24"/>
          <w:u w:val="single"/>
        </w:rPr>
        <w:t>（项目名称）</w:t>
      </w:r>
      <w:r>
        <w:rPr>
          <w:rFonts w:ascii="仿宋_GB2312" w:hAnsi="宋体" w:eastAsia="仿宋_GB2312"/>
          <w:sz w:val="24"/>
          <w:u w:val="single"/>
        </w:rPr>
        <w:t xml:space="preserve"> </w:t>
      </w:r>
      <w:r>
        <w:rPr>
          <w:rFonts w:hint="eastAsia" w:ascii="仿宋_GB2312" w:hAnsi="宋体" w:eastAsia="仿宋_GB2312"/>
          <w:sz w:val="24"/>
        </w:rPr>
        <w:t>采购活动，</w:t>
      </w:r>
      <w:r>
        <w:rPr>
          <w:rFonts w:hint="eastAsia" w:ascii="仿宋_GB2312" w:hAnsi="宋体" w:eastAsia="仿宋_GB2312"/>
          <w:sz w:val="24"/>
          <w:lang w:eastAsia="zh-CN"/>
        </w:rPr>
        <w:t>提供的货物全部由符合政策要求的中小企业制造</w:t>
      </w:r>
      <w:r>
        <w:rPr>
          <w:rFonts w:hint="eastAsia" w:ascii="仿宋_GB2312" w:hAnsi="宋体" w:eastAsia="仿宋_GB2312"/>
          <w:sz w:val="24"/>
        </w:rPr>
        <w:t>。相关企业（含联合体中的中小企业、签订分包意向协议的中小企业）的具体情况如下：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w:t>
      </w:r>
      <w:r>
        <w:rPr>
          <w:rFonts w:hint="eastAsia" w:ascii="仿宋_GB2312" w:hAnsi="宋体" w:eastAsia="仿宋_GB2312"/>
          <w:sz w:val="24"/>
          <w:lang w:eastAsia="zh-CN"/>
        </w:rPr>
        <w:t>制造商为</w:t>
      </w:r>
      <w:r>
        <w:rPr>
          <w:rFonts w:ascii="仿宋_GB2312" w:hAnsi="宋体" w:eastAsia="仿宋_GB2312"/>
          <w:sz w:val="24"/>
        </w:rPr>
        <w:t xml:space="preserve">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w:t>
      </w:r>
      <w:r>
        <w:rPr>
          <w:rFonts w:hint="eastAsia" w:ascii="仿宋_GB2312" w:hAnsi="宋体" w:eastAsia="仿宋_GB2312"/>
          <w:sz w:val="24"/>
          <w:lang w:eastAsia="zh-CN"/>
        </w:rPr>
        <w:t>制造商为</w:t>
      </w:r>
      <w:r>
        <w:rPr>
          <w:rFonts w:ascii="仿宋_GB2312" w:hAnsi="宋体" w:eastAsia="仿宋_GB2312"/>
          <w:sz w:val="24"/>
        </w:rPr>
        <w:t xml:space="preserve">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pStyle w:val="690"/>
        <w:keepNext w:val="0"/>
        <w:pageBreakBefore w:val="0"/>
        <w:tabs>
          <w:tab w:val="clear" w:pos="720"/>
        </w:tabs>
        <w:snapToGrid w:val="0"/>
        <w:spacing w:before="120" w:after="120"/>
        <w:ind w:firstLine="480" w:firstLineChars="200"/>
        <w:jc w:val="left"/>
        <w:outlineLvl w:val="9"/>
        <w:rPr>
          <w:rFonts w:hint="eastAsia" w:ascii="仿宋_GB2312" w:hAnsi="宋体" w:eastAsia="仿宋_GB2312"/>
          <w:b w:val="0"/>
          <w:bCs/>
          <w:sz w:val="32"/>
          <w:szCs w:val="32"/>
          <w:lang w:eastAsia="zh-CN"/>
        </w:rPr>
      </w:pPr>
      <w:r>
        <w:rPr>
          <w:rFonts w:ascii="仿宋_GB2312" w:hAnsi="仿宋" w:eastAsia="仿宋_GB2312" w:cs="仿宋_GB2312"/>
          <w:b w:val="0"/>
          <w:bCs/>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r>
        <w:rPr>
          <w:rFonts w:hint="eastAsia" w:ascii="仿宋_GB2312" w:hAnsi="仿宋" w:eastAsia="仿宋_GB2312" w:cs="仿宋_GB2312"/>
          <w:b w:val="0"/>
          <w:bCs/>
          <w:sz w:val="24"/>
          <w:lang w:eastAsia="zh-CN"/>
        </w:rPr>
        <w:t>。</w:t>
      </w: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4"/>
      <w:bookmarkStart w:id="396" w:name="OLE_LINK13"/>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pStyle w:val="23"/>
        <w:rPr>
          <w:rFonts w:hint="eastAsia" w:ascii="仿宋" w:hAnsi="仿宋" w:eastAsia="仿宋" w:cs="仿宋"/>
          <w:b/>
          <w:bCs/>
          <w:sz w:val="32"/>
          <w:szCs w:val="32"/>
        </w:rPr>
      </w:pPr>
      <w:r>
        <w:rPr>
          <w:rFonts w:hint="eastAsia" w:ascii="仿宋" w:hAnsi="仿宋" w:eastAsia="仿宋" w:cs="仿宋"/>
          <w:b/>
          <w:bCs/>
          <w:sz w:val="32"/>
          <w:szCs w:val="32"/>
        </w:rPr>
        <w:t>附件2（开标记录开启后，请将此附件填写完整发送至邮箱：1944829752@qq.com）：</w:t>
      </w:r>
    </w:p>
    <w:p>
      <w:pPr>
        <w:pStyle w:val="23"/>
        <w:jc w:val="center"/>
        <w:rPr>
          <w:rFonts w:hint="eastAsia" w:ascii="仿宋" w:hAnsi="仿宋" w:eastAsia="仿宋" w:cs="仿宋"/>
          <w:b/>
          <w:bCs/>
          <w:sz w:val="32"/>
          <w:szCs w:val="32"/>
        </w:rPr>
      </w:pPr>
      <w:r>
        <w:rPr>
          <w:rFonts w:hint="eastAsia" w:ascii="仿宋" w:hAnsi="仿宋" w:eastAsia="仿宋" w:cs="仿宋"/>
          <w:b/>
          <w:bCs/>
          <w:sz w:val="32"/>
          <w:szCs w:val="32"/>
        </w:rPr>
        <w:t>政府采购活动现场确认声明书</w:t>
      </w:r>
    </w:p>
    <w:p>
      <w:pPr>
        <w:pStyle w:val="23"/>
        <w:rPr>
          <w:rFonts w:hint="eastAsia" w:ascii="仿宋" w:hAnsi="仿宋" w:eastAsia="仿宋" w:cs="仿宋"/>
          <w:sz w:val="24"/>
        </w:rPr>
      </w:pPr>
      <w:r>
        <w:rPr>
          <w:rFonts w:hint="eastAsia" w:ascii="仿宋_GB2312" w:hAnsi="仿宋" w:eastAsia="仿宋_GB2312" w:cs="仿宋_GB2312"/>
          <w:sz w:val="24"/>
        </w:rPr>
        <w:t>（采购人）、（采购代理机构）</w:t>
      </w:r>
      <w:r>
        <w:rPr>
          <w:rFonts w:hint="eastAsia" w:ascii="仿宋" w:hAnsi="仿宋" w:eastAsia="仿宋" w:cs="仿宋"/>
          <w:sz w:val="24"/>
        </w:rPr>
        <w:t>：</w:t>
      </w:r>
    </w:p>
    <w:p>
      <w:pPr>
        <w:pStyle w:val="23"/>
        <w:ind w:firstLine="480" w:firstLineChars="200"/>
        <w:rPr>
          <w:rFonts w:hint="eastAsia" w:ascii="仿宋" w:hAnsi="仿宋" w:eastAsia="仿宋" w:cs="仿宋"/>
          <w:sz w:val="24"/>
        </w:rPr>
      </w:pPr>
      <w:r>
        <w:rPr>
          <w:rFonts w:hint="eastAsia" w:ascii="仿宋" w:hAnsi="仿宋" w:eastAsia="仿宋" w:cs="仿宋"/>
          <w:sz w:val="24"/>
        </w:rPr>
        <w:t xml:space="preserve">本人 ____________（授权代表姓名），经由______________________________（单位） ____________ （法定代表人姓名）合法授权参加项目名称：（编号：）政府采购活动。经与本单位法人代表（负责人）联系确认，现就有关公平竞争事项郑重声明如下: </w:t>
      </w:r>
    </w:p>
    <w:p>
      <w:pPr>
        <w:pStyle w:val="23"/>
        <w:rPr>
          <w:rFonts w:hint="eastAsia" w:ascii="仿宋" w:hAnsi="仿宋" w:eastAsia="仿宋" w:cs="仿宋"/>
          <w:sz w:val="24"/>
        </w:rPr>
      </w:pPr>
      <w:r>
        <w:rPr>
          <w:rFonts w:hint="eastAsia" w:ascii="仿宋" w:hAnsi="仿宋" w:eastAsia="仿宋" w:cs="仿宋"/>
          <w:sz w:val="24"/>
        </w:rPr>
        <w:t>一、本单位与采购人之间</w:t>
      </w:r>
      <w:r>
        <w:rPr>
          <w:rFonts w:hint="eastAsia" w:ascii="仿宋" w:hAnsi="仿宋" w:eastAsia="仿宋" w:cs="仿宋"/>
          <w:sz w:val="24"/>
        </w:rPr>
        <w:sym w:font="Wingdings 2" w:char="F0A3"/>
      </w:r>
      <w:r>
        <w:rPr>
          <w:rFonts w:hint="eastAsia" w:ascii="仿宋" w:hAnsi="仿宋" w:eastAsia="仿宋" w:cs="仿宋"/>
          <w:sz w:val="24"/>
        </w:rPr>
        <w:t>不存在利害关系</w:t>
      </w:r>
      <w:r>
        <w:rPr>
          <w:rFonts w:hint="eastAsia" w:ascii="仿宋" w:hAnsi="仿宋" w:eastAsia="仿宋" w:cs="仿宋"/>
          <w:sz w:val="24"/>
        </w:rPr>
        <w:sym w:font="Wingdings 2" w:char="F0A3"/>
      </w:r>
      <w:r>
        <w:rPr>
          <w:rFonts w:hint="eastAsia" w:ascii="仿宋" w:hAnsi="仿宋" w:eastAsia="仿宋" w:cs="仿宋"/>
          <w:sz w:val="24"/>
        </w:rPr>
        <w:t>存在下列利害关系:</w:t>
      </w:r>
    </w:p>
    <w:p>
      <w:pPr>
        <w:pStyle w:val="23"/>
        <w:numPr>
          <w:ilvl w:val="0"/>
          <w:numId w:val="3"/>
        </w:numPr>
        <w:rPr>
          <w:rFonts w:hint="eastAsia" w:ascii="仿宋" w:hAnsi="仿宋" w:eastAsia="仿宋" w:cs="仿宋"/>
          <w:sz w:val="24"/>
        </w:rPr>
      </w:pPr>
      <w:r>
        <w:rPr>
          <w:rFonts w:hint="eastAsia" w:ascii="仿宋" w:hAnsi="仿宋" w:eastAsia="仿宋" w:cs="仿宋"/>
          <w:sz w:val="24"/>
        </w:rPr>
        <w:t>投资关系 B．行政隶属关系 C．业务指导关系</w:t>
      </w:r>
    </w:p>
    <w:p>
      <w:pPr>
        <w:pStyle w:val="23"/>
        <w:ind w:left="120"/>
        <w:rPr>
          <w:rFonts w:hint="eastAsia" w:ascii="仿宋" w:hAnsi="仿宋" w:eastAsia="仿宋" w:cs="仿宋"/>
          <w:sz w:val="24"/>
        </w:rPr>
      </w:pPr>
      <w:r>
        <w:rPr>
          <w:rFonts w:hint="eastAsia" w:ascii="仿宋" w:hAnsi="仿宋" w:eastAsia="仿宋" w:cs="仿宋"/>
          <w:sz w:val="24"/>
        </w:rPr>
        <w:t>D．其他可能影响采购公正的利害关系（如有，请如实说明）。</w:t>
      </w:r>
    </w:p>
    <w:p>
      <w:pPr>
        <w:pStyle w:val="23"/>
        <w:rPr>
          <w:rFonts w:hint="eastAsia" w:ascii="仿宋" w:hAnsi="仿宋" w:eastAsia="仿宋" w:cs="仿宋"/>
          <w:sz w:val="24"/>
        </w:rPr>
      </w:pPr>
      <w:r>
        <w:rPr>
          <w:rFonts w:hint="eastAsia" w:ascii="仿宋" w:hAnsi="仿宋" w:eastAsia="仿宋" w:cs="仿宋"/>
          <w:sz w:val="24"/>
        </w:rPr>
        <w:t>二、现己清楚知道参加本项目采购活动的其他所有供应商名称，本单位</w:t>
      </w:r>
    </w:p>
    <w:p>
      <w:pPr>
        <w:pStyle w:val="23"/>
        <w:ind w:firstLine="480" w:firstLineChars="200"/>
        <w:rPr>
          <w:rFonts w:hint="eastAsia" w:ascii="仿宋" w:hAnsi="仿宋" w:eastAsia="仿宋" w:cs="仿宋"/>
          <w:sz w:val="24"/>
        </w:rPr>
      </w:pPr>
      <w:r>
        <w:rPr>
          <w:rFonts w:hint="eastAsia" w:ascii="仿宋" w:hAnsi="仿宋" w:eastAsia="仿宋" w:cs="仿宋"/>
          <w:sz w:val="24"/>
        </w:rPr>
        <w:sym w:font="Wingdings 2" w:char="F0A3"/>
      </w:r>
      <w:r>
        <w:rPr>
          <w:rFonts w:hint="eastAsia" w:ascii="仿宋" w:hAnsi="仿宋" w:eastAsia="仿宋" w:cs="仿宋"/>
          <w:sz w:val="24"/>
        </w:rPr>
        <w:t>与其他所有供应商之间均不存在利害关系</w:t>
      </w:r>
    </w:p>
    <w:p>
      <w:pPr>
        <w:pStyle w:val="23"/>
        <w:ind w:firstLine="480" w:firstLineChars="200"/>
        <w:rPr>
          <w:rFonts w:hint="eastAsia" w:ascii="仿宋" w:hAnsi="仿宋" w:eastAsia="仿宋" w:cs="仿宋"/>
          <w:sz w:val="24"/>
        </w:rPr>
      </w:pPr>
      <w:r>
        <w:rPr>
          <w:rFonts w:hint="eastAsia" w:ascii="仿宋" w:hAnsi="仿宋" w:eastAsia="仿宋" w:cs="仿宋"/>
          <w:sz w:val="24"/>
        </w:rPr>
        <w:sym w:font="Wingdings 2" w:char="F0A3"/>
      </w:r>
      <w:r>
        <w:rPr>
          <w:rFonts w:hint="eastAsia" w:ascii="仿宋" w:hAnsi="仿宋" w:eastAsia="仿宋" w:cs="仿宋"/>
          <w:sz w:val="24"/>
        </w:rPr>
        <w:t xml:space="preserve">与______________（供应商名称）之间存在下列利害关系: </w:t>
      </w:r>
    </w:p>
    <w:p>
      <w:pPr>
        <w:pStyle w:val="23"/>
        <w:rPr>
          <w:rFonts w:hint="eastAsia" w:ascii="仿宋" w:hAnsi="仿宋" w:eastAsia="仿宋" w:cs="仿宋"/>
          <w:sz w:val="24"/>
        </w:rPr>
      </w:pPr>
      <w:r>
        <w:rPr>
          <w:rFonts w:hint="eastAsia" w:ascii="仿宋" w:hAnsi="仿宋" w:eastAsia="仿宋" w:cs="仿宋"/>
          <w:sz w:val="24"/>
        </w:rPr>
        <w:t xml:space="preserve">A．法定代表人或负责人或实际控制人是同一人 </w:t>
      </w:r>
    </w:p>
    <w:p>
      <w:pPr>
        <w:pStyle w:val="23"/>
        <w:rPr>
          <w:rFonts w:hint="eastAsia" w:ascii="仿宋" w:hAnsi="仿宋" w:eastAsia="仿宋" w:cs="仿宋"/>
          <w:sz w:val="24"/>
        </w:rPr>
      </w:pPr>
      <w:r>
        <w:rPr>
          <w:rFonts w:hint="eastAsia" w:ascii="仿宋" w:hAnsi="仿宋" w:eastAsia="仿宋" w:cs="仿宋"/>
          <w:sz w:val="24"/>
        </w:rPr>
        <w:t xml:space="preserve">B．法定代表人或负责人或实际控制人是夫妻关系 </w:t>
      </w:r>
    </w:p>
    <w:p>
      <w:pPr>
        <w:pStyle w:val="23"/>
        <w:rPr>
          <w:rFonts w:hint="eastAsia" w:ascii="仿宋" w:hAnsi="仿宋" w:eastAsia="仿宋" w:cs="仿宋"/>
          <w:sz w:val="24"/>
        </w:rPr>
      </w:pPr>
      <w:r>
        <w:rPr>
          <w:rFonts w:hint="eastAsia" w:ascii="仿宋" w:hAnsi="仿宋" w:eastAsia="仿宋" w:cs="仿宋"/>
          <w:sz w:val="24"/>
        </w:rPr>
        <w:t xml:space="preserve">C．法定代表人或负责人或实际控制人是直系血亲关系 </w:t>
      </w:r>
    </w:p>
    <w:p>
      <w:pPr>
        <w:pStyle w:val="23"/>
        <w:rPr>
          <w:rFonts w:hint="eastAsia" w:ascii="仿宋" w:hAnsi="仿宋" w:eastAsia="仿宋" w:cs="仿宋"/>
          <w:sz w:val="24"/>
        </w:rPr>
      </w:pPr>
      <w:r>
        <w:rPr>
          <w:rFonts w:hint="eastAsia" w:ascii="仿宋" w:hAnsi="仿宋" w:eastAsia="仿宋" w:cs="仿宋"/>
          <w:sz w:val="24"/>
        </w:rPr>
        <w:t xml:space="preserve">D．法定代表人或负责人或实际控制人存在三代以内旁系血亲关系 </w:t>
      </w:r>
    </w:p>
    <w:p>
      <w:pPr>
        <w:pStyle w:val="23"/>
        <w:rPr>
          <w:rFonts w:hint="eastAsia" w:ascii="仿宋" w:hAnsi="仿宋" w:eastAsia="仿宋" w:cs="仿宋"/>
          <w:sz w:val="24"/>
        </w:rPr>
      </w:pPr>
      <w:r>
        <w:rPr>
          <w:rFonts w:hint="eastAsia" w:ascii="仿宋" w:hAnsi="仿宋" w:eastAsia="仿宋" w:cs="仿宋"/>
          <w:sz w:val="24"/>
        </w:rPr>
        <w:t xml:space="preserve">E．法定代表人或负责人或实际控制人存在近姻亲关系 </w:t>
      </w:r>
    </w:p>
    <w:p>
      <w:pPr>
        <w:pStyle w:val="23"/>
        <w:rPr>
          <w:rFonts w:hint="eastAsia" w:ascii="仿宋" w:hAnsi="仿宋" w:eastAsia="仿宋" w:cs="仿宋"/>
          <w:sz w:val="24"/>
        </w:rPr>
      </w:pPr>
      <w:r>
        <w:rPr>
          <w:rFonts w:hint="eastAsia" w:ascii="仿宋" w:hAnsi="仿宋" w:eastAsia="仿宋" w:cs="仿宋"/>
          <w:sz w:val="24"/>
        </w:rPr>
        <w:t xml:space="preserve">F．法定代表人或负责人或实际控制人存在股份控制或实际控制关系 </w:t>
      </w:r>
    </w:p>
    <w:p>
      <w:pPr>
        <w:pStyle w:val="23"/>
        <w:rPr>
          <w:rFonts w:hint="eastAsia" w:ascii="仿宋" w:hAnsi="仿宋" w:eastAsia="仿宋" w:cs="仿宋"/>
          <w:sz w:val="24"/>
        </w:rPr>
      </w:pPr>
      <w:r>
        <w:rPr>
          <w:rFonts w:hint="eastAsia" w:ascii="仿宋" w:hAnsi="仿宋" w:eastAsia="仿宋" w:cs="仿宋"/>
          <w:sz w:val="24"/>
        </w:rPr>
        <w:t xml:space="preserve">G．存在共同直接或间接投资设立子公司、联营企业和合营企业情况 </w:t>
      </w:r>
    </w:p>
    <w:p>
      <w:pPr>
        <w:pStyle w:val="23"/>
        <w:rPr>
          <w:rFonts w:hint="eastAsia" w:ascii="仿宋" w:hAnsi="仿宋" w:eastAsia="仿宋" w:cs="仿宋"/>
          <w:sz w:val="24"/>
        </w:rPr>
      </w:pPr>
      <w:r>
        <w:rPr>
          <w:rFonts w:hint="eastAsia" w:ascii="仿宋" w:hAnsi="仿宋" w:eastAsia="仿宋" w:cs="仿宋"/>
          <w:sz w:val="24"/>
        </w:rPr>
        <w:t xml:space="preserve">H．存在分级代理或代销关系、同一生产制造商关系、管理关系、重要业务（占主营业务收入 50 ％以上）或重要财务 往来关系（如融资）等其他实质性控制关系 </w:t>
      </w:r>
    </w:p>
    <w:p>
      <w:pPr>
        <w:pStyle w:val="23"/>
        <w:rPr>
          <w:rFonts w:hint="eastAsia" w:ascii="仿宋" w:hAnsi="仿宋" w:eastAsia="仿宋" w:cs="仿宋"/>
          <w:sz w:val="24"/>
        </w:rPr>
      </w:pPr>
      <w:r>
        <w:rPr>
          <w:rFonts w:hint="eastAsia" w:ascii="仿宋" w:hAnsi="仿宋" w:eastAsia="仿宋" w:cs="仿宋"/>
          <w:sz w:val="24"/>
        </w:rPr>
        <w:t xml:space="preserve">I．其他利害关系情况 ________________________________________。 </w:t>
      </w:r>
    </w:p>
    <w:p>
      <w:pPr>
        <w:pStyle w:val="23"/>
        <w:rPr>
          <w:rFonts w:hint="eastAsia" w:ascii="仿宋" w:hAnsi="仿宋" w:eastAsia="仿宋" w:cs="仿宋"/>
          <w:sz w:val="24"/>
        </w:rPr>
      </w:pPr>
      <w:r>
        <w:rPr>
          <w:rFonts w:hint="eastAsia" w:ascii="仿宋" w:hAnsi="仿宋" w:eastAsia="仿宋" w:cs="仿宋"/>
          <w:sz w:val="24"/>
        </w:rPr>
        <w:t xml:space="preserve">三、现己清楚知道并严格遵守政府采购法律法规。 </w:t>
      </w:r>
    </w:p>
    <w:p>
      <w:pPr>
        <w:pStyle w:val="23"/>
        <w:rPr>
          <w:rFonts w:hint="eastAsia" w:ascii="仿宋" w:hAnsi="仿宋" w:eastAsia="仿宋" w:cs="仿宋"/>
          <w:sz w:val="24"/>
        </w:rPr>
      </w:pPr>
      <w:r>
        <w:rPr>
          <w:rFonts w:hint="eastAsia" w:ascii="仿宋" w:hAnsi="仿宋" w:eastAsia="仿宋" w:cs="仿宋"/>
          <w:sz w:val="24"/>
        </w:rPr>
        <w:t xml:space="preserve">四、我发现 ____________________供应商之间存在或可能存在上述第二条第 ____________项利害关系。 </w:t>
      </w:r>
    </w:p>
    <w:p>
      <w:pPr>
        <w:pStyle w:val="23"/>
        <w:ind w:firstLine="5760" w:firstLineChars="2400"/>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kern w:val="0"/>
          <w:sz w:val="24"/>
          <w:lang w:val="zh-CN"/>
        </w:rPr>
        <w:t>名称（签章）：</w:t>
      </w:r>
    </w:p>
    <w:p>
      <w:pPr>
        <w:pStyle w:val="23"/>
        <w:ind w:firstLine="5760" w:firstLineChars="2400"/>
        <w:rPr>
          <w:rFonts w:hint="eastAsia" w:ascii="仿宋" w:hAnsi="仿宋" w:eastAsia="仿宋" w:cs="仿宋"/>
          <w:sz w:val="24"/>
        </w:rPr>
      </w:pPr>
      <w:r>
        <w:rPr>
          <w:rFonts w:hint="eastAsia" w:ascii="仿宋" w:hAnsi="仿宋" w:eastAsia="仿宋" w:cs="仿宋"/>
          <w:sz w:val="24"/>
        </w:rPr>
        <w:t xml:space="preserve">供应商代表(签名): </w:t>
      </w:r>
    </w:p>
    <w:p>
      <w:pPr>
        <w:spacing w:line="360" w:lineRule="auto"/>
        <w:jc w:val="center"/>
        <w:rPr>
          <w:rFonts w:hint="eastAsia" w:ascii="仿宋_GB2312" w:hAnsi="仿宋" w:eastAsia="仿宋_GB2312"/>
          <w:b/>
          <w:spacing w:val="6"/>
          <w:sz w:val="32"/>
          <w:szCs w:val="32"/>
        </w:rPr>
      </w:pPr>
      <w:r>
        <w:rPr>
          <w:rFonts w:hint="eastAsia" w:ascii="仿宋" w:hAnsi="仿宋" w:eastAsia="仿宋" w:cs="仿宋"/>
          <w:sz w:val="24"/>
          <w:lang w:val="en-US" w:eastAsia="zh-CN"/>
        </w:rPr>
        <w:t xml:space="preserve">                                 </w:t>
      </w: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hint="eastAsia" w:ascii="仿宋_GB2312" w:hAnsi="仿宋" w:eastAsia="仿宋_GB2312"/>
          <w:b/>
          <w:spacing w:val="6"/>
          <w:sz w:val="32"/>
          <w:szCs w:val="32"/>
          <w:lang w:val="en-US" w:eastAsia="zh-CN"/>
        </w:rPr>
        <w:t>3</w:t>
      </w:r>
      <w:r>
        <w:rPr>
          <w:rFonts w:ascii="仿宋_GB2312" w:hAnsi="仿宋" w:eastAsia="仿宋_GB2312"/>
          <w:b/>
          <w:spacing w:val="6"/>
          <w:sz w:val="32"/>
          <w:szCs w:val="32"/>
        </w:rPr>
        <w:t>：质疑函范本及制作说明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hint="eastAsia" w:ascii="仿宋_GB2312" w:hAnsi="仿宋" w:eastAsia="仿宋_GB2312"/>
          <w:b/>
          <w:spacing w:val="6"/>
          <w:sz w:val="32"/>
          <w:szCs w:val="32"/>
          <w:lang w:val="en-US" w:eastAsia="zh-CN"/>
        </w:rPr>
        <w:t>4</w:t>
      </w:r>
      <w:r>
        <w:rPr>
          <w:rFonts w:ascii="仿宋_GB2312" w:hAnsi="仿宋" w:eastAsia="仿宋_GB2312"/>
          <w:b/>
          <w:spacing w:val="6"/>
          <w:sz w:val="32"/>
          <w:szCs w:val="32"/>
        </w:rPr>
        <w:t>：投诉书范本及制作说明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spacing w:line="360" w:lineRule="auto"/>
        <w:ind w:right="420"/>
      </w:pPr>
    </w:p>
    <w:p>
      <w:pPr>
        <w:spacing w:line="360" w:lineRule="auto"/>
        <w:rPr>
          <w:rFonts w:ascii="仿宋" w:hAnsi="仿宋" w:eastAsia="仿宋"/>
          <w:bCs/>
          <w:sz w:val="24"/>
        </w:rPr>
      </w:pPr>
    </w:p>
    <w:sectPr>
      <w:headerReference r:id="rId21" w:type="first"/>
      <w:footerReference r:id="rId23" w:type="first"/>
      <w:headerReference r:id="rId20" w:type="default"/>
      <w:footerReference r:id="rId2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 w:val="21"/>
        <w:szCs w:val="21"/>
      </w:rPr>
    </w:pPr>
    <w:r>
      <w:rPr>
        <w:rFonts w:hint="eastAsia" w:ascii="仿宋_GB2312" w:eastAsia="仿宋_GB2312"/>
        <w:kern w:val="0"/>
        <w:sz w:val="21"/>
        <w:szCs w:val="21"/>
      </w:rPr>
      <w:t xml:space="preserve">第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29</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 共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71</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 w:val="21"/>
        <w:szCs w:val="21"/>
      </w:rPr>
    </w:pPr>
    <w:r>
      <w:rPr>
        <w:rFonts w:hint="eastAsia" w:ascii="仿宋_GB2312" w:eastAsia="仿宋_GB2312"/>
        <w:kern w:val="0"/>
        <w:sz w:val="21"/>
        <w:szCs w:val="21"/>
      </w:rPr>
      <w:t xml:space="preserve">第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67</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 共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70</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164085800"/>
    <w:bookmarkStart w:id="398" w:name="_Toc91899912"/>
    <w:bookmarkStart w:id="399" w:name="_Toc36110187"/>
    <w:bookmarkStart w:id="400" w:name="_Toc13184514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 w:val="21"/>
        <w:szCs w:val="21"/>
      </w:rPr>
    </w:pPr>
    <w:r>
      <w:rPr>
        <w:rFonts w:hint="eastAsia" w:ascii="仿宋_GB2312" w:eastAsia="仿宋_GB2312"/>
        <w:kern w:val="0"/>
        <w:sz w:val="21"/>
        <w:szCs w:val="21"/>
      </w:rPr>
      <w:t xml:space="preserve">第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1</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 共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72</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 w:val="21"/>
        <w:szCs w:val="21"/>
      </w:rPr>
      <w:t xml:space="preserve">第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56</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 共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70</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 w:val="21"/>
        <w:szCs w:val="21"/>
      </w:rPr>
      <w:t xml:space="preserve">第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56</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 共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70</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rPr>
        <w:lang w:val="en-US"/>
      </w:rPr>
    </w:pPr>
    <w: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rPr>
        <w:rFonts w:ascii="仿宋_GB2312" w:eastAsia="仿宋_GB2312"/>
        <w:b/>
        <w:i/>
        <w:sz w:val="18"/>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r>
      <w:t></w:t>
    </w:r>
    <w:r>
      <w:rPr>
        <w:rFonts w:hint="eastAsia"/>
      </w:rPr>
      <w:t xml:space="preserve">         </w:t>
    </w:r>
  </w:p>
  <w:p>
    <w:pPr>
      <w:pStyle w:val="42"/>
      <w:pBdr>
        <w:bottom w:val="none" w:color="auto" w:sz="0" w:space="1"/>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rPr>
        <w:rFonts w:ascii="仿宋_GB2312" w:eastAsia="仿宋_GB2312"/>
        <w:b/>
        <w:i/>
        <w:sz w:val="18"/>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r>
      <w:t></w:t>
    </w:r>
    <w:r>
      <w:rPr>
        <w:rFonts w:hint="eastAsia"/>
      </w:rPr>
      <w:t xml:space="preserve">         </w:t>
    </w:r>
  </w:p>
  <w:p>
    <w:pPr>
      <w:pStyle w:val="42"/>
      <w:pBdr>
        <w:bottom w:val="none" w:color="auto" w:sz="0" w:space="1"/>
      </w:pBdr>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5104B"/>
    <w:multiLevelType w:val="singleLevel"/>
    <w:tmpl w:val="FD75104B"/>
    <w:lvl w:ilvl="0" w:tentative="0">
      <w:start w:val="1"/>
      <w:numFmt w:val="decimal"/>
      <w:suff w:val="nothing"/>
      <w:lvlText w:val="（%1）"/>
      <w:lvlJc w:val="left"/>
    </w:lvl>
  </w:abstractNum>
  <w:abstractNum w:abstractNumId="1">
    <w:nsid w:val="0A060BBE"/>
    <w:multiLevelType w:val="singleLevel"/>
    <w:tmpl w:val="0A060BBE"/>
    <w:lvl w:ilvl="0" w:tentative="0">
      <w:start w:val="1"/>
      <w:numFmt w:val="upperLetter"/>
      <w:suff w:val="nothing"/>
      <w:lvlText w:val="%1．"/>
      <w:lvlJc w:val="left"/>
      <w:pPr>
        <w:ind w:left="120"/>
      </w:pPr>
      <w:rPr>
        <w:rFonts w:cs="Times New Roman"/>
      </w:rPr>
    </w:lvl>
  </w:abstractNum>
  <w:abstractNum w:abstractNumId="2">
    <w:nsid w:val="1516ABD6"/>
    <w:multiLevelType w:val="singleLevel"/>
    <w:tmpl w:val="1516ABD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11D"/>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28DE"/>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AD9"/>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92F78"/>
    <w:rsid w:val="01D55165"/>
    <w:rsid w:val="01DF6BF8"/>
    <w:rsid w:val="01EC2C57"/>
    <w:rsid w:val="0202351D"/>
    <w:rsid w:val="026B2E25"/>
    <w:rsid w:val="02824D4D"/>
    <w:rsid w:val="02DC4B10"/>
    <w:rsid w:val="02DD76CE"/>
    <w:rsid w:val="02F36323"/>
    <w:rsid w:val="02F5619C"/>
    <w:rsid w:val="0326446A"/>
    <w:rsid w:val="032D5555"/>
    <w:rsid w:val="036634D2"/>
    <w:rsid w:val="03DD35E4"/>
    <w:rsid w:val="03E236D9"/>
    <w:rsid w:val="04076900"/>
    <w:rsid w:val="041A5A3B"/>
    <w:rsid w:val="042311BA"/>
    <w:rsid w:val="042B157A"/>
    <w:rsid w:val="048F763B"/>
    <w:rsid w:val="049D3F6A"/>
    <w:rsid w:val="049F330E"/>
    <w:rsid w:val="04AA775C"/>
    <w:rsid w:val="04AF1889"/>
    <w:rsid w:val="04F66F48"/>
    <w:rsid w:val="05251E14"/>
    <w:rsid w:val="05490FD9"/>
    <w:rsid w:val="055F1D2B"/>
    <w:rsid w:val="056859B6"/>
    <w:rsid w:val="056E3F04"/>
    <w:rsid w:val="05944C0C"/>
    <w:rsid w:val="05A16594"/>
    <w:rsid w:val="05A7762D"/>
    <w:rsid w:val="060E5941"/>
    <w:rsid w:val="06110FAF"/>
    <w:rsid w:val="06172D93"/>
    <w:rsid w:val="06493CA7"/>
    <w:rsid w:val="065A6178"/>
    <w:rsid w:val="06681CA0"/>
    <w:rsid w:val="066F1CF3"/>
    <w:rsid w:val="06930BB8"/>
    <w:rsid w:val="06A0570B"/>
    <w:rsid w:val="06D467D5"/>
    <w:rsid w:val="06EE4F00"/>
    <w:rsid w:val="07245D42"/>
    <w:rsid w:val="07264C62"/>
    <w:rsid w:val="0779354C"/>
    <w:rsid w:val="08061376"/>
    <w:rsid w:val="08452D77"/>
    <w:rsid w:val="085D3428"/>
    <w:rsid w:val="086401F8"/>
    <w:rsid w:val="08751CAA"/>
    <w:rsid w:val="087E4C40"/>
    <w:rsid w:val="08C17F9D"/>
    <w:rsid w:val="08D66AD6"/>
    <w:rsid w:val="08DA33A3"/>
    <w:rsid w:val="08E80F13"/>
    <w:rsid w:val="09335624"/>
    <w:rsid w:val="0944690F"/>
    <w:rsid w:val="09535675"/>
    <w:rsid w:val="095B72B9"/>
    <w:rsid w:val="095F057D"/>
    <w:rsid w:val="09642282"/>
    <w:rsid w:val="096C410A"/>
    <w:rsid w:val="09733572"/>
    <w:rsid w:val="09772C16"/>
    <w:rsid w:val="098353B5"/>
    <w:rsid w:val="099E7DFD"/>
    <w:rsid w:val="09A92330"/>
    <w:rsid w:val="09B06B87"/>
    <w:rsid w:val="09C13146"/>
    <w:rsid w:val="09E04166"/>
    <w:rsid w:val="0A1C0718"/>
    <w:rsid w:val="0A3E7710"/>
    <w:rsid w:val="0A5B7E63"/>
    <w:rsid w:val="0AA374A5"/>
    <w:rsid w:val="0AAB7649"/>
    <w:rsid w:val="0ABC5606"/>
    <w:rsid w:val="0B30404E"/>
    <w:rsid w:val="0B4C6C14"/>
    <w:rsid w:val="0B625C3A"/>
    <w:rsid w:val="0B631A88"/>
    <w:rsid w:val="0B683D45"/>
    <w:rsid w:val="0B735F78"/>
    <w:rsid w:val="0B7D1118"/>
    <w:rsid w:val="0B7F3F11"/>
    <w:rsid w:val="0B884417"/>
    <w:rsid w:val="0BF6188C"/>
    <w:rsid w:val="0BF73C91"/>
    <w:rsid w:val="0C170175"/>
    <w:rsid w:val="0C571A41"/>
    <w:rsid w:val="0C5C1171"/>
    <w:rsid w:val="0C5E1CBC"/>
    <w:rsid w:val="0C615B50"/>
    <w:rsid w:val="0C7D3116"/>
    <w:rsid w:val="0C8445DA"/>
    <w:rsid w:val="0C87121B"/>
    <w:rsid w:val="0CC007F7"/>
    <w:rsid w:val="0CDD2D53"/>
    <w:rsid w:val="0CFE707A"/>
    <w:rsid w:val="0D063BDA"/>
    <w:rsid w:val="0D08375F"/>
    <w:rsid w:val="0D184CFB"/>
    <w:rsid w:val="0D1A2AE4"/>
    <w:rsid w:val="0D4A7419"/>
    <w:rsid w:val="0D731607"/>
    <w:rsid w:val="0D827401"/>
    <w:rsid w:val="0D84094E"/>
    <w:rsid w:val="0D86586C"/>
    <w:rsid w:val="0D8A00E9"/>
    <w:rsid w:val="0D8D589E"/>
    <w:rsid w:val="0DA01C73"/>
    <w:rsid w:val="0DD63300"/>
    <w:rsid w:val="0DF50604"/>
    <w:rsid w:val="0DF702FE"/>
    <w:rsid w:val="0E050C1A"/>
    <w:rsid w:val="0E060E51"/>
    <w:rsid w:val="0E5604B2"/>
    <w:rsid w:val="0E6D5D79"/>
    <w:rsid w:val="0E9D0089"/>
    <w:rsid w:val="0EB803EE"/>
    <w:rsid w:val="0EDA1E55"/>
    <w:rsid w:val="0EF94D4B"/>
    <w:rsid w:val="0F4958DC"/>
    <w:rsid w:val="0F515DF7"/>
    <w:rsid w:val="0F596BA8"/>
    <w:rsid w:val="0F5C11A1"/>
    <w:rsid w:val="0F6248D2"/>
    <w:rsid w:val="0F693536"/>
    <w:rsid w:val="0F7B0511"/>
    <w:rsid w:val="0F7B76D9"/>
    <w:rsid w:val="0F816ACD"/>
    <w:rsid w:val="0F9832DB"/>
    <w:rsid w:val="0FBF3FD2"/>
    <w:rsid w:val="0FBF7FF3"/>
    <w:rsid w:val="10646583"/>
    <w:rsid w:val="107D4B15"/>
    <w:rsid w:val="108A3C80"/>
    <w:rsid w:val="10C26171"/>
    <w:rsid w:val="10D97E76"/>
    <w:rsid w:val="10F33360"/>
    <w:rsid w:val="10FC0779"/>
    <w:rsid w:val="10FC16EA"/>
    <w:rsid w:val="11082369"/>
    <w:rsid w:val="110F1D40"/>
    <w:rsid w:val="11266F33"/>
    <w:rsid w:val="117C505C"/>
    <w:rsid w:val="118963A1"/>
    <w:rsid w:val="11C6522A"/>
    <w:rsid w:val="11DB6CEE"/>
    <w:rsid w:val="11E104CC"/>
    <w:rsid w:val="11E20309"/>
    <w:rsid w:val="11F36587"/>
    <w:rsid w:val="121277D8"/>
    <w:rsid w:val="12255233"/>
    <w:rsid w:val="12530213"/>
    <w:rsid w:val="127723A9"/>
    <w:rsid w:val="12862074"/>
    <w:rsid w:val="12883966"/>
    <w:rsid w:val="129E45B4"/>
    <w:rsid w:val="12D81596"/>
    <w:rsid w:val="13072A44"/>
    <w:rsid w:val="135F4BE2"/>
    <w:rsid w:val="139B1A0A"/>
    <w:rsid w:val="139D25C7"/>
    <w:rsid w:val="13BF3CE4"/>
    <w:rsid w:val="141008D8"/>
    <w:rsid w:val="14125FE6"/>
    <w:rsid w:val="14361550"/>
    <w:rsid w:val="146D271E"/>
    <w:rsid w:val="14982588"/>
    <w:rsid w:val="149A5AD9"/>
    <w:rsid w:val="14A7619D"/>
    <w:rsid w:val="150536C3"/>
    <w:rsid w:val="150C1963"/>
    <w:rsid w:val="151447A0"/>
    <w:rsid w:val="154A6454"/>
    <w:rsid w:val="15762120"/>
    <w:rsid w:val="15AE646C"/>
    <w:rsid w:val="16065B1F"/>
    <w:rsid w:val="16A8729C"/>
    <w:rsid w:val="16B33777"/>
    <w:rsid w:val="16BC70A7"/>
    <w:rsid w:val="16C6339E"/>
    <w:rsid w:val="172F2D79"/>
    <w:rsid w:val="17557BEF"/>
    <w:rsid w:val="17D349C1"/>
    <w:rsid w:val="1830729E"/>
    <w:rsid w:val="1870062C"/>
    <w:rsid w:val="18817102"/>
    <w:rsid w:val="18830A15"/>
    <w:rsid w:val="18852B28"/>
    <w:rsid w:val="188B5321"/>
    <w:rsid w:val="189174D5"/>
    <w:rsid w:val="1981160D"/>
    <w:rsid w:val="19932372"/>
    <w:rsid w:val="199F4FDF"/>
    <w:rsid w:val="19A20DD5"/>
    <w:rsid w:val="19AE03F1"/>
    <w:rsid w:val="1A071A03"/>
    <w:rsid w:val="1A1F16AE"/>
    <w:rsid w:val="1A3B5C77"/>
    <w:rsid w:val="1A984BAD"/>
    <w:rsid w:val="1AB8220E"/>
    <w:rsid w:val="1AE4166C"/>
    <w:rsid w:val="1AF06CFB"/>
    <w:rsid w:val="1AF11B8D"/>
    <w:rsid w:val="1B11359C"/>
    <w:rsid w:val="1B2A271F"/>
    <w:rsid w:val="1B3D45B5"/>
    <w:rsid w:val="1B530544"/>
    <w:rsid w:val="1B713184"/>
    <w:rsid w:val="1B944F25"/>
    <w:rsid w:val="1BA209CF"/>
    <w:rsid w:val="1BB4777D"/>
    <w:rsid w:val="1BC83FED"/>
    <w:rsid w:val="1BD75AB8"/>
    <w:rsid w:val="1BFE19D6"/>
    <w:rsid w:val="1C0459C2"/>
    <w:rsid w:val="1C1B3B4A"/>
    <w:rsid w:val="1C88086E"/>
    <w:rsid w:val="1D266CE1"/>
    <w:rsid w:val="1D3963AF"/>
    <w:rsid w:val="1D6A673C"/>
    <w:rsid w:val="1D9247AE"/>
    <w:rsid w:val="1DB567EC"/>
    <w:rsid w:val="1DCF0451"/>
    <w:rsid w:val="1DEE45E2"/>
    <w:rsid w:val="1DF51A98"/>
    <w:rsid w:val="1E067C30"/>
    <w:rsid w:val="1E3D060F"/>
    <w:rsid w:val="1E3F7D2E"/>
    <w:rsid w:val="1E4134E4"/>
    <w:rsid w:val="1E5062B3"/>
    <w:rsid w:val="1E523514"/>
    <w:rsid w:val="1E714A66"/>
    <w:rsid w:val="1E802593"/>
    <w:rsid w:val="1EA703CC"/>
    <w:rsid w:val="1EB7330C"/>
    <w:rsid w:val="1ED45EAA"/>
    <w:rsid w:val="1F0A0FF3"/>
    <w:rsid w:val="1F547388"/>
    <w:rsid w:val="1F5771FF"/>
    <w:rsid w:val="1FDC1719"/>
    <w:rsid w:val="1FE868A9"/>
    <w:rsid w:val="20034907"/>
    <w:rsid w:val="20173E4B"/>
    <w:rsid w:val="204E48BC"/>
    <w:rsid w:val="208863E7"/>
    <w:rsid w:val="208921B3"/>
    <w:rsid w:val="20973DEB"/>
    <w:rsid w:val="20B26522"/>
    <w:rsid w:val="20B44310"/>
    <w:rsid w:val="211116EB"/>
    <w:rsid w:val="214747E7"/>
    <w:rsid w:val="216133FC"/>
    <w:rsid w:val="21745D82"/>
    <w:rsid w:val="21D56769"/>
    <w:rsid w:val="21E52EF3"/>
    <w:rsid w:val="21FB5D7B"/>
    <w:rsid w:val="220B1C3D"/>
    <w:rsid w:val="221D1D20"/>
    <w:rsid w:val="22334A87"/>
    <w:rsid w:val="22342D96"/>
    <w:rsid w:val="22432ED6"/>
    <w:rsid w:val="22BE6801"/>
    <w:rsid w:val="232B5804"/>
    <w:rsid w:val="233500BF"/>
    <w:rsid w:val="23377FF7"/>
    <w:rsid w:val="236B425F"/>
    <w:rsid w:val="23836192"/>
    <w:rsid w:val="23901F29"/>
    <w:rsid w:val="239C0061"/>
    <w:rsid w:val="23B908A4"/>
    <w:rsid w:val="23E95BEF"/>
    <w:rsid w:val="23FD0064"/>
    <w:rsid w:val="24101BD5"/>
    <w:rsid w:val="245375B0"/>
    <w:rsid w:val="24586DE5"/>
    <w:rsid w:val="24642C0A"/>
    <w:rsid w:val="24B22173"/>
    <w:rsid w:val="24B95AD9"/>
    <w:rsid w:val="24BE24DA"/>
    <w:rsid w:val="24CF5825"/>
    <w:rsid w:val="24D663E6"/>
    <w:rsid w:val="24D77F2B"/>
    <w:rsid w:val="258B00E2"/>
    <w:rsid w:val="25A23950"/>
    <w:rsid w:val="25A917A6"/>
    <w:rsid w:val="25BE27CC"/>
    <w:rsid w:val="25F74A5C"/>
    <w:rsid w:val="2628662C"/>
    <w:rsid w:val="262D45DE"/>
    <w:rsid w:val="2685203A"/>
    <w:rsid w:val="26A53EF9"/>
    <w:rsid w:val="26A94201"/>
    <w:rsid w:val="26AC274F"/>
    <w:rsid w:val="26C21CC0"/>
    <w:rsid w:val="27044A29"/>
    <w:rsid w:val="271D34C8"/>
    <w:rsid w:val="276142BF"/>
    <w:rsid w:val="27621A2F"/>
    <w:rsid w:val="27783712"/>
    <w:rsid w:val="277949BC"/>
    <w:rsid w:val="27907362"/>
    <w:rsid w:val="281C4C09"/>
    <w:rsid w:val="28333E1D"/>
    <w:rsid w:val="28454BD6"/>
    <w:rsid w:val="28455253"/>
    <w:rsid w:val="28551971"/>
    <w:rsid w:val="285B1C53"/>
    <w:rsid w:val="286C567C"/>
    <w:rsid w:val="2890797C"/>
    <w:rsid w:val="289F7086"/>
    <w:rsid w:val="28C32028"/>
    <w:rsid w:val="28CC490F"/>
    <w:rsid w:val="28DE40AA"/>
    <w:rsid w:val="29121B7F"/>
    <w:rsid w:val="29345E77"/>
    <w:rsid w:val="29454722"/>
    <w:rsid w:val="29467175"/>
    <w:rsid w:val="294C0340"/>
    <w:rsid w:val="294C65AD"/>
    <w:rsid w:val="29806583"/>
    <w:rsid w:val="298B3C4C"/>
    <w:rsid w:val="29D560ED"/>
    <w:rsid w:val="29F26D24"/>
    <w:rsid w:val="2A15033F"/>
    <w:rsid w:val="2A1662C1"/>
    <w:rsid w:val="2A1C7367"/>
    <w:rsid w:val="2A2815FA"/>
    <w:rsid w:val="2A47266D"/>
    <w:rsid w:val="2A6D6092"/>
    <w:rsid w:val="2A7D76B4"/>
    <w:rsid w:val="2B437463"/>
    <w:rsid w:val="2B7807EE"/>
    <w:rsid w:val="2BBB4752"/>
    <w:rsid w:val="2BBF00EC"/>
    <w:rsid w:val="2BC37CFD"/>
    <w:rsid w:val="2BD5237F"/>
    <w:rsid w:val="2BE536CE"/>
    <w:rsid w:val="2BE758D9"/>
    <w:rsid w:val="2C09049E"/>
    <w:rsid w:val="2C0A653C"/>
    <w:rsid w:val="2C191F85"/>
    <w:rsid w:val="2CC55886"/>
    <w:rsid w:val="2CE82D6F"/>
    <w:rsid w:val="2D343236"/>
    <w:rsid w:val="2DA12693"/>
    <w:rsid w:val="2DD15014"/>
    <w:rsid w:val="2DF72DE4"/>
    <w:rsid w:val="2E0220AF"/>
    <w:rsid w:val="2E0859DD"/>
    <w:rsid w:val="2E3E5AD4"/>
    <w:rsid w:val="2E4B082A"/>
    <w:rsid w:val="2E5D4E86"/>
    <w:rsid w:val="2E5D790B"/>
    <w:rsid w:val="2E622429"/>
    <w:rsid w:val="2E794DE5"/>
    <w:rsid w:val="2E9436D8"/>
    <w:rsid w:val="2E9A3C18"/>
    <w:rsid w:val="2EBB0FEE"/>
    <w:rsid w:val="2EC63002"/>
    <w:rsid w:val="2F0A6B38"/>
    <w:rsid w:val="2F946CCB"/>
    <w:rsid w:val="2FBD61A2"/>
    <w:rsid w:val="2FD25781"/>
    <w:rsid w:val="2FFD7934"/>
    <w:rsid w:val="300834A1"/>
    <w:rsid w:val="30444BA9"/>
    <w:rsid w:val="304635DB"/>
    <w:rsid w:val="30530F4B"/>
    <w:rsid w:val="30733ACD"/>
    <w:rsid w:val="308C3862"/>
    <w:rsid w:val="309379D8"/>
    <w:rsid w:val="30A270F7"/>
    <w:rsid w:val="30DF1478"/>
    <w:rsid w:val="30EC586F"/>
    <w:rsid w:val="3110278C"/>
    <w:rsid w:val="31580A7A"/>
    <w:rsid w:val="31631AC9"/>
    <w:rsid w:val="319C6071"/>
    <w:rsid w:val="31AC537E"/>
    <w:rsid w:val="31E3679B"/>
    <w:rsid w:val="31E732FD"/>
    <w:rsid w:val="32517576"/>
    <w:rsid w:val="32782F5D"/>
    <w:rsid w:val="32BE5C2C"/>
    <w:rsid w:val="32FB6478"/>
    <w:rsid w:val="33076DD2"/>
    <w:rsid w:val="33263B3F"/>
    <w:rsid w:val="336963EB"/>
    <w:rsid w:val="33816EEB"/>
    <w:rsid w:val="338D215F"/>
    <w:rsid w:val="33EB55CD"/>
    <w:rsid w:val="33EC4C02"/>
    <w:rsid w:val="340D2360"/>
    <w:rsid w:val="3410665D"/>
    <w:rsid w:val="34211214"/>
    <w:rsid w:val="342E63AB"/>
    <w:rsid w:val="34950E68"/>
    <w:rsid w:val="34986E94"/>
    <w:rsid w:val="34AF62C9"/>
    <w:rsid w:val="34CB4388"/>
    <w:rsid w:val="34FA6E12"/>
    <w:rsid w:val="358D5588"/>
    <w:rsid w:val="363A3B40"/>
    <w:rsid w:val="364041CF"/>
    <w:rsid w:val="365302AE"/>
    <w:rsid w:val="36607A0A"/>
    <w:rsid w:val="366E227C"/>
    <w:rsid w:val="366F2E0D"/>
    <w:rsid w:val="367B6A5C"/>
    <w:rsid w:val="36A74ADA"/>
    <w:rsid w:val="36AD60D5"/>
    <w:rsid w:val="36B224F9"/>
    <w:rsid w:val="36E30120"/>
    <w:rsid w:val="36EC0CC9"/>
    <w:rsid w:val="373C5504"/>
    <w:rsid w:val="373F410B"/>
    <w:rsid w:val="37EE7094"/>
    <w:rsid w:val="38296C89"/>
    <w:rsid w:val="383002EB"/>
    <w:rsid w:val="38586797"/>
    <w:rsid w:val="38687797"/>
    <w:rsid w:val="38BC0149"/>
    <w:rsid w:val="38C430B9"/>
    <w:rsid w:val="38D87D1C"/>
    <w:rsid w:val="39636459"/>
    <w:rsid w:val="396B7F6C"/>
    <w:rsid w:val="39797D07"/>
    <w:rsid w:val="39B417A9"/>
    <w:rsid w:val="39D7025A"/>
    <w:rsid w:val="39FC5695"/>
    <w:rsid w:val="3A006D8E"/>
    <w:rsid w:val="3A3651E5"/>
    <w:rsid w:val="3A406295"/>
    <w:rsid w:val="3A744481"/>
    <w:rsid w:val="3A8C7BEF"/>
    <w:rsid w:val="3A906246"/>
    <w:rsid w:val="3B2349B7"/>
    <w:rsid w:val="3B616CFF"/>
    <w:rsid w:val="3B6259F6"/>
    <w:rsid w:val="3B976654"/>
    <w:rsid w:val="3BC01EFC"/>
    <w:rsid w:val="3BCA786A"/>
    <w:rsid w:val="3BD31E2F"/>
    <w:rsid w:val="3BF15831"/>
    <w:rsid w:val="3C105946"/>
    <w:rsid w:val="3C23441B"/>
    <w:rsid w:val="3C471448"/>
    <w:rsid w:val="3C5F759A"/>
    <w:rsid w:val="3C6C525A"/>
    <w:rsid w:val="3CCE23CB"/>
    <w:rsid w:val="3CD17D17"/>
    <w:rsid w:val="3D1505FC"/>
    <w:rsid w:val="3D1A50C6"/>
    <w:rsid w:val="3D213C4A"/>
    <w:rsid w:val="3D3C7F39"/>
    <w:rsid w:val="3D440F09"/>
    <w:rsid w:val="3D4504A0"/>
    <w:rsid w:val="3D4F1BEB"/>
    <w:rsid w:val="3D687B67"/>
    <w:rsid w:val="3D8734BB"/>
    <w:rsid w:val="3D9A11D4"/>
    <w:rsid w:val="3DA16D89"/>
    <w:rsid w:val="3DA364BE"/>
    <w:rsid w:val="3DE041CB"/>
    <w:rsid w:val="3E0D48F6"/>
    <w:rsid w:val="3E18333B"/>
    <w:rsid w:val="3E1868B4"/>
    <w:rsid w:val="3E1D6052"/>
    <w:rsid w:val="3E377251"/>
    <w:rsid w:val="3E42664B"/>
    <w:rsid w:val="3E5A7334"/>
    <w:rsid w:val="3E7B5D6B"/>
    <w:rsid w:val="3E843E66"/>
    <w:rsid w:val="3E8F51FE"/>
    <w:rsid w:val="3E926F87"/>
    <w:rsid w:val="3E9A59DE"/>
    <w:rsid w:val="3EAF4836"/>
    <w:rsid w:val="3EC33DFA"/>
    <w:rsid w:val="3EFE62A5"/>
    <w:rsid w:val="3F060E16"/>
    <w:rsid w:val="3F1D1096"/>
    <w:rsid w:val="3F2F0234"/>
    <w:rsid w:val="3F6363FE"/>
    <w:rsid w:val="3F696EB6"/>
    <w:rsid w:val="3F6B4793"/>
    <w:rsid w:val="3F756B8F"/>
    <w:rsid w:val="3F95482B"/>
    <w:rsid w:val="40122C12"/>
    <w:rsid w:val="4019356B"/>
    <w:rsid w:val="40592157"/>
    <w:rsid w:val="406E1CAE"/>
    <w:rsid w:val="40A0133A"/>
    <w:rsid w:val="40C31A53"/>
    <w:rsid w:val="40D94F6E"/>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A66C9F"/>
    <w:rsid w:val="43B504E6"/>
    <w:rsid w:val="43C77C27"/>
    <w:rsid w:val="43DE09EE"/>
    <w:rsid w:val="43F60E55"/>
    <w:rsid w:val="44002FAD"/>
    <w:rsid w:val="444D2334"/>
    <w:rsid w:val="449101DD"/>
    <w:rsid w:val="44DE1391"/>
    <w:rsid w:val="44FA2696"/>
    <w:rsid w:val="451B225C"/>
    <w:rsid w:val="452410C9"/>
    <w:rsid w:val="45317DFB"/>
    <w:rsid w:val="456D3CE4"/>
    <w:rsid w:val="4579042C"/>
    <w:rsid w:val="457F0571"/>
    <w:rsid w:val="45851176"/>
    <w:rsid w:val="45C63B94"/>
    <w:rsid w:val="45D25CB7"/>
    <w:rsid w:val="460E7DA5"/>
    <w:rsid w:val="46422483"/>
    <w:rsid w:val="4659254A"/>
    <w:rsid w:val="465B0637"/>
    <w:rsid w:val="465E3F0D"/>
    <w:rsid w:val="466A16E6"/>
    <w:rsid w:val="46893F2B"/>
    <w:rsid w:val="46C4686E"/>
    <w:rsid w:val="470F5BA1"/>
    <w:rsid w:val="477B778F"/>
    <w:rsid w:val="478203EC"/>
    <w:rsid w:val="47B025FA"/>
    <w:rsid w:val="47B916EB"/>
    <w:rsid w:val="4809698F"/>
    <w:rsid w:val="4811697D"/>
    <w:rsid w:val="48787E87"/>
    <w:rsid w:val="487A3E25"/>
    <w:rsid w:val="488175D2"/>
    <w:rsid w:val="488B5503"/>
    <w:rsid w:val="48937E21"/>
    <w:rsid w:val="489A0361"/>
    <w:rsid w:val="48B94FF3"/>
    <w:rsid w:val="48E37AAB"/>
    <w:rsid w:val="48FD4B4C"/>
    <w:rsid w:val="490A68E0"/>
    <w:rsid w:val="491055FE"/>
    <w:rsid w:val="4939003C"/>
    <w:rsid w:val="495F5B3E"/>
    <w:rsid w:val="496F77D7"/>
    <w:rsid w:val="497654FD"/>
    <w:rsid w:val="499B3AA4"/>
    <w:rsid w:val="49B64211"/>
    <w:rsid w:val="49D86BF8"/>
    <w:rsid w:val="49F6167F"/>
    <w:rsid w:val="4A064FA0"/>
    <w:rsid w:val="4A16615C"/>
    <w:rsid w:val="4A4424D7"/>
    <w:rsid w:val="4AAA17E5"/>
    <w:rsid w:val="4AB82D0F"/>
    <w:rsid w:val="4AEB7664"/>
    <w:rsid w:val="4AFD7C19"/>
    <w:rsid w:val="4B0567D1"/>
    <w:rsid w:val="4B236AAE"/>
    <w:rsid w:val="4B707271"/>
    <w:rsid w:val="4B9739F7"/>
    <w:rsid w:val="4BEE2503"/>
    <w:rsid w:val="4BF26D26"/>
    <w:rsid w:val="4C245A30"/>
    <w:rsid w:val="4C305B68"/>
    <w:rsid w:val="4C521FE1"/>
    <w:rsid w:val="4CB6685F"/>
    <w:rsid w:val="4CC367FE"/>
    <w:rsid w:val="4CCE46AD"/>
    <w:rsid w:val="4D077F3C"/>
    <w:rsid w:val="4D123355"/>
    <w:rsid w:val="4D227A97"/>
    <w:rsid w:val="4D2A3B31"/>
    <w:rsid w:val="4D312C52"/>
    <w:rsid w:val="4D500C0F"/>
    <w:rsid w:val="4D905305"/>
    <w:rsid w:val="4D9228C7"/>
    <w:rsid w:val="4D964A72"/>
    <w:rsid w:val="4D9C1254"/>
    <w:rsid w:val="4DE37294"/>
    <w:rsid w:val="4E793892"/>
    <w:rsid w:val="4E800872"/>
    <w:rsid w:val="4EC569ED"/>
    <w:rsid w:val="4ED50EA1"/>
    <w:rsid w:val="4EEC050C"/>
    <w:rsid w:val="4EF00F03"/>
    <w:rsid w:val="4F104EC3"/>
    <w:rsid w:val="4F47354A"/>
    <w:rsid w:val="4F810D6C"/>
    <w:rsid w:val="4F911C54"/>
    <w:rsid w:val="4FD63DB7"/>
    <w:rsid w:val="4FE625E0"/>
    <w:rsid w:val="5021480F"/>
    <w:rsid w:val="502E5DD0"/>
    <w:rsid w:val="50962ECB"/>
    <w:rsid w:val="509B4084"/>
    <w:rsid w:val="50A42E38"/>
    <w:rsid w:val="50A4577F"/>
    <w:rsid w:val="50B73D1F"/>
    <w:rsid w:val="50BB0282"/>
    <w:rsid w:val="50BD5BC9"/>
    <w:rsid w:val="50C11EEE"/>
    <w:rsid w:val="50E97CFC"/>
    <w:rsid w:val="50FA4028"/>
    <w:rsid w:val="510D65B7"/>
    <w:rsid w:val="511157AB"/>
    <w:rsid w:val="513D05E3"/>
    <w:rsid w:val="5142540C"/>
    <w:rsid w:val="515E33F2"/>
    <w:rsid w:val="518832C8"/>
    <w:rsid w:val="51A0432A"/>
    <w:rsid w:val="51A86090"/>
    <w:rsid w:val="51B7396D"/>
    <w:rsid w:val="522E4CC3"/>
    <w:rsid w:val="5244713B"/>
    <w:rsid w:val="52615633"/>
    <w:rsid w:val="528A2B5C"/>
    <w:rsid w:val="52977FD4"/>
    <w:rsid w:val="52A25790"/>
    <w:rsid w:val="52A96B6F"/>
    <w:rsid w:val="52B45975"/>
    <w:rsid w:val="52D94AA4"/>
    <w:rsid w:val="52EA3A62"/>
    <w:rsid w:val="52F27172"/>
    <w:rsid w:val="52F50BB8"/>
    <w:rsid w:val="52F60BB9"/>
    <w:rsid w:val="53097272"/>
    <w:rsid w:val="53544462"/>
    <w:rsid w:val="5365713A"/>
    <w:rsid w:val="53895510"/>
    <w:rsid w:val="5397158E"/>
    <w:rsid w:val="54013861"/>
    <w:rsid w:val="54487265"/>
    <w:rsid w:val="544D6070"/>
    <w:rsid w:val="54605E1E"/>
    <w:rsid w:val="54B3506A"/>
    <w:rsid w:val="54CA0D16"/>
    <w:rsid w:val="54D86A6E"/>
    <w:rsid w:val="54DD4057"/>
    <w:rsid w:val="54E7490F"/>
    <w:rsid w:val="550764A4"/>
    <w:rsid w:val="550B2BF6"/>
    <w:rsid w:val="55214EB5"/>
    <w:rsid w:val="55364EFD"/>
    <w:rsid w:val="555D4828"/>
    <w:rsid w:val="557A4C8B"/>
    <w:rsid w:val="558931E1"/>
    <w:rsid w:val="55923347"/>
    <w:rsid w:val="55925180"/>
    <w:rsid w:val="55983B1B"/>
    <w:rsid w:val="55A2038E"/>
    <w:rsid w:val="55A8376B"/>
    <w:rsid w:val="55DC29B6"/>
    <w:rsid w:val="55DD4241"/>
    <w:rsid w:val="566B6D1E"/>
    <w:rsid w:val="57032A2C"/>
    <w:rsid w:val="570F5219"/>
    <w:rsid w:val="575D12B5"/>
    <w:rsid w:val="57610A87"/>
    <w:rsid w:val="577B1140"/>
    <w:rsid w:val="577B7F21"/>
    <w:rsid w:val="577F181B"/>
    <w:rsid w:val="57917F8F"/>
    <w:rsid w:val="57921984"/>
    <w:rsid w:val="579737F0"/>
    <w:rsid w:val="57AB7B30"/>
    <w:rsid w:val="57AF5251"/>
    <w:rsid w:val="57B26373"/>
    <w:rsid w:val="57B63F04"/>
    <w:rsid w:val="57CD20C2"/>
    <w:rsid w:val="57D675AB"/>
    <w:rsid w:val="57D95FDD"/>
    <w:rsid w:val="58201313"/>
    <w:rsid w:val="58917D2F"/>
    <w:rsid w:val="5894085C"/>
    <w:rsid w:val="58964949"/>
    <w:rsid w:val="58AE4F0C"/>
    <w:rsid w:val="58B85899"/>
    <w:rsid w:val="58E363A9"/>
    <w:rsid w:val="590221D1"/>
    <w:rsid w:val="595631A0"/>
    <w:rsid w:val="595E1678"/>
    <w:rsid w:val="596D5BD4"/>
    <w:rsid w:val="597E3DD8"/>
    <w:rsid w:val="59F80043"/>
    <w:rsid w:val="5A09252F"/>
    <w:rsid w:val="5A0B2778"/>
    <w:rsid w:val="5A2A7C7B"/>
    <w:rsid w:val="5A3E2560"/>
    <w:rsid w:val="5A5D3B6E"/>
    <w:rsid w:val="5A637A76"/>
    <w:rsid w:val="5A6B664B"/>
    <w:rsid w:val="5A6D33BA"/>
    <w:rsid w:val="5A792B1F"/>
    <w:rsid w:val="5A874767"/>
    <w:rsid w:val="5A8E0E35"/>
    <w:rsid w:val="5AAA77F0"/>
    <w:rsid w:val="5AAD6F28"/>
    <w:rsid w:val="5AD63A24"/>
    <w:rsid w:val="5B10509E"/>
    <w:rsid w:val="5B2E1A1D"/>
    <w:rsid w:val="5B484032"/>
    <w:rsid w:val="5B843A1C"/>
    <w:rsid w:val="5B873E3F"/>
    <w:rsid w:val="5BC32B95"/>
    <w:rsid w:val="5C024D33"/>
    <w:rsid w:val="5C02690E"/>
    <w:rsid w:val="5C173085"/>
    <w:rsid w:val="5C196DA7"/>
    <w:rsid w:val="5C2A048C"/>
    <w:rsid w:val="5C6D33FC"/>
    <w:rsid w:val="5C6E074F"/>
    <w:rsid w:val="5C80234E"/>
    <w:rsid w:val="5C8A680C"/>
    <w:rsid w:val="5D034B40"/>
    <w:rsid w:val="5D0C4701"/>
    <w:rsid w:val="5D0F0395"/>
    <w:rsid w:val="5D221076"/>
    <w:rsid w:val="5D397964"/>
    <w:rsid w:val="5D5A391C"/>
    <w:rsid w:val="5D5F10C0"/>
    <w:rsid w:val="5D845990"/>
    <w:rsid w:val="5D891B7B"/>
    <w:rsid w:val="5DAD38EE"/>
    <w:rsid w:val="5E006862"/>
    <w:rsid w:val="5E0207B9"/>
    <w:rsid w:val="5E1834A1"/>
    <w:rsid w:val="5E261785"/>
    <w:rsid w:val="5E40626B"/>
    <w:rsid w:val="5E4A7017"/>
    <w:rsid w:val="5E552BBA"/>
    <w:rsid w:val="5E611C10"/>
    <w:rsid w:val="5E6E1430"/>
    <w:rsid w:val="5EFC7377"/>
    <w:rsid w:val="5F06174D"/>
    <w:rsid w:val="5F3A3602"/>
    <w:rsid w:val="5F41715A"/>
    <w:rsid w:val="5F6277C6"/>
    <w:rsid w:val="5F6D0B1D"/>
    <w:rsid w:val="5F8D0B82"/>
    <w:rsid w:val="5FB94001"/>
    <w:rsid w:val="5FC24FAF"/>
    <w:rsid w:val="5FCC5339"/>
    <w:rsid w:val="5FE34A5B"/>
    <w:rsid w:val="5FFE1E36"/>
    <w:rsid w:val="60232584"/>
    <w:rsid w:val="607330CE"/>
    <w:rsid w:val="60825176"/>
    <w:rsid w:val="609F2AC4"/>
    <w:rsid w:val="60A57F79"/>
    <w:rsid w:val="60FA2EE8"/>
    <w:rsid w:val="61054A27"/>
    <w:rsid w:val="610A52BC"/>
    <w:rsid w:val="61172329"/>
    <w:rsid w:val="611D2366"/>
    <w:rsid w:val="61421856"/>
    <w:rsid w:val="615227C4"/>
    <w:rsid w:val="61654E3F"/>
    <w:rsid w:val="616F4BE7"/>
    <w:rsid w:val="6182292A"/>
    <w:rsid w:val="619F7F92"/>
    <w:rsid w:val="61DE0274"/>
    <w:rsid w:val="61F94C26"/>
    <w:rsid w:val="62000E56"/>
    <w:rsid w:val="624F3E49"/>
    <w:rsid w:val="62546789"/>
    <w:rsid w:val="62632286"/>
    <w:rsid w:val="62885958"/>
    <w:rsid w:val="628E2720"/>
    <w:rsid w:val="62F40B65"/>
    <w:rsid w:val="62FC2CFE"/>
    <w:rsid w:val="63024505"/>
    <w:rsid w:val="635B1DB5"/>
    <w:rsid w:val="63711FED"/>
    <w:rsid w:val="63880DDC"/>
    <w:rsid w:val="638D750D"/>
    <w:rsid w:val="63AC6CC0"/>
    <w:rsid w:val="63BD6755"/>
    <w:rsid w:val="63CB5C42"/>
    <w:rsid w:val="64055776"/>
    <w:rsid w:val="64240056"/>
    <w:rsid w:val="643E143A"/>
    <w:rsid w:val="644E1A22"/>
    <w:rsid w:val="64585F62"/>
    <w:rsid w:val="646A224A"/>
    <w:rsid w:val="648B6EEF"/>
    <w:rsid w:val="64C158BF"/>
    <w:rsid w:val="64CE2EAA"/>
    <w:rsid w:val="653C3090"/>
    <w:rsid w:val="65854376"/>
    <w:rsid w:val="658767BE"/>
    <w:rsid w:val="65892531"/>
    <w:rsid w:val="66195831"/>
    <w:rsid w:val="662E75B1"/>
    <w:rsid w:val="66342C2E"/>
    <w:rsid w:val="663E784C"/>
    <w:rsid w:val="664E651D"/>
    <w:rsid w:val="668B6A45"/>
    <w:rsid w:val="672F3F24"/>
    <w:rsid w:val="673E055F"/>
    <w:rsid w:val="67551CE3"/>
    <w:rsid w:val="67A22552"/>
    <w:rsid w:val="67B22DCC"/>
    <w:rsid w:val="67B657F0"/>
    <w:rsid w:val="67BE71AA"/>
    <w:rsid w:val="67D90273"/>
    <w:rsid w:val="67DE5875"/>
    <w:rsid w:val="67E55852"/>
    <w:rsid w:val="67EB1AB4"/>
    <w:rsid w:val="67FA1285"/>
    <w:rsid w:val="67FB4DE0"/>
    <w:rsid w:val="68551F4F"/>
    <w:rsid w:val="687B022D"/>
    <w:rsid w:val="687C10C9"/>
    <w:rsid w:val="68840C16"/>
    <w:rsid w:val="68876EFB"/>
    <w:rsid w:val="68884654"/>
    <w:rsid w:val="689F444F"/>
    <w:rsid w:val="68B96DBB"/>
    <w:rsid w:val="68BB0445"/>
    <w:rsid w:val="68CA2805"/>
    <w:rsid w:val="68E937A3"/>
    <w:rsid w:val="693E15D3"/>
    <w:rsid w:val="694B26E7"/>
    <w:rsid w:val="69627681"/>
    <w:rsid w:val="6977531D"/>
    <w:rsid w:val="69CC2BFF"/>
    <w:rsid w:val="69E943C2"/>
    <w:rsid w:val="69FD55B8"/>
    <w:rsid w:val="6A0B1C62"/>
    <w:rsid w:val="6A2406C8"/>
    <w:rsid w:val="6AA154A4"/>
    <w:rsid w:val="6ADE0BD1"/>
    <w:rsid w:val="6AE96859"/>
    <w:rsid w:val="6AF63E86"/>
    <w:rsid w:val="6B147746"/>
    <w:rsid w:val="6B24787C"/>
    <w:rsid w:val="6B263C02"/>
    <w:rsid w:val="6B573233"/>
    <w:rsid w:val="6B5B6274"/>
    <w:rsid w:val="6B6B413A"/>
    <w:rsid w:val="6B7C02F1"/>
    <w:rsid w:val="6B8359E9"/>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2E4332"/>
    <w:rsid w:val="6E7271AE"/>
    <w:rsid w:val="6E8335BD"/>
    <w:rsid w:val="6E8E12EF"/>
    <w:rsid w:val="6E972936"/>
    <w:rsid w:val="6EA57821"/>
    <w:rsid w:val="6EB52196"/>
    <w:rsid w:val="6EBB5D40"/>
    <w:rsid w:val="6ED446C5"/>
    <w:rsid w:val="6EF02B9D"/>
    <w:rsid w:val="6F2A7D94"/>
    <w:rsid w:val="6F8331F1"/>
    <w:rsid w:val="6FAE1A09"/>
    <w:rsid w:val="6FC0720B"/>
    <w:rsid w:val="6FD75BF8"/>
    <w:rsid w:val="707723D0"/>
    <w:rsid w:val="70F5661B"/>
    <w:rsid w:val="71360107"/>
    <w:rsid w:val="713B688E"/>
    <w:rsid w:val="71575B78"/>
    <w:rsid w:val="716342F2"/>
    <w:rsid w:val="71A65C9F"/>
    <w:rsid w:val="71D43752"/>
    <w:rsid w:val="71F1796A"/>
    <w:rsid w:val="72154626"/>
    <w:rsid w:val="72262B5D"/>
    <w:rsid w:val="72283FF7"/>
    <w:rsid w:val="722E7212"/>
    <w:rsid w:val="723A0474"/>
    <w:rsid w:val="725923E4"/>
    <w:rsid w:val="72864BF7"/>
    <w:rsid w:val="729023FC"/>
    <w:rsid w:val="73BE11ED"/>
    <w:rsid w:val="73C0646E"/>
    <w:rsid w:val="73D72D76"/>
    <w:rsid w:val="7414370C"/>
    <w:rsid w:val="742222F5"/>
    <w:rsid w:val="74476126"/>
    <w:rsid w:val="74706664"/>
    <w:rsid w:val="747C351C"/>
    <w:rsid w:val="747F3682"/>
    <w:rsid w:val="749C4185"/>
    <w:rsid w:val="75062D05"/>
    <w:rsid w:val="75067759"/>
    <w:rsid w:val="750A2CD7"/>
    <w:rsid w:val="75285E3A"/>
    <w:rsid w:val="752E6DCD"/>
    <w:rsid w:val="7551380D"/>
    <w:rsid w:val="75600BE5"/>
    <w:rsid w:val="75616A00"/>
    <w:rsid w:val="7564475C"/>
    <w:rsid w:val="7583797F"/>
    <w:rsid w:val="7589339B"/>
    <w:rsid w:val="75D20F1D"/>
    <w:rsid w:val="75DA2C18"/>
    <w:rsid w:val="75F54412"/>
    <w:rsid w:val="76053BCA"/>
    <w:rsid w:val="761B33ED"/>
    <w:rsid w:val="761D08E0"/>
    <w:rsid w:val="765D347C"/>
    <w:rsid w:val="76826699"/>
    <w:rsid w:val="76C87133"/>
    <w:rsid w:val="76CD08D5"/>
    <w:rsid w:val="76DB4B92"/>
    <w:rsid w:val="77052AA4"/>
    <w:rsid w:val="77136511"/>
    <w:rsid w:val="77176230"/>
    <w:rsid w:val="77340A39"/>
    <w:rsid w:val="77351FD0"/>
    <w:rsid w:val="77472422"/>
    <w:rsid w:val="777F31F2"/>
    <w:rsid w:val="77CC3857"/>
    <w:rsid w:val="77D1700D"/>
    <w:rsid w:val="77EC04CC"/>
    <w:rsid w:val="78274FF2"/>
    <w:rsid w:val="78344667"/>
    <w:rsid w:val="785E0C46"/>
    <w:rsid w:val="786F0839"/>
    <w:rsid w:val="78775729"/>
    <w:rsid w:val="78A42DB0"/>
    <w:rsid w:val="78A656AB"/>
    <w:rsid w:val="78B2245C"/>
    <w:rsid w:val="78BC43D9"/>
    <w:rsid w:val="78C02598"/>
    <w:rsid w:val="78E172CC"/>
    <w:rsid w:val="78EA1D1F"/>
    <w:rsid w:val="78F272D2"/>
    <w:rsid w:val="7904172F"/>
    <w:rsid w:val="790F7E27"/>
    <w:rsid w:val="792A231A"/>
    <w:rsid w:val="79316829"/>
    <w:rsid w:val="793F6177"/>
    <w:rsid w:val="79540495"/>
    <w:rsid w:val="795A3188"/>
    <w:rsid w:val="79660E24"/>
    <w:rsid w:val="797A46AF"/>
    <w:rsid w:val="797E66A9"/>
    <w:rsid w:val="799A166E"/>
    <w:rsid w:val="79A97383"/>
    <w:rsid w:val="79E27E8B"/>
    <w:rsid w:val="79F850CE"/>
    <w:rsid w:val="79FD443C"/>
    <w:rsid w:val="7A1D1975"/>
    <w:rsid w:val="7A3E5150"/>
    <w:rsid w:val="7A4670D6"/>
    <w:rsid w:val="7A495293"/>
    <w:rsid w:val="7A534B63"/>
    <w:rsid w:val="7A615382"/>
    <w:rsid w:val="7A67303B"/>
    <w:rsid w:val="7A7A1909"/>
    <w:rsid w:val="7AA80AB2"/>
    <w:rsid w:val="7AAB1D04"/>
    <w:rsid w:val="7AB53A20"/>
    <w:rsid w:val="7ABA4368"/>
    <w:rsid w:val="7AD05746"/>
    <w:rsid w:val="7B257FFD"/>
    <w:rsid w:val="7B343476"/>
    <w:rsid w:val="7B5A2978"/>
    <w:rsid w:val="7B5A7E4C"/>
    <w:rsid w:val="7B667AF9"/>
    <w:rsid w:val="7B7468F8"/>
    <w:rsid w:val="7BD227A0"/>
    <w:rsid w:val="7BEE0103"/>
    <w:rsid w:val="7C0A0FE4"/>
    <w:rsid w:val="7C254906"/>
    <w:rsid w:val="7C590818"/>
    <w:rsid w:val="7C5C2243"/>
    <w:rsid w:val="7C612D4E"/>
    <w:rsid w:val="7C7C10F6"/>
    <w:rsid w:val="7C853BEA"/>
    <w:rsid w:val="7C881368"/>
    <w:rsid w:val="7CE27788"/>
    <w:rsid w:val="7D0C32F1"/>
    <w:rsid w:val="7D0F408D"/>
    <w:rsid w:val="7D491C6C"/>
    <w:rsid w:val="7D5429C0"/>
    <w:rsid w:val="7D6E6D43"/>
    <w:rsid w:val="7DA32EC6"/>
    <w:rsid w:val="7DB57A34"/>
    <w:rsid w:val="7DE60973"/>
    <w:rsid w:val="7DEF0916"/>
    <w:rsid w:val="7E1E5218"/>
    <w:rsid w:val="7E9A4E1F"/>
    <w:rsid w:val="7EA7723A"/>
    <w:rsid w:val="7EB212F4"/>
    <w:rsid w:val="7EF56FBB"/>
    <w:rsid w:val="7F0768EB"/>
    <w:rsid w:val="7F143BEC"/>
    <w:rsid w:val="7F6E3114"/>
    <w:rsid w:val="7F715AF2"/>
    <w:rsid w:val="7F7C0A32"/>
    <w:rsid w:val="7F886E69"/>
    <w:rsid w:val="7FA950DF"/>
    <w:rsid w:val="7FBD5515"/>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qFormat/>
    <w:uiPriority w:val="0"/>
    <w:rPr>
      <w:b/>
      <w:bCs/>
    </w:rPr>
  </w:style>
  <w:style w:type="paragraph" w:styleId="61">
    <w:name w:val="Body Text First Indent 2"/>
    <w:basedOn w:val="26"/>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79"/>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79"/>
    <w:next w:val="79"/>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79"/>
    <w:next w:val="79"/>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first-child"/>
    <w:basedOn w:val="69"/>
    <w:qFormat/>
    <w:uiPriority w:val="0"/>
  </w:style>
  <w:style w:type="character" w:customStyle="1" w:styleId="962">
    <w:name w:val="layui-layer-tabnow"/>
    <w:basedOn w:val="69"/>
    <w:qFormat/>
    <w:uiPriority w:val="0"/>
    <w:rPr>
      <w:bdr w:val="single" w:color="CCCCCC" w:sz="4" w:space="0"/>
      <w:shd w:val="clear" w:fill="FFFFFF"/>
    </w:rPr>
  </w:style>
  <w:style w:type="character" w:customStyle="1" w:styleId="963">
    <w:name w:val="hover7"/>
    <w:basedOn w:val="69"/>
    <w:qFormat/>
    <w:uiPriority w:val="0"/>
    <w:rPr>
      <w:shd w:val="clear" w:fill="F3F3F3"/>
    </w:rPr>
  </w:style>
  <w:style w:type="character" w:customStyle="1" w:styleId="964">
    <w:name w:val="hover8"/>
    <w:basedOn w:val="69"/>
    <w:qFormat/>
    <w:uiPriority w:val="0"/>
    <w:rPr>
      <w:sz w:val="15"/>
      <w:szCs w:val="15"/>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0</TotalTime>
  <ScaleCrop>false</ScaleCrop>
  <LinksUpToDate>false</LinksUpToDate>
  <CharactersWithSpaces>40530</CharactersWithSpaces>
  <Application>WPS Office_11.1.0.11278_F1E327BC-269C-435d-A152-05C5408002CA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2022-03-01T06:27:05Z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2052-11.1.0.11278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D71D7E09821B4220B0DFAD244538C1F8</vt:lpwstr>
  </property>
</Properties>
</file>