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新宋体" w:hAnsi="新宋体" w:eastAsia="新宋体" w:cs="新宋体"/>
          <w:b/>
          <w:bCs/>
          <w:color w:val="auto"/>
          <w:spacing w:val="100"/>
          <w:sz w:val="72"/>
          <w:szCs w:val="72"/>
          <w:highlight w:val="none"/>
        </w:rPr>
      </w:pPr>
      <w:r>
        <w:rPr>
          <w:rFonts w:hint="eastAsia" w:ascii="新宋体" w:hAnsi="新宋体" w:eastAsia="新宋体" w:cs="新宋体"/>
          <w:b/>
          <w:bCs/>
          <w:color w:val="auto"/>
          <w:spacing w:val="100"/>
          <w:sz w:val="72"/>
          <w:szCs w:val="72"/>
          <w:highlight w:val="none"/>
          <w:lang w:eastAsia="zh-CN"/>
        </w:rPr>
        <w:t>温州市</w:t>
      </w:r>
      <w:r>
        <w:rPr>
          <w:rFonts w:hint="eastAsia" w:ascii="新宋体" w:hAnsi="新宋体" w:eastAsia="新宋体" w:cs="新宋体"/>
          <w:b/>
          <w:bCs/>
          <w:color w:val="auto"/>
          <w:spacing w:val="100"/>
          <w:sz w:val="72"/>
          <w:szCs w:val="72"/>
          <w:highlight w:val="none"/>
        </w:rPr>
        <w:t>政府采购</w:t>
      </w:r>
    </w:p>
    <w:p>
      <w:pPr>
        <w:jc w:val="center"/>
        <w:rPr>
          <w:rFonts w:ascii="新宋体" w:hAnsi="新宋体" w:eastAsia="新宋体"/>
          <w:b/>
          <w:bCs/>
          <w:color w:val="auto"/>
          <w:spacing w:val="26"/>
          <w:sz w:val="52"/>
          <w:highlight w:val="none"/>
        </w:rPr>
      </w:pPr>
    </w:p>
    <w:p>
      <w:pPr>
        <w:jc w:val="center"/>
        <w:rPr>
          <w:rFonts w:ascii="新宋体" w:hAnsi="新宋体" w:eastAsia="新宋体"/>
          <w:b/>
          <w:bCs/>
          <w:color w:val="auto"/>
          <w:spacing w:val="140"/>
          <w:sz w:val="72"/>
          <w:highlight w:val="none"/>
        </w:rPr>
      </w:pPr>
    </w:p>
    <w:p>
      <w:pPr>
        <w:spacing w:line="240" w:lineRule="auto"/>
        <w:jc w:val="center"/>
        <w:rPr>
          <w:rFonts w:ascii="新宋体" w:hAnsi="新宋体" w:eastAsia="新宋体"/>
          <w:b/>
          <w:bCs/>
          <w:color w:val="auto"/>
          <w:spacing w:val="140"/>
          <w:sz w:val="44"/>
          <w:szCs w:val="44"/>
          <w:highlight w:val="none"/>
        </w:rPr>
      </w:pPr>
      <w:r>
        <w:rPr>
          <w:rFonts w:hint="eastAsia" w:ascii="新宋体" w:hAnsi="新宋体" w:eastAsia="新宋体"/>
          <w:b/>
          <w:bCs/>
          <w:color w:val="auto"/>
          <w:spacing w:val="140"/>
          <w:sz w:val="44"/>
          <w:szCs w:val="44"/>
          <w:highlight w:val="none"/>
        </w:rPr>
        <w:t>竞争性磋商文件</w:t>
      </w:r>
    </w:p>
    <w:p>
      <w:pPr>
        <w:spacing w:line="600" w:lineRule="exact"/>
        <w:jc w:val="center"/>
        <w:rPr>
          <w:rFonts w:ascii="新宋体" w:hAnsi="新宋体" w:eastAsia="新宋体"/>
          <w:b/>
          <w:bCs/>
          <w:color w:val="auto"/>
          <w:spacing w:val="140"/>
          <w:sz w:val="84"/>
          <w:szCs w:val="84"/>
          <w:highlight w:val="none"/>
        </w:rPr>
      </w:pPr>
    </w:p>
    <w:p>
      <w:pPr>
        <w:spacing w:line="400" w:lineRule="exact"/>
        <w:jc w:val="center"/>
        <w:rPr>
          <w:rFonts w:ascii="新宋体" w:hAnsi="新宋体" w:eastAsia="新宋体"/>
          <w:b/>
          <w:bCs/>
          <w:color w:val="auto"/>
          <w:sz w:val="32"/>
          <w:szCs w:val="32"/>
          <w:highlight w:val="none"/>
        </w:rPr>
      </w:pPr>
    </w:p>
    <w:p>
      <w:pPr>
        <w:jc w:val="center"/>
        <w:rPr>
          <w:rFonts w:ascii="新宋体" w:hAnsi="新宋体" w:eastAsia="新宋体"/>
          <w:color w:val="auto"/>
          <w:spacing w:val="40"/>
          <w:sz w:val="30"/>
          <w:szCs w:val="30"/>
          <w:highlight w:val="none"/>
        </w:rPr>
      </w:pPr>
    </w:p>
    <w:p>
      <w:pPr>
        <w:jc w:val="center"/>
        <w:rPr>
          <w:rFonts w:ascii="新宋体" w:hAnsi="新宋体" w:eastAsia="新宋体"/>
          <w:color w:val="auto"/>
          <w:spacing w:val="40"/>
          <w:sz w:val="30"/>
          <w:szCs w:val="30"/>
          <w:highlight w:val="none"/>
        </w:rPr>
      </w:pPr>
    </w:p>
    <w:p>
      <w:pPr>
        <w:jc w:val="center"/>
        <w:rPr>
          <w:rFonts w:ascii="新宋体" w:hAnsi="新宋体" w:eastAsia="新宋体"/>
          <w:color w:val="auto"/>
          <w:spacing w:val="40"/>
          <w:sz w:val="30"/>
          <w:szCs w:val="30"/>
          <w:highlight w:val="none"/>
        </w:rPr>
      </w:pPr>
    </w:p>
    <w:tbl>
      <w:tblPr>
        <w:tblStyle w:val="53"/>
        <w:tblW w:w="4992" w:type="dxa"/>
        <w:jc w:val="center"/>
        <w:tblLayout w:type="fixed"/>
        <w:tblCellMar>
          <w:top w:w="0" w:type="dxa"/>
          <w:left w:w="108" w:type="dxa"/>
          <w:bottom w:w="0" w:type="dxa"/>
          <w:right w:w="108" w:type="dxa"/>
        </w:tblCellMar>
      </w:tblPr>
      <w:tblGrid>
        <w:gridCol w:w="1559"/>
        <w:gridCol w:w="3433"/>
      </w:tblGrid>
      <w:tr>
        <w:tblPrEx>
          <w:tblCellMar>
            <w:top w:w="0" w:type="dxa"/>
            <w:left w:w="108" w:type="dxa"/>
            <w:bottom w:w="0" w:type="dxa"/>
            <w:right w:w="108" w:type="dxa"/>
          </w:tblCellMar>
        </w:tblPrEx>
        <w:trPr>
          <w:trHeight w:val="1089" w:hRule="atLeast"/>
          <w:jc w:val="center"/>
        </w:trPr>
        <w:tc>
          <w:tcPr>
            <w:tcW w:w="1559" w:type="dxa"/>
            <w:vAlign w:val="center"/>
          </w:tcPr>
          <w:p>
            <w:pPr>
              <w:rPr>
                <w:rFonts w:ascii="新宋体" w:hAnsi="新宋体" w:eastAsia="新宋体"/>
                <w:b/>
                <w:color w:val="auto"/>
                <w:sz w:val="28"/>
                <w:szCs w:val="28"/>
                <w:highlight w:val="none"/>
              </w:rPr>
            </w:pPr>
            <w:r>
              <w:rPr>
                <w:rFonts w:hint="eastAsia" w:ascii="新宋体" w:hAnsi="新宋体" w:eastAsia="新宋体"/>
                <w:b/>
                <w:color w:val="auto"/>
                <w:sz w:val="28"/>
                <w:szCs w:val="28"/>
                <w:highlight w:val="none"/>
              </w:rPr>
              <w:t>项目编号：</w:t>
            </w:r>
          </w:p>
        </w:tc>
        <w:tc>
          <w:tcPr>
            <w:tcW w:w="3433" w:type="dxa"/>
            <w:vAlign w:val="center"/>
          </w:tcPr>
          <w:p>
            <w:pPr>
              <w:rPr>
                <w:rFonts w:hint="eastAsia" w:ascii="新宋体" w:hAnsi="新宋体" w:eastAsia="新宋体"/>
                <w:b/>
                <w:color w:val="auto"/>
                <w:sz w:val="28"/>
                <w:szCs w:val="28"/>
                <w:highlight w:val="none"/>
                <w:lang w:eastAsia="zh-CN"/>
              </w:rPr>
            </w:pPr>
            <w:r>
              <w:rPr>
                <w:rFonts w:hint="eastAsia" w:ascii="新宋体" w:hAnsi="新宋体" w:eastAsia="新宋体"/>
                <w:b/>
                <w:color w:val="auto"/>
                <w:sz w:val="28"/>
                <w:szCs w:val="28"/>
                <w:highlight w:val="none"/>
                <w:lang w:eastAsia="zh-CN"/>
              </w:rPr>
              <w:t>ZXZB-F20240313-ZHBX</w:t>
            </w:r>
          </w:p>
        </w:tc>
      </w:tr>
      <w:tr>
        <w:tblPrEx>
          <w:tblCellMar>
            <w:top w:w="0" w:type="dxa"/>
            <w:left w:w="108" w:type="dxa"/>
            <w:bottom w:w="0" w:type="dxa"/>
            <w:right w:w="108" w:type="dxa"/>
          </w:tblCellMar>
        </w:tblPrEx>
        <w:trPr>
          <w:trHeight w:val="1089" w:hRule="atLeast"/>
          <w:jc w:val="center"/>
        </w:trPr>
        <w:tc>
          <w:tcPr>
            <w:tcW w:w="1559" w:type="dxa"/>
            <w:vAlign w:val="center"/>
          </w:tcPr>
          <w:p>
            <w:pPr>
              <w:rPr>
                <w:rFonts w:ascii="新宋体" w:hAnsi="新宋体" w:eastAsia="新宋体"/>
                <w:b/>
                <w:color w:val="auto"/>
                <w:sz w:val="28"/>
                <w:szCs w:val="28"/>
                <w:highlight w:val="none"/>
              </w:rPr>
            </w:pPr>
            <w:r>
              <w:rPr>
                <w:rFonts w:hint="eastAsia" w:ascii="新宋体" w:hAnsi="新宋体" w:eastAsia="新宋体"/>
                <w:b/>
                <w:color w:val="auto"/>
                <w:sz w:val="28"/>
                <w:szCs w:val="28"/>
                <w:highlight w:val="none"/>
              </w:rPr>
              <w:t>项目名称：</w:t>
            </w:r>
          </w:p>
        </w:tc>
        <w:tc>
          <w:tcPr>
            <w:tcW w:w="3433" w:type="dxa"/>
            <w:vAlign w:val="center"/>
          </w:tcPr>
          <w:p>
            <w:pPr>
              <w:rPr>
                <w:rFonts w:hint="default" w:ascii="新宋体" w:hAnsi="新宋体" w:eastAsia="新宋体"/>
                <w:b/>
                <w:color w:val="auto"/>
                <w:sz w:val="28"/>
                <w:szCs w:val="28"/>
                <w:highlight w:val="none"/>
                <w:lang w:val="en" w:eastAsia="zh-CN"/>
              </w:rPr>
            </w:pPr>
            <w:r>
              <w:rPr>
                <w:rFonts w:hint="eastAsia" w:ascii="新宋体" w:hAnsi="新宋体" w:eastAsia="新宋体"/>
                <w:b/>
                <w:color w:val="auto"/>
                <w:sz w:val="28"/>
                <w:szCs w:val="28"/>
                <w:highlight w:val="none"/>
                <w:lang w:val="en" w:eastAsia="zh-CN"/>
              </w:rPr>
              <w:t>温州市瓯海区2024年农村公路综合保险</w:t>
            </w:r>
          </w:p>
        </w:tc>
      </w:tr>
      <w:tr>
        <w:tblPrEx>
          <w:tblCellMar>
            <w:top w:w="0" w:type="dxa"/>
            <w:left w:w="108" w:type="dxa"/>
            <w:bottom w:w="0" w:type="dxa"/>
            <w:right w:w="108" w:type="dxa"/>
          </w:tblCellMar>
        </w:tblPrEx>
        <w:trPr>
          <w:trHeight w:val="1089" w:hRule="atLeast"/>
          <w:jc w:val="center"/>
        </w:trPr>
        <w:tc>
          <w:tcPr>
            <w:tcW w:w="1559" w:type="dxa"/>
            <w:vAlign w:val="center"/>
          </w:tcPr>
          <w:p>
            <w:pPr>
              <w:rPr>
                <w:rFonts w:ascii="新宋体" w:hAnsi="新宋体" w:eastAsia="新宋体"/>
                <w:b/>
                <w:color w:val="auto"/>
                <w:sz w:val="28"/>
                <w:szCs w:val="28"/>
                <w:highlight w:val="none"/>
              </w:rPr>
            </w:pPr>
            <w:r>
              <w:rPr>
                <w:rFonts w:hint="eastAsia" w:ascii="新宋体" w:hAnsi="新宋体" w:eastAsia="新宋体"/>
                <w:b/>
                <w:color w:val="auto"/>
                <w:sz w:val="28"/>
                <w:szCs w:val="28"/>
                <w:highlight w:val="none"/>
              </w:rPr>
              <w:t>采购方式：</w:t>
            </w:r>
          </w:p>
        </w:tc>
        <w:tc>
          <w:tcPr>
            <w:tcW w:w="3433" w:type="dxa"/>
            <w:vAlign w:val="center"/>
          </w:tcPr>
          <w:p>
            <w:pPr>
              <w:rPr>
                <w:rFonts w:ascii="新宋体" w:hAnsi="新宋体" w:eastAsia="新宋体"/>
                <w:b/>
                <w:color w:val="auto"/>
                <w:sz w:val="28"/>
                <w:szCs w:val="28"/>
                <w:highlight w:val="none"/>
              </w:rPr>
            </w:pPr>
            <w:r>
              <w:rPr>
                <w:rFonts w:hint="eastAsia" w:ascii="新宋体" w:hAnsi="新宋体" w:eastAsia="新宋体"/>
                <w:b/>
                <w:color w:val="auto"/>
                <w:sz w:val="28"/>
                <w:szCs w:val="28"/>
                <w:highlight w:val="none"/>
              </w:rPr>
              <w:t>竞争性磋商</w:t>
            </w:r>
          </w:p>
        </w:tc>
      </w:tr>
    </w:tbl>
    <w:p>
      <w:pPr>
        <w:spacing w:line="600" w:lineRule="exact"/>
        <w:ind w:firstLine="904" w:firstLineChars="300"/>
        <w:jc w:val="center"/>
        <w:rPr>
          <w:rFonts w:ascii="新宋体" w:hAnsi="新宋体" w:eastAsia="新宋体"/>
          <w:b/>
          <w:color w:val="auto"/>
          <w:sz w:val="30"/>
          <w:szCs w:val="30"/>
          <w:highlight w:val="none"/>
        </w:rPr>
      </w:pPr>
      <w:r>
        <w:rPr>
          <w:rFonts w:hint="eastAsia" w:ascii="新宋体" w:hAnsi="新宋体" w:eastAsia="新宋体"/>
          <w:b/>
          <w:color w:val="auto"/>
          <w:sz w:val="30"/>
          <w:szCs w:val="30"/>
          <w:highlight w:val="none"/>
        </w:rPr>
        <w:t xml:space="preserve">                 </w:t>
      </w:r>
    </w:p>
    <w:p>
      <w:pPr>
        <w:spacing w:line="480" w:lineRule="auto"/>
        <w:rPr>
          <w:rFonts w:ascii="新宋体" w:hAnsi="新宋体" w:eastAsia="新宋体"/>
          <w:b/>
          <w:color w:val="auto"/>
          <w:sz w:val="30"/>
          <w:szCs w:val="30"/>
          <w:highlight w:val="none"/>
        </w:rPr>
      </w:pPr>
    </w:p>
    <w:p>
      <w:pPr>
        <w:spacing w:line="480" w:lineRule="auto"/>
        <w:ind w:firstLine="1906" w:firstLineChars="633"/>
        <w:rPr>
          <w:rFonts w:hint="eastAsia" w:ascii="新宋体" w:hAnsi="新宋体" w:eastAsia="新宋体"/>
          <w:b/>
          <w:color w:val="auto"/>
          <w:sz w:val="30"/>
          <w:szCs w:val="30"/>
          <w:highlight w:val="none"/>
        </w:rPr>
      </w:pPr>
    </w:p>
    <w:p>
      <w:pPr>
        <w:spacing w:line="480" w:lineRule="auto"/>
        <w:ind w:firstLine="1906" w:firstLineChars="633"/>
        <w:rPr>
          <w:rFonts w:hint="eastAsia" w:ascii="新宋体" w:hAnsi="新宋体" w:eastAsia="新宋体"/>
          <w:b/>
          <w:color w:val="auto"/>
          <w:sz w:val="30"/>
          <w:szCs w:val="30"/>
          <w:highlight w:val="none"/>
        </w:rPr>
      </w:pPr>
    </w:p>
    <w:p>
      <w:pPr>
        <w:spacing w:line="480" w:lineRule="auto"/>
        <w:ind w:firstLine="1906" w:firstLineChars="633"/>
        <w:rPr>
          <w:rFonts w:hint="eastAsia" w:ascii="新宋体" w:hAnsi="新宋体" w:eastAsia="新宋体"/>
          <w:b/>
          <w:color w:val="auto"/>
          <w:sz w:val="30"/>
          <w:szCs w:val="30"/>
          <w:highlight w:val="none"/>
          <w:lang w:eastAsia="zh-CN"/>
        </w:rPr>
      </w:pPr>
      <w:r>
        <w:rPr>
          <w:rFonts w:hint="eastAsia" w:ascii="新宋体" w:hAnsi="新宋体" w:eastAsia="新宋体"/>
          <w:b/>
          <w:color w:val="auto"/>
          <w:sz w:val="30"/>
          <w:szCs w:val="30"/>
          <w:highlight w:val="none"/>
        </w:rPr>
        <w:t xml:space="preserve">采 </w:t>
      </w:r>
      <w:r>
        <w:rPr>
          <w:rFonts w:ascii="新宋体" w:hAnsi="新宋体" w:eastAsia="新宋体"/>
          <w:b/>
          <w:color w:val="auto"/>
          <w:sz w:val="30"/>
          <w:szCs w:val="30"/>
          <w:highlight w:val="none"/>
        </w:rPr>
        <w:t xml:space="preserve">  </w:t>
      </w:r>
      <w:r>
        <w:rPr>
          <w:rFonts w:hint="eastAsia" w:ascii="新宋体" w:hAnsi="新宋体" w:eastAsia="新宋体"/>
          <w:b/>
          <w:color w:val="auto"/>
          <w:sz w:val="30"/>
          <w:szCs w:val="30"/>
          <w:highlight w:val="none"/>
        </w:rPr>
        <w:t>购   人：</w:t>
      </w:r>
      <w:r>
        <w:rPr>
          <w:rFonts w:hint="eastAsia" w:ascii="新宋体" w:hAnsi="新宋体" w:eastAsia="新宋体"/>
          <w:b/>
          <w:color w:val="auto"/>
          <w:sz w:val="30"/>
          <w:szCs w:val="30"/>
          <w:highlight w:val="none"/>
          <w:lang w:eastAsia="zh-CN"/>
        </w:rPr>
        <w:t>温州市瓯海区公路管理中心</w:t>
      </w:r>
    </w:p>
    <w:p>
      <w:pPr>
        <w:spacing w:line="480" w:lineRule="auto"/>
        <w:ind w:firstLine="1906" w:firstLineChars="633"/>
        <w:jc w:val="left"/>
        <w:rPr>
          <w:rFonts w:ascii="新宋体" w:hAnsi="新宋体" w:eastAsia="新宋体"/>
          <w:b/>
          <w:color w:val="auto"/>
          <w:sz w:val="30"/>
          <w:szCs w:val="30"/>
          <w:highlight w:val="none"/>
        </w:rPr>
      </w:pPr>
      <w:r>
        <w:rPr>
          <w:rFonts w:hint="eastAsia" w:ascii="新宋体" w:hAnsi="新宋体" w:eastAsia="新宋体"/>
          <w:b/>
          <w:color w:val="auto"/>
          <w:sz w:val="30"/>
          <w:szCs w:val="30"/>
          <w:highlight w:val="none"/>
        </w:rPr>
        <w:t>采购代理机构：温州市智信招标代理有限公司</w:t>
      </w:r>
    </w:p>
    <w:p>
      <w:pPr>
        <w:spacing w:line="600" w:lineRule="exact"/>
        <w:jc w:val="center"/>
        <w:rPr>
          <w:rFonts w:ascii="新宋体" w:hAnsi="新宋体" w:eastAsia="新宋体"/>
          <w:b/>
          <w:color w:val="auto"/>
          <w:sz w:val="30"/>
          <w:szCs w:val="30"/>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134" w:header="851" w:footer="992" w:gutter="0"/>
          <w:pgBorders>
            <w:top w:val="none" w:sz="0" w:space="0"/>
            <w:left w:val="none" w:sz="0" w:space="0"/>
            <w:bottom w:val="none" w:sz="0" w:space="0"/>
            <w:right w:val="none" w:sz="0" w:space="0"/>
          </w:pgBorders>
          <w:pgNumType w:start="0"/>
          <w:cols w:space="720" w:num="1"/>
          <w:titlePg/>
          <w:docGrid w:linePitch="312" w:charSpace="0"/>
        </w:sectPr>
      </w:pPr>
      <w:r>
        <w:rPr>
          <w:rFonts w:hint="eastAsia" w:ascii="新宋体" w:hAnsi="新宋体" w:eastAsia="新宋体"/>
          <w:b/>
          <w:color w:val="auto"/>
          <w:sz w:val="30"/>
          <w:szCs w:val="30"/>
          <w:highlight w:val="none"/>
        </w:rPr>
        <w:t xml:space="preserve">     二○二</w:t>
      </w:r>
      <w:r>
        <w:rPr>
          <w:rFonts w:hint="eastAsia" w:ascii="新宋体" w:hAnsi="新宋体" w:eastAsia="新宋体"/>
          <w:b/>
          <w:color w:val="auto"/>
          <w:sz w:val="30"/>
          <w:szCs w:val="30"/>
          <w:highlight w:val="none"/>
          <w:lang w:val="en-US" w:eastAsia="zh-CN"/>
        </w:rPr>
        <w:t>四</w:t>
      </w:r>
      <w:r>
        <w:rPr>
          <w:rFonts w:hint="eastAsia" w:ascii="新宋体" w:hAnsi="新宋体" w:eastAsia="新宋体"/>
          <w:b/>
          <w:color w:val="auto"/>
          <w:sz w:val="30"/>
          <w:szCs w:val="30"/>
          <w:highlight w:val="none"/>
        </w:rPr>
        <w:t>年</w:t>
      </w:r>
      <w:r>
        <w:rPr>
          <w:rFonts w:hint="eastAsia" w:ascii="新宋体" w:hAnsi="新宋体" w:eastAsia="新宋体"/>
          <w:b/>
          <w:color w:val="auto"/>
          <w:sz w:val="30"/>
          <w:szCs w:val="30"/>
          <w:highlight w:val="none"/>
          <w:lang w:val="en-US" w:eastAsia="zh-CN"/>
        </w:rPr>
        <w:t>四</w:t>
      </w:r>
      <w:r>
        <w:rPr>
          <w:rFonts w:hint="eastAsia" w:ascii="新宋体" w:hAnsi="新宋体" w:eastAsia="新宋体"/>
          <w:b/>
          <w:color w:val="auto"/>
          <w:sz w:val="30"/>
          <w:szCs w:val="30"/>
          <w:highlight w:val="none"/>
        </w:rPr>
        <w:t>月</w:t>
      </w:r>
    </w:p>
    <w:p>
      <w:pPr>
        <w:rPr>
          <w:rFonts w:ascii="新宋体" w:hAnsi="新宋体" w:eastAsia="新宋体"/>
          <w:b/>
          <w:bCs/>
          <w:color w:val="auto"/>
          <w:szCs w:val="21"/>
          <w:highlight w:val="none"/>
        </w:rPr>
      </w:pPr>
    </w:p>
    <w:p>
      <w:pPr>
        <w:spacing w:line="600" w:lineRule="exact"/>
        <w:jc w:val="center"/>
        <w:rPr>
          <w:rFonts w:ascii="新宋体" w:hAnsi="新宋体" w:eastAsia="新宋体"/>
          <w:b/>
          <w:bCs/>
          <w:color w:val="auto"/>
          <w:sz w:val="32"/>
          <w:szCs w:val="32"/>
          <w:highlight w:val="none"/>
        </w:rPr>
      </w:pPr>
      <w:r>
        <w:rPr>
          <w:rFonts w:hint="eastAsia" w:ascii="新宋体" w:hAnsi="新宋体" w:eastAsia="新宋体"/>
          <w:b/>
          <w:bCs/>
          <w:color w:val="auto"/>
          <w:sz w:val="32"/>
          <w:szCs w:val="32"/>
          <w:highlight w:val="none"/>
        </w:rPr>
        <w:t>目    录</w:t>
      </w:r>
    </w:p>
    <w:p>
      <w:pPr>
        <w:spacing w:line="600" w:lineRule="exact"/>
        <w:jc w:val="center"/>
        <w:rPr>
          <w:rFonts w:ascii="新宋体" w:hAnsi="新宋体" w:eastAsia="新宋体"/>
          <w:b/>
          <w:bCs/>
          <w:color w:val="auto"/>
          <w:sz w:val="32"/>
          <w:szCs w:val="32"/>
          <w:highlight w:val="none"/>
        </w:rPr>
      </w:pPr>
    </w:p>
    <w:p>
      <w:pPr>
        <w:pStyle w:val="39"/>
        <w:tabs>
          <w:tab w:val="right" w:leader="dot" w:pos="9638"/>
        </w:tabs>
        <w:spacing w:line="480" w:lineRule="auto"/>
        <w:ind w:left="752" w:hanging="752"/>
        <w:rPr>
          <w:rFonts w:ascii="宋体" w:hAnsi="宋体" w:eastAsia="宋体" w:cs="宋体"/>
          <w:color w:val="auto"/>
          <w:sz w:val="22"/>
          <w:szCs w:val="22"/>
          <w:highlight w:val="none"/>
        </w:rPr>
      </w:pPr>
      <w:r>
        <w:rPr>
          <w:rFonts w:hint="eastAsia" w:ascii="新宋体" w:hAnsi="新宋体" w:eastAsia="新宋体" w:cs="新宋体"/>
          <w:color w:val="auto"/>
          <w:sz w:val="22"/>
          <w:szCs w:val="22"/>
          <w:highlight w:val="none"/>
        </w:rPr>
        <w:fldChar w:fldCharType="begin"/>
      </w:r>
      <w:r>
        <w:rPr>
          <w:rFonts w:hint="eastAsia" w:ascii="新宋体" w:hAnsi="新宋体" w:eastAsia="新宋体" w:cs="新宋体"/>
          <w:color w:val="auto"/>
          <w:sz w:val="22"/>
          <w:szCs w:val="22"/>
          <w:highlight w:val="none"/>
        </w:rPr>
        <w:instrText xml:space="preserve"> TOC \o "1-3" \h \z \u </w:instrText>
      </w:r>
      <w:r>
        <w:rPr>
          <w:rFonts w:hint="eastAsia" w:ascii="新宋体" w:hAnsi="新宋体" w:eastAsia="新宋体" w:cs="新宋体"/>
          <w:color w:val="auto"/>
          <w:sz w:val="22"/>
          <w:szCs w:val="22"/>
          <w:highlight w:val="none"/>
        </w:rPr>
        <w:fldChar w:fldCharType="separate"/>
      </w:r>
      <w:r>
        <w:rPr>
          <w:color w:val="auto"/>
          <w:highlight w:val="none"/>
        </w:rPr>
        <w:fldChar w:fldCharType="begin"/>
      </w:r>
      <w:r>
        <w:rPr>
          <w:color w:val="auto"/>
          <w:highlight w:val="none"/>
        </w:rPr>
        <w:instrText xml:space="preserve"> HYPERLINK \l "_Toc16477" </w:instrText>
      </w:r>
      <w:r>
        <w:rPr>
          <w:color w:val="auto"/>
          <w:highlight w:val="none"/>
        </w:rPr>
        <w:fldChar w:fldCharType="separate"/>
      </w:r>
      <w:r>
        <w:rPr>
          <w:rFonts w:hint="eastAsia" w:ascii="宋体" w:hAnsi="宋体" w:eastAsia="宋体" w:cs="宋体"/>
          <w:color w:val="auto"/>
          <w:sz w:val="22"/>
          <w:szCs w:val="22"/>
          <w:highlight w:val="none"/>
        </w:rPr>
        <w:t>供应商须知前附表</w:t>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fldChar w:fldCharType="begin"/>
      </w:r>
      <w:r>
        <w:rPr>
          <w:rFonts w:hint="eastAsia" w:ascii="宋体" w:hAnsi="宋体" w:eastAsia="宋体" w:cs="宋体"/>
          <w:color w:val="auto"/>
          <w:sz w:val="22"/>
          <w:szCs w:val="22"/>
          <w:highlight w:val="none"/>
        </w:rPr>
        <w:instrText xml:space="preserve"> PAGEREF _Toc16477 </w:instrText>
      </w:r>
      <w:r>
        <w:rPr>
          <w:rFonts w:hint="eastAsia" w:ascii="宋体" w:hAnsi="宋体" w:eastAsia="宋体" w:cs="宋体"/>
          <w:color w:val="auto"/>
          <w:sz w:val="22"/>
          <w:szCs w:val="22"/>
          <w:highlight w:val="none"/>
        </w:rPr>
        <w:fldChar w:fldCharType="separate"/>
      </w:r>
      <w:r>
        <w:rPr>
          <w:rFonts w:hint="eastAsia" w:ascii="宋体" w:hAnsi="宋体" w:eastAsia="宋体" w:cs="宋体"/>
          <w:color w:val="auto"/>
          <w:sz w:val="22"/>
          <w:szCs w:val="22"/>
          <w:highlight w:val="none"/>
        </w:rPr>
        <w:t>2</w:t>
      </w:r>
      <w:r>
        <w:rPr>
          <w:rFonts w:hint="eastAsia" w:ascii="宋体" w:hAnsi="宋体" w:eastAsia="宋体" w:cs="宋体"/>
          <w:color w:val="auto"/>
          <w:sz w:val="22"/>
          <w:szCs w:val="22"/>
          <w:highlight w:val="none"/>
        </w:rPr>
        <w:fldChar w:fldCharType="end"/>
      </w:r>
      <w:r>
        <w:rPr>
          <w:rFonts w:hint="eastAsia" w:ascii="宋体" w:hAnsi="宋体" w:eastAsia="宋体" w:cs="宋体"/>
          <w:color w:val="auto"/>
          <w:sz w:val="22"/>
          <w:szCs w:val="22"/>
          <w:highlight w:val="none"/>
        </w:rPr>
        <w:fldChar w:fldCharType="end"/>
      </w:r>
    </w:p>
    <w:p>
      <w:pPr>
        <w:pStyle w:val="39"/>
        <w:tabs>
          <w:tab w:val="right" w:leader="dot" w:pos="9638"/>
        </w:tabs>
        <w:spacing w:line="480" w:lineRule="auto"/>
        <w:rPr>
          <w:rFonts w:ascii="宋体" w:hAnsi="宋体" w:eastAsia="宋体" w:cs="宋体"/>
          <w:color w:val="auto"/>
          <w:sz w:val="22"/>
          <w:szCs w:val="22"/>
          <w:highlight w:val="none"/>
        </w:rPr>
      </w:pPr>
      <w:r>
        <w:rPr>
          <w:color w:val="auto"/>
          <w:highlight w:val="none"/>
        </w:rPr>
        <w:fldChar w:fldCharType="begin"/>
      </w:r>
      <w:r>
        <w:rPr>
          <w:color w:val="auto"/>
          <w:highlight w:val="none"/>
        </w:rPr>
        <w:instrText xml:space="preserve"> HYPERLINK \l "_Toc17062" </w:instrText>
      </w:r>
      <w:r>
        <w:rPr>
          <w:color w:val="auto"/>
          <w:highlight w:val="none"/>
        </w:rPr>
        <w:fldChar w:fldCharType="separate"/>
      </w:r>
      <w:r>
        <w:rPr>
          <w:rFonts w:hint="eastAsia" w:ascii="宋体" w:hAnsi="宋体" w:eastAsia="宋体" w:cs="宋体"/>
          <w:color w:val="auto"/>
          <w:sz w:val="22"/>
          <w:szCs w:val="22"/>
          <w:highlight w:val="none"/>
        </w:rPr>
        <w:t>第一部分    供应商须知</w:t>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fldChar w:fldCharType="begin"/>
      </w:r>
      <w:r>
        <w:rPr>
          <w:rFonts w:hint="eastAsia" w:ascii="宋体" w:hAnsi="宋体" w:eastAsia="宋体" w:cs="宋体"/>
          <w:color w:val="auto"/>
          <w:sz w:val="22"/>
          <w:szCs w:val="22"/>
          <w:highlight w:val="none"/>
        </w:rPr>
        <w:instrText xml:space="preserve"> PAGEREF _Toc17062 </w:instrText>
      </w:r>
      <w:r>
        <w:rPr>
          <w:rFonts w:hint="eastAsia" w:ascii="宋体" w:hAnsi="宋体" w:eastAsia="宋体" w:cs="宋体"/>
          <w:color w:val="auto"/>
          <w:sz w:val="22"/>
          <w:szCs w:val="22"/>
          <w:highlight w:val="none"/>
        </w:rPr>
        <w:fldChar w:fldCharType="separate"/>
      </w:r>
      <w:r>
        <w:rPr>
          <w:rFonts w:hint="eastAsia" w:ascii="宋体" w:hAnsi="宋体" w:eastAsia="宋体" w:cs="宋体"/>
          <w:color w:val="auto"/>
          <w:sz w:val="22"/>
          <w:szCs w:val="22"/>
          <w:highlight w:val="none"/>
        </w:rPr>
        <w:t>7</w:t>
      </w:r>
      <w:r>
        <w:rPr>
          <w:rFonts w:hint="eastAsia" w:ascii="宋体" w:hAnsi="宋体" w:eastAsia="宋体" w:cs="宋体"/>
          <w:color w:val="auto"/>
          <w:sz w:val="22"/>
          <w:szCs w:val="22"/>
          <w:highlight w:val="none"/>
        </w:rPr>
        <w:fldChar w:fldCharType="end"/>
      </w:r>
      <w:r>
        <w:rPr>
          <w:rFonts w:hint="eastAsia" w:ascii="宋体" w:hAnsi="宋体" w:eastAsia="宋体" w:cs="宋体"/>
          <w:color w:val="auto"/>
          <w:sz w:val="22"/>
          <w:szCs w:val="22"/>
          <w:highlight w:val="none"/>
        </w:rPr>
        <w:fldChar w:fldCharType="end"/>
      </w:r>
    </w:p>
    <w:p>
      <w:pPr>
        <w:pStyle w:val="45"/>
        <w:tabs>
          <w:tab w:val="right" w:leader="dot" w:pos="9638"/>
        </w:tabs>
        <w:spacing w:line="480" w:lineRule="auto"/>
        <w:rPr>
          <w:rFonts w:ascii="宋体" w:hAnsi="宋体" w:cs="宋体"/>
          <w:color w:val="auto"/>
          <w:sz w:val="22"/>
          <w:szCs w:val="22"/>
          <w:highlight w:val="none"/>
        </w:rPr>
      </w:pPr>
      <w:r>
        <w:rPr>
          <w:color w:val="auto"/>
          <w:highlight w:val="none"/>
        </w:rPr>
        <w:fldChar w:fldCharType="begin"/>
      </w:r>
      <w:r>
        <w:rPr>
          <w:color w:val="auto"/>
          <w:highlight w:val="none"/>
        </w:rPr>
        <w:instrText xml:space="preserve"> HYPERLINK \l "_Toc24607" </w:instrText>
      </w:r>
      <w:r>
        <w:rPr>
          <w:color w:val="auto"/>
          <w:highlight w:val="none"/>
        </w:rPr>
        <w:fldChar w:fldCharType="separate"/>
      </w:r>
      <w:r>
        <w:rPr>
          <w:rFonts w:hint="eastAsia" w:ascii="宋体" w:hAnsi="宋体" w:cs="宋体"/>
          <w:bCs/>
          <w:color w:val="auto"/>
          <w:sz w:val="22"/>
          <w:szCs w:val="22"/>
          <w:highlight w:val="none"/>
        </w:rPr>
        <w:t>一   说 明</w:t>
      </w:r>
      <w:r>
        <w:rPr>
          <w:rFonts w:hint="eastAsia" w:ascii="宋体" w:hAnsi="宋体" w:cs="宋体"/>
          <w:color w:val="auto"/>
          <w:sz w:val="22"/>
          <w:szCs w:val="22"/>
          <w:highlight w:val="none"/>
        </w:rPr>
        <w:tab/>
      </w:r>
      <w:r>
        <w:rPr>
          <w:rFonts w:hint="eastAsia" w:ascii="宋体" w:hAnsi="宋体" w:cs="宋体"/>
          <w:color w:val="auto"/>
          <w:sz w:val="22"/>
          <w:szCs w:val="22"/>
          <w:highlight w:val="none"/>
        </w:rPr>
        <w:fldChar w:fldCharType="begin"/>
      </w:r>
      <w:r>
        <w:rPr>
          <w:rFonts w:hint="eastAsia" w:ascii="宋体" w:hAnsi="宋体" w:cs="宋体"/>
          <w:color w:val="auto"/>
          <w:sz w:val="22"/>
          <w:szCs w:val="22"/>
          <w:highlight w:val="none"/>
        </w:rPr>
        <w:instrText xml:space="preserve"> PAGEREF _Toc24607 </w:instrText>
      </w:r>
      <w:r>
        <w:rPr>
          <w:rFonts w:hint="eastAsia" w:ascii="宋体" w:hAnsi="宋体" w:cs="宋体"/>
          <w:color w:val="auto"/>
          <w:sz w:val="22"/>
          <w:szCs w:val="22"/>
          <w:highlight w:val="none"/>
        </w:rPr>
        <w:fldChar w:fldCharType="separate"/>
      </w:r>
      <w:r>
        <w:rPr>
          <w:rFonts w:hint="eastAsia" w:ascii="宋体" w:hAnsi="宋体" w:cs="宋体"/>
          <w:color w:val="auto"/>
          <w:sz w:val="22"/>
          <w:szCs w:val="22"/>
          <w:highlight w:val="none"/>
        </w:rPr>
        <w:t>7</w:t>
      </w:r>
      <w:r>
        <w:rPr>
          <w:rFonts w:hint="eastAsia" w:ascii="宋体" w:hAnsi="宋体" w:cs="宋体"/>
          <w:color w:val="auto"/>
          <w:sz w:val="22"/>
          <w:szCs w:val="22"/>
          <w:highlight w:val="none"/>
        </w:rPr>
        <w:fldChar w:fldCharType="end"/>
      </w:r>
      <w:r>
        <w:rPr>
          <w:rFonts w:hint="eastAsia" w:ascii="宋体" w:hAnsi="宋体" w:cs="宋体"/>
          <w:color w:val="auto"/>
          <w:sz w:val="22"/>
          <w:szCs w:val="22"/>
          <w:highlight w:val="none"/>
        </w:rPr>
        <w:fldChar w:fldCharType="end"/>
      </w:r>
    </w:p>
    <w:p>
      <w:pPr>
        <w:pStyle w:val="45"/>
        <w:tabs>
          <w:tab w:val="right" w:leader="dot" w:pos="9638"/>
        </w:tabs>
        <w:spacing w:line="480" w:lineRule="auto"/>
        <w:rPr>
          <w:rFonts w:ascii="宋体" w:hAnsi="宋体" w:cs="宋体"/>
          <w:color w:val="auto"/>
          <w:sz w:val="22"/>
          <w:szCs w:val="22"/>
          <w:highlight w:val="none"/>
        </w:rPr>
      </w:pPr>
      <w:r>
        <w:rPr>
          <w:color w:val="auto"/>
          <w:highlight w:val="none"/>
        </w:rPr>
        <w:fldChar w:fldCharType="begin"/>
      </w:r>
      <w:r>
        <w:rPr>
          <w:color w:val="auto"/>
          <w:highlight w:val="none"/>
        </w:rPr>
        <w:instrText xml:space="preserve"> HYPERLINK \l "_Toc13286" </w:instrText>
      </w:r>
      <w:r>
        <w:rPr>
          <w:color w:val="auto"/>
          <w:highlight w:val="none"/>
        </w:rPr>
        <w:fldChar w:fldCharType="separate"/>
      </w:r>
      <w:r>
        <w:rPr>
          <w:rFonts w:hint="eastAsia" w:ascii="宋体" w:hAnsi="宋体" w:cs="宋体"/>
          <w:bCs/>
          <w:color w:val="auto"/>
          <w:sz w:val="22"/>
          <w:szCs w:val="22"/>
          <w:highlight w:val="none"/>
        </w:rPr>
        <w:t>二   竞争性磋商文件</w:t>
      </w:r>
      <w:r>
        <w:rPr>
          <w:rFonts w:hint="eastAsia" w:ascii="宋体" w:hAnsi="宋体" w:cs="宋体"/>
          <w:color w:val="auto"/>
          <w:sz w:val="22"/>
          <w:szCs w:val="22"/>
          <w:highlight w:val="none"/>
        </w:rPr>
        <w:tab/>
      </w:r>
      <w:r>
        <w:rPr>
          <w:rFonts w:hint="eastAsia" w:ascii="宋体" w:hAnsi="宋体" w:cs="宋体"/>
          <w:color w:val="auto"/>
          <w:sz w:val="22"/>
          <w:szCs w:val="22"/>
          <w:highlight w:val="none"/>
        </w:rPr>
        <w:fldChar w:fldCharType="begin"/>
      </w:r>
      <w:r>
        <w:rPr>
          <w:rFonts w:hint="eastAsia" w:ascii="宋体" w:hAnsi="宋体" w:cs="宋体"/>
          <w:color w:val="auto"/>
          <w:sz w:val="22"/>
          <w:szCs w:val="22"/>
          <w:highlight w:val="none"/>
        </w:rPr>
        <w:instrText xml:space="preserve"> PAGEREF _Toc13286 </w:instrText>
      </w:r>
      <w:r>
        <w:rPr>
          <w:rFonts w:hint="eastAsia" w:ascii="宋体" w:hAnsi="宋体" w:cs="宋体"/>
          <w:color w:val="auto"/>
          <w:sz w:val="22"/>
          <w:szCs w:val="22"/>
          <w:highlight w:val="none"/>
        </w:rPr>
        <w:fldChar w:fldCharType="separate"/>
      </w:r>
      <w:r>
        <w:rPr>
          <w:rFonts w:hint="eastAsia" w:ascii="宋体" w:hAnsi="宋体" w:cs="宋体"/>
          <w:color w:val="auto"/>
          <w:sz w:val="22"/>
          <w:szCs w:val="22"/>
          <w:highlight w:val="none"/>
        </w:rPr>
        <w:t>7</w:t>
      </w:r>
      <w:r>
        <w:rPr>
          <w:rFonts w:hint="eastAsia" w:ascii="宋体" w:hAnsi="宋体" w:cs="宋体"/>
          <w:color w:val="auto"/>
          <w:sz w:val="22"/>
          <w:szCs w:val="22"/>
          <w:highlight w:val="none"/>
        </w:rPr>
        <w:fldChar w:fldCharType="end"/>
      </w:r>
      <w:r>
        <w:rPr>
          <w:rFonts w:hint="eastAsia" w:ascii="宋体" w:hAnsi="宋体" w:cs="宋体"/>
          <w:color w:val="auto"/>
          <w:sz w:val="22"/>
          <w:szCs w:val="22"/>
          <w:highlight w:val="none"/>
        </w:rPr>
        <w:fldChar w:fldCharType="end"/>
      </w:r>
    </w:p>
    <w:p>
      <w:pPr>
        <w:pStyle w:val="45"/>
        <w:tabs>
          <w:tab w:val="right" w:leader="dot" w:pos="9638"/>
        </w:tabs>
        <w:spacing w:line="480" w:lineRule="auto"/>
        <w:rPr>
          <w:rFonts w:ascii="宋体" w:hAnsi="宋体" w:cs="宋体"/>
          <w:color w:val="auto"/>
          <w:sz w:val="22"/>
          <w:szCs w:val="22"/>
          <w:highlight w:val="none"/>
        </w:rPr>
      </w:pPr>
      <w:r>
        <w:rPr>
          <w:color w:val="auto"/>
          <w:highlight w:val="none"/>
        </w:rPr>
        <w:fldChar w:fldCharType="begin"/>
      </w:r>
      <w:r>
        <w:rPr>
          <w:color w:val="auto"/>
          <w:highlight w:val="none"/>
        </w:rPr>
        <w:instrText xml:space="preserve"> HYPERLINK \l "_Toc10347" </w:instrText>
      </w:r>
      <w:r>
        <w:rPr>
          <w:color w:val="auto"/>
          <w:highlight w:val="none"/>
        </w:rPr>
        <w:fldChar w:fldCharType="separate"/>
      </w:r>
      <w:r>
        <w:rPr>
          <w:rFonts w:hint="eastAsia" w:ascii="宋体" w:hAnsi="宋体" w:cs="宋体"/>
          <w:bCs/>
          <w:color w:val="auto"/>
          <w:sz w:val="22"/>
          <w:szCs w:val="22"/>
          <w:highlight w:val="none"/>
        </w:rPr>
        <w:t>三   磋商响应文件的编制</w:t>
      </w:r>
      <w:r>
        <w:rPr>
          <w:rFonts w:hint="eastAsia" w:ascii="宋体" w:hAnsi="宋体" w:cs="宋体"/>
          <w:color w:val="auto"/>
          <w:sz w:val="22"/>
          <w:szCs w:val="22"/>
          <w:highlight w:val="none"/>
        </w:rPr>
        <w:tab/>
      </w:r>
      <w:r>
        <w:rPr>
          <w:rFonts w:hint="eastAsia" w:ascii="宋体" w:hAnsi="宋体" w:cs="宋体"/>
          <w:color w:val="auto"/>
          <w:sz w:val="22"/>
          <w:szCs w:val="22"/>
          <w:highlight w:val="none"/>
        </w:rPr>
        <w:fldChar w:fldCharType="begin"/>
      </w:r>
      <w:r>
        <w:rPr>
          <w:rFonts w:hint="eastAsia" w:ascii="宋体" w:hAnsi="宋体" w:cs="宋体"/>
          <w:color w:val="auto"/>
          <w:sz w:val="22"/>
          <w:szCs w:val="22"/>
          <w:highlight w:val="none"/>
        </w:rPr>
        <w:instrText xml:space="preserve"> PAGEREF _Toc10347 </w:instrText>
      </w:r>
      <w:r>
        <w:rPr>
          <w:rFonts w:hint="eastAsia" w:ascii="宋体" w:hAnsi="宋体" w:cs="宋体"/>
          <w:color w:val="auto"/>
          <w:sz w:val="22"/>
          <w:szCs w:val="22"/>
          <w:highlight w:val="none"/>
        </w:rPr>
        <w:fldChar w:fldCharType="separate"/>
      </w:r>
      <w:r>
        <w:rPr>
          <w:rFonts w:hint="eastAsia" w:ascii="宋体" w:hAnsi="宋体" w:cs="宋体"/>
          <w:color w:val="auto"/>
          <w:sz w:val="22"/>
          <w:szCs w:val="22"/>
          <w:highlight w:val="none"/>
        </w:rPr>
        <w:t>7</w:t>
      </w:r>
      <w:r>
        <w:rPr>
          <w:rFonts w:hint="eastAsia" w:ascii="宋体" w:hAnsi="宋体" w:cs="宋体"/>
          <w:color w:val="auto"/>
          <w:sz w:val="22"/>
          <w:szCs w:val="22"/>
          <w:highlight w:val="none"/>
        </w:rPr>
        <w:fldChar w:fldCharType="end"/>
      </w:r>
      <w:r>
        <w:rPr>
          <w:rFonts w:hint="eastAsia" w:ascii="宋体" w:hAnsi="宋体" w:cs="宋体"/>
          <w:color w:val="auto"/>
          <w:sz w:val="22"/>
          <w:szCs w:val="22"/>
          <w:highlight w:val="none"/>
        </w:rPr>
        <w:fldChar w:fldCharType="end"/>
      </w:r>
    </w:p>
    <w:p>
      <w:pPr>
        <w:pStyle w:val="45"/>
        <w:tabs>
          <w:tab w:val="right" w:leader="dot" w:pos="9638"/>
        </w:tabs>
        <w:spacing w:line="480" w:lineRule="auto"/>
        <w:rPr>
          <w:rFonts w:ascii="宋体" w:hAnsi="宋体" w:cs="宋体"/>
          <w:color w:val="auto"/>
          <w:sz w:val="22"/>
          <w:szCs w:val="22"/>
          <w:highlight w:val="none"/>
        </w:rPr>
      </w:pPr>
      <w:r>
        <w:rPr>
          <w:color w:val="auto"/>
          <w:highlight w:val="none"/>
        </w:rPr>
        <w:fldChar w:fldCharType="begin"/>
      </w:r>
      <w:r>
        <w:rPr>
          <w:color w:val="auto"/>
          <w:highlight w:val="none"/>
        </w:rPr>
        <w:instrText xml:space="preserve"> HYPERLINK \l "_Toc24064" </w:instrText>
      </w:r>
      <w:r>
        <w:rPr>
          <w:color w:val="auto"/>
          <w:highlight w:val="none"/>
        </w:rPr>
        <w:fldChar w:fldCharType="separate"/>
      </w:r>
      <w:r>
        <w:rPr>
          <w:rFonts w:hint="eastAsia" w:ascii="宋体" w:hAnsi="宋体" w:cs="宋体"/>
          <w:bCs/>
          <w:color w:val="auto"/>
          <w:sz w:val="22"/>
          <w:szCs w:val="22"/>
          <w:highlight w:val="none"/>
        </w:rPr>
        <w:t>四   磋商响应文件的递交</w:t>
      </w:r>
      <w:r>
        <w:rPr>
          <w:rFonts w:hint="eastAsia" w:ascii="宋体" w:hAnsi="宋体" w:cs="宋体"/>
          <w:color w:val="auto"/>
          <w:sz w:val="22"/>
          <w:szCs w:val="22"/>
          <w:highlight w:val="none"/>
        </w:rPr>
        <w:tab/>
      </w:r>
      <w:r>
        <w:rPr>
          <w:rFonts w:hint="eastAsia" w:ascii="宋体" w:hAnsi="宋体" w:cs="宋体"/>
          <w:color w:val="auto"/>
          <w:sz w:val="22"/>
          <w:szCs w:val="22"/>
          <w:highlight w:val="none"/>
        </w:rPr>
        <w:fldChar w:fldCharType="begin"/>
      </w:r>
      <w:r>
        <w:rPr>
          <w:rFonts w:hint="eastAsia" w:ascii="宋体" w:hAnsi="宋体" w:cs="宋体"/>
          <w:color w:val="auto"/>
          <w:sz w:val="22"/>
          <w:szCs w:val="22"/>
          <w:highlight w:val="none"/>
        </w:rPr>
        <w:instrText xml:space="preserve"> PAGEREF _Toc24064 </w:instrText>
      </w:r>
      <w:r>
        <w:rPr>
          <w:rFonts w:hint="eastAsia" w:ascii="宋体" w:hAnsi="宋体" w:cs="宋体"/>
          <w:color w:val="auto"/>
          <w:sz w:val="22"/>
          <w:szCs w:val="22"/>
          <w:highlight w:val="none"/>
        </w:rPr>
        <w:fldChar w:fldCharType="separate"/>
      </w:r>
      <w:r>
        <w:rPr>
          <w:rFonts w:hint="eastAsia" w:ascii="宋体" w:hAnsi="宋体" w:cs="宋体"/>
          <w:color w:val="auto"/>
          <w:sz w:val="22"/>
          <w:szCs w:val="22"/>
          <w:highlight w:val="none"/>
        </w:rPr>
        <w:t>11</w:t>
      </w:r>
      <w:r>
        <w:rPr>
          <w:rFonts w:hint="eastAsia" w:ascii="宋体" w:hAnsi="宋体" w:cs="宋体"/>
          <w:color w:val="auto"/>
          <w:sz w:val="22"/>
          <w:szCs w:val="22"/>
          <w:highlight w:val="none"/>
        </w:rPr>
        <w:fldChar w:fldCharType="end"/>
      </w:r>
      <w:r>
        <w:rPr>
          <w:rFonts w:hint="eastAsia" w:ascii="宋体" w:hAnsi="宋体" w:cs="宋体"/>
          <w:color w:val="auto"/>
          <w:sz w:val="22"/>
          <w:szCs w:val="22"/>
          <w:highlight w:val="none"/>
        </w:rPr>
        <w:fldChar w:fldCharType="end"/>
      </w:r>
    </w:p>
    <w:p>
      <w:pPr>
        <w:pStyle w:val="45"/>
        <w:tabs>
          <w:tab w:val="right" w:leader="dot" w:pos="9638"/>
        </w:tabs>
        <w:spacing w:line="480" w:lineRule="auto"/>
        <w:rPr>
          <w:rFonts w:ascii="宋体" w:hAnsi="宋体" w:cs="宋体"/>
          <w:color w:val="auto"/>
          <w:sz w:val="22"/>
          <w:szCs w:val="22"/>
          <w:highlight w:val="none"/>
        </w:rPr>
      </w:pPr>
      <w:r>
        <w:rPr>
          <w:color w:val="auto"/>
          <w:highlight w:val="none"/>
        </w:rPr>
        <w:fldChar w:fldCharType="begin"/>
      </w:r>
      <w:r>
        <w:rPr>
          <w:color w:val="auto"/>
          <w:highlight w:val="none"/>
        </w:rPr>
        <w:instrText xml:space="preserve"> HYPERLINK \l "_Toc7107" </w:instrText>
      </w:r>
      <w:r>
        <w:rPr>
          <w:color w:val="auto"/>
          <w:highlight w:val="none"/>
        </w:rPr>
        <w:fldChar w:fldCharType="separate"/>
      </w:r>
      <w:r>
        <w:rPr>
          <w:rFonts w:hint="eastAsia" w:ascii="宋体" w:hAnsi="宋体" w:cs="宋体"/>
          <w:bCs/>
          <w:color w:val="auto"/>
          <w:sz w:val="22"/>
          <w:szCs w:val="22"/>
          <w:highlight w:val="none"/>
        </w:rPr>
        <w:t>五   开标</w:t>
      </w:r>
      <w:r>
        <w:rPr>
          <w:rFonts w:hint="eastAsia" w:ascii="宋体" w:hAnsi="宋体" w:cs="宋体"/>
          <w:color w:val="auto"/>
          <w:sz w:val="22"/>
          <w:szCs w:val="22"/>
          <w:highlight w:val="none"/>
        </w:rPr>
        <w:tab/>
      </w:r>
      <w:r>
        <w:rPr>
          <w:rFonts w:hint="eastAsia" w:ascii="宋体" w:hAnsi="宋体" w:cs="宋体"/>
          <w:color w:val="auto"/>
          <w:sz w:val="22"/>
          <w:szCs w:val="22"/>
          <w:highlight w:val="none"/>
        </w:rPr>
        <w:fldChar w:fldCharType="begin"/>
      </w:r>
      <w:r>
        <w:rPr>
          <w:rFonts w:hint="eastAsia" w:ascii="宋体" w:hAnsi="宋体" w:cs="宋体"/>
          <w:color w:val="auto"/>
          <w:sz w:val="22"/>
          <w:szCs w:val="22"/>
          <w:highlight w:val="none"/>
        </w:rPr>
        <w:instrText xml:space="preserve"> PAGEREF _Toc7107 </w:instrText>
      </w:r>
      <w:r>
        <w:rPr>
          <w:rFonts w:hint="eastAsia" w:ascii="宋体" w:hAnsi="宋体" w:cs="宋体"/>
          <w:color w:val="auto"/>
          <w:sz w:val="22"/>
          <w:szCs w:val="22"/>
          <w:highlight w:val="none"/>
        </w:rPr>
        <w:fldChar w:fldCharType="separate"/>
      </w:r>
      <w:r>
        <w:rPr>
          <w:rFonts w:hint="eastAsia" w:ascii="宋体" w:hAnsi="宋体" w:cs="宋体"/>
          <w:color w:val="auto"/>
          <w:sz w:val="22"/>
          <w:szCs w:val="22"/>
          <w:highlight w:val="none"/>
        </w:rPr>
        <w:t>12</w:t>
      </w:r>
      <w:r>
        <w:rPr>
          <w:rFonts w:hint="eastAsia" w:ascii="宋体" w:hAnsi="宋体" w:cs="宋体"/>
          <w:color w:val="auto"/>
          <w:sz w:val="22"/>
          <w:szCs w:val="22"/>
          <w:highlight w:val="none"/>
        </w:rPr>
        <w:fldChar w:fldCharType="end"/>
      </w:r>
      <w:r>
        <w:rPr>
          <w:rFonts w:hint="eastAsia" w:ascii="宋体" w:hAnsi="宋体" w:cs="宋体"/>
          <w:color w:val="auto"/>
          <w:sz w:val="22"/>
          <w:szCs w:val="22"/>
          <w:highlight w:val="none"/>
        </w:rPr>
        <w:fldChar w:fldCharType="end"/>
      </w:r>
    </w:p>
    <w:p>
      <w:pPr>
        <w:pStyle w:val="45"/>
        <w:tabs>
          <w:tab w:val="right" w:leader="dot" w:pos="9638"/>
        </w:tabs>
        <w:spacing w:line="480" w:lineRule="auto"/>
        <w:rPr>
          <w:rFonts w:ascii="宋体" w:hAnsi="宋体" w:cs="宋体"/>
          <w:color w:val="auto"/>
          <w:sz w:val="22"/>
          <w:szCs w:val="22"/>
          <w:highlight w:val="none"/>
        </w:rPr>
      </w:pPr>
      <w:r>
        <w:rPr>
          <w:color w:val="auto"/>
          <w:highlight w:val="none"/>
        </w:rPr>
        <w:fldChar w:fldCharType="begin"/>
      </w:r>
      <w:r>
        <w:rPr>
          <w:color w:val="auto"/>
          <w:highlight w:val="none"/>
        </w:rPr>
        <w:instrText xml:space="preserve"> HYPERLINK \l "_Toc16167" </w:instrText>
      </w:r>
      <w:r>
        <w:rPr>
          <w:color w:val="auto"/>
          <w:highlight w:val="none"/>
        </w:rPr>
        <w:fldChar w:fldCharType="separate"/>
      </w:r>
      <w:r>
        <w:rPr>
          <w:rFonts w:hint="eastAsia" w:ascii="宋体" w:hAnsi="宋体" w:cs="宋体"/>
          <w:bCs/>
          <w:color w:val="auto"/>
          <w:sz w:val="22"/>
          <w:szCs w:val="22"/>
          <w:highlight w:val="none"/>
        </w:rPr>
        <w:t>六   磋商</w:t>
      </w:r>
      <w:r>
        <w:rPr>
          <w:rFonts w:hint="eastAsia" w:ascii="宋体" w:hAnsi="宋体" w:cs="宋体"/>
          <w:color w:val="auto"/>
          <w:sz w:val="22"/>
          <w:szCs w:val="22"/>
          <w:highlight w:val="none"/>
        </w:rPr>
        <w:tab/>
      </w:r>
      <w:r>
        <w:rPr>
          <w:rFonts w:hint="eastAsia" w:ascii="宋体" w:hAnsi="宋体" w:cs="宋体"/>
          <w:color w:val="auto"/>
          <w:sz w:val="22"/>
          <w:szCs w:val="22"/>
          <w:highlight w:val="none"/>
        </w:rPr>
        <w:fldChar w:fldCharType="begin"/>
      </w:r>
      <w:r>
        <w:rPr>
          <w:rFonts w:hint="eastAsia" w:ascii="宋体" w:hAnsi="宋体" w:cs="宋体"/>
          <w:color w:val="auto"/>
          <w:sz w:val="22"/>
          <w:szCs w:val="22"/>
          <w:highlight w:val="none"/>
        </w:rPr>
        <w:instrText xml:space="preserve"> PAGEREF _Toc16167 </w:instrText>
      </w:r>
      <w:r>
        <w:rPr>
          <w:rFonts w:hint="eastAsia" w:ascii="宋体" w:hAnsi="宋体" w:cs="宋体"/>
          <w:color w:val="auto"/>
          <w:sz w:val="22"/>
          <w:szCs w:val="22"/>
          <w:highlight w:val="none"/>
        </w:rPr>
        <w:fldChar w:fldCharType="separate"/>
      </w:r>
      <w:r>
        <w:rPr>
          <w:rFonts w:hint="eastAsia" w:ascii="宋体" w:hAnsi="宋体" w:cs="宋体"/>
          <w:color w:val="auto"/>
          <w:sz w:val="22"/>
          <w:szCs w:val="22"/>
          <w:highlight w:val="none"/>
        </w:rPr>
        <w:t>13</w:t>
      </w:r>
      <w:r>
        <w:rPr>
          <w:rFonts w:hint="eastAsia" w:ascii="宋体" w:hAnsi="宋体" w:cs="宋体"/>
          <w:color w:val="auto"/>
          <w:sz w:val="22"/>
          <w:szCs w:val="22"/>
          <w:highlight w:val="none"/>
        </w:rPr>
        <w:fldChar w:fldCharType="end"/>
      </w:r>
      <w:r>
        <w:rPr>
          <w:rFonts w:hint="eastAsia" w:ascii="宋体" w:hAnsi="宋体" w:cs="宋体"/>
          <w:color w:val="auto"/>
          <w:sz w:val="22"/>
          <w:szCs w:val="22"/>
          <w:highlight w:val="none"/>
        </w:rPr>
        <w:fldChar w:fldCharType="end"/>
      </w:r>
    </w:p>
    <w:p>
      <w:pPr>
        <w:pStyle w:val="45"/>
        <w:tabs>
          <w:tab w:val="right" w:leader="dot" w:pos="9638"/>
        </w:tabs>
        <w:spacing w:line="480" w:lineRule="auto"/>
        <w:rPr>
          <w:rFonts w:ascii="宋体" w:hAnsi="宋体" w:cs="宋体"/>
          <w:color w:val="auto"/>
          <w:sz w:val="22"/>
          <w:szCs w:val="22"/>
          <w:highlight w:val="none"/>
        </w:rPr>
      </w:pPr>
      <w:r>
        <w:rPr>
          <w:color w:val="auto"/>
          <w:highlight w:val="none"/>
        </w:rPr>
        <w:fldChar w:fldCharType="begin"/>
      </w:r>
      <w:r>
        <w:rPr>
          <w:color w:val="auto"/>
          <w:highlight w:val="none"/>
        </w:rPr>
        <w:instrText xml:space="preserve"> HYPERLINK \l "_Toc5727" </w:instrText>
      </w:r>
      <w:r>
        <w:rPr>
          <w:color w:val="auto"/>
          <w:highlight w:val="none"/>
        </w:rPr>
        <w:fldChar w:fldCharType="separate"/>
      </w:r>
      <w:r>
        <w:rPr>
          <w:rFonts w:hint="eastAsia" w:ascii="宋体" w:hAnsi="宋体" w:cs="宋体"/>
          <w:bCs/>
          <w:color w:val="auto"/>
          <w:sz w:val="22"/>
          <w:szCs w:val="22"/>
          <w:highlight w:val="none"/>
        </w:rPr>
        <w:t>七   定标及授予合同</w:t>
      </w:r>
      <w:r>
        <w:rPr>
          <w:rFonts w:hint="eastAsia" w:ascii="宋体" w:hAnsi="宋体" w:cs="宋体"/>
          <w:color w:val="auto"/>
          <w:sz w:val="22"/>
          <w:szCs w:val="22"/>
          <w:highlight w:val="none"/>
        </w:rPr>
        <w:tab/>
      </w:r>
      <w:r>
        <w:rPr>
          <w:rFonts w:hint="eastAsia" w:ascii="宋体" w:hAnsi="宋体" w:cs="宋体"/>
          <w:color w:val="auto"/>
          <w:sz w:val="22"/>
          <w:szCs w:val="22"/>
          <w:highlight w:val="none"/>
        </w:rPr>
        <w:fldChar w:fldCharType="begin"/>
      </w:r>
      <w:r>
        <w:rPr>
          <w:rFonts w:hint="eastAsia" w:ascii="宋体" w:hAnsi="宋体" w:cs="宋体"/>
          <w:color w:val="auto"/>
          <w:sz w:val="22"/>
          <w:szCs w:val="22"/>
          <w:highlight w:val="none"/>
        </w:rPr>
        <w:instrText xml:space="preserve"> PAGEREF _Toc5727 </w:instrText>
      </w:r>
      <w:r>
        <w:rPr>
          <w:rFonts w:hint="eastAsia" w:ascii="宋体" w:hAnsi="宋体" w:cs="宋体"/>
          <w:color w:val="auto"/>
          <w:sz w:val="22"/>
          <w:szCs w:val="22"/>
          <w:highlight w:val="none"/>
        </w:rPr>
        <w:fldChar w:fldCharType="separate"/>
      </w:r>
      <w:r>
        <w:rPr>
          <w:rFonts w:hint="eastAsia" w:ascii="宋体" w:hAnsi="宋体" w:cs="宋体"/>
          <w:color w:val="auto"/>
          <w:sz w:val="22"/>
          <w:szCs w:val="22"/>
          <w:highlight w:val="none"/>
        </w:rPr>
        <w:t>16</w:t>
      </w:r>
      <w:r>
        <w:rPr>
          <w:rFonts w:hint="eastAsia" w:ascii="宋体" w:hAnsi="宋体" w:cs="宋体"/>
          <w:color w:val="auto"/>
          <w:sz w:val="22"/>
          <w:szCs w:val="22"/>
          <w:highlight w:val="none"/>
        </w:rPr>
        <w:fldChar w:fldCharType="end"/>
      </w:r>
      <w:r>
        <w:rPr>
          <w:rFonts w:hint="eastAsia" w:ascii="宋体" w:hAnsi="宋体" w:cs="宋体"/>
          <w:color w:val="auto"/>
          <w:sz w:val="22"/>
          <w:szCs w:val="22"/>
          <w:highlight w:val="none"/>
        </w:rPr>
        <w:fldChar w:fldCharType="end"/>
      </w:r>
    </w:p>
    <w:p>
      <w:pPr>
        <w:pStyle w:val="39"/>
        <w:tabs>
          <w:tab w:val="right" w:leader="dot" w:pos="9638"/>
        </w:tabs>
        <w:spacing w:line="480" w:lineRule="auto"/>
        <w:rPr>
          <w:rFonts w:ascii="宋体" w:hAnsi="宋体" w:eastAsia="宋体" w:cs="宋体"/>
          <w:color w:val="auto"/>
          <w:sz w:val="22"/>
          <w:szCs w:val="22"/>
          <w:highlight w:val="none"/>
        </w:rPr>
      </w:pPr>
      <w:r>
        <w:rPr>
          <w:color w:val="auto"/>
          <w:highlight w:val="none"/>
        </w:rPr>
        <w:fldChar w:fldCharType="begin"/>
      </w:r>
      <w:r>
        <w:rPr>
          <w:color w:val="auto"/>
          <w:highlight w:val="none"/>
        </w:rPr>
        <w:instrText xml:space="preserve"> HYPERLINK \l "_Toc1600" </w:instrText>
      </w:r>
      <w:r>
        <w:rPr>
          <w:color w:val="auto"/>
          <w:highlight w:val="none"/>
        </w:rPr>
        <w:fldChar w:fldCharType="separate"/>
      </w:r>
      <w:r>
        <w:rPr>
          <w:rFonts w:hint="eastAsia" w:ascii="宋体" w:hAnsi="宋体" w:eastAsia="宋体" w:cs="宋体"/>
          <w:color w:val="auto"/>
          <w:sz w:val="22"/>
          <w:szCs w:val="22"/>
          <w:highlight w:val="none"/>
        </w:rPr>
        <w:t>第二部分   政府采购政策功能相关说明</w:t>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fldChar w:fldCharType="begin"/>
      </w:r>
      <w:r>
        <w:rPr>
          <w:rFonts w:hint="eastAsia" w:ascii="宋体" w:hAnsi="宋体" w:eastAsia="宋体" w:cs="宋体"/>
          <w:color w:val="auto"/>
          <w:sz w:val="22"/>
          <w:szCs w:val="22"/>
          <w:highlight w:val="none"/>
        </w:rPr>
        <w:instrText xml:space="preserve"> PAGEREF _Toc1600 </w:instrText>
      </w:r>
      <w:r>
        <w:rPr>
          <w:rFonts w:hint="eastAsia" w:ascii="宋体" w:hAnsi="宋体" w:eastAsia="宋体" w:cs="宋体"/>
          <w:color w:val="auto"/>
          <w:sz w:val="22"/>
          <w:szCs w:val="22"/>
          <w:highlight w:val="none"/>
        </w:rPr>
        <w:fldChar w:fldCharType="separate"/>
      </w:r>
      <w:r>
        <w:rPr>
          <w:rFonts w:hint="eastAsia" w:ascii="宋体" w:hAnsi="宋体" w:eastAsia="宋体" w:cs="宋体"/>
          <w:color w:val="auto"/>
          <w:sz w:val="22"/>
          <w:szCs w:val="22"/>
          <w:highlight w:val="none"/>
        </w:rPr>
        <w:t>18</w:t>
      </w:r>
      <w:r>
        <w:rPr>
          <w:rFonts w:hint="eastAsia" w:ascii="宋体" w:hAnsi="宋体" w:eastAsia="宋体" w:cs="宋体"/>
          <w:color w:val="auto"/>
          <w:sz w:val="22"/>
          <w:szCs w:val="22"/>
          <w:highlight w:val="none"/>
        </w:rPr>
        <w:fldChar w:fldCharType="end"/>
      </w:r>
      <w:r>
        <w:rPr>
          <w:rFonts w:hint="eastAsia" w:ascii="宋体" w:hAnsi="宋体" w:eastAsia="宋体" w:cs="宋体"/>
          <w:color w:val="auto"/>
          <w:sz w:val="22"/>
          <w:szCs w:val="22"/>
          <w:highlight w:val="none"/>
        </w:rPr>
        <w:fldChar w:fldCharType="end"/>
      </w:r>
    </w:p>
    <w:p>
      <w:pPr>
        <w:pStyle w:val="39"/>
        <w:tabs>
          <w:tab w:val="right" w:leader="dot" w:pos="9638"/>
        </w:tabs>
        <w:spacing w:line="480" w:lineRule="auto"/>
        <w:rPr>
          <w:rFonts w:ascii="宋体" w:hAnsi="宋体" w:eastAsia="宋体" w:cs="宋体"/>
          <w:color w:val="auto"/>
          <w:sz w:val="22"/>
          <w:szCs w:val="22"/>
          <w:highlight w:val="none"/>
        </w:rPr>
      </w:pPr>
      <w:r>
        <w:rPr>
          <w:color w:val="auto"/>
          <w:highlight w:val="none"/>
        </w:rPr>
        <w:fldChar w:fldCharType="begin"/>
      </w:r>
      <w:r>
        <w:rPr>
          <w:color w:val="auto"/>
          <w:highlight w:val="none"/>
        </w:rPr>
        <w:instrText xml:space="preserve"> HYPERLINK \l "_Toc26867" </w:instrText>
      </w:r>
      <w:r>
        <w:rPr>
          <w:color w:val="auto"/>
          <w:highlight w:val="none"/>
        </w:rPr>
        <w:fldChar w:fldCharType="separate"/>
      </w:r>
      <w:r>
        <w:rPr>
          <w:rFonts w:hint="eastAsia" w:ascii="宋体" w:hAnsi="宋体" w:eastAsia="宋体" w:cs="宋体"/>
          <w:color w:val="auto"/>
          <w:sz w:val="22"/>
          <w:szCs w:val="22"/>
          <w:highlight w:val="none"/>
        </w:rPr>
        <w:t>第三部分   合同条款及格式</w:t>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fldChar w:fldCharType="begin"/>
      </w:r>
      <w:r>
        <w:rPr>
          <w:rFonts w:hint="eastAsia" w:ascii="宋体" w:hAnsi="宋体" w:eastAsia="宋体" w:cs="宋体"/>
          <w:color w:val="auto"/>
          <w:sz w:val="22"/>
          <w:szCs w:val="22"/>
          <w:highlight w:val="none"/>
        </w:rPr>
        <w:instrText xml:space="preserve"> PAGEREF _Toc26867 </w:instrText>
      </w:r>
      <w:r>
        <w:rPr>
          <w:rFonts w:hint="eastAsia" w:ascii="宋体" w:hAnsi="宋体" w:eastAsia="宋体" w:cs="宋体"/>
          <w:color w:val="auto"/>
          <w:sz w:val="22"/>
          <w:szCs w:val="22"/>
          <w:highlight w:val="none"/>
        </w:rPr>
        <w:fldChar w:fldCharType="separate"/>
      </w:r>
      <w:r>
        <w:rPr>
          <w:rFonts w:hint="eastAsia" w:ascii="宋体" w:hAnsi="宋体" w:eastAsia="宋体" w:cs="宋体"/>
          <w:color w:val="auto"/>
          <w:sz w:val="22"/>
          <w:szCs w:val="22"/>
          <w:highlight w:val="none"/>
        </w:rPr>
        <w:t>23</w:t>
      </w:r>
      <w:r>
        <w:rPr>
          <w:rFonts w:hint="eastAsia" w:ascii="宋体" w:hAnsi="宋体" w:eastAsia="宋体" w:cs="宋体"/>
          <w:color w:val="auto"/>
          <w:sz w:val="22"/>
          <w:szCs w:val="22"/>
          <w:highlight w:val="none"/>
        </w:rPr>
        <w:fldChar w:fldCharType="end"/>
      </w:r>
      <w:r>
        <w:rPr>
          <w:rFonts w:hint="eastAsia" w:ascii="宋体" w:hAnsi="宋体" w:eastAsia="宋体" w:cs="宋体"/>
          <w:color w:val="auto"/>
          <w:sz w:val="22"/>
          <w:szCs w:val="22"/>
          <w:highlight w:val="none"/>
        </w:rPr>
        <w:fldChar w:fldCharType="end"/>
      </w:r>
    </w:p>
    <w:p>
      <w:pPr>
        <w:pStyle w:val="39"/>
        <w:tabs>
          <w:tab w:val="right" w:leader="dot" w:pos="9638"/>
        </w:tabs>
        <w:spacing w:line="480" w:lineRule="auto"/>
        <w:rPr>
          <w:rFonts w:ascii="宋体" w:hAnsi="宋体" w:eastAsia="宋体" w:cs="宋体"/>
          <w:color w:val="auto"/>
          <w:sz w:val="22"/>
          <w:szCs w:val="22"/>
          <w:highlight w:val="none"/>
        </w:rPr>
      </w:pPr>
      <w:r>
        <w:rPr>
          <w:color w:val="auto"/>
          <w:highlight w:val="none"/>
        </w:rPr>
        <w:fldChar w:fldCharType="begin"/>
      </w:r>
      <w:r>
        <w:rPr>
          <w:color w:val="auto"/>
          <w:highlight w:val="none"/>
        </w:rPr>
        <w:instrText xml:space="preserve"> HYPERLINK \l "_Toc12546" </w:instrText>
      </w:r>
      <w:r>
        <w:rPr>
          <w:color w:val="auto"/>
          <w:highlight w:val="none"/>
        </w:rPr>
        <w:fldChar w:fldCharType="separate"/>
      </w:r>
      <w:r>
        <w:rPr>
          <w:rFonts w:hint="eastAsia" w:ascii="宋体" w:hAnsi="宋体" w:eastAsia="宋体" w:cs="宋体"/>
          <w:color w:val="auto"/>
          <w:sz w:val="22"/>
          <w:szCs w:val="22"/>
          <w:highlight w:val="none"/>
        </w:rPr>
        <w:t>第四部分   磋商响应文件格式</w:t>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fldChar w:fldCharType="begin"/>
      </w:r>
      <w:r>
        <w:rPr>
          <w:rFonts w:hint="eastAsia" w:ascii="宋体" w:hAnsi="宋体" w:eastAsia="宋体" w:cs="宋体"/>
          <w:color w:val="auto"/>
          <w:sz w:val="22"/>
          <w:szCs w:val="22"/>
          <w:highlight w:val="none"/>
        </w:rPr>
        <w:instrText xml:space="preserve"> PAGEREF _Toc12546 </w:instrText>
      </w:r>
      <w:r>
        <w:rPr>
          <w:rFonts w:hint="eastAsia" w:ascii="宋体" w:hAnsi="宋体" w:eastAsia="宋体" w:cs="宋体"/>
          <w:color w:val="auto"/>
          <w:sz w:val="22"/>
          <w:szCs w:val="22"/>
          <w:highlight w:val="none"/>
        </w:rPr>
        <w:fldChar w:fldCharType="separate"/>
      </w:r>
      <w:r>
        <w:rPr>
          <w:rFonts w:hint="eastAsia" w:ascii="宋体" w:hAnsi="宋体" w:eastAsia="宋体" w:cs="宋体"/>
          <w:color w:val="auto"/>
          <w:sz w:val="22"/>
          <w:szCs w:val="22"/>
          <w:highlight w:val="none"/>
        </w:rPr>
        <w:t>23</w:t>
      </w:r>
      <w:r>
        <w:rPr>
          <w:rFonts w:hint="eastAsia" w:ascii="宋体" w:hAnsi="宋体" w:eastAsia="宋体" w:cs="宋体"/>
          <w:color w:val="auto"/>
          <w:sz w:val="22"/>
          <w:szCs w:val="22"/>
          <w:highlight w:val="none"/>
        </w:rPr>
        <w:fldChar w:fldCharType="end"/>
      </w:r>
      <w:r>
        <w:rPr>
          <w:rFonts w:hint="eastAsia" w:ascii="宋体" w:hAnsi="宋体" w:eastAsia="宋体" w:cs="宋体"/>
          <w:color w:val="auto"/>
          <w:sz w:val="22"/>
          <w:szCs w:val="22"/>
          <w:highlight w:val="none"/>
        </w:rPr>
        <w:fldChar w:fldCharType="end"/>
      </w:r>
    </w:p>
    <w:p>
      <w:pPr>
        <w:pStyle w:val="39"/>
        <w:tabs>
          <w:tab w:val="right" w:leader="dot" w:pos="9638"/>
        </w:tabs>
        <w:spacing w:line="480" w:lineRule="auto"/>
        <w:rPr>
          <w:rFonts w:ascii="宋体" w:hAnsi="宋体" w:eastAsia="宋体" w:cs="宋体"/>
          <w:color w:val="auto"/>
          <w:sz w:val="22"/>
          <w:szCs w:val="22"/>
          <w:highlight w:val="none"/>
        </w:rPr>
      </w:pPr>
      <w:r>
        <w:rPr>
          <w:color w:val="auto"/>
          <w:highlight w:val="none"/>
        </w:rPr>
        <w:fldChar w:fldCharType="begin"/>
      </w:r>
      <w:r>
        <w:rPr>
          <w:color w:val="auto"/>
          <w:highlight w:val="none"/>
        </w:rPr>
        <w:instrText xml:space="preserve"> HYPERLINK \l "_Toc13005" </w:instrText>
      </w:r>
      <w:r>
        <w:rPr>
          <w:color w:val="auto"/>
          <w:highlight w:val="none"/>
        </w:rPr>
        <w:fldChar w:fldCharType="separate"/>
      </w:r>
      <w:r>
        <w:rPr>
          <w:rFonts w:hint="eastAsia" w:ascii="宋体" w:hAnsi="宋体" w:eastAsia="宋体" w:cs="宋体"/>
          <w:color w:val="auto"/>
          <w:sz w:val="22"/>
          <w:szCs w:val="22"/>
          <w:highlight w:val="none"/>
        </w:rPr>
        <w:t>第五部分   采购内容及要求</w:t>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fldChar w:fldCharType="begin"/>
      </w:r>
      <w:r>
        <w:rPr>
          <w:rFonts w:hint="eastAsia" w:ascii="宋体" w:hAnsi="宋体" w:eastAsia="宋体" w:cs="宋体"/>
          <w:color w:val="auto"/>
          <w:sz w:val="22"/>
          <w:szCs w:val="22"/>
          <w:highlight w:val="none"/>
        </w:rPr>
        <w:instrText xml:space="preserve"> PAGEREF _Toc13005 </w:instrText>
      </w:r>
      <w:r>
        <w:rPr>
          <w:rFonts w:hint="eastAsia" w:ascii="宋体" w:hAnsi="宋体" w:eastAsia="宋体" w:cs="宋体"/>
          <w:color w:val="auto"/>
          <w:sz w:val="22"/>
          <w:szCs w:val="22"/>
          <w:highlight w:val="none"/>
        </w:rPr>
        <w:fldChar w:fldCharType="separate"/>
      </w:r>
      <w:r>
        <w:rPr>
          <w:rFonts w:hint="eastAsia" w:ascii="宋体" w:hAnsi="宋体" w:eastAsia="宋体" w:cs="宋体"/>
          <w:color w:val="auto"/>
          <w:sz w:val="22"/>
          <w:szCs w:val="22"/>
          <w:highlight w:val="none"/>
        </w:rPr>
        <w:t>44</w:t>
      </w:r>
      <w:r>
        <w:rPr>
          <w:rFonts w:hint="eastAsia" w:ascii="宋体" w:hAnsi="宋体" w:eastAsia="宋体" w:cs="宋体"/>
          <w:color w:val="auto"/>
          <w:sz w:val="22"/>
          <w:szCs w:val="22"/>
          <w:highlight w:val="none"/>
        </w:rPr>
        <w:fldChar w:fldCharType="end"/>
      </w:r>
      <w:r>
        <w:rPr>
          <w:rFonts w:hint="eastAsia" w:ascii="宋体" w:hAnsi="宋体" w:eastAsia="宋体" w:cs="宋体"/>
          <w:color w:val="auto"/>
          <w:sz w:val="22"/>
          <w:szCs w:val="22"/>
          <w:highlight w:val="none"/>
        </w:rPr>
        <w:fldChar w:fldCharType="end"/>
      </w:r>
    </w:p>
    <w:p>
      <w:pPr>
        <w:pStyle w:val="39"/>
        <w:tabs>
          <w:tab w:val="right" w:leader="dot" w:pos="9638"/>
        </w:tabs>
        <w:spacing w:line="480" w:lineRule="auto"/>
        <w:rPr>
          <w:color w:val="auto"/>
          <w:highlight w:val="none"/>
        </w:rPr>
      </w:pPr>
      <w:r>
        <w:rPr>
          <w:color w:val="auto"/>
          <w:highlight w:val="none"/>
        </w:rPr>
        <w:fldChar w:fldCharType="begin"/>
      </w:r>
      <w:r>
        <w:rPr>
          <w:color w:val="auto"/>
          <w:highlight w:val="none"/>
        </w:rPr>
        <w:instrText xml:space="preserve"> HYPERLINK \l "_Toc24629" </w:instrText>
      </w:r>
      <w:r>
        <w:rPr>
          <w:color w:val="auto"/>
          <w:highlight w:val="none"/>
        </w:rPr>
        <w:fldChar w:fldCharType="separate"/>
      </w:r>
      <w:r>
        <w:rPr>
          <w:rFonts w:hint="eastAsia" w:ascii="宋体" w:hAnsi="宋体" w:eastAsia="宋体" w:cs="宋体"/>
          <w:color w:val="auto"/>
          <w:sz w:val="22"/>
          <w:szCs w:val="22"/>
          <w:highlight w:val="none"/>
        </w:rPr>
        <w:t>第六部分   磋商原则及方法</w:t>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fldChar w:fldCharType="begin"/>
      </w:r>
      <w:r>
        <w:rPr>
          <w:rFonts w:hint="eastAsia" w:ascii="宋体" w:hAnsi="宋体" w:eastAsia="宋体" w:cs="宋体"/>
          <w:color w:val="auto"/>
          <w:sz w:val="22"/>
          <w:szCs w:val="22"/>
          <w:highlight w:val="none"/>
        </w:rPr>
        <w:instrText xml:space="preserve"> PAGEREF _Toc24629 </w:instrText>
      </w:r>
      <w:r>
        <w:rPr>
          <w:rFonts w:hint="eastAsia" w:ascii="宋体" w:hAnsi="宋体" w:eastAsia="宋体" w:cs="宋体"/>
          <w:color w:val="auto"/>
          <w:sz w:val="22"/>
          <w:szCs w:val="22"/>
          <w:highlight w:val="none"/>
        </w:rPr>
        <w:fldChar w:fldCharType="separate"/>
      </w:r>
      <w:r>
        <w:rPr>
          <w:rFonts w:hint="eastAsia" w:ascii="宋体" w:hAnsi="宋体" w:eastAsia="宋体" w:cs="宋体"/>
          <w:color w:val="auto"/>
          <w:sz w:val="22"/>
          <w:szCs w:val="22"/>
          <w:highlight w:val="none"/>
        </w:rPr>
        <w:t>46</w:t>
      </w:r>
      <w:r>
        <w:rPr>
          <w:rFonts w:hint="eastAsia" w:ascii="宋体" w:hAnsi="宋体" w:eastAsia="宋体" w:cs="宋体"/>
          <w:color w:val="auto"/>
          <w:sz w:val="22"/>
          <w:szCs w:val="22"/>
          <w:highlight w:val="none"/>
        </w:rPr>
        <w:fldChar w:fldCharType="end"/>
      </w:r>
      <w:r>
        <w:rPr>
          <w:rFonts w:hint="eastAsia" w:ascii="宋体" w:hAnsi="宋体" w:eastAsia="宋体" w:cs="宋体"/>
          <w:color w:val="auto"/>
          <w:sz w:val="22"/>
          <w:szCs w:val="22"/>
          <w:highlight w:val="none"/>
        </w:rPr>
        <w:fldChar w:fldCharType="end"/>
      </w:r>
    </w:p>
    <w:p>
      <w:pPr>
        <w:spacing w:line="480" w:lineRule="auto"/>
        <w:rPr>
          <w:rFonts w:ascii="新宋体" w:hAnsi="新宋体" w:eastAsia="新宋体"/>
          <w:b/>
          <w:bCs/>
          <w:color w:val="auto"/>
          <w:sz w:val="24"/>
          <w:highlight w:val="none"/>
        </w:rPr>
      </w:pPr>
      <w:r>
        <w:rPr>
          <w:rFonts w:hint="eastAsia" w:ascii="新宋体" w:hAnsi="新宋体" w:eastAsia="新宋体"/>
          <w:color w:val="auto"/>
          <w:szCs w:val="22"/>
          <w:highlight w:val="none"/>
        </w:rPr>
        <w:fldChar w:fldCharType="end"/>
      </w:r>
    </w:p>
    <w:p>
      <w:pPr>
        <w:spacing w:line="560" w:lineRule="exact"/>
        <w:ind w:firstLine="843" w:firstLineChars="400"/>
        <w:rPr>
          <w:rFonts w:ascii="新宋体" w:hAnsi="新宋体" w:eastAsia="新宋体"/>
          <w:b/>
          <w:bCs/>
          <w:color w:val="auto"/>
          <w:szCs w:val="21"/>
          <w:highlight w:val="none"/>
        </w:rPr>
      </w:pPr>
    </w:p>
    <w:p>
      <w:pPr>
        <w:spacing w:line="360" w:lineRule="auto"/>
        <w:ind w:firstLine="422" w:firstLineChars="200"/>
        <w:rPr>
          <w:rFonts w:ascii="新宋体" w:hAnsi="新宋体" w:eastAsia="新宋体"/>
          <w:b/>
          <w:bCs/>
          <w:color w:val="auto"/>
          <w:szCs w:val="21"/>
          <w:highlight w:val="none"/>
          <w:u w:val="single"/>
        </w:rPr>
      </w:pPr>
      <w:r>
        <w:rPr>
          <w:rFonts w:hint="eastAsia" w:ascii="新宋体" w:hAnsi="新宋体" w:eastAsia="新宋体"/>
          <w:b/>
          <w:bCs/>
          <w:color w:val="auto"/>
          <w:szCs w:val="21"/>
          <w:highlight w:val="none"/>
          <w:u w:val="single"/>
        </w:rPr>
        <w:t>注：竞争性磋商文件中标“▲”且加下划线的为本项目的实质性要求和条件，着重提醒各供应商必须响应。各供应商必须认真阅读和理解竞争性磋商文件中的每一个条款及要求，因误读竞争性磋商文件而造成的后果，采购人概不负责。</w:t>
      </w:r>
    </w:p>
    <w:p>
      <w:pPr>
        <w:spacing w:line="240" w:lineRule="atLeast"/>
        <w:jc w:val="center"/>
        <w:rPr>
          <w:rFonts w:ascii="新宋体" w:hAnsi="新宋体" w:eastAsia="新宋体"/>
          <w:b/>
          <w:color w:val="auto"/>
          <w:szCs w:val="21"/>
          <w:highlight w:val="none"/>
        </w:rPr>
      </w:pPr>
    </w:p>
    <w:p>
      <w:pPr>
        <w:spacing w:line="240" w:lineRule="atLeast"/>
        <w:jc w:val="center"/>
        <w:rPr>
          <w:rFonts w:ascii="新宋体" w:hAnsi="新宋体" w:eastAsia="新宋体"/>
          <w:b/>
          <w:color w:val="auto"/>
          <w:szCs w:val="21"/>
          <w:highlight w:val="none"/>
        </w:rPr>
      </w:pPr>
    </w:p>
    <w:p>
      <w:pPr>
        <w:spacing w:line="240" w:lineRule="atLeast"/>
        <w:jc w:val="center"/>
        <w:rPr>
          <w:rFonts w:ascii="新宋体" w:hAnsi="新宋体" w:eastAsia="新宋体"/>
          <w:b/>
          <w:color w:val="auto"/>
          <w:szCs w:val="21"/>
          <w:highlight w:val="none"/>
        </w:rPr>
      </w:pPr>
    </w:p>
    <w:p>
      <w:pPr>
        <w:pStyle w:val="3"/>
        <w:ind w:firstLine="3054" w:firstLineChars="845"/>
        <w:jc w:val="both"/>
        <w:rPr>
          <w:rFonts w:ascii="新宋体" w:hAnsi="新宋体" w:eastAsia="新宋体"/>
          <w:bCs w:val="0"/>
          <w:color w:val="auto"/>
          <w:kern w:val="0"/>
          <w:sz w:val="22"/>
          <w:szCs w:val="22"/>
          <w:highlight w:val="none"/>
        </w:rPr>
      </w:pPr>
      <w:bookmarkStart w:id="0" w:name="_Toc445914867"/>
      <w:bookmarkStart w:id="1" w:name="_Toc363576971"/>
      <w:bookmarkStart w:id="2" w:name="_Toc26020"/>
      <w:bookmarkStart w:id="3" w:name="_Toc361035134"/>
      <w:r>
        <w:rPr>
          <w:rFonts w:hint="eastAsia" w:ascii="新宋体" w:hAnsi="新宋体" w:eastAsia="新宋体"/>
          <w:color w:val="auto"/>
          <w:sz w:val="36"/>
          <w:szCs w:val="36"/>
          <w:highlight w:val="none"/>
        </w:rPr>
        <w:br w:type="page"/>
      </w:r>
      <w:bookmarkEnd w:id="0"/>
      <w:bookmarkEnd w:id="1"/>
      <w:bookmarkEnd w:id="2"/>
      <w:bookmarkEnd w:id="3"/>
      <w:bookmarkStart w:id="4" w:name="_Toc16477"/>
      <w:r>
        <w:rPr>
          <w:rFonts w:hint="eastAsia" w:ascii="新宋体" w:hAnsi="新宋体" w:eastAsia="新宋体"/>
          <w:color w:val="auto"/>
          <w:sz w:val="36"/>
          <w:szCs w:val="36"/>
          <w:highlight w:val="none"/>
        </w:rPr>
        <w:t>供应商须知前附表</w:t>
      </w:r>
      <w:bookmarkEnd w:id="4"/>
    </w:p>
    <w:tbl>
      <w:tblPr>
        <w:tblStyle w:val="53"/>
        <w:tblW w:w="10123" w:type="dxa"/>
        <w:tblInd w:w="0" w:type="dxa"/>
        <w:tblLayout w:type="fixed"/>
        <w:tblCellMar>
          <w:top w:w="0" w:type="dxa"/>
          <w:left w:w="108" w:type="dxa"/>
          <w:bottom w:w="0" w:type="dxa"/>
          <w:right w:w="108" w:type="dxa"/>
        </w:tblCellMar>
      </w:tblPr>
      <w:tblGrid>
        <w:gridCol w:w="667"/>
        <w:gridCol w:w="2037"/>
        <w:gridCol w:w="7419"/>
      </w:tblGrid>
      <w:tr>
        <w:tblPrEx>
          <w:tblCellMar>
            <w:top w:w="0" w:type="dxa"/>
            <w:left w:w="108" w:type="dxa"/>
            <w:bottom w:w="0" w:type="dxa"/>
            <w:right w:w="108" w:type="dxa"/>
          </w:tblCellMar>
        </w:tblPrEx>
        <w:trPr>
          <w:trHeight w:val="527" w:hRule="atLeast"/>
          <w:tblHeader/>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新宋体" w:hAnsi="新宋体" w:eastAsia="新宋体"/>
                <w:b/>
                <w:color w:val="auto"/>
                <w:kern w:val="0"/>
                <w:sz w:val="22"/>
                <w:szCs w:val="22"/>
                <w:highlight w:val="none"/>
              </w:rPr>
            </w:pPr>
            <w:r>
              <w:rPr>
                <w:rFonts w:hint="eastAsia" w:ascii="新宋体" w:hAnsi="新宋体" w:eastAsia="新宋体"/>
                <w:b/>
                <w:color w:val="auto"/>
                <w:kern w:val="0"/>
                <w:sz w:val="22"/>
                <w:szCs w:val="22"/>
                <w:highlight w:val="none"/>
              </w:rPr>
              <w:t>序号</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新宋体" w:hAnsi="新宋体" w:eastAsia="新宋体"/>
                <w:b/>
                <w:color w:val="auto"/>
                <w:kern w:val="0"/>
                <w:sz w:val="22"/>
                <w:szCs w:val="22"/>
                <w:highlight w:val="none"/>
              </w:rPr>
            </w:pPr>
            <w:r>
              <w:rPr>
                <w:rFonts w:hint="eastAsia" w:ascii="新宋体" w:hAnsi="新宋体" w:eastAsia="新宋体"/>
                <w:b/>
                <w:color w:val="auto"/>
                <w:kern w:val="0"/>
                <w:sz w:val="22"/>
                <w:szCs w:val="22"/>
                <w:highlight w:val="none"/>
              </w:rPr>
              <w:t>条款名称</w:t>
            </w:r>
          </w:p>
        </w:tc>
        <w:tc>
          <w:tcPr>
            <w:tcW w:w="74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新宋体" w:hAnsi="新宋体" w:eastAsia="新宋体"/>
                <w:b/>
                <w:color w:val="auto"/>
                <w:kern w:val="0"/>
                <w:sz w:val="22"/>
                <w:szCs w:val="22"/>
                <w:highlight w:val="none"/>
              </w:rPr>
            </w:pPr>
            <w:r>
              <w:rPr>
                <w:rFonts w:hint="eastAsia" w:ascii="新宋体" w:hAnsi="新宋体" w:eastAsia="新宋体"/>
                <w:b/>
                <w:color w:val="auto"/>
                <w:kern w:val="0"/>
                <w:sz w:val="22"/>
                <w:szCs w:val="22"/>
                <w:highlight w:val="none"/>
              </w:rPr>
              <w:t>编列内容</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新宋体" w:hAnsi="新宋体" w:eastAsia="新宋体"/>
                <w:color w:val="auto"/>
                <w:kern w:val="0"/>
                <w:sz w:val="22"/>
                <w:szCs w:val="22"/>
                <w:highlight w:val="none"/>
              </w:rPr>
            </w:pPr>
            <w:r>
              <w:rPr>
                <w:rFonts w:hint="eastAsia" w:ascii="新宋体" w:hAnsi="新宋体" w:eastAsia="新宋体"/>
                <w:color w:val="auto"/>
                <w:kern w:val="0"/>
                <w:sz w:val="22"/>
                <w:szCs w:val="22"/>
                <w:highlight w:val="none"/>
              </w:rPr>
              <w:t>1</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新宋体" w:hAnsi="新宋体" w:eastAsia="新宋体"/>
                <w:color w:val="auto"/>
                <w:kern w:val="0"/>
                <w:sz w:val="22"/>
                <w:szCs w:val="22"/>
                <w:highlight w:val="none"/>
              </w:rPr>
            </w:pPr>
            <w:r>
              <w:rPr>
                <w:rFonts w:hint="eastAsia" w:ascii="新宋体" w:hAnsi="新宋体" w:eastAsia="新宋体"/>
                <w:color w:val="auto"/>
                <w:kern w:val="0"/>
                <w:sz w:val="22"/>
                <w:szCs w:val="22"/>
                <w:highlight w:val="none"/>
              </w:rPr>
              <w:t>采购人</w:t>
            </w:r>
          </w:p>
        </w:tc>
        <w:tc>
          <w:tcPr>
            <w:tcW w:w="7419"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eastAsia="宋体" w:cs="宋体"/>
                <w:bCs/>
                <w:color w:val="auto"/>
                <w:kern w:val="0"/>
                <w:sz w:val="22"/>
                <w:szCs w:val="22"/>
                <w:highlight w:val="none"/>
                <w:lang w:eastAsia="zh-CN"/>
              </w:rPr>
            </w:pPr>
            <w:r>
              <w:rPr>
                <w:rFonts w:hint="eastAsia" w:ascii="宋体" w:hAnsi="宋体" w:eastAsia="宋体" w:cs="宋体"/>
                <w:bCs/>
                <w:color w:val="auto"/>
                <w:kern w:val="0"/>
                <w:sz w:val="22"/>
                <w:szCs w:val="22"/>
                <w:highlight w:val="none"/>
              </w:rPr>
              <w:t>采购人名称：</w:t>
            </w:r>
            <w:r>
              <w:rPr>
                <w:rFonts w:hint="eastAsia" w:ascii="宋体" w:hAnsi="宋体" w:cs="宋体"/>
                <w:bCs/>
                <w:color w:val="auto"/>
                <w:kern w:val="0"/>
                <w:sz w:val="22"/>
                <w:szCs w:val="22"/>
                <w:highlight w:val="none"/>
                <w:lang w:eastAsia="zh-CN"/>
              </w:rPr>
              <w:t>温州市瓯海区公路管理中心</w:t>
            </w:r>
          </w:p>
          <w:p>
            <w:pPr>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 xml:space="preserve">联  系  人：马先生     </w:t>
            </w:r>
          </w:p>
          <w:p>
            <w:pPr>
              <w:rPr>
                <w:rFonts w:hint="eastAsia" w:ascii="宋体" w:hAnsi="宋体" w:eastAsia="宋体" w:cs="宋体"/>
                <w:color w:val="auto"/>
                <w:kern w:val="0"/>
                <w:sz w:val="22"/>
                <w:szCs w:val="22"/>
                <w:highlight w:val="none"/>
              </w:rPr>
            </w:pPr>
            <w:r>
              <w:rPr>
                <w:rFonts w:hint="eastAsia" w:ascii="宋体" w:hAnsi="宋体" w:eastAsia="宋体" w:cs="宋体"/>
                <w:bCs/>
                <w:color w:val="auto"/>
                <w:kern w:val="0"/>
                <w:sz w:val="22"/>
                <w:szCs w:val="22"/>
                <w:highlight w:val="none"/>
              </w:rPr>
              <w:t>联系电话：0577</w:t>
            </w:r>
            <w:r>
              <w:rPr>
                <w:rFonts w:hint="eastAsia" w:ascii="宋体" w:hAnsi="宋体" w:eastAsia="宋体" w:cs="宋体"/>
                <w:bCs/>
                <w:color w:val="auto"/>
                <w:kern w:val="0"/>
                <w:sz w:val="22"/>
                <w:szCs w:val="22"/>
                <w:highlight w:val="none"/>
                <w:lang w:val="en-US" w:eastAsia="zh-CN"/>
              </w:rPr>
              <w:t>-</w:t>
            </w:r>
            <w:r>
              <w:rPr>
                <w:rFonts w:hint="eastAsia" w:ascii="宋体" w:hAnsi="宋体" w:eastAsia="宋体" w:cs="宋体"/>
                <w:bCs/>
                <w:color w:val="auto"/>
                <w:kern w:val="0"/>
                <w:sz w:val="22"/>
                <w:szCs w:val="22"/>
                <w:highlight w:val="none"/>
              </w:rPr>
              <w:t>55561816</w:t>
            </w:r>
          </w:p>
          <w:p>
            <w:pPr>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地址：娄桥街道洲洋路6号行政管理中心1号楼6楼</w:t>
            </w:r>
          </w:p>
          <w:p>
            <w:pPr>
              <w:rPr>
                <w:rFonts w:hint="eastAsia" w:ascii="宋体" w:hAnsi="宋体" w:eastAsia="宋体" w:cs="宋体"/>
                <w:bCs/>
                <w:color w:val="auto"/>
                <w:kern w:val="0"/>
                <w:sz w:val="22"/>
                <w:szCs w:val="22"/>
                <w:highlight w:val="none"/>
                <w:lang w:val="en-US" w:eastAsia="zh-CN"/>
              </w:rPr>
            </w:pPr>
            <w:r>
              <w:rPr>
                <w:rFonts w:hint="eastAsia" w:ascii="宋体" w:hAnsi="宋体" w:eastAsia="宋体" w:cs="宋体"/>
                <w:bCs/>
                <w:color w:val="auto"/>
                <w:kern w:val="0"/>
                <w:sz w:val="22"/>
                <w:szCs w:val="22"/>
                <w:highlight w:val="none"/>
                <w:lang w:val="en-US" w:eastAsia="zh-CN"/>
              </w:rPr>
              <w:t>质疑联系人：黄先生</w:t>
            </w:r>
          </w:p>
          <w:p>
            <w:pPr>
              <w:rPr>
                <w:rFonts w:hint="default"/>
                <w:lang w:val="en-US" w:eastAsia="zh-CN"/>
              </w:rPr>
            </w:pPr>
            <w:r>
              <w:rPr>
                <w:rFonts w:hint="eastAsia" w:ascii="宋体" w:hAnsi="宋体" w:eastAsia="宋体" w:cs="宋体"/>
                <w:bCs/>
                <w:color w:val="auto"/>
                <w:kern w:val="0"/>
                <w:sz w:val="22"/>
                <w:szCs w:val="22"/>
                <w:highlight w:val="none"/>
                <w:lang w:val="en-US" w:eastAsia="zh-CN"/>
              </w:rPr>
              <w:t xml:space="preserve">联系方式：0577-55561808 </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新宋体" w:hAnsi="新宋体" w:eastAsia="新宋体"/>
                <w:color w:val="auto"/>
                <w:kern w:val="0"/>
                <w:sz w:val="22"/>
                <w:szCs w:val="22"/>
                <w:highlight w:val="none"/>
              </w:rPr>
            </w:pPr>
            <w:r>
              <w:rPr>
                <w:rFonts w:hint="eastAsia" w:ascii="新宋体" w:hAnsi="新宋体" w:eastAsia="新宋体"/>
                <w:color w:val="auto"/>
                <w:kern w:val="0"/>
                <w:sz w:val="22"/>
                <w:szCs w:val="22"/>
                <w:highlight w:val="none"/>
              </w:rPr>
              <w:t>2</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新宋体" w:hAnsi="新宋体" w:eastAsia="新宋体"/>
                <w:color w:val="auto"/>
                <w:kern w:val="0"/>
                <w:sz w:val="22"/>
                <w:szCs w:val="22"/>
                <w:highlight w:val="none"/>
              </w:rPr>
            </w:pPr>
            <w:r>
              <w:rPr>
                <w:rFonts w:hint="eastAsia" w:ascii="新宋体" w:hAnsi="新宋体" w:eastAsia="新宋体"/>
                <w:color w:val="auto"/>
                <w:kern w:val="0"/>
                <w:sz w:val="22"/>
                <w:szCs w:val="22"/>
                <w:highlight w:val="none"/>
              </w:rPr>
              <w:t>采购代理机构</w:t>
            </w:r>
          </w:p>
        </w:tc>
        <w:tc>
          <w:tcPr>
            <w:tcW w:w="74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新宋体" w:hAnsi="新宋体" w:eastAsia="新宋体"/>
                <w:bCs/>
                <w:color w:val="auto"/>
                <w:kern w:val="0"/>
                <w:sz w:val="22"/>
                <w:szCs w:val="22"/>
                <w:highlight w:val="none"/>
              </w:rPr>
            </w:pPr>
            <w:r>
              <w:rPr>
                <w:rFonts w:hint="eastAsia" w:ascii="新宋体" w:hAnsi="新宋体" w:eastAsia="新宋体"/>
                <w:bCs/>
                <w:color w:val="auto"/>
                <w:kern w:val="0"/>
                <w:sz w:val="22"/>
                <w:szCs w:val="22"/>
                <w:highlight w:val="none"/>
              </w:rPr>
              <w:t>采购代理机构名称：温州市智信招标代理有限公司</w:t>
            </w:r>
          </w:p>
          <w:p>
            <w:pPr>
              <w:spacing w:line="300" w:lineRule="exact"/>
              <w:rPr>
                <w:rFonts w:ascii="新宋体" w:hAnsi="新宋体" w:eastAsia="新宋体"/>
                <w:bCs/>
                <w:color w:val="auto"/>
                <w:kern w:val="0"/>
                <w:sz w:val="22"/>
                <w:szCs w:val="22"/>
                <w:highlight w:val="none"/>
              </w:rPr>
            </w:pPr>
            <w:r>
              <w:rPr>
                <w:rFonts w:hint="eastAsia" w:ascii="新宋体" w:hAnsi="新宋体" w:eastAsia="新宋体"/>
                <w:bCs/>
                <w:color w:val="auto"/>
                <w:kern w:val="0"/>
                <w:sz w:val="22"/>
                <w:szCs w:val="22"/>
                <w:highlight w:val="none"/>
              </w:rPr>
              <w:t>地 址：温州市瓯海区新桥街道高昂路1号牛山广场2号楼1409室</w:t>
            </w:r>
          </w:p>
          <w:p>
            <w:pPr>
              <w:spacing w:line="300" w:lineRule="exact"/>
              <w:rPr>
                <w:rFonts w:ascii="新宋体" w:hAnsi="新宋体" w:eastAsia="新宋体"/>
                <w:bCs/>
                <w:color w:val="auto"/>
                <w:kern w:val="0"/>
                <w:sz w:val="22"/>
                <w:szCs w:val="22"/>
                <w:highlight w:val="none"/>
              </w:rPr>
            </w:pPr>
            <w:r>
              <w:rPr>
                <w:rFonts w:hint="eastAsia" w:ascii="新宋体" w:hAnsi="新宋体" w:eastAsia="新宋体"/>
                <w:bCs/>
                <w:color w:val="auto"/>
                <w:kern w:val="0"/>
                <w:sz w:val="22"/>
                <w:szCs w:val="22"/>
                <w:highlight w:val="none"/>
              </w:rPr>
              <w:t>联系人：苏先生/叶先生 电话：13626506308/13958779970</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新宋体" w:hAnsi="新宋体" w:eastAsia="新宋体"/>
                <w:color w:val="auto"/>
                <w:kern w:val="0"/>
                <w:sz w:val="22"/>
                <w:szCs w:val="22"/>
                <w:highlight w:val="none"/>
              </w:rPr>
            </w:pPr>
            <w:r>
              <w:rPr>
                <w:rFonts w:hint="eastAsia" w:ascii="新宋体" w:hAnsi="新宋体" w:eastAsia="新宋体"/>
                <w:color w:val="auto"/>
                <w:kern w:val="0"/>
                <w:sz w:val="22"/>
                <w:szCs w:val="22"/>
                <w:highlight w:val="none"/>
              </w:rPr>
              <w:t>3</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新宋体" w:hAnsi="新宋体" w:eastAsia="新宋体"/>
                <w:color w:val="auto"/>
                <w:kern w:val="0"/>
                <w:sz w:val="22"/>
                <w:szCs w:val="22"/>
                <w:highlight w:val="none"/>
                <w:lang w:val="en-US" w:eastAsia="zh-CN"/>
              </w:rPr>
            </w:pPr>
            <w:r>
              <w:rPr>
                <w:rFonts w:hint="eastAsia" w:ascii="新宋体" w:hAnsi="新宋体" w:eastAsia="新宋体"/>
                <w:color w:val="auto"/>
                <w:kern w:val="0"/>
                <w:sz w:val="22"/>
                <w:szCs w:val="22"/>
                <w:highlight w:val="none"/>
              </w:rPr>
              <w:t>项目名称</w:t>
            </w:r>
            <w:r>
              <w:rPr>
                <w:rFonts w:hint="eastAsia" w:ascii="新宋体" w:hAnsi="新宋体" w:eastAsia="新宋体"/>
                <w:color w:val="auto"/>
                <w:kern w:val="0"/>
                <w:sz w:val="22"/>
                <w:szCs w:val="22"/>
                <w:highlight w:val="none"/>
                <w:lang w:val="en-US" w:eastAsia="zh-CN"/>
              </w:rPr>
              <w:t>及编号</w:t>
            </w:r>
          </w:p>
        </w:tc>
        <w:tc>
          <w:tcPr>
            <w:tcW w:w="74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新宋体" w:hAnsi="新宋体" w:eastAsia="新宋体"/>
                <w:bCs/>
                <w:color w:val="auto"/>
                <w:kern w:val="0"/>
                <w:sz w:val="22"/>
                <w:szCs w:val="22"/>
                <w:highlight w:val="none"/>
                <w:lang w:val="en" w:eastAsia="zh-CN"/>
              </w:rPr>
            </w:pPr>
            <w:r>
              <w:rPr>
                <w:rFonts w:hint="eastAsia" w:ascii="新宋体" w:hAnsi="新宋体" w:eastAsia="新宋体"/>
                <w:bCs/>
                <w:color w:val="auto"/>
                <w:kern w:val="0"/>
                <w:sz w:val="22"/>
                <w:szCs w:val="22"/>
                <w:highlight w:val="none"/>
                <w:lang w:val="en-US" w:eastAsia="zh-CN"/>
              </w:rPr>
              <w:t>项目名称：</w:t>
            </w:r>
            <w:r>
              <w:rPr>
                <w:rFonts w:hint="eastAsia" w:ascii="新宋体" w:hAnsi="新宋体" w:eastAsia="新宋体"/>
                <w:bCs/>
                <w:color w:val="auto"/>
                <w:kern w:val="0"/>
                <w:sz w:val="22"/>
                <w:szCs w:val="22"/>
                <w:highlight w:val="none"/>
                <w:lang w:val="en" w:eastAsia="zh-CN"/>
              </w:rPr>
              <w:t>温州市瓯海区2024年农村公路综合保险</w:t>
            </w:r>
          </w:p>
          <w:p>
            <w:pPr>
              <w:spacing w:line="300" w:lineRule="exact"/>
              <w:rPr>
                <w:rFonts w:hint="eastAsia" w:ascii="新宋体" w:hAnsi="新宋体" w:eastAsia="新宋体"/>
                <w:bCs/>
                <w:color w:val="auto"/>
                <w:kern w:val="0"/>
                <w:sz w:val="22"/>
                <w:szCs w:val="22"/>
                <w:highlight w:val="none"/>
                <w:lang w:eastAsia="zh-CN"/>
              </w:rPr>
            </w:pPr>
            <w:r>
              <w:rPr>
                <w:rFonts w:hint="eastAsia" w:ascii="新宋体" w:hAnsi="新宋体" w:eastAsia="新宋体"/>
                <w:bCs/>
                <w:color w:val="auto"/>
                <w:kern w:val="0"/>
                <w:sz w:val="22"/>
                <w:szCs w:val="22"/>
                <w:highlight w:val="none"/>
              </w:rPr>
              <w:t>项目编号：</w:t>
            </w:r>
            <w:r>
              <w:rPr>
                <w:rFonts w:hint="eastAsia" w:ascii="新宋体" w:hAnsi="新宋体" w:eastAsia="新宋体"/>
                <w:bCs/>
                <w:color w:val="auto"/>
                <w:kern w:val="0"/>
                <w:sz w:val="22"/>
                <w:szCs w:val="22"/>
                <w:highlight w:val="none"/>
                <w:lang w:eastAsia="zh-CN"/>
              </w:rPr>
              <w:t>ZXZB-F20240313-ZHBX</w:t>
            </w:r>
          </w:p>
        </w:tc>
      </w:tr>
      <w:tr>
        <w:tblPrEx>
          <w:tblCellMar>
            <w:top w:w="0" w:type="dxa"/>
            <w:left w:w="108" w:type="dxa"/>
            <w:bottom w:w="0" w:type="dxa"/>
            <w:right w:w="108" w:type="dxa"/>
          </w:tblCellMar>
        </w:tblPrEx>
        <w:trPr>
          <w:trHeight w:val="826"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新宋体" w:hAnsi="新宋体" w:eastAsia="新宋体"/>
                <w:color w:val="auto"/>
                <w:kern w:val="0"/>
                <w:sz w:val="22"/>
                <w:szCs w:val="22"/>
                <w:highlight w:val="none"/>
              </w:rPr>
            </w:pPr>
            <w:r>
              <w:rPr>
                <w:rFonts w:hint="eastAsia" w:ascii="新宋体" w:hAnsi="新宋体" w:eastAsia="新宋体"/>
                <w:color w:val="auto"/>
                <w:kern w:val="0"/>
                <w:sz w:val="22"/>
                <w:szCs w:val="22"/>
                <w:highlight w:val="none"/>
              </w:rPr>
              <w:t>4</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新宋体" w:hAnsi="新宋体" w:eastAsia="新宋体"/>
                <w:color w:val="auto"/>
                <w:kern w:val="0"/>
                <w:sz w:val="22"/>
                <w:szCs w:val="22"/>
                <w:highlight w:val="none"/>
              </w:rPr>
            </w:pPr>
            <w:r>
              <w:rPr>
                <w:rFonts w:hint="eastAsia" w:ascii="新宋体" w:hAnsi="新宋体" w:eastAsia="新宋体"/>
                <w:color w:val="auto"/>
                <w:kern w:val="0"/>
                <w:sz w:val="22"/>
                <w:szCs w:val="22"/>
                <w:highlight w:val="none"/>
              </w:rPr>
              <w:t>采购内容</w:t>
            </w:r>
          </w:p>
        </w:tc>
        <w:tc>
          <w:tcPr>
            <w:tcW w:w="74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right="60"/>
              <w:jc w:val="left"/>
              <w:rPr>
                <w:rFonts w:ascii="新宋体" w:hAnsi="新宋体" w:eastAsia="新宋体"/>
                <w:bCs/>
                <w:color w:val="auto"/>
                <w:kern w:val="0"/>
                <w:sz w:val="22"/>
                <w:szCs w:val="22"/>
                <w:highlight w:val="none"/>
              </w:rPr>
            </w:pPr>
            <w:r>
              <w:rPr>
                <w:rFonts w:hint="eastAsia" w:ascii="宋体" w:hAnsi="宋体" w:eastAsia="宋体" w:cs="宋体"/>
                <w:color w:val="auto"/>
                <w:sz w:val="22"/>
                <w:szCs w:val="22"/>
                <w:highlight w:val="none"/>
              </w:rPr>
              <w:t>县道为1</w:t>
            </w:r>
            <w:r>
              <w:rPr>
                <w:rFonts w:hint="eastAsia" w:ascii="宋体" w:hAnsi="宋体" w:cs="宋体"/>
                <w:color w:val="auto"/>
                <w:sz w:val="22"/>
                <w:szCs w:val="22"/>
                <w:highlight w:val="none"/>
                <w:lang w:val="en-US" w:eastAsia="zh-CN"/>
              </w:rPr>
              <w:t>0</w:t>
            </w:r>
            <w:r>
              <w:rPr>
                <w:rFonts w:hint="eastAsia" w:ascii="宋体" w:hAnsi="宋体" w:eastAsia="宋体" w:cs="宋体"/>
                <w:color w:val="auto"/>
                <w:sz w:val="22"/>
                <w:szCs w:val="22"/>
                <w:highlight w:val="none"/>
              </w:rPr>
              <w:t>3.763公里，乡道为5</w:t>
            </w:r>
            <w:r>
              <w:rPr>
                <w:rFonts w:hint="eastAsia" w:ascii="宋体" w:hAnsi="宋体" w:cs="宋体"/>
                <w:color w:val="auto"/>
                <w:sz w:val="22"/>
                <w:szCs w:val="22"/>
                <w:highlight w:val="none"/>
                <w:lang w:val="en-US" w:eastAsia="zh-CN"/>
              </w:rPr>
              <w:t>4</w:t>
            </w:r>
            <w:r>
              <w:rPr>
                <w:rFonts w:hint="eastAsia" w:ascii="宋体" w:hAnsi="宋体" w:eastAsia="宋体" w:cs="宋体"/>
                <w:color w:val="auto"/>
                <w:sz w:val="22"/>
                <w:szCs w:val="22"/>
                <w:highlight w:val="none"/>
              </w:rPr>
              <w:t>.</w:t>
            </w:r>
            <w:r>
              <w:rPr>
                <w:rFonts w:hint="eastAsia" w:ascii="宋体" w:hAnsi="宋体" w:eastAsia="宋体" w:cs="宋体"/>
                <w:color w:val="auto"/>
                <w:sz w:val="22"/>
                <w:szCs w:val="22"/>
                <w:highlight w:val="none"/>
                <w:lang w:val="en-US" w:eastAsia="zh-CN"/>
              </w:rPr>
              <w:t>883</w:t>
            </w:r>
            <w:r>
              <w:rPr>
                <w:rFonts w:hint="eastAsia" w:ascii="宋体" w:hAnsi="宋体" w:eastAsia="宋体" w:cs="宋体"/>
                <w:color w:val="auto"/>
                <w:sz w:val="22"/>
                <w:szCs w:val="22"/>
                <w:highlight w:val="none"/>
              </w:rPr>
              <w:t>公里。</w:t>
            </w:r>
            <w:r>
              <w:rPr>
                <w:rFonts w:hint="eastAsia" w:ascii="宋体" w:hAnsi="宋体" w:eastAsia="宋体" w:cs="宋体"/>
                <w:color w:val="auto"/>
                <w:sz w:val="22"/>
                <w:szCs w:val="22"/>
                <w:highlight w:val="none"/>
              </w:rPr>
              <w:t>具体详见采购文件相关部分。采购预算金额为</w:t>
            </w:r>
            <w:r>
              <w:rPr>
                <w:rFonts w:hint="eastAsia" w:ascii="宋体" w:hAnsi="宋体" w:eastAsia="宋体" w:cs="宋体"/>
                <w:color w:val="auto"/>
                <w:sz w:val="22"/>
                <w:szCs w:val="22"/>
                <w:highlight w:val="none"/>
                <w:lang w:val="en-US" w:eastAsia="zh-CN"/>
              </w:rPr>
              <w:t>85</w:t>
            </w:r>
            <w:r>
              <w:rPr>
                <w:rFonts w:hint="eastAsia" w:ascii="宋体" w:hAnsi="宋体" w:eastAsia="宋体" w:cs="宋体"/>
                <w:color w:val="auto"/>
                <w:sz w:val="22"/>
                <w:szCs w:val="22"/>
                <w:highlight w:val="none"/>
              </w:rPr>
              <w:t>万元。</w:t>
            </w:r>
          </w:p>
        </w:tc>
      </w:tr>
      <w:tr>
        <w:tblPrEx>
          <w:tblCellMar>
            <w:top w:w="0" w:type="dxa"/>
            <w:left w:w="108" w:type="dxa"/>
            <w:bottom w:w="0" w:type="dxa"/>
            <w:right w:w="108" w:type="dxa"/>
          </w:tblCellMar>
        </w:tblPrEx>
        <w:trPr>
          <w:trHeight w:val="665"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新宋体" w:hAnsi="新宋体" w:eastAsia="新宋体"/>
                <w:color w:val="auto"/>
                <w:kern w:val="0"/>
                <w:sz w:val="22"/>
                <w:szCs w:val="22"/>
                <w:highlight w:val="none"/>
              </w:rPr>
            </w:pPr>
            <w:r>
              <w:rPr>
                <w:rFonts w:hint="eastAsia" w:ascii="新宋体" w:hAnsi="新宋体" w:eastAsia="新宋体"/>
                <w:color w:val="auto"/>
                <w:kern w:val="0"/>
                <w:sz w:val="22"/>
                <w:szCs w:val="22"/>
                <w:highlight w:val="none"/>
              </w:rPr>
              <w:t>5</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新宋体" w:hAnsi="新宋体" w:eastAsia="新宋体"/>
                <w:color w:val="auto"/>
                <w:kern w:val="0"/>
                <w:sz w:val="22"/>
                <w:szCs w:val="22"/>
                <w:highlight w:val="none"/>
              </w:rPr>
            </w:pPr>
            <w:r>
              <w:rPr>
                <w:rFonts w:hint="eastAsia" w:ascii="新宋体" w:hAnsi="新宋体" w:eastAsia="新宋体"/>
                <w:color w:val="auto"/>
                <w:sz w:val="22"/>
                <w:szCs w:val="22"/>
                <w:highlight w:val="none"/>
              </w:rPr>
              <w:t>服务期限</w:t>
            </w:r>
          </w:p>
        </w:tc>
        <w:tc>
          <w:tcPr>
            <w:tcW w:w="7419" w:type="dxa"/>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b/>
                <w:bCs/>
                <w:color w:val="auto"/>
                <w:kern w:val="0"/>
                <w:sz w:val="22"/>
                <w:szCs w:val="22"/>
                <w:highlight w:val="none"/>
              </w:rPr>
            </w:pPr>
            <w:r>
              <w:rPr>
                <w:rFonts w:hint="eastAsia" w:ascii="宋体" w:hAnsi="宋体" w:eastAsia="宋体" w:cs="宋体"/>
                <w:color w:val="auto"/>
                <w:sz w:val="22"/>
                <w:szCs w:val="22"/>
                <w:highlight w:val="none"/>
                <w:u w:val="single"/>
                <w:lang w:val="en-US" w:eastAsia="zh-CN"/>
              </w:rPr>
              <w:t>1年。</w:t>
            </w:r>
          </w:p>
        </w:tc>
      </w:tr>
      <w:tr>
        <w:tblPrEx>
          <w:tblCellMar>
            <w:top w:w="0" w:type="dxa"/>
            <w:left w:w="108" w:type="dxa"/>
            <w:bottom w:w="0" w:type="dxa"/>
            <w:right w:w="108" w:type="dxa"/>
          </w:tblCellMar>
        </w:tblPrEx>
        <w:trPr>
          <w:trHeight w:val="90"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新宋体" w:hAnsi="新宋体" w:eastAsia="新宋体"/>
                <w:color w:val="auto"/>
                <w:kern w:val="0"/>
                <w:sz w:val="22"/>
                <w:szCs w:val="22"/>
                <w:highlight w:val="none"/>
              </w:rPr>
            </w:pPr>
            <w:r>
              <w:rPr>
                <w:rFonts w:hint="eastAsia" w:ascii="新宋体" w:hAnsi="新宋体" w:eastAsia="新宋体"/>
                <w:color w:val="auto"/>
                <w:kern w:val="0"/>
                <w:sz w:val="22"/>
                <w:szCs w:val="22"/>
                <w:highlight w:val="none"/>
              </w:rPr>
              <w:t>6</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新宋体" w:hAnsi="新宋体" w:eastAsia="新宋体"/>
                <w:color w:val="auto"/>
                <w:kern w:val="0"/>
                <w:sz w:val="22"/>
                <w:szCs w:val="22"/>
                <w:highlight w:val="none"/>
              </w:rPr>
            </w:pPr>
            <w:r>
              <w:rPr>
                <w:rFonts w:hint="eastAsia" w:ascii="新宋体" w:hAnsi="新宋体" w:eastAsia="新宋体"/>
                <w:color w:val="auto"/>
                <w:kern w:val="0"/>
                <w:sz w:val="22"/>
                <w:szCs w:val="22"/>
                <w:highlight w:val="none"/>
              </w:rPr>
              <w:t>供应商资格要求</w:t>
            </w:r>
          </w:p>
        </w:tc>
        <w:tc>
          <w:tcPr>
            <w:tcW w:w="7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1.一般资格条件：</w:t>
            </w:r>
          </w:p>
          <w:p>
            <w:pPr>
              <w:autoSpaceDE w:val="0"/>
              <w:autoSpaceDN w:val="0"/>
              <w:adjustRightInd w:val="0"/>
              <w:rPr>
                <w:rFonts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1）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法律、行政法规规定的其他条件。</w:t>
            </w:r>
          </w:p>
          <w:p>
            <w:pPr>
              <w:autoSpaceDE w:val="0"/>
              <w:autoSpaceDN w:val="0"/>
              <w:adjustRightInd w:val="0"/>
              <w:rPr>
                <w:rFonts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（2）供应商未被列入失信被执行人名单、重大税收违法案件当事人名单、政府采购严重违法失信行为记录名单，信用信息以信用中国网站（www.creditchina.gov.cn）、中国政府采购网（www.ccgp.gov.cn）公布为准。</w:t>
            </w:r>
          </w:p>
          <w:p>
            <w:pPr>
              <w:autoSpaceDE w:val="0"/>
              <w:autoSpaceDN w:val="0"/>
              <w:adjustRightInd w:val="0"/>
              <w:rPr>
                <w:rFonts w:hint="eastAsia" w:ascii="新宋体" w:hAnsi="新宋体" w:eastAsia="新宋体" w:cs="新宋体"/>
                <w:color w:val="auto"/>
                <w:kern w:val="0"/>
                <w:sz w:val="22"/>
                <w:szCs w:val="22"/>
                <w:highlight w:val="none"/>
                <w:lang w:val="en-US" w:eastAsia="zh-CN"/>
              </w:rPr>
            </w:pPr>
            <w:r>
              <w:rPr>
                <w:rFonts w:hint="eastAsia" w:ascii="新宋体" w:hAnsi="新宋体" w:eastAsia="新宋体" w:cs="新宋体"/>
                <w:color w:val="auto"/>
                <w:kern w:val="0"/>
                <w:sz w:val="22"/>
                <w:szCs w:val="22"/>
                <w:highlight w:val="none"/>
                <w:lang w:val="zh-CN"/>
              </w:rPr>
              <w:t xml:space="preserve">2.落实政府采购政策需满足的资格要求: </w:t>
            </w:r>
            <w:r>
              <w:rPr>
                <w:rFonts w:hint="eastAsia" w:ascii="新宋体" w:hAnsi="新宋体" w:eastAsia="新宋体" w:cs="新宋体"/>
                <w:color w:val="auto"/>
                <w:kern w:val="0"/>
                <w:sz w:val="22"/>
                <w:szCs w:val="22"/>
                <w:highlight w:val="none"/>
                <w:lang w:val="en-US" w:eastAsia="zh-CN"/>
              </w:rPr>
              <w:t>无</w:t>
            </w:r>
          </w:p>
          <w:p>
            <w:pPr>
              <w:rPr>
                <w:rFonts w:hint="eastAsia" w:ascii="新宋体" w:hAnsi="新宋体" w:eastAsia="宋体"/>
                <w:bCs/>
                <w:color w:val="auto"/>
                <w:kern w:val="0"/>
                <w:sz w:val="22"/>
                <w:szCs w:val="22"/>
                <w:highlight w:val="none"/>
                <w:lang w:eastAsia="zh-CN"/>
              </w:rPr>
            </w:pPr>
            <w:r>
              <w:rPr>
                <w:rFonts w:hint="eastAsia" w:ascii="新宋体" w:hAnsi="新宋体" w:eastAsia="新宋体"/>
                <w:bCs/>
                <w:color w:val="auto"/>
                <w:kern w:val="0"/>
                <w:sz w:val="22"/>
                <w:szCs w:val="22"/>
                <w:highlight w:val="none"/>
              </w:rPr>
              <w:t>3.特殊资格条件：</w:t>
            </w:r>
            <w:r>
              <w:rPr>
                <w:rFonts w:hint="eastAsia" w:ascii="宋体" w:hAnsi="宋体" w:eastAsia="宋体" w:cs="宋体"/>
                <w:color w:val="auto"/>
                <w:kern w:val="0"/>
                <w:sz w:val="22"/>
                <w:szCs w:val="22"/>
                <w:highlight w:val="none"/>
              </w:rPr>
              <w:t>经中国保险监督管理委员会批准，具有财产保险业务经营资格</w:t>
            </w:r>
            <w:r>
              <w:rPr>
                <w:rFonts w:hint="eastAsia" w:ascii="宋体" w:hAnsi="宋体" w:eastAsia="宋体" w:cs="宋体"/>
                <w:color w:val="auto"/>
                <w:kern w:val="0"/>
                <w:sz w:val="22"/>
                <w:szCs w:val="22"/>
                <w:highlight w:val="none"/>
                <w:lang w:eastAsia="zh-CN"/>
              </w:rPr>
              <w:t>。</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新宋体" w:hAnsi="新宋体" w:eastAsia="新宋体"/>
                <w:color w:val="auto"/>
                <w:kern w:val="0"/>
                <w:sz w:val="22"/>
                <w:szCs w:val="22"/>
                <w:highlight w:val="none"/>
              </w:rPr>
            </w:pPr>
            <w:r>
              <w:rPr>
                <w:rFonts w:hint="eastAsia" w:ascii="新宋体" w:hAnsi="新宋体" w:eastAsia="新宋体"/>
                <w:color w:val="auto"/>
                <w:kern w:val="0"/>
                <w:sz w:val="22"/>
                <w:szCs w:val="22"/>
                <w:highlight w:val="none"/>
              </w:rPr>
              <w:t>7</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新宋体" w:hAnsi="新宋体" w:eastAsia="新宋体"/>
                <w:color w:val="auto"/>
                <w:kern w:val="0"/>
                <w:sz w:val="22"/>
                <w:szCs w:val="22"/>
                <w:highlight w:val="none"/>
              </w:rPr>
            </w:pPr>
            <w:r>
              <w:rPr>
                <w:rFonts w:hint="eastAsia" w:ascii="新宋体" w:hAnsi="新宋体" w:eastAsia="新宋体"/>
                <w:color w:val="auto"/>
                <w:kern w:val="0"/>
                <w:sz w:val="22"/>
                <w:szCs w:val="22"/>
                <w:highlight w:val="none"/>
              </w:rPr>
              <w:t>是否接受联合体磋商响应</w:t>
            </w:r>
          </w:p>
        </w:tc>
        <w:tc>
          <w:tcPr>
            <w:tcW w:w="74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接受，应满足下列要求：</w:t>
            </w:r>
          </w:p>
          <w:p>
            <w:pPr>
              <w:widowControl/>
              <w:spacing w:line="240" w:lineRule="auto"/>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（1）需提供联合体协议书，明确双方各自责任与义务；</w:t>
            </w:r>
          </w:p>
          <w:p>
            <w:pPr>
              <w:spacing w:line="300" w:lineRule="exact"/>
              <w:rPr>
                <w:rFonts w:ascii="新宋体" w:hAnsi="新宋体" w:eastAsia="新宋体"/>
                <w:color w:val="auto"/>
                <w:kern w:val="0"/>
                <w:sz w:val="22"/>
                <w:szCs w:val="22"/>
                <w:highlight w:val="none"/>
              </w:rPr>
            </w:pPr>
            <w:r>
              <w:rPr>
                <w:rFonts w:hint="eastAsia" w:ascii="宋体" w:hAnsi="宋体" w:eastAsia="宋体" w:cs="宋体"/>
                <w:color w:val="auto"/>
                <w:kern w:val="0"/>
                <w:sz w:val="22"/>
                <w:szCs w:val="22"/>
                <w:highlight w:val="none"/>
              </w:rPr>
              <w:t>（2）联合体成员不超过两家。</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新宋体" w:hAnsi="新宋体" w:eastAsia="新宋体"/>
                <w:color w:val="auto"/>
                <w:kern w:val="0"/>
                <w:sz w:val="22"/>
                <w:szCs w:val="22"/>
                <w:highlight w:val="none"/>
              </w:rPr>
            </w:pPr>
            <w:r>
              <w:rPr>
                <w:rFonts w:hint="eastAsia" w:ascii="新宋体" w:hAnsi="新宋体" w:eastAsia="新宋体"/>
                <w:color w:val="auto"/>
                <w:kern w:val="0"/>
                <w:sz w:val="22"/>
                <w:szCs w:val="22"/>
                <w:highlight w:val="none"/>
              </w:rPr>
              <w:t>8</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新宋体" w:hAnsi="新宋体" w:eastAsia="新宋体"/>
                <w:color w:val="auto"/>
                <w:kern w:val="0"/>
                <w:sz w:val="22"/>
                <w:szCs w:val="22"/>
                <w:highlight w:val="none"/>
              </w:rPr>
            </w:pPr>
            <w:r>
              <w:rPr>
                <w:rFonts w:hint="eastAsia" w:ascii="新宋体" w:hAnsi="新宋体" w:eastAsia="新宋体"/>
                <w:color w:val="auto"/>
                <w:kern w:val="0"/>
                <w:sz w:val="22"/>
                <w:szCs w:val="22"/>
                <w:highlight w:val="none"/>
              </w:rPr>
              <w:t>踏勘现场</w:t>
            </w:r>
          </w:p>
        </w:tc>
        <w:tc>
          <w:tcPr>
            <w:tcW w:w="74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新宋体" w:hAnsi="新宋体" w:eastAsia="新宋体"/>
                <w:color w:val="auto"/>
                <w:kern w:val="0"/>
                <w:sz w:val="22"/>
                <w:szCs w:val="22"/>
                <w:highlight w:val="none"/>
              </w:rPr>
            </w:pPr>
            <w:r>
              <w:rPr>
                <w:rFonts w:hint="eastAsia" w:ascii="新宋体" w:hAnsi="新宋体" w:eastAsia="新宋体"/>
                <w:color w:val="auto"/>
                <w:kern w:val="0"/>
                <w:sz w:val="22"/>
                <w:szCs w:val="22"/>
                <w:highlight w:val="none"/>
              </w:rPr>
              <w:t>□组织</w:t>
            </w:r>
          </w:p>
          <w:p>
            <w:pPr>
              <w:spacing w:line="300" w:lineRule="exact"/>
              <w:rPr>
                <w:rFonts w:ascii="新宋体" w:hAnsi="新宋体" w:eastAsia="新宋体"/>
                <w:color w:val="auto"/>
                <w:kern w:val="0"/>
                <w:sz w:val="22"/>
                <w:szCs w:val="22"/>
                <w:highlight w:val="none"/>
              </w:rPr>
            </w:pPr>
            <w:r>
              <w:rPr>
                <w:rFonts w:hint="eastAsia" w:ascii="新宋体" w:hAnsi="新宋体" w:eastAsia="新宋体"/>
                <w:b/>
                <w:snapToGrid w:val="0"/>
                <w:color w:val="auto"/>
                <w:sz w:val="22"/>
                <w:szCs w:val="22"/>
                <w:highlight w:val="none"/>
              </w:rPr>
              <w:sym w:font="Wingdings" w:char="F0FE"/>
            </w:r>
            <w:r>
              <w:rPr>
                <w:rFonts w:hint="eastAsia" w:ascii="新宋体" w:hAnsi="新宋体" w:eastAsia="新宋体"/>
                <w:color w:val="auto"/>
                <w:kern w:val="0"/>
                <w:sz w:val="22"/>
                <w:szCs w:val="22"/>
                <w:highlight w:val="none"/>
              </w:rPr>
              <w:t>不组织，供应商自行前往项目现场进行踏勘。</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新宋体" w:hAnsi="新宋体" w:eastAsia="新宋体"/>
                <w:color w:val="auto"/>
                <w:kern w:val="0"/>
                <w:sz w:val="22"/>
                <w:szCs w:val="22"/>
                <w:highlight w:val="none"/>
              </w:rPr>
            </w:pPr>
            <w:r>
              <w:rPr>
                <w:rFonts w:hint="eastAsia" w:ascii="新宋体" w:hAnsi="新宋体" w:eastAsia="新宋体"/>
                <w:color w:val="auto"/>
                <w:kern w:val="0"/>
                <w:sz w:val="22"/>
                <w:szCs w:val="22"/>
                <w:highlight w:val="none"/>
              </w:rPr>
              <w:t>9</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新宋体" w:hAnsi="新宋体" w:eastAsia="新宋体"/>
                <w:color w:val="auto"/>
                <w:kern w:val="0"/>
                <w:sz w:val="22"/>
                <w:szCs w:val="22"/>
                <w:highlight w:val="none"/>
              </w:rPr>
            </w:pPr>
            <w:r>
              <w:rPr>
                <w:rFonts w:hint="eastAsia" w:ascii="新宋体" w:hAnsi="新宋体" w:eastAsia="新宋体"/>
                <w:color w:val="auto"/>
                <w:kern w:val="0"/>
                <w:sz w:val="22"/>
                <w:szCs w:val="22"/>
                <w:highlight w:val="none"/>
              </w:rPr>
              <w:t>投标预备会</w:t>
            </w:r>
          </w:p>
        </w:tc>
        <w:tc>
          <w:tcPr>
            <w:tcW w:w="74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新宋体" w:hAnsi="新宋体" w:eastAsia="新宋体"/>
                <w:color w:val="auto"/>
                <w:kern w:val="0"/>
                <w:sz w:val="22"/>
                <w:szCs w:val="22"/>
                <w:highlight w:val="none"/>
              </w:rPr>
            </w:pPr>
            <w:r>
              <w:rPr>
                <w:rFonts w:hint="eastAsia" w:ascii="新宋体" w:hAnsi="新宋体" w:eastAsia="新宋体"/>
                <w:color w:val="auto"/>
                <w:kern w:val="0"/>
                <w:sz w:val="22"/>
                <w:szCs w:val="22"/>
                <w:highlight w:val="none"/>
              </w:rPr>
              <w:t>□召开</w:t>
            </w:r>
          </w:p>
          <w:p>
            <w:pPr>
              <w:spacing w:line="300" w:lineRule="exact"/>
              <w:rPr>
                <w:rFonts w:ascii="新宋体" w:hAnsi="新宋体" w:eastAsia="新宋体"/>
                <w:color w:val="auto"/>
                <w:kern w:val="0"/>
                <w:sz w:val="22"/>
                <w:szCs w:val="22"/>
                <w:highlight w:val="none"/>
              </w:rPr>
            </w:pPr>
            <w:r>
              <w:rPr>
                <w:rFonts w:hint="eastAsia" w:ascii="新宋体" w:hAnsi="新宋体" w:eastAsia="新宋体"/>
                <w:b/>
                <w:snapToGrid w:val="0"/>
                <w:color w:val="auto"/>
                <w:sz w:val="22"/>
                <w:szCs w:val="22"/>
                <w:highlight w:val="none"/>
              </w:rPr>
              <w:sym w:font="Wingdings" w:char="F0FE"/>
            </w:r>
            <w:r>
              <w:rPr>
                <w:rFonts w:hint="eastAsia" w:ascii="新宋体" w:hAnsi="新宋体" w:eastAsia="新宋体"/>
                <w:color w:val="auto"/>
                <w:kern w:val="0"/>
                <w:sz w:val="22"/>
                <w:szCs w:val="22"/>
                <w:highlight w:val="none"/>
              </w:rPr>
              <w:t>不召开</w:t>
            </w:r>
          </w:p>
        </w:tc>
      </w:tr>
      <w:tr>
        <w:tblPrEx>
          <w:tblCellMar>
            <w:top w:w="0" w:type="dxa"/>
            <w:left w:w="108" w:type="dxa"/>
            <w:bottom w:w="0" w:type="dxa"/>
            <w:right w:w="108" w:type="dxa"/>
          </w:tblCellMar>
        </w:tblPrEx>
        <w:trPr>
          <w:trHeight w:val="695"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新宋体" w:hAnsi="新宋体" w:eastAsia="新宋体"/>
                <w:color w:val="auto"/>
                <w:kern w:val="0"/>
                <w:sz w:val="22"/>
                <w:szCs w:val="22"/>
                <w:highlight w:val="none"/>
              </w:rPr>
            </w:pPr>
            <w:r>
              <w:rPr>
                <w:rFonts w:hint="eastAsia" w:ascii="新宋体" w:hAnsi="新宋体" w:eastAsia="新宋体"/>
                <w:color w:val="auto"/>
                <w:kern w:val="0"/>
                <w:sz w:val="22"/>
                <w:szCs w:val="22"/>
                <w:highlight w:val="none"/>
              </w:rPr>
              <w:t>10</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新宋体" w:hAnsi="新宋体" w:eastAsia="新宋体"/>
                <w:color w:val="auto"/>
                <w:kern w:val="0"/>
                <w:sz w:val="22"/>
                <w:szCs w:val="22"/>
                <w:highlight w:val="none"/>
              </w:rPr>
            </w:pPr>
            <w:r>
              <w:rPr>
                <w:rFonts w:hint="eastAsia" w:ascii="新宋体" w:hAnsi="新宋体" w:eastAsia="新宋体"/>
                <w:color w:val="auto"/>
                <w:kern w:val="0"/>
                <w:sz w:val="22"/>
                <w:szCs w:val="22"/>
                <w:highlight w:val="none"/>
              </w:rPr>
              <w:t>磋商响应文件递交截止时间</w:t>
            </w:r>
          </w:p>
        </w:tc>
        <w:tc>
          <w:tcPr>
            <w:tcW w:w="74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新宋体" w:hAnsi="新宋体" w:eastAsia="新宋体"/>
                <w:color w:val="auto"/>
                <w:kern w:val="0"/>
                <w:sz w:val="22"/>
                <w:szCs w:val="22"/>
                <w:highlight w:val="none"/>
                <w:lang w:eastAsia="zh-CN"/>
              </w:rPr>
            </w:pPr>
            <w:r>
              <w:rPr>
                <w:rFonts w:hint="eastAsia" w:ascii="新宋体" w:hAnsi="新宋体" w:eastAsia="新宋体"/>
                <w:color w:val="auto"/>
                <w:kern w:val="0"/>
                <w:sz w:val="22"/>
                <w:szCs w:val="22"/>
                <w:highlight w:val="none"/>
                <w:lang w:eastAsia="zh-CN"/>
              </w:rPr>
              <w:t>2024年</w:t>
            </w:r>
            <w:r>
              <w:rPr>
                <w:rFonts w:hint="eastAsia" w:ascii="新宋体" w:hAnsi="新宋体" w:eastAsia="新宋体"/>
                <w:color w:val="auto"/>
                <w:kern w:val="0"/>
                <w:sz w:val="22"/>
                <w:szCs w:val="22"/>
                <w:highlight w:val="none"/>
                <w:lang w:val="en-US" w:eastAsia="zh-CN"/>
              </w:rPr>
              <w:t>04</w:t>
            </w:r>
            <w:r>
              <w:rPr>
                <w:rFonts w:hint="eastAsia" w:ascii="新宋体" w:hAnsi="新宋体" w:eastAsia="新宋体"/>
                <w:color w:val="auto"/>
                <w:kern w:val="0"/>
                <w:sz w:val="22"/>
                <w:szCs w:val="22"/>
                <w:highlight w:val="none"/>
                <w:lang w:eastAsia="zh-CN"/>
              </w:rPr>
              <w:t>月</w:t>
            </w:r>
            <w:r>
              <w:rPr>
                <w:rFonts w:hint="eastAsia" w:ascii="新宋体" w:hAnsi="新宋体" w:eastAsia="新宋体"/>
                <w:color w:val="auto"/>
                <w:kern w:val="0"/>
                <w:sz w:val="22"/>
                <w:szCs w:val="22"/>
                <w:highlight w:val="none"/>
                <w:lang w:val="en-US" w:eastAsia="zh-CN"/>
              </w:rPr>
              <w:t>12</w:t>
            </w:r>
            <w:r>
              <w:rPr>
                <w:rFonts w:hint="eastAsia" w:ascii="新宋体" w:hAnsi="新宋体" w:eastAsia="新宋体"/>
                <w:color w:val="auto"/>
                <w:kern w:val="0"/>
                <w:sz w:val="22"/>
                <w:szCs w:val="22"/>
                <w:highlight w:val="none"/>
                <w:lang w:eastAsia="zh-CN"/>
              </w:rPr>
              <w:t>日</w:t>
            </w:r>
            <w:r>
              <w:rPr>
                <w:rFonts w:hint="eastAsia" w:ascii="新宋体" w:hAnsi="新宋体" w:eastAsia="新宋体"/>
                <w:color w:val="auto"/>
                <w:kern w:val="0"/>
                <w:sz w:val="22"/>
                <w:szCs w:val="22"/>
                <w:highlight w:val="none"/>
                <w:lang w:val="en-US" w:eastAsia="zh-CN"/>
              </w:rPr>
              <w:t>09</w:t>
            </w:r>
            <w:r>
              <w:rPr>
                <w:rFonts w:hint="eastAsia" w:ascii="新宋体" w:hAnsi="新宋体" w:eastAsia="新宋体"/>
                <w:color w:val="auto"/>
                <w:kern w:val="0"/>
                <w:sz w:val="22"/>
                <w:szCs w:val="22"/>
                <w:highlight w:val="none"/>
                <w:lang w:eastAsia="zh-CN"/>
              </w:rPr>
              <w:t>时</w:t>
            </w:r>
            <w:r>
              <w:rPr>
                <w:rFonts w:hint="eastAsia" w:ascii="新宋体" w:hAnsi="新宋体" w:eastAsia="新宋体"/>
                <w:color w:val="auto"/>
                <w:kern w:val="0"/>
                <w:sz w:val="22"/>
                <w:szCs w:val="22"/>
                <w:highlight w:val="none"/>
                <w:lang w:val="en-US" w:eastAsia="zh-CN"/>
              </w:rPr>
              <w:t>00</w:t>
            </w:r>
            <w:r>
              <w:rPr>
                <w:rFonts w:hint="eastAsia" w:ascii="新宋体" w:hAnsi="新宋体" w:eastAsia="新宋体"/>
                <w:color w:val="auto"/>
                <w:kern w:val="0"/>
                <w:sz w:val="22"/>
                <w:szCs w:val="22"/>
                <w:highlight w:val="none"/>
                <w:lang w:eastAsia="zh-CN"/>
              </w:rPr>
              <w:t>分</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新宋体" w:hAnsi="新宋体" w:eastAsia="新宋体"/>
                <w:color w:val="auto"/>
                <w:kern w:val="0"/>
                <w:sz w:val="22"/>
                <w:szCs w:val="22"/>
                <w:highlight w:val="none"/>
              </w:rPr>
            </w:pPr>
            <w:r>
              <w:rPr>
                <w:rFonts w:hint="eastAsia" w:ascii="新宋体" w:hAnsi="新宋体" w:eastAsia="新宋体"/>
                <w:color w:val="auto"/>
                <w:kern w:val="0"/>
                <w:sz w:val="22"/>
                <w:szCs w:val="22"/>
                <w:highlight w:val="none"/>
              </w:rPr>
              <w:t>11</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新宋体" w:hAnsi="新宋体" w:eastAsia="新宋体"/>
                <w:color w:val="auto"/>
                <w:kern w:val="0"/>
                <w:sz w:val="22"/>
                <w:szCs w:val="22"/>
                <w:highlight w:val="none"/>
              </w:rPr>
            </w:pPr>
            <w:r>
              <w:rPr>
                <w:rFonts w:hint="eastAsia" w:ascii="新宋体" w:hAnsi="新宋体" w:eastAsia="新宋体"/>
                <w:color w:val="auto"/>
                <w:kern w:val="0"/>
                <w:sz w:val="22"/>
                <w:szCs w:val="22"/>
                <w:highlight w:val="none"/>
              </w:rPr>
              <w:t>分包</w:t>
            </w:r>
          </w:p>
        </w:tc>
        <w:tc>
          <w:tcPr>
            <w:tcW w:w="74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新宋体" w:hAnsi="新宋体" w:eastAsia="新宋体"/>
                <w:color w:val="auto"/>
                <w:kern w:val="0"/>
                <w:sz w:val="22"/>
                <w:szCs w:val="22"/>
                <w:highlight w:val="none"/>
              </w:rPr>
            </w:pPr>
            <w:r>
              <w:rPr>
                <w:rFonts w:hint="eastAsia" w:ascii="宋体" w:hAnsi="宋体" w:eastAsia="宋体" w:cs="宋体"/>
                <w:color w:val="auto"/>
                <w:kern w:val="0"/>
                <w:sz w:val="22"/>
                <w:szCs w:val="22"/>
                <w:highlight w:val="none"/>
              </w:rPr>
              <w:t>允许，非核心内容允许企业合理分包，若分包需在</w:t>
            </w:r>
            <w:r>
              <w:rPr>
                <w:rFonts w:hint="eastAsia" w:ascii="宋体" w:hAnsi="宋体" w:cs="宋体"/>
                <w:color w:val="auto"/>
                <w:kern w:val="0"/>
                <w:sz w:val="22"/>
                <w:szCs w:val="22"/>
                <w:highlight w:val="none"/>
                <w:lang w:eastAsia="zh-CN"/>
              </w:rPr>
              <w:t>磋商响应文件</w:t>
            </w:r>
            <w:r>
              <w:rPr>
                <w:rFonts w:hint="eastAsia" w:ascii="宋体" w:hAnsi="宋体" w:eastAsia="宋体" w:cs="宋体"/>
                <w:color w:val="auto"/>
                <w:kern w:val="0"/>
                <w:sz w:val="22"/>
                <w:szCs w:val="22"/>
                <w:highlight w:val="none"/>
              </w:rPr>
              <w:t>内提供分包意向书，明确分包内容及金额比例</w:t>
            </w:r>
            <w:r>
              <w:rPr>
                <w:rFonts w:hint="eastAsia" w:ascii="宋体" w:hAnsi="宋体" w:cs="宋体"/>
                <w:color w:val="auto"/>
                <w:kern w:val="0"/>
                <w:sz w:val="22"/>
                <w:szCs w:val="22"/>
                <w:highlight w:val="none"/>
                <w:lang w:eastAsia="zh-CN"/>
              </w:rPr>
              <w:t>，</w:t>
            </w:r>
            <w:r>
              <w:rPr>
                <w:rFonts w:hint="eastAsia" w:ascii="宋体" w:hAnsi="宋体" w:cs="宋体"/>
                <w:color w:val="auto"/>
                <w:kern w:val="0"/>
                <w:sz w:val="22"/>
                <w:szCs w:val="22"/>
                <w:highlight w:val="none"/>
                <w:lang w:val="en-US" w:eastAsia="zh-CN"/>
              </w:rPr>
              <w:t>且须符合《政府采购促进中小企业发展管理办法》等相关文件的规定</w:t>
            </w:r>
            <w:r>
              <w:rPr>
                <w:rFonts w:hint="eastAsia" w:ascii="宋体" w:hAnsi="宋体" w:eastAsia="宋体" w:cs="宋体"/>
                <w:color w:val="auto"/>
                <w:kern w:val="0"/>
                <w:sz w:val="22"/>
                <w:szCs w:val="22"/>
                <w:highlight w:val="none"/>
              </w:rPr>
              <w:t>。</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新宋体" w:hAnsi="新宋体" w:eastAsia="新宋体"/>
                <w:color w:val="auto"/>
                <w:kern w:val="0"/>
                <w:sz w:val="22"/>
                <w:szCs w:val="22"/>
                <w:highlight w:val="none"/>
              </w:rPr>
            </w:pPr>
            <w:r>
              <w:rPr>
                <w:rFonts w:hint="eastAsia" w:ascii="新宋体" w:hAnsi="新宋体" w:eastAsia="新宋体"/>
                <w:color w:val="auto"/>
                <w:kern w:val="0"/>
                <w:sz w:val="22"/>
                <w:szCs w:val="22"/>
                <w:highlight w:val="none"/>
              </w:rPr>
              <w:t>12</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新宋体" w:hAnsi="新宋体" w:eastAsia="新宋体"/>
                <w:color w:val="auto"/>
                <w:kern w:val="0"/>
                <w:sz w:val="22"/>
                <w:szCs w:val="22"/>
                <w:highlight w:val="none"/>
              </w:rPr>
            </w:pPr>
            <w:r>
              <w:rPr>
                <w:rFonts w:hint="eastAsia" w:ascii="新宋体" w:hAnsi="新宋体" w:eastAsia="新宋体"/>
                <w:color w:val="auto"/>
                <w:kern w:val="0"/>
                <w:sz w:val="22"/>
                <w:szCs w:val="22"/>
                <w:highlight w:val="none"/>
              </w:rPr>
              <w:t>偏离</w:t>
            </w:r>
          </w:p>
        </w:tc>
        <w:tc>
          <w:tcPr>
            <w:tcW w:w="74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新宋体" w:hAnsi="新宋体" w:eastAsia="新宋体"/>
                <w:color w:val="auto"/>
                <w:kern w:val="0"/>
                <w:sz w:val="22"/>
                <w:szCs w:val="22"/>
                <w:highlight w:val="none"/>
              </w:rPr>
            </w:pPr>
            <w:r>
              <w:rPr>
                <w:rFonts w:hint="eastAsia" w:ascii="新宋体" w:hAnsi="新宋体" w:eastAsia="新宋体"/>
                <w:color w:val="auto"/>
                <w:kern w:val="0"/>
                <w:sz w:val="22"/>
                <w:szCs w:val="22"/>
                <w:highlight w:val="none"/>
              </w:rPr>
              <w:t>偏差允许幅度及其处理方法：允许细微偏差，不允许重大偏差。由磋商小组判断，细微偏差要求供应商在评审结束前予以澄清、说明或补正，不接受要求进行的，磋商小组有权做无效标处理，详见评审及磋商办法。</w:t>
            </w:r>
          </w:p>
        </w:tc>
      </w:tr>
      <w:tr>
        <w:tblPrEx>
          <w:tblCellMar>
            <w:top w:w="0" w:type="dxa"/>
            <w:left w:w="108" w:type="dxa"/>
            <w:bottom w:w="0" w:type="dxa"/>
            <w:right w:w="108" w:type="dxa"/>
          </w:tblCellMar>
        </w:tblPrEx>
        <w:trPr>
          <w:trHeight w:val="780"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新宋体" w:hAnsi="新宋体" w:eastAsia="新宋体"/>
                <w:color w:val="auto"/>
                <w:kern w:val="0"/>
                <w:sz w:val="22"/>
                <w:szCs w:val="22"/>
                <w:highlight w:val="none"/>
              </w:rPr>
            </w:pPr>
            <w:r>
              <w:rPr>
                <w:rFonts w:hint="eastAsia" w:ascii="新宋体" w:hAnsi="新宋体" w:eastAsia="新宋体"/>
                <w:color w:val="auto"/>
                <w:kern w:val="0"/>
                <w:sz w:val="22"/>
                <w:szCs w:val="22"/>
                <w:highlight w:val="none"/>
              </w:rPr>
              <w:t>13</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新宋体" w:hAnsi="新宋体" w:eastAsia="新宋体"/>
                <w:color w:val="auto"/>
                <w:kern w:val="0"/>
                <w:sz w:val="22"/>
                <w:szCs w:val="22"/>
                <w:highlight w:val="none"/>
              </w:rPr>
            </w:pPr>
            <w:r>
              <w:rPr>
                <w:rFonts w:hint="eastAsia" w:ascii="新宋体" w:hAnsi="新宋体" w:eastAsia="新宋体"/>
                <w:color w:val="auto"/>
                <w:kern w:val="0"/>
                <w:sz w:val="22"/>
                <w:szCs w:val="22"/>
                <w:highlight w:val="none"/>
              </w:rPr>
              <w:t>磋商响应文件有效期</w:t>
            </w:r>
          </w:p>
        </w:tc>
        <w:tc>
          <w:tcPr>
            <w:tcW w:w="74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新宋体" w:hAnsi="新宋体" w:eastAsia="新宋体"/>
                <w:color w:val="auto"/>
                <w:kern w:val="0"/>
                <w:sz w:val="22"/>
                <w:szCs w:val="22"/>
                <w:highlight w:val="none"/>
              </w:rPr>
            </w:pPr>
            <w:r>
              <w:rPr>
                <w:rFonts w:hint="eastAsia" w:ascii="新宋体" w:hAnsi="新宋体" w:eastAsia="新宋体"/>
                <w:color w:val="auto"/>
                <w:kern w:val="0"/>
                <w:sz w:val="22"/>
                <w:szCs w:val="22"/>
                <w:highlight w:val="none"/>
              </w:rPr>
              <w:t>磋商响应文件自磋商响应文件递交截止时间起生效，有效期</w:t>
            </w:r>
            <w:r>
              <w:rPr>
                <w:rFonts w:hint="eastAsia" w:ascii="新宋体" w:hAnsi="新宋体" w:eastAsia="新宋体"/>
                <w:color w:val="auto"/>
                <w:kern w:val="0"/>
                <w:sz w:val="22"/>
                <w:szCs w:val="22"/>
                <w:highlight w:val="none"/>
                <w:u w:val="single"/>
              </w:rPr>
              <w:t>90</w:t>
            </w:r>
            <w:r>
              <w:rPr>
                <w:rFonts w:hint="eastAsia" w:ascii="新宋体" w:hAnsi="新宋体" w:eastAsia="新宋体"/>
                <w:color w:val="auto"/>
                <w:kern w:val="0"/>
                <w:sz w:val="22"/>
                <w:szCs w:val="22"/>
                <w:highlight w:val="none"/>
              </w:rPr>
              <w:t>天。</w:t>
            </w:r>
          </w:p>
        </w:tc>
      </w:tr>
      <w:tr>
        <w:tblPrEx>
          <w:tblCellMar>
            <w:top w:w="0" w:type="dxa"/>
            <w:left w:w="108" w:type="dxa"/>
            <w:bottom w:w="0" w:type="dxa"/>
            <w:right w:w="108" w:type="dxa"/>
          </w:tblCellMar>
        </w:tblPrEx>
        <w:trPr>
          <w:trHeight w:val="615"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新宋体" w:hAnsi="新宋体" w:eastAsia="新宋体"/>
                <w:color w:val="auto"/>
                <w:kern w:val="0"/>
                <w:sz w:val="22"/>
                <w:szCs w:val="22"/>
                <w:highlight w:val="none"/>
              </w:rPr>
            </w:pPr>
            <w:r>
              <w:rPr>
                <w:rFonts w:hint="eastAsia" w:ascii="新宋体" w:hAnsi="新宋体" w:eastAsia="新宋体"/>
                <w:color w:val="auto"/>
                <w:kern w:val="0"/>
                <w:sz w:val="22"/>
                <w:szCs w:val="22"/>
                <w:highlight w:val="none"/>
              </w:rPr>
              <w:t>14</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新宋体" w:hAnsi="新宋体" w:eastAsia="新宋体"/>
                <w:color w:val="auto"/>
                <w:kern w:val="0"/>
                <w:sz w:val="22"/>
                <w:szCs w:val="22"/>
                <w:highlight w:val="none"/>
              </w:rPr>
            </w:pPr>
            <w:r>
              <w:rPr>
                <w:rFonts w:hint="eastAsia" w:ascii="新宋体" w:hAnsi="新宋体" w:eastAsia="新宋体"/>
                <w:color w:val="auto"/>
                <w:kern w:val="0"/>
                <w:sz w:val="22"/>
                <w:szCs w:val="22"/>
                <w:highlight w:val="none"/>
              </w:rPr>
              <w:t>投标保证金</w:t>
            </w:r>
          </w:p>
        </w:tc>
        <w:tc>
          <w:tcPr>
            <w:tcW w:w="74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新宋体" w:hAnsi="新宋体" w:eastAsia="新宋体"/>
                <w:b/>
                <w:bCs/>
                <w:color w:val="auto"/>
                <w:kern w:val="0"/>
                <w:sz w:val="22"/>
                <w:szCs w:val="22"/>
                <w:highlight w:val="none"/>
                <w:u w:val="single"/>
              </w:rPr>
            </w:pPr>
            <w:r>
              <w:rPr>
                <w:rFonts w:hint="eastAsia" w:ascii="新宋体" w:hAnsi="新宋体" w:eastAsia="新宋体"/>
                <w:b/>
                <w:bCs/>
                <w:color w:val="auto"/>
                <w:kern w:val="0"/>
                <w:sz w:val="22"/>
                <w:szCs w:val="22"/>
                <w:highlight w:val="none"/>
                <w:u w:val="single"/>
              </w:rPr>
              <w:t>不提交</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新宋体" w:hAnsi="新宋体" w:eastAsia="新宋体"/>
                <w:color w:val="auto"/>
                <w:kern w:val="0"/>
                <w:sz w:val="22"/>
                <w:szCs w:val="22"/>
                <w:highlight w:val="none"/>
              </w:rPr>
            </w:pPr>
            <w:r>
              <w:rPr>
                <w:rFonts w:hint="eastAsia" w:ascii="新宋体" w:hAnsi="新宋体" w:eastAsia="新宋体"/>
                <w:color w:val="auto"/>
                <w:kern w:val="0"/>
                <w:sz w:val="22"/>
                <w:szCs w:val="22"/>
                <w:highlight w:val="none"/>
              </w:rPr>
              <w:t>15</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新宋体" w:hAnsi="新宋体" w:eastAsia="新宋体"/>
                <w:color w:val="auto"/>
                <w:kern w:val="0"/>
                <w:sz w:val="22"/>
                <w:szCs w:val="22"/>
                <w:highlight w:val="none"/>
              </w:rPr>
            </w:pPr>
            <w:r>
              <w:rPr>
                <w:rFonts w:hint="eastAsia" w:ascii="新宋体" w:hAnsi="新宋体" w:eastAsia="新宋体"/>
                <w:color w:val="auto"/>
                <w:kern w:val="0"/>
                <w:sz w:val="22"/>
                <w:szCs w:val="22"/>
                <w:highlight w:val="none"/>
              </w:rPr>
              <w:t>磋商响应文件形式、制作及组成</w:t>
            </w:r>
          </w:p>
        </w:tc>
        <w:tc>
          <w:tcPr>
            <w:tcW w:w="74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新宋体" w:hAnsi="新宋体" w:eastAsia="新宋体"/>
                <w:color w:val="auto"/>
                <w:kern w:val="0"/>
                <w:sz w:val="22"/>
                <w:szCs w:val="22"/>
                <w:highlight w:val="none"/>
              </w:rPr>
            </w:pPr>
            <w:r>
              <w:rPr>
                <w:rFonts w:ascii="新宋体" w:hAnsi="新宋体" w:eastAsia="新宋体"/>
                <w:color w:val="auto"/>
                <w:kern w:val="0"/>
                <w:sz w:val="22"/>
                <w:szCs w:val="22"/>
                <w:highlight w:val="none"/>
              </w:rPr>
              <w:t>本项目实行网上</w:t>
            </w:r>
            <w:r>
              <w:rPr>
                <w:rFonts w:hint="eastAsia" w:ascii="新宋体" w:hAnsi="新宋体" w:eastAsia="新宋体"/>
                <w:color w:val="auto"/>
                <w:kern w:val="0"/>
                <w:sz w:val="22"/>
                <w:szCs w:val="22"/>
                <w:highlight w:val="none"/>
              </w:rPr>
              <w:t>投标。</w:t>
            </w:r>
          </w:p>
          <w:p>
            <w:pPr>
              <w:spacing w:line="300" w:lineRule="exact"/>
              <w:rPr>
                <w:rFonts w:ascii="新宋体" w:hAnsi="新宋体" w:eastAsia="新宋体"/>
                <w:color w:val="auto"/>
                <w:kern w:val="0"/>
                <w:sz w:val="22"/>
                <w:szCs w:val="22"/>
                <w:highlight w:val="none"/>
              </w:rPr>
            </w:pPr>
            <w:r>
              <w:rPr>
                <w:rFonts w:hint="eastAsia" w:ascii="新宋体" w:hAnsi="新宋体" w:eastAsia="新宋体"/>
                <w:color w:val="auto"/>
                <w:kern w:val="0"/>
                <w:sz w:val="22"/>
                <w:szCs w:val="22"/>
                <w:highlight w:val="none"/>
              </w:rPr>
              <w:t>供应商应准备电子磋商响应文件、以介质存储的数据电文形式的备份磋商响应文件：</w:t>
            </w:r>
          </w:p>
          <w:p>
            <w:pPr>
              <w:spacing w:line="300" w:lineRule="exact"/>
              <w:rPr>
                <w:rFonts w:ascii="新宋体" w:hAnsi="新宋体" w:eastAsia="新宋体"/>
                <w:color w:val="auto"/>
                <w:kern w:val="0"/>
                <w:sz w:val="22"/>
                <w:szCs w:val="22"/>
                <w:highlight w:val="none"/>
              </w:rPr>
            </w:pPr>
            <w:r>
              <w:rPr>
                <w:rFonts w:hint="eastAsia" w:ascii="新宋体" w:hAnsi="新宋体" w:eastAsia="新宋体"/>
                <w:color w:val="auto"/>
                <w:kern w:val="0"/>
                <w:sz w:val="22"/>
                <w:szCs w:val="22"/>
                <w:highlight w:val="none"/>
              </w:rPr>
              <w:t>（1）电子磋商响应文件，按政采云平台</w:t>
            </w:r>
            <w:r>
              <w:rPr>
                <w:rFonts w:ascii="新宋体" w:hAnsi="新宋体" w:eastAsia="新宋体"/>
                <w:color w:val="auto"/>
                <w:kern w:val="0"/>
                <w:sz w:val="22"/>
                <w:szCs w:val="22"/>
                <w:highlight w:val="none"/>
              </w:rPr>
              <w:t>项目采购-电子招投标操作指南</w:t>
            </w:r>
            <w:r>
              <w:rPr>
                <w:rFonts w:hint="eastAsia" w:ascii="新宋体" w:hAnsi="新宋体" w:eastAsia="新宋体"/>
                <w:color w:val="auto"/>
                <w:kern w:val="0"/>
                <w:sz w:val="22"/>
                <w:szCs w:val="22"/>
                <w:highlight w:val="none"/>
              </w:rPr>
              <w:t>及本竞争性磋商采购文件要求递交</w:t>
            </w:r>
            <w:r>
              <w:rPr>
                <w:rFonts w:ascii="新宋体" w:hAnsi="新宋体" w:eastAsia="新宋体"/>
                <w:color w:val="auto"/>
                <w:kern w:val="0"/>
                <w:sz w:val="22"/>
                <w:szCs w:val="22"/>
                <w:highlight w:val="none"/>
              </w:rPr>
              <w:t>。</w:t>
            </w:r>
          </w:p>
          <w:p>
            <w:pPr>
              <w:spacing w:line="300" w:lineRule="exact"/>
              <w:rPr>
                <w:rFonts w:ascii="新宋体" w:hAnsi="新宋体" w:eastAsia="新宋体"/>
                <w:color w:val="auto"/>
                <w:kern w:val="0"/>
                <w:sz w:val="22"/>
                <w:szCs w:val="22"/>
                <w:highlight w:val="none"/>
              </w:rPr>
            </w:pPr>
            <w:r>
              <w:rPr>
                <w:rFonts w:hint="eastAsia" w:ascii="新宋体" w:hAnsi="新宋体" w:eastAsia="新宋体"/>
                <w:color w:val="auto"/>
                <w:kern w:val="0"/>
                <w:sz w:val="22"/>
                <w:szCs w:val="22"/>
                <w:highlight w:val="none"/>
              </w:rPr>
              <w:t>（2）以介质存储的数据电文形式的备份磋商响应文件，按政采云平台</w:t>
            </w:r>
            <w:r>
              <w:rPr>
                <w:rFonts w:ascii="新宋体" w:hAnsi="新宋体" w:eastAsia="新宋体"/>
                <w:color w:val="auto"/>
                <w:kern w:val="0"/>
                <w:sz w:val="22"/>
                <w:szCs w:val="22"/>
                <w:highlight w:val="none"/>
              </w:rPr>
              <w:t>项目采购-电子招投标操作指南</w:t>
            </w:r>
            <w:r>
              <w:rPr>
                <w:rFonts w:hint="eastAsia" w:ascii="新宋体" w:hAnsi="新宋体" w:eastAsia="新宋体"/>
                <w:color w:val="auto"/>
                <w:kern w:val="0"/>
                <w:sz w:val="22"/>
                <w:szCs w:val="22"/>
                <w:highlight w:val="none"/>
              </w:rPr>
              <w:t>中上传的电子磋商响应文件格式，以U盘形式提供。数量为1份。</w:t>
            </w:r>
          </w:p>
          <w:p>
            <w:pPr>
              <w:spacing w:line="300" w:lineRule="exact"/>
              <w:rPr>
                <w:rFonts w:ascii="新宋体" w:hAnsi="新宋体" w:eastAsia="新宋体"/>
                <w:color w:val="auto"/>
                <w:kern w:val="0"/>
                <w:sz w:val="22"/>
                <w:szCs w:val="22"/>
                <w:highlight w:val="none"/>
              </w:rPr>
            </w:pPr>
            <w:r>
              <w:rPr>
                <w:rFonts w:hint="eastAsia" w:ascii="新宋体" w:hAnsi="新宋体" w:eastAsia="新宋体"/>
                <w:color w:val="auto"/>
                <w:kern w:val="0"/>
                <w:sz w:val="22"/>
                <w:szCs w:val="22"/>
                <w:highlight w:val="none"/>
              </w:rPr>
              <w:t>磋商响应文件由资格审查资料、商务技术标、报价标三部分组成。</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kern w:val="0"/>
                <w:sz w:val="22"/>
                <w:szCs w:val="22"/>
                <w:highlight w:val="none"/>
              </w:rPr>
            </w:pPr>
            <w:r>
              <w:rPr>
                <w:rFonts w:hint="eastAsia" w:ascii="宋体" w:hAnsi="宋体"/>
                <w:color w:val="auto"/>
                <w:kern w:val="0"/>
                <w:sz w:val="22"/>
                <w:szCs w:val="22"/>
                <w:highlight w:val="none"/>
              </w:rPr>
              <w:t>16</w:t>
            </w:r>
          </w:p>
        </w:tc>
        <w:tc>
          <w:tcPr>
            <w:tcW w:w="203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jc w:val="center"/>
              <w:rPr>
                <w:rFonts w:ascii="宋体" w:hAnsi="宋体" w:cs="新宋体"/>
                <w:color w:val="auto"/>
                <w:kern w:val="0"/>
                <w:sz w:val="22"/>
                <w:szCs w:val="22"/>
                <w:highlight w:val="none"/>
                <w:lang w:val="zh-CN"/>
              </w:rPr>
            </w:pPr>
            <w:r>
              <w:rPr>
                <w:rFonts w:hint="eastAsia" w:ascii="宋体" w:hAnsi="宋体" w:cs="新宋体"/>
                <w:color w:val="auto"/>
                <w:kern w:val="0"/>
                <w:sz w:val="22"/>
                <w:szCs w:val="22"/>
                <w:highlight w:val="none"/>
                <w:lang w:val="zh-CN"/>
              </w:rPr>
              <w:t>磋商响应文件份数</w:t>
            </w:r>
          </w:p>
        </w:tc>
        <w:tc>
          <w:tcPr>
            <w:tcW w:w="7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rPr>
                <w:rFonts w:ascii="宋体" w:hAnsi="宋体" w:cs="新宋体"/>
                <w:color w:val="auto"/>
                <w:kern w:val="0"/>
                <w:sz w:val="22"/>
                <w:szCs w:val="22"/>
                <w:highlight w:val="none"/>
                <w:lang w:val="zh-CN"/>
              </w:rPr>
            </w:pPr>
            <w:r>
              <w:rPr>
                <w:rFonts w:hint="eastAsia" w:ascii="宋体" w:hAnsi="宋体" w:cs="新宋体"/>
                <w:color w:val="auto"/>
                <w:kern w:val="0"/>
                <w:sz w:val="22"/>
                <w:szCs w:val="22"/>
                <w:highlight w:val="none"/>
                <w:lang w:val="zh-CN"/>
              </w:rPr>
              <w:t>（1）“电子加密磋商响应文件”：在线上传递交、一份。</w:t>
            </w:r>
          </w:p>
          <w:p>
            <w:pPr>
              <w:autoSpaceDE w:val="0"/>
              <w:autoSpaceDN w:val="0"/>
              <w:adjustRightInd w:val="0"/>
              <w:spacing w:line="300" w:lineRule="atLeast"/>
              <w:rPr>
                <w:rFonts w:ascii="宋体" w:hAnsi="宋体" w:cs="新宋体"/>
                <w:color w:val="auto"/>
                <w:kern w:val="0"/>
                <w:sz w:val="22"/>
                <w:szCs w:val="22"/>
                <w:highlight w:val="none"/>
                <w:lang w:val="zh-CN"/>
              </w:rPr>
            </w:pPr>
            <w:r>
              <w:rPr>
                <w:rFonts w:hint="eastAsia" w:ascii="宋体" w:hAnsi="宋体" w:cs="新宋体"/>
                <w:color w:val="auto"/>
                <w:kern w:val="0"/>
                <w:sz w:val="22"/>
                <w:szCs w:val="22"/>
                <w:highlight w:val="none"/>
                <w:lang w:val="zh-CN"/>
              </w:rPr>
              <w:t>（2）“备份磋商响应文件”：以U盘存储，密封包装后（可采用顺丰快递形式）在</w:t>
            </w:r>
            <w:r>
              <w:rPr>
                <w:rFonts w:hint="eastAsia" w:ascii="宋体" w:hAnsi="宋体"/>
                <w:color w:val="auto"/>
                <w:kern w:val="0"/>
                <w:sz w:val="22"/>
                <w:szCs w:val="22"/>
                <w:highlight w:val="none"/>
              </w:rPr>
              <w:t>磋商响应文件递交截止时间</w:t>
            </w:r>
            <w:r>
              <w:rPr>
                <w:rFonts w:hint="eastAsia" w:ascii="宋体" w:hAnsi="宋体" w:cs="新宋体"/>
                <w:color w:val="auto"/>
                <w:kern w:val="0"/>
                <w:sz w:val="22"/>
                <w:szCs w:val="22"/>
                <w:highlight w:val="none"/>
                <w:lang w:val="zh-CN"/>
              </w:rPr>
              <w:t>前递交，一份，邮寄地址：</w:t>
            </w:r>
            <w:r>
              <w:rPr>
                <w:rFonts w:hint="eastAsia" w:ascii="宋体" w:hAnsi="宋体" w:cs="新宋体"/>
                <w:color w:val="auto"/>
                <w:kern w:val="0"/>
                <w:sz w:val="22"/>
                <w:szCs w:val="22"/>
                <w:highlight w:val="none"/>
              </w:rPr>
              <w:t>温州市瓯海区新桥街道高昂路1号牛山广场2号楼1409室</w:t>
            </w:r>
            <w:r>
              <w:rPr>
                <w:rFonts w:hint="eastAsia" w:ascii="宋体" w:hAnsi="宋体" w:cs="新宋体"/>
                <w:color w:val="auto"/>
                <w:kern w:val="0"/>
                <w:sz w:val="22"/>
                <w:szCs w:val="22"/>
                <w:highlight w:val="none"/>
                <w:lang w:val="zh-CN"/>
              </w:rPr>
              <w:t>，苏先生收。</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kern w:val="0"/>
                <w:sz w:val="22"/>
                <w:szCs w:val="22"/>
                <w:highlight w:val="none"/>
              </w:rPr>
            </w:pPr>
            <w:r>
              <w:rPr>
                <w:rFonts w:hint="eastAsia" w:ascii="宋体" w:hAnsi="宋体"/>
                <w:color w:val="auto"/>
                <w:kern w:val="0"/>
                <w:sz w:val="22"/>
                <w:szCs w:val="22"/>
                <w:highlight w:val="none"/>
              </w:rPr>
              <w:t>17</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kern w:val="0"/>
                <w:sz w:val="22"/>
                <w:szCs w:val="22"/>
                <w:highlight w:val="none"/>
              </w:rPr>
            </w:pPr>
            <w:r>
              <w:rPr>
                <w:rFonts w:hint="eastAsia" w:ascii="宋体" w:hAnsi="宋体" w:cs="新宋体"/>
                <w:color w:val="auto"/>
                <w:kern w:val="0"/>
                <w:sz w:val="22"/>
                <w:szCs w:val="22"/>
                <w:highlight w:val="none"/>
              </w:rPr>
              <w:t>磋商响应文件签字或盖章要求</w:t>
            </w:r>
          </w:p>
        </w:tc>
        <w:tc>
          <w:tcPr>
            <w:tcW w:w="7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rPr>
                <w:rFonts w:ascii="宋体" w:hAnsi="宋体" w:cs="新宋体"/>
                <w:color w:val="auto"/>
                <w:kern w:val="0"/>
                <w:sz w:val="22"/>
                <w:szCs w:val="22"/>
                <w:highlight w:val="none"/>
                <w:lang w:val="zh-CN"/>
              </w:rPr>
            </w:pPr>
            <w:r>
              <w:rPr>
                <w:rFonts w:hint="eastAsia" w:ascii="宋体" w:hAnsi="宋体" w:cs="宋体"/>
                <w:color w:val="auto"/>
                <w:kern w:val="0"/>
                <w:sz w:val="22"/>
                <w:szCs w:val="22"/>
                <w:highlight w:val="none"/>
                <w:lang w:val="zh-CN"/>
              </w:rPr>
              <w:t>磋商响应文件的相应位置应：由投标人代表签字并加盖有效公章（电子签章）</w:t>
            </w:r>
            <w:r>
              <w:rPr>
                <w:rFonts w:hint="eastAsia" w:ascii="宋体" w:hAnsi="宋体" w:cs="新宋体"/>
                <w:color w:val="auto"/>
                <w:kern w:val="0"/>
                <w:sz w:val="22"/>
                <w:szCs w:val="22"/>
                <w:highlight w:val="none"/>
                <w:lang w:val="zh-CN"/>
              </w:rPr>
              <w:t>。</w:t>
            </w:r>
          </w:p>
        </w:tc>
      </w:tr>
      <w:tr>
        <w:tblPrEx>
          <w:tblCellMar>
            <w:top w:w="0" w:type="dxa"/>
            <w:left w:w="108" w:type="dxa"/>
            <w:bottom w:w="0" w:type="dxa"/>
            <w:right w:w="108" w:type="dxa"/>
          </w:tblCellMar>
        </w:tblPrEx>
        <w:trPr>
          <w:trHeight w:val="725"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kern w:val="0"/>
                <w:sz w:val="22"/>
                <w:szCs w:val="22"/>
                <w:highlight w:val="none"/>
              </w:rPr>
            </w:pPr>
            <w:r>
              <w:rPr>
                <w:rFonts w:hint="eastAsia" w:ascii="宋体" w:hAnsi="宋体"/>
                <w:color w:val="auto"/>
                <w:kern w:val="0"/>
                <w:sz w:val="22"/>
                <w:szCs w:val="22"/>
                <w:highlight w:val="none"/>
              </w:rPr>
              <w:t>18</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kern w:val="0"/>
                <w:sz w:val="22"/>
                <w:szCs w:val="22"/>
                <w:highlight w:val="none"/>
              </w:rPr>
            </w:pPr>
            <w:r>
              <w:rPr>
                <w:rFonts w:hint="eastAsia" w:ascii="宋体" w:hAnsi="宋体"/>
                <w:color w:val="auto"/>
                <w:kern w:val="0"/>
                <w:sz w:val="22"/>
                <w:szCs w:val="22"/>
                <w:highlight w:val="none"/>
              </w:rPr>
              <w:t>磋商响应文件的上传和递交</w:t>
            </w:r>
          </w:p>
        </w:tc>
        <w:tc>
          <w:tcPr>
            <w:tcW w:w="7419" w:type="dxa"/>
            <w:tcBorders>
              <w:top w:val="single" w:color="auto" w:sz="4" w:space="0"/>
              <w:left w:val="single" w:color="auto" w:sz="4" w:space="0"/>
              <w:bottom w:val="single" w:color="auto" w:sz="4" w:space="0"/>
              <w:right w:val="single" w:color="auto" w:sz="4" w:space="0"/>
            </w:tcBorders>
            <w:vAlign w:val="center"/>
          </w:tcPr>
          <w:p>
            <w:pPr>
              <w:rPr>
                <w:rFonts w:ascii="宋体" w:hAnsi="宋体" w:cs="新宋体"/>
                <w:color w:val="auto"/>
                <w:kern w:val="0"/>
                <w:sz w:val="22"/>
                <w:szCs w:val="22"/>
                <w:highlight w:val="none"/>
              </w:rPr>
            </w:pPr>
            <w:r>
              <w:rPr>
                <w:rFonts w:hint="eastAsia" w:ascii="宋体" w:hAnsi="宋体" w:cs="新宋体"/>
                <w:color w:val="auto"/>
                <w:kern w:val="0"/>
                <w:sz w:val="22"/>
                <w:szCs w:val="22"/>
                <w:highlight w:val="none"/>
              </w:rPr>
              <w:t>（1）供应商应当在磋商响应文件递交截止时间前完成电子磋商响应文件的传输递交，并可以补充、修改或者撤回电子磋商响应文件。补充或者修改电子磋商响应文件的，应当先行撤回原文件，补充、修改后重新传输递交。</w:t>
            </w:r>
            <w:r>
              <w:rPr>
                <w:rFonts w:hint="eastAsia" w:ascii="宋体" w:hAnsi="宋体" w:cs="新宋体"/>
                <w:color w:val="auto"/>
                <w:kern w:val="0"/>
                <w:sz w:val="22"/>
                <w:szCs w:val="22"/>
                <w:highlight w:val="none"/>
                <w:lang w:eastAsia="zh-CN"/>
              </w:rPr>
              <w:t>磋商响应截止</w:t>
            </w:r>
            <w:r>
              <w:rPr>
                <w:rFonts w:hint="eastAsia" w:ascii="宋体" w:hAnsi="宋体" w:cs="新宋体"/>
                <w:color w:val="auto"/>
                <w:kern w:val="0"/>
                <w:sz w:val="22"/>
                <w:szCs w:val="22"/>
                <w:highlight w:val="none"/>
              </w:rPr>
              <w:t>时间前未完成传输的，视为撤回磋商响应文件。磋商响应文件递交截止时间后送达的磋商响应文件，将被政采云平台拒收。</w:t>
            </w:r>
          </w:p>
          <w:p>
            <w:pPr>
              <w:rPr>
                <w:rFonts w:ascii="宋体" w:hAnsi="宋体" w:cs="新宋体"/>
                <w:color w:val="auto"/>
                <w:kern w:val="0"/>
                <w:sz w:val="22"/>
                <w:szCs w:val="22"/>
                <w:highlight w:val="none"/>
              </w:rPr>
            </w:pPr>
            <w:r>
              <w:rPr>
                <w:rFonts w:hint="eastAsia" w:ascii="宋体" w:hAnsi="宋体" w:cs="新宋体"/>
                <w:color w:val="auto"/>
                <w:kern w:val="0"/>
                <w:sz w:val="22"/>
                <w:szCs w:val="22"/>
                <w:highlight w:val="none"/>
              </w:rPr>
              <w:t>（2）供应商应当在</w:t>
            </w:r>
            <w:r>
              <w:rPr>
                <w:rFonts w:hint="eastAsia" w:ascii="宋体" w:hAnsi="宋体"/>
                <w:color w:val="auto"/>
                <w:kern w:val="0"/>
                <w:sz w:val="22"/>
                <w:szCs w:val="22"/>
                <w:highlight w:val="none"/>
              </w:rPr>
              <w:t>磋商响应文件递交截止时间</w:t>
            </w:r>
            <w:r>
              <w:rPr>
                <w:rFonts w:hint="eastAsia" w:ascii="宋体" w:hAnsi="宋体" w:cs="新宋体"/>
                <w:color w:val="auto"/>
                <w:kern w:val="0"/>
                <w:sz w:val="22"/>
                <w:szCs w:val="22"/>
                <w:highlight w:val="none"/>
              </w:rPr>
              <w:t>之前将以介质存储的数据电文形式的备份磋商响应文件密封送交到温州市瓯海区新桥街道高昂路1号牛山广场2号楼1409室，逾期送达或未密封将被拒收。</w:t>
            </w:r>
          </w:p>
          <w:p>
            <w:pPr>
              <w:rPr>
                <w:rFonts w:ascii="宋体" w:hAnsi="宋体" w:cs="新宋体"/>
                <w:color w:val="auto"/>
                <w:kern w:val="0"/>
                <w:sz w:val="22"/>
                <w:szCs w:val="22"/>
                <w:highlight w:val="none"/>
              </w:rPr>
            </w:pPr>
            <w:r>
              <w:rPr>
                <w:rFonts w:hint="eastAsia" w:ascii="宋体" w:hAnsi="宋体" w:cs="新宋体"/>
                <w:color w:val="auto"/>
                <w:kern w:val="0"/>
                <w:sz w:val="22"/>
                <w:szCs w:val="22"/>
                <w:highlight w:val="none"/>
              </w:rPr>
              <w:t>供应商递交以介质存储的数据电文形式的备份磋商响应文件时，如出现下列情况之一的，将被拒收：</w:t>
            </w:r>
          </w:p>
          <w:p>
            <w:pPr>
              <w:rPr>
                <w:rFonts w:ascii="宋体" w:hAnsi="宋体" w:cs="新宋体"/>
                <w:color w:val="auto"/>
                <w:kern w:val="0"/>
                <w:sz w:val="22"/>
                <w:szCs w:val="22"/>
                <w:highlight w:val="none"/>
              </w:rPr>
            </w:pPr>
            <w:r>
              <w:rPr>
                <w:rFonts w:hint="eastAsia" w:ascii="宋体" w:hAnsi="宋体" w:cs="新宋体"/>
                <w:color w:val="auto"/>
                <w:kern w:val="0"/>
                <w:sz w:val="22"/>
                <w:szCs w:val="22"/>
                <w:highlight w:val="none"/>
              </w:rPr>
              <w:t>1.未按规定密封或标记的磋商响应文件；</w:t>
            </w:r>
          </w:p>
          <w:p>
            <w:pPr>
              <w:rPr>
                <w:rFonts w:ascii="宋体" w:hAnsi="宋体" w:cs="新宋体"/>
                <w:color w:val="auto"/>
                <w:kern w:val="0"/>
                <w:sz w:val="22"/>
                <w:szCs w:val="22"/>
                <w:highlight w:val="none"/>
              </w:rPr>
            </w:pPr>
            <w:r>
              <w:rPr>
                <w:rFonts w:hint="eastAsia" w:ascii="宋体" w:hAnsi="宋体" w:cs="新宋体"/>
                <w:color w:val="auto"/>
                <w:kern w:val="0"/>
                <w:sz w:val="22"/>
                <w:szCs w:val="22"/>
                <w:highlight w:val="none"/>
              </w:rPr>
              <w:t>2.由于包装不妥，在送交途中严重破损或失散的；</w:t>
            </w:r>
          </w:p>
          <w:p>
            <w:pPr>
              <w:rPr>
                <w:rFonts w:ascii="宋体" w:hAnsi="宋体" w:cs="新宋体"/>
                <w:color w:val="auto"/>
                <w:kern w:val="0"/>
                <w:sz w:val="22"/>
                <w:szCs w:val="22"/>
                <w:highlight w:val="none"/>
              </w:rPr>
            </w:pPr>
            <w:r>
              <w:rPr>
                <w:rFonts w:hint="eastAsia" w:ascii="宋体" w:hAnsi="宋体" w:cs="新宋体"/>
                <w:color w:val="auto"/>
                <w:kern w:val="0"/>
                <w:sz w:val="22"/>
                <w:szCs w:val="22"/>
                <w:highlight w:val="none"/>
              </w:rPr>
              <w:t>3.未成功办理供应商报名手续的；</w:t>
            </w:r>
          </w:p>
          <w:p>
            <w:pPr>
              <w:rPr>
                <w:rFonts w:ascii="宋体" w:hAnsi="宋体" w:cs="新宋体"/>
                <w:color w:val="auto"/>
                <w:kern w:val="0"/>
                <w:sz w:val="22"/>
                <w:szCs w:val="22"/>
                <w:highlight w:val="none"/>
              </w:rPr>
            </w:pPr>
            <w:r>
              <w:rPr>
                <w:rFonts w:hint="eastAsia" w:ascii="宋体" w:hAnsi="宋体" w:cs="新宋体"/>
                <w:color w:val="auto"/>
                <w:kern w:val="0"/>
                <w:sz w:val="22"/>
                <w:szCs w:val="22"/>
                <w:highlight w:val="none"/>
              </w:rPr>
              <w:t>4.超过磋商响应文件递交截止时间送达的。</w:t>
            </w:r>
          </w:p>
          <w:p>
            <w:pPr>
              <w:rPr>
                <w:rFonts w:ascii="宋体" w:hAnsi="宋体" w:cs="新宋体"/>
                <w:color w:val="auto"/>
                <w:kern w:val="0"/>
                <w:sz w:val="22"/>
                <w:szCs w:val="22"/>
                <w:highlight w:val="none"/>
              </w:rPr>
            </w:pPr>
            <w:r>
              <w:rPr>
                <w:rFonts w:hint="eastAsia" w:ascii="宋体" w:hAnsi="宋体" w:cs="新宋体"/>
                <w:color w:val="auto"/>
                <w:kern w:val="0"/>
                <w:sz w:val="22"/>
                <w:szCs w:val="22"/>
                <w:highlight w:val="none"/>
              </w:rPr>
              <w:t>5.仅提供备份磋商响应文件的，投标无效。</w:t>
            </w:r>
          </w:p>
          <w:p>
            <w:pPr>
              <w:rPr>
                <w:rFonts w:ascii="宋体" w:hAnsi="宋体" w:cs="新宋体"/>
                <w:color w:val="auto"/>
                <w:kern w:val="0"/>
                <w:sz w:val="22"/>
                <w:szCs w:val="22"/>
                <w:highlight w:val="none"/>
              </w:rPr>
            </w:pPr>
            <w:r>
              <w:rPr>
                <w:rFonts w:hint="eastAsia" w:ascii="宋体" w:hAnsi="宋体" w:cs="新宋体"/>
                <w:color w:val="auto"/>
                <w:kern w:val="0"/>
                <w:sz w:val="22"/>
                <w:szCs w:val="22"/>
                <w:highlight w:val="none"/>
              </w:rPr>
              <w:t>仅提供备份磋商响应文件，造成项目开标评审及磋商活动无法进行下去的，投标（磋商响应）无效，相关风险由供应商自行承担。</w:t>
            </w:r>
          </w:p>
        </w:tc>
      </w:tr>
      <w:tr>
        <w:tblPrEx>
          <w:tblCellMar>
            <w:top w:w="0" w:type="dxa"/>
            <w:left w:w="108" w:type="dxa"/>
            <w:bottom w:w="0" w:type="dxa"/>
            <w:right w:w="108" w:type="dxa"/>
          </w:tblCellMar>
        </w:tblPrEx>
        <w:trPr>
          <w:trHeight w:val="938"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kern w:val="0"/>
                <w:sz w:val="22"/>
                <w:szCs w:val="22"/>
                <w:highlight w:val="none"/>
              </w:rPr>
            </w:pPr>
            <w:r>
              <w:rPr>
                <w:rFonts w:hint="eastAsia" w:ascii="宋体" w:hAnsi="宋体"/>
                <w:color w:val="auto"/>
                <w:kern w:val="0"/>
                <w:sz w:val="22"/>
                <w:szCs w:val="22"/>
                <w:highlight w:val="none"/>
              </w:rPr>
              <w:t>19</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kern w:val="0"/>
                <w:sz w:val="22"/>
                <w:szCs w:val="22"/>
                <w:highlight w:val="none"/>
              </w:rPr>
            </w:pPr>
            <w:r>
              <w:rPr>
                <w:rFonts w:hint="eastAsia" w:ascii="宋体" w:hAnsi="宋体"/>
                <w:color w:val="auto"/>
                <w:kern w:val="0"/>
                <w:sz w:val="22"/>
                <w:szCs w:val="22"/>
                <w:highlight w:val="none"/>
              </w:rPr>
              <w:t>开标时间和</w:t>
            </w:r>
            <w:r>
              <w:rPr>
                <w:rFonts w:hint="eastAsia" w:ascii="宋体" w:hAnsi="宋体"/>
                <w:color w:val="auto"/>
                <w:kern w:val="0"/>
                <w:sz w:val="22"/>
                <w:szCs w:val="22"/>
                <w:highlight w:val="none"/>
                <w:lang w:val="en-US" w:eastAsia="zh-CN"/>
              </w:rPr>
              <w:t>开</w:t>
            </w:r>
            <w:r>
              <w:rPr>
                <w:rFonts w:hint="eastAsia" w:ascii="宋体" w:hAnsi="宋体"/>
                <w:color w:val="auto"/>
                <w:kern w:val="0"/>
                <w:sz w:val="22"/>
                <w:szCs w:val="22"/>
                <w:highlight w:val="none"/>
              </w:rPr>
              <w:t>评标地点</w:t>
            </w:r>
          </w:p>
        </w:tc>
        <w:tc>
          <w:tcPr>
            <w:tcW w:w="74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olor w:val="auto"/>
                <w:kern w:val="0"/>
                <w:sz w:val="22"/>
                <w:szCs w:val="22"/>
                <w:highlight w:val="none"/>
                <w:lang w:eastAsia="zh-CN"/>
              </w:rPr>
            </w:pPr>
            <w:r>
              <w:rPr>
                <w:rFonts w:hint="eastAsia" w:ascii="宋体" w:hAnsi="宋体"/>
                <w:color w:val="auto"/>
                <w:kern w:val="0"/>
                <w:sz w:val="22"/>
                <w:szCs w:val="22"/>
                <w:highlight w:val="none"/>
              </w:rPr>
              <w:t>开标时间</w:t>
            </w:r>
            <w:r>
              <w:rPr>
                <w:rFonts w:hint="eastAsia" w:ascii="宋体" w:hAnsi="宋体" w:cs="新宋体"/>
                <w:color w:val="auto"/>
                <w:kern w:val="0"/>
                <w:sz w:val="22"/>
                <w:szCs w:val="22"/>
                <w:highlight w:val="none"/>
              </w:rPr>
              <w:t>：</w:t>
            </w:r>
            <w:r>
              <w:rPr>
                <w:rFonts w:hint="eastAsia" w:ascii="新宋体" w:hAnsi="新宋体" w:eastAsia="新宋体"/>
                <w:color w:val="auto"/>
                <w:kern w:val="0"/>
                <w:sz w:val="22"/>
                <w:szCs w:val="22"/>
                <w:highlight w:val="none"/>
                <w:lang w:eastAsia="zh-CN"/>
              </w:rPr>
              <w:t>2024年</w:t>
            </w:r>
            <w:r>
              <w:rPr>
                <w:rFonts w:hint="eastAsia" w:ascii="新宋体" w:hAnsi="新宋体" w:eastAsia="新宋体"/>
                <w:color w:val="auto"/>
                <w:kern w:val="0"/>
                <w:sz w:val="22"/>
                <w:szCs w:val="22"/>
                <w:highlight w:val="none"/>
                <w:lang w:val="en-US" w:eastAsia="zh-CN"/>
              </w:rPr>
              <w:t>04</w:t>
            </w:r>
            <w:r>
              <w:rPr>
                <w:rFonts w:hint="eastAsia" w:ascii="新宋体" w:hAnsi="新宋体" w:eastAsia="新宋体"/>
                <w:color w:val="auto"/>
                <w:kern w:val="0"/>
                <w:sz w:val="22"/>
                <w:szCs w:val="22"/>
                <w:highlight w:val="none"/>
                <w:lang w:eastAsia="zh-CN"/>
              </w:rPr>
              <w:t>月</w:t>
            </w:r>
            <w:r>
              <w:rPr>
                <w:rFonts w:hint="eastAsia" w:ascii="新宋体" w:hAnsi="新宋体" w:eastAsia="新宋体"/>
                <w:color w:val="auto"/>
                <w:kern w:val="0"/>
                <w:sz w:val="22"/>
                <w:szCs w:val="22"/>
                <w:highlight w:val="none"/>
                <w:lang w:val="en-US" w:eastAsia="zh-CN"/>
              </w:rPr>
              <w:t>12</w:t>
            </w:r>
            <w:r>
              <w:rPr>
                <w:rFonts w:hint="eastAsia" w:ascii="新宋体" w:hAnsi="新宋体" w:eastAsia="新宋体"/>
                <w:color w:val="auto"/>
                <w:kern w:val="0"/>
                <w:sz w:val="22"/>
                <w:szCs w:val="22"/>
                <w:highlight w:val="none"/>
                <w:lang w:eastAsia="zh-CN"/>
              </w:rPr>
              <w:t>日</w:t>
            </w:r>
            <w:r>
              <w:rPr>
                <w:rFonts w:hint="eastAsia" w:ascii="新宋体" w:hAnsi="新宋体" w:eastAsia="新宋体"/>
                <w:color w:val="auto"/>
                <w:kern w:val="0"/>
                <w:sz w:val="22"/>
                <w:szCs w:val="22"/>
                <w:highlight w:val="none"/>
                <w:lang w:val="en-US" w:eastAsia="zh-CN"/>
              </w:rPr>
              <w:t>09</w:t>
            </w:r>
            <w:r>
              <w:rPr>
                <w:rFonts w:hint="eastAsia" w:ascii="新宋体" w:hAnsi="新宋体" w:eastAsia="新宋体"/>
                <w:color w:val="auto"/>
                <w:kern w:val="0"/>
                <w:sz w:val="22"/>
                <w:szCs w:val="22"/>
                <w:highlight w:val="none"/>
                <w:lang w:eastAsia="zh-CN"/>
              </w:rPr>
              <w:t>时</w:t>
            </w:r>
            <w:r>
              <w:rPr>
                <w:rFonts w:hint="eastAsia" w:ascii="新宋体" w:hAnsi="新宋体" w:eastAsia="新宋体"/>
                <w:color w:val="auto"/>
                <w:kern w:val="0"/>
                <w:sz w:val="22"/>
                <w:szCs w:val="22"/>
                <w:highlight w:val="none"/>
                <w:lang w:val="en-US" w:eastAsia="zh-CN"/>
              </w:rPr>
              <w:t>00</w:t>
            </w:r>
            <w:r>
              <w:rPr>
                <w:rFonts w:hint="eastAsia" w:ascii="新宋体" w:hAnsi="新宋体" w:eastAsia="新宋体"/>
                <w:color w:val="auto"/>
                <w:kern w:val="0"/>
                <w:sz w:val="22"/>
                <w:szCs w:val="22"/>
                <w:highlight w:val="none"/>
                <w:lang w:eastAsia="zh-CN"/>
              </w:rPr>
              <w:t>分</w:t>
            </w:r>
          </w:p>
          <w:p>
            <w:pPr>
              <w:spacing w:line="300" w:lineRule="exact"/>
              <w:rPr>
                <w:rFonts w:hint="default" w:ascii="宋体" w:hAnsi="宋体" w:eastAsia="宋体"/>
                <w:color w:val="auto"/>
                <w:kern w:val="0"/>
                <w:sz w:val="22"/>
                <w:szCs w:val="22"/>
                <w:highlight w:val="none"/>
                <w:lang w:val="en-US" w:eastAsia="zh-CN"/>
              </w:rPr>
            </w:pPr>
            <w:r>
              <w:rPr>
                <w:rFonts w:hint="eastAsia" w:ascii="宋体" w:hAnsi="宋体"/>
                <w:color w:val="auto"/>
                <w:kern w:val="0"/>
                <w:sz w:val="22"/>
                <w:szCs w:val="22"/>
                <w:highlight w:val="none"/>
                <w:lang w:val="en-US" w:eastAsia="zh-CN"/>
              </w:rPr>
              <w:t>开标地点：政采云平台（www.zcygov.cn）在线开标</w:t>
            </w:r>
          </w:p>
          <w:p>
            <w:pPr>
              <w:spacing w:line="300" w:lineRule="exact"/>
              <w:rPr>
                <w:rFonts w:ascii="宋体" w:hAnsi="宋体"/>
                <w:color w:val="auto"/>
                <w:kern w:val="0"/>
                <w:sz w:val="22"/>
                <w:szCs w:val="22"/>
                <w:highlight w:val="none"/>
              </w:rPr>
            </w:pPr>
            <w:r>
              <w:rPr>
                <w:rFonts w:hint="eastAsia" w:ascii="宋体" w:hAnsi="宋体"/>
                <w:color w:val="auto"/>
                <w:kern w:val="0"/>
                <w:sz w:val="22"/>
                <w:szCs w:val="22"/>
                <w:highlight w:val="none"/>
              </w:rPr>
              <w:t>评标地点：</w:t>
            </w:r>
            <w:r>
              <w:rPr>
                <w:rFonts w:hint="eastAsia" w:ascii="宋体" w:hAnsi="宋体" w:cs="新宋体"/>
                <w:bCs/>
                <w:color w:val="auto"/>
                <w:kern w:val="0"/>
                <w:sz w:val="22"/>
                <w:szCs w:val="22"/>
                <w:highlight w:val="none"/>
              </w:rPr>
              <w:t>温州市瓯海区新桥街道高昂路1号牛山广场2号楼140</w:t>
            </w:r>
            <w:r>
              <w:rPr>
                <w:rFonts w:hint="eastAsia" w:ascii="宋体" w:hAnsi="宋体" w:cs="新宋体"/>
                <w:bCs/>
                <w:color w:val="auto"/>
                <w:kern w:val="0"/>
                <w:sz w:val="22"/>
                <w:szCs w:val="22"/>
                <w:highlight w:val="none"/>
                <w:lang w:val="en-US" w:eastAsia="zh-CN"/>
              </w:rPr>
              <w:t>9</w:t>
            </w:r>
            <w:r>
              <w:rPr>
                <w:rFonts w:hint="eastAsia" w:ascii="宋体" w:hAnsi="宋体" w:cs="新宋体"/>
                <w:bCs/>
                <w:color w:val="auto"/>
                <w:kern w:val="0"/>
                <w:sz w:val="22"/>
                <w:szCs w:val="22"/>
                <w:highlight w:val="none"/>
              </w:rPr>
              <w:t>室</w:t>
            </w:r>
          </w:p>
        </w:tc>
      </w:tr>
      <w:tr>
        <w:tblPrEx>
          <w:tblCellMar>
            <w:top w:w="0" w:type="dxa"/>
            <w:left w:w="108" w:type="dxa"/>
            <w:bottom w:w="0" w:type="dxa"/>
            <w:right w:w="108" w:type="dxa"/>
          </w:tblCellMar>
        </w:tblPrEx>
        <w:trPr>
          <w:trHeight w:val="699"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kern w:val="0"/>
                <w:sz w:val="22"/>
                <w:szCs w:val="22"/>
                <w:highlight w:val="none"/>
              </w:rPr>
            </w:pPr>
            <w:r>
              <w:rPr>
                <w:rFonts w:hint="eastAsia" w:ascii="宋体" w:hAnsi="宋体"/>
                <w:color w:val="auto"/>
                <w:kern w:val="0"/>
                <w:sz w:val="22"/>
                <w:szCs w:val="22"/>
                <w:highlight w:val="none"/>
              </w:rPr>
              <w:t>20</w:t>
            </w:r>
          </w:p>
        </w:tc>
        <w:tc>
          <w:tcPr>
            <w:tcW w:w="203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jc w:val="center"/>
              <w:rPr>
                <w:rFonts w:ascii="宋体" w:hAnsi="宋体" w:cs="新宋体"/>
                <w:color w:val="auto"/>
                <w:kern w:val="0"/>
                <w:sz w:val="22"/>
                <w:szCs w:val="22"/>
                <w:highlight w:val="none"/>
                <w:lang w:val="zh-CN"/>
              </w:rPr>
            </w:pPr>
            <w:r>
              <w:rPr>
                <w:rFonts w:hint="eastAsia" w:ascii="宋体" w:hAnsi="宋体" w:cs="新宋体"/>
                <w:color w:val="auto"/>
                <w:kern w:val="0"/>
                <w:sz w:val="22"/>
                <w:szCs w:val="22"/>
                <w:highlight w:val="none"/>
                <w:lang w:val="zh-CN"/>
              </w:rPr>
              <w:t>电子加密磋商响应文件的解密和异常情况处理</w:t>
            </w:r>
          </w:p>
        </w:tc>
        <w:tc>
          <w:tcPr>
            <w:tcW w:w="7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rPr>
                <w:rFonts w:ascii="宋体" w:hAnsi="宋体" w:cs="新宋体"/>
                <w:color w:val="auto"/>
                <w:kern w:val="0"/>
                <w:sz w:val="22"/>
                <w:szCs w:val="22"/>
                <w:highlight w:val="none"/>
                <w:lang w:val="zh-CN"/>
              </w:rPr>
            </w:pPr>
            <w:r>
              <w:rPr>
                <w:rFonts w:hint="eastAsia" w:ascii="宋体" w:hAnsi="宋体" w:cs="新宋体"/>
                <w:color w:val="auto"/>
                <w:kern w:val="0"/>
                <w:sz w:val="22"/>
                <w:szCs w:val="22"/>
                <w:highlight w:val="none"/>
                <w:lang w:val="zh-CN"/>
              </w:rPr>
              <w:t>（1）开标后，采购组织机构将向各供应商发出“电子加密磋商响应文件”的解密通知，各供应商代表应当在接到解密通知后30分钟内自行完成“电子加密磋商响应文件”的在线解密。</w:t>
            </w:r>
          </w:p>
          <w:p>
            <w:pPr>
              <w:autoSpaceDE w:val="0"/>
              <w:autoSpaceDN w:val="0"/>
              <w:adjustRightInd w:val="0"/>
              <w:spacing w:line="300" w:lineRule="atLeast"/>
              <w:rPr>
                <w:rFonts w:ascii="宋体" w:hAnsi="宋体" w:cs="新宋体"/>
                <w:color w:val="auto"/>
                <w:kern w:val="0"/>
                <w:sz w:val="22"/>
                <w:szCs w:val="22"/>
                <w:highlight w:val="none"/>
                <w:lang w:val="zh-CN"/>
              </w:rPr>
            </w:pPr>
            <w:r>
              <w:rPr>
                <w:rFonts w:hint="eastAsia" w:ascii="宋体" w:hAnsi="宋体" w:cs="新宋体"/>
                <w:color w:val="auto"/>
                <w:kern w:val="0"/>
                <w:sz w:val="22"/>
                <w:szCs w:val="22"/>
                <w:highlight w:val="none"/>
                <w:lang w:val="zh-CN"/>
              </w:rPr>
              <w:t>（2）通过“政采云平台”成功上传递交的“电子加密磋商响应文件”无法按时解密，供应商如按规定递交了“备份磋商响应文件”的，以“备份磋商响应文件”为依据（由采购组织机构按“政采云平台”操作规范将“备份磋商响应文件”上传至“政采云平台”，上传成功后，“电子加密磋商响应文件”自动失效），否则视为磋商响应文件撤回。</w:t>
            </w:r>
          </w:p>
          <w:p>
            <w:pPr>
              <w:autoSpaceDE w:val="0"/>
              <w:autoSpaceDN w:val="0"/>
              <w:adjustRightInd w:val="0"/>
              <w:spacing w:line="300" w:lineRule="atLeast"/>
              <w:rPr>
                <w:rFonts w:ascii="宋体" w:hAnsi="宋体" w:cs="新宋体"/>
                <w:color w:val="auto"/>
                <w:kern w:val="0"/>
                <w:sz w:val="22"/>
                <w:szCs w:val="22"/>
                <w:highlight w:val="none"/>
                <w:lang w:val="zh-CN"/>
              </w:rPr>
            </w:pPr>
            <w:r>
              <w:rPr>
                <w:rFonts w:hint="eastAsia" w:ascii="宋体" w:hAnsi="宋体" w:cs="新宋体"/>
                <w:color w:val="auto"/>
                <w:kern w:val="0"/>
                <w:sz w:val="22"/>
                <w:szCs w:val="22"/>
                <w:highlight w:val="none"/>
                <w:lang w:val="zh-CN"/>
              </w:rPr>
              <w:t>（3）磋商响应文件递交截止时间前，供应商仅递交了“备份磋商响应文件”而未将电子加密磋商响应文件上传至“政采云平台”的，投标无效。</w:t>
            </w:r>
          </w:p>
        </w:tc>
      </w:tr>
      <w:tr>
        <w:tblPrEx>
          <w:tblCellMar>
            <w:top w:w="0" w:type="dxa"/>
            <w:left w:w="108" w:type="dxa"/>
            <w:bottom w:w="0" w:type="dxa"/>
            <w:right w:w="108" w:type="dxa"/>
          </w:tblCellMar>
        </w:tblPrEx>
        <w:trPr>
          <w:trHeight w:val="700"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kern w:val="0"/>
                <w:sz w:val="22"/>
                <w:szCs w:val="22"/>
                <w:highlight w:val="none"/>
              </w:rPr>
            </w:pPr>
            <w:r>
              <w:rPr>
                <w:rFonts w:hint="eastAsia" w:ascii="宋体" w:hAnsi="宋体"/>
                <w:color w:val="auto"/>
                <w:kern w:val="0"/>
                <w:sz w:val="22"/>
                <w:szCs w:val="22"/>
                <w:highlight w:val="none"/>
              </w:rPr>
              <w:t>21</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kern w:val="0"/>
                <w:sz w:val="22"/>
                <w:szCs w:val="22"/>
                <w:highlight w:val="none"/>
              </w:rPr>
            </w:pPr>
            <w:r>
              <w:rPr>
                <w:rFonts w:hint="eastAsia" w:ascii="宋体" w:hAnsi="宋体"/>
                <w:color w:val="auto"/>
                <w:kern w:val="0"/>
                <w:sz w:val="22"/>
                <w:szCs w:val="22"/>
                <w:highlight w:val="none"/>
              </w:rPr>
              <w:t>磋商评审程序</w:t>
            </w:r>
          </w:p>
        </w:tc>
        <w:tc>
          <w:tcPr>
            <w:tcW w:w="741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0"/>
                <w:sz w:val="22"/>
                <w:szCs w:val="22"/>
                <w:highlight w:val="none"/>
              </w:rPr>
            </w:pPr>
            <w:r>
              <w:rPr>
                <w:rFonts w:hint="eastAsia" w:ascii="宋体" w:hAnsi="宋体"/>
                <w:color w:val="auto"/>
                <w:kern w:val="0"/>
                <w:sz w:val="22"/>
                <w:szCs w:val="22"/>
                <w:highlight w:val="none"/>
              </w:rPr>
              <w:t>1）磋商响应文件递交截止时间后，供应商登录政采云平台，用“项目采购-开标评标”功能对电子磋商响应文件进行在线解密。在线解密电子磋商文件时间为开标时间起半个小时内；</w:t>
            </w:r>
          </w:p>
          <w:p>
            <w:pPr>
              <w:rPr>
                <w:rFonts w:ascii="宋体" w:hAnsi="宋体"/>
                <w:color w:val="auto"/>
                <w:kern w:val="0"/>
                <w:sz w:val="22"/>
                <w:szCs w:val="22"/>
                <w:highlight w:val="none"/>
              </w:rPr>
            </w:pPr>
            <w:r>
              <w:rPr>
                <w:rFonts w:hint="eastAsia" w:ascii="宋体" w:hAnsi="宋体"/>
                <w:color w:val="auto"/>
                <w:kern w:val="0"/>
                <w:sz w:val="22"/>
                <w:szCs w:val="22"/>
                <w:highlight w:val="none"/>
              </w:rPr>
              <w:t>2）采购代理机构对供应商进行资格审查；</w:t>
            </w:r>
          </w:p>
          <w:p>
            <w:pPr>
              <w:rPr>
                <w:rFonts w:ascii="宋体" w:hAnsi="宋体"/>
                <w:color w:val="auto"/>
                <w:kern w:val="0"/>
                <w:sz w:val="22"/>
                <w:szCs w:val="22"/>
                <w:highlight w:val="none"/>
              </w:rPr>
            </w:pPr>
            <w:r>
              <w:rPr>
                <w:rFonts w:hint="eastAsia" w:ascii="宋体" w:hAnsi="宋体"/>
                <w:color w:val="auto"/>
                <w:kern w:val="0"/>
                <w:sz w:val="22"/>
                <w:szCs w:val="22"/>
                <w:highlight w:val="none"/>
              </w:rPr>
              <w:t>3）磋商小组对通过资格审查的磋商响应文件进行评分；</w:t>
            </w:r>
          </w:p>
          <w:p>
            <w:pPr>
              <w:rPr>
                <w:rFonts w:ascii="宋体" w:hAnsi="宋体"/>
                <w:color w:val="auto"/>
                <w:kern w:val="0"/>
                <w:sz w:val="22"/>
                <w:szCs w:val="22"/>
                <w:highlight w:val="none"/>
              </w:rPr>
            </w:pPr>
            <w:r>
              <w:rPr>
                <w:rFonts w:hint="eastAsia" w:ascii="宋体" w:hAnsi="宋体"/>
                <w:color w:val="auto"/>
                <w:kern w:val="0"/>
                <w:sz w:val="22"/>
                <w:szCs w:val="22"/>
                <w:highlight w:val="none"/>
              </w:rPr>
              <w:t>4）如有必要，磋商小组与供应商进行线上磋商；</w:t>
            </w:r>
          </w:p>
          <w:p>
            <w:pPr>
              <w:rPr>
                <w:rFonts w:ascii="宋体" w:hAnsi="宋体"/>
                <w:color w:val="auto"/>
                <w:kern w:val="0"/>
                <w:sz w:val="22"/>
                <w:szCs w:val="22"/>
                <w:highlight w:val="none"/>
              </w:rPr>
            </w:pPr>
            <w:r>
              <w:rPr>
                <w:rFonts w:hint="eastAsia" w:ascii="宋体" w:hAnsi="宋体"/>
                <w:color w:val="auto"/>
                <w:kern w:val="0"/>
                <w:sz w:val="22"/>
                <w:szCs w:val="22"/>
                <w:highlight w:val="none"/>
              </w:rPr>
              <w:t>5）磋商小组要求供应商在规定的时间内在政采云平台提交二次（最终）报价；</w:t>
            </w:r>
          </w:p>
          <w:p>
            <w:pPr>
              <w:rPr>
                <w:rFonts w:ascii="宋体" w:hAnsi="宋体"/>
                <w:color w:val="auto"/>
                <w:kern w:val="0"/>
                <w:sz w:val="22"/>
                <w:szCs w:val="22"/>
                <w:highlight w:val="none"/>
              </w:rPr>
            </w:pPr>
            <w:r>
              <w:rPr>
                <w:rFonts w:hint="eastAsia" w:ascii="宋体" w:hAnsi="宋体"/>
                <w:color w:val="auto"/>
                <w:kern w:val="0"/>
                <w:sz w:val="22"/>
                <w:szCs w:val="22"/>
                <w:highlight w:val="none"/>
              </w:rPr>
              <w:t>6）在系统上公开资格审查、商务技术文件及报价文件评分结果；</w:t>
            </w:r>
          </w:p>
          <w:p>
            <w:pPr>
              <w:rPr>
                <w:rFonts w:ascii="宋体" w:hAnsi="宋体"/>
                <w:color w:val="auto"/>
                <w:kern w:val="0"/>
                <w:sz w:val="22"/>
                <w:szCs w:val="22"/>
                <w:highlight w:val="none"/>
              </w:rPr>
            </w:pPr>
            <w:r>
              <w:rPr>
                <w:rFonts w:hint="eastAsia" w:ascii="宋体" w:hAnsi="宋体"/>
                <w:color w:val="auto"/>
                <w:kern w:val="0"/>
                <w:sz w:val="22"/>
                <w:szCs w:val="22"/>
                <w:highlight w:val="none"/>
              </w:rPr>
              <w:t>7）磋商小组编写磋商评审报告。</w:t>
            </w:r>
          </w:p>
          <w:p>
            <w:pPr>
              <w:rPr>
                <w:rFonts w:ascii="宋体" w:hAnsi="宋体"/>
                <w:color w:val="auto"/>
                <w:sz w:val="22"/>
                <w:szCs w:val="22"/>
                <w:highlight w:val="none"/>
              </w:rPr>
            </w:pPr>
            <w:r>
              <w:rPr>
                <w:rFonts w:hint="eastAsia" w:ascii="宋体" w:hAnsi="宋体"/>
                <w:color w:val="auto"/>
                <w:sz w:val="22"/>
                <w:szCs w:val="22"/>
                <w:highlight w:val="none"/>
              </w:rPr>
              <w:t>说明：政采云公司如对电子化开标及评审程序有调整的，按调整后的程序操作。</w:t>
            </w:r>
          </w:p>
        </w:tc>
      </w:tr>
      <w:tr>
        <w:tblPrEx>
          <w:tblCellMar>
            <w:top w:w="0" w:type="dxa"/>
            <w:left w:w="108" w:type="dxa"/>
            <w:bottom w:w="0" w:type="dxa"/>
            <w:right w:w="108" w:type="dxa"/>
          </w:tblCellMar>
        </w:tblPrEx>
        <w:trPr>
          <w:trHeight w:val="750"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kern w:val="0"/>
                <w:sz w:val="22"/>
                <w:szCs w:val="22"/>
                <w:highlight w:val="none"/>
              </w:rPr>
            </w:pPr>
            <w:r>
              <w:rPr>
                <w:rFonts w:hint="eastAsia" w:ascii="宋体" w:hAnsi="宋体"/>
                <w:color w:val="auto"/>
                <w:kern w:val="0"/>
                <w:sz w:val="22"/>
                <w:szCs w:val="22"/>
                <w:highlight w:val="none"/>
              </w:rPr>
              <w:t>22</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kern w:val="0"/>
                <w:sz w:val="22"/>
                <w:szCs w:val="22"/>
                <w:highlight w:val="none"/>
              </w:rPr>
            </w:pPr>
            <w:r>
              <w:rPr>
                <w:rFonts w:hint="eastAsia" w:ascii="宋体" w:hAnsi="宋体"/>
                <w:color w:val="auto"/>
                <w:kern w:val="0"/>
                <w:sz w:val="22"/>
                <w:szCs w:val="22"/>
                <w:highlight w:val="none"/>
              </w:rPr>
              <w:t>磋商小组的组建</w:t>
            </w:r>
          </w:p>
        </w:tc>
        <w:tc>
          <w:tcPr>
            <w:tcW w:w="74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olor w:val="auto"/>
                <w:kern w:val="0"/>
                <w:sz w:val="22"/>
                <w:szCs w:val="22"/>
                <w:highlight w:val="none"/>
              </w:rPr>
            </w:pPr>
            <w:r>
              <w:rPr>
                <w:rFonts w:hint="eastAsia" w:ascii="宋体" w:hAnsi="宋体"/>
                <w:color w:val="auto"/>
                <w:kern w:val="0"/>
                <w:sz w:val="22"/>
                <w:szCs w:val="22"/>
                <w:highlight w:val="none"/>
              </w:rPr>
              <w:t>磋商小组成员由采购人代表和有关技术、经济等方面的专家组成，采购人代表、有关技术、经济等方面的专家成员人数为3人及以上单数，</w:t>
            </w:r>
            <w:r>
              <w:rPr>
                <w:rFonts w:hint="eastAsia" w:ascii="宋体" w:hAnsi="宋体"/>
                <w:bCs/>
                <w:color w:val="auto"/>
                <w:sz w:val="22"/>
                <w:szCs w:val="22"/>
                <w:highlight w:val="none"/>
              </w:rPr>
              <w:t>除采购人代表外的专家将在评标专家库中随机抽取产生。</w:t>
            </w:r>
          </w:p>
        </w:tc>
      </w:tr>
      <w:tr>
        <w:tblPrEx>
          <w:tblCellMar>
            <w:top w:w="0" w:type="dxa"/>
            <w:left w:w="108" w:type="dxa"/>
            <w:bottom w:w="0" w:type="dxa"/>
            <w:right w:w="108" w:type="dxa"/>
          </w:tblCellMar>
        </w:tblPrEx>
        <w:trPr>
          <w:trHeight w:val="720"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kern w:val="0"/>
                <w:sz w:val="22"/>
                <w:szCs w:val="22"/>
                <w:highlight w:val="none"/>
              </w:rPr>
            </w:pPr>
            <w:r>
              <w:rPr>
                <w:rFonts w:hint="eastAsia" w:ascii="宋体" w:hAnsi="宋体"/>
                <w:color w:val="auto"/>
                <w:kern w:val="0"/>
                <w:sz w:val="22"/>
                <w:szCs w:val="22"/>
                <w:highlight w:val="none"/>
              </w:rPr>
              <w:t>23</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kern w:val="0"/>
                <w:sz w:val="22"/>
                <w:szCs w:val="22"/>
                <w:highlight w:val="none"/>
              </w:rPr>
            </w:pPr>
            <w:r>
              <w:rPr>
                <w:rFonts w:hint="eastAsia" w:ascii="宋体" w:hAnsi="宋体"/>
                <w:color w:val="auto"/>
                <w:kern w:val="0"/>
                <w:sz w:val="22"/>
                <w:szCs w:val="22"/>
                <w:highlight w:val="none"/>
              </w:rPr>
              <w:t>原 件</w:t>
            </w:r>
          </w:p>
        </w:tc>
        <w:tc>
          <w:tcPr>
            <w:tcW w:w="74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olor w:val="auto"/>
                <w:kern w:val="0"/>
                <w:sz w:val="22"/>
                <w:szCs w:val="22"/>
                <w:highlight w:val="none"/>
              </w:rPr>
            </w:pPr>
            <w:r>
              <w:rPr>
                <w:rFonts w:hint="eastAsia" w:ascii="宋体" w:hAnsi="宋体"/>
                <w:color w:val="auto"/>
                <w:kern w:val="0"/>
                <w:sz w:val="22"/>
                <w:szCs w:val="22"/>
                <w:highlight w:val="none"/>
              </w:rPr>
              <w:t>□提交，具体要求见供应商须知</w:t>
            </w:r>
          </w:p>
          <w:p>
            <w:pPr>
              <w:spacing w:line="300" w:lineRule="exact"/>
              <w:rPr>
                <w:rFonts w:ascii="宋体" w:hAnsi="宋体"/>
                <w:color w:val="auto"/>
                <w:kern w:val="0"/>
                <w:sz w:val="22"/>
                <w:szCs w:val="22"/>
                <w:highlight w:val="none"/>
              </w:rPr>
            </w:pPr>
            <w:r>
              <w:rPr>
                <w:rFonts w:ascii="宋体" w:hAnsi="宋体"/>
                <w:b/>
                <w:snapToGrid w:val="0"/>
                <w:color w:val="auto"/>
                <w:sz w:val="22"/>
                <w:szCs w:val="22"/>
                <w:highlight w:val="none"/>
              </w:rPr>
              <w:sym w:font="Wingdings" w:char="00FE"/>
            </w:r>
            <w:r>
              <w:rPr>
                <w:rFonts w:hint="eastAsia" w:ascii="宋体" w:hAnsi="宋体"/>
                <w:color w:val="auto"/>
                <w:kern w:val="0"/>
                <w:sz w:val="22"/>
                <w:szCs w:val="22"/>
                <w:highlight w:val="none"/>
              </w:rPr>
              <w:t>不提交</w:t>
            </w:r>
          </w:p>
        </w:tc>
      </w:tr>
      <w:tr>
        <w:tblPrEx>
          <w:tblCellMar>
            <w:top w:w="0" w:type="dxa"/>
            <w:left w:w="108" w:type="dxa"/>
            <w:bottom w:w="0" w:type="dxa"/>
            <w:right w:w="108" w:type="dxa"/>
          </w:tblCellMar>
        </w:tblPrEx>
        <w:trPr>
          <w:trHeight w:val="611"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kern w:val="0"/>
                <w:sz w:val="22"/>
                <w:szCs w:val="22"/>
                <w:highlight w:val="none"/>
              </w:rPr>
            </w:pPr>
            <w:r>
              <w:rPr>
                <w:rFonts w:hint="eastAsia" w:ascii="宋体" w:hAnsi="宋体"/>
                <w:color w:val="auto"/>
                <w:kern w:val="0"/>
                <w:sz w:val="22"/>
                <w:szCs w:val="22"/>
                <w:highlight w:val="none"/>
              </w:rPr>
              <w:t>24</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新宋体"/>
                <w:color w:val="auto"/>
                <w:kern w:val="0"/>
                <w:sz w:val="22"/>
                <w:szCs w:val="22"/>
                <w:highlight w:val="none"/>
              </w:rPr>
            </w:pPr>
            <w:r>
              <w:rPr>
                <w:rFonts w:hint="eastAsia" w:ascii="宋体" w:hAnsi="宋体" w:cs="新宋体"/>
                <w:color w:val="auto"/>
                <w:kern w:val="0"/>
                <w:sz w:val="22"/>
                <w:szCs w:val="22"/>
                <w:highlight w:val="none"/>
              </w:rPr>
              <w:t>履约保证金</w:t>
            </w:r>
          </w:p>
        </w:tc>
        <w:tc>
          <w:tcPr>
            <w:tcW w:w="74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新宋体"/>
                <w:snapToGrid w:val="0"/>
                <w:color w:val="auto"/>
                <w:sz w:val="22"/>
                <w:szCs w:val="22"/>
                <w:highlight w:val="none"/>
              </w:rPr>
            </w:pPr>
            <w:r>
              <w:rPr>
                <w:rFonts w:hint="eastAsia" w:ascii="宋体" w:hAnsi="宋体" w:cs="新宋体"/>
                <w:color w:val="auto"/>
                <w:kern w:val="0"/>
                <w:sz w:val="22"/>
                <w:szCs w:val="22"/>
                <w:highlight w:val="none"/>
              </w:rPr>
              <w:t>不提交</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kern w:val="0"/>
                <w:sz w:val="22"/>
                <w:szCs w:val="22"/>
                <w:highlight w:val="none"/>
              </w:rPr>
            </w:pPr>
            <w:r>
              <w:rPr>
                <w:rFonts w:hint="eastAsia" w:ascii="宋体" w:hAnsi="宋体"/>
                <w:color w:val="auto"/>
                <w:kern w:val="0"/>
                <w:sz w:val="22"/>
                <w:szCs w:val="22"/>
                <w:highlight w:val="none"/>
              </w:rPr>
              <w:t>25</w:t>
            </w:r>
          </w:p>
        </w:tc>
        <w:tc>
          <w:tcPr>
            <w:tcW w:w="2037"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bCs/>
                <w:color w:val="auto"/>
                <w:kern w:val="0"/>
                <w:sz w:val="22"/>
                <w:szCs w:val="22"/>
                <w:highlight w:val="none"/>
              </w:rPr>
            </w:pPr>
            <w:r>
              <w:rPr>
                <w:rFonts w:hint="eastAsia" w:ascii="宋体" w:hAnsi="宋体" w:cs="新宋体"/>
                <w:bCs/>
                <w:color w:val="auto"/>
                <w:sz w:val="22"/>
                <w:szCs w:val="22"/>
                <w:highlight w:val="none"/>
              </w:rPr>
              <w:t>政府采购扶持政策</w:t>
            </w:r>
          </w:p>
        </w:tc>
        <w:tc>
          <w:tcPr>
            <w:tcW w:w="7419"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1.本项目对符合财政扶持政策的中小企业（小型、微型）、监狱企业、残疾人福利性单位给予价格优惠扶持，价格优惠扶持见《第六部分 评标原则及方法》。</w:t>
            </w:r>
          </w:p>
          <w:p>
            <w:pPr>
              <w:spacing w:line="240" w:lineRule="auto"/>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2.满足《政府采购促进中小企业发展管理办法》（财库[2020]46号）的规定的中小企业可享受优惠扶持。</w:t>
            </w:r>
          </w:p>
          <w:p>
            <w:pPr>
              <w:spacing w:line="240" w:lineRule="auto"/>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3.满足关于政府采购支持监狱企业发展有关问题的通知（财库[2014]68号）的规定的供应商可享受优惠扶持。</w:t>
            </w:r>
          </w:p>
          <w:p>
            <w:pPr>
              <w:spacing w:line="240" w:lineRule="auto"/>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4.满足关于促进残疾人就业政府采购政策的通知（财库[2017]141号）的规定的供应商可享受优惠扶持。</w:t>
            </w:r>
          </w:p>
          <w:p>
            <w:pPr>
              <w:rPr>
                <w:rFonts w:hint="eastAsia" w:ascii="宋体" w:hAnsi="宋体" w:eastAsia="宋体" w:cs="新宋体"/>
                <w:bCs/>
                <w:color w:val="auto"/>
                <w:sz w:val="22"/>
                <w:szCs w:val="22"/>
                <w:highlight w:val="none"/>
                <w:lang w:eastAsia="zh-CN"/>
              </w:rPr>
            </w:pPr>
            <w:r>
              <w:rPr>
                <w:rFonts w:hint="eastAsia" w:ascii="宋体" w:hAnsi="宋体" w:eastAsia="宋体" w:cs="宋体"/>
                <w:bCs/>
                <w:color w:val="auto"/>
                <w:sz w:val="22"/>
                <w:szCs w:val="22"/>
                <w:highlight w:val="none"/>
              </w:rPr>
              <w:t>5.为支持和促进中小企业发展，进一步发挥政府采购政策功能，温州市财政局出台了《温州市财政局关于温州市政府采购支持中小企业信用融资的通知》（温财采〔2020〕3号），供应商若有融资意向，可直接登录http://jinrong.zcygov.cn，查看信用融资政策文件及各相关银行服务方案，也可直接向各银行咨询相关业务</w:t>
            </w:r>
            <w:r>
              <w:rPr>
                <w:rFonts w:hint="eastAsia" w:ascii="宋体" w:hAnsi="宋体" w:cs="宋体"/>
                <w:bCs/>
                <w:color w:val="auto"/>
                <w:sz w:val="22"/>
                <w:szCs w:val="22"/>
                <w:highlight w:val="none"/>
                <w:lang w:eastAsia="zh-CN"/>
              </w:rPr>
              <w:t>。</w:t>
            </w:r>
          </w:p>
        </w:tc>
      </w:tr>
      <w:tr>
        <w:tblPrEx>
          <w:tblCellMar>
            <w:top w:w="0" w:type="dxa"/>
            <w:left w:w="108" w:type="dxa"/>
            <w:bottom w:w="0" w:type="dxa"/>
            <w:right w:w="108" w:type="dxa"/>
          </w:tblCellMar>
        </w:tblPrEx>
        <w:trPr>
          <w:trHeight w:val="410"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kern w:val="0"/>
                <w:sz w:val="22"/>
                <w:szCs w:val="22"/>
                <w:highlight w:val="none"/>
              </w:rPr>
            </w:pPr>
            <w:r>
              <w:rPr>
                <w:rFonts w:hint="eastAsia" w:ascii="宋体" w:hAnsi="宋体" w:cs="新宋体"/>
                <w:color w:val="auto"/>
                <w:kern w:val="0"/>
                <w:sz w:val="22"/>
                <w:szCs w:val="22"/>
                <w:highlight w:val="none"/>
              </w:rPr>
              <w:t>26</w:t>
            </w:r>
          </w:p>
        </w:tc>
        <w:tc>
          <w:tcPr>
            <w:tcW w:w="20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kern w:val="0"/>
                <w:sz w:val="22"/>
                <w:szCs w:val="22"/>
                <w:highlight w:val="none"/>
              </w:rPr>
            </w:pPr>
            <w:r>
              <w:rPr>
                <w:rFonts w:hint="eastAsia" w:ascii="宋体" w:hAnsi="宋体" w:cs="新宋体"/>
                <w:color w:val="auto"/>
                <w:sz w:val="22"/>
                <w:szCs w:val="22"/>
                <w:highlight w:val="none"/>
              </w:rPr>
              <w:t>供应商信用查询</w:t>
            </w:r>
          </w:p>
        </w:tc>
        <w:tc>
          <w:tcPr>
            <w:tcW w:w="741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新宋体"/>
                <w:color w:val="auto"/>
                <w:sz w:val="22"/>
                <w:szCs w:val="22"/>
                <w:highlight w:val="none"/>
              </w:rPr>
            </w:pPr>
            <w:r>
              <w:rPr>
                <w:rFonts w:hint="eastAsia" w:ascii="宋体" w:hAnsi="宋体" w:cs="新宋体"/>
                <w:color w:val="auto"/>
                <w:sz w:val="22"/>
                <w:szCs w:val="22"/>
                <w:highlight w:val="none"/>
              </w:rPr>
              <w:t>（1）供应商信用信息查询的查询渠道：“信用中国”(</w:t>
            </w:r>
            <w:r>
              <w:rPr>
                <w:color w:val="auto"/>
                <w:sz w:val="22"/>
                <w:szCs w:val="22"/>
                <w:highlight w:val="none"/>
              </w:rPr>
              <w:fldChar w:fldCharType="begin"/>
            </w:r>
            <w:r>
              <w:rPr>
                <w:color w:val="auto"/>
                <w:sz w:val="22"/>
                <w:szCs w:val="22"/>
                <w:highlight w:val="none"/>
              </w:rPr>
              <w:instrText xml:space="preserve"> HYPERLINK "http://www.creditchina.gov.cn" </w:instrText>
            </w:r>
            <w:r>
              <w:rPr>
                <w:color w:val="auto"/>
                <w:sz w:val="22"/>
                <w:szCs w:val="22"/>
                <w:highlight w:val="none"/>
              </w:rPr>
              <w:fldChar w:fldCharType="separate"/>
            </w:r>
            <w:r>
              <w:rPr>
                <w:rStyle w:val="64"/>
                <w:rFonts w:hint="eastAsia" w:ascii="宋体" w:hAnsi="宋体" w:cs="新宋体"/>
                <w:color w:val="auto"/>
                <w:sz w:val="22"/>
                <w:szCs w:val="22"/>
                <w:highlight w:val="none"/>
              </w:rPr>
              <w:t>www.creditchina.gov.cn</w:t>
            </w:r>
            <w:r>
              <w:rPr>
                <w:rStyle w:val="64"/>
                <w:rFonts w:hint="eastAsia" w:ascii="宋体" w:hAnsi="宋体" w:cs="新宋体"/>
                <w:color w:val="auto"/>
                <w:sz w:val="22"/>
                <w:szCs w:val="22"/>
                <w:highlight w:val="none"/>
              </w:rPr>
              <w:fldChar w:fldCharType="end"/>
            </w:r>
            <w:r>
              <w:rPr>
                <w:rFonts w:hint="eastAsia" w:ascii="宋体" w:hAnsi="宋体" w:cs="新宋体"/>
                <w:color w:val="auto"/>
                <w:sz w:val="22"/>
                <w:szCs w:val="22"/>
                <w:highlight w:val="none"/>
              </w:rPr>
              <w:t>)；“中国政府采购网”（http://www.ccgp.gov.cn/）；</w:t>
            </w:r>
          </w:p>
          <w:p>
            <w:pPr>
              <w:jc w:val="left"/>
              <w:rPr>
                <w:rFonts w:ascii="宋体" w:hAnsi="宋体" w:cs="新宋体"/>
                <w:color w:val="auto"/>
                <w:sz w:val="22"/>
                <w:szCs w:val="22"/>
                <w:highlight w:val="none"/>
              </w:rPr>
            </w:pPr>
            <w:r>
              <w:rPr>
                <w:rFonts w:hint="eastAsia" w:ascii="宋体" w:hAnsi="宋体" w:cs="新宋体"/>
                <w:color w:val="auto"/>
                <w:sz w:val="22"/>
                <w:szCs w:val="22"/>
                <w:highlight w:val="none"/>
              </w:rPr>
              <w:t>（2）供应商信用信息查询截止时点：本项目磋商响应文件递交截止时间。</w:t>
            </w:r>
          </w:p>
          <w:p>
            <w:pPr>
              <w:jc w:val="left"/>
              <w:rPr>
                <w:rFonts w:ascii="宋体" w:hAnsi="宋体" w:cs="新宋体"/>
                <w:color w:val="auto"/>
                <w:sz w:val="22"/>
                <w:szCs w:val="22"/>
                <w:highlight w:val="none"/>
              </w:rPr>
            </w:pPr>
            <w:r>
              <w:rPr>
                <w:rFonts w:hint="eastAsia" w:ascii="宋体" w:hAnsi="宋体" w:cs="新宋体"/>
                <w:color w:val="auto"/>
                <w:sz w:val="22"/>
                <w:szCs w:val="22"/>
                <w:highlight w:val="none"/>
              </w:rPr>
              <w:t>（3）供应商信用信息查询记录和证据留存的具体方式：网页截图打印；</w:t>
            </w:r>
          </w:p>
          <w:p>
            <w:pPr>
              <w:jc w:val="left"/>
              <w:rPr>
                <w:rFonts w:ascii="宋体" w:hAnsi="宋体" w:cs="新宋体"/>
                <w:color w:val="auto"/>
                <w:sz w:val="22"/>
                <w:szCs w:val="22"/>
                <w:highlight w:val="none"/>
              </w:rPr>
            </w:pPr>
            <w:r>
              <w:rPr>
                <w:rFonts w:hint="eastAsia" w:ascii="宋体" w:hAnsi="宋体" w:cs="新宋体"/>
                <w:color w:val="auto"/>
                <w:sz w:val="22"/>
                <w:szCs w:val="22"/>
                <w:highlight w:val="none"/>
              </w:rPr>
              <w:t>（4）信用信息的使用规则：</w:t>
            </w:r>
          </w:p>
          <w:p>
            <w:pPr>
              <w:jc w:val="left"/>
              <w:rPr>
                <w:rFonts w:ascii="宋体" w:hAnsi="宋体" w:cs="新宋体"/>
                <w:color w:val="auto"/>
                <w:sz w:val="22"/>
                <w:szCs w:val="22"/>
                <w:highlight w:val="none"/>
              </w:rPr>
            </w:pPr>
            <w:r>
              <w:rPr>
                <w:rFonts w:hint="eastAsia" w:ascii="宋体" w:hAnsi="宋体" w:cs="新宋体"/>
                <w:color w:val="auto"/>
                <w:sz w:val="22"/>
                <w:szCs w:val="22"/>
                <w:highlight w:val="none"/>
              </w:rPr>
              <w:t>①在“信用中国”具有负面记录：列入失信被执行人、重大税收违法案件当事人名单、政府采购严重违法失信行为名单；</w:t>
            </w:r>
          </w:p>
          <w:p>
            <w:pPr>
              <w:jc w:val="left"/>
              <w:rPr>
                <w:rFonts w:ascii="宋体" w:hAnsi="宋体" w:cs="新宋体"/>
                <w:color w:val="auto"/>
                <w:sz w:val="22"/>
                <w:szCs w:val="22"/>
                <w:highlight w:val="none"/>
              </w:rPr>
            </w:pPr>
            <w:r>
              <w:rPr>
                <w:rFonts w:hint="eastAsia" w:ascii="宋体" w:hAnsi="宋体" w:cs="新宋体"/>
                <w:color w:val="auto"/>
                <w:sz w:val="22"/>
                <w:szCs w:val="22"/>
                <w:highlight w:val="none"/>
              </w:rPr>
              <w:t>②被“中国政府采购网”(www.ccgp.gov.cn)列入政府采购严重违法失信行为记录名单。</w:t>
            </w:r>
          </w:p>
          <w:p>
            <w:pPr>
              <w:rPr>
                <w:rFonts w:ascii="宋体" w:hAnsi="宋体" w:cs="新宋体"/>
                <w:color w:val="auto"/>
                <w:sz w:val="22"/>
                <w:szCs w:val="22"/>
                <w:highlight w:val="none"/>
              </w:rPr>
            </w:pPr>
            <w:r>
              <w:rPr>
                <w:rFonts w:hint="eastAsia" w:ascii="宋体" w:hAnsi="宋体" w:cs="新宋体"/>
                <w:b/>
                <w:bCs/>
                <w:color w:val="auto"/>
                <w:sz w:val="22"/>
                <w:szCs w:val="22"/>
                <w:highlight w:val="none"/>
                <w:u w:val="single"/>
              </w:rPr>
              <w:t>（6）▲</w:t>
            </w:r>
            <w:r>
              <w:rPr>
                <w:rFonts w:hint="eastAsia" w:ascii="宋体" w:hAnsi="宋体" w:cs="新宋体"/>
                <w:b/>
                <w:color w:val="auto"/>
                <w:sz w:val="22"/>
                <w:szCs w:val="22"/>
                <w:highlight w:val="none"/>
                <w:u w:val="single"/>
              </w:rPr>
              <w:t>关于</w:t>
            </w:r>
            <w:r>
              <w:rPr>
                <w:rFonts w:hint="eastAsia" w:ascii="宋体" w:hAnsi="宋体" w:cs="新宋体"/>
                <w:b/>
                <w:bCs/>
                <w:color w:val="auto"/>
                <w:sz w:val="22"/>
                <w:szCs w:val="22"/>
                <w:highlight w:val="none"/>
                <w:u w:val="single"/>
              </w:rPr>
              <w:t>“信用中国”(www.creditchina.gov.cn) 信用记录网页截图相关说明</w:t>
            </w:r>
            <w:r>
              <w:rPr>
                <w:rFonts w:hint="eastAsia" w:ascii="宋体" w:hAnsi="宋体" w:cs="新宋体"/>
                <w:bCs/>
                <w:color w:val="auto"/>
                <w:sz w:val="22"/>
                <w:szCs w:val="22"/>
                <w:highlight w:val="none"/>
              </w:rPr>
              <w:t>：</w:t>
            </w:r>
          </w:p>
          <w:p>
            <w:pPr>
              <w:rPr>
                <w:rFonts w:ascii="宋体" w:hAnsi="宋体" w:cs="新宋体"/>
                <w:bCs/>
                <w:color w:val="auto"/>
                <w:sz w:val="22"/>
                <w:szCs w:val="22"/>
                <w:highlight w:val="none"/>
              </w:rPr>
            </w:pPr>
            <w:r>
              <w:rPr>
                <w:rFonts w:hint="eastAsia" w:ascii="宋体" w:hAnsi="宋体" w:cs="新宋体"/>
                <w:bCs/>
                <w:color w:val="auto"/>
                <w:sz w:val="22"/>
                <w:szCs w:val="22"/>
                <w:highlight w:val="none"/>
              </w:rPr>
              <w:t>①若供应商查询页面“行政处罚”栏显示有行政处罚事项，须将所有行政处罚事项在“信用中国”网页上列出的明细一并打印，并附说明，是否属于“</w:t>
            </w:r>
            <w:r>
              <w:rPr>
                <w:rFonts w:hint="eastAsia" w:ascii="宋体" w:hAnsi="宋体" w:cs="新宋体"/>
                <w:color w:val="auto"/>
                <w:sz w:val="22"/>
                <w:szCs w:val="22"/>
                <w:highlight w:val="none"/>
              </w:rPr>
              <w:t>经营活动中的重大违法记录</w:t>
            </w:r>
            <w:r>
              <w:rPr>
                <w:rFonts w:hint="eastAsia" w:ascii="宋体" w:hAnsi="宋体" w:cs="新宋体"/>
                <w:bCs/>
                <w:color w:val="auto"/>
                <w:sz w:val="22"/>
                <w:szCs w:val="22"/>
                <w:highlight w:val="none"/>
              </w:rPr>
              <w:t>”。</w:t>
            </w:r>
          </w:p>
          <w:p>
            <w:pPr>
              <w:rPr>
                <w:rFonts w:ascii="宋体" w:hAnsi="宋体" w:cs="新宋体"/>
                <w:color w:val="auto"/>
                <w:kern w:val="0"/>
                <w:sz w:val="22"/>
                <w:szCs w:val="22"/>
                <w:highlight w:val="none"/>
              </w:rPr>
            </w:pPr>
            <w:r>
              <w:rPr>
                <w:rFonts w:hint="eastAsia" w:ascii="宋体" w:hAnsi="宋体" w:cs="新宋体"/>
                <w:bCs/>
                <w:color w:val="auto"/>
                <w:sz w:val="22"/>
                <w:szCs w:val="22"/>
                <w:highlight w:val="none"/>
              </w:rPr>
              <w:t>②若供应商在“信用中国”无数据，亦须将搜索结果页面打印，并附说明。</w:t>
            </w:r>
          </w:p>
        </w:tc>
      </w:tr>
      <w:tr>
        <w:tblPrEx>
          <w:tblCellMar>
            <w:top w:w="0" w:type="dxa"/>
            <w:left w:w="108" w:type="dxa"/>
            <w:bottom w:w="0" w:type="dxa"/>
            <w:right w:w="108" w:type="dxa"/>
          </w:tblCellMar>
        </w:tblPrEx>
        <w:trPr>
          <w:trHeight w:val="1195"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kern w:val="0"/>
                <w:sz w:val="22"/>
                <w:szCs w:val="22"/>
                <w:highlight w:val="none"/>
              </w:rPr>
            </w:pPr>
            <w:r>
              <w:rPr>
                <w:rFonts w:hint="eastAsia" w:ascii="宋体" w:hAnsi="宋体" w:cs="新宋体"/>
                <w:color w:val="auto"/>
                <w:kern w:val="0"/>
                <w:sz w:val="22"/>
                <w:szCs w:val="22"/>
                <w:highlight w:val="none"/>
              </w:rPr>
              <w:t>27</w:t>
            </w:r>
          </w:p>
        </w:tc>
        <w:tc>
          <w:tcPr>
            <w:tcW w:w="20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kern w:val="0"/>
                <w:sz w:val="22"/>
                <w:szCs w:val="22"/>
                <w:highlight w:val="none"/>
              </w:rPr>
            </w:pPr>
            <w:r>
              <w:rPr>
                <w:rFonts w:hint="eastAsia" w:ascii="宋体" w:hAnsi="宋体" w:cs="新宋体"/>
                <w:color w:val="auto"/>
                <w:sz w:val="22"/>
                <w:szCs w:val="22"/>
                <w:highlight w:val="none"/>
              </w:rPr>
              <w:t>合同备案</w:t>
            </w:r>
          </w:p>
        </w:tc>
        <w:tc>
          <w:tcPr>
            <w:tcW w:w="741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新宋体"/>
                <w:color w:val="auto"/>
                <w:sz w:val="22"/>
                <w:szCs w:val="22"/>
                <w:highlight w:val="none"/>
              </w:rPr>
            </w:pPr>
            <w:r>
              <w:rPr>
                <w:rFonts w:hint="eastAsia" w:ascii="宋体" w:hAnsi="宋体" w:cs="新宋体"/>
                <w:color w:val="auto"/>
                <w:sz w:val="22"/>
                <w:szCs w:val="22"/>
                <w:highlight w:val="none"/>
              </w:rPr>
              <w:t>（1）成交供应商须在成交通知书发出之日起30日历天内与采购人签订合同。</w:t>
            </w:r>
          </w:p>
          <w:p>
            <w:pPr>
              <w:jc w:val="left"/>
              <w:rPr>
                <w:rFonts w:ascii="宋体" w:hAnsi="宋体"/>
                <w:color w:val="auto"/>
                <w:kern w:val="0"/>
                <w:sz w:val="22"/>
                <w:szCs w:val="22"/>
                <w:highlight w:val="none"/>
              </w:rPr>
            </w:pPr>
            <w:r>
              <w:rPr>
                <w:rFonts w:hint="eastAsia" w:ascii="宋体" w:hAnsi="宋体" w:cs="新宋体"/>
                <w:color w:val="auto"/>
                <w:sz w:val="22"/>
                <w:szCs w:val="22"/>
                <w:highlight w:val="none"/>
              </w:rPr>
              <w:t>（2）成交供应商与采购人签订合同后，2日历天内将合同扫描件电子版发给采购代理机构：邮箱：</w:t>
            </w:r>
            <w:r>
              <w:rPr>
                <w:rFonts w:hint="eastAsia" w:ascii="宋体" w:hAnsi="宋体" w:cs="新宋体"/>
                <w:b/>
                <w:color w:val="auto"/>
                <w:sz w:val="22"/>
                <w:szCs w:val="22"/>
                <w:highlight w:val="none"/>
                <w:u w:val="single"/>
              </w:rPr>
              <w:t>ye462978466@qq.com</w:t>
            </w:r>
            <w:r>
              <w:rPr>
                <w:rFonts w:hint="eastAsia" w:ascii="宋体" w:hAnsi="宋体" w:cs="新宋体"/>
                <w:color w:val="auto"/>
                <w:sz w:val="22"/>
                <w:szCs w:val="22"/>
                <w:highlight w:val="none"/>
              </w:rPr>
              <w:t>。</w:t>
            </w:r>
          </w:p>
        </w:tc>
      </w:tr>
      <w:tr>
        <w:tblPrEx>
          <w:tblCellMar>
            <w:top w:w="0" w:type="dxa"/>
            <w:left w:w="108" w:type="dxa"/>
            <w:bottom w:w="0" w:type="dxa"/>
            <w:right w:w="108" w:type="dxa"/>
          </w:tblCellMar>
        </w:tblPrEx>
        <w:trPr>
          <w:trHeight w:val="966" w:hRule="atLeast"/>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kern w:val="0"/>
                <w:sz w:val="22"/>
                <w:szCs w:val="22"/>
                <w:highlight w:val="none"/>
              </w:rPr>
            </w:pPr>
            <w:r>
              <w:rPr>
                <w:rFonts w:hint="eastAsia" w:ascii="宋体" w:hAnsi="宋体" w:cs="新宋体"/>
                <w:color w:val="auto"/>
                <w:kern w:val="0"/>
                <w:sz w:val="22"/>
                <w:szCs w:val="22"/>
                <w:highlight w:val="none"/>
              </w:rPr>
              <w:t>28</w:t>
            </w:r>
          </w:p>
        </w:tc>
        <w:tc>
          <w:tcPr>
            <w:tcW w:w="20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kern w:val="0"/>
                <w:sz w:val="22"/>
                <w:szCs w:val="22"/>
                <w:highlight w:val="none"/>
              </w:rPr>
            </w:pPr>
            <w:r>
              <w:rPr>
                <w:rFonts w:hint="eastAsia" w:ascii="宋体" w:hAnsi="宋体" w:cs="新宋体"/>
                <w:color w:val="auto"/>
                <w:sz w:val="22"/>
                <w:szCs w:val="22"/>
                <w:highlight w:val="none"/>
              </w:rPr>
              <w:t>合同履约管理</w:t>
            </w:r>
          </w:p>
        </w:tc>
        <w:tc>
          <w:tcPr>
            <w:tcW w:w="741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kern w:val="0"/>
                <w:sz w:val="22"/>
                <w:szCs w:val="22"/>
                <w:highlight w:val="none"/>
              </w:rPr>
            </w:pPr>
            <w:r>
              <w:rPr>
                <w:rFonts w:hint="eastAsia" w:ascii="宋体" w:hAnsi="宋体" w:cs="新宋体"/>
                <w:color w:val="auto"/>
                <w:sz w:val="22"/>
                <w:szCs w:val="22"/>
                <w:highlight w:val="none"/>
              </w:rPr>
              <w:t>合同签订后，采购人依法加强对合同履约进行管理，并在中标单位服务、项目验收等重要关节，如实填写《合同验收报告》（或考核资料），并及时向同级财政部门报告验收过程中遇到的问题。</w:t>
            </w:r>
          </w:p>
        </w:tc>
      </w:tr>
      <w:tr>
        <w:tblPrEx>
          <w:tblCellMar>
            <w:top w:w="0" w:type="dxa"/>
            <w:left w:w="108" w:type="dxa"/>
            <w:bottom w:w="0" w:type="dxa"/>
            <w:right w:w="108" w:type="dxa"/>
          </w:tblCellMar>
        </w:tblPrEx>
        <w:trPr>
          <w:trHeight w:val="1380" w:hRule="atLeast"/>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kern w:val="0"/>
                <w:sz w:val="22"/>
                <w:szCs w:val="22"/>
                <w:highlight w:val="none"/>
              </w:rPr>
            </w:pPr>
            <w:r>
              <w:rPr>
                <w:rFonts w:hint="eastAsia" w:ascii="宋体" w:hAnsi="宋体" w:cs="新宋体"/>
                <w:color w:val="auto"/>
                <w:kern w:val="0"/>
                <w:sz w:val="22"/>
                <w:szCs w:val="22"/>
                <w:highlight w:val="none"/>
              </w:rPr>
              <w:t>29</w:t>
            </w:r>
          </w:p>
        </w:tc>
        <w:tc>
          <w:tcPr>
            <w:tcW w:w="20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kern w:val="0"/>
                <w:sz w:val="22"/>
                <w:szCs w:val="22"/>
                <w:highlight w:val="none"/>
              </w:rPr>
            </w:pPr>
            <w:r>
              <w:rPr>
                <w:rFonts w:hint="eastAsia" w:ascii="宋体" w:hAnsi="宋体" w:cs="新宋体"/>
                <w:color w:val="auto"/>
                <w:sz w:val="22"/>
                <w:szCs w:val="22"/>
                <w:highlight w:val="none"/>
              </w:rPr>
              <w:t>解释权</w:t>
            </w:r>
          </w:p>
        </w:tc>
        <w:tc>
          <w:tcPr>
            <w:tcW w:w="741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0"/>
                <w:sz w:val="22"/>
                <w:szCs w:val="22"/>
                <w:highlight w:val="none"/>
              </w:rPr>
            </w:pPr>
            <w:r>
              <w:rPr>
                <w:rFonts w:hint="eastAsia" w:ascii="宋体" w:hAnsi="宋体" w:cs="新宋体"/>
                <w:color w:val="auto"/>
                <w:sz w:val="22"/>
                <w:szCs w:val="22"/>
                <w:highlight w:val="none"/>
              </w:rPr>
              <w:t>构成本采购文件的各个组成文件应互为解释，互为说明；如有不明确或不一致，构成合同文件组成内容的，以合同文件约定内容为准，且以专用合同条款约定的合同文件优先顺序解释；仅适用于招标投标阶段的约定，按采购公告、供应商须知、评标办法、磋商响应文件格式的先后顺序解释；同一文件中就同一事项的约定不一致的，以逻辑顺序在后者为准；同一文件不同版本之间有不一致的，以形成时间在后者为准。按本款前述约定仍不能形成结论的，由采购人负责解释。</w:t>
            </w:r>
          </w:p>
        </w:tc>
      </w:tr>
      <w:tr>
        <w:tblPrEx>
          <w:tblCellMar>
            <w:top w:w="0" w:type="dxa"/>
            <w:left w:w="108" w:type="dxa"/>
            <w:bottom w:w="0" w:type="dxa"/>
            <w:right w:w="108" w:type="dxa"/>
          </w:tblCellMar>
        </w:tblPrEx>
        <w:trPr>
          <w:trHeight w:val="1380" w:hRule="atLeast"/>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新宋体"/>
                <w:color w:val="auto"/>
                <w:kern w:val="0"/>
                <w:sz w:val="22"/>
                <w:szCs w:val="22"/>
                <w:highlight w:val="none"/>
              </w:rPr>
            </w:pPr>
            <w:r>
              <w:rPr>
                <w:rFonts w:hint="eastAsia" w:ascii="宋体" w:hAnsi="宋体" w:cs="新宋体"/>
                <w:color w:val="auto"/>
                <w:kern w:val="0"/>
                <w:sz w:val="22"/>
                <w:szCs w:val="22"/>
                <w:highlight w:val="none"/>
              </w:rPr>
              <w:t>30</w:t>
            </w:r>
          </w:p>
        </w:tc>
        <w:tc>
          <w:tcPr>
            <w:tcW w:w="203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新宋体"/>
                <w:color w:val="auto"/>
                <w:sz w:val="22"/>
                <w:szCs w:val="22"/>
                <w:highlight w:val="none"/>
              </w:rPr>
            </w:pPr>
            <w:r>
              <w:rPr>
                <w:rFonts w:hint="eastAsia" w:ascii="宋体" w:hAnsi="宋体" w:eastAsia="宋体" w:cs="宋体"/>
                <w:color w:val="auto"/>
                <w:sz w:val="22"/>
                <w:szCs w:val="22"/>
                <w:highlight w:val="none"/>
              </w:rPr>
              <w:t>采购代理服务费</w:t>
            </w:r>
          </w:p>
        </w:tc>
        <w:tc>
          <w:tcPr>
            <w:tcW w:w="7419" w:type="dxa"/>
            <w:tcBorders>
              <w:top w:val="single" w:color="auto" w:sz="4" w:space="0"/>
              <w:left w:val="single" w:color="auto" w:sz="4" w:space="0"/>
              <w:bottom w:val="single" w:color="auto" w:sz="4" w:space="0"/>
              <w:right w:val="single" w:color="auto" w:sz="4" w:space="0"/>
            </w:tcBorders>
            <w:vAlign w:val="center"/>
          </w:tcPr>
          <w:p>
            <w:pPr>
              <w:numPr>
                <w:ilvl w:val="0"/>
                <w:numId w:val="6"/>
              </w:numPr>
              <w:spacing w:line="240" w:lineRule="auto"/>
              <w:rPr>
                <w:rFonts w:ascii="宋体" w:hAnsi="宋体" w:cs="宋体"/>
                <w:color w:val="auto"/>
                <w:sz w:val="22"/>
                <w:szCs w:val="22"/>
                <w:highlight w:val="none"/>
              </w:rPr>
            </w:pPr>
            <w:r>
              <w:rPr>
                <w:rFonts w:hint="eastAsia" w:ascii="宋体" w:hAnsi="宋体" w:eastAsia="宋体" w:cs="宋体"/>
                <w:color w:val="auto"/>
                <w:sz w:val="22"/>
                <w:szCs w:val="22"/>
                <w:highlight w:val="none"/>
              </w:rPr>
              <w:t>本项目采购代理服务费按照国家计委计价格[2002]1980号规定的服务类标准计取，</w:t>
            </w:r>
            <w:r>
              <w:rPr>
                <w:rFonts w:hint="eastAsia" w:ascii="新宋体" w:hAnsi="新宋体" w:eastAsia="新宋体" w:cs="新宋体"/>
                <w:color w:val="auto"/>
                <w:sz w:val="22"/>
                <w:szCs w:val="22"/>
                <w:highlight w:val="none"/>
              </w:rPr>
              <w:t>验收服务费按</w:t>
            </w:r>
            <w:r>
              <w:rPr>
                <w:rFonts w:hint="eastAsia" w:ascii="新宋体" w:hAnsi="新宋体" w:eastAsia="新宋体" w:cs="新宋体"/>
                <w:color w:val="auto"/>
                <w:sz w:val="22"/>
                <w:szCs w:val="22"/>
                <w:highlight w:val="none"/>
                <w:lang w:val="en-US" w:eastAsia="zh-CN"/>
              </w:rPr>
              <w:t>固定金额6000元整</w:t>
            </w:r>
            <w:r>
              <w:rPr>
                <w:rFonts w:hint="eastAsia" w:ascii="新宋体" w:hAnsi="新宋体" w:eastAsia="新宋体" w:cs="新宋体"/>
                <w:color w:val="auto"/>
                <w:sz w:val="22"/>
                <w:szCs w:val="22"/>
                <w:highlight w:val="none"/>
              </w:rPr>
              <w:t>计取</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如有），</w:t>
            </w:r>
            <w:r>
              <w:rPr>
                <w:rFonts w:hint="eastAsia" w:ascii="宋体" w:hAnsi="宋体" w:eastAsia="宋体" w:cs="宋体"/>
                <w:color w:val="auto"/>
                <w:sz w:val="22"/>
                <w:szCs w:val="22"/>
                <w:highlight w:val="none"/>
              </w:rPr>
              <w:t>由中标供应商在领取中标通知书时向采购代理机构进行支付，该服务费须计入投标报价</w:t>
            </w:r>
            <w:r>
              <w:rPr>
                <w:rFonts w:hint="eastAsia" w:ascii="宋体" w:hAnsi="宋体" w:cs="宋体"/>
                <w:color w:val="auto"/>
                <w:sz w:val="22"/>
                <w:szCs w:val="22"/>
                <w:highlight w:val="none"/>
              </w:rPr>
              <w:t>。</w:t>
            </w:r>
          </w:p>
          <w:p>
            <w:pPr>
              <w:numPr>
                <w:ilvl w:val="0"/>
                <w:numId w:val="6"/>
              </w:numPr>
              <w:spacing w:line="24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采购代理服务费可以是现金、支票或汇票。</w:t>
            </w:r>
          </w:p>
          <w:p>
            <w:pPr>
              <w:spacing w:line="24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（3）收款账户户名：温州市智信招标代理有限公司</w:t>
            </w:r>
          </w:p>
          <w:p>
            <w:pPr>
              <w:spacing w:line="240" w:lineRule="auto"/>
              <w:ind w:firstLine="550" w:firstLineChars="2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收款账号：333504140018800009390</w:t>
            </w:r>
          </w:p>
          <w:p>
            <w:pPr>
              <w:spacing w:line="240" w:lineRule="auto"/>
              <w:ind w:firstLine="550" w:firstLineChars="250"/>
              <w:rPr>
                <w:rFonts w:ascii="宋体" w:hAnsi="宋体"/>
                <w:color w:val="auto"/>
                <w:sz w:val="22"/>
                <w:szCs w:val="22"/>
                <w:highlight w:val="none"/>
              </w:rPr>
            </w:pPr>
            <w:r>
              <w:rPr>
                <w:rFonts w:hint="eastAsia" w:ascii="宋体" w:hAnsi="宋体" w:eastAsia="宋体" w:cs="宋体"/>
                <w:color w:val="auto"/>
                <w:sz w:val="22"/>
                <w:szCs w:val="22"/>
                <w:highlight w:val="none"/>
              </w:rPr>
              <w:t>开户行：交通银行温州分行瓯海支行</w:t>
            </w:r>
          </w:p>
        </w:tc>
      </w:tr>
      <w:tr>
        <w:tblPrEx>
          <w:tblCellMar>
            <w:top w:w="0" w:type="dxa"/>
            <w:left w:w="108" w:type="dxa"/>
            <w:bottom w:w="0" w:type="dxa"/>
            <w:right w:w="108" w:type="dxa"/>
          </w:tblCellMar>
        </w:tblPrEx>
        <w:trPr>
          <w:trHeight w:val="663" w:hRule="atLeast"/>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新宋体"/>
                <w:color w:val="auto"/>
                <w:kern w:val="0"/>
                <w:sz w:val="22"/>
                <w:szCs w:val="22"/>
                <w:highlight w:val="none"/>
              </w:rPr>
            </w:pPr>
            <w:r>
              <w:rPr>
                <w:rFonts w:hint="eastAsia" w:ascii="宋体" w:hAnsi="宋体" w:cs="新宋体"/>
                <w:color w:val="auto"/>
                <w:kern w:val="0"/>
                <w:sz w:val="22"/>
                <w:szCs w:val="22"/>
                <w:highlight w:val="none"/>
              </w:rPr>
              <w:t>31</w:t>
            </w:r>
          </w:p>
        </w:tc>
        <w:tc>
          <w:tcPr>
            <w:tcW w:w="2037" w:type="dxa"/>
            <w:tcBorders>
              <w:top w:val="single" w:color="auto" w:sz="4" w:space="0"/>
              <w:left w:val="single" w:color="auto" w:sz="4" w:space="0"/>
              <w:bottom w:val="single" w:color="auto" w:sz="4" w:space="0"/>
              <w:right w:val="single" w:color="auto" w:sz="4" w:space="0"/>
            </w:tcBorders>
            <w:vAlign w:val="center"/>
          </w:tcPr>
          <w:p>
            <w:pPr>
              <w:jc w:val="center"/>
              <w:rPr>
                <w:color w:val="auto"/>
                <w:sz w:val="22"/>
                <w:szCs w:val="22"/>
                <w:highlight w:val="none"/>
              </w:rPr>
            </w:pPr>
            <w:r>
              <w:rPr>
                <w:rFonts w:hint="eastAsia"/>
                <w:color w:val="auto"/>
                <w:sz w:val="22"/>
                <w:szCs w:val="22"/>
                <w:highlight w:val="none"/>
              </w:rPr>
              <w:t>本项目所属于行业</w:t>
            </w:r>
          </w:p>
        </w:tc>
        <w:tc>
          <w:tcPr>
            <w:tcW w:w="741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szCs w:val="22"/>
                <w:highlight w:val="none"/>
              </w:rPr>
            </w:pPr>
            <w:r>
              <w:rPr>
                <w:rFonts w:hint="eastAsia" w:ascii="宋体" w:hAnsi="宋体" w:eastAsia="宋体" w:cs="宋体"/>
                <w:color w:val="auto"/>
                <w:sz w:val="22"/>
                <w:szCs w:val="22"/>
                <w:highlight w:val="none"/>
              </w:rPr>
              <w:t>服务类  所属行业：</w:t>
            </w:r>
            <w:r>
              <w:rPr>
                <w:rFonts w:hint="eastAsia" w:ascii="宋体" w:hAnsi="宋体" w:eastAsia="宋体" w:cs="宋体"/>
                <w:color w:val="auto"/>
                <w:sz w:val="22"/>
                <w:szCs w:val="22"/>
                <w:highlight w:val="none"/>
                <w:lang w:val="en-US" w:eastAsia="zh-CN"/>
              </w:rPr>
              <w:t>其他未列明行业</w:t>
            </w:r>
          </w:p>
        </w:tc>
      </w:tr>
      <w:tr>
        <w:tblPrEx>
          <w:tblCellMar>
            <w:top w:w="0" w:type="dxa"/>
            <w:left w:w="108" w:type="dxa"/>
            <w:bottom w:w="0" w:type="dxa"/>
            <w:right w:w="108" w:type="dxa"/>
          </w:tblCellMar>
        </w:tblPrEx>
        <w:trPr>
          <w:trHeight w:val="663" w:hRule="atLeast"/>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新宋体"/>
                <w:color w:val="auto"/>
                <w:kern w:val="0"/>
                <w:sz w:val="22"/>
                <w:szCs w:val="22"/>
                <w:highlight w:val="none"/>
                <w:lang w:val="en-US" w:eastAsia="zh-CN"/>
              </w:rPr>
            </w:pPr>
            <w:r>
              <w:rPr>
                <w:rFonts w:hint="eastAsia" w:ascii="宋体" w:hAnsi="宋体" w:cs="新宋体"/>
                <w:color w:val="auto"/>
                <w:kern w:val="0"/>
                <w:sz w:val="22"/>
                <w:szCs w:val="22"/>
                <w:highlight w:val="none"/>
                <w:lang w:val="en-US" w:eastAsia="zh-CN"/>
              </w:rPr>
              <w:t>32</w:t>
            </w:r>
          </w:p>
        </w:tc>
        <w:tc>
          <w:tcPr>
            <w:tcW w:w="2037"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color w:val="auto"/>
                <w:sz w:val="22"/>
                <w:szCs w:val="22"/>
                <w:highlight w:val="none"/>
              </w:rPr>
            </w:pPr>
            <w:r>
              <w:rPr>
                <w:rFonts w:hint="eastAsia" w:ascii="宋体" w:hAnsi="宋体" w:eastAsia="宋体" w:cs="宋体"/>
                <w:color w:val="auto"/>
                <w:kern w:val="0"/>
                <w:sz w:val="22"/>
                <w:szCs w:val="22"/>
                <w:highlight w:val="none"/>
              </w:rPr>
              <w:t>联合体投标相关说明</w:t>
            </w:r>
          </w:p>
        </w:tc>
        <w:tc>
          <w:tcPr>
            <w:tcW w:w="7419"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（1）供应商如为联合体，必须提供双方签章的联合体协议书，明确联合体牵头人和各方权利义务，并承诺就成交项目向采购人承担连带责任。</w:t>
            </w:r>
          </w:p>
          <w:p>
            <w:pPr>
              <w:spacing w:line="240" w:lineRule="auto"/>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（2）供应商如为联合体，联合体成员各方资格审查资料、企业证书、人员证书、业绩证明材料等复印件应由联合体成员各自盖章。</w:t>
            </w:r>
          </w:p>
          <w:p>
            <w:pPr>
              <w:pStyle w:val="21"/>
              <w:spacing w:after="0" w:line="240" w:lineRule="auto"/>
              <w:jc w:val="left"/>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（3）由同一专业的单位组成的联合体，按照资质等级较低的单位确定资质等级。</w:t>
            </w:r>
          </w:p>
          <w:p>
            <w:pPr>
              <w:spacing w:line="240" w:lineRule="auto"/>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（4）其他文件可由联合体牵头方盖章。</w:t>
            </w:r>
          </w:p>
          <w:p>
            <w:pPr>
              <w:spacing w:line="240" w:lineRule="auto"/>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（5）供应商若为联合体，电子投标工作由联合体牵头方的账号制作电子</w:t>
            </w:r>
            <w:r>
              <w:rPr>
                <w:rFonts w:hint="eastAsia" w:ascii="宋体" w:hAnsi="宋体" w:cs="宋体"/>
                <w:color w:val="auto"/>
                <w:sz w:val="22"/>
                <w:szCs w:val="22"/>
                <w:highlight w:val="none"/>
                <w:lang w:eastAsia="zh-CN"/>
              </w:rPr>
              <w:t>磋商响应文件</w:t>
            </w:r>
            <w:r>
              <w:rPr>
                <w:rFonts w:hint="eastAsia" w:ascii="宋体" w:hAnsi="宋体" w:eastAsia="宋体" w:cs="宋体"/>
                <w:color w:val="auto"/>
                <w:sz w:val="22"/>
                <w:szCs w:val="22"/>
                <w:highlight w:val="none"/>
              </w:rPr>
              <w:t>并提交。</w:t>
            </w:r>
          </w:p>
          <w:p>
            <w:pPr>
              <w:spacing w:line="240" w:lineRule="auto"/>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（6）联合体各方不得再以自己名义单独或参加其他联合体在本项目中投标，否则各相关投标均无效。</w:t>
            </w:r>
          </w:p>
          <w:p>
            <w:pPr>
              <w:spacing w:line="240" w:lineRule="auto"/>
              <w:rPr>
                <w:rFonts w:hint="eastAsia" w:ascii="宋体" w:hAnsi="宋体"/>
                <w:color w:val="auto"/>
                <w:sz w:val="22"/>
                <w:szCs w:val="22"/>
                <w:highlight w:val="none"/>
              </w:rPr>
            </w:pPr>
            <w:r>
              <w:rPr>
                <w:rFonts w:hint="eastAsia" w:ascii="宋体" w:hAnsi="宋体" w:eastAsia="宋体" w:cs="宋体"/>
                <w:color w:val="auto"/>
                <w:sz w:val="22"/>
                <w:szCs w:val="22"/>
                <w:highlight w:val="none"/>
              </w:rPr>
              <w:t>（7）中标后，联合体各方根据联合体协议约定承担的项目采购内容与项目采购人签订政府采购合同。</w:t>
            </w:r>
          </w:p>
        </w:tc>
      </w:tr>
    </w:tbl>
    <w:p>
      <w:pPr>
        <w:pStyle w:val="3"/>
        <w:rPr>
          <w:rFonts w:ascii="新宋体" w:hAnsi="新宋体" w:eastAsia="新宋体"/>
          <w:color w:val="auto"/>
          <w:sz w:val="36"/>
          <w:szCs w:val="36"/>
          <w:highlight w:val="none"/>
        </w:rPr>
      </w:pPr>
      <w:r>
        <w:rPr>
          <w:rFonts w:hint="eastAsia" w:ascii="新宋体" w:hAnsi="新宋体" w:eastAsia="新宋体"/>
          <w:color w:val="auto"/>
          <w:sz w:val="36"/>
          <w:szCs w:val="36"/>
          <w:highlight w:val="none"/>
        </w:rPr>
        <w:br w:type="page"/>
      </w:r>
      <w:bookmarkStart w:id="5" w:name="_Toc17062"/>
      <w:r>
        <w:rPr>
          <w:rFonts w:hint="eastAsia" w:ascii="新宋体" w:hAnsi="新宋体" w:eastAsia="新宋体"/>
          <w:color w:val="auto"/>
          <w:sz w:val="36"/>
          <w:szCs w:val="36"/>
          <w:highlight w:val="none"/>
        </w:rPr>
        <w:t>第一部分    供应商须知</w:t>
      </w:r>
      <w:bookmarkEnd w:id="5"/>
    </w:p>
    <w:p>
      <w:pPr>
        <w:spacing w:before="100" w:beforeAutospacing="1" w:after="100" w:afterAutospacing="1" w:line="440" w:lineRule="exact"/>
        <w:jc w:val="center"/>
        <w:outlineLvl w:val="1"/>
        <w:rPr>
          <w:rFonts w:ascii="新宋体" w:hAnsi="新宋体" w:eastAsia="新宋体"/>
          <w:b/>
          <w:bCs/>
          <w:color w:val="auto"/>
          <w:sz w:val="22"/>
          <w:szCs w:val="22"/>
          <w:highlight w:val="none"/>
        </w:rPr>
      </w:pPr>
      <w:bookmarkStart w:id="6" w:name="_Toc22689"/>
      <w:bookmarkStart w:id="7" w:name="_Toc24607"/>
      <w:bookmarkStart w:id="8" w:name="_Toc393699549"/>
      <w:r>
        <w:rPr>
          <w:rFonts w:hint="eastAsia" w:ascii="新宋体" w:hAnsi="新宋体" w:eastAsia="新宋体"/>
          <w:b/>
          <w:bCs/>
          <w:color w:val="auto"/>
          <w:sz w:val="22"/>
          <w:szCs w:val="22"/>
          <w:highlight w:val="none"/>
        </w:rPr>
        <w:t>一   说 明</w:t>
      </w:r>
      <w:bookmarkEnd w:id="6"/>
      <w:bookmarkEnd w:id="7"/>
    </w:p>
    <w:p>
      <w:pPr>
        <w:numPr>
          <w:ilvl w:val="0"/>
          <w:numId w:val="7"/>
        </w:numPr>
        <w:tabs>
          <w:tab w:val="left" w:pos="360"/>
        </w:tabs>
        <w:spacing w:line="360" w:lineRule="auto"/>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本次采购是按照</w:t>
      </w:r>
      <w:r>
        <w:rPr>
          <w:rFonts w:hint="eastAsia" w:ascii="新宋体" w:hAnsi="新宋体" w:eastAsia="新宋体"/>
          <w:color w:val="auto"/>
          <w:kern w:val="0"/>
          <w:sz w:val="22"/>
          <w:szCs w:val="22"/>
          <w:highlight w:val="none"/>
        </w:rPr>
        <w:t>《中华人民共和国政府采购法》、</w:t>
      </w:r>
      <w:r>
        <w:rPr>
          <w:rFonts w:hint="eastAsia" w:ascii="新宋体" w:hAnsi="新宋体" w:eastAsia="新宋体"/>
          <w:color w:val="auto"/>
          <w:sz w:val="22"/>
          <w:szCs w:val="22"/>
          <w:highlight w:val="none"/>
        </w:rPr>
        <w:t>《政府采购竞争性磋商采购方式管理暂行办法》、《财政部关于政府采购竞争性磋商采购方式管理暂行办法有关问题的补充通知》等法律法规及有关规范性文件组织和实施的。欢迎国内合格的供应商前来磋商，现将有关事项公告如下：</w:t>
      </w:r>
    </w:p>
    <w:p>
      <w:pPr>
        <w:numPr>
          <w:ilvl w:val="0"/>
          <w:numId w:val="7"/>
        </w:numPr>
        <w:tabs>
          <w:tab w:val="left" w:pos="360"/>
        </w:tabs>
        <w:spacing w:line="360" w:lineRule="auto"/>
        <w:rPr>
          <w:rFonts w:ascii="新宋体" w:hAnsi="新宋体" w:eastAsia="新宋体"/>
          <w:bCs/>
          <w:color w:val="auto"/>
          <w:sz w:val="22"/>
          <w:szCs w:val="22"/>
          <w:highlight w:val="none"/>
        </w:rPr>
      </w:pPr>
      <w:r>
        <w:rPr>
          <w:rFonts w:hint="eastAsia" w:ascii="新宋体" w:hAnsi="新宋体" w:eastAsia="新宋体"/>
          <w:b/>
          <w:bCs/>
          <w:color w:val="auto"/>
          <w:sz w:val="22"/>
          <w:szCs w:val="22"/>
          <w:highlight w:val="none"/>
        </w:rPr>
        <w:t>合格供应商要求以本项目公告及供应商须知前附表表述为准。</w:t>
      </w:r>
    </w:p>
    <w:p>
      <w:pPr>
        <w:numPr>
          <w:ilvl w:val="0"/>
          <w:numId w:val="7"/>
        </w:numPr>
        <w:spacing w:line="360" w:lineRule="auto"/>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供应商代表</w:t>
      </w:r>
    </w:p>
    <w:p>
      <w:pPr>
        <w:spacing w:line="360" w:lineRule="auto"/>
        <w:ind w:firstLine="440" w:firstLineChars="2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指全权代表供应商参加投标活动并签署磋商响应文件的人。如果供应商代表不是法定代表人，须持有《法定代表人授权书》见附件五。</w:t>
      </w:r>
    </w:p>
    <w:p>
      <w:pPr>
        <w:numPr>
          <w:ilvl w:val="0"/>
          <w:numId w:val="7"/>
        </w:numPr>
        <w:spacing w:line="360" w:lineRule="auto"/>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磋商响应费用</w:t>
      </w:r>
    </w:p>
    <w:p>
      <w:pPr>
        <w:spacing w:line="360" w:lineRule="auto"/>
        <w:ind w:firstLine="440" w:firstLineChars="2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供应商应承担所有与准备和参加投标有关费用，不论投标的结果如何，采购人及采购代理机构均无义务和责任承担这些费用。</w:t>
      </w:r>
    </w:p>
    <w:p>
      <w:pPr>
        <w:spacing w:before="100" w:beforeAutospacing="1" w:after="100" w:afterAutospacing="1" w:line="440" w:lineRule="exact"/>
        <w:jc w:val="center"/>
        <w:outlineLvl w:val="1"/>
        <w:rPr>
          <w:rFonts w:ascii="新宋体" w:hAnsi="新宋体" w:eastAsia="新宋体"/>
          <w:b/>
          <w:bCs/>
          <w:color w:val="auto"/>
          <w:sz w:val="22"/>
          <w:szCs w:val="22"/>
          <w:highlight w:val="none"/>
        </w:rPr>
      </w:pPr>
      <w:bookmarkStart w:id="9" w:name="_Toc25973"/>
      <w:bookmarkStart w:id="10" w:name="_Toc13286"/>
      <w:r>
        <w:rPr>
          <w:rFonts w:hint="eastAsia" w:ascii="新宋体" w:hAnsi="新宋体" w:eastAsia="新宋体"/>
          <w:b/>
          <w:bCs/>
          <w:color w:val="auto"/>
          <w:sz w:val="22"/>
          <w:szCs w:val="22"/>
          <w:highlight w:val="none"/>
        </w:rPr>
        <w:t>二   竞争性磋商文件</w:t>
      </w:r>
      <w:bookmarkEnd w:id="9"/>
      <w:bookmarkEnd w:id="10"/>
    </w:p>
    <w:p>
      <w:pPr>
        <w:numPr>
          <w:ilvl w:val="0"/>
          <w:numId w:val="7"/>
        </w:numPr>
        <w:spacing w:line="360" w:lineRule="auto"/>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竞争性磋商文件由竞争性磋商文件目录所列内容及相关资料组成。</w:t>
      </w:r>
    </w:p>
    <w:p>
      <w:pPr>
        <w:numPr>
          <w:ilvl w:val="0"/>
          <w:numId w:val="7"/>
        </w:numPr>
        <w:spacing w:line="360" w:lineRule="auto"/>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竞争性磋商文件的澄清</w:t>
      </w:r>
    </w:p>
    <w:p>
      <w:pPr>
        <w:spacing w:line="360" w:lineRule="auto"/>
        <w:ind w:firstLine="440" w:firstLineChars="2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供应商对竞争性磋商文件如有疑点要求澄清或质疑，或认为有必要与用户进行技术交流，须在磋商通知(邀请)函规定的质疑时间前用书面形式（包括信函、传真，下同）通知采购机构，采购机构将用书面形式予以答复。</w:t>
      </w:r>
    </w:p>
    <w:p>
      <w:pPr>
        <w:numPr>
          <w:ilvl w:val="0"/>
          <w:numId w:val="7"/>
        </w:numPr>
        <w:spacing w:line="360" w:lineRule="auto"/>
        <w:rPr>
          <w:rFonts w:ascii="新宋体" w:hAnsi="新宋体" w:eastAsia="新宋体"/>
          <w:bCs/>
          <w:color w:val="auto"/>
          <w:sz w:val="22"/>
          <w:szCs w:val="22"/>
          <w:highlight w:val="none"/>
        </w:rPr>
      </w:pPr>
      <w:r>
        <w:rPr>
          <w:rFonts w:hint="eastAsia" w:ascii="新宋体" w:hAnsi="新宋体" w:eastAsia="新宋体"/>
          <w:color w:val="auto"/>
          <w:sz w:val="22"/>
          <w:szCs w:val="22"/>
          <w:highlight w:val="none"/>
        </w:rPr>
        <w:t>竞争性磋商文件</w:t>
      </w:r>
      <w:r>
        <w:rPr>
          <w:rFonts w:hint="eastAsia" w:ascii="新宋体" w:hAnsi="新宋体" w:eastAsia="新宋体"/>
          <w:bCs/>
          <w:color w:val="auto"/>
          <w:sz w:val="22"/>
          <w:szCs w:val="22"/>
          <w:highlight w:val="none"/>
        </w:rPr>
        <w:t>的修改</w:t>
      </w:r>
    </w:p>
    <w:p>
      <w:pPr>
        <w:spacing w:line="360" w:lineRule="auto"/>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7.1 在</w:t>
      </w:r>
      <w:r>
        <w:rPr>
          <w:rFonts w:hint="eastAsia" w:ascii="新宋体" w:hAnsi="新宋体" w:eastAsia="新宋体"/>
          <w:color w:val="auto"/>
          <w:sz w:val="22"/>
          <w:szCs w:val="22"/>
          <w:highlight w:val="none"/>
          <w:lang w:eastAsia="zh-CN"/>
        </w:rPr>
        <w:t>磋商响应截止期</w:t>
      </w:r>
      <w:r>
        <w:rPr>
          <w:rFonts w:hint="eastAsia" w:ascii="新宋体" w:hAnsi="新宋体" w:eastAsia="新宋体"/>
          <w:color w:val="auto"/>
          <w:sz w:val="22"/>
          <w:szCs w:val="22"/>
          <w:highlight w:val="none"/>
        </w:rPr>
        <w:t>5天前，采购人无论是出于何种原因，均可对竞争性磋商文件用补充文件的方式进行澄清和修改，并发布澄清和修改公告。该澄清和修改的内容为竞争性磋商文件的组成部分。采购人可以视采购具体情况在竞争性磋商文件要求提交截止时间3天前，做出延长递交磋商响应文件截止时间和开标时间的决定，并发布变更公告。</w:t>
      </w:r>
    </w:p>
    <w:p>
      <w:pPr>
        <w:spacing w:line="360" w:lineRule="auto"/>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7.2竞争性磋商文件如有补充更正均见“政采云”（http://www.zcygov.cn）。供应商须在开标前一日自行查看是否有补充更正文件，并按补充更正文件要求磋商响应，否则责任自负。</w:t>
      </w:r>
    </w:p>
    <w:p>
      <w:pPr>
        <w:spacing w:before="100" w:beforeAutospacing="1" w:after="100" w:afterAutospacing="1" w:line="440" w:lineRule="exact"/>
        <w:jc w:val="center"/>
        <w:outlineLvl w:val="1"/>
        <w:rPr>
          <w:rFonts w:ascii="新宋体" w:hAnsi="新宋体" w:eastAsia="新宋体"/>
          <w:b/>
          <w:bCs/>
          <w:color w:val="auto"/>
          <w:sz w:val="22"/>
          <w:szCs w:val="22"/>
          <w:highlight w:val="none"/>
        </w:rPr>
      </w:pPr>
      <w:bookmarkStart w:id="11" w:name="_Toc4093"/>
      <w:bookmarkStart w:id="12" w:name="_Toc10347"/>
      <w:r>
        <w:rPr>
          <w:rFonts w:hint="eastAsia" w:ascii="新宋体" w:hAnsi="新宋体" w:eastAsia="新宋体"/>
          <w:b/>
          <w:bCs/>
          <w:color w:val="auto"/>
          <w:sz w:val="22"/>
          <w:szCs w:val="22"/>
          <w:highlight w:val="none"/>
        </w:rPr>
        <w:t>三   磋商响应文件的编制</w:t>
      </w:r>
      <w:bookmarkEnd w:id="11"/>
      <w:bookmarkEnd w:id="12"/>
    </w:p>
    <w:p>
      <w:pPr>
        <w:numPr>
          <w:ilvl w:val="0"/>
          <w:numId w:val="7"/>
        </w:numPr>
        <w:spacing w:line="440" w:lineRule="exact"/>
        <w:contextualSpacing/>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磋商响应文件的形式和效力</w:t>
      </w:r>
    </w:p>
    <w:p>
      <w:pPr>
        <w:tabs>
          <w:tab w:val="left" w:pos="360"/>
        </w:tabs>
        <w:spacing w:line="440" w:lineRule="exact"/>
        <w:contextualSpacing/>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8.1磋商响应文件分为电子磋商响应文件以及备份磋商响应文件，备份文件分为以介质存储的数据电文形式的备份磋商响应文件。</w:t>
      </w:r>
    </w:p>
    <w:p>
      <w:pPr>
        <w:tabs>
          <w:tab w:val="left" w:pos="360"/>
        </w:tabs>
        <w:spacing w:line="440" w:lineRule="exact"/>
        <w:contextualSpacing/>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8.2电子磋商响应文件，按“政采云供应商项目采购-电子招投标操作指南”及本采购文件要求制作、加密并递交。</w:t>
      </w:r>
    </w:p>
    <w:p>
      <w:pPr>
        <w:tabs>
          <w:tab w:val="left" w:pos="360"/>
        </w:tabs>
        <w:spacing w:line="440" w:lineRule="exact"/>
        <w:contextualSpacing/>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8.3以介质存储的数据电文形式的备份磋商响应文件，即电子磋商响应文件按“政采云供应商项目采购-电子招投标操作指南”制作的备份文件。</w:t>
      </w:r>
    </w:p>
    <w:p>
      <w:pPr>
        <w:tabs>
          <w:tab w:val="left" w:pos="360"/>
        </w:tabs>
        <w:spacing w:line="440" w:lineRule="exact"/>
        <w:contextualSpacing/>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8.4磋商响应文件的效力</w:t>
      </w:r>
    </w:p>
    <w:p>
      <w:pPr>
        <w:tabs>
          <w:tab w:val="left" w:pos="360"/>
        </w:tabs>
        <w:spacing w:line="440" w:lineRule="exact"/>
        <w:ind w:firstLine="440" w:firstLineChars="200"/>
        <w:contextualSpacing/>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磋商响应文件的启用，按先后顺位分别为电子磋商响应文件、以介质存储的数据电文形式的备份磋商响应文件。在下一顺位的磋商响应文件启用时，前一顺位的磋商响应文件自动失效。</w:t>
      </w:r>
    </w:p>
    <w:p>
      <w:pPr>
        <w:numPr>
          <w:ilvl w:val="0"/>
          <w:numId w:val="7"/>
        </w:numPr>
        <w:spacing w:line="440" w:lineRule="exact"/>
        <w:contextualSpacing/>
        <w:rPr>
          <w:rFonts w:ascii="新宋体" w:hAnsi="新宋体" w:eastAsia="新宋体"/>
          <w:b/>
          <w:color w:val="auto"/>
          <w:sz w:val="22"/>
          <w:szCs w:val="22"/>
          <w:highlight w:val="none"/>
        </w:rPr>
      </w:pPr>
      <w:r>
        <w:rPr>
          <w:rFonts w:hint="eastAsia" w:ascii="新宋体" w:hAnsi="新宋体" w:eastAsia="新宋体"/>
          <w:color w:val="auto"/>
          <w:sz w:val="22"/>
          <w:szCs w:val="22"/>
          <w:highlight w:val="none"/>
        </w:rPr>
        <w:t>供应商应认真阅读竞争性磋商文件中所有事项格式、条款和技术规范等。</w:t>
      </w:r>
      <w:r>
        <w:rPr>
          <w:rFonts w:hint="eastAsia" w:ascii="新宋体" w:hAnsi="新宋体" w:eastAsia="新宋体"/>
          <w:bCs/>
          <w:color w:val="auto"/>
          <w:sz w:val="22"/>
          <w:szCs w:val="22"/>
          <w:highlight w:val="none"/>
          <w:u w:val="single"/>
        </w:rPr>
        <w:t>▲</w:t>
      </w:r>
      <w:r>
        <w:rPr>
          <w:rFonts w:hint="eastAsia" w:ascii="新宋体" w:hAnsi="新宋体" w:eastAsia="新宋体"/>
          <w:color w:val="auto"/>
          <w:sz w:val="22"/>
          <w:szCs w:val="22"/>
          <w:highlight w:val="none"/>
          <w:u w:val="single"/>
        </w:rPr>
        <w:t>供应商没有按照竞争性磋商文件要求提交全部资料，或者没有对竞争性磋商文件各个方面做出实质性响应，导致投标被拒绝的风险由供应商自行承担。</w:t>
      </w:r>
    </w:p>
    <w:p>
      <w:pPr>
        <w:numPr>
          <w:ilvl w:val="0"/>
          <w:numId w:val="7"/>
        </w:numPr>
        <w:tabs>
          <w:tab w:val="left" w:pos="540"/>
        </w:tabs>
        <w:spacing w:line="440" w:lineRule="exact"/>
        <w:contextualSpacing/>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磋商响应文件的构成：</w:t>
      </w:r>
    </w:p>
    <w:p>
      <w:pPr>
        <w:tabs>
          <w:tab w:val="left" w:pos="360"/>
        </w:tabs>
        <w:spacing w:line="440" w:lineRule="exact"/>
        <w:contextualSpacing/>
        <w:rPr>
          <w:rFonts w:ascii="新宋体" w:hAnsi="新宋体" w:eastAsia="新宋体"/>
          <w:color w:val="auto"/>
          <w:sz w:val="22"/>
          <w:szCs w:val="22"/>
          <w:highlight w:val="none"/>
        </w:rPr>
      </w:pPr>
      <w:r>
        <w:rPr>
          <w:rFonts w:hint="eastAsia" w:ascii="新宋体" w:hAnsi="新宋体" w:eastAsia="新宋体"/>
          <w:b/>
          <w:bCs/>
          <w:color w:val="auto"/>
          <w:sz w:val="22"/>
          <w:szCs w:val="22"/>
          <w:highlight w:val="none"/>
        </w:rPr>
        <w:t>10.1 磋商响应文件包括资格审查资料、商务技术标、报价标三部分。</w:t>
      </w:r>
    </w:p>
    <w:p>
      <w:pPr>
        <w:spacing w:line="440" w:lineRule="exact"/>
        <w:contextualSpacing/>
        <w:rPr>
          <w:rFonts w:ascii="新宋体" w:hAnsi="新宋体" w:eastAsia="新宋体"/>
          <w:b/>
          <w:bCs/>
          <w:color w:val="auto"/>
          <w:sz w:val="22"/>
          <w:szCs w:val="22"/>
          <w:highlight w:val="none"/>
        </w:rPr>
      </w:pPr>
      <w:bookmarkStart w:id="13" w:name="_Toc221356886"/>
      <w:r>
        <w:rPr>
          <w:rFonts w:hint="eastAsia" w:ascii="新宋体" w:hAnsi="新宋体" w:eastAsia="新宋体"/>
          <w:b/>
          <w:bCs/>
          <w:color w:val="auto"/>
          <w:sz w:val="22"/>
          <w:szCs w:val="22"/>
          <w:highlight w:val="none"/>
        </w:rPr>
        <w:t>10.1.1 磋商响应文件资格审查资料须包括下列部分：</w:t>
      </w:r>
    </w:p>
    <w:tbl>
      <w:tblPr>
        <w:tblStyle w:val="53"/>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9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39" w:type="dxa"/>
            <w:noWrap/>
            <w:vAlign w:val="center"/>
          </w:tcPr>
          <w:p>
            <w:pPr>
              <w:overflowPunct w:val="0"/>
              <w:spacing w:line="430" w:lineRule="exact"/>
              <w:jc w:val="center"/>
              <w:rPr>
                <w:rFonts w:ascii="宋体" w:hAnsi="宋体" w:cs="宋体"/>
                <w:b/>
                <w:color w:val="auto"/>
                <w:sz w:val="22"/>
                <w:szCs w:val="22"/>
                <w:highlight w:val="none"/>
              </w:rPr>
            </w:pPr>
            <w:r>
              <w:rPr>
                <w:rFonts w:hint="eastAsia" w:ascii="宋体" w:hAnsi="宋体" w:cs="宋体"/>
                <w:b/>
                <w:color w:val="auto"/>
                <w:sz w:val="22"/>
                <w:szCs w:val="22"/>
                <w:highlight w:val="none"/>
              </w:rPr>
              <w:t>序号</w:t>
            </w:r>
          </w:p>
        </w:tc>
        <w:tc>
          <w:tcPr>
            <w:tcW w:w="9115" w:type="dxa"/>
            <w:noWrap/>
            <w:vAlign w:val="center"/>
          </w:tcPr>
          <w:p>
            <w:pPr>
              <w:overflowPunct w:val="0"/>
              <w:spacing w:line="430" w:lineRule="exact"/>
              <w:jc w:val="center"/>
              <w:rPr>
                <w:rFonts w:ascii="宋体" w:hAnsi="宋体" w:cs="宋体"/>
                <w:b/>
                <w:color w:val="auto"/>
                <w:sz w:val="22"/>
                <w:szCs w:val="22"/>
                <w:highlight w:val="none"/>
              </w:rPr>
            </w:pPr>
            <w:r>
              <w:rPr>
                <w:rFonts w:hint="eastAsia" w:ascii="宋体" w:hAnsi="宋体" w:cs="宋体"/>
                <w:b/>
                <w:color w:val="auto"/>
                <w:sz w:val="22"/>
                <w:szCs w:val="22"/>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39" w:type="dxa"/>
            <w:tcBorders>
              <w:top w:val="single" w:color="auto" w:sz="4" w:space="0"/>
              <w:left w:val="single" w:color="auto" w:sz="4" w:space="0"/>
              <w:bottom w:val="single" w:color="auto" w:sz="4" w:space="0"/>
              <w:right w:val="single" w:color="auto" w:sz="4" w:space="0"/>
            </w:tcBorders>
            <w:noWrap/>
            <w:vAlign w:val="center"/>
          </w:tcPr>
          <w:p>
            <w:pPr>
              <w:overflowPunct w:val="0"/>
              <w:spacing w:line="430" w:lineRule="exact"/>
              <w:jc w:val="center"/>
              <w:rPr>
                <w:rFonts w:ascii="宋体" w:hAnsi="宋体" w:cs="宋体"/>
                <w:bCs/>
                <w:color w:val="auto"/>
                <w:sz w:val="22"/>
                <w:szCs w:val="22"/>
                <w:highlight w:val="none"/>
              </w:rPr>
            </w:pPr>
            <w:bookmarkStart w:id="14" w:name="_Hlk16667472"/>
            <w:r>
              <w:rPr>
                <w:rFonts w:hint="eastAsia" w:ascii="宋体" w:hAnsi="宋体" w:cs="宋体"/>
                <w:bCs/>
                <w:color w:val="auto"/>
                <w:sz w:val="22"/>
                <w:szCs w:val="22"/>
                <w:highlight w:val="none"/>
              </w:rPr>
              <w:t>1</w:t>
            </w:r>
          </w:p>
        </w:tc>
        <w:tc>
          <w:tcPr>
            <w:tcW w:w="911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kern w:val="0"/>
                <w:sz w:val="22"/>
                <w:szCs w:val="22"/>
                <w:highlight w:val="none"/>
              </w:rPr>
            </w:pPr>
            <w:r>
              <w:rPr>
                <w:rFonts w:hint="eastAsia" w:ascii="宋体" w:hAnsi="宋体" w:cs="宋体"/>
                <w:color w:val="auto"/>
                <w:kern w:val="0"/>
                <w:sz w:val="22"/>
                <w:szCs w:val="22"/>
                <w:highlight w:val="none"/>
              </w:rPr>
              <w:t>法定代表人（单位负责人）授权书和被授权人有效身份证明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39" w:type="dxa"/>
            <w:tcBorders>
              <w:top w:val="single" w:color="auto" w:sz="4" w:space="0"/>
              <w:left w:val="single" w:color="auto" w:sz="4" w:space="0"/>
              <w:bottom w:val="single" w:color="auto" w:sz="4" w:space="0"/>
              <w:right w:val="single" w:color="auto" w:sz="4" w:space="0"/>
            </w:tcBorders>
            <w:noWrap/>
            <w:vAlign w:val="center"/>
          </w:tcPr>
          <w:p>
            <w:pPr>
              <w:overflowPunct w:val="0"/>
              <w:spacing w:line="430" w:lineRule="exact"/>
              <w:jc w:val="center"/>
              <w:rPr>
                <w:rFonts w:ascii="宋体" w:hAnsi="宋体" w:cs="宋体"/>
                <w:bCs/>
                <w:color w:val="auto"/>
                <w:sz w:val="22"/>
                <w:szCs w:val="22"/>
                <w:highlight w:val="none"/>
              </w:rPr>
            </w:pPr>
            <w:r>
              <w:rPr>
                <w:rFonts w:hint="eastAsia" w:ascii="宋体" w:hAnsi="宋体" w:cs="宋体"/>
                <w:bCs/>
                <w:color w:val="auto"/>
                <w:sz w:val="22"/>
                <w:szCs w:val="22"/>
                <w:highlight w:val="none"/>
              </w:rPr>
              <w:t>2</w:t>
            </w:r>
          </w:p>
        </w:tc>
        <w:tc>
          <w:tcPr>
            <w:tcW w:w="911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kern w:val="0"/>
                <w:sz w:val="22"/>
                <w:szCs w:val="22"/>
                <w:highlight w:val="none"/>
              </w:rPr>
            </w:pPr>
            <w:r>
              <w:rPr>
                <w:rFonts w:hint="eastAsia" w:ascii="新宋体" w:hAnsi="新宋体" w:eastAsia="新宋体" w:cs="新宋体"/>
                <w:color w:val="auto"/>
                <w:kern w:val="0"/>
                <w:sz w:val="22"/>
                <w:szCs w:val="22"/>
                <w:highlight w:val="none"/>
              </w:rPr>
              <w:t>联合体协议书（非联合体无需提供）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39" w:type="dxa"/>
            <w:tcBorders>
              <w:top w:val="single" w:color="auto" w:sz="4" w:space="0"/>
              <w:left w:val="single" w:color="auto" w:sz="4" w:space="0"/>
              <w:bottom w:val="single" w:color="auto" w:sz="4" w:space="0"/>
              <w:right w:val="single" w:color="auto" w:sz="4" w:space="0"/>
            </w:tcBorders>
            <w:noWrap/>
            <w:vAlign w:val="center"/>
          </w:tcPr>
          <w:p>
            <w:pPr>
              <w:overflowPunct w:val="0"/>
              <w:spacing w:line="430" w:lineRule="exact"/>
              <w:jc w:val="center"/>
              <w:rPr>
                <w:rFonts w:hint="eastAsia" w:ascii="宋体" w:hAnsi="宋体" w:eastAsia="宋体" w:cs="宋体"/>
                <w:bCs/>
                <w:color w:val="auto"/>
                <w:kern w:val="2"/>
                <w:sz w:val="22"/>
                <w:szCs w:val="22"/>
                <w:highlight w:val="none"/>
                <w:lang w:val="en-US" w:eastAsia="zh-CN" w:bidi="ar-SA"/>
              </w:rPr>
            </w:pPr>
            <w:r>
              <w:rPr>
                <w:rFonts w:hint="eastAsia" w:ascii="宋体" w:hAnsi="宋体" w:cs="宋体"/>
                <w:bCs/>
                <w:color w:val="auto"/>
                <w:sz w:val="22"/>
                <w:szCs w:val="22"/>
                <w:highlight w:val="none"/>
              </w:rPr>
              <w:t>3</w:t>
            </w:r>
          </w:p>
        </w:tc>
        <w:tc>
          <w:tcPr>
            <w:tcW w:w="9115" w:type="dxa"/>
            <w:tcBorders>
              <w:top w:val="single" w:color="auto" w:sz="4" w:space="0"/>
              <w:left w:val="single" w:color="auto" w:sz="4" w:space="0"/>
              <w:bottom w:val="single" w:color="auto" w:sz="4" w:space="0"/>
              <w:right w:val="single" w:color="auto" w:sz="4" w:space="0"/>
            </w:tcBorders>
            <w:noWrap/>
            <w:vAlign w:val="center"/>
          </w:tcPr>
          <w:p>
            <w:pP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中国保险监督管理委员会批准的经营财产保险业务许可证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39" w:type="dxa"/>
            <w:tcBorders>
              <w:top w:val="single" w:color="auto" w:sz="4" w:space="0"/>
              <w:left w:val="single" w:color="auto" w:sz="4" w:space="0"/>
              <w:bottom w:val="single" w:color="auto" w:sz="4" w:space="0"/>
              <w:right w:val="single" w:color="auto" w:sz="4" w:space="0"/>
            </w:tcBorders>
            <w:noWrap/>
            <w:vAlign w:val="center"/>
          </w:tcPr>
          <w:p>
            <w:pPr>
              <w:overflowPunct w:val="0"/>
              <w:spacing w:line="430" w:lineRule="exact"/>
              <w:jc w:val="center"/>
              <w:rPr>
                <w:rFonts w:ascii="宋体" w:hAnsi="宋体" w:eastAsia="宋体" w:cs="宋体"/>
                <w:bCs/>
                <w:color w:val="auto"/>
                <w:kern w:val="2"/>
                <w:sz w:val="22"/>
                <w:szCs w:val="22"/>
                <w:highlight w:val="none"/>
                <w:lang w:val="en-US" w:eastAsia="zh-CN" w:bidi="ar-SA"/>
              </w:rPr>
            </w:pPr>
            <w:r>
              <w:rPr>
                <w:rFonts w:hint="eastAsia" w:ascii="宋体" w:hAnsi="宋体" w:cs="宋体"/>
                <w:bCs/>
                <w:color w:val="auto"/>
                <w:sz w:val="22"/>
                <w:szCs w:val="22"/>
                <w:highlight w:val="none"/>
              </w:rPr>
              <w:t>4</w:t>
            </w:r>
          </w:p>
        </w:tc>
        <w:tc>
          <w:tcPr>
            <w:tcW w:w="911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kern w:val="0"/>
                <w:sz w:val="22"/>
                <w:szCs w:val="22"/>
                <w:highlight w:val="none"/>
              </w:rPr>
            </w:pPr>
            <w:r>
              <w:rPr>
                <w:rFonts w:hint="eastAsia" w:ascii="宋体" w:hAnsi="宋体" w:cs="宋体"/>
                <w:color w:val="auto"/>
                <w:kern w:val="0"/>
                <w:sz w:val="22"/>
                <w:szCs w:val="22"/>
                <w:highlight w:val="none"/>
              </w:rPr>
              <w:t>营业执照(或事业法人登记证书或其它工商等登记证明材料)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39" w:type="dxa"/>
            <w:tcBorders>
              <w:top w:val="single" w:color="auto" w:sz="4" w:space="0"/>
              <w:left w:val="single" w:color="auto" w:sz="4" w:space="0"/>
              <w:bottom w:val="single" w:color="auto" w:sz="4" w:space="0"/>
              <w:right w:val="single" w:color="auto" w:sz="4" w:space="0"/>
            </w:tcBorders>
            <w:noWrap/>
            <w:vAlign w:val="center"/>
          </w:tcPr>
          <w:p>
            <w:pPr>
              <w:overflowPunct w:val="0"/>
              <w:spacing w:line="430" w:lineRule="exact"/>
              <w:jc w:val="center"/>
              <w:rPr>
                <w:rFonts w:ascii="宋体" w:hAnsi="宋体" w:eastAsia="宋体" w:cs="宋体"/>
                <w:bCs/>
                <w:color w:val="auto"/>
                <w:kern w:val="2"/>
                <w:sz w:val="22"/>
                <w:szCs w:val="22"/>
                <w:highlight w:val="none"/>
                <w:lang w:val="en-US" w:eastAsia="zh-CN" w:bidi="ar-SA"/>
              </w:rPr>
            </w:pPr>
            <w:r>
              <w:rPr>
                <w:rFonts w:hint="eastAsia" w:ascii="宋体" w:hAnsi="宋体" w:cs="宋体"/>
                <w:bCs/>
                <w:color w:val="auto"/>
                <w:sz w:val="22"/>
                <w:szCs w:val="22"/>
                <w:highlight w:val="none"/>
              </w:rPr>
              <w:t>5</w:t>
            </w:r>
          </w:p>
        </w:tc>
        <w:tc>
          <w:tcPr>
            <w:tcW w:w="911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bCs/>
                <w:color w:val="auto"/>
                <w:kern w:val="0"/>
                <w:sz w:val="22"/>
                <w:szCs w:val="22"/>
                <w:highlight w:val="none"/>
              </w:rPr>
            </w:pPr>
            <w:r>
              <w:rPr>
                <w:rFonts w:hint="eastAsia" w:ascii="新宋体" w:hAnsi="新宋体" w:eastAsia="新宋体" w:cs="宋体"/>
                <w:color w:val="auto"/>
                <w:kern w:val="0"/>
                <w:sz w:val="22"/>
                <w:szCs w:val="22"/>
                <w:highlight w:val="none"/>
              </w:rPr>
              <w:t>资格条件承诺函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39" w:type="dxa"/>
            <w:tcBorders>
              <w:top w:val="single" w:color="auto" w:sz="4" w:space="0"/>
              <w:left w:val="single" w:color="auto" w:sz="4" w:space="0"/>
              <w:bottom w:val="single" w:color="auto" w:sz="4" w:space="0"/>
              <w:right w:val="single" w:color="auto" w:sz="4" w:space="0"/>
            </w:tcBorders>
            <w:noWrap/>
            <w:vAlign w:val="center"/>
          </w:tcPr>
          <w:p>
            <w:pPr>
              <w:overflowPunct w:val="0"/>
              <w:spacing w:line="430" w:lineRule="exact"/>
              <w:jc w:val="center"/>
              <w:rPr>
                <w:rFonts w:hint="eastAsia" w:ascii="宋体" w:hAnsi="宋体" w:eastAsia="宋体" w:cs="宋体"/>
                <w:bCs/>
                <w:color w:val="auto"/>
                <w:sz w:val="22"/>
                <w:szCs w:val="22"/>
                <w:highlight w:val="none"/>
                <w:lang w:val="en-US" w:eastAsia="zh-CN"/>
              </w:rPr>
            </w:pPr>
            <w:r>
              <w:rPr>
                <w:rFonts w:hint="eastAsia" w:ascii="宋体" w:hAnsi="宋体" w:cs="宋体"/>
                <w:bCs/>
                <w:color w:val="auto"/>
                <w:sz w:val="22"/>
                <w:szCs w:val="22"/>
                <w:highlight w:val="none"/>
                <w:lang w:val="en-US" w:eastAsia="zh-CN"/>
              </w:rPr>
              <w:t>6</w:t>
            </w:r>
          </w:p>
        </w:tc>
        <w:tc>
          <w:tcPr>
            <w:tcW w:w="911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kern w:val="0"/>
                <w:sz w:val="22"/>
                <w:szCs w:val="22"/>
                <w:highlight w:val="none"/>
              </w:rPr>
            </w:pPr>
            <w:r>
              <w:rPr>
                <w:rFonts w:hint="eastAsia" w:ascii="新宋体" w:hAnsi="新宋体" w:eastAsia="新宋体" w:cs="新宋体"/>
                <w:bCs/>
                <w:color w:val="auto"/>
                <w:sz w:val="22"/>
                <w:szCs w:val="22"/>
                <w:highlight w:val="none"/>
              </w:rPr>
              <w:t>申请材料真实性声明</w:t>
            </w:r>
          </w:p>
        </w:tc>
      </w:tr>
      <w:bookmarkEnd w:id="14"/>
    </w:tbl>
    <w:p>
      <w:pPr>
        <w:spacing w:line="430" w:lineRule="exact"/>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备注：</w:t>
      </w:r>
      <w:r>
        <w:rPr>
          <w:rFonts w:hint="eastAsia"/>
          <w:b/>
          <w:bCs/>
          <w:color w:val="auto"/>
          <w:highlight w:val="none"/>
        </w:rPr>
        <w:t>如为联合体，则3-</w:t>
      </w:r>
      <w:r>
        <w:rPr>
          <w:rFonts w:hint="eastAsia"/>
          <w:b/>
          <w:bCs/>
          <w:color w:val="auto"/>
          <w:highlight w:val="none"/>
          <w:lang w:val="en-US" w:eastAsia="zh-CN"/>
        </w:rPr>
        <w:t>6</w:t>
      </w:r>
      <w:r>
        <w:rPr>
          <w:rFonts w:hint="eastAsia"/>
          <w:b/>
          <w:bCs/>
          <w:color w:val="auto"/>
          <w:highlight w:val="none"/>
        </w:rPr>
        <w:t>项资格审查材料联合体双方均须提供。</w:t>
      </w:r>
    </w:p>
    <w:p>
      <w:pPr>
        <w:numPr>
          <w:ilvl w:val="0"/>
          <w:numId w:val="8"/>
        </w:numPr>
        <w:spacing w:line="430" w:lineRule="exact"/>
        <w:rPr>
          <w:rFonts w:ascii="新宋体" w:hAnsi="新宋体" w:eastAsia="新宋体" w:cs="新宋体"/>
          <w:color w:val="auto"/>
          <w:highlight w:val="none"/>
        </w:rPr>
      </w:pPr>
      <w:r>
        <w:rPr>
          <w:rFonts w:hint="eastAsia" w:ascii="新宋体" w:hAnsi="新宋体" w:eastAsia="新宋体" w:cs="新宋体"/>
          <w:color w:val="auto"/>
          <w:sz w:val="22"/>
          <w:szCs w:val="22"/>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磋商响应文件中提供相关材料），证明其具备实际承担责任的能力和法定的缔结合同能力，可以独立参加采购活动，由单位负责人签署相关文件材料。</w:t>
      </w:r>
    </w:p>
    <w:p>
      <w:pPr>
        <w:numPr>
          <w:ilvl w:val="0"/>
          <w:numId w:val="8"/>
        </w:numPr>
        <w:spacing w:line="430" w:lineRule="exact"/>
        <w:rPr>
          <w:rFonts w:ascii="新宋体" w:hAnsi="新宋体" w:eastAsia="新宋体" w:cs="新宋体"/>
          <w:color w:val="auto"/>
          <w:highlight w:val="none"/>
        </w:rPr>
      </w:pPr>
      <w:r>
        <w:rPr>
          <w:rFonts w:hint="eastAsia" w:ascii="新宋体" w:hAnsi="新宋体" w:eastAsia="新宋体" w:cs="新宋体"/>
          <w:color w:val="auto"/>
          <w:sz w:val="22"/>
          <w:szCs w:val="22"/>
          <w:highlight w:val="none"/>
        </w:rPr>
        <w:t>以上所需的各种证书、证件、证明、执照若系复印件，须在复印件上加盖供应商有效的公章。</w:t>
      </w:r>
    </w:p>
    <w:p>
      <w:pPr>
        <w:spacing w:line="430" w:lineRule="exact"/>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10.1.2 磋商响应文件商务技术标应包括下列部分：</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8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4" w:type="dxa"/>
            <w:noWrap w:val="0"/>
            <w:vAlign w:val="center"/>
          </w:tcPr>
          <w:p>
            <w:pPr>
              <w:jc w:val="center"/>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t>序号</w:t>
            </w:r>
          </w:p>
        </w:tc>
        <w:tc>
          <w:tcPr>
            <w:tcW w:w="8846" w:type="dxa"/>
            <w:noWrap w:val="0"/>
            <w:vAlign w:val="center"/>
          </w:tcPr>
          <w:p>
            <w:pPr>
              <w:jc w:val="center"/>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4" w:type="dxa"/>
            <w:noWrap w:val="0"/>
            <w:vAlign w:val="center"/>
          </w:tcPr>
          <w:p>
            <w:pPr>
              <w:jc w:val="center"/>
              <w:rPr>
                <w:rFonts w:ascii="新宋体" w:hAnsi="新宋体" w:eastAsia="新宋体"/>
                <w:b/>
                <w:color w:val="auto"/>
                <w:sz w:val="22"/>
                <w:szCs w:val="22"/>
                <w:highlight w:val="none"/>
              </w:rPr>
            </w:pPr>
            <w:r>
              <w:rPr>
                <w:rFonts w:hint="eastAsia" w:ascii="新宋体" w:hAnsi="新宋体" w:eastAsia="新宋体"/>
                <w:color w:val="auto"/>
                <w:sz w:val="22"/>
                <w:szCs w:val="22"/>
                <w:highlight w:val="none"/>
              </w:rPr>
              <w:t>1</w:t>
            </w:r>
          </w:p>
        </w:tc>
        <w:tc>
          <w:tcPr>
            <w:tcW w:w="8846" w:type="dxa"/>
            <w:noWrap w:val="0"/>
            <w:vAlign w:val="center"/>
          </w:tcPr>
          <w:p>
            <w:pPr>
              <w:rPr>
                <w:rFonts w:ascii="新宋体" w:hAnsi="新宋体" w:eastAsia="新宋体"/>
                <w:b/>
                <w:color w:val="auto"/>
                <w:sz w:val="22"/>
                <w:szCs w:val="22"/>
                <w:highlight w:val="none"/>
              </w:rPr>
            </w:pPr>
            <w:r>
              <w:rPr>
                <w:rFonts w:hint="eastAsia" w:ascii="宋体" w:hAnsi="宋体"/>
                <w:bCs/>
                <w:color w:val="auto"/>
                <w:sz w:val="22"/>
                <w:szCs w:val="22"/>
                <w:highlight w:val="none"/>
              </w:rPr>
              <w:t>针对评分细则，编制目录索引，注明评标细则项目所在响应文件页码，格式自拟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4" w:type="dxa"/>
            <w:noWrap w:val="0"/>
            <w:vAlign w:val="center"/>
          </w:tcPr>
          <w:p>
            <w:pPr>
              <w:jc w:val="center"/>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2</w:t>
            </w:r>
          </w:p>
        </w:tc>
        <w:tc>
          <w:tcPr>
            <w:tcW w:w="8846" w:type="dxa"/>
            <w:noWrap w:val="0"/>
            <w:vAlign w:val="center"/>
          </w:tcPr>
          <w:p>
            <w:pPr>
              <w:rPr>
                <w:rFonts w:ascii="新宋体" w:hAnsi="新宋体" w:eastAsia="新宋体"/>
                <w:b/>
                <w:color w:val="auto"/>
                <w:sz w:val="22"/>
                <w:szCs w:val="22"/>
                <w:highlight w:val="none"/>
              </w:rPr>
            </w:pPr>
            <w:r>
              <w:rPr>
                <w:rFonts w:hint="eastAsia" w:ascii="新宋体" w:hAnsi="新宋体" w:eastAsia="新宋体"/>
                <w:color w:val="auto"/>
                <w:sz w:val="22"/>
                <w:szCs w:val="22"/>
                <w:highlight w:val="none"/>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4" w:type="dxa"/>
            <w:noWrap w:val="0"/>
            <w:vAlign w:val="center"/>
          </w:tcPr>
          <w:p>
            <w:pPr>
              <w:jc w:val="center"/>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3</w:t>
            </w:r>
          </w:p>
        </w:tc>
        <w:tc>
          <w:tcPr>
            <w:tcW w:w="8846" w:type="dxa"/>
            <w:noWrap w:val="0"/>
            <w:vAlign w:val="center"/>
          </w:tcPr>
          <w:p>
            <w:pPr>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服务条款应答表、商务条款偏离表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4" w:type="dxa"/>
            <w:noWrap w:val="0"/>
            <w:vAlign w:val="center"/>
          </w:tcPr>
          <w:p>
            <w:pPr>
              <w:jc w:val="center"/>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4</w:t>
            </w:r>
          </w:p>
        </w:tc>
        <w:tc>
          <w:tcPr>
            <w:tcW w:w="8846" w:type="dxa"/>
            <w:noWrap w:val="0"/>
            <w:vAlign w:val="center"/>
          </w:tcPr>
          <w:p>
            <w:pPr>
              <w:rPr>
                <w:rFonts w:ascii="新宋体" w:hAnsi="新宋体" w:eastAsia="新宋体"/>
                <w:color w:val="auto"/>
                <w:sz w:val="22"/>
                <w:szCs w:val="22"/>
                <w:highlight w:val="none"/>
              </w:rPr>
            </w:pPr>
            <w:r>
              <w:rPr>
                <w:rFonts w:hint="eastAsia" w:ascii="新宋体" w:hAnsi="新宋体" w:eastAsia="新宋体"/>
                <w:b/>
                <w:color w:val="auto"/>
                <w:sz w:val="22"/>
                <w:szCs w:val="22"/>
                <w:highlight w:val="none"/>
              </w:rPr>
              <w:t>资信证明文件（根据本项目技术资信标评分细则提供，非强制性要求，格式可自拟）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4" w:type="dxa"/>
            <w:noWrap w:val="0"/>
            <w:vAlign w:val="center"/>
          </w:tcPr>
          <w:p>
            <w:pPr>
              <w:jc w:val="center"/>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5</w:t>
            </w:r>
          </w:p>
        </w:tc>
        <w:tc>
          <w:tcPr>
            <w:tcW w:w="8846" w:type="dxa"/>
            <w:noWrap w:val="0"/>
            <w:vAlign w:val="center"/>
          </w:tcPr>
          <w:p>
            <w:pPr>
              <w:rPr>
                <w:rFonts w:ascii="新宋体" w:hAnsi="新宋体"/>
                <w:b/>
                <w:color w:val="auto"/>
                <w:sz w:val="22"/>
                <w:szCs w:val="22"/>
                <w:highlight w:val="none"/>
                <w:u w:val="single"/>
              </w:rPr>
            </w:pPr>
            <w:r>
              <w:rPr>
                <w:rFonts w:hint="eastAsia" w:ascii="宋体" w:hAnsi="宋体"/>
                <w:color w:val="auto"/>
                <w:sz w:val="22"/>
                <w:szCs w:val="22"/>
                <w:highlight w:val="none"/>
              </w:rPr>
              <w:t>理赔服务响应方案（格式自拟）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724" w:type="dxa"/>
            <w:noWrap w:val="0"/>
            <w:vAlign w:val="center"/>
          </w:tcPr>
          <w:p>
            <w:pPr>
              <w:jc w:val="center"/>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6</w:t>
            </w:r>
          </w:p>
        </w:tc>
        <w:tc>
          <w:tcPr>
            <w:tcW w:w="8846" w:type="dxa"/>
            <w:noWrap w:val="0"/>
            <w:vAlign w:val="center"/>
          </w:tcPr>
          <w:p>
            <w:pPr>
              <w:tabs>
                <w:tab w:val="left" w:pos="5355"/>
              </w:tabs>
              <w:rPr>
                <w:rFonts w:ascii="新宋体" w:hAnsi="新宋体" w:eastAsia="新宋体"/>
                <w:b/>
                <w:color w:val="auto"/>
                <w:sz w:val="22"/>
                <w:szCs w:val="22"/>
                <w:highlight w:val="none"/>
                <w:u w:val="single"/>
              </w:rPr>
            </w:pPr>
            <w:r>
              <w:rPr>
                <w:rFonts w:hint="eastAsia" w:ascii="宋体" w:hAnsi="宋体"/>
                <w:color w:val="auto"/>
                <w:sz w:val="22"/>
                <w:szCs w:val="22"/>
                <w:highlight w:val="none"/>
              </w:rPr>
              <w:t>风险管理建议（格式自拟）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4" w:type="dxa"/>
            <w:noWrap w:val="0"/>
            <w:vAlign w:val="center"/>
          </w:tcPr>
          <w:p>
            <w:pPr>
              <w:jc w:val="center"/>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7</w:t>
            </w:r>
          </w:p>
        </w:tc>
        <w:tc>
          <w:tcPr>
            <w:tcW w:w="8846" w:type="dxa"/>
            <w:noWrap w:val="0"/>
            <w:vAlign w:val="center"/>
          </w:tcPr>
          <w:p>
            <w:pPr>
              <w:rPr>
                <w:rFonts w:ascii="宋体" w:hAnsi="宋体"/>
                <w:color w:val="auto"/>
                <w:sz w:val="22"/>
                <w:szCs w:val="22"/>
                <w:highlight w:val="none"/>
              </w:rPr>
            </w:pPr>
            <w:r>
              <w:rPr>
                <w:rFonts w:hint="eastAsia" w:ascii="宋体" w:hAnsi="宋体"/>
                <w:color w:val="auto"/>
                <w:sz w:val="22"/>
                <w:szCs w:val="22"/>
                <w:highlight w:val="none"/>
              </w:rPr>
              <w:t>投标人同类项目业绩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4" w:type="dxa"/>
            <w:noWrap w:val="0"/>
            <w:vAlign w:val="center"/>
          </w:tcPr>
          <w:p>
            <w:pPr>
              <w:jc w:val="center"/>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8</w:t>
            </w:r>
          </w:p>
        </w:tc>
        <w:tc>
          <w:tcPr>
            <w:tcW w:w="8846" w:type="dxa"/>
            <w:noWrap w:val="0"/>
            <w:vAlign w:val="center"/>
          </w:tcPr>
          <w:p>
            <w:pPr>
              <w:rPr>
                <w:rFonts w:ascii="宋体" w:hAnsi="宋体"/>
                <w:color w:val="auto"/>
                <w:sz w:val="22"/>
                <w:szCs w:val="22"/>
                <w:highlight w:val="none"/>
              </w:rPr>
            </w:pPr>
            <w:r>
              <w:rPr>
                <w:rFonts w:hint="eastAsia" w:ascii="宋体" w:hAnsi="宋体"/>
                <w:color w:val="auto"/>
                <w:sz w:val="22"/>
                <w:szCs w:val="22"/>
                <w:highlight w:val="none"/>
              </w:rPr>
              <w:t>投标单位参照本项目技术资信评分细则认为需要提交的其他资信技术证明文件</w:t>
            </w:r>
          </w:p>
        </w:tc>
      </w:tr>
    </w:tbl>
    <w:p>
      <w:pPr>
        <w:spacing w:line="430" w:lineRule="exact"/>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t>备注：</w:t>
      </w:r>
    </w:p>
    <w:p>
      <w:pPr>
        <w:numPr>
          <w:ilvl w:val="0"/>
          <w:numId w:val="9"/>
        </w:numPr>
        <w:spacing w:line="430" w:lineRule="exact"/>
        <w:rPr>
          <w:rFonts w:ascii="新宋体" w:hAnsi="新宋体" w:eastAsia="新宋体"/>
          <w:color w:val="auto"/>
          <w:highlight w:val="none"/>
        </w:rPr>
      </w:pPr>
      <w:r>
        <w:rPr>
          <w:rFonts w:hint="eastAsia" w:ascii="新宋体" w:hAnsi="新宋体" w:eastAsia="新宋体" w:cs="新宋体"/>
          <w:color w:val="auto"/>
          <w:sz w:val="22"/>
          <w:szCs w:val="22"/>
          <w:highlight w:val="none"/>
        </w:rPr>
        <w:t>磋商响应文件中应承诺：供应商所提供的技术资料的所有权归采购人所有。如若发生第三方侵权事件，其侵权责任与采购人及采购代理机构无关，由供应商承担全部责任。侵权造成的所有相关费用，均由供应商支付，保证不伤害采购人的利益。</w:t>
      </w:r>
    </w:p>
    <w:p>
      <w:pPr>
        <w:numPr>
          <w:ilvl w:val="0"/>
          <w:numId w:val="9"/>
        </w:numPr>
        <w:spacing w:line="430" w:lineRule="exact"/>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以上所需的各种证书、证件、证明等若系复印件，须在复印件上加盖供应商有效的公章。</w:t>
      </w:r>
    </w:p>
    <w:p>
      <w:pPr>
        <w:tabs>
          <w:tab w:val="left" w:pos="5355"/>
        </w:tabs>
        <w:spacing w:line="430" w:lineRule="exact"/>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10.1.3 磋商响应文件报价标应包括下列部分：</w:t>
      </w:r>
    </w:p>
    <w:bookmarkEnd w:id="13"/>
    <w:tbl>
      <w:tblPr>
        <w:tblStyle w:val="53"/>
        <w:tblW w:w="9854" w:type="dxa"/>
        <w:tblInd w:w="0" w:type="dxa"/>
        <w:tblLayout w:type="fixed"/>
        <w:tblCellMar>
          <w:top w:w="0" w:type="dxa"/>
          <w:left w:w="108" w:type="dxa"/>
          <w:bottom w:w="0" w:type="dxa"/>
          <w:right w:w="108" w:type="dxa"/>
        </w:tblCellMar>
      </w:tblPr>
      <w:tblGrid>
        <w:gridCol w:w="733"/>
        <w:gridCol w:w="9121"/>
      </w:tblGrid>
      <w:tr>
        <w:tblPrEx>
          <w:tblCellMar>
            <w:top w:w="0" w:type="dxa"/>
            <w:left w:w="108" w:type="dxa"/>
            <w:bottom w:w="0" w:type="dxa"/>
            <w:right w:w="108" w:type="dxa"/>
          </w:tblCellMar>
        </w:tblPrEx>
        <w:trPr>
          <w:trHeight w:val="567" w:hRule="atLeast"/>
        </w:trPr>
        <w:tc>
          <w:tcPr>
            <w:tcW w:w="733"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autoSpaceDE w:val="0"/>
              <w:autoSpaceDN w:val="0"/>
              <w:adjustRightInd w:val="0"/>
              <w:spacing w:line="430" w:lineRule="atLeast"/>
              <w:jc w:val="center"/>
              <w:rPr>
                <w:rFonts w:ascii="宋体" w:hAnsi="宋体" w:cs="宋体"/>
                <w:b/>
                <w:bCs/>
                <w:color w:val="auto"/>
                <w:kern w:val="0"/>
                <w:sz w:val="22"/>
                <w:szCs w:val="22"/>
                <w:highlight w:val="none"/>
                <w:lang w:val="zh-CN"/>
              </w:rPr>
            </w:pPr>
            <w:r>
              <w:rPr>
                <w:rFonts w:hint="eastAsia" w:ascii="宋体" w:hAnsi="宋体" w:cs="宋体"/>
                <w:b/>
                <w:bCs/>
                <w:color w:val="auto"/>
                <w:kern w:val="0"/>
                <w:sz w:val="22"/>
                <w:szCs w:val="22"/>
                <w:highlight w:val="none"/>
                <w:lang w:val="zh-CN"/>
              </w:rPr>
              <w:t>序号</w:t>
            </w:r>
          </w:p>
        </w:tc>
        <w:tc>
          <w:tcPr>
            <w:tcW w:w="9121"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autoSpaceDE w:val="0"/>
              <w:autoSpaceDN w:val="0"/>
              <w:adjustRightInd w:val="0"/>
              <w:spacing w:line="430" w:lineRule="atLeast"/>
              <w:jc w:val="center"/>
              <w:rPr>
                <w:rFonts w:ascii="宋体" w:hAnsi="宋体" w:cs="宋体"/>
                <w:b/>
                <w:bCs/>
                <w:color w:val="auto"/>
                <w:kern w:val="0"/>
                <w:sz w:val="22"/>
                <w:szCs w:val="22"/>
                <w:highlight w:val="none"/>
                <w:lang w:val="zh-CN"/>
              </w:rPr>
            </w:pPr>
            <w:r>
              <w:rPr>
                <w:rFonts w:hint="eastAsia" w:ascii="宋体" w:hAnsi="宋体" w:cs="宋体"/>
                <w:b/>
                <w:bCs/>
                <w:color w:val="auto"/>
                <w:kern w:val="0"/>
                <w:sz w:val="22"/>
                <w:szCs w:val="22"/>
                <w:highlight w:val="none"/>
                <w:lang w:val="zh-CN"/>
              </w:rPr>
              <w:t>内容</w:t>
            </w:r>
          </w:p>
        </w:tc>
      </w:tr>
      <w:tr>
        <w:tblPrEx>
          <w:tblCellMar>
            <w:top w:w="0" w:type="dxa"/>
            <w:left w:w="108" w:type="dxa"/>
            <w:bottom w:w="0" w:type="dxa"/>
            <w:right w:w="108" w:type="dxa"/>
          </w:tblCellMar>
        </w:tblPrEx>
        <w:trPr>
          <w:trHeight w:val="567" w:hRule="atLeast"/>
        </w:trPr>
        <w:tc>
          <w:tcPr>
            <w:tcW w:w="733"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autoSpaceDE w:val="0"/>
              <w:autoSpaceDN w:val="0"/>
              <w:adjustRightInd w:val="0"/>
              <w:spacing w:line="430" w:lineRule="atLeas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1</w:t>
            </w:r>
          </w:p>
        </w:tc>
        <w:tc>
          <w:tcPr>
            <w:tcW w:w="9121"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autoSpaceDE w:val="0"/>
              <w:autoSpaceDN w:val="0"/>
              <w:adjustRightInd w:val="0"/>
              <w:spacing w:line="430" w:lineRule="atLeas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开标一览表</w:t>
            </w:r>
          </w:p>
        </w:tc>
      </w:tr>
      <w:tr>
        <w:tblPrEx>
          <w:tblCellMar>
            <w:top w:w="0" w:type="dxa"/>
            <w:left w:w="108" w:type="dxa"/>
            <w:bottom w:w="0" w:type="dxa"/>
            <w:right w:w="108" w:type="dxa"/>
          </w:tblCellMar>
        </w:tblPrEx>
        <w:trPr>
          <w:trHeight w:val="567" w:hRule="atLeast"/>
        </w:trPr>
        <w:tc>
          <w:tcPr>
            <w:tcW w:w="733"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autoSpaceDE w:val="0"/>
              <w:autoSpaceDN w:val="0"/>
              <w:adjustRightInd w:val="0"/>
              <w:spacing w:line="430" w:lineRule="atLeas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w:t>
            </w:r>
          </w:p>
        </w:tc>
        <w:tc>
          <w:tcPr>
            <w:tcW w:w="9121"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autoSpaceDE w:val="0"/>
              <w:autoSpaceDN w:val="0"/>
              <w:adjustRightInd w:val="0"/>
              <w:spacing w:line="430" w:lineRule="atLeas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投标分项报价表</w:t>
            </w:r>
          </w:p>
        </w:tc>
      </w:tr>
      <w:tr>
        <w:tblPrEx>
          <w:tblCellMar>
            <w:top w:w="0" w:type="dxa"/>
            <w:left w:w="108" w:type="dxa"/>
            <w:bottom w:w="0" w:type="dxa"/>
            <w:right w:w="108" w:type="dxa"/>
          </w:tblCellMar>
        </w:tblPrEx>
        <w:trPr>
          <w:trHeight w:val="848" w:hRule="atLeast"/>
        </w:trPr>
        <w:tc>
          <w:tcPr>
            <w:tcW w:w="733"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autoSpaceDE w:val="0"/>
              <w:autoSpaceDN w:val="0"/>
              <w:adjustRightInd w:val="0"/>
              <w:spacing w:line="430" w:lineRule="atLeas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w:t>
            </w:r>
          </w:p>
        </w:tc>
        <w:tc>
          <w:tcPr>
            <w:tcW w:w="9121"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autoSpaceDE w:val="0"/>
              <w:autoSpaceDN w:val="0"/>
              <w:adjustRightInd w:val="0"/>
              <w:spacing w:line="430" w:lineRule="atLeas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中小企业声明函（或监狱企业声明函、残疾人福利性单位声明函）（采购文件第二部分相关附件）</w:t>
            </w:r>
          </w:p>
        </w:tc>
      </w:tr>
    </w:tbl>
    <w:p>
      <w:pPr>
        <w:spacing w:line="440" w:lineRule="exact"/>
        <w:ind w:left="331" w:hanging="331" w:hangingChars="150"/>
        <w:rPr>
          <w:rFonts w:ascii="宋体" w:hAnsi="宋体"/>
          <w:b/>
          <w:bCs/>
          <w:color w:val="auto"/>
          <w:sz w:val="22"/>
          <w:szCs w:val="22"/>
          <w:highlight w:val="none"/>
        </w:rPr>
      </w:pPr>
      <w:r>
        <w:rPr>
          <w:rFonts w:hint="eastAsia" w:ascii="宋体" w:hAnsi="宋体"/>
          <w:b/>
          <w:bCs/>
          <w:color w:val="auto"/>
          <w:sz w:val="22"/>
          <w:szCs w:val="22"/>
          <w:highlight w:val="none"/>
        </w:rPr>
        <w:t>11.磋商响应文件编制</w:t>
      </w:r>
    </w:p>
    <w:p>
      <w:pPr>
        <w:tabs>
          <w:tab w:val="left" w:pos="360"/>
        </w:tabs>
        <w:spacing w:line="460" w:lineRule="exact"/>
        <w:rPr>
          <w:rFonts w:ascii="宋体" w:hAnsi="宋体" w:cs="新宋体"/>
          <w:color w:val="auto"/>
          <w:sz w:val="22"/>
          <w:szCs w:val="22"/>
          <w:highlight w:val="none"/>
        </w:rPr>
      </w:pPr>
      <w:r>
        <w:rPr>
          <w:rFonts w:hint="eastAsia" w:ascii="宋体" w:hAnsi="宋体" w:cs="新宋体"/>
          <w:color w:val="auto"/>
          <w:sz w:val="22"/>
          <w:szCs w:val="22"/>
          <w:highlight w:val="none"/>
        </w:rPr>
        <w:t>11.1本项目通过“政采云平台（www.zcygov.cn）”实行在线投标响应（电子投标）。供应商应通过“政采云电子交易客户端”，并按照本采购文件和“政采云平台”的要求编制并加密磋商响应文件。</w:t>
      </w:r>
    </w:p>
    <w:p>
      <w:pPr>
        <w:tabs>
          <w:tab w:val="left" w:pos="360"/>
        </w:tabs>
        <w:spacing w:line="460" w:lineRule="exact"/>
        <w:rPr>
          <w:rFonts w:ascii="宋体" w:hAnsi="宋体" w:cs="新宋体"/>
          <w:color w:val="auto"/>
          <w:sz w:val="22"/>
          <w:szCs w:val="22"/>
          <w:highlight w:val="none"/>
        </w:rPr>
      </w:pPr>
      <w:r>
        <w:rPr>
          <w:rFonts w:hint="eastAsia" w:ascii="宋体" w:hAnsi="宋体" w:cs="新宋体"/>
          <w:color w:val="auto"/>
          <w:sz w:val="22"/>
          <w:szCs w:val="22"/>
          <w:highlight w:val="none"/>
        </w:rPr>
        <w:t>11.2供应商应当按照本章节 “磋商响应文件组成”规定的内容及顺序在“政采云电子交易客户端”编制磋商响应文件。其中“资格审查资料”和“商务技术文件”中不得出现本项目</w:t>
      </w:r>
      <w:r>
        <w:rPr>
          <w:rFonts w:hint="eastAsia" w:ascii="宋体" w:hAnsi="宋体" w:cs="新宋体"/>
          <w:color w:val="auto"/>
          <w:sz w:val="22"/>
          <w:szCs w:val="22"/>
          <w:highlight w:val="none"/>
          <w:lang w:eastAsia="zh-CN"/>
        </w:rPr>
        <w:t>磋商报价</w:t>
      </w:r>
      <w:r>
        <w:rPr>
          <w:rFonts w:hint="eastAsia" w:ascii="宋体" w:hAnsi="宋体" w:cs="新宋体"/>
          <w:color w:val="auto"/>
          <w:sz w:val="22"/>
          <w:szCs w:val="22"/>
          <w:highlight w:val="none"/>
        </w:rPr>
        <w:t>，如因供应商原因提前泄露</w:t>
      </w:r>
      <w:r>
        <w:rPr>
          <w:rFonts w:hint="eastAsia" w:ascii="宋体" w:hAnsi="宋体" w:cs="新宋体"/>
          <w:color w:val="auto"/>
          <w:sz w:val="22"/>
          <w:szCs w:val="22"/>
          <w:highlight w:val="none"/>
          <w:lang w:eastAsia="zh-CN"/>
        </w:rPr>
        <w:t>磋商报价</w:t>
      </w:r>
      <w:r>
        <w:rPr>
          <w:rFonts w:hint="eastAsia" w:ascii="宋体" w:hAnsi="宋体" w:cs="新宋体"/>
          <w:color w:val="auto"/>
          <w:sz w:val="22"/>
          <w:szCs w:val="22"/>
          <w:highlight w:val="none"/>
        </w:rPr>
        <w:t>，是供应商的责任。</w:t>
      </w:r>
    </w:p>
    <w:p>
      <w:pPr>
        <w:tabs>
          <w:tab w:val="left" w:pos="360"/>
        </w:tabs>
        <w:spacing w:line="460" w:lineRule="exact"/>
        <w:rPr>
          <w:rFonts w:ascii="宋体" w:hAnsi="宋体" w:cs="新宋体"/>
          <w:color w:val="auto"/>
          <w:sz w:val="22"/>
          <w:szCs w:val="22"/>
          <w:highlight w:val="none"/>
        </w:rPr>
      </w:pPr>
      <w:r>
        <w:rPr>
          <w:rFonts w:hint="eastAsia" w:ascii="宋体" w:hAnsi="宋体" w:cs="新宋体"/>
          <w:color w:val="auto"/>
          <w:sz w:val="22"/>
          <w:szCs w:val="22"/>
          <w:highlight w:val="none"/>
        </w:rPr>
        <w:t>11.3本采购文件“第四部分 磋商响应文件格式”中有提供格式的，供应商须参照格式进行编制（格式中要求提供相关证明材料的还需后附相关证明材料），并按格式要求在指定位置根据要求进行签章，否则视为未提供；本文件“第四部分 磋商响应文件格式”未提供格式的，请各投标单位自行拟定格式，并加盖单位公章并由法定代表人或其授权代表签署（签字或盖章），否则视为未提供。</w:t>
      </w:r>
    </w:p>
    <w:p>
      <w:pPr>
        <w:tabs>
          <w:tab w:val="left" w:pos="360"/>
        </w:tabs>
        <w:spacing w:line="460" w:lineRule="exact"/>
        <w:rPr>
          <w:rFonts w:ascii="宋体" w:hAnsi="宋体" w:cs="新宋体"/>
          <w:color w:val="auto"/>
          <w:sz w:val="22"/>
          <w:szCs w:val="22"/>
          <w:highlight w:val="none"/>
        </w:rPr>
      </w:pPr>
      <w:r>
        <w:rPr>
          <w:rFonts w:hint="eastAsia" w:ascii="宋体" w:hAnsi="宋体" w:cs="新宋体"/>
          <w:color w:val="auto"/>
          <w:sz w:val="22"/>
          <w:szCs w:val="22"/>
          <w:highlight w:val="none"/>
        </w:rPr>
        <w:t>11.4磋商响应文件内容不完整、编排混乱导致磋商响应文件被误读、漏读或者查找不到相关内容的，是供应商的责任。</w:t>
      </w:r>
    </w:p>
    <w:p>
      <w:pPr>
        <w:tabs>
          <w:tab w:val="left" w:pos="360"/>
        </w:tabs>
        <w:spacing w:line="460" w:lineRule="exact"/>
        <w:rPr>
          <w:rFonts w:ascii="宋体" w:hAnsi="宋体" w:cs="新宋体"/>
          <w:color w:val="auto"/>
          <w:sz w:val="22"/>
          <w:szCs w:val="22"/>
          <w:highlight w:val="none"/>
        </w:rPr>
      </w:pPr>
      <w:r>
        <w:rPr>
          <w:rFonts w:hint="eastAsia" w:ascii="宋体" w:hAnsi="宋体" w:cs="新宋体"/>
          <w:color w:val="auto"/>
          <w:sz w:val="22"/>
          <w:szCs w:val="22"/>
          <w:highlight w:val="none"/>
        </w:rPr>
        <w:t>11.5磋商响应文件因字迹潦草或表达不清所引起的后果由供应商负责。</w:t>
      </w:r>
    </w:p>
    <w:p>
      <w:pPr>
        <w:tabs>
          <w:tab w:val="left" w:pos="360"/>
        </w:tabs>
        <w:spacing w:line="460" w:lineRule="exact"/>
        <w:rPr>
          <w:rFonts w:ascii="宋体" w:hAnsi="宋体" w:cs="新宋体"/>
          <w:color w:val="auto"/>
          <w:sz w:val="22"/>
          <w:szCs w:val="22"/>
          <w:highlight w:val="none"/>
        </w:rPr>
      </w:pPr>
      <w:r>
        <w:rPr>
          <w:rFonts w:hint="eastAsia" w:ascii="宋体" w:hAnsi="宋体" w:cs="新宋体"/>
          <w:color w:val="auto"/>
          <w:sz w:val="22"/>
          <w:szCs w:val="22"/>
          <w:highlight w:val="none"/>
        </w:rPr>
        <w:t>11.6 供应商没有按照本章节 “磋商响应文件组成”要求提供全部资料，或者没有仔细阅读采购文件，或者没有对采购文件在各方面的要求作出实质性响应是供应商的风险，由此造成的一切后果由供应商自行承担。</w:t>
      </w:r>
    </w:p>
    <w:p>
      <w:pPr>
        <w:spacing w:line="440" w:lineRule="exact"/>
        <w:ind w:left="331" w:hanging="331" w:hangingChars="150"/>
        <w:rPr>
          <w:rFonts w:ascii="宋体" w:hAnsi="宋体"/>
          <w:b/>
          <w:bCs/>
          <w:color w:val="auto"/>
          <w:sz w:val="22"/>
          <w:szCs w:val="22"/>
          <w:highlight w:val="none"/>
        </w:rPr>
      </w:pPr>
      <w:r>
        <w:rPr>
          <w:rFonts w:hint="eastAsia" w:ascii="宋体" w:hAnsi="宋体"/>
          <w:b/>
          <w:bCs/>
          <w:color w:val="auto"/>
          <w:sz w:val="22"/>
          <w:szCs w:val="22"/>
          <w:highlight w:val="none"/>
        </w:rPr>
        <w:t>12.磋商响应文件的签章</w:t>
      </w:r>
    </w:p>
    <w:p>
      <w:pPr>
        <w:tabs>
          <w:tab w:val="left" w:pos="360"/>
        </w:tabs>
        <w:spacing w:line="460" w:lineRule="exact"/>
        <w:rPr>
          <w:rFonts w:ascii="宋体" w:hAnsi="宋体" w:cs="新宋体"/>
          <w:color w:val="auto"/>
          <w:sz w:val="22"/>
          <w:szCs w:val="22"/>
          <w:highlight w:val="none"/>
        </w:rPr>
      </w:pPr>
      <w:r>
        <w:rPr>
          <w:rFonts w:hint="eastAsia" w:ascii="宋体" w:hAnsi="宋体" w:cs="新宋体"/>
          <w:color w:val="auto"/>
          <w:sz w:val="22"/>
          <w:szCs w:val="22"/>
          <w:highlight w:val="none"/>
        </w:rPr>
        <w:t>12.1磋商响应文件的签章要求：供应商须知前附表第17款；</w:t>
      </w:r>
    </w:p>
    <w:p>
      <w:pPr>
        <w:tabs>
          <w:tab w:val="left" w:pos="360"/>
        </w:tabs>
        <w:spacing w:line="460" w:lineRule="exact"/>
        <w:rPr>
          <w:rFonts w:ascii="宋体" w:hAnsi="宋体" w:cs="新宋体"/>
          <w:color w:val="auto"/>
          <w:sz w:val="22"/>
          <w:szCs w:val="22"/>
          <w:highlight w:val="none"/>
        </w:rPr>
      </w:pPr>
      <w:r>
        <w:rPr>
          <w:rFonts w:hint="eastAsia" w:ascii="宋体" w:hAnsi="宋体" w:cs="新宋体"/>
          <w:color w:val="auto"/>
          <w:sz w:val="22"/>
          <w:szCs w:val="22"/>
          <w:highlight w:val="none"/>
        </w:rPr>
        <w:t>12.2磋商响应文件应由供应商法定代表人或其授权代表签章（电子签章），并时加盖供应商公章（电子签章）。</w:t>
      </w:r>
    </w:p>
    <w:p>
      <w:pPr>
        <w:tabs>
          <w:tab w:val="left" w:pos="360"/>
        </w:tabs>
        <w:spacing w:line="460" w:lineRule="exact"/>
        <w:rPr>
          <w:rFonts w:ascii="宋体" w:hAnsi="宋体" w:cs="新宋体"/>
          <w:color w:val="auto"/>
          <w:sz w:val="22"/>
          <w:szCs w:val="22"/>
          <w:highlight w:val="none"/>
        </w:rPr>
      </w:pPr>
      <w:r>
        <w:rPr>
          <w:rFonts w:hint="eastAsia" w:ascii="宋体" w:hAnsi="宋体" w:cs="新宋体"/>
          <w:color w:val="auto"/>
          <w:sz w:val="22"/>
          <w:szCs w:val="22"/>
          <w:highlight w:val="none"/>
        </w:rPr>
        <w:t>12.3电子签章操作指南详见采购公告附件《供应商项目采购-电子招投标操作指南》。</w:t>
      </w:r>
    </w:p>
    <w:p>
      <w:pPr>
        <w:spacing w:line="440" w:lineRule="exact"/>
        <w:ind w:left="331" w:hanging="331" w:hangingChars="150"/>
        <w:rPr>
          <w:rFonts w:ascii="宋体" w:hAnsi="宋体"/>
          <w:b/>
          <w:bCs/>
          <w:color w:val="auto"/>
          <w:sz w:val="22"/>
          <w:szCs w:val="22"/>
          <w:highlight w:val="none"/>
        </w:rPr>
      </w:pPr>
      <w:r>
        <w:rPr>
          <w:rFonts w:hint="eastAsia" w:ascii="宋体" w:hAnsi="宋体"/>
          <w:b/>
          <w:bCs/>
          <w:color w:val="auto"/>
          <w:sz w:val="22"/>
          <w:szCs w:val="22"/>
          <w:highlight w:val="none"/>
        </w:rPr>
        <w:t>13.磋商响应文件的形式</w:t>
      </w:r>
    </w:p>
    <w:p>
      <w:pPr>
        <w:tabs>
          <w:tab w:val="left" w:pos="360"/>
        </w:tabs>
        <w:spacing w:line="460" w:lineRule="exact"/>
        <w:rPr>
          <w:rFonts w:ascii="宋体" w:hAnsi="宋体" w:cs="新宋体"/>
          <w:color w:val="auto"/>
          <w:sz w:val="22"/>
          <w:szCs w:val="22"/>
          <w:highlight w:val="none"/>
        </w:rPr>
      </w:pPr>
      <w:r>
        <w:rPr>
          <w:rFonts w:hint="eastAsia" w:ascii="宋体" w:hAnsi="宋体" w:cs="新宋体"/>
          <w:color w:val="auto"/>
          <w:sz w:val="22"/>
          <w:szCs w:val="22"/>
          <w:highlight w:val="none"/>
        </w:rPr>
        <w:t>13.1磋商响应文件的形式：见供应商须知前附表第18款；</w:t>
      </w:r>
    </w:p>
    <w:p>
      <w:pPr>
        <w:tabs>
          <w:tab w:val="left" w:pos="360"/>
        </w:tabs>
        <w:spacing w:line="460" w:lineRule="exact"/>
        <w:rPr>
          <w:rFonts w:ascii="宋体" w:hAnsi="宋体" w:cs="新宋体"/>
          <w:color w:val="auto"/>
          <w:sz w:val="22"/>
          <w:szCs w:val="22"/>
          <w:highlight w:val="none"/>
        </w:rPr>
      </w:pPr>
      <w:r>
        <w:rPr>
          <w:rFonts w:hint="eastAsia" w:ascii="宋体" w:hAnsi="宋体" w:cs="新宋体"/>
          <w:color w:val="auto"/>
          <w:sz w:val="22"/>
          <w:szCs w:val="22"/>
          <w:highlight w:val="none"/>
        </w:rPr>
        <w:t>13.2“电子加密磋商响应文件”：“电子加密磋商响应文件”是指通过“政采云电子交易客户端”完成磋商响应文件编制后生成并加密的数据电文形式的磋商响应文件。</w:t>
      </w:r>
    </w:p>
    <w:p>
      <w:pPr>
        <w:tabs>
          <w:tab w:val="left" w:pos="360"/>
        </w:tabs>
        <w:spacing w:line="460" w:lineRule="exact"/>
        <w:rPr>
          <w:rFonts w:ascii="宋体" w:hAnsi="宋体" w:cs="Arial"/>
          <w:b/>
          <w:color w:val="auto"/>
          <w:sz w:val="24"/>
          <w:highlight w:val="none"/>
        </w:rPr>
      </w:pPr>
      <w:r>
        <w:rPr>
          <w:rFonts w:hint="eastAsia" w:ascii="宋体" w:hAnsi="宋体" w:cs="新宋体"/>
          <w:color w:val="auto"/>
          <w:sz w:val="22"/>
          <w:szCs w:val="22"/>
          <w:highlight w:val="none"/>
        </w:rPr>
        <w:t>13.3“备份磋商响应文件”：“备份磋商响应文件”是指与“电子加密磋商响应文件”同时生成的数据电文形式的电子文件（备份标书），其他方式编制的“备份磋商响应文件”视为无效的“备份磋商响应文件”。</w:t>
      </w:r>
    </w:p>
    <w:p>
      <w:pPr>
        <w:spacing w:line="440" w:lineRule="exact"/>
        <w:ind w:left="331" w:hanging="331" w:hangingChars="150"/>
        <w:rPr>
          <w:rFonts w:ascii="宋体" w:hAnsi="宋体"/>
          <w:b/>
          <w:bCs/>
          <w:color w:val="auto"/>
          <w:sz w:val="22"/>
          <w:szCs w:val="22"/>
          <w:highlight w:val="none"/>
        </w:rPr>
      </w:pPr>
      <w:r>
        <w:rPr>
          <w:rFonts w:hint="eastAsia" w:ascii="宋体" w:hAnsi="宋体"/>
          <w:b/>
          <w:bCs/>
          <w:color w:val="auto"/>
          <w:sz w:val="22"/>
          <w:szCs w:val="22"/>
          <w:highlight w:val="none"/>
        </w:rPr>
        <w:t>14.磋商响应文件的份数</w:t>
      </w:r>
    </w:p>
    <w:p>
      <w:pPr>
        <w:tabs>
          <w:tab w:val="left" w:pos="5355"/>
        </w:tabs>
        <w:spacing w:line="430" w:lineRule="exact"/>
        <w:rPr>
          <w:rFonts w:ascii="宋体" w:hAnsi="宋体" w:cs="新宋体"/>
          <w:color w:val="auto"/>
          <w:sz w:val="22"/>
          <w:szCs w:val="22"/>
          <w:highlight w:val="none"/>
        </w:rPr>
      </w:pPr>
      <w:r>
        <w:rPr>
          <w:rFonts w:hint="eastAsia" w:ascii="宋体" w:hAnsi="宋体" w:cs="新宋体"/>
          <w:color w:val="auto"/>
          <w:sz w:val="22"/>
          <w:szCs w:val="22"/>
          <w:highlight w:val="none"/>
        </w:rPr>
        <w:t>14.1磋商响应文件的份数：见供应商须知前附表第19款。</w:t>
      </w:r>
    </w:p>
    <w:p>
      <w:pPr>
        <w:tabs>
          <w:tab w:val="left" w:pos="540"/>
        </w:tabs>
        <w:spacing w:line="460" w:lineRule="exact"/>
        <w:rPr>
          <w:rFonts w:hint="eastAsia" w:ascii="宋体" w:hAnsi="宋体" w:eastAsia="宋体" w:cs="新宋体"/>
          <w:color w:val="auto"/>
          <w:sz w:val="22"/>
          <w:szCs w:val="22"/>
          <w:highlight w:val="none"/>
          <w:lang w:eastAsia="zh-CN"/>
        </w:rPr>
      </w:pPr>
      <w:r>
        <w:rPr>
          <w:rFonts w:hint="eastAsia" w:ascii="宋体" w:hAnsi="宋体" w:cs="新宋体"/>
          <w:bCs/>
          <w:color w:val="auto"/>
          <w:sz w:val="22"/>
          <w:szCs w:val="22"/>
          <w:highlight w:val="none"/>
        </w:rPr>
        <w:t>15.</w:t>
      </w:r>
      <w:r>
        <w:rPr>
          <w:rFonts w:hint="eastAsia" w:ascii="宋体" w:hAnsi="宋体" w:cs="新宋体"/>
          <w:bCs/>
          <w:color w:val="auto"/>
          <w:sz w:val="22"/>
          <w:szCs w:val="22"/>
          <w:highlight w:val="none"/>
          <w:lang w:eastAsia="zh-CN"/>
        </w:rPr>
        <w:t>磋商报价</w:t>
      </w:r>
    </w:p>
    <w:p>
      <w:pPr>
        <w:tabs>
          <w:tab w:val="left" w:pos="540"/>
        </w:tabs>
        <w:spacing w:line="460" w:lineRule="exact"/>
        <w:rPr>
          <w:rFonts w:ascii="宋体" w:hAnsi="宋体" w:cs="新宋体"/>
          <w:color w:val="auto"/>
          <w:sz w:val="22"/>
          <w:szCs w:val="22"/>
          <w:highlight w:val="none"/>
        </w:rPr>
      </w:pPr>
      <w:r>
        <w:rPr>
          <w:rFonts w:hint="eastAsia" w:ascii="宋体" w:hAnsi="宋体" w:cs="新宋体"/>
          <w:color w:val="auto"/>
          <w:sz w:val="22"/>
          <w:szCs w:val="22"/>
          <w:highlight w:val="none"/>
        </w:rPr>
        <w:t>15.1 供应商应报出本项目采购内容所包含的所有单价和总价，并且报出价格组成表，对于供应商价格组成表中未列出的项目或没有填写单价和总价的项目,在合同执行时采购人将不予支付,并认为这些项目费用已包括在</w:t>
      </w:r>
      <w:r>
        <w:rPr>
          <w:rFonts w:hint="eastAsia" w:ascii="宋体" w:hAnsi="宋体" w:cs="新宋体"/>
          <w:color w:val="auto"/>
          <w:sz w:val="22"/>
          <w:szCs w:val="22"/>
          <w:highlight w:val="none"/>
          <w:lang w:eastAsia="zh-CN"/>
        </w:rPr>
        <w:t>磋商报价</w:t>
      </w:r>
      <w:r>
        <w:rPr>
          <w:rFonts w:hint="eastAsia" w:ascii="宋体" w:hAnsi="宋体" w:cs="新宋体"/>
          <w:color w:val="auto"/>
          <w:sz w:val="22"/>
          <w:szCs w:val="22"/>
          <w:highlight w:val="none"/>
        </w:rPr>
        <w:t>内。</w:t>
      </w:r>
    </w:p>
    <w:p>
      <w:pPr>
        <w:tabs>
          <w:tab w:val="left" w:pos="540"/>
        </w:tabs>
        <w:spacing w:line="460" w:lineRule="exact"/>
        <w:rPr>
          <w:rFonts w:ascii="宋体" w:hAnsi="宋体" w:cs="新宋体"/>
          <w:color w:val="auto"/>
          <w:sz w:val="22"/>
          <w:szCs w:val="22"/>
          <w:highlight w:val="none"/>
        </w:rPr>
      </w:pPr>
      <w:r>
        <w:rPr>
          <w:rFonts w:hint="eastAsia" w:ascii="宋体" w:hAnsi="宋体" w:cs="新宋体"/>
          <w:color w:val="auto"/>
          <w:sz w:val="22"/>
          <w:szCs w:val="22"/>
          <w:highlight w:val="none"/>
        </w:rPr>
        <w:t xml:space="preserve">15.2 </w:t>
      </w:r>
      <w:r>
        <w:rPr>
          <w:rFonts w:hint="eastAsia" w:ascii="新宋体" w:hAnsi="新宋体" w:eastAsia="新宋体" w:cs="新宋体"/>
          <w:color w:val="auto"/>
          <w:sz w:val="22"/>
          <w:szCs w:val="22"/>
          <w:highlight w:val="none"/>
        </w:rPr>
        <w:t>投标总报价应是中标人在正确地完全履行合同义务后采购人应支付给中标人所有的货物及服务价款，实行固定费用总包干，投标人应根据上述因素自行考虑含入投标总价，否则由此而引起的一切费用均视为已包括在投标报价中</w:t>
      </w:r>
      <w:r>
        <w:rPr>
          <w:rFonts w:hint="eastAsia" w:ascii="宋体" w:hAnsi="宋体" w:cs="新宋体"/>
          <w:color w:val="auto"/>
          <w:sz w:val="22"/>
          <w:szCs w:val="22"/>
          <w:highlight w:val="none"/>
        </w:rPr>
        <w:t>。</w:t>
      </w:r>
    </w:p>
    <w:p>
      <w:pPr>
        <w:tabs>
          <w:tab w:val="left" w:pos="540"/>
        </w:tabs>
        <w:spacing w:line="460" w:lineRule="exact"/>
        <w:rPr>
          <w:rFonts w:ascii="宋体" w:hAnsi="宋体" w:cs="新宋体"/>
          <w:color w:val="auto"/>
          <w:sz w:val="22"/>
          <w:szCs w:val="22"/>
          <w:highlight w:val="none"/>
        </w:rPr>
      </w:pPr>
      <w:r>
        <w:rPr>
          <w:rFonts w:hint="eastAsia" w:ascii="宋体" w:hAnsi="宋体" w:cs="新宋体"/>
          <w:color w:val="auto"/>
          <w:sz w:val="22"/>
          <w:szCs w:val="22"/>
          <w:highlight w:val="none"/>
        </w:rPr>
        <w:t>15.3 供应商须认真阅读、充分理解采购文件，如有疑问可在询疑截止时间前送达（或传真）采购代理机构，采购代理机构将会统一解答。任何因对本项目采购文件理解不清、产生歧义等由此产生的费用，视作以含在投标总价中。</w:t>
      </w:r>
    </w:p>
    <w:p>
      <w:pPr>
        <w:tabs>
          <w:tab w:val="left" w:pos="540"/>
        </w:tabs>
        <w:spacing w:line="460" w:lineRule="exact"/>
        <w:rPr>
          <w:rFonts w:ascii="宋体" w:hAnsi="宋体" w:cs="新宋体"/>
          <w:color w:val="auto"/>
          <w:sz w:val="22"/>
          <w:szCs w:val="22"/>
          <w:highlight w:val="none"/>
        </w:rPr>
      </w:pPr>
      <w:r>
        <w:rPr>
          <w:rFonts w:hint="eastAsia" w:ascii="宋体" w:hAnsi="宋体" w:cs="新宋体"/>
          <w:color w:val="auto"/>
          <w:sz w:val="22"/>
          <w:szCs w:val="22"/>
          <w:highlight w:val="none"/>
        </w:rPr>
        <w:t>15.4 供应商必须按第三部分附件的开标一览表（统一格式）、分项报价表（统一格式）的内容填写单价、合价及其他事项，并由法定代表人或授权代表签署。</w:t>
      </w:r>
    </w:p>
    <w:p>
      <w:pPr>
        <w:tabs>
          <w:tab w:val="left" w:pos="540"/>
        </w:tabs>
        <w:spacing w:line="460" w:lineRule="exact"/>
        <w:rPr>
          <w:rFonts w:ascii="宋体" w:hAnsi="宋体" w:cs="新宋体"/>
          <w:b/>
          <w:color w:val="auto"/>
          <w:sz w:val="22"/>
          <w:szCs w:val="22"/>
          <w:highlight w:val="none"/>
        </w:rPr>
      </w:pPr>
      <w:r>
        <w:rPr>
          <w:rFonts w:hint="eastAsia" w:ascii="宋体" w:hAnsi="宋体" w:cs="新宋体"/>
          <w:color w:val="auto"/>
          <w:sz w:val="22"/>
          <w:szCs w:val="22"/>
          <w:highlight w:val="none"/>
        </w:rPr>
        <w:t>15.5 所有</w:t>
      </w:r>
      <w:r>
        <w:rPr>
          <w:rFonts w:hint="eastAsia" w:ascii="宋体" w:hAnsi="宋体" w:cs="新宋体"/>
          <w:color w:val="auto"/>
          <w:sz w:val="22"/>
          <w:szCs w:val="22"/>
          <w:highlight w:val="none"/>
          <w:lang w:eastAsia="zh-CN"/>
        </w:rPr>
        <w:t>磋商报价</w:t>
      </w:r>
      <w:r>
        <w:rPr>
          <w:rFonts w:hint="eastAsia" w:ascii="宋体" w:hAnsi="宋体" w:cs="新宋体"/>
          <w:color w:val="auto"/>
          <w:sz w:val="22"/>
          <w:szCs w:val="22"/>
          <w:highlight w:val="none"/>
        </w:rPr>
        <w:t>均以人民币报价。</w:t>
      </w:r>
    </w:p>
    <w:p>
      <w:pPr>
        <w:tabs>
          <w:tab w:val="left" w:pos="540"/>
        </w:tabs>
        <w:spacing w:line="460" w:lineRule="exact"/>
        <w:rPr>
          <w:rFonts w:ascii="宋体" w:hAnsi="宋体" w:cs="新宋体"/>
          <w:color w:val="auto"/>
          <w:sz w:val="22"/>
          <w:szCs w:val="22"/>
          <w:highlight w:val="none"/>
        </w:rPr>
      </w:pPr>
      <w:r>
        <w:rPr>
          <w:rFonts w:hint="eastAsia" w:ascii="宋体" w:hAnsi="宋体" w:cs="新宋体"/>
          <w:color w:val="auto"/>
          <w:sz w:val="22"/>
          <w:szCs w:val="22"/>
          <w:highlight w:val="none"/>
        </w:rPr>
        <w:t>15.6 采购人不接受任何选择报价，对每一项货物/服务只允许一个报价。</w:t>
      </w:r>
    </w:p>
    <w:p>
      <w:pPr>
        <w:tabs>
          <w:tab w:val="left" w:pos="540"/>
        </w:tabs>
        <w:spacing w:line="460" w:lineRule="exact"/>
        <w:rPr>
          <w:rFonts w:ascii="宋体" w:hAnsi="宋体" w:cs="新宋体"/>
          <w:color w:val="auto"/>
          <w:sz w:val="22"/>
          <w:szCs w:val="22"/>
          <w:highlight w:val="none"/>
        </w:rPr>
      </w:pPr>
      <w:r>
        <w:rPr>
          <w:rFonts w:hint="eastAsia" w:ascii="宋体" w:hAnsi="宋体" w:cs="新宋体"/>
          <w:color w:val="auto"/>
          <w:sz w:val="22"/>
          <w:szCs w:val="22"/>
          <w:highlight w:val="none"/>
        </w:rPr>
        <w:t>15.7 采购人要求分类报价是为了方便评标，但在任何情况下不限制采购人以其认为最合适的条款、条件签订合同的权利。</w:t>
      </w:r>
    </w:p>
    <w:p>
      <w:pPr>
        <w:tabs>
          <w:tab w:val="left" w:pos="540"/>
        </w:tabs>
        <w:spacing w:line="440" w:lineRule="exact"/>
        <w:rPr>
          <w:rFonts w:ascii="宋体" w:hAnsi="宋体" w:cs="新宋体"/>
          <w:color w:val="auto"/>
          <w:sz w:val="22"/>
          <w:szCs w:val="22"/>
          <w:highlight w:val="none"/>
        </w:rPr>
      </w:pPr>
      <w:r>
        <w:rPr>
          <w:rFonts w:hint="eastAsia" w:ascii="宋体" w:hAnsi="宋体" w:cs="新宋体"/>
          <w:color w:val="auto"/>
          <w:sz w:val="22"/>
          <w:szCs w:val="22"/>
          <w:highlight w:val="none"/>
        </w:rPr>
        <w:t>15.8 报价是成交的一个重要因素，但最低报价不是成交的唯一依据。</w:t>
      </w:r>
    </w:p>
    <w:p>
      <w:pPr>
        <w:tabs>
          <w:tab w:val="left" w:pos="-180"/>
          <w:tab w:val="left" w:pos="180"/>
          <w:tab w:val="left" w:pos="360"/>
        </w:tabs>
        <w:spacing w:line="440" w:lineRule="exact"/>
        <w:ind w:left="660" w:hanging="660" w:hangingChars="300"/>
        <w:rPr>
          <w:rFonts w:ascii="宋体" w:hAnsi="宋体"/>
          <w:b/>
          <w:bCs/>
          <w:color w:val="auto"/>
          <w:sz w:val="22"/>
          <w:szCs w:val="22"/>
          <w:highlight w:val="none"/>
        </w:rPr>
      </w:pPr>
      <w:r>
        <w:rPr>
          <w:rFonts w:hint="eastAsia" w:ascii="宋体" w:hAnsi="宋体" w:cs="新宋体"/>
          <w:bCs/>
          <w:color w:val="auto"/>
          <w:sz w:val="22"/>
          <w:szCs w:val="22"/>
          <w:highlight w:val="none"/>
        </w:rPr>
        <w:t xml:space="preserve">16. </w:t>
      </w:r>
      <w:r>
        <w:rPr>
          <w:rFonts w:hint="eastAsia" w:ascii="宋体" w:hAnsi="宋体"/>
          <w:b/>
          <w:bCs/>
          <w:color w:val="auto"/>
          <w:sz w:val="22"/>
          <w:szCs w:val="22"/>
          <w:highlight w:val="none"/>
        </w:rPr>
        <w:t>供应商如发生下列情况之一，将上报同级政府采购监督管理部门，追究其责任：</w:t>
      </w:r>
    </w:p>
    <w:p>
      <w:pPr>
        <w:numPr>
          <w:ilvl w:val="0"/>
          <w:numId w:val="10"/>
        </w:numPr>
        <w:tabs>
          <w:tab w:val="left" w:pos="360"/>
        </w:tabs>
        <w:spacing w:line="440" w:lineRule="exact"/>
        <w:ind w:left="720" w:hanging="720"/>
        <w:rPr>
          <w:rFonts w:ascii="宋体" w:hAnsi="宋体" w:cs="新宋体"/>
          <w:color w:val="auto"/>
          <w:sz w:val="22"/>
          <w:szCs w:val="22"/>
          <w:highlight w:val="none"/>
        </w:rPr>
      </w:pPr>
      <w:r>
        <w:rPr>
          <w:rFonts w:hint="eastAsia" w:ascii="宋体" w:hAnsi="宋体" w:cs="新宋体"/>
          <w:color w:val="auto"/>
          <w:sz w:val="22"/>
          <w:szCs w:val="22"/>
          <w:highlight w:val="none"/>
        </w:rPr>
        <w:t>供应商在采购文件规定的磋商响应文件有效期内撤回投标；</w:t>
      </w:r>
    </w:p>
    <w:p>
      <w:pPr>
        <w:numPr>
          <w:ilvl w:val="0"/>
          <w:numId w:val="10"/>
        </w:numPr>
        <w:tabs>
          <w:tab w:val="left" w:pos="360"/>
        </w:tabs>
        <w:spacing w:line="440" w:lineRule="exact"/>
        <w:ind w:left="720" w:hanging="720"/>
        <w:rPr>
          <w:rFonts w:ascii="宋体" w:hAnsi="宋体" w:cs="新宋体"/>
          <w:color w:val="auto"/>
          <w:sz w:val="22"/>
          <w:szCs w:val="22"/>
          <w:highlight w:val="none"/>
        </w:rPr>
      </w:pPr>
      <w:r>
        <w:rPr>
          <w:rFonts w:hint="eastAsia" w:ascii="宋体" w:hAnsi="宋体" w:cs="新宋体"/>
          <w:color w:val="auto"/>
          <w:sz w:val="22"/>
          <w:szCs w:val="22"/>
          <w:highlight w:val="none"/>
        </w:rPr>
        <w:t>成交供应商未按成交通知书中规定的时间与采购人签订合同；</w:t>
      </w:r>
    </w:p>
    <w:p>
      <w:pPr>
        <w:numPr>
          <w:ilvl w:val="0"/>
          <w:numId w:val="10"/>
        </w:numPr>
        <w:tabs>
          <w:tab w:val="left" w:pos="360"/>
        </w:tabs>
        <w:spacing w:line="440" w:lineRule="exact"/>
        <w:ind w:left="720" w:hanging="720"/>
        <w:rPr>
          <w:rFonts w:ascii="宋体" w:hAnsi="宋体" w:cs="新宋体"/>
          <w:color w:val="auto"/>
          <w:sz w:val="22"/>
          <w:szCs w:val="22"/>
          <w:highlight w:val="none"/>
        </w:rPr>
      </w:pPr>
      <w:r>
        <w:rPr>
          <w:rFonts w:hint="eastAsia" w:ascii="宋体" w:hAnsi="宋体" w:cs="新宋体"/>
          <w:color w:val="auto"/>
          <w:sz w:val="22"/>
          <w:szCs w:val="22"/>
          <w:highlight w:val="none"/>
        </w:rPr>
        <w:t>供应商在采购文件中提供虚假技术指标及参数，经磋商小组确认属实的。</w:t>
      </w:r>
    </w:p>
    <w:p>
      <w:pPr>
        <w:numPr>
          <w:ilvl w:val="0"/>
          <w:numId w:val="10"/>
        </w:numPr>
        <w:tabs>
          <w:tab w:val="left" w:pos="360"/>
        </w:tabs>
        <w:spacing w:line="440" w:lineRule="exact"/>
        <w:ind w:left="720" w:hanging="720"/>
        <w:rPr>
          <w:rFonts w:ascii="宋体" w:hAnsi="宋体" w:cs="新宋体"/>
          <w:color w:val="auto"/>
          <w:sz w:val="22"/>
          <w:szCs w:val="22"/>
          <w:highlight w:val="none"/>
        </w:rPr>
      </w:pPr>
      <w:r>
        <w:rPr>
          <w:rFonts w:hint="eastAsia" w:ascii="宋体" w:hAnsi="宋体" w:cs="新宋体"/>
          <w:color w:val="auto"/>
          <w:sz w:val="22"/>
          <w:szCs w:val="22"/>
          <w:highlight w:val="none"/>
        </w:rPr>
        <w:t>经同级政府采购监督管理部门审查认定供应商有违反《中华人民共和国政府采购法》等有关法律法规的行为。</w:t>
      </w:r>
    </w:p>
    <w:p>
      <w:pPr>
        <w:tabs>
          <w:tab w:val="left" w:pos="-180"/>
          <w:tab w:val="left" w:pos="180"/>
          <w:tab w:val="left" w:pos="360"/>
        </w:tabs>
        <w:spacing w:line="440" w:lineRule="exact"/>
        <w:rPr>
          <w:rFonts w:ascii="宋体" w:hAnsi="宋体"/>
          <w:b/>
          <w:bCs/>
          <w:color w:val="auto"/>
          <w:sz w:val="22"/>
          <w:szCs w:val="22"/>
          <w:highlight w:val="none"/>
        </w:rPr>
      </w:pPr>
      <w:r>
        <w:rPr>
          <w:rFonts w:hint="eastAsia" w:ascii="宋体" w:hAnsi="宋体"/>
          <w:b/>
          <w:bCs/>
          <w:color w:val="auto"/>
          <w:sz w:val="22"/>
          <w:szCs w:val="22"/>
          <w:highlight w:val="none"/>
        </w:rPr>
        <w:t>17. 磋商响应文件有效期</w:t>
      </w:r>
    </w:p>
    <w:p>
      <w:pPr>
        <w:tabs>
          <w:tab w:val="left" w:pos="540"/>
          <w:tab w:val="left" w:pos="992"/>
        </w:tabs>
        <w:autoSpaceDE w:val="0"/>
        <w:autoSpaceDN w:val="0"/>
        <w:adjustRightInd w:val="0"/>
        <w:spacing w:line="460" w:lineRule="atLeast"/>
        <w:rPr>
          <w:rFonts w:ascii="宋体" w:hAnsi="宋体" w:cs="新宋体"/>
          <w:color w:val="auto"/>
          <w:kern w:val="0"/>
          <w:sz w:val="22"/>
          <w:szCs w:val="22"/>
          <w:highlight w:val="none"/>
        </w:rPr>
      </w:pPr>
      <w:r>
        <w:rPr>
          <w:rFonts w:hint="eastAsia" w:ascii="宋体" w:hAnsi="宋体" w:cs="新宋体"/>
          <w:color w:val="auto"/>
          <w:kern w:val="0"/>
          <w:sz w:val="22"/>
          <w:szCs w:val="22"/>
          <w:highlight w:val="none"/>
        </w:rPr>
        <w:t>17.1 自开标之日起 90天内投标应保持有效。磋商响应文件有效期短于这个规定期限的投标将视为非响应性投标而予以拒绝。</w:t>
      </w:r>
    </w:p>
    <w:p>
      <w:pPr>
        <w:spacing w:line="440" w:lineRule="exact"/>
        <w:ind w:left="2"/>
        <w:rPr>
          <w:rFonts w:ascii="宋体" w:hAnsi="宋体"/>
          <w:color w:val="auto"/>
          <w:sz w:val="22"/>
          <w:szCs w:val="22"/>
          <w:highlight w:val="none"/>
        </w:rPr>
      </w:pPr>
      <w:r>
        <w:rPr>
          <w:rFonts w:hint="eastAsia" w:ascii="宋体" w:hAnsi="宋体" w:cs="新宋体"/>
          <w:color w:val="auto"/>
          <w:kern w:val="0"/>
          <w:sz w:val="22"/>
          <w:szCs w:val="22"/>
          <w:highlight w:val="none"/>
        </w:rPr>
        <w:t>17.2 特殊情况下，在原磋商响应文件有效期截止前，采购人可与供应商协商延长磋商响应文件有效期，这种要求和答复均以书面形式进行。供应商可拒绝接受延期要求。同意延长磋商响应文件有效期的供应商不得修改磋商响应文件。</w:t>
      </w:r>
    </w:p>
    <w:p>
      <w:pPr>
        <w:spacing w:before="100" w:beforeAutospacing="1" w:after="100" w:afterAutospacing="1" w:line="440" w:lineRule="exact"/>
        <w:jc w:val="center"/>
        <w:outlineLvl w:val="1"/>
        <w:rPr>
          <w:rFonts w:ascii="新宋体" w:hAnsi="新宋体" w:eastAsia="新宋体"/>
          <w:b/>
          <w:bCs/>
          <w:color w:val="auto"/>
          <w:sz w:val="22"/>
          <w:szCs w:val="22"/>
          <w:highlight w:val="none"/>
        </w:rPr>
      </w:pPr>
      <w:bookmarkStart w:id="15" w:name="_Toc38618585"/>
      <w:bookmarkStart w:id="16" w:name="_Toc57626727"/>
      <w:bookmarkStart w:id="17" w:name="_Toc18954"/>
      <w:bookmarkStart w:id="18" w:name="_Toc24064"/>
      <w:r>
        <w:rPr>
          <w:rFonts w:hint="eastAsia" w:ascii="新宋体" w:hAnsi="新宋体" w:eastAsia="新宋体"/>
          <w:b/>
          <w:bCs/>
          <w:color w:val="auto"/>
          <w:sz w:val="22"/>
          <w:szCs w:val="22"/>
          <w:highlight w:val="none"/>
        </w:rPr>
        <w:t>四   磋商响应文件的递交</w:t>
      </w:r>
      <w:bookmarkEnd w:id="15"/>
      <w:bookmarkEnd w:id="16"/>
      <w:bookmarkEnd w:id="17"/>
      <w:bookmarkEnd w:id="18"/>
    </w:p>
    <w:p>
      <w:pPr>
        <w:tabs>
          <w:tab w:val="left" w:pos="540"/>
        </w:tabs>
        <w:spacing w:line="460" w:lineRule="exact"/>
        <w:rPr>
          <w:rFonts w:ascii="宋体" w:hAnsi="宋体" w:cs="新宋体"/>
          <w:b/>
          <w:bCs/>
          <w:color w:val="auto"/>
          <w:kern w:val="0"/>
          <w:sz w:val="22"/>
          <w:szCs w:val="22"/>
          <w:highlight w:val="none"/>
        </w:rPr>
      </w:pPr>
      <w:bookmarkStart w:id="19" w:name="_Toc10467"/>
      <w:r>
        <w:rPr>
          <w:rFonts w:hint="eastAsia" w:ascii="宋体" w:hAnsi="宋体" w:cs="新宋体"/>
          <w:b/>
          <w:bCs/>
          <w:color w:val="auto"/>
          <w:kern w:val="0"/>
          <w:sz w:val="22"/>
          <w:szCs w:val="22"/>
          <w:highlight w:val="none"/>
        </w:rPr>
        <w:t>18. 磋商响应文件的递交</w:t>
      </w:r>
    </w:p>
    <w:p>
      <w:pPr>
        <w:tabs>
          <w:tab w:val="left" w:pos="540"/>
        </w:tabs>
        <w:spacing w:line="460" w:lineRule="exact"/>
        <w:rPr>
          <w:rFonts w:ascii="宋体" w:hAnsi="宋体" w:cs="新宋体"/>
          <w:bCs/>
          <w:color w:val="auto"/>
          <w:kern w:val="0"/>
          <w:sz w:val="22"/>
          <w:szCs w:val="22"/>
          <w:highlight w:val="none"/>
        </w:rPr>
      </w:pPr>
      <w:r>
        <w:rPr>
          <w:rFonts w:hint="eastAsia" w:ascii="宋体" w:hAnsi="宋体" w:cs="新宋体"/>
          <w:bCs/>
          <w:color w:val="auto"/>
          <w:kern w:val="0"/>
          <w:sz w:val="22"/>
          <w:szCs w:val="22"/>
          <w:highlight w:val="none"/>
        </w:rPr>
        <w:t>18.1磋商响应文件的上传、递交：见供应商须知前附表。</w:t>
      </w:r>
    </w:p>
    <w:p>
      <w:pPr>
        <w:tabs>
          <w:tab w:val="left" w:pos="540"/>
        </w:tabs>
        <w:spacing w:line="460" w:lineRule="exact"/>
        <w:rPr>
          <w:rFonts w:ascii="宋体" w:hAnsi="宋体" w:cs="新宋体"/>
          <w:b/>
          <w:bCs/>
          <w:color w:val="auto"/>
          <w:kern w:val="0"/>
          <w:sz w:val="22"/>
          <w:szCs w:val="22"/>
          <w:highlight w:val="none"/>
        </w:rPr>
      </w:pPr>
      <w:r>
        <w:rPr>
          <w:rFonts w:hint="eastAsia" w:ascii="宋体" w:hAnsi="宋体" w:cs="新宋体"/>
          <w:b/>
          <w:bCs/>
          <w:color w:val="auto"/>
          <w:kern w:val="0"/>
          <w:sz w:val="22"/>
          <w:szCs w:val="22"/>
          <w:highlight w:val="none"/>
        </w:rPr>
        <w:t>19. “电子加密磋商响应文件”解密和异常情况处理。</w:t>
      </w:r>
    </w:p>
    <w:p>
      <w:pPr>
        <w:tabs>
          <w:tab w:val="left" w:pos="540"/>
        </w:tabs>
        <w:spacing w:line="460" w:lineRule="exact"/>
        <w:rPr>
          <w:rFonts w:ascii="宋体" w:hAnsi="宋体" w:cs="新宋体"/>
          <w:bCs/>
          <w:color w:val="auto"/>
          <w:kern w:val="0"/>
          <w:sz w:val="22"/>
          <w:szCs w:val="22"/>
          <w:highlight w:val="none"/>
        </w:rPr>
      </w:pPr>
      <w:r>
        <w:rPr>
          <w:rFonts w:hint="eastAsia" w:ascii="宋体" w:hAnsi="宋体" w:cs="新宋体"/>
          <w:bCs/>
          <w:color w:val="auto"/>
          <w:kern w:val="0"/>
          <w:sz w:val="22"/>
          <w:szCs w:val="22"/>
          <w:highlight w:val="none"/>
        </w:rPr>
        <w:t>19.1“电子加密磋商响应文件”解密：见供应商须知前附表。</w:t>
      </w:r>
    </w:p>
    <w:p>
      <w:pPr>
        <w:tabs>
          <w:tab w:val="left" w:pos="540"/>
        </w:tabs>
        <w:spacing w:line="460" w:lineRule="exact"/>
        <w:rPr>
          <w:rFonts w:ascii="宋体" w:hAnsi="宋体" w:cs="新宋体"/>
          <w:b/>
          <w:bCs/>
          <w:color w:val="auto"/>
          <w:kern w:val="0"/>
          <w:sz w:val="22"/>
          <w:szCs w:val="22"/>
          <w:highlight w:val="none"/>
        </w:rPr>
      </w:pPr>
      <w:r>
        <w:rPr>
          <w:rFonts w:hint="eastAsia" w:ascii="宋体" w:hAnsi="宋体" w:cs="新宋体"/>
          <w:b/>
          <w:bCs/>
          <w:color w:val="auto"/>
          <w:kern w:val="0"/>
          <w:sz w:val="22"/>
          <w:szCs w:val="22"/>
          <w:highlight w:val="none"/>
        </w:rPr>
        <w:t>20. 磋商响应文件的补充、修改或撤回</w:t>
      </w:r>
    </w:p>
    <w:p>
      <w:pPr>
        <w:tabs>
          <w:tab w:val="left" w:pos="540"/>
        </w:tabs>
        <w:spacing w:line="460" w:lineRule="exact"/>
        <w:rPr>
          <w:rFonts w:ascii="宋体" w:hAnsi="宋体" w:cs="新宋体"/>
          <w:bCs/>
          <w:color w:val="auto"/>
          <w:kern w:val="0"/>
          <w:sz w:val="22"/>
          <w:szCs w:val="22"/>
          <w:highlight w:val="none"/>
        </w:rPr>
      </w:pPr>
      <w:r>
        <w:rPr>
          <w:rFonts w:hint="eastAsia" w:ascii="宋体" w:hAnsi="宋体" w:cs="新宋体"/>
          <w:bCs/>
          <w:color w:val="auto"/>
          <w:kern w:val="0"/>
          <w:sz w:val="22"/>
          <w:szCs w:val="22"/>
          <w:highlight w:val="none"/>
        </w:rPr>
        <w:t>20.1供应商应当在磋商响应文件递交截止时间前完成磋商响应文件的上传、递交，并可以补充、修改或者撤回磋商响应文件。补充或者修改磋商响应文件的，应当先行撤回原文件，补充、修改后重新上传、递交。磋商响应文件递交截止时间前未完成上传、递交的，视为撤回磋商响应文件。磋商响应文件递交截止时间后递交的磋商响应文件，“政采云平台”将予以拒收。</w:t>
      </w:r>
    </w:p>
    <w:p>
      <w:pPr>
        <w:tabs>
          <w:tab w:val="left" w:pos="540"/>
        </w:tabs>
        <w:spacing w:line="460" w:lineRule="exact"/>
        <w:rPr>
          <w:rFonts w:ascii="宋体" w:hAnsi="宋体" w:cs="新宋体"/>
          <w:bCs/>
          <w:color w:val="auto"/>
          <w:kern w:val="0"/>
          <w:sz w:val="22"/>
          <w:szCs w:val="22"/>
          <w:highlight w:val="none"/>
        </w:rPr>
      </w:pPr>
      <w:r>
        <w:rPr>
          <w:rFonts w:hint="eastAsia" w:ascii="宋体" w:hAnsi="宋体" w:cs="新宋体"/>
          <w:bCs/>
          <w:color w:val="auto"/>
          <w:kern w:val="0"/>
          <w:sz w:val="22"/>
          <w:szCs w:val="22"/>
          <w:highlight w:val="none"/>
        </w:rPr>
        <w:t>20.2磋商响应文件递交截止时间后，供应商不得撤回、修改磋商响应文件。</w:t>
      </w:r>
    </w:p>
    <w:p>
      <w:pPr>
        <w:tabs>
          <w:tab w:val="left" w:pos="540"/>
        </w:tabs>
        <w:spacing w:line="460" w:lineRule="exact"/>
        <w:rPr>
          <w:rFonts w:ascii="宋体" w:hAnsi="宋体" w:cs="新宋体"/>
          <w:bCs/>
          <w:color w:val="auto"/>
          <w:kern w:val="0"/>
          <w:sz w:val="22"/>
          <w:szCs w:val="22"/>
          <w:highlight w:val="none"/>
        </w:rPr>
      </w:pPr>
      <w:r>
        <w:rPr>
          <w:rFonts w:hint="eastAsia" w:ascii="宋体" w:hAnsi="宋体" w:cs="新宋体"/>
          <w:b/>
          <w:bCs/>
          <w:color w:val="auto"/>
          <w:kern w:val="0"/>
          <w:sz w:val="22"/>
          <w:szCs w:val="22"/>
          <w:highlight w:val="none"/>
        </w:rPr>
        <w:t>21. 磋商响应文件的备选方案</w:t>
      </w:r>
    </w:p>
    <w:p>
      <w:pPr>
        <w:tabs>
          <w:tab w:val="left" w:pos="540"/>
        </w:tabs>
        <w:spacing w:line="460" w:lineRule="exact"/>
        <w:rPr>
          <w:rFonts w:ascii="宋体" w:hAnsi="宋体" w:cs="新宋体"/>
          <w:bCs/>
          <w:color w:val="auto"/>
          <w:kern w:val="0"/>
          <w:sz w:val="22"/>
          <w:szCs w:val="22"/>
          <w:highlight w:val="none"/>
        </w:rPr>
      </w:pPr>
      <w:r>
        <w:rPr>
          <w:rFonts w:hint="eastAsia" w:ascii="宋体" w:hAnsi="宋体" w:cs="新宋体"/>
          <w:bCs/>
          <w:color w:val="auto"/>
          <w:kern w:val="0"/>
          <w:sz w:val="22"/>
          <w:szCs w:val="22"/>
          <w:highlight w:val="none"/>
        </w:rPr>
        <w:t>21.1供应商不得递交任何的投标备选（替代）方案，否则其磋商响应文件将作无效标处理。与“电子加密磋商响应文件”同时生成的“备份磋商响应文件”不是投标备选（替代）方案。</w:t>
      </w:r>
    </w:p>
    <w:p>
      <w:pPr>
        <w:spacing w:before="100" w:beforeAutospacing="1" w:after="100" w:afterAutospacing="1" w:line="440" w:lineRule="exact"/>
        <w:jc w:val="center"/>
        <w:outlineLvl w:val="1"/>
        <w:rPr>
          <w:rFonts w:ascii="新宋体" w:hAnsi="新宋体" w:eastAsia="新宋体"/>
          <w:b/>
          <w:bCs/>
          <w:color w:val="auto"/>
          <w:sz w:val="22"/>
          <w:szCs w:val="22"/>
          <w:highlight w:val="none"/>
        </w:rPr>
      </w:pPr>
      <w:bookmarkStart w:id="20" w:name="_Toc239145355"/>
      <w:bookmarkStart w:id="21" w:name="_Toc38618586"/>
      <w:bookmarkStart w:id="22" w:name="_Toc221423620"/>
      <w:bookmarkStart w:id="23" w:name="_Toc57626728"/>
      <w:bookmarkStart w:id="24" w:name="_Toc221374627"/>
      <w:bookmarkStart w:id="25" w:name="_Toc222114880"/>
      <w:bookmarkStart w:id="26" w:name="_Toc38203957"/>
      <w:bookmarkStart w:id="27" w:name="_Toc221356952"/>
      <w:bookmarkStart w:id="28" w:name="_Toc265529384"/>
      <w:bookmarkStart w:id="29" w:name="_Toc241404203"/>
      <w:bookmarkStart w:id="30" w:name="_Toc7107"/>
      <w:bookmarkStart w:id="31" w:name="_Toc221356888"/>
      <w:bookmarkStart w:id="32" w:name="_Toc223715999"/>
      <w:r>
        <w:rPr>
          <w:rFonts w:hint="eastAsia" w:ascii="新宋体" w:hAnsi="新宋体" w:eastAsia="新宋体"/>
          <w:b/>
          <w:bCs/>
          <w:color w:val="auto"/>
          <w:sz w:val="22"/>
          <w:szCs w:val="22"/>
          <w:highlight w:val="none"/>
        </w:rPr>
        <w:t>五   开标</w:t>
      </w:r>
      <w:bookmarkEnd w:id="20"/>
      <w:bookmarkEnd w:id="21"/>
      <w:bookmarkEnd w:id="22"/>
      <w:bookmarkEnd w:id="23"/>
      <w:bookmarkEnd w:id="24"/>
      <w:bookmarkEnd w:id="25"/>
      <w:bookmarkEnd w:id="26"/>
      <w:bookmarkEnd w:id="27"/>
      <w:bookmarkEnd w:id="28"/>
      <w:bookmarkEnd w:id="29"/>
      <w:bookmarkEnd w:id="30"/>
      <w:bookmarkEnd w:id="31"/>
      <w:bookmarkEnd w:id="32"/>
    </w:p>
    <w:p>
      <w:pPr>
        <w:tabs>
          <w:tab w:val="left" w:pos="540"/>
        </w:tabs>
        <w:spacing w:line="460" w:lineRule="exact"/>
        <w:rPr>
          <w:rFonts w:ascii="宋体" w:hAnsi="宋体" w:cs="新宋体"/>
          <w:b/>
          <w:bCs/>
          <w:color w:val="auto"/>
          <w:kern w:val="0"/>
          <w:sz w:val="22"/>
          <w:szCs w:val="22"/>
          <w:highlight w:val="none"/>
        </w:rPr>
      </w:pPr>
      <w:r>
        <w:rPr>
          <w:rFonts w:hint="eastAsia" w:ascii="宋体" w:hAnsi="宋体" w:cs="新宋体"/>
          <w:b/>
          <w:bCs/>
          <w:color w:val="auto"/>
          <w:kern w:val="0"/>
          <w:sz w:val="22"/>
          <w:szCs w:val="22"/>
          <w:highlight w:val="none"/>
        </w:rPr>
        <w:t>22. 开标形式</w:t>
      </w:r>
    </w:p>
    <w:p>
      <w:pPr>
        <w:tabs>
          <w:tab w:val="left" w:pos="540"/>
        </w:tabs>
        <w:spacing w:line="460" w:lineRule="exact"/>
        <w:rPr>
          <w:rFonts w:ascii="宋体" w:hAnsi="宋体" w:cs="新宋体"/>
          <w:bCs/>
          <w:color w:val="auto"/>
          <w:kern w:val="0"/>
          <w:sz w:val="22"/>
          <w:szCs w:val="22"/>
          <w:highlight w:val="none"/>
        </w:rPr>
      </w:pPr>
      <w:r>
        <w:rPr>
          <w:rFonts w:hint="eastAsia" w:ascii="宋体" w:hAnsi="宋体" w:cs="新宋体"/>
          <w:bCs/>
          <w:color w:val="auto"/>
          <w:kern w:val="0"/>
          <w:sz w:val="22"/>
          <w:szCs w:val="22"/>
          <w:highlight w:val="none"/>
        </w:rPr>
        <w:t>22.1 采购组织机构将按照采购文件规定的时间通过“政采云平台”组织开标、开启磋商响应文件，所有供应商均应当准时在线参加。</w:t>
      </w:r>
    </w:p>
    <w:p>
      <w:pPr>
        <w:tabs>
          <w:tab w:val="left" w:pos="540"/>
        </w:tabs>
        <w:spacing w:line="460" w:lineRule="exact"/>
        <w:rPr>
          <w:rFonts w:ascii="宋体" w:hAnsi="宋体" w:cs="新宋体"/>
          <w:b/>
          <w:bCs/>
          <w:color w:val="auto"/>
          <w:kern w:val="0"/>
          <w:sz w:val="22"/>
          <w:szCs w:val="22"/>
          <w:highlight w:val="none"/>
        </w:rPr>
      </w:pPr>
      <w:r>
        <w:rPr>
          <w:rFonts w:hint="eastAsia" w:ascii="宋体" w:hAnsi="宋体" w:cs="新宋体"/>
          <w:b/>
          <w:bCs/>
          <w:color w:val="auto"/>
          <w:kern w:val="0"/>
          <w:sz w:val="22"/>
          <w:szCs w:val="22"/>
          <w:highlight w:val="none"/>
        </w:rPr>
        <w:t>23. 开标准备</w:t>
      </w:r>
    </w:p>
    <w:p>
      <w:pPr>
        <w:tabs>
          <w:tab w:val="left" w:pos="540"/>
        </w:tabs>
        <w:spacing w:line="460" w:lineRule="exact"/>
        <w:rPr>
          <w:rFonts w:ascii="宋体" w:hAnsi="宋体" w:cs="新宋体"/>
          <w:bCs/>
          <w:color w:val="auto"/>
          <w:kern w:val="0"/>
          <w:sz w:val="22"/>
          <w:szCs w:val="22"/>
          <w:highlight w:val="none"/>
        </w:rPr>
      </w:pPr>
      <w:r>
        <w:rPr>
          <w:rFonts w:hint="eastAsia" w:ascii="宋体" w:hAnsi="宋体" w:cs="新宋体"/>
          <w:bCs/>
          <w:color w:val="auto"/>
          <w:kern w:val="0"/>
          <w:sz w:val="22"/>
          <w:szCs w:val="22"/>
          <w:highlight w:val="none"/>
        </w:rPr>
        <w:t>23.1开标的准备工作由采购组织机构负责落实。</w:t>
      </w:r>
    </w:p>
    <w:p>
      <w:pPr>
        <w:tabs>
          <w:tab w:val="left" w:pos="540"/>
        </w:tabs>
        <w:spacing w:line="460" w:lineRule="exact"/>
        <w:rPr>
          <w:rFonts w:ascii="宋体" w:hAnsi="宋体" w:cs="新宋体"/>
          <w:bCs/>
          <w:color w:val="auto"/>
          <w:kern w:val="0"/>
          <w:sz w:val="22"/>
          <w:szCs w:val="22"/>
          <w:highlight w:val="none"/>
        </w:rPr>
      </w:pPr>
      <w:r>
        <w:rPr>
          <w:rFonts w:hint="eastAsia" w:ascii="宋体" w:hAnsi="宋体" w:cs="新宋体"/>
          <w:bCs/>
          <w:color w:val="auto"/>
          <w:kern w:val="0"/>
          <w:sz w:val="22"/>
          <w:szCs w:val="22"/>
          <w:highlight w:val="none"/>
        </w:rPr>
        <w:t>23.2采购组织机构将按照采购文件规定的时间通过“政采云平台”组织开标、开启磋商响应文件，所有供应商均应当准时在线参加。供应商如不参加开标大会的，视同认可开标结果，事后不得对采购相关人员、开标过程和开标结果提出异议，同时供应商因未在线参加开标而导致磋商响应文件无法按时解密等一切后果由供应商自己承担。</w:t>
      </w:r>
    </w:p>
    <w:p>
      <w:pPr>
        <w:tabs>
          <w:tab w:val="left" w:pos="540"/>
        </w:tabs>
        <w:spacing w:line="460" w:lineRule="exact"/>
        <w:rPr>
          <w:rFonts w:ascii="宋体" w:hAnsi="宋体" w:cs="新宋体"/>
          <w:b/>
          <w:bCs/>
          <w:color w:val="auto"/>
          <w:kern w:val="0"/>
          <w:sz w:val="22"/>
          <w:szCs w:val="22"/>
          <w:highlight w:val="none"/>
        </w:rPr>
      </w:pPr>
      <w:r>
        <w:rPr>
          <w:rFonts w:hint="eastAsia" w:ascii="宋体" w:hAnsi="宋体" w:cs="新宋体"/>
          <w:b/>
          <w:bCs/>
          <w:color w:val="auto"/>
          <w:kern w:val="0"/>
          <w:sz w:val="22"/>
          <w:szCs w:val="22"/>
          <w:highlight w:val="none"/>
        </w:rPr>
        <w:t>24.开标流程（三阶段）</w:t>
      </w:r>
    </w:p>
    <w:p>
      <w:pPr>
        <w:tabs>
          <w:tab w:val="left" w:pos="540"/>
        </w:tabs>
        <w:spacing w:line="460" w:lineRule="exact"/>
        <w:rPr>
          <w:rFonts w:ascii="宋体" w:hAnsi="宋体" w:cs="新宋体"/>
          <w:b/>
          <w:bCs/>
          <w:color w:val="auto"/>
          <w:kern w:val="0"/>
          <w:sz w:val="22"/>
          <w:szCs w:val="22"/>
          <w:highlight w:val="none"/>
        </w:rPr>
      </w:pPr>
      <w:r>
        <w:rPr>
          <w:rFonts w:hint="eastAsia" w:ascii="宋体" w:hAnsi="宋体" w:cs="新宋体"/>
          <w:b/>
          <w:bCs/>
          <w:color w:val="auto"/>
          <w:kern w:val="0"/>
          <w:sz w:val="22"/>
          <w:szCs w:val="22"/>
          <w:highlight w:val="none"/>
        </w:rPr>
        <w:t>24.1开标第一阶段</w:t>
      </w:r>
    </w:p>
    <w:p>
      <w:pPr>
        <w:tabs>
          <w:tab w:val="left" w:pos="540"/>
        </w:tabs>
        <w:spacing w:line="460" w:lineRule="exact"/>
        <w:rPr>
          <w:rFonts w:ascii="宋体" w:hAnsi="宋体" w:cs="新宋体"/>
          <w:b/>
          <w:bCs/>
          <w:color w:val="auto"/>
          <w:kern w:val="0"/>
          <w:sz w:val="22"/>
          <w:szCs w:val="22"/>
          <w:highlight w:val="none"/>
        </w:rPr>
      </w:pPr>
      <w:r>
        <w:rPr>
          <w:rFonts w:hint="eastAsia" w:ascii="宋体" w:hAnsi="宋体" w:cs="新宋体"/>
          <w:b/>
          <w:bCs/>
          <w:color w:val="auto"/>
          <w:kern w:val="0"/>
          <w:sz w:val="22"/>
          <w:szCs w:val="22"/>
          <w:highlight w:val="none"/>
        </w:rPr>
        <w:t>（1）向各供应商发出电子加密磋商响应文件【开始解密】通知，由供应商按采购文件规定的时间内自行进行磋商响应文件解密。供应商在规定的时间内（开标时间起半个小时内）无法完成已递交的“电子加密磋商响应文件”解密的，如已按规定递交了备份磋商响应文件的，将由采购组织机构按“政采云平台”操作规范将备份磋商响应文件上传至“政采云平台”，上传成功后，“电子加密磋商响应文件”自动失效；</w:t>
      </w:r>
    </w:p>
    <w:p>
      <w:pPr>
        <w:tabs>
          <w:tab w:val="left" w:pos="540"/>
        </w:tabs>
        <w:spacing w:line="460" w:lineRule="exact"/>
        <w:rPr>
          <w:rFonts w:ascii="宋体" w:hAnsi="宋体" w:cs="新宋体"/>
          <w:b/>
          <w:bCs/>
          <w:color w:val="auto"/>
          <w:kern w:val="0"/>
          <w:sz w:val="22"/>
          <w:szCs w:val="22"/>
          <w:highlight w:val="none"/>
        </w:rPr>
      </w:pPr>
      <w:r>
        <w:rPr>
          <w:rFonts w:hint="eastAsia" w:ascii="宋体" w:hAnsi="宋体" w:cs="新宋体"/>
          <w:b/>
          <w:bCs/>
          <w:color w:val="auto"/>
          <w:kern w:val="0"/>
          <w:sz w:val="22"/>
          <w:szCs w:val="22"/>
          <w:highlight w:val="none"/>
        </w:rPr>
        <w:t>（2）磋商响应文件解密结束，各供应商签署《政府采购活动现场确认声明书》（见附件）后将扫描件发送至采购代理机构邮箱：</w:t>
      </w:r>
      <w:r>
        <w:rPr>
          <w:rFonts w:hint="eastAsia" w:ascii="宋体" w:hAnsi="宋体" w:cs="新宋体"/>
          <w:b/>
          <w:color w:val="auto"/>
          <w:sz w:val="22"/>
          <w:szCs w:val="22"/>
          <w:highlight w:val="none"/>
          <w:u w:val="single"/>
        </w:rPr>
        <w:t>ye462978466@qq.com</w:t>
      </w:r>
      <w:r>
        <w:rPr>
          <w:rFonts w:hint="eastAsia" w:ascii="宋体" w:hAnsi="宋体" w:cs="新宋体"/>
          <w:b/>
          <w:bCs/>
          <w:color w:val="auto"/>
          <w:kern w:val="0"/>
          <w:sz w:val="22"/>
          <w:szCs w:val="22"/>
          <w:highlight w:val="none"/>
        </w:rPr>
        <w:t>；</w:t>
      </w:r>
    </w:p>
    <w:p>
      <w:pPr>
        <w:tabs>
          <w:tab w:val="left" w:pos="540"/>
        </w:tabs>
        <w:spacing w:line="460" w:lineRule="exact"/>
        <w:rPr>
          <w:rFonts w:ascii="宋体" w:hAnsi="宋体" w:cs="新宋体"/>
          <w:b/>
          <w:bCs/>
          <w:color w:val="auto"/>
          <w:kern w:val="0"/>
          <w:sz w:val="22"/>
          <w:szCs w:val="22"/>
          <w:highlight w:val="none"/>
        </w:rPr>
      </w:pPr>
      <w:r>
        <w:rPr>
          <w:rFonts w:hint="eastAsia" w:ascii="宋体" w:hAnsi="宋体" w:cs="新宋体"/>
          <w:b/>
          <w:bCs/>
          <w:color w:val="auto"/>
          <w:kern w:val="0"/>
          <w:sz w:val="22"/>
          <w:szCs w:val="22"/>
          <w:highlight w:val="none"/>
        </w:rPr>
        <w:t>（3）开启磋商响应文件，进入资格审查；</w:t>
      </w:r>
    </w:p>
    <w:p>
      <w:pPr>
        <w:tabs>
          <w:tab w:val="left" w:pos="540"/>
        </w:tabs>
        <w:spacing w:line="460" w:lineRule="exact"/>
        <w:rPr>
          <w:rFonts w:ascii="宋体" w:hAnsi="宋体" w:cs="新宋体"/>
          <w:b/>
          <w:bCs/>
          <w:color w:val="auto"/>
          <w:kern w:val="0"/>
          <w:sz w:val="22"/>
          <w:szCs w:val="22"/>
          <w:highlight w:val="none"/>
        </w:rPr>
      </w:pPr>
      <w:r>
        <w:rPr>
          <w:rFonts w:hint="eastAsia" w:ascii="宋体" w:hAnsi="宋体" w:cs="新宋体"/>
          <w:b/>
          <w:bCs/>
          <w:color w:val="auto"/>
          <w:kern w:val="0"/>
          <w:sz w:val="22"/>
          <w:szCs w:val="22"/>
          <w:highlight w:val="none"/>
        </w:rPr>
        <w:t>（4）开启资格审查通过的供应商的商务技术文件进入符合性审查、商务技术评审；</w:t>
      </w:r>
    </w:p>
    <w:p>
      <w:pPr>
        <w:tabs>
          <w:tab w:val="left" w:pos="540"/>
        </w:tabs>
        <w:spacing w:line="460" w:lineRule="exact"/>
        <w:rPr>
          <w:rFonts w:ascii="宋体" w:hAnsi="宋体" w:cs="新宋体"/>
          <w:b/>
          <w:bCs/>
          <w:color w:val="auto"/>
          <w:kern w:val="0"/>
          <w:sz w:val="22"/>
          <w:szCs w:val="22"/>
          <w:highlight w:val="none"/>
        </w:rPr>
      </w:pPr>
      <w:r>
        <w:rPr>
          <w:rFonts w:hint="eastAsia" w:ascii="宋体" w:hAnsi="宋体" w:cs="新宋体"/>
          <w:b/>
          <w:bCs/>
          <w:color w:val="auto"/>
          <w:kern w:val="0"/>
          <w:sz w:val="22"/>
          <w:szCs w:val="22"/>
          <w:highlight w:val="none"/>
        </w:rPr>
        <w:t>（5）第一阶段开标结束。</w:t>
      </w:r>
    </w:p>
    <w:p>
      <w:pPr>
        <w:tabs>
          <w:tab w:val="left" w:pos="540"/>
        </w:tabs>
        <w:spacing w:line="460" w:lineRule="exact"/>
        <w:rPr>
          <w:rFonts w:ascii="宋体" w:hAnsi="宋体" w:cs="新宋体"/>
          <w:b/>
          <w:bCs/>
          <w:color w:val="auto"/>
          <w:kern w:val="0"/>
          <w:sz w:val="22"/>
          <w:szCs w:val="22"/>
          <w:highlight w:val="none"/>
        </w:rPr>
      </w:pPr>
      <w:r>
        <w:rPr>
          <w:rFonts w:hint="eastAsia" w:ascii="宋体" w:hAnsi="宋体" w:cs="新宋体"/>
          <w:b/>
          <w:bCs/>
          <w:color w:val="auto"/>
          <w:kern w:val="0"/>
          <w:sz w:val="22"/>
          <w:szCs w:val="22"/>
          <w:highlight w:val="none"/>
        </w:rPr>
        <w:t>备注：开标大会的第一阶段结束后，采购人或采购代理机构将对依法对供应商的资格进行审查，资格审查结束后进入符合性审查和商务技术文件的评审工作，具体见本章节“供应商资格审查”相关规定。</w:t>
      </w:r>
    </w:p>
    <w:p>
      <w:pPr>
        <w:tabs>
          <w:tab w:val="left" w:pos="540"/>
        </w:tabs>
        <w:spacing w:line="460" w:lineRule="exact"/>
        <w:rPr>
          <w:rFonts w:ascii="宋体" w:hAnsi="宋体" w:cs="新宋体"/>
          <w:b/>
          <w:bCs/>
          <w:color w:val="auto"/>
          <w:kern w:val="0"/>
          <w:sz w:val="22"/>
          <w:szCs w:val="22"/>
          <w:highlight w:val="none"/>
        </w:rPr>
      </w:pPr>
      <w:r>
        <w:rPr>
          <w:rFonts w:hint="eastAsia" w:ascii="宋体" w:hAnsi="宋体" w:cs="新宋体"/>
          <w:b/>
          <w:bCs/>
          <w:color w:val="auto"/>
          <w:kern w:val="0"/>
          <w:sz w:val="22"/>
          <w:szCs w:val="22"/>
          <w:highlight w:val="none"/>
        </w:rPr>
        <w:t>24.2开标大会第二阶段</w:t>
      </w:r>
    </w:p>
    <w:p>
      <w:pPr>
        <w:tabs>
          <w:tab w:val="left" w:pos="540"/>
        </w:tabs>
        <w:spacing w:line="460" w:lineRule="exact"/>
        <w:rPr>
          <w:rFonts w:ascii="宋体" w:hAnsi="宋体" w:cs="新宋体"/>
          <w:b/>
          <w:bCs/>
          <w:color w:val="auto"/>
          <w:kern w:val="0"/>
          <w:sz w:val="22"/>
          <w:szCs w:val="22"/>
          <w:highlight w:val="none"/>
        </w:rPr>
      </w:pPr>
      <w:r>
        <w:rPr>
          <w:rFonts w:hint="eastAsia" w:ascii="宋体" w:hAnsi="宋体" w:cs="新宋体"/>
          <w:b/>
          <w:bCs/>
          <w:color w:val="auto"/>
          <w:kern w:val="0"/>
          <w:sz w:val="22"/>
          <w:szCs w:val="22"/>
          <w:highlight w:val="none"/>
        </w:rPr>
        <w:t>（1）符合性审查、商务技术文件的评审结束后，举行开标大会第二阶段会议。首先在“政采云平台”系统平台上公布符合性审查、商务技术评审无效供应商名称及理由；公布经商务技术评审后有效供应商的名单。</w:t>
      </w:r>
    </w:p>
    <w:p>
      <w:pPr>
        <w:tabs>
          <w:tab w:val="left" w:pos="540"/>
        </w:tabs>
        <w:spacing w:line="460" w:lineRule="exact"/>
        <w:rPr>
          <w:rFonts w:ascii="宋体" w:hAnsi="宋体" w:cs="新宋体"/>
          <w:b/>
          <w:bCs/>
          <w:color w:val="auto"/>
          <w:kern w:val="0"/>
          <w:sz w:val="22"/>
          <w:szCs w:val="22"/>
          <w:highlight w:val="none"/>
        </w:rPr>
      </w:pPr>
      <w:r>
        <w:rPr>
          <w:rFonts w:hint="eastAsia" w:ascii="宋体" w:hAnsi="宋体" w:cs="新宋体"/>
          <w:b/>
          <w:bCs/>
          <w:color w:val="auto"/>
          <w:kern w:val="0"/>
          <w:sz w:val="22"/>
          <w:szCs w:val="22"/>
          <w:highlight w:val="none"/>
        </w:rPr>
        <w:t>（2）开启通过符合性审查、商务技术文件评审有效供应商的报价文件，在“政采云平台”系统平台上公布开标一览表有关内容，同时当场制作开标记录，供应商在线进行确认。开标结束后，由磋商小组对报价的合理性、准确性等进行审查核实。</w:t>
      </w:r>
    </w:p>
    <w:p>
      <w:pPr>
        <w:tabs>
          <w:tab w:val="left" w:pos="540"/>
        </w:tabs>
        <w:spacing w:line="460" w:lineRule="exact"/>
        <w:rPr>
          <w:rFonts w:ascii="宋体" w:hAnsi="宋体" w:cs="新宋体"/>
          <w:b/>
          <w:bCs/>
          <w:color w:val="auto"/>
          <w:kern w:val="0"/>
          <w:sz w:val="22"/>
          <w:szCs w:val="22"/>
          <w:highlight w:val="none"/>
        </w:rPr>
      </w:pPr>
      <w:r>
        <w:rPr>
          <w:rFonts w:hint="eastAsia" w:ascii="宋体" w:hAnsi="宋体" w:cs="新宋体"/>
          <w:b/>
          <w:bCs/>
          <w:color w:val="auto"/>
          <w:kern w:val="0"/>
          <w:sz w:val="22"/>
          <w:szCs w:val="22"/>
          <w:highlight w:val="none"/>
        </w:rPr>
        <w:t>24.3开标第三阶段</w:t>
      </w:r>
    </w:p>
    <w:p>
      <w:pPr>
        <w:tabs>
          <w:tab w:val="left" w:pos="540"/>
        </w:tabs>
        <w:spacing w:line="460" w:lineRule="exact"/>
        <w:rPr>
          <w:rFonts w:ascii="宋体" w:hAnsi="宋体" w:cs="新宋体"/>
          <w:b/>
          <w:bCs/>
          <w:color w:val="auto"/>
          <w:kern w:val="0"/>
          <w:sz w:val="22"/>
          <w:szCs w:val="22"/>
          <w:highlight w:val="none"/>
        </w:rPr>
      </w:pPr>
      <w:r>
        <w:rPr>
          <w:rFonts w:hint="eastAsia" w:ascii="宋体" w:hAnsi="宋体" w:cs="新宋体"/>
          <w:b/>
          <w:bCs/>
          <w:color w:val="auto"/>
          <w:kern w:val="0"/>
          <w:sz w:val="22"/>
          <w:szCs w:val="22"/>
          <w:highlight w:val="none"/>
        </w:rPr>
        <w:t>（1）供应商在规定的时间内在政采云平台提交二次（最终）报价；</w:t>
      </w:r>
    </w:p>
    <w:p>
      <w:pPr>
        <w:tabs>
          <w:tab w:val="left" w:pos="540"/>
        </w:tabs>
        <w:spacing w:line="460" w:lineRule="exact"/>
        <w:rPr>
          <w:rFonts w:ascii="宋体" w:hAnsi="宋体" w:cs="新宋体"/>
          <w:b/>
          <w:bCs/>
          <w:color w:val="auto"/>
          <w:kern w:val="0"/>
          <w:sz w:val="22"/>
          <w:szCs w:val="22"/>
          <w:highlight w:val="none"/>
        </w:rPr>
      </w:pPr>
      <w:r>
        <w:rPr>
          <w:rFonts w:hint="eastAsia" w:ascii="宋体" w:hAnsi="宋体" w:cs="新宋体"/>
          <w:b/>
          <w:bCs/>
          <w:color w:val="auto"/>
          <w:kern w:val="0"/>
          <w:sz w:val="22"/>
          <w:szCs w:val="22"/>
          <w:highlight w:val="none"/>
        </w:rPr>
        <w:t>（2）开启供应商的二次（最终）报价文件，公布二次（最终）报价有关内容，同时当场制作开标记录，供应商在线进行确认。开标结束后，由磋商小组对报价的合理性、准确性等进行审查核实。</w:t>
      </w:r>
    </w:p>
    <w:p>
      <w:pPr>
        <w:tabs>
          <w:tab w:val="left" w:pos="540"/>
        </w:tabs>
        <w:spacing w:line="460" w:lineRule="exact"/>
        <w:rPr>
          <w:rFonts w:ascii="宋体" w:hAnsi="宋体" w:cs="新宋体"/>
          <w:b/>
          <w:bCs/>
          <w:color w:val="auto"/>
          <w:kern w:val="0"/>
          <w:sz w:val="22"/>
          <w:szCs w:val="22"/>
          <w:highlight w:val="none"/>
        </w:rPr>
      </w:pPr>
      <w:r>
        <w:rPr>
          <w:rFonts w:hint="eastAsia" w:ascii="宋体" w:hAnsi="宋体" w:cs="新宋体"/>
          <w:b/>
          <w:bCs/>
          <w:color w:val="auto"/>
          <w:kern w:val="0"/>
          <w:sz w:val="22"/>
          <w:szCs w:val="22"/>
          <w:highlight w:val="none"/>
        </w:rPr>
        <w:t>▲特别说明：如遇“政采云平台”电子化开标或评审程序调整的，按调整后程序执行。</w:t>
      </w:r>
    </w:p>
    <w:p>
      <w:pPr>
        <w:tabs>
          <w:tab w:val="left" w:pos="540"/>
        </w:tabs>
        <w:spacing w:line="460" w:lineRule="exact"/>
        <w:rPr>
          <w:rFonts w:ascii="宋体" w:hAnsi="宋体" w:cs="新宋体"/>
          <w:b/>
          <w:bCs/>
          <w:color w:val="auto"/>
          <w:kern w:val="0"/>
          <w:sz w:val="22"/>
          <w:szCs w:val="22"/>
          <w:highlight w:val="none"/>
        </w:rPr>
      </w:pPr>
      <w:bookmarkStart w:id="33" w:name="_Toc33194393"/>
      <w:bookmarkStart w:id="34" w:name="_Toc24550037"/>
      <w:r>
        <w:rPr>
          <w:rFonts w:hint="eastAsia" w:ascii="宋体" w:hAnsi="宋体" w:cs="新宋体"/>
          <w:b/>
          <w:bCs/>
          <w:color w:val="auto"/>
          <w:kern w:val="0"/>
          <w:sz w:val="22"/>
          <w:szCs w:val="22"/>
          <w:highlight w:val="none"/>
        </w:rPr>
        <w:t>25. 供应商资格审查</w:t>
      </w:r>
      <w:bookmarkEnd w:id="33"/>
      <w:bookmarkEnd w:id="34"/>
    </w:p>
    <w:p>
      <w:pPr>
        <w:tabs>
          <w:tab w:val="left" w:pos="540"/>
        </w:tabs>
        <w:spacing w:line="460" w:lineRule="exact"/>
        <w:rPr>
          <w:rFonts w:ascii="宋体" w:hAnsi="宋体" w:cs="新宋体"/>
          <w:bCs/>
          <w:color w:val="auto"/>
          <w:kern w:val="0"/>
          <w:sz w:val="22"/>
          <w:szCs w:val="22"/>
          <w:highlight w:val="none"/>
        </w:rPr>
      </w:pPr>
      <w:r>
        <w:rPr>
          <w:rFonts w:hint="eastAsia" w:ascii="宋体" w:hAnsi="宋体" w:cs="新宋体"/>
          <w:bCs/>
          <w:color w:val="auto"/>
          <w:kern w:val="0"/>
          <w:sz w:val="22"/>
          <w:szCs w:val="22"/>
          <w:highlight w:val="none"/>
        </w:rPr>
        <w:t>25.1开标大会第一阶段结束后，采购人或采购代理机构首先依法对各供应商的资格进行审查，审查各供应商的资格是否满足采购文件的要求。采购人或采购代理机构对供应商所提交的资格审查材料仅负审核的责任。如发现供应商所提交的资格审查材料不合法或与事实不符，采购人可取消其成交资格并追究供应商的法律责任。</w:t>
      </w:r>
    </w:p>
    <w:p>
      <w:pPr>
        <w:tabs>
          <w:tab w:val="left" w:pos="540"/>
        </w:tabs>
        <w:spacing w:line="460" w:lineRule="exact"/>
        <w:rPr>
          <w:rFonts w:ascii="宋体" w:hAnsi="宋体" w:cs="新宋体"/>
          <w:bCs/>
          <w:color w:val="auto"/>
          <w:kern w:val="0"/>
          <w:sz w:val="22"/>
          <w:szCs w:val="22"/>
          <w:highlight w:val="none"/>
        </w:rPr>
      </w:pPr>
      <w:r>
        <w:rPr>
          <w:rFonts w:hint="eastAsia" w:ascii="宋体" w:hAnsi="宋体" w:cs="新宋体"/>
          <w:bCs/>
          <w:color w:val="auto"/>
          <w:kern w:val="0"/>
          <w:sz w:val="22"/>
          <w:szCs w:val="22"/>
          <w:highlight w:val="none"/>
        </w:rPr>
        <w:t>25.2供应商提交的资格审查材料无法证明其符合采购文件规定的“供应商资格要求”的，采购人或采购代理机构将对其作资格审查不通过处理（无效投标），并不再将其投标提交磋商小组进行后续评审。</w:t>
      </w:r>
    </w:p>
    <w:p>
      <w:pPr>
        <w:tabs>
          <w:tab w:val="left" w:pos="540"/>
        </w:tabs>
        <w:spacing w:line="460" w:lineRule="exact"/>
        <w:rPr>
          <w:rFonts w:ascii="宋体" w:hAnsi="宋体" w:cs="新宋体"/>
          <w:bCs/>
          <w:color w:val="auto"/>
          <w:kern w:val="0"/>
          <w:sz w:val="22"/>
          <w:szCs w:val="22"/>
          <w:highlight w:val="none"/>
        </w:rPr>
      </w:pPr>
      <w:r>
        <w:rPr>
          <w:rFonts w:hint="eastAsia" w:ascii="宋体" w:hAnsi="宋体" w:cs="新宋体"/>
          <w:bCs/>
          <w:color w:val="auto"/>
          <w:kern w:val="0"/>
          <w:sz w:val="22"/>
          <w:szCs w:val="22"/>
          <w:highlight w:val="none"/>
        </w:rPr>
        <w:t>25.3单位负责人为同一人或者存在直接控股、管理关系的不同供应商参加同一合同项下的政府采购活动的，相关供应商均作资格无效处理。</w:t>
      </w:r>
    </w:p>
    <w:p>
      <w:pPr>
        <w:spacing w:before="100" w:beforeAutospacing="1" w:after="100" w:afterAutospacing="1" w:line="440" w:lineRule="exact"/>
        <w:jc w:val="center"/>
        <w:outlineLvl w:val="1"/>
        <w:rPr>
          <w:rFonts w:ascii="新宋体" w:hAnsi="新宋体" w:eastAsia="新宋体"/>
          <w:b/>
          <w:bCs/>
          <w:color w:val="auto"/>
          <w:sz w:val="22"/>
          <w:szCs w:val="22"/>
          <w:highlight w:val="none"/>
        </w:rPr>
      </w:pPr>
      <w:bookmarkStart w:id="35" w:name="_Toc38618587"/>
      <w:bookmarkStart w:id="36" w:name="_Toc16167"/>
      <w:bookmarkStart w:id="37" w:name="_Toc57626729"/>
      <w:r>
        <w:rPr>
          <w:rFonts w:hint="eastAsia" w:ascii="新宋体" w:hAnsi="新宋体" w:eastAsia="新宋体"/>
          <w:b/>
          <w:bCs/>
          <w:color w:val="auto"/>
          <w:sz w:val="22"/>
          <w:szCs w:val="22"/>
          <w:highlight w:val="none"/>
        </w:rPr>
        <w:t>六   磋商</w:t>
      </w:r>
      <w:bookmarkEnd w:id="19"/>
      <w:bookmarkEnd w:id="35"/>
      <w:bookmarkEnd w:id="36"/>
      <w:bookmarkEnd w:id="37"/>
    </w:p>
    <w:p>
      <w:pPr>
        <w:spacing w:line="460" w:lineRule="exact"/>
        <w:rPr>
          <w:rFonts w:ascii="宋体" w:hAnsi="宋体"/>
          <w:color w:val="auto"/>
          <w:sz w:val="22"/>
          <w:szCs w:val="22"/>
          <w:highlight w:val="none"/>
        </w:rPr>
      </w:pPr>
      <w:r>
        <w:rPr>
          <w:rFonts w:hint="eastAsia" w:ascii="宋体" w:hAnsi="宋体"/>
          <w:color w:val="auto"/>
          <w:sz w:val="22"/>
          <w:szCs w:val="22"/>
          <w:highlight w:val="none"/>
        </w:rPr>
        <w:t>26.磋商小组</w:t>
      </w:r>
    </w:p>
    <w:p>
      <w:pPr>
        <w:spacing w:line="460" w:lineRule="exact"/>
        <w:ind w:firstLine="440" w:firstLineChars="200"/>
        <w:rPr>
          <w:rFonts w:ascii="宋体" w:hAnsi="宋体"/>
          <w:color w:val="auto"/>
          <w:sz w:val="22"/>
          <w:szCs w:val="22"/>
          <w:highlight w:val="none"/>
        </w:rPr>
      </w:pPr>
      <w:r>
        <w:rPr>
          <w:rFonts w:hint="eastAsia" w:ascii="宋体" w:hAnsi="宋体" w:cs="新宋体"/>
          <w:color w:val="auto"/>
          <w:kern w:val="0"/>
          <w:sz w:val="22"/>
          <w:szCs w:val="22"/>
          <w:highlight w:val="none"/>
        </w:rPr>
        <w:t>采购人按照《中华人民共和国政府采购法》等有关法律、法规的规定组建磋商小组，磋商小组成员由采购人代表和有关技术、经济等方面的专家组成，成员人数为3人</w:t>
      </w:r>
      <w:r>
        <w:rPr>
          <w:rFonts w:hint="eastAsia" w:ascii="宋体" w:hAnsi="宋体" w:cs="新宋体"/>
          <w:color w:val="auto"/>
          <w:kern w:val="0"/>
          <w:sz w:val="22"/>
          <w:szCs w:val="22"/>
          <w:highlight w:val="none"/>
          <w:lang w:val="en-US" w:eastAsia="zh-CN"/>
        </w:rPr>
        <w:t>及以上单数</w:t>
      </w:r>
      <w:r>
        <w:rPr>
          <w:rFonts w:hint="eastAsia" w:ascii="宋体" w:hAnsi="宋体" w:cs="新宋体"/>
          <w:color w:val="auto"/>
          <w:kern w:val="0"/>
          <w:sz w:val="22"/>
          <w:szCs w:val="22"/>
          <w:highlight w:val="none"/>
        </w:rPr>
        <w:t>，除采购人代表外的专家将在评标专家库中随机抽取产生。</w:t>
      </w:r>
    </w:p>
    <w:p>
      <w:pPr>
        <w:spacing w:line="460" w:lineRule="exact"/>
        <w:rPr>
          <w:rFonts w:ascii="宋体" w:hAnsi="宋体"/>
          <w:color w:val="auto"/>
          <w:sz w:val="22"/>
          <w:szCs w:val="22"/>
          <w:highlight w:val="none"/>
        </w:rPr>
      </w:pPr>
      <w:r>
        <w:rPr>
          <w:rFonts w:hint="eastAsia" w:ascii="宋体" w:hAnsi="宋体"/>
          <w:color w:val="auto"/>
          <w:sz w:val="22"/>
          <w:szCs w:val="22"/>
          <w:highlight w:val="none"/>
        </w:rPr>
        <w:t>27.磋商评审过程的保密性</w:t>
      </w:r>
    </w:p>
    <w:p>
      <w:pPr>
        <w:spacing w:line="46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开标后直至向成交供应商授予合同时止，凡与磋商评审有关的资料均不得向供应商及与磋商评审无关人员透露。如果供应商在磋商评审过程中试图向采购人和采购代理机构施加影响，其磋商响应文件将被否决。</w:t>
      </w:r>
    </w:p>
    <w:p>
      <w:pPr>
        <w:spacing w:line="460" w:lineRule="exact"/>
        <w:rPr>
          <w:rFonts w:ascii="宋体" w:hAnsi="宋体"/>
          <w:color w:val="auto"/>
          <w:sz w:val="22"/>
          <w:szCs w:val="22"/>
          <w:highlight w:val="none"/>
        </w:rPr>
      </w:pPr>
      <w:r>
        <w:rPr>
          <w:rFonts w:hint="eastAsia" w:ascii="宋体" w:hAnsi="宋体"/>
          <w:color w:val="auto"/>
          <w:sz w:val="22"/>
          <w:szCs w:val="22"/>
          <w:highlight w:val="none"/>
        </w:rPr>
        <w:t>28.磋商和评审</w:t>
      </w:r>
    </w:p>
    <w:p>
      <w:pPr>
        <w:spacing w:line="460" w:lineRule="exact"/>
        <w:rPr>
          <w:rFonts w:ascii="宋体" w:hAnsi="宋体"/>
          <w:color w:val="auto"/>
          <w:kern w:val="0"/>
          <w:sz w:val="22"/>
          <w:szCs w:val="22"/>
          <w:highlight w:val="none"/>
        </w:rPr>
      </w:pPr>
      <w:r>
        <w:rPr>
          <w:rFonts w:hint="eastAsia" w:ascii="宋体" w:hAnsi="宋体"/>
          <w:color w:val="auto"/>
          <w:kern w:val="0"/>
          <w:sz w:val="22"/>
          <w:szCs w:val="22"/>
          <w:highlight w:val="none"/>
        </w:rPr>
        <w:t>28.1 磋商小组根据磋商文件的规定，对磋商响应文件的有效性、完整性和对磋商文件的响应程度进行审查，以确定其是否对磋商文件作出了实质性响应。实质上没有响应磋商文件要求的磋商响应文件将被否决。</w:t>
      </w:r>
    </w:p>
    <w:p>
      <w:pPr>
        <w:spacing w:line="460" w:lineRule="exact"/>
        <w:rPr>
          <w:rFonts w:ascii="宋体" w:hAnsi="宋体"/>
          <w:color w:val="auto"/>
          <w:sz w:val="22"/>
          <w:szCs w:val="22"/>
          <w:highlight w:val="none"/>
        </w:rPr>
      </w:pPr>
      <w:r>
        <w:rPr>
          <w:rFonts w:hint="eastAsia" w:ascii="宋体" w:hAnsi="宋体"/>
          <w:color w:val="auto"/>
          <w:kern w:val="0"/>
          <w:sz w:val="22"/>
          <w:szCs w:val="22"/>
          <w:highlight w:val="none"/>
        </w:rPr>
        <w:t>28.2评审过程中磋商供应商有义务对磋商小组提出就磋商响应文件中含义不明确、同类问题表述不</w:t>
      </w:r>
      <w:r>
        <w:rPr>
          <w:rFonts w:hint="eastAsia" w:ascii="宋体" w:hAnsi="宋体"/>
          <w:color w:val="auto"/>
          <w:sz w:val="22"/>
          <w:szCs w:val="22"/>
          <w:highlight w:val="none"/>
        </w:rPr>
        <w:t>一致或者有明显的文字和计算错误的内容进行澄清、说明、或者纠正。并在磋商结束前，对澄清、说明或者纠正的相关内容在政采云平台以书面形式进行最终确认承诺，并由磋商供应商代表签字（签章），但不得改变磋商响应文件的实质性内容。供应商的澄清、说明或者更正应当由法定代表人或其授权代表签字或者加盖公章（CA电子公章）。</w:t>
      </w:r>
    </w:p>
    <w:p>
      <w:pPr>
        <w:spacing w:line="460" w:lineRule="exact"/>
        <w:rPr>
          <w:rFonts w:ascii="宋体" w:hAnsi="宋体"/>
          <w:color w:val="auto"/>
          <w:sz w:val="22"/>
          <w:szCs w:val="22"/>
          <w:highlight w:val="none"/>
        </w:rPr>
      </w:pPr>
      <w:r>
        <w:rPr>
          <w:rFonts w:hint="eastAsia" w:ascii="宋体" w:hAnsi="宋体"/>
          <w:color w:val="auto"/>
          <w:sz w:val="22"/>
          <w:szCs w:val="22"/>
          <w:highlight w:val="none"/>
        </w:rPr>
        <w:t>28.3</w:t>
      </w:r>
      <w:r>
        <w:rPr>
          <w:rFonts w:hint="eastAsia" w:ascii="宋体" w:hAnsi="宋体"/>
          <w:color w:val="auto"/>
          <w:sz w:val="22"/>
          <w:szCs w:val="22"/>
          <w:highlight w:val="none"/>
          <w:u w:val="single"/>
        </w:rPr>
        <w:t>▲</w:t>
      </w:r>
      <w:r>
        <w:rPr>
          <w:rFonts w:hint="eastAsia" w:ascii="宋体" w:hAnsi="宋体"/>
          <w:b/>
          <w:bCs/>
          <w:color w:val="auto"/>
          <w:sz w:val="22"/>
          <w:szCs w:val="22"/>
          <w:highlight w:val="none"/>
          <w:u w:val="single"/>
        </w:rPr>
        <w:t>经澄清后，若偏差仍存在，且不可接受，磋商供应商则被认为是“没有实质性响应采购文件要求”，其磋商不进入下一步评审</w:t>
      </w:r>
      <w:r>
        <w:rPr>
          <w:rFonts w:hint="eastAsia" w:ascii="宋体" w:hAnsi="宋体"/>
          <w:color w:val="auto"/>
          <w:sz w:val="22"/>
          <w:szCs w:val="22"/>
          <w:highlight w:val="none"/>
        </w:rPr>
        <w:t>。</w:t>
      </w:r>
    </w:p>
    <w:p>
      <w:pPr>
        <w:spacing w:line="460" w:lineRule="exact"/>
        <w:rPr>
          <w:rFonts w:ascii="宋体" w:hAnsi="宋体"/>
          <w:color w:val="auto"/>
          <w:sz w:val="22"/>
          <w:szCs w:val="22"/>
          <w:highlight w:val="none"/>
        </w:rPr>
      </w:pPr>
      <w:r>
        <w:rPr>
          <w:rFonts w:hint="eastAsia" w:ascii="宋体" w:hAnsi="宋体"/>
          <w:color w:val="auto"/>
          <w:sz w:val="22"/>
          <w:szCs w:val="22"/>
          <w:highlight w:val="none"/>
        </w:rPr>
        <w:t>28.4磋商小组所有成员将遵循“公开、公平、公正”的原则，采用相同的程序和标准。如有必要，所有成员按顺序与单一供应商分别进行单独封闭式磋商。磋商内容包括服务价格、服务质量水平和保障措施、服务期限、服务方案、履约能力、培训计划、付款方式等方面进行磋商和综合分析考评，以确定是否满足采购要求。在磋商过程中，磋商的任何一方都不得透露与磋商有关的其他供应商的技术资料、价格和其他信息。磋商供应商在磋商过程中所作出的各种承诺都必须用书面形式（经电子签章的政采云平台上传文件，下同），并由磋商供应商代表签字。磋商轮次最多不超过3轮。</w:t>
      </w:r>
    </w:p>
    <w:p>
      <w:pPr>
        <w:spacing w:line="460" w:lineRule="exact"/>
        <w:rPr>
          <w:rFonts w:ascii="宋体" w:hAnsi="宋体"/>
          <w:color w:val="auto"/>
          <w:sz w:val="22"/>
          <w:szCs w:val="22"/>
          <w:highlight w:val="none"/>
        </w:rPr>
      </w:pPr>
      <w:r>
        <w:rPr>
          <w:rFonts w:hint="eastAsia" w:ascii="宋体" w:hAnsi="宋体"/>
          <w:color w:val="auto"/>
          <w:sz w:val="22"/>
          <w:szCs w:val="22"/>
          <w:highlight w:val="none"/>
        </w:rPr>
        <w:t>28.5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响应文件，并由其供应商代表签字或者加盖公章。由授权代表签字的，应当附法定代表人授权书。供应商为自然人的，应当由本人签字并附身份证明。</w:t>
      </w:r>
    </w:p>
    <w:p>
      <w:pPr>
        <w:spacing w:line="460" w:lineRule="exact"/>
        <w:rPr>
          <w:rFonts w:ascii="宋体" w:hAnsi="宋体"/>
          <w:color w:val="auto"/>
          <w:sz w:val="22"/>
          <w:szCs w:val="22"/>
          <w:highlight w:val="none"/>
        </w:rPr>
      </w:pPr>
      <w:r>
        <w:rPr>
          <w:rFonts w:hint="eastAsia" w:ascii="宋体" w:hAnsi="宋体"/>
          <w:color w:val="auto"/>
          <w:sz w:val="22"/>
          <w:szCs w:val="22"/>
          <w:highlight w:val="none"/>
        </w:rPr>
        <w:t>28.6在磋商过程中，磋商供应商不得向磋商小组成员询问磋商情况，不得进行旨在影响磋商结果的活动，否则将取消其磋商资格。</w:t>
      </w:r>
    </w:p>
    <w:p>
      <w:pPr>
        <w:spacing w:line="460" w:lineRule="exact"/>
        <w:rPr>
          <w:rFonts w:ascii="宋体" w:hAnsi="宋体"/>
          <w:color w:val="auto"/>
          <w:sz w:val="22"/>
          <w:szCs w:val="22"/>
          <w:highlight w:val="none"/>
        </w:rPr>
      </w:pPr>
      <w:r>
        <w:rPr>
          <w:rFonts w:hint="eastAsia" w:ascii="宋体" w:hAnsi="宋体"/>
          <w:color w:val="auto"/>
          <w:sz w:val="22"/>
          <w:szCs w:val="22"/>
          <w:highlight w:val="none"/>
        </w:rPr>
        <w:t>28.7在磋商过程中，磋商小组成员不得与磋商供应商私下交换意见，在竞争性磋商结束后，凡与磋商情况有接触的人不得将磋商情况扩散出磋商小组成员外。</w:t>
      </w:r>
    </w:p>
    <w:p>
      <w:pPr>
        <w:spacing w:line="460" w:lineRule="exact"/>
        <w:rPr>
          <w:rFonts w:ascii="宋体" w:hAnsi="宋体"/>
          <w:color w:val="auto"/>
          <w:sz w:val="22"/>
          <w:szCs w:val="22"/>
          <w:highlight w:val="none"/>
        </w:rPr>
      </w:pPr>
      <w:r>
        <w:rPr>
          <w:rFonts w:hint="eastAsia" w:ascii="宋体" w:hAnsi="宋体"/>
          <w:b/>
          <w:bCs/>
          <w:color w:val="auto"/>
          <w:sz w:val="22"/>
          <w:szCs w:val="22"/>
          <w:highlight w:val="none"/>
        </w:rPr>
        <w:t>28.8磋商结束后，磋商小组将要求磋商供应商在规定的时间内，统一进行最后报价，最后报价不得高于一次报价（磋商小组另有决议的除外）。</w:t>
      </w:r>
    </w:p>
    <w:p>
      <w:pPr>
        <w:spacing w:line="460" w:lineRule="exact"/>
        <w:rPr>
          <w:rFonts w:ascii="宋体" w:hAnsi="宋体"/>
          <w:color w:val="auto"/>
          <w:sz w:val="22"/>
          <w:szCs w:val="22"/>
          <w:highlight w:val="none"/>
        </w:rPr>
      </w:pPr>
      <w:r>
        <w:rPr>
          <w:rFonts w:hint="eastAsia" w:ascii="宋体" w:hAnsi="宋体"/>
          <w:color w:val="auto"/>
          <w:sz w:val="22"/>
          <w:szCs w:val="22"/>
          <w:highlight w:val="none"/>
        </w:rPr>
        <w:t xml:space="preserve">29.▲ </w:t>
      </w:r>
      <w:r>
        <w:rPr>
          <w:rFonts w:hint="eastAsia" w:ascii="宋体" w:hAnsi="宋体"/>
          <w:b/>
          <w:bCs/>
          <w:color w:val="auto"/>
          <w:sz w:val="22"/>
          <w:szCs w:val="22"/>
          <w:highlight w:val="none"/>
          <w:u w:val="single"/>
        </w:rPr>
        <w:t>在磋商响应文件的评审过程中，有下列情况之一的，经磋商小组认定后按无效标处理</w:t>
      </w:r>
      <w:r>
        <w:rPr>
          <w:rFonts w:hint="eastAsia" w:ascii="宋体" w:hAnsi="宋体"/>
          <w:color w:val="auto"/>
          <w:sz w:val="22"/>
          <w:szCs w:val="22"/>
          <w:highlight w:val="none"/>
        </w:rPr>
        <w:t>：</w:t>
      </w:r>
    </w:p>
    <w:p>
      <w:pPr>
        <w:numPr>
          <w:ilvl w:val="0"/>
          <w:numId w:val="11"/>
        </w:numPr>
        <w:spacing w:line="440" w:lineRule="exact"/>
        <w:ind w:firstLine="418" w:firstLineChars="190"/>
        <w:rPr>
          <w:rFonts w:ascii="宋体" w:hAnsi="宋体"/>
          <w:bCs/>
          <w:color w:val="auto"/>
          <w:sz w:val="22"/>
          <w:szCs w:val="22"/>
          <w:highlight w:val="none"/>
        </w:rPr>
      </w:pPr>
      <w:r>
        <w:rPr>
          <w:rFonts w:hint="eastAsia" w:ascii="宋体" w:hAnsi="宋体"/>
          <w:bCs/>
          <w:color w:val="auto"/>
          <w:sz w:val="22"/>
          <w:szCs w:val="22"/>
          <w:highlight w:val="none"/>
        </w:rPr>
        <w:t>磋商响应文件未按采购文件的要求签章的；</w:t>
      </w:r>
    </w:p>
    <w:p>
      <w:pPr>
        <w:numPr>
          <w:ilvl w:val="0"/>
          <w:numId w:val="11"/>
        </w:numPr>
        <w:spacing w:line="440" w:lineRule="exact"/>
        <w:ind w:firstLine="418" w:firstLineChars="190"/>
        <w:rPr>
          <w:rFonts w:ascii="宋体" w:hAnsi="宋体"/>
          <w:bCs/>
          <w:color w:val="auto"/>
          <w:sz w:val="22"/>
          <w:szCs w:val="22"/>
          <w:highlight w:val="none"/>
        </w:rPr>
      </w:pPr>
      <w:r>
        <w:rPr>
          <w:rFonts w:hint="eastAsia" w:ascii="宋体" w:hAnsi="宋体"/>
          <w:bCs/>
          <w:color w:val="auto"/>
          <w:sz w:val="22"/>
          <w:szCs w:val="22"/>
          <w:highlight w:val="none"/>
        </w:rPr>
        <w:t>授权代表没有法定代表人合法、有效委托的；</w:t>
      </w:r>
    </w:p>
    <w:p>
      <w:pPr>
        <w:numPr>
          <w:ilvl w:val="0"/>
          <w:numId w:val="11"/>
        </w:numPr>
        <w:spacing w:line="440" w:lineRule="exact"/>
        <w:ind w:firstLine="418" w:firstLineChars="190"/>
        <w:rPr>
          <w:rFonts w:ascii="宋体" w:hAnsi="宋体"/>
          <w:bCs/>
          <w:color w:val="auto"/>
          <w:sz w:val="22"/>
          <w:szCs w:val="22"/>
          <w:highlight w:val="none"/>
        </w:rPr>
      </w:pPr>
      <w:r>
        <w:rPr>
          <w:rFonts w:hint="eastAsia" w:ascii="宋体" w:hAnsi="宋体"/>
          <w:bCs/>
          <w:color w:val="auto"/>
          <w:sz w:val="22"/>
          <w:szCs w:val="22"/>
          <w:highlight w:val="none"/>
        </w:rPr>
        <w:t>未按采购文件要求提供资格审查资料的；</w:t>
      </w:r>
    </w:p>
    <w:p>
      <w:pPr>
        <w:numPr>
          <w:ilvl w:val="0"/>
          <w:numId w:val="11"/>
        </w:numPr>
        <w:spacing w:line="440" w:lineRule="exact"/>
        <w:ind w:firstLine="418" w:firstLineChars="190"/>
        <w:rPr>
          <w:rFonts w:ascii="宋体" w:hAnsi="宋体"/>
          <w:bCs/>
          <w:color w:val="auto"/>
          <w:sz w:val="22"/>
          <w:szCs w:val="22"/>
          <w:highlight w:val="none"/>
        </w:rPr>
      </w:pPr>
      <w:r>
        <w:rPr>
          <w:rFonts w:hint="eastAsia" w:ascii="宋体" w:hAnsi="宋体"/>
          <w:bCs/>
          <w:color w:val="auto"/>
          <w:sz w:val="22"/>
          <w:szCs w:val="22"/>
          <w:highlight w:val="none"/>
        </w:rPr>
        <w:t>电子磋商响应文件解密失败的，且未在规定时间内提交备份磋商响应文件的；</w:t>
      </w:r>
    </w:p>
    <w:p>
      <w:pPr>
        <w:numPr>
          <w:ilvl w:val="0"/>
          <w:numId w:val="11"/>
        </w:numPr>
        <w:spacing w:line="440" w:lineRule="exact"/>
        <w:ind w:firstLine="418" w:firstLineChars="190"/>
        <w:rPr>
          <w:rFonts w:ascii="宋体" w:hAnsi="宋体"/>
          <w:bCs/>
          <w:color w:val="auto"/>
          <w:sz w:val="22"/>
          <w:szCs w:val="22"/>
          <w:highlight w:val="none"/>
        </w:rPr>
      </w:pPr>
      <w:r>
        <w:rPr>
          <w:rFonts w:hint="eastAsia" w:ascii="宋体" w:hAnsi="宋体"/>
          <w:bCs/>
          <w:color w:val="auto"/>
          <w:sz w:val="22"/>
          <w:szCs w:val="22"/>
          <w:highlight w:val="none"/>
        </w:rPr>
        <w:t>磋商响应文件内容不全或关键字迹模糊无法辨认的。</w:t>
      </w:r>
    </w:p>
    <w:p>
      <w:pPr>
        <w:numPr>
          <w:ilvl w:val="0"/>
          <w:numId w:val="11"/>
        </w:numPr>
        <w:spacing w:line="440" w:lineRule="exact"/>
        <w:ind w:firstLine="418" w:firstLineChars="190"/>
        <w:rPr>
          <w:rFonts w:ascii="宋体" w:hAnsi="宋体"/>
          <w:bCs/>
          <w:color w:val="auto"/>
          <w:sz w:val="22"/>
          <w:szCs w:val="22"/>
          <w:highlight w:val="none"/>
        </w:rPr>
      </w:pPr>
      <w:r>
        <w:rPr>
          <w:rFonts w:hint="eastAsia" w:ascii="宋体" w:hAnsi="宋体"/>
          <w:bCs/>
          <w:color w:val="auto"/>
          <w:sz w:val="22"/>
          <w:szCs w:val="22"/>
          <w:highlight w:val="none"/>
        </w:rPr>
        <w:t>供应商递交两份或多份内容不同的磋商响应文件,或在一份磋商响应文件中对同一项目报价有两个或多个报价,且未声明哪一个有效（大小写不一致的除外）。</w:t>
      </w:r>
    </w:p>
    <w:p>
      <w:pPr>
        <w:numPr>
          <w:ilvl w:val="0"/>
          <w:numId w:val="11"/>
        </w:numPr>
        <w:spacing w:line="440" w:lineRule="exact"/>
        <w:ind w:firstLine="418" w:firstLineChars="190"/>
        <w:rPr>
          <w:rFonts w:ascii="宋体" w:hAnsi="宋体"/>
          <w:bCs/>
          <w:color w:val="auto"/>
          <w:sz w:val="22"/>
          <w:szCs w:val="22"/>
          <w:highlight w:val="none"/>
        </w:rPr>
      </w:pPr>
      <w:r>
        <w:rPr>
          <w:rFonts w:hint="eastAsia" w:ascii="宋体" w:hAnsi="宋体"/>
          <w:bCs/>
          <w:color w:val="auto"/>
          <w:sz w:val="22"/>
          <w:szCs w:val="22"/>
          <w:highlight w:val="none"/>
        </w:rPr>
        <w:t>磋商响应文件附有采购人不能接受的条件；</w:t>
      </w:r>
    </w:p>
    <w:p>
      <w:pPr>
        <w:numPr>
          <w:ilvl w:val="0"/>
          <w:numId w:val="11"/>
        </w:numPr>
        <w:spacing w:line="440" w:lineRule="exact"/>
        <w:ind w:firstLine="418" w:firstLineChars="190"/>
        <w:rPr>
          <w:rFonts w:ascii="宋体" w:hAnsi="宋体"/>
          <w:bCs/>
          <w:color w:val="auto"/>
          <w:sz w:val="22"/>
          <w:szCs w:val="22"/>
          <w:highlight w:val="none"/>
        </w:rPr>
      </w:pPr>
      <w:r>
        <w:rPr>
          <w:rFonts w:hint="eastAsia" w:ascii="宋体" w:hAnsi="宋体"/>
          <w:bCs/>
          <w:color w:val="auto"/>
          <w:sz w:val="22"/>
          <w:szCs w:val="22"/>
          <w:highlight w:val="none"/>
        </w:rPr>
        <w:t>磋商响应文件采用总价让利或百分比让利等让利方式报价；</w:t>
      </w:r>
    </w:p>
    <w:p>
      <w:pPr>
        <w:numPr>
          <w:ilvl w:val="0"/>
          <w:numId w:val="11"/>
        </w:numPr>
        <w:spacing w:line="440" w:lineRule="exact"/>
        <w:ind w:firstLine="418" w:firstLineChars="190"/>
        <w:rPr>
          <w:rFonts w:ascii="宋体" w:hAnsi="宋体"/>
          <w:bCs/>
          <w:color w:val="auto"/>
          <w:sz w:val="22"/>
          <w:szCs w:val="22"/>
          <w:highlight w:val="none"/>
        </w:rPr>
      </w:pPr>
      <w:r>
        <w:rPr>
          <w:rFonts w:hint="eastAsia" w:ascii="宋体" w:hAnsi="宋体"/>
          <w:bCs/>
          <w:color w:val="auto"/>
          <w:sz w:val="22"/>
          <w:szCs w:val="22"/>
          <w:highlight w:val="none"/>
        </w:rPr>
        <w:t>供应商报价超过项目预算金额的；</w:t>
      </w:r>
    </w:p>
    <w:p>
      <w:pPr>
        <w:numPr>
          <w:ilvl w:val="0"/>
          <w:numId w:val="11"/>
        </w:numPr>
        <w:spacing w:line="440" w:lineRule="exact"/>
        <w:ind w:firstLine="418" w:firstLineChars="190"/>
        <w:rPr>
          <w:rFonts w:ascii="宋体" w:hAnsi="宋体"/>
          <w:bCs/>
          <w:color w:val="auto"/>
          <w:sz w:val="22"/>
          <w:szCs w:val="22"/>
          <w:highlight w:val="none"/>
        </w:rPr>
      </w:pPr>
      <w:r>
        <w:rPr>
          <w:rFonts w:hint="eastAsia" w:ascii="宋体" w:hAnsi="宋体"/>
          <w:bCs/>
          <w:color w:val="auto"/>
          <w:sz w:val="22"/>
          <w:szCs w:val="22"/>
          <w:highlight w:val="none"/>
        </w:rPr>
        <w:t>磋商小组认定不符合法律、法规和采购文件中规定的其他实质性要求的。</w:t>
      </w:r>
    </w:p>
    <w:p>
      <w:pPr>
        <w:spacing w:line="460" w:lineRule="exact"/>
        <w:rPr>
          <w:rFonts w:ascii="宋体" w:hAnsi="宋体"/>
          <w:color w:val="auto"/>
          <w:sz w:val="22"/>
          <w:szCs w:val="22"/>
          <w:highlight w:val="none"/>
        </w:rPr>
      </w:pPr>
      <w:r>
        <w:rPr>
          <w:rFonts w:hint="eastAsia" w:ascii="宋体" w:hAnsi="宋体"/>
          <w:b/>
          <w:bCs/>
          <w:color w:val="auto"/>
          <w:kern w:val="0"/>
          <w:sz w:val="22"/>
          <w:szCs w:val="22"/>
          <w:highlight w:val="none"/>
          <w:u w:val="single"/>
        </w:rPr>
        <w:t>30.有下列情形之一的，视为供应商串通投标，其磋商响应文件无效</w:t>
      </w:r>
      <w:r>
        <w:rPr>
          <w:rFonts w:hint="eastAsia" w:ascii="宋体" w:hAnsi="宋体"/>
          <w:color w:val="auto"/>
          <w:kern w:val="0"/>
          <w:sz w:val="22"/>
          <w:szCs w:val="22"/>
          <w:highlight w:val="none"/>
        </w:rPr>
        <w:t>：</w:t>
      </w:r>
    </w:p>
    <w:p>
      <w:pPr>
        <w:numPr>
          <w:ilvl w:val="0"/>
          <w:numId w:val="12"/>
        </w:numPr>
        <w:spacing w:line="440" w:lineRule="exact"/>
        <w:ind w:firstLine="418" w:firstLineChars="190"/>
        <w:rPr>
          <w:rFonts w:ascii="宋体" w:hAnsi="宋体"/>
          <w:bCs/>
          <w:color w:val="auto"/>
          <w:sz w:val="22"/>
          <w:szCs w:val="22"/>
          <w:highlight w:val="none"/>
        </w:rPr>
      </w:pPr>
      <w:r>
        <w:rPr>
          <w:rFonts w:hint="eastAsia" w:ascii="宋体" w:hAnsi="宋体"/>
          <w:bCs/>
          <w:color w:val="auto"/>
          <w:sz w:val="22"/>
          <w:szCs w:val="22"/>
          <w:highlight w:val="none"/>
        </w:rPr>
        <w:t>不同供应商的磋商响应文件由同一单位或者个人编制；</w:t>
      </w:r>
    </w:p>
    <w:p>
      <w:pPr>
        <w:numPr>
          <w:ilvl w:val="0"/>
          <w:numId w:val="12"/>
        </w:numPr>
        <w:spacing w:line="440" w:lineRule="exact"/>
        <w:ind w:firstLine="418" w:firstLineChars="190"/>
        <w:rPr>
          <w:rFonts w:ascii="宋体" w:hAnsi="宋体"/>
          <w:bCs/>
          <w:color w:val="auto"/>
          <w:sz w:val="22"/>
          <w:szCs w:val="22"/>
          <w:highlight w:val="none"/>
        </w:rPr>
      </w:pPr>
      <w:r>
        <w:rPr>
          <w:rFonts w:hint="eastAsia" w:ascii="宋体" w:hAnsi="宋体"/>
          <w:bCs/>
          <w:color w:val="auto"/>
          <w:sz w:val="22"/>
          <w:szCs w:val="22"/>
          <w:highlight w:val="none"/>
        </w:rPr>
        <w:t>不同供应商委托同一单位或者个人办理投标事宜；</w:t>
      </w:r>
    </w:p>
    <w:p>
      <w:pPr>
        <w:numPr>
          <w:ilvl w:val="0"/>
          <w:numId w:val="12"/>
        </w:numPr>
        <w:spacing w:line="440" w:lineRule="exact"/>
        <w:ind w:firstLine="418" w:firstLineChars="190"/>
        <w:rPr>
          <w:rFonts w:ascii="宋体" w:hAnsi="宋体"/>
          <w:bCs/>
          <w:color w:val="auto"/>
          <w:sz w:val="22"/>
          <w:szCs w:val="22"/>
          <w:highlight w:val="none"/>
        </w:rPr>
      </w:pPr>
      <w:r>
        <w:rPr>
          <w:rFonts w:hint="eastAsia" w:ascii="宋体" w:hAnsi="宋体"/>
          <w:bCs/>
          <w:color w:val="auto"/>
          <w:sz w:val="22"/>
          <w:szCs w:val="22"/>
          <w:highlight w:val="none"/>
        </w:rPr>
        <w:t>不同供应商的磋商响应文件载明的项目管理成员或者联系人员为同一人；</w:t>
      </w:r>
    </w:p>
    <w:p>
      <w:pPr>
        <w:numPr>
          <w:ilvl w:val="0"/>
          <w:numId w:val="12"/>
        </w:numPr>
        <w:spacing w:line="440" w:lineRule="exact"/>
        <w:ind w:firstLine="418" w:firstLineChars="190"/>
        <w:rPr>
          <w:rFonts w:ascii="宋体" w:hAnsi="宋体"/>
          <w:bCs/>
          <w:color w:val="auto"/>
          <w:sz w:val="22"/>
          <w:szCs w:val="22"/>
          <w:highlight w:val="none"/>
        </w:rPr>
      </w:pPr>
      <w:r>
        <w:rPr>
          <w:rFonts w:hint="eastAsia" w:ascii="宋体" w:hAnsi="宋体"/>
          <w:bCs/>
          <w:color w:val="auto"/>
          <w:sz w:val="22"/>
          <w:szCs w:val="22"/>
          <w:highlight w:val="none"/>
        </w:rPr>
        <w:t>不同供应商的磋商响应文件异常一致或者</w:t>
      </w:r>
      <w:r>
        <w:rPr>
          <w:rFonts w:hint="eastAsia" w:ascii="宋体" w:hAnsi="宋体"/>
          <w:bCs/>
          <w:color w:val="auto"/>
          <w:sz w:val="22"/>
          <w:szCs w:val="22"/>
          <w:highlight w:val="none"/>
          <w:lang w:eastAsia="zh-CN"/>
        </w:rPr>
        <w:t>磋商报价</w:t>
      </w:r>
      <w:r>
        <w:rPr>
          <w:rFonts w:hint="eastAsia" w:ascii="宋体" w:hAnsi="宋体"/>
          <w:bCs/>
          <w:color w:val="auto"/>
          <w:sz w:val="22"/>
          <w:szCs w:val="22"/>
          <w:highlight w:val="none"/>
        </w:rPr>
        <w:t>呈规律性差异；</w:t>
      </w:r>
    </w:p>
    <w:p>
      <w:pPr>
        <w:numPr>
          <w:ilvl w:val="0"/>
          <w:numId w:val="12"/>
        </w:numPr>
        <w:spacing w:line="440" w:lineRule="exact"/>
        <w:ind w:firstLine="418" w:firstLineChars="190"/>
        <w:rPr>
          <w:rFonts w:ascii="宋体" w:hAnsi="宋体"/>
          <w:bCs/>
          <w:color w:val="auto"/>
          <w:sz w:val="22"/>
          <w:szCs w:val="22"/>
          <w:highlight w:val="none"/>
        </w:rPr>
      </w:pPr>
      <w:r>
        <w:rPr>
          <w:rFonts w:hint="eastAsia" w:ascii="宋体" w:hAnsi="宋体"/>
          <w:bCs/>
          <w:color w:val="auto"/>
          <w:sz w:val="22"/>
          <w:szCs w:val="22"/>
          <w:highlight w:val="none"/>
        </w:rPr>
        <w:t>不同供应商的磋商响应文件相互混装。</w:t>
      </w:r>
    </w:p>
    <w:p>
      <w:pPr>
        <w:spacing w:line="460" w:lineRule="exact"/>
        <w:rPr>
          <w:rFonts w:ascii="宋体" w:hAnsi="宋体"/>
          <w:color w:val="auto"/>
          <w:sz w:val="22"/>
          <w:szCs w:val="22"/>
          <w:highlight w:val="none"/>
        </w:rPr>
      </w:pPr>
      <w:r>
        <w:rPr>
          <w:rFonts w:hint="eastAsia" w:ascii="宋体" w:hAnsi="宋体"/>
          <w:color w:val="auto"/>
          <w:sz w:val="22"/>
          <w:szCs w:val="22"/>
          <w:highlight w:val="none"/>
        </w:rPr>
        <w:t>31.推荐成交候选供应商</w:t>
      </w:r>
    </w:p>
    <w:p>
      <w:pPr>
        <w:spacing w:line="460" w:lineRule="exact"/>
        <w:rPr>
          <w:rFonts w:ascii="宋体" w:hAnsi="宋体"/>
          <w:color w:val="auto"/>
          <w:sz w:val="22"/>
          <w:szCs w:val="22"/>
          <w:highlight w:val="none"/>
        </w:rPr>
      </w:pPr>
      <w:r>
        <w:rPr>
          <w:rFonts w:hint="eastAsia" w:ascii="宋体" w:hAnsi="宋体"/>
          <w:color w:val="auto"/>
          <w:sz w:val="22"/>
          <w:szCs w:val="22"/>
          <w:highlight w:val="none"/>
        </w:rPr>
        <w:t>31.1 本项目采购由磋商小组向采购人推荐成交候选供应商。</w:t>
      </w:r>
    </w:p>
    <w:p>
      <w:pPr>
        <w:spacing w:line="460" w:lineRule="exact"/>
        <w:rPr>
          <w:rFonts w:ascii="宋体" w:hAnsi="宋体"/>
          <w:color w:val="auto"/>
          <w:sz w:val="22"/>
          <w:szCs w:val="22"/>
          <w:highlight w:val="none"/>
        </w:rPr>
      </w:pPr>
      <w:r>
        <w:rPr>
          <w:rFonts w:hint="eastAsia" w:ascii="宋体" w:hAnsi="宋体"/>
          <w:color w:val="auto"/>
          <w:sz w:val="22"/>
          <w:szCs w:val="22"/>
          <w:highlight w:val="none"/>
        </w:rPr>
        <w:t>31.2 磋商小组根据综合评审情况，按照评审得分由高到低顺序,推荐综合得分前两名的供应商为成交候选供应商及成交备选供应商（</w:t>
      </w:r>
      <w:r>
        <w:rPr>
          <w:rFonts w:hint="eastAsia" w:ascii="宋体" w:hAnsi="宋体" w:cs="新宋体"/>
          <w:color w:val="auto"/>
          <w:sz w:val="22"/>
          <w:szCs w:val="22"/>
          <w:highlight w:val="none"/>
        </w:rPr>
        <w:t>得分相同</w:t>
      </w:r>
      <w:r>
        <w:rPr>
          <w:rFonts w:hint="eastAsia" w:ascii="宋体" w:hAnsi="宋体" w:cs="新宋体"/>
          <w:color w:val="auto"/>
          <w:sz w:val="22"/>
          <w:szCs w:val="22"/>
          <w:highlight w:val="none"/>
          <w:lang w:eastAsia="zh-CN"/>
        </w:rPr>
        <w:t>磋商报价</w:t>
      </w:r>
      <w:r>
        <w:rPr>
          <w:rFonts w:hint="eastAsia" w:ascii="宋体" w:hAnsi="宋体" w:cs="新宋体"/>
          <w:color w:val="auto"/>
          <w:sz w:val="22"/>
          <w:szCs w:val="22"/>
          <w:highlight w:val="none"/>
        </w:rPr>
        <w:t>低的排序前位；得分且</w:t>
      </w:r>
      <w:r>
        <w:rPr>
          <w:rFonts w:hint="eastAsia" w:ascii="宋体" w:hAnsi="宋体" w:cs="新宋体"/>
          <w:color w:val="auto"/>
          <w:sz w:val="22"/>
          <w:szCs w:val="22"/>
          <w:highlight w:val="none"/>
          <w:lang w:eastAsia="zh-CN"/>
        </w:rPr>
        <w:t>磋商报价</w:t>
      </w:r>
      <w:r>
        <w:rPr>
          <w:rFonts w:hint="eastAsia" w:ascii="宋体" w:hAnsi="宋体" w:cs="新宋体"/>
          <w:color w:val="auto"/>
          <w:sz w:val="22"/>
          <w:szCs w:val="22"/>
          <w:highlight w:val="none"/>
        </w:rPr>
        <w:t>相同的并列，磋商响应文件满足采购文件全部实质性要求，且按照评审因素的量化指标评审得分最高的供应商为中标候选人</w:t>
      </w:r>
      <w:r>
        <w:rPr>
          <w:rFonts w:hint="eastAsia" w:ascii="宋体" w:hAnsi="宋体"/>
          <w:color w:val="auto"/>
          <w:sz w:val="22"/>
          <w:szCs w:val="22"/>
          <w:highlight w:val="none"/>
        </w:rPr>
        <w:t>）。</w:t>
      </w:r>
    </w:p>
    <w:p>
      <w:pPr>
        <w:spacing w:line="460" w:lineRule="exact"/>
        <w:rPr>
          <w:rFonts w:ascii="宋体" w:hAnsi="宋体"/>
          <w:color w:val="auto"/>
          <w:sz w:val="22"/>
          <w:szCs w:val="22"/>
          <w:highlight w:val="none"/>
        </w:rPr>
      </w:pPr>
      <w:r>
        <w:rPr>
          <w:rFonts w:hint="eastAsia" w:ascii="宋体" w:hAnsi="宋体"/>
          <w:color w:val="auto"/>
          <w:sz w:val="22"/>
          <w:szCs w:val="22"/>
          <w:highlight w:val="none"/>
        </w:rPr>
        <w:t>32.在磋商过程中符合竞争要求的供应商或者最终报价未超过采购预算的供应商不足3家：</w:t>
      </w:r>
    </w:p>
    <w:p>
      <w:pPr>
        <w:numPr>
          <w:ilvl w:val="0"/>
          <w:numId w:val="13"/>
        </w:numPr>
        <w:spacing w:line="440" w:lineRule="exact"/>
        <w:ind w:firstLine="418" w:firstLineChars="190"/>
        <w:rPr>
          <w:rFonts w:ascii="宋体" w:hAnsi="宋体"/>
          <w:color w:val="auto"/>
          <w:sz w:val="22"/>
          <w:szCs w:val="22"/>
          <w:highlight w:val="none"/>
        </w:rPr>
      </w:pPr>
      <w:r>
        <w:rPr>
          <w:rFonts w:hint="eastAsia" w:ascii="宋体" w:hAnsi="宋体"/>
          <w:color w:val="auto"/>
          <w:sz w:val="22"/>
          <w:szCs w:val="22"/>
          <w:highlight w:val="none"/>
        </w:rPr>
        <w:t>磋商过程中符合竞争要求的供应商或者最终报价未超过采购预算的供应商为2家，则按照《财政部关于政府采购竞争性磋商采购方式管理暂行办法有关问题的补充通知》相关规定继续评审磋商程序，按照两名供应商的综合得分排名推荐为成交候选供应商及成交备选供应商。</w:t>
      </w:r>
    </w:p>
    <w:p>
      <w:pPr>
        <w:numPr>
          <w:ilvl w:val="0"/>
          <w:numId w:val="13"/>
        </w:numPr>
        <w:spacing w:line="440" w:lineRule="exact"/>
        <w:ind w:firstLine="418" w:firstLineChars="190"/>
        <w:rPr>
          <w:rFonts w:ascii="宋体" w:hAnsi="宋体"/>
          <w:color w:val="auto"/>
          <w:sz w:val="22"/>
          <w:szCs w:val="22"/>
          <w:highlight w:val="none"/>
        </w:rPr>
      </w:pPr>
      <w:r>
        <w:rPr>
          <w:rFonts w:hint="eastAsia" w:ascii="宋体" w:hAnsi="宋体"/>
          <w:color w:val="auto"/>
          <w:sz w:val="22"/>
          <w:szCs w:val="22"/>
          <w:highlight w:val="none"/>
        </w:rPr>
        <w:t>磋商过程中符合竞争要求的供应商或者最终报价未超过采购预算的供应商仅有1家，本项目流标，应重新组织采购流程。</w:t>
      </w:r>
    </w:p>
    <w:p>
      <w:pPr>
        <w:spacing w:line="460" w:lineRule="exact"/>
        <w:rPr>
          <w:rFonts w:ascii="宋体" w:hAnsi="宋体"/>
          <w:color w:val="auto"/>
          <w:sz w:val="22"/>
          <w:szCs w:val="22"/>
          <w:highlight w:val="none"/>
        </w:rPr>
      </w:pPr>
      <w:r>
        <w:rPr>
          <w:rFonts w:hint="eastAsia" w:ascii="宋体" w:hAnsi="宋体"/>
          <w:color w:val="auto"/>
          <w:sz w:val="22"/>
          <w:szCs w:val="22"/>
          <w:highlight w:val="none"/>
        </w:rPr>
        <w:t>33.采购人、采购代理机构及磋商小组不向落选的供应商解释落选原因，也不公布评审磋商过程中的相关细节，不退还磋商响应文件。</w:t>
      </w:r>
    </w:p>
    <w:p>
      <w:pPr>
        <w:tabs>
          <w:tab w:val="left" w:pos="1365"/>
        </w:tabs>
        <w:spacing w:line="460" w:lineRule="exact"/>
        <w:ind w:left="550" w:hanging="550" w:hangingChars="250"/>
        <w:rPr>
          <w:rFonts w:ascii="宋体" w:hAnsi="宋体" w:cs="新宋体"/>
          <w:bCs/>
          <w:color w:val="auto"/>
          <w:sz w:val="22"/>
          <w:szCs w:val="22"/>
          <w:highlight w:val="none"/>
        </w:rPr>
      </w:pPr>
      <w:r>
        <w:rPr>
          <w:rFonts w:hint="eastAsia" w:ascii="宋体" w:hAnsi="宋体" w:cs="新宋体"/>
          <w:color w:val="auto"/>
          <w:kern w:val="0"/>
          <w:sz w:val="22"/>
          <w:szCs w:val="22"/>
          <w:highlight w:val="none"/>
        </w:rPr>
        <w:t>34. 评标细则详见“磋商原则及方法”</w:t>
      </w:r>
      <w:r>
        <w:rPr>
          <w:rFonts w:hint="eastAsia" w:ascii="宋体" w:hAnsi="宋体" w:cs="新宋体"/>
          <w:bCs/>
          <w:color w:val="auto"/>
          <w:sz w:val="22"/>
          <w:szCs w:val="22"/>
          <w:highlight w:val="none"/>
        </w:rPr>
        <w:t>。</w:t>
      </w:r>
    </w:p>
    <w:p>
      <w:pPr>
        <w:spacing w:line="460" w:lineRule="exact"/>
        <w:rPr>
          <w:rFonts w:ascii="宋体" w:hAnsi="宋体" w:cs="新宋体"/>
          <w:b/>
          <w:color w:val="auto"/>
          <w:kern w:val="0"/>
          <w:sz w:val="22"/>
          <w:szCs w:val="22"/>
          <w:highlight w:val="none"/>
        </w:rPr>
      </w:pPr>
      <w:r>
        <w:rPr>
          <w:rFonts w:hint="eastAsia" w:ascii="宋体" w:hAnsi="宋体" w:cs="新宋体"/>
          <w:b/>
          <w:color w:val="auto"/>
          <w:kern w:val="0"/>
          <w:sz w:val="22"/>
          <w:szCs w:val="22"/>
          <w:highlight w:val="none"/>
        </w:rPr>
        <w:t>35. 可中止电子交易活动的情形</w:t>
      </w:r>
    </w:p>
    <w:p>
      <w:pPr>
        <w:spacing w:line="460" w:lineRule="exact"/>
        <w:rPr>
          <w:rFonts w:ascii="宋体" w:hAnsi="宋体" w:cs="新宋体"/>
          <w:color w:val="auto"/>
          <w:kern w:val="0"/>
          <w:sz w:val="22"/>
          <w:szCs w:val="22"/>
          <w:highlight w:val="none"/>
        </w:rPr>
      </w:pPr>
      <w:r>
        <w:rPr>
          <w:rFonts w:hint="eastAsia" w:ascii="宋体" w:hAnsi="宋体" w:cs="新宋体"/>
          <w:color w:val="auto"/>
          <w:kern w:val="0"/>
          <w:sz w:val="22"/>
          <w:szCs w:val="22"/>
          <w:highlight w:val="none"/>
        </w:rPr>
        <w:t>35.1采购过程中出现以下情形，导致电子交易平台无法正常运行，或者无法保证电子交易的公平、公正和安全时，采购组织机构可中止电子交易活动：</w:t>
      </w:r>
    </w:p>
    <w:p>
      <w:pPr>
        <w:numPr>
          <w:ilvl w:val="2"/>
          <w:numId w:val="14"/>
        </w:numPr>
        <w:tabs>
          <w:tab w:val="left" w:pos="993"/>
        </w:tabs>
        <w:spacing w:line="460" w:lineRule="exact"/>
        <w:ind w:left="993" w:hanging="426"/>
        <w:rPr>
          <w:rFonts w:ascii="宋体" w:hAnsi="宋体" w:cs="新宋体"/>
          <w:color w:val="auto"/>
          <w:kern w:val="0"/>
          <w:sz w:val="22"/>
          <w:szCs w:val="22"/>
          <w:highlight w:val="none"/>
        </w:rPr>
      </w:pPr>
      <w:r>
        <w:rPr>
          <w:rFonts w:hint="eastAsia" w:ascii="宋体" w:hAnsi="宋体" w:cs="新宋体"/>
          <w:color w:val="auto"/>
          <w:kern w:val="0"/>
          <w:sz w:val="22"/>
          <w:szCs w:val="22"/>
          <w:highlight w:val="none"/>
        </w:rPr>
        <w:t>电子交易平台发生故障而无法登录访问的；</w:t>
      </w:r>
    </w:p>
    <w:p>
      <w:pPr>
        <w:numPr>
          <w:ilvl w:val="2"/>
          <w:numId w:val="14"/>
        </w:numPr>
        <w:tabs>
          <w:tab w:val="left" w:pos="993"/>
        </w:tabs>
        <w:spacing w:line="460" w:lineRule="exact"/>
        <w:ind w:left="993" w:hanging="426"/>
        <w:rPr>
          <w:rFonts w:ascii="宋体" w:hAnsi="宋体" w:cs="新宋体"/>
          <w:color w:val="auto"/>
          <w:kern w:val="0"/>
          <w:sz w:val="22"/>
          <w:szCs w:val="22"/>
          <w:highlight w:val="none"/>
        </w:rPr>
      </w:pPr>
      <w:r>
        <w:rPr>
          <w:rFonts w:hint="eastAsia" w:ascii="宋体" w:hAnsi="宋体" w:cs="新宋体"/>
          <w:color w:val="auto"/>
          <w:kern w:val="0"/>
          <w:sz w:val="22"/>
          <w:szCs w:val="22"/>
          <w:highlight w:val="none"/>
        </w:rPr>
        <w:t>电子交易平台应用或数据库出现错误，不能进行正常操作的；</w:t>
      </w:r>
    </w:p>
    <w:p>
      <w:pPr>
        <w:numPr>
          <w:ilvl w:val="2"/>
          <w:numId w:val="14"/>
        </w:numPr>
        <w:tabs>
          <w:tab w:val="left" w:pos="993"/>
        </w:tabs>
        <w:spacing w:line="460" w:lineRule="exact"/>
        <w:ind w:left="993" w:hanging="426"/>
        <w:rPr>
          <w:rFonts w:ascii="宋体" w:hAnsi="宋体" w:cs="新宋体"/>
          <w:color w:val="auto"/>
          <w:kern w:val="0"/>
          <w:sz w:val="22"/>
          <w:szCs w:val="22"/>
          <w:highlight w:val="none"/>
        </w:rPr>
      </w:pPr>
      <w:r>
        <w:rPr>
          <w:rFonts w:hint="eastAsia" w:ascii="宋体" w:hAnsi="宋体" w:cs="新宋体"/>
          <w:color w:val="auto"/>
          <w:kern w:val="0"/>
          <w:sz w:val="22"/>
          <w:szCs w:val="22"/>
          <w:highlight w:val="none"/>
        </w:rPr>
        <w:t>电子交易平台发现严重安全漏洞，有潜在泄密危险的；</w:t>
      </w:r>
    </w:p>
    <w:p>
      <w:pPr>
        <w:numPr>
          <w:ilvl w:val="2"/>
          <w:numId w:val="14"/>
        </w:numPr>
        <w:tabs>
          <w:tab w:val="left" w:pos="993"/>
        </w:tabs>
        <w:spacing w:line="460" w:lineRule="exact"/>
        <w:ind w:left="993" w:hanging="426"/>
        <w:rPr>
          <w:rFonts w:ascii="宋体" w:hAnsi="宋体" w:cs="新宋体"/>
          <w:color w:val="auto"/>
          <w:kern w:val="0"/>
          <w:sz w:val="22"/>
          <w:szCs w:val="22"/>
          <w:highlight w:val="none"/>
        </w:rPr>
      </w:pPr>
      <w:r>
        <w:rPr>
          <w:rFonts w:hint="eastAsia" w:ascii="宋体" w:hAnsi="宋体" w:cs="新宋体"/>
          <w:color w:val="auto"/>
          <w:kern w:val="0"/>
          <w:sz w:val="22"/>
          <w:szCs w:val="22"/>
          <w:highlight w:val="none"/>
        </w:rPr>
        <w:t>病毒发作导致不能进行正常操作的；</w:t>
      </w:r>
    </w:p>
    <w:p>
      <w:pPr>
        <w:numPr>
          <w:ilvl w:val="2"/>
          <w:numId w:val="14"/>
        </w:numPr>
        <w:tabs>
          <w:tab w:val="left" w:pos="993"/>
        </w:tabs>
        <w:spacing w:line="460" w:lineRule="exact"/>
        <w:ind w:left="993" w:hanging="426"/>
        <w:rPr>
          <w:rFonts w:ascii="宋体" w:hAnsi="宋体" w:cs="新宋体"/>
          <w:color w:val="auto"/>
          <w:kern w:val="0"/>
          <w:sz w:val="22"/>
          <w:szCs w:val="22"/>
          <w:highlight w:val="none"/>
        </w:rPr>
      </w:pPr>
      <w:r>
        <w:rPr>
          <w:rFonts w:hint="eastAsia" w:ascii="宋体" w:hAnsi="宋体" w:cs="新宋体"/>
          <w:color w:val="auto"/>
          <w:kern w:val="0"/>
          <w:sz w:val="22"/>
          <w:szCs w:val="22"/>
          <w:highlight w:val="none"/>
        </w:rPr>
        <w:t>其他无法保证电子交易的公平、公正和安全的情况。</w:t>
      </w:r>
    </w:p>
    <w:p>
      <w:pPr>
        <w:spacing w:line="460" w:lineRule="exact"/>
        <w:rPr>
          <w:rFonts w:ascii="宋体" w:hAnsi="宋体"/>
          <w:color w:val="auto"/>
          <w:sz w:val="22"/>
          <w:szCs w:val="22"/>
          <w:highlight w:val="none"/>
        </w:rPr>
      </w:pPr>
      <w:r>
        <w:rPr>
          <w:rFonts w:hint="eastAsia" w:ascii="宋体" w:hAnsi="宋体" w:cs="新宋体"/>
          <w:color w:val="auto"/>
          <w:kern w:val="0"/>
          <w:sz w:val="22"/>
          <w:szCs w:val="22"/>
          <w:highlight w:val="none"/>
        </w:rPr>
        <w:t>35.2出现前款规定情形，不影响采购公平、公正性的，采购组织机构可以待上述情形消除后继续组织电子交易活动；影响或可能影响采购公平、公正性的，应当重新采购。</w:t>
      </w:r>
    </w:p>
    <w:p>
      <w:pPr>
        <w:spacing w:before="100" w:beforeAutospacing="1" w:after="100" w:afterAutospacing="1" w:line="440" w:lineRule="exact"/>
        <w:jc w:val="center"/>
        <w:outlineLvl w:val="1"/>
        <w:rPr>
          <w:rFonts w:ascii="宋体" w:hAnsi="宋体"/>
          <w:b/>
          <w:bCs/>
          <w:color w:val="auto"/>
          <w:sz w:val="22"/>
          <w:szCs w:val="22"/>
          <w:highlight w:val="none"/>
        </w:rPr>
      </w:pPr>
      <w:bookmarkStart w:id="38" w:name="_Toc5727"/>
      <w:bookmarkStart w:id="39" w:name="_Toc30604"/>
      <w:bookmarkStart w:id="40" w:name="_Toc38618588"/>
      <w:bookmarkStart w:id="41" w:name="_Toc57626730"/>
      <w:r>
        <w:rPr>
          <w:rFonts w:hint="eastAsia" w:ascii="宋体" w:hAnsi="宋体"/>
          <w:b/>
          <w:bCs/>
          <w:color w:val="auto"/>
          <w:sz w:val="22"/>
          <w:szCs w:val="22"/>
          <w:highlight w:val="none"/>
        </w:rPr>
        <w:t>七   定标及授予合同</w:t>
      </w:r>
      <w:bookmarkEnd w:id="38"/>
      <w:bookmarkEnd w:id="39"/>
      <w:bookmarkEnd w:id="40"/>
      <w:bookmarkEnd w:id="41"/>
    </w:p>
    <w:p>
      <w:pPr>
        <w:tabs>
          <w:tab w:val="left" w:pos="540"/>
        </w:tabs>
        <w:spacing w:line="440" w:lineRule="exact"/>
        <w:rPr>
          <w:rFonts w:ascii="宋体" w:hAnsi="宋体" w:cs="新宋体"/>
          <w:b/>
          <w:color w:val="auto"/>
          <w:sz w:val="22"/>
          <w:szCs w:val="22"/>
          <w:highlight w:val="none"/>
        </w:rPr>
      </w:pPr>
      <w:r>
        <w:rPr>
          <w:rFonts w:hint="eastAsia" w:ascii="宋体" w:hAnsi="宋体" w:cs="新宋体"/>
          <w:b/>
          <w:color w:val="auto"/>
          <w:sz w:val="22"/>
          <w:szCs w:val="22"/>
          <w:highlight w:val="none"/>
        </w:rPr>
        <w:t>36. 确定成交供应商</w:t>
      </w:r>
    </w:p>
    <w:p>
      <w:pPr>
        <w:tabs>
          <w:tab w:val="left" w:pos="540"/>
        </w:tabs>
        <w:spacing w:line="440" w:lineRule="exact"/>
        <w:rPr>
          <w:rFonts w:ascii="宋体" w:hAnsi="宋体" w:cs="新宋体"/>
          <w:color w:val="auto"/>
          <w:sz w:val="22"/>
          <w:szCs w:val="22"/>
          <w:highlight w:val="none"/>
        </w:rPr>
      </w:pPr>
      <w:r>
        <w:rPr>
          <w:rFonts w:hint="eastAsia" w:ascii="宋体" w:hAnsi="宋体" w:cs="新宋体"/>
          <w:color w:val="auto"/>
          <w:sz w:val="22"/>
          <w:szCs w:val="22"/>
          <w:highlight w:val="none"/>
        </w:rPr>
        <w:t>36.1采购人自收到评标报告之日起5个工作日内，在评标报告确定的成交候选供应商名单中按顺序确定成交供应商。</w:t>
      </w:r>
    </w:p>
    <w:p>
      <w:pPr>
        <w:tabs>
          <w:tab w:val="left" w:pos="540"/>
        </w:tabs>
        <w:spacing w:line="440" w:lineRule="exact"/>
        <w:rPr>
          <w:rFonts w:ascii="宋体" w:hAnsi="宋体" w:cs="新宋体"/>
          <w:color w:val="auto"/>
          <w:sz w:val="22"/>
          <w:szCs w:val="22"/>
          <w:highlight w:val="none"/>
        </w:rPr>
      </w:pPr>
      <w:r>
        <w:rPr>
          <w:rFonts w:hint="eastAsia" w:ascii="宋体" w:hAnsi="宋体" w:cs="新宋体"/>
          <w:color w:val="auto"/>
          <w:sz w:val="22"/>
          <w:szCs w:val="22"/>
          <w:highlight w:val="none"/>
        </w:rPr>
        <w:t>36.2成交供应商确定之日起2个工作日内，在“政采云”平台上公示成交结果，采购结果公示期限为1个工作日。</w:t>
      </w:r>
    </w:p>
    <w:p>
      <w:pPr>
        <w:tabs>
          <w:tab w:val="left" w:pos="540"/>
        </w:tabs>
        <w:spacing w:line="440" w:lineRule="exact"/>
        <w:rPr>
          <w:rFonts w:ascii="宋体" w:hAnsi="宋体" w:cs="新宋体"/>
          <w:color w:val="auto"/>
          <w:sz w:val="22"/>
          <w:szCs w:val="22"/>
          <w:highlight w:val="none"/>
        </w:rPr>
      </w:pPr>
      <w:r>
        <w:rPr>
          <w:rFonts w:hint="eastAsia" w:ascii="宋体" w:hAnsi="宋体" w:cs="新宋体"/>
          <w:color w:val="auto"/>
          <w:sz w:val="22"/>
          <w:szCs w:val="22"/>
          <w:highlight w:val="none"/>
        </w:rPr>
        <w:t>36.3在公告成交结果的同时，采购人向成交供应商发出成交通知书。</w:t>
      </w:r>
    </w:p>
    <w:p>
      <w:pPr>
        <w:tabs>
          <w:tab w:val="left" w:pos="540"/>
        </w:tabs>
        <w:spacing w:line="440" w:lineRule="exact"/>
        <w:rPr>
          <w:rFonts w:ascii="宋体" w:hAnsi="宋体" w:cs="新宋体"/>
          <w:color w:val="auto"/>
          <w:sz w:val="22"/>
          <w:szCs w:val="22"/>
          <w:highlight w:val="none"/>
        </w:rPr>
      </w:pPr>
      <w:r>
        <w:rPr>
          <w:rFonts w:hint="eastAsia" w:ascii="宋体" w:hAnsi="宋体" w:cs="新宋体"/>
          <w:color w:val="auto"/>
          <w:sz w:val="22"/>
          <w:szCs w:val="22"/>
          <w:highlight w:val="none"/>
        </w:rPr>
        <w:t>36.4各供应商对评标结果如有异议，可在成交结果公示之日起7个工作日内以书面形式向采购人进行署名投诉或提出质疑，但需对投诉或质疑内容的真实性承担法律责任。</w:t>
      </w:r>
    </w:p>
    <w:p>
      <w:pPr>
        <w:tabs>
          <w:tab w:val="left" w:pos="540"/>
        </w:tabs>
        <w:spacing w:line="440" w:lineRule="exact"/>
        <w:rPr>
          <w:rFonts w:ascii="宋体" w:hAnsi="宋体" w:cs="新宋体"/>
          <w:b/>
          <w:color w:val="auto"/>
          <w:sz w:val="22"/>
          <w:szCs w:val="22"/>
          <w:highlight w:val="none"/>
        </w:rPr>
      </w:pPr>
      <w:r>
        <w:rPr>
          <w:rFonts w:hint="eastAsia" w:ascii="宋体" w:hAnsi="宋体" w:cs="新宋体"/>
          <w:b/>
          <w:color w:val="auto"/>
          <w:sz w:val="22"/>
          <w:szCs w:val="22"/>
          <w:highlight w:val="none"/>
        </w:rPr>
        <w:t>37. 签订合同</w:t>
      </w:r>
    </w:p>
    <w:p>
      <w:pPr>
        <w:tabs>
          <w:tab w:val="left" w:pos="540"/>
        </w:tabs>
        <w:spacing w:line="440" w:lineRule="exact"/>
        <w:rPr>
          <w:rFonts w:ascii="宋体" w:hAnsi="宋体" w:cs="新宋体"/>
          <w:color w:val="auto"/>
          <w:sz w:val="22"/>
          <w:szCs w:val="22"/>
          <w:highlight w:val="none"/>
        </w:rPr>
      </w:pPr>
      <w:r>
        <w:rPr>
          <w:rFonts w:hint="eastAsia" w:ascii="宋体" w:hAnsi="宋体" w:cs="新宋体"/>
          <w:color w:val="auto"/>
          <w:sz w:val="22"/>
          <w:szCs w:val="22"/>
          <w:highlight w:val="none"/>
        </w:rPr>
        <w:t>37.1公示期结束后，成交供应商须在5个工作日内主动联系采购人或采购机构领取成交通知书。成交供应商应当在成交通知书发出之日起30日内与采购人签订合同。成交供应商未经采购人许可，在规定时间内未到采购人处与采购人签订合同，则视为拒签合同。</w:t>
      </w:r>
    </w:p>
    <w:p>
      <w:pPr>
        <w:tabs>
          <w:tab w:val="left" w:pos="540"/>
        </w:tabs>
        <w:spacing w:line="440" w:lineRule="exact"/>
        <w:rPr>
          <w:rFonts w:ascii="宋体" w:hAnsi="宋体" w:cs="新宋体"/>
          <w:color w:val="auto"/>
          <w:sz w:val="22"/>
          <w:szCs w:val="22"/>
          <w:highlight w:val="none"/>
        </w:rPr>
      </w:pPr>
      <w:r>
        <w:rPr>
          <w:rFonts w:hint="eastAsia" w:ascii="宋体" w:hAnsi="宋体" w:cs="新宋体"/>
          <w:color w:val="auto"/>
          <w:sz w:val="22"/>
          <w:szCs w:val="22"/>
          <w:highlight w:val="none"/>
        </w:rPr>
        <w:t>37.2采购文件、成交供应商的磋商响应文件及投标修改文件、评标过程中有关澄清文件及经双方签字的询标纪要（承诺）和成交通知书均作为合同附件。</w:t>
      </w:r>
    </w:p>
    <w:p>
      <w:pPr>
        <w:tabs>
          <w:tab w:val="left" w:pos="540"/>
        </w:tabs>
        <w:spacing w:line="440" w:lineRule="exact"/>
        <w:rPr>
          <w:rFonts w:ascii="宋体" w:hAnsi="宋体" w:cs="新宋体"/>
          <w:color w:val="auto"/>
          <w:sz w:val="22"/>
          <w:szCs w:val="22"/>
          <w:highlight w:val="none"/>
        </w:rPr>
      </w:pPr>
      <w:r>
        <w:rPr>
          <w:rFonts w:hint="eastAsia" w:ascii="宋体" w:hAnsi="宋体" w:cs="新宋体"/>
          <w:color w:val="auto"/>
          <w:sz w:val="22"/>
          <w:szCs w:val="22"/>
          <w:highlight w:val="none"/>
        </w:rPr>
        <w:t>37.3拒签合同的责任</w:t>
      </w:r>
    </w:p>
    <w:p>
      <w:pPr>
        <w:tabs>
          <w:tab w:val="left" w:pos="540"/>
        </w:tabs>
        <w:spacing w:line="440" w:lineRule="exact"/>
        <w:rPr>
          <w:rFonts w:ascii="宋体" w:hAnsi="宋体"/>
          <w:color w:val="auto"/>
          <w:sz w:val="22"/>
          <w:szCs w:val="22"/>
          <w:highlight w:val="none"/>
        </w:rPr>
      </w:pPr>
      <w:r>
        <w:rPr>
          <w:rFonts w:hint="eastAsia" w:ascii="宋体" w:hAnsi="宋体" w:cs="新宋体"/>
          <w:color w:val="auto"/>
          <w:sz w:val="22"/>
          <w:szCs w:val="22"/>
          <w:highlight w:val="none"/>
        </w:rPr>
        <w:t>37.4成交供应商在规定时间内（30日历天）借故否认已经承诺的条件、拒签合同，以投标违约处理，并赔偿采购人由此造成的直接经济损失；采购人重新组织采购的，所需费用由原成交供应商承担。</w:t>
      </w:r>
    </w:p>
    <w:p>
      <w:pPr>
        <w:spacing w:line="460" w:lineRule="exact"/>
        <w:rPr>
          <w:rFonts w:ascii="宋体" w:hAnsi="宋体"/>
          <w:color w:val="auto"/>
          <w:sz w:val="22"/>
          <w:szCs w:val="22"/>
          <w:highlight w:val="none"/>
        </w:rPr>
      </w:pPr>
      <w:r>
        <w:rPr>
          <w:rFonts w:hint="eastAsia" w:ascii="宋体" w:hAnsi="宋体"/>
          <w:color w:val="auto"/>
          <w:sz w:val="22"/>
          <w:szCs w:val="22"/>
          <w:highlight w:val="none"/>
        </w:rPr>
        <w:t>38.成交供应商有以下情况的，则采购人有权决定是否将其成交资格转交成交备选供应商或重新组织项目采购流程：</w:t>
      </w:r>
    </w:p>
    <w:p>
      <w:pPr>
        <w:numPr>
          <w:ilvl w:val="0"/>
          <w:numId w:val="15"/>
        </w:numPr>
        <w:spacing w:line="440" w:lineRule="exact"/>
        <w:ind w:firstLine="418" w:firstLineChars="190"/>
        <w:rPr>
          <w:rFonts w:ascii="宋体" w:hAnsi="宋体"/>
          <w:bCs/>
          <w:color w:val="auto"/>
          <w:sz w:val="22"/>
          <w:szCs w:val="22"/>
          <w:highlight w:val="none"/>
          <w:lang w:val="zh-CN"/>
        </w:rPr>
      </w:pPr>
      <w:r>
        <w:rPr>
          <w:rFonts w:hint="eastAsia" w:ascii="宋体" w:hAnsi="宋体"/>
          <w:bCs/>
          <w:color w:val="auto"/>
          <w:sz w:val="22"/>
          <w:szCs w:val="22"/>
          <w:highlight w:val="none"/>
          <w:lang w:val="zh-CN"/>
        </w:rPr>
        <w:t>成交供应商主动放弃成交资格；</w:t>
      </w:r>
    </w:p>
    <w:p>
      <w:pPr>
        <w:numPr>
          <w:ilvl w:val="0"/>
          <w:numId w:val="15"/>
        </w:numPr>
        <w:spacing w:line="440" w:lineRule="exact"/>
        <w:ind w:firstLine="418" w:firstLineChars="190"/>
        <w:rPr>
          <w:rFonts w:ascii="宋体" w:hAnsi="宋体"/>
          <w:bCs/>
          <w:color w:val="auto"/>
          <w:sz w:val="22"/>
          <w:szCs w:val="22"/>
          <w:highlight w:val="none"/>
          <w:lang w:val="zh-CN"/>
        </w:rPr>
      </w:pPr>
      <w:r>
        <w:rPr>
          <w:rFonts w:hint="eastAsia" w:ascii="宋体" w:hAnsi="宋体"/>
          <w:bCs/>
          <w:color w:val="auto"/>
          <w:sz w:val="22"/>
          <w:szCs w:val="22"/>
          <w:highlight w:val="none"/>
          <w:lang w:val="zh-CN"/>
        </w:rPr>
        <w:t>成交供应商因不可抗力提出不能履行合同；</w:t>
      </w:r>
    </w:p>
    <w:p>
      <w:pPr>
        <w:numPr>
          <w:ilvl w:val="0"/>
          <w:numId w:val="15"/>
        </w:numPr>
        <w:spacing w:line="440" w:lineRule="exact"/>
        <w:ind w:firstLine="418" w:firstLineChars="190"/>
        <w:rPr>
          <w:rFonts w:ascii="宋体" w:hAnsi="宋体"/>
          <w:bCs/>
          <w:color w:val="auto"/>
          <w:sz w:val="22"/>
          <w:szCs w:val="22"/>
          <w:highlight w:val="none"/>
          <w:lang w:val="zh-CN"/>
        </w:rPr>
      </w:pPr>
      <w:r>
        <w:rPr>
          <w:rFonts w:hint="eastAsia" w:ascii="宋体" w:hAnsi="宋体"/>
          <w:bCs/>
          <w:color w:val="auto"/>
          <w:sz w:val="22"/>
          <w:szCs w:val="22"/>
          <w:highlight w:val="none"/>
          <w:lang w:val="zh-CN"/>
        </w:rPr>
        <w:t>成交供应商未能在规定时间内与采购人签订合同；</w:t>
      </w:r>
    </w:p>
    <w:p>
      <w:pPr>
        <w:numPr>
          <w:ilvl w:val="0"/>
          <w:numId w:val="15"/>
        </w:numPr>
        <w:spacing w:line="440" w:lineRule="exact"/>
        <w:ind w:firstLine="418" w:firstLineChars="190"/>
        <w:rPr>
          <w:rFonts w:ascii="宋体" w:hAnsi="宋体"/>
          <w:bCs/>
          <w:color w:val="auto"/>
          <w:sz w:val="22"/>
          <w:szCs w:val="22"/>
          <w:highlight w:val="none"/>
        </w:rPr>
      </w:pPr>
      <w:r>
        <w:rPr>
          <w:rFonts w:hint="eastAsia" w:ascii="宋体" w:hAnsi="宋体"/>
          <w:bCs/>
          <w:color w:val="auto"/>
          <w:sz w:val="22"/>
          <w:szCs w:val="22"/>
          <w:highlight w:val="none"/>
          <w:lang w:val="zh-CN"/>
        </w:rPr>
        <w:t>经质疑，采购人审查后，成交供应商确实在本次采购活动中存在违法违规行为或其他原因使质疑成立的。</w:t>
      </w:r>
    </w:p>
    <w:p>
      <w:pPr>
        <w:spacing w:line="460" w:lineRule="exact"/>
        <w:rPr>
          <w:rFonts w:ascii="宋体" w:hAnsi="宋体"/>
          <w:color w:val="auto"/>
          <w:sz w:val="22"/>
          <w:szCs w:val="22"/>
          <w:highlight w:val="none"/>
        </w:rPr>
      </w:pPr>
      <w:r>
        <w:rPr>
          <w:rFonts w:hint="eastAsia" w:ascii="宋体" w:hAnsi="宋体"/>
          <w:color w:val="auto"/>
          <w:sz w:val="22"/>
          <w:szCs w:val="22"/>
          <w:highlight w:val="none"/>
        </w:rPr>
        <w:t>39.未详尽事宜，遵照有关法律法规及规范性文件的规定执行。</w:t>
      </w:r>
    </w:p>
    <w:p>
      <w:pPr>
        <w:rPr>
          <w:rFonts w:ascii="新宋体" w:hAnsi="新宋体" w:eastAsia="新宋体"/>
          <w:color w:val="auto"/>
          <w:sz w:val="22"/>
          <w:szCs w:val="22"/>
          <w:highlight w:val="none"/>
        </w:rPr>
      </w:pPr>
    </w:p>
    <w:p>
      <w:pPr>
        <w:pStyle w:val="21"/>
        <w:rPr>
          <w:color w:val="auto"/>
          <w:highlight w:val="none"/>
        </w:rPr>
      </w:pPr>
    </w:p>
    <w:p>
      <w:pPr>
        <w:jc w:val="center"/>
        <w:rPr>
          <w:rFonts w:ascii="新宋体" w:hAnsi="新宋体" w:eastAsia="新宋体" w:cs="宋体"/>
          <w:b/>
          <w:color w:val="auto"/>
          <w:sz w:val="24"/>
          <w:szCs w:val="24"/>
          <w:highlight w:val="none"/>
        </w:rPr>
      </w:pPr>
      <w:r>
        <w:rPr>
          <w:rFonts w:hint="eastAsia" w:ascii="新宋体" w:hAnsi="新宋体" w:eastAsia="新宋体" w:cs="宋体"/>
          <w:b/>
          <w:color w:val="auto"/>
          <w:sz w:val="24"/>
          <w:highlight w:val="none"/>
        </w:rPr>
        <w:br w:type="page"/>
      </w:r>
      <w:r>
        <w:rPr>
          <w:rFonts w:hint="eastAsia" w:ascii="新宋体" w:hAnsi="新宋体" w:eastAsia="新宋体" w:cs="宋体"/>
          <w:b/>
          <w:color w:val="auto"/>
          <w:sz w:val="24"/>
          <w:szCs w:val="24"/>
          <w:highlight w:val="none"/>
        </w:rPr>
        <w:t>政府采购活动现场确认声明书</w:t>
      </w:r>
    </w:p>
    <w:p>
      <w:pPr>
        <w:pStyle w:val="406"/>
        <w:spacing w:line="500" w:lineRule="exact"/>
        <w:ind w:firstLine="442"/>
        <w:rPr>
          <w:rFonts w:ascii="新宋体" w:hAnsi="新宋体" w:eastAsia="新宋体" w:cs="宋体"/>
          <w:b/>
          <w:color w:val="auto"/>
          <w:sz w:val="22"/>
          <w:szCs w:val="22"/>
          <w:highlight w:val="none"/>
        </w:rPr>
      </w:pPr>
      <w:r>
        <w:rPr>
          <w:rFonts w:hint="eastAsia" w:ascii="新宋体" w:hAnsi="新宋体" w:eastAsia="新宋体" w:cs="宋体"/>
          <w:b/>
          <w:bCs/>
          <w:color w:val="auto"/>
          <w:sz w:val="22"/>
          <w:szCs w:val="22"/>
          <w:highlight w:val="none"/>
        </w:rPr>
        <w:t>温州市智信招标代理有限公司</w:t>
      </w:r>
      <w:r>
        <w:rPr>
          <w:rFonts w:hint="eastAsia" w:ascii="新宋体" w:hAnsi="新宋体" w:eastAsia="新宋体" w:cs="宋体"/>
          <w:b/>
          <w:color w:val="auto"/>
          <w:kern w:val="0"/>
          <w:sz w:val="22"/>
          <w:szCs w:val="22"/>
          <w:highlight w:val="none"/>
        </w:rPr>
        <w:t>：</w:t>
      </w:r>
    </w:p>
    <w:p>
      <w:pPr>
        <w:pStyle w:val="406"/>
        <w:spacing w:line="480" w:lineRule="exact"/>
        <w:ind w:firstLine="464"/>
        <w:rPr>
          <w:rFonts w:ascii="新宋体" w:hAnsi="新宋体" w:eastAsia="新宋体" w:cs="宋体"/>
          <w:color w:val="auto"/>
          <w:spacing w:val="6"/>
          <w:sz w:val="22"/>
          <w:szCs w:val="22"/>
          <w:highlight w:val="none"/>
        </w:rPr>
      </w:pPr>
      <w:r>
        <w:rPr>
          <w:rFonts w:hint="eastAsia" w:ascii="新宋体" w:hAnsi="新宋体" w:eastAsia="新宋体" w:cs="宋体"/>
          <w:color w:val="auto"/>
          <w:spacing w:val="6"/>
          <w:sz w:val="22"/>
          <w:szCs w:val="22"/>
          <w:highlight w:val="none"/>
        </w:rPr>
        <w:t>本人经由</w:t>
      </w:r>
      <w:r>
        <w:rPr>
          <w:rFonts w:hint="eastAsia" w:ascii="新宋体" w:hAnsi="新宋体" w:eastAsia="新宋体" w:cs="宋体"/>
          <w:color w:val="auto"/>
          <w:spacing w:val="6"/>
          <w:sz w:val="22"/>
          <w:szCs w:val="22"/>
          <w:highlight w:val="none"/>
          <w:u w:val="single"/>
        </w:rPr>
        <w:t xml:space="preserve">                  （单位）</w:t>
      </w:r>
      <w:r>
        <w:rPr>
          <w:rFonts w:hint="eastAsia" w:ascii="新宋体" w:hAnsi="新宋体" w:eastAsia="新宋体" w:cs="宋体"/>
          <w:color w:val="auto"/>
          <w:spacing w:val="6"/>
          <w:sz w:val="22"/>
          <w:szCs w:val="22"/>
          <w:highlight w:val="none"/>
        </w:rPr>
        <w:t>负责人</w:t>
      </w:r>
      <w:r>
        <w:rPr>
          <w:rFonts w:hint="eastAsia" w:ascii="新宋体" w:hAnsi="新宋体" w:eastAsia="新宋体" w:cs="宋体"/>
          <w:color w:val="auto"/>
          <w:spacing w:val="6"/>
          <w:sz w:val="22"/>
          <w:szCs w:val="22"/>
          <w:highlight w:val="none"/>
          <w:u w:val="single"/>
        </w:rPr>
        <w:t xml:space="preserve">        （姓名）</w:t>
      </w:r>
      <w:r>
        <w:rPr>
          <w:rFonts w:hint="eastAsia" w:ascii="新宋体" w:hAnsi="新宋体" w:eastAsia="新宋体" w:cs="宋体"/>
          <w:color w:val="auto"/>
          <w:spacing w:val="6"/>
          <w:sz w:val="22"/>
          <w:szCs w:val="22"/>
          <w:highlight w:val="none"/>
        </w:rPr>
        <w:t>合法授权参加项目</w:t>
      </w:r>
      <w:r>
        <w:rPr>
          <w:rFonts w:hint="eastAsia" w:ascii="新宋体" w:hAnsi="新宋体" w:eastAsia="新宋体" w:cs="宋体"/>
          <w:color w:val="auto"/>
          <w:spacing w:val="6"/>
          <w:sz w:val="22"/>
          <w:szCs w:val="22"/>
          <w:highlight w:val="none"/>
          <w:u w:val="single"/>
        </w:rPr>
        <w:t xml:space="preserve">                    </w:t>
      </w:r>
      <w:r>
        <w:rPr>
          <w:rFonts w:hint="eastAsia" w:ascii="新宋体" w:hAnsi="新宋体" w:eastAsia="新宋体" w:cs="宋体"/>
          <w:color w:val="auto"/>
          <w:spacing w:val="6"/>
          <w:sz w:val="22"/>
          <w:szCs w:val="22"/>
          <w:highlight w:val="none"/>
        </w:rPr>
        <w:t>）（编号：</w:t>
      </w:r>
      <w:r>
        <w:rPr>
          <w:rFonts w:hint="eastAsia" w:ascii="新宋体" w:hAnsi="新宋体" w:eastAsia="新宋体" w:cs="宋体"/>
          <w:color w:val="auto"/>
          <w:spacing w:val="6"/>
          <w:sz w:val="22"/>
          <w:szCs w:val="22"/>
          <w:highlight w:val="none"/>
          <w:u w:val="single"/>
        </w:rPr>
        <w:t xml:space="preserve">             </w:t>
      </w:r>
      <w:r>
        <w:rPr>
          <w:rFonts w:hint="eastAsia" w:ascii="新宋体" w:hAnsi="新宋体" w:eastAsia="新宋体" w:cs="宋体"/>
          <w:color w:val="auto"/>
          <w:spacing w:val="6"/>
          <w:sz w:val="22"/>
          <w:szCs w:val="22"/>
          <w:highlight w:val="none"/>
        </w:rPr>
        <w:t xml:space="preserve">）政府采购活动，经与本单位法人代表（负责人）联系确认，现就有关公平竞争事项郑重声明如下： </w:t>
      </w:r>
    </w:p>
    <w:p>
      <w:pPr>
        <w:pStyle w:val="405"/>
        <w:widowControl/>
        <w:numPr>
          <w:ilvl w:val="0"/>
          <w:numId w:val="16"/>
        </w:numPr>
        <w:snapToGrid w:val="0"/>
        <w:spacing w:line="480" w:lineRule="exact"/>
        <w:ind w:firstLine="415" w:firstLineChars="189"/>
        <w:rPr>
          <w:rFonts w:ascii="新宋体" w:hAnsi="新宋体" w:eastAsia="新宋体" w:cs="宋体"/>
          <w:color w:val="auto"/>
          <w:kern w:val="0"/>
          <w:sz w:val="22"/>
          <w:szCs w:val="22"/>
          <w:highlight w:val="none"/>
        </w:rPr>
      </w:pPr>
      <w:r>
        <w:rPr>
          <w:rFonts w:hint="eastAsia" w:ascii="新宋体" w:hAnsi="新宋体" w:eastAsia="新宋体" w:cs="宋体"/>
          <w:color w:val="auto"/>
          <w:kern w:val="0"/>
          <w:sz w:val="22"/>
          <w:szCs w:val="22"/>
          <w:highlight w:val="none"/>
        </w:rPr>
        <w:t>本单位与采购人之间 □不存在利害关系 □存在下列利害关系：</w:t>
      </w:r>
    </w:p>
    <w:p>
      <w:pPr>
        <w:pStyle w:val="405"/>
        <w:widowControl/>
        <w:snapToGrid w:val="0"/>
        <w:spacing w:line="480" w:lineRule="exact"/>
        <w:rPr>
          <w:rFonts w:ascii="新宋体" w:hAnsi="新宋体" w:eastAsia="新宋体" w:cs="宋体"/>
          <w:color w:val="auto"/>
          <w:kern w:val="0"/>
          <w:sz w:val="22"/>
          <w:szCs w:val="22"/>
          <w:highlight w:val="none"/>
        </w:rPr>
      </w:pPr>
      <w:r>
        <w:rPr>
          <w:rFonts w:hint="eastAsia" w:ascii="新宋体" w:hAnsi="新宋体" w:eastAsia="新宋体" w:cs="宋体"/>
          <w:color w:val="auto"/>
          <w:kern w:val="0"/>
          <w:sz w:val="22"/>
          <w:szCs w:val="22"/>
          <w:highlight w:val="none"/>
        </w:rPr>
        <w:t xml:space="preserve">  A.投资关系    B.行政隶属关系    C.业务指导关系</w:t>
      </w:r>
    </w:p>
    <w:p>
      <w:pPr>
        <w:pStyle w:val="405"/>
        <w:widowControl/>
        <w:snapToGrid w:val="0"/>
        <w:spacing w:line="480" w:lineRule="exact"/>
        <w:rPr>
          <w:rFonts w:ascii="新宋体" w:hAnsi="新宋体" w:eastAsia="新宋体" w:cs="宋体"/>
          <w:color w:val="auto"/>
          <w:kern w:val="0"/>
          <w:sz w:val="22"/>
          <w:szCs w:val="22"/>
          <w:highlight w:val="none"/>
        </w:rPr>
      </w:pPr>
      <w:r>
        <w:rPr>
          <w:rFonts w:hint="eastAsia" w:ascii="新宋体" w:hAnsi="新宋体" w:eastAsia="新宋体" w:cs="宋体"/>
          <w:color w:val="auto"/>
          <w:kern w:val="0"/>
          <w:sz w:val="22"/>
          <w:szCs w:val="22"/>
          <w:highlight w:val="none"/>
        </w:rPr>
        <w:t xml:space="preserve">  D.其他可能</w:t>
      </w:r>
      <w:r>
        <w:rPr>
          <w:rFonts w:hint="eastAsia" w:ascii="新宋体" w:hAnsi="新宋体" w:eastAsia="新宋体" w:cs="宋体"/>
          <w:color w:val="auto"/>
          <w:sz w:val="22"/>
          <w:szCs w:val="22"/>
          <w:highlight w:val="none"/>
        </w:rPr>
        <w:t>影响采购公正的</w:t>
      </w:r>
      <w:r>
        <w:rPr>
          <w:rFonts w:hint="eastAsia" w:ascii="新宋体" w:hAnsi="新宋体" w:eastAsia="新宋体" w:cs="宋体"/>
          <w:color w:val="auto"/>
          <w:kern w:val="0"/>
          <w:sz w:val="22"/>
          <w:szCs w:val="22"/>
          <w:highlight w:val="none"/>
        </w:rPr>
        <w:t>利害关系</w:t>
      </w:r>
      <w:r>
        <w:rPr>
          <w:rFonts w:hint="eastAsia" w:ascii="新宋体" w:hAnsi="新宋体" w:eastAsia="新宋体" w:cs="宋体"/>
          <w:color w:val="auto"/>
          <w:kern w:val="0"/>
          <w:sz w:val="22"/>
          <w:szCs w:val="22"/>
          <w:highlight w:val="none"/>
          <w:u w:val="single"/>
        </w:rPr>
        <w:t xml:space="preserve">（如有，请如实说明）                 </w:t>
      </w:r>
      <w:r>
        <w:rPr>
          <w:rFonts w:hint="eastAsia" w:ascii="新宋体" w:hAnsi="新宋体" w:eastAsia="新宋体" w:cs="宋体"/>
          <w:color w:val="auto"/>
          <w:kern w:val="0"/>
          <w:sz w:val="22"/>
          <w:szCs w:val="22"/>
          <w:highlight w:val="none"/>
        </w:rPr>
        <w:t>。</w:t>
      </w:r>
    </w:p>
    <w:p>
      <w:pPr>
        <w:pStyle w:val="405"/>
        <w:widowControl/>
        <w:snapToGrid w:val="0"/>
        <w:spacing w:line="480" w:lineRule="exact"/>
        <w:rPr>
          <w:rFonts w:ascii="新宋体" w:hAnsi="新宋体" w:eastAsia="新宋体" w:cs="宋体"/>
          <w:color w:val="auto"/>
          <w:kern w:val="0"/>
          <w:sz w:val="22"/>
          <w:szCs w:val="22"/>
          <w:highlight w:val="none"/>
        </w:rPr>
      </w:pPr>
      <w:r>
        <w:rPr>
          <w:rFonts w:hint="eastAsia" w:ascii="新宋体" w:hAnsi="新宋体" w:eastAsia="新宋体" w:cs="宋体"/>
          <w:color w:val="auto"/>
          <w:spacing w:val="6"/>
          <w:sz w:val="22"/>
          <w:szCs w:val="22"/>
          <w:highlight w:val="none"/>
        </w:rPr>
        <w:t xml:space="preserve">  二、</w:t>
      </w:r>
      <w:r>
        <w:rPr>
          <w:rFonts w:hint="eastAsia" w:ascii="新宋体" w:hAnsi="新宋体" w:eastAsia="新宋体" w:cs="宋体"/>
          <w:color w:val="auto"/>
          <w:kern w:val="0"/>
          <w:sz w:val="22"/>
          <w:szCs w:val="22"/>
          <w:highlight w:val="none"/>
        </w:rPr>
        <w:t>现已清楚知道参加本项目采购活动的其他所有供应商名称，本单位 □与其他所有供应商之间均不存在利害关系 □与</w:t>
      </w:r>
      <w:r>
        <w:rPr>
          <w:rFonts w:hint="eastAsia" w:ascii="新宋体" w:hAnsi="新宋体" w:eastAsia="新宋体" w:cs="宋体"/>
          <w:color w:val="auto"/>
          <w:kern w:val="0"/>
          <w:sz w:val="22"/>
          <w:szCs w:val="22"/>
          <w:highlight w:val="none"/>
          <w:u w:val="single"/>
        </w:rPr>
        <w:t xml:space="preserve">           （供应商名称）</w:t>
      </w:r>
      <w:r>
        <w:rPr>
          <w:rFonts w:hint="eastAsia" w:ascii="新宋体" w:hAnsi="新宋体" w:eastAsia="新宋体" w:cs="宋体"/>
          <w:color w:val="auto"/>
          <w:kern w:val="0"/>
          <w:sz w:val="22"/>
          <w:szCs w:val="22"/>
          <w:highlight w:val="none"/>
        </w:rPr>
        <w:t>之间存在下列利害关系：</w:t>
      </w:r>
    </w:p>
    <w:p>
      <w:pPr>
        <w:pStyle w:val="406"/>
        <w:spacing w:line="480" w:lineRule="exact"/>
        <w:ind w:firstLine="440"/>
        <w:rPr>
          <w:rFonts w:ascii="新宋体" w:hAnsi="新宋体" w:eastAsia="新宋体" w:cs="宋体"/>
          <w:color w:val="auto"/>
          <w:kern w:val="0"/>
          <w:sz w:val="22"/>
          <w:szCs w:val="22"/>
          <w:highlight w:val="none"/>
        </w:rPr>
      </w:pPr>
      <w:r>
        <w:rPr>
          <w:rFonts w:hint="eastAsia" w:ascii="新宋体" w:hAnsi="新宋体" w:eastAsia="新宋体" w:cs="宋体"/>
          <w:color w:val="auto"/>
          <w:kern w:val="0"/>
          <w:sz w:val="22"/>
          <w:szCs w:val="22"/>
          <w:highlight w:val="none"/>
        </w:rPr>
        <w:t xml:space="preserve">  A.法定代表人或负责人或实际控制人是同一人</w:t>
      </w:r>
    </w:p>
    <w:p>
      <w:pPr>
        <w:pStyle w:val="406"/>
        <w:spacing w:line="480" w:lineRule="exact"/>
        <w:ind w:firstLine="440"/>
        <w:rPr>
          <w:rFonts w:ascii="新宋体" w:hAnsi="新宋体" w:eastAsia="新宋体" w:cs="宋体"/>
          <w:color w:val="auto"/>
          <w:spacing w:val="6"/>
          <w:sz w:val="22"/>
          <w:szCs w:val="22"/>
          <w:highlight w:val="none"/>
        </w:rPr>
      </w:pPr>
      <w:r>
        <w:rPr>
          <w:rFonts w:hint="eastAsia" w:ascii="新宋体" w:hAnsi="新宋体" w:eastAsia="新宋体" w:cs="宋体"/>
          <w:color w:val="auto"/>
          <w:kern w:val="0"/>
          <w:sz w:val="22"/>
          <w:szCs w:val="22"/>
          <w:highlight w:val="none"/>
        </w:rPr>
        <w:t xml:space="preserve">  B.法定代表人或负责人或实际控制人是夫妻关系</w:t>
      </w:r>
    </w:p>
    <w:p>
      <w:pPr>
        <w:pStyle w:val="406"/>
        <w:spacing w:line="480" w:lineRule="exact"/>
        <w:ind w:firstLine="440"/>
        <w:rPr>
          <w:rFonts w:ascii="新宋体" w:hAnsi="新宋体" w:eastAsia="新宋体" w:cs="宋体"/>
          <w:color w:val="auto"/>
          <w:spacing w:val="6"/>
          <w:sz w:val="22"/>
          <w:szCs w:val="22"/>
          <w:highlight w:val="none"/>
        </w:rPr>
      </w:pPr>
      <w:r>
        <w:rPr>
          <w:rFonts w:hint="eastAsia" w:ascii="新宋体" w:hAnsi="新宋体" w:eastAsia="新宋体" w:cs="宋体"/>
          <w:color w:val="auto"/>
          <w:kern w:val="0"/>
          <w:sz w:val="22"/>
          <w:szCs w:val="22"/>
          <w:highlight w:val="none"/>
        </w:rPr>
        <w:t xml:space="preserve">  C.法定代表人或负责人或实际控制人是直系血亲关系</w:t>
      </w:r>
    </w:p>
    <w:p>
      <w:pPr>
        <w:pStyle w:val="406"/>
        <w:spacing w:line="480" w:lineRule="exact"/>
        <w:ind w:firstLine="440"/>
        <w:rPr>
          <w:rFonts w:ascii="新宋体" w:hAnsi="新宋体" w:eastAsia="新宋体" w:cs="宋体"/>
          <w:color w:val="auto"/>
          <w:spacing w:val="6"/>
          <w:sz w:val="22"/>
          <w:szCs w:val="22"/>
          <w:highlight w:val="none"/>
        </w:rPr>
      </w:pPr>
      <w:r>
        <w:rPr>
          <w:rFonts w:hint="eastAsia" w:ascii="新宋体" w:hAnsi="新宋体" w:eastAsia="新宋体" w:cs="宋体"/>
          <w:color w:val="auto"/>
          <w:kern w:val="0"/>
          <w:sz w:val="22"/>
          <w:szCs w:val="22"/>
          <w:highlight w:val="none"/>
        </w:rPr>
        <w:t xml:space="preserve">  D.法定代表人或负责人或实际控制人存在三代以内旁系血亲关系</w:t>
      </w:r>
    </w:p>
    <w:p>
      <w:pPr>
        <w:pStyle w:val="406"/>
        <w:spacing w:line="480" w:lineRule="exact"/>
        <w:ind w:firstLine="440"/>
        <w:rPr>
          <w:rFonts w:ascii="新宋体" w:hAnsi="新宋体" w:eastAsia="新宋体" w:cs="宋体"/>
          <w:color w:val="auto"/>
          <w:kern w:val="0"/>
          <w:sz w:val="22"/>
          <w:szCs w:val="22"/>
          <w:highlight w:val="none"/>
        </w:rPr>
      </w:pPr>
      <w:r>
        <w:rPr>
          <w:rFonts w:hint="eastAsia" w:ascii="新宋体" w:hAnsi="新宋体" w:eastAsia="新宋体" w:cs="宋体"/>
          <w:color w:val="auto"/>
          <w:kern w:val="0"/>
          <w:sz w:val="22"/>
          <w:szCs w:val="22"/>
          <w:highlight w:val="none"/>
        </w:rPr>
        <w:t xml:space="preserve">  E.法定代表人或负责人或实际控制人存在近姻亲关系</w:t>
      </w:r>
    </w:p>
    <w:p>
      <w:pPr>
        <w:pStyle w:val="406"/>
        <w:spacing w:line="480" w:lineRule="exact"/>
        <w:ind w:firstLine="440"/>
        <w:rPr>
          <w:rFonts w:ascii="新宋体" w:hAnsi="新宋体" w:eastAsia="新宋体" w:cs="宋体"/>
          <w:color w:val="auto"/>
          <w:kern w:val="0"/>
          <w:sz w:val="22"/>
          <w:szCs w:val="22"/>
          <w:highlight w:val="none"/>
        </w:rPr>
      </w:pPr>
      <w:r>
        <w:rPr>
          <w:rFonts w:hint="eastAsia" w:ascii="新宋体" w:hAnsi="新宋体" w:eastAsia="新宋体" w:cs="宋体"/>
          <w:color w:val="auto"/>
          <w:kern w:val="0"/>
          <w:sz w:val="22"/>
          <w:szCs w:val="22"/>
          <w:highlight w:val="none"/>
        </w:rPr>
        <w:t xml:space="preserve">  F.法定代表人或负责人或实际控制人存在股份控制或实际控制关系</w:t>
      </w:r>
    </w:p>
    <w:p>
      <w:pPr>
        <w:pStyle w:val="406"/>
        <w:spacing w:line="480" w:lineRule="exact"/>
        <w:ind w:firstLine="440"/>
        <w:rPr>
          <w:rFonts w:ascii="新宋体" w:hAnsi="新宋体" w:eastAsia="新宋体" w:cs="宋体"/>
          <w:color w:val="auto"/>
          <w:kern w:val="0"/>
          <w:sz w:val="22"/>
          <w:szCs w:val="22"/>
          <w:highlight w:val="none"/>
        </w:rPr>
      </w:pPr>
      <w:r>
        <w:rPr>
          <w:rFonts w:hint="eastAsia" w:ascii="新宋体" w:hAnsi="新宋体" w:eastAsia="新宋体" w:cs="宋体"/>
          <w:color w:val="auto"/>
          <w:kern w:val="0"/>
          <w:sz w:val="22"/>
          <w:szCs w:val="22"/>
          <w:highlight w:val="none"/>
        </w:rPr>
        <w:t xml:space="preserve">  G.存在共同直接或间接投资设立子公司、联营企业和合营企业情况</w:t>
      </w:r>
    </w:p>
    <w:p>
      <w:pPr>
        <w:pStyle w:val="406"/>
        <w:spacing w:line="480" w:lineRule="exact"/>
        <w:ind w:firstLine="440"/>
        <w:rPr>
          <w:rFonts w:ascii="新宋体" w:hAnsi="新宋体" w:eastAsia="新宋体" w:cs="宋体"/>
          <w:color w:val="auto"/>
          <w:sz w:val="22"/>
          <w:szCs w:val="22"/>
          <w:highlight w:val="none"/>
        </w:rPr>
      </w:pPr>
      <w:r>
        <w:rPr>
          <w:rFonts w:hint="eastAsia" w:ascii="新宋体" w:hAnsi="新宋体" w:eastAsia="新宋体" w:cs="宋体"/>
          <w:color w:val="auto"/>
          <w:kern w:val="0"/>
          <w:sz w:val="22"/>
          <w:szCs w:val="22"/>
          <w:highlight w:val="none"/>
        </w:rPr>
        <w:t xml:space="preserve">  H.存在分级代理或代销关系、同一生产制造商关系、</w:t>
      </w:r>
      <w:r>
        <w:rPr>
          <w:rFonts w:hint="eastAsia" w:ascii="新宋体" w:hAnsi="新宋体" w:eastAsia="新宋体" w:cs="宋体"/>
          <w:color w:val="auto"/>
          <w:sz w:val="22"/>
          <w:szCs w:val="22"/>
          <w:highlight w:val="none"/>
        </w:rPr>
        <w:t>管理关系、重要业务（占主营业务收入50%以上）或重要财务往来关系（如融资）等其他实质性控制关系</w:t>
      </w:r>
    </w:p>
    <w:p>
      <w:pPr>
        <w:pStyle w:val="406"/>
        <w:spacing w:line="480" w:lineRule="exact"/>
        <w:ind w:firstLine="440"/>
        <w:rPr>
          <w:rFonts w:ascii="新宋体" w:hAnsi="新宋体" w:eastAsia="新宋体" w:cs="宋体"/>
          <w:color w:val="auto"/>
          <w:spacing w:val="6"/>
          <w:sz w:val="22"/>
          <w:szCs w:val="22"/>
          <w:highlight w:val="none"/>
        </w:rPr>
      </w:pPr>
      <w:r>
        <w:rPr>
          <w:rFonts w:hint="eastAsia" w:ascii="新宋体" w:hAnsi="新宋体" w:eastAsia="新宋体" w:cs="宋体"/>
          <w:color w:val="auto"/>
          <w:sz w:val="22"/>
          <w:szCs w:val="22"/>
          <w:highlight w:val="none"/>
        </w:rPr>
        <w:t xml:space="preserve">    I</w:t>
      </w:r>
      <w:r>
        <w:rPr>
          <w:rFonts w:hint="eastAsia" w:ascii="新宋体" w:hAnsi="新宋体" w:eastAsia="新宋体" w:cs="宋体"/>
          <w:color w:val="auto"/>
          <w:kern w:val="0"/>
          <w:sz w:val="22"/>
          <w:szCs w:val="22"/>
          <w:highlight w:val="none"/>
        </w:rPr>
        <w:t>.</w:t>
      </w:r>
      <w:r>
        <w:rPr>
          <w:rFonts w:hint="eastAsia" w:ascii="新宋体" w:hAnsi="新宋体" w:eastAsia="新宋体" w:cs="宋体"/>
          <w:color w:val="auto"/>
          <w:sz w:val="22"/>
          <w:szCs w:val="22"/>
          <w:highlight w:val="none"/>
        </w:rPr>
        <w:t>其他利害关系情况</w:t>
      </w:r>
      <w:r>
        <w:rPr>
          <w:rFonts w:hint="eastAsia" w:ascii="新宋体" w:hAnsi="新宋体" w:eastAsia="新宋体" w:cs="宋体"/>
          <w:color w:val="auto"/>
          <w:kern w:val="0"/>
          <w:sz w:val="22"/>
          <w:szCs w:val="22"/>
          <w:highlight w:val="none"/>
        </w:rPr>
        <w:t>。</w:t>
      </w:r>
    </w:p>
    <w:p>
      <w:pPr>
        <w:pStyle w:val="405"/>
        <w:widowControl/>
        <w:numPr>
          <w:ilvl w:val="0"/>
          <w:numId w:val="17"/>
        </w:numPr>
        <w:snapToGrid w:val="0"/>
        <w:spacing w:line="480" w:lineRule="exact"/>
        <w:ind w:firstLine="415" w:firstLineChars="189"/>
        <w:rPr>
          <w:rFonts w:ascii="新宋体" w:hAnsi="新宋体" w:eastAsia="新宋体" w:cs="宋体"/>
          <w:color w:val="auto"/>
          <w:kern w:val="0"/>
          <w:sz w:val="22"/>
          <w:szCs w:val="22"/>
          <w:highlight w:val="none"/>
        </w:rPr>
      </w:pPr>
      <w:r>
        <w:rPr>
          <w:rFonts w:hint="eastAsia" w:ascii="新宋体" w:hAnsi="新宋体" w:eastAsia="新宋体" w:cs="宋体"/>
          <w:color w:val="auto"/>
          <w:sz w:val="22"/>
          <w:szCs w:val="22"/>
          <w:highlight w:val="none"/>
        </w:rPr>
        <w:t>现已清楚知道并</w:t>
      </w:r>
      <w:r>
        <w:rPr>
          <w:rFonts w:hint="eastAsia" w:ascii="新宋体" w:hAnsi="新宋体" w:eastAsia="新宋体" w:cs="宋体"/>
          <w:color w:val="auto"/>
          <w:kern w:val="0"/>
          <w:sz w:val="22"/>
          <w:szCs w:val="22"/>
          <w:highlight w:val="none"/>
        </w:rPr>
        <w:t>严格遵守政府采购法律法规和现场纪律。</w:t>
      </w:r>
    </w:p>
    <w:p>
      <w:pPr>
        <w:pStyle w:val="405"/>
        <w:widowControl/>
        <w:numPr>
          <w:ilvl w:val="0"/>
          <w:numId w:val="17"/>
        </w:numPr>
        <w:snapToGrid w:val="0"/>
        <w:spacing w:line="480" w:lineRule="exact"/>
        <w:ind w:firstLine="415" w:firstLineChars="189"/>
        <w:rPr>
          <w:rFonts w:ascii="新宋体" w:hAnsi="新宋体" w:eastAsia="新宋体" w:cs="宋体"/>
          <w:color w:val="auto"/>
          <w:kern w:val="0"/>
          <w:sz w:val="22"/>
          <w:szCs w:val="22"/>
          <w:highlight w:val="none"/>
        </w:rPr>
      </w:pPr>
      <w:r>
        <w:rPr>
          <w:rFonts w:hint="eastAsia" w:ascii="新宋体" w:hAnsi="新宋体" w:eastAsia="新宋体" w:cs="宋体"/>
          <w:color w:val="auto"/>
          <w:kern w:val="0"/>
          <w:sz w:val="22"/>
          <w:szCs w:val="22"/>
          <w:highlight w:val="none"/>
        </w:rPr>
        <w:t>我发现供应商</w:t>
      </w:r>
      <w:r>
        <w:rPr>
          <w:rFonts w:hint="eastAsia" w:ascii="新宋体" w:hAnsi="新宋体" w:eastAsia="新宋体" w:cs="宋体"/>
          <w:color w:val="auto"/>
          <w:kern w:val="0"/>
          <w:sz w:val="22"/>
          <w:szCs w:val="22"/>
          <w:highlight w:val="none"/>
          <w:u w:val="single"/>
        </w:rPr>
        <w:t xml:space="preserve">           </w:t>
      </w:r>
      <w:r>
        <w:rPr>
          <w:rFonts w:hint="eastAsia" w:ascii="新宋体" w:hAnsi="新宋体" w:eastAsia="新宋体" w:cs="宋体"/>
          <w:color w:val="auto"/>
          <w:kern w:val="0"/>
          <w:sz w:val="22"/>
          <w:szCs w:val="22"/>
          <w:highlight w:val="none"/>
        </w:rPr>
        <w:t>之间存在或可能存在上述第二条第</w:t>
      </w:r>
      <w:r>
        <w:rPr>
          <w:rFonts w:hint="eastAsia" w:ascii="新宋体" w:hAnsi="新宋体" w:eastAsia="新宋体" w:cs="宋体"/>
          <w:color w:val="auto"/>
          <w:kern w:val="0"/>
          <w:sz w:val="22"/>
          <w:szCs w:val="22"/>
          <w:highlight w:val="none"/>
          <w:u w:val="single"/>
        </w:rPr>
        <w:t xml:space="preserve">             </w:t>
      </w:r>
      <w:r>
        <w:rPr>
          <w:rFonts w:hint="eastAsia" w:ascii="新宋体" w:hAnsi="新宋体" w:eastAsia="新宋体" w:cs="宋体"/>
          <w:color w:val="auto"/>
          <w:kern w:val="0"/>
          <w:sz w:val="22"/>
          <w:szCs w:val="22"/>
          <w:highlight w:val="none"/>
        </w:rPr>
        <w:t>项利害关系。</w:t>
      </w:r>
    </w:p>
    <w:p>
      <w:pPr>
        <w:pStyle w:val="406"/>
        <w:spacing w:line="500" w:lineRule="exact"/>
        <w:ind w:firstLine="440"/>
        <w:rPr>
          <w:rFonts w:ascii="新宋体" w:hAnsi="新宋体" w:eastAsia="新宋体" w:cs="宋体"/>
          <w:color w:val="auto"/>
          <w:sz w:val="22"/>
          <w:szCs w:val="22"/>
          <w:highlight w:val="none"/>
        </w:rPr>
      </w:pPr>
    </w:p>
    <w:p>
      <w:pPr>
        <w:pStyle w:val="406"/>
        <w:spacing w:line="500" w:lineRule="exact"/>
        <w:ind w:firstLine="440"/>
        <w:rPr>
          <w:rFonts w:ascii="新宋体" w:hAnsi="新宋体" w:eastAsia="新宋体" w:cs="宋体"/>
          <w:color w:val="auto"/>
          <w:sz w:val="22"/>
          <w:szCs w:val="22"/>
          <w:highlight w:val="none"/>
          <w:u w:val="single"/>
        </w:rPr>
      </w:pPr>
      <w:r>
        <w:rPr>
          <w:rFonts w:hint="eastAsia" w:ascii="新宋体" w:hAnsi="新宋体" w:eastAsia="新宋体" w:cs="宋体"/>
          <w:color w:val="auto"/>
          <w:sz w:val="22"/>
          <w:szCs w:val="22"/>
          <w:highlight w:val="none"/>
        </w:rPr>
        <w:t>供应商代表签字：</w:t>
      </w:r>
    </w:p>
    <w:p>
      <w:pPr>
        <w:spacing w:line="440" w:lineRule="exact"/>
        <w:jc w:val="right"/>
        <w:rPr>
          <w:rFonts w:ascii="新宋体" w:hAnsi="新宋体" w:eastAsia="新宋体" w:cs="宋体"/>
          <w:color w:val="auto"/>
          <w:sz w:val="22"/>
          <w:szCs w:val="22"/>
          <w:highlight w:val="none"/>
        </w:rPr>
      </w:pPr>
      <w:r>
        <w:rPr>
          <w:rFonts w:hint="eastAsia" w:ascii="新宋体" w:hAnsi="新宋体" w:eastAsia="新宋体" w:cs="宋体"/>
          <w:color w:val="auto"/>
          <w:sz w:val="22"/>
          <w:szCs w:val="22"/>
          <w:highlight w:val="none"/>
        </w:rPr>
        <w:tab/>
      </w:r>
      <w:r>
        <w:rPr>
          <w:rFonts w:hint="eastAsia" w:ascii="新宋体" w:hAnsi="新宋体" w:eastAsia="新宋体" w:cs="宋体"/>
          <w:color w:val="auto"/>
          <w:sz w:val="22"/>
          <w:szCs w:val="22"/>
          <w:highlight w:val="none"/>
        </w:rPr>
        <w:tab/>
      </w:r>
      <w:r>
        <w:rPr>
          <w:rFonts w:hint="eastAsia" w:ascii="新宋体" w:hAnsi="新宋体" w:eastAsia="新宋体" w:cs="宋体"/>
          <w:color w:val="auto"/>
          <w:sz w:val="22"/>
          <w:szCs w:val="22"/>
          <w:highlight w:val="none"/>
        </w:rPr>
        <w:tab/>
      </w:r>
    </w:p>
    <w:p>
      <w:pPr>
        <w:spacing w:line="440" w:lineRule="exact"/>
        <w:jc w:val="right"/>
        <w:rPr>
          <w:rFonts w:ascii="新宋体" w:hAnsi="新宋体" w:eastAsia="新宋体" w:cs="宋体"/>
          <w:color w:val="auto"/>
          <w:sz w:val="22"/>
          <w:szCs w:val="22"/>
          <w:highlight w:val="none"/>
        </w:rPr>
      </w:pPr>
    </w:p>
    <w:p>
      <w:pPr>
        <w:spacing w:line="440" w:lineRule="exact"/>
        <w:jc w:val="right"/>
        <w:rPr>
          <w:rFonts w:ascii="新宋体" w:hAnsi="新宋体" w:eastAsia="新宋体" w:cs="新宋体"/>
          <w:b/>
          <w:bCs/>
          <w:color w:val="auto"/>
          <w:sz w:val="22"/>
          <w:szCs w:val="22"/>
          <w:highlight w:val="none"/>
        </w:rPr>
      </w:pPr>
      <w:r>
        <w:rPr>
          <w:rFonts w:hint="eastAsia" w:ascii="新宋体" w:hAnsi="新宋体" w:eastAsia="新宋体" w:cs="宋体"/>
          <w:color w:val="auto"/>
          <w:sz w:val="22"/>
          <w:szCs w:val="22"/>
          <w:highlight w:val="none"/>
        </w:rPr>
        <w:t xml:space="preserve"> 年  月  日</w:t>
      </w:r>
    </w:p>
    <w:p>
      <w:pPr>
        <w:pStyle w:val="51"/>
        <w:ind w:firstLine="1732" w:firstLineChars="784"/>
        <w:jc w:val="both"/>
        <w:rPr>
          <w:rFonts w:ascii="新宋体" w:hAnsi="新宋体" w:eastAsia="新宋体"/>
          <w:color w:val="auto"/>
          <w:kern w:val="2"/>
          <w:sz w:val="36"/>
          <w:szCs w:val="36"/>
          <w:highlight w:val="none"/>
        </w:rPr>
      </w:pPr>
      <w:r>
        <w:rPr>
          <w:rFonts w:hint="eastAsia" w:ascii="新宋体" w:hAnsi="新宋体" w:eastAsia="新宋体"/>
          <w:color w:val="auto"/>
          <w:sz w:val="22"/>
          <w:szCs w:val="22"/>
          <w:highlight w:val="none"/>
        </w:rPr>
        <w:br w:type="page"/>
      </w:r>
      <w:bookmarkStart w:id="42" w:name="_Toc8508"/>
      <w:bookmarkStart w:id="43" w:name="_Toc495955195"/>
      <w:bookmarkStart w:id="44" w:name="_Toc497985017"/>
      <w:r>
        <w:rPr>
          <w:rFonts w:hint="eastAsia" w:ascii="新宋体" w:hAnsi="新宋体" w:eastAsia="新宋体"/>
          <w:color w:val="auto"/>
          <w:kern w:val="2"/>
          <w:sz w:val="36"/>
          <w:szCs w:val="36"/>
          <w:highlight w:val="none"/>
        </w:rPr>
        <w:t xml:space="preserve">  </w:t>
      </w:r>
      <w:bookmarkStart w:id="45" w:name="_Toc1600"/>
      <w:bookmarkStart w:id="46" w:name="_Toc21348"/>
      <w:r>
        <w:rPr>
          <w:rFonts w:hint="eastAsia" w:ascii="新宋体" w:hAnsi="新宋体" w:eastAsia="新宋体"/>
          <w:color w:val="auto"/>
          <w:sz w:val="36"/>
          <w:szCs w:val="36"/>
          <w:highlight w:val="none"/>
        </w:rPr>
        <w:t xml:space="preserve">第二部分   </w:t>
      </w:r>
      <w:r>
        <w:rPr>
          <w:rFonts w:hint="eastAsia" w:ascii="新宋体" w:hAnsi="新宋体" w:eastAsia="新宋体"/>
          <w:color w:val="auto"/>
          <w:kern w:val="2"/>
          <w:sz w:val="36"/>
          <w:szCs w:val="36"/>
          <w:highlight w:val="none"/>
        </w:rPr>
        <w:t>政府采购政策功能相关说明</w:t>
      </w:r>
      <w:bookmarkEnd w:id="42"/>
      <w:bookmarkEnd w:id="43"/>
      <w:bookmarkEnd w:id="44"/>
      <w:bookmarkEnd w:id="45"/>
      <w:bookmarkEnd w:id="46"/>
    </w:p>
    <w:p>
      <w:pPr>
        <w:jc w:val="left"/>
        <w:rPr>
          <w:rFonts w:ascii="新宋体" w:hAnsi="新宋体" w:eastAsia="新宋体"/>
          <w:b/>
          <w:color w:val="auto"/>
          <w:sz w:val="22"/>
          <w:highlight w:val="none"/>
        </w:rPr>
      </w:pPr>
    </w:p>
    <w:p>
      <w:pPr>
        <w:jc w:val="center"/>
        <w:rPr>
          <w:rFonts w:hint="eastAsia" w:ascii="宋体" w:hAnsi="宋体" w:cs="宋体"/>
          <w:b/>
          <w:bCs/>
          <w:color w:val="auto"/>
          <w:sz w:val="28"/>
          <w:szCs w:val="28"/>
          <w:highlight w:val="none"/>
        </w:rPr>
      </w:pPr>
      <w:r>
        <w:rPr>
          <w:rFonts w:hint="eastAsia" w:ascii="宋体" w:hAnsi="宋体" w:cs="宋体"/>
          <w:b/>
          <w:bCs/>
          <w:color w:val="auto"/>
          <w:sz w:val="28"/>
          <w:szCs w:val="28"/>
          <w:highlight w:val="none"/>
        </w:rPr>
        <w:t>小、微企业（含监狱企业、残疾人福利性单位）扶持政策说明</w:t>
      </w:r>
    </w:p>
    <w:p>
      <w:pPr>
        <w:spacing w:line="440" w:lineRule="atLeast"/>
        <w:jc w:val="left"/>
        <w:rPr>
          <w:rFonts w:hint="eastAsia" w:ascii="宋体" w:hAnsi="宋体" w:cs="宋体"/>
          <w:b/>
          <w:bCs/>
          <w:color w:val="auto"/>
          <w:sz w:val="22"/>
          <w:highlight w:val="none"/>
        </w:rPr>
      </w:pPr>
      <w:r>
        <w:rPr>
          <w:rFonts w:hint="eastAsia" w:ascii="宋体" w:hAnsi="宋体" w:cs="宋体"/>
          <w:b/>
          <w:bCs/>
          <w:color w:val="auto"/>
          <w:sz w:val="22"/>
          <w:highlight w:val="none"/>
        </w:rPr>
        <w:t>1.文件依据</w:t>
      </w:r>
    </w:p>
    <w:p>
      <w:pPr>
        <w:spacing w:line="440" w:lineRule="atLeast"/>
        <w:ind w:firstLine="440" w:firstLineChars="200"/>
        <w:jc w:val="left"/>
        <w:rPr>
          <w:rFonts w:hint="default" w:ascii="宋体" w:hAnsi="宋体" w:cs="宋体"/>
          <w:bCs/>
          <w:color w:val="auto"/>
          <w:sz w:val="22"/>
          <w:highlight w:val="none"/>
          <w:lang w:val="en-US"/>
        </w:rPr>
      </w:pPr>
      <w:r>
        <w:rPr>
          <w:rFonts w:hint="eastAsia" w:ascii="宋体" w:hAnsi="宋体" w:cs="宋体"/>
          <w:bCs/>
          <w:color w:val="auto"/>
          <w:sz w:val="22"/>
          <w:highlight w:val="none"/>
        </w:rPr>
        <w:t>（1）关于印发《政府采购促进中小企业发展管理办法》的通知（财库[2020]46号）</w:t>
      </w:r>
      <w:r>
        <w:rPr>
          <w:rFonts w:hint="eastAsia" w:ascii="宋体" w:hAnsi="宋体" w:cs="宋体"/>
          <w:bCs/>
          <w:color w:val="auto"/>
          <w:sz w:val="22"/>
          <w:highlight w:val="none"/>
          <w:lang w:val="en-US" w:eastAsia="zh-CN"/>
        </w:rPr>
        <w:t>及财政部关于进一步加大政府采购支持中小企业力度的通知（财库〔2022〕19号）文件。</w:t>
      </w:r>
    </w:p>
    <w:p>
      <w:pPr>
        <w:spacing w:line="440" w:lineRule="atLeast"/>
        <w:ind w:firstLine="440" w:firstLineChars="200"/>
        <w:jc w:val="left"/>
        <w:rPr>
          <w:rFonts w:hint="eastAsia" w:ascii="宋体" w:hAnsi="宋体" w:cs="宋体"/>
          <w:bCs/>
          <w:color w:val="auto"/>
          <w:sz w:val="22"/>
          <w:highlight w:val="none"/>
        </w:rPr>
      </w:pPr>
      <w:r>
        <w:rPr>
          <w:rFonts w:hint="eastAsia" w:ascii="宋体" w:hAnsi="宋体" w:cs="宋体"/>
          <w:bCs/>
          <w:color w:val="auto"/>
          <w:sz w:val="22"/>
          <w:highlight w:val="none"/>
        </w:rPr>
        <w:t>（2）浙江省省财政厅《关于开展政府采购投标人网上注册登记和诚信管理工作的通知》（浙财采监〔2010〕8号)</w:t>
      </w:r>
    </w:p>
    <w:p>
      <w:pPr>
        <w:spacing w:line="440" w:lineRule="atLeast"/>
        <w:ind w:firstLine="440" w:firstLineChars="200"/>
        <w:jc w:val="left"/>
        <w:rPr>
          <w:rFonts w:hint="eastAsia" w:ascii="宋体" w:hAnsi="宋体" w:cs="宋体"/>
          <w:bCs/>
          <w:color w:val="auto"/>
          <w:sz w:val="22"/>
          <w:highlight w:val="none"/>
        </w:rPr>
      </w:pPr>
      <w:r>
        <w:rPr>
          <w:rFonts w:hint="eastAsia" w:ascii="宋体" w:hAnsi="宋体" w:cs="宋体"/>
          <w:bCs/>
          <w:color w:val="auto"/>
          <w:sz w:val="22"/>
          <w:highlight w:val="none"/>
        </w:rPr>
        <w:t>（3）《工业和信息化部、国家统计局、国家发展和改革委员会、财政部关于印发中小企业划型标准规定的通知》（工信部联企业[2011]300号）</w:t>
      </w:r>
    </w:p>
    <w:p>
      <w:pPr>
        <w:spacing w:line="440" w:lineRule="atLeast"/>
        <w:ind w:firstLine="440" w:firstLineChars="200"/>
        <w:jc w:val="left"/>
        <w:rPr>
          <w:rFonts w:hint="eastAsia" w:ascii="宋体" w:hAnsi="宋体" w:cs="宋体"/>
          <w:bCs/>
          <w:color w:val="auto"/>
          <w:sz w:val="22"/>
          <w:highlight w:val="none"/>
        </w:rPr>
      </w:pPr>
      <w:r>
        <w:rPr>
          <w:rFonts w:hint="eastAsia" w:ascii="宋体" w:hAnsi="宋体" w:cs="宋体"/>
          <w:bCs/>
          <w:color w:val="auto"/>
          <w:sz w:val="22"/>
          <w:highlight w:val="none"/>
        </w:rPr>
        <w:t>（4）财政部、司法部《关于政府采购支持监狱企业发展有关问题的通知》（财库〔2014〕68号）</w:t>
      </w:r>
    </w:p>
    <w:p>
      <w:pPr>
        <w:spacing w:line="440" w:lineRule="atLeast"/>
        <w:ind w:firstLine="440" w:firstLineChars="200"/>
        <w:jc w:val="left"/>
        <w:rPr>
          <w:rFonts w:hint="eastAsia" w:ascii="宋体" w:hAnsi="宋体" w:cs="宋体"/>
          <w:bCs/>
          <w:color w:val="auto"/>
          <w:sz w:val="22"/>
          <w:highlight w:val="none"/>
        </w:rPr>
      </w:pPr>
      <w:r>
        <w:rPr>
          <w:rFonts w:hint="eastAsia" w:ascii="宋体" w:hAnsi="宋体" w:cs="宋体"/>
          <w:bCs/>
          <w:color w:val="auto"/>
          <w:sz w:val="22"/>
          <w:highlight w:val="none"/>
        </w:rPr>
        <w:t>（5）《财政部 民政部 中国残疾人联合会关于促进残疾人就业政府采购政策的通知》（财库〔2017〕 141号）</w:t>
      </w:r>
    </w:p>
    <w:p>
      <w:pPr>
        <w:spacing w:line="440" w:lineRule="atLeast"/>
        <w:ind w:firstLine="440" w:firstLineChars="200"/>
        <w:jc w:val="left"/>
        <w:rPr>
          <w:rFonts w:hint="eastAsia" w:ascii="宋体" w:hAnsi="宋体" w:cs="宋体"/>
          <w:bCs/>
          <w:color w:val="auto"/>
          <w:sz w:val="22"/>
          <w:highlight w:val="none"/>
        </w:rPr>
      </w:pPr>
      <w:r>
        <w:rPr>
          <w:rFonts w:hint="eastAsia" w:ascii="宋体" w:hAnsi="宋体" w:cs="宋体"/>
          <w:bCs/>
          <w:color w:val="auto"/>
          <w:sz w:val="22"/>
          <w:highlight w:val="none"/>
        </w:rPr>
        <w:t>（6）《浙江省财政厅  浙江省经济和信息化委员会关于简化中小企业类别确认流程有关事项的通知》（浙财采监〔2018〕2号)</w:t>
      </w:r>
    </w:p>
    <w:p>
      <w:pPr>
        <w:spacing w:line="440" w:lineRule="atLeast"/>
        <w:ind w:firstLine="440" w:firstLineChars="200"/>
        <w:jc w:val="left"/>
        <w:rPr>
          <w:rFonts w:hint="eastAsia"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（7）《浙江省财政厅关于进一步发挥政府采购政策功能全力推动经济稳进提质的通知》（浙财采监〔2022〕3号）</w:t>
      </w:r>
    </w:p>
    <w:p>
      <w:pPr>
        <w:spacing w:line="440" w:lineRule="atLeast"/>
        <w:ind w:firstLine="440" w:firstLineChars="200"/>
        <w:jc w:val="left"/>
        <w:rPr>
          <w:rFonts w:hint="eastAsia" w:ascii="宋体" w:hAnsi="宋体" w:cs="宋体"/>
          <w:bCs/>
          <w:color w:val="auto"/>
          <w:sz w:val="22"/>
          <w:highlight w:val="none"/>
        </w:rPr>
      </w:pPr>
      <w:r>
        <w:rPr>
          <w:rFonts w:hint="eastAsia" w:ascii="新宋体" w:hAnsi="新宋体" w:eastAsia="新宋体" w:cs="新宋体"/>
          <w:bCs/>
          <w:color w:val="auto"/>
          <w:sz w:val="22"/>
          <w:highlight w:val="none"/>
          <w:lang w:eastAsia="zh-CN"/>
        </w:rPr>
        <w:t>（</w:t>
      </w:r>
      <w:r>
        <w:rPr>
          <w:rFonts w:hint="eastAsia" w:ascii="新宋体" w:hAnsi="新宋体" w:eastAsia="新宋体" w:cs="新宋体"/>
          <w:bCs/>
          <w:color w:val="auto"/>
          <w:sz w:val="22"/>
          <w:highlight w:val="none"/>
          <w:lang w:val="en-US" w:eastAsia="zh-CN"/>
        </w:rPr>
        <w:t>8</w:t>
      </w:r>
      <w:r>
        <w:rPr>
          <w:rFonts w:hint="eastAsia" w:ascii="新宋体" w:hAnsi="新宋体" w:eastAsia="新宋体" w:cs="新宋体"/>
          <w:bCs/>
          <w:color w:val="auto"/>
          <w:sz w:val="22"/>
          <w:highlight w:val="none"/>
          <w:lang w:eastAsia="zh-CN"/>
        </w:rPr>
        <w:t>）《浙江省财政厅关于进一步加大政府采购支持中小企业力度</w:t>
      </w:r>
      <w:r>
        <w:rPr>
          <w:rFonts w:hint="eastAsia" w:ascii="新宋体" w:hAnsi="新宋体" w:eastAsia="新宋体" w:cs="新宋体"/>
          <w:bCs/>
          <w:color w:val="auto"/>
          <w:sz w:val="22"/>
          <w:highlight w:val="none"/>
          <w:lang w:val="en-US" w:eastAsia="zh-CN"/>
        </w:rPr>
        <w:t xml:space="preserve"> 助力扎实稳住经济的通知</w:t>
      </w:r>
      <w:r>
        <w:rPr>
          <w:rFonts w:hint="eastAsia" w:ascii="新宋体" w:hAnsi="新宋体" w:eastAsia="新宋体" w:cs="新宋体"/>
          <w:bCs/>
          <w:color w:val="auto"/>
          <w:sz w:val="22"/>
          <w:highlight w:val="none"/>
          <w:lang w:eastAsia="zh-CN"/>
        </w:rPr>
        <w:t>》（浙财采监</w:t>
      </w:r>
      <w:r>
        <w:rPr>
          <w:rFonts w:hint="eastAsia" w:ascii="新宋体" w:hAnsi="新宋体" w:eastAsia="新宋体" w:cs="新宋体"/>
          <w:bCs/>
          <w:color w:val="auto"/>
          <w:sz w:val="22"/>
          <w:highlight w:val="none"/>
        </w:rPr>
        <w:t>〔2022〕</w:t>
      </w:r>
      <w:r>
        <w:rPr>
          <w:rFonts w:hint="eastAsia" w:ascii="新宋体" w:hAnsi="新宋体" w:eastAsia="新宋体" w:cs="新宋体"/>
          <w:bCs/>
          <w:color w:val="auto"/>
          <w:sz w:val="22"/>
          <w:highlight w:val="none"/>
          <w:lang w:val="en-US" w:eastAsia="zh-CN"/>
        </w:rPr>
        <w:t>8</w:t>
      </w:r>
      <w:r>
        <w:rPr>
          <w:rFonts w:hint="eastAsia" w:ascii="新宋体" w:hAnsi="新宋体" w:eastAsia="新宋体" w:cs="新宋体"/>
          <w:bCs/>
          <w:color w:val="auto"/>
          <w:sz w:val="22"/>
          <w:highlight w:val="none"/>
        </w:rPr>
        <w:t>号</w:t>
      </w:r>
      <w:r>
        <w:rPr>
          <w:rFonts w:hint="eastAsia" w:ascii="新宋体" w:hAnsi="新宋体" w:eastAsia="新宋体" w:cs="新宋体"/>
          <w:bCs/>
          <w:color w:val="auto"/>
          <w:sz w:val="22"/>
          <w:highlight w:val="none"/>
          <w:lang w:eastAsia="zh-CN"/>
        </w:rPr>
        <w:t>）</w:t>
      </w:r>
    </w:p>
    <w:p>
      <w:pPr>
        <w:spacing w:line="440" w:lineRule="atLeast"/>
        <w:jc w:val="left"/>
        <w:rPr>
          <w:rFonts w:hint="eastAsia" w:ascii="宋体" w:hAnsi="宋体" w:cs="宋体"/>
          <w:b/>
          <w:bCs/>
          <w:color w:val="auto"/>
          <w:sz w:val="22"/>
          <w:highlight w:val="none"/>
        </w:rPr>
      </w:pPr>
      <w:r>
        <w:rPr>
          <w:rFonts w:hint="eastAsia" w:ascii="宋体" w:hAnsi="宋体" w:cs="宋体"/>
          <w:b/>
          <w:bCs/>
          <w:color w:val="auto"/>
          <w:sz w:val="22"/>
          <w:highlight w:val="none"/>
        </w:rPr>
        <w:t>2.供应商提供的货物、工程或者服务符合下列情形的，享受中小企业扶持政策：</w:t>
      </w:r>
    </w:p>
    <w:p>
      <w:pPr>
        <w:spacing w:line="440" w:lineRule="atLeast"/>
        <w:ind w:firstLine="440" w:firstLineChars="200"/>
        <w:jc w:val="left"/>
        <w:rPr>
          <w:rFonts w:hint="eastAsia" w:ascii="宋体" w:hAnsi="宋体" w:cs="宋体"/>
          <w:bCs/>
          <w:color w:val="auto"/>
          <w:sz w:val="22"/>
          <w:highlight w:val="none"/>
        </w:rPr>
      </w:pPr>
      <w:r>
        <w:rPr>
          <w:rFonts w:hint="eastAsia" w:ascii="宋体" w:hAnsi="宋体" w:cs="宋体"/>
          <w:bCs/>
          <w:color w:val="auto"/>
          <w:sz w:val="22"/>
          <w:highlight w:val="none"/>
        </w:rPr>
        <w:t>（1）在货物采购项目中，货物由中小企业制造，即货物由中小企业生产且使用该中小企业商号或者注册商标；</w:t>
      </w:r>
    </w:p>
    <w:p>
      <w:pPr>
        <w:spacing w:line="440" w:lineRule="atLeast"/>
        <w:ind w:firstLine="440" w:firstLineChars="200"/>
        <w:jc w:val="left"/>
        <w:rPr>
          <w:rFonts w:hint="eastAsia" w:ascii="宋体" w:hAnsi="宋体" w:cs="宋体"/>
          <w:bCs/>
          <w:color w:val="auto"/>
          <w:sz w:val="22"/>
          <w:highlight w:val="none"/>
        </w:rPr>
      </w:pPr>
      <w:r>
        <w:rPr>
          <w:rFonts w:hint="eastAsia" w:ascii="宋体" w:hAnsi="宋体" w:cs="宋体"/>
          <w:bCs/>
          <w:color w:val="auto"/>
          <w:sz w:val="22"/>
          <w:highlight w:val="none"/>
        </w:rPr>
        <w:t>（2）在工程采购项目中，工程由中小企业承建，即工程施工单位为中小企业；</w:t>
      </w:r>
    </w:p>
    <w:p>
      <w:pPr>
        <w:spacing w:line="440" w:lineRule="atLeast"/>
        <w:ind w:firstLine="440" w:firstLineChars="200"/>
        <w:jc w:val="left"/>
        <w:rPr>
          <w:rFonts w:hint="eastAsia" w:ascii="宋体" w:hAnsi="宋体" w:cs="宋体"/>
          <w:bCs/>
          <w:color w:val="auto"/>
          <w:sz w:val="22"/>
          <w:highlight w:val="none"/>
        </w:rPr>
      </w:pPr>
      <w:r>
        <w:rPr>
          <w:rFonts w:hint="eastAsia" w:ascii="宋体" w:hAnsi="宋体" w:cs="宋体"/>
          <w:bCs/>
          <w:color w:val="auto"/>
          <w:sz w:val="22"/>
          <w:highlight w:val="none"/>
        </w:rPr>
        <w:t>（3）在服务采购项目中，服务由中小企业承接，即提供服务的人员为中小企业依照《中华人民共和国劳动合同法》订立劳动合同的从业人员。</w:t>
      </w:r>
    </w:p>
    <w:p>
      <w:pPr>
        <w:spacing w:line="440" w:lineRule="atLeast"/>
        <w:jc w:val="left"/>
        <w:rPr>
          <w:rFonts w:hint="eastAsia" w:ascii="宋体" w:hAnsi="宋体" w:cs="宋体"/>
          <w:b/>
          <w:bCs/>
          <w:color w:val="auto"/>
          <w:sz w:val="22"/>
          <w:highlight w:val="none"/>
        </w:rPr>
      </w:pPr>
      <w:r>
        <w:rPr>
          <w:rFonts w:hint="eastAsia" w:ascii="宋体" w:hAnsi="宋体" w:cs="宋体"/>
          <w:b/>
          <w:bCs/>
          <w:color w:val="auto"/>
          <w:sz w:val="22"/>
          <w:highlight w:val="none"/>
        </w:rPr>
        <w:t>3.小微企业（含监狱企业、残疾人福利性单位）评审扶持政策</w:t>
      </w:r>
    </w:p>
    <w:p>
      <w:pPr>
        <w:spacing w:line="440" w:lineRule="atLeast"/>
        <w:ind w:firstLine="440" w:firstLineChars="200"/>
        <w:jc w:val="left"/>
        <w:rPr>
          <w:rFonts w:hint="eastAsia" w:ascii="宋体" w:hAnsi="宋体" w:cs="宋体"/>
          <w:bCs/>
          <w:color w:val="auto"/>
          <w:sz w:val="22"/>
          <w:highlight w:val="none"/>
        </w:rPr>
      </w:pPr>
      <w:r>
        <w:rPr>
          <w:rFonts w:hint="eastAsia" w:ascii="宋体" w:hAnsi="宋体" w:cs="宋体"/>
          <w:bCs/>
          <w:color w:val="auto"/>
          <w:sz w:val="22"/>
          <w:highlight w:val="none"/>
        </w:rPr>
        <w:t>（1）本项目对小型企业和微型企业（含监狱企业、残疾人福利性单位）的</w:t>
      </w:r>
      <w:r>
        <w:rPr>
          <w:rFonts w:hint="eastAsia" w:ascii="宋体" w:hAnsi="宋体" w:cs="宋体"/>
          <w:bCs/>
          <w:color w:val="auto"/>
          <w:sz w:val="22"/>
          <w:highlight w:val="none"/>
          <w:lang w:eastAsia="zh-CN"/>
        </w:rPr>
        <w:t>磋商报价</w:t>
      </w:r>
      <w:r>
        <w:rPr>
          <w:rFonts w:hint="eastAsia" w:ascii="宋体" w:hAnsi="宋体" w:cs="宋体"/>
          <w:bCs/>
          <w:color w:val="auto"/>
          <w:sz w:val="22"/>
          <w:highlight w:val="none"/>
        </w:rPr>
        <w:t>给予</w:t>
      </w:r>
      <w:r>
        <w:rPr>
          <w:rFonts w:hint="eastAsia" w:ascii="宋体" w:hAnsi="宋体" w:cs="宋体"/>
          <w:bCs/>
          <w:color w:val="auto"/>
          <w:sz w:val="22"/>
          <w:highlight w:val="none"/>
          <w:lang w:val="en-US" w:eastAsia="zh-CN"/>
        </w:rPr>
        <w:t>1</w:t>
      </w:r>
      <w:r>
        <w:rPr>
          <w:rFonts w:hint="eastAsia" w:ascii="宋体" w:hAnsi="宋体" w:cs="宋体"/>
          <w:bCs/>
          <w:color w:val="auto"/>
          <w:sz w:val="22"/>
          <w:highlight w:val="none"/>
        </w:rPr>
        <w:t>0%的扣除，用扣除后的价格参与评审。</w:t>
      </w:r>
    </w:p>
    <w:p>
      <w:pPr>
        <w:spacing w:line="440" w:lineRule="atLeast"/>
        <w:ind w:firstLine="440" w:firstLineChars="200"/>
        <w:jc w:val="left"/>
        <w:rPr>
          <w:rFonts w:hint="eastAsia" w:ascii="宋体" w:hAnsi="宋体" w:cs="宋体"/>
          <w:bCs/>
          <w:color w:val="auto"/>
          <w:sz w:val="22"/>
          <w:highlight w:val="none"/>
        </w:rPr>
      </w:pPr>
      <w:r>
        <w:rPr>
          <w:rFonts w:hint="eastAsia" w:ascii="宋体" w:hAnsi="宋体" w:cs="宋体"/>
          <w:bCs/>
          <w:color w:val="auto"/>
          <w:sz w:val="22"/>
          <w:highlight w:val="none"/>
        </w:rPr>
        <w:t>（2）在货物采购项目中，供应商提供的货物既有中小企业制造货物，也有大型企业制造货物的，不享受中小企业扶持政策。</w:t>
      </w:r>
    </w:p>
    <w:p>
      <w:pPr>
        <w:spacing w:line="440" w:lineRule="atLeast"/>
        <w:ind w:firstLine="440" w:firstLineChars="200"/>
        <w:jc w:val="left"/>
        <w:rPr>
          <w:rFonts w:hint="eastAsia" w:ascii="宋体" w:hAnsi="宋体" w:cs="宋体"/>
          <w:bCs/>
          <w:color w:val="auto"/>
          <w:sz w:val="22"/>
          <w:highlight w:val="none"/>
        </w:rPr>
      </w:pPr>
      <w:r>
        <w:rPr>
          <w:rFonts w:hint="eastAsia" w:ascii="宋体" w:hAnsi="宋体" w:cs="宋体"/>
          <w:bCs/>
          <w:color w:val="auto"/>
          <w:sz w:val="22"/>
          <w:highlight w:val="none"/>
        </w:rPr>
        <w:t>（3）以联合体形式参加政府采购活动，联合体各方均为中小企业的，联合体视同中小企业。其中，联合体各方均为小微企业的，联合体视同小微企业。</w:t>
      </w:r>
    </w:p>
    <w:p>
      <w:pPr>
        <w:spacing w:line="440" w:lineRule="atLeast"/>
        <w:ind w:firstLine="440" w:firstLineChars="200"/>
        <w:jc w:val="left"/>
        <w:rPr>
          <w:rFonts w:hint="eastAsia" w:ascii="宋体" w:hAnsi="宋体" w:cs="宋体"/>
          <w:bCs/>
          <w:color w:val="auto"/>
          <w:sz w:val="22"/>
          <w:highlight w:val="none"/>
        </w:rPr>
      </w:pPr>
      <w:r>
        <w:rPr>
          <w:rFonts w:hint="eastAsia" w:ascii="宋体" w:hAnsi="宋体" w:cs="宋体"/>
          <w:bCs/>
          <w:color w:val="auto"/>
          <w:sz w:val="22"/>
          <w:highlight w:val="none"/>
        </w:rPr>
        <w:t>（4）对于联合体协议或者分包意向协议约定小微企业合同份额占到合同总金额30%以上的，对其</w:t>
      </w:r>
      <w:r>
        <w:rPr>
          <w:rFonts w:hint="eastAsia" w:ascii="宋体" w:hAnsi="宋体" w:cs="宋体"/>
          <w:bCs/>
          <w:color w:val="auto"/>
          <w:sz w:val="22"/>
          <w:highlight w:val="none"/>
          <w:lang w:eastAsia="zh-CN"/>
        </w:rPr>
        <w:t>磋商报价</w:t>
      </w:r>
      <w:r>
        <w:rPr>
          <w:rFonts w:hint="eastAsia" w:ascii="宋体" w:hAnsi="宋体" w:cs="宋体"/>
          <w:bCs/>
          <w:color w:val="auto"/>
          <w:sz w:val="22"/>
          <w:highlight w:val="none"/>
        </w:rPr>
        <w:t>给予</w:t>
      </w:r>
      <w:r>
        <w:rPr>
          <w:rFonts w:hint="eastAsia" w:ascii="宋体" w:hAnsi="宋体" w:cs="宋体"/>
          <w:bCs/>
          <w:color w:val="auto"/>
          <w:sz w:val="22"/>
          <w:highlight w:val="none"/>
          <w:lang w:val="en-US" w:eastAsia="zh-CN"/>
        </w:rPr>
        <w:t>4</w:t>
      </w:r>
      <w:r>
        <w:rPr>
          <w:rFonts w:hint="eastAsia" w:ascii="宋体" w:hAnsi="宋体" w:cs="宋体"/>
          <w:bCs/>
          <w:color w:val="auto"/>
          <w:sz w:val="22"/>
          <w:highlight w:val="none"/>
        </w:rPr>
        <w:t>%的扣除，用扣除后的价格参与评审。</w:t>
      </w:r>
    </w:p>
    <w:p>
      <w:pPr>
        <w:spacing w:line="440" w:lineRule="atLeast"/>
        <w:jc w:val="left"/>
        <w:rPr>
          <w:rFonts w:hint="eastAsia" w:ascii="宋体" w:hAnsi="宋体" w:cs="宋体"/>
          <w:b/>
          <w:bCs/>
          <w:color w:val="auto"/>
          <w:sz w:val="22"/>
          <w:highlight w:val="none"/>
        </w:rPr>
      </w:pPr>
      <w:r>
        <w:rPr>
          <w:rFonts w:hint="eastAsia" w:ascii="宋体" w:hAnsi="宋体" w:cs="宋体"/>
          <w:b/>
          <w:bCs/>
          <w:color w:val="auto"/>
          <w:sz w:val="22"/>
          <w:highlight w:val="none"/>
          <w:u w:val="single"/>
        </w:rPr>
        <w:t>4.享受小微企业价格扣除应提供以下证明材料（</w:t>
      </w:r>
      <w:r>
        <w:rPr>
          <w:rFonts w:hint="eastAsia" w:ascii="宋体" w:hAnsi="宋体" w:cs="宋体"/>
          <w:b/>
          <w:bCs/>
          <w:color w:val="auto"/>
          <w:sz w:val="22"/>
          <w:highlight w:val="none"/>
          <w:u w:val="single"/>
          <w:lang w:eastAsia="zh-CN"/>
        </w:rPr>
        <w:t>磋商响应文件</w:t>
      </w:r>
      <w:r>
        <w:rPr>
          <w:rFonts w:hint="eastAsia" w:ascii="宋体" w:hAnsi="宋体" w:cs="宋体"/>
          <w:b/>
          <w:bCs/>
          <w:color w:val="auto"/>
          <w:sz w:val="22"/>
          <w:highlight w:val="none"/>
          <w:u w:val="single"/>
        </w:rPr>
        <w:t>报价文件中，不提供的不享受价格扣除）</w:t>
      </w:r>
      <w:r>
        <w:rPr>
          <w:rFonts w:hint="eastAsia" w:ascii="宋体" w:hAnsi="宋体" w:cs="宋体"/>
          <w:b/>
          <w:bCs/>
          <w:color w:val="auto"/>
          <w:sz w:val="22"/>
          <w:highlight w:val="none"/>
        </w:rPr>
        <w:t>：</w:t>
      </w:r>
    </w:p>
    <w:p>
      <w:pPr>
        <w:spacing w:line="440" w:lineRule="atLeast"/>
        <w:ind w:firstLine="440" w:firstLineChars="200"/>
        <w:jc w:val="left"/>
        <w:rPr>
          <w:rFonts w:hint="eastAsia" w:ascii="宋体" w:hAnsi="宋体" w:cs="宋体"/>
          <w:bCs/>
          <w:color w:val="auto"/>
          <w:sz w:val="22"/>
          <w:highlight w:val="none"/>
        </w:rPr>
      </w:pPr>
      <w:r>
        <w:rPr>
          <w:rFonts w:hint="eastAsia" w:ascii="宋体" w:hAnsi="宋体" w:cs="宋体"/>
          <w:bCs/>
          <w:color w:val="auto"/>
          <w:sz w:val="22"/>
          <w:highlight w:val="none"/>
        </w:rPr>
        <w:t>（1）《中小企业声明函》（原件，加盖投标人公章，格式见附件1）</w:t>
      </w:r>
    </w:p>
    <w:p>
      <w:pPr>
        <w:spacing w:line="440" w:lineRule="atLeast"/>
        <w:jc w:val="left"/>
        <w:rPr>
          <w:rFonts w:hint="eastAsia" w:ascii="宋体" w:hAnsi="宋体" w:cs="宋体"/>
          <w:bCs/>
          <w:color w:val="auto"/>
          <w:sz w:val="22"/>
          <w:highlight w:val="none"/>
        </w:rPr>
      </w:pPr>
      <w:r>
        <w:rPr>
          <w:rFonts w:hint="eastAsia" w:ascii="宋体" w:hAnsi="宋体" w:cs="宋体"/>
          <w:bCs/>
          <w:color w:val="auto"/>
          <w:sz w:val="22"/>
          <w:highlight w:val="none"/>
        </w:rPr>
        <w:t>5.</w:t>
      </w:r>
      <w:r>
        <w:rPr>
          <w:rFonts w:hint="eastAsia" w:ascii="宋体" w:hAnsi="宋体" w:cs="宋体"/>
          <w:b/>
          <w:bCs/>
          <w:color w:val="auto"/>
          <w:sz w:val="22"/>
          <w:highlight w:val="none"/>
          <w:u w:val="single"/>
        </w:rPr>
        <w:t>享受监狱企业价格扣除应提供以下证明材料（</w:t>
      </w:r>
      <w:r>
        <w:rPr>
          <w:rFonts w:hint="eastAsia" w:ascii="宋体" w:hAnsi="宋体" w:cs="宋体"/>
          <w:b/>
          <w:bCs/>
          <w:color w:val="auto"/>
          <w:sz w:val="22"/>
          <w:highlight w:val="none"/>
          <w:u w:val="single"/>
          <w:lang w:eastAsia="zh-CN"/>
        </w:rPr>
        <w:t>磋商响应文件</w:t>
      </w:r>
      <w:r>
        <w:rPr>
          <w:rFonts w:hint="eastAsia" w:ascii="宋体" w:hAnsi="宋体" w:cs="宋体"/>
          <w:b/>
          <w:bCs/>
          <w:color w:val="auto"/>
          <w:sz w:val="22"/>
          <w:highlight w:val="none"/>
          <w:u w:val="single"/>
        </w:rPr>
        <w:t>报价文件中，不提供的不享受价格扣除）</w:t>
      </w:r>
      <w:r>
        <w:rPr>
          <w:rFonts w:hint="eastAsia" w:ascii="宋体" w:hAnsi="宋体" w:cs="宋体"/>
          <w:bCs/>
          <w:color w:val="auto"/>
          <w:sz w:val="22"/>
          <w:highlight w:val="none"/>
        </w:rPr>
        <w:t>：</w:t>
      </w:r>
    </w:p>
    <w:p>
      <w:pPr>
        <w:spacing w:line="440" w:lineRule="atLeast"/>
        <w:ind w:firstLine="440" w:firstLineChars="200"/>
        <w:jc w:val="left"/>
        <w:rPr>
          <w:rFonts w:hint="eastAsia" w:ascii="宋体" w:hAnsi="宋体" w:cs="宋体"/>
          <w:bCs/>
          <w:color w:val="auto"/>
          <w:sz w:val="22"/>
          <w:highlight w:val="none"/>
        </w:rPr>
      </w:pPr>
      <w:r>
        <w:rPr>
          <w:rFonts w:hint="eastAsia" w:ascii="宋体" w:hAnsi="宋体" w:cs="宋体"/>
          <w:bCs/>
          <w:color w:val="auto"/>
          <w:sz w:val="22"/>
          <w:highlight w:val="none"/>
        </w:rPr>
        <w:t>（1）监狱企业参加政府采购活动时，应当提供由省级以上监狱管理局、戒毒管理局(含新疆生产建设兵团)出具的属于监狱企业的证明文件（原件或复印件加盖公章）。在政府采购活动中，监狱企业视同小型、微型企业，享受评审中价格扣除政策。</w:t>
      </w:r>
    </w:p>
    <w:p>
      <w:pPr>
        <w:spacing w:line="440" w:lineRule="atLeast"/>
        <w:jc w:val="left"/>
        <w:rPr>
          <w:rFonts w:hint="eastAsia" w:ascii="宋体" w:hAnsi="宋体" w:cs="宋体"/>
          <w:bCs/>
          <w:color w:val="auto"/>
          <w:sz w:val="22"/>
          <w:highlight w:val="none"/>
        </w:rPr>
      </w:pPr>
      <w:r>
        <w:rPr>
          <w:rFonts w:hint="eastAsia" w:ascii="宋体" w:hAnsi="宋体" w:cs="宋体"/>
          <w:bCs/>
          <w:color w:val="auto"/>
          <w:sz w:val="22"/>
          <w:highlight w:val="none"/>
        </w:rPr>
        <w:t>6.</w:t>
      </w:r>
      <w:r>
        <w:rPr>
          <w:rFonts w:hint="eastAsia" w:ascii="宋体" w:hAnsi="宋体" w:cs="宋体"/>
          <w:b/>
          <w:bCs/>
          <w:color w:val="auto"/>
          <w:sz w:val="22"/>
          <w:highlight w:val="none"/>
          <w:u w:val="single"/>
        </w:rPr>
        <w:t>享受残疾人福利性单位格扣除应提供以下证明材料（</w:t>
      </w:r>
      <w:r>
        <w:rPr>
          <w:rFonts w:hint="eastAsia" w:ascii="宋体" w:hAnsi="宋体" w:cs="宋体"/>
          <w:b/>
          <w:bCs/>
          <w:color w:val="auto"/>
          <w:sz w:val="22"/>
          <w:highlight w:val="none"/>
          <w:u w:val="single"/>
          <w:lang w:eastAsia="zh-CN"/>
        </w:rPr>
        <w:t>磋商响应文件</w:t>
      </w:r>
      <w:r>
        <w:rPr>
          <w:rFonts w:hint="eastAsia" w:ascii="宋体" w:hAnsi="宋体" w:cs="宋体"/>
          <w:b/>
          <w:bCs/>
          <w:color w:val="auto"/>
          <w:sz w:val="22"/>
          <w:highlight w:val="none"/>
          <w:u w:val="single"/>
        </w:rPr>
        <w:t>报价文件中，不提供的不享受价格扣除）</w:t>
      </w:r>
      <w:r>
        <w:rPr>
          <w:rFonts w:hint="eastAsia" w:ascii="宋体" w:hAnsi="宋体" w:cs="宋体"/>
          <w:bCs/>
          <w:color w:val="auto"/>
          <w:sz w:val="22"/>
          <w:highlight w:val="none"/>
        </w:rPr>
        <w:t>：</w:t>
      </w:r>
    </w:p>
    <w:p>
      <w:pPr>
        <w:spacing w:line="440" w:lineRule="atLeast"/>
        <w:ind w:firstLine="440" w:firstLineChars="200"/>
        <w:jc w:val="left"/>
        <w:rPr>
          <w:rFonts w:hint="eastAsia" w:ascii="宋体" w:hAnsi="宋体" w:cs="宋体"/>
          <w:bCs/>
          <w:color w:val="auto"/>
          <w:sz w:val="22"/>
          <w:highlight w:val="none"/>
        </w:rPr>
      </w:pPr>
      <w:r>
        <w:rPr>
          <w:rFonts w:hint="eastAsia" w:ascii="宋体" w:hAnsi="宋体" w:cs="宋体"/>
          <w:bCs/>
          <w:color w:val="auto"/>
          <w:sz w:val="22"/>
          <w:highlight w:val="none"/>
        </w:rPr>
        <w:t>（1）残疾人福利性单位声明函（附件2）；</w:t>
      </w:r>
    </w:p>
    <w:p>
      <w:pPr>
        <w:spacing w:line="440" w:lineRule="atLeast"/>
        <w:jc w:val="left"/>
        <w:rPr>
          <w:rFonts w:hint="eastAsia" w:ascii="宋体" w:hAnsi="宋体" w:cs="宋体"/>
          <w:bCs/>
          <w:color w:val="auto"/>
          <w:sz w:val="22"/>
          <w:highlight w:val="none"/>
        </w:rPr>
      </w:pPr>
      <w:r>
        <w:rPr>
          <w:rFonts w:hint="eastAsia" w:ascii="宋体" w:hAnsi="宋体" w:cs="宋体"/>
          <w:bCs/>
          <w:color w:val="auto"/>
          <w:sz w:val="22"/>
          <w:highlight w:val="none"/>
        </w:rPr>
        <w:t>7.非单一产品采购，无法核实（按</w:t>
      </w:r>
      <w:r>
        <w:rPr>
          <w:rFonts w:hint="eastAsia" w:ascii="宋体" w:hAnsi="宋体" w:cs="宋体"/>
          <w:bCs/>
          <w:color w:val="auto"/>
          <w:sz w:val="22"/>
          <w:highlight w:val="none"/>
          <w:lang w:eastAsia="zh-CN"/>
        </w:rPr>
        <w:t>磋商响应文件</w:t>
      </w:r>
      <w:r>
        <w:rPr>
          <w:rFonts w:hint="eastAsia" w:ascii="宋体" w:hAnsi="宋体" w:cs="宋体"/>
          <w:bCs/>
          <w:color w:val="auto"/>
          <w:sz w:val="22"/>
          <w:highlight w:val="none"/>
        </w:rPr>
        <w:t>资料）全部货物均为小微企业（含监狱企业、残疾人福利性单位）制造；或小微企业（含监狱企业、残疾人福利性单位）提供其他制造商制造的货物且无法核实（按</w:t>
      </w:r>
      <w:r>
        <w:rPr>
          <w:rFonts w:hint="eastAsia" w:ascii="宋体" w:hAnsi="宋体" w:cs="宋体"/>
          <w:bCs/>
          <w:color w:val="auto"/>
          <w:sz w:val="22"/>
          <w:highlight w:val="none"/>
          <w:lang w:eastAsia="zh-CN"/>
        </w:rPr>
        <w:t>磋商响应文件</w:t>
      </w:r>
      <w:r>
        <w:rPr>
          <w:rFonts w:hint="eastAsia" w:ascii="宋体" w:hAnsi="宋体" w:cs="宋体"/>
          <w:bCs/>
          <w:color w:val="auto"/>
          <w:sz w:val="22"/>
          <w:highlight w:val="none"/>
        </w:rPr>
        <w:t>资料）制造商是否为小微企业（含监狱企业、残疾人福利性单位）的，不享受价格扣除。</w:t>
      </w:r>
    </w:p>
    <w:p>
      <w:pPr>
        <w:spacing w:line="440" w:lineRule="atLeast"/>
        <w:jc w:val="left"/>
        <w:rPr>
          <w:rFonts w:hint="eastAsia" w:ascii="宋体" w:hAnsi="宋体" w:cs="宋体"/>
          <w:b/>
          <w:color w:val="auto"/>
          <w:sz w:val="22"/>
          <w:highlight w:val="none"/>
        </w:rPr>
      </w:pPr>
      <w:r>
        <w:rPr>
          <w:rFonts w:hint="eastAsia" w:ascii="宋体" w:hAnsi="宋体" w:cs="宋体"/>
          <w:b/>
          <w:color w:val="auto"/>
          <w:sz w:val="22"/>
          <w:highlight w:val="none"/>
        </w:rPr>
        <w:t>8.享受扶持政策获得政府采购合同的，小微企业不得将合同分包给大中型企业，中型企业不得将合同分包给大型企业。</w:t>
      </w:r>
    </w:p>
    <w:p>
      <w:pPr>
        <w:spacing w:line="440" w:lineRule="atLeast"/>
        <w:jc w:val="left"/>
        <w:rPr>
          <w:rFonts w:hint="eastAsia" w:ascii="宋体" w:hAnsi="宋体" w:cs="宋体"/>
          <w:b/>
          <w:color w:val="auto"/>
          <w:sz w:val="22"/>
          <w:highlight w:val="none"/>
        </w:rPr>
      </w:pPr>
    </w:p>
    <w:p>
      <w:pPr>
        <w:spacing w:line="440" w:lineRule="atLeast"/>
        <w:jc w:val="left"/>
        <w:rPr>
          <w:rFonts w:hint="eastAsia" w:ascii="宋体" w:hAnsi="宋体" w:cs="宋体"/>
          <w:b/>
          <w:color w:val="auto"/>
          <w:sz w:val="22"/>
          <w:highlight w:val="none"/>
        </w:rPr>
      </w:pPr>
    </w:p>
    <w:p>
      <w:pPr>
        <w:spacing w:line="440" w:lineRule="atLeast"/>
        <w:jc w:val="left"/>
        <w:rPr>
          <w:rFonts w:hint="eastAsia" w:ascii="宋体" w:hAnsi="宋体" w:cs="宋体"/>
          <w:b/>
          <w:color w:val="auto"/>
          <w:sz w:val="22"/>
          <w:highlight w:val="none"/>
        </w:rPr>
      </w:pPr>
    </w:p>
    <w:p>
      <w:pPr>
        <w:spacing w:line="440" w:lineRule="atLeast"/>
        <w:jc w:val="left"/>
        <w:rPr>
          <w:rFonts w:hint="eastAsia" w:ascii="宋体" w:hAnsi="宋体" w:cs="宋体"/>
          <w:b/>
          <w:color w:val="auto"/>
          <w:sz w:val="22"/>
          <w:highlight w:val="none"/>
        </w:rPr>
      </w:pPr>
    </w:p>
    <w:p>
      <w:pPr>
        <w:spacing w:line="440" w:lineRule="atLeast"/>
        <w:jc w:val="left"/>
        <w:rPr>
          <w:rFonts w:hint="eastAsia" w:ascii="宋体" w:hAnsi="宋体" w:cs="宋体"/>
          <w:b/>
          <w:color w:val="auto"/>
          <w:sz w:val="22"/>
          <w:highlight w:val="none"/>
        </w:rPr>
      </w:pPr>
    </w:p>
    <w:p>
      <w:pPr>
        <w:spacing w:line="440" w:lineRule="atLeast"/>
        <w:jc w:val="left"/>
        <w:rPr>
          <w:rFonts w:hint="eastAsia" w:ascii="宋体" w:hAnsi="宋体" w:cs="宋体"/>
          <w:b/>
          <w:color w:val="auto"/>
          <w:sz w:val="22"/>
          <w:highlight w:val="none"/>
        </w:rPr>
      </w:pPr>
    </w:p>
    <w:p>
      <w:pPr>
        <w:spacing w:line="440" w:lineRule="atLeast"/>
        <w:jc w:val="left"/>
        <w:rPr>
          <w:rFonts w:hint="eastAsia" w:ascii="宋体" w:hAnsi="宋体" w:cs="宋体"/>
          <w:b/>
          <w:color w:val="auto"/>
          <w:sz w:val="22"/>
          <w:highlight w:val="none"/>
        </w:rPr>
      </w:pPr>
    </w:p>
    <w:p>
      <w:pPr>
        <w:spacing w:line="440" w:lineRule="atLeast"/>
        <w:jc w:val="left"/>
        <w:rPr>
          <w:rFonts w:hint="eastAsia" w:ascii="宋体" w:hAnsi="宋体" w:cs="宋体"/>
          <w:b/>
          <w:color w:val="auto"/>
          <w:sz w:val="22"/>
          <w:highlight w:val="none"/>
        </w:rPr>
      </w:pPr>
    </w:p>
    <w:p>
      <w:pPr>
        <w:spacing w:line="440" w:lineRule="atLeast"/>
        <w:jc w:val="left"/>
        <w:rPr>
          <w:rFonts w:hint="eastAsia" w:ascii="宋体" w:hAnsi="宋体" w:cs="宋体"/>
          <w:b/>
          <w:color w:val="auto"/>
          <w:sz w:val="22"/>
          <w:highlight w:val="none"/>
        </w:rPr>
      </w:pPr>
    </w:p>
    <w:p>
      <w:pPr>
        <w:spacing w:line="440" w:lineRule="atLeast"/>
        <w:jc w:val="left"/>
        <w:rPr>
          <w:rFonts w:hint="eastAsia" w:ascii="宋体" w:hAnsi="宋体" w:cs="宋体"/>
          <w:b/>
          <w:color w:val="auto"/>
          <w:sz w:val="22"/>
          <w:highlight w:val="none"/>
        </w:rPr>
      </w:pPr>
    </w:p>
    <w:p>
      <w:pPr>
        <w:spacing w:line="440" w:lineRule="atLeast"/>
        <w:jc w:val="left"/>
        <w:rPr>
          <w:rFonts w:hint="eastAsia" w:ascii="宋体" w:hAnsi="宋体" w:cs="宋体"/>
          <w:b/>
          <w:color w:val="auto"/>
          <w:sz w:val="22"/>
          <w:highlight w:val="none"/>
        </w:rPr>
      </w:pPr>
    </w:p>
    <w:p>
      <w:pPr>
        <w:spacing w:line="440" w:lineRule="atLeast"/>
        <w:jc w:val="left"/>
        <w:rPr>
          <w:rFonts w:hint="eastAsia" w:ascii="宋体" w:hAnsi="宋体" w:cs="宋体"/>
          <w:b/>
          <w:color w:val="auto"/>
          <w:sz w:val="22"/>
          <w:highlight w:val="none"/>
        </w:rPr>
      </w:pPr>
    </w:p>
    <w:p>
      <w:pPr>
        <w:widowControl/>
        <w:spacing w:before="100" w:beforeAutospacing="1" w:after="100" w:afterAutospacing="1" w:line="440" w:lineRule="atLeast"/>
        <w:ind w:firstLine="241" w:firstLineChars="100"/>
        <w:jc w:val="left"/>
        <w:rPr>
          <w:rFonts w:hint="eastAsia" w:ascii="宋体" w:hAnsi="宋体" w:cs="宋体"/>
          <w:b/>
          <w:color w:val="auto"/>
          <w:sz w:val="24"/>
          <w:highlight w:val="none"/>
        </w:rPr>
      </w:pPr>
      <w:r>
        <w:rPr>
          <w:rFonts w:hint="eastAsia" w:ascii="宋体" w:hAnsi="宋体" w:cs="宋体"/>
          <w:b/>
          <w:color w:val="auto"/>
          <w:sz w:val="24"/>
          <w:highlight w:val="none"/>
        </w:rPr>
        <w:br w:type="page"/>
      </w:r>
      <w:r>
        <w:rPr>
          <w:rFonts w:hint="eastAsia" w:ascii="宋体" w:hAnsi="宋体" w:cs="宋体"/>
          <w:b/>
          <w:color w:val="auto"/>
          <w:sz w:val="24"/>
          <w:highlight w:val="none"/>
        </w:rPr>
        <w:t>附件1：</w:t>
      </w:r>
    </w:p>
    <w:p>
      <w:pPr>
        <w:widowControl/>
        <w:spacing w:before="100" w:beforeAutospacing="1" w:after="100" w:afterAutospacing="1" w:line="440" w:lineRule="atLeast"/>
        <w:jc w:val="center"/>
        <w:rPr>
          <w:rFonts w:hint="eastAsia" w:ascii="宋体" w:hAnsi="宋体" w:cs="宋体"/>
          <w:b/>
          <w:color w:val="auto"/>
          <w:sz w:val="24"/>
          <w:highlight w:val="none"/>
        </w:rPr>
      </w:pPr>
      <w:r>
        <w:rPr>
          <w:rFonts w:hint="eastAsia" w:ascii="宋体" w:hAnsi="宋体" w:cs="宋体"/>
          <w:b/>
          <w:bCs/>
          <w:color w:val="auto"/>
          <w:sz w:val="24"/>
          <w:highlight w:val="none"/>
        </w:rPr>
        <w:t>中小企业声明函（货物）</w:t>
      </w:r>
    </w:p>
    <w:p>
      <w:pPr>
        <w:widowControl/>
        <w:tabs>
          <w:tab w:val="left" w:pos="312"/>
        </w:tabs>
        <w:spacing w:line="500" w:lineRule="atLeast"/>
        <w:ind w:firstLine="440" w:firstLineChars="200"/>
        <w:jc w:val="left"/>
        <w:rPr>
          <w:rFonts w:hint="eastAsia" w:ascii="宋体" w:hAnsi="宋体" w:cs="宋体"/>
          <w:bCs/>
          <w:color w:val="auto"/>
          <w:sz w:val="22"/>
          <w:szCs w:val="22"/>
          <w:highlight w:val="none"/>
        </w:rPr>
      </w:pPr>
      <w:r>
        <w:rPr>
          <w:rFonts w:hint="eastAsia" w:ascii="宋体" w:hAnsi="宋体" w:cs="宋体"/>
          <w:bCs/>
          <w:color w:val="auto"/>
          <w:sz w:val="22"/>
          <w:szCs w:val="22"/>
          <w:highlight w:val="none"/>
        </w:rPr>
        <w:t xml:space="preserve">本公司（联合体）郑重声明，根据《政府采购促进中小企业发展管理办法》（财库﹝2020﹞46 号）的规定，本公司（联合体）参加 </w:t>
      </w:r>
      <w:r>
        <w:rPr>
          <w:rFonts w:hint="eastAsia" w:ascii="宋体" w:hAnsi="宋体" w:cs="宋体"/>
          <w:bCs/>
          <w:color w:val="auto"/>
          <w:sz w:val="22"/>
          <w:szCs w:val="22"/>
          <w:highlight w:val="none"/>
          <w:u w:val="single"/>
        </w:rPr>
        <w:t>（单位名称）</w:t>
      </w:r>
      <w:r>
        <w:rPr>
          <w:rFonts w:hint="eastAsia" w:ascii="宋体" w:hAnsi="宋体" w:cs="宋体"/>
          <w:bCs/>
          <w:color w:val="auto"/>
          <w:sz w:val="22"/>
          <w:szCs w:val="22"/>
          <w:highlight w:val="none"/>
        </w:rPr>
        <w:t xml:space="preserve"> 的</w:t>
      </w:r>
      <w:r>
        <w:rPr>
          <w:rFonts w:hint="eastAsia" w:ascii="宋体" w:hAnsi="宋体" w:cs="宋体"/>
          <w:bCs/>
          <w:color w:val="auto"/>
          <w:sz w:val="22"/>
          <w:szCs w:val="22"/>
          <w:highlight w:val="none"/>
          <w:u w:val="single"/>
        </w:rPr>
        <w:t xml:space="preserve"> （项目名称） </w:t>
      </w:r>
      <w:r>
        <w:rPr>
          <w:rFonts w:hint="eastAsia" w:ascii="宋体" w:hAnsi="宋体" w:cs="宋体"/>
          <w:bCs/>
          <w:color w:val="auto"/>
          <w:sz w:val="22"/>
          <w:szCs w:val="22"/>
          <w:highlight w:val="none"/>
        </w:rPr>
        <w:t>采购活动，提供的货物全部由符合政策要求的中小企业制造。相关企业（含联合体中的中小企业、签订分包意向协议的中小企业）的具体情况如下：</w:t>
      </w:r>
    </w:p>
    <w:p>
      <w:pPr>
        <w:widowControl/>
        <w:tabs>
          <w:tab w:val="left" w:pos="312"/>
        </w:tabs>
        <w:spacing w:line="500" w:lineRule="atLeast"/>
        <w:ind w:firstLine="440" w:firstLineChars="200"/>
        <w:jc w:val="left"/>
        <w:rPr>
          <w:rFonts w:hint="eastAsia" w:ascii="宋体" w:hAnsi="宋体" w:cs="宋体"/>
          <w:bCs/>
          <w:color w:val="auto"/>
          <w:sz w:val="22"/>
          <w:szCs w:val="22"/>
          <w:highlight w:val="none"/>
        </w:rPr>
      </w:pPr>
      <w:r>
        <w:rPr>
          <w:rFonts w:hint="eastAsia" w:ascii="宋体" w:hAnsi="宋体" w:cs="宋体"/>
          <w:bCs/>
          <w:color w:val="auto"/>
          <w:sz w:val="22"/>
          <w:szCs w:val="22"/>
          <w:highlight w:val="none"/>
        </w:rPr>
        <w:t xml:space="preserve">1. </w:t>
      </w:r>
      <w:r>
        <w:rPr>
          <w:rFonts w:hint="eastAsia" w:ascii="宋体" w:hAnsi="宋体" w:cs="宋体"/>
          <w:bCs/>
          <w:color w:val="auto"/>
          <w:sz w:val="22"/>
          <w:szCs w:val="22"/>
          <w:highlight w:val="none"/>
          <w:u w:val="single"/>
        </w:rPr>
        <w:t>（标的名称）</w:t>
      </w:r>
      <w:r>
        <w:rPr>
          <w:rFonts w:hint="eastAsia" w:ascii="宋体" w:hAnsi="宋体" w:cs="宋体"/>
          <w:bCs/>
          <w:color w:val="auto"/>
          <w:sz w:val="22"/>
          <w:szCs w:val="22"/>
          <w:highlight w:val="none"/>
        </w:rPr>
        <w:t xml:space="preserve"> ，属于</w:t>
      </w:r>
      <w:r>
        <w:rPr>
          <w:rFonts w:hint="eastAsia" w:ascii="宋体" w:hAnsi="宋体" w:cs="宋体"/>
          <w:bCs/>
          <w:color w:val="auto"/>
          <w:sz w:val="22"/>
          <w:szCs w:val="22"/>
          <w:highlight w:val="none"/>
          <w:u w:val="single"/>
        </w:rPr>
        <w:t xml:space="preserve"> （采购文件中明确的所属行业）</w:t>
      </w:r>
      <w:r>
        <w:rPr>
          <w:rFonts w:hint="eastAsia" w:ascii="宋体" w:hAnsi="宋体" w:cs="宋体"/>
          <w:bCs/>
          <w:color w:val="auto"/>
          <w:sz w:val="22"/>
          <w:szCs w:val="22"/>
          <w:highlight w:val="none"/>
        </w:rPr>
        <w:t>行业 ；制造商为</w:t>
      </w:r>
      <w:r>
        <w:rPr>
          <w:rFonts w:hint="eastAsia" w:ascii="宋体" w:hAnsi="宋体" w:cs="宋体"/>
          <w:bCs/>
          <w:color w:val="auto"/>
          <w:sz w:val="22"/>
          <w:szCs w:val="22"/>
          <w:highlight w:val="none"/>
          <w:u w:val="single"/>
        </w:rPr>
        <w:t xml:space="preserve"> （企业名称） </w:t>
      </w:r>
      <w:r>
        <w:rPr>
          <w:rFonts w:hint="eastAsia" w:ascii="宋体" w:hAnsi="宋体" w:cs="宋体"/>
          <w:bCs/>
          <w:color w:val="auto"/>
          <w:sz w:val="22"/>
          <w:szCs w:val="22"/>
          <w:highlight w:val="none"/>
        </w:rPr>
        <w:t>，从业人员</w:t>
      </w:r>
      <w:r>
        <w:rPr>
          <w:rFonts w:hint="eastAsia" w:ascii="宋体" w:hAnsi="宋体" w:cs="宋体"/>
          <w:bCs/>
          <w:color w:val="auto"/>
          <w:sz w:val="22"/>
          <w:szCs w:val="22"/>
          <w:highlight w:val="none"/>
          <w:u w:val="single"/>
        </w:rPr>
        <w:t xml:space="preserve">     </w:t>
      </w:r>
      <w:r>
        <w:rPr>
          <w:rFonts w:hint="eastAsia" w:ascii="宋体" w:hAnsi="宋体" w:cs="宋体"/>
          <w:bCs/>
          <w:color w:val="auto"/>
          <w:sz w:val="22"/>
          <w:szCs w:val="22"/>
          <w:highlight w:val="none"/>
        </w:rPr>
        <w:t>人，营业收入为</w:t>
      </w:r>
      <w:r>
        <w:rPr>
          <w:rFonts w:hint="eastAsia" w:ascii="宋体" w:hAnsi="宋体" w:cs="宋体"/>
          <w:bCs/>
          <w:color w:val="auto"/>
          <w:sz w:val="22"/>
          <w:szCs w:val="22"/>
          <w:highlight w:val="none"/>
          <w:u w:val="single"/>
        </w:rPr>
        <w:t xml:space="preserve">     </w:t>
      </w:r>
      <w:r>
        <w:rPr>
          <w:rFonts w:hint="eastAsia" w:ascii="宋体" w:hAnsi="宋体" w:cs="宋体"/>
          <w:bCs/>
          <w:color w:val="auto"/>
          <w:sz w:val="22"/>
          <w:szCs w:val="22"/>
          <w:highlight w:val="none"/>
        </w:rPr>
        <w:t>万元，资产总额为</w:t>
      </w:r>
      <w:r>
        <w:rPr>
          <w:rFonts w:hint="eastAsia" w:ascii="宋体" w:hAnsi="宋体" w:cs="宋体"/>
          <w:bCs/>
          <w:color w:val="auto"/>
          <w:sz w:val="22"/>
          <w:szCs w:val="22"/>
          <w:highlight w:val="none"/>
          <w:u w:val="single"/>
        </w:rPr>
        <w:t xml:space="preserve">      </w:t>
      </w:r>
      <w:r>
        <w:rPr>
          <w:rFonts w:hint="eastAsia" w:ascii="宋体" w:hAnsi="宋体" w:cs="宋体"/>
          <w:bCs/>
          <w:color w:val="auto"/>
          <w:sz w:val="22"/>
          <w:szCs w:val="22"/>
          <w:highlight w:val="none"/>
        </w:rPr>
        <w:t>万元</w:t>
      </w:r>
      <w:r>
        <w:rPr>
          <w:rFonts w:hint="eastAsia" w:ascii="宋体" w:hAnsi="宋体" w:cs="宋体"/>
          <w:bCs/>
          <w:color w:val="auto"/>
          <w:sz w:val="22"/>
          <w:szCs w:val="22"/>
          <w:highlight w:val="none"/>
          <w:vertAlign w:val="superscript"/>
        </w:rPr>
        <w:t>1</w:t>
      </w:r>
      <w:r>
        <w:rPr>
          <w:rFonts w:hint="eastAsia" w:ascii="宋体" w:hAnsi="宋体" w:cs="宋体"/>
          <w:bCs/>
          <w:color w:val="auto"/>
          <w:sz w:val="22"/>
          <w:szCs w:val="22"/>
          <w:highlight w:val="none"/>
        </w:rPr>
        <w:t>，属于</w:t>
      </w:r>
      <w:r>
        <w:rPr>
          <w:rFonts w:hint="eastAsia" w:ascii="宋体" w:hAnsi="宋体" w:cs="宋体"/>
          <w:bCs/>
          <w:color w:val="auto"/>
          <w:sz w:val="22"/>
          <w:szCs w:val="22"/>
          <w:highlight w:val="none"/>
          <w:u w:val="single"/>
        </w:rPr>
        <w:t>（中型企业、小型企业、微型企业）</w:t>
      </w:r>
      <w:r>
        <w:rPr>
          <w:rFonts w:hint="eastAsia" w:ascii="宋体" w:hAnsi="宋体" w:cs="宋体"/>
          <w:bCs/>
          <w:color w:val="auto"/>
          <w:sz w:val="22"/>
          <w:szCs w:val="22"/>
          <w:highlight w:val="none"/>
        </w:rPr>
        <w:t>；</w:t>
      </w:r>
    </w:p>
    <w:p>
      <w:pPr>
        <w:widowControl/>
        <w:tabs>
          <w:tab w:val="left" w:pos="312"/>
        </w:tabs>
        <w:spacing w:line="500" w:lineRule="atLeast"/>
        <w:ind w:firstLine="440" w:firstLineChars="200"/>
        <w:jc w:val="left"/>
        <w:rPr>
          <w:rFonts w:hint="eastAsia" w:ascii="宋体" w:hAnsi="宋体" w:cs="宋体"/>
          <w:bCs/>
          <w:color w:val="auto"/>
          <w:sz w:val="22"/>
          <w:szCs w:val="22"/>
          <w:highlight w:val="none"/>
        </w:rPr>
      </w:pPr>
      <w:r>
        <w:rPr>
          <w:rFonts w:hint="eastAsia" w:ascii="宋体" w:hAnsi="宋体" w:cs="宋体"/>
          <w:bCs/>
          <w:color w:val="auto"/>
          <w:sz w:val="22"/>
          <w:szCs w:val="22"/>
          <w:highlight w:val="none"/>
        </w:rPr>
        <w:t xml:space="preserve">2. </w:t>
      </w:r>
      <w:r>
        <w:rPr>
          <w:rFonts w:hint="eastAsia" w:ascii="宋体" w:hAnsi="宋体" w:cs="宋体"/>
          <w:bCs/>
          <w:color w:val="auto"/>
          <w:sz w:val="22"/>
          <w:szCs w:val="22"/>
          <w:highlight w:val="none"/>
          <w:u w:val="single"/>
        </w:rPr>
        <w:t xml:space="preserve">（标的名称） </w:t>
      </w:r>
      <w:r>
        <w:rPr>
          <w:rFonts w:hint="eastAsia" w:ascii="宋体" w:hAnsi="宋体" w:cs="宋体"/>
          <w:bCs/>
          <w:color w:val="auto"/>
          <w:sz w:val="22"/>
          <w:szCs w:val="22"/>
          <w:highlight w:val="none"/>
        </w:rPr>
        <w:t>，属于</w:t>
      </w:r>
      <w:r>
        <w:rPr>
          <w:rFonts w:hint="eastAsia" w:ascii="宋体" w:hAnsi="宋体" w:cs="宋体"/>
          <w:bCs/>
          <w:color w:val="auto"/>
          <w:sz w:val="22"/>
          <w:szCs w:val="22"/>
          <w:highlight w:val="none"/>
          <w:u w:val="single"/>
        </w:rPr>
        <w:t xml:space="preserve"> （采购文件中明确的所属行业）</w:t>
      </w:r>
      <w:r>
        <w:rPr>
          <w:rFonts w:hint="eastAsia" w:ascii="宋体" w:hAnsi="宋体" w:cs="宋体"/>
          <w:bCs/>
          <w:color w:val="auto"/>
          <w:sz w:val="22"/>
          <w:szCs w:val="22"/>
          <w:highlight w:val="none"/>
        </w:rPr>
        <w:t>行业 ；制造商为</w:t>
      </w:r>
      <w:r>
        <w:rPr>
          <w:rFonts w:hint="eastAsia" w:ascii="宋体" w:hAnsi="宋体" w:cs="宋体"/>
          <w:bCs/>
          <w:color w:val="auto"/>
          <w:sz w:val="22"/>
          <w:szCs w:val="22"/>
          <w:highlight w:val="none"/>
          <w:u w:val="single"/>
        </w:rPr>
        <w:t xml:space="preserve"> （企业名称） </w:t>
      </w:r>
      <w:r>
        <w:rPr>
          <w:rFonts w:hint="eastAsia" w:ascii="宋体" w:hAnsi="宋体" w:cs="宋体"/>
          <w:bCs/>
          <w:color w:val="auto"/>
          <w:sz w:val="22"/>
          <w:szCs w:val="22"/>
          <w:highlight w:val="none"/>
        </w:rPr>
        <w:t>，从业人员</w:t>
      </w:r>
      <w:r>
        <w:rPr>
          <w:rFonts w:hint="eastAsia" w:ascii="宋体" w:hAnsi="宋体" w:cs="宋体"/>
          <w:bCs/>
          <w:color w:val="auto"/>
          <w:sz w:val="22"/>
          <w:szCs w:val="22"/>
          <w:highlight w:val="none"/>
          <w:u w:val="single"/>
        </w:rPr>
        <w:t xml:space="preserve">     </w:t>
      </w:r>
      <w:r>
        <w:rPr>
          <w:rFonts w:hint="eastAsia" w:ascii="宋体" w:hAnsi="宋体" w:cs="宋体"/>
          <w:bCs/>
          <w:color w:val="auto"/>
          <w:sz w:val="22"/>
          <w:szCs w:val="22"/>
          <w:highlight w:val="none"/>
        </w:rPr>
        <w:t>人，营业收入为</w:t>
      </w:r>
      <w:r>
        <w:rPr>
          <w:rFonts w:hint="eastAsia" w:ascii="宋体" w:hAnsi="宋体" w:cs="宋体"/>
          <w:bCs/>
          <w:color w:val="auto"/>
          <w:sz w:val="22"/>
          <w:szCs w:val="22"/>
          <w:highlight w:val="none"/>
          <w:u w:val="single"/>
        </w:rPr>
        <w:t xml:space="preserve">       </w:t>
      </w:r>
      <w:r>
        <w:rPr>
          <w:rFonts w:hint="eastAsia" w:ascii="宋体" w:hAnsi="宋体" w:cs="宋体"/>
          <w:bCs/>
          <w:color w:val="auto"/>
          <w:sz w:val="22"/>
          <w:szCs w:val="22"/>
          <w:highlight w:val="none"/>
        </w:rPr>
        <w:t>万元，资产总额为</w:t>
      </w:r>
      <w:r>
        <w:rPr>
          <w:rFonts w:hint="eastAsia" w:ascii="宋体" w:hAnsi="宋体" w:cs="宋体"/>
          <w:bCs/>
          <w:color w:val="auto"/>
          <w:sz w:val="22"/>
          <w:szCs w:val="22"/>
          <w:highlight w:val="none"/>
          <w:u w:val="single"/>
        </w:rPr>
        <w:t xml:space="preserve">       </w:t>
      </w:r>
      <w:r>
        <w:rPr>
          <w:rFonts w:hint="eastAsia" w:ascii="宋体" w:hAnsi="宋体" w:cs="宋体"/>
          <w:bCs/>
          <w:color w:val="auto"/>
          <w:sz w:val="22"/>
          <w:szCs w:val="22"/>
          <w:highlight w:val="none"/>
        </w:rPr>
        <w:t>万元，属于 （中型企业、小型企业、微型企业） ；</w:t>
      </w:r>
    </w:p>
    <w:p>
      <w:pPr>
        <w:widowControl/>
        <w:tabs>
          <w:tab w:val="left" w:pos="312"/>
        </w:tabs>
        <w:spacing w:line="500" w:lineRule="atLeast"/>
        <w:ind w:firstLine="440" w:firstLineChars="200"/>
        <w:jc w:val="left"/>
        <w:rPr>
          <w:rFonts w:hint="eastAsia" w:ascii="宋体" w:hAnsi="宋体" w:cs="宋体"/>
          <w:bCs/>
          <w:color w:val="auto"/>
          <w:sz w:val="22"/>
          <w:szCs w:val="22"/>
          <w:highlight w:val="none"/>
        </w:rPr>
      </w:pPr>
      <w:r>
        <w:rPr>
          <w:rFonts w:hint="eastAsia" w:ascii="宋体" w:hAnsi="宋体" w:cs="宋体"/>
          <w:bCs/>
          <w:color w:val="auto"/>
          <w:sz w:val="22"/>
          <w:szCs w:val="22"/>
          <w:highlight w:val="none"/>
        </w:rPr>
        <w:t>……</w:t>
      </w:r>
    </w:p>
    <w:p>
      <w:pPr>
        <w:widowControl/>
        <w:tabs>
          <w:tab w:val="left" w:pos="312"/>
        </w:tabs>
        <w:spacing w:line="500" w:lineRule="atLeast"/>
        <w:ind w:firstLine="440" w:firstLineChars="200"/>
        <w:jc w:val="left"/>
        <w:rPr>
          <w:rFonts w:hint="eastAsia" w:ascii="宋体" w:hAnsi="宋体" w:cs="宋体"/>
          <w:bCs/>
          <w:color w:val="auto"/>
          <w:sz w:val="22"/>
          <w:szCs w:val="22"/>
          <w:highlight w:val="none"/>
        </w:rPr>
      </w:pPr>
      <w:r>
        <w:rPr>
          <w:rFonts w:hint="eastAsia" w:ascii="宋体" w:hAnsi="宋体" w:cs="宋体"/>
          <w:bCs/>
          <w:color w:val="auto"/>
          <w:sz w:val="22"/>
          <w:szCs w:val="22"/>
          <w:highlight w:val="none"/>
        </w:rPr>
        <w:t>以上企业，不属于大企业的分支机构，不存在控股股东为大企业的情形，也不存在与大企业的负责人为同一人的情形。</w:t>
      </w:r>
    </w:p>
    <w:p>
      <w:pPr>
        <w:widowControl/>
        <w:tabs>
          <w:tab w:val="left" w:pos="312"/>
        </w:tabs>
        <w:spacing w:line="500" w:lineRule="atLeast"/>
        <w:ind w:firstLine="440" w:firstLineChars="200"/>
        <w:jc w:val="left"/>
        <w:rPr>
          <w:rFonts w:hint="eastAsia" w:ascii="宋体" w:hAnsi="宋体" w:cs="宋体"/>
          <w:bCs/>
          <w:color w:val="auto"/>
          <w:sz w:val="22"/>
          <w:szCs w:val="22"/>
          <w:highlight w:val="none"/>
        </w:rPr>
      </w:pPr>
      <w:r>
        <w:rPr>
          <w:rFonts w:hint="eastAsia" w:ascii="宋体" w:hAnsi="宋体" w:cs="宋体"/>
          <w:bCs/>
          <w:color w:val="auto"/>
          <w:sz w:val="22"/>
          <w:szCs w:val="22"/>
          <w:highlight w:val="none"/>
        </w:rPr>
        <w:t>本企业对上述声明内容的真实性负责。如有虚假，将依法承担相应责任。</w:t>
      </w:r>
    </w:p>
    <w:p>
      <w:pPr>
        <w:widowControl/>
        <w:spacing w:before="100" w:beforeAutospacing="1" w:after="100" w:afterAutospacing="1" w:line="440" w:lineRule="atLeast"/>
        <w:ind w:firstLine="5669" w:firstLineChars="2577"/>
        <w:jc w:val="left"/>
        <w:rPr>
          <w:rFonts w:hint="eastAsia" w:ascii="宋体" w:hAnsi="宋体" w:cs="宋体"/>
          <w:bCs/>
          <w:color w:val="auto"/>
          <w:sz w:val="22"/>
          <w:szCs w:val="22"/>
          <w:highlight w:val="none"/>
        </w:rPr>
      </w:pPr>
      <w:r>
        <w:rPr>
          <w:rFonts w:hint="eastAsia" w:ascii="宋体" w:hAnsi="宋体" w:cs="宋体"/>
          <w:bCs/>
          <w:color w:val="auto"/>
          <w:sz w:val="22"/>
          <w:szCs w:val="22"/>
          <w:highlight w:val="none"/>
        </w:rPr>
        <w:t>企业名称（盖章）：</w:t>
      </w:r>
    </w:p>
    <w:p>
      <w:pPr>
        <w:widowControl/>
        <w:spacing w:before="100" w:beforeAutospacing="1" w:after="100" w:afterAutospacing="1" w:line="440" w:lineRule="atLeast"/>
        <w:ind w:firstLine="5669" w:firstLineChars="2577"/>
        <w:jc w:val="left"/>
        <w:rPr>
          <w:rFonts w:hint="eastAsia" w:ascii="宋体" w:hAnsi="宋体" w:cs="宋体"/>
          <w:bCs/>
          <w:color w:val="auto"/>
          <w:sz w:val="22"/>
          <w:szCs w:val="22"/>
          <w:highlight w:val="none"/>
        </w:rPr>
      </w:pPr>
      <w:r>
        <w:rPr>
          <w:rFonts w:hint="eastAsia" w:ascii="宋体" w:hAnsi="宋体" w:cs="宋体"/>
          <w:bCs/>
          <w:color w:val="auto"/>
          <w:sz w:val="22"/>
          <w:szCs w:val="22"/>
          <w:highlight w:val="none"/>
        </w:rPr>
        <w:t>日 期：</w:t>
      </w:r>
    </w:p>
    <w:p>
      <w:pPr>
        <w:widowControl/>
        <w:tabs>
          <w:tab w:val="left" w:pos="312"/>
        </w:tabs>
        <w:spacing w:before="100" w:beforeAutospacing="1" w:after="100" w:afterAutospacing="1" w:line="440" w:lineRule="atLeast"/>
        <w:jc w:val="left"/>
        <w:rPr>
          <w:rFonts w:hint="eastAsia" w:ascii="宋体" w:hAnsi="宋体" w:cs="宋体"/>
          <w:bCs/>
          <w:color w:val="auto"/>
          <w:sz w:val="18"/>
          <w:szCs w:val="18"/>
          <w:highlight w:val="none"/>
        </w:rPr>
      </w:pPr>
    </w:p>
    <w:p>
      <w:pPr>
        <w:widowControl/>
        <w:tabs>
          <w:tab w:val="left" w:pos="312"/>
        </w:tabs>
        <w:spacing w:before="100" w:beforeAutospacing="1" w:after="100" w:afterAutospacing="1" w:line="440" w:lineRule="atLeast"/>
        <w:jc w:val="left"/>
        <w:rPr>
          <w:rFonts w:hint="eastAsia" w:ascii="宋体" w:hAnsi="宋体" w:cs="宋体"/>
          <w:bCs/>
          <w:color w:val="auto"/>
          <w:sz w:val="18"/>
          <w:szCs w:val="18"/>
          <w:highlight w:val="none"/>
        </w:rPr>
      </w:pPr>
    </w:p>
    <w:p>
      <w:pPr>
        <w:widowControl/>
        <w:tabs>
          <w:tab w:val="left" w:pos="312"/>
        </w:tabs>
        <w:spacing w:before="100" w:beforeAutospacing="1" w:after="100" w:afterAutospacing="1" w:line="440" w:lineRule="atLeast"/>
        <w:jc w:val="left"/>
        <w:rPr>
          <w:rFonts w:hint="eastAsia" w:ascii="宋体" w:hAnsi="宋体" w:cs="宋体"/>
          <w:bCs/>
          <w:color w:val="auto"/>
          <w:sz w:val="18"/>
          <w:szCs w:val="18"/>
          <w:highlight w:val="none"/>
        </w:rPr>
      </w:pPr>
    </w:p>
    <w:p>
      <w:pPr>
        <w:widowControl/>
        <w:tabs>
          <w:tab w:val="left" w:pos="312"/>
        </w:tabs>
        <w:spacing w:before="100" w:beforeAutospacing="1" w:after="100" w:afterAutospacing="1" w:line="440" w:lineRule="atLeast"/>
        <w:jc w:val="left"/>
        <w:rPr>
          <w:rFonts w:hint="eastAsia" w:ascii="宋体" w:hAnsi="宋体" w:cs="宋体"/>
          <w:bCs/>
          <w:color w:val="auto"/>
          <w:sz w:val="18"/>
          <w:szCs w:val="18"/>
          <w:highlight w:val="none"/>
        </w:rPr>
      </w:pPr>
    </w:p>
    <w:p>
      <w:pPr>
        <w:widowControl/>
        <w:tabs>
          <w:tab w:val="left" w:pos="312"/>
        </w:tabs>
        <w:spacing w:before="100" w:beforeAutospacing="1" w:after="100" w:afterAutospacing="1" w:line="440" w:lineRule="atLeast"/>
        <w:jc w:val="left"/>
        <w:rPr>
          <w:rFonts w:hint="eastAsia" w:ascii="宋体" w:hAnsi="宋体" w:cs="宋体"/>
          <w:bCs/>
          <w:color w:val="auto"/>
          <w:sz w:val="18"/>
          <w:szCs w:val="18"/>
          <w:highlight w:val="none"/>
        </w:rPr>
      </w:pPr>
      <w:r>
        <w:rPr>
          <w:rFonts w:hint="eastAsia" w:ascii="宋体" w:hAnsi="宋体" w:cs="宋体"/>
          <w:bCs/>
          <w:color w:val="auto"/>
          <w:sz w:val="18"/>
          <w:szCs w:val="18"/>
          <w:highlight w:val="none"/>
        </w:rPr>
        <w:t>注1.从业人员、营业收入、资产总额填报上一年度数据，无上一年度数据的新成立企业可不填报。</w:t>
      </w:r>
    </w:p>
    <w:p>
      <w:pPr>
        <w:widowControl/>
        <w:spacing w:before="100" w:beforeAutospacing="1" w:after="100" w:afterAutospacing="1" w:line="440" w:lineRule="atLeast"/>
        <w:jc w:val="center"/>
        <w:rPr>
          <w:rFonts w:hint="eastAsia" w:ascii="宋体" w:hAnsi="宋体" w:cs="宋体"/>
          <w:b/>
          <w:color w:val="auto"/>
          <w:sz w:val="24"/>
          <w:highlight w:val="none"/>
        </w:rPr>
      </w:pPr>
      <w:r>
        <w:rPr>
          <w:rFonts w:hint="eastAsia" w:ascii="宋体" w:hAnsi="宋体" w:cs="宋体"/>
          <w:b/>
          <w:color w:val="auto"/>
          <w:sz w:val="24"/>
          <w:highlight w:val="none"/>
        </w:rPr>
        <w:br w:type="page"/>
      </w:r>
      <w:r>
        <w:rPr>
          <w:rFonts w:hint="eastAsia" w:ascii="宋体" w:hAnsi="宋体" w:cs="宋体"/>
          <w:b/>
          <w:bCs/>
          <w:color w:val="auto"/>
          <w:sz w:val="24"/>
          <w:highlight w:val="none"/>
        </w:rPr>
        <w:t>中小企业声明函（工程、服务）</w:t>
      </w:r>
    </w:p>
    <w:p>
      <w:pPr>
        <w:widowControl/>
        <w:tabs>
          <w:tab w:val="left" w:pos="312"/>
        </w:tabs>
        <w:spacing w:line="500" w:lineRule="atLeast"/>
        <w:ind w:firstLine="440" w:firstLineChars="200"/>
        <w:jc w:val="left"/>
        <w:rPr>
          <w:rFonts w:hint="eastAsia" w:ascii="宋体" w:hAnsi="宋体" w:cs="宋体"/>
          <w:bCs/>
          <w:color w:val="auto"/>
          <w:sz w:val="22"/>
          <w:szCs w:val="22"/>
          <w:highlight w:val="none"/>
        </w:rPr>
      </w:pPr>
      <w:r>
        <w:rPr>
          <w:rFonts w:hint="eastAsia" w:ascii="宋体" w:hAnsi="宋体" w:cs="宋体"/>
          <w:bCs/>
          <w:color w:val="auto"/>
          <w:sz w:val="22"/>
          <w:szCs w:val="22"/>
          <w:highlight w:val="none"/>
        </w:rPr>
        <w:t xml:space="preserve">本公司（联合体）郑重声明，根据《政府采购促进中小企业发展管理办法》（财库﹝2020﹞46 号）的规定，本公司（联合体）参加 </w:t>
      </w:r>
      <w:r>
        <w:rPr>
          <w:rFonts w:hint="eastAsia" w:ascii="宋体" w:hAnsi="宋体" w:cs="宋体"/>
          <w:bCs/>
          <w:color w:val="auto"/>
          <w:sz w:val="22"/>
          <w:szCs w:val="22"/>
          <w:highlight w:val="none"/>
          <w:u w:val="single"/>
        </w:rPr>
        <w:t>（单位名称）</w:t>
      </w:r>
      <w:r>
        <w:rPr>
          <w:rFonts w:hint="eastAsia" w:ascii="宋体" w:hAnsi="宋体" w:cs="宋体"/>
          <w:bCs/>
          <w:color w:val="auto"/>
          <w:sz w:val="22"/>
          <w:szCs w:val="22"/>
          <w:highlight w:val="none"/>
        </w:rPr>
        <w:t xml:space="preserve"> 的</w:t>
      </w:r>
      <w:r>
        <w:rPr>
          <w:rFonts w:hint="eastAsia" w:ascii="宋体" w:hAnsi="宋体" w:cs="宋体"/>
          <w:bCs/>
          <w:color w:val="auto"/>
          <w:sz w:val="22"/>
          <w:szCs w:val="22"/>
          <w:highlight w:val="none"/>
          <w:u w:val="single"/>
        </w:rPr>
        <w:t xml:space="preserve"> （项目名称） </w:t>
      </w:r>
      <w:r>
        <w:rPr>
          <w:rFonts w:hint="eastAsia" w:ascii="宋体" w:hAnsi="宋体" w:cs="宋体"/>
          <w:bCs/>
          <w:color w:val="auto"/>
          <w:sz w:val="22"/>
          <w:szCs w:val="22"/>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widowControl/>
        <w:tabs>
          <w:tab w:val="left" w:pos="312"/>
        </w:tabs>
        <w:spacing w:line="500" w:lineRule="atLeast"/>
        <w:ind w:firstLine="440" w:firstLineChars="200"/>
        <w:jc w:val="left"/>
        <w:rPr>
          <w:rFonts w:hint="eastAsia" w:ascii="宋体" w:hAnsi="宋体" w:cs="宋体"/>
          <w:bCs/>
          <w:color w:val="auto"/>
          <w:sz w:val="22"/>
          <w:szCs w:val="22"/>
          <w:highlight w:val="none"/>
        </w:rPr>
      </w:pPr>
      <w:r>
        <w:rPr>
          <w:rFonts w:hint="eastAsia" w:ascii="宋体" w:hAnsi="宋体" w:cs="宋体"/>
          <w:bCs/>
          <w:color w:val="auto"/>
          <w:sz w:val="22"/>
          <w:szCs w:val="22"/>
          <w:highlight w:val="none"/>
        </w:rPr>
        <w:t xml:space="preserve">1. </w:t>
      </w:r>
      <w:r>
        <w:rPr>
          <w:rFonts w:hint="eastAsia" w:ascii="宋体" w:hAnsi="宋体" w:cs="宋体"/>
          <w:bCs/>
          <w:color w:val="auto"/>
          <w:sz w:val="22"/>
          <w:szCs w:val="22"/>
          <w:highlight w:val="none"/>
          <w:u w:val="single"/>
        </w:rPr>
        <w:t>（标的名称）</w:t>
      </w:r>
      <w:r>
        <w:rPr>
          <w:rFonts w:hint="eastAsia" w:ascii="宋体" w:hAnsi="宋体" w:cs="宋体"/>
          <w:bCs/>
          <w:color w:val="auto"/>
          <w:sz w:val="22"/>
          <w:szCs w:val="22"/>
          <w:highlight w:val="none"/>
        </w:rPr>
        <w:t xml:space="preserve"> ，属于</w:t>
      </w:r>
      <w:r>
        <w:rPr>
          <w:rFonts w:hint="eastAsia" w:ascii="宋体" w:hAnsi="宋体" w:cs="宋体"/>
          <w:bCs/>
          <w:color w:val="auto"/>
          <w:sz w:val="22"/>
          <w:szCs w:val="22"/>
          <w:highlight w:val="none"/>
          <w:u w:val="single"/>
        </w:rPr>
        <w:t xml:space="preserve"> （采购文件中明确的所属行业）</w:t>
      </w:r>
      <w:r>
        <w:rPr>
          <w:rFonts w:hint="eastAsia" w:ascii="宋体" w:hAnsi="宋体" w:cs="宋体"/>
          <w:bCs/>
          <w:color w:val="auto"/>
          <w:sz w:val="22"/>
          <w:szCs w:val="22"/>
          <w:highlight w:val="none"/>
        </w:rPr>
        <w:t>行业 ；承建（承接）企业为</w:t>
      </w:r>
      <w:r>
        <w:rPr>
          <w:rFonts w:hint="eastAsia" w:ascii="宋体" w:hAnsi="宋体" w:cs="宋体"/>
          <w:bCs/>
          <w:color w:val="auto"/>
          <w:sz w:val="22"/>
          <w:szCs w:val="22"/>
          <w:highlight w:val="none"/>
          <w:u w:val="single"/>
        </w:rPr>
        <w:t xml:space="preserve"> （企业名称） </w:t>
      </w:r>
      <w:r>
        <w:rPr>
          <w:rFonts w:hint="eastAsia" w:ascii="宋体" w:hAnsi="宋体" w:cs="宋体"/>
          <w:bCs/>
          <w:color w:val="auto"/>
          <w:sz w:val="22"/>
          <w:szCs w:val="22"/>
          <w:highlight w:val="none"/>
        </w:rPr>
        <w:t>，从业人员</w:t>
      </w:r>
      <w:r>
        <w:rPr>
          <w:rFonts w:hint="eastAsia" w:ascii="宋体" w:hAnsi="宋体" w:cs="宋体"/>
          <w:bCs/>
          <w:color w:val="auto"/>
          <w:sz w:val="22"/>
          <w:szCs w:val="22"/>
          <w:highlight w:val="none"/>
          <w:u w:val="single"/>
        </w:rPr>
        <w:t xml:space="preserve">    </w:t>
      </w:r>
      <w:r>
        <w:rPr>
          <w:rFonts w:hint="eastAsia" w:ascii="宋体" w:hAnsi="宋体" w:cs="宋体"/>
          <w:bCs/>
          <w:color w:val="auto"/>
          <w:sz w:val="22"/>
          <w:szCs w:val="22"/>
          <w:highlight w:val="none"/>
        </w:rPr>
        <w:t>人，营业收入为</w:t>
      </w:r>
      <w:r>
        <w:rPr>
          <w:rFonts w:hint="eastAsia" w:ascii="宋体" w:hAnsi="宋体" w:cs="宋体"/>
          <w:bCs/>
          <w:color w:val="auto"/>
          <w:sz w:val="22"/>
          <w:szCs w:val="22"/>
          <w:highlight w:val="none"/>
          <w:u w:val="single"/>
        </w:rPr>
        <w:t xml:space="preserve">     </w:t>
      </w:r>
      <w:r>
        <w:rPr>
          <w:rFonts w:hint="eastAsia" w:ascii="宋体" w:hAnsi="宋体" w:cs="宋体"/>
          <w:bCs/>
          <w:color w:val="auto"/>
          <w:sz w:val="22"/>
          <w:szCs w:val="22"/>
          <w:highlight w:val="none"/>
        </w:rPr>
        <w:t>万元，资产总额为</w:t>
      </w:r>
      <w:r>
        <w:rPr>
          <w:rFonts w:hint="eastAsia" w:ascii="宋体" w:hAnsi="宋体" w:cs="宋体"/>
          <w:bCs/>
          <w:color w:val="auto"/>
          <w:sz w:val="22"/>
          <w:szCs w:val="22"/>
          <w:highlight w:val="none"/>
          <w:u w:val="single"/>
        </w:rPr>
        <w:t xml:space="preserve">      </w:t>
      </w:r>
      <w:r>
        <w:rPr>
          <w:rFonts w:hint="eastAsia" w:ascii="宋体" w:hAnsi="宋体" w:cs="宋体"/>
          <w:bCs/>
          <w:color w:val="auto"/>
          <w:sz w:val="22"/>
          <w:szCs w:val="22"/>
          <w:highlight w:val="none"/>
        </w:rPr>
        <w:t>万元</w:t>
      </w:r>
      <w:r>
        <w:rPr>
          <w:rFonts w:hint="eastAsia" w:ascii="宋体" w:hAnsi="宋体" w:cs="宋体"/>
          <w:bCs/>
          <w:color w:val="auto"/>
          <w:sz w:val="22"/>
          <w:szCs w:val="22"/>
          <w:highlight w:val="none"/>
          <w:vertAlign w:val="superscript"/>
        </w:rPr>
        <w:t>1</w:t>
      </w:r>
      <w:r>
        <w:rPr>
          <w:rFonts w:hint="eastAsia" w:ascii="宋体" w:hAnsi="宋体" w:cs="宋体"/>
          <w:bCs/>
          <w:color w:val="auto"/>
          <w:sz w:val="22"/>
          <w:szCs w:val="22"/>
          <w:highlight w:val="none"/>
        </w:rPr>
        <w:t>，属于</w:t>
      </w:r>
      <w:r>
        <w:rPr>
          <w:rFonts w:hint="eastAsia" w:ascii="宋体" w:hAnsi="宋体" w:cs="宋体"/>
          <w:bCs/>
          <w:color w:val="auto"/>
          <w:sz w:val="22"/>
          <w:szCs w:val="22"/>
          <w:highlight w:val="none"/>
          <w:u w:val="single"/>
        </w:rPr>
        <w:t>（中型企业、小型企业、微型企业）</w:t>
      </w:r>
      <w:r>
        <w:rPr>
          <w:rFonts w:hint="eastAsia" w:ascii="宋体" w:hAnsi="宋体" w:cs="宋体"/>
          <w:bCs/>
          <w:color w:val="auto"/>
          <w:sz w:val="22"/>
          <w:szCs w:val="22"/>
          <w:highlight w:val="none"/>
        </w:rPr>
        <w:t>；</w:t>
      </w:r>
    </w:p>
    <w:p>
      <w:pPr>
        <w:widowControl/>
        <w:tabs>
          <w:tab w:val="left" w:pos="312"/>
        </w:tabs>
        <w:spacing w:line="500" w:lineRule="atLeast"/>
        <w:ind w:firstLine="440" w:firstLineChars="200"/>
        <w:jc w:val="left"/>
        <w:rPr>
          <w:rFonts w:hint="eastAsia" w:ascii="宋体" w:hAnsi="宋体" w:cs="宋体"/>
          <w:bCs/>
          <w:color w:val="auto"/>
          <w:sz w:val="22"/>
          <w:szCs w:val="22"/>
          <w:highlight w:val="none"/>
        </w:rPr>
      </w:pPr>
      <w:r>
        <w:rPr>
          <w:rFonts w:hint="eastAsia" w:ascii="宋体" w:hAnsi="宋体" w:cs="宋体"/>
          <w:bCs/>
          <w:color w:val="auto"/>
          <w:sz w:val="22"/>
          <w:szCs w:val="22"/>
          <w:highlight w:val="none"/>
        </w:rPr>
        <w:t xml:space="preserve">2. </w:t>
      </w:r>
      <w:r>
        <w:rPr>
          <w:rFonts w:hint="eastAsia" w:ascii="宋体" w:hAnsi="宋体" w:cs="宋体"/>
          <w:bCs/>
          <w:color w:val="auto"/>
          <w:sz w:val="22"/>
          <w:szCs w:val="22"/>
          <w:highlight w:val="none"/>
          <w:u w:val="single"/>
        </w:rPr>
        <w:t xml:space="preserve">（标的名称） </w:t>
      </w:r>
      <w:r>
        <w:rPr>
          <w:rFonts w:hint="eastAsia" w:ascii="宋体" w:hAnsi="宋体" w:cs="宋体"/>
          <w:bCs/>
          <w:color w:val="auto"/>
          <w:sz w:val="22"/>
          <w:szCs w:val="22"/>
          <w:highlight w:val="none"/>
        </w:rPr>
        <w:t>，属于</w:t>
      </w:r>
      <w:r>
        <w:rPr>
          <w:rFonts w:hint="eastAsia" w:ascii="宋体" w:hAnsi="宋体" w:cs="宋体"/>
          <w:bCs/>
          <w:color w:val="auto"/>
          <w:sz w:val="22"/>
          <w:szCs w:val="22"/>
          <w:highlight w:val="none"/>
          <w:u w:val="single"/>
        </w:rPr>
        <w:t xml:space="preserve"> （采购文件中明确的所属行业）</w:t>
      </w:r>
      <w:r>
        <w:rPr>
          <w:rFonts w:hint="eastAsia" w:ascii="宋体" w:hAnsi="宋体" w:cs="宋体"/>
          <w:bCs/>
          <w:color w:val="auto"/>
          <w:sz w:val="22"/>
          <w:szCs w:val="22"/>
          <w:highlight w:val="none"/>
        </w:rPr>
        <w:t>行业 ；承建（承接）企业为</w:t>
      </w:r>
      <w:r>
        <w:rPr>
          <w:rFonts w:hint="eastAsia" w:ascii="宋体" w:hAnsi="宋体" w:cs="宋体"/>
          <w:bCs/>
          <w:color w:val="auto"/>
          <w:sz w:val="22"/>
          <w:szCs w:val="22"/>
          <w:highlight w:val="none"/>
          <w:u w:val="single"/>
        </w:rPr>
        <w:t xml:space="preserve">（企业名称） </w:t>
      </w:r>
      <w:r>
        <w:rPr>
          <w:rFonts w:hint="eastAsia" w:ascii="宋体" w:hAnsi="宋体" w:cs="宋体"/>
          <w:bCs/>
          <w:color w:val="auto"/>
          <w:sz w:val="22"/>
          <w:szCs w:val="22"/>
          <w:highlight w:val="none"/>
        </w:rPr>
        <w:t>，从业人员</w:t>
      </w:r>
      <w:r>
        <w:rPr>
          <w:rFonts w:hint="eastAsia" w:ascii="宋体" w:hAnsi="宋体" w:cs="宋体"/>
          <w:bCs/>
          <w:color w:val="auto"/>
          <w:sz w:val="22"/>
          <w:szCs w:val="22"/>
          <w:highlight w:val="none"/>
          <w:u w:val="single"/>
        </w:rPr>
        <w:t xml:space="preserve">     </w:t>
      </w:r>
      <w:r>
        <w:rPr>
          <w:rFonts w:hint="eastAsia" w:ascii="宋体" w:hAnsi="宋体" w:cs="宋体"/>
          <w:bCs/>
          <w:color w:val="auto"/>
          <w:sz w:val="22"/>
          <w:szCs w:val="22"/>
          <w:highlight w:val="none"/>
        </w:rPr>
        <w:t>人，营业收入为</w:t>
      </w:r>
      <w:r>
        <w:rPr>
          <w:rFonts w:hint="eastAsia" w:ascii="宋体" w:hAnsi="宋体" w:cs="宋体"/>
          <w:bCs/>
          <w:color w:val="auto"/>
          <w:sz w:val="22"/>
          <w:szCs w:val="22"/>
          <w:highlight w:val="none"/>
          <w:u w:val="single"/>
        </w:rPr>
        <w:t xml:space="preserve">       </w:t>
      </w:r>
      <w:r>
        <w:rPr>
          <w:rFonts w:hint="eastAsia" w:ascii="宋体" w:hAnsi="宋体" w:cs="宋体"/>
          <w:bCs/>
          <w:color w:val="auto"/>
          <w:sz w:val="22"/>
          <w:szCs w:val="22"/>
          <w:highlight w:val="none"/>
        </w:rPr>
        <w:t>万元，资产总额为</w:t>
      </w:r>
      <w:r>
        <w:rPr>
          <w:rFonts w:hint="eastAsia" w:ascii="宋体" w:hAnsi="宋体" w:cs="宋体"/>
          <w:bCs/>
          <w:color w:val="auto"/>
          <w:sz w:val="22"/>
          <w:szCs w:val="22"/>
          <w:highlight w:val="none"/>
          <w:u w:val="single"/>
        </w:rPr>
        <w:t xml:space="preserve">       </w:t>
      </w:r>
      <w:r>
        <w:rPr>
          <w:rFonts w:hint="eastAsia" w:ascii="宋体" w:hAnsi="宋体" w:cs="宋体"/>
          <w:bCs/>
          <w:color w:val="auto"/>
          <w:sz w:val="22"/>
          <w:szCs w:val="22"/>
          <w:highlight w:val="none"/>
        </w:rPr>
        <w:t>万元，属于 （中型企业、小型企业、微型企业） ；</w:t>
      </w:r>
    </w:p>
    <w:p>
      <w:pPr>
        <w:widowControl/>
        <w:tabs>
          <w:tab w:val="left" w:pos="312"/>
        </w:tabs>
        <w:spacing w:line="500" w:lineRule="atLeast"/>
        <w:ind w:firstLine="440" w:firstLineChars="200"/>
        <w:jc w:val="left"/>
        <w:rPr>
          <w:rFonts w:hint="eastAsia" w:ascii="宋体" w:hAnsi="宋体" w:cs="宋体"/>
          <w:bCs/>
          <w:color w:val="auto"/>
          <w:sz w:val="22"/>
          <w:szCs w:val="22"/>
          <w:highlight w:val="none"/>
        </w:rPr>
      </w:pPr>
      <w:r>
        <w:rPr>
          <w:rFonts w:hint="eastAsia" w:ascii="宋体" w:hAnsi="宋体" w:cs="宋体"/>
          <w:bCs/>
          <w:color w:val="auto"/>
          <w:sz w:val="22"/>
          <w:szCs w:val="22"/>
          <w:highlight w:val="none"/>
        </w:rPr>
        <w:t>……</w:t>
      </w:r>
    </w:p>
    <w:p>
      <w:pPr>
        <w:widowControl/>
        <w:tabs>
          <w:tab w:val="left" w:pos="312"/>
        </w:tabs>
        <w:spacing w:line="500" w:lineRule="atLeast"/>
        <w:ind w:firstLine="440" w:firstLineChars="200"/>
        <w:jc w:val="left"/>
        <w:rPr>
          <w:rFonts w:hint="eastAsia" w:ascii="宋体" w:hAnsi="宋体" w:cs="宋体"/>
          <w:bCs/>
          <w:color w:val="auto"/>
          <w:sz w:val="22"/>
          <w:szCs w:val="22"/>
          <w:highlight w:val="none"/>
        </w:rPr>
      </w:pPr>
      <w:r>
        <w:rPr>
          <w:rFonts w:hint="eastAsia" w:ascii="宋体" w:hAnsi="宋体" w:cs="宋体"/>
          <w:bCs/>
          <w:color w:val="auto"/>
          <w:sz w:val="22"/>
          <w:szCs w:val="22"/>
          <w:highlight w:val="none"/>
        </w:rPr>
        <w:t>以上企业，不属于大企业的分支机构，不存在控股股东为大企业的情形，也不存在与大企业的负责人为同一人的情形。</w:t>
      </w:r>
    </w:p>
    <w:p>
      <w:pPr>
        <w:widowControl/>
        <w:tabs>
          <w:tab w:val="left" w:pos="312"/>
        </w:tabs>
        <w:spacing w:line="500" w:lineRule="atLeast"/>
        <w:ind w:firstLine="440" w:firstLineChars="200"/>
        <w:jc w:val="left"/>
        <w:rPr>
          <w:rFonts w:hint="eastAsia" w:ascii="宋体" w:hAnsi="宋体" w:cs="宋体"/>
          <w:bCs/>
          <w:color w:val="auto"/>
          <w:sz w:val="22"/>
          <w:szCs w:val="22"/>
          <w:highlight w:val="none"/>
        </w:rPr>
      </w:pPr>
      <w:r>
        <w:rPr>
          <w:rFonts w:hint="eastAsia" w:ascii="宋体" w:hAnsi="宋体" w:cs="宋体"/>
          <w:bCs/>
          <w:color w:val="auto"/>
          <w:sz w:val="22"/>
          <w:szCs w:val="22"/>
          <w:highlight w:val="none"/>
        </w:rPr>
        <w:t>本企业对上述声明内容的真实性负责。如有虚假，将依法承担相应责任。</w:t>
      </w:r>
    </w:p>
    <w:p>
      <w:pPr>
        <w:widowControl/>
        <w:spacing w:line="500" w:lineRule="atLeast"/>
        <w:ind w:firstLine="5669" w:firstLineChars="2577"/>
        <w:jc w:val="left"/>
        <w:rPr>
          <w:rFonts w:hint="eastAsia" w:ascii="宋体" w:hAnsi="宋体" w:cs="宋体"/>
          <w:bCs/>
          <w:color w:val="auto"/>
          <w:sz w:val="22"/>
          <w:szCs w:val="22"/>
          <w:highlight w:val="none"/>
        </w:rPr>
      </w:pPr>
      <w:r>
        <w:rPr>
          <w:rFonts w:hint="eastAsia" w:ascii="宋体" w:hAnsi="宋体" w:cs="宋体"/>
          <w:bCs/>
          <w:color w:val="auto"/>
          <w:sz w:val="22"/>
          <w:szCs w:val="22"/>
          <w:highlight w:val="none"/>
        </w:rPr>
        <w:t>企业名称（盖章）：</w:t>
      </w:r>
    </w:p>
    <w:p>
      <w:pPr>
        <w:widowControl/>
        <w:spacing w:line="500" w:lineRule="atLeast"/>
        <w:ind w:firstLine="5669" w:firstLineChars="2577"/>
        <w:jc w:val="left"/>
        <w:rPr>
          <w:rFonts w:hint="eastAsia" w:ascii="宋体" w:hAnsi="宋体" w:cs="宋体"/>
          <w:bCs/>
          <w:color w:val="auto"/>
          <w:sz w:val="22"/>
          <w:szCs w:val="22"/>
          <w:highlight w:val="none"/>
        </w:rPr>
      </w:pPr>
      <w:r>
        <w:rPr>
          <w:rFonts w:hint="eastAsia" w:ascii="宋体" w:hAnsi="宋体" w:cs="宋体"/>
          <w:bCs/>
          <w:color w:val="auto"/>
          <w:sz w:val="22"/>
          <w:szCs w:val="22"/>
          <w:highlight w:val="none"/>
        </w:rPr>
        <w:t>日 期：</w:t>
      </w:r>
    </w:p>
    <w:p>
      <w:pPr>
        <w:widowControl/>
        <w:tabs>
          <w:tab w:val="left" w:pos="312"/>
        </w:tabs>
        <w:spacing w:before="100" w:beforeAutospacing="1" w:after="100" w:afterAutospacing="1" w:line="440" w:lineRule="atLeast"/>
        <w:jc w:val="left"/>
        <w:rPr>
          <w:rFonts w:hint="eastAsia" w:ascii="宋体" w:hAnsi="宋体" w:cs="宋体"/>
          <w:bCs/>
          <w:color w:val="auto"/>
          <w:sz w:val="18"/>
          <w:szCs w:val="18"/>
          <w:highlight w:val="none"/>
        </w:rPr>
      </w:pPr>
    </w:p>
    <w:p>
      <w:pPr>
        <w:widowControl/>
        <w:tabs>
          <w:tab w:val="left" w:pos="312"/>
        </w:tabs>
        <w:spacing w:before="100" w:beforeAutospacing="1" w:after="100" w:afterAutospacing="1" w:line="440" w:lineRule="atLeast"/>
        <w:jc w:val="left"/>
        <w:rPr>
          <w:rFonts w:hint="eastAsia" w:ascii="宋体" w:hAnsi="宋体" w:cs="宋体"/>
          <w:bCs/>
          <w:color w:val="auto"/>
          <w:sz w:val="18"/>
          <w:szCs w:val="18"/>
          <w:highlight w:val="none"/>
        </w:rPr>
      </w:pPr>
    </w:p>
    <w:p>
      <w:pPr>
        <w:widowControl/>
        <w:tabs>
          <w:tab w:val="left" w:pos="312"/>
        </w:tabs>
        <w:spacing w:before="100" w:beforeAutospacing="1" w:after="100" w:afterAutospacing="1" w:line="440" w:lineRule="atLeast"/>
        <w:jc w:val="left"/>
        <w:rPr>
          <w:rFonts w:hint="eastAsia" w:ascii="宋体" w:hAnsi="宋体" w:cs="宋体"/>
          <w:bCs/>
          <w:color w:val="auto"/>
          <w:sz w:val="18"/>
          <w:szCs w:val="18"/>
          <w:highlight w:val="none"/>
        </w:rPr>
      </w:pPr>
    </w:p>
    <w:p>
      <w:pPr>
        <w:widowControl/>
        <w:tabs>
          <w:tab w:val="left" w:pos="312"/>
        </w:tabs>
        <w:spacing w:before="100" w:beforeAutospacing="1" w:after="100" w:afterAutospacing="1" w:line="440" w:lineRule="atLeast"/>
        <w:jc w:val="left"/>
        <w:rPr>
          <w:rFonts w:hint="eastAsia" w:ascii="宋体" w:hAnsi="宋体" w:cs="宋体"/>
          <w:bCs/>
          <w:color w:val="auto"/>
          <w:sz w:val="18"/>
          <w:szCs w:val="18"/>
          <w:highlight w:val="none"/>
        </w:rPr>
      </w:pPr>
    </w:p>
    <w:p>
      <w:pPr>
        <w:widowControl/>
        <w:spacing w:before="100" w:beforeAutospacing="1" w:after="100" w:afterAutospacing="1" w:line="440" w:lineRule="atLeast"/>
        <w:jc w:val="left"/>
        <w:rPr>
          <w:rFonts w:hint="eastAsia" w:ascii="宋体" w:hAnsi="宋体" w:cs="宋体"/>
          <w:b/>
          <w:color w:val="auto"/>
          <w:sz w:val="24"/>
          <w:highlight w:val="none"/>
        </w:rPr>
      </w:pPr>
      <w:r>
        <w:rPr>
          <w:rFonts w:hint="eastAsia" w:ascii="宋体" w:hAnsi="宋体" w:cs="宋体"/>
          <w:bCs/>
          <w:color w:val="auto"/>
          <w:sz w:val="18"/>
          <w:szCs w:val="18"/>
          <w:highlight w:val="none"/>
        </w:rPr>
        <w:t>注1.从业人员、营业收入、资产总额填报上一年度数据，无上一年度数据的新成立企业可不填报。</w:t>
      </w:r>
    </w:p>
    <w:p>
      <w:pPr>
        <w:widowControl/>
        <w:spacing w:before="100" w:beforeAutospacing="1" w:after="100" w:afterAutospacing="1" w:line="440" w:lineRule="atLeast"/>
        <w:jc w:val="left"/>
        <w:rPr>
          <w:rFonts w:hint="eastAsia" w:ascii="宋体" w:hAnsi="宋体" w:cs="宋体"/>
          <w:b/>
          <w:color w:val="auto"/>
          <w:sz w:val="24"/>
          <w:highlight w:val="none"/>
        </w:rPr>
      </w:pPr>
      <w:r>
        <w:rPr>
          <w:rFonts w:hint="eastAsia" w:ascii="宋体" w:hAnsi="宋体" w:cs="宋体"/>
          <w:b/>
          <w:color w:val="auto"/>
          <w:sz w:val="24"/>
          <w:highlight w:val="none"/>
        </w:rPr>
        <w:br w:type="page"/>
      </w:r>
      <w:r>
        <w:rPr>
          <w:rFonts w:hint="eastAsia" w:ascii="宋体" w:hAnsi="宋体" w:cs="宋体"/>
          <w:b/>
          <w:color w:val="auto"/>
          <w:sz w:val="24"/>
          <w:highlight w:val="none"/>
        </w:rPr>
        <w:t>附件2</w:t>
      </w:r>
    </w:p>
    <w:p>
      <w:pPr>
        <w:widowControl/>
        <w:spacing w:before="100" w:beforeAutospacing="1" w:after="100" w:afterAutospacing="1" w:line="440" w:lineRule="atLeast"/>
        <w:jc w:val="center"/>
        <w:rPr>
          <w:rFonts w:hint="eastAsia" w:ascii="宋体" w:hAnsi="宋体" w:cs="宋体"/>
          <w:b/>
          <w:bCs/>
          <w:color w:val="auto"/>
          <w:sz w:val="24"/>
          <w:highlight w:val="none"/>
        </w:rPr>
      </w:pPr>
      <w:bookmarkStart w:id="47" w:name="OLE_LINK14"/>
      <w:bookmarkStart w:id="48" w:name="OLE_LINK13"/>
      <w:r>
        <w:rPr>
          <w:rFonts w:hint="eastAsia" w:ascii="宋体" w:hAnsi="宋体" w:cs="宋体"/>
          <w:b/>
          <w:bCs/>
          <w:color w:val="auto"/>
          <w:sz w:val="24"/>
          <w:highlight w:val="none"/>
        </w:rPr>
        <w:t>残疾人福利性单位声明函</w:t>
      </w:r>
    </w:p>
    <w:bookmarkEnd w:id="47"/>
    <w:bookmarkEnd w:id="48"/>
    <w:p>
      <w:pPr>
        <w:spacing w:line="588" w:lineRule="exact"/>
        <w:rPr>
          <w:rFonts w:hint="eastAsia" w:ascii="宋体" w:hAnsi="宋体" w:cs="宋体"/>
          <w:b/>
          <w:color w:val="auto"/>
          <w:spacing w:val="6"/>
          <w:sz w:val="30"/>
          <w:szCs w:val="30"/>
          <w:highlight w:val="none"/>
        </w:rPr>
      </w:pPr>
    </w:p>
    <w:p>
      <w:pPr>
        <w:spacing w:line="588" w:lineRule="exact"/>
        <w:ind w:firstLine="464" w:firstLineChars="200"/>
        <w:rPr>
          <w:rFonts w:hint="eastAsia" w:ascii="宋体" w:hAnsi="宋体" w:cs="宋体"/>
          <w:color w:val="auto"/>
          <w:spacing w:val="6"/>
          <w:sz w:val="22"/>
          <w:szCs w:val="22"/>
          <w:highlight w:val="none"/>
        </w:rPr>
      </w:pPr>
      <w:r>
        <w:rPr>
          <w:rFonts w:hint="eastAsia" w:ascii="宋体" w:hAnsi="宋体" w:cs="宋体"/>
          <w:color w:val="auto"/>
          <w:spacing w:val="6"/>
          <w:sz w:val="22"/>
          <w:szCs w:val="22"/>
          <w:highlight w:val="none"/>
        </w:rPr>
        <w:t>本单位郑重声明，根据《财政部 民政部 中国残疾人联合会关于促进残疾人就业政府采购政策的通知》（财库</w:t>
      </w:r>
      <w:r>
        <w:rPr>
          <w:rFonts w:hint="eastAsia" w:ascii="宋体" w:hAnsi="宋体" w:cs="宋体"/>
          <w:color w:val="auto"/>
          <w:sz w:val="22"/>
          <w:szCs w:val="22"/>
          <w:highlight w:val="none"/>
        </w:rPr>
        <w:t>〔2017〕 141</w:t>
      </w:r>
      <w:r>
        <w:rPr>
          <w:rFonts w:hint="eastAsia" w:ascii="宋体" w:hAnsi="宋体" w:cs="宋体"/>
          <w:color w:val="auto"/>
          <w:spacing w:val="6"/>
          <w:sz w:val="22"/>
          <w:szCs w:val="22"/>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64" w:firstLineChars="200"/>
        <w:rPr>
          <w:rFonts w:hint="eastAsia" w:ascii="宋体" w:hAnsi="宋体" w:cs="宋体"/>
          <w:color w:val="auto"/>
          <w:spacing w:val="6"/>
          <w:sz w:val="22"/>
          <w:szCs w:val="22"/>
          <w:highlight w:val="none"/>
        </w:rPr>
      </w:pPr>
      <w:r>
        <w:rPr>
          <w:rFonts w:hint="eastAsia" w:ascii="宋体" w:hAnsi="宋体" w:cs="宋体"/>
          <w:color w:val="auto"/>
          <w:spacing w:val="6"/>
          <w:sz w:val="22"/>
          <w:szCs w:val="22"/>
          <w:highlight w:val="none"/>
        </w:rPr>
        <w:t>本单位对上述声明的真实性负责。如有虚假，将依法承担相应责任。</w:t>
      </w:r>
    </w:p>
    <w:p>
      <w:pPr>
        <w:spacing w:line="588" w:lineRule="exact"/>
        <w:ind w:firstLine="464" w:firstLineChars="200"/>
        <w:rPr>
          <w:rFonts w:hint="eastAsia" w:ascii="宋体" w:hAnsi="宋体" w:cs="宋体"/>
          <w:color w:val="auto"/>
          <w:spacing w:val="6"/>
          <w:sz w:val="22"/>
          <w:szCs w:val="22"/>
          <w:highlight w:val="none"/>
        </w:rPr>
      </w:pPr>
    </w:p>
    <w:p>
      <w:pPr>
        <w:tabs>
          <w:tab w:val="left" w:pos="4860"/>
        </w:tabs>
        <w:spacing w:line="588" w:lineRule="exact"/>
        <w:ind w:right="1560" w:firstLine="464" w:firstLineChars="200"/>
        <w:rPr>
          <w:rFonts w:hint="eastAsia" w:ascii="宋体" w:hAnsi="宋体" w:cs="宋体"/>
          <w:color w:val="auto"/>
          <w:spacing w:val="6"/>
          <w:sz w:val="22"/>
          <w:szCs w:val="22"/>
          <w:highlight w:val="none"/>
        </w:rPr>
      </w:pPr>
    </w:p>
    <w:p>
      <w:pPr>
        <w:tabs>
          <w:tab w:val="left" w:pos="4860"/>
        </w:tabs>
        <w:spacing w:line="588" w:lineRule="exact"/>
        <w:ind w:right="1560" w:firstLine="464" w:firstLineChars="200"/>
        <w:rPr>
          <w:rFonts w:hint="eastAsia" w:ascii="宋体" w:hAnsi="宋体" w:cs="宋体"/>
          <w:color w:val="auto"/>
          <w:spacing w:val="6"/>
          <w:sz w:val="22"/>
          <w:szCs w:val="22"/>
          <w:highlight w:val="none"/>
        </w:rPr>
      </w:pPr>
      <w:r>
        <w:rPr>
          <w:rFonts w:hint="eastAsia" w:ascii="宋体" w:hAnsi="宋体" w:cs="宋体"/>
          <w:color w:val="auto"/>
          <w:spacing w:val="6"/>
          <w:sz w:val="22"/>
          <w:szCs w:val="22"/>
          <w:highlight w:val="none"/>
        </w:rPr>
        <w:t>投标人全称（盖章）：</w:t>
      </w:r>
    </w:p>
    <w:p>
      <w:pPr>
        <w:tabs>
          <w:tab w:val="left" w:pos="4860"/>
        </w:tabs>
        <w:spacing w:line="588" w:lineRule="exact"/>
        <w:ind w:right="1560" w:firstLine="464" w:firstLineChars="200"/>
        <w:rPr>
          <w:rFonts w:hint="eastAsia" w:ascii="宋体" w:hAnsi="宋体" w:cs="宋体"/>
          <w:color w:val="auto"/>
          <w:spacing w:val="6"/>
          <w:sz w:val="22"/>
          <w:szCs w:val="22"/>
          <w:highlight w:val="none"/>
        </w:rPr>
      </w:pPr>
      <w:r>
        <w:rPr>
          <w:rFonts w:hint="eastAsia" w:ascii="宋体" w:hAnsi="宋体" w:cs="宋体"/>
          <w:color w:val="auto"/>
          <w:spacing w:val="6"/>
          <w:sz w:val="22"/>
          <w:szCs w:val="22"/>
          <w:highlight w:val="none"/>
        </w:rPr>
        <w:t>日  期：</w:t>
      </w:r>
    </w:p>
    <w:p>
      <w:pPr>
        <w:tabs>
          <w:tab w:val="left" w:pos="4860"/>
        </w:tabs>
        <w:spacing w:line="588" w:lineRule="exact"/>
        <w:ind w:right="1560" w:firstLine="464" w:firstLineChars="200"/>
        <w:jc w:val="center"/>
        <w:rPr>
          <w:rFonts w:hint="eastAsia" w:ascii="宋体" w:hAnsi="宋体" w:cs="宋体"/>
          <w:color w:val="auto"/>
          <w:spacing w:val="6"/>
          <w:sz w:val="22"/>
          <w:szCs w:val="22"/>
          <w:highlight w:val="none"/>
        </w:rPr>
      </w:pPr>
    </w:p>
    <w:p>
      <w:pPr>
        <w:tabs>
          <w:tab w:val="left" w:pos="4860"/>
        </w:tabs>
        <w:spacing w:line="588" w:lineRule="exact"/>
        <w:ind w:right="1560" w:firstLine="464" w:firstLineChars="200"/>
        <w:jc w:val="center"/>
        <w:rPr>
          <w:rFonts w:hint="eastAsia" w:ascii="宋体" w:hAnsi="宋体" w:cs="宋体"/>
          <w:color w:val="auto"/>
          <w:spacing w:val="6"/>
          <w:sz w:val="22"/>
          <w:szCs w:val="22"/>
          <w:highlight w:val="none"/>
        </w:rPr>
      </w:pPr>
    </w:p>
    <w:p>
      <w:pPr>
        <w:tabs>
          <w:tab w:val="left" w:pos="4860"/>
        </w:tabs>
        <w:spacing w:line="588" w:lineRule="exact"/>
        <w:ind w:right="1560"/>
        <w:jc w:val="left"/>
        <w:rPr>
          <w:rFonts w:hint="eastAsia" w:ascii="宋体" w:hAnsi="宋体" w:cs="宋体"/>
          <w:b/>
          <w:color w:val="auto"/>
          <w:sz w:val="22"/>
          <w:szCs w:val="22"/>
          <w:highlight w:val="none"/>
        </w:rPr>
      </w:pPr>
      <w:r>
        <w:rPr>
          <w:rFonts w:hint="eastAsia" w:ascii="宋体" w:hAnsi="宋体" w:cs="宋体"/>
          <w:b/>
          <w:color w:val="auto"/>
          <w:sz w:val="22"/>
          <w:szCs w:val="22"/>
          <w:highlight w:val="none"/>
        </w:rPr>
        <w:t>备注说明：</w:t>
      </w:r>
    </w:p>
    <w:p>
      <w:pPr>
        <w:numPr>
          <w:ilvl w:val="2"/>
          <w:numId w:val="18"/>
        </w:numPr>
        <w:tabs>
          <w:tab w:val="left" w:pos="0"/>
        </w:tabs>
        <w:spacing w:line="588" w:lineRule="exact"/>
        <w:ind w:left="0" w:right="114" w:firstLine="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如中标，将在中标公示中将此残疾人福利性单位声明函予以公示，接受社会监督。</w:t>
      </w:r>
    </w:p>
    <w:p>
      <w:pPr>
        <w:numPr>
          <w:ilvl w:val="2"/>
          <w:numId w:val="18"/>
        </w:numPr>
        <w:tabs>
          <w:tab w:val="left" w:pos="0"/>
        </w:tabs>
        <w:spacing w:line="588" w:lineRule="exact"/>
        <w:ind w:left="0" w:right="114" w:firstLine="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投标人提供的《残疾人福利性单位声明函》与事实不符的，依照《政府采购法》第七十七条第一款的规定追究法律责任。</w:t>
      </w:r>
    </w:p>
    <w:p>
      <w:pPr>
        <w:spacing w:line="440" w:lineRule="atLeast"/>
        <w:rPr>
          <w:rFonts w:ascii="新宋体" w:hAnsi="新宋体" w:eastAsia="新宋体"/>
          <w:b/>
          <w:color w:val="auto"/>
          <w:sz w:val="24"/>
          <w:highlight w:val="none"/>
        </w:rPr>
      </w:pPr>
    </w:p>
    <w:p>
      <w:pPr>
        <w:pStyle w:val="3"/>
        <w:numPr>
          <w:ilvl w:val="0"/>
          <w:numId w:val="19"/>
        </w:numPr>
        <w:rPr>
          <w:rFonts w:hint="eastAsia" w:ascii="新宋体" w:hAnsi="新宋体" w:eastAsia="新宋体"/>
          <w:color w:val="auto"/>
          <w:sz w:val="36"/>
          <w:szCs w:val="36"/>
          <w:highlight w:val="none"/>
        </w:rPr>
      </w:pPr>
      <w:r>
        <w:rPr>
          <w:rFonts w:hint="eastAsia" w:ascii="新宋体" w:hAnsi="新宋体" w:eastAsia="新宋体"/>
          <w:color w:val="auto"/>
          <w:sz w:val="36"/>
          <w:szCs w:val="36"/>
          <w:highlight w:val="none"/>
        </w:rPr>
        <w:br w:type="page"/>
      </w:r>
      <w:bookmarkStart w:id="49" w:name="_Toc26867"/>
      <w:r>
        <w:rPr>
          <w:rFonts w:hint="eastAsia" w:ascii="新宋体" w:hAnsi="新宋体" w:eastAsia="新宋体"/>
          <w:color w:val="auto"/>
          <w:sz w:val="36"/>
          <w:szCs w:val="36"/>
          <w:highlight w:val="none"/>
        </w:rPr>
        <w:t xml:space="preserve">  合同条款及格式</w:t>
      </w:r>
      <w:bookmarkEnd w:id="49"/>
    </w:p>
    <w:p>
      <w:pPr>
        <w:spacing w:line="440" w:lineRule="exact"/>
        <w:ind w:firstLine="440" w:firstLineChars="200"/>
        <w:rPr>
          <w:rFonts w:ascii="新宋体" w:hAnsi="新宋体" w:eastAsia="新宋体" w:cs="宋体"/>
          <w:color w:val="auto"/>
          <w:sz w:val="22"/>
          <w:szCs w:val="22"/>
          <w:highlight w:val="none"/>
        </w:rPr>
      </w:pPr>
      <w:bookmarkStart w:id="50" w:name="_Toc5314"/>
      <w:bookmarkStart w:id="51" w:name="_Toc21106"/>
      <w:bookmarkStart w:id="52" w:name="_Toc12546"/>
      <w:bookmarkStart w:id="53" w:name="_Toc223716002"/>
      <w:bookmarkStart w:id="54" w:name="_Toc221356955"/>
      <w:bookmarkStart w:id="55" w:name="_Toc239145358"/>
      <w:bookmarkStart w:id="56" w:name="_Toc221423623"/>
      <w:bookmarkStart w:id="57" w:name="_Toc296602498"/>
      <w:bookmarkStart w:id="58" w:name="_Toc247085768"/>
      <w:bookmarkStart w:id="59" w:name="_Toc246996253"/>
      <w:bookmarkStart w:id="60" w:name="_Toc246996996"/>
      <w:bookmarkStart w:id="61" w:name="_Toc265529387"/>
      <w:bookmarkStart w:id="62" w:name="_Toc152045610"/>
      <w:bookmarkStart w:id="63" w:name="_Toc152042388"/>
      <w:bookmarkStart w:id="64" w:name="_Toc222114883"/>
      <w:bookmarkStart w:id="65" w:name="_Toc221374630"/>
      <w:bookmarkStart w:id="66" w:name="_Toc144974578"/>
      <w:bookmarkStart w:id="67" w:name="_Toc179632628"/>
      <w:bookmarkStart w:id="68" w:name="_Toc221356891"/>
      <w:bookmarkStart w:id="69" w:name="_Toc241404206"/>
      <w:r>
        <w:rPr>
          <w:rFonts w:hint="eastAsia" w:ascii="新宋体" w:hAnsi="新宋体" w:eastAsia="新宋体" w:cs="宋体"/>
          <w:color w:val="auto"/>
          <w:sz w:val="22"/>
          <w:szCs w:val="22"/>
          <w:highlight w:val="none"/>
        </w:rPr>
        <w:t>说明：如甲、乙双方同意，合同格式也可以按照其他形式。但合同条款的主要内容应与《中标合同》要求的内容相一致。</w:t>
      </w:r>
    </w:p>
    <w:p>
      <w:pPr>
        <w:rPr>
          <w:rFonts w:ascii="新宋体" w:hAnsi="新宋体" w:eastAsia="新宋体" w:cs="宋体"/>
          <w:color w:val="auto"/>
          <w:sz w:val="22"/>
          <w:szCs w:val="22"/>
          <w:highlight w:val="none"/>
        </w:rPr>
      </w:pPr>
    </w:p>
    <w:p>
      <w:pPr>
        <w:autoSpaceDE w:val="0"/>
        <w:autoSpaceDN w:val="0"/>
        <w:spacing w:line="440" w:lineRule="exact"/>
        <w:jc w:val="center"/>
        <w:textAlignment w:val="bottom"/>
        <w:rPr>
          <w:rFonts w:ascii="新宋体" w:hAnsi="新宋体" w:eastAsia="新宋体" w:cs="宋体"/>
          <w:color w:val="auto"/>
          <w:sz w:val="22"/>
          <w:szCs w:val="22"/>
          <w:highlight w:val="none"/>
        </w:rPr>
      </w:pPr>
    </w:p>
    <w:p>
      <w:pPr>
        <w:autoSpaceDE w:val="0"/>
        <w:autoSpaceDN w:val="0"/>
        <w:spacing w:line="500" w:lineRule="atLeast"/>
        <w:jc w:val="center"/>
        <w:textAlignment w:val="bottom"/>
        <w:rPr>
          <w:rFonts w:ascii="新宋体" w:hAnsi="新宋体" w:eastAsia="新宋体" w:cs="宋体"/>
          <w:color w:val="auto"/>
          <w:sz w:val="22"/>
          <w:szCs w:val="22"/>
          <w:highlight w:val="none"/>
        </w:rPr>
      </w:pPr>
      <w:r>
        <w:rPr>
          <w:rFonts w:hint="eastAsia" w:ascii="新宋体" w:hAnsi="新宋体" w:eastAsia="新宋体" w:cs="宋体"/>
          <w:color w:val="auto"/>
          <w:sz w:val="22"/>
          <w:szCs w:val="22"/>
          <w:highlight w:val="none"/>
        </w:rPr>
        <w:t>中标合同</w:t>
      </w:r>
    </w:p>
    <w:p>
      <w:pPr>
        <w:autoSpaceDE w:val="0"/>
        <w:autoSpaceDN w:val="0"/>
        <w:spacing w:line="500" w:lineRule="atLeast"/>
        <w:jc w:val="center"/>
        <w:textAlignment w:val="bottom"/>
        <w:rPr>
          <w:rFonts w:ascii="新宋体" w:hAnsi="新宋体" w:eastAsia="新宋体" w:cs="宋体"/>
          <w:color w:val="auto"/>
          <w:sz w:val="22"/>
          <w:szCs w:val="22"/>
          <w:highlight w:val="none"/>
        </w:rPr>
      </w:pPr>
    </w:p>
    <w:p>
      <w:pPr>
        <w:autoSpaceDE w:val="0"/>
        <w:autoSpaceDN w:val="0"/>
        <w:spacing w:line="580" w:lineRule="atLeast"/>
        <w:textAlignment w:val="bottom"/>
        <w:rPr>
          <w:rFonts w:ascii="新宋体" w:hAnsi="新宋体" w:eastAsia="新宋体" w:cs="宋体"/>
          <w:color w:val="auto"/>
          <w:sz w:val="22"/>
          <w:szCs w:val="22"/>
          <w:highlight w:val="none"/>
        </w:rPr>
      </w:pPr>
      <w:r>
        <w:rPr>
          <w:rFonts w:hint="eastAsia" w:ascii="新宋体" w:hAnsi="新宋体" w:eastAsia="新宋体" w:cs="宋体"/>
          <w:color w:val="auto"/>
          <w:sz w:val="22"/>
          <w:szCs w:val="22"/>
          <w:highlight w:val="none"/>
        </w:rPr>
        <w:tab/>
      </w:r>
      <w:r>
        <w:rPr>
          <w:rFonts w:hint="eastAsia" w:ascii="新宋体" w:hAnsi="新宋体" w:eastAsia="新宋体" w:cs="宋体"/>
          <w:color w:val="auto"/>
          <w:sz w:val="22"/>
          <w:szCs w:val="22"/>
          <w:highlight w:val="none"/>
        </w:rPr>
        <w:tab/>
      </w:r>
      <w:r>
        <w:rPr>
          <w:rFonts w:hint="eastAsia" w:ascii="新宋体" w:hAnsi="新宋体" w:eastAsia="新宋体" w:cs="宋体"/>
          <w:color w:val="auto"/>
          <w:sz w:val="22"/>
          <w:szCs w:val="22"/>
          <w:highlight w:val="none"/>
        </w:rPr>
        <w:tab/>
      </w:r>
      <w:r>
        <w:rPr>
          <w:rFonts w:hint="eastAsia" w:ascii="新宋体" w:hAnsi="新宋体" w:eastAsia="新宋体" w:cs="宋体"/>
          <w:color w:val="auto"/>
          <w:sz w:val="22"/>
          <w:szCs w:val="22"/>
          <w:highlight w:val="none"/>
        </w:rPr>
        <w:tab/>
      </w:r>
      <w:r>
        <w:rPr>
          <w:rFonts w:hint="eastAsia" w:ascii="新宋体" w:hAnsi="新宋体" w:eastAsia="新宋体" w:cs="宋体"/>
          <w:color w:val="auto"/>
          <w:sz w:val="22"/>
          <w:szCs w:val="22"/>
          <w:highlight w:val="none"/>
        </w:rPr>
        <w:t xml:space="preserve">项目名称：----------------------                                                                                           </w:t>
      </w:r>
    </w:p>
    <w:p>
      <w:pPr>
        <w:autoSpaceDE w:val="0"/>
        <w:autoSpaceDN w:val="0"/>
        <w:spacing w:line="580" w:lineRule="atLeast"/>
        <w:textAlignment w:val="bottom"/>
        <w:rPr>
          <w:rFonts w:ascii="新宋体" w:hAnsi="新宋体" w:eastAsia="新宋体" w:cs="宋体"/>
          <w:color w:val="auto"/>
          <w:sz w:val="22"/>
          <w:szCs w:val="22"/>
          <w:highlight w:val="none"/>
        </w:rPr>
      </w:pPr>
      <w:r>
        <w:rPr>
          <w:rFonts w:hint="eastAsia" w:ascii="新宋体" w:hAnsi="新宋体" w:eastAsia="新宋体" w:cs="宋体"/>
          <w:color w:val="auto"/>
          <w:sz w:val="22"/>
          <w:szCs w:val="22"/>
          <w:highlight w:val="none"/>
        </w:rPr>
        <w:tab/>
      </w:r>
      <w:r>
        <w:rPr>
          <w:rFonts w:hint="eastAsia" w:ascii="新宋体" w:hAnsi="新宋体" w:eastAsia="新宋体" w:cs="宋体"/>
          <w:color w:val="auto"/>
          <w:sz w:val="22"/>
          <w:szCs w:val="22"/>
          <w:highlight w:val="none"/>
        </w:rPr>
        <w:tab/>
      </w:r>
      <w:r>
        <w:rPr>
          <w:rFonts w:hint="eastAsia" w:ascii="新宋体" w:hAnsi="新宋体" w:eastAsia="新宋体" w:cs="宋体"/>
          <w:color w:val="auto"/>
          <w:sz w:val="22"/>
          <w:szCs w:val="22"/>
          <w:highlight w:val="none"/>
        </w:rPr>
        <w:tab/>
      </w:r>
      <w:r>
        <w:rPr>
          <w:rFonts w:hint="eastAsia" w:ascii="新宋体" w:hAnsi="新宋体" w:eastAsia="新宋体" w:cs="宋体"/>
          <w:color w:val="auto"/>
          <w:sz w:val="22"/>
          <w:szCs w:val="22"/>
          <w:highlight w:val="none"/>
        </w:rPr>
        <w:tab/>
      </w:r>
      <w:r>
        <w:rPr>
          <w:rFonts w:hint="eastAsia" w:ascii="新宋体" w:hAnsi="新宋体" w:eastAsia="新宋体" w:cs="宋体"/>
          <w:color w:val="auto"/>
          <w:sz w:val="22"/>
          <w:szCs w:val="22"/>
          <w:highlight w:val="none"/>
        </w:rPr>
        <w:t xml:space="preserve">项目编号：----------------------                       </w:t>
      </w:r>
    </w:p>
    <w:p>
      <w:pPr>
        <w:autoSpaceDE w:val="0"/>
        <w:autoSpaceDN w:val="0"/>
        <w:spacing w:line="580" w:lineRule="atLeast"/>
        <w:textAlignment w:val="bottom"/>
        <w:rPr>
          <w:rFonts w:ascii="新宋体" w:hAnsi="新宋体" w:eastAsia="新宋体" w:cs="宋体"/>
          <w:color w:val="auto"/>
          <w:sz w:val="22"/>
          <w:szCs w:val="22"/>
          <w:highlight w:val="none"/>
        </w:rPr>
      </w:pPr>
      <w:r>
        <w:rPr>
          <w:rFonts w:hint="eastAsia" w:ascii="新宋体" w:hAnsi="新宋体" w:eastAsia="新宋体" w:cs="宋体"/>
          <w:color w:val="auto"/>
          <w:sz w:val="22"/>
          <w:szCs w:val="22"/>
          <w:highlight w:val="none"/>
        </w:rPr>
        <w:tab/>
      </w:r>
      <w:r>
        <w:rPr>
          <w:rFonts w:hint="eastAsia" w:ascii="新宋体" w:hAnsi="新宋体" w:eastAsia="新宋体" w:cs="宋体"/>
          <w:color w:val="auto"/>
          <w:sz w:val="22"/>
          <w:szCs w:val="22"/>
          <w:highlight w:val="none"/>
        </w:rPr>
        <w:tab/>
      </w:r>
      <w:r>
        <w:rPr>
          <w:rFonts w:hint="eastAsia" w:ascii="新宋体" w:hAnsi="新宋体" w:eastAsia="新宋体" w:cs="宋体"/>
          <w:color w:val="auto"/>
          <w:sz w:val="22"/>
          <w:szCs w:val="22"/>
          <w:highlight w:val="none"/>
        </w:rPr>
        <w:tab/>
      </w:r>
      <w:r>
        <w:rPr>
          <w:rFonts w:hint="eastAsia" w:ascii="新宋体" w:hAnsi="新宋体" w:eastAsia="新宋体" w:cs="宋体"/>
          <w:color w:val="auto"/>
          <w:sz w:val="22"/>
          <w:szCs w:val="22"/>
          <w:highlight w:val="none"/>
        </w:rPr>
        <w:tab/>
      </w:r>
      <w:r>
        <w:rPr>
          <w:rFonts w:hint="eastAsia" w:ascii="新宋体" w:hAnsi="新宋体" w:eastAsia="新宋体" w:cs="宋体"/>
          <w:color w:val="auto"/>
          <w:sz w:val="22"/>
          <w:szCs w:val="22"/>
          <w:highlight w:val="none"/>
        </w:rPr>
        <w:t xml:space="preserve">合同编号：----------------------                        </w:t>
      </w:r>
    </w:p>
    <w:p>
      <w:pPr>
        <w:autoSpaceDE w:val="0"/>
        <w:autoSpaceDN w:val="0"/>
        <w:spacing w:line="580" w:lineRule="atLeast"/>
        <w:textAlignment w:val="bottom"/>
        <w:rPr>
          <w:rFonts w:ascii="新宋体" w:hAnsi="新宋体" w:eastAsia="新宋体" w:cs="宋体"/>
          <w:color w:val="auto"/>
          <w:sz w:val="22"/>
          <w:szCs w:val="22"/>
          <w:highlight w:val="none"/>
        </w:rPr>
      </w:pPr>
    </w:p>
    <w:p>
      <w:pPr>
        <w:autoSpaceDE w:val="0"/>
        <w:autoSpaceDN w:val="0"/>
        <w:spacing w:line="580" w:lineRule="atLeast"/>
        <w:textAlignment w:val="bottom"/>
        <w:rPr>
          <w:rFonts w:ascii="新宋体" w:hAnsi="新宋体" w:eastAsia="新宋体" w:cs="宋体"/>
          <w:color w:val="auto"/>
          <w:sz w:val="22"/>
          <w:szCs w:val="22"/>
          <w:highlight w:val="none"/>
        </w:rPr>
      </w:pPr>
    </w:p>
    <w:p>
      <w:pPr>
        <w:autoSpaceDE w:val="0"/>
        <w:autoSpaceDN w:val="0"/>
        <w:spacing w:line="580" w:lineRule="atLeast"/>
        <w:textAlignment w:val="bottom"/>
        <w:rPr>
          <w:rFonts w:ascii="新宋体" w:hAnsi="新宋体" w:eastAsia="新宋体" w:cs="宋体"/>
          <w:color w:val="auto"/>
          <w:sz w:val="22"/>
          <w:szCs w:val="22"/>
          <w:highlight w:val="none"/>
        </w:rPr>
      </w:pPr>
    </w:p>
    <w:p>
      <w:pPr>
        <w:autoSpaceDE w:val="0"/>
        <w:autoSpaceDN w:val="0"/>
        <w:spacing w:line="580" w:lineRule="atLeast"/>
        <w:textAlignment w:val="bottom"/>
        <w:rPr>
          <w:rFonts w:ascii="新宋体" w:hAnsi="新宋体" w:eastAsia="新宋体" w:cs="宋体"/>
          <w:color w:val="auto"/>
          <w:sz w:val="22"/>
          <w:szCs w:val="22"/>
          <w:highlight w:val="none"/>
        </w:rPr>
      </w:pPr>
    </w:p>
    <w:p>
      <w:pPr>
        <w:autoSpaceDE w:val="0"/>
        <w:autoSpaceDN w:val="0"/>
        <w:spacing w:line="580" w:lineRule="atLeast"/>
        <w:textAlignment w:val="bottom"/>
        <w:rPr>
          <w:rFonts w:ascii="新宋体" w:hAnsi="新宋体" w:eastAsia="新宋体" w:cs="宋体"/>
          <w:color w:val="auto"/>
          <w:sz w:val="22"/>
          <w:szCs w:val="22"/>
          <w:highlight w:val="none"/>
        </w:rPr>
      </w:pPr>
      <w:r>
        <w:rPr>
          <w:rFonts w:hint="eastAsia" w:ascii="新宋体" w:hAnsi="新宋体" w:eastAsia="新宋体" w:cs="宋体"/>
          <w:color w:val="auto"/>
          <w:sz w:val="22"/>
          <w:szCs w:val="22"/>
          <w:highlight w:val="none"/>
        </w:rPr>
        <w:tab/>
      </w:r>
      <w:r>
        <w:rPr>
          <w:rFonts w:hint="eastAsia" w:ascii="新宋体" w:hAnsi="新宋体" w:eastAsia="新宋体" w:cs="宋体"/>
          <w:color w:val="auto"/>
          <w:sz w:val="22"/>
          <w:szCs w:val="22"/>
          <w:highlight w:val="none"/>
        </w:rPr>
        <w:tab/>
      </w:r>
      <w:r>
        <w:rPr>
          <w:rFonts w:hint="eastAsia" w:ascii="新宋体" w:hAnsi="新宋体" w:eastAsia="新宋体" w:cs="宋体"/>
          <w:color w:val="auto"/>
          <w:sz w:val="22"/>
          <w:szCs w:val="22"/>
          <w:highlight w:val="none"/>
        </w:rPr>
        <w:tab/>
      </w:r>
      <w:r>
        <w:rPr>
          <w:rFonts w:hint="eastAsia" w:ascii="新宋体" w:hAnsi="新宋体" w:eastAsia="新宋体" w:cs="宋体"/>
          <w:color w:val="auto"/>
          <w:sz w:val="22"/>
          <w:szCs w:val="22"/>
          <w:highlight w:val="none"/>
        </w:rPr>
        <w:tab/>
      </w:r>
      <w:r>
        <w:rPr>
          <w:rFonts w:hint="eastAsia" w:ascii="新宋体" w:hAnsi="新宋体" w:eastAsia="新宋体" w:cs="宋体"/>
          <w:color w:val="auto"/>
          <w:sz w:val="22"/>
          <w:szCs w:val="22"/>
          <w:highlight w:val="none"/>
        </w:rPr>
        <w:t xml:space="preserve">甲    方：----------------------                       </w:t>
      </w:r>
    </w:p>
    <w:p>
      <w:pPr>
        <w:autoSpaceDE w:val="0"/>
        <w:autoSpaceDN w:val="0"/>
        <w:spacing w:line="580" w:lineRule="atLeast"/>
        <w:textAlignment w:val="bottom"/>
        <w:rPr>
          <w:rFonts w:ascii="新宋体" w:hAnsi="新宋体" w:eastAsia="新宋体" w:cs="宋体"/>
          <w:color w:val="auto"/>
          <w:sz w:val="22"/>
          <w:szCs w:val="22"/>
          <w:highlight w:val="none"/>
        </w:rPr>
      </w:pPr>
      <w:r>
        <w:rPr>
          <w:rFonts w:hint="eastAsia" w:ascii="新宋体" w:hAnsi="新宋体" w:eastAsia="新宋体" w:cs="宋体"/>
          <w:color w:val="auto"/>
          <w:sz w:val="22"/>
          <w:szCs w:val="22"/>
          <w:highlight w:val="none"/>
        </w:rPr>
        <w:tab/>
      </w:r>
      <w:r>
        <w:rPr>
          <w:rFonts w:hint="eastAsia" w:ascii="新宋体" w:hAnsi="新宋体" w:eastAsia="新宋体" w:cs="宋体"/>
          <w:color w:val="auto"/>
          <w:sz w:val="22"/>
          <w:szCs w:val="22"/>
          <w:highlight w:val="none"/>
        </w:rPr>
        <w:tab/>
      </w:r>
      <w:r>
        <w:rPr>
          <w:rFonts w:hint="eastAsia" w:ascii="新宋体" w:hAnsi="新宋体" w:eastAsia="新宋体" w:cs="宋体"/>
          <w:color w:val="auto"/>
          <w:sz w:val="22"/>
          <w:szCs w:val="22"/>
          <w:highlight w:val="none"/>
        </w:rPr>
        <w:tab/>
      </w:r>
      <w:r>
        <w:rPr>
          <w:rFonts w:hint="eastAsia" w:ascii="新宋体" w:hAnsi="新宋体" w:eastAsia="新宋体" w:cs="宋体"/>
          <w:color w:val="auto"/>
          <w:sz w:val="22"/>
          <w:szCs w:val="22"/>
          <w:highlight w:val="none"/>
        </w:rPr>
        <w:tab/>
      </w:r>
      <w:r>
        <w:rPr>
          <w:rFonts w:hint="eastAsia" w:ascii="新宋体" w:hAnsi="新宋体" w:eastAsia="新宋体" w:cs="宋体"/>
          <w:color w:val="auto"/>
          <w:sz w:val="22"/>
          <w:szCs w:val="22"/>
          <w:highlight w:val="none"/>
        </w:rPr>
        <w:t xml:space="preserve">乙    方：----------------------                     </w:t>
      </w:r>
    </w:p>
    <w:p>
      <w:pPr>
        <w:spacing w:line="460" w:lineRule="exact"/>
        <w:rPr>
          <w:rFonts w:ascii="新宋体" w:hAnsi="新宋体" w:eastAsia="新宋体" w:cs="宋体"/>
          <w:color w:val="auto"/>
          <w:sz w:val="22"/>
          <w:szCs w:val="22"/>
          <w:highlight w:val="none"/>
        </w:rPr>
      </w:pPr>
      <w:r>
        <w:rPr>
          <w:rFonts w:hint="eastAsia" w:ascii="新宋体" w:hAnsi="新宋体" w:eastAsia="新宋体" w:cs="宋体"/>
          <w:color w:val="auto"/>
          <w:sz w:val="22"/>
          <w:szCs w:val="22"/>
          <w:highlight w:val="none"/>
        </w:rPr>
        <w:tab/>
      </w:r>
      <w:r>
        <w:rPr>
          <w:rFonts w:hint="eastAsia" w:ascii="新宋体" w:hAnsi="新宋体" w:eastAsia="新宋体" w:cs="宋体"/>
          <w:color w:val="auto"/>
          <w:sz w:val="22"/>
          <w:szCs w:val="22"/>
          <w:highlight w:val="none"/>
        </w:rPr>
        <w:tab/>
      </w:r>
      <w:r>
        <w:rPr>
          <w:rFonts w:hint="eastAsia" w:ascii="新宋体" w:hAnsi="新宋体" w:eastAsia="新宋体" w:cs="宋体"/>
          <w:color w:val="auto"/>
          <w:sz w:val="22"/>
          <w:szCs w:val="22"/>
          <w:highlight w:val="none"/>
        </w:rPr>
        <w:tab/>
      </w:r>
      <w:r>
        <w:rPr>
          <w:rFonts w:hint="eastAsia" w:ascii="新宋体" w:hAnsi="新宋体" w:eastAsia="新宋体" w:cs="宋体"/>
          <w:color w:val="auto"/>
          <w:sz w:val="22"/>
          <w:szCs w:val="22"/>
          <w:highlight w:val="none"/>
        </w:rPr>
        <w:tab/>
      </w:r>
      <w:r>
        <w:rPr>
          <w:rFonts w:hint="eastAsia" w:ascii="新宋体" w:hAnsi="新宋体" w:eastAsia="新宋体" w:cs="宋体"/>
          <w:color w:val="auto"/>
          <w:sz w:val="22"/>
          <w:szCs w:val="22"/>
          <w:highlight w:val="none"/>
        </w:rPr>
        <w:t xml:space="preserve">签署日期：----------------------                       </w:t>
      </w:r>
    </w:p>
    <w:p>
      <w:pPr>
        <w:spacing w:line="360" w:lineRule="exact"/>
        <w:rPr>
          <w:rFonts w:ascii="新宋体" w:hAnsi="新宋体" w:eastAsia="新宋体" w:cs="宋体"/>
          <w:color w:val="auto"/>
          <w:sz w:val="22"/>
          <w:szCs w:val="22"/>
          <w:highlight w:val="none"/>
        </w:rPr>
      </w:pPr>
    </w:p>
    <w:p>
      <w:pPr>
        <w:spacing w:line="360" w:lineRule="exact"/>
        <w:rPr>
          <w:rFonts w:ascii="新宋体" w:hAnsi="新宋体" w:eastAsia="新宋体" w:cs="宋体"/>
          <w:color w:val="auto"/>
          <w:sz w:val="22"/>
          <w:szCs w:val="22"/>
          <w:highlight w:val="none"/>
        </w:rPr>
      </w:pPr>
    </w:p>
    <w:p>
      <w:pPr>
        <w:spacing w:line="440" w:lineRule="exact"/>
        <w:jc w:val="center"/>
        <w:rPr>
          <w:rFonts w:ascii="新宋体" w:hAnsi="新宋体" w:eastAsia="新宋体" w:cs="宋体"/>
          <w:color w:val="auto"/>
          <w:sz w:val="22"/>
          <w:szCs w:val="22"/>
          <w:highlight w:val="none"/>
        </w:rPr>
      </w:pPr>
    </w:p>
    <w:p>
      <w:pPr>
        <w:spacing w:line="440" w:lineRule="exact"/>
        <w:jc w:val="center"/>
        <w:rPr>
          <w:rFonts w:ascii="新宋体" w:hAnsi="新宋体" w:eastAsia="新宋体" w:cs="宋体"/>
          <w:color w:val="auto"/>
          <w:sz w:val="22"/>
          <w:szCs w:val="22"/>
          <w:highlight w:val="none"/>
        </w:rPr>
      </w:pPr>
    </w:p>
    <w:p>
      <w:pPr>
        <w:spacing w:line="440" w:lineRule="exact"/>
        <w:jc w:val="center"/>
        <w:rPr>
          <w:rFonts w:ascii="新宋体" w:hAnsi="新宋体" w:eastAsia="新宋体" w:cs="宋体"/>
          <w:color w:val="auto"/>
          <w:sz w:val="22"/>
          <w:szCs w:val="22"/>
          <w:highlight w:val="none"/>
        </w:rPr>
      </w:pPr>
    </w:p>
    <w:p>
      <w:pPr>
        <w:spacing w:line="440" w:lineRule="exact"/>
        <w:jc w:val="center"/>
        <w:rPr>
          <w:rFonts w:ascii="新宋体" w:hAnsi="新宋体" w:eastAsia="新宋体" w:cs="宋体"/>
          <w:color w:val="auto"/>
          <w:sz w:val="22"/>
          <w:szCs w:val="22"/>
          <w:highlight w:val="none"/>
        </w:rPr>
      </w:pPr>
    </w:p>
    <w:p>
      <w:pPr>
        <w:spacing w:line="440" w:lineRule="exact"/>
        <w:jc w:val="center"/>
        <w:rPr>
          <w:rFonts w:ascii="新宋体" w:hAnsi="新宋体" w:eastAsia="新宋体" w:cs="宋体"/>
          <w:color w:val="auto"/>
          <w:sz w:val="22"/>
          <w:szCs w:val="22"/>
          <w:highlight w:val="none"/>
        </w:rPr>
      </w:pPr>
    </w:p>
    <w:p>
      <w:pPr>
        <w:spacing w:line="440" w:lineRule="exact"/>
        <w:jc w:val="center"/>
        <w:rPr>
          <w:rFonts w:ascii="新宋体" w:hAnsi="新宋体" w:eastAsia="新宋体" w:cs="宋体"/>
          <w:color w:val="auto"/>
          <w:sz w:val="22"/>
          <w:szCs w:val="22"/>
          <w:highlight w:val="none"/>
        </w:rPr>
      </w:pPr>
    </w:p>
    <w:p>
      <w:pPr>
        <w:spacing w:line="440" w:lineRule="exact"/>
        <w:jc w:val="center"/>
        <w:rPr>
          <w:rFonts w:ascii="新宋体" w:hAnsi="新宋体" w:eastAsia="新宋体" w:cs="宋体"/>
          <w:color w:val="auto"/>
          <w:sz w:val="22"/>
          <w:szCs w:val="22"/>
          <w:highlight w:val="none"/>
        </w:rPr>
      </w:pPr>
    </w:p>
    <w:p>
      <w:pPr>
        <w:spacing w:line="440" w:lineRule="exact"/>
        <w:jc w:val="center"/>
        <w:rPr>
          <w:rFonts w:ascii="新宋体" w:hAnsi="新宋体" w:eastAsia="新宋体" w:cs="宋体"/>
          <w:color w:val="auto"/>
          <w:sz w:val="22"/>
          <w:szCs w:val="22"/>
          <w:highlight w:val="none"/>
        </w:rPr>
      </w:pPr>
    </w:p>
    <w:p>
      <w:pPr>
        <w:spacing w:line="440" w:lineRule="exact"/>
        <w:rPr>
          <w:rFonts w:ascii="新宋体" w:hAnsi="新宋体" w:eastAsia="新宋体" w:cs="宋体"/>
          <w:color w:val="auto"/>
          <w:sz w:val="22"/>
          <w:szCs w:val="22"/>
          <w:highlight w:val="none"/>
        </w:rPr>
      </w:pPr>
    </w:p>
    <w:p>
      <w:pPr>
        <w:widowControl/>
        <w:spacing w:before="100" w:beforeAutospacing="1" w:after="100" w:afterAutospacing="1" w:line="440" w:lineRule="atLeast"/>
        <w:jc w:val="center"/>
        <w:rPr>
          <w:rFonts w:hint="eastAsia" w:ascii="宋体" w:hAnsi="宋体" w:cs="宋体"/>
          <w:b/>
          <w:bCs/>
          <w:color w:val="auto"/>
          <w:sz w:val="24"/>
          <w:highlight w:val="none"/>
        </w:rPr>
      </w:pPr>
      <w:r>
        <w:rPr>
          <w:rFonts w:hint="eastAsia" w:ascii="宋体" w:hAnsi="宋体" w:cs="宋体"/>
          <w:b/>
          <w:bCs/>
          <w:color w:val="auto"/>
          <w:sz w:val="24"/>
          <w:highlight w:val="none"/>
        </w:rPr>
        <w:t xml:space="preserve"> </w:t>
      </w:r>
    </w:p>
    <w:p>
      <w:pPr>
        <w:rPr>
          <w:rFonts w:hint="eastAsia" w:ascii="宋体" w:hAnsi="宋体" w:cs="宋体"/>
          <w:b/>
          <w:bCs/>
          <w:color w:val="auto"/>
          <w:sz w:val="24"/>
          <w:highlight w:val="none"/>
        </w:rPr>
      </w:pPr>
      <w:r>
        <w:rPr>
          <w:rFonts w:hint="eastAsia" w:ascii="宋体" w:hAnsi="宋体" w:cs="宋体"/>
          <w:b/>
          <w:bCs/>
          <w:color w:val="auto"/>
          <w:sz w:val="24"/>
          <w:highlight w:val="none"/>
        </w:rPr>
        <w:br w:type="page"/>
      </w:r>
    </w:p>
    <w:p>
      <w:pPr>
        <w:widowControl/>
        <w:spacing w:before="100" w:beforeAutospacing="1" w:after="100" w:afterAutospacing="1" w:line="440" w:lineRule="atLeast"/>
        <w:jc w:val="center"/>
        <w:rPr>
          <w:rFonts w:ascii="宋体" w:hAnsi="宋体" w:cs="宋体"/>
          <w:b/>
          <w:bCs/>
          <w:color w:val="auto"/>
          <w:sz w:val="24"/>
          <w:highlight w:val="none"/>
        </w:rPr>
      </w:pPr>
      <w:r>
        <w:rPr>
          <w:rFonts w:hint="eastAsia" w:ascii="宋体" w:hAnsi="宋体" w:cs="宋体"/>
          <w:b/>
          <w:bCs/>
          <w:color w:val="auto"/>
          <w:sz w:val="24"/>
          <w:highlight w:val="none"/>
        </w:rPr>
        <w:t xml:space="preserve"> </w:t>
      </w:r>
      <w:bookmarkStart w:id="70" w:name="_Toc34822360"/>
      <w:r>
        <w:rPr>
          <w:rFonts w:hint="eastAsia" w:ascii="宋体" w:hAnsi="宋体" w:cs="宋体"/>
          <w:b/>
          <w:bCs/>
          <w:color w:val="auto"/>
          <w:sz w:val="24"/>
          <w:highlight w:val="none"/>
        </w:rPr>
        <w:t>合同主要条款</w:t>
      </w:r>
      <w:bookmarkEnd w:id="70"/>
    </w:p>
    <w:p>
      <w:pPr>
        <w:widowControl/>
        <w:spacing w:line="440" w:lineRule="exact"/>
        <w:ind w:firstLine="416" w:firstLineChars="200"/>
        <w:rPr>
          <w:rFonts w:ascii="新宋体" w:hAnsi="新宋体" w:eastAsia="新宋体" w:cs="新宋体"/>
          <w:b/>
          <w:color w:val="auto"/>
          <w:sz w:val="22"/>
          <w:szCs w:val="22"/>
          <w:highlight w:val="none"/>
        </w:rPr>
      </w:pPr>
      <w:r>
        <w:rPr>
          <w:rFonts w:hint="eastAsia" w:ascii="新宋体" w:hAnsi="新宋体" w:eastAsia="新宋体" w:cs="新宋体"/>
          <w:color w:val="auto"/>
          <w:spacing w:val="-6"/>
          <w:kern w:val="0"/>
          <w:sz w:val="22"/>
          <w:szCs w:val="22"/>
          <w:highlight w:val="none"/>
        </w:rPr>
        <w:t>投保人（甲方）：</w:t>
      </w:r>
      <w:r>
        <w:rPr>
          <w:rFonts w:hint="eastAsia" w:ascii="新宋体" w:hAnsi="新宋体" w:eastAsia="新宋体" w:cs="新宋体"/>
          <w:b/>
          <w:color w:val="auto"/>
          <w:sz w:val="22"/>
          <w:szCs w:val="22"/>
          <w:highlight w:val="none"/>
        </w:rPr>
        <w:t>温州</w:t>
      </w:r>
      <w:r>
        <w:rPr>
          <w:rFonts w:ascii="新宋体" w:hAnsi="新宋体" w:eastAsia="新宋体" w:cs="新宋体"/>
          <w:b/>
          <w:color w:val="auto"/>
          <w:sz w:val="22"/>
          <w:szCs w:val="22"/>
          <w:highlight w:val="none"/>
        </w:rPr>
        <w:t>市瓯海区公路管理中心</w:t>
      </w:r>
    </w:p>
    <w:p>
      <w:pPr>
        <w:widowControl/>
        <w:spacing w:line="440" w:lineRule="exact"/>
        <w:ind w:firstLine="416" w:firstLineChars="200"/>
        <w:rPr>
          <w:rFonts w:ascii="新宋体" w:hAnsi="新宋体" w:eastAsia="新宋体" w:cs="新宋体"/>
          <w:color w:val="auto"/>
          <w:spacing w:val="-6"/>
          <w:kern w:val="0"/>
          <w:sz w:val="22"/>
          <w:szCs w:val="22"/>
          <w:highlight w:val="none"/>
        </w:rPr>
      </w:pPr>
      <w:r>
        <w:rPr>
          <w:rFonts w:hint="eastAsia" w:ascii="新宋体" w:hAnsi="新宋体" w:eastAsia="新宋体" w:cs="新宋体"/>
          <w:color w:val="auto"/>
          <w:spacing w:val="-6"/>
          <w:kern w:val="0"/>
          <w:sz w:val="22"/>
          <w:szCs w:val="22"/>
          <w:highlight w:val="none"/>
        </w:rPr>
        <w:t xml:space="preserve">保险人：（乙方）： </w:t>
      </w:r>
    </w:p>
    <w:p>
      <w:pPr>
        <w:widowControl/>
        <w:spacing w:line="440" w:lineRule="exact"/>
        <w:ind w:firstLine="416" w:firstLineChars="200"/>
        <w:rPr>
          <w:rFonts w:ascii="新宋体" w:hAnsi="新宋体" w:eastAsia="新宋体" w:cs="新宋体"/>
          <w:color w:val="auto"/>
          <w:spacing w:val="-6"/>
          <w:kern w:val="0"/>
          <w:sz w:val="22"/>
          <w:szCs w:val="22"/>
          <w:highlight w:val="none"/>
        </w:rPr>
      </w:pPr>
    </w:p>
    <w:p>
      <w:pPr>
        <w:pStyle w:val="24"/>
        <w:spacing w:line="440" w:lineRule="exact"/>
        <w:ind w:firstLine="440" w:firstLineChars="200"/>
        <w:rPr>
          <w:rFonts w:ascii="新宋体" w:hAnsi="新宋体" w:eastAsia="新宋体" w:cs="新宋体"/>
          <w:color w:val="auto"/>
          <w:sz w:val="22"/>
          <w:szCs w:val="22"/>
          <w:highlight w:val="none"/>
        </w:rPr>
      </w:pPr>
      <w:r>
        <w:rPr>
          <w:rFonts w:hint="eastAsia"/>
          <w:color w:val="auto"/>
          <w:sz w:val="22"/>
          <w:szCs w:val="22"/>
          <w:highlight w:val="none"/>
        </w:rPr>
        <w:t>温州市瓯海区地处浙南沿海，属台风多发地区，全区公路修复资金一直受巨灾因素困扰，道路综合保险模式，能充分利用保险的杠杆作用，有效解决道路修复资金存在的“常年有结余、大灾补助难”的问题</w:t>
      </w:r>
      <w:r>
        <w:rPr>
          <w:rFonts w:hint="eastAsia" w:ascii="新宋体" w:hAnsi="新宋体" w:eastAsia="新宋体" w:cs="新宋体"/>
          <w:color w:val="auto"/>
          <w:sz w:val="22"/>
          <w:szCs w:val="22"/>
          <w:highlight w:val="none"/>
        </w:rPr>
        <w:t>。</w:t>
      </w:r>
    </w:p>
    <w:p>
      <w:pPr>
        <w:pStyle w:val="24"/>
        <w:spacing w:line="440" w:lineRule="exact"/>
        <w:ind w:firstLine="0"/>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一、保险人：</w:t>
      </w:r>
    </w:p>
    <w:p>
      <w:pPr>
        <w:spacing w:line="440" w:lineRule="exact"/>
        <w:rPr>
          <w:color w:val="auto"/>
          <w:highlight w:val="none"/>
        </w:rPr>
      </w:pPr>
    </w:p>
    <w:p>
      <w:pPr>
        <w:pStyle w:val="24"/>
        <w:spacing w:line="440" w:lineRule="exact"/>
        <w:ind w:firstLine="0"/>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二：保险类别:</w:t>
      </w:r>
    </w:p>
    <w:p>
      <w:pPr>
        <w:pStyle w:val="24"/>
        <w:spacing w:line="44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公路财产损失保险</w:t>
      </w:r>
    </w:p>
    <w:p>
      <w:pPr>
        <w:pStyle w:val="24"/>
        <w:spacing w:line="440" w:lineRule="exact"/>
        <w:ind w:firstLine="0"/>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三：保险标的：</w:t>
      </w:r>
    </w:p>
    <w:p>
      <w:pPr>
        <w:pStyle w:val="24"/>
        <w:spacing w:line="44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温州市瓯海区境内各级公路管理</w:t>
      </w:r>
      <w:r>
        <w:rPr>
          <w:rFonts w:hint="eastAsia" w:ascii="新宋体" w:hAnsi="新宋体" w:eastAsia="新宋体" w:cs="新宋体"/>
          <w:color w:val="auto"/>
          <w:sz w:val="22"/>
          <w:szCs w:val="22"/>
          <w:highlight w:val="none"/>
          <w:lang w:eastAsia="zh-CN"/>
        </w:rPr>
        <w:t>中心</w:t>
      </w:r>
      <w:r>
        <w:rPr>
          <w:rFonts w:hint="eastAsia" w:ascii="新宋体" w:hAnsi="新宋体" w:eastAsia="新宋体" w:cs="新宋体"/>
          <w:color w:val="auto"/>
          <w:sz w:val="22"/>
          <w:szCs w:val="22"/>
          <w:highlight w:val="none"/>
        </w:rPr>
        <w:t>所管养（附投保清单）的县、乡道路，包括路基、边坡、路面、桥梁、涵洞、隧道、防护工程交通安全设施及公路附属设施等</w:t>
      </w:r>
    </w:p>
    <w:p>
      <w:pPr>
        <w:spacing w:line="440" w:lineRule="exact"/>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四：保险责任：</w:t>
      </w:r>
    </w:p>
    <w:p>
      <w:pPr>
        <w:spacing w:line="440" w:lineRule="exact"/>
        <w:ind w:firstLine="416" w:firstLineChars="200"/>
        <w:rPr>
          <w:rFonts w:ascii="新宋体" w:hAnsi="新宋体" w:eastAsia="新宋体" w:cs="新宋体"/>
          <w:color w:val="auto"/>
          <w:spacing w:val="-6"/>
          <w:kern w:val="0"/>
          <w:sz w:val="22"/>
          <w:szCs w:val="22"/>
          <w:highlight w:val="none"/>
        </w:rPr>
      </w:pPr>
      <w:r>
        <w:rPr>
          <w:rFonts w:hint="eastAsia" w:ascii="新宋体" w:hAnsi="新宋体" w:eastAsia="新宋体" w:cs="新宋体"/>
          <w:color w:val="auto"/>
          <w:spacing w:val="-6"/>
          <w:kern w:val="0"/>
          <w:sz w:val="22"/>
          <w:szCs w:val="22"/>
          <w:highlight w:val="none"/>
        </w:rPr>
        <w:t>在保险期间内，保险标的因自然灾害或意外事故造成的直接损毁或灭失，保险人按照本保险合同的约定负责赔偿。自然灾害：指雷击、暴雨、洪水、暴风、龙卷风、冰雹、台风、飓风、沙尘暴、暴雪、冰凌、突发性滑坡、崩塌、泥石流、地面突然下陷下沉及其他人力不可抗拒的破坏力强大的自然现象。地震为除外责任。</w:t>
      </w:r>
    </w:p>
    <w:p>
      <w:pPr>
        <w:spacing w:line="440" w:lineRule="exact"/>
        <w:ind w:firstLine="416" w:firstLineChars="200"/>
        <w:rPr>
          <w:rFonts w:ascii="新宋体" w:hAnsi="新宋体" w:eastAsia="新宋体" w:cs="新宋体"/>
          <w:color w:val="auto"/>
          <w:spacing w:val="-6"/>
          <w:kern w:val="0"/>
          <w:sz w:val="22"/>
          <w:szCs w:val="22"/>
          <w:highlight w:val="none"/>
        </w:rPr>
      </w:pPr>
      <w:r>
        <w:rPr>
          <w:rFonts w:hint="eastAsia" w:ascii="新宋体" w:hAnsi="新宋体" w:eastAsia="新宋体" w:cs="新宋体"/>
          <w:color w:val="auto"/>
          <w:spacing w:val="-6"/>
          <w:kern w:val="0"/>
          <w:sz w:val="22"/>
          <w:szCs w:val="22"/>
          <w:highlight w:val="none"/>
        </w:rPr>
        <w:t>意外事故：指不可预料的以及被保险人无法控制并造成物质损失的突发性事件，包括火灾和爆炸。</w:t>
      </w:r>
    </w:p>
    <w:p>
      <w:pPr>
        <w:spacing w:line="440" w:lineRule="exact"/>
        <w:ind w:firstLine="416" w:firstLineChars="200"/>
        <w:rPr>
          <w:rFonts w:ascii="新宋体" w:hAnsi="新宋体" w:eastAsia="新宋体" w:cs="新宋体"/>
          <w:color w:val="auto"/>
          <w:spacing w:val="-6"/>
          <w:kern w:val="0"/>
          <w:sz w:val="22"/>
          <w:szCs w:val="22"/>
          <w:highlight w:val="none"/>
        </w:rPr>
      </w:pPr>
      <w:r>
        <w:rPr>
          <w:rFonts w:hint="eastAsia" w:ascii="新宋体" w:hAnsi="新宋体" w:eastAsia="新宋体" w:cs="新宋体"/>
          <w:color w:val="auto"/>
          <w:spacing w:val="-6"/>
          <w:kern w:val="0"/>
          <w:sz w:val="22"/>
          <w:szCs w:val="22"/>
          <w:highlight w:val="none"/>
        </w:rPr>
        <w:t>附加地震扩展条款：KA11. 地震扩展条款经双方同意，由于烈度达到或超过保险标的所在地抗震设防标准的地震或由此引起的海啸、火灾、爆炸造成保险标的的损失，保险人按照本保险合同的约定负责赔偿。但由于建筑物未达到国家建筑质量要求（包括抗震设防标准）造成保险标的的损失，保险人不负责赔偿。保险标的因连续72小时内遭受一次或多次地震（余震）所致损失视为一次事故。被保险人应向保险人提供建筑物本身的抗震设防达标证明、建筑物的建筑结构及主要原材料工艺质量证明，被保险人未能提供上述证明材料或证明材料不真实的，保险人不承担赔偿责任。本附加条款项下每次事故赔偿限额不超过主险保险金额的80％。本附加条款项下每次事故免赔额不低于人民币40万元或损失金额的5％，两者以高者为准。 本附加条款与主条款内容相悖之处，以本附加条款为准；未尽之处，以主条款为准。</w:t>
      </w:r>
    </w:p>
    <w:tbl>
      <w:tblPr>
        <w:tblStyle w:val="53"/>
        <w:tblW w:w="4999" w:type="pct"/>
        <w:tblInd w:w="0" w:type="dxa"/>
        <w:tblLayout w:type="autofit"/>
        <w:tblCellMar>
          <w:top w:w="0" w:type="dxa"/>
          <w:left w:w="108" w:type="dxa"/>
          <w:bottom w:w="0" w:type="dxa"/>
          <w:right w:w="108" w:type="dxa"/>
        </w:tblCellMar>
      </w:tblPr>
      <w:tblGrid>
        <w:gridCol w:w="2100"/>
        <w:gridCol w:w="2594"/>
        <w:gridCol w:w="5158"/>
      </w:tblGrid>
      <w:tr>
        <w:trPr>
          <w:trHeight w:val="270" w:hRule="atLeast"/>
        </w:trPr>
        <w:tc>
          <w:tcPr>
            <w:tcW w:w="1066" w:type="pct"/>
            <w:vMerge w:val="restart"/>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保险方案</w:t>
            </w:r>
          </w:p>
        </w:tc>
        <w:tc>
          <w:tcPr>
            <w:tcW w:w="3933" w:type="pct"/>
            <w:gridSpan w:val="2"/>
            <w:tcBorders>
              <w:top w:val="single" w:color="auto" w:sz="4" w:space="0"/>
              <w:left w:val="nil"/>
              <w:bottom w:val="single" w:color="auto" w:sz="4" w:space="0"/>
              <w:right w:val="single" w:color="auto" w:sz="4" w:space="0"/>
            </w:tcBorders>
            <w:noWrap/>
            <w:vAlign w:val="center"/>
          </w:tcPr>
          <w:p>
            <w:pPr>
              <w:widowControl/>
              <w:spacing w:line="44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保险金额（单位</w:t>
            </w:r>
            <w:r>
              <w:rPr>
                <w:rFonts w:ascii="宋体" w:hAnsi="宋体" w:cs="宋体"/>
                <w:color w:val="auto"/>
                <w:kern w:val="0"/>
                <w:sz w:val="22"/>
                <w:highlight w:val="none"/>
              </w:rPr>
              <w:t>：</w:t>
            </w:r>
            <w:r>
              <w:rPr>
                <w:rFonts w:hint="eastAsia" w:ascii="宋体" w:hAnsi="宋体" w:cs="宋体"/>
                <w:color w:val="auto"/>
                <w:kern w:val="0"/>
                <w:sz w:val="22"/>
                <w:highlight w:val="none"/>
              </w:rPr>
              <w:t>万元/公里）</w:t>
            </w:r>
          </w:p>
        </w:tc>
      </w:tr>
      <w:tr>
        <w:tblPrEx>
          <w:tblCellMar>
            <w:top w:w="0" w:type="dxa"/>
            <w:left w:w="108" w:type="dxa"/>
            <w:bottom w:w="0" w:type="dxa"/>
            <w:right w:w="108" w:type="dxa"/>
          </w:tblCellMar>
        </w:tblPrEx>
        <w:trPr>
          <w:trHeight w:val="270" w:hRule="atLeast"/>
        </w:trPr>
        <w:tc>
          <w:tcPr>
            <w:tcW w:w="106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ascii="宋体" w:hAnsi="宋体" w:cs="宋体"/>
                <w:color w:val="auto"/>
                <w:kern w:val="0"/>
                <w:sz w:val="22"/>
                <w:highlight w:val="none"/>
              </w:rPr>
            </w:pPr>
          </w:p>
        </w:tc>
        <w:tc>
          <w:tcPr>
            <w:tcW w:w="1316" w:type="pct"/>
            <w:tcBorders>
              <w:top w:val="nil"/>
              <w:left w:val="nil"/>
              <w:bottom w:val="single" w:color="auto" w:sz="4" w:space="0"/>
              <w:right w:val="single" w:color="auto" w:sz="4" w:space="0"/>
            </w:tcBorders>
            <w:noWrap/>
            <w:vAlign w:val="center"/>
          </w:tcPr>
          <w:p>
            <w:pPr>
              <w:widowControl/>
              <w:spacing w:line="44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县道</w:t>
            </w:r>
          </w:p>
        </w:tc>
        <w:tc>
          <w:tcPr>
            <w:tcW w:w="2616" w:type="pct"/>
            <w:tcBorders>
              <w:top w:val="nil"/>
              <w:left w:val="nil"/>
              <w:bottom w:val="single" w:color="auto" w:sz="4" w:space="0"/>
              <w:right w:val="single" w:color="auto" w:sz="4" w:space="0"/>
            </w:tcBorders>
            <w:noWrap/>
            <w:vAlign w:val="center"/>
          </w:tcPr>
          <w:p>
            <w:pPr>
              <w:widowControl/>
              <w:spacing w:line="44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 xml:space="preserve">乡道 </w:t>
            </w:r>
          </w:p>
        </w:tc>
      </w:tr>
      <w:tr>
        <w:tblPrEx>
          <w:tblCellMar>
            <w:top w:w="0" w:type="dxa"/>
            <w:left w:w="108" w:type="dxa"/>
            <w:bottom w:w="0" w:type="dxa"/>
            <w:right w:w="108" w:type="dxa"/>
          </w:tblCellMar>
        </w:tblPrEx>
        <w:trPr>
          <w:trHeight w:val="502" w:hRule="atLeast"/>
        </w:trPr>
        <w:tc>
          <w:tcPr>
            <w:tcW w:w="1066" w:type="pct"/>
            <w:tcBorders>
              <w:top w:val="nil"/>
              <w:left w:val="single" w:color="auto" w:sz="4" w:space="0"/>
              <w:bottom w:val="single" w:color="auto" w:sz="4" w:space="0"/>
              <w:right w:val="single" w:color="auto" w:sz="4" w:space="0"/>
            </w:tcBorders>
            <w:noWrap/>
            <w:vAlign w:val="center"/>
          </w:tcPr>
          <w:p>
            <w:pPr>
              <w:widowControl/>
              <w:spacing w:line="440" w:lineRule="exact"/>
              <w:rPr>
                <w:rFonts w:ascii="宋体" w:hAnsi="宋体" w:cs="宋体"/>
                <w:color w:val="auto"/>
                <w:kern w:val="0"/>
                <w:sz w:val="22"/>
                <w:highlight w:val="none"/>
              </w:rPr>
            </w:pPr>
          </w:p>
        </w:tc>
        <w:tc>
          <w:tcPr>
            <w:tcW w:w="1316" w:type="pct"/>
            <w:tcBorders>
              <w:top w:val="nil"/>
              <w:left w:val="nil"/>
              <w:bottom w:val="single" w:color="auto" w:sz="4" w:space="0"/>
              <w:right w:val="single" w:color="auto" w:sz="4" w:space="0"/>
            </w:tcBorders>
            <w:noWrap/>
            <w:vAlign w:val="center"/>
          </w:tcPr>
          <w:p>
            <w:pPr>
              <w:widowControl/>
              <w:spacing w:line="44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300</w:t>
            </w:r>
          </w:p>
        </w:tc>
        <w:tc>
          <w:tcPr>
            <w:tcW w:w="2616" w:type="pct"/>
            <w:tcBorders>
              <w:top w:val="nil"/>
              <w:left w:val="nil"/>
              <w:bottom w:val="single" w:color="auto" w:sz="4" w:space="0"/>
              <w:right w:val="single" w:color="auto" w:sz="4" w:space="0"/>
            </w:tcBorders>
            <w:noWrap/>
            <w:vAlign w:val="center"/>
          </w:tcPr>
          <w:p>
            <w:pPr>
              <w:widowControl/>
              <w:spacing w:line="44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220</w:t>
            </w:r>
          </w:p>
        </w:tc>
      </w:tr>
    </w:tbl>
    <w:p>
      <w:pPr>
        <w:spacing w:line="440" w:lineRule="exact"/>
        <w:rPr>
          <w:rFonts w:ascii="新宋体" w:hAnsi="新宋体" w:eastAsia="新宋体" w:cs="新宋体"/>
          <w:color w:val="auto"/>
          <w:spacing w:val="-6"/>
          <w:kern w:val="0"/>
          <w:sz w:val="22"/>
          <w:szCs w:val="22"/>
          <w:highlight w:val="none"/>
        </w:rPr>
      </w:pPr>
      <w:r>
        <w:rPr>
          <w:rFonts w:hint="eastAsia" w:ascii="新宋体" w:hAnsi="新宋体" w:eastAsia="新宋体" w:cs="新宋体"/>
          <w:color w:val="auto"/>
          <w:spacing w:val="-6"/>
          <w:kern w:val="0"/>
          <w:sz w:val="22"/>
          <w:szCs w:val="22"/>
          <w:highlight w:val="none"/>
        </w:rPr>
        <w:t>保险费=∑（各道路公里数×每公里保额）×费率</w:t>
      </w:r>
    </w:p>
    <w:p>
      <w:pPr>
        <w:spacing w:line="440" w:lineRule="exact"/>
        <w:rPr>
          <w:rFonts w:ascii="新宋体" w:hAnsi="新宋体" w:eastAsia="新宋体" w:cs="新宋体"/>
          <w:color w:val="auto"/>
          <w:spacing w:val="-6"/>
          <w:kern w:val="0"/>
          <w:sz w:val="22"/>
          <w:szCs w:val="22"/>
          <w:highlight w:val="none"/>
        </w:rPr>
      </w:pPr>
      <w:r>
        <w:rPr>
          <w:rFonts w:hint="eastAsia" w:ascii="新宋体" w:hAnsi="新宋体" w:eastAsia="新宋体" w:cs="新宋体"/>
          <w:color w:val="auto"/>
          <w:spacing w:val="-6"/>
          <w:kern w:val="0"/>
          <w:sz w:val="22"/>
          <w:szCs w:val="22"/>
          <w:highlight w:val="none"/>
        </w:rPr>
        <w:t>总保额43203.16万元。</w:t>
      </w:r>
    </w:p>
    <w:p>
      <w:pPr>
        <w:spacing w:line="440" w:lineRule="exact"/>
        <w:rPr>
          <w:rFonts w:ascii="新宋体" w:hAnsi="新宋体" w:eastAsia="新宋体" w:cs="新宋体"/>
          <w:b/>
          <w:bCs/>
          <w:color w:val="auto"/>
          <w:spacing w:val="-6"/>
          <w:kern w:val="0"/>
          <w:sz w:val="22"/>
          <w:szCs w:val="22"/>
          <w:highlight w:val="none"/>
        </w:rPr>
      </w:pPr>
      <w:r>
        <w:rPr>
          <w:rFonts w:hint="eastAsia" w:ascii="新宋体" w:hAnsi="新宋体" w:eastAsia="新宋体" w:cs="新宋体"/>
          <w:b/>
          <w:bCs/>
          <w:color w:val="auto"/>
          <w:spacing w:val="-6"/>
          <w:kern w:val="0"/>
          <w:sz w:val="22"/>
          <w:szCs w:val="22"/>
          <w:highlight w:val="none"/>
        </w:rPr>
        <w:t>五：保险期限：</w:t>
      </w:r>
    </w:p>
    <w:p>
      <w:pPr>
        <w:pStyle w:val="24"/>
        <w:spacing w:line="44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本项目服务期为自合同签订之日起壹年，即自202</w:t>
      </w:r>
      <w:r>
        <w:rPr>
          <w:rFonts w:hint="eastAsia" w:ascii="新宋体" w:hAnsi="新宋体" w:eastAsia="新宋体" w:cs="新宋体"/>
          <w:color w:val="auto"/>
          <w:sz w:val="22"/>
          <w:szCs w:val="22"/>
          <w:highlight w:val="none"/>
          <w:lang w:val="en-US" w:eastAsia="zh-CN"/>
        </w:rPr>
        <w:t>4</w:t>
      </w:r>
      <w:r>
        <w:rPr>
          <w:rFonts w:hint="eastAsia" w:ascii="新宋体" w:hAnsi="新宋体" w:eastAsia="新宋体" w:cs="新宋体"/>
          <w:color w:val="auto"/>
          <w:sz w:val="22"/>
          <w:szCs w:val="22"/>
          <w:highlight w:val="none"/>
        </w:rPr>
        <w:t>年   月   日至202</w:t>
      </w:r>
      <w:r>
        <w:rPr>
          <w:rFonts w:hint="eastAsia" w:ascii="新宋体" w:hAnsi="新宋体" w:eastAsia="新宋体" w:cs="新宋体"/>
          <w:color w:val="auto"/>
          <w:sz w:val="22"/>
          <w:szCs w:val="22"/>
          <w:highlight w:val="none"/>
          <w:lang w:val="en-US" w:eastAsia="zh-CN"/>
        </w:rPr>
        <w:t>5</w:t>
      </w:r>
      <w:r>
        <w:rPr>
          <w:rFonts w:hint="eastAsia" w:ascii="新宋体" w:hAnsi="新宋体" w:eastAsia="新宋体" w:cs="新宋体"/>
          <w:color w:val="auto"/>
          <w:sz w:val="22"/>
          <w:szCs w:val="22"/>
          <w:highlight w:val="none"/>
        </w:rPr>
        <w:t>年   月    日。</w:t>
      </w:r>
    </w:p>
    <w:p>
      <w:pPr>
        <w:pStyle w:val="24"/>
        <w:spacing w:line="440" w:lineRule="exact"/>
        <w:ind w:firstLine="0"/>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六、免赔额、赔偿限额</w:t>
      </w:r>
    </w:p>
    <w:p>
      <w:pPr>
        <w:spacing w:line="440" w:lineRule="exact"/>
        <w:ind w:firstLine="565" w:firstLineChars="257"/>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1.每次事故相对免赔额6000元.</w:t>
      </w:r>
    </w:p>
    <w:p>
      <w:pPr>
        <w:spacing w:line="440" w:lineRule="exact"/>
        <w:ind w:firstLine="565" w:firstLineChars="257"/>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2.每条路每次事故赔偿限额：在每公里保额限额内按实际损失赔付。</w:t>
      </w:r>
    </w:p>
    <w:p>
      <w:pPr>
        <w:spacing w:line="440" w:lineRule="exact"/>
        <w:ind w:firstLine="565" w:firstLineChars="257"/>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县道每条路每次事故赔偿限额800万元；</w:t>
      </w:r>
    </w:p>
    <w:p>
      <w:pPr>
        <w:spacing w:line="440" w:lineRule="exact"/>
        <w:ind w:firstLine="565" w:firstLineChars="257"/>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乡道每条路每次事故赔偿限额500万元；</w:t>
      </w:r>
    </w:p>
    <w:p>
      <w:pPr>
        <w:spacing w:line="440" w:lineRule="exact"/>
        <w:ind w:firstLine="565" w:firstLineChars="257"/>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3.年度累计赔偿限额：以1000万元为限。</w:t>
      </w:r>
    </w:p>
    <w:p>
      <w:pPr>
        <w:spacing w:line="440" w:lineRule="exact"/>
        <w:ind w:firstLine="565" w:firstLineChars="257"/>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4.详见附件：瓯海道路综合保险方案(道路损失)。</w:t>
      </w:r>
    </w:p>
    <w:p>
      <w:pPr>
        <w:spacing w:line="440" w:lineRule="exact"/>
        <w:rPr>
          <w:color w:val="auto"/>
          <w:highlight w:val="none"/>
        </w:rPr>
      </w:pPr>
      <w:r>
        <w:rPr>
          <w:rFonts w:hint="eastAsia" w:ascii="新宋体" w:hAnsi="新宋体" w:eastAsia="新宋体" w:cs="新宋体"/>
          <w:b/>
          <w:bCs/>
          <w:color w:val="auto"/>
          <w:sz w:val="22"/>
          <w:szCs w:val="22"/>
          <w:highlight w:val="none"/>
        </w:rPr>
        <w:t>七、付费方式：</w:t>
      </w:r>
      <w:r>
        <w:rPr>
          <w:rFonts w:hint="eastAsia" w:ascii="新宋体" w:hAnsi="新宋体" w:eastAsia="新宋体" w:cs="新宋体"/>
          <w:color w:val="auto"/>
          <w:sz w:val="22"/>
          <w:szCs w:val="22"/>
          <w:highlight w:val="none"/>
        </w:rPr>
        <w:t>保险费于保险合同签订之日起7个工作日内全额支付</w:t>
      </w:r>
      <w:r>
        <w:rPr>
          <w:rFonts w:hint="eastAsia"/>
          <w:color w:val="auto"/>
          <w:sz w:val="22"/>
          <w:szCs w:val="22"/>
          <w:highlight w:val="none"/>
        </w:rPr>
        <w:t xml:space="preserve">。 </w:t>
      </w:r>
    </w:p>
    <w:p>
      <w:pPr>
        <w:spacing w:line="440" w:lineRule="exact"/>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八、特别约定：</w:t>
      </w:r>
    </w:p>
    <w:p>
      <w:pPr>
        <w:pStyle w:val="24"/>
        <w:keepNext w:val="0"/>
        <w:keepLines w:val="0"/>
        <w:pageBreakBefore w:val="0"/>
        <w:widowControl w:val="0"/>
        <w:kinsoku/>
        <w:wordWrap/>
        <w:overflowPunct/>
        <w:topLinePunct w:val="0"/>
        <w:autoSpaceDE/>
        <w:autoSpaceDN/>
        <w:bidi w:val="0"/>
        <w:adjustRightInd w:val="0"/>
        <w:snapToGrid/>
        <w:spacing w:line="44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本保险合同项下保险标的在连续72个小时内遭受暴风雨（连续降雨）、台风、洪水及其他非人为所造成的损失均视为一单独事件，在计算赔偿时视为一次保险事故，被保险人可自行决定72小时的起始时间，但若在连续72个小时内发生损失，任何两个或两个以上72小时期限不得重叠。</w:t>
      </w:r>
    </w:p>
    <w:p>
      <w:pPr>
        <w:pStyle w:val="24"/>
        <w:keepNext w:val="0"/>
        <w:keepLines w:val="0"/>
        <w:pageBreakBefore w:val="0"/>
        <w:widowControl w:val="0"/>
        <w:kinsoku/>
        <w:wordWrap/>
        <w:overflowPunct/>
        <w:topLinePunct w:val="0"/>
        <w:autoSpaceDE/>
        <w:autoSpaceDN/>
        <w:bidi w:val="0"/>
        <w:adjustRightInd w:val="0"/>
        <w:snapToGrid/>
        <w:spacing w:line="44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路基（包括边坡、挡墙、水沟）损失，需将路基财产修复或重建至与受损前状态基本一致（根据实际情况，可适当放宽修复范围及修复方案），并能确保使用安全所发生的费用为限；同时以县、乡道投保时所确定的每条路每次事故赔偿限额为限。</w:t>
      </w:r>
    </w:p>
    <w:p>
      <w:pPr>
        <w:pStyle w:val="24"/>
        <w:keepNext w:val="0"/>
        <w:keepLines w:val="0"/>
        <w:pageBreakBefore w:val="0"/>
        <w:widowControl w:val="0"/>
        <w:kinsoku/>
        <w:wordWrap/>
        <w:overflowPunct/>
        <w:topLinePunct w:val="0"/>
        <w:autoSpaceDE/>
        <w:autoSpaceDN/>
        <w:bidi w:val="0"/>
        <w:adjustRightInd w:val="0"/>
        <w:snapToGrid/>
        <w:spacing w:line="44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公路发生保险责任范围内的损失时，在赔偿限额内按实际损失赔付，保单年度赔偿金额不超过年度累计赔偿限额。</w:t>
      </w:r>
    </w:p>
    <w:p>
      <w:pPr>
        <w:pStyle w:val="24"/>
        <w:keepNext w:val="0"/>
        <w:keepLines w:val="0"/>
        <w:pageBreakBefore w:val="0"/>
        <w:widowControl w:val="0"/>
        <w:kinsoku/>
        <w:wordWrap/>
        <w:overflowPunct/>
        <w:topLinePunct w:val="0"/>
        <w:autoSpaceDE/>
        <w:autoSpaceDN/>
        <w:bidi w:val="0"/>
        <w:adjustRightInd w:val="0"/>
        <w:snapToGrid/>
        <w:spacing w:line="44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清除塌方和残留物费用参照最新发布的《浙江省公路养护工程预算定额》计算，每次事故清除塌方和残留物费用不计入每次事故物质损失赔偿限额，但不超过相应的事故物质损失的10%。本项赔款年度累计限额以保费的30%为限。</w:t>
      </w:r>
    </w:p>
    <w:p>
      <w:pPr>
        <w:pStyle w:val="24"/>
        <w:keepNext w:val="0"/>
        <w:keepLines w:val="0"/>
        <w:pageBreakBefore w:val="0"/>
        <w:widowControl w:val="0"/>
        <w:kinsoku/>
        <w:wordWrap/>
        <w:overflowPunct/>
        <w:topLinePunct w:val="0"/>
        <w:autoSpaceDE/>
        <w:autoSpaceDN/>
        <w:bidi w:val="0"/>
        <w:adjustRightInd w:val="0"/>
        <w:snapToGrid/>
        <w:spacing w:line="440" w:lineRule="exact"/>
        <w:ind w:firstLine="440" w:firstLineChars="200"/>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rPr>
        <w:t>5</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实际损失：路基（包括边坡、挡墙、水沟）损失，需将路基财产修复或重建至与受损前状态基本一致（根据实际情况，可适当放宽修复范围及修复方案），以将受损的公路及构筑物修复或重建至其满足受损前该公路等级的技术标准和安全使用功能，经有资质的设计单位设计，并经主管部门审查通过的修复方案，按现行公路工程施工技术规范组织施工所发生的费用为限（含临时通车便道抢修、施工便道、勘察设计、审查咨询、监理、代理费、检测费、清理塌方所产生费用及管理费）。同时以县、乡道投保时所确定的每条路每次事故赔偿限额为限</w:t>
      </w:r>
      <w:r>
        <w:rPr>
          <w:rFonts w:hint="eastAsia" w:ascii="新宋体" w:hAnsi="新宋体" w:eastAsia="新宋体" w:cs="新宋体"/>
          <w:color w:val="auto"/>
          <w:sz w:val="22"/>
          <w:szCs w:val="22"/>
          <w:highlight w:val="none"/>
          <w:lang w:val="en-US" w:eastAsia="zh-CN"/>
        </w:rPr>
        <w:t>。”</w:t>
      </w:r>
    </w:p>
    <w:p>
      <w:pPr>
        <w:pStyle w:val="24"/>
        <w:keepNext w:val="0"/>
        <w:keepLines w:val="0"/>
        <w:pageBreakBefore w:val="0"/>
        <w:widowControl w:val="0"/>
        <w:kinsoku/>
        <w:wordWrap/>
        <w:overflowPunct/>
        <w:topLinePunct w:val="0"/>
        <w:autoSpaceDE/>
        <w:autoSpaceDN/>
        <w:bidi w:val="0"/>
        <w:adjustRightInd w:val="0"/>
        <w:snapToGrid/>
        <w:spacing w:line="440" w:lineRule="exact"/>
        <w:ind w:firstLine="440" w:firstLineChars="200"/>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6.</w:t>
      </w:r>
      <w:r>
        <w:rPr>
          <w:rFonts w:hint="eastAsia" w:ascii="新宋体" w:hAnsi="新宋体" w:eastAsia="新宋体" w:cs="新宋体"/>
          <w:color w:val="auto"/>
          <w:sz w:val="22"/>
          <w:szCs w:val="22"/>
          <w:highlight w:val="none"/>
        </w:rPr>
        <w:t>理赔方式：出险后，保险人会同被保险人共同对事故现场进行勘察认定后。被保险人及时将公路受损记录表、公路损失及零星工程量结算清单等</w:t>
      </w:r>
      <w:r>
        <w:rPr>
          <w:rFonts w:hint="eastAsia" w:ascii="新宋体" w:hAnsi="新宋体" w:eastAsia="新宋体" w:cs="新宋体"/>
          <w:color w:val="auto"/>
          <w:sz w:val="22"/>
          <w:szCs w:val="22"/>
          <w:highlight w:val="none"/>
          <w:lang w:eastAsia="zh-CN"/>
        </w:rPr>
        <w:t>事故理赔资料</w:t>
      </w:r>
      <w:r>
        <w:rPr>
          <w:rFonts w:hint="eastAsia" w:ascii="新宋体" w:hAnsi="新宋体" w:eastAsia="新宋体" w:cs="新宋体"/>
          <w:color w:val="auto"/>
          <w:sz w:val="22"/>
          <w:szCs w:val="22"/>
          <w:highlight w:val="none"/>
        </w:rPr>
        <w:t>提交保险人，保险人依据受损记录及工程量结算清单核定理赔。工程按二种理赔方式：第一种</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属应急抢险、零星工程</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50万及以下</w:t>
      </w:r>
      <w:r>
        <w:rPr>
          <w:rFonts w:hint="eastAsia" w:ascii="新宋体" w:hAnsi="新宋体" w:eastAsia="新宋体" w:cs="新宋体"/>
          <w:color w:val="auto"/>
          <w:sz w:val="22"/>
          <w:szCs w:val="22"/>
          <w:highlight w:val="none"/>
          <w:lang w:eastAsia="zh-CN"/>
        </w:rPr>
        <w:t>）。材料费用价格以出险时最新的浙江省信息价（浙江交通建设工程-质监与造价-价格专辑和浙江交通建设相关用材及产品-厂商参考价格</w:t>
      </w:r>
      <w:r>
        <w:rPr>
          <w:rFonts w:hint="eastAsia" w:ascii="新宋体" w:hAnsi="新宋体" w:eastAsia="新宋体" w:cs="新宋体"/>
          <w:color w:val="auto"/>
          <w:sz w:val="22"/>
          <w:szCs w:val="22"/>
          <w:highlight w:val="none"/>
          <w:lang w:val="en-US" w:eastAsia="zh-CN"/>
        </w:rPr>
        <w:t>,浙江省交通工程管理中心http://jtyst.zj.gov.cn/“材料价格”</w:t>
      </w:r>
      <w:r>
        <w:rPr>
          <w:rFonts w:hint="eastAsia" w:ascii="新宋体" w:hAnsi="新宋体" w:eastAsia="新宋体" w:cs="新宋体"/>
          <w:color w:val="auto"/>
          <w:sz w:val="22"/>
          <w:szCs w:val="22"/>
          <w:highlight w:val="none"/>
          <w:lang w:eastAsia="zh-CN"/>
        </w:rPr>
        <w:t>）为理赔计价基准。信息价无法查询的材料费用及材料费用以外产生的其他必要合理费用，另行询价。工程量</w:t>
      </w:r>
      <w:r>
        <w:rPr>
          <w:rFonts w:hint="eastAsia" w:ascii="新宋体" w:hAnsi="新宋体" w:eastAsia="新宋体" w:cs="新宋体"/>
          <w:color w:val="auto"/>
          <w:sz w:val="22"/>
          <w:szCs w:val="22"/>
          <w:highlight w:val="none"/>
          <w:lang w:val="en-US" w:eastAsia="zh-CN"/>
        </w:rPr>
        <w:t xml:space="preserve"> 5万及以上，工程量结算清单需提请有资质的第三方机构审价，按审价最终结果核定理赔,审价费用由保险人承担。</w:t>
      </w:r>
      <w:r>
        <w:rPr>
          <w:rFonts w:hint="eastAsia" w:ascii="新宋体" w:hAnsi="新宋体" w:eastAsia="新宋体" w:cs="新宋体"/>
          <w:color w:val="auto"/>
          <w:sz w:val="22"/>
          <w:szCs w:val="22"/>
          <w:highlight w:val="none"/>
          <w:lang w:eastAsia="zh-CN"/>
        </w:rPr>
        <w:t>工程量</w:t>
      </w:r>
      <w:r>
        <w:rPr>
          <w:rFonts w:hint="eastAsia" w:ascii="新宋体" w:hAnsi="新宋体" w:eastAsia="新宋体" w:cs="新宋体"/>
          <w:color w:val="auto"/>
          <w:sz w:val="22"/>
          <w:szCs w:val="22"/>
          <w:highlight w:val="none"/>
          <w:lang w:val="en-US" w:eastAsia="zh-CN"/>
        </w:rPr>
        <w:t>5万以下，工程量结算清单由瓯海区公路管理中心核定，提请保险公司确认并核定理赔。</w:t>
      </w:r>
    </w:p>
    <w:p>
      <w:pPr>
        <w:pStyle w:val="24"/>
        <w:keepNext w:val="0"/>
        <w:keepLines w:val="0"/>
        <w:pageBreakBefore w:val="0"/>
        <w:widowControl w:val="0"/>
        <w:kinsoku/>
        <w:wordWrap/>
        <w:overflowPunct/>
        <w:topLinePunct w:val="0"/>
        <w:autoSpaceDE/>
        <w:autoSpaceDN/>
        <w:bidi w:val="0"/>
        <w:adjustRightInd w:val="0"/>
        <w:snapToGrid/>
        <w:spacing w:line="44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第二种</w:t>
      </w:r>
      <w:r>
        <w:rPr>
          <w:rFonts w:hint="eastAsia" w:ascii="新宋体" w:hAnsi="新宋体" w:eastAsia="新宋体" w:cs="新宋体"/>
          <w:color w:val="auto"/>
          <w:sz w:val="22"/>
          <w:szCs w:val="22"/>
          <w:highlight w:val="none"/>
          <w:lang w:eastAsia="zh-CN"/>
        </w:rPr>
        <w:t>：事故</w:t>
      </w:r>
      <w:r>
        <w:rPr>
          <w:rFonts w:hint="eastAsia" w:ascii="新宋体" w:hAnsi="新宋体" w:eastAsia="新宋体" w:cs="新宋体"/>
          <w:color w:val="auto"/>
          <w:sz w:val="22"/>
          <w:szCs w:val="22"/>
          <w:highlight w:val="none"/>
        </w:rPr>
        <w:t>损失单点大于</w:t>
      </w:r>
      <w:r>
        <w:rPr>
          <w:rFonts w:hint="eastAsia" w:ascii="新宋体" w:hAnsi="新宋体" w:eastAsia="新宋体" w:cs="新宋体"/>
          <w:color w:val="auto"/>
          <w:sz w:val="22"/>
          <w:szCs w:val="22"/>
          <w:highlight w:val="none"/>
          <w:lang w:val="en-US" w:eastAsia="zh-CN"/>
        </w:rPr>
        <w:t>50</w:t>
      </w:r>
      <w:r>
        <w:rPr>
          <w:rFonts w:hint="eastAsia" w:ascii="新宋体" w:hAnsi="新宋体" w:eastAsia="新宋体" w:cs="新宋体"/>
          <w:color w:val="auto"/>
          <w:sz w:val="22"/>
          <w:szCs w:val="22"/>
          <w:highlight w:val="none"/>
        </w:rPr>
        <w:t>万元（应急抢险除外）或确需组织设计并公开招标的，按中标建安费（含代理、设计、监理、检测、验收等费</w:t>
      </w:r>
      <w:r>
        <w:rPr>
          <w:rFonts w:hint="eastAsia" w:ascii="新宋体" w:hAnsi="新宋体" w:eastAsia="新宋体" w:cs="新宋体"/>
          <w:color w:val="auto"/>
          <w:sz w:val="22"/>
          <w:szCs w:val="22"/>
          <w:highlight w:val="none"/>
          <w:lang w:eastAsia="zh-CN"/>
        </w:rPr>
        <w:t>用</w:t>
      </w:r>
      <w:r>
        <w:rPr>
          <w:rFonts w:hint="eastAsia" w:ascii="新宋体" w:hAnsi="新宋体" w:eastAsia="新宋体" w:cs="新宋体"/>
          <w:color w:val="auto"/>
          <w:sz w:val="22"/>
          <w:szCs w:val="22"/>
          <w:highlight w:val="none"/>
        </w:rPr>
        <w:t>）核定损失。</w:t>
      </w:r>
    </w:p>
    <w:p>
      <w:pPr>
        <w:pStyle w:val="24"/>
        <w:keepNext w:val="0"/>
        <w:keepLines w:val="0"/>
        <w:pageBreakBefore w:val="0"/>
        <w:widowControl w:val="0"/>
        <w:kinsoku/>
        <w:wordWrap/>
        <w:overflowPunct/>
        <w:topLinePunct w:val="0"/>
        <w:autoSpaceDE/>
        <w:autoSpaceDN/>
        <w:bidi w:val="0"/>
        <w:adjustRightInd w:val="0"/>
        <w:snapToGrid/>
        <w:spacing w:line="44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保险期间发生保险事故。参与受损公路修复工程的施工单位必须经投保人和保险人双方认可的,具备相应资质的施工单位</w:t>
      </w:r>
      <w:r>
        <w:rPr>
          <w:rFonts w:hint="eastAsia" w:ascii="新宋体" w:hAnsi="新宋体" w:eastAsia="新宋体" w:cs="新宋体"/>
          <w:color w:val="auto"/>
          <w:sz w:val="22"/>
          <w:szCs w:val="22"/>
          <w:highlight w:val="none"/>
          <w:lang w:val="en-US" w:eastAsia="zh-CN"/>
        </w:rPr>
        <w:t>.</w:t>
      </w:r>
    </w:p>
    <w:p>
      <w:pPr>
        <w:pStyle w:val="24"/>
        <w:keepNext w:val="0"/>
        <w:keepLines w:val="0"/>
        <w:pageBreakBefore w:val="0"/>
        <w:widowControl w:val="0"/>
        <w:kinsoku/>
        <w:wordWrap/>
        <w:overflowPunct/>
        <w:topLinePunct w:val="0"/>
        <w:autoSpaceDE/>
        <w:autoSpaceDN/>
        <w:bidi w:val="0"/>
        <w:adjustRightInd w:val="0"/>
        <w:snapToGrid/>
        <w:spacing w:line="44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8.</w:t>
      </w:r>
      <w:r>
        <w:rPr>
          <w:rFonts w:hint="eastAsia" w:ascii="新宋体" w:hAnsi="新宋体" w:eastAsia="新宋体" w:cs="新宋体"/>
          <w:color w:val="auto"/>
          <w:sz w:val="22"/>
          <w:szCs w:val="22"/>
          <w:highlight w:val="none"/>
        </w:rPr>
        <w:t>发生大面积损失或由于抢险需要时，应及时通知保险人，且保险人无法及时到场时，可由相关应急人员以拍照留底作为理赔依据。</w:t>
      </w:r>
    </w:p>
    <w:p>
      <w:pPr>
        <w:pStyle w:val="24"/>
        <w:keepNext w:val="0"/>
        <w:keepLines w:val="0"/>
        <w:pageBreakBefore w:val="0"/>
        <w:widowControl w:val="0"/>
        <w:kinsoku/>
        <w:wordWrap/>
        <w:overflowPunct/>
        <w:topLinePunct w:val="0"/>
        <w:autoSpaceDE/>
        <w:autoSpaceDN/>
        <w:bidi w:val="0"/>
        <w:adjustRightInd w:val="0"/>
        <w:snapToGrid/>
        <w:spacing w:line="440" w:lineRule="exact"/>
        <w:ind w:firstLine="440" w:firstLineChars="200"/>
        <w:textAlignment w:val="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9.</w:t>
      </w:r>
      <w:r>
        <w:rPr>
          <w:rFonts w:hint="eastAsia" w:ascii="新宋体" w:hAnsi="新宋体" w:eastAsia="新宋体" w:cs="新宋体"/>
          <w:color w:val="auto"/>
          <w:sz w:val="22"/>
          <w:szCs w:val="22"/>
          <w:highlight w:val="none"/>
        </w:rPr>
        <w:t>考虑到公路保险项目有其特殊性，对遇到公路出险需要马上组织抢修道路的，原则上尊重道路养护责任人处理方法，道路养护责任人需对抢修路段进行拍照留底作为理赔依据，并及时告知保险公路服务人员。</w:t>
      </w:r>
    </w:p>
    <w:p>
      <w:pPr>
        <w:pStyle w:val="24"/>
        <w:spacing w:line="440" w:lineRule="exact"/>
        <w:ind w:firstLine="0"/>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九、争议处理：</w:t>
      </w:r>
    </w:p>
    <w:p>
      <w:pPr>
        <w:pStyle w:val="24"/>
        <w:spacing w:line="44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协议双方发生争执应通过协商解决或通过当地法院诉讼解决。</w:t>
      </w:r>
    </w:p>
    <w:p>
      <w:pPr>
        <w:pStyle w:val="24"/>
        <w:spacing w:line="440" w:lineRule="exact"/>
        <w:ind w:firstLine="0"/>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十、其他</w:t>
      </w:r>
    </w:p>
    <w:p>
      <w:pPr>
        <w:pStyle w:val="24"/>
        <w:spacing w:line="44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（一）本协议的合作内容，各方需共同遵守，不得擅自修改。对协议执行中的问题、分歧及未尽事宜，本着相互谅解、相互支持、长期友好合作的精神，予以协商解决。</w:t>
      </w:r>
    </w:p>
    <w:p>
      <w:pPr>
        <w:pStyle w:val="24"/>
        <w:spacing w:line="44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（二）本协议经各方签署后即生效</w:t>
      </w:r>
    </w:p>
    <w:p>
      <w:pPr>
        <w:spacing w:line="440" w:lineRule="exact"/>
        <w:rPr>
          <w:color w:val="auto"/>
          <w:highlight w:val="none"/>
        </w:rPr>
      </w:pPr>
      <w:r>
        <w:rPr>
          <w:rFonts w:hint="eastAsia" w:eastAsia="新宋体"/>
          <w:color w:val="auto"/>
          <w:sz w:val="28"/>
          <w:highlight w:val="none"/>
        </w:rPr>
        <w:tab/>
      </w:r>
      <w:r>
        <w:rPr>
          <w:rFonts w:hint="eastAsia" w:eastAsia="新宋体"/>
          <w:color w:val="auto"/>
          <w:sz w:val="28"/>
          <w:highlight w:val="none"/>
        </w:rPr>
        <w:tab/>
      </w:r>
    </w:p>
    <w:p>
      <w:pPr>
        <w:spacing w:line="360" w:lineRule="auto"/>
        <w:ind w:left="6127" w:leftChars="89" w:hanging="5940" w:hangingChars="2700"/>
        <w:rPr>
          <w:rFonts w:ascii="宋体" w:hAnsi="宋体" w:cs="宋体"/>
          <w:color w:val="auto"/>
          <w:sz w:val="22"/>
          <w:szCs w:val="22"/>
          <w:highlight w:val="none"/>
        </w:rPr>
      </w:pPr>
      <w:r>
        <w:rPr>
          <w:rFonts w:hint="eastAsia" w:ascii="宋体" w:hAnsi="宋体" w:cs="宋体"/>
          <w:color w:val="auto"/>
          <w:sz w:val="22"/>
          <w:szCs w:val="22"/>
          <w:highlight w:val="none"/>
        </w:rPr>
        <w:t xml:space="preserve">甲方：                             </w:t>
      </w:r>
    </w:p>
    <w:p>
      <w:pPr>
        <w:spacing w:line="360" w:lineRule="auto"/>
        <w:rPr>
          <w:rFonts w:ascii="宋体" w:hAnsi="宋体" w:cs="宋体"/>
          <w:color w:val="auto"/>
          <w:sz w:val="22"/>
          <w:szCs w:val="22"/>
          <w:highlight w:val="none"/>
        </w:rPr>
      </w:pPr>
      <w:r>
        <w:rPr>
          <w:rFonts w:hint="eastAsia" w:ascii="宋体" w:hAnsi="宋体" w:cs="宋体"/>
          <w:color w:val="auto"/>
          <w:sz w:val="22"/>
          <w:szCs w:val="22"/>
          <w:highlight w:val="none"/>
        </w:rPr>
        <w:t xml:space="preserve">（公章）                             </w:t>
      </w:r>
    </w:p>
    <w:p>
      <w:pPr>
        <w:spacing w:line="360" w:lineRule="auto"/>
        <w:ind w:firstLine="220" w:firstLineChars="100"/>
        <w:rPr>
          <w:rFonts w:ascii="宋体" w:hAnsi="宋体" w:cs="宋体"/>
          <w:color w:val="auto"/>
          <w:sz w:val="22"/>
          <w:szCs w:val="22"/>
          <w:highlight w:val="none"/>
        </w:rPr>
      </w:pPr>
      <w:r>
        <w:rPr>
          <w:rFonts w:hint="eastAsia" w:ascii="宋体" w:hAnsi="宋体" w:cs="宋体"/>
          <w:color w:val="auto"/>
          <w:sz w:val="22"/>
          <w:szCs w:val="22"/>
          <w:highlight w:val="none"/>
        </w:rPr>
        <w:t xml:space="preserve">负责人：     （签字）              </w:t>
      </w:r>
    </w:p>
    <w:p>
      <w:pPr>
        <w:spacing w:line="360" w:lineRule="auto"/>
        <w:ind w:firstLine="220" w:firstLineChars="100"/>
        <w:rPr>
          <w:rFonts w:ascii="宋体" w:hAnsi="宋体"/>
          <w:color w:val="auto"/>
          <w:sz w:val="22"/>
          <w:szCs w:val="22"/>
          <w:highlight w:val="none"/>
        </w:rPr>
      </w:pPr>
      <w:r>
        <w:rPr>
          <w:rFonts w:hint="eastAsia" w:ascii="宋体" w:hAnsi="宋体" w:cs="宋体"/>
          <w:color w:val="auto"/>
          <w:sz w:val="22"/>
          <w:szCs w:val="22"/>
          <w:highlight w:val="none"/>
        </w:rPr>
        <w:t xml:space="preserve">日期：   年   月   日             </w:t>
      </w:r>
    </w:p>
    <w:p>
      <w:pPr>
        <w:spacing w:line="360" w:lineRule="auto"/>
        <w:rPr>
          <w:rFonts w:ascii="宋体" w:hAnsi="宋体"/>
          <w:color w:val="auto"/>
          <w:sz w:val="22"/>
          <w:szCs w:val="22"/>
          <w:highlight w:val="none"/>
        </w:rPr>
      </w:pPr>
    </w:p>
    <w:p>
      <w:pPr>
        <w:spacing w:line="360" w:lineRule="auto"/>
        <w:ind w:firstLine="220" w:firstLineChars="100"/>
        <w:rPr>
          <w:rFonts w:ascii="宋体" w:hAnsi="宋体" w:cs="宋体"/>
          <w:color w:val="auto"/>
          <w:sz w:val="22"/>
          <w:szCs w:val="22"/>
          <w:highlight w:val="none"/>
        </w:rPr>
      </w:pPr>
      <w:r>
        <w:rPr>
          <w:rFonts w:hint="eastAsia" w:ascii="宋体" w:hAnsi="宋体"/>
          <w:color w:val="auto"/>
          <w:sz w:val="22"/>
          <w:szCs w:val="22"/>
          <w:highlight w:val="none"/>
        </w:rPr>
        <w:t>乙方：</w:t>
      </w:r>
    </w:p>
    <w:p>
      <w:pPr>
        <w:spacing w:line="360" w:lineRule="auto"/>
        <w:ind w:firstLine="220" w:firstLineChars="100"/>
        <w:rPr>
          <w:rFonts w:ascii="宋体" w:hAnsi="宋体" w:cs="宋体"/>
          <w:color w:val="auto"/>
          <w:sz w:val="22"/>
          <w:szCs w:val="22"/>
          <w:highlight w:val="none"/>
        </w:rPr>
      </w:pPr>
      <w:r>
        <w:rPr>
          <w:rFonts w:hint="eastAsia" w:ascii="宋体" w:hAnsi="宋体" w:cs="宋体"/>
          <w:color w:val="auto"/>
          <w:sz w:val="22"/>
          <w:szCs w:val="22"/>
          <w:highlight w:val="none"/>
        </w:rPr>
        <w:t xml:space="preserve"> （公章） </w:t>
      </w:r>
    </w:p>
    <w:p>
      <w:pPr>
        <w:spacing w:line="360" w:lineRule="auto"/>
        <w:ind w:left="6215" w:leftChars="131" w:hanging="5940" w:hangingChars="2700"/>
        <w:rPr>
          <w:rFonts w:ascii="宋体" w:hAnsi="宋体" w:cs="宋体"/>
          <w:color w:val="auto"/>
          <w:sz w:val="22"/>
          <w:szCs w:val="22"/>
          <w:highlight w:val="none"/>
        </w:rPr>
      </w:pPr>
      <w:r>
        <w:rPr>
          <w:rFonts w:hint="eastAsia" w:ascii="宋体" w:hAnsi="宋体" w:cs="宋体"/>
          <w:color w:val="auto"/>
          <w:sz w:val="22"/>
          <w:szCs w:val="22"/>
          <w:highlight w:val="none"/>
        </w:rPr>
        <w:t>负责人：    （签字）</w:t>
      </w:r>
    </w:p>
    <w:p>
      <w:pPr>
        <w:spacing w:line="360" w:lineRule="auto"/>
        <w:ind w:firstLine="220" w:firstLineChars="100"/>
        <w:jc w:val="both"/>
        <w:rPr>
          <w:rFonts w:hint="eastAsia" w:ascii="宋体" w:hAnsi="宋体" w:cs="宋体"/>
          <w:color w:val="auto"/>
          <w:sz w:val="22"/>
          <w:szCs w:val="22"/>
          <w:highlight w:val="none"/>
        </w:rPr>
      </w:pPr>
      <w:r>
        <w:rPr>
          <w:rFonts w:hint="eastAsia" w:ascii="宋体" w:hAnsi="宋体" w:cs="宋体"/>
          <w:color w:val="auto"/>
          <w:sz w:val="22"/>
          <w:szCs w:val="22"/>
          <w:highlight w:val="none"/>
        </w:rPr>
        <w:t>日期：   年   月   日</w:t>
      </w:r>
    </w:p>
    <w:p>
      <w:pPr>
        <w:rPr>
          <w:rFonts w:hint="eastAsia" w:ascii="宋体" w:hAnsi="宋体" w:cs="宋体"/>
          <w:color w:val="auto"/>
          <w:sz w:val="22"/>
          <w:szCs w:val="22"/>
          <w:highlight w:val="none"/>
        </w:rPr>
      </w:pPr>
      <w:r>
        <w:rPr>
          <w:rFonts w:hint="eastAsia" w:ascii="宋体" w:hAnsi="宋体" w:cs="宋体"/>
          <w:color w:val="auto"/>
          <w:sz w:val="22"/>
          <w:szCs w:val="22"/>
          <w:highlight w:val="none"/>
        </w:rPr>
        <w:br w:type="page"/>
      </w:r>
    </w:p>
    <w:p>
      <w:pPr>
        <w:spacing w:line="360" w:lineRule="auto"/>
        <w:jc w:val="both"/>
        <w:rPr>
          <w:rFonts w:hint="eastAsia" w:ascii="新宋体" w:hAnsi="新宋体" w:eastAsia="新宋体"/>
          <w:color w:val="auto"/>
          <w:sz w:val="36"/>
          <w:szCs w:val="36"/>
          <w:highlight w:val="none"/>
          <w:vertAlign w:val="baseline"/>
        </w:rPr>
      </w:pPr>
      <w:r>
        <w:rPr>
          <w:rFonts w:hint="eastAsia" w:ascii="宋体" w:hAnsi="宋体" w:eastAsia="新宋体" w:cs="宋体"/>
          <w:color w:val="auto"/>
          <w:sz w:val="22"/>
          <w:szCs w:val="22"/>
          <w:highlight w:val="none"/>
          <w:lang w:eastAsia="zh-CN"/>
        </w:rPr>
        <w:t>附件：</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7"/>
        <w:gridCol w:w="1407"/>
        <w:gridCol w:w="1408"/>
        <w:gridCol w:w="1408"/>
        <w:gridCol w:w="1408"/>
        <w:gridCol w:w="1408"/>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407" w:type="dxa"/>
            <w:tcBorders>
              <w:tl2br w:val="nil"/>
              <w:tr2bl w:val="nil"/>
            </w:tcBorders>
            <w:vAlign w:val="center"/>
          </w:tcPr>
          <w:p>
            <w:pPr>
              <w:spacing w:line="360" w:lineRule="auto"/>
              <w:jc w:val="center"/>
              <w:rPr>
                <w:rFonts w:hint="eastAsia" w:ascii="宋体" w:hAnsi="宋体" w:eastAsia="宋体" w:cs="宋体"/>
                <w:sz w:val="22"/>
                <w:szCs w:val="22"/>
                <w:highlight w:val="none"/>
                <w:vertAlign w:val="baseline"/>
              </w:rPr>
            </w:pPr>
            <w:r>
              <w:rPr>
                <w:rFonts w:hint="eastAsia" w:ascii="宋体" w:hAnsi="宋体" w:eastAsia="宋体" w:cs="宋体"/>
                <w:sz w:val="22"/>
                <w:szCs w:val="22"/>
                <w:highlight w:val="none"/>
                <w:vertAlign w:val="baseline"/>
              </w:rPr>
              <w:t>路线编号</w:t>
            </w:r>
          </w:p>
        </w:tc>
        <w:tc>
          <w:tcPr>
            <w:tcW w:w="1407" w:type="dxa"/>
            <w:tcBorders>
              <w:tl2br w:val="nil"/>
              <w:tr2bl w:val="nil"/>
            </w:tcBorders>
            <w:vAlign w:val="center"/>
          </w:tcPr>
          <w:p>
            <w:pPr>
              <w:spacing w:line="360" w:lineRule="auto"/>
              <w:jc w:val="center"/>
              <w:rPr>
                <w:rFonts w:hint="eastAsia" w:ascii="宋体" w:hAnsi="宋体" w:eastAsia="宋体" w:cs="宋体"/>
                <w:sz w:val="22"/>
                <w:szCs w:val="22"/>
                <w:highlight w:val="none"/>
                <w:vertAlign w:val="baseline"/>
              </w:rPr>
            </w:pPr>
            <w:r>
              <w:rPr>
                <w:rFonts w:hint="eastAsia" w:ascii="宋体" w:hAnsi="宋体" w:eastAsia="宋体" w:cs="宋体"/>
                <w:sz w:val="22"/>
                <w:szCs w:val="22"/>
                <w:highlight w:val="none"/>
                <w:vertAlign w:val="baseline"/>
              </w:rPr>
              <w:t>路线名称</w:t>
            </w:r>
          </w:p>
        </w:tc>
        <w:tc>
          <w:tcPr>
            <w:tcW w:w="1408" w:type="dxa"/>
            <w:tcBorders>
              <w:tl2br w:val="nil"/>
              <w:tr2bl w:val="nil"/>
            </w:tcBorders>
            <w:vAlign w:val="center"/>
          </w:tcPr>
          <w:p>
            <w:pPr>
              <w:tabs>
                <w:tab w:val="left" w:pos="559"/>
              </w:tabs>
              <w:spacing w:line="360" w:lineRule="auto"/>
              <w:jc w:val="center"/>
              <w:rPr>
                <w:rFonts w:hint="eastAsia" w:ascii="宋体" w:hAnsi="宋体" w:eastAsia="宋体" w:cs="宋体"/>
                <w:sz w:val="22"/>
                <w:szCs w:val="22"/>
                <w:highlight w:val="none"/>
                <w:vertAlign w:val="baseline"/>
                <w:lang w:eastAsia="zh-CN"/>
              </w:rPr>
            </w:pPr>
            <w:r>
              <w:rPr>
                <w:rFonts w:hint="eastAsia" w:ascii="宋体" w:hAnsi="宋体" w:eastAsia="宋体" w:cs="宋体"/>
                <w:sz w:val="22"/>
                <w:szCs w:val="22"/>
                <w:highlight w:val="none"/>
                <w:vertAlign w:val="baseline"/>
                <w:lang w:eastAsia="zh-CN"/>
              </w:rPr>
              <w:t>起点地名</w:t>
            </w:r>
          </w:p>
        </w:tc>
        <w:tc>
          <w:tcPr>
            <w:tcW w:w="1408" w:type="dxa"/>
            <w:tcBorders>
              <w:tl2br w:val="nil"/>
              <w:tr2bl w:val="nil"/>
            </w:tcBorders>
            <w:vAlign w:val="center"/>
          </w:tcPr>
          <w:p>
            <w:pPr>
              <w:spacing w:line="360" w:lineRule="auto"/>
              <w:jc w:val="center"/>
              <w:rPr>
                <w:rFonts w:hint="eastAsia" w:ascii="宋体" w:hAnsi="宋体" w:eastAsia="宋体" w:cs="宋体"/>
                <w:sz w:val="22"/>
                <w:szCs w:val="22"/>
                <w:highlight w:val="none"/>
                <w:vertAlign w:val="baseline"/>
              </w:rPr>
            </w:pPr>
            <w:r>
              <w:rPr>
                <w:rFonts w:hint="eastAsia" w:ascii="宋体" w:hAnsi="宋体" w:eastAsia="宋体" w:cs="宋体"/>
                <w:sz w:val="22"/>
                <w:szCs w:val="22"/>
                <w:highlight w:val="none"/>
                <w:vertAlign w:val="baseline"/>
              </w:rPr>
              <w:t>迄点地名</w:t>
            </w:r>
          </w:p>
        </w:tc>
        <w:tc>
          <w:tcPr>
            <w:tcW w:w="1408" w:type="dxa"/>
            <w:tcBorders>
              <w:tl2br w:val="nil"/>
              <w:tr2bl w:val="nil"/>
            </w:tcBorders>
            <w:vAlign w:val="center"/>
          </w:tcPr>
          <w:p>
            <w:pPr>
              <w:spacing w:line="360" w:lineRule="auto"/>
              <w:jc w:val="center"/>
              <w:rPr>
                <w:rFonts w:hint="eastAsia" w:ascii="宋体" w:hAnsi="宋体" w:eastAsia="宋体" w:cs="宋体"/>
                <w:sz w:val="22"/>
                <w:szCs w:val="22"/>
                <w:highlight w:val="none"/>
                <w:vertAlign w:val="baseline"/>
              </w:rPr>
            </w:pPr>
            <w:r>
              <w:rPr>
                <w:rFonts w:hint="eastAsia" w:ascii="宋体" w:hAnsi="宋体" w:eastAsia="宋体" w:cs="宋体"/>
                <w:sz w:val="22"/>
                <w:szCs w:val="22"/>
                <w:highlight w:val="none"/>
                <w:vertAlign w:val="baseline"/>
              </w:rPr>
              <w:t>起点桩号</w:t>
            </w:r>
          </w:p>
        </w:tc>
        <w:tc>
          <w:tcPr>
            <w:tcW w:w="1408" w:type="dxa"/>
            <w:tcBorders>
              <w:tl2br w:val="nil"/>
              <w:tr2bl w:val="nil"/>
            </w:tcBorders>
            <w:vAlign w:val="center"/>
          </w:tcPr>
          <w:p>
            <w:pPr>
              <w:spacing w:line="360" w:lineRule="auto"/>
              <w:jc w:val="center"/>
              <w:rPr>
                <w:rFonts w:hint="eastAsia" w:ascii="宋体" w:hAnsi="宋体" w:eastAsia="宋体" w:cs="宋体"/>
                <w:sz w:val="22"/>
                <w:szCs w:val="22"/>
                <w:highlight w:val="none"/>
                <w:vertAlign w:val="baseline"/>
              </w:rPr>
            </w:pPr>
            <w:r>
              <w:rPr>
                <w:rFonts w:hint="eastAsia" w:ascii="宋体" w:hAnsi="宋体" w:eastAsia="宋体" w:cs="宋体"/>
                <w:sz w:val="22"/>
                <w:szCs w:val="22"/>
                <w:highlight w:val="none"/>
                <w:vertAlign w:val="baseline"/>
              </w:rPr>
              <w:t>迄点桩号</w:t>
            </w:r>
          </w:p>
        </w:tc>
        <w:tc>
          <w:tcPr>
            <w:tcW w:w="1408" w:type="dxa"/>
            <w:tcBorders>
              <w:tl2br w:val="nil"/>
              <w:tr2bl w:val="nil"/>
            </w:tcBorders>
            <w:vAlign w:val="center"/>
          </w:tcPr>
          <w:p>
            <w:pPr>
              <w:spacing w:line="360" w:lineRule="auto"/>
              <w:jc w:val="center"/>
              <w:rPr>
                <w:rFonts w:hint="eastAsia" w:ascii="宋体" w:hAnsi="宋体" w:eastAsia="宋体" w:cs="宋体"/>
                <w:sz w:val="22"/>
                <w:szCs w:val="22"/>
                <w:highlight w:val="none"/>
                <w:vertAlign w:val="baseline"/>
              </w:rPr>
            </w:pPr>
            <w:r>
              <w:rPr>
                <w:rFonts w:hint="eastAsia" w:ascii="宋体" w:hAnsi="宋体" w:eastAsia="宋体" w:cs="宋体"/>
                <w:sz w:val="22"/>
                <w:szCs w:val="22"/>
                <w:highlight w:val="none"/>
                <w:vertAlign w:val="baseline"/>
              </w:rPr>
              <w:t>里程总计</w:t>
            </w:r>
          </w:p>
          <w:p>
            <w:pPr>
              <w:spacing w:line="360" w:lineRule="auto"/>
              <w:jc w:val="center"/>
              <w:rPr>
                <w:rFonts w:hint="eastAsia" w:ascii="宋体" w:hAnsi="宋体" w:eastAsia="宋体" w:cs="宋体"/>
                <w:sz w:val="22"/>
                <w:szCs w:val="22"/>
                <w:highlight w:val="none"/>
                <w:vertAlign w:val="baseline"/>
              </w:rPr>
            </w:pPr>
            <w:r>
              <w:rPr>
                <w:rFonts w:hint="eastAsia" w:ascii="宋体" w:hAnsi="宋体" w:eastAsia="宋体" w:cs="宋体"/>
                <w:sz w:val="22"/>
                <w:szCs w:val="22"/>
                <w:highlight w:val="none"/>
                <w:vertAlign w:val="baseline"/>
              </w:rPr>
              <w:t>（公里）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X203330304</w:t>
            </w:r>
          </w:p>
        </w:tc>
        <w:tc>
          <w:tcPr>
            <w:tcW w:w="1407"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梧慈线</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SA"/>
              </w:rPr>
              <w:t>北村</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无量寺</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cs="宋体"/>
                <w:i w:val="0"/>
                <w:iCs w:val="0"/>
                <w:color w:val="000000"/>
                <w:kern w:val="0"/>
                <w:sz w:val="22"/>
                <w:szCs w:val="22"/>
                <w:highlight w:val="none"/>
                <w:u w:val="none"/>
                <w:lang w:val="en-US" w:eastAsia="zh-CN" w:bidi="ar-SA"/>
              </w:rPr>
              <w:t>4</w:t>
            </w:r>
            <w:r>
              <w:rPr>
                <w:rFonts w:hint="eastAsia" w:ascii="宋体" w:hAnsi="宋体" w:eastAsia="宋体" w:cs="宋体"/>
                <w:i w:val="0"/>
                <w:iCs w:val="0"/>
                <w:color w:val="000000"/>
                <w:kern w:val="0"/>
                <w:sz w:val="22"/>
                <w:szCs w:val="22"/>
                <w:highlight w:val="none"/>
                <w:u w:val="none"/>
                <w:lang w:val="en-US" w:eastAsia="zh-CN" w:bidi="ar-SA"/>
              </w:rPr>
              <w:t>.000</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9.701</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cs="宋体"/>
                <w:i w:val="0"/>
                <w:iCs w:val="0"/>
                <w:color w:val="000000"/>
                <w:kern w:val="0"/>
                <w:sz w:val="22"/>
                <w:szCs w:val="22"/>
                <w:highlight w:val="none"/>
                <w:u w:val="none"/>
                <w:lang w:val="en-US" w:eastAsia="zh-CN" w:bidi="ar-SA"/>
              </w:rPr>
              <w:t>5</w:t>
            </w:r>
            <w:r>
              <w:rPr>
                <w:rFonts w:hint="eastAsia" w:ascii="宋体" w:hAnsi="宋体" w:eastAsia="宋体" w:cs="宋体"/>
                <w:i w:val="0"/>
                <w:iCs w:val="0"/>
                <w:color w:val="000000"/>
                <w:kern w:val="0"/>
                <w:sz w:val="22"/>
                <w:szCs w:val="22"/>
                <w:highlight w:val="none"/>
                <w:u w:val="none"/>
                <w:lang w:val="en-US" w:eastAsia="zh-CN" w:bidi="ar-SA"/>
              </w:rPr>
              <w:t>.701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X204330304</w:t>
            </w:r>
          </w:p>
        </w:tc>
        <w:tc>
          <w:tcPr>
            <w:tcW w:w="1407"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南大线</w:t>
            </w:r>
          </w:p>
        </w:tc>
        <w:tc>
          <w:tcPr>
            <w:tcW w:w="1408"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SA"/>
              </w:rPr>
              <w:t>舜岙村</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雷达</w:t>
            </w:r>
            <w:r>
              <w:rPr>
                <w:rFonts w:ascii="宋体" w:hAnsi="宋体" w:eastAsia="宋体" w:cs="宋体"/>
                <w:i w:val="0"/>
                <w:iCs w:val="0"/>
                <w:color w:val="000000"/>
                <w:kern w:val="0"/>
                <w:sz w:val="22"/>
                <w:szCs w:val="22"/>
                <w:highlight w:val="none"/>
                <w:u w:val="none"/>
                <w:lang w:val="en-US" w:eastAsia="zh-CN" w:bidi="ar-SA"/>
              </w:rPr>
              <w:t>站</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cs="宋体"/>
                <w:i w:val="0"/>
                <w:iCs w:val="0"/>
                <w:color w:val="000000"/>
                <w:kern w:val="0"/>
                <w:sz w:val="22"/>
                <w:szCs w:val="22"/>
                <w:highlight w:val="none"/>
                <w:u w:val="none"/>
                <w:lang w:val="en-US" w:eastAsia="zh-CN" w:bidi="ar-SA"/>
              </w:rPr>
              <w:t>6</w:t>
            </w:r>
            <w:r>
              <w:rPr>
                <w:rFonts w:hint="eastAsia" w:ascii="宋体" w:hAnsi="宋体" w:eastAsia="宋体" w:cs="宋体"/>
                <w:i w:val="0"/>
                <w:iCs w:val="0"/>
                <w:color w:val="000000"/>
                <w:kern w:val="0"/>
                <w:sz w:val="22"/>
                <w:szCs w:val="22"/>
                <w:highlight w:val="none"/>
                <w:u w:val="none"/>
                <w:lang w:val="en-US" w:eastAsia="zh-CN" w:bidi="ar-SA"/>
              </w:rPr>
              <w:t>.000</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23.663</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cs="宋体"/>
                <w:i w:val="0"/>
                <w:iCs w:val="0"/>
                <w:color w:val="000000"/>
                <w:kern w:val="0"/>
                <w:sz w:val="22"/>
                <w:szCs w:val="22"/>
                <w:highlight w:val="none"/>
                <w:u w:val="none"/>
                <w:lang w:val="en-US" w:eastAsia="zh-CN" w:bidi="ar-SA"/>
              </w:rPr>
              <w:t>17</w:t>
            </w:r>
            <w:r>
              <w:rPr>
                <w:rFonts w:hint="eastAsia" w:ascii="宋体" w:hAnsi="宋体" w:eastAsia="宋体" w:cs="宋体"/>
                <w:i w:val="0"/>
                <w:iCs w:val="0"/>
                <w:color w:val="000000"/>
                <w:kern w:val="0"/>
                <w:sz w:val="22"/>
                <w:szCs w:val="22"/>
                <w:highlight w:val="none"/>
                <w:u w:val="none"/>
                <w:lang w:val="en-US" w:eastAsia="zh-CN" w:bidi="ar-SA"/>
              </w:rPr>
              <w:t>.663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X205330304</w:t>
            </w:r>
          </w:p>
        </w:tc>
        <w:tc>
          <w:tcPr>
            <w:tcW w:w="1407"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温源线</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SA"/>
              </w:rPr>
              <w:t>瞿溪车站</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源口</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15.000</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32.914</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17.914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X206330304</w:t>
            </w:r>
          </w:p>
        </w:tc>
        <w:tc>
          <w:tcPr>
            <w:tcW w:w="1407"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高桐线</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桐岭</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桐岭</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10.736</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13.581</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2.845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07"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X208330304</w:t>
            </w:r>
          </w:p>
        </w:tc>
        <w:tc>
          <w:tcPr>
            <w:tcW w:w="1407"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石林环线</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岭雪村</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林岙</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21.190</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46.762</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25.572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X271330304</w:t>
            </w:r>
          </w:p>
        </w:tc>
        <w:tc>
          <w:tcPr>
            <w:tcW w:w="1407"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瓯湖线</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雅漾村南</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和尚岭</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14.831</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42.145</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27.314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X276330304</w:t>
            </w:r>
          </w:p>
        </w:tc>
        <w:tc>
          <w:tcPr>
            <w:tcW w:w="1407"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瞿高公路</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岩门角</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分水城</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1.000</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7.754</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6.754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6" w:type="dxa"/>
            <w:gridSpan w:val="6"/>
            <w:tcBorders>
              <w:tl2br w:val="nil"/>
              <w:tr2bl w:val="nil"/>
            </w:tcBorders>
            <w:vAlign w:val="center"/>
          </w:tcPr>
          <w:p>
            <w:pPr>
              <w:spacing w:line="360" w:lineRule="auto"/>
              <w:jc w:val="center"/>
              <w:rPr>
                <w:rFonts w:hint="eastAsia" w:ascii="宋体" w:hAnsi="宋体" w:eastAsia="宋体" w:cs="宋体"/>
                <w:sz w:val="22"/>
                <w:szCs w:val="22"/>
                <w:highlight w:val="none"/>
                <w:vertAlign w:val="baseline"/>
              </w:rPr>
            </w:pPr>
            <w:r>
              <w:rPr>
                <w:rFonts w:hint="eastAsia" w:ascii="宋体" w:hAnsi="宋体" w:eastAsia="宋体" w:cs="宋体"/>
                <w:sz w:val="22"/>
                <w:szCs w:val="22"/>
                <w:highlight w:val="none"/>
              </w:rPr>
              <w:t>县道合计</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SA"/>
              </w:rPr>
              <w:t>1</w:t>
            </w:r>
            <w:r>
              <w:rPr>
                <w:rFonts w:hint="eastAsia" w:ascii="宋体" w:hAnsi="宋体" w:cs="宋体"/>
                <w:i w:val="0"/>
                <w:iCs w:val="0"/>
                <w:color w:val="000000"/>
                <w:kern w:val="0"/>
                <w:sz w:val="22"/>
                <w:szCs w:val="22"/>
                <w:highlight w:val="none"/>
                <w:u w:val="none"/>
                <w:lang w:val="en-US" w:eastAsia="zh-CN" w:bidi="ar-SA"/>
              </w:rPr>
              <w:t>0</w:t>
            </w:r>
            <w:r>
              <w:rPr>
                <w:rFonts w:hint="eastAsia" w:ascii="宋体" w:hAnsi="宋体" w:eastAsia="宋体" w:cs="宋体"/>
                <w:i w:val="0"/>
                <w:iCs w:val="0"/>
                <w:color w:val="000000"/>
                <w:kern w:val="0"/>
                <w:sz w:val="22"/>
                <w:szCs w:val="22"/>
                <w:highlight w:val="none"/>
                <w:u w:val="none"/>
                <w:lang w:val="en-US" w:eastAsia="zh-CN" w:bidi="ar-SA"/>
              </w:rPr>
              <w:t>3.763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Y216330304</w:t>
            </w:r>
          </w:p>
        </w:tc>
        <w:tc>
          <w:tcPr>
            <w:tcW w:w="1407"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陈北线</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上陈</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北林垟</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0.000</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16.811</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16.811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Y217330304</w:t>
            </w:r>
          </w:p>
        </w:tc>
        <w:tc>
          <w:tcPr>
            <w:tcW w:w="1407"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唐金线</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唐宅</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金宅</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0.000</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4.649</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4.649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Y218330304</w:t>
            </w:r>
          </w:p>
        </w:tc>
        <w:tc>
          <w:tcPr>
            <w:tcW w:w="1407"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龙西线</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龙宫</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西岸</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0.000</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5.301</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5.301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Y219330304</w:t>
            </w:r>
          </w:p>
        </w:tc>
        <w:tc>
          <w:tcPr>
            <w:tcW w:w="1407"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环库公路</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西山</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石桥</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0.000</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5.130</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Y220330304</w:t>
            </w:r>
          </w:p>
        </w:tc>
        <w:tc>
          <w:tcPr>
            <w:tcW w:w="1407"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林五线</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石坑</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五凤垟</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0.000</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10.563</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10.563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tcBorders>
              <w:tl2br w:val="nil"/>
              <w:tr2bl w:val="nil"/>
            </w:tcBorders>
            <w:vAlign w:val="center"/>
          </w:tcPr>
          <w:p>
            <w:pPr>
              <w:rPr>
                <w:rFonts w:hint="eastAsia"/>
                <w:highlight w:val="none"/>
              </w:rPr>
            </w:pPr>
            <w:r>
              <w:rPr>
                <w:highlight w:val="none"/>
              </w:rPr>
              <w:t xml:space="preserve">  Y221330304</w:t>
            </w:r>
          </w:p>
        </w:tc>
        <w:tc>
          <w:tcPr>
            <w:tcW w:w="1407"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ascii="宋体" w:hAnsi="宋体" w:eastAsia="宋体" w:cs="宋体"/>
                <w:i w:val="0"/>
                <w:iCs w:val="0"/>
                <w:color w:val="000000"/>
                <w:kern w:val="0"/>
                <w:sz w:val="22"/>
                <w:szCs w:val="22"/>
                <w:highlight w:val="none"/>
                <w:u w:val="none"/>
                <w:lang w:val="en-US" w:eastAsia="zh-CN" w:bidi="ar-SA"/>
              </w:rPr>
              <w:t>白巨</w:t>
            </w:r>
            <w:r>
              <w:rPr>
                <w:rFonts w:hint="eastAsia" w:ascii="宋体" w:hAnsi="宋体" w:eastAsia="宋体" w:cs="宋体"/>
                <w:i w:val="0"/>
                <w:iCs w:val="0"/>
                <w:color w:val="000000"/>
                <w:kern w:val="0"/>
                <w:sz w:val="22"/>
                <w:szCs w:val="22"/>
                <w:highlight w:val="none"/>
                <w:u w:val="none"/>
                <w:lang w:val="en-US" w:eastAsia="zh-CN" w:bidi="ar-SA"/>
              </w:rPr>
              <w:t>线</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ascii="宋体" w:hAnsi="宋体" w:eastAsia="宋体" w:cs="宋体"/>
                <w:sz w:val="22"/>
                <w:szCs w:val="22"/>
                <w:highlight w:val="none"/>
                <w:vertAlign w:val="baseline"/>
              </w:rPr>
              <w:t>白塔殿</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ascii="宋体" w:hAnsi="宋体" w:eastAsia="宋体" w:cs="宋体"/>
                <w:sz w:val="22"/>
                <w:szCs w:val="22"/>
                <w:highlight w:val="none"/>
                <w:vertAlign w:val="baseline"/>
              </w:rPr>
              <w:t>巨溪</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0.000</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ascii="宋体" w:hAnsi="宋体" w:eastAsia="宋体" w:cs="宋体"/>
                <w:i w:val="0"/>
                <w:iCs w:val="0"/>
                <w:color w:val="000000"/>
                <w:kern w:val="0"/>
                <w:sz w:val="22"/>
                <w:szCs w:val="22"/>
                <w:highlight w:val="none"/>
                <w:u w:val="none"/>
                <w:lang w:val="en-US" w:eastAsia="zh-CN" w:bidi="ar-SA"/>
              </w:rPr>
              <w:t>3.310</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ascii="宋体" w:hAnsi="宋体" w:eastAsia="宋体" w:cs="宋体"/>
                <w:i w:val="0"/>
                <w:iCs w:val="0"/>
                <w:color w:val="000000"/>
                <w:kern w:val="0"/>
                <w:sz w:val="22"/>
                <w:szCs w:val="22"/>
                <w:highlight w:val="none"/>
                <w:u w:val="none"/>
                <w:lang w:val="en-US" w:eastAsia="zh-CN" w:bidi="ar-SA"/>
              </w:rPr>
              <w:t>3.310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Y301330304</w:t>
            </w:r>
          </w:p>
        </w:tc>
        <w:tc>
          <w:tcPr>
            <w:tcW w:w="1407"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仙河线</w:t>
            </w:r>
          </w:p>
        </w:tc>
        <w:tc>
          <w:tcPr>
            <w:tcW w:w="1408"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sz w:val="22"/>
                <w:szCs w:val="22"/>
                <w:highlight w:val="none"/>
                <w:vertAlign w:val="baseline"/>
                <w:lang w:val="en-US" w:eastAsia="zh-CN"/>
              </w:rPr>
            </w:pPr>
            <w:r>
              <w:rPr>
                <w:rFonts w:hint="eastAsia" w:ascii="宋体" w:hAnsi="宋体" w:cs="宋体"/>
                <w:sz w:val="22"/>
                <w:szCs w:val="22"/>
                <w:highlight w:val="none"/>
                <w:vertAlign w:val="baseline"/>
                <w:lang w:val="en-US" w:eastAsia="zh-CN"/>
              </w:rPr>
              <w:t>仙南村</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仙岩秀垟水库</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cs="宋体"/>
                <w:i w:val="0"/>
                <w:iCs w:val="0"/>
                <w:color w:val="000000"/>
                <w:kern w:val="0"/>
                <w:sz w:val="22"/>
                <w:szCs w:val="22"/>
                <w:highlight w:val="none"/>
                <w:u w:val="none"/>
                <w:lang w:val="en-US" w:eastAsia="zh-CN" w:bidi="ar-SA"/>
              </w:rPr>
              <w:t>4</w:t>
            </w:r>
            <w:r>
              <w:rPr>
                <w:rFonts w:hint="eastAsia" w:ascii="宋体" w:hAnsi="宋体" w:eastAsia="宋体" w:cs="宋体"/>
                <w:i w:val="0"/>
                <w:iCs w:val="0"/>
                <w:color w:val="000000"/>
                <w:kern w:val="0"/>
                <w:sz w:val="22"/>
                <w:szCs w:val="22"/>
                <w:highlight w:val="none"/>
                <w:u w:val="none"/>
                <w:lang w:val="en-US" w:eastAsia="zh-CN" w:bidi="ar-SA"/>
              </w:rPr>
              <w:t>.000</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13.119</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cs="宋体"/>
                <w:i w:val="0"/>
                <w:iCs w:val="0"/>
                <w:color w:val="000000"/>
                <w:kern w:val="0"/>
                <w:sz w:val="22"/>
                <w:szCs w:val="22"/>
                <w:highlight w:val="none"/>
                <w:u w:val="none"/>
                <w:lang w:val="en-US" w:eastAsia="zh-CN" w:bidi="ar-SA"/>
              </w:rPr>
              <w:t>9</w:t>
            </w:r>
            <w:r>
              <w:rPr>
                <w:rFonts w:hint="eastAsia" w:ascii="宋体" w:hAnsi="宋体" w:eastAsia="宋体" w:cs="宋体"/>
                <w:i w:val="0"/>
                <w:iCs w:val="0"/>
                <w:color w:val="000000"/>
                <w:kern w:val="0"/>
                <w:sz w:val="22"/>
                <w:szCs w:val="22"/>
                <w:highlight w:val="none"/>
                <w:u w:val="none"/>
                <w:lang w:val="en-US" w:eastAsia="zh-CN" w:bidi="ar-SA"/>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6" w:type="dxa"/>
            <w:gridSpan w:val="6"/>
            <w:tcBorders>
              <w:tl2br w:val="nil"/>
              <w:tr2bl w:val="nil"/>
            </w:tcBorders>
            <w:vAlign w:val="center"/>
          </w:tcPr>
          <w:p>
            <w:pPr>
              <w:spacing w:line="360" w:lineRule="auto"/>
              <w:jc w:val="center"/>
              <w:rPr>
                <w:rFonts w:hint="eastAsia" w:ascii="宋体" w:hAnsi="宋体" w:eastAsia="宋体" w:cs="宋体"/>
                <w:sz w:val="22"/>
                <w:szCs w:val="22"/>
                <w:highlight w:val="none"/>
                <w:vertAlign w:val="baseline"/>
              </w:rPr>
            </w:pPr>
            <w:r>
              <w:rPr>
                <w:rFonts w:hint="eastAsia" w:ascii="宋体" w:hAnsi="宋体" w:eastAsia="宋体" w:cs="宋体"/>
                <w:sz w:val="22"/>
                <w:szCs w:val="22"/>
                <w:highlight w:val="none"/>
                <w:vertAlign w:val="baseline"/>
              </w:rPr>
              <w:t>乡道合计</w:t>
            </w:r>
          </w:p>
        </w:tc>
        <w:tc>
          <w:tcPr>
            <w:tcW w:w="1408" w:type="dxa"/>
            <w:tcBorders>
              <w:tl2br w:val="nil"/>
              <w:tr2bl w:val="nil"/>
            </w:tcBorders>
            <w:vAlign w:val="center"/>
          </w:tcPr>
          <w:p>
            <w:pPr>
              <w:spacing w:line="360" w:lineRule="auto"/>
              <w:jc w:val="center"/>
              <w:rPr>
                <w:rFonts w:hint="eastAsia" w:ascii="宋体" w:hAnsi="宋体" w:eastAsia="宋体" w:cs="宋体"/>
                <w:sz w:val="22"/>
                <w:szCs w:val="22"/>
                <w:highlight w:val="none"/>
                <w:vertAlign w:val="baseline"/>
              </w:rPr>
            </w:pPr>
            <w:r>
              <w:rPr>
                <w:rFonts w:ascii="宋体" w:hAnsi="宋体" w:eastAsia="宋体" w:cs="宋体"/>
                <w:sz w:val="22"/>
                <w:szCs w:val="22"/>
                <w:highlight w:val="none"/>
                <w:vertAlign w:val="baseline"/>
              </w:rPr>
              <w:t>5</w:t>
            </w:r>
            <w:r>
              <w:rPr>
                <w:rFonts w:hint="eastAsia" w:ascii="宋体" w:hAnsi="宋体" w:cs="宋体"/>
                <w:sz w:val="22"/>
                <w:szCs w:val="22"/>
                <w:highlight w:val="none"/>
                <w:vertAlign w:val="baseline"/>
                <w:lang w:val="en-US" w:eastAsia="zh-CN"/>
              </w:rPr>
              <w:t>4</w:t>
            </w:r>
            <w:r>
              <w:rPr>
                <w:rFonts w:ascii="宋体" w:hAnsi="宋体" w:eastAsia="宋体" w:cs="宋体"/>
                <w:sz w:val="22"/>
                <w:szCs w:val="22"/>
                <w:highlight w:val="none"/>
                <w:vertAlign w:val="baseline"/>
              </w:rPr>
              <w:t>.883</w:t>
            </w:r>
          </w:p>
        </w:tc>
      </w:tr>
    </w:tbl>
    <w:p>
      <w:pPr>
        <w:keepNext w:val="0"/>
        <w:keepLines w:val="0"/>
        <w:pageBreakBefore w:val="0"/>
        <w:kinsoku/>
        <w:wordWrap/>
        <w:overflowPunct/>
        <w:autoSpaceDE/>
        <w:autoSpaceDN/>
        <w:bidi w:val="0"/>
        <w:adjustRightInd/>
        <w:snapToGrid/>
        <w:spacing w:line="360" w:lineRule="auto"/>
        <w:ind w:firstLine="440" w:firstLineChars="200"/>
        <w:textAlignment w:val="auto"/>
        <w:rPr>
          <w:rFonts w:hint="eastAsia" w:ascii="宋体" w:hAnsi="宋体" w:eastAsia="宋体" w:cs="宋体"/>
          <w:color w:val="auto"/>
          <w:sz w:val="22"/>
          <w:szCs w:val="22"/>
          <w:highlight w:val="none"/>
        </w:rPr>
      </w:pPr>
      <w:r>
        <w:rPr>
          <w:rFonts w:hint="eastAsia" w:ascii="宋体" w:hAnsi="宋体" w:cs="宋体"/>
          <w:bCs/>
          <w:color w:val="auto"/>
          <w:sz w:val="22"/>
          <w:szCs w:val="22"/>
          <w:highlight w:val="none"/>
        </w:rPr>
        <w:t xml:space="preserve"> </w:t>
      </w:r>
    </w:p>
    <w:p>
      <w:pPr>
        <w:rPr>
          <w:rFonts w:ascii="宋体" w:hAnsi="宋体"/>
          <w:b/>
          <w:color w:val="auto"/>
          <w:sz w:val="28"/>
          <w:szCs w:val="28"/>
          <w:highlight w:val="none"/>
        </w:rPr>
      </w:pPr>
    </w:p>
    <w:p>
      <w:pPr>
        <w:rPr>
          <w:rFonts w:hint="eastAsia" w:ascii="宋体" w:hAnsi="宋体"/>
          <w:b/>
          <w:color w:val="auto"/>
          <w:sz w:val="28"/>
          <w:szCs w:val="28"/>
          <w:highlight w:val="none"/>
        </w:rPr>
      </w:pPr>
    </w:p>
    <w:p>
      <w:pPr>
        <w:rPr>
          <w:rFonts w:hint="eastAsia"/>
          <w:color w:val="auto"/>
          <w:highlight w:val="none"/>
        </w:rPr>
      </w:pPr>
    </w:p>
    <w:p>
      <w:pPr>
        <w:pStyle w:val="3"/>
        <w:rPr>
          <w:rFonts w:ascii="新宋体" w:hAnsi="新宋体" w:eastAsia="新宋体"/>
          <w:color w:val="auto"/>
          <w:sz w:val="36"/>
          <w:szCs w:val="36"/>
          <w:highlight w:val="none"/>
        </w:rPr>
      </w:pPr>
    </w:p>
    <w:p>
      <w:pPr>
        <w:rPr>
          <w:rFonts w:ascii="新宋体" w:hAnsi="新宋体" w:eastAsia="新宋体"/>
          <w:color w:val="auto"/>
          <w:sz w:val="36"/>
          <w:szCs w:val="36"/>
          <w:highlight w:val="none"/>
        </w:rPr>
      </w:pPr>
    </w:p>
    <w:p>
      <w:pPr>
        <w:pStyle w:val="71"/>
        <w:rPr>
          <w:rFonts w:ascii="新宋体" w:hAnsi="新宋体" w:eastAsia="新宋体"/>
          <w:color w:val="auto"/>
          <w:sz w:val="36"/>
          <w:szCs w:val="36"/>
          <w:highlight w:val="none"/>
        </w:rPr>
      </w:pPr>
    </w:p>
    <w:p>
      <w:pPr>
        <w:pStyle w:val="71"/>
        <w:rPr>
          <w:rFonts w:ascii="新宋体" w:hAnsi="新宋体" w:eastAsia="新宋体"/>
          <w:color w:val="auto"/>
          <w:sz w:val="36"/>
          <w:szCs w:val="36"/>
          <w:highlight w:val="none"/>
        </w:rPr>
      </w:pPr>
    </w:p>
    <w:p>
      <w:pPr>
        <w:pStyle w:val="71"/>
        <w:rPr>
          <w:rFonts w:ascii="新宋体" w:hAnsi="新宋体" w:eastAsia="新宋体"/>
          <w:color w:val="auto"/>
          <w:sz w:val="36"/>
          <w:szCs w:val="36"/>
          <w:highlight w:val="none"/>
        </w:rPr>
      </w:pPr>
    </w:p>
    <w:p>
      <w:pPr>
        <w:rPr>
          <w:color w:val="auto"/>
          <w:highlight w:val="none"/>
        </w:rPr>
      </w:pPr>
    </w:p>
    <w:p>
      <w:pPr>
        <w:rPr>
          <w:rFonts w:hint="eastAsia" w:ascii="新宋体" w:hAnsi="新宋体" w:eastAsia="新宋体"/>
          <w:color w:val="auto"/>
          <w:sz w:val="36"/>
          <w:szCs w:val="36"/>
          <w:highlight w:val="none"/>
        </w:rPr>
      </w:pPr>
      <w:r>
        <w:rPr>
          <w:rFonts w:hint="eastAsia" w:ascii="新宋体" w:hAnsi="新宋体" w:eastAsia="新宋体"/>
          <w:color w:val="auto"/>
          <w:sz w:val="36"/>
          <w:szCs w:val="36"/>
          <w:highlight w:val="none"/>
        </w:rPr>
        <w:br w:type="page"/>
      </w:r>
    </w:p>
    <w:p>
      <w:pPr>
        <w:pStyle w:val="3"/>
        <w:jc w:val="center"/>
        <w:rPr>
          <w:rFonts w:ascii="新宋体" w:hAnsi="新宋体" w:eastAsia="新宋体"/>
          <w:color w:val="auto"/>
          <w:sz w:val="36"/>
          <w:szCs w:val="36"/>
          <w:highlight w:val="none"/>
        </w:rPr>
      </w:pPr>
      <w:r>
        <w:rPr>
          <w:rFonts w:hint="eastAsia" w:ascii="新宋体" w:hAnsi="新宋体" w:eastAsia="新宋体"/>
          <w:color w:val="auto"/>
          <w:sz w:val="36"/>
          <w:szCs w:val="36"/>
          <w:highlight w:val="none"/>
        </w:rPr>
        <w:t>第四部分   磋商响应文件格式</w:t>
      </w:r>
      <w:bookmarkEnd w:id="50"/>
      <w:bookmarkEnd w:id="51"/>
      <w:bookmarkEnd w:id="52"/>
    </w:p>
    <w:p>
      <w:pPr>
        <w:spacing w:before="120" w:beforeLines="50" w:after="120" w:afterLines="50"/>
        <w:jc w:val="center"/>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（资格审查资料封面，供参考）</w:t>
      </w:r>
    </w:p>
    <w:p>
      <w:pPr>
        <w:jc w:val="center"/>
        <w:rPr>
          <w:rFonts w:ascii="新宋体" w:hAnsi="新宋体" w:eastAsia="新宋体"/>
          <w:color w:val="auto"/>
          <w:highlight w:val="none"/>
        </w:rPr>
      </w:pPr>
    </w:p>
    <w:p>
      <w:pPr>
        <w:rPr>
          <w:rFonts w:ascii="新宋体" w:hAnsi="新宋体" w:eastAsia="新宋体"/>
          <w:color w:val="auto"/>
          <w:highlight w:val="none"/>
        </w:rPr>
      </w:pPr>
    </w:p>
    <w:p>
      <w:pPr>
        <w:rPr>
          <w:rFonts w:ascii="新宋体" w:hAnsi="新宋体" w:eastAsia="新宋体"/>
          <w:color w:val="auto"/>
          <w:highlight w:val="none"/>
        </w:rPr>
      </w:pPr>
    </w:p>
    <w:p>
      <w:pPr>
        <w:jc w:val="center"/>
        <w:rPr>
          <w:rFonts w:ascii="新宋体" w:hAnsi="新宋体" w:eastAsia="新宋体"/>
          <w:color w:val="auto"/>
          <w:sz w:val="28"/>
          <w:szCs w:val="28"/>
          <w:highlight w:val="none"/>
        </w:rPr>
      </w:pPr>
      <w:r>
        <w:rPr>
          <w:rFonts w:hint="eastAsia" w:ascii="新宋体" w:hAnsi="新宋体" w:eastAsia="新宋体"/>
          <w:color w:val="auto"/>
          <w:sz w:val="28"/>
          <w:szCs w:val="28"/>
          <w:highlight w:val="none"/>
          <w:u w:val="single"/>
        </w:rPr>
        <w:t xml:space="preserve">                 （项目名称）              </w:t>
      </w:r>
      <w:r>
        <w:rPr>
          <w:rFonts w:hint="eastAsia" w:ascii="新宋体" w:hAnsi="新宋体" w:eastAsia="新宋体"/>
          <w:color w:val="auto"/>
          <w:sz w:val="28"/>
          <w:szCs w:val="28"/>
          <w:highlight w:val="none"/>
        </w:rPr>
        <w:t>磋商响应文件</w:t>
      </w:r>
    </w:p>
    <w:p>
      <w:pPr>
        <w:rPr>
          <w:rFonts w:ascii="新宋体" w:hAnsi="新宋体" w:eastAsia="新宋体"/>
          <w:color w:val="auto"/>
          <w:sz w:val="28"/>
          <w:szCs w:val="28"/>
          <w:highlight w:val="none"/>
        </w:rPr>
      </w:pPr>
    </w:p>
    <w:p>
      <w:pPr>
        <w:rPr>
          <w:rFonts w:ascii="新宋体" w:hAnsi="新宋体" w:eastAsia="新宋体"/>
          <w:color w:val="auto"/>
          <w:sz w:val="28"/>
          <w:szCs w:val="28"/>
          <w:highlight w:val="none"/>
        </w:rPr>
      </w:pPr>
    </w:p>
    <w:p>
      <w:pPr>
        <w:pStyle w:val="22"/>
        <w:ind w:firstLine="281"/>
        <w:rPr>
          <w:rFonts w:ascii="新宋体" w:hAnsi="新宋体" w:eastAsia="新宋体"/>
          <w:color w:val="auto"/>
          <w:sz w:val="28"/>
          <w:szCs w:val="28"/>
          <w:highlight w:val="none"/>
        </w:rPr>
      </w:pPr>
    </w:p>
    <w:p>
      <w:pPr>
        <w:pStyle w:val="22"/>
        <w:ind w:firstLine="281"/>
        <w:rPr>
          <w:rFonts w:ascii="新宋体" w:hAnsi="新宋体" w:eastAsia="新宋体"/>
          <w:color w:val="auto"/>
          <w:sz w:val="28"/>
          <w:szCs w:val="28"/>
          <w:highlight w:val="none"/>
        </w:rPr>
      </w:pPr>
    </w:p>
    <w:p>
      <w:pPr>
        <w:rPr>
          <w:rFonts w:ascii="新宋体" w:hAnsi="新宋体" w:eastAsia="新宋体"/>
          <w:color w:val="auto"/>
          <w:sz w:val="28"/>
          <w:szCs w:val="28"/>
          <w:highlight w:val="none"/>
        </w:rPr>
      </w:pPr>
    </w:p>
    <w:p>
      <w:pPr>
        <w:rPr>
          <w:rFonts w:ascii="新宋体" w:hAnsi="新宋体" w:eastAsia="新宋体"/>
          <w:color w:val="auto"/>
          <w:sz w:val="28"/>
          <w:szCs w:val="28"/>
          <w:highlight w:val="none"/>
        </w:rPr>
      </w:pPr>
    </w:p>
    <w:p>
      <w:pPr>
        <w:jc w:val="center"/>
        <w:rPr>
          <w:rFonts w:ascii="新宋体" w:hAnsi="新宋体" w:eastAsia="新宋体"/>
          <w:color w:val="auto"/>
          <w:sz w:val="52"/>
          <w:szCs w:val="52"/>
          <w:highlight w:val="none"/>
        </w:rPr>
      </w:pPr>
      <w:r>
        <w:rPr>
          <w:rFonts w:hint="eastAsia" w:ascii="新宋体" w:hAnsi="新宋体" w:eastAsia="新宋体"/>
          <w:color w:val="auto"/>
          <w:sz w:val="52"/>
          <w:szCs w:val="52"/>
          <w:highlight w:val="none"/>
        </w:rPr>
        <w:t>资格审查资料</w:t>
      </w:r>
    </w:p>
    <w:p>
      <w:pPr>
        <w:spacing w:line="360" w:lineRule="auto"/>
        <w:rPr>
          <w:rFonts w:ascii="新宋体" w:hAnsi="新宋体" w:eastAsia="新宋体"/>
          <w:color w:val="auto"/>
          <w:szCs w:val="21"/>
          <w:highlight w:val="none"/>
        </w:rPr>
      </w:pPr>
    </w:p>
    <w:p>
      <w:pPr>
        <w:spacing w:line="360" w:lineRule="auto"/>
        <w:rPr>
          <w:rFonts w:ascii="新宋体" w:hAnsi="新宋体" w:eastAsia="新宋体"/>
          <w:color w:val="auto"/>
          <w:szCs w:val="21"/>
          <w:highlight w:val="none"/>
        </w:rPr>
      </w:pPr>
    </w:p>
    <w:p>
      <w:pPr>
        <w:spacing w:line="360" w:lineRule="auto"/>
        <w:rPr>
          <w:rFonts w:ascii="新宋体" w:hAnsi="新宋体" w:eastAsia="新宋体"/>
          <w:color w:val="auto"/>
          <w:szCs w:val="21"/>
          <w:highlight w:val="none"/>
        </w:rPr>
      </w:pPr>
    </w:p>
    <w:p>
      <w:pPr>
        <w:spacing w:line="360" w:lineRule="auto"/>
        <w:rPr>
          <w:rFonts w:ascii="新宋体" w:hAnsi="新宋体" w:eastAsia="新宋体"/>
          <w:color w:val="auto"/>
          <w:szCs w:val="21"/>
          <w:highlight w:val="none"/>
        </w:rPr>
      </w:pPr>
    </w:p>
    <w:p>
      <w:pPr>
        <w:spacing w:line="360" w:lineRule="auto"/>
        <w:rPr>
          <w:rFonts w:ascii="新宋体" w:hAnsi="新宋体" w:eastAsia="新宋体"/>
          <w:color w:val="auto"/>
          <w:szCs w:val="21"/>
          <w:highlight w:val="none"/>
        </w:rPr>
      </w:pPr>
    </w:p>
    <w:p>
      <w:pPr>
        <w:jc w:val="center"/>
        <w:rPr>
          <w:rFonts w:ascii="新宋体" w:hAnsi="新宋体" w:eastAsia="新宋体"/>
          <w:color w:val="auto"/>
          <w:sz w:val="28"/>
          <w:szCs w:val="28"/>
          <w:highlight w:val="none"/>
        </w:rPr>
      </w:pPr>
      <w:r>
        <w:rPr>
          <w:rFonts w:hint="eastAsia" w:ascii="新宋体" w:hAnsi="新宋体" w:eastAsia="新宋体"/>
          <w:color w:val="auto"/>
          <w:sz w:val="28"/>
          <w:szCs w:val="28"/>
          <w:highlight w:val="none"/>
        </w:rPr>
        <w:t>供应商：</w:t>
      </w:r>
      <w:r>
        <w:rPr>
          <w:rFonts w:hint="eastAsia" w:ascii="新宋体" w:hAnsi="新宋体" w:eastAsia="新宋体"/>
          <w:color w:val="auto"/>
          <w:sz w:val="28"/>
          <w:szCs w:val="28"/>
          <w:highlight w:val="none"/>
          <w:u w:val="single"/>
        </w:rPr>
        <w:t xml:space="preserve">                              </w:t>
      </w:r>
      <w:r>
        <w:rPr>
          <w:rFonts w:hint="eastAsia" w:ascii="新宋体" w:hAnsi="新宋体" w:eastAsia="新宋体"/>
          <w:color w:val="auto"/>
          <w:sz w:val="28"/>
          <w:szCs w:val="28"/>
          <w:highlight w:val="none"/>
        </w:rPr>
        <w:t>（盖单位章）</w:t>
      </w:r>
    </w:p>
    <w:p>
      <w:pPr>
        <w:rPr>
          <w:rFonts w:ascii="新宋体" w:hAnsi="新宋体" w:eastAsia="新宋体"/>
          <w:color w:val="auto"/>
          <w:sz w:val="28"/>
          <w:szCs w:val="28"/>
          <w:highlight w:val="none"/>
          <w:u w:val="single"/>
        </w:rPr>
      </w:pPr>
    </w:p>
    <w:p>
      <w:pPr>
        <w:jc w:val="center"/>
        <w:rPr>
          <w:rFonts w:ascii="新宋体" w:hAnsi="新宋体" w:eastAsia="新宋体"/>
          <w:color w:val="auto"/>
          <w:sz w:val="28"/>
          <w:szCs w:val="28"/>
          <w:highlight w:val="none"/>
        </w:rPr>
      </w:pPr>
      <w:r>
        <w:rPr>
          <w:rFonts w:hint="eastAsia" w:ascii="新宋体" w:hAnsi="新宋体" w:eastAsia="新宋体"/>
          <w:color w:val="auto"/>
          <w:sz w:val="28"/>
          <w:szCs w:val="28"/>
          <w:highlight w:val="none"/>
        </w:rPr>
        <w:t>法定代表人或其委托代理人：</w:t>
      </w:r>
      <w:r>
        <w:rPr>
          <w:rFonts w:hint="eastAsia" w:ascii="新宋体" w:hAnsi="新宋体" w:eastAsia="新宋体"/>
          <w:color w:val="auto"/>
          <w:sz w:val="28"/>
          <w:szCs w:val="28"/>
          <w:highlight w:val="none"/>
          <w:u w:val="single"/>
        </w:rPr>
        <w:t xml:space="preserve">          </w:t>
      </w:r>
      <w:r>
        <w:rPr>
          <w:rFonts w:hint="eastAsia" w:ascii="新宋体" w:hAnsi="新宋体" w:eastAsia="新宋体"/>
          <w:color w:val="auto"/>
          <w:sz w:val="28"/>
          <w:szCs w:val="28"/>
          <w:highlight w:val="none"/>
        </w:rPr>
        <w:t>（签字或盖章）</w:t>
      </w:r>
    </w:p>
    <w:p>
      <w:pPr>
        <w:rPr>
          <w:rFonts w:ascii="新宋体" w:hAnsi="新宋体" w:eastAsia="新宋体"/>
          <w:color w:val="auto"/>
          <w:sz w:val="28"/>
          <w:szCs w:val="28"/>
          <w:highlight w:val="none"/>
        </w:rPr>
      </w:pPr>
    </w:p>
    <w:p>
      <w:pPr>
        <w:overflowPunct w:val="0"/>
        <w:spacing w:line="380" w:lineRule="exact"/>
        <w:ind w:firstLine="2738" w:firstLineChars="978"/>
        <w:rPr>
          <w:rFonts w:ascii="新宋体" w:hAnsi="新宋体" w:eastAsia="新宋体"/>
          <w:color w:val="auto"/>
          <w:sz w:val="28"/>
          <w:szCs w:val="28"/>
          <w:highlight w:val="none"/>
        </w:rPr>
      </w:pPr>
      <w:r>
        <w:rPr>
          <w:rFonts w:hint="eastAsia" w:ascii="新宋体" w:hAnsi="新宋体" w:eastAsia="新宋体"/>
          <w:color w:val="auto"/>
          <w:sz w:val="28"/>
          <w:szCs w:val="28"/>
          <w:highlight w:val="none"/>
          <w:u w:val="single"/>
        </w:rPr>
        <w:t xml:space="preserve">        </w:t>
      </w:r>
      <w:r>
        <w:rPr>
          <w:rFonts w:hint="eastAsia" w:ascii="新宋体" w:hAnsi="新宋体" w:eastAsia="新宋体"/>
          <w:color w:val="auto"/>
          <w:sz w:val="28"/>
          <w:szCs w:val="28"/>
          <w:highlight w:val="none"/>
        </w:rPr>
        <w:t>年</w:t>
      </w:r>
      <w:r>
        <w:rPr>
          <w:rFonts w:hint="eastAsia" w:ascii="新宋体" w:hAnsi="新宋体" w:eastAsia="新宋体"/>
          <w:color w:val="auto"/>
          <w:sz w:val="28"/>
          <w:szCs w:val="28"/>
          <w:highlight w:val="none"/>
          <w:u w:val="single"/>
        </w:rPr>
        <w:t xml:space="preserve">        </w:t>
      </w:r>
      <w:r>
        <w:rPr>
          <w:rFonts w:hint="eastAsia" w:ascii="新宋体" w:hAnsi="新宋体" w:eastAsia="新宋体"/>
          <w:color w:val="auto"/>
          <w:sz w:val="28"/>
          <w:szCs w:val="28"/>
          <w:highlight w:val="none"/>
        </w:rPr>
        <w:t>月</w:t>
      </w:r>
      <w:r>
        <w:rPr>
          <w:rFonts w:hint="eastAsia" w:ascii="新宋体" w:hAnsi="新宋体" w:eastAsia="新宋体"/>
          <w:color w:val="auto"/>
          <w:sz w:val="28"/>
          <w:szCs w:val="28"/>
          <w:highlight w:val="none"/>
          <w:u w:val="single"/>
        </w:rPr>
        <w:t xml:space="preserve">        </w:t>
      </w:r>
      <w:r>
        <w:rPr>
          <w:rFonts w:hint="eastAsia" w:ascii="新宋体" w:hAnsi="新宋体" w:eastAsia="新宋体"/>
          <w:color w:val="auto"/>
          <w:sz w:val="28"/>
          <w:szCs w:val="28"/>
          <w:highlight w:val="none"/>
        </w:rPr>
        <w:t>日</w:t>
      </w:r>
    </w:p>
    <w:p>
      <w:pPr>
        <w:spacing w:line="460" w:lineRule="exact"/>
        <w:jc w:val="center"/>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br w:type="page"/>
      </w:r>
    </w:p>
    <w:p>
      <w:pPr>
        <w:jc w:val="center"/>
        <w:rPr>
          <w:rFonts w:ascii="新宋体" w:hAnsi="新宋体" w:eastAsia="新宋体" w:cs="新宋体"/>
          <w:b/>
          <w:bCs/>
          <w:color w:val="auto"/>
          <w:sz w:val="52"/>
          <w:szCs w:val="52"/>
          <w:highlight w:val="none"/>
        </w:rPr>
      </w:pPr>
      <w:bookmarkStart w:id="71" w:name="_Toc504034734"/>
      <w:bookmarkStart w:id="72" w:name="_Toc465107614"/>
      <w:r>
        <w:rPr>
          <w:rFonts w:hint="eastAsia" w:ascii="新宋体" w:hAnsi="新宋体" w:eastAsia="新宋体" w:cs="新宋体"/>
          <w:b/>
          <w:bCs/>
          <w:color w:val="auto"/>
          <w:sz w:val="52"/>
          <w:szCs w:val="52"/>
          <w:highlight w:val="none"/>
        </w:rPr>
        <w:t>目    录</w:t>
      </w:r>
    </w:p>
    <w:p>
      <w:pPr>
        <w:numPr>
          <w:ilvl w:val="0"/>
          <w:numId w:val="0"/>
        </w:numPr>
        <w:spacing w:before="120" w:beforeLines="50" w:after="120" w:afterLines="50" w:line="480" w:lineRule="auto"/>
        <w:ind w:left="420" w:leftChars="0"/>
        <w:rPr>
          <w:rFonts w:hint="eastAsia" w:ascii="宋体" w:hAnsi="宋体" w:cs="宋体"/>
          <w:color w:val="auto"/>
          <w:sz w:val="22"/>
          <w:szCs w:val="22"/>
          <w:highlight w:val="none"/>
        </w:rPr>
      </w:pPr>
      <w:r>
        <w:rPr>
          <w:rFonts w:hint="eastAsia" w:ascii="宋体" w:hAnsi="宋体" w:cs="宋体"/>
          <w:color w:val="auto"/>
          <w:sz w:val="22"/>
          <w:szCs w:val="22"/>
          <w:highlight w:val="none"/>
        </w:rPr>
        <w:t>序号</w:t>
      </w:r>
      <w:r>
        <w:rPr>
          <w:rFonts w:hint="eastAsia" w:ascii="宋体" w:hAnsi="宋体" w:cs="宋体"/>
          <w:color w:val="auto"/>
          <w:sz w:val="22"/>
          <w:szCs w:val="22"/>
          <w:highlight w:val="none"/>
        </w:rPr>
        <w:tab/>
      </w:r>
      <w:r>
        <w:rPr>
          <w:rFonts w:hint="eastAsia" w:ascii="宋体" w:hAnsi="宋体" w:cs="宋体"/>
          <w:color w:val="auto"/>
          <w:sz w:val="22"/>
          <w:szCs w:val="22"/>
          <w:highlight w:val="none"/>
        </w:rPr>
        <w:t>内 容</w:t>
      </w:r>
    </w:p>
    <w:p>
      <w:pPr>
        <w:numPr>
          <w:ilvl w:val="0"/>
          <w:numId w:val="0"/>
        </w:numPr>
        <w:spacing w:before="120" w:beforeLines="50" w:after="120" w:afterLines="50" w:line="480" w:lineRule="auto"/>
        <w:ind w:left="420" w:leftChars="0"/>
        <w:rPr>
          <w:rFonts w:hint="eastAsia" w:ascii="宋体" w:hAnsi="宋体" w:cs="宋体"/>
          <w:color w:val="auto"/>
          <w:sz w:val="22"/>
          <w:szCs w:val="22"/>
          <w:highlight w:val="none"/>
        </w:rPr>
      </w:pPr>
      <w:r>
        <w:rPr>
          <w:rFonts w:hint="eastAsia" w:ascii="宋体" w:hAnsi="宋体" w:cs="宋体"/>
          <w:color w:val="auto"/>
          <w:sz w:val="22"/>
          <w:szCs w:val="22"/>
          <w:highlight w:val="none"/>
        </w:rPr>
        <w:t>1</w:t>
      </w:r>
      <w:r>
        <w:rPr>
          <w:rFonts w:hint="eastAsia" w:ascii="宋体" w:hAnsi="宋体" w:cs="宋体"/>
          <w:color w:val="auto"/>
          <w:sz w:val="22"/>
          <w:szCs w:val="22"/>
          <w:highlight w:val="none"/>
        </w:rPr>
        <w:tab/>
      </w:r>
      <w:r>
        <w:rPr>
          <w:rFonts w:hint="eastAsia" w:ascii="宋体" w:hAnsi="宋体" w:cs="宋体"/>
          <w:color w:val="auto"/>
          <w:sz w:val="22"/>
          <w:szCs w:val="22"/>
          <w:highlight w:val="none"/>
        </w:rPr>
        <w:t>法定代表人（单位负责人）授权书和被授权人有效身份证明。</w:t>
      </w:r>
    </w:p>
    <w:p>
      <w:pPr>
        <w:numPr>
          <w:ilvl w:val="0"/>
          <w:numId w:val="0"/>
        </w:numPr>
        <w:spacing w:before="120" w:beforeLines="50" w:after="120" w:afterLines="50" w:line="480" w:lineRule="auto"/>
        <w:ind w:left="420" w:leftChars="0"/>
        <w:rPr>
          <w:rFonts w:hint="eastAsia" w:ascii="宋体" w:hAnsi="宋体" w:cs="宋体"/>
          <w:color w:val="auto"/>
          <w:sz w:val="22"/>
          <w:szCs w:val="22"/>
          <w:highlight w:val="none"/>
        </w:rPr>
      </w:pPr>
      <w:r>
        <w:rPr>
          <w:rFonts w:hint="eastAsia" w:ascii="宋体" w:hAnsi="宋体" w:cs="宋体"/>
          <w:color w:val="auto"/>
          <w:sz w:val="22"/>
          <w:szCs w:val="22"/>
          <w:highlight w:val="none"/>
        </w:rPr>
        <w:t>2</w:t>
      </w:r>
      <w:r>
        <w:rPr>
          <w:rFonts w:hint="eastAsia" w:ascii="宋体" w:hAnsi="宋体" w:cs="宋体"/>
          <w:color w:val="auto"/>
          <w:sz w:val="22"/>
          <w:szCs w:val="22"/>
          <w:highlight w:val="none"/>
        </w:rPr>
        <w:tab/>
      </w:r>
      <w:r>
        <w:rPr>
          <w:rFonts w:hint="eastAsia" w:ascii="宋体" w:hAnsi="宋体" w:cs="宋体"/>
          <w:color w:val="auto"/>
          <w:sz w:val="22"/>
          <w:szCs w:val="22"/>
          <w:highlight w:val="none"/>
        </w:rPr>
        <w:t>联合体协议书（非联合体无需提供，格式自拟）。</w:t>
      </w:r>
    </w:p>
    <w:p>
      <w:pPr>
        <w:numPr>
          <w:ilvl w:val="0"/>
          <w:numId w:val="0"/>
        </w:numPr>
        <w:spacing w:before="120" w:beforeLines="50" w:after="120" w:afterLines="50" w:line="480" w:lineRule="auto"/>
        <w:ind w:left="420" w:leftChars="0"/>
        <w:rPr>
          <w:rFonts w:hint="eastAsia" w:ascii="宋体" w:hAnsi="宋体" w:cs="宋体"/>
          <w:color w:val="auto"/>
          <w:sz w:val="22"/>
          <w:szCs w:val="22"/>
          <w:highlight w:val="none"/>
        </w:rPr>
      </w:pPr>
      <w:r>
        <w:rPr>
          <w:rFonts w:hint="eastAsia" w:ascii="宋体" w:hAnsi="宋体" w:cs="宋体"/>
          <w:color w:val="auto"/>
          <w:sz w:val="22"/>
          <w:szCs w:val="22"/>
          <w:highlight w:val="none"/>
        </w:rPr>
        <w:t>3</w:t>
      </w:r>
      <w:r>
        <w:rPr>
          <w:rFonts w:hint="eastAsia" w:ascii="宋体" w:hAnsi="宋体" w:cs="宋体"/>
          <w:color w:val="auto"/>
          <w:sz w:val="22"/>
          <w:szCs w:val="22"/>
          <w:highlight w:val="none"/>
        </w:rPr>
        <w:tab/>
      </w:r>
      <w:r>
        <w:rPr>
          <w:rFonts w:hint="eastAsia" w:ascii="宋体" w:hAnsi="宋体" w:cs="宋体"/>
          <w:color w:val="auto"/>
          <w:sz w:val="22"/>
          <w:szCs w:val="22"/>
          <w:highlight w:val="none"/>
        </w:rPr>
        <w:t>营业执照(或事业法人登记证书或其它工商等登记证明材料)</w:t>
      </w:r>
    </w:p>
    <w:p>
      <w:pPr>
        <w:numPr>
          <w:ilvl w:val="0"/>
          <w:numId w:val="0"/>
        </w:numPr>
        <w:spacing w:before="120" w:beforeLines="50" w:after="120" w:afterLines="50" w:line="480" w:lineRule="auto"/>
        <w:ind w:left="420" w:leftChars="0"/>
        <w:rPr>
          <w:rFonts w:hint="eastAsia" w:ascii="宋体" w:hAnsi="宋体" w:cs="宋体"/>
          <w:color w:val="auto"/>
          <w:sz w:val="22"/>
          <w:szCs w:val="22"/>
          <w:highlight w:val="none"/>
        </w:rPr>
      </w:pPr>
      <w:r>
        <w:rPr>
          <w:rFonts w:hint="eastAsia" w:ascii="宋体" w:hAnsi="宋体" w:cs="宋体"/>
          <w:color w:val="auto"/>
          <w:sz w:val="22"/>
          <w:szCs w:val="22"/>
          <w:highlight w:val="none"/>
        </w:rPr>
        <w:t>4</w:t>
      </w:r>
      <w:r>
        <w:rPr>
          <w:rFonts w:hint="eastAsia" w:ascii="宋体" w:hAnsi="宋体" w:cs="宋体"/>
          <w:color w:val="auto"/>
          <w:sz w:val="22"/>
          <w:szCs w:val="22"/>
          <w:highlight w:val="none"/>
        </w:rPr>
        <w:tab/>
      </w:r>
      <w:r>
        <w:rPr>
          <w:rFonts w:hint="eastAsia" w:ascii="宋体" w:hAnsi="宋体" w:cs="宋体"/>
          <w:color w:val="auto"/>
          <w:sz w:val="22"/>
          <w:szCs w:val="22"/>
          <w:highlight w:val="none"/>
        </w:rPr>
        <w:t>中国保险监督管理委员会批准的经营财产保险业务许可证</w:t>
      </w:r>
    </w:p>
    <w:p>
      <w:pPr>
        <w:numPr>
          <w:ilvl w:val="0"/>
          <w:numId w:val="0"/>
        </w:numPr>
        <w:spacing w:before="120" w:beforeLines="50" w:after="120" w:afterLines="50" w:line="480" w:lineRule="auto"/>
        <w:ind w:left="420" w:leftChars="0"/>
        <w:rPr>
          <w:rFonts w:hint="eastAsia" w:ascii="宋体" w:hAnsi="宋体" w:cs="宋体"/>
          <w:color w:val="auto"/>
          <w:sz w:val="22"/>
          <w:szCs w:val="22"/>
          <w:highlight w:val="none"/>
        </w:rPr>
      </w:pPr>
      <w:r>
        <w:rPr>
          <w:rFonts w:hint="eastAsia" w:ascii="宋体" w:hAnsi="宋体" w:cs="宋体"/>
          <w:color w:val="auto"/>
          <w:sz w:val="22"/>
          <w:szCs w:val="22"/>
          <w:highlight w:val="none"/>
        </w:rPr>
        <w:t>5</w:t>
      </w:r>
      <w:r>
        <w:rPr>
          <w:rFonts w:hint="eastAsia" w:ascii="宋体" w:hAnsi="宋体" w:cs="宋体"/>
          <w:color w:val="auto"/>
          <w:sz w:val="22"/>
          <w:szCs w:val="22"/>
          <w:highlight w:val="none"/>
        </w:rPr>
        <w:tab/>
      </w:r>
      <w:r>
        <w:rPr>
          <w:rFonts w:hint="eastAsia" w:ascii="宋体" w:hAnsi="宋体" w:cs="宋体"/>
          <w:color w:val="auto"/>
          <w:sz w:val="22"/>
          <w:szCs w:val="22"/>
          <w:highlight w:val="none"/>
        </w:rPr>
        <w:t>资格条件承诺函</w:t>
      </w:r>
    </w:p>
    <w:p>
      <w:pPr>
        <w:numPr>
          <w:ilvl w:val="0"/>
          <w:numId w:val="0"/>
        </w:numPr>
        <w:spacing w:before="120" w:beforeLines="50" w:after="120" w:afterLines="50" w:line="480" w:lineRule="auto"/>
        <w:ind w:left="420" w:leftChars="0"/>
        <w:rPr>
          <w:rFonts w:hint="eastAsia" w:ascii="宋体" w:hAnsi="宋体" w:cs="宋体"/>
          <w:color w:val="auto"/>
          <w:sz w:val="22"/>
          <w:szCs w:val="22"/>
          <w:highlight w:val="none"/>
        </w:rPr>
      </w:pPr>
      <w:r>
        <w:rPr>
          <w:rFonts w:hint="eastAsia" w:ascii="宋体" w:hAnsi="宋体" w:cs="宋体"/>
          <w:color w:val="auto"/>
          <w:sz w:val="22"/>
          <w:szCs w:val="22"/>
          <w:highlight w:val="none"/>
        </w:rPr>
        <w:t>6</w:t>
      </w:r>
      <w:r>
        <w:rPr>
          <w:rFonts w:hint="eastAsia" w:ascii="宋体" w:hAnsi="宋体" w:cs="宋体"/>
          <w:color w:val="auto"/>
          <w:sz w:val="22"/>
          <w:szCs w:val="22"/>
          <w:highlight w:val="none"/>
        </w:rPr>
        <w:tab/>
      </w:r>
      <w:r>
        <w:rPr>
          <w:rFonts w:hint="eastAsia" w:ascii="宋体" w:hAnsi="宋体" w:cs="宋体"/>
          <w:color w:val="auto"/>
          <w:sz w:val="22"/>
          <w:szCs w:val="22"/>
          <w:highlight w:val="none"/>
        </w:rPr>
        <w:t>申请材料真实性声明</w:t>
      </w:r>
    </w:p>
    <w:p>
      <w:pPr>
        <w:pStyle w:val="14"/>
        <w:spacing w:line="480" w:lineRule="auto"/>
        <w:rPr>
          <w:color w:val="auto"/>
          <w:highlight w:val="none"/>
        </w:rPr>
      </w:pPr>
    </w:p>
    <w:p>
      <w:pPr>
        <w:pStyle w:val="14"/>
        <w:spacing w:line="480" w:lineRule="auto"/>
        <w:rPr>
          <w:color w:val="auto"/>
          <w:highlight w:val="none"/>
        </w:rPr>
      </w:pPr>
    </w:p>
    <w:p>
      <w:pPr>
        <w:pStyle w:val="14"/>
        <w:spacing w:line="480" w:lineRule="auto"/>
        <w:rPr>
          <w:b/>
          <w:bCs/>
          <w:color w:val="auto"/>
          <w:highlight w:val="none"/>
        </w:rPr>
      </w:pPr>
      <w:r>
        <w:rPr>
          <w:rFonts w:hint="eastAsia"/>
          <w:b/>
          <w:bCs/>
          <w:color w:val="auto"/>
          <w:highlight w:val="none"/>
        </w:rPr>
        <w:t>注：如为联合体，则3-</w:t>
      </w:r>
      <w:r>
        <w:rPr>
          <w:rFonts w:hint="eastAsia"/>
          <w:b/>
          <w:bCs/>
          <w:color w:val="auto"/>
          <w:highlight w:val="none"/>
          <w:lang w:val="en-US" w:eastAsia="zh-CN"/>
        </w:rPr>
        <w:t>6</w:t>
      </w:r>
      <w:r>
        <w:rPr>
          <w:rFonts w:hint="eastAsia"/>
          <w:b/>
          <w:bCs/>
          <w:color w:val="auto"/>
          <w:highlight w:val="none"/>
        </w:rPr>
        <w:t>项资格审查材料联合体双方均须提供。</w:t>
      </w:r>
    </w:p>
    <w:p>
      <w:pPr>
        <w:pStyle w:val="3"/>
        <w:spacing w:line="360" w:lineRule="auto"/>
        <w:ind w:left="420"/>
        <w:jc w:val="left"/>
        <w:rPr>
          <w:rFonts w:ascii="新宋体" w:hAnsi="新宋体" w:eastAsia="新宋体" w:cs="新宋体"/>
          <w:b w:val="0"/>
          <w:color w:val="auto"/>
          <w:sz w:val="22"/>
          <w:szCs w:val="22"/>
          <w:highlight w:val="none"/>
        </w:rPr>
      </w:pPr>
    </w:p>
    <w:p>
      <w:pPr>
        <w:pStyle w:val="3"/>
        <w:spacing w:line="360" w:lineRule="auto"/>
        <w:ind w:left="420"/>
        <w:jc w:val="left"/>
        <w:rPr>
          <w:rFonts w:ascii="新宋体" w:hAnsi="新宋体" w:eastAsia="新宋体" w:cs="新宋体"/>
          <w:b w:val="0"/>
          <w:color w:val="auto"/>
          <w:sz w:val="22"/>
          <w:szCs w:val="22"/>
          <w:highlight w:val="none"/>
        </w:rPr>
      </w:pPr>
    </w:p>
    <w:p>
      <w:pPr>
        <w:pStyle w:val="3"/>
        <w:spacing w:line="360" w:lineRule="auto"/>
        <w:ind w:left="420"/>
        <w:jc w:val="left"/>
        <w:rPr>
          <w:rFonts w:ascii="新宋体" w:hAnsi="新宋体" w:eastAsia="新宋体" w:cs="新宋体"/>
          <w:b w:val="0"/>
          <w:color w:val="auto"/>
          <w:sz w:val="22"/>
          <w:szCs w:val="22"/>
          <w:highlight w:val="none"/>
        </w:rPr>
      </w:pPr>
    </w:p>
    <w:p>
      <w:pPr>
        <w:pStyle w:val="3"/>
        <w:spacing w:line="360" w:lineRule="auto"/>
        <w:ind w:left="420"/>
        <w:rPr>
          <w:rFonts w:ascii="新宋体" w:hAnsi="新宋体" w:eastAsia="新宋体" w:cs="新宋体"/>
          <w:b w:val="0"/>
          <w:color w:val="auto"/>
          <w:sz w:val="22"/>
          <w:szCs w:val="22"/>
          <w:highlight w:val="none"/>
        </w:rPr>
      </w:pPr>
      <w:r>
        <w:rPr>
          <w:rFonts w:hint="eastAsia" w:ascii="新宋体" w:hAnsi="新宋体" w:eastAsia="新宋体" w:cs="新宋体"/>
          <w:b w:val="0"/>
          <w:color w:val="auto"/>
          <w:sz w:val="22"/>
          <w:szCs w:val="22"/>
          <w:highlight w:val="none"/>
        </w:rPr>
        <w:br w:type="page"/>
      </w:r>
    </w:p>
    <w:p>
      <w:pPr>
        <w:widowControl/>
        <w:adjustRightInd w:val="0"/>
        <w:snapToGrid w:val="0"/>
        <w:spacing w:line="360" w:lineRule="auto"/>
        <w:jc w:val="center"/>
        <w:rPr>
          <w:rFonts w:ascii="新宋体" w:hAnsi="新宋体" w:eastAsia="新宋体" w:cs="新宋体"/>
          <w:b/>
          <w:color w:val="auto"/>
          <w:kern w:val="0"/>
          <w:sz w:val="28"/>
          <w:szCs w:val="28"/>
          <w:highlight w:val="none"/>
        </w:rPr>
      </w:pPr>
      <w:r>
        <w:rPr>
          <w:rFonts w:hint="eastAsia" w:ascii="新宋体" w:hAnsi="新宋体" w:eastAsia="新宋体" w:cs="新宋体"/>
          <w:b/>
          <w:color w:val="auto"/>
          <w:kern w:val="0"/>
          <w:sz w:val="28"/>
          <w:szCs w:val="28"/>
          <w:highlight w:val="none"/>
        </w:rPr>
        <w:t>法定代表人授权书</w:t>
      </w:r>
    </w:p>
    <w:p>
      <w:pPr>
        <w:spacing w:line="420" w:lineRule="exact"/>
        <w:rPr>
          <w:rFonts w:ascii="新宋体" w:hAnsi="新宋体" w:eastAsia="新宋体"/>
          <w:b/>
          <w:color w:val="auto"/>
          <w:sz w:val="22"/>
          <w:szCs w:val="22"/>
          <w:highlight w:val="none"/>
        </w:rPr>
      </w:pPr>
    </w:p>
    <w:p>
      <w:pPr>
        <w:spacing w:line="420" w:lineRule="exact"/>
        <w:rPr>
          <w:rFonts w:ascii="新宋体" w:hAnsi="新宋体" w:eastAsia="新宋体"/>
          <w:color w:val="auto"/>
          <w:sz w:val="22"/>
          <w:szCs w:val="22"/>
          <w:highlight w:val="none"/>
        </w:rPr>
      </w:pPr>
      <w:r>
        <w:rPr>
          <w:rFonts w:hint="eastAsia" w:ascii="新宋体" w:hAnsi="新宋体" w:eastAsia="新宋体"/>
          <w:color w:val="auto"/>
          <w:sz w:val="22"/>
          <w:szCs w:val="22"/>
          <w:highlight w:val="none"/>
          <w:lang w:eastAsia="zh-CN"/>
        </w:rPr>
        <w:t>温州市瓯海区公路管理中心</w:t>
      </w:r>
      <w:r>
        <w:rPr>
          <w:rFonts w:hint="eastAsia" w:ascii="新宋体" w:hAnsi="新宋体" w:eastAsia="新宋体"/>
          <w:color w:val="auto"/>
          <w:sz w:val="22"/>
          <w:szCs w:val="22"/>
          <w:highlight w:val="none"/>
        </w:rPr>
        <w:t>:</w:t>
      </w:r>
    </w:p>
    <w:p>
      <w:pPr>
        <w:spacing w:line="420" w:lineRule="exact"/>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温州市智信招标代理有限公司：</w:t>
      </w:r>
    </w:p>
    <w:p>
      <w:pPr>
        <w:spacing w:line="460" w:lineRule="exact"/>
        <w:rPr>
          <w:rFonts w:ascii="新宋体" w:hAnsi="新宋体" w:eastAsia="新宋体"/>
          <w:color w:val="auto"/>
          <w:sz w:val="22"/>
          <w:szCs w:val="22"/>
          <w:highlight w:val="none"/>
          <w:u w:val="single"/>
        </w:rPr>
      </w:pPr>
    </w:p>
    <w:p>
      <w:pPr>
        <w:spacing w:line="460" w:lineRule="exact"/>
        <w:ind w:firstLine="550" w:firstLineChars="250"/>
        <w:rPr>
          <w:rFonts w:ascii="新宋体" w:hAnsi="新宋体" w:eastAsia="新宋体"/>
          <w:color w:val="auto"/>
          <w:sz w:val="22"/>
          <w:szCs w:val="22"/>
          <w:highlight w:val="none"/>
        </w:rPr>
      </w:pPr>
      <w:r>
        <w:rPr>
          <w:rFonts w:hint="eastAsia" w:ascii="新宋体" w:hAnsi="新宋体" w:eastAsia="新宋体"/>
          <w:color w:val="auto"/>
          <w:sz w:val="22"/>
          <w:szCs w:val="22"/>
          <w:highlight w:val="none"/>
          <w:u w:val="single"/>
        </w:rPr>
        <w:t xml:space="preserve">                   </w:t>
      </w:r>
      <w:r>
        <w:rPr>
          <w:rFonts w:hint="eastAsia" w:ascii="新宋体" w:hAnsi="新宋体" w:eastAsia="新宋体"/>
          <w:color w:val="auto"/>
          <w:sz w:val="22"/>
          <w:szCs w:val="22"/>
          <w:highlight w:val="none"/>
        </w:rPr>
        <w:t>（供应商全称）法定代表人</w:t>
      </w:r>
      <w:r>
        <w:rPr>
          <w:rFonts w:hint="eastAsia" w:ascii="新宋体" w:hAnsi="新宋体" w:eastAsia="新宋体"/>
          <w:color w:val="auto"/>
          <w:sz w:val="22"/>
          <w:szCs w:val="22"/>
          <w:highlight w:val="none"/>
          <w:u w:val="single"/>
        </w:rPr>
        <w:t xml:space="preserve">            </w:t>
      </w:r>
      <w:r>
        <w:rPr>
          <w:rFonts w:hint="eastAsia" w:ascii="新宋体" w:hAnsi="新宋体" w:eastAsia="新宋体"/>
          <w:color w:val="auto"/>
          <w:sz w:val="22"/>
          <w:szCs w:val="22"/>
          <w:highlight w:val="none"/>
        </w:rPr>
        <w:t>授权</w:t>
      </w:r>
      <w:r>
        <w:rPr>
          <w:rFonts w:hint="eastAsia" w:ascii="新宋体" w:hAnsi="新宋体" w:eastAsia="新宋体"/>
          <w:color w:val="auto"/>
          <w:sz w:val="22"/>
          <w:szCs w:val="22"/>
          <w:highlight w:val="none"/>
          <w:u w:val="single"/>
        </w:rPr>
        <w:t xml:space="preserve">           </w:t>
      </w:r>
      <w:r>
        <w:rPr>
          <w:rFonts w:hint="eastAsia" w:ascii="新宋体" w:hAnsi="新宋体" w:eastAsia="新宋体"/>
          <w:color w:val="auto"/>
          <w:sz w:val="22"/>
          <w:szCs w:val="22"/>
          <w:highlight w:val="none"/>
        </w:rPr>
        <w:t>（全权代表姓名）为全权代表，参加贵处组织的</w:t>
      </w:r>
      <w:r>
        <w:rPr>
          <w:rFonts w:hint="eastAsia" w:ascii="新宋体" w:hAnsi="新宋体" w:eastAsia="新宋体"/>
          <w:color w:val="auto"/>
          <w:sz w:val="22"/>
          <w:szCs w:val="22"/>
          <w:highlight w:val="none"/>
          <w:u w:val="single"/>
        </w:rPr>
        <w:t xml:space="preserve">               </w:t>
      </w:r>
      <w:r>
        <w:rPr>
          <w:rFonts w:hint="eastAsia" w:ascii="新宋体" w:hAnsi="新宋体" w:eastAsia="新宋体"/>
          <w:color w:val="auto"/>
          <w:sz w:val="22"/>
          <w:szCs w:val="22"/>
          <w:highlight w:val="none"/>
        </w:rPr>
        <w:t>（采购项目名称、编号）的采购活动，全权代表我方处理采购活动中的一切事宜。</w:t>
      </w:r>
    </w:p>
    <w:p>
      <w:pPr>
        <w:spacing w:line="460" w:lineRule="exact"/>
        <w:ind w:firstLine="2955"/>
        <w:rPr>
          <w:rFonts w:ascii="新宋体" w:hAnsi="新宋体" w:eastAsia="新宋体"/>
          <w:color w:val="auto"/>
          <w:sz w:val="22"/>
          <w:szCs w:val="22"/>
          <w:highlight w:val="none"/>
        </w:rPr>
      </w:pPr>
    </w:p>
    <w:p>
      <w:pPr>
        <w:spacing w:line="460" w:lineRule="exact"/>
        <w:ind w:firstLine="295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 xml:space="preserve">         </w:t>
      </w:r>
    </w:p>
    <w:p>
      <w:pPr>
        <w:spacing w:line="460" w:lineRule="exact"/>
        <w:ind w:firstLine="3971" w:firstLineChars="180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法定代表人 (签字或盖章)：</w:t>
      </w:r>
    </w:p>
    <w:p>
      <w:pPr>
        <w:spacing w:line="460" w:lineRule="exact"/>
        <w:ind w:firstLine="295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 xml:space="preserve">         供应商全称（公章）：</w:t>
      </w:r>
    </w:p>
    <w:p>
      <w:pPr>
        <w:spacing w:line="460" w:lineRule="exact"/>
        <w:ind w:firstLine="295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 xml:space="preserve">         日期：     年    月   日</w:t>
      </w:r>
    </w:p>
    <w:p>
      <w:pPr>
        <w:spacing w:line="460" w:lineRule="exact"/>
        <w:rPr>
          <w:rFonts w:ascii="新宋体" w:hAnsi="新宋体" w:eastAsia="新宋体"/>
          <w:color w:val="auto"/>
          <w:sz w:val="22"/>
          <w:szCs w:val="22"/>
          <w:highlight w:val="none"/>
        </w:rPr>
      </w:pPr>
    </w:p>
    <w:p>
      <w:pPr>
        <w:spacing w:line="460" w:lineRule="exact"/>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附：</w:t>
      </w:r>
    </w:p>
    <w:p>
      <w:pPr>
        <w:spacing w:line="460" w:lineRule="exact"/>
        <w:ind w:firstLine="220" w:firstLineChars="1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授权代表姓名：</w:t>
      </w:r>
    </w:p>
    <w:p>
      <w:pPr>
        <w:spacing w:line="460" w:lineRule="exact"/>
        <w:ind w:firstLine="220" w:firstLineChars="1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职务：</w:t>
      </w:r>
    </w:p>
    <w:p>
      <w:pPr>
        <w:spacing w:line="460" w:lineRule="exact"/>
        <w:ind w:firstLine="220" w:firstLineChars="1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详细通讯地址：</w:t>
      </w:r>
    </w:p>
    <w:p>
      <w:pPr>
        <w:spacing w:line="460" w:lineRule="exact"/>
        <w:ind w:firstLine="220" w:firstLineChars="1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电话：</w:t>
      </w:r>
    </w:p>
    <w:p>
      <w:pPr>
        <w:spacing w:line="460" w:lineRule="exact"/>
        <w:ind w:firstLine="220" w:firstLineChars="1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传真：</w:t>
      </w:r>
    </w:p>
    <w:p>
      <w:pPr>
        <w:spacing w:line="460" w:lineRule="exact"/>
        <w:ind w:firstLine="220" w:firstLineChars="1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邮政编码:</w:t>
      </w:r>
    </w:p>
    <w:tbl>
      <w:tblPr>
        <w:tblStyle w:val="53"/>
        <w:tblW w:w="4864" w:type="dxa"/>
        <w:tblInd w:w="4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7" w:hRule="atLeast"/>
        </w:trPr>
        <w:tc>
          <w:tcPr>
            <w:tcW w:w="4864" w:type="dxa"/>
            <w:vAlign w:val="center"/>
          </w:tcPr>
          <w:p>
            <w:pPr>
              <w:spacing w:line="380" w:lineRule="exact"/>
              <w:jc w:val="center"/>
              <w:rPr>
                <w:rFonts w:ascii="新宋体" w:hAnsi="新宋体" w:eastAsia="新宋体"/>
                <w:b/>
                <w:color w:val="auto"/>
                <w:sz w:val="28"/>
                <w:szCs w:val="28"/>
                <w:highlight w:val="none"/>
              </w:rPr>
            </w:pPr>
            <w:r>
              <w:rPr>
                <w:rFonts w:hint="eastAsia" w:ascii="新宋体" w:hAnsi="新宋体" w:eastAsia="新宋体"/>
                <w:b/>
                <w:color w:val="auto"/>
                <w:sz w:val="28"/>
                <w:szCs w:val="28"/>
                <w:highlight w:val="none"/>
              </w:rPr>
              <w:t>供应商代表身份证复印件</w:t>
            </w:r>
          </w:p>
          <w:p>
            <w:pPr>
              <w:spacing w:line="380" w:lineRule="exact"/>
              <w:jc w:val="center"/>
              <w:rPr>
                <w:rFonts w:ascii="新宋体" w:hAnsi="新宋体" w:eastAsia="新宋体"/>
                <w:b/>
                <w:bCs/>
                <w:color w:val="auto"/>
                <w:sz w:val="28"/>
                <w:highlight w:val="none"/>
              </w:rPr>
            </w:pPr>
          </w:p>
        </w:tc>
      </w:tr>
    </w:tbl>
    <w:p>
      <w:pPr>
        <w:pStyle w:val="3"/>
        <w:rPr>
          <w:rFonts w:ascii="新宋体" w:hAnsi="新宋体" w:eastAsia="新宋体" w:cs="新宋体"/>
          <w:color w:val="auto"/>
          <w:kern w:val="0"/>
          <w:sz w:val="28"/>
          <w:szCs w:val="28"/>
          <w:highlight w:val="none"/>
        </w:rPr>
      </w:pPr>
      <w:r>
        <w:rPr>
          <w:rFonts w:hint="eastAsia" w:ascii="新宋体" w:hAnsi="新宋体" w:eastAsia="新宋体"/>
          <w:color w:val="auto"/>
          <w:sz w:val="22"/>
          <w:szCs w:val="22"/>
          <w:highlight w:val="none"/>
        </w:rPr>
        <w:br w:type="page"/>
      </w:r>
      <w:bookmarkStart w:id="73" w:name="_Toc7025"/>
      <w:r>
        <w:rPr>
          <w:rFonts w:hint="eastAsia" w:ascii="新宋体" w:hAnsi="新宋体" w:eastAsia="新宋体" w:cs="新宋体"/>
          <w:color w:val="auto"/>
          <w:kern w:val="0"/>
          <w:sz w:val="28"/>
          <w:szCs w:val="28"/>
          <w:highlight w:val="none"/>
        </w:rPr>
        <w:t>资格条件承诺函</w:t>
      </w:r>
      <w:bookmarkEnd w:id="73"/>
    </w:p>
    <w:p>
      <w:pPr>
        <w:spacing w:line="440" w:lineRule="exact"/>
        <w:ind w:right="-153" w:rightChars="-73"/>
        <w:rPr>
          <w:rFonts w:ascii="宋体" w:hAnsi="宋体" w:cs="宋体"/>
          <w:color w:val="auto"/>
          <w:sz w:val="22"/>
          <w:szCs w:val="22"/>
          <w:highlight w:val="none"/>
        </w:rPr>
      </w:pPr>
    </w:p>
    <w:p>
      <w:pPr>
        <w:spacing w:line="420" w:lineRule="exact"/>
        <w:rPr>
          <w:rFonts w:hint="eastAsia" w:ascii="宋体" w:hAnsi="宋体" w:eastAsia="宋体"/>
          <w:color w:val="auto"/>
          <w:sz w:val="22"/>
          <w:szCs w:val="22"/>
          <w:highlight w:val="none"/>
          <w:lang w:eastAsia="zh-CN"/>
        </w:rPr>
      </w:pPr>
      <w:r>
        <w:rPr>
          <w:rFonts w:hint="eastAsia" w:ascii="宋体" w:hAnsi="宋体"/>
          <w:color w:val="auto"/>
          <w:sz w:val="22"/>
          <w:szCs w:val="22"/>
          <w:highlight w:val="none"/>
          <w:lang w:eastAsia="zh-CN"/>
        </w:rPr>
        <w:t>温州市瓯海区公路管理中心：</w:t>
      </w:r>
    </w:p>
    <w:p>
      <w:pPr>
        <w:spacing w:line="420" w:lineRule="exact"/>
        <w:rPr>
          <w:rFonts w:ascii="新宋体" w:hAnsi="新宋体" w:eastAsia="新宋体" w:cs="新宋体"/>
          <w:color w:val="auto"/>
          <w:sz w:val="22"/>
          <w:szCs w:val="22"/>
          <w:highlight w:val="none"/>
        </w:rPr>
      </w:pPr>
      <w:r>
        <w:rPr>
          <w:rFonts w:hint="eastAsia" w:ascii="宋体" w:hAnsi="宋体"/>
          <w:color w:val="auto"/>
          <w:sz w:val="22"/>
          <w:szCs w:val="22"/>
          <w:highlight w:val="none"/>
        </w:rPr>
        <w:t>温州市智信招标代理有限公司：</w:t>
      </w:r>
    </w:p>
    <w:p>
      <w:pPr>
        <w:shd w:val="clear" w:color="auto" w:fill="FFFFFF"/>
        <w:snapToGrid w:val="0"/>
        <w:spacing w:line="440" w:lineRule="exact"/>
        <w:rPr>
          <w:rFonts w:ascii="宋体" w:hAnsi="宋体" w:cs="宋体"/>
          <w:color w:val="auto"/>
          <w:sz w:val="22"/>
          <w:szCs w:val="22"/>
          <w:highlight w:val="none"/>
        </w:rPr>
      </w:pPr>
    </w:p>
    <w:p>
      <w:pPr>
        <w:widowControl/>
        <w:spacing w:line="44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我方参与</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rPr>
        <w:t>（采购项目名称、编号）磋商响应，现郑重承诺：</w:t>
      </w:r>
    </w:p>
    <w:p>
      <w:pPr>
        <w:widowControl/>
        <w:spacing w:line="44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1.我方符合《中华人民共和国政府采购法》第二十二条规定的资格条件，即</w:t>
      </w:r>
    </w:p>
    <w:p>
      <w:pPr>
        <w:widowControl/>
        <w:snapToGrid w:val="0"/>
        <w:spacing w:line="440" w:lineRule="exact"/>
        <w:ind w:left="420" w:leftChars="200"/>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（1）我方具有独立承担民事责任的能力；</w:t>
      </w:r>
    </w:p>
    <w:p>
      <w:pPr>
        <w:widowControl/>
        <w:snapToGrid w:val="0"/>
        <w:spacing w:line="440" w:lineRule="exact"/>
        <w:ind w:left="420" w:leftChars="200"/>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（2）我方具有良好的商业信誉和健全的财务会计制度；</w:t>
      </w:r>
    </w:p>
    <w:p>
      <w:pPr>
        <w:widowControl/>
        <w:snapToGrid w:val="0"/>
        <w:spacing w:line="440" w:lineRule="exact"/>
        <w:ind w:left="420" w:leftChars="200"/>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（3）我方具有履行合同所必需的设备和专业技术能力；</w:t>
      </w:r>
    </w:p>
    <w:p>
      <w:pPr>
        <w:widowControl/>
        <w:snapToGrid w:val="0"/>
        <w:spacing w:line="440" w:lineRule="exact"/>
        <w:ind w:left="420" w:leftChars="200"/>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（4）我方有依法缴纳税收和社会保障资金的良好记录；</w:t>
      </w:r>
    </w:p>
    <w:p>
      <w:pPr>
        <w:widowControl/>
        <w:snapToGrid w:val="0"/>
        <w:spacing w:line="440" w:lineRule="exact"/>
        <w:ind w:left="970" w:leftChars="200" w:hanging="550" w:hangingChars="250"/>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5）我方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w:t>
      </w:r>
    </w:p>
    <w:p>
      <w:pPr>
        <w:widowControl/>
        <w:snapToGrid w:val="0"/>
        <w:spacing w:line="440" w:lineRule="exact"/>
        <w:ind w:firstLine="440" w:firstLineChars="200"/>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2.到本项目</w:t>
      </w:r>
      <w:r>
        <w:rPr>
          <w:rFonts w:hint="eastAsia" w:ascii="宋体" w:hAnsi="宋体" w:cs="宋体"/>
          <w:color w:val="auto"/>
          <w:kern w:val="0"/>
          <w:sz w:val="22"/>
          <w:szCs w:val="22"/>
          <w:highlight w:val="none"/>
          <w:lang w:eastAsia="zh-CN"/>
        </w:rPr>
        <w:t>磋商响应截止</w:t>
      </w:r>
      <w:r>
        <w:rPr>
          <w:rFonts w:hint="eastAsia" w:ascii="宋体" w:hAnsi="宋体" w:cs="宋体"/>
          <w:color w:val="auto"/>
          <w:kern w:val="0"/>
          <w:sz w:val="22"/>
          <w:szCs w:val="22"/>
          <w:highlight w:val="none"/>
        </w:rPr>
        <w:t>时间为止，我方未被“信用中国（</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Style w:val="64"/>
          <w:rFonts w:hint="eastAsia" w:ascii="宋体" w:hAnsi="宋体" w:cs="宋体"/>
          <w:color w:val="auto"/>
          <w:kern w:val="0"/>
          <w:sz w:val="22"/>
          <w:szCs w:val="22"/>
          <w:highlight w:val="none"/>
        </w:rPr>
        <w:t>www.creditchina.gov.cn）、</w:t>
      </w:r>
      <w:r>
        <w:rPr>
          <w:rStyle w:val="64"/>
          <w:rFonts w:hint="eastAsia" w:ascii="宋体" w:hAnsi="宋体" w:cs="宋体"/>
          <w:color w:val="auto"/>
          <w:kern w:val="0"/>
          <w:sz w:val="22"/>
          <w:szCs w:val="22"/>
          <w:highlight w:val="none"/>
        </w:rPr>
        <w:fldChar w:fldCharType="end"/>
      </w:r>
      <w:r>
        <w:rPr>
          <w:rFonts w:hint="eastAsia" w:ascii="宋体" w:hAnsi="宋体" w:cs="宋体"/>
          <w:color w:val="auto"/>
          <w:kern w:val="0"/>
          <w:sz w:val="22"/>
          <w:szCs w:val="22"/>
          <w:highlight w:val="none"/>
        </w:rPr>
        <w:t xml:space="preserve"> 中国政府采购网（www.ccgp.gov.cn）列入失信被执行人名单、重大税收违法案件当事人名单、政府采购严重违法失信行为记录名单。</w:t>
      </w:r>
    </w:p>
    <w:p>
      <w:pPr>
        <w:widowControl/>
        <w:snapToGrid w:val="0"/>
        <w:spacing w:line="440" w:lineRule="exact"/>
        <w:ind w:firstLine="440" w:firstLineChars="200"/>
        <w:jc w:val="left"/>
        <w:rPr>
          <w:rFonts w:ascii="宋体" w:hAnsi="宋体" w:cs="宋体"/>
          <w:color w:val="auto"/>
          <w:kern w:val="0"/>
          <w:sz w:val="22"/>
          <w:szCs w:val="22"/>
          <w:highlight w:val="none"/>
        </w:rPr>
      </w:pPr>
      <w:r>
        <w:rPr>
          <w:rFonts w:hint="eastAsia" w:ascii="宋体" w:hAnsi="宋体" w:eastAsia="新宋体" w:cs="宋体"/>
          <w:color w:val="auto"/>
          <w:kern w:val="0"/>
          <w:sz w:val="22"/>
          <w:szCs w:val="22"/>
          <w:highlight w:val="none"/>
        </w:rPr>
        <w:t>3.</w:t>
      </w:r>
      <w:r>
        <w:rPr>
          <w:rFonts w:hint="eastAsia" w:ascii="新宋体" w:hAnsi="新宋体" w:eastAsia="新宋体"/>
          <w:color w:val="auto"/>
          <w:kern w:val="0"/>
          <w:sz w:val="22"/>
          <w:szCs w:val="22"/>
          <w:highlight w:val="none"/>
          <w:lang w:val="zh-CN"/>
        </w:rPr>
        <w:t>单位、法定代表人、本项目授权代表及本项目负责人在参加本项目前三年内（以法院判决书生效日期为准）均无行贿犯罪记录。</w:t>
      </w:r>
    </w:p>
    <w:p>
      <w:pPr>
        <w:widowControl/>
        <w:snapToGrid w:val="0"/>
        <w:spacing w:line="440" w:lineRule="exact"/>
        <w:ind w:firstLine="440" w:firstLineChars="200"/>
        <w:jc w:val="left"/>
        <w:rPr>
          <w:rFonts w:ascii="宋体" w:hAnsi="宋体" w:cs="宋体"/>
          <w:color w:val="auto"/>
          <w:kern w:val="0"/>
          <w:sz w:val="22"/>
          <w:szCs w:val="22"/>
          <w:highlight w:val="none"/>
        </w:rPr>
      </w:pPr>
    </w:p>
    <w:p>
      <w:pPr>
        <w:widowControl/>
        <w:snapToGrid w:val="0"/>
        <w:spacing w:line="440" w:lineRule="exact"/>
        <w:ind w:left="210" w:leftChars="100"/>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以上承诺如有虚假，</w:t>
      </w:r>
      <w:r>
        <w:rPr>
          <w:rFonts w:hint="eastAsia" w:ascii="宋体" w:hAnsi="宋体" w:cs="宋体"/>
          <w:color w:val="auto"/>
          <w:sz w:val="22"/>
          <w:szCs w:val="22"/>
          <w:highlight w:val="none"/>
        </w:rPr>
        <w:t>愿接受取消</w:t>
      </w:r>
      <w:r>
        <w:rPr>
          <w:rFonts w:hint="eastAsia" w:ascii="宋体" w:hAnsi="宋体" w:cs="宋体"/>
          <w:color w:val="auto"/>
          <w:kern w:val="0"/>
          <w:sz w:val="22"/>
          <w:szCs w:val="22"/>
          <w:highlight w:val="none"/>
        </w:rPr>
        <w:t>我方任何资格（投标/中标/签订合同）</w:t>
      </w:r>
      <w:r>
        <w:rPr>
          <w:rFonts w:hint="eastAsia" w:ascii="宋体" w:hAnsi="宋体" w:cs="宋体"/>
          <w:color w:val="auto"/>
          <w:sz w:val="22"/>
          <w:szCs w:val="22"/>
          <w:highlight w:val="none"/>
        </w:rPr>
        <w:t>及其他任何形式的处理。</w:t>
      </w:r>
    </w:p>
    <w:p>
      <w:pPr>
        <w:pStyle w:val="30"/>
        <w:spacing w:line="600" w:lineRule="exact"/>
        <w:ind w:firstLine="4840" w:firstLineChars="2200"/>
        <w:rPr>
          <w:rFonts w:hAnsi="宋体" w:cs="宋体"/>
          <w:color w:val="auto"/>
          <w:sz w:val="22"/>
          <w:szCs w:val="22"/>
          <w:highlight w:val="none"/>
        </w:rPr>
      </w:pPr>
    </w:p>
    <w:p>
      <w:pPr>
        <w:tabs>
          <w:tab w:val="left" w:pos="840"/>
        </w:tabs>
        <w:adjustRightInd w:val="0"/>
        <w:snapToGrid w:val="0"/>
        <w:spacing w:line="360" w:lineRule="auto"/>
        <w:ind w:left="420" w:leftChars="200" w:firstLine="330" w:firstLineChars="15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供应商名称（盖章）                  </w:t>
      </w:r>
    </w:p>
    <w:p>
      <w:pPr>
        <w:tabs>
          <w:tab w:val="left" w:pos="840"/>
        </w:tabs>
        <w:adjustRightInd w:val="0"/>
        <w:snapToGrid w:val="0"/>
        <w:spacing w:line="360" w:lineRule="auto"/>
        <w:ind w:left="420" w:leftChars="200" w:firstLine="330" w:firstLineChars="15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供应商代表（签字）                   </w:t>
      </w:r>
    </w:p>
    <w:p>
      <w:pPr>
        <w:tabs>
          <w:tab w:val="left" w:pos="840"/>
        </w:tabs>
        <w:adjustRightInd w:val="0"/>
        <w:snapToGrid w:val="0"/>
        <w:spacing w:line="360" w:lineRule="auto"/>
        <w:ind w:left="420" w:leftChars="200" w:firstLine="330" w:firstLineChars="15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日    期   </w:t>
      </w:r>
    </w:p>
    <w:p>
      <w:pPr>
        <w:spacing w:line="380" w:lineRule="exact"/>
        <w:rPr>
          <w:rFonts w:ascii="宋体" w:hAnsi="宋体" w:cs="宋体"/>
          <w:bCs/>
          <w:color w:val="auto"/>
          <w:sz w:val="22"/>
          <w:szCs w:val="22"/>
          <w:highlight w:val="none"/>
        </w:rPr>
      </w:pPr>
    </w:p>
    <w:p>
      <w:pPr>
        <w:spacing w:line="380" w:lineRule="exact"/>
        <w:ind w:left="-358" w:leftChars="-171" w:hanging="1"/>
        <w:jc w:val="center"/>
        <w:rPr>
          <w:rFonts w:ascii="宋体" w:hAnsi="宋体" w:cs="宋体"/>
          <w:bCs/>
          <w:color w:val="auto"/>
          <w:sz w:val="22"/>
          <w:szCs w:val="22"/>
          <w:highlight w:val="none"/>
        </w:rPr>
      </w:pPr>
    </w:p>
    <w:p>
      <w:pPr>
        <w:spacing w:line="380" w:lineRule="exact"/>
        <w:ind w:left="-359" w:leftChars="-171" w:firstLine="440" w:firstLineChars="200"/>
        <w:rPr>
          <w:rFonts w:ascii="宋体" w:hAnsi="宋体" w:cs="宋体"/>
          <w:color w:val="auto"/>
          <w:sz w:val="22"/>
          <w:szCs w:val="22"/>
          <w:highlight w:val="none"/>
          <w:u w:val="single"/>
        </w:rPr>
      </w:pPr>
      <w:r>
        <w:rPr>
          <w:rFonts w:hint="eastAsia" w:ascii="宋体" w:hAnsi="宋体" w:cs="宋体"/>
          <w:color w:val="auto"/>
          <w:sz w:val="22"/>
          <w:szCs w:val="22"/>
          <w:highlight w:val="none"/>
        </w:rPr>
        <w:t>注：</w:t>
      </w:r>
      <w:r>
        <w:rPr>
          <w:rFonts w:hint="eastAsia" w:ascii="宋体" w:hAnsi="宋体" w:cs="宋体"/>
          <w:b/>
          <w:bCs/>
          <w:color w:val="auto"/>
          <w:sz w:val="22"/>
          <w:szCs w:val="22"/>
          <w:highlight w:val="none"/>
          <w:u w:val="single"/>
        </w:rPr>
        <w:t>▲不提交本承诺书按无效标处理。</w:t>
      </w:r>
    </w:p>
    <w:p>
      <w:pPr>
        <w:widowControl/>
        <w:adjustRightInd w:val="0"/>
        <w:snapToGrid w:val="0"/>
        <w:spacing w:line="360" w:lineRule="auto"/>
        <w:jc w:val="center"/>
        <w:rPr>
          <w:rFonts w:ascii="新宋体" w:hAnsi="新宋体" w:eastAsia="新宋体" w:cs="新宋体"/>
          <w:b/>
          <w:color w:val="auto"/>
          <w:kern w:val="0"/>
          <w:sz w:val="28"/>
          <w:szCs w:val="28"/>
          <w:highlight w:val="none"/>
        </w:rPr>
      </w:pPr>
      <w:r>
        <w:rPr>
          <w:rFonts w:hint="eastAsia" w:ascii="新宋体" w:hAnsi="新宋体" w:eastAsia="新宋体" w:cs="新宋体"/>
          <w:b/>
          <w:color w:val="auto"/>
          <w:kern w:val="0"/>
          <w:sz w:val="28"/>
          <w:szCs w:val="28"/>
          <w:highlight w:val="none"/>
        </w:rPr>
        <w:br w:type="page"/>
      </w:r>
      <w:r>
        <w:rPr>
          <w:rFonts w:hint="eastAsia" w:ascii="新宋体" w:hAnsi="新宋体" w:eastAsia="新宋体" w:cs="新宋体"/>
          <w:b/>
          <w:color w:val="auto"/>
          <w:kern w:val="0"/>
          <w:sz w:val="28"/>
          <w:szCs w:val="28"/>
          <w:highlight w:val="none"/>
        </w:rPr>
        <w:t>申请材料真实性声明</w:t>
      </w:r>
    </w:p>
    <w:p>
      <w:pPr>
        <w:widowControl/>
        <w:adjustRightInd w:val="0"/>
        <w:snapToGrid w:val="0"/>
        <w:spacing w:line="360" w:lineRule="auto"/>
        <w:jc w:val="center"/>
        <w:rPr>
          <w:rFonts w:ascii="新宋体" w:hAnsi="新宋体" w:eastAsia="新宋体" w:cs="新宋体"/>
          <w:b/>
          <w:color w:val="auto"/>
          <w:kern w:val="0"/>
          <w:sz w:val="28"/>
          <w:szCs w:val="28"/>
          <w:highlight w:val="none"/>
        </w:rPr>
      </w:pPr>
    </w:p>
    <w:p>
      <w:pPr>
        <w:spacing w:line="420" w:lineRule="exact"/>
        <w:rPr>
          <w:rFonts w:hint="eastAsia" w:ascii="宋体" w:hAnsi="宋体" w:eastAsia="宋体"/>
          <w:color w:val="auto"/>
          <w:sz w:val="22"/>
          <w:szCs w:val="22"/>
          <w:highlight w:val="none"/>
          <w:lang w:eastAsia="zh-CN"/>
        </w:rPr>
      </w:pPr>
      <w:r>
        <w:rPr>
          <w:rFonts w:hint="eastAsia" w:ascii="宋体" w:hAnsi="宋体"/>
          <w:color w:val="auto"/>
          <w:sz w:val="22"/>
          <w:szCs w:val="22"/>
          <w:highlight w:val="none"/>
          <w:lang w:eastAsia="zh-CN"/>
        </w:rPr>
        <w:t>温州市瓯海区公路管理中心：</w:t>
      </w:r>
    </w:p>
    <w:p>
      <w:pPr>
        <w:spacing w:line="460" w:lineRule="exact"/>
        <w:rPr>
          <w:rFonts w:ascii="新宋体" w:hAnsi="新宋体" w:eastAsia="新宋体" w:cs="新宋体"/>
          <w:color w:val="auto"/>
          <w:sz w:val="22"/>
          <w:szCs w:val="22"/>
          <w:highlight w:val="none"/>
        </w:rPr>
      </w:pPr>
      <w:r>
        <w:rPr>
          <w:rFonts w:hint="eastAsia" w:ascii="宋体" w:hAnsi="宋体"/>
          <w:color w:val="auto"/>
          <w:sz w:val="22"/>
          <w:szCs w:val="22"/>
          <w:highlight w:val="none"/>
        </w:rPr>
        <w:t>温州市智信招标代理有限公司：</w:t>
      </w:r>
    </w:p>
    <w:p>
      <w:pPr>
        <w:widowControl/>
        <w:adjustRightInd w:val="0"/>
        <w:snapToGrid w:val="0"/>
        <w:spacing w:line="360" w:lineRule="auto"/>
        <w:jc w:val="left"/>
        <w:rPr>
          <w:rFonts w:ascii="新宋体" w:hAnsi="新宋体" w:eastAsia="新宋体" w:cs="新宋体"/>
          <w:color w:val="auto"/>
          <w:kern w:val="0"/>
          <w:sz w:val="22"/>
          <w:szCs w:val="22"/>
          <w:highlight w:val="none"/>
        </w:rPr>
      </w:pPr>
    </w:p>
    <w:p>
      <w:pPr>
        <w:widowControl/>
        <w:adjustRightInd w:val="0"/>
        <w:snapToGrid w:val="0"/>
        <w:spacing w:line="360" w:lineRule="auto"/>
        <w:ind w:firstLine="440" w:firstLineChars="200"/>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我单位此次响应参与</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rPr>
        <w:t>（采购项目名称、编号）竞争性磋商活动</w:t>
      </w:r>
      <w:r>
        <w:rPr>
          <w:rFonts w:hint="eastAsia" w:ascii="新宋体" w:hAnsi="新宋体" w:eastAsia="新宋体" w:cs="新宋体"/>
          <w:color w:val="auto"/>
          <w:kern w:val="0"/>
          <w:sz w:val="22"/>
          <w:szCs w:val="22"/>
          <w:highlight w:val="none"/>
        </w:rPr>
        <w:t>所提交的全部材料均真实、合法。如有不实之处，愿负相应的法律责任，并承担由此产生的一切后果。</w:t>
      </w:r>
    </w:p>
    <w:p>
      <w:pPr>
        <w:widowControl/>
        <w:adjustRightInd w:val="0"/>
        <w:snapToGrid w:val="0"/>
        <w:spacing w:line="360" w:lineRule="auto"/>
        <w:ind w:firstLine="440" w:firstLineChars="200"/>
        <w:jc w:val="left"/>
        <w:rPr>
          <w:rFonts w:ascii="新宋体" w:hAnsi="新宋体" w:eastAsia="新宋体" w:cs="新宋体"/>
          <w:color w:val="auto"/>
          <w:kern w:val="0"/>
          <w:sz w:val="22"/>
          <w:szCs w:val="22"/>
          <w:highlight w:val="none"/>
        </w:rPr>
      </w:pPr>
    </w:p>
    <w:p>
      <w:pPr>
        <w:widowControl/>
        <w:adjustRightInd w:val="0"/>
        <w:snapToGrid w:val="0"/>
        <w:spacing w:line="360" w:lineRule="auto"/>
        <w:ind w:firstLine="440" w:firstLineChars="200"/>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特此声明。</w:t>
      </w:r>
    </w:p>
    <w:p>
      <w:pPr>
        <w:widowControl/>
        <w:adjustRightInd w:val="0"/>
        <w:snapToGrid w:val="0"/>
        <w:spacing w:line="360" w:lineRule="auto"/>
        <w:ind w:firstLine="440" w:firstLineChars="200"/>
        <w:jc w:val="left"/>
        <w:rPr>
          <w:rFonts w:ascii="新宋体" w:hAnsi="新宋体" w:eastAsia="新宋体" w:cs="新宋体"/>
          <w:color w:val="auto"/>
          <w:kern w:val="0"/>
          <w:sz w:val="22"/>
          <w:szCs w:val="22"/>
          <w:highlight w:val="none"/>
        </w:rPr>
      </w:pPr>
    </w:p>
    <w:p>
      <w:pPr>
        <w:spacing w:line="360" w:lineRule="auto"/>
        <w:rPr>
          <w:rFonts w:ascii="宋体" w:hAnsi="宋体"/>
          <w:color w:val="auto"/>
          <w:sz w:val="22"/>
          <w:szCs w:val="22"/>
          <w:highlight w:val="none"/>
        </w:rPr>
      </w:pPr>
      <w:r>
        <w:rPr>
          <w:rFonts w:hint="eastAsia" w:ascii="宋体" w:hAnsi="宋体"/>
          <w:color w:val="auto"/>
          <w:sz w:val="22"/>
          <w:szCs w:val="22"/>
          <w:highlight w:val="none"/>
        </w:rPr>
        <w:t xml:space="preserve">供应商名称（盖章）                  </w:t>
      </w:r>
    </w:p>
    <w:p>
      <w:pPr>
        <w:spacing w:line="360" w:lineRule="auto"/>
        <w:rPr>
          <w:rFonts w:ascii="宋体" w:hAnsi="宋体"/>
          <w:color w:val="auto"/>
          <w:sz w:val="22"/>
          <w:szCs w:val="22"/>
          <w:highlight w:val="none"/>
        </w:rPr>
      </w:pPr>
      <w:r>
        <w:rPr>
          <w:rFonts w:hint="eastAsia" w:ascii="宋体" w:hAnsi="宋体"/>
          <w:color w:val="auto"/>
          <w:sz w:val="22"/>
          <w:szCs w:val="22"/>
          <w:highlight w:val="none"/>
        </w:rPr>
        <w:t xml:space="preserve">供应商代表（签字）                   </w:t>
      </w:r>
    </w:p>
    <w:p>
      <w:pPr>
        <w:spacing w:line="360" w:lineRule="auto"/>
        <w:rPr>
          <w:rFonts w:ascii="宋体" w:hAnsi="宋体"/>
          <w:color w:val="auto"/>
          <w:sz w:val="22"/>
          <w:szCs w:val="22"/>
          <w:highlight w:val="none"/>
        </w:rPr>
      </w:pPr>
      <w:r>
        <w:rPr>
          <w:rFonts w:hint="eastAsia" w:ascii="宋体" w:hAnsi="宋体"/>
          <w:color w:val="auto"/>
          <w:sz w:val="22"/>
          <w:szCs w:val="22"/>
          <w:highlight w:val="none"/>
        </w:rPr>
        <w:t xml:space="preserve">日    期   </w:t>
      </w:r>
    </w:p>
    <w:p>
      <w:pPr>
        <w:spacing w:line="440" w:lineRule="exact"/>
        <w:rPr>
          <w:rFonts w:ascii="宋体" w:hAnsi="宋体"/>
          <w:color w:val="auto"/>
          <w:sz w:val="22"/>
          <w:szCs w:val="22"/>
          <w:highlight w:val="none"/>
          <w:u w:val="single"/>
        </w:rPr>
      </w:pPr>
      <w:r>
        <w:rPr>
          <w:rFonts w:hint="eastAsia" w:ascii="宋体" w:hAnsi="宋体"/>
          <w:color w:val="auto"/>
          <w:sz w:val="22"/>
          <w:szCs w:val="22"/>
          <w:highlight w:val="none"/>
          <w:u w:val="single"/>
        </w:rPr>
        <w:t xml:space="preserve">                    </w:t>
      </w:r>
    </w:p>
    <w:p>
      <w:pPr>
        <w:pStyle w:val="22"/>
        <w:ind w:firstLine="221"/>
        <w:rPr>
          <w:rFonts w:ascii="宋体" w:hAnsi="宋体"/>
          <w:color w:val="auto"/>
          <w:sz w:val="22"/>
          <w:szCs w:val="22"/>
          <w:highlight w:val="none"/>
          <w:u w:val="single"/>
        </w:rPr>
      </w:pPr>
    </w:p>
    <w:p>
      <w:pPr>
        <w:spacing w:line="360" w:lineRule="auto"/>
        <w:rPr>
          <w:rFonts w:ascii="宋体" w:hAnsi="宋体"/>
          <w:color w:val="auto"/>
          <w:sz w:val="22"/>
          <w:szCs w:val="22"/>
          <w:highlight w:val="none"/>
        </w:rPr>
      </w:pPr>
    </w:p>
    <w:p>
      <w:pPr>
        <w:pStyle w:val="22"/>
        <w:ind w:firstLine="321"/>
        <w:rPr>
          <w:rFonts w:ascii="宋体" w:hAnsi="宋体"/>
          <w:color w:val="auto"/>
          <w:highlight w:val="none"/>
        </w:rPr>
      </w:pPr>
    </w:p>
    <w:p>
      <w:pPr>
        <w:widowControl/>
        <w:adjustRightInd w:val="0"/>
        <w:snapToGrid w:val="0"/>
        <w:spacing w:line="360" w:lineRule="auto"/>
        <w:ind w:firstLine="440" w:firstLineChars="200"/>
        <w:jc w:val="left"/>
        <w:rPr>
          <w:rFonts w:ascii="宋体" w:hAnsi="宋体"/>
          <w:color w:val="auto"/>
          <w:kern w:val="0"/>
          <w:sz w:val="22"/>
          <w:szCs w:val="22"/>
          <w:highlight w:val="none"/>
        </w:rPr>
      </w:pPr>
    </w:p>
    <w:p>
      <w:pPr>
        <w:spacing w:line="380" w:lineRule="exact"/>
        <w:ind w:left="-359" w:leftChars="-171" w:firstLine="440" w:firstLineChars="200"/>
        <w:rPr>
          <w:rFonts w:ascii="宋体" w:hAnsi="宋体" w:cs="宋体"/>
          <w:color w:val="auto"/>
          <w:sz w:val="22"/>
          <w:szCs w:val="22"/>
          <w:highlight w:val="none"/>
          <w:u w:val="single"/>
        </w:rPr>
      </w:pPr>
      <w:r>
        <w:rPr>
          <w:rFonts w:hint="eastAsia" w:ascii="宋体" w:hAnsi="宋体" w:cs="宋体"/>
          <w:color w:val="auto"/>
          <w:sz w:val="22"/>
          <w:szCs w:val="22"/>
          <w:highlight w:val="none"/>
        </w:rPr>
        <w:t>注：</w:t>
      </w:r>
      <w:r>
        <w:rPr>
          <w:rFonts w:hint="eastAsia" w:ascii="宋体" w:hAnsi="宋体" w:cs="宋体"/>
          <w:b/>
          <w:bCs/>
          <w:color w:val="auto"/>
          <w:sz w:val="22"/>
          <w:szCs w:val="22"/>
          <w:highlight w:val="none"/>
          <w:u w:val="single"/>
        </w:rPr>
        <w:t>▲不提交本承诺书按无效标处理。</w:t>
      </w:r>
    </w:p>
    <w:p>
      <w:pPr>
        <w:widowControl/>
        <w:adjustRightInd w:val="0"/>
        <w:snapToGrid w:val="0"/>
        <w:spacing w:line="360" w:lineRule="auto"/>
        <w:ind w:firstLine="440" w:firstLineChars="200"/>
        <w:jc w:val="left"/>
        <w:rPr>
          <w:rFonts w:ascii="新宋体" w:hAnsi="新宋体" w:eastAsia="新宋体"/>
          <w:color w:val="auto"/>
          <w:kern w:val="0"/>
          <w:sz w:val="22"/>
          <w:szCs w:val="22"/>
          <w:highlight w:val="none"/>
        </w:rPr>
      </w:pPr>
      <w:r>
        <w:rPr>
          <w:rFonts w:hint="eastAsia" w:ascii="新宋体" w:hAnsi="新宋体" w:eastAsia="新宋体"/>
          <w:color w:val="auto"/>
          <w:sz w:val="22"/>
          <w:szCs w:val="22"/>
          <w:highlight w:val="none"/>
          <w:u w:val="single"/>
        </w:rPr>
        <w:t xml:space="preserve">               </w:t>
      </w:r>
    </w:p>
    <w:p>
      <w:pPr>
        <w:pStyle w:val="3"/>
        <w:jc w:val="left"/>
        <w:rPr>
          <w:rFonts w:ascii="新宋体" w:hAnsi="新宋体" w:eastAsia="新宋体"/>
          <w:b w:val="0"/>
          <w:color w:val="auto"/>
          <w:szCs w:val="21"/>
          <w:highlight w:val="none"/>
        </w:rPr>
      </w:pPr>
      <w:r>
        <w:rPr>
          <w:rFonts w:hint="eastAsia" w:ascii="新宋体" w:hAnsi="新宋体" w:eastAsia="新宋体"/>
          <w:b w:val="0"/>
          <w:color w:val="auto"/>
          <w:szCs w:val="21"/>
          <w:highlight w:val="none"/>
        </w:rPr>
        <w:br w:type="page"/>
      </w:r>
    </w:p>
    <w:p>
      <w:pPr>
        <w:spacing w:before="120" w:beforeLines="50" w:after="120" w:afterLines="5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（商务技术标封面，供参考）</w:t>
      </w:r>
      <w:bookmarkEnd w:id="71"/>
      <w:bookmarkEnd w:id="72"/>
    </w:p>
    <w:p>
      <w:pPr>
        <w:rPr>
          <w:rFonts w:ascii="新宋体" w:hAnsi="新宋体" w:eastAsia="新宋体"/>
          <w:color w:val="auto"/>
          <w:highlight w:val="none"/>
        </w:rPr>
      </w:pPr>
    </w:p>
    <w:p>
      <w:pPr>
        <w:rPr>
          <w:rFonts w:ascii="新宋体" w:hAnsi="新宋体" w:eastAsia="新宋体"/>
          <w:color w:val="auto"/>
          <w:highlight w:val="none"/>
        </w:rPr>
      </w:pPr>
    </w:p>
    <w:p>
      <w:pPr>
        <w:rPr>
          <w:rFonts w:ascii="新宋体" w:hAnsi="新宋体" w:eastAsia="新宋体"/>
          <w:color w:val="auto"/>
          <w:highlight w:val="none"/>
        </w:rPr>
      </w:pPr>
    </w:p>
    <w:p>
      <w:pPr>
        <w:jc w:val="center"/>
        <w:rPr>
          <w:rFonts w:ascii="新宋体" w:hAnsi="新宋体" w:eastAsia="新宋体"/>
          <w:color w:val="auto"/>
          <w:sz w:val="28"/>
          <w:szCs w:val="28"/>
          <w:highlight w:val="none"/>
        </w:rPr>
      </w:pPr>
      <w:r>
        <w:rPr>
          <w:rFonts w:hint="eastAsia" w:ascii="新宋体" w:hAnsi="新宋体" w:eastAsia="新宋体"/>
          <w:color w:val="auto"/>
          <w:sz w:val="28"/>
          <w:szCs w:val="28"/>
          <w:highlight w:val="none"/>
          <w:u w:val="single"/>
        </w:rPr>
        <w:t xml:space="preserve">                 （项目名称）              </w:t>
      </w:r>
      <w:r>
        <w:rPr>
          <w:rFonts w:hint="eastAsia" w:ascii="新宋体" w:hAnsi="新宋体" w:eastAsia="新宋体"/>
          <w:color w:val="auto"/>
          <w:sz w:val="28"/>
          <w:szCs w:val="28"/>
          <w:highlight w:val="none"/>
        </w:rPr>
        <w:t>磋商响应文件</w:t>
      </w:r>
    </w:p>
    <w:p>
      <w:pPr>
        <w:rPr>
          <w:rFonts w:ascii="新宋体" w:hAnsi="新宋体" w:eastAsia="新宋体"/>
          <w:color w:val="auto"/>
          <w:sz w:val="28"/>
          <w:szCs w:val="28"/>
          <w:highlight w:val="none"/>
        </w:rPr>
      </w:pPr>
    </w:p>
    <w:p>
      <w:pPr>
        <w:rPr>
          <w:rFonts w:ascii="新宋体" w:hAnsi="新宋体" w:eastAsia="新宋体"/>
          <w:color w:val="auto"/>
          <w:sz w:val="28"/>
          <w:szCs w:val="28"/>
          <w:highlight w:val="none"/>
        </w:rPr>
      </w:pPr>
    </w:p>
    <w:p>
      <w:pPr>
        <w:pStyle w:val="22"/>
        <w:ind w:firstLine="281"/>
        <w:rPr>
          <w:rFonts w:ascii="新宋体" w:hAnsi="新宋体" w:eastAsia="新宋体"/>
          <w:color w:val="auto"/>
          <w:sz w:val="28"/>
          <w:szCs w:val="28"/>
          <w:highlight w:val="none"/>
        </w:rPr>
      </w:pPr>
    </w:p>
    <w:p>
      <w:pPr>
        <w:pStyle w:val="22"/>
        <w:ind w:firstLine="281"/>
        <w:rPr>
          <w:rFonts w:ascii="新宋体" w:hAnsi="新宋体" w:eastAsia="新宋体"/>
          <w:color w:val="auto"/>
          <w:sz w:val="28"/>
          <w:szCs w:val="28"/>
          <w:highlight w:val="none"/>
        </w:rPr>
      </w:pPr>
    </w:p>
    <w:p>
      <w:pPr>
        <w:rPr>
          <w:rFonts w:ascii="新宋体" w:hAnsi="新宋体" w:eastAsia="新宋体"/>
          <w:color w:val="auto"/>
          <w:sz w:val="28"/>
          <w:szCs w:val="28"/>
          <w:highlight w:val="none"/>
        </w:rPr>
      </w:pPr>
    </w:p>
    <w:p>
      <w:pPr>
        <w:rPr>
          <w:rFonts w:ascii="新宋体" w:hAnsi="新宋体" w:eastAsia="新宋体"/>
          <w:color w:val="auto"/>
          <w:sz w:val="28"/>
          <w:szCs w:val="28"/>
          <w:highlight w:val="none"/>
        </w:rPr>
      </w:pPr>
    </w:p>
    <w:p>
      <w:pPr>
        <w:jc w:val="center"/>
        <w:rPr>
          <w:rFonts w:ascii="新宋体" w:hAnsi="新宋体" w:eastAsia="新宋体"/>
          <w:color w:val="auto"/>
          <w:sz w:val="52"/>
          <w:szCs w:val="52"/>
          <w:highlight w:val="none"/>
        </w:rPr>
      </w:pPr>
      <w:r>
        <w:rPr>
          <w:rFonts w:hint="eastAsia" w:ascii="新宋体" w:hAnsi="新宋体" w:eastAsia="新宋体"/>
          <w:color w:val="auto"/>
          <w:sz w:val="52"/>
          <w:szCs w:val="52"/>
          <w:highlight w:val="none"/>
        </w:rPr>
        <w:t>商 务 技 术 标</w:t>
      </w:r>
    </w:p>
    <w:p>
      <w:pPr>
        <w:spacing w:line="360" w:lineRule="auto"/>
        <w:rPr>
          <w:rFonts w:ascii="新宋体" w:hAnsi="新宋体" w:eastAsia="新宋体"/>
          <w:color w:val="auto"/>
          <w:szCs w:val="21"/>
          <w:highlight w:val="none"/>
        </w:rPr>
      </w:pPr>
    </w:p>
    <w:p>
      <w:pPr>
        <w:spacing w:line="360" w:lineRule="auto"/>
        <w:rPr>
          <w:rFonts w:ascii="新宋体" w:hAnsi="新宋体" w:eastAsia="新宋体"/>
          <w:color w:val="auto"/>
          <w:szCs w:val="21"/>
          <w:highlight w:val="none"/>
        </w:rPr>
      </w:pPr>
    </w:p>
    <w:p>
      <w:pPr>
        <w:spacing w:line="360" w:lineRule="auto"/>
        <w:rPr>
          <w:rFonts w:ascii="新宋体" w:hAnsi="新宋体" w:eastAsia="新宋体"/>
          <w:color w:val="auto"/>
          <w:szCs w:val="21"/>
          <w:highlight w:val="none"/>
        </w:rPr>
      </w:pPr>
    </w:p>
    <w:p>
      <w:pPr>
        <w:spacing w:line="360" w:lineRule="auto"/>
        <w:rPr>
          <w:rFonts w:ascii="新宋体" w:hAnsi="新宋体" w:eastAsia="新宋体"/>
          <w:color w:val="auto"/>
          <w:szCs w:val="21"/>
          <w:highlight w:val="none"/>
        </w:rPr>
      </w:pPr>
    </w:p>
    <w:p>
      <w:pPr>
        <w:pStyle w:val="22"/>
        <w:ind w:firstLine="321"/>
        <w:rPr>
          <w:rFonts w:ascii="新宋体" w:hAnsi="新宋体" w:eastAsia="新宋体"/>
          <w:color w:val="auto"/>
          <w:highlight w:val="none"/>
        </w:rPr>
      </w:pPr>
    </w:p>
    <w:p>
      <w:pPr>
        <w:spacing w:line="360" w:lineRule="auto"/>
        <w:rPr>
          <w:rFonts w:ascii="新宋体" w:hAnsi="新宋体" w:eastAsia="新宋体"/>
          <w:color w:val="auto"/>
          <w:szCs w:val="21"/>
          <w:highlight w:val="none"/>
        </w:rPr>
      </w:pPr>
    </w:p>
    <w:p>
      <w:pPr>
        <w:jc w:val="center"/>
        <w:rPr>
          <w:rFonts w:ascii="新宋体" w:hAnsi="新宋体" w:eastAsia="新宋体"/>
          <w:color w:val="auto"/>
          <w:sz w:val="28"/>
          <w:szCs w:val="28"/>
          <w:highlight w:val="none"/>
        </w:rPr>
      </w:pPr>
      <w:r>
        <w:rPr>
          <w:rFonts w:hint="eastAsia" w:ascii="新宋体" w:hAnsi="新宋体" w:eastAsia="新宋体"/>
          <w:color w:val="auto"/>
          <w:sz w:val="28"/>
          <w:szCs w:val="28"/>
          <w:highlight w:val="none"/>
        </w:rPr>
        <w:t>供应商：</w:t>
      </w:r>
      <w:r>
        <w:rPr>
          <w:rFonts w:hint="eastAsia" w:ascii="新宋体" w:hAnsi="新宋体" w:eastAsia="新宋体"/>
          <w:color w:val="auto"/>
          <w:sz w:val="28"/>
          <w:szCs w:val="28"/>
          <w:highlight w:val="none"/>
          <w:u w:val="single"/>
        </w:rPr>
        <w:t xml:space="preserve">                              </w:t>
      </w:r>
      <w:r>
        <w:rPr>
          <w:rFonts w:hint="eastAsia" w:ascii="新宋体" w:hAnsi="新宋体" w:eastAsia="新宋体"/>
          <w:color w:val="auto"/>
          <w:sz w:val="28"/>
          <w:szCs w:val="28"/>
          <w:highlight w:val="none"/>
        </w:rPr>
        <w:t>（盖单位章）</w:t>
      </w:r>
    </w:p>
    <w:p>
      <w:pPr>
        <w:rPr>
          <w:rFonts w:ascii="新宋体" w:hAnsi="新宋体" w:eastAsia="新宋体"/>
          <w:color w:val="auto"/>
          <w:sz w:val="28"/>
          <w:szCs w:val="28"/>
          <w:highlight w:val="none"/>
          <w:u w:val="single"/>
        </w:rPr>
      </w:pPr>
    </w:p>
    <w:p>
      <w:pPr>
        <w:jc w:val="center"/>
        <w:rPr>
          <w:rFonts w:ascii="新宋体" w:hAnsi="新宋体" w:eastAsia="新宋体"/>
          <w:color w:val="auto"/>
          <w:sz w:val="28"/>
          <w:szCs w:val="28"/>
          <w:highlight w:val="none"/>
        </w:rPr>
      </w:pPr>
      <w:r>
        <w:rPr>
          <w:rFonts w:hint="eastAsia" w:ascii="新宋体" w:hAnsi="新宋体" w:eastAsia="新宋体"/>
          <w:color w:val="auto"/>
          <w:sz w:val="28"/>
          <w:szCs w:val="28"/>
          <w:highlight w:val="none"/>
        </w:rPr>
        <w:t>法定代表人或其委托代理人：</w:t>
      </w:r>
      <w:r>
        <w:rPr>
          <w:rFonts w:hint="eastAsia" w:ascii="新宋体" w:hAnsi="新宋体" w:eastAsia="新宋体"/>
          <w:color w:val="auto"/>
          <w:sz w:val="28"/>
          <w:szCs w:val="28"/>
          <w:highlight w:val="none"/>
          <w:u w:val="single"/>
        </w:rPr>
        <w:t xml:space="preserve">          </w:t>
      </w:r>
      <w:r>
        <w:rPr>
          <w:rFonts w:hint="eastAsia" w:ascii="新宋体" w:hAnsi="新宋体" w:eastAsia="新宋体"/>
          <w:color w:val="auto"/>
          <w:sz w:val="28"/>
          <w:szCs w:val="28"/>
          <w:highlight w:val="none"/>
        </w:rPr>
        <w:t>（签字或盖章）</w:t>
      </w:r>
    </w:p>
    <w:p>
      <w:pPr>
        <w:rPr>
          <w:rFonts w:ascii="新宋体" w:hAnsi="新宋体" w:eastAsia="新宋体"/>
          <w:color w:val="auto"/>
          <w:sz w:val="28"/>
          <w:szCs w:val="28"/>
          <w:highlight w:val="none"/>
        </w:rPr>
      </w:pPr>
    </w:p>
    <w:p>
      <w:pPr>
        <w:jc w:val="center"/>
        <w:rPr>
          <w:rFonts w:ascii="新宋体" w:hAnsi="新宋体" w:eastAsia="新宋体"/>
          <w:color w:val="auto"/>
          <w:sz w:val="28"/>
          <w:szCs w:val="28"/>
          <w:highlight w:val="none"/>
        </w:rPr>
      </w:pPr>
      <w:r>
        <w:rPr>
          <w:rFonts w:hint="eastAsia" w:ascii="新宋体" w:hAnsi="新宋体" w:eastAsia="新宋体"/>
          <w:color w:val="auto"/>
          <w:sz w:val="28"/>
          <w:szCs w:val="28"/>
          <w:highlight w:val="none"/>
          <w:u w:val="single"/>
        </w:rPr>
        <w:t xml:space="preserve">        </w:t>
      </w:r>
      <w:r>
        <w:rPr>
          <w:rFonts w:hint="eastAsia" w:ascii="新宋体" w:hAnsi="新宋体" w:eastAsia="新宋体"/>
          <w:color w:val="auto"/>
          <w:sz w:val="28"/>
          <w:szCs w:val="28"/>
          <w:highlight w:val="none"/>
        </w:rPr>
        <w:t>年</w:t>
      </w:r>
      <w:r>
        <w:rPr>
          <w:rFonts w:hint="eastAsia" w:ascii="新宋体" w:hAnsi="新宋体" w:eastAsia="新宋体"/>
          <w:color w:val="auto"/>
          <w:sz w:val="28"/>
          <w:szCs w:val="28"/>
          <w:highlight w:val="none"/>
          <w:u w:val="single"/>
        </w:rPr>
        <w:t xml:space="preserve">        </w:t>
      </w:r>
      <w:r>
        <w:rPr>
          <w:rFonts w:hint="eastAsia" w:ascii="新宋体" w:hAnsi="新宋体" w:eastAsia="新宋体"/>
          <w:color w:val="auto"/>
          <w:sz w:val="28"/>
          <w:szCs w:val="28"/>
          <w:highlight w:val="none"/>
        </w:rPr>
        <w:t>月</w:t>
      </w:r>
      <w:r>
        <w:rPr>
          <w:rFonts w:hint="eastAsia" w:ascii="新宋体" w:hAnsi="新宋体" w:eastAsia="新宋体"/>
          <w:color w:val="auto"/>
          <w:sz w:val="28"/>
          <w:szCs w:val="28"/>
          <w:highlight w:val="none"/>
          <w:u w:val="single"/>
        </w:rPr>
        <w:t xml:space="preserve">        </w:t>
      </w:r>
      <w:r>
        <w:rPr>
          <w:rFonts w:hint="eastAsia" w:ascii="新宋体" w:hAnsi="新宋体" w:eastAsia="新宋体"/>
          <w:color w:val="auto"/>
          <w:sz w:val="28"/>
          <w:szCs w:val="28"/>
          <w:highlight w:val="none"/>
        </w:rPr>
        <w:t>日</w:t>
      </w:r>
    </w:p>
    <w:p>
      <w:pPr>
        <w:pStyle w:val="22"/>
        <w:ind w:firstLine="0" w:firstLineChars="0"/>
        <w:rPr>
          <w:rFonts w:ascii="新宋体" w:hAnsi="新宋体" w:eastAsia="新宋体"/>
          <w:color w:val="auto"/>
          <w:sz w:val="22"/>
          <w:szCs w:val="22"/>
          <w:highlight w:val="none"/>
        </w:rPr>
      </w:pPr>
      <w:r>
        <w:rPr>
          <w:rFonts w:hint="eastAsia" w:ascii="新宋体" w:hAnsi="新宋体" w:eastAsia="新宋体"/>
          <w:color w:val="auto"/>
          <w:highlight w:val="none"/>
        </w:rPr>
        <w:br w:type="page"/>
      </w:r>
    </w:p>
    <w:p>
      <w:pPr>
        <w:jc w:val="center"/>
        <w:rPr>
          <w:rFonts w:ascii="新宋体" w:hAnsi="新宋体" w:eastAsia="新宋体"/>
          <w:b/>
          <w:bCs/>
          <w:color w:val="auto"/>
          <w:sz w:val="52"/>
          <w:szCs w:val="52"/>
          <w:highlight w:val="none"/>
        </w:rPr>
      </w:pPr>
      <w:bookmarkStart w:id="74" w:name="_Toc144974856"/>
      <w:bookmarkStart w:id="75" w:name="_Toc247514246"/>
      <w:bookmarkStart w:id="76" w:name="_Toc152042576"/>
      <w:bookmarkStart w:id="77" w:name="_Toc152045787"/>
      <w:bookmarkStart w:id="78" w:name="_Toc465107615"/>
      <w:bookmarkStart w:id="79" w:name="_Toc247527827"/>
      <w:r>
        <w:rPr>
          <w:rFonts w:hint="eastAsia" w:ascii="新宋体" w:hAnsi="新宋体" w:eastAsia="新宋体"/>
          <w:b/>
          <w:bCs/>
          <w:color w:val="auto"/>
          <w:sz w:val="52"/>
          <w:szCs w:val="52"/>
          <w:highlight w:val="none"/>
        </w:rPr>
        <w:t>目    录</w:t>
      </w:r>
      <w:bookmarkEnd w:id="74"/>
      <w:bookmarkEnd w:id="75"/>
      <w:bookmarkEnd w:id="76"/>
      <w:bookmarkEnd w:id="77"/>
      <w:bookmarkEnd w:id="78"/>
      <w:bookmarkEnd w:id="79"/>
    </w:p>
    <w:p>
      <w:pPr>
        <w:pStyle w:val="21"/>
        <w:rPr>
          <w:color w:val="auto"/>
          <w:highlight w:val="none"/>
        </w:rPr>
      </w:pPr>
    </w:p>
    <w:p>
      <w:pPr>
        <w:pStyle w:val="22"/>
        <w:ind w:firstLine="0" w:firstLineChars="0"/>
        <w:jc w:val="center"/>
        <w:rPr>
          <w:rFonts w:hint="eastAsia" w:ascii="宋体" w:hAnsi="宋体" w:cs="宋体"/>
          <w:color w:val="auto"/>
          <w:highlight w:val="none"/>
        </w:rPr>
      </w:pPr>
    </w:p>
    <w:p>
      <w:pPr>
        <w:numPr>
          <w:ilvl w:val="0"/>
          <w:numId w:val="20"/>
        </w:numPr>
        <w:spacing w:line="48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投标函</w:t>
      </w:r>
    </w:p>
    <w:p>
      <w:pPr>
        <w:numPr>
          <w:ilvl w:val="0"/>
          <w:numId w:val="20"/>
        </w:numPr>
        <w:spacing w:line="48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服务条款应答表、商务条款偏离表</w:t>
      </w:r>
    </w:p>
    <w:p>
      <w:pPr>
        <w:numPr>
          <w:ilvl w:val="0"/>
          <w:numId w:val="20"/>
        </w:numPr>
        <w:spacing w:line="48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资信证明文件（根据本项目技术资信标评分细则提供，非强制性要求，格式可自拟）</w:t>
      </w:r>
    </w:p>
    <w:p>
      <w:pPr>
        <w:numPr>
          <w:ilvl w:val="0"/>
          <w:numId w:val="20"/>
        </w:numPr>
        <w:spacing w:line="48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理赔服务响应方案（格式自拟）</w:t>
      </w:r>
    </w:p>
    <w:p>
      <w:pPr>
        <w:numPr>
          <w:ilvl w:val="0"/>
          <w:numId w:val="20"/>
        </w:numPr>
        <w:spacing w:line="48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风险管理建议（格式自拟）</w:t>
      </w:r>
    </w:p>
    <w:p>
      <w:pPr>
        <w:numPr>
          <w:ilvl w:val="0"/>
          <w:numId w:val="20"/>
        </w:numPr>
        <w:spacing w:line="48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投标人同类项目业绩</w:t>
      </w:r>
    </w:p>
    <w:p>
      <w:pPr>
        <w:numPr>
          <w:ilvl w:val="0"/>
          <w:numId w:val="20"/>
        </w:numPr>
        <w:spacing w:line="48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投标单位参照本项目技术资信评分细则认为需要提交的其他资信技术证明文件</w:t>
      </w:r>
    </w:p>
    <w:p>
      <w:pPr>
        <w:spacing w:line="540" w:lineRule="exact"/>
        <w:rPr>
          <w:rFonts w:ascii="新宋体" w:hAnsi="新宋体" w:eastAsia="新宋体"/>
          <w:b/>
          <w:bCs/>
          <w:color w:val="auto"/>
          <w:sz w:val="22"/>
          <w:szCs w:val="22"/>
          <w:highlight w:val="none"/>
        </w:rPr>
      </w:pPr>
    </w:p>
    <w:p>
      <w:pPr>
        <w:spacing w:line="540" w:lineRule="exact"/>
        <w:rPr>
          <w:rFonts w:ascii="新宋体" w:hAnsi="新宋体" w:eastAsia="新宋体"/>
          <w:b/>
          <w:bCs/>
          <w:color w:val="auto"/>
          <w:sz w:val="22"/>
          <w:szCs w:val="22"/>
          <w:highlight w:val="none"/>
        </w:rPr>
      </w:pPr>
    </w:p>
    <w:p>
      <w:pPr>
        <w:spacing w:line="540" w:lineRule="exact"/>
        <w:rPr>
          <w:rFonts w:ascii="新宋体" w:hAnsi="新宋体" w:eastAsia="新宋体"/>
          <w:b/>
          <w:bCs/>
          <w:color w:val="auto"/>
          <w:sz w:val="22"/>
          <w:szCs w:val="22"/>
          <w:highlight w:val="none"/>
        </w:rPr>
      </w:pPr>
    </w:p>
    <w:p>
      <w:pPr>
        <w:spacing w:line="540" w:lineRule="exact"/>
        <w:rPr>
          <w:rFonts w:ascii="新宋体" w:hAnsi="新宋体" w:eastAsia="新宋体"/>
          <w:b/>
          <w:bCs/>
          <w:color w:val="auto"/>
          <w:sz w:val="22"/>
          <w:szCs w:val="22"/>
          <w:highlight w:val="none"/>
        </w:rPr>
      </w:pPr>
    </w:p>
    <w:p>
      <w:pPr>
        <w:spacing w:line="540" w:lineRule="exact"/>
        <w:rPr>
          <w:rFonts w:ascii="新宋体" w:hAnsi="新宋体" w:eastAsia="新宋体"/>
          <w:b/>
          <w:bCs/>
          <w:color w:val="auto"/>
          <w:sz w:val="22"/>
          <w:szCs w:val="22"/>
          <w:highlight w:val="none"/>
        </w:rPr>
      </w:pPr>
    </w:p>
    <w:p>
      <w:pPr>
        <w:spacing w:line="540" w:lineRule="exact"/>
        <w:rPr>
          <w:rFonts w:ascii="新宋体" w:hAnsi="新宋体" w:eastAsia="新宋体"/>
          <w:b/>
          <w:bCs/>
          <w:color w:val="auto"/>
          <w:sz w:val="22"/>
          <w:szCs w:val="22"/>
          <w:highlight w:val="none"/>
        </w:rPr>
      </w:pPr>
    </w:p>
    <w:p>
      <w:pPr>
        <w:spacing w:line="540" w:lineRule="exact"/>
        <w:rPr>
          <w:rFonts w:ascii="新宋体" w:hAnsi="新宋体" w:eastAsia="新宋体"/>
          <w:b/>
          <w:bCs/>
          <w:color w:val="auto"/>
          <w:sz w:val="22"/>
          <w:szCs w:val="22"/>
          <w:highlight w:val="none"/>
        </w:rPr>
      </w:pPr>
    </w:p>
    <w:p>
      <w:pPr>
        <w:pStyle w:val="21"/>
        <w:rPr>
          <w:color w:val="auto"/>
          <w:highlight w:val="none"/>
        </w:rPr>
      </w:pPr>
    </w:p>
    <w:p>
      <w:pPr>
        <w:pStyle w:val="22"/>
        <w:ind w:firstLine="321"/>
        <w:rPr>
          <w:color w:val="auto"/>
          <w:highlight w:val="none"/>
        </w:rPr>
      </w:pPr>
    </w:p>
    <w:p>
      <w:pPr>
        <w:pStyle w:val="22"/>
        <w:ind w:firstLine="0" w:firstLineChars="0"/>
        <w:rPr>
          <w:color w:val="auto"/>
          <w:highlight w:val="none"/>
        </w:rPr>
      </w:pPr>
    </w:p>
    <w:p>
      <w:pPr>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br w:type="page"/>
      </w:r>
    </w:p>
    <w:p>
      <w:pPr>
        <w:spacing w:line="540" w:lineRule="exact"/>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附件一</w:t>
      </w:r>
    </w:p>
    <w:p>
      <w:pPr>
        <w:spacing w:line="460" w:lineRule="exact"/>
        <w:ind w:left="22" w:hanging="22" w:hangingChars="8"/>
        <w:jc w:val="center"/>
        <w:rPr>
          <w:rFonts w:ascii="新宋体" w:hAnsi="新宋体" w:eastAsia="新宋体"/>
          <w:b/>
          <w:bCs/>
          <w:color w:val="auto"/>
          <w:sz w:val="28"/>
          <w:szCs w:val="28"/>
          <w:highlight w:val="none"/>
        </w:rPr>
      </w:pPr>
      <w:r>
        <w:rPr>
          <w:rFonts w:hint="eastAsia" w:ascii="新宋体" w:hAnsi="新宋体" w:eastAsia="新宋体"/>
          <w:b/>
          <w:bCs/>
          <w:color w:val="auto"/>
          <w:sz w:val="28"/>
          <w:szCs w:val="28"/>
          <w:highlight w:val="none"/>
        </w:rPr>
        <w:t>投 标 函</w:t>
      </w:r>
    </w:p>
    <w:p>
      <w:pPr>
        <w:spacing w:line="420" w:lineRule="exact"/>
        <w:rPr>
          <w:rFonts w:ascii="新宋体" w:hAnsi="新宋体" w:eastAsia="新宋体"/>
          <w:color w:val="auto"/>
          <w:sz w:val="22"/>
          <w:szCs w:val="22"/>
          <w:highlight w:val="none"/>
        </w:rPr>
      </w:pPr>
      <w:r>
        <w:rPr>
          <w:rFonts w:hint="eastAsia" w:ascii="新宋体" w:hAnsi="新宋体" w:eastAsia="新宋体"/>
          <w:color w:val="auto"/>
          <w:sz w:val="22"/>
          <w:szCs w:val="22"/>
          <w:highlight w:val="none"/>
          <w:lang w:eastAsia="zh-CN"/>
        </w:rPr>
        <w:t>温州市瓯海区公路管理中心</w:t>
      </w:r>
      <w:r>
        <w:rPr>
          <w:rFonts w:hint="eastAsia" w:ascii="新宋体" w:hAnsi="新宋体" w:eastAsia="新宋体"/>
          <w:color w:val="auto"/>
          <w:sz w:val="22"/>
          <w:szCs w:val="22"/>
          <w:highlight w:val="none"/>
        </w:rPr>
        <w:t>：</w:t>
      </w:r>
    </w:p>
    <w:p>
      <w:pPr>
        <w:spacing w:line="420" w:lineRule="exact"/>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温州市智信招标代理有限公司：</w:t>
      </w:r>
    </w:p>
    <w:p>
      <w:pPr>
        <w:spacing w:line="420" w:lineRule="exact"/>
        <w:ind w:firstLine="440" w:firstLineChars="2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根据贵方为</w:t>
      </w:r>
      <w:r>
        <w:rPr>
          <w:rFonts w:hint="eastAsia" w:ascii="新宋体" w:hAnsi="新宋体" w:eastAsia="新宋体"/>
          <w:color w:val="auto"/>
          <w:sz w:val="22"/>
          <w:szCs w:val="22"/>
          <w:highlight w:val="none"/>
          <w:u w:val="single"/>
        </w:rPr>
        <w:t xml:space="preserve">             </w:t>
      </w:r>
      <w:r>
        <w:rPr>
          <w:rFonts w:hint="eastAsia" w:ascii="新宋体" w:hAnsi="新宋体" w:eastAsia="新宋体"/>
          <w:color w:val="auto"/>
          <w:sz w:val="22"/>
          <w:szCs w:val="22"/>
          <w:highlight w:val="none"/>
        </w:rPr>
        <w:t>项目（项目编号：</w:t>
      </w:r>
      <w:r>
        <w:rPr>
          <w:rFonts w:hint="eastAsia" w:ascii="新宋体" w:hAnsi="新宋体" w:eastAsia="新宋体"/>
          <w:color w:val="auto"/>
          <w:sz w:val="22"/>
          <w:szCs w:val="22"/>
          <w:highlight w:val="none"/>
          <w:u w:val="single"/>
        </w:rPr>
        <w:t xml:space="preserve">        </w:t>
      </w:r>
      <w:r>
        <w:rPr>
          <w:rFonts w:hint="eastAsia" w:ascii="新宋体" w:hAnsi="新宋体" w:eastAsia="新宋体"/>
          <w:color w:val="auto"/>
          <w:sz w:val="22"/>
          <w:szCs w:val="22"/>
          <w:highlight w:val="none"/>
        </w:rPr>
        <w:t>）的投标邀请，我方</w:t>
      </w:r>
      <w:r>
        <w:rPr>
          <w:rFonts w:hint="eastAsia" w:ascii="新宋体" w:hAnsi="新宋体" w:eastAsia="新宋体"/>
          <w:color w:val="auto"/>
          <w:sz w:val="22"/>
          <w:szCs w:val="22"/>
          <w:highlight w:val="none"/>
          <w:u w:val="single"/>
        </w:rPr>
        <w:t xml:space="preserve">           　　</w:t>
      </w:r>
      <w:r>
        <w:rPr>
          <w:rFonts w:hint="eastAsia" w:ascii="新宋体" w:hAnsi="新宋体" w:eastAsia="新宋体"/>
          <w:color w:val="auto"/>
          <w:sz w:val="22"/>
          <w:szCs w:val="22"/>
          <w:highlight w:val="none"/>
        </w:rPr>
        <w:t>（供应商名称）作为供应商正式授权</w:t>
      </w:r>
      <w:r>
        <w:rPr>
          <w:rFonts w:hint="eastAsia" w:ascii="新宋体" w:hAnsi="新宋体" w:eastAsia="新宋体"/>
          <w:color w:val="auto"/>
          <w:sz w:val="22"/>
          <w:szCs w:val="22"/>
          <w:highlight w:val="none"/>
          <w:u w:val="single"/>
        </w:rPr>
        <w:t xml:space="preserve">　           </w:t>
      </w:r>
      <w:r>
        <w:rPr>
          <w:rFonts w:hint="eastAsia" w:ascii="新宋体" w:hAnsi="新宋体" w:eastAsia="新宋体"/>
          <w:color w:val="auto"/>
          <w:sz w:val="22"/>
          <w:szCs w:val="22"/>
          <w:highlight w:val="none"/>
        </w:rPr>
        <w:t>（授权代表全名，职务）代表我方处理有关本项目投标的一切事宜。</w:t>
      </w:r>
    </w:p>
    <w:p>
      <w:pPr>
        <w:autoSpaceDE w:val="0"/>
        <w:autoSpaceDN w:val="0"/>
        <w:adjustRightInd w:val="0"/>
        <w:spacing w:line="420" w:lineRule="atLeast"/>
        <w:ind w:firstLine="440" w:firstLineChars="200"/>
        <w:rPr>
          <w:rFonts w:ascii="新宋体" w:hAnsi="新宋体" w:eastAsia="新宋体"/>
          <w:color w:val="auto"/>
          <w:kern w:val="0"/>
          <w:sz w:val="22"/>
          <w:szCs w:val="22"/>
          <w:highlight w:val="none"/>
          <w:lang w:val="zh-CN"/>
        </w:rPr>
      </w:pPr>
      <w:r>
        <w:rPr>
          <w:rFonts w:hint="eastAsia" w:ascii="新宋体" w:hAnsi="新宋体" w:eastAsia="新宋体"/>
          <w:color w:val="auto"/>
          <w:kern w:val="0"/>
          <w:sz w:val="22"/>
          <w:szCs w:val="22"/>
          <w:highlight w:val="none"/>
          <w:lang w:val="zh-CN"/>
        </w:rPr>
        <w:t>在此提交的磋商响应文件中，包括如下内容：</w:t>
      </w:r>
    </w:p>
    <w:p>
      <w:pPr>
        <w:numPr>
          <w:ilvl w:val="0"/>
          <w:numId w:val="21"/>
        </w:numPr>
        <w:autoSpaceDE w:val="0"/>
        <w:autoSpaceDN w:val="0"/>
        <w:adjustRightInd w:val="0"/>
        <w:spacing w:line="420" w:lineRule="atLeast"/>
        <w:ind w:left="0" w:firstLine="440"/>
        <w:rPr>
          <w:rFonts w:ascii="新宋体" w:hAnsi="新宋体" w:eastAsia="新宋体"/>
          <w:color w:val="auto"/>
          <w:kern w:val="0"/>
          <w:sz w:val="22"/>
          <w:szCs w:val="22"/>
          <w:highlight w:val="none"/>
          <w:lang w:val="zh-CN"/>
        </w:rPr>
      </w:pPr>
      <w:r>
        <w:rPr>
          <w:rFonts w:hint="eastAsia" w:ascii="新宋体" w:hAnsi="新宋体" w:eastAsia="新宋体"/>
          <w:color w:val="auto"/>
          <w:kern w:val="0"/>
          <w:sz w:val="22"/>
          <w:szCs w:val="22"/>
          <w:highlight w:val="none"/>
          <w:lang w:val="zh-CN"/>
        </w:rPr>
        <w:t>电子磋商响应文件，按政采云平台</w:t>
      </w:r>
      <w:r>
        <w:rPr>
          <w:rFonts w:ascii="新宋体" w:hAnsi="新宋体" w:eastAsia="新宋体"/>
          <w:color w:val="auto"/>
          <w:kern w:val="0"/>
          <w:sz w:val="22"/>
          <w:szCs w:val="22"/>
          <w:highlight w:val="none"/>
          <w:lang w:val="zh-CN"/>
        </w:rPr>
        <w:t>项目采购-电子招投标操作指南</w:t>
      </w:r>
      <w:r>
        <w:rPr>
          <w:rFonts w:hint="eastAsia" w:ascii="新宋体" w:hAnsi="新宋体" w:eastAsia="新宋体"/>
          <w:color w:val="auto"/>
          <w:kern w:val="0"/>
          <w:sz w:val="22"/>
          <w:szCs w:val="22"/>
          <w:highlight w:val="none"/>
          <w:lang w:val="zh-CN"/>
        </w:rPr>
        <w:t>及本竞争性磋商采购文件要求制作</w:t>
      </w:r>
      <w:r>
        <w:rPr>
          <w:rFonts w:ascii="新宋体" w:hAnsi="新宋体" w:eastAsia="新宋体"/>
          <w:color w:val="auto"/>
          <w:kern w:val="0"/>
          <w:sz w:val="22"/>
          <w:szCs w:val="22"/>
          <w:highlight w:val="none"/>
          <w:lang w:val="zh-CN"/>
        </w:rPr>
        <w:t>。</w:t>
      </w:r>
    </w:p>
    <w:p>
      <w:pPr>
        <w:numPr>
          <w:ilvl w:val="0"/>
          <w:numId w:val="21"/>
        </w:numPr>
        <w:autoSpaceDE w:val="0"/>
        <w:autoSpaceDN w:val="0"/>
        <w:adjustRightInd w:val="0"/>
        <w:spacing w:line="420" w:lineRule="atLeast"/>
        <w:ind w:left="0" w:firstLine="440"/>
        <w:rPr>
          <w:rFonts w:ascii="新宋体" w:hAnsi="新宋体" w:eastAsia="新宋体"/>
          <w:color w:val="auto"/>
          <w:kern w:val="0"/>
          <w:sz w:val="22"/>
          <w:szCs w:val="22"/>
          <w:highlight w:val="none"/>
          <w:lang w:val="zh-CN"/>
        </w:rPr>
      </w:pPr>
      <w:r>
        <w:rPr>
          <w:rFonts w:hint="eastAsia" w:ascii="新宋体" w:hAnsi="新宋体" w:eastAsia="新宋体"/>
          <w:color w:val="auto"/>
          <w:kern w:val="0"/>
          <w:sz w:val="22"/>
          <w:szCs w:val="22"/>
          <w:highlight w:val="none"/>
          <w:lang w:val="zh-CN"/>
        </w:rPr>
        <w:t>以介质存储的数据电文形式的备份磋商响应文件，按政采云平台</w:t>
      </w:r>
      <w:r>
        <w:rPr>
          <w:rFonts w:ascii="新宋体" w:hAnsi="新宋体" w:eastAsia="新宋体"/>
          <w:color w:val="auto"/>
          <w:kern w:val="0"/>
          <w:sz w:val="22"/>
          <w:szCs w:val="22"/>
          <w:highlight w:val="none"/>
          <w:lang w:val="zh-CN"/>
        </w:rPr>
        <w:t>项目采购-电子招投标操作指南</w:t>
      </w:r>
      <w:r>
        <w:rPr>
          <w:rFonts w:hint="eastAsia" w:ascii="新宋体" w:hAnsi="新宋体" w:eastAsia="新宋体"/>
          <w:color w:val="auto"/>
          <w:kern w:val="0"/>
          <w:sz w:val="22"/>
          <w:szCs w:val="22"/>
          <w:highlight w:val="none"/>
          <w:lang w:val="zh-CN"/>
        </w:rPr>
        <w:t>中上传的电子磋商响应文件格式，以U盘形式提供。数量为1份。</w:t>
      </w:r>
    </w:p>
    <w:p>
      <w:pPr>
        <w:autoSpaceDE w:val="0"/>
        <w:autoSpaceDN w:val="0"/>
        <w:adjustRightInd w:val="0"/>
        <w:spacing w:line="420" w:lineRule="atLeast"/>
        <w:ind w:firstLine="440" w:firstLineChars="200"/>
        <w:rPr>
          <w:rFonts w:ascii="新宋体" w:hAnsi="新宋体" w:eastAsia="新宋体"/>
          <w:color w:val="auto"/>
          <w:kern w:val="0"/>
          <w:sz w:val="22"/>
          <w:szCs w:val="22"/>
          <w:highlight w:val="none"/>
          <w:lang w:val="zh-CN"/>
        </w:rPr>
      </w:pPr>
      <w:r>
        <w:rPr>
          <w:rFonts w:hint="eastAsia" w:ascii="新宋体" w:hAnsi="新宋体" w:eastAsia="新宋体"/>
          <w:color w:val="auto"/>
          <w:kern w:val="0"/>
          <w:sz w:val="22"/>
          <w:szCs w:val="22"/>
          <w:highlight w:val="none"/>
          <w:lang w:val="zh-CN"/>
        </w:rPr>
        <w:t>我方己完全明白竞争性磋商文件的所有条款要求，并重申以下几点：</w:t>
      </w:r>
    </w:p>
    <w:p>
      <w:pPr>
        <w:numPr>
          <w:ilvl w:val="0"/>
          <w:numId w:val="22"/>
        </w:numPr>
        <w:autoSpaceDE w:val="0"/>
        <w:autoSpaceDN w:val="0"/>
        <w:adjustRightInd w:val="0"/>
        <w:spacing w:line="420" w:lineRule="atLeast"/>
        <w:ind w:left="0" w:firstLine="440"/>
        <w:rPr>
          <w:rFonts w:ascii="新宋体" w:hAnsi="新宋体" w:eastAsia="新宋体"/>
          <w:color w:val="auto"/>
          <w:kern w:val="0"/>
          <w:sz w:val="22"/>
          <w:szCs w:val="22"/>
          <w:highlight w:val="none"/>
          <w:lang w:val="zh-CN"/>
        </w:rPr>
      </w:pPr>
      <w:r>
        <w:rPr>
          <w:rFonts w:hint="eastAsia" w:ascii="新宋体" w:hAnsi="新宋体" w:eastAsia="新宋体"/>
          <w:color w:val="auto"/>
          <w:kern w:val="0"/>
          <w:sz w:val="22"/>
          <w:szCs w:val="22"/>
          <w:highlight w:val="none"/>
          <w:lang w:val="zh-CN"/>
        </w:rPr>
        <w:t>已详细阅读全部竞争性磋商文件，包括竞争性磋商文件补充文件（如果有，包括相关的补充、更正、澄清公告和文件）、参考资料及有关附件，确认无误。我方完全理解并接受竞争性磋商文件的各项规定和要求。</w:t>
      </w:r>
    </w:p>
    <w:p>
      <w:pPr>
        <w:numPr>
          <w:ilvl w:val="0"/>
          <w:numId w:val="22"/>
        </w:numPr>
        <w:autoSpaceDE w:val="0"/>
        <w:autoSpaceDN w:val="0"/>
        <w:adjustRightInd w:val="0"/>
        <w:spacing w:line="420" w:lineRule="atLeast"/>
        <w:ind w:left="0" w:firstLine="440"/>
        <w:rPr>
          <w:rFonts w:ascii="新宋体" w:hAnsi="新宋体" w:eastAsia="新宋体"/>
          <w:color w:val="auto"/>
          <w:kern w:val="0"/>
          <w:sz w:val="22"/>
          <w:szCs w:val="22"/>
          <w:highlight w:val="none"/>
          <w:lang w:val="zh-CN"/>
        </w:rPr>
      </w:pPr>
      <w:r>
        <w:rPr>
          <w:rFonts w:hint="eastAsia" w:ascii="新宋体" w:hAnsi="新宋体" w:eastAsia="新宋体"/>
          <w:color w:val="auto"/>
          <w:kern w:val="0"/>
          <w:sz w:val="22"/>
          <w:szCs w:val="22"/>
          <w:highlight w:val="none"/>
          <w:lang w:val="zh-CN"/>
        </w:rPr>
        <w:t>同意提供按照贵方可能要求的与投标有关的一切数据或资料等。若贵方需要，我方愿意提供我方作出的一切承诺的证明材料。</w:t>
      </w:r>
    </w:p>
    <w:p>
      <w:pPr>
        <w:numPr>
          <w:ilvl w:val="0"/>
          <w:numId w:val="22"/>
        </w:numPr>
        <w:autoSpaceDE w:val="0"/>
        <w:autoSpaceDN w:val="0"/>
        <w:adjustRightInd w:val="0"/>
        <w:spacing w:line="420" w:lineRule="atLeast"/>
        <w:ind w:left="0" w:firstLine="440"/>
        <w:rPr>
          <w:rFonts w:ascii="新宋体" w:hAnsi="新宋体" w:eastAsia="新宋体"/>
          <w:color w:val="auto"/>
          <w:kern w:val="0"/>
          <w:sz w:val="22"/>
          <w:szCs w:val="22"/>
          <w:highlight w:val="none"/>
          <w:lang w:val="zh-CN"/>
        </w:rPr>
      </w:pPr>
      <w:r>
        <w:rPr>
          <w:rFonts w:hint="eastAsia" w:ascii="新宋体" w:hAnsi="新宋体" w:eastAsia="新宋体"/>
          <w:color w:val="auto"/>
          <w:kern w:val="0"/>
          <w:sz w:val="22"/>
          <w:szCs w:val="22"/>
          <w:highlight w:val="none"/>
          <w:lang w:val="zh-CN"/>
        </w:rPr>
        <w:t>如中标，保证按照竞争性磋商文件要求及磋商响应文件的承诺与采购人签订合同，保证履行合同条款。</w:t>
      </w:r>
    </w:p>
    <w:p>
      <w:pPr>
        <w:numPr>
          <w:ilvl w:val="0"/>
          <w:numId w:val="22"/>
        </w:numPr>
        <w:autoSpaceDE w:val="0"/>
        <w:autoSpaceDN w:val="0"/>
        <w:adjustRightInd w:val="0"/>
        <w:spacing w:line="420" w:lineRule="atLeast"/>
        <w:ind w:left="0" w:firstLine="440"/>
        <w:rPr>
          <w:rFonts w:ascii="新宋体" w:hAnsi="新宋体" w:eastAsia="新宋体"/>
          <w:color w:val="auto"/>
          <w:kern w:val="0"/>
          <w:sz w:val="22"/>
          <w:szCs w:val="22"/>
          <w:highlight w:val="none"/>
          <w:lang w:val="zh-CN"/>
        </w:rPr>
      </w:pPr>
      <w:r>
        <w:rPr>
          <w:rFonts w:hint="eastAsia" w:ascii="新宋体" w:hAnsi="新宋体" w:eastAsia="新宋体"/>
          <w:color w:val="auto"/>
          <w:kern w:val="0"/>
          <w:sz w:val="22"/>
          <w:szCs w:val="22"/>
          <w:highlight w:val="none"/>
          <w:lang w:val="zh-CN"/>
        </w:rPr>
        <w:t>同意在竞争性磋商文件中供应商须知规定的开标日期起遵守本投标书中的承诺且在投标有效期满之前均具有约束力。</w:t>
      </w:r>
    </w:p>
    <w:p>
      <w:pPr>
        <w:numPr>
          <w:ilvl w:val="0"/>
          <w:numId w:val="22"/>
        </w:numPr>
        <w:autoSpaceDE w:val="0"/>
        <w:autoSpaceDN w:val="0"/>
        <w:adjustRightInd w:val="0"/>
        <w:spacing w:line="420" w:lineRule="atLeast"/>
        <w:ind w:left="0" w:firstLine="440"/>
        <w:rPr>
          <w:rFonts w:ascii="新宋体" w:hAnsi="新宋体" w:eastAsia="新宋体"/>
          <w:color w:val="auto"/>
          <w:kern w:val="0"/>
          <w:sz w:val="22"/>
          <w:szCs w:val="22"/>
          <w:highlight w:val="none"/>
          <w:lang w:val="zh-CN"/>
        </w:rPr>
      </w:pPr>
      <w:r>
        <w:rPr>
          <w:rFonts w:hint="eastAsia" w:ascii="新宋体" w:hAnsi="新宋体" w:eastAsia="新宋体"/>
          <w:color w:val="auto"/>
          <w:kern w:val="0"/>
          <w:sz w:val="22"/>
          <w:szCs w:val="22"/>
          <w:highlight w:val="none"/>
          <w:lang w:val="zh-CN"/>
        </w:rPr>
        <w:t>同意在开标后规定的投标有效期内不得撤回投标。</w:t>
      </w:r>
    </w:p>
    <w:p>
      <w:pPr>
        <w:numPr>
          <w:ilvl w:val="0"/>
          <w:numId w:val="22"/>
        </w:numPr>
        <w:autoSpaceDE w:val="0"/>
        <w:autoSpaceDN w:val="0"/>
        <w:adjustRightInd w:val="0"/>
        <w:spacing w:line="420" w:lineRule="atLeast"/>
        <w:ind w:left="0" w:firstLine="440"/>
        <w:rPr>
          <w:rFonts w:ascii="新宋体" w:hAnsi="新宋体" w:eastAsia="新宋体"/>
          <w:color w:val="auto"/>
          <w:kern w:val="0"/>
          <w:sz w:val="22"/>
          <w:szCs w:val="22"/>
          <w:highlight w:val="none"/>
          <w:lang w:val="zh-CN"/>
        </w:rPr>
      </w:pPr>
      <w:r>
        <w:rPr>
          <w:rFonts w:hint="eastAsia" w:ascii="新宋体" w:hAnsi="新宋体" w:eastAsia="新宋体"/>
          <w:color w:val="auto"/>
          <w:kern w:val="0"/>
          <w:sz w:val="22"/>
          <w:szCs w:val="22"/>
          <w:highlight w:val="none"/>
          <w:lang w:val="zh-CN"/>
        </w:rPr>
        <w:t>完全理解贵方不一定要接受最低价的投标。</w:t>
      </w:r>
    </w:p>
    <w:p>
      <w:pPr>
        <w:numPr>
          <w:ilvl w:val="0"/>
          <w:numId w:val="22"/>
        </w:numPr>
        <w:autoSpaceDE w:val="0"/>
        <w:autoSpaceDN w:val="0"/>
        <w:adjustRightInd w:val="0"/>
        <w:spacing w:line="420" w:lineRule="atLeast"/>
        <w:ind w:left="0" w:firstLine="440"/>
        <w:rPr>
          <w:rFonts w:ascii="新宋体" w:hAnsi="新宋体" w:eastAsia="新宋体"/>
          <w:color w:val="auto"/>
          <w:kern w:val="0"/>
          <w:sz w:val="22"/>
          <w:szCs w:val="22"/>
          <w:highlight w:val="none"/>
          <w:lang w:val="zh-CN"/>
        </w:rPr>
      </w:pPr>
      <w:r>
        <w:rPr>
          <w:rFonts w:hint="eastAsia" w:ascii="新宋体" w:hAnsi="新宋体" w:eastAsia="新宋体"/>
          <w:color w:val="auto"/>
          <w:kern w:val="0"/>
          <w:sz w:val="22"/>
          <w:szCs w:val="22"/>
          <w:highlight w:val="none"/>
          <w:lang w:val="zh-CN"/>
        </w:rPr>
        <w:t>在参加本项目前三年内（被通报或者处罚的违法行为有：</w:t>
      </w:r>
      <w:r>
        <w:rPr>
          <w:rFonts w:hint="eastAsia" w:ascii="新宋体" w:hAnsi="新宋体" w:eastAsia="新宋体"/>
          <w:color w:val="auto"/>
          <w:kern w:val="0"/>
          <w:sz w:val="22"/>
          <w:szCs w:val="22"/>
          <w:highlight w:val="none"/>
          <w:u w:val="single"/>
          <w:lang w:val="zh-CN"/>
        </w:rPr>
        <w:t xml:space="preserve">                  </w:t>
      </w:r>
      <w:r>
        <w:rPr>
          <w:rFonts w:hint="eastAsia" w:ascii="新宋体" w:hAnsi="新宋体" w:eastAsia="新宋体"/>
          <w:color w:val="auto"/>
          <w:kern w:val="0"/>
          <w:sz w:val="22"/>
          <w:szCs w:val="22"/>
          <w:highlight w:val="none"/>
          <w:lang w:val="zh-CN"/>
        </w:rPr>
        <w:t>）或（没有因违法经营受到刑事处罚或者责令停产停业、吊销许可证或者执照、较大数额罚款等行政处罚或处罚）或（在</w:t>
      </w:r>
      <w:r>
        <w:rPr>
          <w:rFonts w:hint="eastAsia" w:ascii="新宋体" w:hAnsi="新宋体" w:eastAsia="新宋体"/>
          <w:color w:val="auto"/>
          <w:kern w:val="0"/>
          <w:sz w:val="22"/>
          <w:szCs w:val="22"/>
          <w:highlight w:val="none"/>
          <w:u w:val="single"/>
          <w:lang w:val="zh-CN"/>
        </w:rPr>
        <w:t xml:space="preserve">  </w:t>
      </w:r>
      <w:r>
        <w:rPr>
          <w:rFonts w:hint="eastAsia" w:ascii="新宋体" w:hAnsi="新宋体" w:eastAsia="新宋体"/>
          <w:color w:val="auto"/>
          <w:kern w:val="0"/>
          <w:sz w:val="22"/>
          <w:szCs w:val="22"/>
          <w:highlight w:val="none"/>
          <w:lang w:val="zh-CN"/>
        </w:rPr>
        <w:t>至</w:t>
      </w:r>
      <w:r>
        <w:rPr>
          <w:rFonts w:hint="eastAsia" w:ascii="新宋体" w:hAnsi="新宋体" w:eastAsia="新宋体"/>
          <w:color w:val="auto"/>
          <w:kern w:val="0"/>
          <w:sz w:val="22"/>
          <w:szCs w:val="22"/>
          <w:highlight w:val="none"/>
          <w:u w:val="single"/>
          <w:lang w:val="zh-CN"/>
        </w:rPr>
        <w:t xml:space="preserve">  </w:t>
      </w:r>
      <w:r>
        <w:rPr>
          <w:rFonts w:hint="eastAsia" w:ascii="新宋体" w:hAnsi="新宋体" w:eastAsia="新宋体"/>
          <w:color w:val="auto"/>
          <w:kern w:val="0"/>
          <w:sz w:val="22"/>
          <w:szCs w:val="22"/>
          <w:highlight w:val="none"/>
          <w:lang w:val="zh-CN"/>
        </w:rPr>
        <w:t>期间禁止参加政府采购活动但是期限届满，须附相关证明文件）</w:t>
      </w:r>
    </w:p>
    <w:p>
      <w:pPr>
        <w:numPr>
          <w:ilvl w:val="0"/>
          <w:numId w:val="22"/>
        </w:numPr>
        <w:autoSpaceDE w:val="0"/>
        <w:autoSpaceDN w:val="0"/>
        <w:adjustRightInd w:val="0"/>
        <w:spacing w:line="420" w:lineRule="atLeast"/>
        <w:ind w:left="0" w:firstLine="440"/>
        <w:rPr>
          <w:rFonts w:ascii="新宋体" w:hAnsi="新宋体" w:eastAsia="新宋体"/>
          <w:color w:val="auto"/>
          <w:kern w:val="0"/>
          <w:sz w:val="22"/>
          <w:szCs w:val="22"/>
          <w:highlight w:val="none"/>
          <w:lang w:val="zh-CN"/>
        </w:rPr>
      </w:pPr>
      <w:r>
        <w:rPr>
          <w:rFonts w:hint="eastAsia" w:ascii="新宋体" w:hAnsi="新宋体" w:eastAsia="新宋体"/>
          <w:color w:val="auto"/>
          <w:kern w:val="0"/>
          <w:sz w:val="22"/>
          <w:szCs w:val="22"/>
          <w:highlight w:val="none"/>
          <w:lang w:val="zh-CN"/>
        </w:rPr>
        <w:t>在磋商响应截止前（未被“信用中国”网站(</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Fonts w:hint="eastAsia" w:ascii="新宋体" w:hAnsi="新宋体" w:eastAsia="新宋体"/>
          <w:color w:val="auto"/>
          <w:kern w:val="0"/>
          <w:sz w:val="22"/>
          <w:szCs w:val="22"/>
          <w:highlight w:val="none"/>
          <w:lang w:val="zh-CN"/>
        </w:rPr>
        <w:t>www.creditchina.gov.cn</w:t>
      </w:r>
      <w:r>
        <w:rPr>
          <w:rFonts w:hint="eastAsia" w:ascii="新宋体" w:hAnsi="新宋体" w:eastAsia="新宋体"/>
          <w:color w:val="auto"/>
          <w:kern w:val="0"/>
          <w:sz w:val="22"/>
          <w:szCs w:val="22"/>
          <w:highlight w:val="none"/>
          <w:lang w:val="zh-CN"/>
        </w:rPr>
        <w:fldChar w:fldCharType="end"/>
      </w:r>
      <w:r>
        <w:rPr>
          <w:rFonts w:hint="eastAsia" w:ascii="新宋体" w:hAnsi="新宋体" w:eastAsia="新宋体"/>
          <w:color w:val="auto"/>
          <w:kern w:val="0"/>
          <w:sz w:val="22"/>
          <w:szCs w:val="22"/>
          <w:highlight w:val="none"/>
          <w:lang w:val="zh-CN"/>
        </w:rPr>
        <w:t>)列入失信被执行人、重大税收违法案件当事人名单；未被“中国政府采购网”(</w:t>
      </w: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rFonts w:hint="eastAsia" w:ascii="新宋体" w:hAnsi="新宋体" w:eastAsia="新宋体"/>
          <w:color w:val="auto"/>
          <w:kern w:val="0"/>
          <w:sz w:val="22"/>
          <w:szCs w:val="22"/>
          <w:highlight w:val="none"/>
          <w:lang w:val="zh-CN"/>
        </w:rPr>
        <w:t>www.ccgp.gov.cn</w:t>
      </w:r>
      <w:r>
        <w:rPr>
          <w:rFonts w:hint="eastAsia" w:ascii="新宋体" w:hAnsi="新宋体" w:eastAsia="新宋体"/>
          <w:color w:val="auto"/>
          <w:kern w:val="0"/>
          <w:sz w:val="22"/>
          <w:szCs w:val="22"/>
          <w:highlight w:val="none"/>
          <w:lang w:val="zh-CN"/>
        </w:rPr>
        <w:fldChar w:fldCharType="end"/>
      </w:r>
      <w:r>
        <w:rPr>
          <w:rFonts w:hint="eastAsia" w:ascii="新宋体" w:hAnsi="新宋体" w:eastAsia="新宋体"/>
          <w:color w:val="auto"/>
          <w:kern w:val="0"/>
          <w:sz w:val="22"/>
          <w:szCs w:val="22"/>
          <w:highlight w:val="none"/>
          <w:lang w:val="zh-CN"/>
        </w:rPr>
        <w:t>)列入政府采购严重违法失信行为记录名单。）或（被“信用中国”或“中国政府采购网”列入……名单。）</w:t>
      </w:r>
    </w:p>
    <w:p>
      <w:pPr>
        <w:numPr>
          <w:ilvl w:val="0"/>
          <w:numId w:val="22"/>
        </w:numPr>
        <w:autoSpaceDE w:val="0"/>
        <w:autoSpaceDN w:val="0"/>
        <w:adjustRightInd w:val="0"/>
        <w:spacing w:line="420" w:lineRule="atLeast"/>
        <w:ind w:left="0" w:firstLine="440"/>
        <w:rPr>
          <w:rFonts w:ascii="新宋体" w:hAnsi="新宋体" w:eastAsia="新宋体"/>
          <w:color w:val="auto"/>
          <w:kern w:val="0"/>
          <w:sz w:val="22"/>
          <w:szCs w:val="22"/>
          <w:highlight w:val="none"/>
          <w:lang w:val="zh-CN"/>
        </w:rPr>
      </w:pPr>
      <w:r>
        <w:rPr>
          <w:rFonts w:hint="eastAsia" w:ascii="新宋体" w:hAnsi="新宋体" w:eastAsia="新宋体"/>
          <w:color w:val="auto"/>
          <w:kern w:val="0"/>
          <w:sz w:val="22"/>
          <w:szCs w:val="22"/>
          <w:highlight w:val="none"/>
          <w:lang w:val="zh-CN"/>
        </w:rPr>
        <w:t>单位、法定代表人、本项目授权代表及本项目负责人在参加本项目前三年内（以法院判决书生效日期为准）均无行贿犯罪记录。</w:t>
      </w:r>
    </w:p>
    <w:p>
      <w:pPr>
        <w:numPr>
          <w:ilvl w:val="0"/>
          <w:numId w:val="22"/>
        </w:numPr>
        <w:autoSpaceDE w:val="0"/>
        <w:autoSpaceDN w:val="0"/>
        <w:adjustRightInd w:val="0"/>
        <w:spacing w:line="420" w:lineRule="atLeast"/>
        <w:ind w:left="0" w:firstLine="440"/>
        <w:rPr>
          <w:rFonts w:ascii="新宋体" w:hAnsi="新宋体" w:eastAsia="新宋体"/>
          <w:color w:val="auto"/>
          <w:kern w:val="0"/>
          <w:sz w:val="22"/>
          <w:szCs w:val="22"/>
          <w:highlight w:val="none"/>
          <w:lang w:val="zh-CN"/>
        </w:rPr>
      </w:pPr>
      <w:r>
        <w:rPr>
          <w:rFonts w:hint="eastAsia" w:ascii="新宋体" w:hAnsi="新宋体" w:eastAsia="新宋体"/>
          <w:color w:val="auto"/>
          <w:kern w:val="0"/>
          <w:sz w:val="22"/>
          <w:szCs w:val="22"/>
          <w:highlight w:val="none"/>
          <w:lang w:val="zh-CN"/>
        </w:rPr>
        <w:t>有列情形之一的，我方愿意被取消中标资格（如中标），继续承担其他一切法律后果，并不再寻求任何旨在减轻或免除法律责任的解释：</w:t>
      </w:r>
    </w:p>
    <w:p>
      <w:pPr>
        <w:spacing w:line="420" w:lineRule="exact"/>
        <w:ind w:firstLine="440" w:firstLineChars="200"/>
        <w:rPr>
          <w:rFonts w:ascii="新宋体" w:hAnsi="新宋体" w:eastAsia="新宋体"/>
          <w:color w:val="auto"/>
          <w:sz w:val="22"/>
          <w:highlight w:val="none"/>
        </w:rPr>
      </w:pPr>
      <w:r>
        <w:rPr>
          <w:rFonts w:hint="eastAsia" w:ascii="新宋体" w:hAnsi="新宋体" w:eastAsia="新宋体"/>
          <w:color w:val="auto"/>
          <w:sz w:val="22"/>
          <w:highlight w:val="none"/>
        </w:rPr>
        <w:t>(1)提供虚假材料（承诺）谋取中标、成交的；</w:t>
      </w:r>
    </w:p>
    <w:p>
      <w:pPr>
        <w:spacing w:line="420" w:lineRule="exact"/>
        <w:ind w:firstLine="440" w:firstLineChars="200"/>
        <w:rPr>
          <w:rFonts w:ascii="新宋体" w:hAnsi="新宋体" w:eastAsia="新宋体"/>
          <w:color w:val="auto"/>
          <w:sz w:val="22"/>
          <w:highlight w:val="none"/>
        </w:rPr>
      </w:pPr>
      <w:r>
        <w:rPr>
          <w:rFonts w:hint="eastAsia" w:ascii="新宋体" w:hAnsi="新宋体" w:eastAsia="新宋体"/>
          <w:color w:val="auto"/>
          <w:sz w:val="22"/>
          <w:highlight w:val="none"/>
        </w:rPr>
        <w:t>(2)采取不正当手段诋毁、排挤其他供应商的；</w:t>
      </w:r>
    </w:p>
    <w:p>
      <w:pPr>
        <w:spacing w:line="420" w:lineRule="exact"/>
        <w:ind w:firstLine="440" w:firstLineChars="200"/>
        <w:rPr>
          <w:rFonts w:ascii="新宋体" w:hAnsi="新宋体" w:eastAsia="新宋体"/>
          <w:color w:val="auto"/>
          <w:sz w:val="22"/>
          <w:highlight w:val="none"/>
        </w:rPr>
      </w:pPr>
      <w:r>
        <w:rPr>
          <w:rFonts w:hint="eastAsia" w:ascii="新宋体" w:hAnsi="新宋体" w:eastAsia="新宋体"/>
          <w:color w:val="auto"/>
          <w:sz w:val="22"/>
          <w:highlight w:val="none"/>
        </w:rPr>
        <w:t>(3)与采购人、其它供应商或者招标代理机构恶意串通的；</w:t>
      </w:r>
    </w:p>
    <w:p>
      <w:pPr>
        <w:spacing w:line="420" w:lineRule="exact"/>
        <w:ind w:firstLine="440" w:firstLineChars="200"/>
        <w:rPr>
          <w:rFonts w:ascii="新宋体" w:hAnsi="新宋体" w:eastAsia="新宋体"/>
          <w:color w:val="auto"/>
          <w:sz w:val="22"/>
          <w:highlight w:val="none"/>
        </w:rPr>
      </w:pPr>
      <w:r>
        <w:rPr>
          <w:rFonts w:hint="eastAsia" w:ascii="新宋体" w:hAnsi="新宋体" w:eastAsia="新宋体"/>
          <w:color w:val="auto"/>
          <w:sz w:val="22"/>
          <w:highlight w:val="none"/>
        </w:rPr>
        <w:t>(4)向采购人、招标代理机构行贿或者提供其他不正当利益的；</w:t>
      </w:r>
    </w:p>
    <w:p>
      <w:pPr>
        <w:spacing w:line="420" w:lineRule="exact"/>
        <w:ind w:firstLine="440" w:firstLineChars="200"/>
        <w:rPr>
          <w:rFonts w:ascii="新宋体" w:hAnsi="新宋体" w:eastAsia="新宋体"/>
          <w:color w:val="auto"/>
          <w:sz w:val="22"/>
          <w:highlight w:val="none"/>
        </w:rPr>
      </w:pPr>
      <w:r>
        <w:rPr>
          <w:rFonts w:hint="eastAsia" w:ascii="新宋体" w:hAnsi="新宋体" w:eastAsia="新宋体"/>
          <w:color w:val="auto"/>
          <w:sz w:val="22"/>
          <w:highlight w:val="none"/>
        </w:rPr>
        <w:t>(5)在招标采购过程中与采购人进行协商谈判的；</w:t>
      </w:r>
    </w:p>
    <w:p>
      <w:pPr>
        <w:spacing w:line="420" w:lineRule="exact"/>
        <w:ind w:firstLine="440" w:firstLineChars="200"/>
        <w:rPr>
          <w:rFonts w:ascii="新宋体" w:hAnsi="新宋体" w:eastAsia="新宋体"/>
          <w:color w:val="auto"/>
          <w:sz w:val="22"/>
          <w:highlight w:val="none"/>
        </w:rPr>
      </w:pPr>
      <w:r>
        <w:rPr>
          <w:rFonts w:hint="eastAsia" w:ascii="新宋体" w:hAnsi="新宋体" w:eastAsia="新宋体"/>
          <w:color w:val="auto"/>
          <w:sz w:val="22"/>
          <w:highlight w:val="none"/>
        </w:rPr>
        <w:t>(6)拒绝有关部门监督检查或提供虚假情况的。</w:t>
      </w:r>
    </w:p>
    <w:p>
      <w:pPr>
        <w:numPr>
          <w:ilvl w:val="0"/>
          <w:numId w:val="22"/>
        </w:numPr>
        <w:autoSpaceDE w:val="0"/>
        <w:autoSpaceDN w:val="0"/>
        <w:adjustRightInd w:val="0"/>
        <w:spacing w:line="420" w:lineRule="atLeast"/>
        <w:ind w:left="0" w:firstLine="440"/>
        <w:rPr>
          <w:rFonts w:ascii="新宋体" w:hAnsi="新宋体" w:eastAsia="新宋体"/>
          <w:color w:val="auto"/>
          <w:kern w:val="0"/>
          <w:sz w:val="22"/>
          <w:szCs w:val="22"/>
          <w:highlight w:val="none"/>
          <w:lang w:val="zh-CN"/>
        </w:rPr>
      </w:pPr>
      <w:r>
        <w:rPr>
          <w:rFonts w:hint="eastAsia" w:ascii="新宋体" w:hAnsi="新宋体" w:eastAsia="新宋体"/>
          <w:color w:val="auto"/>
          <w:kern w:val="0"/>
          <w:sz w:val="22"/>
          <w:szCs w:val="22"/>
          <w:highlight w:val="none"/>
          <w:lang w:val="zh-CN"/>
        </w:rPr>
        <w:t>所有与本投标有关的函件请发往下列地址：</w:t>
      </w:r>
    </w:p>
    <w:p>
      <w:pPr>
        <w:spacing w:line="420" w:lineRule="exact"/>
        <w:ind w:firstLine="43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 xml:space="preserve">   地址</w:t>
      </w:r>
      <w:r>
        <w:rPr>
          <w:rFonts w:hint="eastAsia" w:ascii="新宋体" w:hAnsi="新宋体" w:eastAsia="新宋体"/>
          <w:color w:val="auto"/>
          <w:sz w:val="22"/>
          <w:szCs w:val="22"/>
          <w:highlight w:val="none"/>
          <w:u w:val="single"/>
        </w:rPr>
        <w:t xml:space="preserve">                           </w:t>
      </w:r>
    </w:p>
    <w:p>
      <w:pPr>
        <w:spacing w:line="420" w:lineRule="exact"/>
        <w:ind w:firstLine="43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 xml:space="preserve">   电话</w:t>
      </w:r>
      <w:r>
        <w:rPr>
          <w:rFonts w:hint="eastAsia" w:ascii="新宋体" w:hAnsi="新宋体" w:eastAsia="新宋体"/>
          <w:color w:val="auto"/>
          <w:sz w:val="22"/>
          <w:szCs w:val="22"/>
          <w:highlight w:val="none"/>
          <w:u w:val="single"/>
        </w:rPr>
        <w:t xml:space="preserve">                           </w:t>
      </w:r>
    </w:p>
    <w:p>
      <w:pPr>
        <w:spacing w:line="420" w:lineRule="exact"/>
        <w:ind w:firstLine="435"/>
        <w:rPr>
          <w:rFonts w:ascii="新宋体" w:hAnsi="新宋体" w:eastAsia="新宋体"/>
          <w:color w:val="auto"/>
          <w:sz w:val="22"/>
          <w:szCs w:val="22"/>
          <w:highlight w:val="none"/>
          <w:u w:val="single"/>
        </w:rPr>
      </w:pPr>
      <w:r>
        <w:rPr>
          <w:rFonts w:hint="eastAsia" w:ascii="新宋体" w:hAnsi="新宋体" w:eastAsia="新宋体"/>
          <w:color w:val="auto"/>
          <w:sz w:val="22"/>
          <w:szCs w:val="22"/>
          <w:highlight w:val="none"/>
        </w:rPr>
        <w:t xml:space="preserve">   传真</w:t>
      </w:r>
      <w:r>
        <w:rPr>
          <w:rFonts w:hint="eastAsia" w:ascii="新宋体" w:hAnsi="新宋体" w:eastAsia="新宋体"/>
          <w:color w:val="auto"/>
          <w:sz w:val="22"/>
          <w:szCs w:val="22"/>
          <w:highlight w:val="none"/>
          <w:u w:val="single"/>
        </w:rPr>
        <w:t xml:space="preserve">                           </w:t>
      </w:r>
    </w:p>
    <w:p>
      <w:pPr>
        <w:spacing w:line="420" w:lineRule="exact"/>
        <w:ind w:firstLine="770" w:firstLineChars="35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电子邮件</w:t>
      </w:r>
      <w:r>
        <w:rPr>
          <w:rFonts w:hint="eastAsia" w:ascii="新宋体" w:hAnsi="新宋体" w:eastAsia="新宋体"/>
          <w:color w:val="auto"/>
          <w:sz w:val="22"/>
          <w:szCs w:val="22"/>
          <w:highlight w:val="none"/>
          <w:u w:val="single"/>
        </w:rPr>
        <w:t xml:space="preserve">                       </w:t>
      </w:r>
      <w:r>
        <w:rPr>
          <w:rFonts w:hint="eastAsia" w:ascii="新宋体" w:hAnsi="新宋体" w:eastAsia="新宋体"/>
          <w:color w:val="auto"/>
          <w:sz w:val="22"/>
          <w:szCs w:val="22"/>
          <w:highlight w:val="none"/>
        </w:rPr>
        <w:t xml:space="preserve">                       </w:t>
      </w:r>
    </w:p>
    <w:p>
      <w:pPr>
        <w:spacing w:line="420" w:lineRule="exact"/>
        <w:ind w:firstLine="435"/>
        <w:rPr>
          <w:rFonts w:ascii="新宋体" w:hAnsi="新宋体" w:eastAsia="新宋体"/>
          <w:color w:val="auto"/>
          <w:sz w:val="22"/>
          <w:szCs w:val="22"/>
          <w:highlight w:val="none"/>
        </w:rPr>
      </w:pPr>
    </w:p>
    <w:p>
      <w:pPr>
        <w:spacing w:line="420" w:lineRule="exact"/>
        <w:ind w:firstLine="462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供应商名称（盖章）</w:t>
      </w:r>
      <w:r>
        <w:rPr>
          <w:rFonts w:hint="eastAsia" w:ascii="新宋体" w:hAnsi="新宋体" w:eastAsia="新宋体"/>
          <w:color w:val="auto"/>
          <w:sz w:val="22"/>
          <w:szCs w:val="22"/>
          <w:highlight w:val="none"/>
          <w:u w:val="single"/>
        </w:rPr>
        <w:t xml:space="preserve">                  </w:t>
      </w:r>
    </w:p>
    <w:p>
      <w:pPr>
        <w:spacing w:line="420" w:lineRule="exact"/>
        <w:ind w:firstLine="462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供应商代表（签字）</w:t>
      </w:r>
      <w:r>
        <w:rPr>
          <w:rFonts w:hint="eastAsia" w:ascii="新宋体" w:hAnsi="新宋体" w:eastAsia="新宋体"/>
          <w:color w:val="auto"/>
          <w:sz w:val="22"/>
          <w:szCs w:val="22"/>
          <w:highlight w:val="none"/>
          <w:u w:val="single"/>
        </w:rPr>
        <w:t xml:space="preserve">                   </w:t>
      </w:r>
    </w:p>
    <w:p>
      <w:pPr>
        <w:spacing w:line="460" w:lineRule="exact"/>
        <w:ind w:firstLine="4620"/>
        <w:rPr>
          <w:rFonts w:ascii="新宋体" w:hAnsi="新宋体" w:eastAsia="新宋体"/>
          <w:color w:val="auto"/>
          <w:sz w:val="22"/>
          <w:szCs w:val="22"/>
          <w:highlight w:val="none"/>
          <w:u w:val="single"/>
        </w:rPr>
      </w:pPr>
      <w:r>
        <w:rPr>
          <w:rFonts w:hint="eastAsia" w:ascii="新宋体" w:hAnsi="新宋体" w:eastAsia="新宋体"/>
          <w:color w:val="auto"/>
          <w:sz w:val="22"/>
          <w:szCs w:val="22"/>
          <w:highlight w:val="none"/>
        </w:rPr>
        <w:t>日    期</w:t>
      </w:r>
      <w:r>
        <w:rPr>
          <w:rFonts w:hint="eastAsia" w:ascii="新宋体" w:hAnsi="新宋体" w:eastAsia="新宋体"/>
          <w:color w:val="auto"/>
          <w:sz w:val="22"/>
          <w:szCs w:val="22"/>
          <w:highlight w:val="none"/>
          <w:u w:val="single"/>
        </w:rPr>
        <w:t xml:space="preserve">           </w:t>
      </w:r>
    </w:p>
    <w:p>
      <w:pPr>
        <w:spacing w:line="460" w:lineRule="exact"/>
        <w:ind w:firstLine="4620"/>
        <w:rPr>
          <w:rFonts w:ascii="新宋体" w:hAnsi="新宋体" w:eastAsia="新宋体"/>
          <w:color w:val="auto"/>
          <w:sz w:val="22"/>
          <w:szCs w:val="22"/>
          <w:highlight w:val="none"/>
          <w:u w:val="single"/>
        </w:rPr>
      </w:pPr>
    </w:p>
    <w:p>
      <w:pPr>
        <w:spacing w:line="460" w:lineRule="exact"/>
        <w:rPr>
          <w:rFonts w:ascii="新宋体" w:hAnsi="新宋体" w:eastAsia="新宋体"/>
          <w:b/>
          <w:color w:val="auto"/>
          <w:sz w:val="22"/>
          <w:szCs w:val="22"/>
          <w:highlight w:val="none"/>
          <w:u w:val="single"/>
        </w:rPr>
      </w:pPr>
      <w:r>
        <w:rPr>
          <w:rFonts w:hint="eastAsia" w:ascii="新宋体" w:hAnsi="新宋体" w:eastAsia="新宋体"/>
          <w:b/>
          <w:color w:val="auto"/>
          <w:sz w:val="22"/>
          <w:szCs w:val="22"/>
          <w:highlight w:val="none"/>
          <w:u w:val="single"/>
        </w:rPr>
        <w:t>▲不提供投标函的磋商响应文件将被视为未实质性响应竞争性磋商文件。</w:t>
      </w:r>
    </w:p>
    <w:p>
      <w:pPr>
        <w:spacing w:line="460" w:lineRule="exact"/>
        <w:ind w:firstLine="435"/>
        <w:rPr>
          <w:rFonts w:ascii="新宋体" w:hAnsi="新宋体" w:eastAsia="新宋体"/>
          <w:b/>
          <w:color w:val="auto"/>
          <w:sz w:val="22"/>
          <w:szCs w:val="22"/>
          <w:highlight w:val="none"/>
          <w:u w:val="single"/>
        </w:rPr>
      </w:pPr>
    </w:p>
    <w:p>
      <w:pPr>
        <w:spacing w:line="460" w:lineRule="exact"/>
        <w:rPr>
          <w:rFonts w:ascii="新宋体" w:hAnsi="新宋体" w:eastAsia="新宋体"/>
          <w:b/>
          <w:bCs/>
          <w:color w:val="auto"/>
          <w:sz w:val="22"/>
          <w:szCs w:val="22"/>
          <w:highlight w:val="none"/>
        </w:rPr>
      </w:pPr>
      <w:r>
        <w:rPr>
          <w:rFonts w:hint="eastAsia" w:ascii="新宋体" w:hAnsi="新宋体" w:eastAsia="新宋体"/>
          <w:b/>
          <w:color w:val="auto"/>
          <w:sz w:val="22"/>
          <w:szCs w:val="22"/>
          <w:highlight w:val="none"/>
          <w:u w:val="single"/>
        </w:rPr>
        <w:br w:type="page"/>
      </w:r>
      <w:r>
        <w:rPr>
          <w:rFonts w:hint="eastAsia" w:ascii="新宋体" w:hAnsi="新宋体" w:eastAsia="新宋体"/>
          <w:b/>
          <w:bCs/>
          <w:color w:val="auto"/>
          <w:sz w:val="22"/>
          <w:szCs w:val="22"/>
          <w:highlight w:val="none"/>
        </w:rPr>
        <w:t>附件二</w:t>
      </w:r>
    </w:p>
    <w:p>
      <w:pPr>
        <w:spacing w:line="460" w:lineRule="exact"/>
        <w:jc w:val="center"/>
        <w:rPr>
          <w:rFonts w:ascii="新宋体" w:hAnsi="新宋体" w:eastAsia="新宋体"/>
          <w:b/>
          <w:bCs/>
          <w:color w:val="auto"/>
          <w:sz w:val="28"/>
          <w:szCs w:val="28"/>
          <w:highlight w:val="none"/>
        </w:rPr>
      </w:pPr>
      <w:r>
        <w:rPr>
          <w:rFonts w:hint="eastAsia" w:ascii="新宋体" w:hAnsi="新宋体" w:eastAsia="新宋体"/>
          <w:b/>
          <w:bCs/>
          <w:color w:val="auto"/>
          <w:sz w:val="28"/>
          <w:szCs w:val="28"/>
          <w:highlight w:val="none"/>
        </w:rPr>
        <w:t xml:space="preserve"> (1)技术要求应答表</w:t>
      </w:r>
    </w:p>
    <w:p>
      <w:pPr>
        <w:ind w:firstLine="435"/>
        <w:jc w:val="center"/>
        <w:rPr>
          <w:rFonts w:ascii="新宋体" w:hAnsi="新宋体" w:eastAsia="新宋体"/>
          <w:b/>
          <w:color w:val="auto"/>
          <w:sz w:val="44"/>
          <w:highlight w:val="none"/>
        </w:rPr>
      </w:pPr>
    </w:p>
    <w:p>
      <w:pPr>
        <w:overflowPunct w:val="0"/>
        <w:spacing w:line="380" w:lineRule="exact"/>
        <w:rPr>
          <w:rFonts w:ascii="新宋体" w:hAnsi="新宋体" w:eastAsia="新宋体"/>
          <w:bCs/>
          <w:color w:val="auto"/>
          <w:sz w:val="22"/>
          <w:szCs w:val="22"/>
          <w:highlight w:val="none"/>
        </w:rPr>
      </w:pPr>
      <w:r>
        <w:rPr>
          <w:rFonts w:hint="eastAsia" w:ascii="新宋体" w:hAnsi="新宋体" w:eastAsia="新宋体"/>
          <w:b/>
          <w:color w:val="auto"/>
          <w:sz w:val="24"/>
          <w:highlight w:val="none"/>
        </w:rPr>
        <w:t xml:space="preserve">   </w:t>
      </w:r>
      <w:r>
        <w:rPr>
          <w:rFonts w:hint="eastAsia" w:ascii="新宋体" w:hAnsi="新宋体" w:eastAsia="新宋体"/>
          <w:bCs/>
          <w:color w:val="auto"/>
          <w:sz w:val="22"/>
          <w:szCs w:val="22"/>
          <w:highlight w:val="none"/>
        </w:rPr>
        <w:t>项目名称：                                      项目编号：</w:t>
      </w:r>
    </w:p>
    <w:p>
      <w:pPr>
        <w:ind w:firstLine="361" w:firstLineChars="150"/>
        <w:rPr>
          <w:rFonts w:ascii="新宋体" w:hAnsi="新宋体" w:eastAsia="新宋体"/>
          <w:b/>
          <w:color w:val="auto"/>
          <w:sz w:val="24"/>
          <w:highlight w:val="none"/>
        </w:rPr>
      </w:pPr>
    </w:p>
    <w:tbl>
      <w:tblPr>
        <w:tblStyle w:val="53"/>
        <w:tblW w:w="9854"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73"/>
        <w:gridCol w:w="2538"/>
        <w:gridCol w:w="2326"/>
        <w:gridCol w:w="2115"/>
        <w:gridCol w:w="190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1040" w:hRule="atLeast"/>
          <w:jc w:val="center"/>
        </w:trPr>
        <w:tc>
          <w:tcPr>
            <w:tcW w:w="973" w:type="dxa"/>
            <w:vAlign w:val="center"/>
          </w:tcPr>
          <w:p>
            <w:pPr>
              <w:jc w:val="center"/>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序号</w:t>
            </w:r>
          </w:p>
        </w:tc>
        <w:tc>
          <w:tcPr>
            <w:tcW w:w="2538" w:type="dxa"/>
            <w:vAlign w:val="center"/>
          </w:tcPr>
          <w:p>
            <w:pPr>
              <w:jc w:val="center"/>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采购文件技术要求</w:t>
            </w:r>
          </w:p>
        </w:tc>
        <w:tc>
          <w:tcPr>
            <w:tcW w:w="2326" w:type="dxa"/>
            <w:vAlign w:val="center"/>
          </w:tcPr>
          <w:p>
            <w:pPr>
              <w:jc w:val="center"/>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投标供应商技术响应</w:t>
            </w:r>
          </w:p>
        </w:tc>
        <w:tc>
          <w:tcPr>
            <w:tcW w:w="2115" w:type="dxa"/>
            <w:vAlign w:val="center"/>
          </w:tcPr>
          <w:p>
            <w:pPr>
              <w:jc w:val="center"/>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偏离</w:t>
            </w:r>
          </w:p>
        </w:tc>
        <w:tc>
          <w:tcPr>
            <w:tcW w:w="1902" w:type="dxa"/>
            <w:vAlign w:val="center"/>
          </w:tcPr>
          <w:p>
            <w:pPr>
              <w:jc w:val="center"/>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说  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40" w:hRule="atLeast"/>
          <w:jc w:val="center"/>
        </w:trPr>
        <w:tc>
          <w:tcPr>
            <w:tcW w:w="973" w:type="dxa"/>
            <w:vAlign w:val="center"/>
          </w:tcPr>
          <w:p>
            <w:pPr>
              <w:jc w:val="center"/>
              <w:rPr>
                <w:rFonts w:ascii="新宋体" w:hAnsi="新宋体" w:eastAsia="新宋体"/>
                <w:color w:val="auto"/>
                <w:sz w:val="22"/>
                <w:szCs w:val="22"/>
                <w:highlight w:val="none"/>
              </w:rPr>
            </w:pPr>
          </w:p>
        </w:tc>
        <w:tc>
          <w:tcPr>
            <w:tcW w:w="2538" w:type="dxa"/>
            <w:vAlign w:val="center"/>
          </w:tcPr>
          <w:p>
            <w:pPr>
              <w:jc w:val="center"/>
              <w:rPr>
                <w:rFonts w:ascii="新宋体" w:hAnsi="新宋体" w:eastAsia="新宋体"/>
                <w:color w:val="auto"/>
                <w:sz w:val="22"/>
                <w:szCs w:val="22"/>
                <w:highlight w:val="none"/>
              </w:rPr>
            </w:pPr>
          </w:p>
        </w:tc>
        <w:tc>
          <w:tcPr>
            <w:tcW w:w="2326" w:type="dxa"/>
            <w:vAlign w:val="center"/>
          </w:tcPr>
          <w:p>
            <w:pPr>
              <w:jc w:val="center"/>
              <w:rPr>
                <w:rFonts w:ascii="新宋体" w:hAnsi="新宋体" w:eastAsia="新宋体"/>
                <w:color w:val="auto"/>
                <w:sz w:val="22"/>
                <w:szCs w:val="22"/>
                <w:highlight w:val="none"/>
              </w:rPr>
            </w:pPr>
          </w:p>
        </w:tc>
        <w:tc>
          <w:tcPr>
            <w:tcW w:w="2115" w:type="dxa"/>
            <w:vAlign w:val="center"/>
          </w:tcPr>
          <w:p>
            <w:pPr>
              <w:jc w:val="center"/>
              <w:rPr>
                <w:rFonts w:ascii="新宋体" w:hAnsi="新宋体" w:eastAsia="新宋体"/>
                <w:color w:val="auto"/>
                <w:sz w:val="22"/>
                <w:szCs w:val="22"/>
                <w:highlight w:val="none"/>
              </w:rPr>
            </w:pPr>
          </w:p>
        </w:tc>
        <w:tc>
          <w:tcPr>
            <w:tcW w:w="1902" w:type="dxa"/>
            <w:vAlign w:val="center"/>
          </w:tcPr>
          <w:p>
            <w:pPr>
              <w:jc w:val="center"/>
              <w:rPr>
                <w:rFonts w:ascii="新宋体" w:hAnsi="新宋体" w:eastAsia="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71" w:hRule="atLeast"/>
          <w:jc w:val="center"/>
        </w:trPr>
        <w:tc>
          <w:tcPr>
            <w:tcW w:w="973" w:type="dxa"/>
            <w:vAlign w:val="center"/>
          </w:tcPr>
          <w:p>
            <w:pPr>
              <w:jc w:val="center"/>
              <w:rPr>
                <w:rFonts w:ascii="新宋体" w:hAnsi="新宋体" w:eastAsia="新宋体"/>
                <w:color w:val="auto"/>
                <w:sz w:val="22"/>
                <w:szCs w:val="22"/>
                <w:highlight w:val="none"/>
              </w:rPr>
            </w:pPr>
          </w:p>
        </w:tc>
        <w:tc>
          <w:tcPr>
            <w:tcW w:w="2538" w:type="dxa"/>
            <w:vAlign w:val="center"/>
          </w:tcPr>
          <w:p>
            <w:pPr>
              <w:jc w:val="center"/>
              <w:rPr>
                <w:rFonts w:ascii="新宋体" w:hAnsi="新宋体" w:eastAsia="新宋体"/>
                <w:color w:val="auto"/>
                <w:sz w:val="22"/>
                <w:szCs w:val="22"/>
                <w:highlight w:val="none"/>
              </w:rPr>
            </w:pPr>
          </w:p>
        </w:tc>
        <w:tc>
          <w:tcPr>
            <w:tcW w:w="2326" w:type="dxa"/>
            <w:vAlign w:val="center"/>
          </w:tcPr>
          <w:p>
            <w:pPr>
              <w:jc w:val="center"/>
              <w:rPr>
                <w:rFonts w:ascii="新宋体" w:hAnsi="新宋体" w:eastAsia="新宋体"/>
                <w:color w:val="auto"/>
                <w:sz w:val="22"/>
                <w:szCs w:val="22"/>
                <w:highlight w:val="none"/>
              </w:rPr>
            </w:pPr>
          </w:p>
        </w:tc>
        <w:tc>
          <w:tcPr>
            <w:tcW w:w="2115" w:type="dxa"/>
            <w:vAlign w:val="center"/>
          </w:tcPr>
          <w:p>
            <w:pPr>
              <w:jc w:val="center"/>
              <w:rPr>
                <w:rFonts w:ascii="新宋体" w:hAnsi="新宋体" w:eastAsia="新宋体"/>
                <w:color w:val="auto"/>
                <w:sz w:val="22"/>
                <w:szCs w:val="22"/>
                <w:highlight w:val="none"/>
              </w:rPr>
            </w:pPr>
          </w:p>
        </w:tc>
        <w:tc>
          <w:tcPr>
            <w:tcW w:w="1902" w:type="dxa"/>
            <w:vAlign w:val="center"/>
          </w:tcPr>
          <w:p>
            <w:pPr>
              <w:jc w:val="center"/>
              <w:rPr>
                <w:rFonts w:ascii="新宋体" w:hAnsi="新宋体" w:eastAsia="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71" w:hRule="atLeast"/>
          <w:jc w:val="center"/>
        </w:trPr>
        <w:tc>
          <w:tcPr>
            <w:tcW w:w="973" w:type="dxa"/>
            <w:vAlign w:val="center"/>
          </w:tcPr>
          <w:p>
            <w:pPr>
              <w:jc w:val="center"/>
              <w:rPr>
                <w:rFonts w:ascii="新宋体" w:hAnsi="新宋体" w:eastAsia="新宋体"/>
                <w:color w:val="auto"/>
                <w:sz w:val="22"/>
                <w:szCs w:val="22"/>
                <w:highlight w:val="none"/>
              </w:rPr>
            </w:pPr>
          </w:p>
        </w:tc>
        <w:tc>
          <w:tcPr>
            <w:tcW w:w="2538" w:type="dxa"/>
            <w:vAlign w:val="center"/>
          </w:tcPr>
          <w:p>
            <w:pPr>
              <w:jc w:val="center"/>
              <w:rPr>
                <w:rFonts w:ascii="新宋体" w:hAnsi="新宋体" w:eastAsia="新宋体"/>
                <w:color w:val="auto"/>
                <w:sz w:val="22"/>
                <w:szCs w:val="22"/>
                <w:highlight w:val="none"/>
              </w:rPr>
            </w:pPr>
          </w:p>
        </w:tc>
        <w:tc>
          <w:tcPr>
            <w:tcW w:w="2326" w:type="dxa"/>
            <w:vAlign w:val="center"/>
          </w:tcPr>
          <w:p>
            <w:pPr>
              <w:jc w:val="center"/>
              <w:rPr>
                <w:rFonts w:ascii="新宋体" w:hAnsi="新宋体" w:eastAsia="新宋体"/>
                <w:color w:val="auto"/>
                <w:sz w:val="22"/>
                <w:szCs w:val="22"/>
                <w:highlight w:val="none"/>
              </w:rPr>
            </w:pPr>
          </w:p>
        </w:tc>
        <w:tc>
          <w:tcPr>
            <w:tcW w:w="2115" w:type="dxa"/>
            <w:vAlign w:val="center"/>
          </w:tcPr>
          <w:p>
            <w:pPr>
              <w:jc w:val="center"/>
              <w:rPr>
                <w:rFonts w:ascii="新宋体" w:hAnsi="新宋体" w:eastAsia="新宋体"/>
                <w:color w:val="auto"/>
                <w:sz w:val="22"/>
                <w:szCs w:val="22"/>
                <w:highlight w:val="none"/>
              </w:rPr>
            </w:pPr>
          </w:p>
        </w:tc>
        <w:tc>
          <w:tcPr>
            <w:tcW w:w="1902" w:type="dxa"/>
            <w:vAlign w:val="center"/>
          </w:tcPr>
          <w:p>
            <w:pPr>
              <w:jc w:val="center"/>
              <w:rPr>
                <w:rFonts w:ascii="新宋体" w:hAnsi="新宋体" w:eastAsia="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71" w:hRule="atLeast"/>
          <w:jc w:val="center"/>
        </w:trPr>
        <w:tc>
          <w:tcPr>
            <w:tcW w:w="973" w:type="dxa"/>
            <w:vAlign w:val="center"/>
          </w:tcPr>
          <w:p>
            <w:pPr>
              <w:jc w:val="center"/>
              <w:rPr>
                <w:rFonts w:ascii="新宋体" w:hAnsi="新宋体" w:eastAsia="新宋体"/>
                <w:color w:val="auto"/>
                <w:sz w:val="22"/>
                <w:szCs w:val="22"/>
                <w:highlight w:val="none"/>
              </w:rPr>
            </w:pPr>
          </w:p>
        </w:tc>
        <w:tc>
          <w:tcPr>
            <w:tcW w:w="2538" w:type="dxa"/>
            <w:vAlign w:val="center"/>
          </w:tcPr>
          <w:p>
            <w:pPr>
              <w:jc w:val="center"/>
              <w:rPr>
                <w:rFonts w:ascii="新宋体" w:hAnsi="新宋体" w:eastAsia="新宋体"/>
                <w:color w:val="auto"/>
                <w:sz w:val="22"/>
                <w:szCs w:val="22"/>
                <w:highlight w:val="none"/>
              </w:rPr>
            </w:pPr>
          </w:p>
        </w:tc>
        <w:tc>
          <w:tcPr>
            <w:tcW w:w="2326" w:type="dxa"/>
            <w:vAlign w:val="center"/>
          </w:tcPr>
          <w:p>
            <w:pPr>
              <w:jc w:val="center"/>
              <w:rPr>
                <w:rFonts w:ascii="新宋体" w:hAnsi="新宋体" w:eastAsia="新宋体"/>
                <w:color w:val="auto"/>
                <w:sz w:val="22"/>
                <w:szCs w:val="22"/>
                <w:highlight w:val="none"/>
              </w:rPr>
            </w:pPr>
          </w:p>
        </w:tc>
        <w:tc>
          <w:tcPr>
            <w:tcW w:w="2115" w:type="dxa"/>
            <w:vAlign w:val="center"/>
          </w:tcPr>
          <w:p>
            <w:pPr>
              <w:jc w:val="center"/>
              <w:rPr>
                <w:rFonts w:ascii="新宋体" w:hAnsi="新宋体" w:eastAsia="新宋体"/>
                <w:color w:val="auto"/>
                <w:sz w:val="22"/>
                <w:szCs w:val="22"/>
                <w:highlight w:val="none"/>
              </w:rPr>
            </w:pPr>
          </w:p>
        </w:tc>
        <w:tc>
          <w:tcPr>
            <w:tcW w:w="1902" w:type="dxa"/>
            <w:vAlign w:val="center"/>
          </w:tcPr>
          <w:p>
            <w:pPr>
              <w:jc w:val="center"/>
              <w:rPr>
                <w:rFonts w:ascii="新宋体" w:hAnsi="新宋体" w:eastAsia="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71" w:hRule="atLeast"/>
          <w:jc w:val="center"/>
        </w:trPr>
        <w:tc>
          <w:tcPr>
            <w:tcW w:w="973" w:type="dxa"/>
            <w:vAlign w:val="center"/>
          </w:tcPr>
          <w:p>
            <w:pPr>
              <w:jc w:val="center"/>
              <w:rPr>
                <w:rFonts w:ascii="新宋体" w:hAnsi="新宋体" w:eastAsia="新宋体"/>
                <w:color w:val="auto"/>
                <w:sz w:val="22"/>
                <w:szCs w:val="22"/>
                <w:highlight w:val="none"/>
              </w:rPr>
            </w:pPr>
          </w:p>
        </w:tc>
        <w:tc>
          <w:tcPr>
            <w:tcW w:w="2538" w:type="dxa"/>
            <w:vAlign w:val="center"/>
          </w:tcPr>
          <w:p>
            <w:pPr>
              <w:jc w:val="center"/>
              <w:rPr>
                <w:rFonts w:ascii="新宋体" w:hAnsi="新宋体" w:eastAsia="新宋体"/>
                <w:color w:val="auto"/>
                <w:sz w:val="22"/>
                <w:szCs w:val="22"/>
                <w:highlight w:val="none"/>
              </w:rPr>
            </w:pPr>
          </w:p>
        </w:tc>
        <w:tc>
          <w:tcPr>
            <w:tcW w:w="2326" w:type="dxa"/>
            <w:vAlign w:val="center"/>
          </w:tcPr>
          <w:p>
            <w:pPr>
              <w:jc w:val="center"/>
              <w:rPr>
                <w:rFonts w:ascii="新宋体" w:hAnsi="新宋体" w:eastAsia="新宋体"/>
                <w:color w:val="auto"/>
                <w:sz w:val="22"/>
                <w:szCs w:val="22"/>
                <w:highlight w:val="none"/>
              </w:rPr>
            </w:pPr>
          </w:p>
        </w:tc>
        <w:tc>
          <w:tcPr>
            <w:tcW w:w="2115" w:type="dxa"/>
            <w:vAlign w:val="center"/>
          </w:tcPr>
          <w:p>
            <w:pPr>
              <w:jc w:val="center"/>
              <w:rPr>
                <w:rFonts w:ascii="新宋体" w:hAnsi="新宋体" w:eastAsia="新宋体"/>
                <w:color w:val="auto"/>
                <w:sz w:val="22"/>
                <w:szCs w:val="22"/>
                <w:highlight w:val="none"/>
              </w:rPr>
            </w:pPr>
          </w:p>
        </w:tc>
        <w:tc>
          <w:tcPr>
            <w:tcW w:w="1902" w:type="dxa"/>
            <w:vAlign w:val="center"/>
          </w:tcPr>
          <w:p>
            <w:pPr>
              <w:jc w:val="center"/>
              <w:rPr>
                <w:rFonts w:ascii="新宋体" w:hAnsi="新宋体" w:eastAsia="新宋体"/>
                <w:color w:val="auto"/>
                <w:sz w:val="22"/>
                <w:szCs w:val="22"/>
                <w:highlight w:val="none"/>
              </w:rPr>
            </w:pPr>
          </w:p>
        </w:tc>
      </w:tr>
    </w:tbl>
    <w:p>
      <w:pPr>
        <w:spacing w:line="500" w:lineRule="exact"/>
        <w:rPr>
          <w:rFonts w:ascii="新宋体" w:hAnsi="新宋体" w:eastAsia="新宋体"/>
          <w:color w:val="auto"/>
          <w:sz w:val="24"/>
          <w:highlight w:val="none"/>
        </w:rPr>
      </w:pPr>
      <w:r>
        <w:rPr>
          <w:rFonts w:hint="eastAsia" w:ascii="新宋体" w:hAnsi="新宋体" w:eastAsia="新宋体"/>
          <w:color w:val="auto"/>
          <w:sz w:val="24"/>
          <w:highlight w:val="none"/>
        </w:rPr>
        <w:t>说明：</w:t>
      </w:r>
    </w:p>
    <w:p>
      <w:pPr>
        <w:spacing w:line="400" w:lineRule="exact"/>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不填写此表视作完全响应采购文件要求。</w:t>
      </w:r>
    </w:p>
    <w:p>
      <w:pPr>
        <w:spacing w:line="400" w:lineRule="exact"/>
        <w:rPr>
          <w:rFonts w:ascii="新宋体" w:hAnsi="新宋体" w:eastAsia="新宋体"/>
          <w:color w:val="auto"/>
          <w:sz w:val="22"/>
          <w:szCs w:val="22"/>
          <w:highlight w:val="none"/>
        </w:rPr>
      </w:pPr>
    </w:p>
    <w:p>
      <w:pPr>
        <w:spacing w:line="400" w:lineRule="exact"/>
        <w:rPr>
          <w:rFonts w:ascii="新宋体" w:hAnsi="新宋体" w:eastAsia="新宋体"/>
          <w:color w:val="auto"/>
          <w:sz w:val="22"/>
          <w:szCs w:val="22"/>
          <w:highlight w:val="none"/>
        </w:rPr>
      </w:pPr>
    </w:p>
    <w:p>
      <w:pPr>
        <w:spacing w:line="400" w:lineRule="exact"/>
        <w:rPr>
          <w:rFonts w:ascii="新宋体" w:hAnsi="新宋体" w:eastAsia="新宋体"/>
          <w:color w:val="auto"/>
          <w:sz w:val="22"/>
          <w:szCs w:val="22"/>
          <w:highlight w:val="none"/>
        </w:rPr>
      </w:pPr>
    </w:p>
    <w:p>
      <w:pPr>
        <w:spacing w:line="400" w:lineRule="exact"/>
        <w:rPr>
          <w:rFonts w:ascii="新宋体" w:hAnsi="新宋体" w:eastAsia="新宋体"/>
          <w:color w:val="auto"/>
          <w:sz w:val="22"/>
          <w:szCs w:val="22"/>
          <w:highlight w:val="none"/>
        </w:rPr>
      </w:pPr>
    </w:p>
    <w:p>
      <w:pPr>
        <w:spacing w:line="400" w:lineRule="exact"/>
        <w:ind w:firstLine="770" w:firstLineChars="35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投标供应商全称（盖章）：</w:t>
      </w:r>
    </w:p>
    <w:p>
      <w:pPr>
        <w:spacing w:line="400" w:lineRule="exact"/>
        <w:ind w:firstLine="770" w:firstLineChars="35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投标供应商代表（签名或盖章）：</w:t>
      </w:r>
    </w:p>
    <w:p>
      <w:pPr>
        <w:spacing w:line="400" w:lineRule="exact"/>
        <w:ind w:firstLine="770" w:firstLineChars="35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日 期：  年  月  日</w:t>
      </w:r>
    </w:p>
    <w:p>
      <w:pPr>
        <w:spacing w:line="400" w:lineRule="exact"/>
        <w:rPr>
          <w:rFonts w:ascii="新宋体" w:hAnsi="新宋体" w:eastAsia="新宋体"/>
          <w:color w:val="auto"/>
          <w:sz w:val="22"/>
          <w:szCs w:val="22"/>
          <w:highlight w:val="none"/>
        </w:rPr>
      </w:pPr>
    </w:p>
    <w:p>
      <w:pPr>
        <w:spacing w:line="500" w:lineRule="exact"/>
        <w:jc w:val="center"/>
        <w:rPr>
          <w:rFonts w:ascii="新宋体" w:hAnsi="新宋体" w:eastAsia="新宋体"/>
          <w:b/>
          <w:bCs/>
          <w:color w:val="auto"/>
          <w:sz w:val="28"/>
          <w:szCs w:val="28"/>
          <w:highlight w:val="none"/>
        </w:rPr>
      </w:pPr>
      <w:r>
        <w:rPr>
          <w:rFonts w:hint="eastAsia" w:ascii="新宋体" w:hAnsi="新宋体" w:eastAsia="新宋体"/>
          <w:color w:val="auto"/>
          <w:sz w:val="24"/>
          <w:highlight w:val="none"/>
        </w:rPr>
        <w:br w:type="page"/>
      </w:r>
      <w:r>
        <w:rPr>
          <w:rFonts w:hint="eastAsia" w:ascii="新宋体" w:hAnsi="新宋体" w:eastAsia="新宋体"/>
          <w:b/>
          <w:bCs/>
          <w:color w:val="auto"/>
          <w:sz w:val="28"/>
          <w:szCs w:val="28"/>
          <w:highlight w:val="none"/>
        </w:rPr>
        <w:t>(2)商务条款偏离表</w:t>
      </w:r>
    </w:p>
    <w:p>
      <w:pPr>
        <w:ind w:firstLine="435"/>
        <w:jc w:val="center"/>
        <w:rPr>
          <w:rFonts w:ascii="新宋体" w:hAnsi="新宋体" w:eastAsia="新宋体"/>
          <w:b/>
          <w:color w:val="auto"/>
          <w:sz w:val="44"/>
          <w:highlight w:val="none"/>
        </w:rPr>
      </w:pPr>
    </w:p>
    <w:p>
      <w:pPr>
        <w:overflowPunct w:val="0"/>
        <w:spacing w:line="380" w:lineRule="exact"/>
        <w:rPr>
          <w:rFonts w:ascii="新宋体" w:hAnsi="新宋体" w:eastAsia="新宋体"/>
          <w:bCs/>
          <w:color w:val="auto"/>
          <w:sz w:val="22"/>
          <w:szCs w:val="22"/>
          <w:highlight w:val="none"/>
        </w:rPr>
      </w:pPr>
      <w:r>
        <w:rPr>
          <w:rFonts w:hint="eastAsia" w:ascii="新宋体" w:hAnsi="新宋体" w:eastAsia="新宋体"/>
          <w:b/>
          <w:color w:val="auto"/>
          <w:sz w:val="22"/>
          <w:szCs w:val="22"/>
          <w:highlight w:val="none"/>
        </w:rPr>
        <w:t xml:space="preserve">  </w:t>
      </w:r>
      <w:r>
        <w:rPr>
          <w:rFonts w:hint="eastAsia" w:ascii="新宋体" w:hAnsi="新宋体" w:eastAsia="新宋体"/>
          <w:bCs/>
          <w:color w:val="auto"/>
          <w:sz w:val="22"/>
          <w:szCs w:val="22"/>
          <w:highlight w:val="none"/>
        </w:rPr>
        <w:t>项目名称：                                      项目编号：</w:t>
      </w:r>
    </w:p>
    <w:p>
      <w:pPr>
        <w:ind w:firstLine="221" w:firstLineChars="100"/>
        <w:rPr>
          <w:rFonts w:ascii="新宋体" w:hAnsi="新宋体" w:eastAsia="新宋体"/>
          <w:b/>
          <w:color w:val="auto"/>
          <w:sz w:val="22"/>
          <w:szCs w:val="22"/>
          <w:highlight w:val="none"/>
        </w:rPr>
      </w:pPr>
    </w:p>
    <w:tbl>
      <w:tblPr>
        <w:tblStyle w:val="53"/>
        <w:tblW w:w="9854"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21"/>
        <w:gridCol w:w="1559"/>
        <w:gridCol w:w="2184"/>
        <w:gridCol w:w="2402"/>
        <w:gridCol w:w="1200"/>
        <w:gridCol w:w="158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040" w:hRule="atLeast"/>
          <w:jc w:val="center"/>
        </w:trPr>
        <w:tc>
          <w:tcPr>
            <w:tcW w:w="921" w:type="dxa"/>
            <w:vAlign w:val="center"/>
          </w:tcPr>
          <w:p>
            <w:pPr>
              <w:jc w:val="center"/>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序号</w:t>
            </w:r>
          </w:p>
        </w:tc>
        <w:tc>
          <w:tcPr>
            <w:tcW w:w="1559" w:type="dxa"/>
            <w:vAlign w:val="center"/>
          </w:tcPr>
          <w:p>
            <w:pPr>
              <w:jc w:val="center"/>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条款内容</w:t>
            </w:r>
          </w:p>
        </w:tc>
        <w:tc>
          <w:tcPr>
            <w:tcW w:w="2184" w:type="dxa"/>
            <w:vAlign w:val="center"/>
          </w:tcPr>
          <w:p>
            <w:pPr>
              <w:jc w:val="center"/>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采购文件商务条款描述</w:t>
            </w:r>
          </w:p>
        </w:tc>
        <w:tc>
          <w:tcPr>
            <w:tcW w:w="2402" w:type="dxa"/>
            <w:vAlign w:val="center"/>
          </w:tcPr>
          <w:p>
            <w:pPr>
              <w:jc w:val="center"/>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磋商响应文件商务条款</w:t>
            </w:r>
          </w:p>
        </w:tc>
        <w:tc>
          <w:tcPr>
            <w:tcW w:w="1200" w:type="dxa"/>
            <w:vAlign w:val="center"/>
          </w:tcPr>
          <w:p>
            <w:pPr>
              <w:jc w:val="center"/>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偏离</w:t>
            </w:r>
          </w:p>
        </w:tc>
        <w:tc>
          <w:tcPr>
            <w:tcW w:w="1588" w:type="dxa"/>
            <w:vAlign w:val="center"/>
          </w:tcPr>
          <w:p>
            <w:pPr>
              <w:jc w:val="center"/>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说   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840" w:hRule="atLeast"/>
          <w:jc w:val="center"/>
        </w:trPr>
        <w:tc>
          <w:tcPr>
            <w:tcW w:w="921" w:type="dxa"/>
            <w:vAlign w:val="center"/>
          </w:tcPr>
          <w:p>
            <w:pPr>
              <w:jc w:val="center"/>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1</w:t>
            </w:r>
          </w:p>
        </w:tc>
        <w:tc>
          <w:tcPr>
            <w:tcW w:w="1559" w:type="dxa"/>
            <w:vAlign w:val="center"/>
          </w:tcPr>
          <w:p>
            <w:pPr>
              <w:jc w:val="center"/>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付款方式</w:t>
            </w:r>
          </w:p>
        </w:tc>
        <w:tc>
          <w:tcPr>
            <w:tcW w:w="2184" w:type="dxa"/>
            <w:vAlign w:val="center"/>
          </w:tcPr>
          <w:p>
            <w:pPr>
              <w:jc w:val="center"/>
              <w:rPr>
                <w:rFonts w:ascii="新宋体" w:hAnsi="新宋体" w:eastAsia="新宋体"/>
                <w:color w:val="auto"/>
                <w:sz w:val="22"/>
                <w:szCs w:val="22"/>
                <w:highlight w:val="none"/>
              </w:rPr>
            </w:pPr>
          </w:p>
        </w:tc>
        <w:tc>
          <w:tcPr>
            <w:tcW w:w="2402" w:type="dxa"/>
            <w:vAlign w:val="center"/>
          </w:tcPr>
          <w:p>
            <w:pPr>
              <w:jc w:val="center"/>
              <w:rPr>
                <w:rFonts w:ascii="新宋体" w:hAnsi="新宋体" w:eastAsia="新宋体"/>
                <w:color w:val="auto"/>
                <w:sz w:val="22"/>
                <w:szCs w:val="22"/>
                <w:highlight w:val="none"/>
              </w:rPr>
            </w:pPr>
          </w:p>
        </w:tc>
        <w:tc>
          <w:tcPr>
            <w:tcW w:w="1200" w:type="dxa"/>
            <w:vAlign w:val="center"/>
          </w:tcPr>
          <w:p>
            <w:pPr>
              <w:jc w:val="center"/>
              <w:rPr>
                <w:rFonts w:ascii="新宋体" w:hAnsi="新宋体" w:eastAsia="新宋体"/>
                <w:color w:val="auto"/>
                <w:sz w:val="22"/>
                <w:szCs w:val="22"/>
                <w:highlight w:val="none"/>
              </w:rPr>
            </w:pPr>
          </w:p>
        </w:tc>
        <w:tc>
          <w:tcPr>
            <w:tcW w:w="1588" w:type="dxa"/>
            <w:vAlign w:val="center"/>
          </w:tcPr>
          <w:p>
            <w:pPr>
              <w:jc w:val="center"/>
              <w:rPr>
                <w:rFonts w:ascii="新宋体" w:hAnsi="新宋体" w:eastAsia="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871" w:hRule="atLeast"/>
          <w:jc w:val="center"/>
        </w:trPr>
        <w:tc>
          <w:tcPr>
            <w:tcW w:w="921" w:type="dxa"/>
            <w:vAlign w:val="center"/>
          </w:tcPr>
          <w:p>
            <w:pPr>
              <w:jc w:val="center"/>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2</w:t>
            </w:r>
          </w:p>
        </w:tc>
        <w:tc>
          <w:tcPr>
            <w:tcW w:w="1559" w:type="dxa"/>
            <w:vAlign w:val="center"/>
          </w:tcPr>
          <w:p>
            <w:pPr>
              <w:jc w:val="center"/>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服务期限</w:t>
            </w:r>
          </w:p>
        </w:tc>
        <w:tc>
          <w:tcPr>
            <w:tcW w:w="2184" w:type="dxa"/>
            <w:vAlign w:val="center"/>
          </w:tcPr>
          <w:p>
            <w:pPr>
              <w:jc w:val="center"/>
              <w:rPr>
                <w:rFonts w:ascii="新宋体" w:hAnsi="新宋体" w:eastAsia="新宋体"/>
                <w:color w:val="auto"/>
                <w:sz w:val="22"/>
                <w:szCs w:val="22"/>
                <w:highlight w:val="none"/>
              </w:rPr>
            </w:pPr>
          </w:p>
        </w:tc>
        <w:tc>
          <w:tcPr>
            <w:tcW w:w="2402" w:type="dxa"/>
            <w:vAlign w:val="center"/>
          </w:tcPr>
          <w:p>
            <w:pPr>
              <w:jc w:val="center"/>
              <w:rPr>
                <w:rFonts w:ascii="新宋体" w:hAnsi="新宋体" w:eastAsia="新宋体"/>
                <w:color w:val="auto"/>
                <w:sz w:val="22"/>
                <w:szCs w:val="22"/>
                <w:highlight w:val="none"/>
              </w:rPr>
            </w:pPr>
          </w:p>
        </w:tc>
        <w:tc>
          <w:tcPr>
            <w:tcW w:w="1200" w:type="dxa"/>
            <w:vAlign w:val="center"/>
          </w:tcPr>
          <w:p>
            <w:pPr>
              <w:jc w:val="center"/>
              <w:rPr>
                <w:rFonts w:ascii="新宋体" w:hAnsi="新宋体" w:eastAsia="新宋体"/>
                <w:color w:val="auto"/>
                <w:sz w:val="22"/>
                <w:szCs w:val="22"/>
                <w:highlight w:val="none"/>
              </w:rPr>
            </w:pPr>
          </w:p>
        </w:tc>
        <w:tc>
          <w:tcPr>
            <w:tcW w:w="1588" w:type="dxa"/>
            <w:vAlign w:val="center"/>
          </w:tcPr>
          <w:p>
            <w:pPr>
              <w:jc w:val="center"/>
              <w:rPr>
                <w:rFonts w:ascii="新宋体" w:hAnsi="新宋体" w:eastAsia="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871" w:hRule="atLeast"/>
          <w:jc w:val="center"/>
        </w:trPr>
        <w:tc>
          <w:tcPr>
            <w:tcW w:w="921" w:type="dxa"/>
            <w:vAlign w:val="center"/>
          </w:tcPr>
          <w:p>
            <w:pPr>
              <w:jc w:val="center"/>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3</w:t>
            </w:r>
          </w:p>
        </w:tc>
        <w:tc>
          <w:tcPr>
            <w:tcW w:w="1559" w:type="dxa"/>
            <w:vAlign w:val="center"/>
          </w:tcPr>
          <w:p>
            <w:pPr>
              <w:jc w:val="center"/>
              <w:rPr>
                <w:rFonts w:ascii="新宋体" w:hAnsi="新宋体" w:eastAsia="新宋体"/>
                <w:color w:val="auto"/>
                <w:sz w:val="22"/>
                <w:szCs w:val="22"/>
                <w:highlight w:val="none"/>
              </w:rPr>
            </w:pPr>
          </w:p>
        </w:tc>
        <w:tc>
          <w:tcPr>
            <w:tcW w:w="2184" w:type="dxa"/>
            <w:vAlign w:val="center"/>
          </w:tcPr>
          <w:p>
            <w:pPr>
              <w:jc w:val="center"/>
              <w:rPr>
                <w:rFonts w:ascii="新宋体" w:hAnsi="新宋体" w:eastAsia="新宋体"/>
                <w:color w:val="auto"/>
                <w:sz w:val="22"/>
                <w:szCs w:val="22"/>
                <w:highlight w:val="none"/>
              </w:rPr>
            </w:pPr>
          </w:p>
        </w:tc>
        <w:tc>
          <w:tcPr>
            <w:tcW w:w="2402" w:type="dxa"/>
            <w:vAlign w:val="center"/>
          </w:tcPr>
          <w:p>
            <w:pPr>
              <w:jc w:val="center"/>
              <w:rPr>
                <w:rFonts w:ascii="新宋体" w:hAnsi="新宋体" w:eastAsia="新宋体"/>
                <w:color w:val="auto"/>
                <w:sz w:val="22"/>
                <w:szCs w:val="22"/>
                <w:highlight w:val="none"/>
              </w:rPr>
            </w:pPr>
          </w:p>
        </w:tc>
        <w:tc>
          <w:tcPr>
            <w:tcW w:w="1200" w:type="dxa"/>
            <w:vAlign w:val="center"/>
          </w:tcPr>
          <w:p>
            <w:pPr>
              <w:jc w:val="center"/>
              <w:rPr>
                <w:rFonts w:ascii="新宋体" w:hAnsi="新宋体" w:eastAsia="新宋体"/>
                <w:color w:val="auto"/>
                <w:sz w:val="22"/>
                <w:szCs w:val="22"/>
                <w:highlight w:val="none"/>
              </w:rPr>
            </w:pPr>
          </w:p>
        </w:tc>
        <w:tc>
          <w:tcPr>
            <w:tcW w:w="1588" w:type="dxa"/>
            <w:vAlign w:val="center"/>
          </w:tcPr>
          <w:p>
            <w:pPr>
              <w:jc w:val="center"/>
              <w:rPr>
                <w:rFonts w:ascii="新宋体" w:hAnsi="新宋体" w:eastAsia="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871" w:hRule="atLeast"/>
          <w:jc w:val="center"/>
        </w:trPr>
        <w:tc>
          <w:tcPr>
            <w:tcW w:w="921" w:type="dxa"/>
            <w:vAlign w:val="center"/>
          </w:tcPr>
          <w:p>
            <w:pPr>
              <w:jc w:val="center"/>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4</w:t>
            </w:r>
          </w:p>
        </w:tc>
        <w:tc>
          <w:tcPr>
            <w:tcW w:w="1559" w:type="dxa"/>
            <w:vAlign w:val="center"/>
          </w:tcPr>
          <w:p>
            <w:pPr>
              <w:jc w:val="center"/>
              <w:rPr>
                <w:rFonts w:ascii="新宋体" w:hAnsi="新宋体" w:eastAsia="新宋体"/>
                <w:color w:val="auto"/>
                <w:sz w:val="22"/>
                <w:szCs w:val="22"/>
                <w:highlight w:val="none"/>
              </w:rPr>
            </w:pPr>
          </w:p>
        </w:tc>
        <w:tc>
          <w:tcPr>
            <w:tcW w:w="2184" w:type="dxa"/>
            <w:vAlign w:val="center"/>
          </w:tcPr>
          <w:p>
            <w:pPr>
              <w:jc w:val="center"/>
              <w:rPr>
                <w:rFonts w:ascii="新宋体" w:hAnsi="新宋体" w:eastAsia="新宋体"/>
                <w:color w:val="auto"/>
                <w:sz w:val="22"/>
                <w:szCs w:val="22"/>
                <w:highlight w:val="none"/>
              </w:rPr>
            </w:pPr>
          </w:p>
        </w:tc>
        <w:tc>
          <w:tcPr>
            <w:tcW w:w="2402" w:type="dxa"/>
            <w:vAlign w:val="center"/>
          </w:tcPr>
          <w:p>
            <w:pPr>
              <w:jc w:val="center"/>
              <w:rPr>
                <w:rFonts w:ascii="新宋体" w:hAnsi="新宋体" w:eastAsia="新宋体"/>
                <w:color w:val="auto"/>
                <w:sz w:val="22"/>
                <w:szCs w:val="22"/>
                <w:highlight w:val="none"/>
              </w:rPr>
            </w:pPr>
          </w:p>
        </w:tc>
        <w:tc>
          <w:tcPr>
            <w:tcW w:w="1200" w:type="dxa"/>
            <w:vAlign w:val="center"/>
          </w:tcPr>
          <w:p>
            <w:pPr>
              <w:jc w:val="center"/>
              <w:rPr>
                <w:rFonts w:ascii="新宋体" w:hAnsi="新宋体" w:eastAsia="新宋体"/>
                <w:color w:val="auto"/>
                <w:sz w:val="22"/>
                <w:szCs w:val="22"/>
                <w:highlight w:val="none"/>
              </w:rPr>
            </w:pPr>
          </w:p>
        </w:tc>
        <w:tc>
          <w:tcPr>
            <w:tcW w:w="1588" w:type="dxa"/>
            <w:vAlign w:val="center"/>
          </w:tcPr>
          <w:p>
            <w:pPr>
              <w:jc w:val="center"/>
              <w:rPr>
                <w:rFonts w:ascii="新宋体" w:hAnsi="新宋体" w:eastAsia="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871" w:hRule="atLeast"/>
          <w:jc w:val="center"/>
        </w:trPr>
        <w:tc>
          <w:tcPr>
            <w:tcW w:w="921" w:type="dxa"/>
            <w:vAlign w:val="center"/>
          </w:tcPr>
          <w:p>
            <w:pPr>
              <w:jc w:val="center"/>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5</w:t>
            </w:r>
          </w:p>
        </w:tc>
        <w:tc>
          <w:tcPr>
            <w:tcW w:w="1559" w:type="dxa"/>
            <w:vAlign w:val="center"/>
          </w:tcPr>
          <w:p>
            <w:pPr>
              <w:jc w:val="center"/>
              <w:rPr>
                <w:rFonts w:ascii="新宋体" w:hAnsi="新宋体" w:eastAsia="新宋体"/>
                <w:color w:val="auto"/>
                <w:sz w:val="22"/>
                <w:szCs w:val="22"/>
                <w:highlight w:val="none"/>
              </w:rPr>
            </w:pPr>
          </w:p>
        </w:tc>
        <w:tc>
          <w:tcPr>
            <w:tcW w:w="2184" w:type="dxa"/>
            <w:vAlign w:val="center"/>
          </w:tcPr>
          <w:p>
            <w:pPr>
              <w:jc w:val="center"/>
              <w:rPr>
                <w:rFonts w:ascii="新宋体" w:hAnsi="新宋体" w:eastAsia="新宋体"/>
                <w:color w:val="auto"/>
                <w:sz w:val="22"/>
                <w:szCs w:val="22"/>
                <w:highlight w:val="none"/>
              </w:rPr>
            </w:pPr>
          </w:p>
        </w:tc>
        <w:tc>
          <w:tcPr>
            <w:tcW w:w="2402" w:type="dxa"/>
            <w:vAlign w:val="center"/>
          </w:tcPr>
          <w:p>
            <w:pPr>
              <w:jc w:val="center"/>
              <w:rPr>
                <w:rFonts w:ascii="新宋体" w:hAnsi="新宋体" w:eastAsia="新宋体"/>
                <w:color w:val="auto"/>
                <w:sz w:val="22"/>
                <w:szCs w:val="22"/>
                <w:highlight w:val="none"/>
              </w:rPr>
            </w:pPr>
          </w:p>
        </w:tc>
        <w:tc>
          <w:tcPr>
            <w:tcW w:w="1200" w:type="dxa"/>
            <w:vAlign w:val="center"/>
          </w:tcPr>
          <w:p>
            <w:pPr>
              <w:jc w:val="center"/>
              <w:rPr>
                <w:rFonts w:ascii="新宋体" w:hAnsi="新宋体" w:eastAsia="新宋体"/>
                <w:color w:val="auto"/>
                <w:sz w:val="22"/>
                <w:szCs w:val="22"/>
                <w:highlight w:val="none"/>
              </w:rPr>
            </w:pPr>
          </w:p>
        </w:tc>
        <w:tc>
          <w:tcPr>
            <w:tcW w:w="1588" w:type="dxa"/>
            <w:vAlign w:val="center"/>
          </w:tcPr>
          <w:p>
            <w:pPr>
              <w:jc w:val="center"/>
              <w:rPr>
                <w:rFonts w:ascii="新宋体" w:hAnsi="新宋体" w:eastAsia="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871" w:hRule="atLeast"/>
          <w:jc w:val="center"/>
        </w:trPr>
        <w:tc>
          <w:tcPr>
            <w:tcW w:w="921" w:type="dxa"/>
            <w:vAlign w:val="center"/>
          </w:tcPr>
          <w:p>
            <w:pPr>
              <w:jc w:val="center"/>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w:t>
            </w:r>
          </w:p>
        </w:tc>
        <w:tc>
          <w:tcPr>
            <w:tcW w:w="1559" w:type="dxa"/>
            <w:vAlign w:val="center"/>
          </w:tcPr>
          <w:p>
            <w:pPr>
              <w:jc w:val="center"/>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w:t>
            </w:r>
          </w:p>
        </w:tc>
        <w:tc>
          <w:tcPr>
            <w:tcW w:w="2184" w:type="dxa"/>
            <w:vAlign w:val="center"/>
          </w:tcPr>
          <w:p>
            <w:pPr>
              <w:jc w:val="center"/>
              <w:rPr>
                <w:rFonts w:ascii="新宋体" w:hAnsi="新宋体" w:eastAsia="新宋体"/>
                <w:color w:val="auto"/>
                <w:sz w:val="22"/>
                <w:szCs w:val="22"/>
                <w:highlight w:val="none"/>
              </w:rPr>
            </w:pPr>
          </w:p>
        </w:tc>
        <w:tc>
          <w:tcPr>
            <w:tcW w:w="2402" w:type="dxa"/>
            <w:vAlign w:val="center"/>
          </w:tcPr>
          <w:p>
            <w:pPr>
              <w:jc w:val="center"/>
              <w:rPr>
                <w:rFonts w:ascii="新宋体" w:hAnsi="新宋体" w:eastAsia="新宋体"/>
                <w:color w:val="auto"/>
                <w:sz w:val="22"/>
                <w:szCs w:val="22"/>
                <w:highlight w:val="none"/>
              </w:rPr>
            </w:pPr>
          </w:p>
        </w:tc>
        <w:tc>
          <w:tcPr>
            <w:tcW w:w="1200" w:type="dxa"/>
            <w:vAlign w:val="center"/>
          </w:tcPr>
          <w:p>
            <w:pPr>
              <w:jc w:val="center"/>
              <w:rPr>
                <w:rFonts w:ascii="新宋体" w:hAnsi="新宋体" w:eastAsia="新宋体"/>
                <w:color w:val="auto"/>
                <w:sz w:val="22"/>
                <w:szCs w:val="22"/>
                <w:highlight w:val="none"/>
              </w:rPr>
            </w:pPr>
          </w:p>
        </w:tc>
        <w:tc>
          <w:tcPr>
            <w:tcW w:w="1588" w:type="dxa"/>
            <w:vAlign w:val="center"/>
          </w:tcPr>
          <w:p>
            <w:pPr>
              <w:jc w:val="center"/>
              <w:rPr>
                <w:rFonts w:ascii="新宋体" w:hAnsi="新宋体" w:eastAsia="新宋体"/>
                <w:color w:val="auto"/>
                <w:sz w:val="22"/>
                <w:szCs w:val="22"/>
                <w:highlight w:val="none"/>
              </w:rPr>
            </w:pPr>
          </w:p>
        </w:tc>
      </w:tr>
    </w:tbl>
    <w:p>
      <w:pPr>
        <w:spacing w:line="500" w:lineRule="exact"/>
        <w:rPr>
          <w:rFonts w:ascii="新宋体" w:hAnsi="新宋体" w:eastAsia="新宋体"/>
          <w:color w:val="auto"/>
          <w:sz w:val="24"/>
          <w:highlight w:val="none"/>
        </w:rPr>
      </w:pPr>
      <w:r>
        <w:rPr>
          <w:rFonts w:hint="eastAsia" w:ascii="新宋体" w:hAnsi="新宋体" w:eastAsia="新宋体"/>
          <w:color w:val="auto"/>
          <w:sz w:val="24"/>
          <w:highlight w:val="none"/>
        </w:rPr>
        <w:t>说明：</w:t>
      </w:r>
    </w:p>
    <w:p>
      <w:pPr>
        <w:spacing w:line="500" w:lineRule="exact"/>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不填写此表视作完全响应采购文件要求。</w:t>
      </w:r>
    </w:p>
    <w:p>
      <w:pPr>
        <w:spacing w:line="500" w:lineRule="exact"/>
        <w:ind w:firstLine="4400" w:firstLineChars="2000"/>
        <w:rPr>
          <w:rFonts w:ascii="新宋体" w:hAnsi="新宋体" w:eastAsia="新宋体"/>
          <w:color w:val="auto"/>
          <w:sz w:val="22"/>
          <w:szCs w:val="22"/>
          <w:highlight w:val="none"/>
        </w:rPr>
      </w:pPr>
    </w:p>
    <w:p>
      <w:pPr>
        <w:spacing w:line="500" w:lineRule="exact"/>
        <w:ind w:firstLine="4400" w:firstLineChars="2000"/>
        <w:rPr>
          <w:rFonts w:ascii="新宋体" w:hAnsi="新宋体" w:eastAsia="新宋体"/>
          <w:color w:val="auto"/>
          <w:sz w:val="22"/>
          <w:szCs w:val="22"/>
          <w:highlight w:val="none"/>
        </w:rPr>
      </w:pPr>
    </w:p>
    <w:p>
      <w:pPr>
        <w:spacing w:line="500" w:lineRule="exact"/>
        <w:ind w:firstLine="4400" w:firstLineChars="2000"/>
        <w:rPr>
          <w:rFonts w:ascii="新宋体" w:hAnsi="新宋体" w:eastAsia="新宋体"/>
          <w:color w:val="auto"/>
          <w:sz w:val="22"/>
          <w:szCs w:val="22"/>
          <w:highlight w:val="none"/>
        </w:rPr>
      </w:pPr>
    </w:p>
    <w:p>
      <w:pPr>
        <w:tabs>
          <w:tab w:val="left" w:pos="840"/>
        </w:tabs>
        <w:adjustRightInd w:val="0"/>
        <w:snapToGrid w:val="0"/>
        <w:spacing w:line="360" w:lineRule="auto"/>
        <w:ind w:left="420" w:leftChars="200" w:firstLine="330" w:firstLineChars="15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投标供应商全称（盖章）：</w:t>
      </w:r>
    </w:p>
    <w:p>
      <w:pPr>
        <w:tabs>
          <w:tab w:val="left" w:pos="840"/>
        </w:tabs>
        <w:adjustRightInd w:val="0"/>
        <w:snapToGrid w:val="0"/>
        <w:spacing w:line="360" w:lineRule="auto"/>
        <w:ind w:left="420" w:leftChars="200" w:firstLine="330" w:firstLineChars="15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投标供应商代表（签名或盖章）：</w:t>
      </w:r>
    </w:p>
    <w:p>
      <w:pPr>
        <w:tabs>
          <w:tab w:val="left" w:pos="840"/>
        </w:tabs>
        <w:adjustRightInd w:val="0"/>
        <w:snapToGrid w:val="0"/>
        <w:spacing w:line="360" w:lineRule="auto"/>
        <w:ind w:left="420" w:leftChars="200" w:firstLine="330" w:firstLineChars="15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日 期：  年  月  日</w:t>
      </w:r>
    </w:p>
    <w:p>
      <w:pPr>
        <w:tabs>
          <w:tab w:val="left" w:pos="840"/>
        </w:tabs>
        <w:adjustRightInd w:val="0"/>
        <w:snapToGrid w:val="0"/>
        <w:spacing w:line="360" w:lineRule="auto"/>
        <w:ind w:left="420" w:leftChars="200" w:firstLine="330" w:firstLineChars="150"/>
        <w:rPr>
          <w:rFonts w:ascii="新宋体" w:hAnsi="新宋体" w:eastAsia="新宋体"/>
          <w:color w:val="auto"/>
          <w:sz w:val="22"/>
          <w:szCs w:val="22"/>
          <w:highlight w:val="none"/>
        </w:rPr>
      </w:pPr>
    </w:p>
    <w:p>
      <w:pPr>
        <w:tabs>
          <w:tab w:val="left" w:pos="840"/>
        </w:tabs>
        <w:adjustRightInd w:val="0"/>
        <w:snapToGrid w:val="0"/>
        <w:spacing w:line="360" w:lineRule="auto"/>
        <w:rPr>
          <w:rFonts w:ascii="新宋体" w:hAnsi="新宋体" w:eastAsia="新宋体" w:cs="ˎ̥"/>
          <w:b/>
          <w:bCs/>
          <w:color w:val="auto"/>
          <w:sz w:val="22"/>
          <w:szCs w:val="22"/>
          <w:highlight w:val="none"/>
        </w:rPr>
      </w:pPr>
      <w:r>
        <w:rPr>
          <w:rFonts w:hint="eastAsia" w:ascii="新宋体" w:hAnsi="新宋体" w:eastAsia="新宋体"/>
          <w:color w:val="auto"/>
          <w:sz w:val="22"/>
          <w:szCs w:val="22"/>
          <w:highlight w:val="none"/>
        </w:rPr>
        <w:br w:type="page"/>
      </w:r>
      <w:r>
        <w:rPr>
          <w:rFonts w:hint="eastAsia" w:ascii="新宋体" w:hAnsi="新宋体" w:eastAsia="新宋体" w:cs="ˎ̥"/>
          <w:b/>
          <w:bCs/>
          <w:color w:val="auto"/>
          <w:sz w:val="22"/>
          <w:szCs w:val="22"/>
          <w:highlight w:val="none"/>
        </w:rPr>
        <w:t xml:space="preserve">附件三                </w:t>
      </w:r>
    </w:p>
    <w:p>
      <w:pPr>
        <w:tabs>
          <w:tab w:val="left" w:pos="780"/>
        </w:tabs>
        <w:spacing w:line="400" w:lineRule="exact"/>
        <w:jc w:val="center"/>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t>供应商同类项目案例情况</w:t>
      </w:r>
    </w:p>
    <w:tbl>
      <w:tblPr>
        <w:tblStyle w:val="53"/>
        <w:tblW w:w="9820"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34"/>
        <w:gridCol w:w="1538"/>
        <w:gridCol w:w="1583"/>
        <w:gridCol w:w="2036"/>
        <w:gridCol w:w="1471"/>
        <w:gridCol w:w="1007"/>
        <w:gridCol w:w="1351"/>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888" w:hRule="atLeast"/>
          <w:jc w:val="center"/>
        </w:trPr>
        <w:tc>
          <w:tcPr>
            <w:tcW w:w="834" w:type="dxa"/>
            <w:vAlign w:val="center"/>
          </w:tcPr>
          <w:p>
            <w:pPr>
              <w:spacing w:line="380" w:lineRule="exact"/>
              <w:jc w:val="center"/>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t>序号</w:t>
            </w:r>
          </w:p>
        </w:tc>
        <w:tc>
          <w:tcPr>
            <w:tcW w:w="1538" w:type="dxa"/>
            <w:vAlign w:val="center"/>
          </w:tcPr>
          <w:p>
            <w:pPr>
              <w:spacing w:line="380" w:lineRule="exact"/>
              <w:jc w:val="center"/>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t>项目名称</w:t>
            </w:r>
          </w:p>
        </w:tc>
        <w:tc>
          <w:tcPr>
            <w:tcW w:w="1583" w:type="dxa"/>
            <w:vAlign w:val="center"/>
          </w:tcPr>
          <w:p>
            <w:pPr>
              <w:spacing w:line="380" w:lineRule="exact"/>
              <w:jc w:val="center"/>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t>项目单位</w:t>
            </w:r>
          </w:p>
        </w:tc>
        <w:tc>
          <w:tcPr>
            <w:tcW w:w="2036" w:type="dxa"/>
            <w:vAlign w:val="center"/>
          </w:tcPr>
          <w:p>
            <w:pPr>
              <w:spacing w:line="380" w:lineRule="exact"/>
              <w:jc w:val="center"/>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t>项目金额</w:t>
            </w:r>
          </w:p>
        </w:tc>
        <w:tc>
          <w:tcPr>
            <w:tcW w:w="1471" w:type="dxa"/>
            <w:vAlign w:val="center"/>
          </w:tcPr>
          <w:p>
            <w:pPr>
              <w:spacing w:line="380" w:lineRule="exact"/>
              <w:jc w:val="center"/>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t>合同日期</w:t>
            </w:r>
          </w:p>
        </w:tc>
        <w:tc>
          <w:tcPr>
            <w:tcW w:w="1007" w:type="dxa"/>
            <w:vAlign w:val="center"/>
          </w:tcPr>
          <w:p>
            <w:pPr>
              <w:spacing w:line="380" w:lineRule="exact"/>
              <w:jc w:val="center"/>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t>联系人</w:t>
            </w:r>
          </w:p>
        </w:tc>
        <w:tc>
          <w:tcPr>
            <w:tcW w:w="1351" w:type="dxa"/>
            <w:vAlign w:val="center"/>
          </w:tcPr>
          <w:p>
            <w:pPr>
              <w:spacing w:line="380" w:lineRule="exact"/>
              <w:jc w:val="center"/>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t>联系方式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35" w:hRule="atLeast"/>
          <w:jc w:val="center"/>
        </w:trPr>
        <w:tc>
          <w:tcPr>
            <w:tcW w:w="834" w:type="dxa"/>
          </w:tcPr>
          <w:p>
            <w:pPr>
              <w:spacing w:after="120" w:line="360" w:lineRule="atLeast"/>
              <w:jc w:val="center"/>
              <w:rPr>
                <w:rFonts w:ascii="新宋体" w:hAnsi="新宋体" w:eastAsia="新宋体"/>
                <w:color w:val="auto"/>
                <w:sz w:val="22"/>
                <w:szCs w:val="22"/>
                <w:highlight w:val="none"/>
              </w:rPr>
            </w:pPr>
          </w:p>
        </w:tc>
        <w:tc>
          <w:tcPr>
            <w:tcW w:w="1538" w:type="dxa"/>
          </w:tcPr>
          <w:p>
            <w:pPr>
              <w:spacing w:after="120" w:line="360" w:lineRule="atLeast"/>
              <w:jc w:val="center"/>
              <w:rPr>
                <w:rFonts w:ascii="新宋体" w:hAnsi="新宋体" w:eastAsia="新宋体"/>
                <w:color w:val="auto"/>
                <w:sz w:val="22"/>
                <w:szCs w:val="22"/>
                <w:highlight w:val="none"/>
              </w:rPr>
            </w:pPr>
          </w:p>
        </w:tc>
        <w:tc>
          <w:tcPr>
            <w:tcW w:w="1583" w:type="dxa"/>
          </w:tcPr>
          <w:p>
            <w:pPr>
              <w:spacing w:after="120" w:line="360" w:lineRule="atLeast"/>
              <w:jc w:val="center"/>
              <w:rPr>
                <w:rFonts w:ascii="新宋体" w:hAnsi="新宋体" w:eastAsia="新宋体"/>
                <w:color w:val="auto"/>
                <w:sz w:val="22"/>
                <w:szCs w:val="22"/>
                <w:highlight w:val="none"/>
              </w:rPr>
            </w:pPr>
          </w:p>
        </w:tc>
        <w:tc>
          <w:tcPr>
            <w:tcW w:w="2036" w:type="dxa"/>
          </w:tcPr>
          <w:p>
            <w:pPr>
              <w:spacing w:after="120" w:line="360" w:lineRule="atLeast"/>
              <w:jc w:val="center"/>
              <w:rPr>
                <w:rFonts w:ascii="新宋体" w:hAnsi="新宋体" w:eastAsia="新宋体"/>
                <w:color w:val="auto"/>
                <w:sz w:val="22"/>
                <w:szCs w:val="22"/>
                <w:highlight w:val="none"/>
              </w:rPr>
            </w:pPr>
          </w:p>
        </w:tc>
        <w:tc>
          <w:tcPr>
            <w:tcW w:w="1471" w:type="dxa"/>
          </w:tcPr>
          <w:p>
            <w:pPr>
              <w:spacing w:after="120" w:line="360" w:lineRule="atLeast"/>
              <w:jc w:val="center"/>
              <w:rPr>
                <w:rFonts w:ascii="新宋体" w:hAnsi="新宋体" w:eastAsia="新宋体"/>
                <w:color w:val="auto"/>
                <w:sz w:val="22"/>
                <w:szCs w:val="22"/>
                <w:highlight w:val="none"/>
              </w:rPr>
            </w:pPr>
          </w:p>
        </w:tc>
        <w:tc>
          <w:tcPr>
            <w:tcW w:w="1007" w:type="dxa"/>
          </w:tcPr>
          <w:p>
            <w:pPr>
              <w:spacing w:after="120" w:line="360" w:lineRule="atLeast"/>
              <w:jc w:val="center"/>
              <w:rPr>
                <w:rFonts w:ascii="新宋体" w:hAnsi="新宋体" w:eastAsia="新宋体"/>
                <w:color w:val="auto"/>
                <w:sz w:val="22"/>
                <w:szCs w:val="22"/>
                <w:highlight w:val="none"/>
              </w:rPr>
            </w:pPr>
          </w:p>
        </w:tc>
        <w:tc>
          <w:tcPr>
            <w:tcW w:w="1351" w:type="dxa"/>
          </w:tcPr>
          <w:p>
            <w:pPr>
              <w:spacing w:after="120" w:line="360" w:lineRule="atLeast"/>
              <w:jc w:val="center"/>
              <w:rPr>
                <w:rFonts w:ascii="新宋体" w:hAnsi="新宋体" w:eastAsia="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35" w:hRule="atLeast"/>
          <w:jc w:val="center"/>
        </w:trPr>
        <w:tc>
          <w:tcPr>
            <w:tcW w:w="834" w:type="dxa"/>
          </w:tcPr>
          <w:p>
            <w:pPr>
              <w:spacing w:after="120" w:line="360" w:lineRule="atLeast"/>
              <w:jc w:val="center"/>
              <w:rPr>
                <w:rFonts w:ascii="新宋体" w:hAnsi="新宋体" w:eastAsia="新宋体"/>
                <w:color w:val="auto"/>
                <w:sz w:val="22"/>
                <w:szCs w:val="22"/>
                <w:highlight w:val="none"/>
              </w:rPr>
            </w:pPr>
          </w:p>
        </w:tc>
        <w:tc>
          <w:tcPr>
            <w:tcW w:w="1538" w:type="dxa"/>
          </w:tcPr>
          <w:p>
            <w:pPr>
              <w:spacing w:after="120" w:line="360" w:lineRule="atLeast"/>
              <w:jc w:val="center"/>
              <w:rPr>
                <w:rFonts w:ascii="新宋体" w:hAnsi="新宋体" w:eastAsia="新宋体"/>
                <w:color w:val="auto"/>
                <w:sz w:val="22"/>
                <w:szCs w:val="22"/>
                <w:highlight w:val="none"/>
              </w:rPr>
            </w:pPr>
          </w:p>
        </w:tc>
        <w:tc>
          <w:tcPr>
            <w:tcW w:w="1583" w:type="dxa"/>
          </w:tcPr>
          <w:p>
            <w:pPr>
              <w:spacing w:after="120" w:line="360" w:lineRule="atLeast"/>
              <w:jc w:val="center"/>
              <w:rPr>
                <w:rFonts w:ascii="新宋体" w:hAnsi="新宋体" w:eastAsia="新宋体"/>
                <w:color w:val="auto"/>
                <w:sz w:val="22"/>
                <w:szCs w:val="22"/>
                <w:highlight w:val="none"/>
              </w:rPr>
            </w:pPr>
          </w:p>
        </w:tc>
        <w:tc>
          <w:tcPr>
            <w:tcW w:w="2036" w:type="dxa"/>
          </w:tcPr>
          <w:p>
            <w:pPr>
              <w:spacing w:after="120" w:line="360" w:lineRule="atLeast"/>
              <w:jc w:val="center"/>
              <w:rPr>
                <w:rFonts w:ascii="新宋体" w:hAnsi="新宋体" w:eastAsia="新宋体"/>
                <w:color w:val="auto"/>
                <w:sz w:val="22"/>
                <w:szCs w:val="22"/>
                <w:highlight w:val="none"/>
              </w:rPr>
            </w:pPr>
          </w:p>
        </w:tc>
        <w:tc>
          <w:tcPr>
            <w:tcW w:w="1471" w:type="dxa"/>
          </w:tcPr>
          <w:p>
            <w:pPr>
              <w:spacing w:after="120" w:line="360" w:lineRule="atLeast"/>
              <w:jc w:val="center"/>
              <w:rPr>
                <w:rFonts w:ascii="新宋体" w:hAnsi="新宋体" w:eastAsia="新宋体"/>
                <w:color w:val="auto"/>
                <w:sz w:val="22"/>
                <w:szCs w:val="22"/>
                <w:highlight w:val="none"/>
              </w:rPr>
            </w:pPr>
          </w:p>
        </w:tc>
        <w:tc>
          <w:tcPr>
            <w:tcW w:w="1007" w:type="dxa"/>
          </w:tcPr>
          <w:p>
            <w:pPr>
              <w:spacing w:after="120" w:line="360" w:lineRule="atLeast"/>
              <w:jc w:val="center"/>
              <w:rPr>
                <w:rFonts w:ascii="新宋体" w:hAnsi="新宋体" w:eastAsia="新宋体"/>
                <w:color w:val="auto"/>
                <w:sz w:val="22"/>
                <w:szCs w:val="22"/>
                <w:highlight w:val="none"/>
              </w:rPr>
            </w:pPr>
          </w:p>
        </w:tc>
        <w:tc>
          <w:tcPr>
            <w:tcW w:w="1351" w:type="dxa"/>
          </w:tcPr>
          <w:p>
            <w:pPr>
              <w:spacing w:after="120" w:line="360" w:lineRule="atLeast"/>
              <w:jc w:val="center"/>
              <w:rPr>
                <w:rFonts w:ascii="新宋体" w:hAnsi="新宋体" w:eastAsia="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35" w:hRule="atLeast"/>
          <w:jc w:val="center"/>
        </w:trPr>
        <w:tc>
          <w:tcPr>
            <w:tcW w:w="834" w:type="dxa"/>
          </w:tcPr>
          <w:p>
            <w:pPr>
              <w:spacing w:after="120" w:line="360" w:lineRule="atLeast"/>
              <w:jc w:val="center"/>
              <w:rPr>
                <w:rFonts w:ascii="新宋体" w:hAnsi="新宋体" w:eastAsia="新宋体"/>
                <w:color w:val="auto"/>
                <w:sz w:val="22"/>
                <w:szCs w:val="22"/>
                <w:highlight w:val="none"/>
              </w:rPr>
            </w:pPr>
          </w:p>
        </w:tc>
        <w:tc>
          <w:tcPr>
            <w:tcW w:w="1538" w:type="dxa"/>
          </w:tcPr>
          <w:p>
            <w:pPr>
              <w:spacing w:after="120" w:line="360" w:lineRule="atLeast"/>
              <w:jc w:val="center"/>
              <w:rPr>
                <w:rFonts w:ascii="新宋体" w:hAnsi="新宋体" w:eastAsia="新宋体"/>
                <w:color w:val="auto"/>
                <w:sz w:val="22"/>
                <w:szCs w:val="22"/>
                <w:highlight w:val="none"/>
              </w:rPr>
            </w:pPr>
          </w:p>
        </w:tc>
        <w:tc>
          <w:tcPr>
            <w:tcW w:w="1583" w:type="dxa"/>
          </w:tcPr>
          <w:p>
            <w:pPr>
              <w:spacing w:after="120" w:line="360" w:lineRule="atLeast"/>
              <w:jc w:val="center"/>
              <w:rPr>
                <w:rFonts w:ascii="新宋体" w:hAnsi="新宋体" w:eastAsia="新宋体"/>
                <w:color w:val="auto"/>
                <w:sz w:val="22"/>
                <w:szCs w:val="22"/>
                <w:highlight w:val="none"/>
              </w:rPr>
            </w:pPr>
          </w:p>
        </w:tc>
        <w:tc>
          <w:tcPr>
            <w:tcW w:w="2036" w:type="dxa"/>
          </w:tcPr>
          <w:p>
            <w:pPr>
              <w:spacing w:after="120" w:line="360" w:lineRule="atLeast"/>
              <w:jc w:val="center"/>
              <w:rPr>
                <w:rFonts w:ascii="新宋体" w:hAnsi="新宋体" w:eastAsia="新宋体"/>
                <w:color w:val="auto"/>
                <w:sz w:val="22"/>
                <w:szCs w:val="22"/>
                <w:highlight w:val="none"/>
              </w:rPr>
            </w:pPr>
          </w:p>
        </w:tc>
        <w:tc>
          <w:tcPr>
            <w:tcW w:w="1471" w:type="dxa"/>
          </w:tcPr>
          <w:p>
            <w:pPr>
              <w:spacing w:after="120" w:line="360" w:lineRule="atLeast"/>
              <w:jc w:val="center"/>
              <w:rPr>
                <w:rFonts w:ascii="新宋体" w:hAnsi="新宋体" w:eastAsia="新宋体"/>
                <w:color w:val="auto"/>
                <w:sz w:val="22"/>
                <w:szCs w:val="22"/>
                <w:highlight w:val="none"/>
              </w:rPr>
            </w:pPr>
          </w:p>
        </w:tc>
        <w:tc>
          <w:tcPr>
            <w:tcW w:w="1007" w:type="dxa"/>
          </w:tcPr>
          <w:p>
            <w:pPr>
              <w:spacing w:after="120" w:line="360" w:lineRule="atLeast"/>
              <w:jc w:val="center"/>
              <w:rPr>
                <w:rFonts w:ascii="新宋体" w:hAnsi="新宋体" w:eastAsia="新宋体"/>
                <w:color w:val="auto"/>
                <w:sz w:val="22"/>
                <w:szCs w:val="22"/>
                <w:highlight w:val="none"/>
              </w:rPr>
            </w:pPr>
          </w:p>
        </w:tc>
        <w:tc>
          <w:tcPr>
            <w:tcW w:w="1351" w:type="dxa"/>
          </w:tcPr>
          <w:p>
            <w:pPr>
              <w:spacing w:after="120" w:line="360" w:lineRule="atLeast"/>
              <w:jc w:val="center"/>
              <w:rPr>
                <w:rFonts w:ascii="新宋体" w:hAnsi="新宋体" w:eastAsia="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35" w:hRule="atLeast"/>
          <w:jc w:val="center"/>
        </w:trPr>
        <w:tc>
          <w:tcPr>
            <w:tcW w:w="834" w:type="dxa"/>
          </w:tcPr>
          <w:p>
            <w:pPr>
              <w:spacing w:after="120" w:line="360" w:lineRule="atLeast"/>
              <w:jc w:val="center"/>
              <w:rPr>
                <w:rFonts w:ascii="新宋体" w:hAnsi="新宋体" w:eastAsia="新宋体"/>
                <w:color w:val="auto"/>
                <w:sz w:val="22"/>
                <w:szCs w:val="22"/>
                <w:highlight w:val="none"/>
              </w:rPr>
            </w:pPr>
          </w:p>
        </w:tc>
        <w:tc>
          <w:tcPr>
            <w:tcW w:w="1538" w:type="dxa"/>
          </w:tcPr>
          <w:p>
            <w:pPr>
              <w:spacing w:after="120" w:line="360" w:lineRule="atLeast"/>
              <w:jc w:val="center"/>
              <w:rPr>
                <w:rFonts w:ascii="新宋体" w:hAnsi="新宋体" w:eastAsia="新宋体"/>
                <w:color w:val="auto"/>
                <w:sz w:val="22"/>
                <w:szCs w:val="22"/>
                <w:highlight w:val="none"/>
              </w:rPr>
            </w:pPr>
          </w:p>
        </w:tc>
        <w:tc>
          <w:tcPr>
            <w:tcW w:w="1583" w:type="dxa"/>
          </w:tcPr>
          <w:p>
            <w:pPr>
              <w:spacing w:after="120" w:line="360" w:lineRule="atLeast"/>
              <w:jc w:val="center"/>
              <w:rPr>
                <w:rFonts w:ascii="新宋体" w:hAnsi="新宋体" w:eastAsia="新宋体"/>
                <w:color w:val="auto"/>
                <w:sz w:val="22"/>
                <w:szCs w:val="22"/>
                <w:highlight w:val="none"/>
              </w:rPr>
            </w:pPr>
          </w:p>
        </w:tc>
        <w:tc>
          <w:tcPr>
            <w:tcW w:w="2036" w:type="dxa"/>
          </w:tcPr>
          <w:p>
            <w:pPr>
              <w:spacing w:after="120" w:line="360" w:lineRule="atLeast"/>
              <w:jc w:val="center"/>
              <w:rPr>
                <w:rFonts w:ascii="新宋体" w:hAnsi="新宋体" w:eastAsia="新宋体"/>
                <w:color w:val="auto"/>
                <w:sz w:val="22"/>
                <w:szCs w:val="22"/>
                <w:highlight w:val="none"/>
              </w:rPr>
            </w:pPr>
          </w:p>
        </w:tc>
        <w:tc>
          <w:tcPr>
            <w:tcW w:w="1471" w:type="dxa"/>
          </w:tcPr>
          <w:p>
            <w:pPr>
              <w:spacing w:after="120" w:line="360" w:lineRule="atLeast"/>
              <w:jc w:val="center"/>
              <w:rPr>
                <w:rFonts w:ascii="新宋体" w:hAnsi="新宋体" w:eastAsia="新宋体"/>
                <w:color w:val="auto"/>
                <w:sz w:val="22"/>
                <w:szCs w:val="22"/>
                <w:highlight w:val="none"/>
              </w:rPr>
            </w:pPr>
          </w:p>
        </w:tc>
        <w:tc>
          <w:tcPr>
            <w:tcW w:w="1007" w:type="dxa"/>
          </w:tcPr>
          <w:p>
            <w:pPr>
              <w:spacing w:after="120" w:line="360" w:lineRule="atLeast"/>
              <w:jc w:val="center"/>
              <w:rPr>
                <w:rFonts w:ascii="新宋体" w:hAnsi="新宋体" w:eastAsia="新宋体"/>
                <w:color w:val="auto"/>
                <w:sz w:val="22"/>
                <w:szCs w:val="22"/>
                <w:highlight w:val="none"/>
              </w:rPr>
            </w:pPr>
          </w:p>
        </w:tc>
        <w:tc>
          <w:tcPr>
            <w:tcW w:w="1351" w:type="dxa"/>
          </w:tcPr>
          <w:p>
            <w:pPr>
              <w:spacing w:after="120" w:line="360" w:lineRule="atLeast"/>
              <w:jc w:val="center"/>
              <w:rPr>
                <w:rFonts w:ascii="新宋体" w:hAnsi="新宋体" w:eastAsia="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35" w:hRule="atLeast"/>
          <w:jc w:val="center"/>
        </w:trPr>
        <w:tc>
          <w:tcPr>
            <w:tcW w:w="834" w:type="dxa"/>
          </w:tcPr>
          <w:p>
            <w:pPr>
              <w:spacing w:after="120" w:line="360" w:lineRule="atLeast"/>
              <w:jc w:val="center"/>
              <w:rPr>
                <w:rFonts w:ascii="新宋体" w:hAnsi="新宋体" w:eastAsia="新宋体"/>
                <w:color w:val="auto"/>
                <w:sz w:val="22"/>
                <w:szCs w:val="22"/>
                <w:highlight w:val="none"/>
              </w:rPr>
            </w:pPr>
          </w:p>
        </w:tc>
        <w:tc>
          <w:tcPr>
            <w:tcW w:w="1538" w:type="dxa"/>
          </w:tcPr>
          <w:p>
            <w:pPr>
              <w:spacing w:after="120" w:line="360" w:lineRule="atLeast"/>
              <w:jc w:val="center"/>
              <w:rPr>
                <w:rFonts w:ascii="新宋体" w:hAnsi="新宋体" w:eastAsia="新宋体"/>
                <w:color w:val="auto"/>
                <w:sz w:val="22"/>
                <w:szCs w:val="22"/>
                <w:highlight w:val="none"/>
              </w:rPr>
            </w:pPr>
          </w:p>
        </w:tc>
        <w:tc>
          <w:tcPr>
            <w:tcW w:w="1583" w:type="dxa"/>
          </w:tcPr>
          <w:p>
            <w:pPr>
              <w:spacing w:after="120" w:line="360" w:lineRule="atLeast"/>
              <w:jc w:val="center"/>
              <w:rPr>
                <w:rFonts w:ascii="新宋体" w:hAnsi="新宋体" w:eastAsia="新宋体"/>
                <w:color w:val="auto"/>
                <w:sz w:val="22"/>
                <w:szCs w:val="22"/>
                <w:highlight w:val="none"/>
              </w:rPr>
            </w:pPr>
          </w:p>
        </w:tc>
        <w:tc>
          <w:tcPr>
            <w:tcW w:w="2036" w:type="dxa"/>
          </w:tcPr>
          <w:p>
            <w:pPr>
              <w:spacing w:after="120" w:line="360" w:lineRule="atLeast"/>
              <w:jc w:val="center"/>
              <w:rPr>
                <w:rFonts w:ascii="新宋体" w:hAnsi="新宋体" w:eastAsia="新宋体"/>
                <w:color w:val="auto"/>
                <w:sz w:val="22"/>
                <w:szCs w:val="22"/>
                <w:highlight w:val="none"/>
              </w:rPr>
            </w:pPr>
          </w:p>
        </w:tc>
        <w:tc>
          <w:tcPr>
            <w:tcW w:w="1471" w:type="dxa"/>
          </w:tcPr>
          <w:p>
            <w:pPr>
              <w:spacing w:after="120" w:line="360" w:lineRule="atLeast"/>
              <w:jc w:val="center"/>
              <w:rPr>
                <w:rFonts w:ascii="新宋体" w:hAnsi="新宋体" w:eastAsia="新宋体"/>
                <w:color w:val="auto"/>
                <w:sz w:val="22"/>
                <w:szCs w:val="22"/>
                <w:highlight w:val="none"/>
              </w:rPr>
            </w:pPr>
          </w:p>
        </w:tc>
        <w:tc>
          <w:tcPr>
            <w:tcW w:w="1007" w:type="dxa"/>
          </w:tcPr>
          <w:p>
            <w:pPr>
              <w:spacing w:after="120" w:line="360" w:lineRule="atLeast"/>
              <w:jc w:val="center"/>
              <w:rPr>
                <w:rFonts w:ascii="新宋体" w:hAnsi="新宋体" w:eastAsia="新宋体"/>
                <w:color w:val="auto"/>
                <w:sz w:val="22"/>
                <w:szCs w:val="22"/>
                <w:highlight w:val="none"/>
              </w:rPr>
            </w:pPr>
          </w:p>
        </w:tc>
        <w:tc>
          <w:tcPr>
            <w:tcW w:w="1351" w:type="dxa"/>
          </w:tcPr>
          <w:p>
            <w:pPr>
              <w:spacing w:after="120" w:line="360" w:lineRule="atLeast"/>
              <w:jc w:val="center"/>
              <w:rPr>
                <w:rFonts w:ascii="新宋体" w:hAnsi="新宋体" w:eastAsia="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35" w:hRule="atLeast"/>
          <w:jc w:val="center"/>
        </w:trPr>
        <w:tc>
          <w:tcPr>
            <w:tcW w:w="834" w:type="dxa"/>
          </w:tcPr>
          <w:p>
            <w:pPr>
              <w:spacing w:after="120" w:line="360" w:lineRule="atLeast"/>
              <w:jc w:val="center"/>
              <w:rPr>
                <w:rFonts w:ascii="新宋体" w:hAnsi="新宋体" w:eastAsia="新宋体"/>
                <w:color w:val="auto"/>
                <w:sz w:val="22"/>
                <w:szCs w:val="22"/>
                <w:highlight w:val="none"/>
              </w:rPr>
            </w:pPr>
          </w:p>
        </w:tc>
        <w:tc>
          <w:tcPr>
            <w:tcW w:w="1538" w:type="dxa"/>
          </w:tcPr>
          <w:p>
            <w:pPr>
              <w:spacing w:after="120" w:line="360" w:lineRule="atLeast"/>
              <w:jc w:val="center"/>
              <w:rPr>
                <w:rFonts w:ascii="新宋体" w:hAnsi="新宋体" w:eastAsia="新宋体"/>
                <w:color w:val="auto"/>
                <w:sz w:val="22"/>
                <w:szCs w:val="22"/>
                <w:highlight w:val="none"/>
              </w:rPr>
            </w:pPr>
          </w:p>
        </w:tc>
        <w:tc>
          <w:tcPr>
            <w:tcW w:w="1583" w:type="dxa"/>
          </w:tcPr>
          <w:p>
            <w:pPr>
              <w:spacing w:after="120" w:line="360" w:lineRule="atLeast"/>
              <w:jc w:val="center"/>
              <w:rPr>
                <w:rFonts w:ascii="新宋体" w:hAnsi="新宋体" w:eastAsia="新宋体"/>
                <w:color w:val="auto"/>
                <w:sz w:val="22"/>
                <w:szCs w:val="22"/>
                <w:highlight w:val="none"/>
              </w:rPr>
            </w:pPr>
          </w:p>
        </w:tc>
        <w:tc>
          <w:tcPr>
            <w:tcW w:w="2036" w:type="dxa"/>
          </w:tcPr>
          <w:p>
            <w:pPr>
              <w:spacing w:after="120" w:line="360" w:lineRule="atLeast"/>
              <w:jc w:val="center"/>
              <w:rPr>
                <w:rFonts w:ascii="新宋体" w:hAnsi="新宋体" w:eastAsia="新宋体"/>
                <w:color w:val="auto"/>
                <w:sz w:val="22"/>
                <w:szCs w:val="22"/>
                <w:highlight w:val="none"/>
              </w:rPr>
            </w:pPr>
          </w:p>
        </w:tc>
        <w:tc>
          <w:tcPr>
            <w:tcW w:w="1471" w:type="dxa"/>
          </w:tcPr>
          <w:p>
            <w:pPr>
              <w:spacing w:after="120" w:line="360" w:lineRule="atLeast"/>
              <w:jc w:val="center"/>
              <w:rPr>
                <w:rFonts w:ascii="新宋体" w:hAnsi="新宋体" w:eastAsia="新宋体"/>
                <w:color w:val="auto"/>
                <w:sz w:val="22"/>
                <w:szCs w:val="22"/>
                <w:highlight w:val="none"/>
              </w:rPr>
            </w:pPr>
          </w:p>
        </w:tc>
        <w:tc>
          <w:tcPr>
            <w:tcW w:w="1007" w:type="dxa"/>
          </w:tcPr>
          <w:p>
            <w:pPr>
              <w:spacing w:after="120" w:line="360" w:lineRule="atLeast"/>
              <w:jc w:val="center"/>
              <w:rPr>
                <w:rFonts w:ascii="新宋体" w:hAnsi="新宋体" w:eastAsia="新宋体"/>
                <w:color w:val="auto"/>
                <w:sz w:val="22"/>
                <w:szCs w:val="22"/>
                <w:highlight w:val="none"/>
              </w:rPr>
            </w:pPr>
          </w:p>
        </w:tc>
        <w:tc>
          <w:tcPr>
            <w:tcW w:w="1351" w:type="dxa"/>
          </w:tcPr>
          <w:p>
            <w:pPr>
              <w:spacing w:after="120" w:line="360" w:lineRule="atLeast"/>
              <w:jc w:val="center"/>
              <w:rPr>
                <w:rFonts w:ascii="新宋体" w:hAnsi="新宋体" w:eastAsia="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35" w:hRule="atLeast"/>
          <w:jc w:val="center"/>
        </w:trPr>
        <w:tc>
          <w:tcPr>
            <w:tcW w:w="834" w:type="dxa"/>
          </w:tcPr>
          <w:p>
            <w:pPr>
              <w:spacing w:after="120" w:line="360" w:lineRule="atLeast"/>
              <w:jc w:val="center"/>
              <w:rPr>
                <w:rFonts w:ascii="新宋体" w:hAnsi="新宋体" w:eastAsia="新宋体"/>
                <w:color w:val="auto"/>
                <w:sz w:val="22"/>
                <w:szCs w:val="22"/>
                <w:highlight w:val="none"/>
              </w:rPr>
            </w:pPr>
          </w:p>
        </w:tc>
        <w:tc>
          <w:tcPr>
            <w:tcW w:w="1538" w:type="dxa"/>
          </w:tcPr>
          <w:p>
            <w:pPr>
              <w:spacing w:after="120" w:line="360" w:lineRule="atLeast"/>
              <w:jc w:val="center"/>
              <w:rPr>
                <w:rFonts w:ascii="新宋体" w:hAnsi="新宋体" w:eastAsia="新宋体"/>
                <w:color w:val="auto"/>
                <w:sz w:val="22"/>
                <w:szCs w:val="22"/>
                <w:highlight w:val="none"/>
              </w:rPr>
            </w:pPr>
          </w:p>
        </w:tc>
        <w:tc>
          <w:tcPr>
            <w:tcW w:w="1583" w:type="dxa"/>
          </w:tcPr>
          <w:p>
            <w:pPr>
              <w:spacing w:after="120" w:line="360" w:lineRule="atLeast"/>
              <w:jc w:val="center"/>
              <w:rPr>
                <w:rFonts w:ascii="新宋体" w:hAnsi="新宋体" w:eastAsia="新宋体"/>
                <w:color w:val="auto"/>
                <w:sz w:val="22"/>
                <w:szCs w:val="22"/>
                <w:highlight w:val="none"/>
              </w:rPr>
            </w:pPr>
          </w:p>
        </w:tc>
        <w:tc>
          <w:tcPr>
            <w:tcW w:w="2036" w:type="dxa"/>
          </w:tcPr>
          <w:p>
            <w:pPr>
              <w:spacing w:after="120" w:line="360" w:lineRule="atLeast"/>
              <w:jc w:val="center"/>
              <w:rPr>
                <w:rFonts w:ascii="新宋体" w:hAnsi="新宋体" w:eastAsia="新宋体"/>
                <w:color w:val="auto"/>
                <w:sz w:val="22"/>
                <w:szCs w:val="22"/>
                <w:highlight w:val="none"/>
              </w:rPr>
            </w:pPr>
          </w:p>
        </w:tc>
        <w:tc>
          <w:tcPr>
            <w:tcW w:w="1471" w:type="dxa"/>
          </w:tcPr>
          <w:p>
            <w:pPr>
              <w:spacing w:after="120" w:line="360" w:lineRule="atLeast"/>
              <w:jc w:val="center"/>
              <w:rPr>
                <w:rFonts w:ascii="新宋体" w:hAnsi="新宋体" w:eastAsia="新宋体"/>
                <w:color w:val="auto"/>
                <w:sz w:val="22"/>
                <w:szCs w:val="22"/>
                <w:highlight w:val="none"/>
              </w:rPr>
            </w:pPr>
          </w:p>
        </w:tc>
        <w:tc>
          <w:tcPr>
            <w:tcW w:w="1007" w:type="dxa"/>
          </w:tcPr>
          <w:p>
            <w:pPr>
              <w:spacing w:after="120" w:line="360" w:lineRule="atLeast"/>
              <w:jc w:val="center"/>
              <w:rPr>
                <w:rFonts w:ascii="新宋体" w:hAnsi="新宋体" w:eastAsia="新宋体"/>
                <w:color w:val="auto"/>
                <w:sz w:val="22"/>
                <w:szCs w:val="22"/>
                <w:highlight w:val="none"/>
              </w:rPr>
            </w:pPr>
          </w:p>
        </w:tc>
        <w:tc>
          <w:tcPr>
            <w:tcW w:w="1351" w:type="dxa"/>
          </w:tcPr>
          <w:p>
            <w:pPr>
              <w:spacing w:after="120" w:line="360" w:lineRule="atLeast"/>
              <w:jc w:val="center"/>
              <w:rPr>
                <w:rFonts w:ascii="新宋体" w:hAnsi="新宋体" w:eastAsia="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35" w:hRule="atLeast"/>
          <w:jc w:val="center"/>
        </w:trPr>
        <w:tc>
          <w:tcPr>
            <w:tcW w:w="834" w:type="dxa"/>
          </w:tcPr>
          <w:p>
            <w:pPr>
              <w:spacing w:after="120" w:line="360" w:lineRule="atLeast"/>
              <w:jc w:val="center"/>
              <w:rPr>
                <w:rFonts w:ascii="新宋体" w:hAnsi="新宋体" w:eastAsia="新宋体"/>
                <w:color w:val="auto"/>
                <w:sz w:val="22"/>
                <w:szCs w:val="22"/>
                <w:highlight w:val="none"/>
              </w:rPr>
            </w:pPr>
          </w:p>
        </w:tc>
        <w:tc>
          <w:tcPr>
            <w:tcW w:w="1538" w:type="dxa"/>
          </w:tcPr>
          <w:p>
            <w:pPr>
              <w:spacing w:after="120" w:line="360" w:lineRule="atLeast"/>
              <w:jc w:val="center"/>
              <w:rPr>
                <w:rFonts w:ascii="新宋体" w:hAnsi="新宋体" w:eastAsia="新宋体"/>
                <w:color w:val="auto"/>
                <w:sz w:val="22"/>
                <w:szCs w:val="22"/>
                <w:highlight w:val="none"/>
              </w:rPr>
            </w:pPr>
          </w:p>
        </w:tc>
        <w:tc>
          <w:tcPr>
            <w:tcW w:w="1583" w:type="dxa"/>
          </w:tcPr>
          <w:p>
            <w:pPr>
              <w:spacing w:after="120" w:line="360" w:lineRule="atLeast"/>
              <w:jc w:val="center"/>
              <w:rPr>
                <w:rFonts w:ascii="新宋体" w:hAnsi="新宋体" w:eastAsia="新宋体"/>
                <w:color w:val="auto"/>
                <w:sz w:val="22"/>
                <w:szCs w:val="22"/>
                <w:highlight w:val="none"/>
              </w:rPr>
            </w:pPr>
          </w:p>
        </w:tc>
        <w:tc>
          <w:tcPr>
            <w:tcW w:w="2036" w:type="dxa"/>
          </w:tcPr>
          <w:p>
            <w:pPr>
              <w:spacing w:after="120" w:line="360" w:lineRule="atLeast"/>
              <w:jc w:val="center"/>
              <w:rPr>
                <w:rFonts w:ascii="新宋体" w:hAnsi="新宋体" w:eastAsia="新宋体"/>
                <w:color w:val="auto"/>
                <w:sz w:val="22"/>
                <w:szCs w:val="22"/>
                <w:highlight w:val="none"/>
              </w:rPr>
            </w:pPr>
          </w:p>
        </w:tc>
        <w:tc>
          <w:tcPr>
            <w:tcW w:w="1471" w:type="dxa"/>
          </w:tcPr>
          <w:p>
            <w:pPr>
              <w:spacing w:after="120" w:line="360" w:lineRule="atLeast"/>
              <w:jc w:val="center"/>
              <w:rPr>
                <w:rFonts w:ascii="新宋体" w:hAnsi="新宋体" w:eastAsia="新宋体"/>
                <w:color w:val="auto"/>
                <w:sz w:val="22"/>
                <w:szCs w:val="22"/>
                <w:highlight w:val="none"/>
              </w:rPr>
            </w:pPr>
          </w:p>
        </w:tc>
        <w:tc>
          <w:tcPr>
            <w:tcW w:w="1007" w:type="dxa"/>
          </w:tcPr>
          <w:p>
            <w:pPr>
              <w:spacing w:after="120" w:line="360" w:lineRule="atLeast"/>
              <w:jc w:val="center"/>
              <w:rPr>
                <w:rFonts w:ascii="新宋体" w:hAnsi="新宋体" w:eastAsia="新宋体"/>
                <w:color w:val="auto"/>
                <w:sz w:val="22"/>
                <w:szCs w:val="22"/>
                <w:highlight w:val="none"/>
              </w:rPr>
            </w:pPr>
          </w:p>
        </w:tc>
        <w:tc>
          <w:tcPr>
            <w:tcW w:w="1351" w:type="dxa"/>
          </w:tcPr>
          <w:p>
            <w:pPr>
              <w:spacing w:after="120" w:line="360" w:lineRule="atLeast"/>
              <w:jc w:val="center"/>
              <w:rPr>
                <w:rFonts w:ascii="新宋体" w:hAnsi="新宋体" w:eastAsia="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35" w:hRule="atLeast"/>
          <w:jc w:val="center"/>
        </w:trPr>
        <w:tc>
          <w:tcPr>
            <w:tcW w:w="834" w:type="dxa"/>
          </w:tcPr>
          <w:p>
            <w:pPr>
              <w:spacing w:after="120" w:line="360" w:lineRule="atLeast"/>
              <w:jc w:val="center"/>
              <w:rPr>
                <w:rFonts w:ascii="新宋体" w:hAnsi="新宋体" w:eastAsia="新宋体"/>
                <w:color w:val="auto"/>
                <w:sz w:val="22"/>
                <w:szCs w:val="22"/>
                <w:highlight w:val="none"/>
              </w:rPr>
            </w:pPr>
          </w:p>
        </w:tc>
        <w:tc>
          <w:tcPr>
            <w:tcW w:w="1538" w:type="dxa"/>
          </w:tcPr>
          <w:p>
            <w:pPr>
              <w:spacing w:after="120" w:line="360" w:lineRule="atLeast"/>
              <w:jc w:val="center"/>
              <w:rPr>
                <w:rFonts w:ascii="新宋体" w:hAnsi="新宋体" w:eastAsia="新宋体"/>
                <w:color w:val="auto"/>
                <w:sz w:val="22"/>
                <w:szCs w:val="22"/>
                <w:highlight w:val="none"/>
              </w:rPr>
            </w:pPr>
          </w:p>
        </w:tc>
        <w:tc>
          <w:tcPr>
            <w:tcW w:w="1583" w:type="dxa"/>
          </w:tcPr>
          <w:p>
            <w:pPr>
              <w:spacing w:after="120" w:line="360" w:lineRule="atLeast"/>
              <w:jc w:val="center"/>
              <w:rPr>
                <w:rFonts w:ascii="新宋体" w:hAnsi="新宋体" w:eastAsia="新宋体"/>
                <w:color w:val="auto"/>
                <w:sz w:val="22"/>
                <w:szCs w:val="22"/>
                <w:highlight w:val="none"/>
              </w:rPr>
            </w:pPr>
          </w:p>
        </w:tc>
        <w:tc>
          <w:tcPr>
            <w:tcW w:w="2036" w:type="dxa"/>
          </w:tcPr>
          <w:p>
            <w:pPr>
              <w:spacing w:after="120" w:line="360" w:lineRule="atLeast"/>
              <w:jc w:val="center"/>
              <w:rPr>
                <w:rFonts w:ascii="新宋体" w:hAnsi="新宋体" w:eastAsia="新宋体"/>
                <w:color w:val="auto"/>
                <w:sz w:val="22"/>
                <w:szCs w:val="22"/>
                <w:highlight w:val="none"/>
              </w:rPr>
            </w:pPr>
          </w:p>
        </w:tc>
        <w:tc>
          <w:tcPr>
            <w:tcW w:w="1471" w:type="dxa"/>
          </w:tcPr>
          <w:p>
            <w:pPr>
              <w:spacing w:after="120" w:line="360" w:lineRule="atLeast"/>
              <w:jc w:val="center"/>
              <w:rPr>
                <w:rFonts w:ascii="新宋体" w:hAnsi="新宋体" w:eastAsia="新宋体"/>
                <w:color w:val="auto"/>
                <w:sz w:val="22"/>
                <w:szCs w:val="22"/>
                <w:highlight w:val="none"/>
              </w:rPr>
            </w:pPr>
          </w:p>
        </w:tc>
        <w:tc>
          <w:tcPr>
            <w:tcW w:w="1007" w:type="dxa"/>
          </w:tcPr>
          <w:p>
            <w:pPr>
              <w:spacing w:after="120" w:line="360" w:lineRule="atLeast"/>
              <w:jc w:val="center"/>
              <w:rPr>
                <w:rFonts w:ascii="新宋体" w:hAnsi="新宋体" w:eastAsia="新宋体"/>
                <w:color w:val="auto"/>
                <w:sz w:val="22"/>
                <w:szCs w:val="22"/>
                <w:highlight w:val="none"/>
              </w:rPr>
            </w:pPr>
          </w:p>
        </w:tc>
        <w:tc>
          <w:tcPr>
            <w:tcW w:w="1351" w:type="dxa"/>
          </w:tcPr>
          <w:p>
            <w:pPr>
              <w:spacing w:after="120" w:line="360" w:lineRule="atLeast"/>
              <w:jc w:val="center"/>
              <w:rPr>
                <w:rFonts w:ascii="新宋体" w:hAnsi="新宋体" w:eastAsia="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35" w:hRule="atLeast"/>
          <w:jc w:val="center"/>
        </w:trPr>
        <w:tc>
          <w:tcPr>
            <w:tcW w:w="834" w:type="dxa"/>
          </w:tcPr>
          <w:p>
            <w:pPr>
              <w:spacing w:after="120" w:line="360" w:lineRule="atLeast"/>
              <w:jc w:val="center"/>
              <w:rPr>
                <w:rFonts w:ascii="新宋体" w:hAnsi="新宋体" w:eastAsia="新宋体"/>
                <w:color w:val="auto"/>
                <w:sz w:val="22"/>
                <w:szCs w:val="22"/>
                <w:highlight w:val="none"/>
              </w:rPr>
            </w:pPr>
          </w:p>
        </w:tc>
        <w:tc>
          <w:tcPr>
            <w:tcW w:w="1538" w:type="dxa"/>
          </w:tcPr>
          <w:p>
            <w:pPr>
              <w:spacing w:after="120" w:line="360" w:lineRule="atLeast"/>
              <w:jc w:val="center"/>
              <w:rPr>
                <w:rFonts w:ascii="新宋体" w:hAnsi="新宋体" w:eastAsia="新宋体"/>
                <w:color w:val="auto"/>
                <w:sz w:val="22"/>
                <w:szCs w:val="22"/>
                <w:highlight w:val="none"/>
              </w:rPr>
            </w:pPr>
          </w:p>
        </w:tc>
        <w:tc>
          <w:tcPr>
            <w:tcW w:w="1583" w:type="dxa"/>
          </w:tcPr>
          <w:p>
            <w:pPr>
              <w:spacing w:after="120" w:line="360" w:lineRule="atLeast"/>
              <w:jc w:val="center"/>
              <w:rPr>
                <w:rFonts w:ascii="新宋体" w:hAnsi="新宋体" w:eastAsia="新宋体"/>
                <w:color w:val="auto"/>
                <w:sz w:val="22"/>
                <w:szCs w:val="22"/>
                <w:highlight w:val="none"/>
              </w:rPr>
            </w:pPr>
          </w:p>
        </w:tc>
        <w:tc>
          <w:tcPr>
            <w:tcW w:w="2036" w:type="dxa"/>
          </w:tcPr>
          <w:p>
            <w:pPr>
              <w:spacing w:after="120" w:line="360" w:lineRule="atLeast"/>
              <w:jc w:val="center"/>
              <w:rPr>
                <w:rFonts w:ascii="新宋体" w:hAnsi="新宋体" w:eastAsia="新宋体"/>
                <w:color w:val="auto"/>
                <w:sz w:val="22"/>
                <w:szCs w:val="22"/>
                <w:highlight w:val="none"/>
              </w:rPr>
            </w:pPr>
          </w:p>
        </w:tc>
        <w:tc>
          <w:tcPr>
            <w:tcW w:w="1471" w:type="dxa"/>
          </w:tcPr>
          <w:p>
            <w:pPr>
              <w:spacing w:after="120" w:line="360" w:lineRule="atLeast"/>
              <w:jc w:val="center"/>
              <w:rPr>
                <w:rFonts w:ascii="新宋体" w:hAnsi="新宋体" w:eastAsia="新宋体"/>
                <w:color w:val="auto"/>
                <w:sz w:val="22"/>
                <w:szCs w:val="22"/>
                <w:highlight w:val="none"/>
              </w:rPr>
            </w:pPr>
          </w:p>
        </w:tc>
        <w:tc>
          <w:tcPr>
            <w:tcW w:w="1007" w:type="dxa"/>
          </w:tcPr>
          <w:p>
            <w:pPr>
              <w:spacing w:after="120" w:line="360" w:lineRule="atLeast"/>
              <w:jc w:val="center"/>
              <w:rPr>
                <w:rFonts w:ascii="新宋体" w:hAnsi="新宋体" w:eastAsia="新宋体"/>
                <w:color w:val="auto"/>
                <w:sz w:val="22"/>
                <w:szCs w:val="22"/>
                <w:highlight w:val="none"/>
              </w:rPr>
            </w:pPr>
          </w:p>
        </w:tc>
        <w:tc>
          <w:tcPr>
            <w:tcW w:w="1351" w:type="dxa"/>
          </w:tcPr>
          <w:p>
            <w:pPr>
              <w:spacing w:after="120" w:line="360" w:lineRule="atLeast"/>
              <w:jc w:val="center"/>
              <w:rPr>
                <w:rFonts w:ascii="新宋体" w:hAnsi="新宋体" w:eastAsia="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35" w:hRule="atLeast"/>
          <w:jc w:val="center"/>
        </w:trPr>
        <w:tc>
          <w:tcPr>
            <w:tcW w:w="834" w:type="dxa"/>
          </w:tcPr>
          <w:p>
            <w:pPr>
              <w:spacing w:after="120" w:line="360" w:lineRule="atLeast"/>
              <w:jc w:val="center"/>
              <w:rPr>
                <w:rFonts w:ascii="新宋体" w:hAnsi="新宋体" w:eastAsia="新宋体"/>
                <w:color w:val="auto"/>
                <w:sz w:val="22"/>
                <w:szCs w:val="22"/>
                <w:highlight w:val="none"/>
              </w:rPr>
            </w:pPr>
          </w:p>
        </w:tc>
        <w:tc>
          <w:tcPr>
            <w:tcW w:w="1538" w:type="dxa"/>
          </w:tcPr>
          <w:p>
            <w:pPr>
              <w:spacing w:after="120" w:line="360" w:lineRule="atLeast"/>
              <w:jc w:val="center"/>
              <w:rPr>
                <w:rFonts w:ascii="新宋体" w:hAnsi="新宋体" w:eastAsia="新宋体"/>
                <w:color w:val="auto"/>
                <w:sz w:val="22"/>
                <w:szCs w:val="22"/>
                <w:highlight w:val="none"/>
              </w:rPr>
            </w:pPr>
          </w:p>
        </w:tc>
        <w:tc>
          <w:tcPr>
            <w:tcW w:w="1583" w:type="dxa"/>
          </w:tcPr>
          <w:p>
            <w:pPr>
              <w:spacing w:after="120" w:line="360" w:lineRule="atLeast"/>
              <w:jc w:val="center"/>
              <w:rPr>
                <w:rFonts w:ascii="新宋体" w:hAnsi="新宋体" w:eastAsia="新宋体"/>
                <w:color w:val="auto"/>
                <w:sz w:val="22"/>
                <w:szCs w:val="22"/>
                <w:highlight w:val="none"/>
              </w:rPr>
            </w:pPr>
          </w:p>
        </w:tc>
        <w:tc>
          <w:tcPr>
            <w:tcW w:w="2036" w:type="dxa"/>
          </w:tcPr>
          <w:p>
            <w:pPr>
              <w:spacing w:after="120" w:line="360" w:lineRule="atLeast"/>
              <w:jc w:val="center"/>
              <w:rPr>
                <w:rFonts w:ascii="新宋体" w:hAnsi="新宋体" w:eastAsia="新宋体"/>
                <w:color w:val="auto"/>
                <w:sz w:val="22"/>
                <w:szCs w:val="22"/>
                <w:highlight w:val="none"/>
              </w:rPr>
            </w:pPr>
          </w:p>
        </w:tc>
        <w:tc>
          <w:tcPr>
            <w:tcW w:w="1471" w:type="dxa"/>
          </w:tcPr>
          <w:p>
            <w:pPr>
              <w:spacing w:after="120" w:line="360" w:lineRule="atLeast"/>
              <w:jc w:val="center"/>
              <w:rPr>
                <w:rFonts w:ascii="新宋体" w:hAnsi="新宋体" w:eastAsia="新宋体"/>
                <w:color w:val="auto"/>
                <w:sz w:val="22"/>
                <w:szCs w:val="22"/>
                <w:highlight w:val="none"/>
              </w:rPr>
            </w:pPr>
          </w:p>
        </w:tc>
        <w:tc>
          <w:tcPr>
            <w:tcW w:w="1007" w:type="dxa"/>
          </w:tcPr>
          <w:p>
            <w:pPr>
              <w:spacing w:after="120" w:line="360" w:lineRule="atLeast"/>
              <w:jc w:val="center"/>
              <w:rPr>
                <w:rFonts w:ascii="新宋体" w:hAnsi="新宋体" w:eastAsia="新宋体"/>
                <w:color w:val="auto"/>
                <w:sz w:val="22"/>
                <w:szCs w:val="22"/>
                <w:highlight w:val="none"/>
              </w:rPr>
            </w:pPr>
          </w:p>
        </w:tc>
        <w:tc>
          <w:tcPr>
            <w:tcW w:w="1351" w:type="dxa"/>
          </w:tcPr>
          <w:p>
            <w:pPr>
              <w:spacing w:after="120" w:line="360" w:lineRule="atLeast"/>
              <w:jc w:val="center"/>
              <w:rPr>
                <w:rFonts w:ascii="新宋体" w:hAnsi="新宋体" w:eastAsia="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07" w:hRule="atLeast"/>
          <w:jc w:val="center"/>
        </w:trPr>
        <w:tc>
          <w:tcPr>
            <w:tcW w:w="834" w:type="dxa"/>
          </w:tcPr>
          <w:p>
            <w:pPr>
              <w:spacing w:after="120" w:line="360" w:lineRule="atLeast"/>
              <w:jc w:val="center"/>
              <w:rPr>
                <w:rFonts w:ascii="新宋体" w:hAnsi="新宋体" w:eastAsia="新宋体"/>
                <w:color w:val="auto"/>
                <w:sz w:val="22"/>
                <w:szCs w:val="22"/>
                <w:highlight w:val="none"/>
              </w:rPr>
            </w:pPr>
          </w:p>
        </w:tc>
        <w:tc>
          <w:tcPr>
            <w:tcW w:w="1538" w:type="dxa"/>
          </w:tcPr>
          <w:p>
            <w:pPr>
              <w:spacing w:after="120" w:line="360" w:lineRule="atLeast"/>
              <w:jc w:val="center"/>
              <w:rPr>
                <w:rFonts w:ascii="新宋体" w:hAnsi="新宋体" w:eastAsia="新宋体"/>
                <w:color w:val="auto"/>
                <w:sz w:val="22"/>
                <w:szCs w:val="22"/>
                <w:highlight w:val="none"/>
              </w:rPr>
            </w:pPr>
          </w:p>
        </w:tc>
        <w:tc>
          <w:tcPr>
            <w:tcW w:w="1583" w:type="dxa"/>
          </w:tcPr>
          <w:p>
            <w:pPr>
              <w:spacing w:after="120" w:line="360" w:lineRule="atLeast"/>
              <w:jc w:val="center"/>
              <w:rPr>
                <w:rFonts w:ascii="新宋体" w:hAnsi="新宋体" w:eastAsia="新宋体"/>
                <w:color w:val="auto"/>
                <w:sz w:val="22"/>
                <w:szCs w:val="22"/>
                <w:highlight w:val="none"/>
              </w:rPr>
            </w:pPr>
          </w:p>
        </w:tc>
        <w:tc>
          <w:tcPr>
            <w:tcW w:w="2036" w:type="dxa"/>
          </w:tcPr>
          <w:p>
            <w:pPr>
              <w:spacing w:after="120" w:line="360" w:lineRule="atLeast"/>
              <w:jc w:val="center"/>
              <w:rPr>
                <w:rFonts w:ascii="新宋体" w:hAnsi="新宋体" w:eastAsia="新宋体"/>
                <w:color w:val="auto"/>
                <w:sz w:val="22"/>
                <w:szCs w:val="22"/>
                <w:highlight w:val="none"/>
              </w:rPr>
            </w:pPr>
          </w:p>
        </w:tc>
        <w:tc>
          <w:tcPr>
            <w:tcW w:w="1471" w:type="dxa"/>
          </w:tcPr>
          <w:p>
            <w:pPr>
              <w:spacing w:after="120" w:line="360" w:lineRule="atLeast"/>
              <w:jc w:val="center"/>
              <w:rPr>
                <w:rFonts w:ascii="新宋体" w:hAnsi="新宋体" w:eastAsia="新宋体"/>
                <w:color w:val="auto"/>
                <w:sz w:val="22"/>
                <w:szCs w:val="22"/>
                <w:highlight w:val="none"/>
              </w:rPr>
            </w:pPr>
          </w:p>
        </w:tc>
        <w:tc>
          <w:tcPr>
            <w:tcW w:w="1007" w:type="dxa"/>
          </w:tcPr>
          <w:p>
            <w:pPr>
              <w:spacing w:after="120" w:line="360" w:lineRule="atLeast"/>
              <w:jc w:val="center"/>
              <w:rPr>
                <w:rFonts w:ascii="新宋体" w:hAnsi="新宋体" w:eastAsia="新宋体"/>
                <w:color w:val="auto"/>
                <w:sz w:val="22"/>
                <w:szCs w:val="22"/>
                <w:highlight w:val="none"/>
              </w:rPr>
            </w:pPr>
          </w:p>
        </w:tc>
        <w:tc>
          <w:tcPr>
            <w:tcW w:w="1351" w:type="dxa"/>
          </w:tcPr>
          <w:p>
            <w:pPr>
              <w:spacing w:after="120" w:line="360" w:lineRule="atLeast"/>
              <w:jc w:val="center"/>
              <w:rPr>
                <w:rFonts w:ascii="新宋体" w:hAnsi="新宋体" w:eastAsia="新宋体"/>
                <w:color w:val="auto"/>
                <w:sz w:val="22"/>
                <w:szCs w:val="22"/>
                <w:highlight w:val="none"/>
              </w:rPr>
            </w:pPr>
          </w:p>
        </w:tc>
      </w:tr>
    </w:tbl>
    <w:p>
      <w:pPr>
        <w:spacing w:line="400" w:lineRule="exact"/>
        <w:rPr>
          <w:rFonts w:ascii="新宋体" w:hAnsi="新宋体" w:eastAsia="新宋体" w:cs="ˎ̥"/>
          <w:color w:val="auto"/>
          <w:sz w:val="22"/>
          <w:szCs w:val="22"/>
          <w:highlight w:val="none"/>
        </w:rPr>
      </w:pPr>
      <w:r>
        <w:rPr>
          <w:rFonts w:hint="eastAsia" w:ascii="新宋体" w:hAnsi="新宋体" w:eastAsia="新宋体" w:cs="ˎ̥"/>
          <w:color w:val="auto"/>
          <w:sz w:val="22"/>
          <w:szCs w:val="22"/>
          <w:highlight w:val="none"/>
        </w:rPr>
        <w:t>注：</w:t>
      </w:r>
    </w:p>
    <w:p>
      <w:pPr>
        <w:spacing w:line="400" w:lineRule="exact"/>
        <w:rPr>
          <w:rFonts w:ascii="新宋体" w:hAnsi="新宋体" w:eastAsia="新宋体" w:cs="ˎ̥"/>
          <w:color w:val="auto"/>
          <w:sz w:val="22"/>
          <w:szCs w:val="22"/>
          <w:highlight w:val="none"/>
        </w:rPr>
      </w:pPr>
      <w:r>
        <w:rPr>
          <w:rFonts w:hint="eastAsia" w:ascii="新宋体" w:hAnsi="新宋体" w:eastAsia="新宋体" w:cs="ˎ̥"/>
          <w:color w:val="auto"/>
          <w:sz w:val="22"/>
          <w:szCs w:val="22"/>
          <w:highlight w:val="none"/>
        </w:rPr>
        <w:t>1.此表仅提供了表格形式，供应商应根据需要准备足够数量的表格来填写。</w:t>
      </w:r>
    </w:p>
    <w:p>
      <w:pPr>
        <w:spacing w:line="400" w:lineRule="exact"/>
        <w:rPr>
          <w:rFonts w:ascii="新宋体" w:hAnsi="新宋体" w:eastAsia="新宋体" w:cs="ˎ̥"/>
          <w:color w:val="auto"/>
          <w:sz w:val="22"/>
          <w:szCs w:val="22"/>
          <w:highlight w:val="none"/>
        </w:rPr>
      </w:pPr>
      <w:r>
        <w:rPr>
          <w:rFonts w:hint="eastAsia" w:ascii="新宋体" w:hAnsi="新宋体" w:eastAsia="新宋体" w:cs="ˎ̥"/>
          <w:color w:val="auto"/>
          <w:sz w:val="22"/>
          <w:szCs w:val="22"/>
          <w:highlight w:val="none"/>
        </w:rPr>
        <w:t xml:space="preserve">2.每项业绩须根据商务技术文件评分细则的要求提供证明材料； </w:t>
      </w:r>
    </w:p>
    <w:p>
      <w:pPr>
        <w:spacing w:line="400" w:lineRule="exact"/>
        <w:rPr>
          <w:rFonts w:ascii="新宋体" w:hAnsi="新宋体" w:eastAsia="新宋体" w:cs="ˎ̥"/>
          <w:color w:val="auto"/>
          <w:sz w:val="22"/>
          <w:szCs w:val="22"/>
          <w:highlight w:val="none"/>
        </w:rPr>
      </w:pPr>
      <w:r>
        <w:rPr>
          <w:rFonts w:hint="eastAsia" w:ascii="新宋体" w:hAnsi="新宋体" w:eastAsia="新宋体" w:cs="ˎ̥"/>
          <w:color w:val="auto"/>
          <w:sz w:val="22"/>
          <w:szCs w:val="22"/>
          <w:highlight w:val="none"/>
        </w:rPr>
        <w:t>3.供应商不按此要求填写此项内容或未按要求提供业绩证明材料将视为无业绩，不纳入评分范围。</w:t>
      </w:r>
    </w:p>
    <w:p>
      <w:pPr>
        <w:spacing w:line="400" w:lineRule="exact"/>
        <w:ind w:left="180"/>
        <w:rPr>
          <w:rFonts w:ascii="新宋体" w:hAnsi="新宋体" w:eastAsia="新宋体"/>
          <w:b/>
          <w:color w:val="auto"/>
          <w:sz w:val="22"/>
          <w:szCs w:val="22"/>
          <w:highlight w:val="none"/>
        </w:rPr>
      </w:pPr>
    </w:p>
    <w:p>
      <w:pPr>
        <w:tabs>
          <w:tab w:val="left" w:pos="840"/>
          <w:tab w:val="left" w:pos="5400"/>
        </w:tabs>
        <w:adjustRightInd w:val="0"/>
        <w:snapToGrid w:val="0"/>
        <w:spacing w:line="400" w:lineRule="exact"/>
        <w:ind w:left="420" w:leftChars="200" w:firstLine="4620" w:firstLineChars="21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供应商全称（盖章）：</w:t>
      </w:r>
    </w:p>
    <w:p>
      <w:pPr>
        <w:tabs>
          <w:tab w:val="left" w:pos="840"/>
          <w:tab w:val="left" w:pos="5400"/>
        </w:tabs>
        <w:adjustRightInd w:val="0"/>
        <w:snapToGrid w:val="0"/>
        <w:spacing w:line="400" w:lineRule="exact"/>
        <w:ind w:left="420" w:leftChars="200" w:firstLine="4620" w:firstLineChars="21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供应商代表（签字或盖章）：</w:t>
      </w:r>
    </w:p>
    <w:p>
      <w:pPr>
        <w:tabs>
          <w:tab w:val="left" w:pos="840"/>
          <w:tab w:val="left" w:pos="5400"/>
        </w:tabs>
        <w:adjustRightInd w:val="0"/>
        <w:snapToGrid w:val="0"/>
        <w:spacing w:line="400" w:lineRule="exact"/>
        <w:ind w:left="420" w:leftChars="200" w:firstLine="4620" w:firstLineChars="21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日          期：  年  月  日</w:t>
      </w:r>
    </w:p>
    <w:p>
      <w:pPr>
        <w:tabs>
          <w:tab w:val="left" w:pos="780"/>
        </w:tabs>
        <w:spacing w:line="400" w:lineRule="exact"/>
        <w:ind w:left="180"/>
        <w:rPr>
          <w:rFonts w:ascii="新宋体" w:hAnsi="新宋体" w:eastAsia="新宋体"/>
          <w:b/>
          <w:bCs/>
          <w:color w:val="auto"/>
          <w:sz w:val="22"/>
          <w:szCs w:val="22"/>
          <w:highlight w:val="none"/>
        </w:rPr>
      </w:pPr>
      <w:r>
        <w:rPr>
          <w:rFonts w:ascii="新宋体" w:hAnsi="新宋体" w:eastAsia="新宋体"/>
          <w:color w:val="auto"/>
          <w:sz w:val="22"/>
          <w:szCs w:val="22"/>
          <w:highlight w:val="none"/>
        </w:rPr>
        <w:br w:type="page"/>
      </w:r>
      <w:r>
        <w:rPr>
          <w:rFonts w:hint="eastAsia" w:ascii="新宋体" w:hAnsi="新宋体" w:eastAsia="新宋体"/>
          <w:b/>
          <w:bCs/>
          <w:color w:val="auto"/>
          <w:sz w:val="22"/>
          <w:szCs w:val="22"/>
          <w:highlight w:val="none"/>
        </w:rPr>
        <w:t>附件四</w:t>
      </w:r>
    </w:p>
    <w:p>
      <w:pPr>
        <w:tabs>
          <w:tab w:val="left" w:pos="780"/>
        </w:tabs>
        <w:spacing w:line="400" w:lineRule="exact"/>
        <w:ind w:left="180"/>
        <w:jc w:val="center"/>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项目负责人资格情况表</w:t>
      </w:r>
    </w:p>
    <w:tbl>
      <w:tblPr>
        <w:tblStyle w:val="53"/>
        <w:tblW w:w="9527" w:type="dxa"/>
        <w:jc w:val="center"/>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1018"/>
        <w:gridCol w:w="439"/>
        <w:gridCol w:w="1799"/>
        <w:gridCol w:w="1189"/>
        <w:gridCol w:w="378"/>
        <w:gridCol w:w="1062"/>
        <w:gridCol w:w="2074"/>
        <w:gridCol w:w="1568"/>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56" w:hRule="atLeast"/>
          <w:jc w:val="center"/>
        </w:trPr>
        <w:tc>
          <w:tcPr>
            <w:tcW w:w="9527" w:type="dxa"/>
            <w:gridSpan w:val="8"/>
            <w:tcBorders>
              <w:bottom w:val="single" w:color="auto" w:sz="4" w:space="0"/>
            </w:tcBorders>
            <w:vAlign w:val="center"/>
          </w:tcPr>
          <w:p>
            <w:pPr>
              <w:spacing w:line="360" w:lineRule="exact"/>
              <w:jc w:val="center"/>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1、一般情况</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457" w:type="dxa"/>
            <w:gridSpan w:val="2"/>
            <w:tcBorders>
              <w:top w:val="single" w:color="auto" w:sz="4" w:space="0"/>
              <w:bottom w:val="single" w:color="auto" w:sz="4" w:space="0"/>
            </w:tcBorders>
            <w:vAlign w:val="center"/>
          </w:tcPr>
          <w:p>
            <w:pPr>
              <w:spacing w:line="360" w:lineRule="exact"/>
              <w:jc w:val="center"/>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姓   名</w:t>
            </w:r>
          </w:p>
        </w:tc>
        <w:tc>
          <w:tcPr>
            <w:tcW w:w="1799" w:type="dxa"/>
            <w:tcBorders>
              <w:top w:val="single" w:color="auto" w:sz="4" w:space="0"/>
              <w:bottom w:val="single" w:color="auto" w:sz="4" w:space="0"/>
            </w:tcBorders>
            <w:vAlign w:val="center"/>
          </w:tcPr>
          <w:p>
            <w:pPr>
              <w:spacing w:line="360" w:lineRule="exact"/>
              <w:jc w:val="center"/>
              <w:rPr>
                <w:rFonts w:ascii="新宋体" w:hAnsi="新宋体" w:eastAsia="新宋体"/>
                <w:color w:val="auto"/>
                <w:sz w:val="22"/>
                <w:szCs w:val="22"/>
                <w:highlight w:val="none"/>
              </w:rPr>
            </w:pPr>
          </w:p>
        </w:tc>
        <w:tc>
          <w:tcPr>
            <w:tcW w:w="1567" w:type="dxa"/>
            <w:gridSpan w:val="2"/>
            <w:tcBorders>
              <w:top w:val="single" w:color="auto" w:sz="4" w:space="0"/>
              <w:bottom w:val="single" w:color="auto" w:sz="4" w:space="0"/>
            </w:tcBorders>
            <w:vAlign w:val="center"/>
          </w:tcPr>
          <w:p>
            <w:pPr>
              <w:spacing w:line="360" w:lineRule="exact"/>
              <w:jc w:val="center"/>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年  龄</w:t>
            </w:r>
          </w:p>
        </w:tc>
        <w:tc>
          <w:tcPr>
            <w:tcW w:w="1062" w:type="dxa"/>
            <w:tcBorders>
              <w:top w:val="single" w:color="auto" w:sz="4" w:space="0"/>
              <w:bottom w:val="single" w:color="auto" w:sz="4" w:space="0"/>
            </w:tcBorders>
            <w:vAlign w:val="center"/>
          </w:tcPr>
          <w:p>
            <w:pPr>
              <w:spacing w:line="360" w:lineRule="exact"/>
              <w:jc w:val="center"/>
              <w:rPr>
                <w:rFonts w:ascii="新宋体" w:hAnsi="新宋体" w:eastAsia="新宋体"/>
                <w:color w:val="auto"/>
                <w:sz w:val="22"/>
                <w:szCs w:val="22"/>
                <w:highlight w:val="none"/>
              </w:rPr>
            </w:pPr>
          </w:p>
        </w:tc>
        <w:tc>
          <w:tcPr>
            <w:tcW w:w="2074" w:type="dxa"/>
            <w:tcBorders>
              <w:top w:val="single" w:color="auto" w:sz="4" w:space="0"/>
              <w:bottom w:val="single" w:color="auto" w:sz="4" w:space="0"/>
            </w:tcBorders>
            <w:vAlign w:val="center"/>
          </w:tcPr>
          <w:p>
            <w:pPr>
              <w:spacing w:line="360" w:lineRule="exact"/>
              <w:jc w:val="center"/>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学  历</w:t>
            </w:r>
          </w:p>
        </w:tc>
        <w:tc>
          <w:tcPr>
            <w:tcW w:w="1568" w:type="dxa"/>
            <w:tcBorders>
              <w:top w:val="single" w:color="auto" w:sz="4" w:space="0"/>
              <w:bottom w:val="single" w:color="auto" w:sz="4" w:space="0"/>
            </w:tcBorders>
            <w:vAlign w:val="center"/>
          </w:tcPr>
          <w:p>
            <w:pPr>
              <w:spacing w:line="360" w:lineRule="exact"/>
              <w:jc w:val="center"/>
              <w:rPr>
                <w:rFonts w:ascii="新宋体" w:hAnsi="新宋体" w:eastAsia="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457" w:type="dxa"/>
            <w:gridSpan w:val="2"/>
            <w:tcBorders>
              <w:top w:val="single" w:color="auto" w:sz="4" w:space="0"/>
              <w:bottom w:val="single" w:color="auto" w:sz="4" w:space="0"/>
            </w:tcBorders>
            <w:vAlign w:val="center"/>
          </w:tcPr>
          <w:p>
            <w:pPr>
              <w:spacing w:line="360" w:lineRule="exact"/>
              <w:jc w:val="center"/>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毕业学校</w:t>
            </w:r>
          </w:p>
        </w:tc>
        <w:tc>
          <w:tcPr>
            <w:tcW w:w="1799" w:type="dxa"/>
            <w:tcBorders>
              <w:top w:val="single" w:color="auto" w:sz="4" w:space="0"/>
              <w:bottom w:val="single" w:color="auto" w:sz="4" w:space="0"/>
            </w:tcBorders>
            <w:vAlign w:val="center"/>
          </w:tcPr>
          <w:p>
            <w:pPr>
              <w:spacing w:line="360" w:lineRule="exact"/>
              <w:rPr>
                <w:rFonts w:ascii="新宋体" w:hAnsi="新宋体" w:eastAsia="新宋体"/>
                <w:color w:val="auto"/>
                <w:sz w:val="22"/>
                <w:szCs w:val="22"/>
                <w:highlight w:val="none"/>
              </w:rPr>
            </w:pPr>
          </w:p>
        </w:tc>
        <w:tc>
          <w:tcPr>
            <w:tcW w:w="1567" w:type="dxa"/>
            <w:gridSpan w:val="2"/>
            <w:tcBorders>
              <w:top w:val="single" w:color="auto" w:sz="4" w:space="0"/>
              <w:bottom w:val="single" w:color="auto" w:sz="4" w:space="0"/>
            </w:tcBorders>
            <w:vAlign w:val="center"/>
          </w:tcPr>
          <w:p>
            <w:pPr>
              <w:spacing w:line="360" w:lineRule="exact"/>
              <w:jc w:val="center"/>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专  业</w:t>
            </w:r>
          </w:p>
        </w:tc>
        <w:tc>
          <w:tcPr>
            <w:tcW w:w="1062" w:type="dxa"/>
            <w:tcBorders>
              <w:top w:val="single" w:color="auto" w:sz="4" w:space="0"/>
              <w:bottom w:val="single" w:color="auto" w:sz="4" w:space="0"/>
            </w:tcBorders>
            <w:vAlign w:val="center"/>
          </w:tcPr>
          <w:p>
            <w:pPr>
              <w:spacing w:line="360" w:lineRule="exact"/>
              <w:jc w:val="center"/>
              <w:rPr>
                <w:rFonts w:ascii="新宋体" w:hAnsi="新宋体" w:eastAsia="新宋体"/>
                <w:color w:val="auto"/>
                <w:sz w:val="22"/>
                <w:szCs w:val="22"/>
                <w:highlight w:val="none"/>
              </w:rPr>
            </w:pPr>
          </w:p>
        </w:tc>
        <w:tc>
          <w:tcPr>
            <w:tcW w:w="2074" w:type="dxa"/>
            <w:tcBorders>
              <w:top w:val="single" w:color="auto" w:sz="4" w:space="0"/>
              <w:bottom w:val="single" w:color="auto" w:sz="4" w:space="0"/>
            </w:tcBorders>
            <w:vAlign w:val="center"/>
          </w:tcPr>
          <w:p>
            <w:pPr>
              <w:spacing w:line="360" w:lineRule="exact"/>
              <w:jc w:val="center"/>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职  务</w:t>
            </w:r>
          </w:p>
        </w:tc>
        <w:tc>
          <w:tcPr>
            <w:tcW w:w="1568" w:type="dxa"/>
            <w:tcBorders>
              <w:top w:val="single" w:color="auto" w:sz="4" w:space="0"/>
              <w:bottom w:val="single" w:color="auto" w:sz="4" w:space="0"/>
            </w:tcBorders>
            <w:vAlign w:val="center"/>
          </w:tcPr>
          <w:p>
            <w:pPr>
              <w:spacing w:line="360" w:lineRule="exact"/>
              <w:jc w:val="center"/>
              <w:rPr>
                <w:rFonts w:ascii="新宋体" w:hAnsi="新宋体" w:eastAsia="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963" w:hRule="exact"/>
          <w:jc w:val="center"/>
        </w:trPr>
        <w:tc>
          <w:tcPr>
            <w:tcW w:w="1457" w:type="dxa"/>
            <w:gridSpan w:val="2"/>
            <w:tcBorders>
              <w:top w:val="single" w:color="auto" w:sz="4" w:space="0"/>
              <w:bottom w:val="single" w:color="auto" w:sz="4" w:space="0"/>
            </w:tcBorders>
            <w:vAlign w:val="center"/>
          </w:tcPr>
          <w:p>
            <w:pPr>
              <w:spacing w:line="360" w:lineRule="exact"/>
              <w:jc w:val="center"/>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职  称</w:t>
            </w:r>
          </w:p>
        </w:tc>
        <w:tc>
          <w:tcPr>
            <w:tcW w:w="1799" w:type="dxa"/>
            <w:tcBorders>
              <w:top w:val="single" w:color="auto" w:sz="4" w:space="0"/>
              <w:bottom w:val="single" w:color="auto" w:sz="4" w:space="0"/>
            </w:tcBorders>
            <w:vAlign w:val="center"/>
          </w:tcPr>
          <w:p>
            <w:pPr>
              <w:spacing w:line="360" w:lineRule="exact"/>
              <w:rPr>
                <w:rFonts w:ascii="新宋体" w:hAnsi="新宋体" w:eastAsia="新宋体"/>
                <w:color w:val="auto"/>
                <w:sz w:val="22"/>
                <w:szCs w:val="22"/>
                <w:highlight w:val="none"/>
              </w:rPr>
            </w:pPr>
          </w:p>
        </w:tc>
        <w:tc>
          <w:tcPr>
            <w:tcW w:w="1567" w:type="dxa"/>
            <w:gridSpan w:val="2"/>
            <w:tcBorders>
              <w:top w:val="single" w:color="auto" w:sz="4" w:space="0"/>
              <w:bottom w:val="single" w:color="auto" w:sz="4" w:space="0"/>
            </w:tcBorders>
            <w:vAlign w:val="center"/>
          </w:tcPr>
          <w:p>
            <w:pPr>
              <w:spacing w:line="360" w:lineRule="exact"/>
              <w:jc w:val="center"/>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拟任何职</w:t>
            </w:r>
          </w:p>
        </w:tc>
        <w:tc>
          <w:tcPr>
            <w:tcW w:w="1062" w:type="dxa"/>
            <w:tcBorders>
              <w:top w:val="single" w:color="auto" w:sz="4" w:space="0"/>
              <w:bottom w:val="single" w:color="auto" w:sz="4" w:space="0"/>
            </w:tcBorders>
            <w:vAlign w:val="center"/>
          </w:tcPr>
          <w:p>
            <w:pPr>
              <w:spacing w:line="360" w:lineRule="exact"/>
              <w:jc w:val="center"/>
              <w:rPr>
                <w:rFonts w:ascii="新宋体" w:hAnsi="新宋体" w:eastAsia="新宋体"/>
                <w:color w:val="auto"/>
                <w:sz w:val="22"/>
                <w:szCs w:val="22"/>
                <w:highlight w:val="none"/>
              </w:rPr>
            </w:pPr>
          </w:p>
        </w:tc>
        <w:tc>
          <w:tcPr>
            <w:tcW w:w="2074" w:type="dxa"/>
            <w:tcBorders>
              <w:top w:val="single" w:color="auto" w:sz="4" w:space="0"/>
              <w:bottom w:val="single" w:color="auto" w:sz="4" w:space="0"/>
            </w:tcBorders>
            <w:vAlign w:val="center"/>
          </w:tcPr>
          <w:p>
            <w:pPr>
              <w:spacing w:line="360" w:lineRule="exact"/>
              <w:jc w:val="center"/>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参加工作</w:t>
            </w:r>
          </w:p>
          <w:p>
            <w:pPr>
              <w:spacing w:line="360" w:lineRule="exact"/>
              <w:jc w:val="center"/>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时间</w:t>
            </w:r>
          </w:p>
        </w:tc>
        <w:tc>
          <w:tcPr>
            <w:tcW w:w="1568" w:type="dxa"/>
            <w:tcBorders>
              <w:top w:val="single" w:color="auto" w:sz="4" w:space="0"/>
              <w:bottom w:val="single" w:color="auto" w:sz="4" w:space="0"/>
            </w:tcBorders>
            <w:vAlign w:val="center"/>
          </w:tcPr>
          <w:p>
            <w:pPr>
              <w:spacing w:line="360" w:lineRule="exact"/>
              <w:jc w:val="center"/>
              <w:rPr>
                <w:rFonts w:ascii="新宋体" w:hAnsi="新宋体" w:eastAsia="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9527" w:type="dxa"/>
            <w:gridSpan w:val="8"/>
            <w:tcBorders>
              <w:top w:val="single" w:color="auto" w:sz="4" w:space="0"/>
              <w:bottom w:val="single" w:color="auto" w:sz="4" w:space="0"/>
            </w:tcBorders>
            <w:vAlign w:val="center"/>
          </w:tcPr>
          <w:p>
            <w:pPr>
              <w:spacing w:line="360" w:lineRule="exact"/>
              <w:jc w:val="center"/>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2、个人简历</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457" w:type="dxa"/>
            <w:gridSpan w:val="2"/>
            <w:tcBorders>
              <w:top w:val="single" w:color="auto" w:sz="4" w:space="0"/>
              <w:bottom w:val="single" w:color="auto" w:sz="4" w:space="0"/>
            </w:tcBorders>
            <w:vAlign w:val="center"/>
          </w:tcPr>
          <w:p>
            <w:pPr>
              <w:spacing w:line="360" w:lineRule="exact"/>
              <w:jc w:val="center"/>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时  间</w:t>
            </w:r>
          </w:p>
        </w:tc>
        <w:tc>
          <w:tcPr>
            <w:tcW w:w="8070" w:type="dxa"/>
            <w:gridSpan w:val="6"/>
            <w:tcBorders>
              <w:top w:val="single" w:color="auto" w:sz="4" w:space="0"/>
              <w:bottom w:val="single" w:color="auto" w:sz="4" w:space="0"/>
            </w:tcBorders>
            <w:vAlign w:val="center"/>
          </w:tcPr>
          <w:p>
            <w:pPr>
              <w:spacing w:line="360" w:lineRule="exact"/>
              <w:jc w:val="center"/>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专业工作经历</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457" w:type="dxa"/>
            <w:gridSpan w:val="2"/>
            <w:tcBorders>
              <w:top w:val="single" w:color="auto" w:sz="4" w:space="0"/>
              <w:bottom w:val="single" w:color="auto" w:sz="4" w:space="0"/>
            </w:tcBorders>
            <w:vAlign w:val="center"/>
          </w:tcPr>
          <w:p>
            <w:pPr>
              <w:spacing w:line="360" w:lineRule="exact"/>
              <w:rPr>
                <w:rFonts w:ascii="新宋体" w:hAnsi="新宋体" w:eastAsia="新宋体"/>
                <w:color w:val="auto"/>
                <w:sz w:val="22"/>
                <w:szCs w:val="22"/>
                <w:highlight w:val="none"/>
              </w:rPr>
            </w:pPr>
          </w:p>
        </w:tc>
        <w:tc>
          <w:tcPr>
            <w:tcW w:w="8070" w:type="dxa"/>
            <w:gridSpan w:val="6"/>
            <w:tcBorders>
              <w:top w:val="single" w:color="auto" w:sz="4" w:space="0"/>
              <w:bottom w:val="single" w:color="auto" w:sz="4" w:space="0"/>
            </w:tcBorders>
            <w:vAlign w:val="center"/>
          </w:tcPr>
          <w:p>
            <w:pPr>
              <w:spacing w:line="360" w:lineRule="exact"/>
              <w:rPr>
                <w:rFonts w:ascii="新宋体" w:hAnsi="新宋体" w:eastAsia="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457" w:type="dxa"/>
            <w:gridSpan w:val="2"/>
            <w:tcBorders>
              <w:top w:val="single" w:color="auto" w:sz="4" w:space="0"/>
              <w:bottom w:val="single" w:color="auto" w:sz="4" w:space="0"/>
            </w:tcBorders>
            <w:vAlign w:val="center"/>
          </w:tcPr>
          <w:p>
            <w:pPr>
              <w:spacing w:line="360" w:lineRule="exact"/>
              <w:rPr>
                <w:rFonts w:ascii="新宋体" w:hAnsi="新宋体" w:eastAsia="新宋体"/>
                <w:color w:val="auto"/>
                <w:sz w:val="22"/>
                <w:szCs w:val="22"/>
                <w:highlight w:val="none"/>
              </w:rPr>
            </w:pPr>
          </w:p>
        </w:tc>
        <w:tc>
          <w:tcPr>
            <w:tcW w:w="8070" w:type="dxa"/>
            <w:gridSpan w:val="6"/>
            <w:tcBorders>
              <w:top w:val="single" w:color="auto" w:sz="4" w:space="0"/>
              <w:bottom w:val="single" w:color="auto" w:sz="4" w:space="0"/>
            </w:tcBorders>
            <w:vAlign w:val="center"/>
          </w:tcPr>
          <w:p>
            <w:pPr>
              <w:spacing w:line="360" w:lineRule="exact"/>
              <w:rPr>
                <w:rFonts w:ascii="新宋体" w:hAnsi="新宋体" w:eastAsia="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9527" w:type="dxa"/>
            <w:gridSpan w:val="8"/>
            <w:tcBorders>
              <w:top w:val="single" w:color="auto" w:sz="4" w:space="0"/>
              <w:bottom w:val="single" w:color="auto" w:sz="4" w:space="0"/>
            </w:tcBorders>
            <w:vAlign w:val="center"/>
          </w:tcPr>
          <w:p>
            <w:pPr>
              <w:spacing w:line="360" w:lineRule="exact"/>
              <w:jc w:val="center"/>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3、</w:t>
            </w:r>
            <w:r>
              <w:rPr>
                <w:rFonts w:hint="eastAsia" w:ascii="新宋体" w:hAnsi="新宋体" w:eastAsia="新宋体" w:cs="Arial"/>
                <w:color w:val="auto"/>
                <w:sz w:val="22"/>
                <w:szCs w:val="22"/>
                <w:highlight w:val="none"/>
              </w:rPr>
              <w:t>项目负责人业绩</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018" w:type="dxa"/>
            <w:tcBorders>
              <w:top w:val="single" w:color="auto" w:sz="4" w:space="0"/>
              <w:bottom w:val="single" w:color="auto" w:sz="4" w:space="0"/>
            </w:tcBorders>
            <w:vAlign w:val="center"/>
          </w:tcPr>
          <w:p>
            <w:pPr>
              <w:spacing w:line="360" w:lineRule="exact"/>
              <w:jc w:val="center"/>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序号</w:t>
            </w:r>
          </w:p>
        </w:tc>
        <w:tc>
          <w:tcPr>
            <w:tcW w:w="3427" w:type="dxa"/>
            <w:gridSpan w:val="3"/>
            <w:tcBorders>
              <w:top w:val="single" w:color="auto" w:sz="4" w:space="0"/>
              <w:bottom w:val="single" w:color="auto" w:sz="4" w:space="0"/>
            </w:tcBorders>
            <w:vAlign w:val="center"/>
          </w:tcPr>
          <w:p>
            <w:pPr>
              <w:spacing w:line="360" w:lineRule="exact"/>
              <w:jc w:val="center"/>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项  目  名  称</w:t>
            </w:r>
          </w:p>
        </w:tc>
        <w:tc>
          <w:tcPr>
            <w:tcW w:w="1440" w:type="dxa"/>
            <w:gridSpan w:val="2"/>
            <w:tcBorders>
              <w:top w:val="single" w:color="auto" w:sz="4" w:space="0"/>
              <w:bottom w:val="single" w:color="auto" w:sz="4" w:space="0"/>
            </w:tcBorders>
            <w:vAlign w:val="center"/>
          </w:tcPr>
          <w:p>
            <w:pPr>
              <w:spacing w:line="360" w:lineRule="exact"/>
              <w:jc w:val="center"/>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完成年份</w:t>
            </w:r>
          </w:p>
        </w:tc>
        <w:tc>
          <w:tcPr>
            <w:tcW w:w="3642" w:type="dxa"/>
            <w:gridSpan w:val="2"/>
            <w:tcBorders>
              <w:top w:val="single" w:color="auto" w:sz="4" w:space="0"/>
              <w:bottom w:val="single" w:color="auto" w:sz="4" w:space="0"/>
            </w:tcBorders>
            <w:vAlign w:val="center"/>
          </w:tcPr>
          <w:p>
            <w:pPr>
              <w:spacing w:line="360" w:lineRule="exact"/>
              <w:jc w:val="center"/>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获奖情况</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PrEx>
        <w:trPr>
          <w:cantSplit/>
          <w:trHeight w:val="740" w:hRule="exact"/>
          <w:jc w:val="center"/>
        </w:trPr>
        <w:tc>
          <w:tcPr>
            <w:tcW w:w="1018" w:type="dxa"/>
            <w:tcBorders>
              <w:top w:val="single" w:color="auto" w:sz="4" w:space="0"/>
              <w:bottom w:val="single" w:color="auto" w:sz="4" w:space="0"/>
            </w:tcBorders>
            <w:vAlign w:val="center"/>
          </w:tcPr>
          <w:p>
            <w:pPr>
              <w:spacing w:line="360" w:lineRule="exact"/>
              <w:rPr>
                <w:rFonts w:ascii="新宋体" w:hAnsi="新宋体" w:eastAsia="新宋体"/>
                <w:color w:val="auto"/>
                <w:sz w:val="22"/>
                <w:szCs w:val="22"/>
                <w:highlight w:val="none"/>
              </w:rPr>
            </w:pPr>
          </w:p>
        </w:tc>
        <w:tc>
          <w:tcPr>
            <w:tcW w:w="3427" w:type="dxa"/>
            <w:gridSpan w:val="3"/>
            <w:tcBorders>
              <w:top w:val="single" w:color="auto" w:sz="4" w:space="0"/>
              <w:bottom w:val="single" w:color="auto" w:sz="4" w:space="0"/>
            </w:tcBorders>
            <w:vAlign w:val="center"/>
          </w:tcPr>
          <w:p>
            <w:pPr>
              <w:spacing w:line="360" w:lineRule="exact"/>
              <w:rPr>
                <w:rFonts w:ascii="新宋体" w:hAnsi="新宋体" w:eastAsia="新宋体"/>
                <w:color w:val="auto"/>
                <w:sz w:val="22"/>
                <w:szCs w:val="22"/>
                <w:highlight w:val="none"/>
              </w:rPr>
            </w:pPr>
          </w:p>
        </w:tc>
        <w:tc>
          <w:tcPr>
            <w:tcW w:w="1440" w:type="dxa"/>
            <w:gridSpan w:val="2"/>
            <w:tcBorders>
              <w:top w:val="single" w:color="auto" w:sz="4" w:space="0"/>
              <w:bottom w:val="single" w:color="auto" w:sz="4" w:space="0"/>
            </w:tcBorders>
            <w:vAlign w:val="center"/>
          </w:tcPr>
          <w:p>
            <w:pPr>
              <w:spacing w:line="360" w:lineRule="exact"/>
              <w:rPr>
                <w:rFonts w:ascii="新宋体" w:hAnsi="新宋体" w:eastAsia="新宋体"/>
                <w:color w:val="auto"/>
                <w:sz w:val="22"/>
                <w:szCs w:val="22"/>
                <w:highlight w:val="none"/>
              </w:rPr>
            </w:pPr>
          </w:p>
        </w:tc>
        <w:tc>
          <w:tcPr>
            <w:tcW w:w="3642" w:type="dxa"/>
            <w:gridSpan w:val="2"/>
            <w:tcBorders>
              <w:top w:val="single" w:color="auto" w:sz="4" w:space="0"/>
              <w:bottom w:val="single" w:color="auto" w:sz="4" w:space="0"/>
            </w:tcBorders>
            <w:vAlign w:val="center"/>
          </w:tcPr>
          <w:p>
            <w:pPr>
              <w:spacing w:line="360" w:lineRule="exact"/>
              <w:rPr>
                <w:rFonts w:ascii="新宋体" w:hAnsi="新宋体" w:eastAsia="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018" w:type="dxa"/>
            <w:tcBorders>
              <w:top w:val="single" w:color="auto" w:sz="4" w:space="0"/>
              <w:bottom w:val="single" w:color="auto" w:sz="4" w:space="0"/>
            </w:tcBorders>
            <w:vAlign w:val="center"/>
          </w:tcPr>
          <w:p>
            <w:pPr>
              <w:spacing w:line="360" w:lineRule="exact"/>
              <w:rPr>
                <w:rFonts w:ascii="新宋体" w:hAnsi="新宋体" w:eastAsia="新宋体"/>
                <w:color w:val="auto"/>
                <w:sz w:val="22"/>
                <w:szCs w:val="22"/>
                <w:highlight w:val="none"/>
              </w:rPr>
            </w:pPr>
          </w:p>
        </w:tc>
        <w:tc>
          <w:tcPr>
            <w:tcW w:w="3427" w:type="dxa"/>
            <w:gridSpan w:val="3"/>
            <w:tcBorders>
              <w:top w:val="single" w:color="auto" w:sz="4" w:space="0"/>
              <w:bottom w:val="single" w:color="auto" w:sz="4" w:space="0"/>
            </w:tcBorders>
            <w:vAlign w:val="center"/>
          </w:tcPr>
          <w:p>
            <w:pPr>
              <w:spacing w:line="360" w:lineRule="exact"/>
              <w:rPr>
                <w:rFonts w:ascii="新宋体" w:hAnsi="新宋体" w:eastAsia="新宋体"/>
                <w:color w:val="auto"/>
                <w:sz w:val="22"/>
                <w:szCs w:val="22"/>
                <w:highlight w:val="none"/>
              </w:rPr>
            </w:pPr>
          </w:p>
        </w:tc>
        <w:tc>
          <w:tcPr>
            <w:tcW w:w="1440" w:type="dxa"/>
            <w:gridSpan w:val="2"/>
            <w:tcBorders>
              <w:top w:val="single" w:color="auto" w:sz="4" w:space="0"/>
              <w:bottom w:val="single" w:color="auto" w:sz="4" w:space="0"/>
            </w:tcBorders>
            <w:vAlign w:val="center"/>
          </w:tcPr>
          <w:p>
            <w:pPr>
              <w:spacing w:line="360" w:lineRule="exact"/>
              <w:rPr>
                <w:rFonts w:ascii="新宋体" w:hAnsi="新宋体" w:eastAsia="新宋体"/>
                <w:color w:val="auto"/>
                <w:sz w:val="22"/>
                <w:szCs w:val="22"/>
                <w:highlight w:val="none"/>
              </w:rPr>
            </w:pPr>
          </w:p>
        </w:tc>
        <w:tc>
          <w:tcPr>
            <w:tcW w:w="3642" w:type="dxa"/>
            <w:gridSpan w:val="2"/>
            <w:tcBorders>
              <w:top w:val="single" w:color="auto" w:sz="4" w:space="0"/>
              <w:bottom w:val="single" w:color="auto" w:sz="4" w:space="0"/>
            </w:tcBorders>
            <w:vAlign w:val="center"/>
          </w:tcPr>
          <w:p>
            <w:pPr>
              <w:spacing w:line="360" w:lineRule="exact"/>
              <w:rPr>
                <w:rFonts w:ascii="新宋体" w:hAnsi="新宋体" w:eastAsia="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018" w:type="dxa"/>
            <w:tcBorders>
              <w:top w:val="single" w:color="auto" w:sz="4" w:space="0"/>
              <w:bottom w:val="single" w:color="auto" w:sz="4" w:space="0"/>
            </w:tcBorders>
            <w:vAlign w:val="center"/>
          </w:tcPr>
          <w:p>
            <w:pPr>
              <w:spacing w:line="360" w:lineRule="exact"/>
              <w:rPr>
                <w:rFonts w:ascii="新宋体" w:hAnsi="新宋体" w:eastAsia="新宋体"/>
                <w:color w:val="auto"/>
                <w:sz w:val="22"/>
                <w:szCs w:val="22"/>
                <w:highlight w:val="none"/>
              </w:rPr>
            </w:pPr>
          </w:p>
        </w:tc>
        <w:tc>
          <w:tcPr>
            <w:tcW w:w="3427" w:type="dxa"/>
            <w:gridSpan w:val="3"/>
            <w:tcBorders>
              <w:top w:val="single" w:color="auto" w:sz="4" w:space="0"/>
              <w:bottom w:val="single" w:color="auto" w:sz="4" w:space="0"/>
            </w:tcBorders>
            <w:vAlign w:val="center"/>
          </w:tcPr>
          <w:p>
            <w:pPr>
              <w:spacing w:line="360" w:lineRule="exact"/>
              <w:rPr>
                <w:rFonts w:ascii="新宋体" w:hAnsi="新宋体" w:eastAsia="新宋体"/>
                <w:color w:val="auto"/>
                <w:sz w:val="22"/>
                <w:szCs w:val="22"/>
                <w:highlight w:val="none"/>
              </w:rPr>
            </w:pPr>
          </w:p>
        </w:tc>
        <w:tc>
          <w:tcPr>
            <w:tcW w:w="1440" w:type="dxa"/>
            <w:gridSpan w:val="2"/>
            <w:tcBorders>
              <w:top w:val="single" w:color="auto" w:sz="4" w:space="0"/>
              <w:bottom w:val="single" w:color="auto" w:sz="4" w:space="0"/>
            </w:tcBorders>
            <w:vAlign w:val="center"/>
          </w:tcPr>
          <w:p>
            <w:pPr>
              <w:spacing w:line="360" w:lineRule="exact"/>
              <w:rPr>
                <w:rFonts w:ascii="新宋体" w:hAnsi="新宋体" w:eastAsia="新宋体"/>
                <w:color w:val="auto"/>
                <w:sz w:val="22"/>
                <w:szCs w:val="22"/>
                <w:highlight w:val="none"/>
              </w:rPr>
            </w:pPr>
          </w:p>
        </w:tc>
        <w:tc>
          <w:tcPr>
            <w:tcW w:w="3642" w:type="dxa"/>
            <w:gridSpan w:val="2"/>
            <w:tcBorders>
              <w:top w:val="single" w:color="auto" w:sz="4" w:space="0"/>
              <w:bottom w:val="single" w:color="auto" w:sz="4" w:space="0"/>
            </w:tcBorders>
            <w:vAlign w:val="center"/>
          </w:tcPr>
          <w:p>
            <w:pPr>
              <w:spacing w:line="360" w:lineRule="exact"/>
              <w:rPr>
                <w:rFonts w:ascii="新宋体" w:hAnsi="新宋体" w:eastAsia="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PrEx>
        <w:trPr>
          <w:cantSplit/>
          <w:trHeight w:val="740" w:hRule="exact"/>
          <w:jc w:val="center"/>
        </w:trPr>
        <w:tc>
          <w:tcPr>
            <w:tcW w:w="1018" w:type="dxa"/>
            <w:tcBorders>
              <w:top w:val="single" w:color="auto" w:sz="4" w:space="0"/>
              <w:bottom w:val="single" w:color="auto" w:sz="12" w:space="0"/>
            </w:tcBorders>
            <w:vAlign w:val="center"/>
          </w:tcPr>
          <w:p>
            <w:pPr>
              <w:spacing w:line="360" w:lineRule="exact"/>
              <w:rPr>
                <w:rFonts w:ascii="新宋体" w:hAnsi="新宋体" w:eastAsia="新宋体"/>
                <w:color w:val="auto"/>
                <w:sz w:val="22"/>
                <w:szCs w:val="22"/>
                <w:highlight w:val="none"/>
              </w:rPr>
            </w:pPr>
          </w:p>
        </w:tc>
        <w:tc>
          <w:tcPr>
            <w:tcW w:w="3427" w:type="dxa"/>
            <w:gridSpan w:val="3"/>
            <w:tcBorders>
              <w:top w:val="single" w:color="auto" w:sz="4" w:space="0"/>
              <w:bottom w:val="single" w:color="auto" w:sz="12" w:space="0"/>
            </w:tcBorders>
            <w:vAlign w:val="center"/>
          </w:tcPr>
          <w:p>
            <w:pPr>
              <w:spacing w:line="360" w:lineRule="exact"/>
              <w:rPr>
                <w:rFonts w:ascii="新宋体" w:hAnsi="新宋体" w:eastAsia="新宋体"/>
                <w:color w:val="auto"/>
                <w:sz w:val="22"/>
                <w:szCs w:val="22"/>
                <w:highlight w:val="none"/>
              </w:rPr>
            </w:pPr>
          </w:p>
        </w:tc>
        <w:tc>
          <w:tcPr>
            <w:tcW w:w="1440" w:type="dxa"/>
            <w:gridSpan w:val="2"/>
            <w:tcBorders>
              <w:top w:val="single" w:color="auto" w:sz="4" w:space="0"/>
              <w:bottom w:val="single" w:color="auto" w:sz="12" w:space="0"/>
            </w:tcBorders>
            <w:vAlign w:val="center"/>
          </w:tcPr>
          <w:p>
            <w:pPr>
              <w:spacing w:line="360" w:lineRule="exact"/>
              <w:rPr>
                <w:rFonts w:ascii="新宋体" w:hAnsi="新宋体" w:eastAsia="新宋体"/>
                <w:color w:val="auto"/>
                <w:sz w:val="22"/>
                <w:szCs w:val="22"/>
                <w:highlight w:val="none"/>
              </w:rPr>
            </w:pPr>
          </w:p>
        </w:tc>
        <w:tc>
          <w:tcPr>
            <w:tcW w:w="3642" w:type="dxa"/>
            <w:gridSpan w:val="2"/>
            <w:tcBorders>
              <w:top w:val="single" w:color="auto" w:sz="4" w:space="0"/>
              <w:bottom w:val="single" w:color="auto" w:sz="12" w:space="0"/>
            </w:tcBorders>
            <w:vAlign w:val="center"/>
          </w:tcPr>
          <w:p>
            <w:pPr>
              <w:spacing w:line="360" w:lineRule="exact"/>
              <w:rPr>
                <w:rFonts w:ascii="新宋体" w:hAnsi="新宋体" w:eastAsia="新宋体"/>
                <w:color w:val="auto"/>
                <w:sz w:val="22"/>
                <w:szCs w:val="22"/>
                <w:highlight w:val="none"/>
              </w:rPr>
            </w:pPr>
          </w:p>
        </w:tc>
      </w:tr>
    </w:tbl>
    <w:p>
      <w:pPr>
        <w:tabs>
          <w:tab w:val="left" w:pos="780"/>
        </w:tabs>
        <w:spacing w:line="400" w:lineRule="exact"/>
        <w:ind w:left="180"/>
        <w:rPr>
          <w:rFonts w:ascii="新宋体" w:hAnsi="新宋体" w:eastAsia="新宋体"/>
          <w:b/>
          <w:color w:val="auto"/>
          <w:sz w:val="22"/>
          <w:szCs w:val="22"/>
          <w:highlight w:val="none"/>
        </w:rPr>
      </w:pPr>
    </w:p>
    <w:p>
      <w:pPr>
        <w:pStyle w:val="22"/>
        <w:ind w:firstLine="321"/>
        <w:rPr>
          <w:rFonts w:ascii="新宋体" w:hAnsi="新宋体" w:eastAsia="新宋体"/>
          <w:color w:val="auto"/>
          <w:highlight w:val="none"/>
        </w:rPr>
      </w:pPr>
    </w:p>
    <w:p>
      <w:pPr>
        <w:spacing w:line="38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供应商全称（盖章）：</w:t>
      </w:r>
    </w:p>
    <w:p>
      <w:pPr>
        <w:spacing w:line="38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供应商代表（签字）：</w:t>
      </w:r>
    </w:p>
    <w:p>
      <w:pPr>
        <w:spacing w:line="380" w:lineRule="exact"/>
        <w:ind w:firstLine="4400" w:firstLineChars="2000"/>
        <w:rPr>
          <w:rFonts w:ascii="新宋体" w:hAnsi="新宋体" w:eastAsia="新宋体"/>
          <w:b/>
          <w:color w:val="auto"/>
          <w:sz w:val="22"/>
          <w:highlight w:val="none"/>
        </w:rPr>
      </w:pPr>
      <w:r>
        <w:rPr>
          <w:rFonts w:hint="eastAsia" w:ascii="新宋体" w:hAnsi="新宋体" w:eastAsia="新宋体"/>
          <w:color w:val="auto"/>
          <w:sz w:val="22"/>
          <w:szCs w:val="22"/>
          <w:highlight w:val="none"/>
        </w:rPr>
        <w:t xml:space="preserve">日期：  年   月  日 </w:t>
      </w:r>
      <w:r>
        <w:rPr>
          <w:rFonts w:hint="eastAsia" w:ascii="新宋体" w:hAnsi="新宋体" w:eastAsia="新宋体"/>
          <w:color w:val="auto"/>
          <w:sz w:val="24"/>
          <w:highlight w:val="none"/>
        </w:rPr>
        <w:t xml:space="preserve"> </w:t>
      </w:r>
    </w:p>
    <w:p>
      <w:pPr>
        <w:tabs>
          <w:tab w:val="left" w:pos="840"/>
        </w:tabs>
        <w:adjustRightInd w:val="0"/>
        <w:snapToGrid w:val="0"/>
        <w:spacing w:line="400" w:lineRule="exact"/>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br w:type="page"/>
      </w:r>
      <w:r>
        <w:rPr>
          <w:rFonts w:hint="eastAsia" w:ascii="新宋体" w:hAnsi="新宋体" w:eastAsia="新宋体"/>
          <w:b/>
          <w:color w:val="auto"/>
          <w:sz w:val="22"/>
          <w:szCs w:val="22"/>
          <w:highlight w:val="none"/>
        </w:rPr>
        <w:t>附件五</w:t>
      </w:r>
    </w:p>
    <w:p>
      <w:pPr>
        <w:tabs>
          <w:tab w:val="left" w:pos="840"/>
        </w:tabs>
        <w:adjustRightInd w:val="0"/>
        <w:snapToGrid w:val="0"/>
        <w:spacing w:line="400" w:lineRule="exact"/>
        <w:jc w:val="center"/>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项目服务人员汇总表</w:t>
      </w:r>
    </w:p>
    <w:tbl>
      <w:tblPr>
        <w:tblStyle w:val="53"/>
        <w:tblW w:w="985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6"/>
        <w:gridCol w:w="958"/>
        <w:gridCol w:w="958"/>
        <w:gridCol w:w="767"/>
        <w:gridCol w:w="767"/>
        <w:gridCol w:w="1340"/>
        <w:gridCol w:w="1326"/>
        <w:gridCol w:w="1825"/>
        <w:gridCol w:w="114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5" w:hRule="atLeast"/>
          <w:jc w:val="center"/>
        </w:trPr>
        <w:tc>
          <w:tcPr>
            <w:tcW w:w="766" w:type="dxa"/>
            <w:vAlign w:val="center"/>
          </w:tcPr>
          <w:p>
            <w:pPr>
              <w:spacing w:line="360" w:lineRule="auto"/>
              <w:jc w:val="center"/>
              <w:rPr>
                <w:rFonts w:ascii="新宋体" w:hAnsi="新宋体" w:eastAsia="新宋体"/>
                <w:color w:val="auto"/>
                <w:sz w:val="22"/>
                <w:highlight w:val="none"/>
              </w:rPr>
            </w:pPr>
            <w:r>
              <w:rPr>
                <w:rFonts w:hint="eastAsia" w:ascii="新宋体" w:hAnsi="新宋体" w:eastAsia="新宋体"/>
                <w:color w:val="auto"/>
                <w:sz w:val="22"/>
                <w:highlight w:val="none"/>
              </w:rPr>
              <w:t>序号</w:t>
            </w:r>
          </w:p>
        </w:tc>
        <w:tc>
          <w:tcPr>
            <w:tcW w:w="958" w:type="dxa"/>
            <w:vAlign w:val="center"/>
          </w:tcPr>
          <w:p>
            <w:pPr>
              <w:spacing w:line="360" w:lineRule="auto"/>
              <w:jc w:val="center"/>
              <w:rPr>
                <w:rFonts w:ascii="新宋体" w:hAnsi="新宋体" w:eastAsia="新宋体"/>
                <w:color w:val="auto"/>
                <w:sz w:val="22"/>
                <w:highlight w:val="none"/>
              </w:rPr>
            </w:pPr>
            <w:r>
              <w:rPr>
                <w:rFonts w:hint="eastAsia" w:ascii="新宋体" w:hAnsi="新宋体" w:eastAsia="新宋体"/>
                <w:color w:val="auto"/>
                <w:sz w:val="22"/>
                <w:highlight w:val="none"/>
              </w:rPr>
              <w:t>姓名</w:t>
            </w:r>
          </w:p>
        </w:tc>
        <w:tc>
          <w:tcPr>
            <w:tcW w:w="958" w:type="dxa"/>
            <w:vAlign w:val="center"/>
          </w:tcPr>
          <w:p>
            <w:pPr>
              <w:spacing w:line="360" w:lineRule="auto"/>
              <w:jc w:val="center"/>
              <w:rPr>
                <w:rFonts w:ascii="新宋体" w:hAnsi="新宋体" w:eastAsia="新宋体"/>
                <w:color w:val="auto"/>
                <w:sz w:val="22"/>
                <w:highlight w:val="none"/>
              </w:rPr>
            </w:pPr>
            <w:r>
              <w:rPr>
                <w:rFonts w:hint="eastAsia" w:ascii="新宋体" w:hAnsi="新宋体" w:eastAsia="新宋体"/>
                <w:color w:val="auto"/>
                <w:sz w:val="22"/>
                <w:highlight w:val="none"/>
              </w:rPr>
              <w:t>性别</w:t>
            </w:r>
          </w:p>
        </w:tc>
        <w:tc>
          <w:tcPr>
            <w:tcW w:w="767" w:type="dxa"/>
            <w:vAlign w:val="center"/>
          </w:tcPr>
          <w:p>
            <w:pPr>
              <w:spacing w:line="360" w:lineRule="auto"/>
              <w:jc w:val="center"/>
              <w:rPr>
                <w:rFonts w:ascii="新宋体" w:hAnsi="新宋体" w:eastAsia="新宋体"/>
                <w:color w:val="auto"/>
                <w:sz w:val="22"/>
                <w:highlight w:val="none"/>
              </w:rPr>
            </w:pPr>
            <w:r>
              <w:rPr>
                <w:rFonts w:hint="eastAsia" w:ascii="新宋体" w:hAnsi="新宋体" w:eastAsia="新宋体"/>
                <w:color w:val="auto"/>
                <w:sz w:val="22"/>
                <w:highlight w:val="none"/>
              </w:rPr>
              <w:t>年龄</w:t>
            </w:r>
          </w:p>
        </w:tc>
        <w:tc>
          <w:tcPr>
            <w:tcW w:w="767" w:type="dxa"/>
            <w:vAlign w:val="center"/>
          </w:tcPr>
          <w:p>
            <w:pPr>
              <w:spacing w:line="360" w:lineRule="auto"/>
              <w:jc w:val="center"/>
              <w:rPr>
                <w:rFonts w:ascii="新宋体" w:hAnsi="新宋体" w:eastAsia="新宋体"/>
                <w:color w:val="auto"/>
                <w:sz w:val="22"/>
                <w:highlight w:val="none"/>
              </w:rPr>
            </w:pPr>
            <w:r>
              <w:rPr>
                <w:rFonts w:hint="eastAsia" w:ascii="新宋体" w:hAnsi="新宋体" w:eastAsia="新宋体"/>
                <w:color w:val="auto"/>
                <w:sz w:val="22"/>
                <w:highlight w:val="none"/>
              </w:rPr>
              <w:t>学历</w:t>
            </w:r>
          </w:p>
        </w:tc>
        <w:tc>
          <w:tcPr>
            <w:tcW w:w="1340" w:type="dxa"/>
            <w:vAlign w:val="center"/>
          </w:tcPr>
          <w:p>
            <w:pPr>
              <w:spacing w:line="280" w:lineRule="exact"/>
              <w:jc w:val="center"/>
              <w:rPr>
                <w:rFonts w:ascii="新宋体" w:hAnsi="新宋体" w:eastAsia="新宋体"/>
                <w:color w:val="auto"/>
                <w:sz w:val="22"/>
                <w:highlight w:val="none"/>
              </w:rPr>
            </w:pPr>
            <w:r>
              <w:rPr>
                <w:rFonts w:hint="eastAsia" w:ascii="新宋体" w:hAnsi="新宋体" w:eastAsia="新宋体"/>
                <w:color w:val="auto"/>
                <w:sz w:val="22"/>
                <w:highlight w:val="none"/>
              </w:rPr>
              <w:t>职称/职务</w:t>
            </w:r>
          </w:p>
        </w:tc>
        <w:tc>
          <w:tcPr>
            <w:tcW w:w="1326" w:type="dxa"/>
            <w:vAlign w:val="center"/>
          </w:tcPr>
          <w:p>
            <w:pPr>
              <w:spacing w:line="280" w:lineRule="exact"/>
              <w:jc w:val="center"/>
              <w:rPr>
                <w:rFonts w:ascii="新宋体" w:hAnsi="新宋体" w:eastAsia="新宋体"/>
                <w:color w:val="auto"/>
                <w:sz w:val="22"/>
                <w:highlight w:val="none"/>
              </w:rPr>
            </w:pPr>
            <w:r>
              <w:rPr>
                <w:rFonts w:hint="eastAsia" w:ascii="新宋体" w:hAnsi="新宋体" w:eastAsia="新宋体"/>
                <w:color w:val="auto"/>
                <w:highlight w:val="none"/>
              </w:rPr>
              <w:t>本工程中的岗位</w:t>
            </w:r>
          </w:p>
        </w:tc>
        <w:tc>
          <w:tcPr>
            <w:tcW w:w="1825" w:type="dxa"/>
            <w:vAlign w:val="center"/>
          </w:tcPr>
          <w:p>
            <w:pPr>
              <w:spacing w:line="360" w:lineRule="auto"/>
              <w:jc w:val="center"/>
              <w:rPr>
                <w:rFonts w:ascii="新宋体" w:hAnsi="新宋体" w:eastAsia="新宋体"/>
                <w:color w:val="auto"/>
                <w:sz w:val="22"/>
                <w:highlight w:val="none"/>
              </w:rPr>
            </w:pPr>
            <w:r>
              <w:rPr>
                <w:rFonts w:hint="eastAsia" w:ascii="新宋体" w:hAnsi="新宋体" w:eastAsia="新宋体"/>
                <w:color w:val="auto"/>
                <w:sz w:val="22"/>
                <w:highlight w:val="none"/>
              </w:rPr>
              <w:t>从事专业年限</w:t>
            </w:r>
          </w:p>
        </w:tc>
        <w:tc>
          <w:tcPr>
            <w:tcW w:w="1147" w:type="dxa"/>
            <w:vAlign w:val="center"/>
          </w:tcPr>
          <w:p>
            <w:pPr>
              <w:spacing w:line="360" w:lineRule="auto"/>
              <w:jc w:val="center"/>
              <w:rPr>
                <w:rFonts w:ascii="新宋体" w:hAnsi="新宋体" w:eastAsia="新宋体"/>
                <w:color w:val="auto"/>
                <w:sz w:val="22"/>
                <w:highlight w:val="none"/>
              </w:rPr>
            </w:pPr>
            <w:r>
              <w:rPr>
                <w:rFonts w:hint="eastAsia" w:ascii="新宋体" w:hAnsi="新宋体" w:eastAsia="新宋体"/>
                <w:color w:val="auto"/>
                <w:sz w:val="22"/>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新宋体" w:hAnsi="新宋体" w:eastAsia="新宋体"/>
                <w:color w:val="auto"/>
                <w:sz w:val="22"/>
                <w:highlight w:val="none"/>
              </w:rPr>
            </w:pPr>
          </w:p>
        </w:tc>
        <w:tc>
          <w:tcPr>
            <w:tcW w:w="958" w:type="dxa"/>
            <w:vAlign w:val="center"/>
          </w:tcPr>
          <w:p>
            <w:pPr>
              <w:spacing w:line="360" w:lineRule="auto"/>
              <w:jc w:val="center"/>
              <w:rPr>
                <w:rFonts w:ascii="新宋体" w:hAnsi="新宋体" w:eastAsia="新宋体"/>
                <w:color w:val="auto"/>
                <w:sz w:val="22"/>
                <w:highlight w:val="none"/>
              </w:rPr>
            </w:pPr>
          </w:p>
        </w:tc>
        <w:tc>
          <w:tcPr>
            <w:tcW w:w="958" w:type="dxa"/>
            <w:vAlign w:val="center"/>
          </w:tcPr>
          <w:p>
            <w:pPr>
              <w:spacing w:line="360" w:lineRule="auto"/>
              <w:jc w:val="center"/>
              <w:rPr>
                <w:rFonts w:ascii="新宋体" w:hAnsi="新宋体" w:eastAsia="新宋体"/>
                <w:color w:val="auto"/>
                <w:sz w:val="22"/>
                <w:highlight w:val="none"/>
              </w:rPr>
            </w:pPr>
          </w:p>
        </w:tc>
        <w:tc>
          <w:tcPr>
            <w:tcW w:w="767" w:type="dxa"/>
            <w:vAlign w:val="center"/>
          </w:tcPr>
          <w:p>
            <w:pPr>
              <w:spacing w:line="360" w:lineRule="auto"/>
              <w:jc w:val="center"/>
              <w:rPr>
                <w:rFonts w:ascii="新宋体" w:hAnsi="新宋体" w:eastAsia="新宋体"/>
                <w:color w:val="auto"/>
                <w:sz w:val="22"/>
                <w:highlight w:val="none"/>
              </w:rPr>
            </w:pPr>
          </w:p>
        </w:tc>
        <w:tc>
          <w:tcPr>
            <w:tcW w:w="767" w:type="dxa"/>
            <w:vAlign w:val="center"/>
          </w:tcPr>
          <w:p>
            <w:pPr>
              <w:spacing w:line="360" w:lineRule="auto"/>
              <w:jc w:val="center"/>
              <w:rPr>
                <w:rFonts w:ascii="新宋体" w:hAnsi="新宋体" w:eastAsia="新宋体"/>
                <w:color w:val="auto"/>
                <w:sz w:val="22"/>
                <w:highlight w:val="none"/>
              </w:rPr>
            </w:pPr>
          </w:p>
        </w:tc>
        <w:tc>
          <w:tcPr>
            <w:tcW w:w="1340" w:type="dxa"/>
            <w:vAlign w:val="center"/>
          </w:tcPr>
          <w:p>
            <w:pPr>
              <w:spacing w:line="360" w:lineRule="auto"/>
              <w:jc w:val="center"/>
              <w:rPr>
                <w:rFonts w:ascii="新宋体" w:hAnsi="新宋体" w:eastAsia="新宋体"/>
                <w:color w:val="auto"/>
                <w:sz w:val="22"/>
                <w:highlight w:val="none"/>
              </w:rPr>
            </w:pPr>
          </w:p>
        </w:tc>
        <w:tc>
          <w:tcPr>
            <w:tcW w:w="1326" w:type="dxa"/>
            <w:vAlign w:val="center"/>
          </w:tcPr>
          <w:p>
            <w:pPr>
              <w:spacing w:line="360" w:lineRule="auto"/>
              <w:jc w:val="center"/>
              <w:rPr>
                <w:rFonts w:ascii="新宋体" w:hAnsi="新宋体" w:eastAsia="新宋体"/>
                <w:color w:val="auto"/>
                <w:sz w:val="22"/>
                <w:highlight w:val="none"/>
              </w:rPr>
            </w:pPr>
          </w:p>
        </w:tc>
        <w:tc>
          <w:tcPr>
            <w:tcW w:w="1825" w:type="dxa"/>
          </w:tcPr>
          <w:p>
            <w:pPr>
              <w:spacing w:line="360" w:lineRule="auto"/>
              <w:jc w:val="center"/>
              <w:rPr>
                <w:rFonts w:ascii="新宋体" w:hAnsi="新宋体" w:eastAsia="新宋体"/>
                <w:color w:val="auto"/>
                <w:sz w:val="22"/>
                <w:highlight w:val="none"/>
              </w:rPr>
            </w:pPr>
          </w:p>
        </w:tc>
        <w:tc>
          <w:tcPr>
            <w:tcW w:w="1147" w:type="dxa"/>
            <w:vAlign w:val="center"/>
          </w:tcPr>
          <w:p>
            <w:pPr>
              <w:spacing w:line="360" w:lineRule="auto"/>
              <w:jc w:val="center"/>
              <w:rPr>
                <w:rFonts w:ascii="新宋体" w:hAnsi="新宋体" w:eastAsia="新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新宋体" w:hAnsi="新宋体" w:eastAsia="新宋体"/>
                <w:color w:val="auto"/>
                <w:sz w:val="22"/>
                <w:highlight w:val="none"/>
              </w:rPr>
            </w:pPr>
          </w:p>
        </w:tc>
        <w:tc>
          <w:tcPr>
            <w:tcW w:w="958" w:type="dxa"/>
            <w:vAlign w:val="center"/>
          </w:tcPr>
          <w:p>
            <w:pPr>
              <w:spacing w:line="360" w:lineRule="auto"/>
              <w:jc w:val="center"/>
              <w:rPr>
                <w:rFonts w:ascii="新宋体" w:hAnsi="新宋体" w:eastAsia="新宋体"/>
                <w:color w:val="auto"/>
                <w:sz w:val="22"/>
                <w:highlight w:val="none"/>
              </w:rPr>
            </w:pPr>
          </w:p>
        </w:tc>
        <w:tc>
          <w:tcPr>
            <w:tcW w:w="958" w:type="dxa"/>
            <w:vAlign w:val="center"/>
          </w:tcPr>
          <w:p>
            <w:pPr>
              <w:spacing w:line="360" w:lineRule="auto"/>
              <w:jc w:val="center"/>
              <w:rPr>
                <w:rFonts w:ascii="新宋体" w:hAnsi="新宋体" w:eastAsia="新宋体"/>
                <w:color w:val="auto"/>
                <w:sz w:val="22"/>
                <w:highlight w:val="none"/>
              </w:rPr>
            </w:pPr>
          </w:p>
        </w:tc>
        <w:tc>
          <w:tcPr>
            <w:tcW w:w="767" w:type="dxa"/>
            <w:vAlign w:val="center"/>
          </w:tcPr>
          <w:p>
            <w:pPr>
              <w:spacing w:line="360" w:lineRule="auto"/>
              <w:jc w:val="center"/>
              <w:rPr>
                <w:rFonts w:ascii="新宋体" w:hAnsi="新宋体" w:eastAsia="新宋体"/>
                <w:color w:val="auto"/>
                <w:sz w:val="22"/>
                <w:highlight w:val="none"/>
              </w:rPr>
            </w:pPr>
          </w:p>
        </w:tc>
        <w:tc>
          <w:tcPr>
            <w:tcW w:w="767" w:type="dxa"/>
            <w:vAlign w:val="center"/>
          </w:tcPr>
          <w:p>
            <w:pPr>
              <w:spacing w:line="360" w:lineRule="auto"/>
              <w:jc w:val="center"/>
              <w:rPr>
                <w:rFonts w:ascii="新宋体" w:hAnsi="新宋体" w:eastAsia="新宋体"/>
                <w:color w:val="auto"/>
                <w:sz w:val="22"/>
                <w:highlight w:val="none"/>
              </w:rPr>
            </w:pPr>
          </w:p>
        </w:tc>
        <w:tc>
          <w:tcPr>
            <w:tcW w:w="1340" w:type="dxa"/>
            <w:vAlign w:val="center"/>
          </w:tcPr>
          <w:p>
            <w:pPr>
              <w:spacing w:line="360" w:lineRule="auto"/>
              <w:jc w:val="center"/>
              <w:rPr>
                <w:rFonts w:ascii="新宋体" w:hAnsi="新宋体" w:eastAsia="新宋体"/>
                <w:color w:val="auto"/>
                <w:sz w:val="22"/>
                <w:highlight w:val="none"/>
              </w:rPr>
            </w:pPr>
          </w:p>
        </w:tc>
        <w:tc>
          <w:tcPr>
            <w:tcW w:w="1326" w:type="dxa"/>
            <w:vAlign w:val="center"/>
          </w:tcPr>
          <w:p>
            <w:pPr>
              <w:spacing w:line="360" w:lineRule="auto"/>
              <w:jc w:val="center"/>
              <w:rPr>
                <w:rFonts w:ascii="新宋体" w:hAnsi="新宋体" w:eastAsia="新宋体"/>
                <w:color w:val="auto"/>
                <w:sz w:val="22"/>
                <w:highlight w:val="none"/>
              </w:rPr>
            </w:pPr>
          </w:p>
        </w:tc>
        <w:tc>
          <w:tcPr>
            <w:tcW w:w="1825" w:type="dxa"/>
          </w:tcPr>
          <w:p>
            <w:pPr>
              <w:spacing w:line="360" w:lineRule="auto"/>
              <w:jc w:val="center"/>
              <w:rPr>
                <w:rFonts w:ascii="新宋体" w:hAnsi="新宋体" w:eastAsia="新宋体"/>
                <w:color w:val="auto"/>
                <w:sz w:val="22"/>
                <w:highlight w:val="none"/>
              </w:rPr>
            </w:pPr>
          </w:p>
        </w:tc>
        <w:tc>
          <w:tcPr>
            <w:tcW w:w="1147" w:type="dxa"/>
            <w:vAlign w:val="center"/>
          </w:tcPr>
          <w:p>
            <w:pPr>
              <w:spacing w:line="360" w:lineRule="auto"/>
              <w:jc w:val="center"/>
              <w:rPr>
                <w:rFonts w:ascii="新宋体" w:hAnsi="新宋体" w:eastAsia="新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新宋体" w:hAnsi="新宋体" w:eastAsia="新宋体"/>
                <w:color w:val="auto"/>
                <w:sz w:val="22"/>
                <w:highlight w:val="none"/>
              </w:rPr>
            </w:pPr>
          </w:p>
        </w:tc>
        <w:tc>
          <w:tcPr>
            <w:tcW w:w="958" w:type="dxa"/>
            <w:vAlign w:val="center"/>
          </w:tcPr>
          <w:p>
            <w:pPr>
              <w:spacing w:line="360" w:lineRule="auto"/>
              <w:jc w:val="center"/>
              <w:rPr>
                <w:rFonts w:ascii="新宋体" w:hAnsi="新宋体" w:eastAsia="新宋体"/>
                <w:color w:val="auto"/>
                <w:sz w:val="22"/>
                <w:highlight w:val="none"/>
              </w:rPr>
            </w:pPr>
          </w:p>
        </w:tc>
        <w:tc>
          <w:tcPr>
            <w:tcW w:w="958" w:type="dxa"/>
            <w:vAlign w:val="center"/>
          </w:tcPr>
          <w:p>
            <w:pPr>
              <w:spacing w:line="360" w:lineRule="auto"/>
              <w:jc w:val="center"/>
              <w:rPr>
                <w:rFonts w:ascii="新宋体" w:hAnsi="新宋体" w:eastAsia="新宋体"/>
                <w:color w:val="auto"/>
                <w:sz w:val="22"/>
                <w:highlight w:val="none"/>
              </w:rPr>
            </w:pPr>
          </w:p>
        </w:tc>
        <w:tc>
          <w:tcPr>
            <w:tcW w:w="767" w:type="dxa"/>
            <w:vAlign w:val="center"/>
          </w:tcPr>
          <w:p>
            <w:pPr>
              <w:spacing w:line="360" w:lineRule="auto"/>
              <w:jc w:val="center"/>
              <w:rPr>
                <w:rFonts w:ascii="新宋体" w:hAnsi="新宋体" w:eastAsia="新宋体"/>
                <w:color w:val="auto"/>
                <w:sz w:val="22"/>
                <w:highlight w:val="none"/>
              </w:rPr>
            </w:pPr>
          </w:p>
        </w:tc>
        <w:tc>
          <w:tcPr>
            <w:tcW w:w="767" w:type="dxa"/>
            <w:vAlign w:val="center"/>
          </w:tcPr>
          <w:p>
            <w:pPr>
              <w:spacing w:line="360" w:lineRule="auto"/>
              <w:jc w:val="center"/>
              <w:rPr>
                <w:rFonts w:ascii="新宋体" w:hAnsi="新宋体" w:eastAsia="新宋体"/>
                <w:color w:val="auto"/>
                <w:sz w:val="22"/>
                <w:highlight w:val="none"/>
              </w:rPr>
            </w:pPr>
          </w:p>
        </w:tc>
        <w:tc>
          <w:tcPr>
            <w:tcW w:w="1340" w:type="dxa"/>
            <w:vAlign w:val="center"/>
          </w:tcPr>
          <w:p>
            <w:pPr>
              <w:spacing w:line="360" w:lineRule="auto"/>
              <w:jc w:val="center"/>
              <w:rPr>
                <w:rFonts w:ascii="新宋体" w:hAnsi="新宋体" w:eastAsia="新宋体"/>
                <w:color w:val="auto"/>
                <w:sz w:val="22"/>
                <w:highlight w:val="none"/>
              </w:rPr>
            </w:pPr>
          </w:p>
        </w:tc>
        <w:tc>
          <w:tcPr>
            <w:tcW w:w="1326" w:type="dxa"/>
            <w:vAlign w:val="center"/>
          </w:tcPr>
          <w:p>
            <w:pPr>
              <w:spacing w:line="360" w:lineRule="auto"/>
              <w:jc w:val="center"/>
              <w:rPr>
                <w:rFonts w:ascii="新宋体" w:hAnsi="新宋体" w:eastAsia="新宋体"/>
                <w:color w:val="auto"/>
                <w:sz w:val="22"/>
                <w:highlight w:val="none"/>
              </w:rPr>
            </w:pPr>
          </w:p>
        </w:tc>
        <w:tc>
          <w:tcPr>
            <w:tcW w:w="1825" w:type="dxa"/>
          </w:tcPr>
          <w:p>
            <w:pPr>
              <w:spacing w:line="360" w:lineRule="auto"/>
              <w:jc w:val="center"/>
              <w:rPr>
                <w:rFonts w:ascii="新宋体" w:hAnsi="新宋体" w:eastAsia="新宋体"/>
                <w:color w:val="auto"/>
                <w:sz w:val="22"/>
                <w:highlight w:val="none"/>
              </w:rPr>
            </w:pPr>
          </w:p>
        </w:tc>
        <w:tc>
          <w:tcPr>
            <w:tcW w:w="1147" w:type="dxa"/>
            <w:vAlign w:val="center"/>
          </w:tcPr>
          <w:p>
            <w:pPr>
              <w:spacing w:line="360" w:lineRule="auto"/>
              <w:jc w:val="center"/>
              <w:rPr>
                <w:rFonts w:ascii="新宋体" w:hAnsi="新宋体" w:eastAsia="新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新宋体" w:hAnsi="新宋体" w:eastAsia="新宋体"/>
                <w:color w:val="auto"/>
                <w:sz w:val="22"/>
                <w:highlight w:val="none"/>
              </w:rPr>
            </w:pPr>
          </w:p>
        </w:tc>
        <w:tc>
          <w:tcPr>
            <w:tcW w:w="958" w:type="dxa"/>
            <w:vAlign w:val="center"/>
          </w:tcPr>
          <w:p>
            <w:pPr>
              <w:spacing w:line="360" w:lineRule="auto"/>
              <w:jc w:val="center"/>
              <w:rPr>
                <w:rFonts w:ascii="新宋体" w:hAnsi="新宋体" w:eastAsia="新宋体"/>
                <w:color w:val="auto"/>
                <w:sz w:val="22"/>
                <w:highlight w:val="none"/>
              </w:rPr>
            </w:pPr>
          </w:p>
        </w:tc>
        <w:tc>
          <w:tcPr>
            <w:tcW w:w="958" w:type="dxa"/>
            <w:vAlign w:val="center"/>
          </w:tcPr>
          <w:p>
            <w:pPr>
              <w:spacing w:line="360" w:lineRule="auto"/>
              <w:jc w:val="center"/>
              <w:rPr>
                <w:rFonts w:ascii="新宋体" w:hAnsi="新宋体" w:eastAsia="新宋体"/>
                <w:color w:val="auto"/>
                <w:sz w:val="22"/>
                <w:highlight w:val="none"/>
              </w:rPr>
            </w:pPr>
          </w:p>
        </w:tc>
        <w:tc>
          <w:tcPr>
            <w:tcW w:w="767" w:type="dxa"/>
            <w:vAlign w:val="center"/>
          </w:tcPr>
          <w:p>
            <w:pPr>
              <w:spacing w:line="360" w:lineRule="auto"/>
              <w:jc w:val="center"/>
              <w:rPr>
                <w:rFonts w:ascii="新宋体" w:hAnsi="新宋体" w:eastAsia="新宋体"/>
                <w:color w:val="auto"/>
                <w:sz w:val="22"/>
                <w:highlight w:val="none"/>
              </w:rPr>
            </w:pPr>
          </w:p>
        </w:tc>
        <w:tc>
          <w:tcPr>
            <w:tcW w:w="767" w:type="dxa"/>
            <w:vAlign w:val="center"/>
          </w:tcPr>
          <w:p>
            <w:pPr>
              <w:spacing w:line="360" w:lineRule="auto"/>
              <w:jc w:val="center"/>
              <w:rPr>
                <w:rFonts w:ascii="新宋体" w:hAnsi="新宋体" w:eastAsia="新宋体"/>
                <w:color w:val="auto"/>
                <w:sz w:val="22"/>
                <w:highlight w:val="none"/>
              </w:rPr>
            </w:pPr>
          </w:p>
        </w:tc>
        <w:tc>
          <w:tcPr>
            <w:tcW w:w="1340" w:type="dxa"/>
            <w:vAlign w:val="center"/>
          </w:tcPr>
          <w:p>
            <w:pPr>
              <w:spacing w:line="360" w:lineRule="auto"/>
              <w:jc w:val="center"/>
              <w:rPr>
                <w:rFonts w:ascii="新宋体" w:hAnsi="新宋体" w:eastAsia="新宋体"/>
                <w:color w:val="auto"/>
                <w:sz w:val="22"/>
                <w:highlight w:val="none"/>
              </w:rPr>
            </w:pPr>
          </w:p>
        </w:tc>
        <w:tc>
          <w:tcPr>
            <w:tcW w:w="1326" w:type="dxa"/>
            <w:vAlign w:val="center"/>
          </w:tcPr>
          <w:p>
            <w:pPr>
              <w:spacing w:line="360" w:lineRule="auto"/>
              <w:jc w:val="center"/>
              <w:rPr>
                <w:rFonts w:ascii="新宋体" w:hAnsi="新宋体" w:eastAsia="新宋体"/>
                <w:color w:val="auto"/>
                <w:sz w:val="22"/>
                <w:highlight w:val="none"/>
              </w:rPr>
            </w:pPr>
          </w:p>
        </w:tc>
        <w:tc>
          <w:tcPr>
            <w:tcW w:w="1825" w:type="dxa"/>
          </w:tcPr>
          <w:p>
            <w:pPr>
              <w:spacing w:line="360" w:lineRule="auto"/>
              <w:jc w:val="center"/>
              <w:rPr>
                <w:rFonts w:ascii="新宋体" w:hAnsi="新宋体" w:eastAsia="新宋体"/>
                <w:color w:val="auto"/>
                <w:sz w:val="22"/>
                <w:highlight w:val="none"/>
              </w:rPr>
            </w:pPr>
          </w:p>
        </w:tc>
        <w:tc>
          <w:tcPr>
            <w:tcW w:w="1147" w:type="dxa"/>
            <w:vAlign w:val="center"/>
          </w:tcPr>
          <w:p>
            <w:pPr>
              <w:spacing w:line="360" w:lineRule="auto"/>
              <w:jc w:val="center"/>
              <w:rPr>
                <w:rFonts w:ascii="新宋体" w:hAnsi="新宋体" w:eastAsia="新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新宋体" w:hAnsi="新宋体" w:eastAsia="新宋体"/>
                <w:color w:val="auto"/>
                <w:sz w:val="22"/>
                <w:highlight w:val="none"/>
              </w:rPr>
            </w:pPr>
          </w:p>
        </w:tc>
        <w:tc>
          <w:tcPr>
            <w:tcW w:w="958" w:type="dxa"/>
            <w:vAlign w:val="center"/>
          </w:tcPr>
          <w:p>
            <w:pPr>
              <w:spacing w:line="360" w:lineRule="auto"/>
              <w:jc w:val="center"/>
              <w:rPr>
                <w:rFonts w:ascii="新宋体" w:hAnsi="新宋体" w:eastAsia="新宋体"/>
                <w:color w:val="auto"/>
                <w:sz w:val="22"/>
                <w:highlight w:val="none"/>
              </w:rPr>
            </w:pPr>
          </w:p>
        </w:tc>
        <w:tc>
          <w:tcPr>
            <w:tcW w:w="958" w:type="dxa"/>
            <w:vAlign w:val="center"/>
          </w:tcPr>
          <w:p>
            <w:pPr>
              <w:spacing w:line="360" w:lineRule="auto"/>
              <w:jc w:val="center"/>
              <w:rPr>
                <w:rFonts w:ascii="新宋体" w:hAnsi="新宋体" w:eastAsia="新宋体"/>
                <w:color w:val="auto"/>
                <w:sz w:val="22"/>
                <w:highlight w:val="none"/>
              </w:rPr>
            </w:pPr>
          </w:p>
        </w:tc>
        <w:tc>
          <w:tcPr>
            <w:tcW w:w="767" w:type="dxa"/>
            <w:vAlign w:val="center"/>
          </w:tcPr>
          <w:p>
            <w:pPr>
              <w:spacing w:line="360" w:lineRule="auto"/>
              <w:jc w:val="center"/>
              <w:rPr>
                <w:rFonts w:ascii="新宋体" w:hAnsi="新宋体" w:eastAsia="新宋体"/>
                <w:color w:val="auto"/>
                <w:sz w:val="22"/>
                <w:highlight w:val="none"/>
              </w:rPr>
            </w:pPr>
          </w:p>
        </w:tc>
        <w:tc>
          <w:tcPr>
            <w:tcW w:w="767" w:type="dxa"/>
            <w:vAlign w:val="center"/>
          </w:tcPr>
          <w:p>
            <w:pPr>
              <w:spacing w:line="360" w:lineRule="auto"/>
              <w:jc w:val="center"/>
              <w:rPr>
                <w:rFonts w:ascii="新宋体" w:hAnsi="新宋体" w:eastAsia="新宋体"/>
                <w:color w:val="auto"/>
                <w:sz w:val="22"/>
                <w:highlight w:val="none"/>
              </w:rPr>
            </w:pPr>
          </w:p>
        </w:tc>
        <w:tc>
          <w:tcPr>
            <w:tcW w:w="1340" w:type="dxa"/>
            <w:vAlign w:val="center"/>
          </w:tcPr>
          <w:p>
            <w:pPr>
              <w:spacing w:line="360" w:lineRule="auto"/>
              <w:jc w:val="center"/>
              <w:rPr>
                <w:rFonts w:ascii="新宋体" w:hAnsi="新宋体" w:eastAsia="新宋体"/>
                <w:color w:val="auto"/>
                <w:sz w:val="22"/>
                <w:highlight w:val="none"/>
              </w:rPr>
            </w:pPr>
          </w:p>
        </w:tc>
        <w:tc>
          <w:tcPr>
            <w:tcW w:w="1326" w:type="dxa"/>
            <w:vAlign w:val="center"/>
          </w:tcPr>
          <w:p>
            <w:pPr>
              <w:spacing w:line="360" w:lineRule="auto"/>
              <w:jc w:val="center"/>
              <w:rPr>
                <w:rFonts w:ascii="新宋体" w:hAnsi="新宋体" w:eastAsia="新宋体"/>
                <w:color w:val="auto"/>
                <w:sz w:val="22"/>
                <w:highlight w:val="none"/>
              </w:rPr>
            </w:pPr>
          </w:p>
        </w:tc>
        <w:tc>
          <w:tcPr>
            <w:tcW w:w="1825" w:type="dxa"/>
          </w:tcPr>
          <w:p>
            <w:pPr>
              <w:spacing w:line="360" w:lineRule="auto"/>
              <w:jc w:val="center"/>
              <w:rPr>
                <w:rFonts w:ascii="新宋体" w:hAnsi="新宋体" w:eastAsia="新宋体"/>
                <w:color w:val="auto"/>
                <w:sz w:val="22"/>
                <w:highlight w:val="none"/>
              </w:rPr>
            </w:pPr>
          </w:p>
        </w:tc>
        <w:tc>
          <w:tcPr>
            <w:tcW w:w="1147" w:type="dxa"/>
            <w:vAlign w:val="center"/>
          </w:tcPr>
          <w:p>
            <w:pPr>
              <w:spacing w:line="360" w:lineRule="auto"/>
              <w:jc w:val="center"/>
              <w:rPr>
                <w:rFonts w:ascii="新宋体" w:hAnsi="新宋体" w:eastAsia="新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70" w:hRule="exact"/>
          <w:jc w:val="center"/>
        </w:trPr>
        <w:tc>
          <w:tcPr>
            <w:tcW w:w="766" w:type="dxa"/>
            <w:vAlign w:val="center"/>
          </w:tcPr>
          <w:p>
            <w:pPr>
              <w:spacing w:line="360" w:lineRule="auto"/>
              <w:jc w:val="center"/>
              <w:rPr>
                <w:rFonts w:ascii="新宋体" w:hAnsi="新宋体" w:eastAsia="新宋体"/>
                <w:color w:val="auto"/>
                <w:sz w:val="22"/>
                <w:highlight w:val="none"/>
              </w:rPr>
            </w:pPr>
          </w:p>
        </w:tc>
        <w:tc>
          <w:tcPr>
            <w:tcW w:w="958" w:type="dxa"/>
            <w:vAlign w:val="center"/>
          </w:tcPr>
          <w:p>
            <w:pPr>
              <w:spacing w:line="360" w:lineRule="auto"/>
              <w:jc w:val="center"/>
              <w:rPr>
                <w:rFonts w:ascii="新宋体" w:hAnsi="新宋体" w:eastAsia="新宋体"/>
                <w:color w:val="auto"/>
                <w:sz w:val="22"/>
                <w:highlight w:val="none"/>
              </w:rPr>
            </w:pPr>
          </w:p>
        </w:tc>
        <w:tc>
          <w:tcPr>
            <w:tcW w:w="958" w:type="dxa"/>
            <w:vAlign w:val="center"/>
          </w:tcPr>
          <w:p>
            <w:pPr>
              <w:spacing w:line="360" w:lineRule="auto"/>
              <w:jc w:val="center"/>
              <w:rPr>
                <w:rFonts w:ascii="新宋体" w:hAnsi="新宋体" w:eastAsia="新宋体"/>
                <w:color w:val="auto"/>
                <w:sz w:val="22"/>
                <w:highlight w:val="none"/>
              </w:rPr>
            </w:pPr>
          </w:p>
        </w:tc>
        <w:tc>
          <w:tcPr>
            <w:tcW w:w="767" w:type="dxa"/>
            <w:vAlign w:val="center"/>
          </w:tcPr>
          <w:p>
            <w:pPr>
              <w:spacing w:line="360" w:lineRule="auto"/>
              <w:jc w:val="center"/>
              <w:rPr>
                <w:rFonts w:ascii="新宋体" w:hAnsi="新宋体" w:eastAsia="新宋体"/>
                <w:color w:val="auto"/>
                <w:sz w:val="22"/>
                <w:highlight w:val="none"/>
              </w:rPr>
            </w:pPr>
          </w:p>
        </w:tc>
        <w:tc>
          <w:tcPr>
            <w:tcW w:w="767" w:type="dxa"/>
            <w:vAlign w:val="center"/>
          </w:tcPr>
          <w:p>
            <w:pPr>
              <w:spacing w:line="360" w:lineRule="auto"/>
              <w:jc w:val="center"/>
              <w:rPr>
                <w:rFonts w:ascii="新宋体" w:hAnsi="新宋体" w:eastAsia="新宋体"/>
                <w:color w:val="auto"/>
                <w:sz w:val="22"/>
                <w:highlight w:val="none"/>
              </w:rPr>
            </w:pPr>
          </w:p>
        </w:tc>
        <w:tc>
          <w:tcPr>
            <w:tcW w:w="1340" w:type="dxa"/>
            <w:vAlign w:val="center"/>
          </w:tcPr>
          <w:p>
            <w:pPr>
              <w:spacing w:line="360" w:lineRule="auto"/>
              <w:jc w:val="center"/>
              <w:rPr>
                <w:rFonts w:ascii="新宋体" w:hAnsi="新宋体" w:eastAsia="新宋体"/>
                <w:color w:val="auto"/>
                <w:sz w:val="22"/>
                <w:highlight w:val="none"/>
              </w:rPr>
            </w:pPr>
          </w:p>
        </w:tc>
        <w:tc>
          <w:tcPr>
            <w:tcW w:w="1326" w:type="dxa"/>
            <w:vAlign w:val="center"/>
          </w:tcPr>
          <w:p>
            <w:pPr>
              <w:spacing w:line="360" w:lineRule="auto"/>
              <w:jc w:val="center"/>
              <w:rPr>
                <w:rFonts w:ascii="新宋体" w:hAnsi="新宋体" w:eastAsia="新宋体"/>
                <w:color w:val="auto"/>
                <w:sz w:val="22"/>
                <w:highlight w:val="none"/>
              </w:rPr>
            </w:pPr>
          </w:p>
        </w:tc>
        <w:tc>
          <w:tcPr>
            <w:tcW w:w="1825" w:type="dxa"/>
          </w:tcPr>
          <w:p>
            <w:pPr>
              <w:spacing w:line="360" w:lineRule="auto"/>
              <w:jc w:val="center"/>
              <w:rPr>
                <w:rFonts w:ascii="新宋体" w:hAnsi="新宋体" w:eastAsia="新宋体"/>
                <w:color w:val="auto"/>
                <w:sz w:val="22"/>
                <w:highlight w:val="none"/>
              </w:rPr>
            </w:pPr>
          </w:p>
        </w:tc>
        <w:tc>
          <w:tcPr>
            <w:tcW w:w="1147" w:type="dxa"/>
            <w:vAlign w:val="center"/>
          </w:tcPr>
          <w:p>
            <w:pPr>
              <w:spacing w:line="360" w:lineRule="auto"/>
              <w:jc w:val="center"/>
              <w:rPr>
                <w:rFonts w:ascii="新宋体" w:hAnsi="新宋体" w:eastAsia="新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新宋体" w:hAnsi="新宋体" w:eastAsia="新宋体"/>
                <w:color w:val="auto"/>
                <w:sz w:val="22"/>
                <w:highlight w:val="none"/>
              </w:rPr>
            </w:pPr>
          </w:p>
        </w:tc>
        <w:tc>
          <w:tcPr>
            <w:tcW w:w="958" w:type="dxa"/>
            <w:vAlign w:val="center"/>
          </w:tcPr>
          <w:p>
            <w:pPr>
              <w:spacing w:line="360" w:lineRule="auto"/>
              <w:jc w:val="center"/>
              <w:rPr>
                <w:rFonts w:ascii="新宋体" w:hAnsi="新宋体" w:eastAsia="新宋体"/>
                <w:color w:val="auto"/>
                <w:sz w:val="22"/>
                <w:highlight w:val="none"/>
              </w:rPr>
            </w:pPr>
          </w:p>
        </w:tc>
        <w:tc>
          <w:tcPr>
            <w:tcW w:w="958" w:type="dxa"/>
            <w:vAlign w:val="center"/>
          </w:tcPr>
          <w:p>
            <w:pPr>
              <w:spacing w:line="360" w:lineRule="auto"/>
              <w:jc w:val="center"/>
              <w:rPr>
                <w:rFonts w:ascii="新宋体" w:hAnsi="新宋体" w:eastAsia="新宋体"/>
                <w:color w:val="auto"/>
                <w:sz w:val="22"/>
                <w:highlight w:val="none"/>
              </w:rPr>
            </w:pPr>
          </w:p>
        </w:tc>
        <w:tc>
          <w:tcPr>
            <w:tcW w:w="767" w:type="dxa"/>
            <w:vAlign w:val="center"/>
          </w:tcPr>
          <w:p>
            <w:pPr>
              <w:spacing w:line="360" w:lineRule="auto"/>
              <w:jc w:val="center"/>
              <w:rPr>
                <w:rFonts w:ascii="新宋体" w:hAnsi="新宋体" w:eastAsia="新宋体"/>
                <w:color w:val="auto"/>
                <w:sz w:val="22"/>
                <w:highlight w:val="none"/>
              </w:rPr>
            </w:pPr>
          </w:p>
        </w:tc>
        <w:tc>
          <w:tcPr>
            <w:tcW w:w="767" w:type="dxa"/>
            <w:vAlign w:val="center"/>
          </w:tcPr>
          <w:p>
            <w:pPr>
              <w:spacing w:line="360" w:lineRule="auto"/>
              <w:jc w:val="center"/>
              <w:rPr>
                <w:rFonts w:ascii="新宋体" w:hAnsi="新宋体" w:eastAsia="新宋体"/>
                <w:color w:val="auto"/>
                <w:sz w:val="22"/>
                <w:highlight w:val="none"/>
              </w:rPr>
            </w:pPr>
          </w:p>
        </w:tc>
        <w:tc>
          <w:tcPr>
            <w:tcW w:w="1340" w:type="dxa"/>
            <w:vAlign w:val="center"/>
          </w:tcPr>
          <w:p>
            <w:pPr>
              <w:spacing w:line="360" w:lineRule="auto"/>
              <w:jc w:val="center"/>
              <w:rPr>
                <w:rFonts w:ascii="新宋体" w:hAnsi="新宋体" w:eastAsia="新宋体"/>
                <w:color w:val="auto"/>
                <w:sz w:val="22"/>
                <w:highlight w:val="none"/>
              </w:rPr>
            </w:pPr>
          </w:p>
        </w:tc>
        <w:tc>
          <w:tcPr>
            <w:tcW w:w="1326" w:type="dxa"/>
            <w:vAlign w:val="center"/>
          </w:tcPr>
          <w:p>
            <w:pPr>
              <w:spacing w:line="360" w:lineRule="auto"/>
              <w:jc w:val="center"/>
              <w:rPr>
                <w:rFonts w:ascii="新宋体" w:hAnsi="新宋体" w:eastAsia="新宋体"/>
                <w:color w:val="auto"/>
                <w:sz w:val="22"/>
                <w:highlight w:val="none"/>
              </w:rPr>
            </w:pPr>
          </w:p>
        </w:tc>
        <w:tc>
          <w:tcPr>
            <w:tcW w:w="1825" w:type="dxa"/>
          </w:tcPr>
          <w:p>
            <w:pPr>
              <w:spacing w:line="360" w:lineRule="auto"/>
              <w:jc w:val="center"/>
              <w:rPr>
                <w:rFonts w:ascii="新宋体" w:hAnsi="新宋体" w:eastAsia="新宋体"/>
                <w:color w:val="auto"/>
                <w:sz w:val="22"/>
                <w:highlight w:val="none"/>
              </w:rPr>
            </w:pPr>
          </w:p>
        </w:tc>
        <w:tc>
          <w:tcPr>
            <w:tcW w:w="1147" w:type="dxa"/>
            <w:vAlign w:val="center"/>
          </w:tcPr>
          <w:p>
            <w:pPr>
              <w:spacing w:line="360" w:lineRule="auto"/>
              <w:jc w:val="center"/>
              <w:rPr>
                <w:rFonts w:ascii="新宋体" w:hAnsi="新宋体" w:eastAsia="新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新宋体" w:hAnsi="新宋体" w:eastAsia="新宋体"/>
                <w:color w:val="auto"/>
                <w:sz w:val="22"/>
                <w:highlight w:val="none"/>
              </w:rPr>
            </w:pPr>
          </w:p>
        </w:tc>
        <w:tc>
          <w:tcPr>
            <w:tcW w:w="958" w:type="dxa"/>
            <w:vAlign w:val="center"/>
          </w:tcPr>
          <w:p>
            <w:pPr>
              <w:spacing w:line="360" w:lineRule="auto"/>
              <w:jc w:val="center"/>
              <w:rPr>
                <w:rFonts w:ascii="新宋体" w:hAnsi="新宋体" w:eastAsia="新宋体"/>
                <w:color w:val="auto"/>
                <w:sz w:val="22"/>
                <w:highlight w:val="none"/>
              </w:rPr>
            </w:pPr>
          </w:p>
        </w:tc>
        <w:tc>
          <w:tcPr>
            <w:tcW w:w="958" w:type="dxa"/>
            <w:vAlign w:val="center"/>
          </w:tcPr>
          <w:p>
            <w:pPr>
              <w:spacing w:line="360" w:lineRule="auto"/>
              <w:jc w:val="center"/>
              <w:rPr>
                <w:rFonts w:ascii="新宋体" w:hAnsi="新宋体" w:eastAsia="新宋体"/>
                <w:color w:val="auto"/>
                <w:sz w:val="22"/>
                <w:highlight w:val="none"/>
              </w:rPr>
            </w:pPr>
          </w:p>
        </w:tc>
        <w:tc>
          <w:tcPr>
            <w:tcW w:w="767" w:type="dxa"/>
            <w:vAlign w:val="center"/>
          </w:tcPr>
          <w:p>
            <w:pPr>
              <w:spacing w:line="360" w:lineRule="auto"/>
              <w:jc w:val="center"/>
              <w:rPr>
                <w:rFonts w:ascii="新宋体" w:hAnsi="新宋体" w:eastAsia="新宋体"/>
                <w:color w:val="auto"/>
                <w:sz w:val="22"/>
                <w:highlight w:val="none"/>
              </w:rPr>
            </w:pPr>
          </w:p>
        </w:tc>
        <w:tc>
          <w:tcPr>
            <w:tcW w:w="767" w:type="dxa"/>
            <w:vAlign w:val="center"/>
          </w:tcPr>
          <w:p>
            <w:pPr>
              <w:spacing w:line="360" w:lineRule="auto"/>
              <w:jc w:val="center"/>
              <w:rPr>
                <w:rFonts w:ascii="新宋体" w:hAnsi="新宋体" w:eastAsia="新宋体"/>
                <w:color w:val="auto"/>
                <w:sz w:val="22"/>
                <w:highlight w:val="none"/>
              </w:rPr>
            </w:pPr>
          </w:p>
        </w:tc>
        <w:tc>
          <w:tcPr>
            <w:tcW w:w="1340" w:type="dxa"/>
            <w:vAlign w:val="center"/>
          </w:tcPr>
          <w:p>
            <w:pPr>
              <w:spacing w:line="360" w:lineRule="auto"/>
              <w:jc w:val="center"/>
              <w:rPr>
                <w:rFonts w:ascii="新宋体" w:hAnsi="新宋体" w:eastAsia="新宋体"/>
                <w:color w:val="auto"/>
                <w:sz w:val="22"/>
                <w:highlight w:val="none"/>
              </w:rPr>
            </w:pPr>
          </w:p>
        </w:tc>
        <w:tc>
          <w:tcPr>
            <w:tcW w:w="1326" w:type="dxa"/>
            <w:vAlign w:val="center"/>
          </w:tcPr>
          <w:p>
            <w:pPr>
              <w:spacing w:line="360" w:lineRule="auto"/>
              <w:jc w:val="center"/>
              <w:rPr>
                <w:rFonts w:ascii="新宋体" w:hAnsi="新宋体" w:eastAsia="新宋体"/>
                <w:color w:val="auto"/>
                <w:sz w:val="22"/>
                <w:highlight w:val="none"/>
              </w:rPr>
            </w:pPr>
          </w:p>
        </w:tc>
        <w:tc>
          <w:tcPr>
            <w:tcW w:w="1825" w:type="dxa"/>
          </w:tcPr>
          <w:p>
            <w:pPr>
              <w:spacing w:line="360" w:lineRule="auto"/>
              <w:jc w:val="center"/>
              <w:rPr>
                <w:rFonts w:ascii="新宋体" w:hAnsi="新宋体" w:eastAsia="新宋体"/>
                <w:color w:val="auto"/>
                <w:sz w:val="22"/>
                <w:highlight w:val="none"/>
              </w:rPr>
            </w:pPr>
          </w:p>
        </w:tc>
        <w:tc>
          <w:tcPr>
            <w:tcW w:w="1147" w:type="dxa"/>
            <w:vAlign w:val="center"/>
          </w:tcPr>
          <w:p>
            <w:pPr>
              <w:spacing w:line="360" w:lineRule="auto"/>
              <w:jc w:val="center"/>
              <w:rPr>
                <w:rFonts w:ascii="新宋体" w:hAnsi="新宋体" w:eastAsia="新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新宋体" w:hAnsi="新宋体" w:eastAsia="新宋体"/>
                <w:color w:val="auto"/>
                <w:sz w:val="22"/>
                <w:highlight w:val="none"/>
              </w:rPr>
            </w:pPr>
          </w:p>
        </w:tc>
        <w:tc>
          <w:tcPr>
            <w:tcW w:w="958" w:type="dxa"/>
            <w:vAlign w:val="center"/>
          </w:tcPr>
          <w:p>
            <w:pPr>
              <w:spacing w:line="360" w:lineRule="auto"/>
              <w:jc w:val="center"/>
              <w:rPr>
                <w:rFonts w:ascii="新宋体" w:hAnsi="新宋体" w:eastAsia="新宋体"/>
                <w:color w:val="auto"/>
                <w:sz w:val="22"/>
                <w:highlight w:val="none"/>
              </w:rPr>
            </w:pPr>
          </w:p>
        </w:tc>
        <w:tc>
          <w:tcPr>
            <w:tcW w:w="958" w:type="dxa"/>
            <w:vAlign w:val="center"/>
          </w:tcPr>
          <w:p>
            <w:pPr>
              <w:spacing w:line="360" w:lineRule="auto"/>
              <w:jc w:val="center"/>
              <w:rPr>
                <w:rFonts w:ascii="新宋体" w:hAnsi="新宋体" w:eastAsia="新宋体"/>
                <w:color w:val="auto"/>
                <w:sz w:val="22"/>
                <w:highlight w:val="none"/>
              </w:rPr>
            </w:pPr>
          </w:p>
        </w:tc>
        <w:tc>
          <w:tcPr>
            <w:tcW w:w="767" w:type="dxa"/>
            <w:vAlign w:val="center"/>
          </w:tcPr>
          <w:p>
            <w:pPr>
              <w:spacing w:line="360" w:lineRule="auto"/>
              <w:jc w:val="center"/>
              <w:rPr>
                <w:rFonts w:ascii="新宋体" w:hAnsi="新宋体" w:eastAsia="新宋体"/>
                <w:color w:val="auto"/>
                <w:sz w:val="22"/>
                <w:highlight w:val="none"/>
              </w:rPr>
            </w:pPr>
          </w:p>
        </w:tc>
        <w:tc>
          <w:tcPr>
            <w:tcW w:w="767" w:type="dxa"/>
            <w:vAlign w:val="center"/>
          </w:tcPr>
          <w:p>
            <w:pPr>
              <w:spacing w:line="360" w:lineRule="auto"/>
              <w:jc w:val="center"/>
              <w:rPr>
                <w:rFonts w:ascii="新宋体" w:hAnsi="新宋体" w:eastAsia="新宋体"/>
                <w:color w:val="auto"/>
                <w:sz w:val="22"/>
                <w:highlight w:val="none"/>
              </w:rPr>
            </w:pPr>
          </w:p>
        </w:tc>
        <w:tc>
          <w:tcPr>
            <w:tcW w:w="1340" w:type="dxa"/>
            <w:vAlign w:val="center"/>
          </w:tcPr>
          <w:p>
            <w:pPr>
              <w:spacing w:line="360" w:lineRule="auto"/>
              <w:jc w:val="center"/>
              <w:rPr>
                <w:rFonts w:ascii="新宋体" w:hAnsi="新宋体" w:eastAsia="新宋体"/>
                <w:color w:val="auto"/>
                <w:sz w:val="22"/>
                <w:highlight w:val="none"/>
              </w:rPr>
            </w:pPr>
          </w:p>
        </w:tc>
        <w:tc>
          <w:tcPr>
            <w:tcW w:w="1326" w:type="dxa"/>
            <w:vAlign w:val="center"/>
          </w:tcPr>
          <w:p>
            <w:pPr>
              <w:spacing w:line="360" w:lineRule="auto"/>
              <w:jc w:val="center"/>
              <w:rPr>
                <w:rFonts w:ascii="新宋体" w:hAnsi="新宋体" w:eastAsia="新宋体"/>
                <w:color w:val="auto"/>
                <w:sz w:val="22"/>
                <w:highlight w:val="none"/>
              </w:rPr>
            </w:pPr>
          </w:p>
        </w:tc>
        <w:tc>
          <w:tcPr>
            <w:tcW w:w="1825" w:type="dxa"/>
          </w:tcPr>
          <w:p>
            <w:pPr>
              <w:spacing w:line="360" w:lineRule="auto"/>
              <w:jc w:val="center"/>
              <w:rPr>
                <w:rFonts w:ascii="新宋体" w:hAnsi="新宋体" w:eastAsia="新宋体"/>
                <w:color w:val="auto"/>
                <w:sz w:val="22"/>
                <w:highlight w:val="none"/>
              </w:rPr>
            </w:pPr>
          </w:p>
        </w:tc>
        <w:tc>
          <w:tcPr>
            <w:tcW w:w="1147" w:type="dxa"/>
            <w:vAlign w:val="center"/>
          </w:tcPr>
          <w:p>
            <w:pPr>
              <w:spacing w:line="360" w:lineRule="auto"/>
              <w:jc w:val="center"/>
              <w:rPr>
                <w:rFonts w:ascii="新宋体" w:hAnsi="新宋体" w:eastAsia="新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新宋体" w:hAnsi="新宋体" w:eastAsia="新宋体"/>
                <w:color w:val="auto"/>
                <w:sz w:val="22"/>
                <w:highlight w:val="none"/>
              </w:rPr>
            </w:pPr>
          </w:p>
        </w:tc>
        <w:tc>
          <w:tcPr>
            <w:tcW w:w="958" w:type="dxa"/>
            <w:vAlign w:val="center"/>
          </w:tcPr>
          <w:p>
            <w:pPr>
              <w:spacing w:line="360" w:lineRule="auto"/>
              <w:jc w:val="center"/>
              <w:rPr>
                <w:rFonts w:ascii="新宋体" w:hAnsi="新宋体" w:eastAsia="新宋体"/>
                <w:color w:val="auto"/>
                <w:sz w:val="22"/>
                <w:highlight w:val="none"/>
              </w:rPr>
            </w:pPr>
          </w:p>
        </w:tc>
        <w:tc>
          <w:tcPr>
            <w:tcW w:w="958" w:type="dxa"/>
            <w:vAlign w:val="center"/>
          </w:tcPr>
          <w:p>
            <w:pPr>
              <w:spacing w:line="360" w:lineRule="auto"/>
              <w:jc w:val="center"/>
              <w:rPr>
                <w:rFonts w:ascii="新宋体" w:hAnsi="新宋体" w:eastAsia="新宋体"/>
                <w:color w:val="auto"/>
                <w:sz w:val="22"/>
                <w:highlight w:val="none"/>
              </w:rPr>
            </w:pPr>
          </w:p>
        </w:tc>
        <w:tc>
          <w:tcPr>
            <w:tcW w:w="767" w:type="dxa"/>
            <w:vAlign w:val="center"/>
          </w:tcPr>
          <w:p>
            <w:pPr>
              <w:spacing w:line="360" w:lineRule="auto"/>
              <w:jc w:val="center"/>
              <w:rPr>
                <w:rFonts w:ascii="新宋体" w:hAnsi="新宋体" w:eastAsia="新宋体"/>
                <w:color w:val="auto"/>
                <w:sz w:val="22"/>
                <w:highlight w:val="none"/>
              </w:rPr>
            </w:pPr>
          </w:p>
        </w:tc>
        <w:tc>
          <w:tcPr>
            <w:tcW w:w="767" w:type="dxa"/>
            <w:vAlign w:val="center"/>
          </w:tcPr>
          <w:p>
            <w:pPr>
              <w:spacing w:line="360" w:lineRule="auto"/>
              <w:jc w:val="center"/>
              <w:rPr>
                <w:rFonts w:ascii="新宋体" w:hAnsi="新宋体" w:eastAsia="新宋体"/>
                <w:color w:val="auto"/>
                <w:sz w:val="22"/>
                <w:highlight w:val="none"/>
              </w:rPr>
            </w:pPr>
          </w:p>
        </w:tc>
        <w:tc>
          <w:tcPr>
            <w:tcW w:w="1340" w:type="dxa"/>
            <w:vAlign w:val="center"/>
          </w:tcPr>
          <w:p>
            <w:pPr>
              <w:spacing w:line="360" w:lineRule="auto"/>
              <w:jc w:val="center"/>
              <w:rPr>
                <w:rFonts w:ascii="新宋体" w:hAnsi="新宋体" w:eastAsia="新宋体"/>
                <w:color w:val="auto"/>
                <w:sz w:val="22"/>
                <w:highlight w:val="none"/>
              </w:rPr>
            </w:pPr>
          </w:p>
        </w:tc>
        <w:tc>
          <w:tcPr>
            <w:tcW w:w="1326" w:type="dxa"/>
            <w:vAlign w:val="center"/>
          </w:tcPr>
          <w:p>
            <w:pPr>
              <w:spacing w:line="360" w:lineRule="auto"/>
              <w:jc w:val="center"/>
              <w:rPr>
                <w:rFonts w:ascii="新宋体" w:hAnsi="新宋体" w:eastAsia="新宋体"/>
                <w:color w:val="auto"/>
                <w:sz w:val="22"/>
                <w:highlight w:val="none"/>
              </w:rPr>
            </w:pPr>
          </w:p>
        </w:tc>
        <w:tc>
          <w:tcPr>
            <w:tcW w:w="1825" w:type="dxa"/>
          </w:tcPr>
          <w:p>
            <w:pPr>
              <w:spacing w:line="360" w:lineRule="auto"/>
              <w:jc w:val="center"/>
              <w:rPr>
                <w:rFonts w:ascii="新宋体" w:hAnsi="新宋体" w:eastAsia="新宋体"/>
                <w:color w:val="auto"/>
                <w:sz w:val="22"/>
                <w:highlight w:val="none"/>
              </w:rPr>
            </w:pPr>
          </w:p>
        </w:tc>
        <w:tc>
          <w:tcPr>
            <w:tcW w:w="1147" w:type="dxa"/>
            <w:vAlign w:val="center"/>
          </w:tcPr>
          <w:p>
            <w:pPr>
              <w:spacing w:line="360" w:lineRule="auto"/>
              <w:jc w:val="center"/>
              <w:rPr>
                <w:rFonts w:ascii="新宋体" w:hAnsi="新宋体" w:eastAsia="新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新宋体" w:hAnsi="新宋体" w:eastAsia="新宋体"/>
                <w:color w:val="auto"/>
                <w:sz w:val="22"/>
                <w:highlight w:val="none"/>
              </w:rPr>
            </w:pPr>
          </w:p>
        </w:tc>
        <w:tc>
          <w:tcPr>
            <w:tcW w:w="958" w:type="dxa"/>
            <w:vAlign w:val="center"/>
          </w:tcPr>
          <w:p>
            <w:pPr>
              <w:spacing w:line="360" w:lineRule="auto"/>
              <w:jc w:val="center"/>
              <w:rPr>
                <w:rFonts w:ascii="新宋体" w:hAnsi="新宋体" w:eastAsia="新宋体"/>
                <w:color w:val="auto"/>
                <w:sz w:val="22"/>
                <w:highlight w:val="none"/>
              </w:rPr>
            </w:pPr>
          </w:p>
        </w:tc>
        <w:tc>
          <w:tcPr>
            <w:tcW w:w="958" w:type="dxa"/>
            <w:vAlign w:val="center"/>
          </w:tcPr>
          <w:p>
            <w:pPr>
              <w:spacing w:line="360" w:lineRule="auto"/>
              <w:jc w:val="center"/>
              <w:rPr>
                <w:rFonts w:ascii="新宋体" w:hAnsi="新宋体" w:eastAsia="新宋体"/>
                <w:color w:val="auto"/>
                <w:sz w:val="22"/>
                <w:highlight w:val="none"/>
              </w:rPr>
            </w:pPr>
          </w:p>
        </w:tc>
        <w:tc>
          <w:tcPr>
            <w:tcW w:w="767" w:type="dxa"/>
            <w:vAlign w:val="center"/>
          </w:tcPr>
          <w:p>
            <w:pPr>
              <w:spacing w:line="360" w:lineRule="auto"/>
              <w:jc w:val="center"/>
              <w:rPr>
                <w:rFonts w:ascii="新宋体" w:hAnsi="新宋体" w:eastAsia="新宋体"/>
                <w:color w:val="auto"/>
                <w:sz w:val="22"/>
                <w:highlight w:val="none"/>
              </w:rPr>
            </w:pPr>
          </w:p>
        </w:tc>
        <w:tc>
          <w:tcPr>
            <w:tcW w:w="767" w:type="dxa"/>
            <w:vAlign w:val="center"/>
          </w:tcPr>
          <w:p>
            <w:pPr>
              <w:spacing w:line="360" w:lineRule="auto"/>
              <w:jc w:val="center"/>
              <w:rPr>
                <w:rFonts w:ascii="新宋体" w:hAnsi="新宋体" w:eastAsia="新宋体"/>
                <w:color w:val="auto"/>
                <w:sz w:val="22"/>
                <w:highlight w:val="none"/>
              </w:rPr>
            </w:pPr>
          </w:p>
        </w:tc>
        <w:tc>
          <w:tcPr>
            <w:tcW w:w="1340" w:type="dxa"/>
            <w:vAlign w:val="center"/>
          </w:tcPr>
          <w:p>
            <w:pPr>
              <w:spacing w:line="360" w:lineRule="auto"/>
              <w:jc w:val="center"/>
              <w:rPr>
                <w:rFonts w:ascii="新宋体" w:hAnsi="新宋体" w:eastAsia="新宋体"/>
                <w:color w:val="auto"/>
                <w:sz w:val="22"/>
                <w:highlight w:val="none"/>
              </w:rPr>
            </w:pPr>
          </w:p>
        </w:tc>
        <w:tc>
          <w:tcPr>
            <w:tcW w:w="1326" w:type="dxa"/>
            <w:vAlign w:val="center"/>
          </w:tcPr>
          <w:p>
            <w:pPr>
              <w:spacing w:line="360" w:lineRule="auto"/>
              <w:jc w:val="center"/>
              <w:rPr>
                <w:rFonts w:ascii="新宋体" w:hAnsi="新宋体" w:eastAsia="新宋体"/>
                <w:color w:val="auto"/>
                <w:sz w:val="22"/>
                <w:highlight w:val="none"/>
              </w:rPr>
            </w:pPr>
          </w:p>
        </w:tc>
        <w:tc>
          <w:tcPr>
            <w:tcW w:w="1825" w:type="dxa"/>
          </w:tcPr>
          <w:p>
            <w:pPr>
              <w:spacing w:line="360" w:lineRule="auto"/>
              <w:jc w:val="center"/>
              <w:rPr>
                <w:rFonts w:ascii="新宋体" w:hAnsi="新宋体" w:eastAsia="新宋体"/>
                <w:color w:val="auto"/>
                <w:sz w:val="22"/>
                <w:highlight w:val="none"/>
              </w:rPr>
            </w:pPr>
          </w:p>
        </w:tc>
        <w:tc>
          <w:tcPr>
            <w:tcW w:w="1147" w:type="dxa"/>
            <w:vAlign w:val="center"/>
          </w:tcPr>
          <w:p>
            <w:pPr>
              <w:spacing w:line="360" w:lineRule="auto"/>
              <w:jc w:val="center"/>
              <w:rPr>
                <w:rFonts w:ascii="新宋体" w:hAnsi="新宋体" w:eastAsia="新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新宋体" w:hAnsi="新宋体" w:eastAsia="新宋体"/>
                <w:color w:val="auto"/>
                <w:sz w:val="22"/>
                <w:highlight w:val="none"/>
              </w:rPr>
            </w:pPr>
          </w:p>
        </w:tc>
        <w:tc>
          <w:tcPr>
            <w:tcW w:w="958" w:type="dxa"/>
            <w:vAlign w:val="center"/>
          </w:tcPr>
          <w:p>
            <w:pPr>
              <w:spacing w:line="360" w:lineRule="auto"/>
              <w:jc w:val="center"/>
              <w:rPr>
                <w:rFonts w:ascii="新宋体" w:hAnsi="新宋体" w:eastAsia="新宋体"/>
                <w:color w:val="auto"/>
                <w:sz w:val="22"/>
                <w:highlight w:val="none"/>
              </w:rPr>
            </w:pPr>
          </w:p>
        </w:tc>
        <w:tc>
          <w:tcPr>
            <w:tcW w:w="958" w:type="dxa"/>
            <w:vAlign w:val="center"/>
          </w:tcPr>
          <w:p>
            <w:pPr>
              <w:spacing w:line="360" w:lineRule="auto"/>
              <w:jc w:val="center"/>
              <w:rPr>
                <w:rFonts w:ascii="新宋体" w:hAnsi="新宋体" w:eastAsia="新宋体"/>
                <w:color w:val="auto"/>
                <w:sz w:val="22"/>
                <w:highlight w:val="none"/>
              </w:rPr>
            </w:pPr>
          </w:p>
        </w:tc>
        <w:tc>
          <w:tcPr>
            <w:tcW w:w="767" w:type="dxa"/>
            <w:vAlign w:val="center"/>
          </w:tcPr>
          <w:p>
            <w:pPr>
              <w:spacing w:line="360" w:lineRule="auto"/>
              <w:jc w:val="center"/>
              <w:rPr>
                <w:rFonts w:ascii="新宋体" w:hAnsi="新宋体" w:eastAsia="新宋体"/>
                <w:color w:val="auto"/>
                <w:sz w:val="22"/>
                <w:highlight w:val="none"/>
              </w:rPr>
            </w:pPr>
          </w:p>
        </w:tc>
        <w:tc>
          <w:tcPr>
            <w:tcW w:w="767" w:type="dxa"/>
            <w:vAlign w:val="center"/>
          </w:tcPr>
          <w:p>
            <w:pPr>
              <w:spacing w:line="360" w:lineRule="auto"/>
              <w:jc w:val="center"/>
              <w:rPr>
                <w:rFonts w:ascii="新宋体" w:hAnsi="新宋体" w:eastAsia="新宋体"/>
                <w:color w:val="auto"/>
                <w:sz w:val="22"/>
                <w:highlight w:val="none"/>
              </w:rPr>
            </w:pPr>
          </w:p>
        </w:tc>
        <w:tc>
          <w:tcPr>
            <w:tcW w:w="1340" w:type="dxa"/>
            <w:vAlign w:val="center"/>
          </w:tcPr>
          <w:p>
            <w:pPr>
              <w:spacing w:line="360" w:lineRule="auto"/>
              <w:jc w:val="center"/>
              <w:rPr>
                <w:rFonts w:ascii="新宋体" w:hAnsi="新宋体" w:eastAsia="新宋体"/>
                <w:color w:val="auto"/>
                <w:sz w:val="22"/>
                <w:highlight w:val="none"/>
              </w:rPr>
            </w:pPr>
          </w:p>
        </w:tc>
        <w:tc>
          <w:tcPr>
            <w:tcW w:w="1326" w:type="dxa"/>
            <w:vAlign w:val="center"/>
          </w:tcPr>
          <w:p>
            <w:pPr>
              <w:spacing w:line="360" w:lineRule="auto"/>
              <w:jc w:val="center"/>
              <w:rPr>
                <w:rFonts w:ascii="新宋体" w:hAnsi="新宋体" w:eastAsia="新宋体"/>
                <w:color w:val="auto"/>
                <w:sz w:val="22"/>
                <w:highlight w:val="none"/>
              </w:rPr>
            </w:pPr>
          </w:p>
        </w:tc>
        <w:tc>
          <w:tcPr>
            <w:tcW w:w="1825" w:type="dxa"/>
          </w:tcPr>
          <w:p>
            <w:pPr>
              <w:spacing w:line="360" w:lineRule="auto"/>
              <w:jc w:val="center"/>
              <w:rPr>
                <w:rFonts w:ascii="新宋体" w:hAnsi="新宋体" w:eastAsia="新宋体"/>
                <w:color w:val="auto"/>
                <w:sz w:val="22"/>
                <w:highlight w:val="none"/>
              </w:rPr>
            </w:pPr>
          </w:p>
        </w:tc>
        <w:tc>
          <w:tcPr>
            <w:tcW w:w="1147" w:type="dxa"/>
            <w:vAlign w:val="center"/>
          </w:tcPr>
          <w:p>
            <w:pPr>
              <w:spacing w:line="360" w:lineRule="auto"/>
              <w:jc w:val="center"/>
              <w:rPr>
                <w:rFonts w:ascii="新宋体" w:hAnsi="新宋体" w:eastAsia="新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70" w:hRule="exact"/>
          <w:jc w:val="center"/>
        </w:trPr>
        <w:tc>
          <w:tcPr>
            <w:tcW w:w="766" w:type="dxa"/>
            <w:vAlign w:val="center"/>
          </w:tcPr>
          <w:p>
            <w:pPr>
              <w:spacing w:line="360" w:lineRule="auto"/>
              <w:jc w:val="center"/>
              <w:rPr>
                <w:rFonts w:ascii="新宋体" w:hAnsi="新宋体" w:eastAsia="新宋体"/>
                <w:color w:val="auto"/>
                <w:sz w:val="22"/>
                <w:highlight w:val="none"/>
              </w:rPr>
            </w:pPr>
          </w:p>
        </w:tc>
        <w:tc>
          <w:tcPr>
            <w:tcW w:w="958" w:type="dxa"/>
            <w:vAlign w:val="center"/>
          </w:tcPr>
          <w:p>
            <w:pPr>
              <w:spacing w:line="360" w:lineRule="auto"/>
              <w:jc w:val="center"/>
              <w:rPr>
                <w:rFonts w:ascii="新宋体" w:hAnsi="新宋体" w:eastAsia="新宋体"/>
                <w:color w:val="auto"/>
                <w:sz w:val="22"/>
                <w:highlight w:val="none"/>
              </w:rPr>
            </w:pPr>
          </w:p>
        </w:tc>
        <w:tc>
          <w:tcPr>
            <w:tcW w:w="958" w:type="dxa"/>
            <w:vAlign w:val="center"/>
          </w:tcPr>
          <w:p>
            <w:pPr>
              <w:spacing w:line="360" w:lineRule="auto"/>
              <w:jc w:val="center"/>
              <w:rPr>
                <w:rFonts w:ascii="新宋体" w:hAnsi="新宋体" w:eastAsia="新宋体"/>
                <w:color w:val="auto"/>
                <w:sz w:val="22"/>
                <w:highlight w:val="none"/>
              </w:rPr>
            </w:pPr>
          </w:p>
        </w:tc>
        <w:tc>
          <w:tcPr>
            <w:tcW w:w="767" w:type="dxa"/>
            <w:vAlign w:val="center"/>
          </w:tcPr>
          <w:p>
            <w:pPr>
              <w:spacing w:line="360" w:lineRule="auto"/>
              <w:jc w:val="center"/>
              <w:rPr>
                <w:rFonts w:ascii="新宋体" w:hAnsi="新宋体" w:eastAsia="新宋体"/>
                <w:color w:val="auto"/>
                <w:sz w:val="22"/>
                <w:highlight w:val="none"/>
              </w:rPr>
            </w:pPr>
          </w:p>
        </w:tc>
        <w:tc>
          <w:tcPr>
            <w:tcW w:w="767" w:type="dxa"/>
            <w:vAlign w:val="center"/>
          </w:tcPr>
          <w:p>
            <w:pPr>
              <w:spacing w:line="360" w:lineRule="auto"/>
              <w:jc w:val="center"/>
              <w:rPr>
                <w:rFonts w:ascii="新宋体" w:hAnsi="新宋体" w:eastAsia="新宋体"/>
                <w:color w:val="auto"/>
                <w:sz w:val="22"/>
                <w:highlight w:val="none"/>
              </w:rPr>
            </w:pPr>
          </w:p>
        </w:tc>
        <w:tc>
          <w:tcPr>
            <w:tcW w:w="1340" w:type="dxa"/>
            <w:vAlign w:val="center"/>
          </w:tcPr>
          <w:p>
            <w:pPr>
              <w:spacing w:line="360" w:lineRule="auto"/>
              <w:jc w:val="center"/>
              <w:rPr>
                <w:rFonts w:ascii="新宋体" w:hAnsi="新宋体" w:eastAsia="新宋体"/>
                <w:color w:val="auto"/>
                <w:sz w:val="22"/>
                <w:highlight w:val="none"/>
              </w:rPr>
            </w:pPr>
          </w:p>
        </w:tc>
        <w:tc>
          <w:tcPr>
            <w:tcW w:w="1326" w:type="dxa"/>
            <w:vAlign w:val="center"/>
          </w:tcPr>
          <w:p>
            <w:pPr>
              <w:spacing w:line="360" w:lineRule="auto"/>
              <w:jc w:val="center"/>
              <w:rPr>
                <w:rFonts w:ascii="新宋体" w:hAnsi="新宋体" w:eastAsia="新宋体"/>
                <w:color w:val="auto"/>
                <w:sz w:val="22"/>
                <w:highlight w:val="none"/>
              </w:rPr>
            </w:pPr>
          </w:p>
        </w:tc>
        <w:tc>
          <w:tcPr>
            <w:tcW w:w="1825" w:type="dxa"/>
          </w:tcPr>
          <w:p>
            <w:pPr>
              <w:spacing w:line="360" w:lineRule="auto"/>
              <w:jc w:val="center"/>
              <w:rPr>
                <w:rFonts w:ascii="新宋体" w:hAnsi="新宋体" w:eastAsia="新宋体"/>
                <w:color w:val="auto"/>
                <w:sz w:val="22"/>
                <w:highlight w:val="none"/>
              </w:rPr>
            </w:pPr>
          </w:p>
        </w:tc>
        <w:tc>
          <w:tcPr>
            <w:tcW w:w="1147" w:type="dxa"/>
            <w:vAlign w:val="center"/>
          </w:tcPr>
          <w:p>
            <w:pPr>
              <w:spacing w:line="360" w:lineRule="auto"/>
              <w:jc w:val="center"/>
              <w:rPr>
                <w:rFonts w:ascii="新宋体" w:hAnsi="新宋体" w:eastAsia="新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70" w:hRule="exact"/>
          <w:jc w:val="center"/>
        </w:trPr>
        <w:tc>
          <w:tcPr>
            <w:tcW w:w="766" w:type="dxa"/>
            <w:vAlign w:val="center"/>
          </w:tcPr>
          <w:p>
            <w:pPr>
              <w:spacing w:line="360" w:lineRule="auto"/>
              <w:jc w:val="center"/>
              <w:rPr>
                <w:rFonts w:ascii="新宋体" w:hAnsi="新宋体" w:eastAsia="新宋体"/>
                <w:color w:val="auto"/>
                <w:sz w:val="22"/>
                <w:highlight w:val="none"/>
              </w:rPr>
            </w:pPr>
          </w:p>
        </w:tc>
        <w:tc>
          <w:tcPr>
            <w:tcW w:w="958" w:type="dxa"/>
            <w:vAlign w:val="center"/>
          </w:tcPr>
          <w:p>
            <w:pPr>
              <w:spacing w:line="360" w:lineRule="auto"/>
              <w:jc w:val="center"/>
              <w:rPr>
                <w:rFonts w:ascii="新宋体" w:hAnsi="新宋体" w:eastAsia="新宋体"/>
                <w:color w:val="auto"/>
                <w:sz w:val="22"/>
                <w:highlight w:val="none"/>
              </w:rPr>
            </w:pPr>
          </w:p>
        </w:tc>
        <w:tc>
          <w:tcPr>
            <w:tcW w:w="958" w:type="dxa"/>
            <w:vAlign w:val="center"/>
          </w:tcPr>
          <w:p>
            <w:pPr>
              <w:spacing w:line="360" w:lineRule="auto"/>
              <w:jc w:val="center"/>
              <w:rPr>
                <w:rFonts w:ascii="新宋体" w:hAnsi="新宋体" w:eastAsia="新宋体"/>
                <w:color w:val="auto"/>
                <w:sz w:val="22"/>
                <w:highlight w:val="none"/>
              </w:rPr>
            </w:pPr>
          </w:p>
        </w:tc>
        <w:tc>
          <w:tcPr>
            <w:tcW w:w="767" w:type="dxa"/>
            <w:vAlign w:val="center"/>
          </w:tcPr>
          <w:p>
            <w:pPr>
              <w:spacing w:line="360" w:lineRule="auto"/>
              <w:jc w:val="center"/>
              <w:rPr>
                <w:rFonts w:ascii="新宋体" w:hAnsi="新宋体" w:eastAsia="新宋体"/>
                <w:color w:val="auto"/>
                <w:sz w:val="22"/>
                <w:highlight w:val="none"/>
              </w:rPr>
            </w:pPr>
          </w:p>
        </w:tc>
        <w:tc>
          <w:tcPr>
            <w:tcW w:w="767" w:type="dxa"/>
            <w:vAlign w:val="center"/>
          </w:tcPr>
          <w:p>
            <w:pPr>
              <w:spacing w:line="360" w:lineRule="auto"/>
              <w:jc w:val="center"/>
              <w:rPr>
                <w:rFonts w:ascii="新宋体" w:hAnsi="新宋体" w:eastAsia="新宋体"/>
                <w:color w:val="auto"/>
                <w:sz w:val="22"/>
                <w:highlight w:val="none"/>
              </w:rPr>
            </w:pPr>
          </w:p>
        </w:tc>
        <w:tc>
          <w:tcPr>
            <w:tcW w:w="1340" w:type="dxa"/>
            <w:vAlign w:val="center"/>
          </w:tcPr>
          <w:p>
            <w:pPr>
              <w:spacing w:line="360" w:lineRule="auto"/>
              <w:jc w:val="center"/>
              <w:rPr>
                <w:rFonts w:ascii="新宋体" w:hAnsi="新宋体" w:eastAsia="新宋体"/>
                <w:color w:val="auto"/>
                <w:sz w:val="22"/>
                <w:highlight w:val="none"/>
              </w:rPr>
            </w:pPr>
          </w:p>
        </w:tc>
        <w:tc>
          <w:tcPr>
            <w:tcW w:w="1326" w:type="dxa"/>
            <w:vAlign w:val="center"/>
          </w:tcPr>
          <w:p>
            <w:pPr>
              <w:spacing w:line="360" w:lineRule="auto"/>
              <w:jc w:val="center"/>
              <w:rPr>
                <w:rFonts w:ascii="新宋体" w:hAnsi="新宋体" w:eastAsia="新宋体"/>
                <w:color w:val="auto"/>
                <w:sz w:val="22"/>
                <w:highlight w:val="none"/>
              </w:rPr>
            </w:pPr>
          </w:p>
        </w:tc>
        <w:tc>
          <w:tcPr>
            <w:tcW w:w="1825" w:type="dxa"/>
          </w:tcPr>
          <w:p>
            <w:pPr>
              <w:spacing w:line="360" w:lineRule="auto"/>
              <w:jc w:val="center"/>
              <w:rPr>
                <w:rFonts w:ascii="新宋体" w:hAnsi="新宋体" w:eastAsia="新宋体"/>
                <w:color w:val="auto"/>
                <w:sz w:val="22"/>
                <w:highlight w:val="none"/>
              </w:rPr>
            </w:pPr>
          </w:p>
        </w:tc>
        <w:tc>
          <w:tcPr>
            <w:tcW w:w="1147" w:type="dxa"/>
            <w:vAlign w:val="center"/>
          </w:tcPr>
          <w:p>
            <w:pPr>
              <w:spacing w:line="360" w:lineRule="auto"/>
              <w:jc w:val="center"/>
              <w:rPr>
                <w:rFonts w:ascii="新宋体" w:hAnsi="新宋体" w:eastAsia="新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新宋体" w:hAnsi="新宋体" w:eastAsia="新宋体"/>
                <w:color w:val="auto"/>
                <w:sz w:val="22"/>
                <w:highlight w:val="none"/>
              </w:rPr>
            </w:pPr>
          </w:p>
        </w:tc>
        <w:tc>
          <w:tcPr>
            <w:tcW w:w="958" w:type="dxa"/>
            <w:vAlign w:val="center"/>
          </w:tcPr>
          <w:p>
            <w:pPr>
              <w:spacing w:line="360" w:lineRule="auto"/>
              <w:jc w:val="center"/>
              <w:rPr>
                <w:rFonts w:ascii="新宋体" w:hAnsi="新宋体" w:eastAsia="新宋体"/>
                <w:color w:val="auto"/>
                <w:sz w:val="22"/>
                <w:highlight w:val="none"/>
              </w:rPr>
            </w:pPr>
          </w:p>
        </w:tc>
        <w:tc>
          <w:tcPr>
            <w:tcW w:w="958" w:type="dxa"/>
            <w:vAlign w:val="center"/>
          </w:tcPr>
          <w:p>
            <w:pPr>
              <w:spacing w:line="360" w:lineRule="auto"/>
              <w:jc w:val="center"/>
              <w:rPr>
                <w:rFonts w:ascii="新宋体" w:hAnsi="新宋体" w:eastAsia="新宋体"/>
                <w:color w:val="auto"/>
                <w:sz w:val="22"/>
                <w:highlight w:val="none"/>
              </w:rPr>
            </w:pPr>
          </w:p>
        </w:tc>
        <w:tc>
          <w:tcPr>
            <w:tcW w:w="767" w:type="dxa"/>
            <w:vAlign w:val="center"/>
          </w:tcPr>
          <w:p>
            <w:pPr>
              <w:spacing w:line="360" w:lineRule="auto"/>
              <w:jc w:val="center"/>
              <w:rPr>
                <w:rFonts w:ascii="新宋体" w:hAnsi="新宋体" w:eastAsia="新宋体"/>
                <w:color w:val="auto"/>
                <w:sz w:val="22"/>
                <w:highlight w:val="none"/>
              </w:rPr>
            </w:pPr>
          </w:p>
        </w:tc>
        <w:tc>
          <w:tcPr>
            <w:tcW w:w="767" w:type="dxa"/>
            <w:vAlign w:val="center"/>
          </w:tcPr>
          <w:p>
            <w:pPr>
              <w:spacing w:line="360" w:lineRule="auto"/>
              <w:jc w:val="center"/>
              <w:rPr>
                <w:rFonts w:ascii="新宋体" w:hAnsi="新宋体" w:eastAsia="新宋体"/>
                <w:color w:val="auto"/>
                <w:sz w:val="22"/>
                <w:highlight w:val="none"/>
              </w:rPr>
            </w:pPr>
          </w:p>
        </w:tc>
        <w:tc>
          <w:tcPr>
            <w:tcW w:w="1340" w:type="dxa"/>
            <w:vAlign w:val="center"/>
          </w:tcPr>
          <w:p>
            <w:pPr>
              <w:spacing w:line="360" w:lineRule="auto"/>
              <w:jc w:val="center"/>
              <w:rPr>
                <w:rFonts w:ascii="新宋体" w:hAnsi="新宋体" w:eastAsia="新宋体"/>
                <w:color w:val="auto"/>
                <w:sz w:val="22"/>
                <w:highlight w:val="none"/>
              </w:rPr>
            </w:pPr>
          </w:p>
        </w:tc>
        <w:tc>
          <w:tcPr>
            <w:tcW w:w="1326" w:type="dxa"/>
            <w:vAlign w:val="center"/>
          </w:tcPr>
          <w:p>
            <w:pPr>
              <w:spacing w:line="360" w:lineRule="auto"/>
              <w:jc w:val="center"/>
              <w:rPr>
                <w:rFonts w:ascii="新宋体" w:hAnsi="新宋体" w:eastAsia="新宋体"/>
                <w:color w:val="auto"/>
                <w:sz w:val="22"/>
                <w:highlight w:val="none"/>
              </w:rPr>
            </w:pPr>
          </w:p>
        </w:tc>
        <w:tc>
          <w:tcPr>
            <w:tcW w:w="1825" w:type="dxa"/>
          </w:tcPr>
          <w:p>
            <w:pPr>
              <w:spacing w:line="360" w:lineRule="auto"/>
              <w:jc w:val="center"/>
              <w:rPr>
                <w:rFonts w:ascii="新宋体" w:hAnsi="新宋体" w:eastAsia="新宋体"/>
                <w:color w:val="auto"/>
                <w:sz w:val="22"/>
                <w:highlight w:val="none"/>
              </w:rPr>
            </w:pPr>
          </w:p>
        </w:tc>
        <w:tc>
          <w:tcPr>
            <w:tcW w:w="1147" w:type="dxa"/>
            <w:vAlign w:val="center"/>
          </w:tcPr>
          <w:p>
            <w:pPr>
              <w:spacing w:line="360" w:lineRule="auto"/>
              <w:jc w:val="center"/>
              <w:rPr>
                <w:rFonts w:ascii="新宋体" w:hAnsi="新宋体" w:eastAsia="新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新宋体" w:hAnsi="新宋体" w:eastAsia="新宋体"/>
                <w:color w:val="auto"/>
                <w:sz w:val="22"/>
                <w:highlight w:val="none"/>
              </w:rPr>
            </w:pPr>
          </w:p>
        </w:tc>
        <w:tc>
          <w:tcPr>
            <w:tcW w:w="958" w:type="dxa"/>
            <w:vAlign w:val="center"/>
          </w:tcPr>
          <w:p>
            <w:pPr>
              <w:spacing w:line="360" w:lineRule="auto"/>
              <w:jc w:val="center"/>
              <w:rPr>
                <w:rFonts w:ascii="新宋体" w:hAnsi="新宋体" w:eastAsia="新宋体"/>
                <w:color w:val="auto"/>
                <w:sz w:val="22"/>
                <w:highlight w:val="none"/>
              </w:rPr>
            </w:pPr>
          </w:p>
        </w:tc>
        <w:tc>
          <w:tcPr>
            <w:tcW w:w="958" w:type="dxa"/>
            <w:vAlign w:val="center"/>
          </w:tcPr>
          <w:p>
            <w:pPr>
              <w:spacing w:line="360" w:lineRule="auto"/>
              <w:jc w:val="center"/>
              <w:rPr>
                <w:rFonts w:ascii="新宋体" w:hAnsi="新宋体" w:eastAsia="新宋体"/>
                <w:color w:val="auto"/>
                <w:sz w:val="22"/>
                <w:highlight w:val="none"/>
              </w:rPr>
            </w:pPr>
          </w:p>
        </w:tc>
        <w:tc>
          <w:tcPr>
            <w:tcW w:w="767" w:type="dxa"/>
            <w:vAlign w:val="center"/>
          </w:tcPr>
          <w:p>
            <w:pPr>
              <w:spacing w:line="360" w:lineRule="auto"/>
              <w:jc w:val="center"/>
              <w:rPr>
                <w:rFonts w:ascii="新宋体" w:hAnsi="新宋体" w:eastAsia="新宋体"/>
                <w:color w:val="auto"/>
                <w:sz w:val="22"/>
                <w:highlight w:val="none"/>
              </w:rPr>
            </w:pPr>
          </w:p>
        </w:tc>
        <w:tc>
          <w:tcPr>
            <w:tcW w:w="767" w:type="dxa"/>
            <w:vAlign w:val="center"/>
          </w:tcPr>
          <w:p>
            <w:pPr>
              <w:spacing w:line="360" w:lineRule="auto"/>
              <w:jc w:val="center"/>
              <w:rPr>
                <w:rFonts w:ascii="新宋体" w:hAnsi="新宋体" w:eastAsia="新宋体"/>
                <w:color w:val="auto"/>
                <w:sz w:val="22"/>
                <w:highlight w:val="none"/>
              </w:rPr>
            </w:pPr>
          </w:p>
        </w:tc>
        <w:tc>
          <w:tcPr>
            <w:tcW w:w="1340" w:type="dxa"/>
            <w:vAlign w:val="center"/>
          </w:tcPr>
          <w:p>
            <w:pPr>
              <w:spacing w:line="360" w:lineRule="auto"/>
              <w:jc w:val="center"/>
              <w:rPr>
                <w:rFonts w:ascii="新宋体" w:hAnsi="新宋体" w:eastAsia="新宋体"/>
                <w:color w:val="auto"/>
                <w:sz w:val="22"/>
                <w:highlight w:val="none"/>
              </w:rPr>
            </w:pPr>
          </w:p>
        </w:tc>
        <w:tc>
          <w:tcPr>
            <w:tcW w:w="1326" w:type="dxa"/>
            <w:vAlign w:val="center"/>
          </w:tcPr>
          <w:p>
            <w:pPr>
              <w:spacing w:line="360" w:lineRule="auto"/>
              <w:jc w:val="center"/>
              <w:rPr>
                <w:rFonts w:ascii="新宋体" w:hAnsi="新宋体" w:eastAsia="新宋体"/>
                <w:color w:val="auto"/>
                <w:sz w:val="22"/>
                <w:highlight w:val="none"/>
              </w:rPr>
            </w:pPr>
          </w:p>
        </w:tc>
        <w:tc>
          <w:tcPr>
            <w:tcW w:w="1825" w:type="dxa"/>
          </w:tcPr>
          <w:p>
            <w:pPr>
              <w:spacing w:line="360" w:lineRule="auto"/>
              <w:jc w:val="center"/>
              <w:rPr>
                <w:rFonts w:ascii="新宋体" w:hAnsi="新宋体" w:eastAsia="新宋体"/>
                <w:color w:val="auto"/>
                <w:sz w:val="22"/>
                <w:highlight w:val="none"/>
              </w:rPr>
            </w:pPr>
          </w:p>
        </w:tc>
        <w:tc>
          <w:tcPr>
            <w:tcW w:w="1147" w:type="dxa"/>
            <w:vAlign w:val="center"/>
          </w:tcPr>
          <w:p>
            <w:pPr>
              <w:spacing w:line="360" w:lineRule="auto"/>
              <w:jc w:val="center"/>
              <w:rPr>
                <w:rFonts w:ascii="新宋体" w:hAnsi="新宋体" w:eastAsia="新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新宋体" w:hAnsi="新宋体" w:eastAsia="新宋体"/>
                <w:color w:val="auto"/>
                <w:sz w:val="22"/>
                <w:highlight w:val="none"/>
              </w:rPr>
            </w:pPr>
          </w:p>
        </w:tc>
        <w:tc>
          <w:tcPr>
            <w:tcW w:w="958" w:type="dxa"/>
            <w:vAlign w:val="center"/>
          </w:tcPr>
          <w:p>
            <w:pPr>
              <w:spacing w:line="360" w:lineRule="auto"/>
              <w:jc w:val="center"/>
              <w:rPr>
                <w:rFonts w:ascii="新宋体" w:hAnsi="新宋体" w:eastAsia="新宋体"/>
                <w:color w:val="auto"/>
                <w:sz w:val="22"/>
                <w:highlight w:val="none"/>
              </w:rPr>
            </w:pPr>
          </w:p>
        </w:tc>
        <w:tc>
          <w:tcPr>
            <w:tcW w:w="958" w:type="dxa"/>
            <w:vAlign w:val="center"/>
          </w:tcPr>
          <w:p>
            <w:pPr>
              <w:spacing w:line="360" w:lineRule="auto"/>
              <w:jc w:val="center"/>
              <w:rPr>
                <w:rFonts w:ascii="新宋体" w:hAnsi="新宋体" w:eastAsia="新宋体"/>
                <w:color w:val="auto"/>
                <w:sz w:val="22"/>
                <w:highlight w:val="none"/>
              </w:rPr>
            </w:pPr>
          </w:p>
        </w:tc>
        <w:tc>
          <w:tcPr>
            <w:tcW w:w="767" w:type="dxa"/>
            <w:vAlign w:val="center"/>
          </w:tcPr>
          <w:p>
            <w:pPr>
              <w:spacing w:line="360" w:lineRule="auto"/>
              <w:jc w:val="center"/>
              <w:rPr>
                <w:rFonts w:ascii="新宋体" w:hAnsi="新宋体" w:eastAsia="新宋体"/>
                <w:color w:val="auto"/>
                <w:sz w:val="22"/>
                <w:highlight w:val="none"/>
              </w:rPr>
            </w:pPr>
          </w:p>
        </w:tc>
        <w:tc>
          <w:tcPr>
            <w:tcW w:w="767" w:type="dxa"/>
            <w:vAlign w:val="center"/>
          </w:tcPr>
          <w:p>
            <w:pPr>
              <w:spacing w:line="360" w:lineRule="auto"/>
              <w:jc w:val="center"/>
              <w:rPr>
                <w:rFonts w:ascii="新宋体" w:hAnsi="新宋体" w:eastAsia="新宋体"/>
                <w:color w:val="auto"/>
                <w:sz w:val="22"/>
                <w:highlight w:val="none"/>
              </w:rPr>
            </w:pPr>
          </w:p>
        </w:tc>
        <w:tc>
          <w:tcPr>
            <w:tcW w:w="1340" w:type="dxa"/>
            <w:vAlign w:val="center"/>
          </w:tcPr>
          <w:p>
            <w:pPr>
              <w:spacing w:line="360" w:lineRule="auto"/>
              <w:jc w:val="center"/>
              <w:rPr>
                <w:rFonts w:ascii="新宋体" w:hAnsi="新宋体" w:eastAsia="新宋体"/>
                <w:color w:val="auto"/>
                <w:sz w:val="22"/>
                <w:highlight w:val="none"/>
              </w:rPr>
            </w:pPr>
          </w:p>
        </w:tc>
        <w:tc>
          <w:tcPr>
            <w:tcW w:w="1326" w:type="dxa"/>
            <w:vAlign w:val="center"/>
          </w:tcPr>
          <w:p>
            <w:pPr>
              <w:spacing w:line="360" w:lineRule="auto"/>
              <w:jc w:val="center"/>
              <w:rPr>
                <w:rFonts w:ascii="新宋体" w:hAnsi="新宋体" w:eastAsia="新宋体"/>
                <w:color w:val="auto"/>
                <w:sz w:val="22"/>
                <w:highlight w:val="none"/>
              </w:rPr>
            </w:pPr>
          </w:p>
        </w:tc>
        <w:tc>
          <w:tcPr>
            <w:tcW w:w="1825" w:type="dxa"/>
          </w:tcPr>
          <w:p>
            <w:pPr>
              <w:spacing w:line="360" w:lineRule="auto"/>
              <w:jc w:val="center"/>
              <w:rPr>
                <w:rFonts w:ascii="新宋体" w:hAnsi="新宋体" w:eastAsia="新宋体"/>
                <w:color w:val="auto"/>
                <w:sz w:val="22"/>
                <w:highlight w:val="none"/>
              </w:rPr>
            </w:pPr>
          </w:p>
        </w:tc>
        <w:tc>
          <w:tcPr>
            <w:tcW w:w="1147" w:type="dxa"/>
            <w:vAlign w:val="center"/>
          </w:tcPr>
          <w:p>
            <w:pPr>
              <w:spacing w:line="360" w:lineRule="auto"/>
              <w:jc w:val="center"/>
              <w:rPr>
                <w:rFonts w:ascii="新宋体" w:hAnsi="新宋体" w:eastAsia="新宋体"/>
                <w:color w:val="auto"/>
                <w:sz w:val="22"/>
                <w:highlight w:val="none"/>
              </w:rPr>
            </w:pPr>
          </w:p>
        </w:tc>
      </w:tr>
    </w:tbl>
    <w:p>
      <w:pPr>
        <w:pStyle w:val="30"/>
        <w:spacing w:line="400" w:lineRule="atLeast"/>
        <w:ind w:left="660" w:hanging="660" w:hangingChars="300"/>
        <w:rPr>
          <w:rFonts w:ascii="新宋体" w:hAnsi="新宋体" w:eastAsia="新宋体"/>
          <w:color w:val="auto"/>
          <w:sz w:val="22"/>
          <w:highlight w:val="none"/>
        </w:rPr>
      </w:pPr>
      <w:r>
        <w:rPr>
          <w:rFonts w:hint="eastAsia" w:ascii="新宋体" w:hAnsi="新宋体" w:eastAsia="新宋体"/>
          <w:color w:val="auto"/>
          <w:sz w:val="22"/>
          <w:highlight w:val="none"/>
        </w:rPr>
        <w:t>注：此表仅提供了表格形式，供应商可按此表格复制。</w:t>
      </w:r>
    </w:p>
    <w:p>
      <w:pPr>
        <w:pStyle w:val="30"/>
        <w:spacing w:line="400" w:lineRule="atLeast"/>
        <w:ind w:left="660" w:hanging="660" w:hangingChars="300"/>
        <w:rPr>
          <w:rFonts w:ascii="新宋体" w:hAnsi="新宋体" w:eastAsia="新宋体"/>
          <w:color w:val="auto"/>
          <w:sz w:val="22"/>
          <w:highlight w:val="none"/>
        </w:rPr>
      </w:pPr>
    </w:p>
    <w:p>
      <w:pPr>
        <w:spacing w:line="38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供应商全称（盖章）：</w:t>
      </w:r>
    </w:p>
    <w:p>
      <w:pPr>
        <w:spacing w:line="38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供应商代表（签字）：</w:t>
      </w:r>
    </w:p>
    <w:p>
      <w:pPr>
        <w:spacing w:line="380" w:lineRule="exact"/>
        <w:ind w:firstLine="4400" w:firstLineChars="2000"/>
        <w:rPr>
          <w:rFonts w:ascii="新宋体" w:hAnsi="新宋体" w:eastAsia="新宋体"/>
          <w:b/>
          <w:color w:val="auto"/>
          <w:sz w:val="22"/>
          <w:highlight w:val="none"/>
        </w:rPr>
      </w:pPr>
      <w:r>
        <w:rPr>
          <w:rFonts w:hint="eastAsia" w:ascii="新宋体" w:hAnsi="新宋体" w:eastAsia="新宋体"/>
          <w:color w:val="auto"/>
          <w:sz w:val="22"/>
          <w:szCs w:val="22"/>
          <w:highlight w:val="none"/>
        </w:rPr>
        <w:t xml:space="preserve">日期：  年   月  日 </w:t>
      </w:r>
      <w:r>
        <w:rPr>
          <w:rFonts w:hint="eastAsia" w:ascii="新宋体" w:hAnsi="新宋体" w:eastAsia="新宋体"/>
          <w:color w:val="auto"/>
          <w:sz w:val="24"/>
          <w:highlight w:val="none"/>
        </w:rPr>
        <w:t xml:space="preserve"> </w:t>
      </w:r>
    </w:p>
    <w:p>
      <w:pPr>
        <w:tabs>
          <w:tab w:val="left" w:pos="840"/>
        </w:tabs>
        <w:adjustRightInd w:val="0"/>
        <w:snapToGrid w:val="0"/>
        <w:spacing w:line="360" w:lineRule="auto"/>
        <w:jc w:val="left"/>
        <w:rPr>
          <w:rFonts w:ascii="宋体" w:hAnsi="宋体" w:cs="宋体"/>
          <w:b/>
          <w:color w:val="auto"/>
          <w:sz w:val="24"/>
          <w:highlight w:val="none"/>
        </w:rPr>
      </w:pPr>
    </w:p>
    <w:p>
      <w:pPr>
        <w:spacing w:line="38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br w:type="page"/>
      </w:r>
    </w:p>
    <w:p>
      <w:pPr>
        <w:spacing w:before="120" w:beforeLines="50" w:after="120" w:afterLines="5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（报价标封面，供参考）</w:t>
      </w:r>
    </w:p>
    <w:p>
      <w:pPr>
        <w:rPr>
          <w:rFonts w:ascii="新宋体" w:hAnsi="新宋体" w:eastAsia="新宋体"/>
          <w:color w:val="auto"/>
          <w:highlight w:val="none"/>
        </w:rPr>
      </w:pPr>
    </w:p>
    <w:p>
      <w:pPr>
        <w:rPr>
          <w:rFonts w:ascii="新宋体" w:hAnsi="新宋体" w:eastAsia="新宋体"/>
          <w:color w:val="auto"/>
          <w:highlight w:val="none"/>
        </w:rPr>
      </w:pPr>
    </w:p>
    <w:p>
      <w:pPr>
        <w:rPr>
          <w:rFonts w:ascii="新宋体" w:hAnsi="新宋体" w:eastAsia="新宋体"/>
          <w:color w:val="auto"/>
          <w:highlight w:val="none"/>
        </w:rPr>
      </w:pPr>
    </w:p>
    <w:p>
      <w:pPr>
        <w:jc w:val="center"/>
        <w:rPr>
          <w:rFonts w:ascii="新宋体" w:hAnsi="新宋体" w:eastAsia="新宋体"/>
          <w:color w:val="auto"/>
          <w:sz w:val="28"/>
          <w:szCs w:val="28"/>
          <w:highlight w:val="none"/>
        </w:rPr>
      </w:pPr>
      <w:r>
        <w:rPr>
          <w:rFonts w:hint="eastAsia" w:ascii="新宋体" w:hAnsi="新宋体" w:eastAsia="新宋体"/>
          <w:color w:val="auto"/>
          <w:sz w:val="28"/>
          <w:szCs w:val="28"/>
          <w:highlight w:val="none"/>
          <w:u w:val="single"/>
        </w:rPr>
        <w:t xml:space="preserve">                 （项目名称）              </w:t>
      </w:r>
      <w:r>
        <w:rPr>
          <w:rFonts w:hint="eastAsia" w:ascii="新宋体" w:hAnsi="新宋体" w:eastAsia="新宋体"/>
          <w:color w:val="auto"/>
          <w:sz w:val="28"/>
          <w:szCs w:val="28"/>
          <w:highlight w:val="none"/>
        </w:rPr>
        <w:t>磋商响应文件</w:t>
      </w:r>
    </w:p>
    <w:p>
      <w:pPr>
        <w:rPr>
          <w:rFonts w:ascii="新宋体" w:hAnsi="新宋体" w:eastAsia="新宋体"/>
          <w:color w:val="auto"/>
          <w:sz w:val="28"/>
          <w:szCs w:val="28"/>
          <w:highlight w:val="none"/>
        </w:rPr>
      </w:pPr>
    </w:p>
    <w:p>
      <w:pPr>
        <w:rPr>
          <w:rFonts w:ascii="新宋体" w:hAnsi="新宋体" w:eastAsia="新宋体"/>
          <w:color w:val="auto"/>
          <w:sz w:val="28"/>
          <w:szCs w:val="28"/>
          <w:highlight w:val="none"/>
        </w:rPr>
      </w:pPr>
    </w:p>
    <w:p>
      <w:pPr>
        <w:pStyle w:val="22"/>
        <w:ind w:firstLine="281"/>
        <w:rPr>
          <w:rFonts w:ascii="新宋体" w:hAnsi="新宋体" w:eastAsia="新宋体"/>
          <w:color w:val="auto"/>
          <w:sz w:val="28"/>
          <w:szCs w:val="28"/>
          <w:highlight w:val="none"/>
        </w:rPr>
      </w:pPr>
    </w:p>
    <w:p>
      <w:pPr>
        <w:pStyle w:val="22"/>
        <w:ind w:firstLine="281"/>
        <w:rPr>
          <w:rFonts w:ascii="新宋体" w:hAnsi="新宋体" w:eastAsia="新宋体"/>
          <w:color w:val="auto"/>
          <w:sz w:val="28"/>
          <w:szCs w:val="28"/>
          <w:highlight w:val="none"/>
        </w:rPr>
      </w:pPr>
    </w:p>
    <w:p>
      <w:pPr>
        <w:rPr>
          <w:rFonts w:ascii="新宋体" w:hAnsi="新宋体" w:eastAsia="新宋体"/>
          <w:color w:val="auto"/>
          <w:sz w:val="28"/>
          <w:szCs w:val="28"/>
          <w:highlight w:val="none"/>
        </w:rPr>
      </w:pPr>
    </w:p>
    <w:p>
      <w:pPr>
        <w:rPr>
          <w:rFonts w:ascii="新宋体" w:hAnsi="新宋体" w:eastAsia="新宋体"/>
          <w:color w:val="auto"/>
          <w:sz w:val="28"/>
          <w:szCs w:val="28"/>
          <w:highlight w:val="none"/>
        </w:rPr>
      </w:pPr>
    </w:p>
    <w:p>
      <w:pPr>
        <w:jc w:val="center"/>
        <w:rPr>
          <w:rFonts w:ascii="新宋体" w:hAnsi="新宋体" w:eastAsia="新宋体"/>
          <w:color w:val="auto"/>
          <w:sz w:val="52"/>
          <w:szCs w:val="52"/>
          <w:highlight w:val="none"/>
        </w:rPr>
      </w:pPr>
      <w:r>
        <w:rPr>
          <w:rFonts w:hint="eastAsia" w:ascii="新宋体" w:hAnsi="新宋体" w:eastAsia="新宋体"/>
          <w:color w:val="auto"/>
          <w:sz w:val="52"/>
          <w:szCs w:val="52"/>
          <w:highlight w:val="none"/>
        </w:rPr>
        <w:t>报  价  标</w:t>
      </w:r>
    </w:p>
    <w:p>
      <w:pPr>
        <w:spacing w:line="360" w:lineRule="auto"/>
        <w:rPr>
          <w:rFonts w:ascii="新宋体" w:hAnsi="新宋体" w:eastAsia="新宋体"/>
          <w:color w:val="auto"/>
          <w:szCs w:val="21"/>
          <w:highlight w:val="none"/>
        </w:rPr>
      </w:pPr>
    </w:p>
    <w:p>
      <w:pPr>
        <w:spacing w:line="360" w:lineRule="auto"/>
        <w:rPr>
          <w:rFonts w:ascii="新宋体" w:hAnsi="新宋体" w:eastAsia="新宋体"/>
          <w:color w:val="auto"/>
          <w:szCs w:val="21"/>
          <w:highlight w:val="none"/>
        </w:rPr>
      </w:pPr>
    </w:p>
    <w:p>
      <w:pPr>
        <w:spacing w:line="360" w:lineRule="auto"/>
        <w:rPr>
          <w:rFonts w:ascii="新宋体" w:hAnsi="新宋体" w:eastAsia="新宋体"/>
          <w:color w:val="auto"/>
          <w:szCs w:val="21"/>
          <w:highlight w:val="none"/>
        </w:rPr>
      </w:pPr>
    </w:p>
    <w:p>
      <w:pPr>
        <w:spacing w:line="360" w:lineRule="auto"/>
        <w:rPr>
          <w:rFonts w:ascii="新宋体" w:hAnsi="新宋体" w:eastAsia="新宋体"/>
          <w:color w:val="auto"/>
          <w:szCs w:val="21"/>
          <w:highlight w:val="none"/>
        </w:rPr>
      </w:pPr>
    </w:p>
    <w:p>
      <w:pPr>
        <w:spacing w:line="360" w:lineRule="auto"/>
        <w:rPr>
          <w:rFonts w:ascii="新宋体" w:hAnsi="新宋体" w:eastAsia="新宋体"/>
          <w:color w:val="auto"/>
          <w:szCs w:val="21"/>
          <w:highlight w:val="none"/>
        </w:rPr>
      </w:pPr>
    </w:p>
    <w:p>
      <w:pPr>
        <w:jc w:val="center"/>
        <w:rPr>
          <w:rFonts w:ascii="新宋体" w:hAnsi="新宋体" w:eastAsia="新宋体"/>
          <w:color w:val="auto"/>
          <w:sz w:val="28"/>
          <w:szCs w:val="28"/>
          <w:highlight w:val="none"/>
        </w:rPr>
      </w:pPr>
      <w:r>
        <w:rPr>
          <w:rFonts w:hint="eastAsia" w:ascii="新宋体" w:hAnsi="新宋体" w:eastAsia="新宋体"/>
          <w:color w:val="auto"/>
          <w:sz w:val="28"/>
          <w:szCs w:val="28"/>
          <w:highlight w:val="none"/>
        </w:rPr>
        <w:t>供应商：</w:t>
      </w:r>
      <w:r>
        <w:rPr>
          <w:rFonts w:hint="eastAsia" w:ascii="新宋体" w:hAnsi="新宋体" w:eastAsia="新宋体"/>
          <w:color w:val="auto"/>
          <w:sz w:val="28"/>
          <w:szCs w:val="28"/>
          <w:highlight w:val="none"/>
          <w:u w:val="single"/>
        </w:rPr>
        <w:t xml:space="preserve">                              </w:t>
      </w:r>
      <w:r>
        <w:rPr>
          <w:rFonts w:hint="eastAsia" w:ascii="新宋体" w:hAnsi="新宋体" w:eastAsia="新宋体"/>
          <w:color w:val="auto"/>
          <w:sz w:val="28"/>
          <w:szCs w:val="28"/>
          <w:highlight w:val="none"/>
        </w:rPr>
        <w:t>（盖单位章）</w:t>
      </w:r>
    </w:p>
    <w:p>
      <w:pPr>
        <w:rPr>
          <w:rFonts w:ascii="新宋体" w:hAnsi="新宋体" w:eastAsia="新宋体"/>
          <w:color w:val="auto"/>
          <w:sz w:val="28"/>
          <w:szCs w:val="28"/>
          <w:highlight w:val="none"/>
          <w:u w:val="single"/>
        </w:rPr>
      </w:pPr>
    </w:p>
    <w:p>
      <w:pPr>
        <w:jc w:val="center"/>
        <w:rPr>
          <w:rFonts w:ascii="新宋体" w:hAnsi="新宋体" w:eastAsia="新宋体"/>
          <w:color w:val="auto"/>
          <w:sz w:val="28"/>
          <w:szCs w:val="28"/>
          <w:highlight w:val="none"/>
        </w:rPr>
      </w:pPr>
      <w:r>
        <w:rPr>
          <w:rFonts w:hint="eastAsia" w:ascii="新宋体" w:hAnsi="新宋体" w:eastAsia="新宋体"/>
          <w:color w:val="auto"/>
          <w:sz w:val="28"/>
          <w:szCs w:val="28"/>
          <w:highlight w:val="none"/>
        </w:rPr>
        <w:t>法定代表人或其委托代理人：</w:t>
      </w:r>
      <w:r>
        <w:rPr>
          <w:rFonts w:hint="eastAsia" w:ascii="新宋体" w:hAnsi="新宋体" w:eastAsia="新宋体"/>
          <w:color w:val="auto"/>
          <w:sz w:val="28"/>
          <w:szCs w:val="28"/>
          <w:highlight w:val="none"/>
          <w:u w:val="single"/>
        </w:rPr>
        <w:t xml:space="preserve">          </w:t>
      </w:r>
      <w:r>
        <w:rPr>
          <w:rFonts w:hint="eastAsia" w:ascii="新宋体" w:hAnsi="新宋体" w:eastAsia="新宋体"/>
          <w:color w:val="auto"/>
          <w:sz w:val="28"/>
          <w:szCs w:val="28"/>
          <w:highlight w:val="none"/>
        </w:rPr>
        <w:t>（签字或盖章）</w:t>
      </w:r>
    </w:p>
    <w:p>
      <w:pPr>
        <w:rPr>
          <w:rFonts w:ascii="新宋体" w:hAnsi="新宋体" w:eastAsia="新宋体"/>
          <w:color w:val="auto"/>
          <w:sz w:val="28"/>
          <w:szCs w:val="28"/>
          <w:highlight w:val="none"/>
        </w:rPr>
      </w:pPr>
    </w:p>
    <w:p>
      <w:pPr>
        <w:overflowPunct w:val="0"/>
        <w:spacing w:line="380" w:lineRule="exact"/>
        <w:ind w:firstLine="2738" w:firstLineChars="978"/>
        <w:rPr>
          <w:rFonts w:ascii="新宋体" w:hAnsi="新宋体" w:eastAsia="新宋体"/>
          <w:color w:val="auto"/>
          <w:sz w:val="28"/>
          <w:szCs w:val="28"/>
          <w:highlight w:val="none"/>
        </w:rPr>
      </w:pPr>
      <w:r>
        <w:rPr>
          <w:rFonts w:hint="eastAsia" w:ascii="新宋体" w:hAnsi="新宋体" w:eastAsia="新宋体"/>
          <w:color w:val="auto"/>
          <w:sz w:val="28"/>
          <w:szCs w:val="28"/>
          <w:highlight w:val="none"/>
          <w:u w:val="single"/>
        </w:rPr>
        <w:t xml:space="preserve">        </w:t>
      </w:r>
      <w:r>
        <w:rPr>
          <w:rFonts w:hint="eastAsia" w:ascii="新宋体" w:hAnsi="新宋体" w:eastAsia="新宋体"/>
          <w:color w:val="auto"/>
          <w:sz w:val="28"/>
          <w:szCs w:val="28"/>
          <w:highlight w:val="none"/>
        </w:rPr>
        <w:t>年</w:t>
      </w:r>
      <w:r>
        <w:rPr>
          <w:rFonts w:hint="eastAsia" w:ascii="新宋体" w:hAnsi="新宋体" w:eastAsia="新宋体"/>
          <w:color w:val="auto"/>
          <w:sz w:val="28"/>
          <w:szCs w:val="28"/>
          <w:highlight w:val="none"/>
          <w:u w:val="single"/>
        </w:rPr>
        <w:t xml:space="preserve">        </w:t>
      </w:r>
      <w:r>
        <w:rPr>
          <w:rFonts w:hint="eastAsia" w:ascii="新宋体" w:hAnsi="新宋体" w:eastAsia="新宋体"/>
          <w:color w:val="auto"/>
          <w:sz w:val="28"/>
          <w:szCs w:val="28"/>
          <w:highlight w:val="none"/>
        </w:rPr>
        <w:t>月</w:t>
      </w:r>
      <w:r>
        <w:rPr>
          <w:rFonts w:hint="eastAsia" w:ascii="新宋体" w:hAnsi="新宋体" w:eastAsia="新宋体"/>
          <w:color w:val="auto"/>
          <w:sz w:val="28"/>
          <w:szCs w:val="28"/>
          <w:highlight w:val="none"/>
          <w:u w:val="single"/>
        </w:rPr>
        <w:t xml:space="preserve">        </w:t>
      </w:r>
      <w:r>
        <w:rPr>
          <w:rFonts w:hint="eastAsia" w:ascii="新宋体" w:hAnsi="新宋体" w:eastAsia="新宋体"/>
          <w:color w:val="auto"/>
          <w:sz w:val="28"/>
          <w:szCs w:val="28"/>
          <w:highlight w:val="none"/>
        </w:rPr>
        <w:t>日</w:t>
      </w:r>
    </w:p>
    <w:p>
      <w:pPr>
        <w:overflowPunct w:val="0"/>
        <w:spacing w:line="380" w:lineRule="exact"/>
        <w:rPr>
          <w:rFonts w:ascii="新宋体" w:hAnsi="新宋体" w:eastAsia="新宋体"/>
          <w:b/>
          <w:bCs/>
          <w:color w:val="auto"/>
          <w:sz w:val="22"/>
          <w:szCs w:val="22"/>
          <w:highlight w:val="none"/>
        </w:rPr>
      </w:pPr>
      <w:r>
        <w:rPr>
          <w:rFonts w:hint="eastAsia" w:ascii="新宋体" w:hAnsi="新宋体" w:eastAsia="新宋体"/>
          <w:color w:val="auto"/>
          <w:sz w:val="22"/>
          <w:szCs w:val="22"/>
          <w:highlight w:val="none"/>
        </w:rPr>
        <w:br w:type="page"/>
      </w:r>
      <w:r>
        <w:rPr>
          <w:rFonts w:hint="eastAsia" w:ascii="新宋体" w:hAnsi="新宋体" w:eastAsia="新宋体"/>
          <w:b/>
          <w:bCs/>
          <w:color w:val="auto"/>
          <w:sz w:val="22"/>
          <w:szCs w:val="22"/>
          <w:highlight w:val="none"/>
        </w:rPr>
        <w:t>附件一</w:t>
      </w:r>
    </w:p>
    <w:p>
      <w:pPr>
        <w:autoSpaceDE w:val="0"/>
        <w:autoSpaceDN w:val="0"/>
        <w:adjustRightInd w:val="0"/>
        <w:spacing w:line="460" w:lineRule="atLeast"/>
        <w:jc w:val="center"/>
        <w:rPr>
          <w:rFonts w:ascii="新宋体" w:hAnsi="新宋体" w:eastAsia="新宋体"/>
          <w:b/>
          <w:bCs/>
          <w:color w:val="auto"/>
          <w:kern w:val="0"/>
          <w:sz w:val="28"/>
          <w:szCs w:val="28"/>
          <w:highlight w:val="none"/>
          <w:lang w:val="zh-CN"/>
        </w:rPr>
      </w:pPr>
    </w:p>
    <w:p>
      <w:pPr>
        <w:autoSpaceDE w:val="0"/>
        <w:autoSpaceDN w:val="0"/>
        <w:adjustRightInd w:val="0"/>
        <w:spacing w:line="460" w:lineRule="atLeast"/>
        <w:jc w:val="center"/>
        <w:rPr>
          <w:rFonts w:ascii="新宋体" w:hAnsi="新宋体" w:eastAsia="新宋体"/>
          <w:b/>
          <w:bCs/>
          <w:color w:val="auto"/>
          <w:kern w:val="0"/>
          <w:sz w:val="28"/>
          <w:szCs w:val="28"/>
          <w:highlight w:val="none"/>
          <w:lang w:val="zh-CN"/>
        </w:rPr>
      </w:pPr>
      <w:r>
        <w:rPr>
          <w:rFonts w:hint="eastAsia" w:ascii="新宋体" w:hAnsi="新宋体" w:eastAsia="新宋体"/>
          <w:b/>
          <w:bCs/>
          <w:color w:val="auto"/>
          <w:kern w:val="0"/>
          <w:sz w:val="28"/>
          <w:szCs w:val="28"/>
          <w:highlight w:val="none"/>
          <w:lang w:val="zh-CN"/>
        </w:rPr>
        <w:t>开标一览表</w:t>
      </w:r>
    </w:p>
    <w:p>
      <w:pPr>
        <w:autoSpaceDE w:val="0"/>
        <w:autoSpaceDN w:val="0"/>
        <w:adjustRightInd w:val="0"/>
        <w:spacing w:line="380" w:lineRule="atLeast"/>
        <w:ind w:right="349" w:firstLine="330"/>
        <w:rPr>
          <w:rFonts w:ascii="新宋体" w:hAnsi="新宋体" w:eastAsia="新宋体"/>
          <w:color w:val="auto"/>
          <w:kern w:val="0"/>
          <w:sz w:val="22"/>
          <w:szCs w:val="22"/>
          <w:highlight w:val="none"/>
          <w:lang w:val="zh-CN"/>
        </w:rPr>
      </w:pPr>
      <w:r>
        <w:rPr>
          <w:rFonts w:hint="eastAsia" w:ascii="新宋体" w:hAnsi="新宋体" w:eastAsia="新宋体"/>
          <w:color w:val="auto"/>
          <w:kern w:val="0"/>
          <w:sz w:val="22"/>
          <w:szCs w:val="22"/>
          <w:highlight w:val="none"/>
          <w:lang w:val="zh-CN"/>
        </w:rPr>
        <w:t>项目名称：                                          项目编号：</w:t>
      </w:r>
    </w:p>
    <w:tbl>
      <w:tblPr>
        <w:tblStyle w:val="53"/>
        <w:tblW w:w="4992"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3712"/>
        <w:gridCol w:w="61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21" w:hRule="atLeast"/>
          <w:jc w:val="center"/>
        </w:trPr>
        <w:tc>
          <w:tcPr>
            <w:tcW w:w="1886" w:type="pct"/>
            <w:tcBorders>
              <w:left w:val="single" w:color="auto" w:sz="12" w:space="0"/>
              <w:bottom w:val="single" w:color="auto" w:sz="4" w:space="0"/>
              <w:right w:val="single" w:color="auto" w:sz="12" w:space="0"/>
            </w:tcBorders>
            <w:vAlign w:val="center"/>
          </w:tcPr>
          <w:p>
            <w:pPr>
              <w:autoSpaceDE w:val="0"/>
              <w:autoSpaceDN w:val="0"/>
              <w:adjustRightInd w:val="0"/>
              <w:spacing w:line="380" w:lineRule="atLeast"/>
              <w:ind w:right="349" w:firstLine="331"/>
              <w:jc w:val="center"/>
              <w:rPr>
                <w:rFonts w:ascii="新宋体" w:hAnsi="新宋体" w:eastAsia="新宋体"/>
                <w:b/>
                <w:bCs/>
                <w:color w:val="auto"/>
                <w:kern w:val="0"/>
                <w:sz w:val="22"/>
                <w:szCs w:val="22"/>
                <w:highlight w:val="none"/>
              </w:rPr>
            </w:pPr>
            <w:r>
              <w:rPr>
                <w:rFonts w:hint="eastAsia" w:ascii="新宋体" w:hAnsi="新宋体" w:eastAsia="新宋体"/>
                <w:b/>
                <w:bCs/>
                <w:color w:val="auto"/>
                <w:kern w:val="0"/>
                <w:sz w:val="22"/>
                <w:szCs w:val="22"/>
                <w:highlight w:val="none"/>
              </w:rPr>
              <w:t>采购内容</w:t>
            </w:r>
          </w:p>
        </w:tc>
        <w:tc>
          <w:tcPr>
            <w:tcW w:w="3113" w:type="pct"/>
            <w:vMerge w:val="restart"/>
            <w:tcBorders>
              <w:left w:val="single" w:color="auto" w:sz="12" w:space="0"/>
              <w:right w:val="single" w:color="auto" w:sz="12" w:space="0"/>
            </w:tcBorders>
            <w:vAlign w:val="center"/>
          </w:tcPr>
          <w:p>
            <w:pPr>
              <w:autoSpaceDE w:val="0"/>
              <w:autoSpaceDN w:val="0"/>
              <w:adjustRightInd w:val="0"/>
              <w:spacing w:line="380" w:lineRule="atLeast"/>
              <w:ind w:right="349" w:firstLine="331"/>
              <w:jc w:val="left"/>
              <w:rPr>
                <w:rFonts w:ascii="新宋体" w:hAnsi="新宋体" w:eastAsia="新宋体"/>
                <w:b/>
                <w:bCs/>
                <w:color w:val="auto"/>
                <w:kern w:val="0"/>
                <w:sz w:val="22"/>
                <w:szCs w:val="22"/>
                <w:highlight w:val="none"/>
              </w:rPr>
            </w:pPr>
            <w:r>
              <w:rPr>
                <w:rFonts w:hint="eastAsia" w:ascii="新宋体" w:hAnsi="新宋体" w:eastAsia="新宋体"/>
                <w:b/>
                <w:bCs/>
                <w:color w:val="auto"/>
                <w:kern w:val="0"/>
                <w:sz w:val="22"/>
                <w:szCs w:val="22"/>
                <w:highlight w:val="none"/>
              </w:rPr>
              <w:t>投标总价（大写）：</w:t>
            </w:r>
          </w:p>
          <w:p>
            <w:pPr>
              <w:autoSpaceDE w:val="0"/>
              <w:autoSpaceDN w:val="0"/>
              <w:adjustRightInd w:val="0"/>
              <w:spacing w:line="380" w:lineRule="atLeast"/>
              <w:ind w:right="349" w:firstLine="331"/>
              <w:jc w:val="left"/>
              <w:rPr>
                <w:rFonts w:ascii="新宋体" w:hAnsi="新宋体" w:eastAsia="新宋体"/>
                <w:b/>
                <w:bCs/>
                <w:color w:val="auto"/>
                <w:kern w:val="0"/>
                <w:sz w:val="22"/>
                <w:szCs w:val="22"/>
                <w:highlight w:val="none"/>
              </w:rPr>
            </w:pPr>
          </w:p>
          <w:p>
            <w:pPr>
              <w:autoSpaceDE w:val="0"/>
              <w:autoSpaceDN w:val="0"/>
              <w:adjustRightInd w:val="0"/>
              <w:spacing w:line="380" w:lineRule="atLeast"/>
              <w:ind w:right="349" w:firstLine="331"/>
              <w:jc w:val="left"/>
              <w:rPr>
                <w:rFonts w:ascii="新宋体" w:hAnsi="新宋体" w:eastAsia="新宋体"/>
                <w:b/>
                <w:bCs/>
                <w:color w:val="auto"/>
                <w:kern w:val="0"/>
                <w:sz w:val="22"/>
                <w:szCs w:val="22"/>
                <w:highlight w:val="none"/>
              </w:rPr>
            </w:pPr>
            <w:r>
              <w:rPr>
                <w:rFonts w:hint="eastAsia" w:ascii="新宋体" w:hAnsi="新宋体" w:eastAsia="新宋体"/>
                <w:b/>
                <w:bCs/>
                <w:color w:val="auto"/>
                <w:kern w:val="0"/>
                <w:sz w:val="22"/>
                <w:szCs w:val="22"/>
                <w:highlight w:val="none"/>
              </w:rPr>
              <w:t>（小写）¥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14" w:hRule="atLeast"/>
          <w:jc w:val="center"/>
        </w:trPr>
        <w:tc>
          <w:tcPr>
            <w:tcW w:w="1886" w:type="pct"/>
            <w:tcBorders>
              <w:top w:val="single" w:color="auto" w:sz="4" w:space="0"/>
              <w:left w:val="single" w:color="auto" w:sz="12" w:space="0"/>
              <w:bottom w:val="single" w:color="auto" w:sz="12" w:space="0"/>
              <w:right w:val="single" w:color="auto" w:sz="12" w:space="0"/>
            </w:tcBorders>
            <w:vAlign w:val="center"/>
          </w:tcPr>
          <w:p>
            <w:pPr>
              <w:autoSpaceDE w:val="0"/>
              <w:autoSpaceDN w:val="0"/>
              <w:adjustRightInd w:val="0"/>
              <w:spacing w:line="380" w:lineRule="atLeast"/>
              <w:ind w:right="349"/>
              <w:jc w:val="center"/>
              <w:rPr>
                <w:rFonts w:hint="default" w:ascii="新宋体" w:hAnsi="新宋体" w:eastAsia="新宋体"/>
                <w:b/>
                <w:bCs/>
                <w:color w:val="auto"/>
                <w:kern w:val="0"/>
                <w:sz w:val="22"/>
                <w:szCs w:val="22"/>
                <w:highlight w:val="none"/>
                <w:lang w:val="en" w:eastAsia="zh-CN"/>
              </w:rPr>
            </w:pPr>
            <w:r>
              <w:rPr>
                <w:rFonts w:hint="eastAsia" w:ascii="宋体" w:hAnsi="宋体" w:eastAsia="新宋体"/>
                <w:color w:val="auto"/>
                <w:sz w:val="22"/>
                <w:szCs w:val="22"/>
                <w:highlight w:val="none"/>
                <w:lang w:val="en" w:eastAsia="zh-CN"/>
              </w:rPr>
              <w:t>温州市瓯海区2024年农村公路综合保险</w:t>
            </w:r>
          </w:p>
        </w:tc>
        <w:tc>
          <w:tcPr>
            <w:tcW w:w="3113" w:type="pct"/>
            <w:vMerge w:val="continue"/>
            <w:tcBorders>
              <w:left w:val="single" w:color="auto" w:sz="12" w:space="0"/>
              <w:bottom w:val="single" w:color="auto" w:sz="12" w:space="0"/>
              <w:right w:val="single" w:color="auto" w:sz="12" w:space="0"/>
            </w:tcBorders>
            <w:vAlign w:val="center"/>
          </w:tcPr>
          <w:p>
            <w:pPr>
              <w:autoSpaceDE w:val="0"/>
              <w:autoSpaceDN w:val="0"/>
              <w:adjustRightInd w:val="0"/>
              <w:spacing w:line="380" w:lineRule="atLeast"/>
              <w:ind w:right="349" w:firstLine="331"/>
              <w:jc w:val="left"/>
              <w:rPr>
                <w:rFonts w:ascii="新宋体" w:hAnsi="新宋体" w:eastAsia="新宋体"/>
                <w:b/>
                <w:bCs/>
                <w:color w:val="auto"/>
                <w:kern w:val="0"/>
                <w:sz w:val="22"/>
                <w:szCs w:val="22"/>
                <w:highlight w:val="none"/>
              </w:rPr>
            </w:pPr>
          </w:p>
        </w:tc>
      </w:tr>
    </w:tbl>
    <w:p>
      <w:pPr>
        <w:autoSpaceDE w:val="0"/>
        <w:autoSpaceDN w:val="0"/>
        <w:adjustRightInd w:val="0"/>
        <w:spacing w:line="380" w:lineRule="atLeast"/>
        <w:ind w:right="349" w:firstLine="331"/>
        <w:rPr>
          <w:rFonts w:ascii="新宋体" w:hAnsi="新宋体" w:eastAsia="新宋体"/>
          <w:b/>
          <w:bCs/>
          <w:color w:val="auto"/>
          <w:kern w:val="0"/>
          <w:sz w:val="22"/>
          <w:szCs w:val="22"/>
          <w:highlight w:val="none"/>
        </w:rPr>
      </w:pPr>
    </w:p>
    <w:p>
      <w:pPr>
        <w:autoSpaceDE w:val="0"/>
        <w:autoSpaceDN w:val="0"/>
        <w:adjustRightInd w:val="0"/>
        <w:spacing w:line="380" w:lineRule="atLeast"/>
        <w:ind w:left="36"/>
        <w:rPr>
          <w:rFonts w:ascii="新宋体" w:hAnsi="新宋体" w:eastAsia="新宋体"/>
          <w:color w:val="auto"/>
          <w:kern w:val="0"/>
          <w:sz w:val="22"/>
          <w:szCs w:val="22"/>
          <w:highlight w:val="none"/>
          <w:lang w:val="zh-CN"/>
        </w:rPr>
      </w:pPr>
      <w:r>
        <w:rPr>
          <w:rFonts w:hint="eastAsia" w:ascii="新宋体" w:hAnsi="新宋体" w:eastAsia="新宋体"/>
          <w:color w:val="auto"/>
          <w:kern w:val="0"/>
          <w:sz w:val="22"/>
          <w:szCs w:val="22"/>
          <w:highlight w:val="none"/>
          <w:lang w:val="zh-CN"/>
        </w:rPr>
        <w:t>注：</w:t>
      </w:r>
    </w:p>
    <w:p>
      <w:pPr>
        <w:autoSpaceDE w:val="0"/>
        <w:autoSpaceDN w:val="0"/>
        <w:adjustRightInd w:val="0"/>
        <w:spacing w:line="400" w:lineRule="atLeast"/>
        <w:rPr>
          <w:rFonts w:hint="eastAsia" w:ascii="新宋体" w:hAnsi="新宋体" w:eastAsia="新宋体"/>
          <w:b/>
          <w:color w:val="auto"/>
          <w:sz w:val="22"/>
          <w:szCs w:val="22"/>
          <w:highlight w:val="none"/>
          <w:u w:val="single"/>
        </w:rPr>
      </w:pPr>
      <w:r>
        <w:rPr>
          <w:rFonts w:hint="eastAsia" w:ascii="新宋体" w:hAnsi="新宋体" w:eastAsia="新宋体"/>
          <w:b/>
          <w:color w:val="auto"/>
          <w:sz w:val="22"/>
          <w:szCs w:val="22"/>
          <w:highlight w:val="none"/>
          <w:u w:val="single"/>
        </w:rPr>
        <w:t xml:space="preserve">1．最高限价 </w:t>
      </w:r>
      <w:r>
        <w:rPr>
          <w:rFonts w:hint="eastAsia" w:ascii="新宋体" w:hAnsi="新宋体" w:eastAsia="新宋体"/>
          <w:b/>
          <w:color w:val="auto"/>
          <w:sz w:val="22"/>
          <w:szCs w:val="22"/>
          <w:highlight w:val="none"/>
          <w:u w:val="single"/>
          <w:lang w:val="en-US" w:eastAsia="zh-CN"/>
        </w:rPr>
        <w:t>85</w:t>
      </w:r>
      <w:r>
        <w:rPr>
          <w:rFonts w:hint="eastAsia" w:ascii="新宋体" w:hAnsi="新宋体" w:eastAsia="新宋体"/>
          <w:b/>
          <w:color w:val="auto"/>
          <w:sz w:val="22"/>
          <w:szCs w:val="22"/>
          <w:highlight w:val="none"/>
          <w:u w:val="single"/>
        </w:rPr>
        <w:t>万元/年。</w:t>
      </w:r>
    </w:p>
    <w:p>
      <w:pPr>
        <w:autoSpaceDE w:val="0"/>
        <w:autoSpaceDN w:val="0"/>
        <w:adjustRightInd w:val="0"/>
        <w:spacing w:line="400" w:lineRule="atLeast"/>
        <w:rPr>
          <w:rFonts w:hint="eastAsia" w:ascii="新宋体" w:hAnsi="新宋体" w:eastAsia="新宋体"/>
          <w:b/>
          <w:color w:val="auto"/>
          <w:sz w:val="22"/>
          <w:szCs w:val="22"/>
          <w:highlight w:val="none"/>
          <w:u w:val="single"/>
        </w:rPr>
      </w:pPr>
      <w:r>
        <w:rPr>
          <w:rFonts w:hint="eastAsia" w:ascii="新宋体" w:hAnsi="新宋体" w:eastAsia="新宋体"/>
          <w:b/>
          <w:color w:val="auto"/>
          <w:sz w:val="22"/>
          <w:szCs w:val="22"/>
          <w:highlight w:val="none"/>
          <w:u w:val="single"/>
          <w:lang w:val="en-US" w:eastAsia="zh-CN"/>
        </w:rPr>
        <w:t>2</w:t>
      </w:r>
      <w:r>
        <w:rPr>
          <w:rFonts w:hint="eastAsia" w:ascii="新宋体" w:hAnsi="新宋体" w:eastAsia="新宋体"/>
          <w:b/>
          <w:color w:val="auto"/>
          <w:sz w:val="22"/>
          <w:szCs w:val="22"/>
          <w:highlight w:val="none"/>
          <w:u w:val="single"/>
        </w:rPr>
        <w:t>．不符合采购文件规定的服务报价，则该供应商的投标响应文件将被视为无效标。</w:t>
      </w:r>
    </w:p>
    <w:p>
      <w:pPr>
        <w:autoSpaceDE w:val="0"/>
        <w:autoSpaceDN w:val="0"/>
        <w:adjustRightInd w:val="0"/>
        <w:spacing w:line="400" w:lineRule="atLeast"/>
        <w:rPr>
          <w:rFonts w:ascii="新宋体" w:hAnsi="新宋体" w:eastAsia="新宋体"/>
          <w:b/>
          <w:bCs/>
          <w:color w:val="auto"/>
          <w:kern w:val="0"/>
          <w:sz w:val="22"/>
          <w:szCs w:val="22"/>
          <w:highlight w:val="none"/>
          <w:u w:val="wave"/>
          <w:lang w:val="zh-CN"/>
        </w:rPr>
      </w:pPr>
      <w:r>
        <w:rPr>
          <w:rFonts w:hint="eastAsia" w:ascii="新宋体" w:hAnsi="新宋体" w:eastAsia="新宋体"/>
          <w:b/>
          <w:color w:val="auto"/>
          <w:sz w:val="22"/>
          <w:szCs w:val="22"/>
          <w:highlight w:val="none"/>
          <w:u w:val="single"/>
          <w:lang w:val="en-US" w:eastAsia="zh-CN"/>
        </w:rPr>
        <w:t>3.</w:t>
      </w:r>
      <w:r>
        <w:rPr>
          <w:rFonts w:hint="eastAsia" w:ascii="新宋体" w:hAnsi="新宋体" w:eastAsia="新宋体"/>
          <w:b/>
          <w:color w:val="auto"/>
          <w:sz w:val="22"/>
          <w:szCs w:val="22"/>
          <w:highlight w:val="none"/>
          <w:u w:val="single"/>
        </w:rPr>
        <w:t>不提供此表格将被视为没有实质性响应采购文件。</w:t>
      </w:r>
    </w:p>
    <w:p>
      <w:pPr>
        <w:autoSpaceDE w:val="0"/>
        <w:autoSpaceDN w:val="0"/>
        <w:adjustRightInd w:val="0"/>
        <w:spacing w:line="380" w:lineRule="atLeast"/>
        <w:ind w:left="36"/>
        <w:rPr>
          <w:rFonts w:ascii="新宋体" w:hAnsi="新宋体" w:eastAsia="新宋体"/>
          <w:color w:val="auto"/>
          <w:kern w:val="0"/>
          <w:sz w:val="22"/>
          <w:szCs w:val="22"/>
          <w:highlight w:val="none"/>
          <w:lang w:val="zh-CN"/>
        </w:rPr>
      </w:pPr>
    </w:p>
    <w:p>
      <w:pPr>
        <w:autoSpaceDE w:val="0"/>
        <w:autoSpaceDN w:val="0"/>
        <w:adjustRightInd w:val="0"/>
        <w:spacing w:line="380" w:lineRule="atLeast"/>
        <w:ind w:firstLine="660"/>
        <w:rPr>
          <w:rFonts w:ascii="新宋体" w:hAnsi="新宋体" w:eastAsia="新宋体"/>
          <w:color w:val="auto"/>
          <w:kern w:val="0"/>
          <w:sz w:val="22"/>
          <w:szCs w:val="22"/>
          <w:highlight w:val="none"/>
          <w:lang w:val="zh-CN"/>
        </w:rPr>
      </w:pPr>
    </w:p>
    <w:p>
      <w:pPr>
        <w:autoSpaceDE w:val="0"/>
        <w:autoSpaceDN w:val="0"/>
        <w:adjustRightInd w:val="0"/>
        <w:spacing w:line="380" w:lineRule="atLeast"/>
        <w:ind w:firstLine="660"/>
        <w:rPr>
          <w:rFonts w:ascii="新宋体" w:hAnsi="新宋体" w:eastAsia="新宋体"/>
          <w:color w:val="auto"/>
          <w:kern w:val="0"/>
          <w:sz w:val="22"/>
          <w:szCs w:val="22"/>
          <w:highlight w:val="none"/>
          <w:lang w:val="zh-CN"/>
        </w:rPr>
      </w:pPr>
    </w:p>
    <w:p>
      <w:pPr>
        <w:autoSpaceDE w:val="0"/>
        <w:autoSpaceDN w:val="0"/>
        <w:adjustRightInd w:val="0"/>
        <w:spacing w:line="380" w:lineRule="atLeast"/>
        <w:ind w:firstLine="660"/>
        <w:rPr>
          <w:rFonts w:ascii="新宋体" w:hAnsi="新宋体" w:eastAsia="新宋体"/>
          <w:color w:val="auto"/>
          <w:kern w:val="0"/>
          <w:sz w:val="22"/>
          <w:szCs w:val="22"/>
          <w:highlight w:val="none"/>
          <w:lang w:val="zh-CN"/>
        </w:rPr>
      </w:pPr>
    </w:p>
    <w:p>
      <w:pPr>
        <w:autoSpaceDE w:val="0"/>
        <w:autoSpaceDN w:val="0"/>
        <w:adjustRightInd w:val="0"/>
        <w:spacing w:line="380" w:lineRule="atLeast"/>
        <w:ind w:firstLine="660"/>
        <w:rPr>
          <w:rFonts w:ascii="新宋体" w:hAnsi="新宋体" w:eastAsia="新宋体"/>
          <w:color w:val="auto"/>
          <w:kern w:val="0"/>
          <w:sz w:val="22"/>
          <w:szCs w:val="22"/>
          <w:highlight w:val="none"/>
          <w:lang w:val="zh-CN"/>
        </w:rPr>
      </w:pPr>
    </w:p>
    <w:p>
      <w:pPr>
        <w:autoSpaceDE w:val="0"/>
        <w:autoSpaceDN w:val="0"/>
        <w:adjustRightInd w:val="0"/>
        <w:spacing w:line="380" w:lineRule="atLeast"/>
        <w:ind w:firstLine="660"/>
        <w:rPr>
          <w:rFonts w:ascii="新宋体" w:hAnsi="新宋体" w:eastAsia="新宋体"/>
          <w:color w:val="auto"/>
          <w:kern w:val="0"/>
          <w:sz w:val="22"/>
          <w:szCs w:val="22"/>
          <w:highlight w:val="none"/>
          <w:lang w:val="zh-CN"/>
        </w:rPr>
      </w:pPr>
    </w:p>
    <w:p>
      <w:pPr>
        <w:autoSpaceDE w:val="0"/>
        <w:autoSpaceDN w:val="0"/>
        <w:adjustRightInd w:val="0"/>
        <w:spacing w:line="380" w:lineRule="atLeast"/>
        <w:ind w:firstLine="660"/>
        <w:rPr>
          <w:rFonts w:ascii="新宋体" w:hAnsi="新宋体" w:eastAsia="新宋体"/>
          <w:color w:val="auto"/>
          <w:kern w:val="0"/>
          <w:sz w:val="22"/>
          <w:szCs w:val="22"/>
          <w:highlight w:val="none"/>
          <w:lang w:val="zh-CN"/>
        </w:rPr>
      </w:pPr>
    </w:p>
    <w:p>
      <w:pPr>
        <w:autoSpaceDE w:val="0"/>
        <w:autoSpaceDN w:val="0"/>
        <w:adjustRightInd w:val="0"/>
        <w:spacing w:line="380" w:lineRule="atLeast"/>
        <w:rPr>
          <w:rFonts w:ascii="新宋体" w:hAnsi="新宋体" w:eastAsia="新宋体"/>
          <w:color w:val="auto"/>
          <w:kern w:val="0"/>
          <w:sz w:val="22"/>
          <w:szCs w:val="22"/>
          <w:highlight w:val="none"/>
          <w:lang w:val="zh-CN"/>
        </w:rPr>
      </w:pPr>
      <w:r>
        <w:rPr>
          <w:rFonts w:hint="eastAsia" w:ascii="新宋体" w:hAnsi="新宋体" w:eastAsia="新宋体"/>
          <w:color w:val="auto"/>
          <w:kern w:val="0"/>
          <w:sz w:val="22"/>
          <w:szCs w:val="22"/>
          <w:highlight w:val="none"/>
          <w:lang w:val="zh-CN"/>
        </w:rPr>
        <w:t>供应商全称（盖章）：</w:t>
      </w:r>
    </w:p>
    <w:p>
      <w:pPr>
        <w:autoSpaceDE w:val="0"/>
        <w:autoSpaceDN w:val="0"/>
        <w:adjustRightInd w:val="0"/>
        <w:spacing w:line="380" w:lineRule="atLeast"/>
        <w:rPr>
          <w:rFonts w:ascii="新宋体" w:hAnsi="新宋体" w:eastAsia="新宋体"/>
          <w:color w:val="auto"/>
          <w:kern w:val="0"/>
          <w:sz w:val="22"/>
          <w:szCs w:val="22"/>
          <w:highlight w:val="none"/>
          <w:lang w:val="zh-CN"/>
        </w:rPr>
      </w:pPr>
      <w:r>
        <w:rPr>
          <w:rFonts w:hint="eastAsia" w:ascii="新宋体" w:hAnsi="新宋体" w:eastAsia="新宋体"/>
          <w:color w:val="auto"/>
          <w:kern w:val="0"/>
          <w:sz w:val="22"/>
          <w:szCs w:val="22"/>
          <w:highlight w:val="none"/>
          <w:lang w:val="zh-CN"/>
        </w:rPr>
        <w:t>供应商代表（签名）：</w:t>
      </w:r>
    </w:p>
    <w:p>
      <w:pPr>
        <w:autoSpaceDE w:val="0"/>
        <w:autoSpaceDN w:val="0"/>
        <w:adjustRightInd w:val="0"/>
        <w:spacing w:line="380" w:lineRule="atLeast"/>
        <w:rPr>
          <w:rFonts w:ascii="新宋体" w:hAnsi="新宋体" w:eastAsia="新宋体"/>
          <w:color w:val="auto"/>
          <w:kern w:val="0"/>
          <w:sz w:val="22"/>
          <w:szCs w:val="22"/>
          <w:highlight w:val="none"/>
          <w:lang w:val="zh-CN"/>
        </w:rPr>
      </w:pPr>
      <w:r>
        <w:rPr>
          <w:rFonts w:hint="eastAsia" w:ascii="新宋体" w:hAnsi="新宋体" w:eastAsia="新宋体"/>
          <w:color w:val="auto"/>
          <w:kern w:val="0"/>
          <w:sz w:val="22"/>
          <w:szCs w:val="22"/>
          <w:highlight w:val="none"/>
          <w:lang w:val="zh-CN"/>
        </w:rPr>
        <w:t xml:space="preserve">日 期：  年  月  日 </w:t>
      </w:r>
    </w:p>
    <w:p>
      <w:pPr>
        <w:autoSpaceDE w:val="0"/>
        <w:autoSpaceDN w:val="0"/>
        <w:adjustRightInd w:val="0"/>
        <w:spacing w:line="380" w:lineRule="atLeast"/>
        <w:rPr>
          <w:rFonts w:ascii="新宋体" w:hAnsi="新宋体" w:eastAsia="新宋体"/>
          <w:color w:val="auto"/>
          <w:kern w:val="0"/>
          <w:sz w:val="22"/>
          <w:szCs w:val="22"/>
          <w:highlight w:val="none"/>
          <w:lang w:val="zh-CN"/>
        </w:rPr>
      </w:pPr>
    </w:p>
    <w:p>
      <w:pPr>
        <w:pStyle w:val="3"/>
        <w:jc w:val="center"/>
        <w:rPr>
          <w:rFonts w:ascii="新宋体" w:hAnsi="新宋体" w:eastAsia="新宋体"/>
          <w:color w:val="auto"/>
          <w:sz w:val="22"/>
          <w:szCs w:val="22"/>
          <w:highlight w:val="none"/>
        </w:rPr>
      </w:pPr>
      <w:r>
        <w:rPr>
          <w:rFonts w:hint="eastAsia" w:ascii="新宋体" w:hAnsi="新宋体" w:eastAsia="新宋体"/>
          <w:color w:val="auto"/>
          <w:kern w:val="0"/>
          <w:sz w:val="22"/>
          <w:szCs w:val="22"/>
          <w:highlight w:val="none"/>
          <w:lang w:val="zh-CN"/>
        </w:rPr>
        <w:br w:type="page"/>
      </w:r>
      <w:bookmarkStart w:id="80" w:name="_Toc13005"/>
      <w:r>
        <w:rPr>
          <w:rFonts w:hint="eastAsia" w:ascii="新宋体" w:hAnsi="新宋体" w:eastAsia="新宋体"/>
          <w:bCs w:val="0"/>
          <w:color w:val="auto"/>
          <w:sz w:val="36"/>
          <w:szCs w:val="36"/>
          <w:highlight w:val="none"/>
        </w:rPr>
        <w:t>第五部分   采购内容及要求</w:t>
      </w:r>
      <w:bookmarkEnd w:id="80"/>
    </w:p>
    <w:bookmarkEnd w:id="8"/>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Pr>
        <w:keepNext w:val="0"/>
        <w:keepLines w:val="0"/>
        <w:pageBreakBefore w:val="0"/>
        <w:widowControl w:val="0"/>
        <w:kinsoku/>
        <w:wordWrap/>
        <w:overflowPunct w:val="0"/>
        <w:topLinePunct w:val="0"/>
        <w:autoSpaceDE/>
        <w:autoSpaceDN/>
        <w:bidi w:val="0"/>
        <w:adjustRightInd w:val="0"/>
        <w:snapToGrid/>
        <w:spacing w:line="440" w:lineRule="exact"/>
        <w:ind w:firstLine="440" w:firstLineChars="200"/>
        <w:textAlignment w:val="auto"/>
        <w:rPr>
          <w:rFonts w:hint="eastAsia" w:ascii="宋体" w:hAnsi="宋体" w:eastAsia="宋体" w:cs="宋体"/>
          <w:b w:val="0"/>
          <w:bCs w:val="0"/>
          <w:color w:val="auto"/>
          <w:sz w:val="22"/>
          <w:szCs w:val="22"/>
          <w:highlight w:val="none"/>
          <w:lang w:val="en-US" w:eastAsia="zh-CN"/>
        </w:rPr>
      </w:pPr>
    </w:p>
    <w:p>
      <w:pPr>
        <w:keepNext w:val="0"/>
        <w:keepLines w:val="0"/>
        <w:pageBreakBefore w:val="0"/>
        <w:tabs>
          <w:tab w:val="left" w:pos="8280"/>
        </w:tabs>
        <w:kinsoku/>
        <w:wordWrap/>
        <w:overflowPunct/>
        <w:topLinePunct w:val="0"/>
        <w:autoSpaceDE w:val="0"/>
        <w:autoSpaceDN w:val="0"/>
        <w:bidi w:val="0"/>
        <w:adjustRightInd w:val="0"/>
        <w:snapToGrid/>
        <w:spacing w:line="440" w:lineRule="exact"/>
        <w:ind w:right="25"/>
        <w:jc w:val="left"/>
        <w:textAlignment w:val="auto"/>
        <w:rPr>
          <w:rFonts w:ascii="宋体" w:hAnsi="宋体"/>
          <w:b/>
          <w:color w:val="auto"/>
          <w:sz w:val="24"/>
          <w:szCs w:val="24"/>
          <w:highlight w:val="none"/>
        </w:rPr>
      </w:pPr>
      <w:r>
        <w:rPr>
          <w:rFonts w:hint="eastAsia" w:ascii="宋体" w:hAnsi="宋体"/>
          <w:b/>
          <w:color w:val="auto"/>
          <w:sz w:val="24"/>
          <w:szCs w:val="24"/>
          <w:highlight w:val="none"/>
        </w:rPr>
        <w:t>一、项目背景</w:t>
      </w:r>
    </w:p>
    <w:p>
      <w:pPr>
        <w:pStyle w:val="24"/>
        <w:keepNext w:val="0"/>
        <w:keepLines w:val="0"/>
        <w:pageBreakBefore w:val="0"/>
        <w:kinsoku/>
        <w:wordWrap/>
        <w:overflowPunct/>
        <w:topLinePunct w:val="0"/>
        <w:bidi w:val="0"/>
        <w:snapToGrid/>
        <w:spacing w:line="440" w:lineRule="exact"/>
        <w:ind w:firstLine="440" w:firstLineChars="200"/>
        <w:textAlignment w:val="auto"/>
        <w:rPr>
          <w:rFonts w:ascii="宋体" w:hAnsi="宋体"/>
          <w:b/>
          <w:color w:val="auto"/>
          <w:sz w:val="28"/>
          <w:szCs w:val="28"/>
          <w:highlight w:val="none"/>
        </w:rPr>
      </w:pPr>
      <w:r>
        <w:rPr>
          <w:rFonts w:hint="eastAsia"/>
          <w:color w:val="auto"/>
          <w:sz w:val="22"/>
          <w:szCs w:val="22"/>
          <w:highlight w:val="none"/>
        </w:rPr>
        <w:t>温州市瓯海区地处浙南沿海，属台风多发地区，全区公路修复资金一直受巨灾因素困扰，道路综合保险模式，能充分利用保险的杠杆作用，有效解决道路修复资金存在的“常年有结余、大灾补助难”的问题。</w:t>
      </w:r>
    </w:p>
    <w:p>
      <w:pPr>
        <w:keepNext w:val="0"/>
        <w:keepLines w:val="0"/>
        <w:pageBreakBefore w:val="0"/>
        <w:tabs>
          <w:tab w:val="left" w:pos="8280"/>
        </w:tabs>
        <w:kinsoku/>
        <w:wordWrap/>
        <w:overflowPunct/>
        <w:topLinePunct w:val="0"/>
        <w:autoSpaceDE w:val="0"/>
        <w:autoSpaceDN w:val="0"/>
        <w:bidi w:val="0"/>
        <w:adjustRightInd w:val="0"/>
        <w:snapToGrid/>
        <w:spacing w:line="440" w:lineRule="exact"/>
        <w:ind w:right="25"/>
        <w:jc w:val="left"/>
        <w:textAlignment w:val="auto"/>
        <w:rPr>
          <w:rFonts w:hint="eastAsia" w:ascii="宋体" w:hAnsi="宋体" w:eastAsia="宋体"/>
          <w:b/>
          <w:color w:val="auto"/>
          <w:sz w:val="24"/>
          <w:szCs w:val="24"/>
          <w:highlight w:val="none"/>
          <w:lang w:val="en-US" w:eastAsia="zh-CN"/>
        </w:rPr>
      </w:pPr>
    </w:p>
    <w:p>
      <w:pPr>
        <w:keepNext w:val="0"/>
        <w:keepLines w:val="0"/>
        <w:pageBreakBefore w:val="0"/>
        <w:tabs>
          <w:tab w:val="left" w:pos="8280"/>
        </w:tabs>
        <w:kinsoku/>
        <w:wordWrap/>
        <w:overflowPunct/>
        <w:topLinePunct w:val="0"/>
        <w:autoSpaceDE w:val="0"/>
        <w:autoSpaceDN w:val="0"/>
        <w:bidi w:val="0"/>
        <w:adjustRightInd w:val="0"/>
        <w:snapToGrid/>
        <w:spacing w:line="440" w:lineRule="exact"/>
        <w:ind w:right="25"/>
        <w:jc w:val="left"/>
        <w:textAlignment w:val="auto"/>
        <w:rPr>
          <w:rFonts w:ascii="宋体" w:hAnsi="宋体"/>
          <w:b/>
          <w:color w:val="auto"/>
          <w:sz w:val="24"/>
          <w:szCs w:val="24"/>
          <w:highlight w:val="none"/>
        </w:rPr>
      </w:pPr>
      <w:r>
        <w:rPr>
          <w:rFonts w:hint="eastAsia" w:ascii="宋体" w:hAnsi="宋体"/>
          <w:b/>
          <w:color w:val="auto"/>
          <w:sz w:val="24"/>
          <w:szCs w:val="24"/>
          <w:highlight w:val="none"/>
        </w:rPr>
        <w:t>二、保险标的：</w:t>
      </w:r>
    </w:p>
    <w:p>
      <w:pPr>
        <w:keepNext w:val="0"/>
        <w:keepLines w:val="0"/>
        <w:pageBreakBefore w:val="0"/>
        <w:tabs>
          <w:tab w:val="left" w:pos="8280"/>
        </w:tabs>
        <w:kinsoku/>
        <w:wordWrap/>
        <w:overflowPunct/>
        <w:topLinePunct w:val="0"/>
        <w:autoSpaceDE w:val="0"/>
        <w:autoSpaceDN w:val="0"/>
        <w:bidi w:val="0"/>
        <w:adjustRightInd w:val="0"/>
        <w:snapToGrid/>
        <w:spacing w:line="440" w:lineRule="exact"/>
        <w:ind w:right="25" w:firstLine="440" w:firstLineChars="200"/>
        <w:jc w:val="left"/>
        <w:textAlignment w:val="auto"/>
        <w:rPr>
          <w:rFonts w:ascii="宋体" w:hAnsi="宋体"/>
          <w:b/>
          <w:color w:val="auto"/>
          <w:sz w:val="28"/>
          <w:szCs w:val="28"/>
          <w:highlight w:val="none"/>
        </w:rPr>
      </w:pPr>
      <w:r>
        <w:rPr>
          <w:rFonts w:hint="eastAsia" w:ascii="宋体" w:hAnsi="宋体"/>
          <w:color w:val="auto"/>
          <w:sz w:val="22"/>
          <w:szCs w:val="22"/>
          <w:highlight w:val="none"/>
        </w:rPr>
        <w:t>温州市瓯海区境内各级公路管理</w:t>
      </w:r>
      <w:r>
        <w:rPr>
          <w:rFonts w:hint="eastAsia" w:ascii="宋体" w:hAnsi="宋体"/>
          <w:color w:val="auto"/>
          <w:sz w:val="22"/>
          <w:szCs w:val="22"/>
          <w:highlight w:val="none"/>
          <w:lang w:eastAsia="zh-CN"/>
        </w:rPr>
        <w:t>中心</w:t>
      </w:r>
      <w:r>
        <w:rPr>
          <w:rFonts w:hint="eastAsia" w:ascii="宋体" w:hAnsi="宋体"/>
          <w:color w:val="auto"/>
          <w:sz w:val="22"/>
          <w:szCs w:val="22"/>
          <w:highlight w:val="none"/>
        </w:rPr>
        <w:t>所管养的县、乡、道路，包括路基、边坡、路面、桥梁、涵洞、隧道、防护工程交通安全设施及公路附属设施等</w:t>
      </w:r>
    </w:p>
    <w:p>
      <w:pPr>
        <w:keepNext w:val="0"/>
        <w:keepLines w:val="0"/>
        <w:pageBreakBefore w:val="0"/>
        <w:tabs>
          <w:tab w:val="left" w:pos="8280"/>
        </w:tabs>
        <w:kinsoku/>
        <w:wordWrap/>
        <w:overflowPunct/>
        <w:topLinePunct w:val="0"/>
        <w:autoSpaceDE w:val="0"/>
        <w:autoSpaceDN w:val="0"/>
        <w:bidi w:val="0"/>
        <w:adjustRightInd w:val="0"/>
        <w:snapToGrid/>
        <w:spacing w:line="440" w:lineRule="exact"/>
        <w:ind w:right="25"/>
        <w:jc w:val="left"/>
        <w:textAlignment w:val="auto"/>
        <w:rPr>
          <w:rFonts w:hint="eastAsia" w:ascii="宋体" w:hAnsi="宋体"/>
          <w:b/>
          <w:color w:val="auto"/>
          <w:sz w:val="24"/>
          <w:szCs w:val="24"/>
          <w:highlight w:val="none"/>
        </w:rPr>
      </w:pPr>
    </w:p>
    <w:p>
      <w:pPr>
        <w:keepNext w:val="0"/>
        <w:keepLines w:val="0"/>
        <w:pageBreakBefore w:val="0"/>
        <w:tabs>
          <w:tab w:val="left" w:pos="8280"/>
        </w:tabs>
        <w:kinsoku/>
        <w:wordWrap/>
        <w:overflowPunct/>
        <w:topLinePunct w:val="0"/>
        <w:autoSpaceDE w:val="0"/>
        <w:autoSpaceDN w:val="0"/>
        <w:bidi w:val="0"/>
        <w:adjustRightInd w:val="0"/>
        <w:snapToGrid/>
        <w:spacing w:line="440" w:lineRule="exact"/>
        <w:ind w:right="25"/>
        <w:jc w:val="left"/>
        <w:textAlignment w:val="auto"/>
        <w:rPr>
          <w:rFonts w:ascii="宋体" w:hAnsi="宋体"/>
          <w:b/>
          <w:color w:val="auto"/>
          <w:sz w:val="24"/>
          <w:szCs w:val="24"/>
          <w:highlight w:val="none"/>
        </w:rPr>
      </w:pPr>
      <w:r>
        <w:rPr>
          <w:rFonts w:hint="eastAsia" w:ascii="宋体" w:hAnsi="宋体"/>
          <w:b/>
          <w:color w:val="auto"/>
          <w:sz w:val="24"/>
          <w:szCs w:val="24"/>
          <w:highlight w:val="none"/>
        </w:rPr>
        <w:t>三、保险方案：</w:t>
      </w:r>
    </w:p>
    <w:p>
      <w:pPr>
        <w:pStyle w:val="24"/>
        <w:keepNext w:val="0"/>
        <w:keepLines w:val="0"/>
        <w:pageBreakBefore w:val="0"/>
        <w:kinsoku/>
        <w:wordWrap/>
        <w:overflowPunct/>
        <w:topLinePunct w:val="0"/>
        <w:bidi w:val="0"/>
        <w:snapToGrid/>
        <w:spacing w:line="440" w:lineRule="exact"/>
        <w:ind w:firstLine="440" w:firstLineChars="200"/>
        <w:textAlignment w:val="auto"/>
        <w:rPr>
          <w:color w:val="auto"/>
          <w:sz w:val="22"/>
          <w:szCs w:val="22"/>
          <w:highlight w:val="none"/>
        </w:rPr>
      </w:pPr>
      <w:r>
        <w:rPr>
          <w:rFonts w:hint="eastAsia"/>
          <w:color w:val="auto"/>
          <w:sz w:val="22"/>
          <w:szCs w:val="22"/>
          <w:highlight w:val="none"/>
        </w:rPr>
        <w:t>公路财产损失保险</w:t>
      </w:r>
    </w:p>
    <w:p>
      <w:pPr>
        <w:pStyle w:val="24"/>
        <w:keepNext w:val="0"/>
        <w:keepLines w:val="0"/>
        <w:pageBreakBefore w:val="0"/>
        <w:kinsoku/>
        <w:wordWrap/>
        <w:overflowPunct/>
        <w:topLinePunct w:val="0"/>
        <w:bidi w:val="0"/>
        <w:snapToGrid/>
        <w:spacing w:line="440" w:lineRule="exact"/>
        <w:ind w:firstLine="442" w:firstLineChars="200"/>
        <w:textAlignment w:val="auto"/>
        <w:rPr>
          <w:b/>
          <w:color w:val="auto"/>
          <w:sz w:val="22"/>
          <w:szCs w:val="22"/>
          <w:highlight w:val="none"/>
        </w:rPr>
      </w:pPr>
      <w:r>
        <w:rPr>
          <w:rFonts w:hint="eastAsia"/>
          <w:b/>
          <w:color w:val="auto"/>
          <w:sz w:val="22"/>
          <w:szCs w:val="22"/>
          <w:highlight w:val="none"/>
        </w:rPr>
        <w:t>1.保险责任：</w:t>
      </w:r>
    </w:p>
    <w:p>
      <w:pPr>
        <w:pStyle w:val="24"/>
        <w:keepNext w:val="0"/>
        <w:keepLines w:val="0"/>
        <w:pageBreakBefore w:val="0"/>
        <w:kinsoku/>
        <w:wordWrap/>
        <w:overflowPunct/>
        <w:topLinePunct w:val="0"/>
        <w:bidi w:val="0"/>
        <w:snapToGrid/>
        <w:spacing w:line="440" w:lineRule="exact"/>
        <w:ind w:firstLine="440" w:firstLineChars="200"/>
        <w:textAlignment w:val="auto"/>
        <w:rPr>
          <w:color w:val="auto"/>
          <w:sz w:val="22"/>
          <w:szCs w:val="22"/>
          <w:highlight w:val="none"/>
        </w:rPr>
      </w:pPr>
      <w:r>
        <w:rPr>
          <w:rFonts w:hint="eastAsia"/>
          <w:color w:val="auto"/>
          <w:sz w:val="22"/>
          <w:szCs w:val="22"/>
          <w:highlight w:val="none"/>
        </w:rPr>
        <w:t>在保险期间内，保险标的因自然灾害或意外事故造成的直接损毁或灭失，保险人按照本保险合同的约定负责赔偿。自然灾害：指雷击、暴雨、洪水、暴风、龙卷风、冰雹、台风、飓风、沙尘暴、暴雪、冰凌、突发性滑坡、崩塌、泥石流、地面突然下陷下沉及其他人力不可抗拒的破坏力强大的自然现象。地震为除外责任。</w:t>
      </w:r>
    </w:p>
    <w:p>
      <w:pPr>
        <w:pStyle w:val="24"/>
        <w:keepNext w:val="0"/>
        <w:keepLines w:val="0"/>
        <w:pageBreakBefore w:val="0"/>
        <w:kinsoku/>
        <w:wordWrap/>
        <w:overflowPunct/>
        <w:topLinePunct w:val="0"/>
        <w:bidi w:val="0"/>
        <w:snapToGrid/>
        <w:spacing w:line="440" w:lineRule="exact"/>
        <w:ind w:firstLine="440" w:firstLineChars="200"/>
        <w:textAlignment w:val="auto"/>
        <w:rPr>
          <w:color w:val="auto"/>
          <w:sz w:val="22"/>
          <w:szCs w:val="22"/>
          <w:highlight w:val="none"/>
        </w:rPr>
      </w:pPr>
      <w:r>
        <w:rPr>
          <w:rFonts w:hint="eastAsia"/>
          <w:color w:val="auto"/>
          <w:sz w:val="22"/>
          <w:szCs w:val="22"/>
          <w:highlight w:val="none"/>
        </w:rPr>
        <w:t>意外事故：指不可预料的以及被保险人无法控制并造成物质损失的突发性事件，包括火灾和爆炸。</w:t>
      </w:r>
    </w:p>
    <w:p>
      <w:pPr>
        <w:pStyle w:val="24"/>
        <w:keepNext w:val="0"/>
        <w:keepLines w:val="0"/>
        <w:pageBreakBefore w:val="0"/>
        <w:kinsoku/>
        <w:wordWrap/>
        <w:overflowPunct/>
        <w:topLinePunct w:val="0"/>
        <w:bidi w:val="0"/>
        <w:snapToGrid/>
        <w:spacing w:line="440" w:lineRule="exact"/>
        <w:ind w:firstLine="440" w:firstLineChars="200"/>
        <w:textAlignment w:val="auto"/>
        <w:rPr>
          <w:color w:val="auto"/>
          <w:sz w:val="22"/>
          <w:szCs w:val="22"/>
          <w:highlight w:val="none"/>
        </w:rPr>
      </w:pPr>
      <w:r>
        <w:rPr>
          <w:rFonts w:hint="eastAsia"/>
          <w:color w:val="auto"/>
          <w:sz w:val="22"/>
          <w:szCs w:val="22"/>
          <w:highlight w:val="none"/>
        </w:rPr>
        <w:t>附加地震扩展条款：KA11. 地震扩展条款经双方同意，由于烈度达到或超过保险标的所在地抗震设防标准的地震或由此引起的海啸、火灾、爆炸造成保险标的的损失，保险人按照本保险合同的约定负责赔偿。但由于建筑物未达到国家建筑质量要求（包括抗震设防标准）造成保险标的的损失，保险人不负责赔偿。保险标的因连续72小时内遭受一次或多次地震（余震）所致损失视为一次事故。被保险人应向保险人提供建筑物本身的抗震设防达标证明、建筑物的建筑结构及主要原材料工艺质量证明，被保险人未能提供上述证明材料或证明材料不真实的，保险人不承担赔偿责任。本附加条款项下每次事故赔偿限额不超过主险保险金额的80％。本附加条款项下每次事故免赔额不低于人民币40万元或损失金额的5％，两者以高者为准。 本附加条款与主条款内容相悖之处，以本附加条款为准；未尽之处，以主条款为准</w:t>
      </w:r>
    </w:p>
    <w:p>
      <w:pPr>
        <w:pStyle w:val="24"/>
        <w:keepNext w:val="0"/>
        <w:keepLines w:val="0"/>
        <w:pageBreakBefore w:val="0"/>
        <w:kinsoku/>
        <w:wordWrap/>
        <w:overflowPunct/>
        <w:topLinePunct w:val="0"/>
        <w:bidi w:val="0"/>
        <w:snapToGrid/>
        <w:spacing w:line="440" w:lineRule="exact"/>
        <w:ind w:firstLine="442" w:firstLineChars="200"/>
        <w:textAlignment w:val="auto"/>
        <w:rPr>
          <w:b/>
          <w:color w:val="auto"/>
          <w:sz w:val="22"/>
          <w:szCs w:val="22"/>
          <w:highlight w:val="none"/>
        </w:rPr>
      </w:pPr>
      <w:r>
        <w:rPr>
          <w:rFonts w:hint="eastAsia"/>
          <w:b/>
          <w:color w:val="auto"/>
          <w:sz w:val="22"/>
          <w:szCs w:val="22"/>
          <w:highlight w:val="none"/>
        </w:rPr>
        <w:t>2.保险方案</w:t>
      </w:r>
    </w:p>
    <w:tbl>
      <w:tblPr>
        <w:tblStyle w:val="53"/>
        <w:tblW w:w="4999" w:type="pct"/>
        <w:tblInd w:w="0" w:type="dxa"/>
        <w:tblLayout w:type="autofit"/>
        <w:tblCellMar>
          <w:top w:w="0" w:type="dxa"/>
          <w:left w:w="108" w:type="dxa"/>
          <w:bottom w:w="0" w:type="dxa"/>
          <w:right w:w="108" w:type="dxa"/>
        </w:tblCellMar>
      </w:tblPr>
      <w:tblGrid>
        <w:gridCol w:w="2100"/>
        <w:gridCol w:w="2594"/>
        <w:gridCol w:w="5158"/>
      </w:tblGrid>
      <w:tr>
        <w:tblPrEx>
          <w:tblCellMar>
            <w:top w:w="0" w:type="dxa"/>
            <w:left w:w="108" w:type="dxa"/>
            <w:bottom w:w="0" w:type="dxa"/>
            <w:right w:w="108" w:type="dxa"/>
          </w:tblCellMar>
        </w:tblPrEx>
        <w:trPr>
          <w:trHeight w:val="270" w:hRule="atLeast"/>
        </w:trPr>
        <w:tc>
          <w:tcPr>
            <w:tcW w:w="1066"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line="440" w:lineRule="exact"/>
              <w:jc w:val="center"/>
              <w:textAlignment w:val="auto"/>
              <w:rPr>
                <w:rFonts w:ascii="宋体" w:hAnsi="宋体" w:cs="宋体"/>
                <w:color w:val="auto"/>
                <w:kern w:val="0"/>
                <w:sz w:val="22"/>
                <w:highlight w:val="none"/>
              </w:rPr>
            </w:pPr>
            <w:r>
              <w:rPr>
                <w:rFonts w:hint="eastAsia" w:ascii="宋体" w:hAnsi="宋体" w:cs="宋体"/>
                <w:color w:val="auto"/>
                <w:kern w:val="0"/>
                <w:sz w:val="22"/>
                <w:highlight w:val="none"/>
              </w:rPr>
              <w:t>保险方案</w:t>
            </w:r>
          </w:p>
        </w:tc>
        <w:tc>
          <w:tcPr>
            <w:tcW w:w="3933" w:type="pct"/>
            <w:gridSpan w:val="2"/>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line="440" w:lineRule="exact"/>
              <w:jc w:val="center"/>
              <w:textAlignment w:val="auto"/>
              <w:rPr>
                <w:rFonts w:ascii="宋体" w:hAnsi="宋体" w:cs="宋体"/>
                <w:color w:val="auto"/>
                <w:kern w:val="0"/>
                <w:sz w:val="22"/>
                <w:highlight w:val="none"/>
              </w:rPr>
            </w:pPr>
            <w:r>
              <w:rPr>
                <w:rFonts w:hint="eastAsia" w:ascii="宋体" w:hAnsi="宋体" w:cs="宋体"/>
                <w:color w:val="auto"/>
                <w:kern w:val="0"/>
                <w:sz w:val="22"/>
                <w:highlight w:val="none"/>
              </w:rPr>
              <w:t>保险金额（单位</w:t>
            </w:r>
            <w:r>
              <w:rPr>
                <w:rFonts w:ascii="宋体" w:hAnsi="宋体" w:cs="宋体"/>
                <w:color w:val="auto"/>
                <w:kern w:val="0"/>
                <w:sz w:val="22"/>
                <w:highlight w:val="none"/>
              </w:rPr>
              <w:t>：</w:t>
            </w:r>
            <w:r>
              <w:rPr>
                <w:rFonts w:hint="eastAsia" w:ascii="宋体" w:hAnsi="宋体" w:cs="宋体"/>
                <w:color w:val="auto"/>
                <w:kern w:val="0"/>
                <w:sz w:val="22"/>
                <w:highlight w:val="none"/>
              </w:rPr>
              <w:t>万元/公里）</w:t>
            </w:r>
          </w:p>
        </w:tc>
      </w:tr>
      <w:tr>
        <w:tblPrEx>
          <w:tblCellMar>
            <w:top w:w="0" w:type="dxa"/>
            <w:left w:w="108" w:type="dxa"/>
            <w:bottom w:w="0" w:type="dxa"/>
            <w:right w:w="108" w:type="dxa"/>
          </w:tblCellMar>
        </w:tblPrEx>
        <w:trPr>
          <w:trHeight w:val="270" w:hRule="atLeast"/>
        </w:trPr>
        <w:tc>
          <w:tcPr>
            <w:tcW w:w="106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440" w:lineRule="exact"/>
              <w:jc w:val="left"/>
              <w:textAlignment w:val="auto"/>
              <w:rPr>
                <w:rFonts w:ascii="宋体" w:hAnsi="宋体" w:cs="宋体"/>
                <w:color w:val="auto"/>
                <w:kern w:val="0"/>
                <w:sz w:val="22"/>
                <w:highlight w:val="none"/>
              </w:rPr>
            </w:pPr>
          </w:p>
        </w:tc>
        <w:tc>
          <w:tcPr>
            <w:tcW w:w="131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line="440" w:lineRule="exact"/>
              <w:jc w:val="center"/>
              <w:textAlignment w:val="auto"/>
              <w:rPr>
                <w:rFonts w:ascii="宋体" w:hAnsi="宋体" w:cs="宋体"/>
                <w:color w:val="auto"/>
                <w:kern w:val="0"/>
                <w:sz w:val="22"/>
                <w:highlight w:val="none"/>
              </w:rPr>
            </w:pPr>
            <w:r>
              <w:rPr>
                <w:rFonts w:hint="eastAsia" w:ascii="宋体" w:hAnsi="宋体" w:cs="宋体"/>
                <w:color w:val="auto"/>
                <w:kern w:val="0"/>
                <w:sz w:val="22"/>
                <w:highlight w:val="none"/>
              </w:rPr>
              <w:t>县道</w:t>
            </w:r>
          </w:p>
        </w:tc>
        <w:tc>
          <w:tcPr>
            <w:tcW w:w="261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line="440" w:lineRule="exact"/>
              <w:jc w:val="center"/>
              <w:textAlignment w:val="auto"/>
              <w:rPr>
                <w:rFonts w:ascii="宋体" w:hAnsi="宋体" w:cs="宋体"/>
                <w:color w:val="auto"/>
                <w:kern w:val="0"/>
                <w:sz w:val="22"/>
                <w:highlight w:val="none"/>
              </w:rPr>
            </w:pPr>
            <w:r>
              <w:rPr>
                <w:rFonts w:hint="eastAsia" w:ascii="宋体" w:hAnsi="宋体" w:cs="宋体"/>
                <w:color w:val="auto"/>
                <w:kern w:val="0"/>
                <w:sz w:val="22"/>
                <w:highlight w:val="none"/>
              </w:rPr>
              <w:t xml:space="preserve">乡道 </w:t>
            </w:r>
          </w:p>
        </w:tc>
      </w:tr>
      <w:tr>
        <w:tblPrEx>
          <w:tblCellMar>
            <w:top w:w="0" w:type="dxa"/>
            <w:left w:w="108" w:type="dxa"/>
            <w:bottom w:w="0" w:type="dxa"/>
            <w:right w:w="108" w:type="dxa"/>
          </w:tblCellMar>
        </w:tblPrEx>
        <w:trPr>
          <w:trHeight w:val="502" w:hRule="atLeast"/>
        </w:trPr>
        <w:tc>
          <w:tcPr>
            <w:tcW w:w="1066"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line="440" w:lineRule="exact"/>
              <w:textAlignment w:val="auto"/>
              <w:rPr>
                <w:rFonts w:ascii="宋体" w:hAnsi="宋体" w:cs="宋体"/>
                <w:color w:val="auto"/>
                <w:kern w:val="0"/>
                <w:sz w:val="22"/>
                <w:highlight w:val="none"/>
              </w:rPr>
            </w:pPr>
          </w:p>
        </w:tc>
        <w:tc>
          <w:tcPr>
            <w:tcW w:w="131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line="440" w:lineRule="exact"/>
              <w:jc w:val="center"/>
              <w:textAlignment w:val="auto"/>
              <w:rPr>
                <w:rFonts w:ascii="宋体" w:hAnsi="宋体" w:cs="宋体"/>
                <w:color w:val="auto"/>
                <w:kern w:val="0"/>
                <w:sz w:val="22"/>
                <w:highlight w:val="none"/>
              </w:rPr>
            </w:pPr>
            <w:r>
              <w:rPr>
                <w:rFonts w:hint="eastAsia" w:ascii="宋体" w:hAnsi="宋体" w:cs="宋体"/>
                <w:color w:val="auto"/>
                <w:kern w:val="0"/>
                <w:sz w:val="22"/>
                <w:highlight w:val="none"/>
              </w:rPr>
              <w:t>300</w:t>
            </w:r>
          </w:p>
        </w:tc>
        <w:tc>
          <w:tcPr>
            <w:tcW w:w="2616"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line="440" w:lineRule="exact"/>
              <w:jc w:val="center"/>
              <w:textAlignment w:val="auto"/>
              <w:rPr>
                <w:rFonts w:ascii="宋体" w:hAnsi="宋体" w:cs="宋体"/>
                <w:color w:val="auto"/>
                <w:kern w:val="0"/>
                <w:sz w:val="22"/>
                <w:highlight w:val="none"/>
              </w:rPr>
            </w:pPr>
            <w:r>
              <w:rPr>
                <w:rFonts w:hint="eastAsia" w:ascii="宋体" w:hAnsi="宋体" w:cs="宋体"/>
                <w:color w:val="auto"/>
                <w:kern w:val="0"/>
                <w:sz w:val="22"/>
                <w:highlight w:val="none"/>
              </w:rPr>
              <w:t>220</w:t>
            </w:r>
          </w:p>
        </w:tc>
      </w:tr>
    </w:tbl>
    <w:p>
      <w:pPr>
        <w:pStyle w:val="24"/>
        <w:keepNext w:val="0"/>
        <w:keepLines w:val="0"/>
        <w:pageBreakBefore w:val="0"/>
        <w:widowControl w:val="0"/>
        <w:kinsoku/>
        <w:wordWrap/>
        <w:overflowPunct/>
        <w:topLinePunct w:val="0"/>
        <w:bidi w:val="0"/>
        <w:snapToGrid/>
        <w:spacing w:line="440" w:lineRule="exact"/>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保险费=∑（各道路公里数×每公里保额）×费率</w:t>
      </w:r>
    </w:p>
    <w:p>
      <w:pPr>
        <w:pStyle w:val="24"/>
        <w:keepNext w:val="0"/>
        <w:keepLines w:val="0"/>
        <w:pageBreakBefore w:val="0"/>
        <w:widowControl w:val="0"/>
        <w:kinsoku/>
        <w:wordWrap/>
        <w:overflowPunct/>
        <w:topLinePunct w:val="0"/>
        <w:bidi w:val="0"/>
        <w:snapToGrid/>
        <w:spacing w:line="440" w:lineRule="exact"/>
        <w:ind w:firstLine="440" w:firstLineChars="200"/>
        <w:textAlignment w:val="auto"/>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总保额43203.16万元</w:t>
      </w:r>
    </w:p>
    <w:p>
      <w:pPr>
        <w:keepNext w:val="0"/>
        <w:keepLines w:val="0"/>
        <w:pageBreakBefore w:val="0"/>
        <w:widowControl w:val="0"/>
        <w:tabs>
          <w:tab w:val="left" w:pos="8280"/>
        </w:tabs>
        <w:kinsoku/>
        <w:wordWrap/>
        <w:overflowPunct/>
        <w:topLinePunct w:val="0"/>
        <w:autoSpaceDE w:val="0"/>
        <w:autoSpaceDN w:val="0"/>
        <w:bidi w:val="0"/>
        <w:adjustRightInd w:val="0"/>
        <w:snapToGrid/>
        <w:spacing w:line="440" w:lineRule="exact"/>
        <w:ind w:right="25"/>
        <w:jc w:val="left"/>
        <w:textAlignment w:val="auto"/>
        <w:rPr>
          <w:rFonts w:hint="eastAsia" w:ascii="宋体" w:hAnsi="宋体" w:eastAsia="宋体" w:cs="宋体"/>
          <w:b/>
          <w:color w:val="auto"/>
          <w:sz w:val="22"/>
          <w:szCs w:val="22"/>
          <w:highlight w:val="none"/>
        </w:rPr>
      </w:pPr>
    </w:p>
    <w:p>
      <w:pPr>
        <w:keepNext w:val="0"/>
        <w:keepLines w:val="0"/>
        <w:pageBreakBefore w:val="0"/>
        <w:widowControl w:val="0"/>
        <w:tabs>
          <w:tab w:val="left" w:pos="8280"/>
        </w:tabs>
        <w:kinsoku/>
        <w:wordWrap/>
        <w:overflowPunct/>
        <w:topLinePunct w:val="0"/>
        <w:autoSpaceDE w:val="0"/>
        <w:autoSpaceDN w:val="0"/>
        <w:bidi w:val="0"/>
        <w:adjustRightInd w:val="0"/>
        <w:snapToGrid/>
        <w:spacing w:line="440" w:lineRule="exact"/>
        <w:ind w:right="25"/>
        <w:jc w:val="left"/>
        <w:textAlignment w:val="auto"/>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四、免赔额、赔偿限额：</w:t>
      </w:r>
    </w:p>
    <w:p>
      <w:pPr>
        <w:pStyle w:val="24"/>
        <w:keepNext w:val="0"/>
        <w:keepLines w:val="0"/>
        <w:pageBreakBefore w:val="0"/>
        <w:widowControl w:val="0"/>
        <w:kinsoku/>
        <w:wordWrap/>
        <w:overflowPunct/>
        <w:topLinePunct w:val="0"/>
        <w:bidi w:val="0"/>
        <w:snapToGrid/>
        <w:spacing w:line="440" w:lineRule="exact"/>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1.每次事故相对免赔额6000元。每条路每次事故赔偿限额：在每公里保额限额内按实际损失赔付。</w:t>
      </w:r>
    </w:p>
    <w:p>
      <w:pPr>
        <w:pStyle w:val="24"/>
        <w:keepNext w:val="0"/>
        <w:keepLines w:val="0"/>
        <w:pageBreakBefore w:val="0"/>
        <w:widowControl w:val="0"/>
        <w:kinsoku/>
        <w:wordWrap/>
        <w:overflowPunct/>
        <w:topLinePunct w:val="0"/>
        <w:bidi w:val="0"/>
        <w:snapToGrid/>
        <w:spacing w:line="440" w:lineRule="exact"/>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2.县道每条路每次事故赔偿限额800万元；</w:t>
      </w:r>
    </w:p>
    <w:p>
      <w:pPr>
        <w:pStyle w:val="24"/>
        <w:keepNext w:val="0"/>
        <w:keepLines w:val="0"/>
        <w:pageBreakBefore w:val="0"/>
        <w:widowControl w:val="0"/>
        <w:kinsoku/>
        <w:wordWrap/>
        <w:overflowPunct/>
        <w:topLinePunct w:val="0"/>
        <w:bidi w:val="0"/>
        <w:snapToGrid/>
        <w:spacing w:line="440" w:lineRule="exact"/>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3.乡道每条路每次事故赔偿限额500万元</w:t>
      </w:r>
    </w:p>
    <w:p>
      <w:pPr>
        <w:pStyle w:val="24"/>
        <w:keepNext w:val="0"/>
        <w:keepLines w:val="0"/>
        <w:pageBreakBefore w:val="0"/>
        <w:widowControl w:val="0"/>
        <w:kinsoku/>
        <w:wordWrap/>
        <w:overflowPunct/>
        <w:topLinePunct w:val="0"/>
        <w:bidi w:val="0"/>
        <w:snapToGrid/>
        <w:spacing w:line="440" w:lineRule="exact"/>
        <w:ind w:firstLine="440" w:firstLineChars="200"/>
        <w:textAlignment w:val="auto"/>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4.在限额内按实际损失赔付，年度累计赔偿限额以1000万为限。</w:t>
      </w:r>
    </w:p>
    <w:p>
      <w:pPr>
        <w:keepNext w:val="0"/>
        <w:keepLines w:val="0"/>
        <w:pageBreakBefore w:val="0"/>
        <w:widowControl w:val="0"/>
        <w:tabs>
          <w:tab w:val="left" w:pos="8280"/>
        </w:tabs>
        <w:kinsoku/>
        <w:wordWrap/>
        <w:overflowPunct/>
        <w:topLinePunct w:val="0"/>
        <w:autoSpaceDE w:val="0"/>
        <w:autoSpaceDN w:val="0"/>
        <w:bidi w:val="0"/>
        <w:adjustRightInd w:val="0"/>
        <w:snapToGrid/>
        <w:spacing w:line="440" w:lineRule="exact"/>
        <w:ind w:right="25"/>
        <w:jc w:val="left"/>
        <w:textAlignment w:val="auto"/>
        <w:rPr>
          <w:rFonts w:hint="eastAsia" w:ascii="宋体" w:hAnsi="宋体" w:eastAsia="宋体" w:cs="宋体"/>
          <w:b/>
          <w:color w:val="auto"/>
          <w:sz w:val="22"/>
          <w:szCs w:val="22"/>
          <w:highlight w:val="none"/>
        </w:rPr>
      </w:pPr>
    </w:p>
    <w:p>
      <w:pPr>
        <w:keepNext w:val="0"/>
        <w:keepLines w:val="0"/>
        <w:pageBreakBefore w:val="0"/>
        <w:widowControl w:val="0"/>
        <w:tabs>
          <w:tab w:val="left" w:pos="8280"/>
        </w:tabs>
        <w:kinsoku/>
        <w:wordWrap/>
        <w:overflowPunct/>
        <w:topLinePunct w:val="0"/>
        <w:autoSpaceDE w:val="0"/>
        <w:autoSpaceDN w:val="0"/>
        <w:bidi w:val="0"/>
        <w:adjustRightInd w:val="0"/>
        <w:snapToGrid/>
        <w:spacing w:line="440" w:lineRule="exact"/>
        <w:ind w:right="25"/>
        <w:jc w:val="left"/>
        <w:textAlignment w:val="auto"/>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五、保险期限：</w:t>
      </w:r>
    </w:p>
    <w:p>
      <w:pPr>
        <w:pStyle w:val="24"/>
        <w:keepNext w:val="0"/>
        <w:keepLines w:val="0"/>
        <w:pageBreakBefore w:val="0"/>
        <w:widowControl w:val="0"/>
        <w:kinsoku/>
        <w:wordWrap/>
        <w:overflowPunct/>
        <w:topLinePunct w:val="0"/>
        <w:bidi w:val="0"/>
        <w:snapToGrid/>
        <w:spacing w:line="440" w:lineRule="exact"/>
        <w:ind w:firstLine="440" w:firstLineChars="200"/>
        <w:textAlignment w:val="auto"/>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自合同签订之日起12个月。</w:t>
      </w:r>
    </w:p>
    <w:p>
      <w:pPr>
        <w:keepNext w:val="0"/>
        <w:keepLines w:val="0"/>
        <w:pageBreakBefore w:val="0"/>
        <w:widowControl w:val="0"/>
        <w:tabs>
          <w:tab w:val="left" w:pos="8280"/>
        </w:tabs>
        <w:kinsoku/>
        <w:wordWrap/>
        <w:overflowPunct/>
        <w:topLinePunct w:val="0"/>
        <w:autoSpaceDE w:val="0"/>
        <w:autoSpaceDN w:val="0"/>
        <w:bidi w:val="0"/>
        <w:adjustRightInd w:val="0"/>
        <w:snapToGrid/>
        <w:spacing w:line="440" w:lineRule="exact"/>
        <w:ind w:right="25"/>
        <w:jc w:val="left"/>
        <w:textAlignment w:val="auto"/>
        <w:rPr>
          <w:rFonts w:hint="eastAsia" w:ascii="宋体" w:hAnsi="宋体" w:eastAsia="宋体" w:cs="宋体"/>
          <w:b/>
          <w:color w:val="auto"/>
          <w:sz w:val="22"/>
          <w:szCs w:val="22"/>
          <w:highlight w:val="none"/>
        </w:rPr>
      </w:pPr>
    </w:p>
    <w:p>
      <w:pPr>
        <w:keepNext w:val="0"/>
        <w:keepLines w:val="0"/>
        <w:pageBreakBefore w:val="0"/>
        <w:widowControl w:val="0"/>
        <w:tabs>
          <w:tab w:val="left" w:pos="8280"/>
        </w:tabs>
        <w:kinsoku/>
        <w:wordWrap/>
        <w:overflowPunct/>
        <w:topLinePunct w:val="0"/>
        <w:autoSpaceDE w:val="0"/>
        <w:autoSpaceDN w:val="0"/>
        <w:bidi w:val="0"/>
        <w:adjustRightInd w:val="0"/>
        <w:snapToGrid/>
        <w:spacing w:line="440" w:lineRule="exact"/>
        <w:ind w:right="0"/>
        <w:jc w:val="left"/>
        <w:textAlignment w:val="auto"/>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六、特别约定：</w:t>
      </w:r>
    </w:p>
    <w:p>
      <w:pPr>
        <w:keepNext w:val="0"/>
        <w:keepLines w:val="0"/>
        <w:pageBreakBefore w:val="0"/>
        <w:widowControl w:val="0"/>
        <w:kinsoku/>
        <w:wordWrap/>
        <w:overflowPunct/>
        <w:topLinePunct w:val="0"/>
        <w:bidi w:val="0"/>
        <w:snapToGrid/>
        <w:spacing w:line="440" w:lineRule="exact"/>
        <w:ind w:firstLine="440" w:firstLineChars="200"/>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1.本保险合同项下保险标的在连续72个小时内遭受暴风雨（连续降雨）、台风、洪水及其他非人为所造成的损失均视为一单独事件，在计算赔偿时视为一次保险事故，被保险人可自行决定72小时的起始时间，但若在连续72个小时内发生损失，任何两个或两个以上72小时期限不得重叠</w:t>
      </w:r>
    </w:p>
    <w:p>
      <w:pPr>
        <w:pStyle w:val="22"/>
        <w:keepNext w:val="0"/>
        <w:keepLines w:val="0"/>
        <w:pageBreakBefore w:val="0"/>
        <w:widowControl w:val="0"/>
        <w:kinsoku/>
        <w:wordWrap/>
        <w:overflowPunct/>
        <w:topLinePunct w:val="0"/>
        <w:bidi w:val="0"/>
        <w:snapToGrid/>
        <w:spacing w:after="0" w:line="440" w:lineRule="exact"/>
        <w:ind w:left="0" w:leftChars="0" w:firstLine="440" w:firstLineChars="200"/>
        <w:textAlignment w:val="auto"/>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2.路基（包括边坡、挡墙、水沟）损失，需将路基财产修复或重建至与受损前状态基本一致（根据实际情况，可适当放宽修复范围及修复方案），并能确保使用安全所发生的费用为限；同时以县、乡道投保时所确定的每条路每次事故赔偿限额为限。</w:t>
      </w:r>
    </w:p>
    <w:p>
      <w:pPr>
        <w:pStyle w:val="22"/>
        <w:keepNext w:val="0"/>
        <w:keepLines w:val="0"/>
        <w:pageBreakBefore w:val="0"/>
        <w:widowControl w:val="0"/>
        <w:kinsoku/>
        <w:wordWrap/>
        <w:overflowPunct/>
        <w:topLinePunct w:val="0"/>
        <w:bidi w:val="0"/>
        <w:snapToGrid/>
        <w:spacing w:after="0" w:line="440" w:lineRule="exact"/>
        <w:ind w:left="0" w:leftChars="0" w:firstLine="440" w:firstLineChars="200"/>
        <w:textAlignment w:val="auto"/>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3.公路发生保险责任范围内的损失时，在赔偿限额内按实际损失赔付，保单年度赔偿金额不超过年度累计赔偿限额。</w:t>
      </w:r>
    </w:p>
    <w:p>
      <w:pPr>
        <w:pStyle w:val="22"/>
        <w:keepNext w:val="0"/>
        <w:keepLines w:val="0"/>
        <w:pageBreakBefore w:val="0"/>
        <w:widowControl w:val="0"/>
        <w:kinsoku/>
        <w:wordWrap/>
        <w:overflowPunct/>
        <w:topLinePunct w:val="0"/>
        <w:bidi w:val="0"/>
        <w:snapToGrid/>
        <w:spacing w:after="0" w:line="440" w:lineRule="exact"/>
        <w:ind w:firstLine="660" w:firstLineChars="300"/>
        <w:textAlignment w:val="auto"/>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4.清除塌方和残留物费用参照最新发布的《浙江省公路养护工程预算定额》计算，每次事故清除塌方和残留物费用不计入每次事故物质损失赔偿限额，但不超过相应的事故物质损失的10%。本项赔款年度累计限额以保费的30%为限。</w:t>
      </w:r>
    </w:p>
    <w:p>
      <w:pPr>
        <w:pStyle w:val="22"/>
        <w:keepNext w:val="0"/>
        <w:keepLines w:val="0"/>
        <w:pageBreakBefore w:val="0"/>
        <w:widowControl w:val="0"/>
        <w:kinsoku/>
        <w:wordWrap/>
        <w:overflowPunct/>
        <w:topLinePunct w:val="0"/>
        <w:bidi w:val="0"/>
        <w:snapToGrid/>
        <w:spacing w:after="0" w:line="440" w:lineRule="exact"/>
        <w:ind w:firstLine="660" w:firstLineChars="300"/>
        <w:textAlignment w:val="auto"/>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5.实际损失：路基（包括边坡、挡墙、水沟）损失，需将路基财产修复或重建至与受损前状态基本一致（根据实际情况，可适当放宽修复范围及修复方案），以将受损的公路及构筑物修复或重建至其满足受损前该公路等级的技术标准和安全使用功能，经有资质的设计单位设计，并经主管部门审查通过的修复方案，按现行公路工程施工技术规范组织施工所发生的费用为限（含临时通车便道抢修、施工便道、勘察设计、审查咨询、监理、代理费、检测费、清理塌方所产生费用及管理费）。同时以县、乡道投保时所确定的每条路每次事故赔偿限额为限。</w:t>
      </w:r>
    </w:p>
    <w:p>
      <w:pPr>
        <w:pStyle w:val="22"/>
        <w:keepNext w:val="0"/>
        <w:keepLines w:val="0"/>
        <w:pageBreakBefore w:val="0"/>
        <w:widowControl w:val="0"/>
        <w:kinsoku/>
        <w:wordWrap/>
        <w:overflowPunct/>
        <w:topLinePunct w:val="0"/>
        <w:bidi w:val="0"/>
        <w:snapToGrid/>
        <w:spacing w:after="0" w:line="440" w:lineRule="exact"/>
        <w:ind w:left="0" w:leftChars="0" w:firstLine="440" w:firstLineChars="200"/>
        <w:textAlignment w:val="auto"/>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6.理赔方式：出险后，保险人会同被保险人共同对事故现场进行勘察认定后。被保险人及时将公路受损记录表、公路损失及零星工程量结算清单等事故理赔资料提交保险人，保险人依据受损记录及工程量结算清单核定理赔。工程按二种理赔方式：</w:t>
      </w:r>
    </w:p>
    <w:p>
      <w:pPr>
        <w:pStyle w:val="22"/>
        <w:keepNext w:val="0"/>
        <w:keepLines w:val="0"/>
        <w:pageBreakBefore w:val="0"/>
        <w:widowControl w:val="0"/>
        <w:kinsoku/>
        <w:wordWrap/>
        <w:overflowPunct/>
        <w:topLinePunct w:val="0"/>
        <w:bidi w:val="0"/>
        <w:snapToGrid/>
        <w:spacing w:after="0" w:line="440" w:lineRule="exact"/>
        <w:ind w:left="0" w:leftChars="0" w:firstLine="440" w:firstLineChars="200"/>
        <w:textAlignment w:val="auto"/>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第一种：属应急抢险、零星工程（50万及以下）。材料费用价格以出险时最新的浙江省信息价（浙江交通建设工程-质监与造价-价格专辑和浙江交通建设相关用材及产品-厂商参考价格,浙江省交通工程管理中心http://jtyst.zj.gov.cn/“材料价格”）为理赔计价基准。信息价无法查询的材料费用及材料费用以外产生的其他必要合理费用，另行询价。工程量 5万及以上，工程量结算清单需提请有资质的第三方机构审价，按审价最终结果核定理赔,审价费用由保险人承担。工程量5万以下，工程量结算清单由瓯海区公路管理中心核定，提请保险公司确认并核定理赔。</w:t>
      </w:r>
    </w:p>
    <w:p>
      <w:pPr>
        <w:pStyle w:val="22"/>
        <w:keepNext w:val="0"/>
        <w:keepLines w:val="0"/>
        <w:pageBreakBefore w:val="0"/>
        <w:widowControl w:val="0"/>
        <w:kinsoku/>
        <w:wordWrap/>
        <w:overflowPunct/>
        <w:topLinePunct w:val="0"/>
        <w:bidi w:val="0"/>
        <w:snapToGrid/>
        <w:spacing w:after="0" w:line="440" w:lineRule="exact"/>
        <w:ind w:left="0" w:leftChars="0" w:firstLine="440" w:firstLineChars="200"/>
        <w:textAlignment w:val="auto"/>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第二种：事故损失单点大于50万元（应急抢险除外）或确需组织设计并公开招标的，按中标建安费（含代理、设计、监理、检测、验收等费用）核定损失。</w:t>
      </w:r>
    </w:p>
    <w:p>
      <w:pPr>
        <w:pStyle w:val="22"/>
        <w:keepNext w:val="0"/>
        <w:keepLines w:val="0"/>
        <w:pageBreakBefore w:val="0"/>
        <w:widowControl w:val="0"/>
        <w:numPr>
          <w:ilvl w:val="0"/>
          <w:numId w:val="23"/>
        </w:numPr>
        <w:kinsoku/>
        <w:wordWrap/>
        <w:overflowPunct/>
        <w:topLinePunct w:val="0"/>
        <w:bidi w:val="0"/>
        <w:snapToGrid/>
        <w:spacing w:after="0" w:line="440" w:lineRule="exact"/>
        <w:ind w:left="0" w:leftChars="0" w:firstLine="440" w:firstLineChars="200"/>
        <w:textAlignment w:val="auto"/>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保险期间发生保险事故。参与受损公路修复工程的施工单位必须经投保人和保险人双方认可的,具备相应资质的施工单位。</w:t>
      </w:r>
    </w:p>
    <w:p>
      <w:pPr>
        <w:pStyle w:val="22"/>
        <w:keepNext w:val="0"/>
        <w:keepLines w:val="0"/>
        <w:pageBreakBefore w:val="0"/>
        <w:widowControl w:val="0"/>
        <w:numPr>
          <w:ilvl w:val="0"/>
          <w:numId w:val="23"/>
        </w:numPr>
        <w:kinsoku/>
        <w:wordWrap/>
        <w:overflowPunct/>
        <w:topLinePunct w:val="0"/>
        <w:bidi w:val="0"/>
        <w:snapToGrid/>
        <w:spacing w:after="0" w:line="440" w:lineRule="exact"/>
        <w:ind w:left="0" w:leftChars="0" w:firstLine="440" w:firstLineChars="200"/>
        <w:textAlignment w:val="auto"/>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发生大面积损失或由于抢险需要时，应及时通知保险人，且保险人无法及时到场时，可由相关应急人员以拍照留底作为理赔依据。</w:t>
      </w:r>
    </w:p>
    <w:p>
      <w:pPr>
        <w:pStyle w:val="22"/>
        <w:keepNext w:val="0"/>
        <w:keepLines w:val="0"/>
        <w:pageBreakBefore w:val="0"/>
        <w:widowControl w:val="0"/>
        <w:numPr>
          <w:ilvl w:val="0"/>
          <w:numId w:val="0"/>
        </w:numPr>
        <w:kinsoku/>
        <w:wordWrap/>
        <w:overflowPunct/>
        <w:topLinePunct w:val="0"/>
        <w:bidi w:val="0"/>
        <w:snapToGrid/>
        <w:spacing w:after="0" w:line="440" w:lineRule="exact"/>
        <w:ind w:firstLine="440" w:firstLineChars="200"/>
        <w:textAlignment w:val="auto"/>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9.考虑到公路保险项目有其特殊性，对遇到公路出险需要马上组织抢修道路的，原则上尊重道路养护责任人处理方法，道路养护责任人需对抢修路段进行拍照留底作为理赔依据，并及时告知保险公路服务人员。</w:t>
      </w:r>
    </w:p>
    <w:p>
      <w:pPr>
        <w:keepNext w:val="0"/>
        <w:keepLines w:val="0"/>
        <w:pageBreakBefore w:val="0"/>
        <w:widowControl w:val="0"/>
        <w:tabs>
          <w:tab w:val="left" w:pos="8280"/>
        </w:tabs>
        <w:kinsoku/>
        <w:wordWrap/>
        <w:overflowPunct/>
        <w:topLinePunct w:val="0"/>
        <w:autoSpaceDE w:val="0"/>
        <w:autoSpaceDN w:val="0"/>
        <w:bidi w:val="0"/>
        <w:adjustRightInd w:val="0"/>
        <w:snapToGrid/>
        <w:spacing w:line="440" w:lineRule="exact"/>
        <w:ind w:right="0"/>
        <w:jc w:val="left"/>
        <w:textAlignment w:val="auto"/>
        <w:rPr>
          <w:rFonts w:hint="eastAsia" w:ascii="宋体" w:hAnsi="宋体" w:cs="宋体"/>
          <w:b/>
          <w:color w:val="auto"/>
          <w:sz w:val="22"/>
          <w:szCs w:val="22"/>
          <w:highlight w:val="none"/>
          <w:lang w:val="en-US" w:eastAsia="zh-CN"/>
        </w:rPr>
      </w:pPr>
      <w:r>
        <w:rPr>
          <w:rFonts w:hint="eastAsia" w:ascii="宋体" w:hAnsi="宋体" w:eastAsia="宋体" w:cs="宋体"/>
          <w:b/>
          <w:color w:val="auto"/>
          <w:sz w:val="22"/>
          <w:szCs w:val="22"/>
          <w:highlight w:val="none"/>
          <w:lang w:val="en-US" w:eastAsia="zh-CN"/>
        </w:rPr>
        <w:t>七、</w:t>
      </w:r>
      <w:r>
        <w:rPr>
          <w:rFonts w:hint="eastAsia" w:ascii="宋体" w:hAnsi="宋体" w:cs="宋体"/>
          <w:b/>
          <w:color w:val="auto"/>
          <w:sz w:val="22"/>
          <w:szCs w:val="22"/>
          <w:highlight w:val="none"/>
          <w:lang w:val="en-US" w:eastAsia="zh-CN"/>
        </w:rPr>
        <w:t>付款方式</w:t>
      </w:r>
    </w:p>
    <w:p>
      <w:pPr>
        <w:keepNext w:val="0"/>
        <w:keepLines w:val="0"/>
        <w:pageBreakBefore w:val="0"/>
        <w:widowControl w:val="0"/>
        <w:tabs>
          <w:tab w:val="left" w:pos="8280"/>
        </w:tabs>
        <w:kinsoku/>
        <w:wordWrap/>
        <w:overflowPunct/>
        <w:topLinePunct w:val="0"/>
        <w:autoSpaceDE w:val="0"/>
        <w:autoSpaceDN w:val="0"/>
        <w:bidi w:val="0"/>
        <w:adjustRightInd w:val="0"/>
        <w:snapToGrid/>
        <w:spacing w:line="440" w:lineRule="exact"/>
        <w:ind w:right="0"/>
        <w:jc w:val="left"/>
        <w:textAlignment w:val="auto"/>
        <w:rPr>
          <w:rFonts w:hint="eastAsia" w:ascii="宋体" w:hAnsi="宋体" w:eastAsia="宋体" w:cs="宋体"/>
          <w:b/>
          <w:color w:val="auto"/>
          <w:sz w:val="22"/>
          <w:szCs w:val="22"/>
          <w:highlight w:val="none"/>
          <w:lang w:eastAsia="zh-CN"/>
        </w:rPr>
      </w:pPr>
      <w:r>
        <w:rPr>
          <w:rFonts w:hint="eastAsia" w:ascii="宋体" w:hAnsi="宋体" w:eastAsia="宋体" w:cs="宋体"/>
          <w:b/>
          <w:color w:val="auto"/>
          <w:sz w:val="22"/>
          <w:szCs w:val="22"/>
          <w:highlight w:val="none"/>
          <w:lang w:val="en-US" w:eastAsia="zh-CN"/>
        </w:rPr>
        <w:t>保险费于保险合同签订之日起7个工作日内全额支付</w:t>
      </w:r>
      <w:r>
        <w:rPr>
          <w:rFonts w:hint="eastAsia" w:ascii="宋体" w:hAnsi="宋体" w:cs="宋体"/>
          <w:b/>
          <w:color w:val="auto"/>
          <w:sz w:val="22"/>
          <w:szCs w:val="22"/>
          <w:highlight w:val="none"/>
          <w:lang w:val="en-US" w:eastAsia="zh-CN"/>
        </w:rPr>
        <w:t>。</w:t>
      </w:r>
    </w:p>
    <w:p>
      <w:pPr>
        <w:keepNext w:val="0"/>
        <w:keepLines w:val="0"/>
        <w:pageBreakBefore w:val="0"/>
        <w:widowControl w:val="0"/>
        <w:kinsoku/>
        <w:wordWrap/>
        <w:overflowPunct/>
        <w:topLinePunct w:val="0"/>
        <w:bidi w:val="0"/>
        <w:snapToGrid/>
        <w:spacing w:line="440" w:lineRule="exact"/>
        <w:jc w:val="both"/>
        <w:textAlignment w:val="auto"/>
        <w:rPr>
          <w:rFonts w:hint="eastAsia" w:ascii="宋体" w:hAnsi="宋体" w:eastAsia="宋体" w:cs="宋体"/>
          <w:color w:val="auto"/>
          <w:sz w:val="22"/>
          <w:szCs w:val="22"/>
          <w:highlight w:val="none"/>
          <w:vertAlign w:val="baseline"/>
        </w:rPr>
      </w:pPr>
      <w:r>
        <w:rPr>
          <w:rFonts w:hint="eastAsia" w:ascii="宋体" w:hAnsi="宋体" w:eastAsia="宋体" w:cs="宋体"/>
          <w:color w:val="auto"/>
          <w:sz w:val="22"/>
          <w:szCs w:val="22"/>
          <w:highlight w:val="none"/>
          <w:lang w:eastAsia="zh-CN"/>
        </w:rPr>
        <w:t>附件：</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7"/>
        <w:gridCol w:w="1407"/>
        <w:gridCol w:w="1408"/>
        <w:gridCol w:w="1563"/>
        <w:gridCol w:w="1253"/>
        <w:gridCol w:w="1408"/>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407" w:type="dxa"/>
            <w:tcBorders>
              <w:tl2br w:val="nil"/>
              <w:tr2bl w:val="nil"/>
            </w:tcBorders>
            <w:vAlign w:val="center"/>
          </w:tcPr>
          <w:p>
            <w:pPr>
              <w:spacing w:line="360" w:lineRule="auto"/>
              <w:jc w:val="center"/>
              <w:rPr>
                <w:rFonts w:hint="eastAsia" w:ascii="宋体" w:hAnsi="宋体" w:eastAsia="宋体" w:cs="宋体"/>
                <w:sz w:val="22"/>
                <w:szCs w:val="22"/>
                <w:vertAlign w:val="baseline"/>
              </w:rPr>
            </w:pPr>
            <w:bookmarkStart w:id="81" w:name="_Toc24629"/>
            <w:r>
              <w:rPr>
                <w:rFonts w:hint="eastAsia" w:ascii="宋体" w:hAnsi="宋体" w:eastAsia="宋体" w:cs="宋体"/>
                <w:sz w:val="22"/>
                <w:szCs w:val="22"/>
                <w:vertAlign w:val="baseline"/>
              </w:rPr>
              <w:t>路线编号</w:t>
            </w:r>
          </w:p>
        </w:tc>
        <w:tc>
          <w:tcPr>
            <w:tcW w:w="1407" w:type="dxa"/>
            <w:tcBorders>
              <w:tl2br w:val="nil"/>
              <w:tr2bl w:val="nil"/>
            </w:tcBorders>
            <w:vAlign w:val="center"/>
          </w:tcPr>
          <w:p>
            <w:pPr>
              <w:spacing w:line="360" w:lineRule="auto"/>
              <w:jc w:val="center"/>
              <w:rPr>
                <w:rFonts w:hint="eastAsia" w:ascii="宋体" w:hAnsi="宋体" w:eastAsia="宋体" w:cs="宋体"/>
                <w:sz w:val="22"/>
                <w:szCs w:val="22"/>
                <w:vertAlign w:val="baseline"/>
              </w:rPr>
            </w:pPr>
            <w:r>
              <w:rPr>
                <w:rFonts w:hint="eastAsia" w:ascii="宋体" w:hAnsi="宋体" w:eastAsia="宋体" w:cs="宋体"/>
                <w:sz w:val="22"/>
                <w:szCs w:val="22"/>
                <w:vertAlign w:val="baseline"/>
              </w:rPr>
              <w:t>路线名称</w:t>
            </w:r>
          </w:p>
        </w:tc>
        <w:tc>
          <w:tcPr>
            <w:tcW w:w="1408" w:type="dxa"/>
            <w:tcBorders>
              <w:tl2br w:val="nil"/>
              <w:tr2bl w:val="nil"/>
            </w:tcBorders>
            <w:vAlign w:val="center"/>
          </w:tcPr>
          <w:p>
            <w:pPr>
              <w:tabs>
                <w:tab w:val="left" w:pos="559"/>
              </w:tabs>
              <w:spacing w:line="360" w:lineRule="auto"/>
              <w:jc w:val="center"/>
              <w:rPr>
                <w:rFonts w:hint="eastAsia" w:ascii="宋体" w:hAnsi="宋体" w:eastAsia="宋体" w:cs="宋体"/>
                <w:sz w:val="22"/>
                <w:szCs w:val="22"/>
                <w:vertAlign w:val="baseline"/>
                <w:lang w:eastAsia="zh-CN"/>
              </w:rPr>
            </w:pPr>
            <w:r>
              <w:rPr>
                <w:rFonts w:hint="eastAsia" w:ascii="宋体" w:hAnsi="宋体" w:eastAsia="宋体" w:cs="宋体"/>
                <w:sz w:val="22"/>
                <w:szCs w:val="22"/>
                <w:vertAlign w:val="baseline"/>
                <w:lang w:eastAsia="zh-CN"/>
              </w:rPr>
              <w:t>起点地名</w:t>
            </w:r>
          </w:p>
        </w:tc>
        <w:tc>
          <w:tcPr>
            <w:tcW w:w="1563" w:type="dxa"/>
            <w:tcBorders>
              <w:tl2br w:val="nil"/>
              <w:tr2bl w:val="nil"/>
            </w:tcBorders>
            <w:vAlign w:val="center"/>
          </w:tcPr>
          <w:p>
            <w:pPr>
              <w:spacing w:line="360" w:lineRule="auto"/>
              <w:jc w:val="center"/>
              <w:rPr>
                <w:rFonts w:hint="eastAsia" w:ascii="宋体" w:hAnsi="宋体" w:eastAsia="宋体" w:cs="宋体"/>
                <w:sz w:val="22"/>
                <w:szCs w:val="22"/>
                <w:vertAlign w:val="baseline"/>
              </w:rPr>
            </w:pPr>
            <w:r>
              <w:rPr>
                <w:rFonts w:hint="eastAsia" w:ascii="宋体" w:hAnsi="宋体" w:eastAsia="宋体" w:cs="宋体"/>
                <w:sz w:val="22"/>
                <w:szCs w:val="22"/>
                <w:vertAlign w:val="baseline"/>
              </w:rPr>
              <w:t>迄点地名</w:t>
            </w:r>
          </w:p>
        </w:tc>
        <w:tc>
          <w:tcPr>
            <w:tcW w:w="1253" w:type="dxa"/>
            <w:tcBorders>
              <w:tl2br w:val="nil"/>
              <w:tr2bl w:val="nil"/>
            </w:tcBorders>
            <w:vAlign w:val="center"/>
          </w:tcPr>
          <w:p>
            <w:pPr>
              <w:spacing w:line="360" w:lineRule="auto"/>
              <w:jc w:val="center"/>
              <w:rPr>
                <w:rFonts w:hint="eastAsia" w:ascii="宋体" w:hAnsi="宋体" w:eastAsia="宋体" w:cs="宋体"/>
                <w:sz w:val="22"/>
                <w:szCs w:val="22"/>
                <w:vertAlign w:val="baseline"/>
              </w:rPr>
            </w:pPr>
            <w:r>
              <w:rPr>
                <w:rFonts w:hint="eastAsia" w:ascii="宋体" w:hAnsi="宋体" w:eastAsia="宋体" w:cs="宋体"/>
                <w:sz w:val="22"/>
                <w:szCs w:val="22"/>
                <w:vertAlign w:val="baseline"/>
              </w:rPr>
              <w:t>起点桩号</w:t>
            </w:r>
          </w:p>
        </w:tc>
        <w:tc>
          <w:tcPr>
            <w:tcW w:w="1408" w:type="dxa"/>
            <w:tcBorders>
              <w:tl2br w:val="nil"/>
              <w:tr2bl w:val="nil"/>
            </w:tcBorders>
            <w:vAlign w:val="center"/>
          </w:tcPr>
          <w:p>
            <w:pPr>
              <w:spacing w:line="360" w:lineRule="auto"/>
              <w:jc w:val="center"/>
              <w:rPr>
                <w:rFonts w:hint="eastAsia" w:ascii="宋体" w:hAnsi="宋体" w:eastAsia="宋体" w:cs="宋体"/>
                <w:sz w:val="22"/>
                <w:szCs w:val="22"/>
                <w:vertAlign w:val="baseline"/>
              </w:rPr>
            </w:pPr>
            <w:r>
              <w:rPr>
                <w:rFonts w:hint="eastAsia" w:ascii="宋体" w:hAnsi="宋体" w:eastAsia="宋体" w:cs="宋体"/>
                <w:sz w:val="22"/>
                <w:szCs w:val="22"/>
                <w:vertAlign w:val="baseline"/>
              </w:rPr>
              <w:t>迄点桩号</w:t>
            </w:r>
          </w:p>
        </w:tc>
        <w:tc>
          <w:tcPr>
            <w:tcW w:w="1408" w:type="dxa"/>
            <w:tcBorders>
              <w:tl2br w:val="nil"/>
              <w:tr2bl w:val="nil"/>
            </w:tcBorders>
            <w:vAlign w:val="center"/>
          </w:tcPr>
          <w:p>
            <w:pPr>
              <w:spacing w:line="360" w:lineRule="auto"/>
              <w:jc w:val="center"/>
              <w:rPr>
                <w:rFonts w:hint="eastAsia" w:ascii="宋体" w:hAnsi="宋体" w:eastAsia="宋体" w:cs="宋体"/>
                <w:sz w:val="22"/>
                <w:szCs w:val="22"/>
                <w:vertAlign w:val="baseline"/>
              </w:rPr>
            </w:pPr>
            <w:r>
              <w:rPr>
                <w:rFonts w:hint="eastAsia" w:ascii="宋体" w:hAnsi="宋体" w:eastAsia="宋体" w:cs="宋体"/>
                <w:sz w:val="22"/>
                <w:szCs w:val="22"/>
                <w:vertAlign w:val="baseline"/>
              </w:rPr>
              <w:t>里程总计</w:t>
            </w:r>
          </w:p>
          <w:p>
            <w:pPr>
              <w:spacing w:line="360" w:lineRule="auto"/>
              <w:jc w:val="center"/>
              <w:rPr>
                <w:rFonts w:hint="eastAsia" w:ascii="宋体" w:hAnsi="宋体" w:eastAsia="宋体" w:cs="宋体"/>
                <w:sz w:val="22"/>
                <w:szCs w:val="22"/>
                <w:vertAlign w:val="baseline"/>
              </w:rPr>
            </w:pPr>
            <w:r>
              <w:rPr>
                <w:rFonts w:hint="eastAsia" w:ascii="宋体" w:hAnsi="宋体" w:eastAsia="宋体" w:cs="宋体"/>
                <w:sz w:val="22"/>
                <w:szCs w:val="22"/>
                <w:vertAlign w:val="baseline"/>
              </w:rPr>
              <w:t>（公里）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X203330304</w:t>
            </w:r>
          </w:p>
        </w:tc>
        <w:tc>
          <w:tcPr>
            <w:tcW w:w="1407"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梧慈线</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SA"/>
              </w:rPr>
              <w:t>北村</w:t>
            </w:r>
          </w:p>
        </w:tc>
        <w:tc>
          <w:tcPr>
            <w:tcW w:w="15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无量寺</w:t>
            </w:r>
          </w:p>
        </w:tc>
        <w:tc>
          <w:tcPr>
            <w:tcW w:w="125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cs="宋体"/>
                <w:i w:val="0"/>
                <w:iCs w:val="0"/>
                <w:color w:val="000000"/>
                <w:kern w:val="0"/>
                <w:sz w:val="22"/>
                <w:szCs w:val="22"/>
                <w:u w:val="none"/>
                <w:lang w:val="en-US" w:eastAsia="zh-CN" w:bidi="ar-SA"/>
              </w:rPr>
              <w:t>4</w:t>
            </w:r>
            <w:r>
              <w:rPr>
                <w:rFonts w:hint="eastAsia" w:ascii="宋体" w:hAnsi="宋体" w:eastAsia="宋体" w:cs="宋体"/>
                <w:i w:val="0"/>
                <w:iCs w:val="0"/>
                <w:color w:val="000000"/>
                <w:kern w:val="0"/>
                <w:sz w:val="22"/>
                <w:szCs w:val="22"/>
                <w:u w:val="none"/>
                <w:lang w:val="en-US" w:eastAsia="zh-CN" w:bidi="ar-SA"/>
              </w:rPr>
              <w:t>.000</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9.701</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cs="宋体"/>
                <w:i w:val="0"/>
                <w:iCs w:val="0"/>
                <w:color w:val="000000"/>
                <w:kern w:val="0"/>
                <w:sz w:val="22"/>
                <w:szCs w:val="22"/>
                <w:u w:val="none"/>
                <w:lang w:val="en-US" w:eastAsia="zh-CN" w:bidi="ar-SA"/>
              </w:rPr>
              <w:t>5</w:t>
            </w:r>
            <w:r>
              <w:rPr>
                <w:rFonts w:hint="eastAsia" w:ascii="宋体" w:hAnsi="宋体" w:eastAsia="宋体" w:cs="宋体"/>
                <w:i w:val="0"/>
                <w:iCs w:val="0"/>
                <w:color w:val="000000"/>
                <w:kern w:val="0"/>
                <w:sz w:val="22"/>
                <w:szCs w:val="22"/>
                <w:u w:val="none"/>
                <w:lang w:val="en-US" w:eastAsia="zh-CN" w:bidi="ar-SA"/>
              </w:rPr>
              <w:t>.701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X204330304</w:t>
            </w:r>
          </w:p>
        </w:tc>
        <w:tc>
          <w:tcPr>
            <w:tcW w:w="1407"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南大线</w:t>
            </w:r>
          </w:p>
        </w:tc>
        <w:tc>
          <w:tcPr>
            <w:tcW w:w="1408"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SA"/>
              </w:rPr>
              <w:t>舜岙村</w:t>
            </w:r>
          </w:p>
        </w:tc>
        <w:tc>
          <w:tcPr>
            <w:tcW w:w="15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雷达</w:t>
            </w:r>
            <w:r>
              <w:rPr>
                <w:rFonts w:ascii="宋体" w:hAnsi="宋体" w:eastAsia="宋体" w:cs="宋体"/>
                <w:i w:val="0"/>
                <w:iCs w:val="0"/>
                <w:color w:val="000000"/>
                <w:kern w:val="0"/>
                <w:sz w:val="22"/>
                <w:szCs w:val="22"/>
                <w:u w:val="none"/>
                <w:lang w:val="en-US" w:eastAsia="zh-CN" w:bidi="ar-SA"/>
              </w:rPr>
              <w:t>站</w:t>
            </w:r>
          </w:p>
        </w:tc>
        <w:tc>
          <w:tcPr>
            <w:tcW w:w="125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cs="宋体"/>
                <w:i w:val="0"/>
                <w:iCs w:val="0"/>
                <w:color w:val="000000"/>
                <w:kern w:val="0"/>
                <w:sz w:val="22"/>
                <w:szCs w:val="22"/>
                <w:u w:val="none"/>
                <w:lang w:val="en-US" w:eastAsia="zh-CN" w:bidi="ar-SA"/>
              </w:rPr>
              <w:t>6</w:t>
            </w:r>
            <w:r>
              <w:rPr>
                <w:rFonts w:hint="eastAsia" w:ascii="宋体" w:hAnsi="宋体" w:eastAsia="宋体" w:cs="宋体"/>
                <w:i w:val="0"/>
                <w:iCs w:val="0"/>
                <w:color w:val="000000"/>
                <w:kern w:val="0"/>
                <w:sz w:val="22"/>
                <w:szCs w:val="22"/>
                <w:u w:val="none"/>
                <w:lang w:val="en-US" w:eastAsia="zh-CN" w:bidi="ar-SA"/>
              </w:rPr>
              <w:t>.000</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23.663</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cs="宋体"/>
                <w:i w:val="0"/>
                <w:iCs w:val="0"/>
                <w:color w:val="000000"/>
                <w:kern w:val="0"/>
                <w:sz w:val="22"/>
                <w:szCs w:val="22"/>
                <w:u w:val="none"/>
                <w:lang w:val="en-US" w:eastAsia="zh-CN" w:bidi="ar-SA"/>
              </w:rPr>
              <w:t>17</w:t>
            </w:r>
            <w:r>
              <w:rPr>
                <w:rFonts w:hint="eastAsia" w:ascii="宋体" w:hAnsi="宋体" w:eastAsia="宋体" w:cs="宋体"/>
                <w:i w:val="0"/>
                <w:iCs w:val="0"/>
                <w:color w:val="000000"/>
                <w:kern w:val="0"/>
                <w:sz w:val="22"/>
                <w:szCs w:val="22"/>
                <w:u w:val="none"/>
                <w:lang w:val="en-US" w:eastAsia="zh-CN" w:bidi="ar-SA"/>
              </w:rPr>
              <w:t>.663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X205330304</w:t>
            </w:r>
          </w:p>
        </w:tc>
        <w:tc>
          <w:tcPr>
            <w:tcW w:w="1407"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温源线</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SA"/>
              </w:rPr>
              <w:t>瞿溪车站</w:t>
            </w:r>
          </w:p>
        </w:tc>
        <w:tc>
          <w:tcPr>
            <w:tcW w:w="15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源口</w:t>
            </w:r>
          </w:p>
        </w:tc>
        <w:tc>
          <w:tcPr>
            <w:tcW w:w="125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15.000</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32.914</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17.914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X206330304</w:t>
            </w:r>
          </w:p>
        </w:tc>
        <w:tc>
          <w:tcPr>
            <w:tcW w:w="1407"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高桐线</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桐岭</w:t>
            </w:r>
          </w:p>
        </w:tc>
        <w:tc>
          <w:tcPr>
            <w:tcW w:w="15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桐岭</w:t>
            </w:r>
          </w:p>
        </w:tc>
        <w:tc>
          <w:tcPr>
            <w:tcW w:w="125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10.736</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13.581</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2.845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X208330304</w:t>
            </w:r>
          </w:p>
        </w:tc>
        <w:tc>
          <w:tcPr>
            <w:tcW w:w="1407"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石林环线</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岭雪村</w:t>
            </w:r>
          </w:p>
        </w:tc>
        <w:tc>
          <w:tcPr>
            <w:tcW w:w="15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林岙</w:t>
            </w:r>
          </w:p>
        </w:tc>
        <w:tc>
          <w:tcPr>
            <w:tcW w:w="125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21.190</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46.762</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25.572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X271330304</w:t>
            </w:r>
          </w:p>
        </w:tc>
        <w:tc>
          <w:tcPr>
            <w:tcW w:w="1407"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瓯湖线</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雅漾村南</w:t>
            </w:r>
          </w:p>
        </w:tc>
        <w:tc>
          <w:tcPr>
            <w:tcW w:w="15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和尚岭</w:t>
            </w:r>
          </w:p>
        </w:tc>
        <w:tc>
          <w:tcPr>
            <w:tcW w:w="125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14.831</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42.145</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27.314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X276330304</w:t>
            </w:r>
          </w:p>
        </w:tc>
        <w:tc>
          <w:tcPr>
            <w:tcW w:w="1407"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瞿高公路</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岩门角</w:t>
            </w:r>
          </w:p>
        </w:tc>
        <w:tc>
          <w:tcPr>
            <w:tcW w:w="15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分水城</w:t>
            </w:r>
          </w:p>
        </w:tc>
        <w:tc>
          <w:tcPr>
            <w:tcW w:w="125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1.000</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7.754</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6.754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8446" w:type="dxa"/>
            <w:gridSpan w:val="6"/>
            <w:tcBorders>
              <w:tl2br w:val="nil"/>
              <w:tr2bl w:val="nil"/>
            </w:tcBorders>
            <w:vAlign w:val="center"/>
          </w:tcPr>
          <w:p>
            <w:pPr>
              <w:spacing w:line="360" w:lineRule="auto"/>
              <w:jc w:val="center"/>
              <w:rPr>
                <w:rFonts w:hint="eastAsia" w:ascii="宋体" w:hAnsi="宋体" w:eastAsia="宋体" w:cs="宋体"/>
                <w:sz w:val="22"/>
                <w:szCs w:val="22"/>
                <w:highlight w:val="none"/>
                <w:vertAlign w:val="baseline"/>
              </w:rPr>
            </w:pPr>
            <w:bookmarkStart w:id="88" w:name="_GoBack" w:colFirst="0" w:colLast="6"/>
            <w:r>
              <w:rPr>
                <w:rFonts w:hint="eastAsia" w:ascii="宋体" w:hAnsi="宋体" w:eastAsia="宋体" w:cs="宋体"/>
                <w:sz w:val="22"/>
                <w:szCs w:val="22"/>
                <w:highlight w:val="none"/>
              </w:rPr>
              <w:t>县道合计</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SA"/>
              </w:rPr>
              <w:t>1</w:t>
            </w:r>
            <w:r>
              <w:rPr>
                <w:rFonts w:hint="eastAsia" w:ascii="宋体" w:hAnsi="宋体" w:cs="宋体"/>
                <w:i w:val="0"/>
                <w:iCs w:val="0"/>
                <w:color w:val="000000"/>
                <w:kern w:val="0"/>
                <w:sz w:val="22"/>
                <w:szCs w:val="22"/>
                <w:highlight w:val="none"/>
                <w:u w:val="none"/>
                <w:lang w:val="en-US" w:eastAsia="zh-CN" w:bidi="ar-SA"/>
              </w:rPr>
              <w:t>0</w:t>
            </w:r>
            <w:r>
              <w:rPr>
                <w:rFonts w:hint="eastAsia" w:ascii="宋体" w:hAnsi="宋体" w:eastAsia="宋体" w:cs="宋体"/>
                <w:i w:val="0"/>
                <w:iCs w:val="0"/>
                <w:color w:val="000000"/>
                <w:kern w:val="0"/>
                <w:sz w:val="22"/>
                <w:szCs w:val="22"/>
                <w:highlight w:val="none"/>
                <w:u w:val="none"/>
                <w:lang w:val="en-US" w:eastAsia="zh-CN" w:bidi="ar-SA"/>
              </w:rPr>
              <w:t>3.763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Y216330304</w:t>
            </w:r>
          </w:p>
        </w:tc>
        <w:tc>
          <w:tcPr>
            <w:tcW w:w="1407"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陈北线</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上陈</w:t>
            </w:r>
          </w:p>
        </w:tc>
        <w:tc>
          <w:tcPr>
            <w:tcW w:w="15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北林垟</w:t>
            </w:r>
          </w:p>
        </w:tc>
        <w:tc>
          <w:tcPr>
            <w:tcW w:w="125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0.000</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16.811</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16.811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Y217330304</w:t>
            </w:r>
          </w:p>
        </w:tc>
        <w:tc>
          <w:tcPr>
            <w:tcW w:w="1407"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唐金线</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唐宅</w:t>
            </w:r>
          </w:p>
        </w:tc>
        <w:tc>
          <w:tcPr>
            <w:tcW w:w="15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金宅</w:t>
            </w:r>
          </w:p>
        </w:tc>
        <w:tc>
          <w:tcPr>
            <w:tcW w:w="125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0.000</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4.649</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4.649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Y218330304</w:t>
            </w:r>
          </w:p>
        </w:tc>
        <w:tc>
          <w:tcPr>
            <w:tcW w:w="1407"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龙西线</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龙宫</w:t>
            </w:r>
          </w:p>
        </w:tc>
        <w:tc>
          <w:tcPr>
            <w:tcW w:w="15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西岸</w:t>
            </w:r>
          </w:p>
        </w:tc>
        <w:tc>
          <w:tcPr>
            <w:tcW w:w="125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0.000</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5.301</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5.301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Y219330304</w:t>
            </w:r>
          </w:p>
        </w:tc>
        <w:tc>
          <w:tcPr>
            <w:tcW w:w="1407"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环库公路</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西山</w:t>
            </w:r>
          </w:p>
        </w:tc>
        <w:tc>
          <w:tcPr>
            <w:tcW w:w="15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石桥</w:t>
            </w:r>
          </w:p>
        </w:tc>
        <w:tc>
          <w:tcPr>
            <w:tcW w:w="125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0.000</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5.130</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Y220330304</w:t>
            </w:r>
          </w:p>
        </w:tc>
        <w:tc>
          <w:tcPr>
            <w:tcW w:w="1407"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林五线</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石坑</w:t>
            </w:r>
          </w:p>
        </w:tc>
        <w:tc>
          <w:tcPr>
            <w:tcW w:w="15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五凤垟</w:t>
            </w:r>
          </w:p>
        </w:tc>
        <w:tc>
          <w:tcPr>
            <w:tcW w:w="125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0.000</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10.563</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10.563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tcBorders>
              <w:tl2br w:val="nil"/>
              <w:tr2bl w:val="nil"/>
            </w:tcBorders>
            <w:vAlign w:val="center"/>
          </w:tcPr>
          <w:p>
            <w:pPr>
              <w:rPr>
                <w:rFonts w:hint="eastAsia"/>
              </w:rPr>
            </w:pPr>
            <w:r>
              <w:t xml:space="preserve">  Y221330304</w:t>
            </w:r>
          </w:p>
        </w:tc>
        <w:tc>
          <w:tcPr>
            <w:tcW w:w="1407"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ascii="宋体" w:hAnsi="宋体" w:eastAsia="宋体" w:cs="宋体"/>
                <w:i w:val="0"/>
                <w:iCs w:val="0"/>
                <w:color w:val="000000"/>
                <w:kern w:val="0"/>
                <w:sz w:val="22"/>
                <w:szCs w:val="22"/>
                <w:u w:val="none"/>
                <w:lang w:val="en-US" w:eastAsia="zh-CN" w:bidi="ar-SA"/>
              </w:rPr>
              <w:t>白巨</w:t>
            </w:r>
            <w:r>
              <w:rPr>
                <w:rFonts w:hint="eastAsia" w:ascii="宋体" w:hAnsi="宋体" w:eastAsia="宋体" w:cs="宋体"/>
                <w:i w:val="0"/>
                <w:iCs w:val="0"/>
                <w:color w:val="000000"/>
                <w:kern w:val="0"/>
                <w:sz w:val="22"/>
                <w:szCs w:val="22"/>
                <w:u w:val="none"/>
                <w:lang w:val="en-US" w:eastAsia="zh-CN" w:bidi="ar-SA"/>
              </w:rPr>
              <w:t>线</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ascii="宋体" w:hAnsi="宋体" w:eastAsia="宋体" w:cs="宋体"/>
                <w:sz w:val="22"/>
                <w:szCs w:val="22"/>
                <w:vertAlign w:val="baseline"/>
              </w:rPr>
              <w:t>白塔殿</w:t>
            </w:r>
          </w:p>
        </w:tc>
        <w:tc>
          <w:tcPr>
            <w:tcW w:w="15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ascii="宋体" w:hAnsi="宋体" w:eastAsia="宋体" w:cs="宋体"/>
                <w:sz w:val="22"/>
                <w:szCs w:val="22"/>
                <w:vertAlign w:val="baseline"/>
              </w:rPr>
              <w:t>巨溪</w:t>
            </w:r>
          </w:p>
        </w:tc>
        <w:tc>
          <w:tcPr>
            <w:tcW w:w="125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hint="eastAsia" w:ascii="宋体" w:hAnsi="宋体" w:eastAsia="宋体" w:cs="宋体"/>
                <w:i w:val="0"/>
                <w:iCs w:val="0"/>
                <w:color w:val="000000"/>
                <w:kern w:val="0"/>
                <w:sz w:val="22"/>
                <w:szCs w:val="22"/>
                <w:u w:val="none"/>
                <w:lang w:val="en-US" w:eastAsia="zh-CN" w:bidi="ar-SA"/>
              </w:rPr>
              <w:t>0.000</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ascii="宋体" w:hAnsi="宋体" w:eastAsia="宋体" w:cs="宋体"/>
                <w:i w:val="0"/>
                <w:iCs w:val="0"/>
                <w:color w:val="000000"/>
                <w:kern w:val="0"/>
                <w:sz w:val="22"/>
                <w:szCs w:val="22"/>
                <w:u w:val="none"/>
                <w:lang w:val="en-US" w:eastAsia="zh-CN" w:bidi="ar-SA"/>
              </w:rPr>
              <w:t>3.310</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vertAlign w:val="baseline"/>
              </w:rPr>
            </w:pPr>
            <w:r>
              <w:rPr>
                <w:rFonts w:ascii="宋体" w:hAnsi="宋体" w:eastAsia="宋体" w:cs="宋体"/>
                <w:i w:val="0"/>
                <w:iCs w:val="0"/>
                <w:color w:val="000000"/>
                <w:kern w:val="0"/>
                <w:sz w:val="22"/>
                <w:szCs w:val="22"/>
                <w:u w:val="none"/>
                <w:lang w:val="en-US" w:eastAsia="zh-CN" w:bidi="ar-SA"/>
              </w:rPr>
              <w:t>3.310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Y301330304</w:t>
            </w:r>
          </w:p>
        </w:tc>
        <w:tc>
          <w:tcPr>
            <w:tcW w:w="1407"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仙河线</w:t>
            </w:r>
          </w:p>
        </w:tc>
        <w:tc>
          <w:tcPr>
            <w:tcW w:w="1408"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sz w:val="22"/>
                <w:szCs w:val="22"/>
                <w:highlight w:val="none"/>
                <w:vertAlign w:val="baseline"/>
                <w:lang w:val="en-US" w:eastAsia="zh-CN"/>
              </w:rPr>
            </w:pPr>
            <w:r>
              <w:rPr>
                <w:rFonts w:hint="eastAsia" w:ascii="宋体" w:hAnsi="宋体" w:cs="宋体"/>
                <w:sz w:val="22"/>
                <w:szCs w:val="22"/>
                <w:highlight w:val="none"/>
                <w:vertAlign w:val="baseline"/>
                <w:lang w:val="en-US" w:eastAsia="zh-CN"/>
              </w:rPr>
              <w:t>仙南村</w:t>
            </w:r>
          </w:p>
        </w:tc>
        <w:tc>
          <w:tcPr>
            <w:tcW w:w="15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仙岩秀垟水库</w:t>
            </w:r>
          </w:p>
        </w:tc>
        <w:tc>
          <w:tcPr>
            <w:tcW w:w="125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cs="宋体"/>
                <w:i w:val="0"/>
                <w:iCs w:val="0"/>
                <w:color w:val="000000"/>
                <w:kern w:val="0"/>
                <w:sz w:val="22"/>
                <w:szCs w:val="22"/>
                <w:highlight w:val="none"/>
                <w:u w:val="none"/>
                <w:lang w:val="en-US" w:eastAsia="zh-CN" w:bidi="ar-SA"/>
              </w:rPr>
              <w:t>4</w:t>
            </w:r>
            <w:r>
              <w:rPr>
                <w:rFonts w:hint="eastAsia" w:ascii="宋体" w:hAnsi="宋体" w:eastAsia="宋体" w:cs="宋体"/>
                <w:i w:val="0"/>
                <w:iCs w:val="0"/>
                <w:color w:val="000000"/>
                <w:kern w:val="0"/>
                <w:sz w:val="22"/>
                <w:szCs w:val="22"/>
                <w:highlight w:val="none"/>
                <w:u w:val="none"/>
                <w:lang w:val="en-US" w:eastAsia="zh-CN" w:bidi="ar-SA"/>
              </w:rPr>
              <w:t>.000</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iCs w:val="0"/>
                <w:color w:val="000000"/>
                <w:kern w:val="0"/>
                <w:sz w:val="22"/>
                <w:szCs w:val="22"/>
                <w:highlight w:val="none"/>
                <w:u w:val="none"/>
                <w:lang w:val="en-US" w:eastAsia="zh-CN" w:bidi="ar-SA"/>
              </w:rPr>
              <w:t>13.119</w:t>
            </w:r>
          </w:p>
        </w:tc>
        <w:tc>
          <w:tcPr>
            <w:tcW w:w="140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cs="宋体"/>
                <w:i w:val="0"/>
                <w:iCs w:val="0"/>
                <w:color w:val="000000"/>
                <w:kern w:val="0"/>
                <w:sz w:val="22"/>
                <w:szCs w:val="22"/>
                <w:highlight w:val="none"/>
                <w:u w:val="none"/>
                <w:lang w:val="en-US" w:eastAsia="zh-CN" w:bidi="ar-SA"/>
              </w:rPr>
              <w:t>9</w:t>
            </w:r>
            <w:r>
              <w:rPr>
                <w:rFonts w:hint="eastAsia" w:ascii="宋体" w:hAnsi="宋体" w:eastAsia="宋体" w:cs="宋体"/>
                <w:i w:val="0"/>
                <w:iCs w:val="0"/>
                <w:color w:val="000000"/>
                <w:kern w:val="0"/>
                <w:sz w:val="22"/>
                <w:szCs w:val="22"/>
                <w:highlight w:val="none"/>
                <w:u w:val="none"/>
                <w:lang w:val="en-US" w:eastAsia="zh-CN" w:bidi="ar-SA"/>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6" w:type="dxa"/>
            <w:gridSpan w:val="6"/>
            <w:tcBorders>
              <w:tl2br w:val="nil"/>
              <w:tr2bl w:val="nil"/>
            </w:tcBorders>
            <w:vAlign w:val="center"/>
          </w:tcPr>
          <w:p>
            <w:pPr>
              <w:spacing w:line="360" w:lineRule="auto"/>
              <w:jc w:val="center"/>
              <w:rPr>
                <w:rFonts w:hint="eastAsia" w:ascii="宋体" w:hAnsi="宋体" w:eastAsia="宋体" w:cs="宋体"/>
                <w:sz w:val="22"/>
                <w:szCs w:val="22"/>
                <w:highlight w:val="none"/>
                <w:vertAlign w:val="baseline"/>
              </w:rPr>
            </w:pPr>
            <w:r>
              <w:rPr>
                <w:rFonts w:hint="eastAsia" w:ascii="宋体" w:hAnsi="宋体" w:eastAsia="宋体" w:cs="宋体"/>
                <w:sz w:val="22"/>
                <w:szCs w:val="22"/>
                <w:highlight w:val="none"/>
                <w:vertAlign w:val="baseline"/>
              </w:rPr>
              <w:t>乡道合计</w:t>
            </w:r>
          </w:p>
        </w:tc>
        <w:tc>
          <w:tcPr>
            <w:tcW w:w="1408" w:type="dxa"/>
            <w:tcBorders>
              <w:tl2br w:val="nil"/>
              <w:tr2bl w:val="nil"/>
            </w:tcBorders>
            <w:vAlign w:val="center"/>
          </w:tcPr>
          <w:p>
            <w:pPr>
              <w:spacing w:line="360" w:lineRule="auto"/>
              <w:jc w:val="center"/>
              <w:rPr>
                <w:rFonts w:hint="eastAsia" w:ascii="宋体" w:hAnsi="宋体" w:eastAsia="宋体" w:cs="宋体"/>
                <w:sz w:val="22"/>
                <w:szCs w:val="22"/>
                <w:highlight w:val="none"/>
                <w:vertAlign w:val="baseline"/>
              </w:rPr>
            </w:pPr>
            <w:r>
              <w:rPr>
                <w:rFonts w:ascii="宋体" w:hAnsi="宋体" w:eastAsia="宋体" w:cs="宋体"/>
                <w:sz w:val="22"/>
                <w:szCs w:val="22"/>
                <w:highlight w:val="none"/>
                <w:vertAlign w:val="baseline"/>
              </w:rPr>
              <w:t>5</w:t>
            </w:r>
            <w:r>
              <w:rPr>
                <w:rFonts w:hint="eastAsia" w:ascii="宋体" w:hAnsi="宋体" w:cs="宋体"/>
                <w:sz w:val="22"/>
                <w:szCs w:val="22"/>
                <w:highlight w:val="none"/>
                <w:vertAlign w:val="baseline"/>
                <w:lang w:val="en-US" w:eastAsia="zh-CN"/>
              </w:rPr>
              <w:t>4</w:t>
            </w:r>
            <w:r>
              <w:rPr>
                <w:rFonts w:ascii="宋体" w:hAnsi="宋体" w:eastAsia="宋体" w:cs="宋体"/>
                <w:sz w:val="22"/>
                <w:szCs w:val="22"/>
                <w:highlight w:val="none"/>
                <w:vertAlign w:val="baseline"/>
              </w:rPr>
              <w:t>.883</w:t>
            </w:r>
          </w:p>
        </w:tc>
      </w:tr>
      <w:bookmarkEnd w:id="88"/>
    </w:tbl>
    <w:p>
      <w:pPr>
        <w:rPr>
          <w:rFonts w:hint="eastAsia" w:ascii="新宋体" w:hAnsi="新宋体" w:eastAsia="新宋体"/>
          <w:bCs w:val="0"/>
          <w:color w:val="auto"/>
          <w:sz w:val="36"/>
          <w:szCs w:val="36"/>
          <w:highlight w:val="none"/>
        </w:rPr>
      </w:pPr>
      <w:r>
        <w:rPr>
          <w:rFonts w:hint="eastAsia" w:ascii="新宋体" w:hAnsi="新宋体" w:eastAsia="新宋体"/>
          <w:bCs w:val="0"/>
          <w:color w:val="auto"/>
          <w:sz w:val="36"/>
          <w:szCs w:val="36"/>
          <w:highlight w:val="none"/>
        </w:rPr>
        <w:br w:type="page"/>
      </w:r>
    </w:p>
    <w:p>
      <w:pPr>
        <w:keepNext w:val="0"/>
        <w:keepLines w:val="0"/>
        <w:pageBreakBefore w:val="0"/>
        <w:kinsoku/>
        <w:wordWrap/>
        <w:overflowPunct/>
        <w:topLinePunct w:val="0"/>
        <w:bidi w:val="0"/>
        <w:snapToGrid w:val="0"/>
        <w:spacing w:line="440" w:lineRule="exact"/>
        <w:ind w:firstLine="705" w:firstLineChars="196"/>
        <w:jc w:val="center"/>
        <w:rPr>
          <w:rFonts w:ascii="新宋体" w:hAnsi="新宋体" w:eastAsia="新宋体"/>
          <w:bCs w:val="0"/>
          <w:color w:val="auto"/>
          <w:sz w:val="36"/>
          <w:szCs w:val="36"/>
          <w:highlight w:val="none"/>
        </w:rPr>
      </w:pPr>
      <w:r>
        <w:rPr>
          <w:rFonts w:hint="eastAsia" w:ascii="新宋体" w:hAnsi="新宋体" w:eastAsia="新宋体"/>
          <w:bCs w:val="0"/>
          <w:color w:val="auto"/>
          <w:sz w:val="36"/>
          <w:szCs w:val="36"/>
          <w:highlight w:val="none"/>
        </w:rPr>
        <w:t>第六部分</w:t>
      </w:r>
      <w:r>
        <w:rPr>
          <w:rFonts w:ascii="新宋体" w:hAnsi="新宋体" w:eastAsia="新宋体"/>
          <w:bCs w:val="0"/>
          <w:color w:val="auto"/>
          <w:sz w:val="36"/>
          <w:szCs w:val="36"/>
          <w:highlight w:val="none"/>
        </w:rPr>
        <w:t xml:space="preserve">   </w:t>
      </w:r>
      <w:r>
        <w:rPr>
          <w:rFonts w:hint="eastAsia" w:ascii="新宋体" w:hAnsi="新宋体" w:eastAsia="新宋体"/>
          <w:bCs w:val="0"/>
          <w:color w:val="auto"/>
          <w:sz w:val="36"/>
          <w:szCs w:val="36"/>
          <w:highlight w:val="none"/>
        </w:rPr>
        <w:t>磋商原则及方法</w:t>
      </w:r>
      <w:bookmarkEnd w:id="81"/>
    </w:p>
    <w:p>
      <w:pPr>
        <w:tabs>
          <w:tab w:val="left" w:pos="6358"/>
        </w:tabs>
        <w:snapToGrid w:val="0"/>
        <w:spacing w:line="400" w:lineRule="exact"/>
        <w:jc w:val="left"/>
        <w:rPr>
          <w:rFonts w:ascii="新宋体" w:hAnsi="新宋体" w:eastAsia="新宋体"/>
          <w:b/>
          <w:bCs/>
          <w:color w:val="auto"/>
          <w:sz w:val="22"/>
          <w:szCs w:val="22"/>
          <w:highlight w:val="none"/>
        </w:rPr>
      </w:pPr>
      <w:bookmarkStart w:id="82" w:name="_Toc221356961"/>
      <w:bookmarkStart w:id="83" w:name="_Toc221356898"/>
      <w:r>
        <w:rPr>
          <w:rFonts w:hint="eastAsia" w:ascii="新宋体" w:hAnsi="新宋体" w:eastAsia="新宋体" w:cs="新宋体"/>
          <w:b/>
          <w:bCs/>
          <w:color w:val="auto"/>
          <w:sz w:val="22"/>
          <w:szCs w:val="22"/>
          <w:highlight w:val="none"/>
        </w:rPr>
        <w:t>一、总则</w:t>
      </w:r>
    </w:p>
    <w:p>
      <w:pPr>
        <w:spacing w:line="420" w:lineRule="exact"/>
        <w:ind w:firstLine="440" w:firstLineChars="200"/>
        <w:rPr>
          <w:rFonts w:ascii="新宋体" w:hAnsi="新宋体" w:eastAsia="新宋体"/>
          <w:color w:val="auto"/>
          <w:sz w:val="22"/>
          <w:szCs w:val="22"/>
          <w:highlight w:val="none"/>
        </w:rPr>
      </w:pPr>
      <w:bookmarkStart w:id="84" w:name="_Toc416695955"/>
      <w:bookmarkStart w:id="85" w:name="_Toc413771022"/>
      <w:r>
        <w:rPr>
          <w:rFonts w:hint="eastAsia" w:ascii="新宋体" w:hAnsi="新宋体" w:eastAsia="新宋体" w:cs="新宋体"/>
          <w:color w:val="auto"/>
          <w:sz w:val="22"/>
          <w:szCs w:val="22"/>
          <w:highlight w:val="none"/>
        </w:rPr>
        <w:t>评审工作遵循“公平、公正、科学、择优”原则和“诚实、信誉、效率”的服务原则。最大限度的保护采购人权益，严格按照磋商文件的要求，对磋商响应文件进行综合评审。磋商供应商不得以任何方式干扰采购工作的进行，一经发现其磋商响应文件将被拒绝。</w:t>
      </w:r>
    </w:p>
    <w:p>
      <w:pPr>
        <w:tabs>
          <w:tab w:val="left" w:pos="6358"/>
        </w:tabs>
        <w:snapToGrid w:val="0"/>
        <w:spacing w:line="400" w:lineRule="exact"/>
        <w:ind w:left="773" w:hanging="773" w:hangingChars="350"/>
        <w:rPr>
          <w:rFonts w:ascii="新宋体" w:hAnsi="新宋体" w:eastAsia="新宋体"/>
          <w:b/>
          <w:bCs/>
          <w:color w:val="auto"/>
          <w:sz w:val="22"/>
          <w:szCs w:val="22"/>
          <w:highlight w:val="none"/>
        </w:rPr>
      </w:pPr>
      <w:r>
        <w:rPr>
          <w:rFonts w:hint="eastAsia" w:ascii="新宋体" w:hAnsi="新宋体" w:eastAsia="新宋体" w:cs="新宋体"/>
          <w:b/>
          <w:bCs/>
          <w:color w:val="auto"/>
          <w:sz w:val="22"/>
          <w:szCs w:val="22"/>
          <w:highlight w:val="none"/>
        </w:rPr>
        <w:t>二、</w:t>
      </w:r>
      <w:bookmarkEnd w:id="84"/>
      <w:bookmarkEnd w:id="85"/>
      <w:r>
        <w:rPr>
          <w:rFonts w:hint="eastAsia" w:ascii="新宋体" w:hAnsi="新宋体" w:eastAsia="新宋体" w:cs="新宋体"/>
          <w:b/>
          <w:bCs/>
          <w:color w:val="auto"/>
          <w:sz w:val="22"/>
          <w:szCs w:val="22"/>
          <w:highlight w:val="none"/>
        </w:rPr>
        <w:t>评审组织</w:t>
      </w:r>
    </w:p>
    <w:p>
      <w:pPr>
        <w:tabs>
          <w:tab w:val="left" w:pos="6358"/>
        </w:tabs>
        <w:snapToGrid w:val="0"/>
        <w:spacing w:line="400" w:lineRule="exact"/>
        <w:ind w:firstLine="440" w:firstLineChars="200"/>
        <w:rPr>
          <w:rFonts w:ascii="新宋体" w:hAnsi="新宋体" w:eastAsia="新宋体"/>
          <w:color w:val="auto"/>
          <w:sz w:val="22"/>
          <w:szCs w:val="22"/>
          <w:highlight w:val="none"/>
        </w:rPr>
      </w:pPr>
      <w:r>
        <w:rPr>
          <w:rFonts w:hint="eastAsia" w:ascii="新宋体" w:hAnsi="新宋体" w:eastAsia="新宋体" w:cs="新宋体"/>
          <w:color w:val="auto"/>
          <w:sz w:val="22"/>
          <w:szCs w:val="22"/>
          <w:highlight w:val="none"/>
        </w:rPr>
        <w:t>评审及磋商工作由采购人依法组建的磋商小组负责，评审及磋商全过程由有关部门指导监督。</w:t>
      </w:r>
    </w:p>
    <w:p>
      <w:pPr>
        <w:tabs>
          <w:tab w:val="left" w:pos="6358"/>
        </w:tabs>
        <w:snapToGrid w:val="0"/>
        <w:spacing w:line="400" w:lineRule="exact"/>
        <w:ind w:left="773" w:hanging="773" w:hangingChars="350"/>
        <w:rPr>
          <w:rFonts w:ascii="新宋体" w:hAnsi="新宋体" w:eastAsia="新宋体"/>
          <w:b/>
          <w:bCs/>
          <w:color w:val="auto"/>
          <w:sz w:val="22"/>
          <w:szCs w:val="22"/>
          <w:highlight w:val="none"/>
        </w:rPr>
      </w:pPr>
      <w:bookmarkStart w:id="86" w:name="_Toc416695957"/>
      <w:bookmarkStart w:id="87" w:name="_Toc413771024"/>
      <w:r>
        <w:rPr>
          <w:rFonts w:hint="eastAsia" w:ascii="新宋体" w:hAnsi="新宋体" w:eastAsia="新宋体" w:cs="新宋体"/>
          <w:b/>
          <w:bCs/>
          <w:color w:val="auto"/>
          <w:sz w:val="22"/>
          <w:szCs w:val="22"/>
          <w:highlight w:val="none"/>
        </w:rPr>
        <w:t>三、评审及磋商的程序</w:t>
      </w:r>
      <w:bookmarkEnd w:id="86"/>
      <w:bookmarkEnd w:id="87"/>
    </w:p>
    <w:p>
      <w:pPr>
        <w:numPr>
          <w:ilvl w:val="0"/>
          <w:numId w:val="24"/>
        </w:numPr>
        <w:tabs>
          <w:tab w:val="left" w:pos="851"/>
        </w:tabs>
        <w:snapToGrid w:val="0"/>
        <w:spacing w:line="400" w:lineRule="exact"/>
        <w:rPr>
          <w:rFonts w:ascii="新宋体" w:hAnsi="新宋体" w:eastAsia="新宋体"/>
          <w:color w:val="auto"/>
          <w:sz w:val="22"/>
          <w:szCs w:val="22"/>
          <w:highlight w:val="none"/>
        </w:rPr>
      </w:pPr>
      <w:r>
        <w:rPr>
          <w:rFonts w:hint="eastAsia" w:ascii="新宋体" w:hAnsi="新宋体" w:eastAsia="新宋体" w:cs="新宋体"/>
          <w:color w:val="auto"/>
          <w:sz w:val="22"/>
          <w:szCs w:val="22"/>
          <w:highlight w:val="none"/>
        </w:rPr>
        <w:t>熟悉竞争性磋商文件和评审磋商办法；</w:t>
      </w:r>
    </w:p>
    <w:p>
      <w:pPr>
        <w:numPr>
          <w:ilvl w:val="0"/>
          <w:numId w:val="24"/>
        </w:numPr>
        <w:tabs>
          <w:tab w:val="left" w:pos="851"/>
        </w:tabs>
        <w:snapToGrid w:val="0"/>
        <w:spacing w:line="400" w:lineRule="exact"/>
        <w:rPr>
          <w:rFonts w:ascii="新宋体" w:hAnsi="新宋体" w:eastAsia="新宋体"/>
          <w:color w:val="auto"/>
          <w:sz w:val="22"/>
          <w:szCs w:val="22"/>
          <w:highlight w:val="none"/>
        </w:rPr>
      </w:pPr>
      <w:r>
        <w:rPr>
          <w:rFonts w:hint="eastAsia" w:ascii="新宋体" w:hAnsi="新宋体" w:eastAsia="新宋体" w:cs="新宋体"/>
          <w:color w:val="auto"/>
          <w:sz w:val="22"/>
          <w:szCs w:val="22"/>
          <w:highlight w:val="none"/>
        </w:rPr>
        <w:t>开启磋商响应文件（一次报价不公布）；</w:t>
      </w:r>
    </w:p>
    <w:p>
      <w:pPr>
        <w:numPr>
          <w:ilvl w:val="0"/>
          <w:numId w:val="24"/>
        </w:numPr>
        <w:tabs>
          <w:tab w:val="left" w:pos="851"/>
        </w:tabs>
        <w:snapToGrid w:val="0"/>
        <w:spacing w:line="400" w:lineRule="exact"/>
        <w:rPr>
          <w:rFonts w:ascii="新宋体" w:hAnsi="新宋体" w:eastAsia="新宋体"/>
          <w:color w:val="auto"/>
          <w:sz w:val="22"/>
          <w:szCs w:val="22"/>
          <w:highlight w:val="none"/>
        </w:rPr>
      </w:pPr>
      <w:r>
        <w:rPr>
          <w:rFonts w:hint="eastAsia" w:ascii="新宋体" w:hAnsi="新宋体" w:eastAsia="新宋体" w:cs="新宋体"/>
          <w:color w:val="auto"/>
          <w:sz w:val="22"/>
          <w:szCs w:val="22"/>
          <w:highlight w:val="none"/>
        </w:rPr>
        <w:t>资格审查；</w:t>
      </w:r>
    </w:p>
    <w:p>
      <w:pPr>
        <w:numPr>
          <w:ilvl w:val="0"/>
          <w:numId w:val="24"/>
        </w:numPr>
        <w:tabs>
          <w:tab w:val="left" w:pos="851"/>
        </w:tabs>
        <w:snapToGrid w:val="0"/>
        <w:spacing w:line="400" w:lineRule="exact"/>
        <w:rPr>
          <w:rFonts w:ascii="新宋体" w:hAnsi="新宋体" w:eastAsia="新宋体"/>
          <w:color w:val="auto"/>
          <w:sz w:val="22"/>
          <w:szCs w:val="22"/>
          <w:highlight w:val="none"/>
        </w:rPr>
      </w:pPr>
      <w:r>
        <w:rPr>
          <w:rFonts w:hint="eastAsia" w:ascii="新宋体" w:hAnsi="新宋体" w:eastAsia="新宋体" w:cs="新宋体"/>
          <w:color w:val="auto"/>
          <w:sz w:val="22"/>
          <w:szCs w:val="22"/>
          <w:highlight w:val="none"/>
        </w:rPr>
        <w:t>磋商、询标（需要时）；</w:t>
      </w:r>
    </w:p>
    <w:p>
      <w:pPr>
        <w:numPr>
          <w:ilvl w:val="0"/>
          <w:numId w:val="24"/>
        </w:numPr>
        <w:tabs>
          <w:tab w:val="left" w:pos="851"/>
        </w:tabs>
        <w:snapToGrid w:val="0"/>
        <w:spacing w:line="400" w:lineRule="exact"/>
        <w:rPr>
          <w:rFonts w:ascii="新宋体" w:hAnsi="新宋体" w:eastAsia="新宋体"/>
          <w:color w:val="auto"/>
          <w:sz w:val="22"/>
          <w:szCs w:val="22"/>
          <w:highlight w:val="none"/>
        </w:rPr>
      </w:pPr>
      <w:r>
        <w:rPr>
          <w:rFonts w:hint="eastAsia" w:ascii="新宋体" w:hAnsi="新宋体" w:eastAsia="新宋体" w:cs="新宋体"/>
          <w:color w:val="auto"/>
          <w:sz w:val="22"/>
          <w:szCs w:val="22"/>
          <w:highlight w:val="none"/>
        </w:rPr>
        <w:t>磋商响应文件商务技术标评分；</w:t>
      </w:r>
    </w:p>
    <w:p>
      <w:pPr>
        <w:numPr>
          <w:ilvl w:val="0"/>
          <w:numId w:val="24"/>
        </w:numPr>
        <w:tabs>
          <w:tab w:val="left" w:pos="851"/>
        </w:tabs>
        <w:snapToGrid w:val="0"/>
        <w:spacing w:line="400" w:lineRule="exact"/>
        <w:rPr>
          <w:rFonts w:ascii="新宋体" w:hAnsi="新宋体" w:eastAsia="新宋体"/>
          <w:color w:val="auto"/>
          <w:sz w:val="22"/>
          <w:szCs w:val="22"/>
          <w:highlight w:val="none"/>
        </w:rPr>
      </w:pPr>
      <w:r>
        <w:rPr>
          <w:rFonts w:hint="eastAsia" w:ascii="新宋体" w:hAnsi="新宋体" w:eastAsia="新宋体" w:cs="新宋体"/>
          <w:color w:val="auto"/>
          <w:sz w:val="22"/>
          <w:szCs w:val="22"/>
          <w:highlight w:val="none"/>
        </w:rPr>
        <w:t>磋商二次报价或最终报价；</w:t>
      </w:r>
    </w:p>
    <w:p>
      <w:pPr>
        <w:numPr>
          <w:ilvl w:val="0"/>
          <w:numId w:val="24"/>
        </w:numPr>
        <w:tabs>
          <w:tab w:val="left" w:pos="851"/>
        </w:tabs>
        <w:snapToGrid w:val="0"/>
        <w:spacing w:line="400" w:lineRule="exact"/>
        <w:rPr>
          <w:rFonts w:ascii="新宋体" w:hAnsi="新宋体" w:eastAsia="新宋体"/>
          <w:color w:val="auto"/>
          <w:sz w:val="22"/>
          <w:szCs w:val="22"/>
          <w:highlight w:val="none"/>
        </w:rPr>
      </w:pPr>
      <w:r>
        <w:rPr>
          <w:rFonts w:hint="eastAsia" w:ascii="新宋体" w:hAnsi="新宋体" w:eastAsia="新宋体" w:cs="新宋体"/>
          <w:color w:val="auto"/>
          <w:sz w:val="22"/>
          <w:szCs w:val="22"/>
          <w:highlight w:val="none"/>
        </w:rPr>
        <w:t>磋商小组根据评审结果，提交评审报告。</w:t>
      </w:r>
    </w:p>
    <w:p>
      <w:pPr>
        <w:tabs>
          <w:tab w:val="left" w:pos="6358"/>
        </w:tabs>
        <w:snapToGrid w:val="0"/>
        <w:spacing w:line="400" w:lineRule="exact"/>
        <w:ind w:left="773" w:hanging="773" w:hangingChars="350"/>
        <w:rPr>
          <w:rFonts w:ascii="新宋体" w:hAnsi="新宋体" w:eastAsia="新宋体"/>
          <w:b/>
          <w:bCs/>
          <w:color w:val="auto"/>
          <w:sz w:val="22"/>
          <w:szCs w:val="22"/>
          <w:highlight w:val="none"/>
        </w:rPr>
      </w:pPr>
      <w:r>
        <w:rPr>
          <w:rFonts w:hint="eastAsia" w:ascii="新宋体" w:hAnsi="新宋体" w:eastAsia="新宋体" w:cs="新宋体"/>
          <w:b/>
          <w:bCs/>
          <w:color w:val="auto"/>
          <w:sz w:val="22"/>
          <w:szCs w:val="22"/>
          <w:highlight w:val="none"/>
        </w:rPr>
        <w:t>四、评审细则</w:t>
      </w:r>
    </w:p>
    <w:p>
      <w:pPr>
        <w:numPr>
          <w:ilvl w:val="0"/>
          <w:numId w:val="25"/>
        </w:numPr>
        <w:tabs>
          <w:tab w:val="left" w:pos="6358"/>
        </w:tabs>
        <w:snapToGrid w:val="0"/>
        <w:spacing w:line="400" w:lineRule="exact"/>
        <w:rPr>
          <w:rFonts w:ascii="新宋体" w:hAnsi="新宋体" w:eastAsia="新宋体"/>
          <w:b/>
          <w:bCs/>
          <w:color w:val="auto"/>
          <w:sz w:val="22"/>
          <w:szCs w:val="22"/>
          <w:highlight w:val="none"/>
        </w:rPr>
      </w:pPr>
      <w:r>
        <w:rPr>
          <w:rFonts w:hint="eastAsia" w:ascii="新宋体" w:hAnsi="新宋体" w:eastAsia="新宋体" w:cs="新宋体"/>
          <w:b/>
          <w:bCs/>
          <w:color w:val="auto"/>
          <w:sz w:val="22"/>
          <w:szCs w:val="22"/>
          <w:highlight w:val="none"/>
        </w:rPr>
        <w:t>磋商响应文件的商务技术评分（</w:t>
      </w:r>
      <w:r>
        <w:rPr>
          <w:rFonts w:hint="eastAsia" w:ascii="新宋体" w:hAnsi="新宋体" w:eastAsia="新宋体"/>
          <w:b/>
          <w:bCs/>
          <w:color w:val="auto"/>
          <w:sz w:val="22"/>
          <w:szCs w:val="22"/>
          <w:highlight w:val="none"/>
          <w:lang w:val="en-US" w:eastAsia="zh-CN"/>
        </w:rPr>
        <w:t>9</w:t>
      </w:r>
      <w:r>
        <w:rPr>
          <w:rFonts w:hint="eastAsia" w:ascii="新宋体" w:hAnsi="新宋体" w:eastAsia="新宋体"/>
          <w:b/>
          <w:bCs/>
          <w:color w:val="auto"/>
          <w:sz w:val="22"/>
          <w:szCs w:val="22"/>
          <w:highlight w:val="none"/>
        </w:rPr>
        <w:t>0</w:t>
      </w:r>
      <w:r>
        <w:rPr>
          <w:rFonts w:hint="eastAsia" w:ascii="新宋体" w:hAnsi="新宋体" w:eastAsia="新宋体" w:cs="新宋体"/>
          <w:b/>
          <w:bCs/>
          <w:color w:val="auto"/>
          <w:sz w:val="22"/>
          <w:szCs w:val="22"/>
          <w:highlight w:val="none"/>
        </w:rPr>
        <w:t>分）</w:t>
      </w:r>
    </w:p>
    <w:p>
      <w:pPr>
        <w:tabs>
          <w:tab w:val="left" w:pos="6358"/>
        </w:tabs>
        <w:snapToGrid w:val="0"/>
        <w:spacing w:line="3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各磋商小组成员按下列评分项目进行评定，每人一张评分计算表，由磋商小组成员各自评定打分并记实名。如任何一张表的一项评分内容分值超过规定的范围，则该张表无效。各磋商小组成员对各供应商的各项评分内容进行评审、独立打分，所有磋商小组成员的评分的算术平均值为该供应商商务技术部分的最终得分（四舍五入，保留小数点后二位）。</w:t>
      </w:r>
    </w:p>
    <w:tbl>
      <w:tblPr>
        <w:tblStyle w:val="53"/>
        <w:tblpPr w:leftFromText="180" w:rightFromText="180" w:vertAnchor="text" w:horzAnchor="page" w:tblpX="1115" w:tblpY="241"/>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108" w:type="dxa"/>
          <w:bottom w:w="57" w:type="dxa"/>
          <w:right w:w="108" w:type="dxa"/>
        </w:tblCellMar>
      </w:tblPr>
      <w:tblGrid>
        <w:gridCol w:w="818"/>
        <w:gridCol w:w="1538"/>
        <w:gridCol w:w="6540"/>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55" w:hRule="atLeast"/>
          <w:tblHeader/>
        </w:trPr>
        <w:tc>
          <w:tcPr>
            <w:tcW w:w="415"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新宋体" w:hAnsi="新宋体" w:eastAsia="新宋体" w:cs="新宋体"/>
                <w:b/>
                <w:color w:val="auto"/>
                <w:kern w:val="0"/>
                <w:sz w:val="22"/>
                <w:szCs w:val="22"/>
                <w:highlight w:val="none"/>
              </w:rPr>
            </w:pPr>
            <w:r>
              <w:rPr>
                <w:rFonts w:hint="eastAsia" w:ascii="新宋体" w:hAnsi="新宋体" w:eastAsia="新宋体" w:cs="新宋体"/>
                <w:b/>
                <w:color w:val="auto"/>
                <w:kern w:val="0"/>
                <w:sz w:val="22"/>
                <w:szCs w:val="22"/>
                <w:highlight w:val="none"/>
              </w:rPr>
              <w:t>序号</w:t>
            </w:r>
          </w:p>
        </w:tc>
        <w:tc>
          <w:tcPr>
            <w:tcW w:w="780"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新宋体" w:hAnsi="新宋体" w:eastAsia="新宋体" w:cs="新宋体"/>
                <w:b/>
                <w:color w:val="auto"/>
                <w:kern w:val="0"/>
                <w:sz w:val="22"/>
                <w:szCs w:val="22"/>
                <w:highlight w:val="none"/>
              </w:rPr>
            </w:pPr>
            <w:r>
              <w:rPr>
                <w:rFonts w:hint="eastAsia" w:ascii="新宋体" w:hAnsi="新宋体" w:eastAsia="新宋体" w:cs="新宋体"/>
                <w:b/>
                <w:color w:val="auto"/>
                <w:kern w:val="0"/>
                <w:sz w:val="22"/>
                <w:szCs w:val="22"/>
                <w:highlight w:val="none"/>
              </w:rPr>
              <w:t>评分项</w:t>
            </w:r>
          </w:p>
        </w:tc>
        <w:tc>
          <w:tcPr>
            <w:tcW w:w="3318"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新宋体" w:hAnsi="新宋体" w:eastAsia="新宋体" w:cs="新宋体"/>
                <w:b/>
                <w:color w:val="auto"/>
                <w:kern w:val="0"/>
                <w:sz w:val="22"/>
                <w:szCs w:val="22"/>
                <w:highlight w:val="none"/>
              </w:rPr>
            </w:pPr>
            <w:r>
              <w:rPr>
                <w:rFonts w:hint="eastAsia" w:ascii="新宋体" w:hAnsi="新宋体" w:eastAsia="新宋体" w:cs="新宋体"/>
                <w:b/>
                <w:color w:val="auto"/>
                <w:kern w:val="0"/>
                <w:sz w:val="22"/>
                <w:szCs w:val="22"/>
                <w:highlight w:val="none"/>
              </w:rPr>
              <w:t>评分细则</w:t>
            </w:r>
          </w:p>
        </w:tc>
        <w:tc>
          <w:tcPr>
            <w:tcW w:w="486"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新宋体" w:hAnsi="新宋体" w:eastAsia="新宋体" w:cs="新宋体"/>
                <w:b/>
                <w:color w:val="auto"/>
                <w:kern w:val="0"/>
                <w:sz w:val="22"/>
                <w:szCs w:val="22"/>
                <w:highlight w:val="none"/>
              </w:rPr>
            </w:pPr>
            <w:r>
              <w:rPr>
                <w:rFonts w:hint="eastAsia" w:ascii="新宋体" w:hAnsi="新宋体" w:eastAsia="新宋体" w:cs="新宋体"/>
                <w:b/>
                <w:color w:val="auto"/>
                <w:kern w:val="0"/>
                <w:sz w:val="22"/>
                <w:szCs w:val="22"/>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67" w:hRule="atLeast"/>
        </w:trPr>
        <w:tc>
          <w:tcPr>
            <w:tcW w:w="415"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p>
        </w:tc>
        <w:tc>
          <w:tcPr>
            <w:tcW w:w="780"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整体响应情况</w:t>
            </w:r>
          </w:p>
        </w:tc>
        <w:tc>
          <w:tcPr>
            <w:tcW w:w="3318"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① 投标供应商能够完全响应采购文件各项技术、商务、服务以及合同条款要求，没有提出任何负偏离或者不响应的，则本项得</w:t>
            </w:r>
            <w:r>
              <w:rPr>
                <w:rFonts w:hint="eastAsia" w:ascii="新宋体" w:hAnsi="新宋体" w:eastAsia="新宋体" w:cs="新宋体"/>
                <w:color w:val="auto"/>
                <w:kern w:val="0"/>
                <w:sz w:val="22"/>
                <w:szCs w:val="22"/>
                <w:highlight w:val="none"/>
                <w:lang w:val="en-US" w:eastAsia="zh-CN"/>
              </w:rPr>
              <w:t>1</w:t>
            </w:r>
            <w:r>
              <w:rPr>
                <w:rFonts w:hint="eastAsia" w:ascii="新宋体" w:hAnsi="新宋体" w:eastAsia="新宋体" w:cs="新宋体"/>
                <w:color w:val="auto"/>
                <w:kern w:val="0"/>
                <w:sz w:val="22"/>
                <w:szCs w:val="22"/>
                <w:highlight w:val="none"/>
              </w:rPr>
              <w:t>0分。如果有任何负偏离或者不响应的，每项扣3分。负偏离或者不响应累计超过2项的，</w:t>
            </w:r>
            <w:r>
              <w:rPr>
                <w:rFonts w:hint="eastAsia" w:ascii="新宋体" w:hAnsi="新宋体" w:eastAsia="新宋体" w:cs="新宋体"/>
                <w:color w:val="auto"/>
                <w:kern w:val="0"/>
                <w:sz w:val="22"/>
                <w:szCs w:val="22"/>
                <w:highlight w:val="none"/>
                <w:lang w:eastAsia="zh-CN"/>
              </w:rPr>
              <w:t>本项得分</w:t>
            </w:r>
            <w:r>
              <w:rPr>
                <w:rFonts w:hint="eastAsia" w:ascii="新宋体" w:hAnsi="新宋体" w:eastAsia="新宋体" w:cs="新宋体"/>
                <w:color w:val="auto"/>
                <w:kern w:val="0"/>
                <w:sz w:val="22"/>
                <w:szCs w:val="22"/>
                <w:highlight w:val="none"/>
              </w:rPr>
              <w:t>为0分。</w:t>
            </w:r>
          </w:p>
        </w:tc>
        <w:tc>
          <w:tcPr>
            <w:tcW w:w="486"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lang w:val="en-US" w:eastAsia="zh-CN"/>
              </w:rPr>
              <w:t>1</w:t>
            </w:r>
            <w:r>
              <w:rPr>
                <w:rFonts w:hint="eastAsia" w:ascii="新宋体" w:hAnsi="新宋体" w:eastAsia="新宋体" w:cs="新宋体"/>
                <w:color w:val="auto"/>
                <w:kern w:val="0"/>
                <w:sz w:val="22"/>
                <w:szCs w:val="22"/>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67" w:hRule="atLeast"/>
        </w:trPr>
        <w:tc>
          <w:tcPr>
            <w:tcW w:w="415"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新宋体" w:hAnsi="新宋体" w:eastAsia="新宋体" w:cs="新宋体"/>
                <w:color w:val="auto"/>
                <w:kern w:val="0"/>
                <w:sz w:val="22"/>
                <w:szCs w:val="22"/>
                <w:highlight w:val="none"/>
                <w:lang w:val="en-US" w:eastAsia="zh-CN"/>
              </w:rPr>
            </w:pPr>
            <w:r>
              <w:rPr>
                <w:rFonts w:hint="eastAsia" w:ascii="新宋体" w:hAnsi="新宋体" w:eastAsia="新宋体" w:cs="新宋体"/>
                <w:color w:val="auto"/>
                <w:kern w:val="0"/>
                <w:sz w:val="22"/>
                <w:szCs w:val="22"/>
                <w:highlight w:val="none"/>
                <w:lang w:val="en-US" w:eastAsia="zh-CN"/>
              </w:rPr>
              <w:t>2</w:t>
            </w:r>
          </w:p>
        </w:tc>
        <w:tc>
          <w:tcPr>
            <w:tcW w:w="780"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新宋体" w:hAnsi="新宋体" w:eastAsia="新宋体" w:cs="新宋体"/>
                <w:color w:val="auto"/>
                <w:kern w:val="0"/>
                <w:sz w:val="22"/>
                <w:szCs w:val="22"/>
                <w:highlight w:val="none"/>
                <w:lang w:val="en-US" w:eastAsia="zh-CN"/>
              </w:rPr>
            </w:pPr>
            <w:r>
              <w:rPr>
                <w:rFonts w:hint="eastAsia" w:ascii="新宋体" w:hAnsi="新宋体" w:eastAsia="新宋体" w:cs="新宋体"/>
                <w:color w:val="auto"/>
                <w:kern w:val="0"/>
                <w:sz w:val="22"/>
                <w:szCs w:val="22"/>
                <w:highlight w:val="none"/>
                <w:lang w:eastAsia="zh-CN"/>
              </w:rPr>
              <w:t>万张保单投诉量</w:t>
            </w:r>
          </w:p>
        </w:tc>
        <w:tc>
          <w:tcPr>
            <w:tcW w:w="3318"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rPr>
                <w:rFonts w:hint="eastAsia" w:ascii="新宋体" w:hAnsi="新宋体" w:eastAsia="新宋体" w:cs="新宋体"/>
                <w:color w:val="auto"/>
                <w:kern w:val="0"/>
                <w:sz w:val="22"/>
                <w:szCs w:val="22"/>
                <w:highlight w:val="none"/>
                <w:lang w:eastAsia="zh-CN"/>
              </w:rPr>
            </w:pPr>
            <w:r>
              <w:rPr>
                <w:rFonts w:hint="eastAsia" w:ascii="宋体" w:hAnsi="宋体"/>
                <w:color w:val="auto"/>
                <w:sz w:val="22"/>
                <w:szCs w:val="22"/>
                <w:highlight w:val="none"/>
              </w:rPr>
              <w:t>根据</w:t>
            </w:r>
            <w:r>
              <w:rPr>
                <w:rFonts w:hint="eastAsia" w:ascii="宋体" w:hAnsi="宋体"/>
                <w:color w:val="auto"/>
                <w:sz w:val="22"/>
                <w:szCs w:val="22"/>
                <w:highlight w:val="none"/>
                <w:lang w:val="en-US" w:eastAsia="zh-CN"/>
              </w:rPr>
              <w:t>投标供应商</w:t>
            </w:r>
            <w:r>
              <w:rPr>
                <w:rFonts w:hint="eastAsia" w:ascii="宋体" w:hAnsi="宋体"/>
                <w:color w:val="auto"/>
                <w:sz w:val="22"/>
                <w:szCs w:val="22"/>
                <w:highlight w:val="none"/>
              </w:rPr>
              <w:t>总公司</w:t>
            </w:r>
            <w:r>
              <w:rPr>
                <w:rFonts w:hint="eastAsia" w:ascii="宋体" w:hAnsi="宋体"/>
                <w:color w:val="auto"/>
                <w:sz w:val="22"/>
                <w:szCs w:val="22"/>
                <w:highlight w:val="none"/>
                <w:lang w:val="en-US" w:eastAsia="zh-CN"/>
              </w:rPr>
              <w:t>最近</w:t>
            </w:r>
            <w:r>
              <w:rPr>
                <w:rFonts w:hint="eastAsia" w:ascii="宋体" w:hAnsi="宋体"/>
                <w:color w:val="auto"/>
                <w:sz w:val="22"/>
                <w:szCs w:val="22"/>
                <w:highlight w:val="none"/>
              </w:rPr>
              <w:t>年度第四季度的“万张保单投诉量”评分</w:t>
            </w:r>
            <w:r>
              <w:rPr>
                <w:rFonts w:hint="eastAsia" w:ascii="新宋体" w:hAnsi="新宋体" w:eastAsia="新宋体" w:cs="新宋体"/>
                <w:color w:val="auto"/>
                <w:kern w:val="0"/>
                <w:sz w:val="22"/>
                <w:szCs w:val="22"/>
                <w:highlight w:val="none"/>
                <w:lang w:eastAsia="zh-CN"/>
              </w:rPr>
              <w:t>（财产保险公司）评分，0.01件/万张以下的得</w:t>
            </w:r>
            <w:r>
              <w:rPr>
                <w:rFonts w:hint="eastAsia" w:ascii="新宋体" w:hAnsi="新宋体" w:eastAsia="新宋体" w:cs="新宋体"/>
                <w:color w:val="auto"/>
                <w:kern w:val="0"/>
                <w:sz w:val="22"/>
                <w:szCs w:val="22"/>
                <w:highlight w:val="none"/>
                <w:lang w:val="en-US" w:eastAsia="zh-CN"/>
              </w:rPr>
              <w:t>7</w:t>
            </w:r>
            <w:r>
              <w:rPr>
                <w:rFonts w:hint="eastAsia" w:ascii="新宋体" w:hAnsi="新宋体" w:eastAsia="新宋体" w:cs="新宋体"/>
                <w:color w:val="auto"/>
                <w:kern w:val="0"/>
                <w:sz w:val="22"/>
                <w:szCs w:val="22"/>
                <w:highlight w:val="none"/>
                <w:lang w:eastAsia="zh-CN"/>
              </w:rPr>
              <w:t>分，0.01(含)-0.03件/万张的得</w:t>
            </w:r>
            <w:r>
              <w:rPr>
                <w:rFonts w:hint="eastAsia" w:ascii="新宋体" w:hAnsi="新宋体" w:eastAsia="新宋体" w:cs="新宋体"/>
                <w:color w:val="auto"/>
                <w:kern w:val="0"/>
                <w:sz w:val="22"/>
                <w:szCs w:val="22"/>
                <w:highlight w:val="none"/>
                <w:lang w:val="en-US" w:eastAsia="zh-CN"/>
              </w:rPr>
              <w:t>3</w:t>
            </w:r>
            <w:r>
              <w:rPr>
                <w:rFonts w:hint="eastAsia" w:ascii="新宋体" w:hAnsi="新宋体" w:eastAsia="新宋体" w:cs="新宋体"/>
                <w:color w:val="auto"/>
                <w:kern w:val="0"/>
                <w:sz w:val="22"/>
                <w:szCs w:val="22"/>
                <w:highlight w:val="none"/>
                <w:lang w:eastAsia="zh-CN"/>
              </w:rPr>
              <w:t>分，0.03（含）-0.05件/万张的得</w:t>
            </w:r>
            <w:r>
              <w:rPr>
                <w:rFonts w:hint="eastAsia" w:ascii="新宋体" w:hAnsi="新宋体" w:eastAsia="新宋体" w:cs="新宋体"/>
                <w:color w:val="auto"/>
                <w:kern w:val="0"/>
                <w:sz w:val="22"/>
                <w:szCs w:val="22"/>
                <w:highlight w:val="none"/>
                <w:lang w:val="en-US" w:eastAsia="zh-CN"/>
              </w:rPr>
              <w:t>1</w:t>
            </w:r>
            <w:r>
              <w:rPr>
                <w:rFonts w:hint="eastAsia" w:ascii="新宋体" w:hAnsi="新宋体" w:eastAsia="新宋体" w:cs="新宋体"/>
                <w:color w:val="auto"/>
                <w:kern w:val="0"/>
                <w:sz w:val="22"/>
                <w:szCs w:val="22"/>
                <w:highlight w:val="none"/>
                <w:lang w:eastAsia="zh-CN"/>
              </w:rPr>
              <w:t>分，0.05（含）件/万张以上的不得分。</w:t>
            </w:r>
          </w:p>
          <w:p>
            <w:pPr>
              <w:widowControl/>
              <w:spacing w:line="240" w:lineRule="auto"/>
              <w:jc w:val="left"/>
              <w:rPr>
                <w:rFonts w:hint="eastAsia" w:ascii="新宋体" w:hAnsi="新宋体" w:eastAsia="新宋体" w:cs="新宋体"/>
                <w:color w:val="auto"/>
                <w:kern w:val="0"/>
                <w:sz w:val="22"/>
                <w:szCs w:val="22"/>
                <w:highlight w:val="none"/>
                <w:lang w:val="en-US" w:eastAsia="zh-CN"/>
              </w:rPr>
            </w:pPr>
            <w:r>
              <w:rPr>
                <w:rFonts w:hint="eastAsia" w:ascii="宋体" w:hAnsi="宋体"/>
                <w:color w:val="auto"/>
                <w:sz w:val="22"/>
                <w:szCs w:val="22"/>
                <w:highlight w:val="none"/>
              </w:rPr>
              <w:t>提供中国银行保险监督管理委员会官网发布的最近季度（</w:t>
            </w:r>
            <w:r>
              <w:rPr>
                <w:rFonts w:hint="eastAsia" w:ascii="宋体" w:hAnsi="宋体"/>
                <w:color w:val="auto"/>
                <w:sz w:val="22"/>
                <w:szCs w:val="22"/>
                <w:highlight w:val="none"/>
                <w:lang w:val="en-US" w:eastAsia="zh-CN"/>
              </w:rPr>
              <w:t>最近</w:t>
            </w:r>
            <w:r>
              <w:rPr>
                <w:rFonts w:hint="eastAsia" w:ascii="宋体" w:hAnsi="宋体"/>
                <w:color w:val="auto"/>
                <w:sz w:val="22"/>
                <w:szCs w:val="22"/>
                <w:highlight w:val="none"/>
              </w:rPr>
              <w:t>年度第四季度）保险消费投诉情况通报截图和附件内容截图佐证，否则专家可以不予认可。</w:t>
            </w:r>
          </w:p>
        </w:tc>
        <w:tc>
          <w:tcPr>
            <w:tcW w:w="486"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新宋体" w:hAnsi="新宋体" w:eastAsia="新宋体" w:cs="新宋体"/>
                <w:color w:val="auto"/>
                <w:kern w:val="0"/>
                <w:sz w:val="22"/>
                <w:szCs w:val="22"/>
                <w:highlight w:val="none"/>
                <w:lang w:val="en-US" w:eastAsia="zh-CN"/>
              </w:rPr>
            </w:pPr>
            <w:r>
              <w:rPr>
                <w:rFonts w:hint="eastAsia" w:ascii="新宋体" w:hAnsi="新宋体" w:eastAsia="新宋体" w:cs="新宋体"/>
                <w:color w:val="auto"/>
                <w:kern w:val="0"/>
                <w:sz w:val="22"/>
                <w:szCs w:val="22"/>
                <w:highlight w:val="none"/>
                <w:lang w:val="en-US" w:eastAsia="zh-CN"/>
              </w:rPr>
              <w:t>7</w:t>
            </w:r>
            <w:r>
              <w:rPr>
                <w:rFonts w:hint="eastAsia" w:ascii="新宋体" w:hAnsi="新宋体" w:eastAsia="新宋体" w:cs="新宋体"/>
                <w:color w:val="auto"/>
                <w:kern w:val="0"/>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67" w:hRule="atLeast"/>
        </w:trPr>
        <w:tc>
          <w:tcPr>
            <w:tcW w:w="415" w:type="pct"/>
            <w:vMerge w:val="restart"/>
            <w:tcBorders>
              <w:top w:val="single" w:color="auto" w:sz="4" w:space="0"/>
              <w:left w:val="single" w:color="auto" w:sz="4" w:space="0"/>
              <w:right w:val="single" w:color="auto" w:sz="4" w:space="0"/>
            </w:tcBorders>
            <w:noWrap w:val="0"/>
            <w:vAlign w:val="center"/>
          </w:tcPr>
          <w:p>
            <w:pPr>
              <w:widowControl/>
              <w:spacing w:line="240" w:lineRule="auto"/>
              <w:jc w:val="center"/>
              <w:rPr>
                <w:rFonts w:hint="eastAsia" w:ascii="新宋体" w:hAnsi="新宋体" w:eastAsia="新宋体" w:cs="新宋体"/>
                <w:color w:val="auto"/>
                <w:kern w:val="0"/>
                <w:sz w:val="22"/>
                <w:szCs w:val="22"/>
                <w:highlight w:val="none"/>
                <w:lang w:val="en-US" w:eastAsia="zh-CN"/>
              </w:rPr>
            </w:pPr>
            <w:r>
              <w:rPr>
                <w:rFonts w:hint="eastAsia" w:ascii="新宋体" w:hAnsi="新宋体" w:eastAsia="新宋体" w:cs="新宋体"/>
                <w:color w:val="auto"/>
                <w:kern w:val="0"/>
                <w:sz w:val="22"/>
                <w:szCs w:val="22"/>
                <w:highlight w:val="none"/>
                <w:lang w:val="en-US" w:eastAsia="zh-CN"/>
              </w:rPr>
              <w:t>3</w:t>
            </w:r>
          </w:p>
        </w:tc>
        <w:tc>
          <w:tcPr>
            <w:tcW w:w="780" w:type="pct"/>
            <w:vMerge w:val="restart"/>
            <w:tcBorders>
              <w:top w:val="single" w:color="auto" w:sz="4" w:space="0"/>
              <w:left w:val="single" w:color="auto" w:sz="4" w:space="0"/>
              <w:right w:val="single" w:color="auto" w:sz="4" w:space="0"/>
            </w:tcBorders>
            <w:noWrap w:val="0"/>
            <w:vAlign w:val="center"/>
          </w:tcPr>
          <w:p>
            <w:pPr>
              <w:widowControl/>
              <w:spacing w:line="240" w:lineRule="auto"/>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服务方案</w:t>
            </w:r>
          </w:p>
        </w:tc>
        <w:tc>
          <w:tcPr>
            <w:tcW w:w="3318"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rPr>
                <w:rFonts w:hint="eastAsia" w:ascii="新宋体" w:hAnsi="新宋体" w:eastAsia="新宋体" w:cs="新宋体"/>
                <w:color w:val="auto"/>
                <w:kern w:val="0"/>
                <w:sz w:val="22"/>
                <w:szCs w:val="22"/>
                <w:highlight w:val="none"/>
                <w:lang w:eastAsia="zh-CN"/>
              </w:rPr>
            </w:pPr>
            <w:r>
              <w:rPr>
                <w:rFonts w:hint="eastAsia" w:ascii="新宋体" w:hAnsi="新宋体" w:eastAsia="新宋体" w:cs="新宋体"/>
                <w:color w:val="auto"/>
                <w:kern w:val="0"/>
                <w:sz w:val="22"/>
                <w:szCs w:val="22"/>
                <w:highlight w:val="none"/>
              </w:rPr>
              <w:t>根据投标供应商</w:t>
            </w:r>
            <w:r>
              <w:rPr>
                <w:rFonts w:hint="eastAsia" w:ascii="新宋体" w:hAnsi="新宋体" w:eastAsia="新宋体" w:cs="新宋体"/>
                <w:color w:val="auto"/>
                <w:kern w:val="0"/>
                <w:sz w:val="22"/>
                <w:szCs w:val="22"/>
                <w:highlight w:val="none"/>
                <w:lang w:val="en-US" w:eastAsia="zh-CN"/>
              </w:rPr>
              <w:t>提供的</w:t>
            </w:r>
            <w:r>
              <w:rPr>
                <w:rFonts w:hint="eastAsia" w:ascii="新宋体" w:hAnsi="新宋体" w:eastAsia="新宋体" w:cs="新宋体"/>
                <w:color w:val="auto"/>
                <w:kern w:val="0"/>
                <w:sz w:val="22"/>
                <w:szCs w:val="22"/>
                <w:highlight w:val="none"/>
              </w:rPr>
              <w:t>服务方案中承保服务流程的清晰性、可操作性等内容打分</w:t>
            </w:r>
            <w:r>
              <w:rPr>
                <w:rFonts w:hint="eastAsia" w:ascii="新宋体" w:hAnsi="新宋体" w:eastAsia="新宋体" w:cs="新宋体"/>
                <w:color w:val="auto"/>
                <w:kern w:val="0"/>
                <w:sz w:val="22"/>
                <w:szCs w:val="22"/>
                <w:highlight w:val="none"/>
                <w:lang w:eastAsia="zh-CN"/>
              </w:rPr>
              <w:t>。</w:t>
            </w:r>
          </w:p>
          <w:p>
            <w:pPr>
              <w:widowControl/>
              <w:spacing w:line="240" w:lineRule="auto"/>
              <w:jc w:val="left"/>
              <w:rPr>
                <w:rFonts w:hint="default" w:ascii="新宋体" w:hAnsi="新宋体" w:eastAsia="新宋体" w:cs="新宋体"/>
                <w:color w:val="auto"/>
                <w:kern w:val="0"/>
                <w:sz w:val="22"/>
                <w:szCs w:val="22"/>
                <w:highlight w:val="none"/>
                <w:lang w:val="en-US" w:eastAsia="zh-CN"/>
              </w:rPr>
            </w:pPr>
            <w:r>
              <w:rPr>
                <w:rFonts w:hint="eastAsia" w:ascii="新宋体" w:hAnsi="新宋体" w:eastAsia="新宋体" w:cs="新宋体"/>
                <w:color w:val="auto"/>
                <w:kern w:val="0"/>
                <w:sz w:val="22"/>
                <w:szCs w:val="22"/>
                <w:highlight w:val="none"/>
                <w:lang w:val="en-US" w:eastAsia="zh-CN"/>
              </w:rPr>
              <w:t>A档8分，B档5分,C档2分。未提供本项内容的不得分。</w:t>
            </w:r>
          </w:p>
        </w:tc>
        <w:tc>
          <w:tcPr>
            <w:tcW w:w="486"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lang w:val="en-US" w:eastAsia="zh-CN"/>
              </w:rPr>
              <w:t>8</w:t>
            </w:r>
            <w:r>
              <w:rPr>
                <w:rFonts w:hint="eastAsia" w:ascii="新宋体" w:hAnsi="新宋体" w:eastAsia="新宋体" w:cs="新宋体"/>
                <w:color w:val="auto"/>
                <w:kern w:val="0"/>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039" w:hRule="atLeast"/>
        </w:trPr>
        <w:tc>
          <w:tcPr>
            <w:tcW w:w="415" w:type="pct"/>
            <w:vMerge w:val="continue"/>
            <w:tcBorders>
              <w:left w:val="single" w:color="auto" w:sz="4" w:space="0"/>
              <w:right w:val="single" w:color="auto" w:sz="4" w:space="0"/>
            </w:tcBorders>
            <w:noWrap w:val="0"/>
            <w:vAlign w:val="center"/>
          </w:tcPr>
          <w:p>
            <w:pPr>
              <w:widowControl/>
              <w:spacing w:line="240" w:lineRule="auto"/>
              <w:jc w:val="center"/>
              <w:rPr>
                <w:rFonts w:ascii="新宋体" w:hAnsi="新宋体" w:eastAsia="新宋体" w:cs="新宋体"/>
                <w:color w:val="auto"/>
                <w:kern w:val="0"/>
                <w:sz w:val="22"/>
                <w:szCs w:val="22"/>
                <w:highlight w:val="none"/>
              </w:rPr>
            </w:pPr>
          </w:p>
        </w:tc>
        <w:tc>
          <w:tcPr>
            <w:tcW w:w="780" w:type="pct"/>
            <w:vMerge w:val="continue"/>
            <w:tcBorders>
              <w:left w:val="single" w:color="auto" w:sz="4" w:space="0"/>
              <w:right w:val="single" w:color="auto" w:sz="4" w:space="0"/>
            </w:tcBorders>
            <w:noWrap w:val="0"/>
            <w:vAlign w:val="center"/>
          </w:tcPr>
          <w:p>
            <w:pPr>
              <w:widowControl/>
              <w:spacing w:line="240" w:lineRule="auto"/>
              <w:jc w:val="center"/>
              <w:rPr>
                <w:rFonts w:hint="eastAsia" w:ascii="新宋体" w:hAnsi="新宋体" w:eastAsia="新宋体" w:cs="新宋体"/>
                <w:color w:val="auto"/>
                <w:kern w:val="0"/>
                <w:sz w:val="22"/>
                <w:szCs w:val="22"/>
                <w:highlight w:val="none"/>
                <w:lang w:val="en-US" w:eastAsia="zh-CN"/>
              </w:rPr>
            </w:pPr>
          </w:p>
        </w:tc>
        <w:tc>
          <w:tcPr>
            <w:tcW w:w="3318"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rPr>
                <w:rFonts w:hint="eastAsia" w:ascii="新宋体" w:hAnsi="新宋体" w:eastAsia="新宋体" w:cs="新宋体"/>
                <w:color w:val="auto"/>
                <w:kern w:val="0"/>
                <w:sz w:val="22"/>
                <w:szCs w:val="22"/>
                <w:highlight w:val="none"/>
                <w:lang w:val="en-US" w:eastAsia="zh-CN"/>
              </w:rPr>
            </w:pPr>
            <w:r>
              <w:rPr>
                <w:rFonts w:hint="eastAsia" w:ascii="新宋体" w:hAnsi="新宋体" w:eastAsia="新宋体" w:cs="新宋体"/>
                <w:color w:val="auto"/>
                <w:kern w:val="0"/>
                <w:sz w:val="22"/>
                <w:szCs w:val="22"/>
                <w:highlight w:val="none"/>
                <w:lang w:val="en-US" w:eastAsia="zh-CN"/>
              </w:rPr>
              <w:t>根据</w:t>
            </w:r>
            <w:r>
              <w:rPr>
                <w:rFonts w:hint="eastAsia" w:ascii="新宋体" w:hAnsi="新宋体" w:eastAsia="新宋体" w:cs="新宋体"/>
                <w:color w:val="auto"/>
                <w:kern w:val="0"/>
                <w:sz w:val="22"/>
                <w:szCs w:val="22"/>
                <w:highlight w:val="none"/>
              </w:rPr>
              <w:t>投标供应商</w:t>
            </w:r>
            <w:r>
              <w:rPr>
                <w:rFonts w:hint="eastAsia" w:ascii="新宋体" w:hAnsi="新宋体" w:eastAsia="新宋体" w:cs="新宋体"/>
                <w:color w:val="auto"/>
                <w:kern w:val="0"/>
                <w:sz w:val="22"/>
                <w:szCs w:val="22"/>
                <w:highlight w:val="none"/>
                <w:lang w:val="en-US" w:eastAsia="zh-CN"/>
              </w:rPr>
              <w:t>提供的服务方案中理赔服务流程的针对性、清晰性、可操作性、手续烦简度、理赔承诺的明确性等内容打分。</w:t>
            </w:r>
          </w:p>
          <w:p>
            <w:pPr>
              <w:widowControl/>
              <w:spacing w:line="240" w:lineRule="auto"/>
              <w:jc w:val="left"/>
              <w:rPr>
                <w:rFonts w:hint="eastAsia" w:ascii="新宋体" w:hAnsi="新宋体" w:eastAsia="新宋体" w:cs="新宋体"/>
                <w:color w:val="auto"/>
                <w:kern w:val="0"/>
                <w:sz w:val="22"/>
                <w:szCs w:val="22"/>
                <w:highlight w:val="none"/>
                <w:lang w:val="en-US" w:eastAsia="zh-CN"/>
              </w:rPr>
            </w:pPr>
            <w:r>
              <w:rPr>
                <w:rFonts w:hint="eastAsia" w:ascii="新宋体" w:hAnsi="新宋体" w:eastAsia="新宋体" w:cs="新宋体"/>
                <w:color w:val="auto"/>
                <w:kern w:val="0"/>
                <w:sz w:val="22"/>
                <w:szCs w:val="22"/>
                <w:highlight w:val="none"/>
                <w:lang w:val="en-US" w:eastAsia="zh-CN"/>
              </w:rPr>
              <w:t>A档8分，B档5分,C档2分。未提供本项内容的不得分。</w:t>
            </w:r>
          </w:p>
        </w:tc>
        <w:tc>
          <w:tcPr>
            <w:tcW w:w="486"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新宋体" w:hAnsi="新宋体" w:eastAsia="新宋体" w:cs="新宋体"/>
                <w:color w:val="auto"/>
                <w:kern w:val="0"/>
                <w:sz w:val="22"/>
                <w:szCs w:val="22"/>
                <w:highlight w:val="none"/>
                <w:lang w:val="en-US" w:eastAsia="zh-CN"/>
              </w:rPr>
            </w:pPr>
            <w:r>
              <w:rPr>
                <w:rFonts w:hint="eastAsia" w:ascii="新宋体" w:hAnsi="新宋体" w:eastAsia="新宋体" w:cs="新宋体"/>
                <w:color w:val="auto"/>
                <w:kern w:val="0"/>
                <w:sz w:val="22"/>
                <w:szCs w:val="22"/>
                <w:highlight w:val="none"/>
                <w:lang w:val="en-US" w:eastAsia="zh-CN"/>
              </w:rPr>
              <w:t>8</w:t>
            </w:r>
            <w:r>
              <w:rPr>
                <w:rFonts w:hint="eastAsia" w:ascii="新宋体" w:hAnsi="新宋体" w:eastAsia="新宋体" w:cs="新宋体"/>
                <w:color w:val="auto"/>
                <w:kern w:val="0"/>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67" w:hRule="atLeast"/>
        </w:trPr>
        <w:tc>
          <w:tcPr>
            <w:tcW w:w="415" w:type="pct"/>
            <w:vMerge w:val="continue"/>
            <w:tcBorders>
              <w:left w:val="single" w:color="auto" w:sz="4" w:space="0"/>
              <w:right w:val="single" w:color="auto" w:sz="4" w:space="0"/>
            </w:tcBorders>
            <w:noWrap w:val="0"/>
            <w:vAlign w:val="center"/>
          </w:tcPr>
          <w:p>
            <w:pPr>
              <w:widowControl/>
              <w:spacing w:line="240" w:lineRule="auto"/>
              <w:jc w:val="center"/>
              <w:rPr>
                <w:rFonts w:ascii="新宋体" w:hAnsi="新宋体" w:eastAsia="新宋体" w:cs="新宋体"/>
                <w:color w:val="auto"/>
                <w:kern w:val="0"/>
                <w:sz w:val="22"/>
                <w:szCs w:val="22"/>
                <w:highlight w:val="none"/>
              </w:rPr>
            </w:pPr>
          </w:p>
        </w:tc>
        <w:tc>
          <w:tcPr>
            <w:tcW w:w="780" w:type="pct"/>
            <w:vMerge w:val="continue"/>
            <w:tcBorders>
              <w:left w:val="single" w:color="auto" w:sz="4" w:space="0"/>
              <w:right w:val="single" w:color="auto" w:sz="4" w:space="0"/>
            </w:tcBorders>
            <w:noWrap w:val="0"/>
            <w:vAlign w:val="center"/>
          </w:tcPr>
          <w:p>
            <w:pPr>
              <w:widowControl/>
              <w:spacing w:line="240" w:lineRule="auto"/>
              <w:jc w:val="center"/>
              <w:rPr>
                <w:rFonts w:ascii="新宋体" w:hAnsi="新宋体" w:eastAsia="新宋体" w:cs="新宋体"/>
                <w:color w:val="auto"/>
                <w:kern w:val="0"/>
                <w:sz w:val="22"/>
                <w:szCs w:val="22"/>
                <w:highlight w:val="none"/>
              </w:rPr>
            </w:pPr>
          </w:p>
        </w:tc>
        <w:tc>
          <w:tcPr>
            <w:tcW w:w="3318"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lang w:val="en-US" w:eastAsia="zh-CN"/>
              </w:rPr>
              <w:t>根据</w:t>
            </w:r>
            <w:r>
              <w:rPr>
                <w:rFonts w:hint="eastAsia" w:ascii="新宋体" w:hAnsi="新宋体" w:eastAsia="新宋体" w:cs="新宋体"/>
                <w:color w:val="auto"/>
                <w:kern w:val="0"/>
                <w:sz w:val="22"/>
                <w:szCs w:val="22"/>
                <w:highlight w:val="none"/>
              </w:rPr>
              <w:t>投标供应商</w:t>
            </w:r>
            <w:r>
              <w:rPr>
                <w:rFonts w:hint="eastAsia" w:ascii="新宋体" w:hAnsi="新宋体" w:eastAsia="新宋体" w:cs="新宋体"/>
                <w:color w:val="auto"/>
                <w:kern w:val="0"/>
                <w:sz w:val="22"/>
                <w:szCs w:val="22"/>
                <w:highlight w:val="none"/>
                <w:lang w:val="en-US" w:eastAsia="zh-CN"/>
              </w:rPr>
              <w:t>提供的服务方案中理赔时效程度、需求响应速度等内容打分。A档8分，B档5分,C档2分。未提供本项内容的不得分。</w:t>
            </w:r>
          </w:p>
        </w:tc>
        <w:tc>
          <w:tcPr>
            <w:tcW w:w="486"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lang w:val="en-US" w:eastAsia="zh-CN"/>
              </w:rPr>
              <w:t>8</w:t>
            </w:r>
            <w:r>
              <w:rPr>
                <w:rFonts w:hint="eastAsia" w:ascii="新宋体" w:hAnsi="新宋体" w:eastAsia="新宋体" w:cs="新宋体"/>
                <w:color w:val="auto"/>
                <w:kern w:val="0"/>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67" w:hRule="atLeast"/>
        </w:trPr>
        <w:tc>
          <w:tcPr>
            <w:tcW w:w="415" w:type="pct"/>
            <w:vMerge w:val="continue"/>
            <w:tcBorders>
              <w:left w:val="single" w:color="auto" w:sz="4" w:space="0"/>
              <w:bottom w:val="single" w:color="auto" w:sz="4" w:space="0"/>
              <w:right w:val="single" w:color="auto" w:sz="4" w:space="0"/>
            </w:tcBorders>
            <w:noWrap w:val="0"/>
            <w:vAlign w:val="center"/>
          </w:tcPr>
          <w:p>
            <w:pPr>
              <w:widowControl/>
              <w:spacing w:line="240" w:lineRule="auto"/>
              <w:jc w:val="center"/>
              <w:rPr>
                <w:rFonts w:hint="eastAsia" w:ascii="新宋体" w:hAnsi="新宋体" w:eastAsia="新宋体" w:cs="新宋体"/>
                <w:color w:val="auto"/>
                <w:kern w:val="0"/>
                <w:sz w:val="22"/>
                <w:szCs w:val="22"/>
                <w:highlight w:val="none"/>
              </w:rPr>
            </w:pPr>
          </w:p>
        </w:tc>
        <w:tc>
          <w:tcPr>
            <w:tcW w:w="780" w:type="pct"/>
            <w:vMerge w:val="continue"/>
            <w:tcBorders>
              <w:left w:val="single" w:color="auto" w:sz="4" w:space="0"/>
              <w:bottom w:val="single" w:color="auto" w:sz="4" w:space="0"/>
              <w:right w:val="single" w:color="auto" w:sz="4" w:space="0"/>
            </w:tcBorders>
            <w:noWrap w:val="0"/>
            <w:vAlign w:val="center"/>
          </w:tcPr>
          <w:p>
            <w:pPr>
              <w:widowControl/>
              <w:spacing w:line="240" w:lineRule="auto"/>
              <w:jc w:val="center"/>
              <w:rPr>
                <w:rFonts w:ascii="新宋体" w:hAnsi="新宋体" w:eastAsia="新宋体" w:cs="新宋体"/>
                <w:color w:val="auto"/>
                <w:kern w:val="0"/>
                <w:sz w:val="22"/>
                <w:szCs w:val="22"/>
                <w:highlight w:val="none"/>
              </w:rPr>
            </w:pPr>
          </w:p>
        </w:tc>
        <w:tc>
          <w:tcPr>
            <w:tcW w:w="3318"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rPr>
                <w:rFonts w:hint="eastAsia" w:ascii="新宋体" w:hAnsi="新宋体" w:eastAsia="新宋体" w:cs="新宋体"/>
                <w:color w:val="auto"/>
                <w:kern w:val="0"/>
                <w:sz w:val="22"/>
                <w:szCs w:val="22"/>
                <w:highlight w:val="none"/>
                <w:lang w:val="en-US" w:eastAsia="zh-CN"/>
              </w:rPr>
            </w:pPr>
            <w:r>
              <w:rPr>
                <w:rFonts w:hint="eastAsia" w:ascii="新宋体" w:hAnsi="新宋体" w:eastAsia="新宋体" w:cs="新宋体"/>
                <w:color w:val="auto"/>
                <w:kern w:val="0"/>
                <w:sz w:val="22"/>
                <w:szCs w:val="22"/>
                <w:highlight w:val="none"/>
                <w:lang w:val="en-US" w:eastAsia="zh-CN"/>
              </w:rPr>
              <w:t>根据</w:t>
            </w:r>
            <w:r>
              <w:rPr>
                <w:rFonts w:hint="eastAsia" w:ascii="新宋体" w:hAnsi="新宋体" w:eastAsia="新宋体" w:cs="新宋体"/>
                <w:color w:val="auto"/>
                <w:kern w:val="0"/>
                <w:sz w:val="22"/>
                <w:szCs w:val="22"/>
                <w:highlight w:val="none"/>
              </w:rPr>
              <w:t>投标供应商</w:t>
            </w:r>
            <w:r>
              <w:rPr>
                <w:rFonts w:hint="eastAsia" w:ascii="新宋体" w:hAnsi="新宋体" w:eastAsia="新宋体" w:cs="新宋体"/>
                <w:color w:val="auto"/>
                <w:kern w:val="0"/>
                <w:sz w:val="22"/>
                <w:szCs w:val="22"/>
                <w:highlight w:val="none"/>
                <w:lang w:val="en-US" w:eastAsia="zh-CN"/>
              </w:rPr>
              <w:t>提供的</w:t>
            </w:r>
            <w:r>
              <w:rPr>
                <w:rFonts w:hint="eastAsia" w:ascii="新宋体" w:hAnsi="新宋体" w:eastAsia="新宋体" w:cs="新宋体"/>
                <w:color w:val="auto"/>
                <w:kern w:val="0"/>
                <w:sz w:val="22"/>
                <w:szCs w:val="22"/>
                <w:highlight w:val="none"/>
              </w:rPr>
              <w:t>服务方案中应急重大案件处理方案的完整性、可实施性等内容打分</w:t>
            </w:r>
            <w:r>
              <w:rPr>
                <w:rFonts w:hint="eastAsia" w:ascii="新宋体" w:hAnsi="新宋体" w:eastAsia="新宋体" w:cs="新宋体"/>
                <w:color w:val="auto"/>
                <w:kern w:val="0"/>
                <w:sz w:val="22"/>
                <w:szCs w:val="22"/>
                <w:highlight w:val="none"/>
                <w:lang w:eastAsia="zh-CN"/>
              </w:rPr>
              <w:t>。</w:t>
            </w:r>
            <w:r>
              <w:rPr>
                <w:rFonts w:hint="eastAsia" w:ascii="新宋体" w:hAnsi="新宋体" w:eastAsia="新宋体" w:cs="新宋体"/>
                <w:color w:val="auto"/>
                <w:kern w:val="0"/>
                <w:sz w:val="22"/>
                <w:szCs w:val="22"/>
                <w:highlight w:val="none"/>
                <w:lang w:val="en-US" w:eastAsia="zh-CN"/>
              </w:rPr>
              <w:t>A档8分，B档5分,C档2分。未提供本项内容的不得分。</w:t>
            </w:r>
          </w:p>
        </w:tc>
        <w:tc>
          <w:tcPr>
            <w:tcW w:w="486"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lang w:val="en-US" w:eastAsia="zh-CN"/>
              </w:rPr>
              <w:t>8</w:t>
            </w:r>
            <w:r>
              <w:rPr>
                <w:rFonts w:hint="eastAsia" w:ascii="新宋体" w:hAnsi="新宋体" w:eastAsia="新宋体" w:cs="新宋体"/>
                <w:color w:val="auto"/>
                <w:kern w:val="0"/>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67" w:hRule="atLeast"/>
        </w:trPr>
        <w:tc>
          <w:tcPr>
            <w:tcW w:w="415"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新宋体" w:hAnsi="新宋体" w:eastAsia="新宋体" w:cs="新宋体"/>
                <w:color w:val="auto"/>
                <w:kern w:val="0"/>
                <w:sz w:val="22"/>
                <w:szCs w:val="22"/>
                <w:highlight w:val="none"/>
                <w:lang w:eastAsia="zh-CN"/>
              </w:rPr>
            </w:pPr>
            <w:r>
              <w:rPr>
                <w:rFonts w:hint="eastAsia" w:ascii="新宋体" w:hAnsi="新宋体" w:eastAsia="新宋体" w:cs="新宋体"/>
                <w:color w:val="auto"/>
                <w:kern w:val="0"/>
                <w:sz w:val="22"/>
                <w:szCs w:val="22"/>
                <w:highlight w:val="none"/>
                <w:lang w:val="en-US" w:eastAsia="zh-CN"/>
              </w:rPr>
              <w:t>4</w:t>
            </w:r>
          </w:p>
        </w:tc>
        <w:tc>
          <w:tcPr>
            <w:tcW w:w="780"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新宋体" w:hAnsi="新宋体" w:eastAsia="新宋体" w:cs="新宋体"/>
                <w:color w:val="auto"/>
                <w:kern w:val="0"/>
                <w:sz w:val="22"/>
                <w:szCs w:val="22"/>
                <w:highlight w:val="none"/>
                <w:lang w:val="en-US" w:eastAsia="zh-CN" w:bidi="ar-SA"/>
              </w:rPr>
            </w:pPr>
            <w:r>
              <w:rPr>
                <w:rFonts w:hint="eastAsia" w:ascii="新宋体" w:hAnsi="新宋体" w:eastAsia="新宋体" w:cs="新宋体"/>
                <w:color w:val="auto"/>
                <w:kern w:val="0"/>
                <w:sz w:val="22"/>
                <w:szCs w:val="22"/>
                <w:highlight w:val="none"/>
              </w:rPr>
              <w:t>服务团队风险管控能力</w:t>
            </w:r>
          </w:p>
        </w:tc>
        <w:tc>
          <w:tcPr>
            <w:tcW w:w="3318"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rPr>
                <w:rFonts w:ascii="新宋体" w:hAnsi="新宋体" w:eastAsia="新宋体" w:cs="新宋体"/>
                <w:color w:val="auto"/>
                <w:kern w:val="0"/>
                <w:sz w:val="22"/>
                <w:szCs w:val="22"/>
                <w:highlight w:val="none"/>
                <w:lang w:val="en-US" w:eastAsia="zh-CN" w:bidi="ar-SA"/>
              </w:rPr>
            </w:pPr>
            <w:r>
              <w:rPr>
                <w:rFonts w:hint="eastAsia" w:ascii="新宋体" w:hAnsi="新宋体" w:eastAsia="新宋体" w:cs="新宋体"/>
                <w:color w:val="auto"/>
                <w:kern w:val="0"/>
                <w:sz w:val="22"/>
                <w:szCs w:val="22"/>
                <w:highlight w:val="none"/>
              </w:rPr>
              <w:t>项目服务团队的服务人员中，具有人力资源和社会保障部门（含原人事、劳动部门）认证的中级（含）以上职称达1</w:t>
            </w:r>
            <w:r>
              <w:rPr>
                <w:rFonts w:hint="eastAsia" w:ascii="新宋体" w:hAnsi="新宋体" w:eastAsia="新宋体" w:cs="新宋体"/>
                <w:color w:val="auto"/>
                <w:kern w:val="0"/>
                <w:sz w:val="22"/>
                <w:szCs w:val="22"/>
                <w:highlight w:val="none"/>
                <w:lang w:val="en-US" w:eastAsia="zh-CN"/>
              </w:rPr>
              <w:t>2</w:t>
            </w:r>
            <w:r>
              <w:rPr>
                <w:rFonts w:hint="eastAsia" w:ascii="新宋体" w:hAnsi="新宋体" w:eastAsia="新宋体" w:cs="新宋体"/>
                <w:color w:val="auto"/>
                <w:kern w:val="0"/>
                <w:sz w:val="22"/>
                <w:szCs w:val="22"/>
                <w:highlight w:val="none"/>
              </w:rPr>
              <w:t>人（含）以上的，得</w:t>
            </w:r>
            <w:r>
              <w:rPr>
                <w:rFonts w:hint="eastAsia" w:ascii="新宋体" w:hAnsi="新宋体" w:eastAsia="新宋体" w:cs="新宋体"/>
                <w:color w:val="auto"/>
                <w:kern w:val="0"/>
                <w:sz w:val="22"/>
                <w:szCs w:val="22"/>
                <w:highlight w:val="none"/>
                <w:lang w:val="en-US" w:eastAsia="zh-CN"/>
              </w:rPr>
              <w:t>14</w:t>
            </w:r>
            <w:r>
              <w:rPr>
                <w:rFonts w:hint="eastAsia" w:ascii="新宋体" w:hAnsi="新宋体" w:eastAsia="新宋体" w:cs="新宋体"/>
                <w:color w:val="auto"/>
                <w:kern w:val="0"/>
                <w:sz w:val="22"/>
                <w:szCs w:val="22"/>
                <w:highlight w:val="none"/>
              </w:rPr>
              <w:t>分，每缺少1人扣除</w:t>
            </w:r>
            <w:r>
              <w:rPr>
                <w:rFonts w:hint="eastAsia" w:ascii="新宋体" w:hAnsi="新宋体" w:eastAsia="新宋体" w:cs="新宋体"/>
                <w:color w:val="auto"/>
                <w:kern w:val="0"/>
                <w:sz w:val="22"/>
                <w:szCs w:val="22"/>
                <w:highlight w:val="none"/>
                <w:lang w:val="en-US" w:eastAsia="zh-CN"/>
              </w:rPr>
              <w:t>2</w:t>
            </w:r>
            <w:r>
              <w:rPr>
                <w:rFonts w:hint="eastAsia" w:ascii="新宋体" w:hAnsi="新宋体" w:eastAsia="新宋体" w:cs="新宋体"/>
                <w:color w:val="auto"/>
                <w:kern w:val="0"/>
                <w:sz w:val="22"/>
                <w:szCs w:val="22"/>
                <w:highlight w:val="none"/>
              </w:rPr>
              <w:t>分，最低得0分。（提供①职称证书复印件和②任命文件（或社保缴纳证明）作为证明材料，未按要求提供的不予认可）。</w:t>
            </w:r>
          </w:p>
        </w:tc>
        <w:tc>
          <w:tcPr>
            <w:tcW w:w="486"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default" w:ascii="新宋体" w:hAnsi="新宋体" w:eastAsia="新宋体" w:cs="新宋体"/>
                <w:color w:val="auto"/>
                <w:kern w:val="0"/>
                <w:sz w:val="22"/>
                <w:szCs w:val="22"/>
                <w:highlight w:val="none"/>
                <w:lang w:val="en-US" w:eastAsia="zh-CN" w:bidi="ar-SA"/>
              </w:rPr>
            </w:pPr>
            <w:r>
              <w:rPr>
                <w:rFonts w:hint="eastAsia" w:ascii="新宋体" w:hAnsi="新宋体" w:eastAsia="新宋体" w:cs="新宋体"/>
                <w:color w:val="auto"/>
                <w:kern w:val="0"/>
                <w:sz w:val="22"/>
                <w:szCs w:val="22"/>
                <w:highlight w:val="none"/>
                <w:lang w:val="en-US" w:eastAsia="zh-CN"/>
              </w:rPr>
              <w:t>14</w:t>
            </w:r>
            <w:r>
              <w:rPr>
                <w:rFonts w:hint="eastAsia" w:ascii="新宋体" w:hAnsi="新宋体" w:eastAsia="新宋体" w:cs="新宋体"/>
                <w:color w:val="auto"/>
                <w:kern w:val="0"/>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67" w:hRule="atLeast"/>
        </w:trPr>
        <w:tc>
          <w:tcPr>
            <w:tcW w:w="415"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新宋体" w:hAnsi="新宋体" w:eastAsia="新宋体" w:cs="新宋体"/>
                <w:color w:val="auto"/>
                <w:kern w:val="0"/>
                <w:sz w:val="22"/>
                <w:szCs w:val="22"/>
                <w:highlight w:val="none"/>
                <w:lang w:eastAsia="zh-CN"/>
              </w:rPr>
            </w:pPr>
            <w:r>
              <w:rPr>
                <w:rFonts w:hint="eastAsia" w:ascii="新宋体" w:hAnsi="新宋体" w:eastAsia="新宋体" w:cs="新宋体"/>
                <w:color w:val="auto"/>
                <w:kern w:val="0"/>
                <w:sz w:val="22"/>
                <w:szCs w:val="22"/>
                <w:highlight w:val="none"/>
                <w:lang w:val="en-US" w:eastAsia="zh-CN"/>
              </w:rPr>
              <w:t>5</w:t>
            </w:r>
          </w:p>
        </w:tc>
        <w:tc>
          <w:tcPr>
            <w:tcW w:w="780"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供应商总公司的偿付能力数据</w:t>
            </w:r>
          </w:p>
        </w:tc>
        <w:tc>
          <w:tcPr>
            <w:tcW w:w="3318"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rPr>
                <w:rFonts w:hint="eastAsia" w:ascii="新宋体" w:hAnsi="新宋体" w:eastAsia="新宋体" w:cs="新宋体"/>
                <w:color w:val="auto"/>
                <w:kern w:val="0"/>
                <w:sz w:val="22"/>
                <w:szCs w:val="22"/>
                <w:highlight w:val="none"/>
                <w:lang w:val="en-US" w:eastAsia="zh-CN"/>
              </w:rPr>
            </w:pPr>
            <w:r>
              <w:rPr>
                <w:rFonts w:hint="eastAsia" w:ascii="新宋体" w:hAnsi="新宋体" w:eastAsia="新宋体" w:cs="新宋体"/>
                <w:color w:val="auto"/>
                <w:kern w:val="0"/>
                <w:sz w:val="22"/>
                <w:szCs w:val="22"/>
                <w:highlight w:val="none"/>
                <w:lang w:val="en-US" w:eastAsia="zh-CN"/>
              </w:rPr>
              <w:t>供应商所属保险公司（指总公司）综合偿付能力充足率高于200%（含）的，得16分，在150%（含）到200%之间的，得8分，低于150%的，得2分。</w:t>
            </w:r>
          </w:p>
          <w:p>
            <w:pPr>
              <w:widowControl/>
              <w:spacing w:line="240" w:lineRule="auto"/>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证明材料：提供供应商所属保险公司（指总公司）202</w:t>
            </w:r>
            <w:r>
              <w:rPr>
                <w:rFonts w:hint="eastAsia" w:ascii="新宋体" w:hAnsi="新宋体" w:eastAsia="新宋体" w:cs="新宋体"/>
                <w:color w:val="auto"/>
                <w:kern w:val="0"/>
                <w:sz w:val="22"/>
                <w:szCs w:val="22"/>
                <w:highlight w:val="none"/>
                <w:lang w:val="en-US" w:eastAsia="zh-CN"/>
              </w:rPr>
              <w:t>2</w:t>
            </w:r>
            <w:r>
              <w:rPr>
                <w:rFonts w:hint="eastAsia" w:ascii="新宋体" w:hAnsi="新宋体" w:eastAsia="新宋体" w:cs="新宋体"/>
                <w:color w:val="auto"/>
                <w:kern w:val="0"/>
                <w:sz w:val="22"/>
                <w:szCs w:val="22"/>
                <w:highlight w:val="none"/>
              </w:rPr>
              <w:t>年度的财务审计报表，要求能明确体现公司偿付能力充足率，否则本项不得分。</w:t>
            </w:r>
          </w:p>
        </w:tc>
        <w:tc>
          <w:tcPr>
            <w:tcW w:w="486"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新宋体" w:hAnsi="新宋体" w:eastAsia="新宋体" w:cs="新宋体"/>
                <w:color w:val="auto"/>
                <w:kern w:val="0"/>
                <w:sz w:val="22"/>
                <w:szCs w:val="22"/>
                <w:highlight w:val="none"/>
                <w:lang w:eastAsia="zh-CN"/>
              </w:rPr>
            </w:pPr>
            <w:r>
              <w:rPr>
                <w:rFonts w:hint="eastAsia" w:ascii="新宋体" w:hAnsi="新宋体" w:eastAsia="新宋体" w:cs="新宋体"/>
                <w:color w:val="auto"/>
                <w:kern w:val="0"/>
                <w:sz w:val="22"/>
                <w:szCs w:val="22"/>
                <w:highlight w:val="none"/>
                <w:lang w:val="en-US" w:eastAsia="zh-CN"/>
              </w:rPr>
              <w:t>16</w:t>
            </w:r>
            <w:r>
              <w:rPr>
                <w:rFonts w:hint="eastAsia" w:ascii="新宋体" w:hAnsi="新宋体" w:eastAsia="新宋体" w:cs="新宋体"/>
                <w:color w:val="auto"/>
                <w:kern w:val="0"/>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67" w:hRule="atLeast"/>
        </w:trPr>
        <w:tc>
          <w:tcPr>
            <w:tcW w:w="415"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default" w:ascii="新宋体" w:hAnsi="新宋体" w:eastAsia="新宋体" w:cs="新宋体"/>
                <w:color w:val="auto"/>
                <w:kern w:val="0"/>
                <w:sz w:val="22"/>
                <w:szCs w:val="22"/>
                <w:highlight w:val="none"/>
                <w:lang w:val="en-US" w:eastAsia="zh-CN"/>
              </w:rPr>
            </w:pPr>
            <w:r>
              <w:rPr>
                <w:rFonts w:hint="eastAsia" w:ascii="新宋体" w:hAnsi="新宋体" w:eastAsia="新宋体" w:cs="新宋体"/>
                <w:color w:val="auto"/>
                <w:kern w:val="0"/>
                <w:sz w:val="22"/>
                <w:szCs w:val="22"/>
                <w:highlight w:val="none"/>
                <w:lang w:val="en-US" w:eastAsia="zh-CN"/>
              </w:rPr>
              <w:t>6</w:t>
            </w:r>
          </w:p>
        </w:tc>
        <w:tc>
          <w:tcPr>
            <w:tcW w:w="780"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lang w:val="en-US" w:eastAsia="zh-CN"/>
              </w:rPr>
              <w:t>同类</w:t>
            </w:r>
            <w:r>
              <w:rPr>
                <w:rFonts w:hint="eastAsia" w:ascii="新宋体" w:hAnsi="新宋体" w:eastAsia="新宋体" w:cs="新宋体"/>
                <w:color w:val="auto"/>
                <w:kern w:val="0"/>
                <w:sz w:val="22"/>
                <w:szCs w:val="22"/>
                <w:highlight w:val="none"/>
              </w:rPr>
              <w:t>项目承保经验</w:t>
            </w:r>
          </w:p>
        </w:tc>
        <w:tc>
          <w:tcPr>
            <w:tcW w:w="3318" w:type="pc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根据投标供应商或所属分支机构自</w:t>
            </w:r>
            <w:r>
              <w:rPr>
                <w:rFonts w:hint="eastAsia" w:ascii="新宋体" w:hAnsi="新宋体" w:eastAsia="新宋体" w:cs="新宋体"/>
                <w:color w:val="auto"/>
                <w:kern w:val="0"/>
                <w:sz w:val="22"/>
                <w:szCs w:val="22"/>
                <w:highlight w:val="none"/>
                <w:lang w:val="en-US" w:eastAsia="zh-CN"/>
              </w:rPr>
              <w:t>2022</w:t>
            </w:r>
            <w:r>
              <w:rPr>
                <w:rFonts w:hint="eastAsia" w:ascii="新宋体" w:hAnsi="新宋体" w:eastAsia="新宋体" w:cs="新宋体"/>
                <w:color w:val="auto"/>
                <w:kern w:val="0"/>
                <w:sz w:val="22"/>
                <w:szCs w:val="22"/>
                <w:highlight w:val="none"/>
              </w:rPr>
              <w:t>年1月1日以来所承保的与本项目同类型的业绩进行评定，每个提供</w:t>
            </w:r>
            <w:r>
              <w:rPr>
                <w:rFonts w:hint="eastAsia" w:ascii="新宋体" w:hAnsi="新宋体" w:eastAsia="新宋体" w:cs="新宋体"/>
                <w:color w:val="auto"/>
                <w:kern w:val="0"/>
                <w:sz w:val="22"/>
                <w:szCs w:val="22"/>
                <w:highlight w:val="none"/>
                <w:lang w:val="en-US" w:eastAsia="zh-CN"/>
              </w:rPr>
              <w:t>0.5</w:t>
            </w:r>
            <w:r>
              <w:rPr>
                <w:rFonts w:hint="eastAsia" w:ascii="新宋体" w:hAnsi="新宋体" w:eastAsia="新宋体" w:cs="新宋体"/>
                <w:color w:val="auto"/>
                <w:kern w:val="0"/>
                <w:sz w:val="22"/>
                <w:szCs w:val="22"/>
                <w:highlight w:val="none"/>
              </w:rPr>
              <w:t>个得</w:t>
            </w:r>
            <w:r>
              <w:rPr>
                <w:rFonts w:hint="eastAsia" w:ascii="新宋体" w:hAnsi="新宋体" w:eastAsia="新宋体" w:cs="新宋体"/>
                <w:color w:val="auto"/>
                <w:kern w:val="0"/>
                <w:sz w:val="22"/>
                <w:szCs w:val="22"/>
                <w:highlight w:val="none"/>
                <w:lang w:val="en-US" w:eastAsia="zh-CN"/>
              </w:rPr>
              <w:t>1</w:t>
            </w:r>
            <w:r>
              <w:rPr>
                <w:rFonts w:hint="eastAsia" w:ascii="新宋体" w:hAnsi="新宋体" w:eastAsia="新宋体" w:cs="新宋体"/>
                <w:color w:val="auto"/>
                <w:kern w:val="0"/>
                <w:sz w:val="22"/>
                <w:szCs w:val="22"/>
                <w:highlight w:val="none"/>
              </w:rPr>
              <w:t>分，最多得</w:t>
            </w:r>
            <w:r>
              <w:rPr>
                <w:rFonts w:hint="eastAsia" w:ascii="新宋体" w:hAnsi="新宋体" w:eastAsia="新宋体" w:cs="新宋体"/>
                <w:color w:val="auto"/>
                <w:kern w:val="0"/>
                <w:sz w:val="22"/>
                <w:szCs w:val="22"/>
                <w:highlight w:val="none"/>
                <w:lang w:val="en-US" w:eastAsia="zh-CN"/>
              </w:rPr>
              <w:t>1</w:t>
            </w:r>
            <w:r>
              <w:rPr>
                <w:rFonts w:hint="eastAsia" w:ascii="新宋体" w:hAnsi="新宋体" w:eastAsia="新宋体" w:cs="新宋体"/>
                <w:color w:val="auto"/>
                <w:kern w:val="0"/>
                <w:sz w:val="22"/>
                <w:szCs w:val="22"/>
                <w:highlight w:val="none"/>
              </w:rPr>
              <w:t>分；没有的不得分。</w:t>
            </w:r>
          </w:p>
          <w:p>
            <w:pPr>
              <w:widowControl/>
              <w:spacing w:line="240" w:lineRule="auto"/>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有效业绩说明：①提供保险合同或保单（复印件、抄件盖章有效）②同类业绩标准：保险标的为政府公路局等职能部门所管养的县、乡道路。③投标单位须为独家承保或首席承保，未满足上述要求的业绩不予认可。</w:t>
            </w:r>
          </w:p>
        </w:tc>
        <w:tc>
          <w:tcPr>
            <w:tcW w:w="486"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lang w:val="en-US" w:eastAsia="zh-CN"/>
              </w:rPr>
              <w:t>1</w:t>
            </w:r>
            <w:r>
              <w:rPr>
                <w:rFonts w:hint="eastAsia" w:ascii="新宋体" w:hAnsi="新宋体" w:eastAsia="新宋体" w:cs="新宋体"/>
                <w:color w:val="auto"/>
                <w:kern w:val="0"/>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67" w:hRule="atLeast"/>
        </w:trPr>
        <w:tc>
          <w:tcPr>
            <w:tcW w:w="415"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default" w:ascii="新宋体" w:hAnsi="新宋体" w:eastAsia="新宋体" w:cs="新宋体"/>
                <w:color w:val="auto"/>
                <w:kern w:val="0"/>
                <w:sz w:val="22"/>
                <w:szCs w:val="22"/>
                <w:highlight w:val="none"/>
                <w:lang w:val="en-US" w:eastAsia="zh-CN"/>
              </w:rPr>
            </w:pPr>
            <w:r>
              <w:rPr>
                <w:rFonts w:hint="eastAsia" w:ascii="新宋体" w:hAnsi="新宋体" w:eastAsia="新宋体" w:cs="新宋体"/>
                <w:color w:val="auto"/>
                <w:kern w:val="0"/>
                <w:sz w:val="22"/>
                <w:szCs w:val="22"/>
                <w:highlight w:val="none"/>
                <w:lang w:val="en-US" w:eastAsia="zh-CN"/>
              </w:rPr>
              <w:t>7</w:t>
            </w:r>
          </w:p>
        </w:tc>
        <w:tc>
          <w:tcPr>
            <w:tcW w:w="78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新宋体" w:hAnsi="新宋体" w:eastAsia="新宋体" w:cs="新宋体"/>
                <w:color w:val="auto"/>
                <w:kern w:val="0"/>
                <w:sz w:val="22"/>
                <w:szCs w:val="22"/>
                <w:highlight w:val="none"/>
                <w:lang w:val="en-US" w:eastAsia="zh-CN" w:bidi="ar-SA"/>
              </w:rPr>
            </w:pPr>
            <w:r>
              <w:rPr>
                <w:rFonts w:hint="eastAsia" w:ascii="新宋体" w:hAnsi="新宋体" w:eastAsia="新宋体" w:cs="新宋体"/>
                <w:color w:val="auto"/>
                <w:kern w:val="0"/>
                <w:sz w:val="22"/>
                <w:szCs w:val="22"/>
                <w:highlight w:val="none"/>
              </w:rPr>
              <w:t>风险管理及建议</w:t>
            </w:r>
          </w:p>
        </w:tc>
        <w:tc>
          <w:tcPr>
            <w:tcW w:w="3318" w:type="pc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新宋体" w:hAnsi="新宋体" w:eastAsia="新宋体" w:cs="新宋体"/>
                <w:color w:val="auto"/>
                <w:kern w:val="0"/>
                <w:sz w:val="22"/>
                <w:szCs w:val="22"/>
                <w:highlight w:val="none"/>
                <w:lang w:val="en-US" w:eastAsia="zh-CN" w:bidi="ar-SA"/>
              </w:rPr>
            </w:pPr>
            <w:r>
              <w:rPr>
                <w:rFonts w:hint="eastAsia" w:ascii="新宋体" w:hAnsi="新宋体" w:eastAsia="新宋体" w:cs="新宋体"/>
                <w:color w:val="auto"/>
                <w:kern w:val="0"/>
                <w:sz w:val="22"/>
                <w:szCs w:val="22"/>
                <w:highlight w:val="none"/>
              </w:rPr>
              <w:t>供应商须根据投标项目的风险情况提出专业性的风险防范措施及建议。A档得</w:t>
            </w:r>
            <w:r>
              <w:rPr>
                <w:rFonts w:hint="eastAsia" w:ascii="新宋体" w:hAnsi="新宋体" w:eastAsia="新宋体" w:cs="新宋体"/>
                <w:color w:val="auto"/>
                <w:kern w:val="0"/>
                <w:sz w:val="22"/>
                <w:szCs w:val="22"/>
                <w:highlight w:val="none"/>
                <w:lang w:val="en-US" w:eastAsia="zh-CN"/>
              </w:rPr>
              <w:t>10</w:t>
            </w:r>
            <w:r>
              <w:rPr>
                <w:rFonts w:hint="eastAsia" w:ascii="新宋体" w:hAnsi="新宋体" w:eastAsia="新宋体" w:cs="新宋体"/>
                <w:color w:val="auto"/>
                <w:kern w:val="0"/>
                <w:sz w:val="22"/>
                <w:szCs w:val="22"/>
                <w:highlight w:val="none"/>
              </w:rPr>
              <w:t>分</w:t>
            </w:r>
            <w:r>
              <w:rPr>
                <w:rFonts w:hint="eastAsia" w:ascii="新宋体" w:hAnsi="新宋体" w:eastAsia="新宋体" w:cs="新宋体"/>
                <w:color w:val="auto"/>
                <w:kern w:val="0"/>
                <w:sz w:val="22"/>
                <w:szCs w:val="22"/>
                <w:highlight w:val="none"/>
                <w:lang w:eastAsia="zh-CN"/>
              </w:rPr>
              <w:t>，</w:t>
            </w:r>
            <w:r>
              <w:rPr>
                <w:rFonts w:hint="eastAsia" w:ascii="新宋体" w:hAnsi="新宋体" w:eastAsia="新宋体" w:cs="新宋体"/>
                <w:color w:val="auto"/>
                <w:kern w:val="0"/>
                <w:sz w:val="22"/>
                <w:szCs w:val="22"/>
                <w:highlight w:val="none"/>
              </w:rPr>
              <w:t>B档得</w:t>
            </w:r>
            <w:r>
              <w:rPr>
                <w:rFonts w:hint="eastAsia" w:ascii="新宋体" w:hAnsi="新宋体" w:eastAsia="新宋体" w:cs="新宋体"/>
                <w:color w:val="auto"/>
                <w:kern w:val="0"/>
                <w:sz w:val="22"/>
                <w:szCs w:val="22"/>
                <w:highlight w:val="none"/>
                <w:lang w:val="en-US" w:eastAsia="zh-CN"/>
              </w:rPr>
              <w:t>7</w:t>
            </w:r>
            <w:r>
              <w:rPr>
                <w:rFonts w:hint="eastAsia" w:ascii="新宋体" w:hAnsi="新宋体" w:eastAsia="新宋体" w:cs="新宋体"/>
                <w:color w:val="auto"/>
                <w:kern w:val="0"/>
                <w:sz w:val="22"/>
                <w:szCs w:val="22"/>
                <w:highlight w:val="none"/>
              </w:rPr>
              <w:t>分，C档在</w:t>
            </w:r>
            <w:r>
              <w:rPr>
                <w:rFonts w:hint="eastAsia" w:ascii="新宋体" w:hAnsi="新宋体" w:eastAsia="新宋体" w:cs="新宋体"/>
                <w:color w:val="auto"/>
                <w:kern w:val="0"/>
                <w:sz w:val="22"/>
                <w:szCs w:val="22"/>
                <w:highlight w:val="none"/>
                <w:lang w:val="en-US" w:eastAsia="zh-CN"/>
              </w:rPr>
              <w:t>3</w:t>
            </w:r>
            <w:r>
              <w:rPr>
                <w:rFonts w:hint="eastAsia" w:ascii="新宋体" w:hAnsi="新宋体" w:eastAsia="新宋体" w:cs="新宋体"/>
                <w:color w:val="auto"/>
                <w:kern w:val="0"/>
                <w:sz w:val="22"/>
                <w:szCs w:val="22"/>
                <w:highlight w:val="none"/>
              </w:rPr>
              <w:t>分</w:t>
            </w:r>
            <w:r>
              <w:rPr>
                <w:rFonts w:hint="eastAsia" w:ascii="新宋体" w:hAnsi="新宋体" w:eastAsia="新宋体" w:cs="新宋体"/>
                <w:color w:val="auto"/>
                <w:kern w:val="0"/>
                <w:sz w:val="22"/>
                <w:szCs w:val="22"/>
                <w:highlight w:val="none"/>
                <w:lang w:eastAsia="zh-CN"/>
              </w:rPr>
              <w:t>。</w:t>
            </w:r>
            <w:r>
              <w:rPr>
                <w:rFonts w:hint="eastAsia" w:ascii="新宋体" w:hAnsi="新宋体" w:eastAsia="新宋体" w:cs="新宋体"/>
                <w:color w:val="auto"/>
                <w:kern w:val="0"/>
                <w:sz w:val="22"/>
                <w:szCs w:val="22"/>
                <w:highlight w:val="none"/>
                <w:lang w:val="en-US" w:eastAsia="zh-CN"/>
              </w:rPr>
              <w:t>未提供本项内容的不得分。</w:t>
            </w:r>
          </w:p>
        </w:tc>
        <w:tc>
          <w:tcPr>
            <w:tcW w:w="486"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default" w:ascii="新宋体" w:hAnsi="新宋体" w:eastAsia="新宋体" w:cs="新宋体"/>
                <w:color w:val="auto"/>
                <w:kern w:val="0"/>
                <w:sz w:val="22"/>
                <w:szCs w:val="22"/>
                <w:highlight w:val="none"/>
                <w:lang w:val="en-US" w:eastAsia="zh-CN"/>
              </w:rPr>
            </w:pPr>
            <w:r>
              <w:rPr>
                <w:rFonts w:hint="eastAsia" w:ascii="新宋体" w:hAnsi="新宋体" w:eastAsia="新宋体" w:cs="新宋体"/>
                <w:color w:val="auto"/>
                <w:kern w:val="0"/>
                <w:sz w:val="22"/>
                <w:szCs w:val="22"/>
                <w:highlight w:val="none"/>
                <w:lang w:val="en-US" w:eastAsia="zh-CN"/>
              </w:rPr>
              <w:t>10分</w:t>
            </w:r>
          </w:p>
        </w:tc>
      </w:tr>
    </w:tbl>
    <w:p>
      <w:pPr>
        <w:spacing w:line="460" w:lineRule="exact"/>
        <w:ind w:firstLine="330" w:firstLineChars="15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备注：</w:t>
      </w:r>
    </w:p>
    <w:p>
      <w:pPr>
        <w:numPr>
          <w:ilvl w:val="0"/>
          <w:numId w:val="26"/>
        </w:numPr>
        <w:spacing w:line="460" w:lineRule="exact"/>
        <w:ind w:firstLine="330" w:firstLineChars="15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评标依据以供应商商务技术文件中加盖有效公章的证书/证明文件复印件为准；</w:t>
      </w:r>
    </w:p>
    <w:p>
      <w:pPr>
        <w:numPr>
          <w:ilvl w:val="0"/>
          <w:numId w:val="26"/>
        </w:numPr>
        <w:spacing w:line="440" w:lineRule="exact"/>
        <w:ind w:firstLine="330" w:firstLineChars="150"/>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业绩评分项，供应商须提供证明材料，证明材料以评标标准要求为准。评标委员会、采购机构在项目评审直至合同签订、履约期间，有权要求供应商出具磋商响应文件中的合同文本原件，予以确认其的真实性和有效性，如出现与事实不符等情况，将根据有关规定以“提供虚假材料谋取中标”予以处理；</w:t>
      </w:r>
    </w:p>
    <w:p>
      <w:pPr>
        <w:numPr>
          <w:ilvl w:val="0"/>
          <w:numId w:val="26"/>
        </w:numPr>
        <w:spacing w:line="440" w:lineRule="exact"/>
        <w:ind w:firstLine="330" w:firstLineChars="150"/>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技术评分标准中，“A”档以该分项方案/措施的表述详尽、科学、操作性强、可信度高等为划分标准；“B”档以该分项方案/措施的表述细致度、可操作性、科学性等方面满足采购需求基本要求为划分标准；“C”档以该分项方案/措施的表述细致度、可操作性、科学性等方面较差为划分标准；</w:t>
      </w:r>
    </w:p>
    <w:p>
      <w:pPr>
        <w:numPr>
          <w:ilvl w:val="0"/>
          <w:numId w:val="25"/>
        </w:numPr>
        <w:tabs>
          <w:tab w:val="left" w:pos="6358"/>
        </w:tabs>
        <w:snapToGrid w:val="0"/>
        <w:spacing w:line="440" w:lineRule="exact"/>
        <w:rPr>
          <w:rFonts w:ascii="新宋体" w:hAnsi="新宋体" w:eastAsia="新宋体"/>
          <w:b/>
          <w:bCs/>
          <w:color w:val="auto"/>
          <w:sz w:val="22"/>
          <w:szCs w:val="22"/>
          <w:highlight w:val="none"/>
        </w:rPr>
      </w:pPr>
      <w:r>
        <w:rPr>
          <w:rFonts w:hint="eastAsia" w:ascii="新宋体" w:hAnsi="新宋体" w:eastAsia="新宋体" w:cs="新宋体"/>
          <w:b/>
          <w:bCs/>
          <w:color w:val="auto"/>
          <w:sz w:val="22"/>
          <w:szCs w:val="22"/>
          <w:highlight w:val="none"/>
        </w:rPr>
        <w:t>报价评分（</w:t>
      </w:r>
      <w:r>
        <w:rPr>
          <w:rFonts w:hint="eastAsia" w:ascii="新宋体" w:hAnsi="新宋体" w:eastAsia="新宋体" w:cs="新宋体"/>
          <w:b/>
          <w:bCs/>
          <w:color w:val="auto"/>
          <w:sz w:val="22"/>
          <w:szCs w:val="22"/>
          <w:highlight w:val="none"/>
          <w:lang w:val="en-US" w:eastAsia="zh-CN"/>
        </w:rPr>
        <w:t>1</w:t>
      </w:r>
      <w:r>
        <w:rPr>
          <w:rFonts w:hint="eastAsia" w:ascii="新宋体" w:hAnsi="新宋体" w:eastAsia="新宋体"/>
          <w:b/>
          <w:bCs/>
          <w:color w:val="auto"/>
          <w:sz w:val="22"/>
          <w:szCs w:val="22"/>
          <w:highlight w:val="none"/>
        </w:rPr>
        <w:t>0</w:t>
      </w:r>
      <w:r>
        <w:rPr>
          <w:rFonts w:hint="eastAsia" w:ascii="新宋体" w:hAnsi="新宋体" w:eastAsia="新宋体" w:cs="新宋体"/>
          <w:b/>
          <w:bCs/>
          <w:color w:val="auto"/>
          <w:sz w:val="22"/>
          <w:szCs w:val="22"/>
          <w:highlight w:val="none"/>
        </w:rPr>
        <w:t>分）</w:t>
      </w:r>
    </w:p>
    <w:p>
      <w:pPr>
        <w:spacing w:line="440" w:lineRule="exact"/>
        <w:rPr>
          <w:rFonts w:ascii="新宋体" w:hAnsi="新宋体" w:eastAsia="新宋体"/>
          <w:color w:val="auto"/>
          <w:sz w:val="22"/>
          <w:szCs w:val="22"/>
          <w:highlight w:val="none"/>
        </w:rPr>
      </w:pPr>
      <w:r>
        <w:rPr>
          <w:rFonts w:hint="eastAsia" w:ascii="新宋体" w:hAnsi="新宋体" w:eastAsia="新宋体" w:cs="新宋体"/>
          <w:color w:val="auto"/>
          <w:sz w:val="22"/>
          <w:szCs w:val="22"/>
          <w:highlight w:val="none"/>
        </w:rPr>
        <w:t>2.1满足竞争性磋商文件要求且最终报价的最低价作为评标基准价</w:t>
      </w:r>
    </w:p>
    <w:p>
      <w:pPr>
        <w:spacing w:line="440" w:lineRule="exact"/>
        <w:ind w:firstLine="330" w:firstLineChars="150"/>
        <w:rPr>
          <w:rFonts w:ascii="新宋体" w:hAnsi="新宋体" w:eastAsia="新宋体"/>
          <w:color w:val="auto"/>
          <w:sz w:val="22"/>
          <w:szCs w:val="22"/>
          <w:highlight w:val="none"/>
        </w:rPr>
      </w:pPr>
      <w:r>
        <w:rPr>
          <w:rFonts w:ascii="新宋体" w:hAnsi="新宋体" w:eastAsia="新宋体"/>
          <w:color w:val="auto"/>
          <w:sz w:val="22"/>
          <w:szCs w:val="22"/>
          <w:highlight w:val="none"/>
        </w:rPr>
        <w:t>1</w:t>
      </w:r>
      <w:r>
        <w:rPr>
          <w:rFonts w:hint="eastAsia" w:ascii="新宋体" w:hAnsi="新宋体" w:eastAsia="新宋体" w:cs="新宋体"/>
          <w:color w:val="auto"/>
          <w:sz w:val="22"/>
          <w:szCs w:val="22"/>
          <w:highlight w:val="none"/>
        </w:rPr>
        <w:t>）有效供应商的最终报价等于评标基准价时，其最终报价评分值为满分</w:t>
      </w:r>
      <w:r>
        <w:rPr>
          <w:rFonts w:hint="eastAsia" w:ascii="新宋体" w:hAnsi="新宋体" w:eastAsia="新宋体" w:cs="新宋体"/>
          <w:color w:val="auto"/>
          <w:sz w:val="22"/>
          <w:szCs w:val="22"/>
          <w:highlight w:val="none"/>
          <w:lang w:val="en-US" w:eastAsia="zh-CN"/>
        </w:rPr>
        <w:t>1</w:t>
      </w:r>
      <w:r>
        <w:rPr>
          <w:rFonts w:hint="eastAsia" w:ascii="新宋体" w:hAnsi="新宋体" w:eastAsia="新宋体"/>
          <w:color w:val="auto"/>
          <w:sz w:val="22"/>
          <w:szCs w:val="22"/>
          <w:highlight w:val="none"/>
        </w:rPr>
        <w:t>0</w:t>
      </w:r>
      <w:r>
        <w:rPr>
          <w:rFonts w:hint="eastAsia" w:ascii="新宋体" w:hAnsi="新宋体" w:eastAsia="新宋体" w:cs="新宋体"/>
          <w:color w:val="auto"/>
          <w:sz w:val="22"/>
          <w:szCs w:val="22"/>
          <w:highlight w:val="none"/>
        </w:rPr>
        <w:t>分；</w:t>
      </w:r>
    </w:p>
    <w:p>
      <w:pPr>
        <w:spacing w:line="440" w:lineRule="exact"/>
        <w:ind w:left="330"/>
        <w:rPr>
          <w:rFonts w:ascii="宋体" w:hAnsi="宋体" w:cs="宋体"/>
          <w:color w:val="auto"/>
          <w:kern w:val="0"/>
          <w:sz w:val="22"/>
          <w:szCs w:val="22"/>
          <w:highlight w:val="none"/>
        </w:rPr>
      </w:pPr>
      <w:r>
        <w:rPr>
          <w:rFonts w:hint="eastAsia" w:ascii="宋体" w:hAnsi="宋体" w:cs="宋体"/>
          <w:color w:val="auto"/>
          <w:kern w:val="0"/>
          <w:sz w:val="22"/>
          <w:szCs w:val="22"/>
          <w:highlight w:val="none"/>
        </w:rPr>
        <w:t>2）</w:t>
      </w:r>
      <w:r>
        <w:rPr>
          <w:rFonts w:hint="eastAsia" w:ascii="宋体" w:hAnsi="宋体" w:cs="宋体"/>
          <w:color w:val="auto"/>
          <w:sz w:val="22"/>
          <w:highlight w:val="none"/>
        </w:rPr>
        <w:t>报价得分</w:t>
      </w:r>
      <w:r>
        <w:rPr>
          <w:rFonts w:hint="eastAsia" w:ascii="宋体" w:hAnsi="宋体" w:cs="宋体"/>
          <w:color w:val="auto"/>
          <w:kern w:val="0"/>
          <w:sz w:val="22"/>
          <w:szCs w:val="22"/>
          <w:highlight w:val="none"/>
        </w:rPr>
        <w:t>=（评标基准价/供应商最终报价）×</w:t>
      </w:r>
      <w:r>
        <w:rPr>
          <w:rFonts w:hint="eastAsia" w:ascii="宋体" w:hAnsi="宋体" w:cs="宋体"/>
          <w:color w:val="auto"/>
          <w:kern w:val="0"/>
          <w:sz w:val="22"/>
          <w:szCs w:val="22"/>
          <w:highlight w:val="none"/>
          <w:lang w:val="en-US" w:eastAsia="zh-CN"/>
        </w:rPr>
        <w:t>1</w:t>
      </w:r>
      <w:r>
        <w:rPr>
          <w:rFonts w:hint="eastAsia" w:ascii="宋体" w:hAnsi="宋体" w:cs="宋体"/>
          <w:color w:val="auto"/>
          <w:kern w:val="0"/>
          <w:sz w:val="22"/>
          <w:szCs w:val="22"/>
          <w:highlight w:val="none"/>
        </w:rPr>
        <w:t>0</w:t>
      </w:r>
      <w:r>
        <w:rPr>
          <w:rFonts w:hint="eastAsia" w:ascii="宋体" w:hAnsi="宋体" w:cs="宋体"/>
          <w:color w:val="auto"/>
          <w:sz w:val="22"/>
          <w:szCs w:val="22"/>
          <w:highlight w:val="none"/>
        </w:rPr>
        <w:t>（四舍五入，保留小数点后2位）；</w:t>
      </w:r>
    </w:p>
    <w:p>
      <w:pPr>
        <w:spacing w:line="440" w:lineRule="exact"/>
        <w:ind w:firstLine="330" w:firstLineChars="15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3</w:t>
      </w:r>
      <w:r>
        <w:rPr>
          <w:rFonts w:hint="eastAsia" w:ascii="新宋体" w:hAnsi="新宋体" w:eastAsia="新宋体" w:cs="新宋体"/>
          <w:color w:val="auto"/>
          <w:sz w:val="22"/>
          <w:szCs w:val="22"/>
          <w:highlight w:val="none"/>
        </w:rPr>
        <w:t>）如供应商报价超过项目采购预算金额，其磋商响应文件作无效标处理；</w:t>
      </w:r>
    </w:p>
    <w:p>
      <w:pPr>
        <w:topLinePunct/>
        <w:spacing w:line="440" w:lineRule="exact"/>
        <w:ind w:firstLine="330" w:firstLineChars="150"/>
        <w:rPr>
          <w:rFonts w:ascii="新宋体" w:hAnsi="新宋体" w:eastAsia="新宋体" w:cs="新宋体"/>
          <w:color w:val="auto"/>
          <w:sz w:val="22"/>
          <w:szCs w:val="22"/>
          <w:highlight w:val="none"/>
        </w:rPr>
      </w:pPr>
      <w:r>
        <w:rPr>
          <w:rFonts w:hint="eastAsia" w:ascii="新宋体" w:hAnsi="新宋体" w:eastAsia="新宋体"/>
          <w:color w:val="auto"/>
          <w:sz w:val="22"/>
          <w:szCs w:val="22"/>
          <w:highlight w:val="none"/>
        </w:rPr>
        <w:t>4</w:t>
      </w:r>
      <w:r>
        <w:rPr>
          <w:rFonts w:hint="eastAsia" w:ascii="新宋体" w:hAnsi="新宋体" w:eastAsia="新宋体" w:cs="新宋体"/>
          <w:color w:val="auto"/>
          <w:sz w:val="22"/>
          <w:szCs w:val="22"/>
          <w:highlight w:val="none"/>
        </w:rPr>
        <w:t>）所有供应商</w:t>
      </w:r>
      <w:r>
        <w:rPr>
          <w:rFonts w:hint="eastAsia" w:ascii="新宋体" w:hAnsi="新宋体" w:eastAsia="新宋体" w:cs="新宋体"/>
          <w:color w:val="auto"/>
          <w:sz w:val="22"/>
          <w:szCs w:val="22"/>
          <w:highlight w:val="none"/>
          <w:lang w:eastAsia="zh-CN"/>
        </w:rPr>
        <w:t>磋商报价</w:t>
      </w:r>
      <w:r>
        <w:rPr>
          <w:rFonts w:hint="eastAsia" w:ascii="新宋体" w:hAnsi="新宋体" w:eastAsia="新宋体" w:cs="新宋体"/>
          <w:color w:val="auto"/>
          <w:sz w:val="22"/>
          <w:szCs w:val="22"/>
          <w:highlight w:val="none"/>
        </w:rPr>
        <w:t>均超过项目采购预算金额，项目按流（废）标处理，重新组织采购程序。2.2政府采购政策说明</w:t>
      </w:r>
    </w:p>
    <w:p>
      <w:pPr>
        <w:spacing w:line="440" w:lineRule="exact"/>
        <w:ind w:firstLine="440" w:firstLineChars="200"/>
        <w:rPr>
          <w:rFonts w:ascii="宋体" w:hAnsi="宋体" w:cs="宋体"/>
          <w:bCs/>
          <w:color w:val="auto"/>
          <w:sz w:val="22"/>
          <w:highlight w:val="none"/>
        </w:rPr>
      </w:pPr>
      <w:r>
        <w:rPr>
          <w:rFonts w:hint="eastAsia" w:ascii="宋体" w:hAnsi="宋体" w:cs="宋体"/>
          <w:bCs/>
          <w:color w:val="auto"/>
          <w:sz w:val="22"/>
          <w:highlight w:val="none"/>
        </w:rPr>
        <w:t>①根据《政府采购促进中小企业发展管理办法》的通知（财库[2020]46号）及财政部关于进一步加大政府采购支持中小企业力度的通知（财库〔2022〕19号）文件的规定，投标人为小型或微型企业并提交中小企业声明函，其小型或微型企业部分</w:t>
      </w:r>
      <w:r>
        <w:rPr>
          <w:rFonts w:hint="eastAsia" w:ascii="宋体" w:hAnsi="宋体" w:cs="宋体"/>
          <w:bCs/>
          <w:color w:val="auto"/>
          <w:sz w:val="22"/>
          <w:highlight w:val="none"/>
          <w:lang w:eastAsia="zh-CN"/>
        </w:rPr>
        <w:t>磋商报价</w:t>
      </w:r>
      <w:r>
        <w:rPr>
          <w:rFonts w:hint="eastAsia" w:ascii="宋体" w:hAnsi="宋体" w:cs="宋体"/>
          <w:bCs/>
          <w:color w:val="auto"/>
          <w:sz w:val="22"/>
          <w:highlight w:val="none"/>
        </w:rPr>
        <w:t>扣除10%后参与评审。</w:t>
      </w:r>
    </w:p>
    <w:p>
      <w:pPr>
        <w:spacing w:line="440" w:lineRule="exact"/>
        <w:ind w:firstLine="440" w:firstLineChars="200"/>
        <w:rPr>
          <w:rFonts w:ascii="宋体" w:hAnsi="宋体" w:cs="宋体"/>
          <w:bCs/>
          <w:color w:val="auto"/>
          <w:sz w:val="22"/>
          <w:highlight w:val="none"/>
        </w:rPr>
      </w:pPr>
      <w:r>
        <w:rPr>
          <w:rFonts w:hint="eastAsia" w:ascii="宋体" w:hAnsi="宋体" w:cs="宋体"/>
          <w:bCs/>
          <w:color w:val="auto"/>
          <w:sz w:val="22"/>
          <w:highlight w:val="none"/>
        </w:rPr>
        <w:t>②根据《关于政府采购支持监狱企业发展有关问题的通知》（财库[2014]68号）的规定，投标人如为监狱企业并提交相关证明材料，在政府采购活动中，监狱企业视同小型、微型企业，其小型或微型企业部分</w:t>
      </w:r>
      <w:r>
        <w:rPr>
          <w:rFonts w:hint="eastAsia" w:ascii="宋体" w:hAnsi="宋体" w:cs="宋体"/>
          <w:bCs/>
          <w:color w:val="auto"/>
          <w:sz w:val="22"/>
          <w:highlight w:val="none"/>
          <w:lang w:eastAsia="zh-CN"/>
        </w:rPr>
        <w:t>磋商报价</w:t>
      </w:r>
      <w:r>
        <w:rPr>
          <w:rFonts w:hint="eastAsia" w:ascii="宋体" w:hAnsi="宋体" w:cs="宋体"/>
          <w:bCs/>
          <w:color w:val="auto"/>
          <w:sz w:val="22"/>
          <w:highlight w:val="none"/>
        </w:rPr>
        <w:t>扣除10%后参与评审。</w:t>
      </w:r>
    </w:p>
    <w:p>
      <w:pPr>
        <w:spacing w:line="440" w:lineRule="exact"/>
        <w:ind w:firstLine="440" w:firstLineChars="200"/>
        <w:rPr>
          <w:rFonts w:ascii="宋体" w:hAnsi="宋体" w:cs="宋体"/>
          <w:bCs/>
          <w:color w:val="auto"/>
          <w:sz w:val="22"/>
          <w:highlight w:val="none"/>
        </w:rPr>
      </w:pPr>
      <w:r>
        <w:rPr>
          <w:rFonts w:hint="eastAsia" w:ascii="宋体" w:hAnsi="宋体" w:cs="宋体"/>
          <w:bCs/>
          <w:color w:val="auto"/>
          <w:sz w:val="22"/>
          <w:highlight w:val="none"/>
        </w:rPr>
        <w:t>③根据《财政部、民政部、中国残疾人联合会关于促进残疾人就业政府采购政策的通知》（财库〔2017〕141号）的规定，投标人如为残疾人福利性单位并提交相关证明材料，在政府采购活动中，残疾人福利性单位视同小型、微型企业，其小型或微型企业部分</w:t>
      </w:r>
      <w:r>
        <w:rPr>
          <w:rFonts w:hint="eastAsia" w:ascii="宋体" w:hAnsi="宋体" w:cs="宋体"/>
          <w:bCs/>
          <w:color w:val="auto"/>
          <w:sz w:val="22"/>
          <w:highlight w:val="none"/>
          <w:lang w:eastAsia="zh-CN"/>
        </w:rPr>
        <w:t>磋商报价</w:t>
      </w:r>
      <w:r>
        <w:rPr>
          <w:rFonts w:hint="eastAsia" w:ascii="宋体" w:hAnsi="宋体" w:cs="宋体"/>
          <w:bCs/>
          <w:color w:val="auto"/>
          <w:sz w:val="22"/>
          <w:highlight w:val="none"/>
        </w:rPr>
        <w:t>扣除10%后参与评审。</w:t>
      </w:r>
    </w:p>
    <w:p>
      <w:pPr>
        <w:spacing w:line="440" w:lineRule="exact"/>
        <w:ind w:firstLine="440" w:firstLineChars="200"/>
        <w:rPr>
          <w:rFonts w:ascii="宋体" w:hAnsi="宋体" w:cs="宋体"/>
          <w:bCs/>
          <w:color w:val="auto"/>
          <w:sz w:val="22"/>
          <w:highlight w:val="none"/>
        </w:rPr>
      </w:pPr>
      <w:r>
        <w:rPr>
          <w:rFonts w:hint="eastAsia" w:ascii="宋体" w:hAnsi="宋体" w:cs="宋体"/>
          <w:bCs/>
          <w:color w:val="auto"/>
          <w:sz w:val="22"/>
          <w:highlight w:val="none"/>
        </w:rPr>
        <w:t>④以上小型、微型企业的，不重复享受政策。未提供完整证明材料的，</w:t>
      </w:r>
      <w:r>
        <w:rPr>
          <w:rFonts w:hint="eastAsia" w:ascii="宋体" w:hAnsi="宋体" w:cs="宋体"/>
          <w:bCs/>
          <w:color w:val="auto"/>
          <w:sz w:val="22"/>
          <w:highlight w:val="none"/>
          <w:lang w:eastAsia="zh-CN"/>
        </w:rPr>
        <w:t>磋商报价</w:t>
      </w:r>
      <w:r>
        <w:rPr>
          <w:rFonts w:hint="eastAsia" w:ascii="宋体" w:hAnsi="宋体" w:cs="宋体"/>
          <w:bCs/>
          <w:color w:val="auto"/>
          <w:sz w:val="22"/>
          <w:highlight w:val="none"/>
        </w:rPr>
        <w:t>不予扣减。对于联合体协议或者分包意向协议约定小微企业合同份额占到合同总金额30%以上的，对其</w:t>
      </w:r>
      <w:r>
        <w:rPr>
          <w:rFonts w:hint="eastAsia" w:ascii="宋体" w:hAnsi="宋体" w:cs="宋体"/>
          <w:bCs/>
          <w:color w:val="auto"/>
          <w:sz w:val="22"/>
          <w:highlight w:val="none"/>
          <w:lang w:eastAsia="zh-CN"/>
        </w:rPr>
        <w:t>磋商报价</w:t>
      </w:r>
      <w:r>
        <w:rPr>
          <w:rFonts w:hint="eastAsia" w:ascii="宋体" w:hAnsi="宋体" w:cs="宋体"/>
          <w:bCs/>
          <w:color w:val="auto"/>
          <w:sz w:val="22"/>
          <w:highlight w:val="none"/>
        </w:rPr>
        <w:t>给予4%的扣除，用扣除后的价格参与评审。证明材料详见采购文件第二部分。</w:t>
      </w:r>
    </w:p>
    <w:p>
      <w:pPr>
        <w:spacing w:line="440" w:lineRule="exact"/>
        <w:ind w:firstLine="440" w:firstLineChars="200"/>
        <w:rPr>
          <w:rFonts w:ascii="新宋体" w:hAnsi="新宋体" w:eastAsia="新宋体" w:cs="新宋体"/>
          <w:color w:val="auto"/>
          <w:sz w:val="22"/>
          <w:szCs w:val="22"/>
          <w:highlight w:val="none"/>
        </w:rPr>
      </w:pPr>
      <w:r>
        <w:rPr>
          <w:rFonts w:hint="eastAsia" w:ascii="宋体" w:hAnsi="宋体" w:cs="宋体"/>
          <w:bCs/>
          <w:color w:val="auto"/>
          <w:sz w:val="22"/>
          <w:highlight w:val="none"/>
        </w:rPr>
        <w:t>⑤投标如缺少须提供的一种功能或配置或服务，评标价将在其投标价的基础上加上其他投标人相应分项价格的最高价。如若中标，该缺漏项费用将由中标人自行承担</w:t>
      </w:r>
      <w:r>
        <w:rPr>
          <w:rFonts w:hint="eastAsia" w:ascii="新宋体" w:hAnsi="新宋体" w:eastAsia="新宋体" w:cs="新宋体"/>
          <w:color w:val="auto"/>
          <w:sz w:val="22"/>
          <w:szCs w:val="22"/>
          <w:highlight w:val="none"/>
        </w:rPr>
        <w:t>。</w:t>
      </w:r>
    </w:p>
    <w:p>
      <w:pPr>
        <w:topLinePunct/>
        <w:spacing w:line="440" w:lineRule="exact"/>
        <w:ind w:firstLine="330" w:firstLineChars="15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3.</w:t>
      </w:r>
      <w:r>
        <w:rPr>
          <w:rFonts w:hint="eastAsia" w:ascii="新宋体" w:hAnsi="新宋体" w:eastAsia="新宋体" w:cs="新宋体"/>
          <w:color w:val="auto"/>
          <w:sz w:val="22"/>
          <w:szCs w:val="22"/>
          <w:highlight w:val="none"/>
        </w:rPr>
        <w:t>有效供应商的综合得分为商务技术分和报价分的总和；</w:t>
      </w:r>
    </w:p>
    <w:p>
      <w:pPr>
        <w:topLinePunct/>
        <w:spacing w:line="440" w:lineRule="exact"/>
        <w:ind w:firstLine="330" w:firstLineChars="15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4.</w:t>
      </w:r>
      <w:r>
        <w:rPr>
          <w:rFonts w:hint="eastAsia" w:ascii="新宋体" w:hAnsi="新宋体" w:eastAsia="新宋体" w:cs="新宋体"/>
          <w:color w:val="auto"/>
          <w:sz w:val="22"/>
          <w:szCs w:val="22"/>
          <w:highlight w:val="none"/>
        </w:rPr>
        <w:t>磋商小组按综合得分高低顺序排列，综合得分前两名供应商依次作为成交候选供应商和成交备选供应商向采购人推荐，并提交评审报告。得分相同的，按</w:t>
      </w:r>
      <w:r>
        <w:rPr>
          <w:rFonts w:hint="eastAsia" w:ascii="新宋体" w:hAnsi="新宋体" w:eastAsia="新宋体" w:cs="新宋体"/>
          <w:color w:val="auto"/>
          <w:sz w:val="22"/>
          <w:szCs w:val="22"/>
          <w:highlight w:val="none"/>
          <w:lang w:eastAsia="zh-CN"/>
        </w:rPr>
        <w:t>磋商报价</w:t>
      </w:r>
      <w:r>
        <w:rPr>
          <w:rFonts w:hint="eastAsia" w:ascii="新宋体" w:hAnsi="新宋体" w:eastAsia="新宋体" w:cs="新宋体"/>
          <w:color w:val="auto"/>
          <w:sz w:val="22"/>
          <w:szCs w:val="22"/>
          <w:highlight w:val="none"/>
        </w:rPr>
        <w:t>由低到高顺序排列。</w:t>
      </w:r>
      <w:bookmarkEnd w:id="82"/>
      <w:bookmarkEnd w:id="83"/>
    </w:p>
    <w:sectPr>
      <w:footerReference r:id="rId11" w:type="first"/>
      <w:headerReference r:id="rId9" w:type="default"/>
      <w:footerReference r:id="rId10" w:type="default"/>
      <w:type w:val="nextColumn"/>
      <w:pgSz w:w="11906" w:h="16838"/>
      <w:pgMar w:top="1134" w:right="1134" w:bottom="1134" w:left="1134" w:header="851" w:footer="851" w:gutter="0"/>
      <w:pgBorders>
        <w:top w:val="none" w:sz="0" w:space="0"/>
        <w:left w:val="none" w:sz="0" w:space="0"/>
        <w:bottom w:val="none" w:sz="0" w:space="0"/>
        <w:right w:val="none" w:sz="0" w:space="0"/>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ˎ̥">
    <w:altName w:val="微软雅黑"/>
    <w:panose1 w:val="00000000000000000000"/>
    <w:charset w:val="00"/>
    <w:family w:val="roman"/>
    <w:pitch w:val="default"/>
    <w:sig w:usb0="00000000" w:usb1="00000000" w:usb2="00000000" w:usb3="00000000" w:csb0="00040001" w:csb1="00000000"/>
  </w:font>
  <w:font w:name="ZapfDingbatsNr2EFOP-Regular">
    <w:altName w:val="宋体"/>
    <w:panose1 w:val="00000000000000000000"/>
    <w:charset w:val="86"/>
    <w:family w:val="auto"/>
    <w:pitch w:val="default"/>
    <w:sig w:usb0="00000000" w:usb1="00000000" w:usb2="00000010" w:usb3="00000000" w:csb0="00040001" w:csb1="00000000"/>
  </w:font>
  <w:font w:name="Helvetica Neue">
    <w:altName w:val="Times New Roman"/>
    <w:panose1 w:val="02000503000000020004"/>
    <w:charset w:val="00"/>
    <w:family w:val="auto"/>
    <w:pitch w:val="default"/>
    <w:sig w:usb0="00000000" w:usb1="00000000" w:usb2="00000000" w:usb3="00000000" w:csb0="00000000" w:csb1="00000000"/>
  </w:font>
  <w:font w:name="Linotype Univers 330 Light">
    <w:altName w:val="宋体"/>
    <w:panose1 w:val="00000000000000000000"/>
    <w:charset w:val="86"/>
    <w:family w:val="swiss"/>
    <w:pitch w:val="default"/>
    <w:sig w:usb0="00000000" w:usb1="0000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Verdana">
    <w:panose1 w:val="020B0604030504040204"/>
    <w:charset w:val="00"/>
    <w:family w:val="swiss"/>
    <w:pitch w:val="default"/>
    <w:sig w:usb0="A00006FF" w:usb1="4000205B" w:usb2="00000010" w:usb3="00000000" w:csb0="2000019F" w:csb1="00000000"/>
  </w:font>
  <w:font w:name="Univers LT Std 47 Cn Lt">
    <w:altName w:val="宋体"/>
    <w:panose1 w:val="00000000000000000000"/>
    <w:charset w:val="86"/>
    <w:family w:val="swiss"/>
    <w:pitch w:val="default"/>
    <w:sig w:usb0="00000000" w:usb1="00000000" w:usb2="00000010" w:usb3="00000000" w:csb0="00040000" w:csb1="00000000"/>
  </w:font>
  <w:font w:name="Helvetica">
    <w:panose1 w:val="020B0504020202030204"/>
    <w:charset w:val="00"/>
    <w:family w:val="swiss"/>
    <w:pitch w:val="default"/>
    <w:sig w:usb0="00000007" w:usb1="00000000" w:usb2="00000000" w:usb3="00000000" w:csb0="00000093" w:csb1="00000000"/>
  </w:font>
  <w:font w:name="Univers LT Std 57 Cn">
    <w:altName w:val="Segoe Print"/>
    <w:panose1 w:val="00000000000000000000"/>
    <w:charset w:val="00"/>
    <w:family w:val="swiss"/>
    <w:pitch w:val="default"/>
    <w:sig w:usb0="00000000" w:usb1="00000000" w:usb2="00000000" w:usb3="00000000" w:csb0="00000001" w:csb1="00000000"/>
  </w:font>
  <w:font w:name="Century Gothic">
    <w:panose1 w:val="020B0502020202020204"/>
    <w:charset w:val="00"/>
    <w:family w:val="swiss"/>
    <w:pitch w:val="default"/>
    <w:sig w:usb0="00000287" w:usb1="00000000" w:usb2="00000000" w:usb3="00000000" w:csb0="2000009F" w:csb1="DFD70000"/>
  </w:font>
  <w:font w:name="Times">
    <w:altName w:val="Times New Roman"/>
    <w:panose1 w:val="00000500000000020000"/>
    <w:charset w:val="00"/>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right="360" w:firstLine="4410" w:firstLineChars="245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7"/>
      </w:rPr>
    </w:pPr>
    <w:r>
      <w:fldChar w:fldCharType="begin"/>
    </w:r>
    <w:r>
      <w:rPr>
        <w:rStyle w:val="57"/>
      </w:rPr>
      <w:instrText xml:space="preserve">PAGE  </w:instrText>
    </w:r>
    <w:r>
      <w:fldChar w:fldCharType="end"/>
    </w:r>
  </w:p>
  <w:p>
    <w:pPr>
      <w:pStyle w:val="3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top w:val="single" w:color="auto" w:sz="4" w:space="1"/>
      </w:pBdr>
      <w:ind w:right="-82" w:rightChars="-39" w:firstLine="4410" w:firstLineChars="2450"/>
      <w:jc w:val="right"/>
      <w:rPr>
        <w:rFonts w:ascii="宋体" w:hAnsi="宋体" w:cs="宋体"/>
      </w:rPr>
    </w:pPr>
    <w:r>
      <mc:AlternateContent>
        <mc:Choice Requires="wps">
          <w:drawing>
            <wp:anchor distT="0" distB="0" distL="114300" distR="114300" simplePos="0" relativeHeight="251660288" behindDoc="0" locked="0" layoutInCell="1" allowOverlap="1">
              <wp:simplePos x="0" y="0"/>
              <wp:positionH relativeFrom="margin">
                <wp:posOffset>2994660</wp:posOffset>
              </wp:positionH>
              <wp:positionV relativeFrom="paragraph">
                <wp:posOffset>0</wp:posOffset>
              </wp:positionV>
              <wp:extent cx="197485" cy="182880"/>
              <wp:effectExtent l="0" t="0" r="0" b="0"/>
              <wp:wrapNone/>
              <wp:docPr id="1" name="文本框 6"/>
              <wp:cNvGraphicFramePr/>
              <a:graphic xmlns:a="http://schemas.openxmlformats.org/drawingml/2006/main">
                <a:graphicData uri="http://schemas.microsoft.com/office/word/2010/wordprocessingShape">
                  <wps:wsp>
                    <wps:cNvSpPr txBox="1"/>
                    <wps:spPr>
                      <a:xfrm>
                        <a:off x="0" y="0"/>
                        <a:ext cx="197485" cy="182880"/>
                      </a:xfrm>
                      <a:prstGeom prst="rect">
                        <a:avLst/>
                      </a:prstGeom>
                      <a:noFill/>
                      <a:ln w="15875">
                        <a:noFill/>
                      </a:ln>
                      <a:effectLst/>
                    </wps:spPr>
                    <wps:txbx>
                      <w:txbxContent>
                        <w:p>
                          <w:pPr>
                            <w:pStyle w:val="36"/>
                            <w:rPr>
                              <w:rStyle w:val="57"/>
                              <w:rFonts w:hAnsi="黑体"/>
                              <w:b/>
                            </w:rPr>
                          </w:pPr>
                          <w:r>
                            <w:rPr>
                              <w:rFonts w:ascii="黑体" w:hAnsi="黑体" w:eastAsia="黑体"/>
                              <w:b/>
                            </w:rPr>
                            <w:fldChar w:fldCharType="begin"/>
                          </w:r>
                          <w:r>
                            <w:rPr>
                              <w:rStyle w:val="57"/>
                              <w:rFonts w:hAnsi="黑体"/>
                              <w:b/>
                            </w:rPr>
                            <w:instrText xml:space="preserve">PAGE  </w:instrText>
                          </w:r>
                          <w:r>
                            <w:rPr>
                              <w:rFonts w:ascii="黑体" w:hAnsi="黑体" w:eastAsia="黑体"/>
                              <w:b/>
                            </w:rPr>
                            <w:fldChar w:fldCharType="separate"/>
                          </w:r>
                          <w:r>
                            <w:rPr>
                              <w:rStyle w:val="57"/>
                              <w:rFonts w:hAnsi="黑体"/>
                              <w:b/>
                            </w:rPr>
                            <w:t>51</w:t>
                          </w:r>
                          <w:r>
                            <w:rPr>
                              <w:rFonts w:ascii="黑体" w:hAnsi="黑体" w:eastAsia="黑体"/>
                              <w:b/>
                            </w:rPr>
                            <w:fldChar w:fldCharType="end"/>
                          </w:r>
                        </w:p>
                      </w:txbxContent>
                    </wps:txbx>
                    <wps:bodyPr wrap="square" lIns="0" tIns="0" rIns="0" bIns="0" upright="1">
                      <a:noAutofit/>
                    </wps:bodyPr>
                  </wps:wsp>
                </a:graphicData>
              </a:graphic>
            </wp:anchor>
          </w:drawing>
        </mc:Choice>
        <mc:Fallback>
          <w:pict>
            <v:shape id="文本框 6" o:spid="_x0000_s1026" o:spt="202" type="#_x0000_t202" style="position:absolute;left:0pt;margin-left:235.8pt;margin-top:0pt;height:14.4pt;width:15.55pt;mso-position-horizontal-relative:margin;z-index:251660288;mso-width-relative:page;mso-height-relative:page;" filled="f" stroked="f" coordsize="21600,21600" o:gfxdata="UEsDBAoAAAAAAIdO4kAAAAAAAAAAAAAAAAAEAAAAZHJzL1BLAwQUAAAACACHTuJAqOFBCNcAAAAH&#10;AQAADwAAAGRycy9kb3ducmV2LnhtbE2PwU7DMBBE70j8g7VIXFBrJ9A0CnEqVAkhcYLABzjxNo6I&#10;15Htpi1fjznBcTSjmTf17mwntqAPoyMJ2VoAQ+qdHmmQ8PnxvCqBhahIq8kRSrhggF1zfVWrSrsT&#10;vePSxoGlEgqVkmBinCvOQ2/QqrB2M1LyDs5bFZP0A9denVK5nXguRMGtGiktGDXj3mD/1R6thPY1&#10;3vv9y2Y2y9N8p9++u764eClvbzLxCCziOf6F4Rc/oUOTmDp3JB3YJOFhmxUpKiE9SvZG5FtgnYS8&#10;LIE3Nf/P3/wAUEsDBBQAAAAIAIdO4kCkwu0J3QEAALEDAAAOAAAAZHJzL2Uyb0RvYy54bWytU82O&#10;0zAQviPxDpbvNG1Fd0PUdAWqFiEhQFp4ANcZN5b8h+006QvAG3Diwp3n6nMwdtLuaveyBy7O2DPz&#10;zXzfTNY3g1bkAD5Ia2q6mM0pAcNtI82+pt++3r4qKQmRmYYpa6CmRwj0ZvPyxbp3FSxta1UDniCI&#10;CVXvatrG6KqiCLwFzcLMOjDoFNZrFvHq90XjWY/oWhXL+fyq6K1vnLccQsDX7eikE6J/DqAVQnLY&#10;Wt5pMHFE9aBYREqhlS7QTe5WCODxsxABIlE1RaYxn1gE7V06i82aVXvPXCv51AJ7TguPOGkmDRa9&#10;QG1ZZKTz8gmUltzbYEWccauLkUhWBFks5o+0uWuZg8wFpQ7uInr4f7D80+GLJ7LBTaDEMI0DP/36&#10;efr99/TnB7lK8vQuVBh15zAuDu/skEKn94CPifUgvE5f5EPQj+IeL+LCEAlPSW+uX5crSji6FuWy&#10;LLP4xX2y8yG+B6tJMmrqcXZZUnb4GCIWxNBzSKpl7K1UKs9PGdIj6Kq8XuWMiwtTlEnBkFdhwkmM&#10;xs6TFYfdMNHZ2eaILHtch5qG7x3zQIn6YFDvtDtnw5+N3dnonJf7FpteTPXfdtEKmbtONUZgpJAu&#10;OMlMZtq6tCoP7znq/k/b/A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o4UEI1wAAAAcBAAAPAAAA&#10;AAAAAAEAIAAAACIAAABkcnMvZG93bnJldi54bWxQSwECFAAUAAAACACHTuJApMLtCd0BAACxAwAA&#10;DgAAAAAAAAABACAAAAAmAQAAZHJzL2Uyb0RvYy54bWxQSwUGAAAAAAYABgBZAQAAdQUAAAAA&#10;">
              <v:fill on="f" focussize="0,0"/>
              <v:stroke on="f" weight="1.25pt"/>
              <v:imagedata o:title=""/>
              <o:lock v:ext="edit" aspectratio="f"/>
              <v:textbox inset="0mm,0mm,0mm,0mm">
                <w:txbxContent>
                  <w:p>
                    <w:pPr>
                      <w:pStyle w:val="36"/>
                      <w:rPr>
                        <w:rStyle w:val="57"/>
                        <w:rFonts w:hAnsi="黑体"/>
                        <w:b/>
                      </w:rPr>
                    </w:pPr>
                    <w:r>
                      <w:rPr>
                        <w:rFonts w:ascii="黑体" w:hAnsi="黑体" w:eastAsia="黑体"/>
                        <w:b/>
                      </w:rPr>
                      <w:fldChar w:fldCharType="begin"/>
                    </w:r>
                    <w:r>
                      <w:rPr>
                        <w:rStyle w:val="57"/>
                        <w:rFonts w:hAnsi="黑体"/>
                        <w:b/>
                      </w:rPr>
                      <w:instrText xml:space="preserve">PAGE  </w:instrText>
                    </w:r>
                    <w:r>
                      <w:rPr>
                        <w:rFonts w:ascii="黑体" w:hAnsi="黑体" w:eastAsia="黑体"/>
                        <w:b/>
                      </w:rPr>
                      <w:fldChar w:fldCharType="separate"/>
                    </w:r>
                    <w:r>
                      <w:rPr>
                        <w:rStyle w:val="57"/>
                        <w:rFonts w:hAnsi="黑体"/>
                        <w:b/>
                      </w:rPr>
                      <w:t>51</w:t>
                    </w:r>
                    <w:r>
                      <w:rPr>
                        <w:rFonts w:ascii="黑体" w:hAnsi="黑体" w:eastAsia="黑体"/>
                        <w:b/>
                      </w:rPr>
                      <w:fldChar w:fldCharType="end"/>
                    </w:r>
                  </w:p>
                </w:txbxContent>
              </v:textbox>
            </v:shape>
          </w:pict>
        </mc:Fallback>
      </mc:AlternateContent>
    </w:r>
    <w:r>
      <w:rPr>
        <w:rFonts w:hint="eastAsia" w:ascii="宋体" w:hAnsi="宋体" w:cs="宋体"/>
      </w:rPr>
      <w:t>温州市智信招标代理有限公司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2" name="文本框 9"/>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1">
                      <a:spAutoFit/>
                    </wps:bodyPr>
                  </wps:wsp>
                </a:graphicData>
              </a:graphic>
            </wp:anchor>
          </w:drawing>
        </mc:Choice>
        <mc:Fallback>
          <w:pict>
            <v:shape id="文本框 9"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uN5wwtMAAAAC&#10;AQAADwAAAGRycy9kb3ducmV2LnhtbE2PQWsCMRCF7wX/QxihF6mJSym63ayg4K2FqoVe42bcXd1M&#10;liSutr++017ay8DjPd77pljeXCcGDLH1pGE2VSCQKm9bqjW87zcPcxAxGbKm84QaPjHCshzdFSa3&#10;/kpbHHapFlxCMTcampT6XMpYNehMnPoeib2jD84klqGWNpgrl7tOZko9SWda4oXG9LhusDrvLk7D&#10;x8sX4na+mkyGx9MpqM3irZKvWt+PZ+oZRMJb+gvDDz6jQ8lMB38hG0WngR9Jv5e9RQbioCHLFMiy&#10;kP/Ry29QSwMEFAAAAAgAh07iQLSaHBbcAQAArgMAAA4AAABkcnMvZTJvRG9jLnhtbK1TzY7TMBC+&#10;I/EOlu80aaFsN2q6AlWLkBAgLTyA69iNJf/J4zbpC8AbcOLCnefqczB2ku5q97IHLs54ZvzNfN9M&#10;1je90eQoAihnazqflZQIy12j7L6m37/dvlpRApHZhmlnRU1PAujN5uWLdecrsXCt040IBEEsVJ2v&#10;aRujr4oCeCsMg5nzwmJQumBYxGvYF01gHaIbXSzK8m3RudD44LgAQO92CNIRMTwH0EmpuNg6fjDC&#10;xgE1CM0iUoJWeaCb3K2UgscvUoKIRNcUmcZ8YhG0d+ksNmtW7QPzreJjC+w5LTziZJiyWPQCtWWR&#10;kUNQT6CM4sGBk3HGnSkGIlkRZDEvH2lz1zIvMheUGvxFdPh/sPzz8WsgqqnpghLLDA78/Ovn+fff&#10;858f5DrJ03moMOvOY17s37sel2byAzoT614Gk77Ih2AcxT1dxBV9JBydy9WbBQY4Ruavr6/KrH1x&#10;/9YHiB+EMyQZNQ04uqwoO36CiH1g6pSSSll3q7TO49OWdAi6XF0t84tLCJ9om5JF3oQRJxEaGk9W&#10;7Hf9yHLnmhOS7HAbampx+SnRHy2KnRZnMsJk7Cbj4IPat9jyPFcH/+4Qsbncc6owwCKBdMExZirj&#10;yqU9eXjPWfe/2eY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uN5wwtMAAAACAQAADwAAAAAAAAAB&#10;ACAAAAAiAAAAZHJzL2Rvd25yZXYueG1sUEsBAhQAFAAAAAgAh07iQLSaHBbcAQAArgMAAA4AAAAA&#10;AAAAAQAgAAAAIgEAAGRycy9lMm9Eb2MueG1sUEsFBgAAAAAGAAYAWQEAAHAFA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03505" cy="139700"/>
              <wp:effectExtent l="0" t="0" r="0" b="0"/>
              <wp:wrapNone/>
              <wp:docPr id="3" name="文本框6"/>
              <wp:cNvGraphicFramePr/>
              <a:graphic xmlns:a="http://schemas.openxmlformats.org/drawingml/2006/main">
                <a:graphicData uri="http://schemas.microsoft.com/office/word/2010/wordprocessingShape">
                  <wps:wsp>
                    <wps:cNvSpPr/>
                    <wps:spPr>
                      <a:xfrm>
                        <a:off x="0" y="0"/>
                        <a:ext cx="103505" cy="139700"/>
                      </a:xfrm>
                      <a:prstGeom prst="rect">
                        <a:avLst/>
                      </a:prstGeom>
                      <a:noFill/>
                      <a:ln w="9525">
                        <a:noFill/>
                      </a:ln>
                      <a:effectLst/>
                    </wps:spPr>
                    <wps:txbx>
                      <w:txbxContent>
                        <w:p>
                          <w:pPr>
                            <w:snapToGrid w:val="0"/>
                            <w:rPr>
                              <w:sz w:val="18"/>
                            </w:rPr>
                          </w:pPr>
                        </w:p>
                      </w:txbxContent>
                    </wps:txbx>
                    <wps:bodyPr wrap="none" lIns="0" tIns="0" rIns="0" bIns="0" upright="1">
                      <a:spAutoFit/>
                    </wps:bodyPr>
                  </wps:wsp>
                </a:graphicData>
              </a:graphic>
            </wp:anchor>
          </w:drawing>
        </mc:Choice>
        <mc:Fallback>
          <w:pict>
            <v:rect id="文本框6" o:spid="_x0000_s1026" o:spt="1" style="position:absolute;left:0pt;margin-top:0pt;height:11pt;width:8.15pt;mso-position-horizontal:center;mso-position-horizontal-relative:margin;mso-wrap-style:none;z-index:251660288;mso-width-relative:page;mso-height-relative:page;" filled="f" stroked="f" coordsize="21600,21600" o:gfxdata="UEsDBAoAAAAAAIdO4kAAAAAAAAAAAAAAAAAEAAAAZHJzL1BLAwQUAAAACACHTuJA15Ipl9EAAAAD&#10;AQAADwAAAGRycy9kb3ducmV2LnhtbE2PzWrDMBCE74W+g9hCbo0UB0JwLOdQCLSllzh9gI21/qHS&#10;ykhKnL59lV7ay8Iww8y31f7mrLhSiKNnDaulAkHcejNyr+HzdHjegogJ2aD1TBq+KcK+fnyosDR+&#10;5iNdm9SLXMKxRA1DSlMpZWwHchiXfiLOXueDw5Rl6KUJOOdyZ2Wh1EY6HDkvDDjRy0DtV3NxGuSp&#10;Oczbxgbl34vuw769HjvyWi+eVmoHItEt/YXhjp/Roc5MZ39hE4XVkB9Jv/fubdYgzhqKQoGsK/mf&#10;vf4BUEsDBBQAAAAIAIdO4kBWyLmx1gEAAKMDAAAOAAAAZHJzL2Uyb0RvYy54bWytU0tu2zAQ3Rfo&#10;HQjua0k2nDaC5aCAkaJA0QZIegCaIi0C/IFDW/IF2ht01U33PZfP0SElO0WyySIbaoYzfDPvzWh1&#10;MxhNDiKAcrah1aykRFjuWmV3Df3+cPvuAyUQmW2ZdlY09CiA3qzfvln1vhZz1zndikAQxELd+4Z2&#10;Mfq6KIB3wjCYOS8sBqULhkV0w65oA+sR3ehiXpZXRe9C64PjAgBvN2OQTojhJYBOSsXFxvG9ETaO&#10;qEFoFpESdMoDXedupRQ8fpMSRCS6ocg05hOLoL1NZ7FesXoXmO8Un1pgL2nhCSfDlMWiF6gNi4zs&#10;g3oGZRQPDpyMM+5MMRLJiiCLqnyizX3HvMhcUGrwF9Hh9WD518NdIKpt6IISywwO/PTr5+n339Of&#10;H1dJnd5DjUn3/i5MHqCZqA4ymPRFEmTIih4vioohEo6XVblYlktKOIaqxfX7MitePD72AeIn4QxJ&#10;RkMDDizryA5fIGJBTD2npFrW3Sqt89C0JX1Dr5fzZX5wieALbVOuyOOfYBKNsfFkxWE7TGy2rj2i&#10;Aj2uQEMtbjwl+rNFhdO2nI1wNrZnY++D2nXYcZWrg/+4j9hbbjlVGGGx/+Tg7DKTac/Scvzv56zH&#10;f2v9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NeSKZfRAAAAAwEAAA8AAAAAAAAAAQAgAAAAIgAA&#10;AGRycy9kb3ducmV2LnhtbFBLAQIUABQAAAAIAIdO4kBWyLmx1gEAAKMDAAAOAAAAAAAAAAEAIAAA&#10;ACABAABkcnMvZTJvRG9jLnhtbFBLBQYAAAAABgAGAFkBAABoBQAAAAA=&#10;">
              <v:fill on="f" focussize="0,0"/>
              <v:stroke on="f"/>
              <v:imagedata o:title=""/>
              <o:lock v:ext="edit" aspectratio="f"/>
              <v:textbox inset="0mm,0mm,0mm,0mm" style="mso-fit-shape-to-text:t;">
                <w:txbxContent>
                  <w:p>
                    <w:pPr>
                      <w:snapToGrid w:val="0"/>
                      <w:rPr>
                        <w:sz w:val="18"/>
                      </w:rPr>
                    </w:pPr>
                  </w:p>
                </w:txbxContent>
              </v:textbox>
            </v:rect>
          </w:pict>
        </mc:Fallback>
      </mc:AlternateConten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1"/>
      </w:pBdr>
      <w:jc w:val="left"/>
    </w:pPr>
    <w:r>
      <w:rPr>
        <w:rFonts w:hint="eastAsia"/>
      </w:rPr>
      <w:t xml:space="preserve">温州市政府采购竞争性磋商文件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1"/>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both"/>
    </w:pPr>
    <w:r>
      <w:rPr>
        <w:rFonts w:hint="eastAsia" w:eastAsia="新宋体"/>
      </w:rPr>
      <w:t>温州市政府分散采购竞争性磋商文件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3307A7"/>
    <w:multiLevelType w:val="singleLevel"/>
    <w:tmpl w:val="8D3307A7"/>
    <w:lvl w:ilvl="0" w:tentative="0">
      <w:start w:val="7"/>
      <w:numFmt w:val="decimal"/>
      <w:lvlText w:val="%1."/>
      <w:lvlJc w:val="left"/>
      <w:pPr>
        <w:tabs>
          <w:tab w:val="left" w:pos="312"/>
        </w:tabs>
      </w:pPr>
    </w:lvl>
  </w:abstractNum>
  <w:abstractNum w:abstractNumId="1">
    <w:nsid w:val="A4F9B176"/>
    <w:multiLevelType w:val="singleLevel"/>
    <w:tmpl w:val="A4F9B176"/>
    <w:lvl w:ilvl="0" w:tentative="0">
      <w:start w:val="1"/>
      <w:numFmt w:val="decimal"/>
      <w:suff w:val="nothing"/>
      <w:lvlText w:val="%1）"/>
      <w:lvlJc w:val="left"/>
    </w:lvl>
  </w:abstractNum>
  <w:abstractNum w:abstractNumId="2">
    <w:nsid w:val="B04D8E0A"/>
    <w:multiLevelType w:val="multilevel"/>
    <w:tmpl w:val="B04D8E0A"/>
    <w:lvl w:ilvl="0" w:tentative="0">
      <w:start w:val="1"/>
      <w:numFmt w:val="chineseCounting"/>
      <w:suff w:val="nothing"/>
      <w:lvlText w:val="第%1章 "/>
      <w:lvlJc w:val="left"/>
      <w:pPr>
        <w:tabs>
          <w:tab w:val="left" w:pos="0"/>
        </w:tabs>
        <w:ind w:left="0" w:firstLine="0"/>
      </w:pPr>
      <w:rPr>
        <w:rFonts w:hint="eastAsia" w:ascii="宋体" w:hAnsi="宋体" w:eastAsia="宋体" w:cs="宋体"/>
      </w:rPr>
    </w:lvl>
    <w:lvl w:ilvl="1" w:tentative="0">
      <w:start w:val="1"/>
      <w:numFmt w:val="chineseCounting"/>
      <w:suff w:val="nothing"/>
      <w:lvlText w:val="%2、"/>
      <w:lvlJc w:val="left"/>
      <w:pPr>
        <w:ind w:left="0" w:firstLine="0"/>
      </w:pPr>
      <w:rPr>
        <w:rFonts w:hint="eastAsia" w:ascii="宋体" w:hAnsi="宋体" w:eastAsia="宋体" w:cs="宋体"/>
      </w:rPr>
    </w:lvl>
    <w:lvl w:ilvl="2" w:tentative="0">
      <w:start w:val="1"/>
      <w:numFmt w:val="chineseCounting"/>
      <w:pStyle w:val="416"/>
      <w:suff w:val="nothing"/>
      <w:lvlText w:val="(%3)"/>
      <w:lvlJc w:val="left"/>
      <w:pPr>
        <w:tabs>
          <w:tab w:val="left" w:pos="0"/>
        </w:tabs>
        <w:ind w:left="0" w:firstLine="0"/>
      </w:pPr>
      <w:rPr>
        <w:rFonts w:hint="eastAsia" w:ascii="宋体" w:hAnsi="宋体" w:eastAsia="宋体" w:cs="宋体"/>
      </w:rPr>
    </w:lvl>
    <w:lvl w:ilvl="3" w:tentative="0">
      <w:start w:val="1"/>
      <w:numFmt w:val="decimal"/>
      <w:pStyle w:val="414"/>
      <w:suff w:val="nothing"/>
      <w:lvlText w:val="%4."/>
      <w:lvlJc w:val="left"/>
      <w:pPr>
        <w:tabs>
          <w:tab w:val="left" w:pos="0"/>
        </w:tabs>
        <w:ind w:left="0" w:firstLine="0"/>
      </w:pPr>
      <w:rPr>
        <w:rFonts w:hint="eastAsia" w:ascii="宋体" w:hAnsi="宋体" w:eastAsia="宋体" w:cs="宋体"/>
      </w:rPr>
    </w:lvl>
    <w:lvl w:ilvl="4" w:tentative="0">
      <w:start w:val="1"/>
      <w:numFmt w:val="decimal"/>
      <w:suff w:val="nothing"/>
      <w:lvlText w:val="%4.%5"/>
      <w:lvlJc w:val="left"/>
      <w:pPr>
        <w:ind w:left="0" w:firstLine="0"/>
      </w:pPr>
      <w:rPr>
        <w:rFonts w:hint="eastAsia" w:ascii="宋体" w:hAnsi="宋体" w:eastAsia="宋体" w:cs="宋体"/>
      </w:rPr>
    </w:lvl>
    <w:lvl w:ilvl="5" w:tentative="0">
      <w:start w:val="1"/>
      <w:numFmt w:val="decimal"/>
      <w:pStyle w:val="418"/>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3">
    <w:nsid w:val="B319288F"/>
    <w:multiLevelType w:val="singleLevel"/>
    <w:tmpl w:val="B319288F"/>
    <w:lvl w:ilvl="0" w:tentative="0">
      <w:start w:val="1"/>
      <w:numFmt w:val="decimalEnclosedCircleChinese"/>
      <w:suff w:val="nothing"/>
      <w:lvlText w:val="%1　"/>
      <w:lvlJc w:val="left"/>
      <w:pPr>
        <w:ind w:left="0" w:firstLine="400"/>
      </w:pPr>
      <w:rPr>
        <w:rFonts w:hint="eastAsia"/>
      </w:rPr>
    </w:lvl>
  </w:abstractNum>
  <w:abstractNum w:abstractNumId="4">
    <w:nsid w:val="BB6172C2"/>
    <w:multiLevelType w:val="singleLevel"/>
    <w:tmpl w:val="BB6172C2"/>
    <w:lvl w:ilvl="0" w:tentative="0">
      <w:start w:val="1"/>
      <w:numFmt w:val="decimal"/>
      <w:suff w:val="nothing"/>
      <w:lvlText w:val="%1）"/>
      <w:lvlJc w:val="left"/>
    </w:lvl>
  </w:abstractNum>
  <w:abstractNum w:abstractNumId="5">
    <w:nsid w:val="C6E82396"/>
    <w:multiLevelType w:val="singleLevel"/>
    <w:tmpl w:val="C6E82396"/>
    <w:lvl w:ilvl="0" w:tentative="0">
      <w:start w:val="1"/>
      <w:numFmt w:val="decimal"/>
      <w:suff w:val="nothing"/>
      <w:lvlText w:val="%1）"/>
      <w:lvlJc w:val="left"/>
    </w:lvl>
  </w:abstractNum>
  <w:abstractNum w:abstractNumId="6">
    <w:nsid w:val="EAC07E0E"/>
    <w:multiLevelType w:val="singleLevel"/>
    <w:tmpl w:val="EAC07E0E"/>
    <w:lvl w:ilvl="0" w:tentative="0">
      <w:start w:val="1"/>
      <w:numFmt w:val="decimal"/>
      <w:suff w:val="nothing"/>
      <w:lvlText w:val="%1．"/>
      <w:lvlJc w:val="left"/>
      <w:pPr>
        <w:ind w:left="0" w:firstLine="400"/>
      </w:pPr>
      <w:rPr>
        <w:rFonts w:hint="default"/>
      </w:rPr>
    </w:lvl>
  </w:abstractNum>
  <w:abstractNum w:abstractNumId="7">
    <w:nsid w:val="00000006"/>
    <w:multiLevelType w:val="multilevel"/>
    <w:tmpl w:val="00000006"/>
    <w:lvl w:ilvl="0" w:tentative="0">
      <w:start w:val="1"/>
      <w:numFmt w:val="decimal"/>
      <w:pStyle w:val="17"/>
      <w:lvlText w:val="（%1）"/>
      <w:lvlJc w:val="left"/>
      <w:pPr>
        <w:tabs>
          <w:tab w:val="left" w:pos="1080"/>
        </w:tabs>
        <w:ind w:left="1080" w:hanging="10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07"/>
    <w:multiLevelType w:val="multilevel"/>
    <w:tmpl w:val="00000007"/>
    <w:lvl w:ilvl="0" w:tentative="0">
      <w:start w:val="5"/>
      <w:numFmt w:val="decimal"/>
      <w:pStyle w:val="265"/>
      <w:lvlText w:val="%1."/>
      <w:lvlJc w:val="left"/>
      <w:pPr>
        <w:tabs>
          <w:tab w:val="left" w:pos="360"/>
        </w:tabs>
        <w:ind w:left="360" w:hanging="360"/>
      </w:pPr>
      <w:rPr>
        <w:rFonts w:hint="default"/>
      </w:rPr>
    </w:lvl>
    <w:lvl w:ilvl="1" w:tentative="0">
      <w:start w:val="0"/>
      <w:numFmt w:val="none"/>
      <w:pStyle w:val="317"/>
      <w:lvlText w:val=""/>
      <w:lvlJc w:val="left"/>
      <w:pPr>
        <w:tabs>
          <w:tab w:val="left" w:pos="360"/>
        </w:tabs>
      </w:pPr>
    </w:lvl>
    <w:lvl w:ilvl="2" w:tentative="0">
      <w:start w:val="0"/>
      <w:numFmt w:val="none"/>
      <w:pStyle w:val="256"/>
      <w:lvlText w:val=""/>
      <w:lvlJc w:val="left"/>
      <w:pPr>
        <w:tabs>
          <w:tab w:val="left" w:pos="360"/>
        </w:tabs>
      </w:pPr>
    </w:lvl>
    <w:lvl w:ilvl="3" w:tentative="0">
      <w:start w:val="0"/>
      <w:numFmt w:val="none"/>
      <w:pStyle w:val="255"/>
      <w:lvlText w:val=""/>
      <w:lvlJc w:val="left"/>
      <w:pPr>
        <w:tabs>
          <w:tab w:val="left" w:pos="360"/>
        </w:tabs>
      </w:pPr>
    </w:lvl>
    <w:lvl w:ilvl="4" w:tentative="0">
      <w:start w:val="0"/>
      <w:numFmt w:val="none"/>
      <w:pStyle w:val="254"/>
      <w:lvlText w:val=""/>
      <w:lvlJc w:val="left"/>
      <w:pPr>
        <w:tabs>
          <w:tab w:val="left" w:pos="360"/>
        </w:tabs>
      </w:pPr>
    </w:lvl>
    <w:lvl w:ilvl="5" w:tentative="0">
      <w:start w:val="0"/>
      <w:numFmt w:val="none"/>
      <w:pStyle w:val="305"/>
      <w:lvlText w:val=""/>
      <w:lvlJc w:val="left"/>
      <w:pPr>
        <w:tabs>
          <w:tab w:val="left" w:pos="360"/>
        </w:tabs>
      </w:pPr>
    </w:lvl>
    <w:lvl w:ilvl="6" w:tentative="0">
      <w:start w:val="0"/>
      <w:numFmt w:val="none"/>
      <w:pStyle w:val="385"/>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9">
    <w:nsid w:val="00000031"/>
    <w:multiLevelType w:val="multilevel"/>
    <w:tmpl w:val="00000031"/>
    <w:lvl w:ilvl="0" w:tentative="0">
      <w:start w:val="1"/>
      <w:numFmt w:val="decimal"/>
      <w:lvlText w:val="（%1）"/>
      <w:lvlJc w:val="left"/>
      <w:pPr>
        <w:tabs>
          <w:tab w:val="left" w:pos="420"/>
        </w:tabs>
        <w:ind w:left="420" w:hanging="420"/>
      </w:pPr>
      <w:rPr>
        <w:rFonts w:hint="eastAsia" w:ascii="楷体_GB2312" w:eastAsia="楷体_GB2312"/>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60"/>
        </w:tabs>
        <w:ind w:left="1260" w:hanging="420"/>
      </w:pPr>
      <w:rPr>
        <w:b w:val="0"/>
        <w:i w:val="0"/>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41F06D4"/>
    <w:multiLevelType w:val="singleLevel"/>
    <w:tmpl w:val="041F06D4"/>
    <w:lvl w:ilvl="0" w:tentative="0">
      <w:start w:val="1"/>
      <w:numFmt w:val="chineseCounting"/>
      <w:suff w:val="nothing"/>
      <w:lvlText w:val="%1、"/>
      <w:lvlJc w:val="left"/>
      <w:pPr>
        <w:ind w:left="0" w:firstLine="420"/>
      </w:pPr>
      <w:rPr>
        <w:rFonts w:hint="eastAsia"/>
      </w:rPr>
    </w:lvl>
  </w:abstractNum>
  <w:abstractNum w:abstractNumId="11">
    <w:nsid w:val="0D1875C4"/>
    <w:multiLevelType w:val="multilevel"/>
    <w:tmpl w:val="0D1875C4"/>
    <w:lvl w:ilvl="0" w:tentative="0">
      <w:start w:val="1"/>
      <w:numFmt w:val="decimalEnclosedCircleChinese"/>
      <w:lvlText w:val="%1　"/>
      <w:lvlJc w:val="left"/>
      <w:pPr>
        <w:ind w:left="420" w:hanging="420"/>
      </w:pPr>
    </w:lvl>
    <w:lvl w:ilvl="1" w:tentative="0">
      <w:start w:val="1"/>
      <w:numFmt w:val="lowerLetter"/>
      <w:lvlText w:val="%2)"/>
      <w:lvlJc w:val="left"/>
      <w:pPr>
        <w:ind w:left="840" w:hanging="420"/>
      </w:pPr>
    </w:lvl>
    <w:lvl w:ilvl="2" w:tentative="0">
      <w:start w:val="1"/>
      <w:numFmt w:val="decimalEnclosedCircleChinese"/>
      <w:lvlText w:val="%3　"/>
      <w:lvlJc w:val="lef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1DB309F"/>
    <w:multiLevelType w:val="multilevel"/>
    <w:tmpl w:val="11DB309F"/>
    <w:lvl w:ilvl="0" w:tentative="0">
      <w:start w:val="1"/>
      <w:numFmt w:val="chineseCountingThousand"/>
      <w:pStyle w:val="401"/>
      <w:lvlText w:val="%1、"/>
      <w:lvlJc w:val="left"/>
      <w:pPr>
        <w:ind w:left="987" w:hanging="420"/>
      </w:pPr>
      <w:rPr>
        <w:rFonts w:hint="eastAsia"/>
        <w:b/>
        <w:bCs w:val="0"/>
        <w:i w:val="0"/>
        <w:iCs w:val="0"/>
        <w:caps w:val="0"/>
        <w:smallCaps w:val="0"/>
        <w:strike w:val="0"/>
        <w:dstrike w:val="0"/>
        <w:color w:val="000000"/>
        <w:spacing w:val="0"/>
        <w:position w:val="0"/>
        <w:u w:val="none"/>
      </w:rPr>
    </w:lvl>
    <w:lvl w:ilvl="1" w:tentative="0">
      <w:start w:val="1"/>
      <w:numFmt w:val="decimal"/>
      <w:pStyle w:val="403"/>
      <w:isLgl/>
      <w:lvlText w:val="%1.%2."/>
      <w:lvlJc w:val="left"/>
      <w:pPr>
        <w:tabs>
          <w:tab w:val="left" w:pos="431"/>
        </w:tabs>
        <w:ind w:left="0" w:firstLine="0"/>
      </w:pPr>
      <w:rPr>
        <w:rFonts w:hint="eastAsia"/>
        <w:b/>
        <w:i w:val="0"/>
        <w:sz w:val="28"/>
        <w:szCs w:val="28"/>
      </w:rPr>
    </w:lvl>
    <w:lvl w:ilvl="2" w:tentative="0">
      <w:start w:val="1"/>
      <w:numFmt w:val="decimal"/>
      <w:pStyle w:val="404"/>
      <w:isLgl/>
      <w:lvlText w:val="%1.%2.%3."/>
      <w:lvlJc w:val="left"/>
      <w:pPr>
        <w:tabs>
          <w:tab w:val="left" w:pos="1565"/>
        </w:tabs>
        <w:ind w:left="1134" w:firstLine="0"/>
      </w:pPr>
      <w:rPr>
        <w:rFonts w:hint="eastAsia"/>
        <w:b/>
        <w:i w:val="0"/>
        <w:sz w:val="28"/>
        <w:szCs w:val="28"/>
      </w:rPr>
    </w:lvl>
    <w:lvl w:ilvl="3" w:tentative="0">
      <w:start w:val="1"/>
      <w:numFmt w:val="decimal"/>
      <w:isLgl/>
      <w:lvlText w:val="%1.%2.%3.%4."/>
      <w:lvlJc w:val="left"/>
      <w:pPr>
        <w:tabs>
          <w:tab w:val="left" w:pos="431"/>
        </w:tabs>
        <w:ind w:left="0" w:firstLine="0"/>
      </w:pPr>
      <w:rPr>
        <w:rFonts w:hint="eastAsia"/>
        <w:b/>
        <w:i w:val="0"/>
        <w:sz w:val="28"/>
      </w:rPr>
    </w:lvl>
    <w:lvl w:ilvl="4" w:tentative="0">
      <w:start w:val="1"/>
      <w:numFmt w:val="decimal"/>
      <w:isLgl/>
      <w:lvlText w:val="%1.%2.%3.%4.%5."/>
      <w:lvlJc w:val="left"/>
      <w:pPr>
        <w:tabs>
          <w:tab w:val="left" w:pos="431"/>
        </w:tabs>
        <w:ind w:left="0" w:firstLine="0"/>
      </w:pPr>
      <w:rPr>
        <w:rFonts w:hint="eastAsia"/>
        <w:b/>
        <w:i w:val="0"/>
        <w:sz w:val="24"/>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3">
    <w:nsid w:val="13FE18C8"/>
    <w:multiLevelType w:val="multilevel"/>
    <w:tmpl w:val="13FE18C8"/>
    <w:lvl w:ilvl="0" w:tentative="0">
      <w:start w:val="1"/>
      <w:numFmt w:val="decimal"/>
      <w:lvlText w:val="%1."/>
      <w:lvlJc w:val="left"/>
      <w:pPr>
        <w:ind w:left="860" w:hanging="420"/>
      </w:p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14">
    <w:nsid w:val="16410696"/>
    <w:multiLevelType w:val="singleLevel"/>
    <w:tmpl w:val="16410696"/>
    <w:lvl w:ilvl="0" w:tentative="0">
      <w:start w:val="1"/>
      <w:numFmt w:val="decimal"/>
      <w:suff w:val="nothing"/>
      <w:lvlText w:val="%1）"/>
      <w:lvlJc w:val="left"/>
    </w:lvl>
  </w:abstractNum>
  <w:abstractNum w:abstractNumId="15">
    <w:nsid w:val="177D77AF"/>
    <w:multiLevelType w:val="singleLevel"/>
    <w:tmpl w:val="177D77AF"/>
    <w:lvl w:ilvl="0" w:tentative="0">
      <w:start w:val="1"/>
      <w:numFmt w:val="decimal"/>
      <w:suff w:val="nothing"/>
      <w:lvlText w:val="%1．"/>
      <w:lvlJc w:val="left"/>
      <w:pPr>
        <w:ind w:left="0" w:firstLine="400"/>
      </w:pPr>
      <w:rPr>
        <w:rFonts w:hint="default"/>
      </w:rPr>
    </w:lvl>
  </w:abstractNum>
  <w:abstractNum w:abstractNumId="16">
    <w:nsid w:val="1AFD0C82"/>
    <w:multiLevelType w:val="multilevel"/>
    <w:tmpl w:val="1AFD0C82"/>
    <w:lvl w:ilvl="0" w:tentative="0">
      <w:start w:val="1"/>
      <w:numFmt w:val="decimal"/>
      <w:lvlText w:val="%1."/>
      <w:lvlJc w:val="left"/>
      <w:pPr>
        <w:ind w:left="860" w:hanging="420"/>
      </w:p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17">
    <w:nsid w:val="30C31466"/>
    <w:multiLevelType w:val="singleLevel"/>
    <w:tmpl w:val="30C31466"/>
    <w:lvl w:ilvl="0" w:tentative="0">
      <w:start w:val="1"/>
      <w:numFmt w:val="decimal"/>
      <w:suff w:val="space"/>
      <w:lvlText w:val="%1."/>
      <w:lvlJc w:val="left"/>
    </w:lvl>
  </w:abstractNum>
  <w:abstractNum w:abstractNumId="18">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7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9">
    <w:nsid w:val="54F403B5"/>
    <w:multiLevelType w:val="singleLevel"/>
    <w:tmpl w:val="54F403B5"/>
    <w:lvl w:ilvl="0" w:tentative="0">
      <w:start w:val="1"/>
      <w:numFmt w:val="chineseCounting"/>
      <w:suff w:val="nothing"/>
      <w:lvlText w:val="%1、"/>
      <w:lvlJc w:val="left"/>
      <w:pPr>
        <w:ind w:left="0" w:firstLine="0"/>
      </w:pPr>
    </w:lvl>
  </w:abstractNum>
  <w:abstractNum w:abstractNumId="20">
    <w:nsid w:val="557FD3DA"/>
    <w:multiLevelType w:val="singleLevel"/>
    <w:tmpl w:val="557FD3DA"/>
    <w:lvl w:ilvl="0" w:tentative="0">
      <w:start w:val="3"/>
      <w:numFmt w:val="chineseCounting"/>
      <w:suff w:val="nothing"/>
      <w:lvlText w:val="%1、"/>
      <w:lvlJc w:val="left"/>
      <w:pPr>
        <w:ind w:left="0" w:firstLine="0"/>
      </w:pPr>
    </w:lvl>
  </w:abstractNum>
  <w:abstractNum w:abstractNumId="21">
    <w:nsid w:val="57D5443E"/>
    <w:multiLevelType w:val="multilevel"/>
    <w:tmpl w:val="57D5443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decimal"/>
      <w:lvlText w:val="%3."/>
      <w:lvlJc w:val="lef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661F27CA"/>
    <w:multiLevelType w:val="singleLevel"/>
    <w:tmpl w:val="661F27CA"/>
    <w:lvl w:ilvl="0" w:tentative="0">
      <w:start w:val="1"/>
      <w:numFmt w:val="decimal"/>
      <w:suff w:val="nothing"/>
      <w:lvlText w:val="（%1）"/>
      <w:lvlJc w:val="left"/>
    </w:lvl>
  </w:abstractNum>
  <w:abstractNum w:abstractNumId="23">
    <w:nsid w:val="6B2137A4"/>
    <w:multiLevelType w:val="singleLevel"/>
    <w:tmpl w:val="6B2137A4"/>
    <w:lvl w:ilvl="0" w:tentative="0">
      <w:start w:val="3"/>
      <w:numFmt w:val="chineseCounting"/>
      <w:suff w:val="space"/>
      <w:lvlText w:val="第%1部分"/>
      <w:lvlJc w:val="left"/>
      <w:rPr>
        <w:rFonts w:hint="eastAsia"/>
      </w:rPr>
    </w:lvl>
  </w:abstractNum>
  <w:abstractNum w:abstractNumId="24">
    <w:nsid w:val="6C07C839"/>
    <w:multiLevelType w:val="singleLevel"/>
    <w:tmpl w:val="6C07C839"/>
    <w:lvl w:ilvl="0" w:tentative="0">
      <w:start w:val="1"/>
      <w:numFmt w:val="decimal"/>
      <w:suff w:val="nothing"/>
      <w:lvlText w:val="（%1）"/>
      <w:lvlJc w:val="left"/>
    </w:lvl>
  </w:abstractNum>
  <w:abstractNum w:abstractNumId="25">
    <w:nsid w:val="7B9B3A13"/>
    <w:multiLevelType w:val="singleLevel"/>
    <w:tmpl w:val="7B9B3A13"/>
    <w:lvl w:ilvl="0" w:tentative="0">
      <w:start w:val="1"/>
      <w:numFmt w:val="decimalEnclosedCircleChinese"/>
      <w:suff w:val="nothing"/>
      <w:lvlText w:val="%1　"/>
      <w:lvlJc w:val="left"/>
      <w:pPr>
        <w:ind w:left="0" w:firstLine="400"/>
      </w:pPr>
      <w:rPr>
        <w:rFonts w:hint="eastAsia"/>
      </w:rPr>
    </w:lvl>
  </w:abstractNum>
  <w:num w:numId="1">
    <w:abstractNumId w:val="7"/>
  </w:num>
  <w:num w:numId="2">
    <w:abstractNumId w:val="18"/>
  </w:num>
  <w:num w:numId="3">
    <w:abstractNumId w:val="8"/>
  </w:num>
  <w:num w:numId="4">
    <w:abstractNumId w:val="12"/>
  </w:num>
  <w:num w:numId="5">
    <w:abstractNumId w:val="2"/>
  </w:num>
  <w:num w:numId="6">
    <w:abstractNumId w:val="22"/>
  </w:num>
  <w:num w:numId="7">
    <w:abstractNumId w:val="17"/>
  </w:num>
  <w:num w:numId="8">
    <w:abstractNumId w:val="25"/>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num>
  <w:num w:numId="12">
    <w:abstractNumId w:val="1"/>
    <w:lvlOverride w:ilvl="0">
      <w:startOverride w:val="1"/>
    </w:lvlOverride>
  </w:num>
  <w:num w:numId="13">
    <w:abstractNumId w:val="4"/>
    <w:lvlOverride w:ilvl="0">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num>
  <w:num w:numId="16">
    <w:abstractNumId w:val="19"/>
    <w:lvlOverride w:ilvl="0">
      <w:startOverride w:val="1"/>
    </w:lvlOverride>
  </w:num>
  <w:num w:numId="17">
    <w:abstractNumId w:val="20"/>
    <w:lvlOverride w:ilvl="0">
      <w:startOverride w:val="3"/>
    </w:lvlOverride>
  </w:num>
  <w:num w:numId="18">
    <w:abstractNumId w:val="21"/>
  </w:num>
  <w:num w:numId="19">
    <w:abstractNumId w:val="23"/>
  </w:num>
  <w:num w:numId="20">
    <w:abstractNumId w:val="10"/>
  </w:num>
  <w:num w:numId="21">
    <w:abstractNumId w:val="13"/>
  </w:num>
  <w:num w:numId="22">
    <w:abstractNumId w:val="16"/>
  </w:num>
  <w:num w:numId="23">
    <w:abstractNumId w:val="0"/>
  </w:num>
  <w:num w:numId="24">
    <w:abstractNumId w:val="15"/>
  </w:num>
  <w:num w:numId="25">
    <w:abstractNumId w:val="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4Y2FiM2Y2MWU2MDVmMTUxYjFkMDg4YjU4NmRhYmEifQ=="/>
  </w:docVars>
  <w:rsids>
    <w:rsidRoot w:val="00172A27"/>
    <w:rsid w:val="00001AD6"/>
    <w:rsid w:val="000020D1"/>
    <w:rsid w:val="0000469E"/>
    <w:rsid w:val="00004960"/>
    <w:rsid w:val="00013ACC"/>
    <w:rsid w:val="0001503C"/>
    <w:rsid w:val="00025364"/>
    <w:rsid w:val="00034534"/>
    <w:rsid w:val="00041F17"/>
    <w:rsid w:val="000429CF"/>
    <w:rsid w:val="000526A1"/>
    <w:rsid w:val="000528C6"/>
    <w:rsid w:val="00052D17"/>
    <w:rsid w:val="0006026B"/>
    <w:rsid w:val="00066192"/>
    <w:rsid w:val="00071105"/>
    <w:rsid w:val="000765F2"/>
    <w:rsid w:val="000772F6"/>
    <w:rsid w:val="000773D1"/>
    <w:rsid w:val="00080B28"/>
    <w:rsid w:val="00096BB9"/>
    <w:rsid w:val="000A0281"/>
    <w:rsid w:val="000A10A2"/>
    <w:rsid w:val="000A4F9A"/>
    <w:rsid w:val="000A5CCD"/>
    <w:rsid w:val="000A5CE7"/>
    <w:rsid w:val="000A7566"/>
    <w:rsid w:val="000B4E1F"/>
    <w:rsid w:val="000B668A"/>
    <w:rsid w:val="000B75CB"/>
    <w:rsid w:val="000C0DAD"/>
    <w:rsid w:val="000C1E25"/>
    <w:rsid w:val="000C1FCD"/>
    <w:rsid w:val="000C36B8"/>
    <w:rsid w:val="000C58F2"/>
    <w:rsid w:val="000D0679"/>
    <w:rsid w:val="000D3765"/>
    <w:rsid w:val="000D6DF2"/>
    <w:rsid w:val="000E37E0"/>
    <w:rsid w:val="000E3DDC"/>
    <w:rsid w:val="000E44B1"/>
    <w:rsid w:val="000E5247"/>
    <w:rsid w:val="000E6387"/>
    <w:rsid w:val="000E74F4"/>
    <w:rsid w:val="000F31F1"/>
    <w:rsid w:val="000F3394"/>
    <w:rsid w:val="000F6E07"/>
    <w:rsid w:val="000F7B5B"/>
    <w:rsid w:val="001005EE"/>
    <w:rsid w:val="00113898"/>
    <w:rsid w:val="0011598D"/>
    <w:rsid w:val="0011601B"/>
    <w:rsid w:val="001203C5"/>
    <w:rsid w:val="00120AE6"/>
    <w:rsid w:val="00120C4F"/>
    <w:rsid w:val="00124AC8"/>
    <w:rsid w:val="00132584"/>
    <w:rsid w:val="0013313F"/>
    <w:rsid w:val="00134359"/>
    <w:rsid w:val="00137AC1"/>
    <w:rsid w:val="001402DA"/>
    <w:rsid w:val="00152090"/>
    <w:rsid w:val="00152232"/>
    <w:rsid w:val="0015757C"/>
    <w:rsid w:val="00157A35"/>
    <w:rsid w:val="00157D81"/>
    <w:rsid w:val="00162E03"/>
    <w:rsid w:val="001652BE"/>
    <w:rsid w:val="00165AEE"/>
    <w:rsid w:val="00166956"/>
    <w:rsid w:val="00170DAE"/>
    <w:rsid w:val="00170F24"/>
    <w:rsid w:val="0017256F"/>
    <w:rsid w:val="00172A27"/>
    <w:rsid w:val="00173998"/>
    <w:rsid w:val="00184E8E"/>
    <w:rsid w:val="00185ECE"/>
    <w:rsid w:val="001907CE"/>
    <w:rsid w:val="00190FB5"/>
    <w:rsid w:val="001952CC"/>
    <w:rsid w:val="001A0A65"/>
    <w:rsid w:val="001A3735"/>
    <w:rsid w:val="001A5D6D"/>
    <w:rsid w:val="001A6E7D"/>
    <w:rsid w:val="001B192B"/>
    <w:rsid w:val="001B281E"/>
    <w:rsid w:val="001B4D71"/>
    <w:rsid w:val="001B5C4B"/>
    <w:rsid w:val="001B5DFA"/>
    <w:rsid w:val="001C18E4"/>
    <w:rsid w:val="001C6714"/>
    <w:rsid w:val="001D000C"/>
    <w:rsid w:val="001D14D6"/>
    <w:rsid w:val="001D1BF1"/>
    <w:rsid w:val="001D32C3"/>
    <w:rsid w:val="001E3203"/>
    <w:rsid w:val="001E37A9"/>
    <w:rsid w:val="001E5266"/>
    <w:rsid w:val="001E6123"/>
    <w:rsid w:val="001F04E0"/>
    <w:rsid w:val="001F10CC"/>
    <w:rsid w:val="001F23AA"/>
    <w:rsid w:val="001F55A7"/>
    <w:rsid w:val="00201066"/>
    <w:rsid w:val="00205090"/>
    <w:rsid w:val="00205A5C"/>
    <w:rsid w:val="002071D0"/>
    <w:rsid w:val="002135E8"/>
    <w:rsid w:val="00215129"/>
    <w:rsid w:val="00220A51"/>
    <w:rsid w:val="00222783"/>
    <w:rsid w:val="00225414"/>
    <w:rsid w:val="00225FB0"/>
    <w:rsid w:val="00231743"/>
    <w:rsid w:val="0023190C"/>
    <w:rsid w:val="00234100"/>
    <w:rsid w:val="00234C5A"/>
    <w:rsid w:val="00237F32"/>
    <w:rsid w:val="00240F97"/>
    <w:rsid w:val="002449E5"/>
    <w:rsid w:val="002452A3"/>
    <w:rsid w:val="002453F2"/>
    <w:rsid w:val="00245754"/>
    <w:rsid w:val="00245E73"/>
    <w:rsid w:val="00246487"/>
    <w:rsid w:val="0024764A"/>
    <w:rsid w:val="00247DAB"/>
    <w:rsid w:val="00252D92"/>
    <w:rsid w:val="002576FB"/>
    <w:rsid w:val="002612C9"/>
    <w:rsid w:val="002641BB"/>
    <w:rsid w:val="00264EB6"/>
    <w:rsid w:val="00264FE0"/>
    <w:rsid w:val="0026681B"/>
    <w:rsid w:val="002709D9"/>
    <w:rsid w:val="00277AE9"/>
    <w:rsid w:val="002808A3"/>
    <w:rsid w:val="00281371"/>
    <w:rsid w:val="0028173C"/>
    <w:rsid w:val="00282DEB"/>
    <w:rsid w:val="00283764"/>
    <w:rsid w:val="0028639F"/>
    <w:rsid w:val="0028749D"/>
    <w:rsid w:val="002A3701"/>
    <w:rsid w:val="002A6CD2"/>
    <w:rsid w:val="002B03FD"/>
    <w:rsid w:val="002B0EFA"/>
    <w:rsid w:val="002B20CC"/>
    <w:rsid w:val="002B7EA6"/>
    <w:rsid w:val="002C0713"/>
    <w:rsid w:val="002C0D0F"/>
    <w:rsid w:val="002C133A"/>
    <w:rsid w:val="002C1F7A"/>
    <w:rsid w:val="002C5FA2"/>
    <w:rsid w:val="002C6213"/>
    <w:rsid w:val="002D0620"/>
    <w:rsid w:val="002D1508"/>
    <w:rsid w:val="002D1925"/>
    <w:rsid w:val="002D2738"/>
    <w:rsid w:val="002D36F0"/>
    <w:rsid w:val="002D62CF"/>
    <w:rsid w:val="002D634E"/>
    <w:rsid w:val="002D6D42"/>
    <w:rsid w:val="002E3ED6"/>
    <w:rsid w:val="002E44AF"/>
    <w:rsid w:val="002E4E17"/>
    <w:rsid w:val="002F0B32"/>
    <w:rsid w:val="002F1A31"/>
    <w:rsid w:val="002F3DD5"/>
    <w:rsid w:val="002F4510"/>
    <w:rsid w:val="002F5652"/>
    <w:rsid w:val="002F5E0B"/>
    <w:rsid w:val="002F7683"/>
    <w:rsid w:val="003140D4"/>
    <w:rsid w:val="00317168"/>
    <w:rsid w:val="00320364"/>
    <w:rsid w:val="00320B5F"/>
    <w:rsid w:val="00322FA0"/>
    <w:rsid w:val="00323F2D"/>
    <w:rsid w:val="00324F57"/>
    <w:rsid w:val="00330F68"/>
    <w:rsid w:val="003317B4"/>
    <w:rsid w:val="003331F4"/>
    <w:rsid w:val="003334E2"/>
    <w:rsid w:val="00334582"/>
    <w:rsid w:val="00334CA0"/>
    <w:rsid w:val="00341A59"/>
    <w:rsid w:val="00346936"/>
    <w:rsid w:val="0035123F"/>
    <w:rsid w:val="0035369C"/>
    <w:rsid w:val="0035432D"/>
    <w:rsid w:val="00363654"/>
    <w:rsid w:val="003636A3"/>
    <w:rsid w:val="003666B1"/>
    <w:rsid w:val="00370103"/>
    <w:rsid w:val="0037030E"/>
    <w:rsid w:val="0037045B"/>
    <w:rsid w:val="00374BBC"/>
    <w:rsid w:val="00375698"/>
    <w:rsid w:val="003857DC"/>
    <w:rsid w:val="00390EFE"/>
    <w:rsid w:val="00392D90"/>
    <w:rsid w:val="00396FBE"/>
    <w:rsid w:val="003A1A9C"/>
    <w:rsid w:val="003A460D"/>
    <w:rsid w:val="003A5C49"/>
    <w:rsid w:val="003B4250"/>
    <w:rsid w:val="003B646F"/>
    <w:rsid w:val="003B6D7D"/>
    <w:rsid w:val="003C42C7"/>
    <w:rsid w:val="003D2933"/>
    <w:rsid w:val="003D3E56"/>
    <w:rsid w:val="003D43D9"/>
    <w:rsid w:val="003E1909"/>
    <w:rsid w:val="003E29FF"/>
    <w:rsid w:val="003F05A5"/>
    <w:rsid w:val="003F1255"/>
    <w:rsid w:val="003F47BE"/>
    <w:rsid w:val="0040337C"/>
    <w:rsid w:val="00405799"/>
    <w:rsid w:val="0040676D"/>
    <w:rsid w:val="00407C6C"/>
    <w:rsid w:val="004100A0"/>
    <w:rsid w:val="0042049E"/>
    <w:rsid w:val="00420711"/>
    <w:rsid w:val="0042311D"/>
    <w:rsid w:val="0042621A"/>
    <w:rsid w:val="00430108"/>
    <w:rsid w:val="0044037B"/>
    <w:rsid w:val="004412DE"/>
    <w:rsid w:val="004426E2"/>
    <w:rsid w:val="004456B0"/>
    <w:rsid w:val="00450B0B"/>
    <w:rsid w:val="004551E9"/>
    <w:rsid w:val="004574C5"/>
    <w:rsid w:val="00461365"/>
    <w:rsid w:val="00465153"/>
    <w:rsid w:val="0047158F"/>
    <w:rsid w:val="0047177A"/>
    <w:rsid w:val="004751C7"/>
    <w:rsid w:val="00475493"/>
    <w:rsid w:val="0047729E"/>
    <w:rsid w:val="0048063D"/>
    <w:rsid w:val="0048110A"/>
    <w:rsid w:val="00481F74"/>
    <w:rsid w:val="004821A8"/>
    <w:rsid w:val="00485DA9"/>
    <w:rsid w:val="004875E8"/>
    <w:rsid w:val="00491079"/>
    <w:rsid w:val="00492300"/>
    <w:rsid w:val="004956DF"/>
    <w:rsid w:val="004A1225"/>
    <w:rsid w:val="004A3332"/>
    <w:rsid w:val="004A66B6"/>
    <w:rsid w:val="004B02EF"/>
    <w:rsid w:val="004B3428"/>
    <w:rsid w:val="004B617F"/>
    <w:rsid w:val="004B7929"/>
    <w:rsid w:val="004C2CBB"/>
    <w:rsid w:val="004C3B37"/>
    <w:rsid w:val="004D36A4"/>
    <w:rsid w:val="004D50EE"/>
    <w:rsid w:val="004D7594"/>
    <w:rsid w:val="004E20EF"/>
    <w:rsid w:val="004E5358"/>
    <w:rsid w:val="004E5D4B"/>
    <w:rsid w:val="004F059F"/>
    <w:rsid w:val="004F246B"/>
    <w:rsid w:val="004F4042"/>
    <w:rsid w:val="004F5A73"/>
    <w:rsid w:val="004F63E8"/>
    <w:rsid w:val="004F6CC0"/>
    <w:rsid w:val="00502922"/>
    <w:rsid w:val="00503750"/>
    <w:rsid w:val="00504D6A"/>
    <w:rsid w:val="005055C9"/>
    <w:rsid w:val="005068B7"/>
    <w:rsid w:val="00506DDC"/>
    <w:rsid w:val="00510350"/>
    <w:rsid w:val="00511B93"/>
    <w:rsid w:val="00514650"/>
    <w:rsid w:val="00516E84"/>
    <w:rsid w:val="00520376"/>
    <w:rsid w:val="00525563"/>
    <w:rsid w:val="00526F98"/>
    <w:rsid w:val="00540F0D"/>
    <w:rsid w:val="00543D9A"/>
    <w:rsid w:val="00543E8A"/>
    <w:rsid w:val="00551F4A"/>
    <w:rsid w:val="00555D85"/>
    <w:rsid w:val="00564B33"/>
    <w:rsid w:val="005657AE"/>
    <w:rsid w:val="00565E06"/>
    <w:rsid w:val="00567CB7"/>
    <w:rsid w:val="005723EE"/>
    <w:rsid w:val="00572BE1"/>
    <w:rsid w:val="00573CEF"/>
    <w:rsid w:val="0057536A"/>
    <w:rsid w:val="005754DB"/>
    <w:rsid w:val="005756AB"/>
    <w:rsid w:val="00582C22"/>
    <w:rsid w:val="005830B3"/>
    <w:rsid w:val="00584716"/>
    <w:rsid w:val="00584782"/>
    <w:rsid w:val="00590DE4"/>
    <w:rsid w:val="005A43B4"/>
    <w:rsid w:val="005A6404"/>
    <w:rsid w:val="005B1363"/>
    <w:rsid w:val="005B3E6E"/>
    <w:rsid w:val="005C39EB"/>
    <w:rsid w:val="005C4976"/>
    <w:rsid w:val="005C5AA5"/>
    <w:rsid w:val="005D2F4F"/>
    <w:rsid w:val="005E1B91"/>
    <w:rsid w:val="005E4DB2"/>
    <w:rsid w:val="005F0D7E"/>
    <w:rsid w:val="005F178D"/>
    <w:rsid w:val="005F240B"/>
    <w:rsid w:val="005F2CA1"/>
    <w:rsid w:val="005F5C78"/>
    <w:rsid w:val="006015D9"/>
    <w:rsid w:val="0060182B"/>
    <w:rsid w:val="00603FC8"/>
    <w:rsid w:val="0060726C"/>
    <w:rsid w:val="0061049E"/>
    <w:rsid w:val="00610FBE"/>
    <w:rsid w:val="0061145C"/>
    <w:rsid w:val="00611E6C"/>
    <w:rsid w:val="00621A47"/>
    <w:rsid w:val="00623821"/>
    <w:rsid w:val="006241C3"/>
    <w:rsid w:val="0063428C"/>
    <w:rsid w:val="00636312"/>
    <w:rsid w:val="00636ED0"/>
    <w:rsid w:val="006419C3"/>
    <w:rsid w:val="00642E64"/>
    <w:rsid w:val="00643D21"/>
    <w:rsid w:val="006443C7"/>
    <w:rsid w:val="006459F0"/>
    <w:rsid w:val="00647E53"/>
    <w:rsid w:val="006513A6"/>
    <w:rsid w:val="00653BB6"/>
    <w:rsid w:val="00655A70"/>
    <w:rsid w:val="00664594"/>
    <w:rsid w:val="00664993"/>
    <w:rsid w:val="00665183"/>
    <w:rsid w:val="00667386"/>
    <w:rsid w:val="00667927"/>
    <w:rsid w:val="00670A21"/>
    <w:rsid w:val="00673E29"/>
    <w:rsid w:val="0067734C"/>
    <w:rsid w:val="0068035C"/>
    <w:rsid w:val="00682CF5"/>
    <w:rsid w:val="0068353C"/>
    <w:rsid w:val="00683600"/>
    <w:rsid w:val="0068688C"/>
    <w:rsid w:val="0069593E"/>
    <w:rsid w:val="006978FF"/>
    <w:rsid w:val="006A343B"/>
    <w:rsid w:val="006A5A69"/>
    <w:rsid w:val="006B22FC"/>
    <w:rsid w:val="006B4C92"/>
    <w:rsid w:val="006B50E2"/>
    <w:rsid w:val="006C1B2B"/>
    <w:rsid w:val="006C5B24"/>
    <w:rsid w:val="006C6FC8"/>
    <w:rsid w:val="006C7F73"/>
    <w:rsid w:val="006D0AD1"/>
    <w:rsid w:val="006D16A6"/>
    <w:rsid w:val="006D42FE"/>
    <w:rsid w:val="006D55EB"/>
    <w:rsid w:val="006D612A"/>
    <w:rsid w:val="006E2B22"/>
    <w:rsid w:val="006F000D"/>
    <w:rsid w:val="006F49BD"/>
    <w:rsid w:val="006F4AD3"/>
    <w:rsid w:val="00700C74"/>
    <w:rsid w:val="00705650"/>
    <w:rsid w:val="007105B1"/>
    <w:rsid w:val="00711DAF"/>
    <w:rsid w:val="007123A7"/>
    <w:rsid w:val="00712711"/>
    <w:rsid w:val="00712E65"/>
    <w:rsid w:val="00714E62"/>
    <w:rsid w:val="007173B9"/>
    <w:rsid w:val="00717483"/>
    <w:rsid w:val="007205BE"/>
    <w:rsid w:val="00722FCD"/>
    <w:rsid w:val="00723169"/>
    <w:rsid w:val="00723F9D"/>
    <w:rsid w:val="00730CD7"/>
    <w:rsid w:val="00733B00"/>
    <w:rsid w:val="007406E2"/>
    <w:rsid w:val="00740A4D"/>
    <w:rsid w:val="00742FBC"/>
    <w:rsid w:val="00744010"/>
    <w:rsid w:val="00745864"/>
    <w:rsid w:val="00745BB9"/>
    <w:rsid w:val="00747DF4"/>
    <w:rsid w:val="007527BF"/>
    <w:rsid w:val="00753F3F"/>
    <w:rsid w:val="0075741F"/>
    <w:rsid w:val="0076216B"/>
    <w:rsid w:val="007725D0"/>
    <w:rsid w:val="00774309"/>
    <w:rsid w:val="00774BAD"/>
    <w:rsid w:val="007778EB"/>
    <w:rsid w:val="00784419"/>
    <w:rsid w:val="00790A06"/>
    <w:rsid w:val="00791336"/>
    <w:rsid w:val="007916D7"/>
    <w:rsid w:val="00791EA1"/>
    <w:rsid w:val="00792948"/>
    <w:rsid w:val="00792CDE"/>
    <w:rsid w:val="007954D8"/>
    <w:rsid w:val="007A1A90"/>
    <w:rsid w:val="007A210A"/>
    <w:rsid w:val="007A22A3"/>
    <w:rsid w:val="007A464A"/>
    <w:rsid w:val="007B1683"/>
    <w:rsid w:val="007B1AB0"/>
    <w:rsid w:val="007B2CFE"/>
    <w:rsid w:val="007B338F"/>
    <w:rsid w:val="007B5423"/>
    <w:rsid w:val="007B6C9E"/>
    <w:rsid w:val="007B7415"/>
    <w:rsid w:val="007B7552"/>
    <w:rsid w:val="007C116E"/>
    <w:rsid w:val="007C26F8"/>
    <w:rsid w:val="007C3405"/>
    <w:rsid w:val="007D0799"/>
    <w:rsid w:val="007D10AB"/>
    <w:rsid w:val="007D3DCD"/>
    <w:rsid w:val="007D593F"/>
    <w:rsid w:val="007D6026"/>
    <w:rsid w:val="007E1DC4"/>
    <w:rsid w:val="00803D04"/>
    <w:rsid w:val="00807618"/>
    <w:rsid w:val="00807DB0"/>
    <w:rsid w:val="00811C8B"/>
    <w:rsid w:val="00814119"/>
    <w:rsid w:val="00814AB4"/>
    <w:rsid w:val="00815C67"/>
    <w:rsid w:val="00820228"/>
    <w:rsid w:val="0082536B"/>
    <w:rsid w:val="008318F6"/>
    <w:rsid w:val="00831A2F"/>
    <w:rsid w:val="00833C4E"/>
    <w:rsid w:val="008375FF"/>
    <w:rsid w:val="00843CA7"/>
    <w:rsid w:val="008442F6"/>
    <w:rsid w:val="00851013"/>
    <w:rsid w:val="00851143"/>
    <w:rsid w:val="008539D7"/>
    <w:rsid w:val="00860E97"/>
    <w:rsid w:val="0086117C"/>
    <w:rsid w:val="00864169"/>
    <w:rsid w:val="008653D9"/>
    <w:rsid w:val="00870DAA"/>
    <w:rsid w:val="008717EC"/>
    <w:rsid w:val="00872BA5"/>
    <w:rsid w:val="00874BD1"/>
    <w:rsid w:val="00876E97"/>
    <w:rsid w:val="00881A2F"/>
    <w:rsid w:val="008822EF"/>
    <w:rsid w:val="00882566"/>
    <w:rsid w:val="008866D8"/>
    <w:rsid w:val="00890575"/>
    <w:rsid w:val="008923AF"/>
    <w:rsid w:val="00893B7B"/>
    <w:rsid w:val="00896FA1"/>
    <w:rsid w:val="008A2005"/>
    <w:rsid w:val="008A348E"/>
    <w:rsid w:val="008A3D60"/>
    <w:rsid w:val="008A4BBE"/>
    <w:rsid w:val="008A7E00"/>
    <w:rsid w:val="008B114E"/>
    <w:rsid w:val="008B33C4"/>
    <w:rsid w:val="008C36F6"/>
    <w:rsid w:val="008C56BE"/>
    <w:rsid w:val="008C602C"/>
    <w:rsid w:val="008D0799"/>
    <w:rsid w:val="008D1E60"/>
    <w:rsid w:val="008D45E5"/>
    <w:rsid w:val="008D572F"/>
    <w:rsid w:val="008D6204"/>
    <w:rsid w:val="008D6B3F"/>
    <w:rsid w:val="008E3C58"/>
    <w:rsid w:val="008E5336"/>
    <w:rsid w:val="008E61B7"/>
    <w:rsid w:val="008E7F0A"/>
    <w:rsid w:val="008F267D"/>
    <w:rsid w:val="008F26E7"/>
    <w:rsid w:val="0090021D"/>
    <w:rsid w:val="00900D62"/>
    <w:rsid w:val="00904D66"/>
    <w:rsid w:val="0091292B"/>
    <w:rsid w:val="00921EBB"/>
    <w:rsid w:val="00921F47"/>
    <w:rsid w:val="0092578D"/>
    <w:rsid w:val="00930C30"/>
    <w:rsid w:val="009319D5"/>
    <w:rsid w:val="00932626"/>
    <w:rsid w:val="00933655"/>
    <w:rsid w:val="0093637C"/>
    <w:rsid w:val="00936A7D"/>
    <w:rsid w:val="00937D7D"/>
    <w:rsid w:val="00940B3D"/>
    <w:rsid w:val="00942007"/>
    <w:rsid w:val="0094329C"/>
    <w:rsid w:val="009443A3"/>
    <w:rsid w:val="0094534C"/>
    <w:rsid w:val="0094770C"/>
    <w:rsid w:val="009514CE"/>
    <w:rsid w:val="00967043"/>
    <w:rsid w:val="00967DE1"/>
    <w:rsid w:val="00977F88"/>
    <w:rsid w:val="0098645F"/>
    <w:rsid w:val="009913F0"/>
    <w:rsid w:val="009934FC"/>
    <w:rsid w:val="009937D6"/>
    <w:rsid w:val="00996A02"/>
    <w:rsid w:val="009A0264"/>
    <w:rsid w:val="009A0BB7"/>
    <w:rsid w:val="009A11E4"/>
    <w:rsid w:val="009A1613"/>
    <w:rsid w:val="009A25CC"/>
    <w:rsid w:val="009A289A"/>
    <w:rsid w:val="009A5AD0"/>
    <w:rsid w:val="009A6441"/>
    <w:rsid w:val="009A6530"/>
    <w:rsid w:val="009A6AB6"/>
    <w:rsid w:val="009A7560"/>
    <w:rsid w:val="009B1709"/>
    <w:rsid w:val="009B45BE"/>
    <w:rsid w:val="009B6778"/>
    <w:rsid w:val="009B6ABF"/>
    <w:rsid w:val="009B6F7A"/>
    <w:rsid w:val="009C21CC"/>
    <w:rsid w:val="009C4BEB"/>
    <w:rsid w:val="009C5451"/>
    <w:rsid w:val="009C6A10"/>
    <w:rsid w:val="009C6DEE"/>
    <w:rsid w:val="009D1055"/>
    <w:rsid w:val="009D3C50"/>
    <w:rsid w:val="009D6637"/>
    <w:rsid w:val="009D6B48"/>
    <w:rsid w:val="009D7984"/>
    <w:rsid w:val="009E4D2A"/>
    <w:rsid w:val="009F23DE"/>
    <w:rsid w:val="009F3B69"/>
    <w:rsid w:val="009F535E"/>
    <w:rsid w:val="009F7F82"/>
    <w:rsid w:val="00A00231"/>
    <w:rsid w:val="00A01D8A"/>
    <w:rsid w:val="00A039B7"/>
    <w:rsid w:val="00A03CB3"/>
    <w:rsid w:val="00A04039"/>
    <w:rsid w:val="00A05C4D"/>
    <w:rsid w:val="00A06171"/>
    <w:rsid w:val="00A069E6"/>
    <w:rsid w:val="00A06F22"/>
    <w:rsid w:val="00A074F6"/>
    <w:rsid w:val="00A1122E"/>
    <w:rsid w:val="00A11A46"/>
    <w:rsid w:val="00A15557"/>
    <w:rsid w:val="00A24318"/>
    <w:rsid w:val="00A24BF8"/>
    <w:rsid w:val="00A25327"/>
    <w:rsid w:val="00A27ECE"/>
    <w:rsid w:val="00A322A2"/>
    <w:rsid w:val="00A336F6"/>
    <w:rsid w:val="00A40E62"/>
    <w:rsid w:val="00A41277"/>
    <w:rsid w:val="00A45EBF"/>
    <w:rsid w:val="00A5256B"/>
    <w:rsid w:val="00A57B31"/>
    <w:rsid w:val="00A61F6C"/>
    <w:rsid w:val="00A62EB9"/>
    <w:rsid w:val="00A6485D"/>
    <w:rsid w:val="00A67510"/>
    <w:rsid w:val="00A7049C"/>
    <w:rsid w:val="00A7683E"/>
    <w:rsid w:val="00A80971"/>
    <w:rsid w:val="00A87A6E"/>
    <w:rsid w:val="00A91FBF"/>
    <w:rsid w:val="00A92AFD"/>
    <w:rsid w:val="00A94C0F"/>
    <w:rsid w:val="00AA137F"/>
    <w:rsid w:val="00AB0A9F"/>
    <w:rsid w:val="00AB1BAF"/>
    <w:rsid w:val="00AB2D72"/>
    <w:rsid w:val="00AB4423"/>
    <w:rsid w:val="00AB51E5"/>
    <w:rsid w:val="00AB5391"/>
    <w:rsid w:val="00AC0197"/>
    <w:rsid w:val="00AC368D"/>
    <w:rsid w:val="00AC4072"/>
    <w:rsid w:val="00AC4746"/>
    <w:rsid w:val="00AC5687"/>
    <w:rsid w:val="00AC77B7"/>
    <w:rsid w:val="00AD1E77"/>
    <w:rsid w:val="00AD3036"/>
    <w:rsid w:val="00AD4B49"/>
    <w:rsid w:val="00AE4A56"/>
    <w:rsid w:val="00AE4B5A"/>
    <w:rsid w:val="00AF7C86"/>
    <w:rsid w:val="00B035C0"/>
    <w:rsid w:val="00B04FA7"/>
    <w:rsid w:val="00B06C23"/>
    <w:rsid w:val="00B0754D"/>
    <w:rsid w:val="00B078E0"/>
    <w:rsid w:val="00B14FE4"/>
    <w:rsid w:val="00B159A8"/>
    <w:rsid w:val="00B20B2D"/>
    <w:rsid w:val="00B21EED"/>
    <w:rsid w:val="00B22E12"/>
    <w:rsid w:val="00B23A3B"/>
    <w:rsid w:val="00B2635D"/>
    <w:rsid w:val="00B26C5E"/>
    <w:rsid w:val="00B30887"/>
    <w:rsid w:val="00B33ED8"/>
    <w:rsid w:val="00B35FA3"/>
    <w:rsid w:val="00B41F38"/>
    <w:rsid w:val="00B45565"/>
    <w:rsid w:val="00B4577E"/>
    <w:rsid w:val="00B5194A"/>
    <w:rsid w:val="00B5707A"/>
    <w:rsid w:val="00B5793D"/>
    <w:rsid w:val="00B62FCB"/>
    <w:rsid w:val="00B65D90"/>
    <w:rsid w:val="00B67782"/>
    <w:rsid w:val="00B74335"/>
    <w:rsid w:val="00B754C4"/>
    <w:rsid w:val="00B75BC7"/>
    <w:rsid w:val="00B84069"/>
    <w:rsid w:val="00B84B79"/>
    <w:rsid w:val="00B939D8"/>
    <w:rsid w:val="00B9507C"/>
    <w:rsid w:val="00B95ECF"/>
    <w:rsid w:val="00BA16C6"/>
    <w:rsid w:val="00BA328E"/>
    <w:rsid w:val="00BA6683"/>
    <w:rsid w:val="00BB1A96"/>
    <w:rsid w:val="00BB3C54"/>
    <w:rsid w:val="00BB64C1"/>
    <w:rsid w:val="00BB73C4"/>
    <w:rsid w:val="00BC0D8B"/>
    <w:rsid w:val="00BC12BC"/>
    <w:rsid w:val="00BC543D"/>
    <w:rsid w:val="00BC65A3"/>
    <w:rsid w:val="00BC6892"/>
    <w:rsid w:val="00BD21F7"/>
    <w:rsid w:val="00BD6BA5"/>
    <w:rsid w:val="00BD6FC9"/>
    <w:rsid w:val="00BD7FF9"/>
    <w:rsid w:val="00BE4D4D"/>
    <w:rsid w:val="00BE4FDB"/>
    <w:rsid w:val="00BE5C2C"/>
    <w:rsid w:val="00BE6441"/>
    <w:rsid w:val="00BF05CF"/>
    <w:rsid w:val="00BF1E9B"/>
    <w:rsid w:val="00BF4ED2"/>
    <w:rsid w:val="00BF525E"/>
    <w:rsid w:val="00BF7AAB"/>
    <w:rsid w:val="00C0682B"/>
    <w:rsid w:val="00C06910"/>
    <w:rsid w:val="00C077A8"/>
    <w:rsid w:val="00C12586"/>
    <w:rsid w:val="00C13916"/>
    <w:rsid w:val="00C1467F"/>
    <w:rsid w:val="00C1508F"/>
    <w:rsid w:val="00C2178D"/>
    <w:rsid w:val="00C22710"/>
    <w:rsid w:val="00C24AA2"/>
    <w:rsid w:val="00C31A8F"/>
    <w:rsid w:val="00C37C6E"/>
    <w:rsid w:val="00C42F9E"/>
    <w:rsid w:val="00C43DD2"/>
    <w:rsid w:val="00C458ED"/>
    <w:rsid w:val="00C54D62"/>
    <w:rsid w:val="00C61CBD"/>
    <w:rsid w:val="00C652B8"/>
    <w:rsid w:val="00C66952"/>
    <w:rsid w:val="00C71351"/>
    <w:rsid w:val="00C7207C"/>
    <w:rsid w:val="00C72D05"/>
    <w:rsid w:val="00C731D8"/>
    <w:rsid w:val="00C77FB0"/>
    <w:rsid w:val="00C84CD5"/>
    <w:rsid w:val="00C850BE"/>
    <w:rsid w:val="00C86F88"/>
    <w:rsid w:val="00C90266"/>
    <w:rsid w:val="00C95B9B"/>
    <w:rsid w:val="00CA4352"/>
    <w:rsid w:val="00CA6D78"/>
    <w:rsid w:val="00CA7BB9"/>
    <w:rsid w:val="00CB2459"/>
    <w:rsid w:val="00CB24BB"/>
    <w:rsid w:val="00CB3536"/>
    <w:rsid w:val="00CB4265"/>
    <w:rsid w:val="00CB4992"/>
    <w:rsid w:val="00CC2550"/>
    <w:rsid w:val="00CC46CE"/>
    <w:rsid w:val="00CD15BF"/>
    <w:rsid w:val="00CD4069"/>
    <w:rsid w:val="00CD4742"/>
    <w:rsid w:val="00CD5845"/>
    <w:rsid w:val="00CD6F2E"/>
    <w:rsid w:val="00CE2EE3"/>
    <w:rsid w:val="00CE3202"/>
    <w:rsid w:val="00CF060E"/>
    <w:rsid w:val="00CF389B"/>
    <w:rsid w:val="00CF463C"/>
    <w:rsid w:val="00D01268"/>
    <w:rsid w:val="00D014C4"/>
    <w:rsid w:val="00D0767B"/>
    <w:rsid w:val="00D10E31"/>
    <w:rsid w:val="00D13922"/>
    <w:rsid w:val="00D13E0F"/>
    <w:rsid w:val="00D17007"/>
    <w:rsid w:val="00D20055"/>
    <w:rsid w:val="00D21CF6"/>
    <w:rsid w:val="00D23BC3"/>
    <w:rsid w:val="00D32B36"/>
    <w:rsid w:val="00D33026"/>
    <w:rsid w:val="00D34258"/>
    <w:rsid w:val="00D35CC6"/>
    <w:rsid w:val="00D35E50"/>
    <w:rsid w:val="00D35FE3"/>
    <w:rsid w:val="00D41307"/>
    <w:rsid w:val="00D4293A"/>
    <w:rsid w:val="00D46F99"/>
    <w:rsid w:val="00D4755E"/>
    <w:rsid w:val="00D55822"/>
    <w:rsid w:val="00D57394"/>
    <w:rsid w:val="00D615CA"/>
    <w:rsid w:val="00D6713E"/>
    <w:rsid w:val="00D671AC"/>
    <w:rsid w:val="00D7139C"/>
    <w:rsid w:val="00D74FA8"/>
    <w:rsid w:val="00D7691F"/>
    <w:rsid w:val="00D76BEB"/>
    <w:rsid w:val="00D82FD5"/>
    <w:rsid w:val="00D91FBD"/>
    <w:rsid w:val="00D929FD"/>
    <w:rsid w:val="00D95DCC"/>
    <w:rsid w:val="00D96DE7"/>
    <w:rsid w:val="00DA06AE"/>
    <w:rsid w:val="00DA0DE9"/>
    <w:rsid w:val="00DA7401"/>
    <w:rsid w:val="00DA741D"/>
    <w:rsid w:val="00DB09D1"/>
    <w:rsid w:val="00DB1366"/>
    <w:rsid w:val="00DB1C0A"/>
    <w:rsid w:val="00DC017B"/>
    <w:rsid w:val="00DC2E7E"/>
    <w:rsid w:val="00DC2FD7"/>
    <w:rsid w:val="00DC30FE"/>
    <w:rsid w:val="00DC6E00"/>
    <w:rsid w:val="00DD14D9"/>
    <w:rsid w:val="00DD1CE5"/>
    <w:rsid w:val="00DD4444"/>
    <w:rsid w:val="00DF014F"/>
    <w:rsid w:val="00DF3B73"/>
    <w:rsid w:val="00DF57E6"/>
    <w:rsid w:val="00E0204C"/>
    <w:rsid w:val="00E030C9"/>
    <w:rsid w:val="00E10C6F"/>
    <w:rsid w:val="00E15B0F"/>
    <w:rsid w:val="00E15FF8"/>
    <w:rsid w:val="00E171F7"/>
    <w:rsid w:val="00E172E7"/>
    <w:rsid w:val="00E202C6"/>
    <w:rsid w:val="00E20409"/>
    <w:rsid w:val="00E20494"/>
    <w:rsid w:val="00E23410"/>
    <w:rsid w:val="00E25B77"/>
    <w:rsid w:val="00E25CB9"/>
    <w:rsid w:val="00E26DBA"/>
    <w:rsid w:val="00E33246"/>
    <w:rsid w:val="00E34CCD"/>
    <w:rsid w:val="00E34CF2"/>
    <w:rsid w:val="00E34E3C"/>
    <w:rsid w:val="00E37F50"/>
    <w:rsid w:val="00E4108C"/>
    <w:rsid w:val="00E41128"/>
    <w:rsid w:val="00E41227"/>
    <w:rsid w:val="00E414B4"/>
    <w:rsid w:val="00E42E9C"/>
    <w:rsid w:val="00E42F32"/>
    <w:rsid w:val="00E4402E"/>
    <w:rsid w:val="00E45AFA"/>
    <w:rsid w:val="00E46540"/>
    <w:rsid w:val="00E46994"/>
    <w:rsid w:val="00E46E63"/>
    <w:rsid w:val="00E53E0C"/>
    <w:rsid w:val="00E550A3"/>
    <w:rsid w:val="00E5527F"/>
    <w:rsid w:val="00E64671"/>
    <w:rsid w:val="00E6517A"/>
    <w:rsid w:val="00E65CDA"/>
    <w:rsid w:val="00E65FC2"/>
    <w:rsid w:val="00E66729"/>
    <w:rsid w:val="00E66F77"/>
    <w:rsid w:val="00E70A19"/>
    <w:rsid w:val="00E7133D"/>
    <w:rsid w:val="00E72FC3"/>
    <w:rsid w:val="00E7428D"/>
    <w:rsid w:val="00E74B44"/>
    <w:rsid w:val="00E756D4"/>
    <w:rsid w:val="00E75C0C"/>
    <w:rsid w:val="00E81B5B"/>
    <w:rsid w:val="00E8358F"/>
    <w:rsid w:val="00E842F5"/>
    <w:rsid w:val="00E91E5B"/>
    <w:rsid w:val="00E949B9"/>
    <w:rsid w:val="00EA55D3"/>
    <w:rsid w:val="00EA64CC"/>
    <w:rsid w:val="00EB3213"/>
    <w:rsid w:val="00EB35A4"/>
    <w:rsid w:val="00EB4DC1"/>
    <w:rsid w:val="00EB7FC5"/>
    <w:rsid w:val="00EC1014"/>
    <w:rsid w:val="00EC3841"/>
    <w:rsid w:val="00EC44A8"/>
    <w:rsid w:val="00EC5B74"/>
    <w:rsid w:val="00EC61A3"/>
    <w:rsid w:val="00ED2F44"/>
    <w:rsid w:val="00ED59D5"/>
    <w:rsid w:val="00EE17BE"/>
    <w:rsid w:val="00EE4D4A"/>
    <w:rsid w:val="00EE5E1C"/>
    <w:rsid w:val="00EE6590"/>
    <w:rsid w:val="00EE65B0"/>
    <w:rsid w:val="00EE66B1"/>
    <w:rsid w:val="00EF77E0"/>
    <w:rsid w:val="00F00D23"/>
    <w:rsid w:val="00F02922"/>
    <w:rsid w:val="00F032A0"/>
    <w:rsid w:val="00F0539C"/>
    <w:rsid w:val="00F054C4"/>
    <w:rsid w:val="00F06DE3"/>
    <w:rsid w:val="00F0786C"/>
    <w:rsid w:val="00F1088D"/>
    <w:rsid w:val="00F127F0"/>
    <w:rsid w:val="00F1680D"/>
    <w:rsid w:val="00F17807"/>
    <w:rsid w:val="00F17ECE"/>
    <w:rsid w:val="00F2202D"/>
    <w:rsid w:val="00F23399"/>
    <w:rsid w:val="00F27AF4"/>
    <w:rsid w:val="00F320F9"/>
    <w:rsid w:val="00F366DD"/>
    <w:rsid w:val="00F37EC9"/>
    <w:rsid w:val="00F37F56"/>
    <w:rsid w:val="00F41FB4"/>
    <w:rsid w:val="00F433AF"/>
    <w:rsid w:val="00F50830"/>
    <w:rsid w:val="00F642DD"/>
    <w:rsid w:val="00F65910"/>
    <w:rsid w:val="00F6734A"/>
    <w:rsid w:val="00F67754"/>
    <w:rsid w:val="00F701AF"/>
    <w:rsid w:val="00F71FEA"/>
    <w:rsid w:val="00F726E3"/>
    <w:rsid w:val="00F72D91"/>
    <w:rsid w:val="00F7396B"/>
    <w:rsid w:val="00F75B38"/>
    <w:rsid w:val="00F75D02"/>
    <w:rsid w:val="00F76E40"/>
    <w:rsid w:val="00F815A1"/>
    <w:rsid w:val="00F8287B"/>
    <w:rsid w:val="00F85C36"/>
    <w:rsid w:val="00F866C3"/>
    <w:rsid w:val="00F9119F"/>
    <w:rsid w:val="00F93B86"/>
    <w:rsid w:val="00FA2EAD"/>
    <w:rsid w:val="00FA3209"/>
    <w:rsid w:val="00FA4398"/>
    <w:rsid w:val="00FA52BA"/>
    <w:rsid w:val="00FA60AA"/>
    <w:rsid w:val="00FA74B5"/>
    <w:rsid w:val="00FA75BD"/>
    <w:rsid w:val="00FA7FE1"/>
    <w:rsid w:val="00FB01E9"/>
    <w:rsid w:val="00FB0F30"/>
    <w:rsid w:val="00FB42A5"/>
    <w:rsid w:val="00FC10E2"/>
    <w:rsid w:val="00FC2430"/>
    <w:rsid w:val="00FC3BD6"/>
    <w:rsid w:val="00FC471F"/>
    <w:rsid w:val="00FC47B4"/>
    <w:rsid w:val="00FC553F"/>
    <w:rsid w:val="00FD4636"/>
    <w:rsid w:val="00FD4C7B"/>
    <w:rsid w:val="00FD5CCD"/>
    <w:rsid w:val="00FD6264"/>
    <w:rsid w:val="00FD67BD"/>
    <w:rsid w:val="00FE0AF8"/>
    <w:rsid w:val="00FE3141"/>
    <w:rsid w:val="00FE5B28"/>
    <w:rsid w:val="00FE6290"/>
    <w:rsid w:val="00FE69FA"/>
    <w:rsid w:val="00FF0768"/>
    <w:rsid w:val="00FF09CE"/>
    <w:rsid w:val="00FF2966"/>
    <w:rsid w:val="00FF2A9B"/>
    <w:rsid w:val="010C299E"/>
    <w:rsid w:val="01B45B7C"/>
    <w:rsid w:val="01B47E04"/>
    <w:rsid w:val="01C24651"/>
    <w:rsid w:val="01CD48C4"/>
    <w:rsid w:val="01F2424D"/>
    <w:rsid w:val="01F87633"/>
    <w:rsid w:val="021E018C"/>
    <w:rsid w:val="029A7603"/>
    <w:rsid w:val="02C32E72"/>
    <w:rsid w:val="02D620B1"/>
    <w:rsid w:val="02DB0EDF"/>
    <w:rsid w:val="03096EC1"/>
    <w:rsid w:val="031713E0"/>
    <w:rsid w:val="032834C4"/>
    <w:rsid w:val="033A7F35"/>
    <w:rsid w:val="03450FE6"/>
    <w:rsid w:val="034A70C0"/>
    <w:rsid w:val="03782633"/>
    <w:rsid w:val="037B3BA0"/>
    <w:rsid w:val="037E70EF"/>
    <w:rsid w:val="038C592B"/>
    <w:rsid w:val="03AD29B9"/>
    <w:rsid w:val="03FC4F5A"/>
    <w:rsid w:val="03FD6D49"/>
    <w:rsid w:val="041F20B5"/>
    <w:rsid w:val="042F5D1F"/>
    <w:rsid w:val="043E5BE8"/>
    <w:rsid w:val="04637138"/>
    <w:rsid w:val="046973F8"/>
    <w:rsid w:val="048C1F56"/>
    <w:rsid w:val="05471F71"/>
    <w:rsid w:val="05A56CF5"/>
    <w:rsid w:val="05B76009"/>
    <w:rsid w:val="05C6167D"/>
    <w:rsid w:val="05ED6D79"/>
    <w:rsid w:val="05EE2C8F"/>
    <w:rsid w:val="061D39F6"/>
    <w:rsid w:val="061F7618"/>
    <w:rsid w:val="063D254D"/>
    <w:rsid w:val="066B44FC"/>
    <w:rsid w:val="06E420C0"/>
    <w:rsid w:val="07497FDB"/>
    <w:rsid w:val="077433C6"/>
    <w:rsid w:val="07B372CA"/>
    <w:rsid w:val="07EE4D0C"/>
    <w:rsid w:val="08026841"/>
    <w:rsid w:val="082E3533"/>
    <w:rsid w:val="08680A79"/>
    <w:rsid w:val="08680FC0"/>
    <w:rsid w:val="086A0CF9"/>
    <w:rsid w:val="08941636"/>
    <w:rsid w:val="08BB7EF3"/>
    <w:rsid w:val="08C7561E"/>
    <w:rsid w:val="090303BC"/>
    <w:rsid w:val="093E6CBB"/>
    <w:rsid w:val="095061A9"/>
    <w:rsid w:val="097932C0"/>
    <w:rsid w:val="097A3FC6"/>
    <w:rsid w:val="09872764"/>
    <w:rsid w:val="09B90AF0"/>
    <w:rsid w:val="09C636C7"/>
    <w:rsid w:val="0A586FA5"/>
    <w:rsid w:val="0A674E03"/>
    <w:rsid w:val="0A7050A8"/>
    <w:rsid w:val="0A8355EC"/>
    <w:rsid w:val="0A8869D0"/>
    <w:rsid w:val="0AC330E3"/>
    <w:rsid w:val="0AC41B74"/>
    <w:rsid w:val="0B540EAA"/>
    <w:rsid w:val="0B683CCA"/>
    <w:rsid w:val="0B72274B"/>
    <w:rsid w:val="0B7F7CDB"/>
    <w:rsid w:val="0B951F1D"/>
    <w:rsid w:val="0B9C12BB"/>
    <w:rsid w:val="0BA01E81"/>
    <w:rsid w:val="0BE12B86"/>
    <w:rsid w:val="0BFD6957"/>
    <w:rsid w:val="0C134260"/>
    <w:rsid w:val="0C3F5977"/>
    <w:rsid w:val="0C466FEC"/>
    <w:rsid w:val="0C6F3ECB"/>
    <w:rsid w:val="0C76732F"/>
    <w:rsid w:val="0C872D00"/>
    <w:rsid w:val="0CB755D9"/>
    <w:rsid w:val="0CC45B7A"/>
    <w:rsid w:val="0CC472BF"/>
    <w:rsid w:val="0CC72A85"/>
    <w:rsid w:val="0D1A352B"/>
    <w:rsid w:val="0D2014B3"/>
    <w:rsid w:val="0D5A4DF7"/>
    <w:rsid w:val="0D831805"/>
    <w:rsid w:val="0DAE1B6A"/>
    <w:rsid w:val="0DB57E54"/>
    <w:rsid w:val="0DCF41A4"/>
    <w:rsid w:val="0E0D3A67"/>
    <w:rsid w:val="0E2A1C4C"/>
    <w:rsid w:val="0E617999"/>
    <w:rsid w:val="0EC54667"/>
    <w:rsid w:val="0ED56536"/>
    <w:rsid w:val="0EDF2614"/>
    <w:rsid w:val="0EEB6487"/>
    <w:rsid w:val="0F32477C"/>
    <w:rsid w:val="0F405A07"/>
    <w:rsid w:val="0FE47865"/>
    <w:rsid w:val="0FFB2DDB"/>
    <w:rsid w:val="0FFC029B"/>
    <w:rsid w:val="10246B23"/>
    <w:rsid w:val="104E5241"/>
    <w:rsid w:val="10DB1A50"/>
    <w:rsid w:val="10DF5386"/>
    <w:rsid w:val="10E92771"/>
    <w:rsid w:val="11445B88"/>
    <w:rsid w:val="11554E4A"/>
    <w:rsid w:val="117311E0"/>
    <w:rsid w:val="11754949"/>
    <w:rsid w:val="118C25D2"/>
    <w:rsid w:val="11AA1D9C"/>
    <w:rsid w:val="11D0273B"/>
    <w:rsid w:val="11E65705"/>
    <w:rsid w:val="11ED1C8A"/>
    <w:rsid w:val="1207521D"/>
    <w:rsid w:val="12116261"/>
    <w:rsid w:val="12434E14"/>
    <w:rsid w:val="12711568"/>
    <w:rsid w:val="129A1939"/>
    <w:rsid w:val="12DF03B0"/>
    <w:rsid w:val="1331710B"/>
    <w:rsid w:val="134E68E8"/>
    <w:rsid w:val="135C425F"/>
    <w:rsid w:val="137B13C9"/>
    <w:rsid w:val="1424395D"/>
    <w:rsid w:val="1434754B"/>
    <w:rsid w:val="144D4FFE"/>
    <w:rsid w:val="14530B1D"/>
    <w:rsid w:val="14684F04"/>
    <w:rsid w:val="146D5F7F"/>
    <w:rsid w:val="14785DA1"/>
    <w:rsid w:val="148F289E"/>
    <w:rsid w:val="14DC2DA6"/>
    <w:rsid w:val="14E41A0F"/>
    <w:rsid w:val="14F01823"/>
    <w:rsid w:val="14F17392"/>
    <w:rsid w:val="1524253E"/>
    <w:rsid w:val="152F5B8A"/>
    <w:rsid w:val="155764B8"/>
    <w:rsid w:val="16283355"/>
    <w:rsid w:val="162954CA"/>
    <w:rsid w:val="16786187"/>
    <w:rsid w:val="16D44DE6"/>
    <w:rsid w:val="16D53262"/>
    <w:rsid w:val="16DB4F0E"/>
    <w:rsid w:val="172A3985"/>
    <w:rsid w:val="17372BA0"/>
    <w:rsid w:val="176A2BA8"/>
    <w:rsid w:val="17A26C7E"/>
    <w:rsid w:val="17C8687A"/>
    <w:rsid w:val="17CD687D"/>
    <w:rsid w:val="17F7539F"/>
    <w:rsid w:val="17FA6B75"/>
    <w:rsid w:val="180551D2"/>
    <w:rsid w:val="183F5A03"/>
    <w:rsid w:val="186967FA"/>
    <w:rsid w:val="18782CBE"/>
    <w:rsid w:val="18860743"/>
    <w:rsid w:val="1889564E"/>
    <w:rsid w:val="18960F6A"/>
    <w:rsid w:val="18A70358"/>
    <w:rsid w:val="18B02EF0"/>
    <w:rsid w:val="18C16FA3"/>
    <w:rsid w:val="18F56002"/>
    <w:rsid w:val="18F66F2C"/>
    <w:rsid w:val="19004393"/>
    <w:rsid w:val="197B093F"/>
    <w:rsid w:val="19940570"/>
    <w:rsid w:val="19D324A6"/>
    <w:rsid w:val="19DB4496"/>
    <w:rsid w:val="19E415C3"/>
    <w:rsid w:val="1A143B2C"/>
    <w:rsid w:val="1A2B02BF"/>
    <w:rsid w:val="1A4873DF"/>
    <w:rsid w:val="1A5F3BE3"/>
    <w:rsid w:val="1AD24133"/>
    <w:rsid w:val="1B451064"/>
    <w:rsid w:val="1B467292"/>
    <w:rsid w:val="1B5A1DB3"/>
    <w:rsid w:val="1B604803"/>
    <w:rsid w:val="1B6F38C7"/>
    <w:rsid w:val="1B9E21F7"/>
    <w:rsid w:val="1BA841A6"/>
    <w:rsid w:val="1BBA200E"/>
    <w:rsid w:val="1BBF5CF1"/>
    <w:rsid w:val="1BE9633E"/>
    <w:rsid w:val="1BF77953"/>
    <w:rsid w:val="1BF8751F"/>
    <w:rsid w:val="1C212113"/>
    <w:rsid w:val="1C303CB5"/>
    <w:rsid w:val="1C584C52"/>
    <w:rsid w:val="1C8A614F"/>
    <w:rsid w:val="1C952DFD"/>
    <w:rsid w:val="1CA8246A"/>
    <w:rsid w:val="1CBC2927"/>
    <w:rsid w:val="1CD113E7"/>
    <w:rsid w:val="1D1357AF"/>
    <w:rsid w:val="1D561100"/>
    <w:rsid w:val="1D747847"/>
    <w:rsid w:val="1DAF24EA"/>
    <w:rsid w:val="1DD16355"/>
    <w:rsid w:val="1E4254EE"/>
    <w:rsid w:val="1E8E2DB0"/>
    <w:rsid w:val="1EB525EF"/>
    <w:rsid w:val="1EB6109D"/>
    <w:rsid w:val="1EFD40FB"/>
    <w:rsid w:val="1F165C7A"/>
    <w:rsid w:val="1F571EF6"/>
    <w:rsid w:val="1F7F2800"/>
    <w:rsid w:val="1FA369F9"/>
    <w:rsid w:val="1FBD220D"/>
    <w:rsid w:val="1FDD44EC"/>
    <w:rsid w:val="1FE315A6"/>
    <w:rsid w:val="1FE972BD"/>
    <w:rsid w:val="200810C6"/>
    <w:rsid w:val="202A422D"/>
    <w:rsid w:val="20561532"/>
    <w:rsid w:val="20DA787E"/>
    <w:rsid w:val="213F0E29"/>
    <w:rsid w:val="21461EB5"/>
    <w:rsid w:val="21584AE0"/>
    <w:rsid w:val="215F06A9"/>
    <w:rsid w:val="218472E2"/>
    <w:rsid w:val="219B2BCD"/>
    <w:rsid w:val="21A2053F"/>
    <w:rsid w:val="21A46708"/>
    <w:rsid w:val="21BB5A00"/>
    <w:rsid w:val="21E005E5"/>
    <w:rsid w:val="220B649F"/>
    <w:rsid w:val="22146A1A"/>
    <w:rsid w:val="22430565"/>
    <w:rsid w:val="22C44C41"/>
    <w:rsid w:val="22DB181A"/>
    <w:rsid w:val="22E56CDD"/>
    <w:rsid w:val="22F11B81"/>
    <w:rsid w:val="23065A9C"/>
    <w:rsid w:val="23071217"/>
    <w:rsid w:val="23126C9F"/>
    <w:rsid w:val="232C412B"/>
    <w:rsid w:val="2337124B"/>
    <w:rsid w:val="23375FDD"/>
    <w:rsid w:val="234E4FBC"/>
    <w:rsid w:val="23A63306"/>
    <w:rsid w:val="23AA48AE"/>
    <w:rsid w:val="23B86D20"/>
    <w:rsid w:val="23EF6308"/>
    <w:rsid w:val="24596D0B"/>
    <w:rsid w:val="24627C84"/>
    <w:rsid w:val="247054DD"/>
    <w:rsid w:val="24776664"/>
    <w:rsid w:val="249A4DCC"/>
    <w:rsid w:val="24B94B05"/>
    <w:rsid w:val="24E42CD7"/>
    <w:rsid w:val="252869A4"/>
    <w:rsid w:val="253C7016"/>
    <w:rsid w:val="253D2474"/>
    <w:rsid w:val="25457FB6"/>
    <w:rsid w:val="25552778"/>
    <w:rsid w:val="25870A1F"/>
    <w:rsid w:val="259A7A73"/>
    <w:rsid w:val="25AE615B"/>
    <w:rsid w:val="25B44F23"/>
    <w:rsid w:val="25EF7AF6"/>
    <w:rsid w:val="261B5B20"/>
    <w:rsid w:val="262F2132"/>
    <w:rsid w:val="265922A8"/>
    <w:rsid w:val="2663629C"/>
    <w:rsid w:val="266A6A94"/>
    <w:rsid w:val="2673376C"/>
    <w:rsid w:val="268372E1"/>
    <w:rsid w:val="2688487A"/>
    <w:rsid w:val="269E07D3"/>
    <w:rsid w:val="26B36C9D"/>
    <w:rsid w:val="26BE18AD"/>
    <w:rsid w:val="26BF0BCC"/>
    <w:rsid w:val="26D854EC"/>
    <w:rsid w:val="2702009F"/>
    <w:rsid w:val="27466F6A"/>
    <w:rsid w:val="274C7976"/>
    <w:rsid w:val="276A728C"/>
    <w:rsid w:val="277B1307"/>
    <w:rsid w:val="279E0C22"/>
    <w:rsid w:val="27AF1622"/>
    <w:rsid w:val="27BD7052"/>
    <w:rsid w:val="27CE221E"/>
    <w:rsid w:val="27E360FC"/>
    <w:rsid w:val="281D37D1"/>
    <w:rsid w:val="283D2DCC"/>
    <w:rsid w:val="283E5AA6"/>
    <w:rsid w:val="28476CD8"/>
    <w:rsid w:val="28582A1F"/>
    <w:rsid w:val="285B0541"/>
    <w:rsid w:val="286A2C97"/>
    <w:rsid w:val="28753064"/>
    <w:rsid w:val="287C1549"/>
    <w:rsid w:val="28CC28F0"/>
    <w:rsid w:val="28ED41CD"/>
    <w:rsid w:val="2904650E"/>
    <w:rsid w:val="2916166F"/>
    <w:rsid w:val="291C39BD"/>
    <w:rsid w:val="292C29B1"/>
    <w:rsid w:val="29431FF9"/>
    <w:rsid w:val="29500600"/>
    <w:rsid w:val="29E47C3C"/>
    <w:rsid w:val="29F50F47"/>
    <w:rsid w:val="2A0D3519"/>
    <w:rsid w:val="2A4944AA"/>
    <w:rsid w:val="2A540B7F"/>
    <w:rsid w:val="2A5F7A43"/>
    <w:rsid w:val="2AA607D0"/>
    <w:rsid w:val="2AC667BC"/>
    <w:rsid w:val="2B23575A"/>
    <w:rsid w:val="2B632C0D"/>
    <w:rsid w:val="2BAA609E"/>
    <w:rsid w:val="2BD64CE6"/>
    <w:rsid w:val="2BFD0DE3"/>
    <w:rsid w:val="2C1670E7"/>
    <w:rsid w:val="2C216C4A"/>
    <w:rsid w:val="2C23181A"/>
    <w:rsid w:val="2C5013BA"/>
    <w:rsid w:val="2CB16390"/>
    <w:rsid w:val="2CE12781"/>
    <w:rsid w:val="2CFA3055"/>
    <w:rsid w:val="2CFB5BBB"/>
    <w:rsid w:val="2D1452EE"/>
    <w:rsid w:val="2D32451B"/>
    <w:rsid w:val="2D81205D"/>
    <w:rsid w:val="2D8F74B8"/>
    <w:rsid w:val="2DD412DD"/>
    <w:rsid w:val="2DE40EE1"/>
    <w:rsid w:val="2DE81A3D"/>
    <w:rsid w:val="2DFA0EFD"/>
    <w:rsid w:val="2E086661"/>
    <w:rsid w:val="2E0F6B7D"/>
    <w:rsid w:val="2E3C1960"/>
    <w:rsid w:val="2E406ECC"/>
    <w:rsid w:val="2E6E1098"/>
    <w:rsid w:val="2E704C40"/>
    <w:rsid w:val="2E765D8F"/>
    <w:rsid w:val="2E91099F"/>
    <w:rsid w:val="2EB201EE"/>
    <w:rsid w:val="2ED40002"/>
    <w:rsid w:val="2EF20488"/>
    <w:rsid w:val="2EF22236"/>
    <w:rsid w:val="2F0D0244"/>
    <w:rsid w:val="2F2409B5"/>
    <w:rsid w:val="2F403B19"/>
    <w:rsid w:val="2F5E5B1E"/>
    <w:rsid w:val="2F7913CB"/>
    <w:rsid w:val="2F8777EF"/>
    <w:rsid w:val="2FAA3B85"/>
    <w:rsid w:val="2FBD6387"/>
    <w:rsid w:val="2FD11702"/>
    <w:rsid w:val="30542B3D"/>
    <w:rsid w:val="307B44AD"/>
    <w:rsid w:val="30A871C7"/>
    <w:rsid w:val="30CB0233"/>
    <w:rsid w:val="30D5114E"/>
    <w:rsid w:val="3103135B"/>
    <w:rsid w:val="31132938"/>
    <w:rsid w:val="31280B14"/>
    <w:rsid w:val="315F068C"/>
    <w:rsid w:val="31611AC7"/>
    <w:rsid w:val="316A2D28"/>
    <w:rsid w:val="317D3ACC"/>
    <w:rsid w:val="31BA68EA"/>
    <w:rsid w:val="31C46067"/>
    <w:rsid w:val="31D806DB"/>
    <w:rsid w:val="31D9592F"/>
    <w:rsid w:val="31DD7C00"/>
    <w:rsid w:val="31ED2299"/>
    <w:rsid w:val="31F20FA8"/>
    <w:rsid w:val="3206424D"/>
    <w:rsid w:val="32444FE9"/>
    <w:rsid w:val="32614B36"/>
    <w:rsid w:val="32C4540B"/>
    <w:rsid w:val="32E26E31"/>
    <w:rsid w:val="330B079A"/>
    <w:rsid w:val="332F550A"/>
    <w:rsid w:val="33447C99"/>
    <w:rsid w:val="33511509"/>
    <w:rsid w:val="335B677D"/>
    <w:rsid w:val="33D33712"/>
    <w:rsid w:val="33E50C36"/>
    <w:rsid w:val="33EB74B2"/>
    <w:rsid w:val="34026E2F"/>
    <w:rsid w:val="341B54A7"/>
    <w:rsid w:val="34310CB0"/>
    <w:rsid w:val="343A7D68"/>
    <w:rsid w:val="347F2FC4"/>
    <w:rsid w:val="34850D34"/>
    <w:rsid w:val="34C9495B"/>
    <w:rsid w:val="34CF6B96"/>
    <w:rsid w:val="35061884"/>
    <w:rsid w:val="351C7B52"/>
    <w:rsid w:val="356F38AA"/>
    <w:rsid w:val="358D7508"/>
    <w:rsid w:val="359C0ACF"/>
    <w:rsid w:val="360260B2"/>
    <w:rsid w:val="36044504"/>
    <w:rsid w:val="361E6861"/>
    <w:rsid w:val="366B11D8"/>
    <w:rsid w:val="367770EC"/>
    <w:rsid w:val="36AD4E98"/>
    <w:rsid w:val="36BD13A1"/>
    <w:rsid w:val="36C37688"/>
    <w:rsid w:val="36D2744A"/>
    <w:rsid w:val="36E20DE2"/>
    <w:rsid w:val="36F6488E"/>
    <w:rsid w:val="36FD63F6"/>
    <w:rsid w:val="37107445"/>
    <w:rsid w:val="3713113F"/>
    <w:rsid w:val="373A0368"/>
    <w:rsid w:val="373E684E"/>
    <w:rsid w:val="37415D81"/>
    <w:rsid w:val="37521A1A"/>
    <w:rsid w:val="375F35F1"/>
    <w:rsid w:val="378D7190"/>
    <w:rsid w:val="378E3872"/>
    <w:rsid w:val="37905BD8"/>
    <w:rsid w:val="379D4CDE"/>
    <w:rsid w:val="37AE4605"/>
    <w:rsid w:val="37C624B2"/>
    <w:rsid w:val="37D801E8"/>
    <w:rsid w:val="37DB5EDA"/>
    <w:rsid w:val="37E672C4"/>
    <w:rsid w:val="37EC177B"/>
    <w:rsid w:val="37F3288B"/>
    <w:rsid w:val="37FC08EC"/>
    <w:rsid w:val="3826061D"/>
    <w:rsid w:val="3827033C"/>
    <w:rsid w:val="384D1CD2"/>
    <w:rsid w:val="3876347B"/>
    <w:rsid w:val="389354C2"/>
    <w:rsid w:val="38AE0106"/>
    <w:rsid w:val="38C177CD"/>
    <w:rsid w:val="38C805EE"/>
    <w:rsid w:val="390C0398"/>
    <w:rsid w:val="39183941"/>
    <w:rsid w:val="39380170"/>
    <w:rsid w:val="3950297B"/>
    <w:rsid w:val="396705E6"/>
    <w:rsid w:val="396A50BF"/>
    <w:rsid w:val="39A5146A"/>
    <w:rsid w:val="39E70823"/>
    <w:rsid w:val="3A2C5FB8"/>
    <w:rsid w:val="3A405D74"/>
    <w:rsid w:val="3A43302F"/>
    <w:rsid w:val="3A9453A9"/>
    <w:rsid w:val="3A9D3075"/>
    <w:rsid w:val="3AC20ED6"/>
    <w:rsid w:val="3AE74009"/>
    <w:rsid w:val="3AEB0AA6"/>
    <w:rsid w:val="3B1139DC"/>
    <w:rsid w:val="3B2A4119"/>
    <w:rsid w:val="3B346891"/>
    <w:rsid w:val="3B3E5763"/>
    <w:rsid w:val="3B3F51A6"/>
    <w:rsid w:val="3B551A93"/>
    <w:rsid w:val="3B693ABE"/>
    <w:rsid w:val="3B930F30"/>
    <w:rsid w:val="3B9B1226"/>
    <w:rsid w:val="3B9B6983"/>
    <w:rsid w:val="3BA57DD8"/>
    <w:rsid w:val="3BCC6D26"/>
    <w:rsid w:val="3BCD6DCC"/>
    <w:rsid w:val="3BF06774"/>
    <w:rsid w:val="3BF07AFD"/>
    <w:rsid w:val="3BFF1AFF"/>
    <w:rsid w:val="3C05794C"/>
    <w:rsid w:val="3C4C0F79"/>
    <w:rsid w:val="3C885FDB"/>
    <w:rsid w:val="3C9C0EE0"/>
    <w:rsid w:val="3CA86AC2"/>
    <w:rsid w:val="3CAA50D7"/>
    <w:rsid w:val="3CB916BE"/>
    <w:rsid w:val="3CC23CE7"/>
    <w:rsid w:val="3CE021B0"/>
    <w:rsid w:val="3D685D41"/>
    <w:rsid w:val="3D734BA5"/>
    <w:rsid w:val="3D8216C0"/>
    <w:rsid w:val="3D963801"/>
    <w:rsid w:val="3DDCA28A"/>
    <w:rsid w:val="3DE716A8"/>
    <w:rsid w:val="3E1639A2"/>
    <w:rsid w:val="3E242CFD"/>
    <w:rsid w:val="3E4C74C3"/>
    <w:rsid w:val="3E590463"/>
    <w:rsid w:val="3EBA7D64"/>
    <w:rsid w:val="3EFC62CD"/>
    <w:rsid w:val="3EFE20B2"/>
    <w:rsid w:val="3F147026"/>
    <w:rsid w:val="3F165ACD"/>
    <w:rsid w:val="3F5A279E"/>
    <w:rsid w:val="3F6630F5"/>
    <w:rsid w:val="3F963F17"/>
    <w:rsid w:val="3F9A5F9A"/>
    <w:rsid w:val="3FA36D96"/>
    <w:rsid w:val="3FA815A2"/>
    <w:rsid w:val="3FAC0CAB"/>
    <w:rsid w:val="3FF47EA1"/>
    <w:rsid w:val="3FFA045E"/>
    <w:rsid w:val="402F74FD"/>
    <w:rsid w:val="4093481F"/>
    <w:rsid w:val="40B92BAB"/>
    <w:rsid w:val="40E04169"/>
    <w:rsid w:val="411E0975"/>
    <w:rsid w:val="41230A69"/>
    <w:rsid w:val="41273D74"/>
    <w:rsid w:val="415D2552"/>
    <w:rsid w:val="41640607"/>
    <w:rsid w:val="4168105E"/>
    <w:rsid w:val="4197455C"/>
    <w:rsid w:val="419A47A3"/>
    <w:rsid w:val="41A47CB7"/>
    <w:rsid w:val="41A567BE"/>
    <w:rsid w:val="41DB4DAC"/>
    <w:rsid w:val="41F37966"/>
    <w:rsid w:val="420B3F64"/>
    <w:rsid w:val="422A509B"/>
    <w:rsid w:val="42613D77"/>
    <w:rsid w:val="42621029"/>
    <w:rsid w:val="426A1A01"/>
    <w:rsid w:val="426F49B7"/>
    <w:rsid w:val="4270044C"/>
    <w:rsid w:val="429C5AC6"/>
    <w:rsid w:val="42A660BB"/>
    <w:rsid w:val="42D41156"/>
    <w:rsid w:val="4300495F"/>
    <w:rsid w:val="43210CDB"/>
    <w:rsid w:val="435C0D6B"/>
    <w:rsid w:val="4366330F"/>
    <w:rsid w:val="43694724"/>
    <w:rsid w:val="437370B7"/>
    <w:rsid w:val="43870ECD"/>
    <w:rsid w:val="43897891"/>
    <w:rsid w:val="439509AF"/>
    <w:rsid w:val="43EE51A5"/>
    <w:rsid w:val="4426495C"/>
    <w:rsid w:val="44281E7B"/>
    <w:rsid w:val="44305883"/>
    <w:rsid w:val="44837B56"/>
    <w:rsid w:val="449E7822"/>
    <w:rsid w:val="44C424A5"/>
    <w:rsid w:val="44DD3E91"/>
    <w:rsid w:val="44FE6A97"/>
    <w:rsid w:val="45015D08"/>
    <w:rsid w:val="45090FCD"/>
    <w:rsid w:val="450B5961"/>
    <w:rsid w:val="4523136D"/>
    <w:rsid w:val="45280009"/>
    <w:rsid w:val="45314E32"/>
    <w:rsid w:val="455020C6"/>
    <w:rsid w:val="45620AA2"/>
    <w:rsid w:val="45800144"/>
    <w:rsid w:val="458B30ED"/>
    <w:rsid w:val="459F22EB"/>
    <w:rsid w:val="45C115B5"/>
    <w:rsid w:val="46175DAE"/>
    <w:rsid w:val="461D2637"/>
    <w:rsid w:val="46206B1E"/>
    <w:rsid w:val="46B158D7"/>
    <w:rsid w:val="46C5184E"/>
    <w:rsid w:val="46E416BF"/>
    <w:rsid w:val="46F91E7C"/>
    <w:rsid w:val="472209A5"/>
    <w:rsid w:val="47256983"/>
    <w:rsid w:val="473E1472"/>
    <w:rsid w:val="4747479A"/>
    <w:rsid w:val="47996798"/>
    <w:rsid w:val="47FC1AAA"/>
    <w:rsid w:val="480513AE"/>
    <w:rsid w:val="48A75B34"/>
    <w:rsid w:val="48F873C3"/>
    <w:rsid w:val="490A09D4"/>
    <w:rsid w:val="491B090B"/>
    <w:rsid w:val="492C296D"/>
    <w:rsid w:val="49492F43"/>
    <w:rsid w:val="497B6A1C"/>
    <w:rsid w:val="499824A6"/>
    <w:rsid w:val="49A67FC6"/>
    <w:rsid w:val="49DE2E13"/>
    <w:rsid w:val="4A030849"/>
    <w:rsid w:val="4A4C39AD"/>
    <w:rsid w:val="4A4D6D6B"/>
    <w:rsid w:val="4AA05A14"/>
    <w:rsid w:val="4AA9577E"/>
    <w:rsid w:val="4AB65EAF"/>
    <w:rsid w:val="4AE22767"/>
    <w:rsid w:val="4B0D69F0"/>
    <w:rsid w:val="4B2F59B2"/>
    <w:rsid w:val="4B6E0825"/>
    <w:rsid w:val="4B9C7C39"/>
    <w:rsid w:val="4BD66AD1"/>
    <w:rsid w:val="4BE64169"/>
    <w:rsid w:val="4BEA220C"/>
    <w:rsid w:val="4BEE4953"/>
    <w:rsid w:val="4C5E0D5A"/>
    <w:rsid w:val="4C68059E"/>
    <w:rsid w:val="4C9E5AA1"/>
    <w:rsid w:val="4CBF4276"/>
    <w:rsid w:val="4CD03BF9"/>
    <w:rsid w:val="4CD541BE"/>
    <w:rsid w:val="4CD8358B"/>
    <w:rsid w:val="4CDF6E4A"/>
    <w:rsid w:val="4CF505B7"/>
    <w:rsid w:val="4D0C5693"/>
    <w:rsid w:val="4D356CEC"/>
    <w:rsid w:val="4D422183"/>
    <w:rsid w:val="4D5B0EA9"/>
    <w:rsid w:val="4D626455"/>
    <w:rsid w:val="4D750476"/>
    <w:rsid w:val="4DA519D1"/>
    <w:rsid w:val="4DA521D6"/>
    <w:rsid w:val="4DB01BB7"/>
    <w:rsid w:val="4DFA3881"/>
    <w:rsid w:val="4E1622A9"/>
    <w:rsid w:val="4E2E279D"/>
    <w:rsid w:val="4E47495A"/>
    <w:rsid w:val="4E4769C9"/>
    <w:rsid w:val="4E4D6B5E"/>
    <w:rsid w:val="4EA61CCE"/>
    <w:rsid w:val="4ED440E4"/>
    <w:rsid w:val="4F1B2A34"/>
    <w:rsid w:val="4F271B02"/>
    <w:rsid w:val="4F3B09F2"/>
    <w:rsid w:val="4F440234"/>
    <w:rsid w:val="4F5A5ED0"/>
    <w:rsid w:val="4F9324C7"/>
    <w:rsid w:val="4FBA7526"/>
    <w:rsid w:val="4FC60261"/>
    <w:rsid w:val="4FF67AFB"/>
    <w:rsid w:val="502901B8"/>
    <w:rsid w:val="50564473"/>
    <w:rsid w:val="50A57394"/>
    <w:rsid w:val="50A86781"/>
    <w:rsid w:val="50C85680"/>
    <w:rsid w:val="50F2034F"/>
    <w:rsid w:val="51271DBC"/>
    <w:rsid w:val="51B122AB"/>
    <w:rsid w:val="51C2329B"/>
    <w:rsid w:val="51EB168C"/>
    <w:rsid w:val="51FC2209"/>
    <w:rsid w:val="52086F9A"/>
    <w:rsid w:val="52582329"/>
    <w:rsid w:val="52602D4A"/>
    <w:rsid w:val="5294310F"/>
    <w:rsid w:val="52AE72AB"/>
    <w:rsid w:val="52FB5040"/>
    <w:rsid w:val="53013A3B"/>
    <w:rsid w:val="530421BA"/>
    <w:rsid w:val="53307F3E"/>
    <w:rsid w:val="534D60B9"/>
    <w:rsid w:val="535A067F"/>
    <w:rsid w:val="5376315B"/>
    <w:rsid w:val="538F59F6"/>
    <w:rsid w:val="53947B89"/>
    <w:rsid w:val="539C13A0"/>
    <w:rsid w:val="53D45274"/>
    <w:rsid w:val="540E20D1"/>
    <w:rsid w:val="54134D92"/>
    <w:rsid w:val="541E53A4"/>
    <w:rsid w:val="543638C0"/>
    <w:rsid w:val="54461AD3"/>
    <w:rsid w:val="545D6C28"/>
    <w:rsid w:val="549035DF"/>
    <w:rsid w:val="54964D5E"/>
    <w:rsid w:val="54D8352B"/>
    <w:rsid w:val="54E64588"/>
    <w:rsid w:val="551F080C"/>
    <w:rsid w:val="5568105C"/>
    <w:rsid w:val="557C08CC"/>
    <w:rsid w:val="557C6727"/>
    <w:rsid w:val="558B4D6C"/>
    <w:rsid w:val="55945546"/>
    <w:rsid w:val="55B26843"/>
    <w:rsid w:val="56241A12"/>
    <w:rsid w:val="5633291A"/>
    <w:rsid w:val="56A209B3"/>
    <w:rsid w:val="56C105B6"/>
    <w:rsid w:val="570F757A"/>
    <w:rsid w:val="57396B1E"/>
    <w:rsid w:val="57457F69"/>
    <w:rsid w:val="576A0140"/>
    <w:rsid w:val="578C4726"/>
    <w:rsid w:val="57B70A7D"/>
    <w:rsid w:val="57BB1330"/>
    <w:rsid w:val="57F73759"/>
    <w:rsid w:val="5805436F"/>
    <w:rsid w:val="586955B3"/>
    <w:rsid w:val="5881600E"/>
    <w:rsid w:val="58845D9B"/>
    <w:rsid w:val="58CD7840"/>
    <w:rsid w:val="58D720DE"/>
    <w:rsid w:val="58D94CD9"/>
    <w:rsid w:val="59095948"/>
    <w:rsid w:val="591B58C0"/>
    <w:rsid w:val="59204F48"/>
    <w:rsid w:val="59234ECA"/>
    <w:rsid w:val="5932754F"/>
    <w:rsid w:val="5943677E"/>
    <w:rsid w:val="595D3DAB"/>
    <w:rsid w:val="5966475D"/>
    <w:rsid w:val="59840B1E"/>
    <w:rsid w:val="59C15F6D"/>
    <w:rsid w:val="59CE3803"/>
    <w:rsid w:val="59E204C4"/>
    <w:rsid w:val="59F760A3"/>
    <w:rsid w:val="5A05630E"/>
    <w:rsid w:val="5A1C6D14"/>
    <w:rsid w:val="5A1F3CE5"/>
    <w:rsid w:val="5A496FF5"/>
    <w:rsid w:val="5A6D3BE8"/>
    <w:rsid w:val="5A8123CD"/>
    <w:rsid w:val="5A822399"/>
    <w:rsid w:val="5AF3000A"/>
    <w:rsid w:val="5AFB5EB9"/>
    <w:rsid w:val="5B2A44B1"/>
    <w:rsid w:val="5B2E3EE9"/>
    <w:rsid w:val="5B4E646B"/>
    <w:rsid w:val="5B8B1196"/>
    <w:rsid w:val="5B995664"/>
    <w:rsid w:val="5C166B76"/>
    <w:rsid w:val="5C2D4D8A"/>
    <w:rsid w:val="5C3D2CF7"/>
    <w:rsid w:val="5C49575C"/>
    <w:rsid w:val="5C4E59E6"/>
    <w:rsid w:val="5C556587"/>
    <w:rsid w:val="5C556B56"/>
    <w:rsid w:val="5C65182B"/>
    <w:rsid w:val="5C781EDF"/>
    <w:rsid w:val="5C9108EC"/>
    <w:rsid w:val="5CBE30B7"/>
    <w:rsid w:val="5CD54233"/>
    <w:rsid w:val="5D095069"/>
    <w:rsid w:val="5D215608"/>
    <w:rsid w:val="5D316B4B"/>
    <w:rsid w:val="5D6C71EA"/>
    <w:rsid w:val="5DB14066"/>
    <w:rsid w:val="5DD040EF"/>
    <w:rsid w:val="5DDE5ADB"/>
    <w:rsid w:val="5DE93F98"/>
    <w:rsid w:val="5E087E8B"/>
    <w:rsid w:val="5E12455E"/>
    <w:rsid w:val="5E6F283B"/>
    <w:rsid w:val="5E7537A3"/>
    <w:rsid w:val="5E7B72A3"/>
    <w:rsid w:val="5E9107E9"/>
    <w:rsid w:val="5EDF7B69"/>
    <w:rsid w:val="5F0D61FF"/>
    <w:rsid w:val="5F1132C6"/>
    <w:rsid w:val="5F247AFE"/>
    <w:rsid w:val="5F2E144B"/>
    <w:rsid w:val="5F857143"/>
    <w:rsid w:val="5F97F67C"/>
    <w:rsid w:val="5FB844D4"/>
    <w:rsid w:val="5FC44F0A"/>
    <w:rsid w:val="5FE41E12"/>
    <w:rsid w:val="5FF52005"/>
    <w:rsid w:val="60024EDF"/>
    <w:rsid w:val="60172C8E"/>
    <w:rsid w:val="602C4435"/>
    <w:rsid w:val="60510E15"/>
    <w:rsid w:val="60826C80"/>
    <w:rsid w:val="60985E9A"/>
    <w:rsid w:val="60D842A5"/>
    <w:rsid w:val="60DD31FA"/>
    <w:rsid w:val="60E97A5C"/>
    <w:rsid w:val="60EB3387"/>
    <w:rsid w:val="60EE746C"/>
    <w:rsid w:val="61005930"/>
    <w:rsid w:val="61015548"/>
    <w:rsid w:val="6161292D"/>
    <w:rsid w:val="61970A79"/>
    <w:rsid w:val="61980331"/>
    <w:rsid w:val="619F4436"/>
    <w:rsid w:val="61B62255"/>
    <w:rsid w:val="61E34130"/>
    <w:rsid w:val="61EC768B"/>
    <w:rsid w:val="62061074"/>
    <w:rsid w:val="62215E87"/>
    <w:rsid w:val="624971CC"/>
    <w:rsid w:val="625C3F01"/>
    <w:rsid w:val="62C44768"/>
    <w:rsid w:val="62D9728D"/>
    <w:rsid w:val="62FF09F6"/>
    <w:rsid w:val="63583876"/>
    <w:rsid w:val="637407F2"/>
    <w:rsid w:val="63E776F7"/>
    <w:rsid w:val="64052396"/>
    <w:rsid w:val="640E5131"/>
    <w:rsid w:val="64150239"/>
    <w:rsid w:val="641F343C"/>
    <w:rsid w:val="643E63F1"/>
    <w:rsid w:val="645C048C"/>
    <w:rsid w:val="646959A3"/>
    <w:rsid w:val="646F6CB0"/>
    <w:rsid w:val="647F2228"/>
    <w:rsid w:val="64932E82"/>
    <w:rsid w:val="64BB389E"/>
    <w:rsid w:val="64D2529B"/>
    <w:rsid w:val="651D7774"/>
    <w:rsid w:val="65216FBD"/>
    <w:rsid w:val="6537227D"/>
    <w:rsid w:val="65465867"/>
    <w:rsid w:val="65DF6900"/>
    <w:rsid w:val="660D3C09"/>
    <w:rsid w:val="662950F8"/>
    <w:rsid w:val="667F344D"/>
    <w:rsid w:val="667F3EA9"/>
    <w:rsid w:val="668E4E0D"/>
    <w:rsid w:val="66BD4D07"/>
    <w:rsid w:val="66DD6F3D"/>
    <w:rsid w:val="670904C3"/>
    <w:rsid w:val="6737274E"/>
    <w:rsid w:val="67680A17"/>
    <w:rsid w:val="676C3A08"/>
    <w:rsid w:val="67912388"/>
    <w:rsid w:val="67BD413A"/>
    <w:rsid w:val="67EA3ADE"/>
    <w:rsid w:val="67EE6E63"/>
    <w:rsid w:val="68175200"/>
    <w:rsid w:val="681E541D"/>
    <w:rsid w:val="686F04C8"/>
    <w:rsid w:val="6876296E"/>
    <w:rsid w:val="688A571C"/>
    <w:rsid w:val="689D1AB8"/>
    <w:rsid w:val="68A80483"/>
    <w:rsid w:val="68A86E2D"/>
    <w:rsid w:val="68D56D0F"/>
    <w:rsid w:val="691A2D16"/>
    <w:rsid w:val="693C494D"/>
    <w:rsid w:val="695426C5"/>
    <w:rsid w:val="69752D81"/>
    <w:rsid w:val="6989676C"/>
    <w:rsid w:val="69A433E0"/>
    <w:rsid w:val="69B35661"/>
    <w:rsid w:val="69B55FD5"/>
    <w:rsid w:val="69DF4292"/>
    <w:rsid w:val="69E057C4"/>
    <w:rsid w:val="69E97D5A"/>
    <w:rsid w:val="69EE5696"/>
    <w:rsid w:val="6A0E175C"/>
    <w:rsid w:val="6A121576"/>
    <w:rsid w:val="6A332318"/>
    <w:rsid w:val="6A4C65A5"/>
    <w:rsid w:val="6A6427AF"/>
    <w:rsid w:val="6A651E9E"/>
    <w:rsid w:val="6A885221"/>
    <w:rsid w:val="6B171F35"/>
    <w:rsid w:val="6B7C62E5"/>
    <w:rsid w:val="6BB06970"/>
    <w:rsid w:val="6BB9504A"/>
    <w:rsid w:val="6BCB6C2F"/>
    <w:rsid w:val="6BEB47B5"/>
    <w:rsid w:val="6BEB4F4D"/>
    <w:rsid w:val="6BEF1E36"/>
    <w:rsid w:val="6BF023CB"/>
    <w:rsid w:val="6BFD48F1"/>
    <w:rsid w:val="6C2B3C7C"/>
    <w:rsid w:val="6C440309"/>
    <w:rsid w:val="6C781A09"/>
    <w:rsid w:val="6C7E1F41"/>
    <w:rsid w:val="6C8769E4"/>
    <w:rsid w:val="6CE60C18"/>
    <w:rsid w:val="6D1D4B6A"/>
    <w:rsid w:val="6D265E01"/>
    <w:rsid w:val="6D73410A"/>
    <w:rsid w:val="6DF64253"/>
    <w:rsid w:val="6DFF70B6"/>
    <w:rsid w:val="6E0D7EC3"/>
    <w:rsid w:val="6E2447D5"/>
    <w:rsid w:val="6E3C0843"/>
    <w:rsid w:val="6E4C31E3"/>
    <w:rsid w:val="6E693F43"/>
    <w:rsid w:val="6E8F5D5C"/>
    <w:rsid w:val="6EBF412C"/>
    <w:rsid w:val="6EC00BE2"/>
    <w:rsid w:val="6EC66036"/>
    <w:rsid w:val="6ED84BE7"/>
    <w:rsid w:val="6EF94F01"/>
    <w:rsid w:val="6F003774"/>
    <w:rsid w:val="6F8919DB"/>
    <w:rsid w:val="6FA86872"/>
    <w:rsid w:val="6FAE6EA9"/>
    <w:rsid w:val="6FC036A4"/>
    <w:rsid w:val="6FC443D5"/>
    <w:rsid w:val="6FEF4113"/>
    <w:rsid w:val="702063D4"/>
    <w:rsid w:val="702F7280"/>
    <w:rsid w:val="70546BBA"/>
    <w:rsid w:val="709A7AC2"/>
    <w:rsid w:val="70A82C64"/>
    <w:rsid w:val="70D32987"/>
    <w:rsid w:val="70D8212E"/>
    <w:rsid w:val="70DC62B8"/>
    <w:rsid w:val="70E4170B"/>
    <w:rsid w:val="7146408D"/>
    <w:rsid w:val="715A132F"/>
    <w:rsid w:val="71775FF0"/>
    <w:rsid w:val="7178789F"/>
    <w:rsid w:val="718450C3"/>
    <w:rsid w:val="7186593A"/>
    <w:rsid w:val="71956476"/>
    <w:rsid w:val="71F5138A"/>
    <w:rsid w:val="720307B4"/>
    <w:rsid w:val="723E589A"/>
    <w:rsid w:val="724C54C4"/>
    <w:rsid w:val="72B1794F"/>
    <w:rsid w:val="72CA2102"/>
    <w:rsid w:val="73154211"/>
    <w:rsid w:val="73563369"/>
    <w:rsid w:val="73853D85"/>
    <w:rsid w:val="739A7DBC"/>
    <w:rsid w:val="73A63BBE"/>
    <w:rsid w:val="73C37B3A"/>
    <w:rsid w:val="73CB7F89"/>
    <w:rsid w:val="73D9089C"/>
    <w:rsid w:val="73DD79E2"/>
    <w:rsid w:val="740021F6"/>
    <w:rsid w:val="748C25D3"/>
    <w:rsid w:val="74907697"/>
    <w:rsid w:val="74B41022"/>
    <w:rsid w:val="74FA4B59"/>
    <w:rsid w:val="751D05E0"/>
    <w:rsid w:val="75696511"/>
    <w:rsid w:val="75787FC9"/>
    <w:rsid w:val="7579027F"/>
    <w:rsid w:val="75824BDE"/>
    <w:rsid w:val="758A7EF5"/>
    <w:rsid w:val="75A31161"/>
    <w:rsid w:val="75A6462A"/>
    <w:rsid w:val="75DC0B17"/>
    <w:rsid w:val="760337AF"/>
    <w:rsid w:val="76183A4D"/>
    <w:rsid w:val="76293A1D"/>
    <w:rsid w:val="763E0C8B"/>
    <w:rsid w:val="76562F84"/>
    <w:rsid w:val="7668604C"/>
    <w:rsid w:val="76844875"/>
    <w:rsid w:val="76964896"/>
    <w:rsid w:val="769A2FB0"/>
    <w:rsid w:val="76C7F675"/>
    <w:rsid w:val="76E61D7C"/>
    <w:rsid w:val="76ED1D03"/>
    <w:rsid w:val="771B10B2"/>
    <w:rsid w:val="77264BE9"/>
    <w:rsid w:val="77347394"/>
    <w:rsid w:val="77405BD7"/>
    <w:rsid w:val="77417335"/>
    <w:rsid w:val="775FA05E"/>
    <w:rsid w:val="779C230C"/>
    <w:rsid w:val="77B45926"/>
    <w:rsid w:val="77BF50F8"/>
    <w:rsid w:val="77C94015"/>
    <w:rsid w:val="77DA29A3"/>
    <w:rsid w:val="77DFDC9B"/>
    <w:rsid w:val="7807661F"/>
    <w:rsid w:val="783F4B9C"/>
    <w:rsid w:val="78572DE9"/>
    <w:rsid w:val="786456B2"/>
    <w:rsid w:val="78677C2F"/>
    <w:rsid w:val="789F1E5F"/>
    <w:rsid w:val="78AC2EA9"/>
    <w:rsid w:val="78E818E5"/>
    <w:rsid w:val="78EF2F4F"/>
    <w:rsid w:val="78F97AEA"/>
    <w:rsid w:val="79045B70"/>
    <w:rsid w:val="790D3CA6"/>
    <w:rsid w:val="791549A4"/>
    <w:rsid w:val="794A09E1"/>
    <w:rsid w:val="797F60D5"/>
    <w:rsid w:val="7A084370"/>
    <w:rsid w:val="7A3424EF"/>
    <w:rsid w:val="7A434E36"/>
    <w:rsid w:val="7A560F7D"/>
    <w:rsid w:val="7A574874"/>
    <w:rsid w:val="7A7E0A5D"/>
    <w:rsid w:val="7A9E62BF"/>
    <w:rsid w:val="7AB71F1E"/>
    <w:rsid w:val="7AE9113B"/>
    <w:rsid w:val="7B15411D"/>
    <w:rsid w:val="7B267E4C"/>
    <w:rsid w:val="7B394FE5"/>
    <w:rsid w:val="7B396895"/>
    <w:rsid w:val="7B603460"/>
    <w:rsid w:val="7B8D3DD2"/>
    <w:rsid w:val="7BAA5E37"/>
    <w:rsid w:val="7BC62F58"/>
    <w:rsid w:val="7BD24E35"/>
    <w:rsid w:val="7BE23A26"/>
    <w:rsid w:val="7BF21188"/>
    <w:rsid w:val="7BFB74D3"/>
    <w:rsid w:val="7BFF2CC9"/>
    <w:rsid w:val="7C190EA3"/>
    <w:rsid w:val="7C2735F3"/>
    <w:rsid w:val="7C2D09C7"/>
    <w:rsid w:val="7C3764C4"/>
    <w:rsid w:val="7C3E2849"/>
    <w:rsid w:val="7C9942BF"/>
    <w:rsid w:val="7CA52ABC"/>
    <w:rsid w:val="7CD41461"/>
    <w:rsid w:val="7CE140F5"/>
    <w:rsid w:val="7D075F0E"/>
    <w:rsid w:val="7D3846C5"/>
    <w:rsid w:val="7D457807"/>
    <w:rsid w:val="7D6B16D3"/>
    <w:rsid w:val="7D790677"/>
    <w:rsid w:val="7DA104EE"/>
    <w:rsid w:val="7DAC6A53"/>
    <w:rsid w:val="7DBA67F5"/>
    <w:rsid w:val="7DEC3D81"/>
    <w:rsid w:val="7DFBD975"/>
    <w:rsid w:val="7DFD3EDF"/>
    <w:rsid w:val="7E117030"/>
    <w:rsid w:val="7E135469"/>
    <w:rsid w:val="7E192908"/>
    <w:rsid w:val="7E375C98"/>
    <w:rsid w:val="7E7B6FE3"/>
    <w:rsid w:val="7E843559"/>
    <w:rsid w:val="7E9E0514"/>
    <w:rsid w:val="7EE21250"/>
    <w:rsid w:val="7EE3014A"/>
    <w:rsid w:val="7F4851E0"/>
    <w:rsid w:val="7F4A61FB"/>
    <w:rsid w:val="7F852E04"/>
    <w:rsid w:val="7F941E61"/>
    <w:rsid w:val="7FB0104A"/>
    <w:rsid w:val="7FB70814"/>
    <w:rsid w:val="7FC61E74"/>
    <w:rsid w:val="7FE531A4"/>
    <w:rsid w:val="7FEEB793"/>
    <w:rsid w:val="C7EF34F1"/>
    <w:rsid w:val="E6F638F8"/>
    <w:rsid w:val="E7FF42BC"/>
    <w:rsid w:val="EF8B123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qFormat="1" w:unhideWhenUsed="0" w:uiPriority="99" w:semiHidden="0"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uiPriority="99"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99"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qFormat="1" w:uiPriority="99" w:semiHidden="0" w:name="HTML Acronym"/>
    <w:lsdException w:uiPriority="99" w:name="HTML Address"/>
    <w:lsdException w:qFormat="1" w:unhideWhenUsed="0" w:uiPriority="0" w:semiHidden="0" w:name="HTML Cite"/>
    <w:lsdException w:qFormat="1" w:uiPriority="99" w:semiHidden="0" w:name="HTML Code"/>
    <w:lsdException w:qFormat="1" w:uiPriority="99" w:semiHidden="0" w:name="HTML Definition"/>
    <w:lsdException w:qFormat="1" w:uiPriority="99" w:semiHidden="0" w:name="HTML Keyboard"/>
    <w:lsdException w:qFormat="1" w:uiPriority="99" w:semiHidden="0" w:name="HTML Preformatted"/>
    <w:lsdException w:qFormat="1" w:uiPriority="99" w:semiHidden="0" w:name="HTML Sample"/>
    <w:lsdException w:uiPriority="99" w:name="HTML Typewriter"/>
    <w:lsdException w:qFormat="1" w:uiPriority="99"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78"/>
    <w:autoRedefine/>
    <w:qFormat/>
    <w:uiPriority w:val="0"/>
    <w:pPr>
      <w:keepNext/>
      <w:jc w:val="center"/>
      <w:outlineLvl w:val="0"/>
    </w:pPr>
    <w:rPr>
      <w:rFonts w:ascii="楷体_GB2312" w:hAnsi="Tahoma" w:eastAsia="楷体_GB2312"/>
      <w:b/>
      <w:bCs/>
    </w:rPr>
  </w:style>
  <w:style w:type="paragraph" w:styleId="4">
    <w:name w:val="heading 2"/>
    <w:basedOn w:val="1"/>
    <w:next w:val="1"/>
    <w:link w:val="83"/>
    <w:autoRedefine/>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120"/>
    <w:autoRedefine/>
    <w:qFormat/>
    <w:uiPriority w:val="0"/>
    <w:pPr>
      <w:keepNext/>
      <w:keepLines/>
      <w:spacing w:before="260" w:after="260" w:line="415" w:lineRule="auto"/>
      <w:outlineLvl w:val="2"/>
    </w:pPr>
    <w:rPr>
      <w:b/>
      <w:bCs/>
      <w:sz w:val="32"/>
      <w:szCs w:val="32"/>
    </w:rPr>
  </w:style>
  <w:style w:type="paragraph" w:styleId="6">
    <w:name w:val="heading 4"/>
    <w:basedOn w:val="1"/>
    <w:next w:val="1"/>
    <w:link w:val="223"/>
    <w:autoRedefine/>
    <w:qFormat/>
    <w:uiPriority w:val="0"/>
    <w:pPr>
      <w:keepNext/>
      <w:keepLines/>
      <w:spacing w:before="280" w:after="290" w:line="372" w:lineRule="auto"/>
      <w:outlineLvl w:val="3"/>
    </w:pPr>
    <w:rPr>
      <w:rFonts w:ascii="Cambria" w:hAnsi="Cambria"/>
      <w:b/>
      <w:bCs/>
      <w:sz w:val="28"/>
      <w:szCs w:val="28"/>
    </w:rPr>
  </w:style>
  <w:style w:type="paragraph" w:styleId="7">
    <w:name w:val="heading 5"/>
    <w:basedOn w:val="1"/>
    <w:next w:val="1"/>
    <w:link w:val="238"/>
    <w:autoRedefine/>
    <w:qFormat/>
    <w:uiPriority w:val="0"/>
    <w:pPr>
      <w:keepNext/>
      <w:keepLines/>
      <w:spacing w:before="280" w:after="290" w:line="372" w:lineRule="auto"/>
      <w:outlineLvl w:val="4"/>
    </w:pPr>
    <w:rPr>
      <w:rFonts w:ascii="仿宋_GB2312" w:hAnsi="Tahoma"/>
      <w:b/>
      <w:bCs/>
      <w:sz w:val="28"/>
      <w:szCs w:val="28"/>
    </w:rPr>
  </w:style>
  <w:style w:type="paragraph" w:styleId="8">
    <w:name w:val="heading 6"/>
    <w:basedOn w:val="1"/>
    <w:next w:val="1"/>
    <w:link w:val="197"/>
    <w:autoRedefine/>
    <w:qFormat/>
    <w:uiPriority w:val="0"/>
    <w:pPr>
      <w:keepNext/>
      <w:keepLines/>
      <w:spacing w:before="240" w:after="64" w:line="319" w:lineRule="auto"/>
      <w:outlineLvl w:val="5"/>
    </w:pPr>
    <w:rPr>
      <w:rFonts w:ascii="Arial" w:hAnsi="Arial" w:eastAsia="黑体"/>
      <w:b/>
      <w:bCs/>
      <w:sz w:val="24"/>
    </w:rPr>
  </w:style>
  <w:style w:type="paragraph" w:styleId="9">
    <w:name w:val="heading 7"/>
    <w:basedOn w:val="1"/>
    <w:next w:val="1"/>
    <w:link w:val="227"/>
    <w:autoRedefine/>
    <w:qFormat/>
    <w:uiPriority w:val="0"/>
    <w:pPr>
      <w:widowControl/>
      <w:tabs>
        <w:tab w:val="left" w:pos="765"/>
      </w:tabs>
      <w:autoSpaceDE w:val="0"/>
      <w:autoSpaceDN w:val="0"/>
      <w:adjustRightInd w:val="0"/>
      <w:spacing w:line="360" w:lineRule="auto"/>
      <w:ind w:left="1134" w:hanging="680"/>
      <w:jc w:val="left"/>
      <w:outlineLvl w:val="6"/>
    </w:pPr>
    <w:rPr>
      <w:rFonts w:ascii="Arial" w:hAnsi="Arial" w:eastAsia="黑体"/>
      <w:b/>
      <w:kern w:val="0"/>
      <w:szCs w:val="21"/>
    </w:rPr>
  </w:style>
  <w:style w:type="paragraph" w:styleId="10">
    <w:name w:val="heading 8"/>
    <w:basedOn w:val="1"/>
    <w:next w:val="1"/>
    <w:link w:val="192"/>
    <w:autoRedefine/>
    <w:qFormat/>
    <w:uiPriority w:val="0"/>
    <w:pPr>
      <w:keepLines/>
      <w:tabs>
        <w:tab w:val="left" w:pos="1638"/>
      </w:tabs>
      <w:autoSpaceDE w:val="0"/>
      <w:autoSpaceDN w:val="0"/>
      <w:adjustRightInd w:val="0"/>
      <w:spacing w:before="240" w:after="64" w:line="317" w:lineRule="auto"/>
      <w:ind w:left="1638" w:hanging="1440"/>
      <w:jc w:val="left"/>
      <w:outlineLvl w:val="7"/>
    </w:pPr>
    <w:rPr>
      <w:rFonts w:ascii="Arial" w:hAnsi="Arial" w:eastAsia="黑体"/>
      <w:b/>
      <w:kern w:val="0"/>
      <w:sz w:val="24"/>
      <w:szCs w:val="32"/>
    </w:rPr>
  </w:style>
  <w:style w:type="paragraph" w:styleId="11">
    <w:name w:val="heading 9"/>
    <w:basedOn w:val="1"/>
    <w:next w:val="1"/>
    <w:link w:val="130"/>
    <w:autoRedefine/>
    <w:qFormat/>
    <w:uiPriority w:val="0"/>
    <w:pPr>
      <w:keepLines/>
      <w:tabs>
        <w:tab w:val="left" w:pos="1782"/>
      </w:tabs>
      <w:autoSpaceDE w:val="0"/>
      <w:autoSpaceDN w:val="0"/>
      <w:adjustRightInd w:val="0"/>
      <w:spacing w:before="240" w:after="64" w:line="317" w:lineRule="auto"/>
      <w:ind w:left="1782" w:hanging="1584"/>
      <w:jc w:val="left"/>
      <w:outlineLvl w:val="8"/>
    </w:pPr>
    <w:rPr>
      <w:rFonts w:ascii="Arial" w:hAnsi="Arial" w:eastAsia="黑体"/>
      <w:b/>
      <w:kern w:val="0"/>
      <w:szCs w:val="32"/>
    </w:rPr>
  </w:style>
  <w:style w:type="character" w:default="1" w:styleId="55">
    <w:name w:val="Default Paragraph Font"/>
    <w:autoRedefine/>
    <w:semiHidden/>
    <w:unhideWhenUsed/>
    <w:qFormat/>
    <w:uiPriority w:val="1"/>
  </w:style>
  <w:style w:type="table" w:default="1" w:styleId="53">
    <w:name w:val="Normal Table"/>
    <w:autoRedefine/>
    <w:semiHidden/>
    <w:unhideWhenUsed/>
    <w:qFormat/>
    <w:uiPriority w:val="99"/>
    <w:tblPr>
      <w:tblCellMar>
        <w:top w:w="0" w:type="dxa"/>
        <w:left w:w="108" w:type="dxa"/>
        <w:bottom w:w="0" w:type="dxa"/>
        <w:right w:w="108" w:type="dxa"/>
      </w:tblCellMar>
    </w:tblPr>
  </w:style>
  <w:style w:type="paragraph" w:styleId="2">
    <w:name w:val="macro"/>
    <w:link w:val="189"/>
    <w:autoRedefine/>
    <w:qFormat/>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Times New Roman"/>
      <w:kern w:val="2"/>
      <w:sz w:val="24"/>
      <w:szCs w:val="24"/>
      <w:lang w:val="en-US" w:eastAsia="zh-CN" w:bidi="ar-SA"/>
    </w:rPr>
  </w:style>
  <w:style w:type="paragraph" w:styleId="12">
    <w:name w:val="toc 7"/>
    <w:basedOn w:val="1"/>
    <w:next w:val="1"/>
    <w:autoRedefine/>
    <w:qFormat/>
    <w:uiPriority w:val="39"/>
    <w:pPr>
      <w:autoSpaceDE w:val="0"/>
      <w:autoSpaceDN w:val="0"/>
      <w:adjustRightInd w:val="0"/>
      <w:ind w:left="2520" w:leftChars="1200"/>
      <w:jc w:val="left"/>
    </w:pPr>
    <w:rPr>
      <w:kern w:val="0"/>
      <w:sz w:val="20"/>
      <w:szCs w:val="20"/>
    </w:rPr>
  </w:style>
  <w:style w:type="paragraph" w:styleId="13">
    <w:name w:val="List Number"/>
    <w:basedOn w:val="1"/>
    <w:autoRedefine/>
    <w:qFormat/>
    <w:uiPriority w:val="0"/>
    <w:pPr>
      <w:tabs>
        <w:tab w:val="left" w:pos="360"/>
      </w:tabs>
      <w:ind w:left="360" w:hanging="360" w:hangingChars="200"/>
    </w:pPr>
  </w:style>
  <w:style w:type="paragraph" w:styleId="14">
    <w:name w:val="Normal Indent"/>
    <w:basedOn w:val="1"/>
    <w:next w:val="15"/>
    <w:link w:val="132"/>
    <w:autoRedefine/>
    <w:qFormat/>
    <w:uiPriority w:val="0"/>
    <w:pPr>
      <w:adjustRightInd w:val="0"/>
      <w:spacing w:line="312" w:lineRule="atLeast"/>
      <w:ind w:firstLine="420"/>
      <w:textAlignment w:val="baseline"/>
    </w:pPr>
    <w:rPr>
      <w:kern w:val="0"/>
      <w:szCs w:val="20"/>
    </w:rPr>
  </w:style>
  <w:style w:type="paragraph" w:styleId="15">
    <w:name w:val="Body Text 3"/>
    <w:basedOn w:val="1"/>
    <w:link w:val="179"/>
    <w:autoRedefine/>
    <w:qFormat/>
    <w:uiPriority w:val="0"/>
    <w:pPr>
      <w:autoSpaceDE w:val="0"/>
      <w:autoSpaceDN w:val="0"/>
      <w:adjustRightInd w:val="0"/>
      <w:jc w:val="center"/>
    </w:pPr>
    <w:rPr>
      <w:kern w:val="0"/>
      <w:sz w:val="20"/>
      <w:szCs w:val="20"/>
    </w:rPr>
  </w:style>
  <w:style w:type="paragraph" w:styleId="16">
    <w:name w:val="caption"/>
    <w:basedOn w:val="1"/>
    <w:next w:val="1"/>
    <w:autoRedefine/>
    <w:qFormat/>
    <w:uiPriority w:val="0"/>
    <w:pPr>
      <w:autoSpaceDE w:val="0"/>
      <w:autoSpaceDN w:val="0"/>
      <w:adjustRightInd w:val="0"/>
      <w:jc w:val="left"/>
    </w:pPr>
    <w:rPr>
      <w:rFonts w:ascii="Arial" w:hAnsi="Arial" w:eastAsia="黑体" w:cs="Arial"/>
      <w:kern w:val="0"/>
      <w:sz w:val="20"/>
      <w:szCs w:val="20"/>
    </w:rPr>
  </w:style>
  <w:style w:type="paragraph" w:styleId="17">
    <w:name w:val="List Bullet"/>
    <w:basedOn w:val="1"/>
    <w:autoRedefine/>
    <w:qFormat/>
    <w:uiPriority w:val="0"/>
    <w:pPr>
      <w:numPr>
        <w:ilvl w:val="0"/>
        <w:numId w:val="1"/>
      </w:numPr>
      <w:tabs>
        <w:tab w:val="left" w:pos="360"/>
        <w:tab w:val="clear" w:pos="1080"/>
      </w:tabs>
    </w:pPr>
    <w:rPr>
      <w:szCs w:val="22"/>
    </w:rPr>
  </w:style>
  <w:style w:type="paragraph" w:styleId="18">
    <w:name w:val="Document Map"/>
    <w:basedOn w:val="1"/>
    <w:link w:val="113"/>
    <w:autoRedefine/>
    <w:qFormat/>
    <w:uiPriority w:val="0"/>
    <w:pPr>
      <w:shd w:val="clear" w:color="auto" w:fill="000080"/>
    </w:pPr>
  </w:style>
  <w:style w:type="paragraph" w:styleId="19">
    <w:name w:val="annotation text"/>
    <w:basedOn w:val="1"/>
    <w:link w:val="209"/>
    <w:autoRedefine/>
    <w:qFormat/>
    <w:uiPriority w:val="0"/>
    <w:pPr>
      <w:jc w:val="left"/>
    </w:pPr>
  </w:style>
  <w:style w:type="paragraph" w:styleId="20">
    <w:name w:val="Salutation"/>
    <w:basedOn w:val="1"/>
    <w:next w:val="1"/>
    <w:link w:val="222"/>
    <w:autoRedefine/>
    <w:qFormat/>
    <w:uiPriority w:val="0"/>
    <w:pPr>
      <w:tabs>
        <w:tab w:val="left" w:pos="840"/>
      </w:tabs>
      <w:autoSpaceDE w:val="0"/>
      <w:autoSpaceDN w:val="0"/>
      <w:adjustRightInd w:val="0"/>
      <w:jc w:val="left"/>
    </w:pPr>
    <w:rPr>
      <w:kern w:val="0"/>
      <w:sz w:val="24"/>
      <w:szCs w:val="20"/>
    </w:rPr>
  </w:style>
  <w:style w:type="paragraph" w:styleId="21">
    <w:name w:val="Body Text"/>
    <w:basedOn w:val="1"/>
    <w:next w:val="22"/>
    <w:link w:val="101"/>
    <w:autoRedefine/>
    <w:qFormat/>
    <w:uiPriority w:val="0"/>
    <w:pPr>
      <w:spacing w:after="120"/>
    </w:pPr>
    <w:rPr>
      <w:rFonts w:ascii="Tahoma" w:hAnsi="Tahoma"/>
    </w:rPr>
  </w:style>
  <w:style w:type="paragraph" w:styleId="22">
    <w:name w:val="Body Text First Indent"/>
    <w:basedOn w:val="21"/>
    <w:next w:val="23"/>
    <w:link w:val="226"/>
    <w:autoRedefine/>
    <w:qFormat/>
    <w:uiPriority w:val="0"/>
    <w:pPr>
      <w:autoSpaceDE w:val="0"/>
      <w:autoSpaceDN w:val="0"/>
      <w:adjustRightInd w:val="0"/>
      <w:ind w:firstLine="420" w:firstLineChars="100"/>
      <w:jc w:val="left"/>
    </w:pPr>
    <w:rPr>
      <w:rFonts w:ascii="仿宋_GB2312" w:hAnsi="Calibri"/>
      <w:b/>
      <w:kern w:val="0"/>
      <w:sz w:val="32"/>
      <w:szCs w:val="32"/>
    </w:rPr>
  </w:style>
  <w:style w:type="paragraph" w:styleId="23">
    <w:name w:val="toc 6"/>
    <w:basedOn w:val="1"/>
    <w:next w:val="1"/>
    <w:autoRedefine/>
    <w:qFormat/>
    <w:uiPriority w:val="39"/>
    <w:pPr>
      <w:autoSpaceDE w:val="0"/>
      <w:autoSpaceDN w:val="0"/>
      <w:adjustRightInd w:val="0"/>
      <w:ind w:left="2100" w:leftChars="1000"/>
      <w:jc w:val="left"/>
    </w:pPr>
    <w:rPr>
      <w:kern w:val="0"/>
      <w:sz w:val="20"/>
      <w:szCs w:val="20"/>
    </w:rPr>
  </w:style>
  <w:style w:type="paragraph" w:styleId="24">
    <w:name w:val="Body Text Indent"/>
    <w:basedOn w:val="1"/>
    <w:next w:val="1"/>
    <w:link w:val="239"/>
    <w:autoRedefine/>
    <w:qFormat/>
    <w:uiPriority w:val="0"/>
    <w:pPr>
      <w:adjustRightInd w:val="0"/>
      <w:spacing w:line="360" w:lineRule="auto"/>
      <w:ind w:firstLine="490"/>
      <w:jc w:val="left"/>
    </w:pPr>
    <w:rPr>
      <w:rFonts w:ascii="宋体" w:hAnsi="宋体"/>
      <w:sz w:val="24"/>
      <w:szCs w:val="20"/>
    </w:rPr>
  </w:style>
  <w:style w:type="paragraph" w:styleId="25">
    <w:name w:val="List Number 3"/>
    <w:basedOn w:val="1"/>
    <w:autoRedefine/>
    <w:qFormat/>
    <w:uiPriority w:val="0"/>
    <w:pPr>
      <w:tabs>
        <w:tab w:val="left" w:pos="1200"/>
      </w:tabs>
      <w:ind w:left="1200" w:leftChars="400" w:hanging="360" w:hangingChars="200"/>
    </w:pPr>
  </w:style>
  <w:style w:type="paragraph" w:styleId="26">
    <w:name w:val="Block Text"/>
    <w:basedOn w:val="1"/>
    <w:autoRedefine/>
    <w:qFormat/>
    <w:uiPriority w:val="99"/>
    <w:pPr>
      <w:spacing w:after="120"/>
      <w:ind w:left="1440" w:leftChars="700" w:right="1440" w:rightChars="700"/>
    </w:pPr>
    <w:rPr>
      <w:szCs w:val="22"/>
    </w:rPr>
  </w:style>
  <w:style w:type="paragraph" w:styleId="27">
    <w:name w:val="List Bullet 2"/>
    <w:basedOn w:val="1"/>
    <w:autoRedefine/>
    <w:qFormat/>
    <w:uiPriority w:val="0"/>
    <w:pPr>
      <w:tabs>
        <w:tab w:val="left" w:pos="780"/>
      </w:tabs>
      <w:spacing w:line="360" w:lineRule="auto"/>
      <w:ind w:left="780" w:leftChars="200" w:hanging="360" w:hangingChars="200"/>
    </w:pPr>
  </w:style>
  <w:style w:type="paragraph" w:styleId="28">
    <w:name w:val="toc 5"/>
    <w:basedOn w:val="1"/>
    <w:next w:val="1"/>
    <w:autoRedefine/>
    <w:qFormat/>
    <w:uiPriority w:val="39"/>
    <w:pPr>
      <w:autoSpaceDE w:val="0"/>
      <w:autoSpaceDN w:val="0"/>
      <w:adjustRightInd w:val="0"/>
      <w:ind w:left="1680" w:leftChars="800"/>
      <w:jc w:val="left"/>
    </w:pPr>
    <w:rPr>
      <w:kern w:val="0"/>
      <w:sz w:val="20"/>
      <w:szCs w:val="20"/>
    </w:rPr>
  </w:style>
  <w:style w:type="paragraph" w:styleId="29">
    <w:name w:val="toc 3"/>
    <w:basedOn w:val="1"/>
    <w:next w:val="1"/>
    <w:autoRedefine/>
    <w:qFormat/>
    <w:uiPriority w:val="39"/>
    <w:pPr>
      <w:ind w:left="840" w:leftChars="400"/>
    </w:pPr>
  </w:style>
  <w:style w:type="paragraph" w:styleId="30">
    <w:name w:val="Plain Text"/>
    <w:basedOn w:val="1"/>
    <w:link w:val="177"/>
    <w:autoRedefine/>
    <w:qFormat/>
    <w:uiPriority w:val="0"/>
    <w:rPr>
      <w:rFonts w:ascii="宋体" w:hAnsi="Courier New"/>
      <w:szCs w:val="20"/>
    </w:rPr>
  </w:style>
  <w:style w:type="paragraph" w:styleId="31">
    <w:name w:val="List Number 4"/>
    <w:basedOn w:val="1"/>
    <w:autoRedefine/>
    <w:qFormat/>
    <w:uiPriority w:val="0"/>
    <w:pPr>
      <w:tabs>
        <w:tab w:val="left" w:pos="840"/>
      </w:tabs>
      <w:autoSpaceDE w:val="0"/>
      <w:autoSpaceDN w:val="0"/>
      <w:adjustRightInd w:val="0"/>
      <w:spacing w:line="360" w:lineRule="atLeast"/>
      <w:ind w:left="840" w:hanging="420"/>
      <w:jc w:val="left"/>
    </w:pPr>
    <w:rPr>
      <w:kern w:val="0"/>
      <w:sz w:val="24"/>
      <w:szCs w:val="20"/>
    </w:rPr>
  </w:style>
  <w:style w:type="paragraph" w:styleId="32">
    <w:name w:val="toc 8"/>
    <w:basedOn w:val="1"/>
    <w:next w:val="1"/>
    <w:autoRedefine/>
    <w:qFormat/>
    <w:uiPriority w:val="39"/>
    <w:pPr>
      <w:autoSpaceDE w:val="0"/>
      <w:autoSpaceDN w:val="0"/>
      <w:adjustRightInd w:val="0"/>
      <w:ind w:left="2940" w:leftChars="1400"/>
      <w:jc w:val="left"/>
    </w:pPr>
    <w:rPr>
      <w:kern w:val="0"/>
      <w:sz w:val="20"/>
      <w:szCs w:val="20"/>
    </w:rPr>
  </w:style>
  <w:style w:type="paragraph" w:styleId="33">
    <w:name w:val="Date"/>
    <w:basedOn w:val="1"/>
    <w:next w:val="1"/>
    <w:link w:val="139"/>
    <w:autoRedefine/>
    <w:qFormat/>
    <w:uiPriority w:val="0"/>
    <w:pPr>
      <w:spacing w:line="440" w:lineRule="exact"/>
    </w:pPr>
    <w:rPr>
      <w:spacing w:val="12"/>
      <w:sz w:val="24"/>
      <w:szCs w:val="20"/>
    </w:rPr>
  </w:style>
  <w:style w:type="paragraph" w:styleId="34">
    <w:name w:val="Body Text Indent 2"/>
    <w:basedOn w:val="1"/>
    <w:link w:val="219"/>
    <w:autoRedefine/>
    <w:qFormat/>
    <w:uiPriority w:val="0"/>
    <w:pPr>
      <w:spacing w:after="120" w:line="480" w:lineRule="auto"/>
      <w:ind w:left="420" w:leftChars="200"/>
    </w:pPr>
  </w:style>
  <w:style w:type="paragraph" w:styleId="35">
    <w:name w:val="Balloon Text"/>
    <w:basedOn w:val="1"/>
    <w:link w:val="80"/>
    <w:autoRedefine/>
    <w:qFormat/>
    <w:uiPriority w:val="0"/>
    <w:rPr>
      <w:sz w:val="18"/>
      <w:szCs w:val="18"/>
    </w:rPr>
  </w:style>
  <w:style w:type="paragraph" w:styleId="36">
    <w:name w:val="footer"/>
    <w:basedOn w:val="1"/>
    <w:link w:val="92"/>
    <w:autoRedefine/>
    <w:qFormat/>
    <w:uiPriority w:val="0"/>
    <w:pPr>
      <w:tabs>
        <w:tab w:val="center" w:pos="4153"/>
        <w:tab w:val="right" w:pos="8306"/>
      </w:tabs>
      <w:snapToGrid w:val="0"/>
      <w:jc w:val="left"/>
    </w:pPr>
    <w:rPr>
      <w:sz w:val="18"/>
      <w:szCs w:val="18"/>
    </w:rPr>
  </w:style>
  <w:style w:type="paragraph" w:styleId="37">
    <w:name w:val="header"/>
    <w:basedOn w:val="1"/>
    <w:link w:val="205"/>
    <w:autoRedefine/>
    <w:qFormat/>
    <w:uiPriority w:val="0"/>
    <w:pPr>
      <w:pBdr>
        <w:bottom w:val="single" w:color="auto" w:sz="6" w:space="1"/>
      </w:pBdr>
      <w:tabs>
        <w:tab w:val="center" w:pos="4153"/>
        <w:tab w:val="right" w:pos="8306"/>
      </w:tabs>
      <w:snapToGrid w:val="0"/>
      <w:jc w:val="center"/>
    </w:pPr>
    <w:rPr>
      <w:sz w:val="18"/>
      <w:szCs w:val="18"/>
    </w:rPr>
  </w:style>
  <w:style w:type="paragraph" w:styleId="38">
    <w:name w:val="Signature"/>
    <w:basedOn w:val="1"/>
    <w:link w:val="167"/>
    <w:autoRedefine/>
    <w:qFormat/>
    <w:uiPriority w:val="0"/>
    <w:pPr>
      <w:autoSpaceDE w:val="0"/>
      <w:autoSpaceDN w:val="0"/>
      <w:adjustRightInd w:val="0"/>
      <w:spacing w:after="600" w:line="312" w:lineRule="atLeast"/>
      <w:jc w:val="center"/>
      <w:textAlignment w:val="baseline"/>
    </w:pPr>
    <w:rPr>
      <w:rFonts w:ascii="Tahoma" w:hAnsi="Tahoma" w:eastAsia="仿宋_GB2312"/>
      <w:kern w:val="0"/>
      <w:sz w:val="24"/>
      <w:szCs w:val="20"/>
    </w:rPr>
  </w:style>
  <w:style w:type="paragraph" w:styleId="39">
    <w:name w:val="toc 1"/>
    <w:basedOn w:val="1"/>
    <w:next w:val="1"/>
    <w:autoRedefine/>
    <w:qFormat/>
    <w:uiPriority w:val="39"/>
    <w:pPr>
      <w:spacing w:line="360" w:lineRule="exact"/>
      <w:ind w:left="718" w:hanging="718" w:hangingChars="342"/>
    </w:pPr>
    <w:rPr>
      <w:rFonts w:ascii="Arial" w:hAnsi="Arial" w:eastAsia="楷体_GB2312" w:cs="Arial"/>
    </w:rPr>
  </w:style>
  <w:style w:type="paragraph" w:styleId="40">
    <w:name w:val="toc 4"/>
    <w:basedOn w:val="1"/>
    <w:next w:val="1"/>
    <w:autoRedefine/>
    <w:qFormat/>
    <w:uiPriority w:val="39"/>
    <w:pPr>
      <w:autoSpaceDE w:val="0"/>
      <w:autoSpaceDN w:val="0"/>
      <w:adjustRightInd w:val="0"/>
      <w:ind w:left="1260" w:leftChars="600"/>
      <w:jc w:val="left"/>
    </w:pPr>
    <w:rPr>
      <w:kern w:val="0"/>
      <w:sz w:val="20"/>
      <w:szCs w:val="20"/>
    </w:rPr>
  </w:style>
  <w:style w:type="paragraph" w:styleId="41">
    <w:name w:val="Subtitle"/>
    <w:basedOn w:val="1"/>
    <w:next w:val="1"/>
    <w:link w:val="199"/>
    <w:autoRedefine/>
    <w:qFormat/>
    <w:uiPriority w:val="0"/>
    <w:pPr>
      <w:spacing w:before="240" w:after="60" w:line="312" w:lineRule="auto"/>
      <w:jc w:val="center"/>
      <w:outlineLvl w:val="1"/>
    </w:pPr>
    <w:rPr>
      <w:rFonts w:ascii="Cambria" w:hAnsi="Cambria"/>
      <w:b/>
      <w:bCs/>
      <w:kern w:val="28"/>
      <w:sz w:val="32"/>
      <w:szCs w:val="32"/>
    </w:rPr>
  </w:style>
  <w:style w:type="paragraph" w:styleId="42">
    <w:name w:val="List Number 5"/>
    <w:basedOn w:val="1"/>
    <w:autoRedefine/>
    <w:qFormat/>
    <w:uiPriority w:val="0"/>
    <w:pPr>
      <w:tabs>
        <w:tab w:val="left" w:pos="2040"/>
      </w:tabs>
      <w:autoSpaceDE w:val="0"/>
      <w:autoSpaceDN w:val="0"/>
      <w:adjustRightInd w:val="0"/>
      <w:spacing w:line="400" w:lineRule="exact"/>
      <w:ind w:left="2040" w:hanging="360"/>
      <w:jc w:val="left"/>
    </w:pPr>
    <w:rPr>
      <w:kern w:val="0"/>
      <w:sz w:val="24"/>
      <w:szCs w:val="20"/>
    </w:rPr>
  </w:style>
  <w:style w:type="paragraph" w:styleId="43">
    <w:name w:val="List"/>
    <w:basedOn w:val="1"/>
    <w:autoRedefine/>
    <w:qFormat/>
    <w:uiPriority w:val="0"/>
    <w:pPr>
      <w:ind w:left="200" w:hanging="200" w:hangingChars="200"/>
    </w:pPr>
    <w:rPr>
      <w:sz w:val="28"/>
    </w:rPr>
  </w:style>
  <w:style w:type="paragraph" w:styleId="44">
    <w:name w:val="Body Text Indent 3"/>
    <w:basedOn w:val="1"/>
    <w:link w:val="168"/>
    <w:autoRedefine/>
    <w:qFormat/>
    <w:uiPriority w:val="0"/>
    <w:pPr>
      <w:spacing w:after="120"/>
      <w:ind w:left="420" w:leftChars="200"/>
    </w:pPr>
    <w:rPr>
      <w:sz w:val="16"/>
      <w:szCs w:val="16"/>
    </w:rPr>
  </w:style>
  <w:style w:type="paragraph" w:styleId="45">
    <w:name w:val="toc 2"/>
    <w:basedOn w:val="1"/>
    <w:next w:val="1"/>
    <w:autoRedefine/>
    <w:qFormat/>
    <w:uiPriority w:val="39"/>
    <w:pPr>
      <w:ind w:left="420" w:leftChars="200"/>
    </w:pPr>
  </w:style>
  <w:style w:type="paragraph" w:styleId="46">
    <w:name w:val="toc 9"/>
    <w:basedOn w:val="1"/>
    <w:next w:val="1"/>
    <w:autoRedefine/>
    <w:qFormat/>
    <w:uiPriority w:val="39"/>
    <w:pPr>
      <w:autoSpaceDE w:val="0"/>
      <w:autoSpaceDN w:val="0"/>
      <w:adjustRightInd w:val="0"/>
      <w:ind w:left="3360" w:leftChars="1600"/>
      <w:jc w:val="left"/>
    </w:pPr>
    <w:rPr>
      <w:kern w:val="0"/>
      <w:sz w:val="20"/>
      <w:szCs w:val="20"/>
    </w:rPr>
  </w:style>
  <w:style w:type="paragraph" w:styleId="47">
    <w:name w:val="Body Text 2"/>
    <w:basedOn w:val="1"/>
    <w:link w:val="161"/>
    <w:autoRedefine/>
    <w:qFormat/>
    <w:uiPriority w:val="0"/>
    <w:pPr>
      <w:autoSpaceDE w:val="0"/>
      <w:autoSpaceDN w:val="0"/>
      <w:adjustRightInd w:val="0"/>
      <w:spacing w:after="120" w:line="480" w:lineRule="auto"/>
      <w:jc w:val="left"/>
    </w:pPr>
    <w:rPr>
      <w:kern w:val="0"/>
      <w:sz w:val="20"/>
      <w:szCs w:val="20"/>
    </w:rPr>
  </w:style>
  <w:style w:type="paragraph" w:styleId="48">
    <w:name w:val="HTML Preformatted"/>
    <w:basedOn w:val="1"/>
    <w:autoRedefine/>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微软雅黑" w:hAnsi="微软雅黑" w:eastAsia="微软雅黑"/>
      <w:kern w:val="0"/>
      <w:sz w:val="24"/>
    </w:rPr>
  </w:style>
  <w:style w:type="paragraph" w:styleId="49">
    <w:name w:val="Normal (Web)"/>
    <w:basedOn w:val="1"/>
    <w:autoRedefine/>
    <w:qFormat/>
    <w:uiPriority w:val="0"/>
    <w:pPr>
      <w:widowControl/>
      <w:spacing w:before="100" w:beforeAutospacing="1" w:after="100" w:afterAutospacing="1"/>
      <w:jc w:val="left"/>
    </w:pPr>
    <w:rPr>
      <w:rFonts w:hint="eastAsia" w:ascii="宋体" w:hAnsi="宋体"/>
      <w:color w:val="000000"/>
      <w:kern w:val="0"/>
      <w:sz w:val="24"/>
    </w:rPr>
  </w:style>
  <w:style w:type="paragraph" w:styleId="50">
    <w:name w:val="index 1"/>
    <w:basedOn w:val="1"/>
    <w:next w:val="1"/>
    <w:autoRedefine/>
    <w:qFormat/>
    <w:uiPriority w:val="0"/>
    <w:pPr>
      <w:spacing w:line="220" w:lineRule="exact"/>
      <w:jc w:val="center"/>
    </w:pPr>
    <w:rPr>
      <w:rFonts w:ascii="仿宋_GB2312" w:eastAsia="仿宋_GB2312"/>
      <w:szCs w:val="21"/>
    </w:rPr>
  </w:style>
  <w:style w:type="paragraph" w:styleId="51">
    <w:name w:val="Title"/>
    <w:basedOn w:val="1"/>
    <w:link w:val="171"/>
    <w:autoRedefine/>
    <w:qFormat/>
    <w:uiPriority w:val="0"/>
    <w:pPr>
      <w:autoSpaceDE w:val="0"/>
      <w:autoSpaceDN w:val="0"/>
      <w:adjustRightInd w:val="0"/>
      <w:spacing w:before="240" w:after="60"/>
      <w:jc w:val="center"/>
      <w:outlineLvl w:val="0"/>
    </w:pPr>
    <w:rPr>
      <w:rFonts w:ascii="Cambria" w:hAnsi="Cambria"/>
      <w:b/>
      <w:bCs/>
      <w:kern w:val="0"/>
      <w:sz w:val="32"/>
      <w:szCs w:val="32"/>
    </w:rPr>
  </w:style>
  <w:style w:type="paragraph" w:styleId="52">
    <w:name w:val="annotation subject"/>
    <w:basedOn w:val="19"/>
    <w:next w:val="19"/>
    <w:link w:val="109"/>
    <w:autoRedefine/>
    <w:qFormat/>
    <w:uiPriority w:val="0"/>
    <w:rPr>
      <w:b/>
      <w:bCs/>
    </w:rPr>
  </w:style>
  <w:style w:type="table" w:styleId="54">
    <w:name w:val="Table Grid"/>
    <w:basedOn w:val="5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6">
    <w:name w:val="Strong"/>
    <w:autoRedefine/>
    <w:qFormat/>
    <w:uiPriority w:val="0"/>
    <w:rPr>
      <w:rFonts w:ascii="仿宋_GB2312" w:eastAsia="仿宋_GB2312"/>
      <w:bCs/>
      <w:sz w:val="32"/>
      <w:szCs w:val="32"/>
    </w:rPr>
  </w:style>
  <w:style w:type="character" w:styleId="57">
    <w:name w:val="page number"/>
    <w:basedOn w:val="55"/>
    <w:autoRedefine/>
    <w:qFormat/>
    <w:uiPriority w:val="0"/>
  </w:style>
  <w:style w:type="character" w:styleId="58">
    <w:name w:val="FollowedHyperlink"/>
    <w:autoRedefine/>
    <w:qFormat/>
    <w:uiPriority w:val="0"/>
    <w:rPr>
      <w:rFonts w:ascii="仿宋_GB2312" w:eastAsia="仿宋_GB2312"/>
      <w:b/>
      <w:color w:val="800080"/>
      <w:sz w:val="32"/>
      <w:szCs w:val="32"/>
      <w:u w:val="single"/>
    </w:rPr>
  </w:style>
  <w:style w:type="character" w:styleId="59">
    <w:name w:val="Emphasis"/>
    <w:autoRedefine/>
    <w:qFormat/>
    <w:uiPriority w:val="0"/>
    <w:rPr>
      <w:i/>
      <w:iCs/>
    </w:rPr>
  </w:style>
  <w:style w:type="character" w:styleId="60">
    <w:name w:val="line number"/>
    <w:autoRedefine/>
    <w:qFormat/>
    <w:uiPriority w:val="0"/>
    <w:rPr>
      <w:rFonts w:ascii="仿宋_GB2312" w:hAnsi="Tahoma" w:eastAsia="仿宋_GB2312"/>
      <w:b/>
      <w:sz w:val="32"/>
      <w:szCs w:val="32"/>
    </w:rPr>
  </w:style>
  <w:style w:type="character" w:styleId="61">
    <w:name w:val="HTML Definition"/>
    <w:autoRedefine/>
    <w:unhideWhenUsed/>
    <w:qFormat/>
    <w:uiPriority w:val="99"/>
    <w:rPr>
      <w:szCs w:val="20"/>
    </w:rPr>
  </w:style>
  <w:style w:type="character" w:styleId="62">
    <w:name w:val="HTML Acronym"/>
    <w:basedOn w:val="55"/>
    <w:autoRedefine/>
    <w:unhideWhenUsed/>
    <w:qFormat/>
    <w:uiPriority w:val="99"/>
  </w:style>
  <w:style w:type="character" w:styleId="63">
    <w:name w:val="HTML Variable"/>
    <w:autoRedefine/>
    <w:unhideWhenUsed/>
    <w:qFormat/>
    <w:uiPriority w:val="99"/>
    <w:rPr>
      <w:szCs w:val="20"/>
    </w:rPr>
  </w:style>
  <w:style w:type="character" w:styleId="64">
    <w:name w:val="Hyperlink"/>
    <w:autoRedefine/>
    <w:qFormat/>
    <w:uiPriority w:val="99"/>
    <w:rPr>
      <w:rFonts w:ascii="仿宋_GB2312" w:eastAsia="仿宋_GB2312"/>
      <w:color w:val="000000"/>
      <w:sz w:val="20"/>
      <w:szCs w:val="20"/>
      <w:u w:val="none"/>
    </w:rPr>
  </w:style>
  <w:style w:type="character" w:styleId="65">
    <w:name w:val="HTML Code"/>
    <w:autoRedefine/>
    <w:unhideWhenUsed/>
    <w:qFormat/>
    <w:uiPriority w:val="99"/>
    <w:rPr>
      <w:rFonts w:hint="eastAsia" w:ascii="微软雅黑" w:hAnsi="微软雅黑" w:eastAsia="微软雅黑" w:cs="微软雅黑"/>
      <w:sz w:val="20"/>
      <w:szCs w:val="20"/>
    </w:rPr>
  </w:style>
  <w:style w:type="character" w:styleId="66">
    <w:name w:val="annotation reference"/>
    <w:autoRedefine/>
    <w:qFormat/>
    <w:uiPriority w:val="99"/>
    <w:rPr>
      <w:sz w:val="21"/>
      <w:szCs w:val="21"/>
    </w:rPr>
  </w:style>
  <w:style w:type="character" w:styleId="67">
    <w:name w:val="HTML Cite"/>
    <w:autoRedefine/>
    <w:qFormat/>
    <w:uiPriority w:val="0"/>
    <w:rPr>
      <w:color w:val="008000"/>
    </w:rPr>
  </w:style>
  <w:style w:type="character" w:styleId="68">
    <w:name w:val="footnote reference"/>
    <w:autoRedefine/>
    <w:qFormat/>
    <w:uiPriority w:val="0"/>
    <w:rPr>
      <w:vertAlign w:val="superscript"/>
    </w:rPr>
  </w:style>
  <w:style w:type="character" w:styleId="69">
    <w:name w:val="HTML Keyboard"/>
    <w:autoRedefine/>
    <w:unhideWhenUsed/>
    <w:qFormat/>
    <w:uiPriority w:val="99"/>
    <w:rPr>
      <w:rFonts w:hint="eastAsia" w:ascii="微软雅黑" w:hAnsi="微软雅黑" w:eastAsia="微软雅黑" w:cs="微软雅黑"/>
      <w:sz w:val="20"/>
      <w:szCs w:val="20"/>
    </w:rPr>
  </w:style>
  <w:style w:type="character" w:styleId="70">
    <w:name w:val="HTML Sample"/>
    <w:autoRedefine/>
    <w:unhideWhenUsed/>
    <w:qFormat/>
    <w:uiPriority w:val="99"/>
    <w:rPr>
      <w:rFonts w:hint="eastAsia" w:ascii="微软雅黑" w:hAnsi="微软雅黑" w:eastAsia="微软雅黑" w:cs="微软雅黑"/>
      <w:szCs w:val="20"/>
    </w:rPr>
  </w:style>
  <w:style w:type="paragraph" w:customStyle="1" w:styleId="71">
    <w:name w:val="Normal Indent1"/>
    <w:basedOn w:val="1"/>
    <w:autoRedefine/>
    <w:qFormat/>
    <w:uiPriority w:val="0"/>
    <w:pPr>
      <w:ind w:firstLine="420" w:firstLineChars="200"/>
    </w:pPr>
  </w:style>
  <w:style w:type="paragraph" w:customStyle="1" w:styleId="72">
    <w:name w:val="标题 5（有编号）（绿盟科技）"/>
    <w:basedOn w:val="1"/>
    <w:next w:val="73"/>
    <w:autoRedefine/>
    <w:qFormat/>
    <w:uiPriority w:val="0"/>
    <w:pPr>
      <w:keepNext/>
      <w:keepLines/>
      <w:numPr>
        <w:ilvl w:val="4"/>
        <w:numId w:val="2"/>
      </w:numPr>
      <w:tabs>
        <w:tab w:val="left" w:pos="0"/>
      </w:tabs>
      <w:spacing w:before="280" w:after="156" w:line="377" w:lineRule="auto"/>
      <w:jc w:val="left"/>
      <w:outlineLvl w:val="4"/>
    </w:pPr>
    <w:rPr>
      <w:rFonts w:ascii="Arial" w:hAnsi="Arial" w:eastAsia="黑体"/>
      <w:b/>
      <w:kern w:val="0"/>
      <w:sz w:val="24"/>
      <w:szCs w:val="28"/>
    </w:rPr>
  </w:style>
  <w:style w:type="paragraph" w:customStyle="1" w:styleId="73">
    <w:name w:val="正文（绿盟科技）"/>
    <w:autoRedefine/>
    <w:qFormat/>
    <w:uiPriority w:val="0"/>
    <w:pPr>
      <w:spacing w:line="300" w:lineRule="auto"/>
    </w:pPr>
    <w:rPr>
      <w:rFonts w:ascii="Arial" w:hAnsi="Arial" w:eastAsia="宋体" w:cs="黑体"/>
      <w:sz w:val="21"/>
      <w:szCs w:val="21"/>
      <w:lang w:val="en-US" w:eastAsia="zh-CN" w:bidi="ar-SA"/>
    </w:rPr>
  </w:style>
  <w:style w:type="paragraph" w:customStyle="1" w:styleId="74">
    <w:name w:val="文档正文"/>
    <w:basedOn w:val="1"/>
    <w:autoRedefine/>
    <w:qFormat/>
    <w:uiPriority w:val="0"/>
    <w:pPr>
      <w:adjustRightInd w:val="0"/>
      <w:spacing w:line="300" w:lineRule="auto"/>
      <w:ind w:firstLine="567"/>
      <w:textAlignment w:val="baseline"/>
    </w:pPr>
    <w:rPr>
      <w:kern w:val="0"/>
      <w:sz w:val="24"/>
      <w:szCs w:val="20"/>
    </w:rPr>
  </w:style>
  <w:style w:type="paragraph" w:customStyle="1" w:styleId="75">
    <w:name w:val="UserStyle_0"/>
    <w:autoRedefine/>
    <w:qFormat/>
    <w:uiPriority w:val="0"/>
    <w:pPr>
      <w:textAlignment w:val="baseline"/>
    </w:pPr>
    <w:rPr>
      <w:rFonts w:ascii="宋体" w:hAnsi="Times New Roman" w:eastAsia="宋体" w:cs="Times New Roman"/>
      <w:color w:val="000000"/>
      <w:sz w:val="24"/>
      <w:szCs w:val="24"/>
      <w:lang w:val="en-US" w:eastAsia="zh-CN" w:bidi="ar-SA"/>
    </w:rPr>
  </w:style>
  <w:style w:type="character" w:customStyle="1" w:styleId="76">
    <w:name w:val="PI Char1"/>
    <w:autoRedefine/>
    <w:qFormat/>
    <w:uiPriority w:val="0"/>
    <w:rPr>
      <w:rFonts w:ascii="仿宋_GB2312" w:eastAsia="宋体"/>
      <w:b/>
      <w:kern w:val="2"/>
      <w:sz w:val="24"/>
      <w:szCs w:val="24"/>
      <w:lang w:val="en-US" w:eastAsia="zh-CN" w:bidi="ar-SA"/>
    </w:rPr>
  </w:style>
  <w:style w:type="character" w:customStyle="1" w:styleId="77">
    <w:name w:val="不明显强调1"/>
    <w:autoRedefine/>
    <w:qFormat/>
    <w:uiPriority w:val="0"/>
    <w:rPr>
      <w:i/>
      <w:iCs/>
      <w:color w:val="808080"/>
    </w:rPr>
  </w:style>
  <w:style w:type="character" w:customStyle="1" w:styleId="78">
    <w:name w:val="文档结构图 Char"/>
    <w:autoRedefine/>
    <w:qFormat/>
    <w:uiPriority w:val="0"/>
    <w:rPr>
      <w:rFonts w:eastAsia="宋体"/>
      <w:kern w:val="2"/>
      <w:sz w:val="21"/>
      <w:szCs w:val="24"/>
      <w:lang w:val="en-US" w:eastAsia="zh-CN" w:bidi="ar-SA"/>
    </w:rPr>
  </w:style>
  <w:style w:type="character" w:customStyle="1" w:styleId="79">
    <w:name w:val="red1"/>
    <w:autoRedefine/>
    <w:qFormat/>
    <w:uiPriority w:val="0"/>
    <w:rPr>
      <w:color w:val="FF0000"/>
      <w:szCs w:val="20"/>
    </w:rPr>
  </w:style>
  <w:style w:type="character" w:customStyle="1" w:styleId="80">
    <w:name w:val="批注框文本 字符"/>
    <w:link w:val="35"/>
    <w:autoRedefine/>
    <w:qFormat/>
    <w:uiPriority w:val="0"/>
    <w:rPr>
      <w:kern w:val="2"/>
      <w:sz w:val="18"/>
      <w:szCs w:val="18"/>
    </w:rPr>
  </w:style>
  <w:style w:type="character" w:customStyle="1" w:styleId="81">
    <w:name w:val="正文缩进 Char1 Char"/>
    <w:autoRedefine/>
    <w:qFormat/>
    <w:uiPriority w:val="0"/>
    <w:rPr>
      <w:rFonts w:ascii="仿宋_GB2312" w:eastAsia="宋体"/>
      <w:b/>
      <w:sz w:val="21"/>
      <w:szCs w:val="32"/>
      <w:lang w:val="en-US" w:eastAsia="zh-CN" w:bidi="ar-SA"/>
    </w:rPr>
  </w:style>
  <w:style w:type="character" w:customStyle="1" w:styleId="82">
    <w:name w:val="heading 6 Char1"/>
    <w:autoRedefine/>
    <w:qFormat/>
    <w:uiPriority w:val="0"/>
    <w:rPr>
      <w:rFonts w:ascii="Arial" w:hAnsi="Arial" w:eastAsia="黑体"/>
      <w:b/>
      <w:kern w:val="2"/>
      <w:sz w:val="24"/>
      <w:szCs w:val="24"/>
      <w:lang w:val="en-US" w:eastAsia="zh-CN" w:bidi="ar-SA"/>
    </w:rPr>
  </w:style>
  <w:style w:type="character" w:customStyle="1" w:styleId="83">
    <w:name w:val="标题 2 字符"/>
    <w:link w:val="4"/>
    <w:autoRedefine/>
    <w:qFormat/>
    <w:uiPriority w:val="0"/>
    <w:rPr>
      <w:rFonts w:ascii="Arial" w:hAnsi="Arial" w:eastAsia="黑体"/>
      <w:b/>
      <w:bCs/>
      <w:kern w:val="2"/>
      <w:sz w:val="32"/>
      <w:szCs w:val="32"/>
    </w:rPr>
  </w:style>
  <w:style w:type="character" w:customStyle="1" w:styleId="84">
    <w:name w:val="zbggmain style9"/>
    <w:basedOn w:val="55"/>
    <w:autoRedefine/>
    <w:qFormat/>
    <w:uiPriority w:val="0"/>
  </w:style>
  <w:style w:type="character" w:customStyle="1" w:styleId="85">
    <w:name w:val="pages"/>
    <w:autoRedefine/>
    <w:qFormat/>
    <w:uiPriority w:val="0"/>
    <w:rPr>
      <w:color w:val="999999"/>
      <w:szCs w:val="20"/>
    </w:rPr>
  </w:style>
  <w:style w:type="character" w:customStyle="1" w:styleId="86">
    <w:name w:val="heading 3 Char2"/>
    <w:autoRedefine/>
    <w:qFormat/>
    <w:uiPriority w:val="0"/>
    <w:rPr>
      <w:rFonts w:ascii="仿宋_GB2312" w:eastAsia="仿宋_GB2312"/>
      <w:b/>
      <w:bCs/>
      <w:kern w:val="2"/>
      <w:sz w:val="32"/>
      <w:szCs w:val="32"/>
    </w:rPr>
  </w:style>
  <w:style w:type="character" w:customStyle="1" w:styleId="87">
    <w:name w:val="Char Char"/>
    <w:autoRedefine/>
    <w:qFormat/>
    <w:uiPriority w:val="0"/>
    <w:rPr>
      <w:rFonts w:ascii="宋体" w:hAnsi="Courier New" w:eastAsia="宋体"/>
      <w:kern w:val="2"/>
      <w:sz w:val="21"/>
      <w:lang w:val="en-US" w:eastAsia="zh-CN" w:bidi="ar-SA"/>
    </w:rPr>
  </w:style>
  <w:style w:type="character" w:customStyle="1" w:styleId="88">
    <w:name w:val="Char Char11"/>
    <w:autoRedefine/>
    <w:qFormat/>
    <w:uiPriority w:val="0"/>
    <w:rPr>
      <w:rFonts w:ascii="Times New Roman" w:hAnsi="Times New Roman" w:eastAsia="宋体" w:cs="Times New Roman"/>
      <w:sz w:val="18"/>
      <w:szCs w:val="18"/>
    </w:rPr>
  </w:style>
  <w:style w:type="character" w:customStyle="1" w:styleId="89">
    <w:name w:val="heading 2 Char1"/>
    <w:autoRedefine/>
    <w:qFormat/>
    <w:uiPriority w:val="0"/>
    <w:rPr>
      <w:rFonts w:ascii="Cambria" w:hAnsi="Cambria" w:eastAsia="宋体"/>
      <w:b/>
      <w:bCs/>
      <w:kern w:val="2"/>
      <w:sz w:val="32"/>
      <w:szCs w:val="32"/>
      <w:lang w:val="en-US" w:eastAsia="zh-CN" w:bidi="ar-SA"/>
    </w:rPr>
  </w:style>
  <w:style w:type="character" w:customStyle="1" w:styleId="90">
    <w:name w:val="标题 4 Char"/>
    <w:autoRedefine/>
    <w:qFormat/>
    <w:uiPriority w:val="0"/>
    <w:rPr>
      <w:rFonts w:ascii="Arial" w:hAnsi="Arial" w:eastAsia="黑体"/>
      <w:b/>
      <w:bCs/>
      <w:kern w:val="2"/>
      <w:sz w:val="28"/>
      <w:szCs w:val="28"/>
      <w:lang w:val="en-US" w:eastAsia="zh-CN" w:bidi="ar-SA"/>
    </w:rPr>
  </w:style>
  <w:style w:type="character" w:customStyle="1" w:styleId="91">
    <w:name w:val="hover15"/>
    <w:autoRedefine/>
    <w:qFormat/>
    <w:uiPriority w:val="0"/>
    <w:rPr>
      <w:szCs w:val="20"/>
      <w:u w:val="single"/>
    </w:rPr>
  </w:style>
  <w:style w:type="character" w:customStyle="1" w:styleId="92">
    <w:name w:val="页脚 字符"/>
    <w:link w:val="36"/>
    <w:autoRedefine/>
    <w:qFormat/>
    <w:uiPriority w:val="0"/>
    <w:rPr>
      <w:kern w:val="2"/>
      <w:sz w:val="18"/>
      <w:szCs w:val="18"/>
    </w:rPr>
  </w:style>
  <w:style w:type="character" w:customStyle="1" w:styleId="93">
    <w:name w:val="smalltxt1"/>
    <w:autoRedefine/>
    <w:qFormat/>
    <w:uiPriority w:val="0"/>
    <w:rPr>
      <w:rFonts w:hint="default" w:ascii="ˎ̥" w:hAnsi="ˎ̥" w:eastAsia="仿宋_GB2312"/>
      <w:b/>
      <w:sz w:val="24"/>
      <w:szCs w:val="24"/>
    </w:rPr>
  </w:style>
  <w:style w:type="character" w:customStyle="1" w:styleId="94">
    <w:name w:val="宏文本 Char1"/>
    <w:autoRedefine/>
    <w:semiHidden/>
    <w:qFormat/>
    <w:uiPriority w:val="99"/>
    <w:rPr>
      <w:rFonts w:ascii="Courier New" w:hAnsi="Courier New" w:cs="Courier New"/>
      <w:kern w:val="2"/>
      <w:sz w:val="24"/>
      <w:szCs w:val="24"/>
    </w:rPr>
  </w:style>
  <w:style w:type="character" w:customStyle="1" w:styleId="95">
    <w:name w:val="heading 5 Char2"/>
    <w:autoRedefine/>
    <w:qFormat/>
    <w:uiPriority w:val="0"/>
    <w:rPr>
      <w:rFonts w:ascii="仿宋_GB2312" w:eastAsia="仿宋_GB2312"/>
      <w:b/>
      <w:bCs/>
      <w:kern w:val="2"/>
      <w:sz w:val="28"/>
      <w:szCs w:val="28"/>
    </w:rPr>
  </w:style>
  <w:style w:type="character" w:customStyle="1" w:styleId="96">
    <w:name w:val="heading 4 Char1"/>
    <w:autoRedefine/>
    <w:qFormat/>
    <w:uiPriority w:val="0"/>
    <w:rPr>
      <w:rFonts w:ascii="Cambria" w:hAnsi="Cambria" w:eastAsia="宋体"/>
      <w:b/>
      <w:bCs/>
      <w:kern w:val="2"/>
      <w:sz w:val="28"/>
      <w:szCs w:val="28"/>
      <w:lang w:val="en-US" w:eastAsia="zh-CN" w:bidi="ar-SA"/>
    </w:rPr>
  </w:style>
  <w:style w:type="character" w:customStyle="1" w:styleId="97">
    <w:name w:val="Char Char1"/>
    <w:autoRedefine/>
    <w:qFormat/>
    <w:uiPriority w:val="0"/>
    <w:rPr>
      <w:rFonts w:ascii="宋体" w:hAnsi="Courier New" w:eastAsia="宋体"/>
      <w:kern w:val="2"/>
      <w:sz w:val="21"/>
      <w:lang w:val="en-US" w:eastAsia="zh-CN" w:bidi="ar-SA"/>
    </w:rPr>
  </w:style>
  <w:style w:type="character" w:customStyle="1" w:styleId="98">
    <w:name w:val="heading 5 Char1"/>
    <w:autoRedefine/>
    <w:qFormat/>
    <w:uiPriority w:val="0"/>
    <w:rPr>
      <w:rFonts w:ascii="仿宋_GB2312" w:eastAsia="宋体"/>
      <w:b/>
      <w:bCs/>
      <w:kern w:val="2"/>
      <w:sz w:val="28"/>
      <w:szCs w:val="28"/>
      <w:lang w:val="en-US" w:eastAsia="zh-CN" w:bidi="ar-SA"/>
    </w:rPr>
  </w:style>
  <w:style w:type="character" w:customStyle="1" w:styleId="99">
    <w:name w:val="明显引用 字符"/>
    <w:link w:val="100"/>
    <w:autoRedefine/>
    <w:qFormat/>
    <w:uiPriority w:val="0"/>
    <w:rPr>
      <w:rFonts w:ascii="Calibri" w:hAnsi="Calibri"/>
      <w:b/>
      <w:bCs/>
      <w:i/>
      <w:iCs/>
      <w:color w:val="4F81BD"/>
      <w:sz w:val="32"/>
      <w:szCs w:val="32"/>
    </w:rPr>
  </w:style>
  <w:style w:type="paragraph" w:styleId="100">
    <w:name w:val="Intense Quote"/>
    <w:basedOn w:val="1"/>
    <w:next w:val="1"/>
    <w:link w:val="99"/>
    <w:autoRedefine/>
    <w:qFormat/>
    <w:uiPriority w:val="0"/>
    <w:pPr>
      <w:pBdr>
        <w:bottom w:val="single" w:color="4F81BD" w:sz="4" w:space="4"/>
      </w:pBdr>
      <w:spacing w:before="200" w:after="280"/>
      <w:ind w:left="936" w:right="936"/>
    </w:pPr>
    <w:rPr>
      <w:b/>
      <w:bCs/>
      <w:i/>
      <w:iCs/>
      <w:color w:val="4F81BD"/>
      <w:kern w:val="0"/>
      <w:sz w:val="32"/>
      <w:szCs w:val="32"/>
    </w:rPr>
  </w:style>
  <w:style w:type="character" w:customStyle="1" w:styleId="101">
    <w:name w:val="正文文本 字符"/>
    <w:link w:val="21"/>
    <w:autoRedefine/>
    <w:qFormat/>
    <w:uiPriority w:val="0"/>
    <w:rPr>
      <w:rFonts w:ascii="Tahoma" w:hAnsi="Tahoma"/>
      <w:kern w:val="2"/>
      <w:sz w:val="21"/>
      <w:szCs w:val="24"/>
    </w:rPr>
  </w:style>
  <w:style w:type="character" w:customStyle="1" w:styleId="102">
    <w:name w:val="无间隔 字符"/>
    <w:link w:val="103"/>
    <w:autoRedefine/>
    <w:qFormat/>
    <w:uiPriority w:val="0"/>
    <w:rPr>
      <w:sz w:val="22"/>
      <w:szCs w:val="22"/>
      <w:lang w:val="en-US" w:eastAsia="zh-CN" w:bidi="ar-SA"/>
    </w:rPr>
  </w:style>
  <w:style w:type="paragraph" w:styleId="103">
    <w:name w:val="No Spacing"/>
    <w:link w:val="102"/>
    <w:autoRedefine/>
    <w:qFormat/>
    <w:uiPriority w:val="0"/>
    <w:rPr>
      <w:rFonts w:ascii="Calibri" w:hAnsi="Calibri" w:eastAsia="宋体" w:cs="Times New Roman"/>
      <w:sz w:val="22"/>
      <w:szCs w:val="22"/>
      <w:lang w:val="en-US" w:eastAsia="zh-CN" w:bidi="ar-SA"/>
    </w:rPr>
  </w:style>
  <w:style w:type="character" w:customStyle="1" w:styleId="104">
    <w:name w:val="标题 1 Char"/>
    <w:autoRedefine/>
    <w:qFormat/>
    <w:uiPriority w:val="0"/>
    <w:rPr>
      <w:rFonts w:eastAsia="宋体"/>
      <w:b/>
      <w:bCs/>
      <w:kern w:val="44"/>
      <w:sz w:val="44"/>
      <w:szCs w:val="44"/>
      <w:lang w:val="en-US" w:eastAsia="zh-CN" w:bidi="ar-SA"/>
    </w:rPr>
  </w:style>
  <w:style w:type="character" w:customStyle="1" w:styleId="105">
    <w:name w:val="heading 7 Char1"/>
    <w:autoRedefine/>
    <w:qFormat/>
    <w:uiPriority w:val="0"/>
    <w:rPr>
      <w:rFonts w:ascii="Arial" w:hAnsi="Arial" w:eastAsia="黑体"/>
      <w:b/>
      <w:sz w:val="21"/>
      <w:szCs w:val="21"/>
      <w:lang w:val="en-US" w:eastAsia="zh-CN" w:bidi="ar-SA"/>
    </w:rPr>
  </w:style>
  <w:style w:type="character" w:customStyle="1" w:styleId="106">
    <w:name w:val="pt141"/>
    <w:autoRedefine/>
    <w:qFormat/>
    <w:uiPriority w:val="0"/>
    <w:rPr>
      <w:rFonts w:ascii="仿宋_GB2312" w:eastAsia="仿宋_GB2312"/>
      <w:b/>
      <w:color w:val="330066"/>
      <w:spacing w:val="450"/>
      <w:sz w:val="22"/>
      <w:szCs w:val="22"/>
    </w:rPr>
  </w:style>
  <w:style w:type="character" w:customStyle="1" w:styleId="107">
    <w:name w:val="明显参考1"/>
    <w:autoRedefine/>
    <w:qFormat/>
    <w:uiPriority w:val="0"/>
    <w:rPr>
      <w:b/>
      <w:bCs/>
      <w:smallCaps/>
      <w:color w:val="C0504D"/>
      <w:spacing w:val="5"/>
      <w:u w:val="single"/>
    </w:rPr>
  </w:style>
  <w:style w:type="character" w:customStyle="1" w:styleId="108">
    <w:name w:val="num"/>
    <w:autoRedefine/>
    <w:qFormat/>
    <w:uiPriority w:val="0"/>
    <w:rPr>
      <w:b/>
      <w:color w:val="FF7800"/>
      <w:szCs w:val="20"/>
    </w:rPr>
  </w:style>
  <w:style w:type="character" w:customStyle="1" w:styleId="109">
    <w:name w:val="批注主题 字符"/>
    <w:link w:val="52"/>
    <w:autoRedefine/>
    <w:qFormat/>
    <w:uiPriority w:val="0"/>
    <w:rPr>
      <w:b/>
      <w:bCs/>
      <w:kern w:val="2"/>
      <w:sz w:val="21"/>
      <w:szCs w:val="24"/>
    </w:rPr>
  </w:style>
  <w:style w:type="character" w:customStyle="1" w:styleId="110">
    <w:name w:val="标题 2 Char"/>
    <w:autoRedefine/>
    <w:qFormat/>
    <w:uiPriority w:val="0"/>
    <w:rPr>
      <w:rFonts w:ascii="Arial" w:hAnsi="Arial" w:eastAsia="黑体"/>
      <w:b/>
      <w:bCs/>
      <w:kern w:val="2"/>
      <w:sz w:val="32"/>
      <w:szCs w:val="32"/>
      <w:lang w:val="en-US" w:eastAsia="zh-CN" w:bidi="ar-SA"/>
    </w:rPr>
  </w:style>
  <w:style w:type="character" w:customStyle="1" w:styleId="111">
    <w:name w:val="副标题 Char1"/>
    <w:autoRedefine/>
    <w:qFormat/>
    <w:uiPriority w:val="11"/>
    <w:rPr>
      <w:rFonts w:ascii="Cambria" w:hAnsi="Cambria" w:cs="Times New Roman"/>
      <w:b/>
      <w:bCs/>
      <w:kern w:val="28"/>
      <w:sz w:val="32"/>
      <w:szCs w:val="32"/>
    </w:rPr>
  </w:style>
  <w:style w:type="character" w:customStyle="1" w:styleId="112">
    <w:name w:val="Plain Text Char"/>
    <w:autoRedefine/>
    <w:qFormat/>
    <w:uiPriority w:val="0"/>
    <w:rPr>
      <w:rFonts w:ascii="宋体" w:hAnsi="Courier New" w:eastAsia="宋体" w:cs="Times New Roman"/>
      <w:sz w:val="21"/>
      <w:szCs w:val="21"/>
    </w:rPr>
  </w:style>
  <w:style w:type="character" w:customStyle="1" w:styleId="113">
    <w:name w:val="文档结构图 字符"/>
    <w:link w:val="18"/>
    <w:autoRedefine/>
    <w:qFormat/>
    <w:uiPriority w:val="0"/>
    <w:rPr>
      <w:kern w:val="2"/>
      <w:sz w:val="21"/>
      <w:szCs w:val="24"/>
      <w:shd w:val="clear" w:color="auto" w:fill="000080"/>
    </w:rPr>
  </w:style>
  <w:style w:type="character" w:customStyle="1" w:styleId="114">
    <w:name w:val="heading 4 Char"/>
    <w:autoRedefine/>
    <w:qFormat/>
    <w:uiPriority w:val="0"/>
    <w:rPr>
      <w:rFonts w:ascii="Arial" w:hAnsi="Arial" w:eastAsia="黑体" w:cs="Times New Roman"/>
      <w:b/>
      <w:sz w:val="21"/>
      <w:szCs w:val="21"/>
    </w:rPr>
  </w:style>
  <w:style w:type="character" w:customStyle="1" w:styleId="115">
    <w:name w:val="Char Char211"/>
    <w:autoRedefine/>
    <w:qFormat/>
    <w:uiPriority w:val="0"/>
    <w:rPr>
      <w:rFonts w:ascii="Times New Roman" w:hAnsi="Times New Roman" w:eastAsia="宋体" w:cs="Times New Roman"/>
      <w:b/>
      <w:bCs/>
      <w:kern w:val="44"/>
      <w:sz w:val="44"/>
      <w:szCs w:val="44"/>
    </w:rPr>
  </w:style>
  <w:style w:type="character" w:customStyle="1" w:styleId="116">
    <w:name w:val="Char Char19"/>
    <w:autoRedefine/>
    <w:qFormat/>
    <w:uiPriority w:val="0"/>
    <w:rPr>
      <w:rFonts w:ascii="Cambria" w:hAnsi="Cambria" w:eastAsia="仿宋_GB2312"/>
      <w:b/>
      <w:bCs/>
      <w:kern w:val="2"/>
      <w:sz w:val="32"/>
      <w:szCs w:val="32"/>
    </w:rPr>
  </w:style>
  <w:style w:type="character" w:customStyle="1" w:styleId="117">
    <w:name w:val="input"/>
    <w:basedOn w:val="55"/>
    <w:autoRedefine/>
    <w:qFormat/>
    <w:uiPriority w:val="0"/>
  </w:style>
  <w:style w:type="character" w:customStyle="1" w:styleId="118">
    <w:name w:val="Footer-Even Char1"/>
    <w:autoRedefine/>
    <w:qFormat/>
    <w:uiPriority w:val="0"/>
    <w:rPr>
      <w:rFonts w:ascii="仿宋_GB2312" w:eastAsia="宋体"/>
      <w:b/>
      <w:kern w:val="2"/>
      <w:sz w:val="18"/>
      <w:szCs w:val="18"/>
      <w:lang w:val="en-US" w:eastAsia="zh-CN" w:bidi="ar-SA"/>
    </w:rPr>
  </w:style>
  <w:style w:type="character" w:customStyle="1" w:styleId="119">
    <w:name w:val="Char Char22"/>
    <w:autoRedefine/>
    <w:qFormat/>
    <w:uiPriority w:val="0"/>
    <w:rPr>
      <w:rFonts w:ascii="Arial" w:hAnsi="Arial" w:eastAsia="黑体"/>
      <w:b/>
      <w:bCs/>
      <w:kern w:val="44"/>
      <w:sz w:val="30"/>
      <w:szCs w:val="44"/>
      <w:lang w:val="en-US" w:eastAsia="zh-CN" w:bidi="ar-SA"/>
    </w:rPr>
  </w:style>
  <w:style w:type="character" w:customStyle="1" w:styleId="120">
    <w:name w:val="标题 3 字符"/>
    <w:link w:val="5"/>
    <w:autoRedefine/>
    <w:qFormat/>
    <w:uiPriority w:val="0"/>
    <w:rPr>
      <w:b/>
      <w:bCs/>
      <w:kern w:val="2"/>
      <w:sz w:val="32"/>
      <w:szCs w:val="32"/>
    </w:rPr>
  </w:style>
  <w:style w:type="character" w:customStyle="1" w:styleId="121">
    <w:name w:val="Style3"/>
    <w:autoRedefine/>
    <w:qFormat/>
    <w:uiPriority w:val="0"/>
    <w:rPr>
      <w:rFonts w:ascii="Calibri" w:hAnsi="宋体" w:eastAsia="宋体" w:cs="Times New Roman"/>
      <w:szCs w:val="22"/>
      <w:lang w:eastAsia="zh-CN"/>
    </w:rPr>
  </w:style>
  <w:style w:type="character" w:customStyle="1" w:styleId="122">
    <w:name w:val="Char Char20"/>
    <w:autoRedefine/>
    <w:qFormat/>
    <w:uiPriority w:val="0"/>
    <w:rPr>
      <w:rFonts w:ascii="仿宋_GB2312" w:eastAsia="仿宋_GB2312"/>
      <w:b/>
      <w:bCs/>
      <w:kern w:val="44"/>
      <w:sz w:val="44"/>
      <w:szCs w:val="44"/>
    </w:rPr>
  </w:style>
  <w:style w:type="character" w:customStyle="1" w:styleId="123">
    <w:name w:val="表正文 Char2"/>
    <w:autoRedefine/>
    <w:qFormat/>
    <w:uiPriority w:val="0"/>
    <w:rPr>
      <w:rFonts w:ascii="Times New Roman" w:hAnsi="Times New Roman" w:eastAsia="宋体" w:cs="Times New Roman"/>
      <w:szCs w:val="24"/>
    </w:rPr>
  </w:style>
  <w:style w:type="character" w:customStyle="1" w:styleId="124">
    <w:name w:val="批注文字 Char"/>
    <w:autoRedefine/>
    <w:qFormat/>
    <w:uiPriority w:val="99"/>
    <w:rPr>
      <w:rFonts w:eastAsia="宋体"/>
      <w:kern w:val="2"/>
      <w:sz w:val="21"/>
      <w:szCs w:val="24"/>
      <w:lang w:val="en-US" w:eastAsia="zh-CN" w:bidi="ar-SA"/>
    </w:rPr>
  </w:style>
  <w:style w:type="character" w:customStyle="1" w:styleId="125">
    <w:name w:val="heading 1 Char"/>
    <w:autoRedefine/>
    <w:qFormat/>
    <w:uiPriority w:val="0"/>
    <w:rPr>
      <w:rFonts w:ascii="Arial" w:hAnsi="Arial" w:eastAsia="黑体"/>
      <w:b/>
      <w:sz w:val="36"/>
      <w:szCs w:val="36"/>
    </w:rPr>
  </w:style>
  <w:style w:type="character" w:customStyle="1" w:styleId="126">
    <w:name w:val="Ò³Ã¼ Char Char1"/>
    <w:autoRedefine/>
    <w:qFormat/>
    <w:uiPriority w:val="0"/>
    <w:rPr>
      <w:rFonts w:ascii="仿宋_GB2312" w:eastAsia="宋体"/>
      <w:b/>
      <w:kern w:val="2"/>
      <w:sz w:val="18"/>
      <w:szCs w:val="18"/>
      <w:lang w:val="en-US" w:eastAsia="zh-CN" w:bidi="ar-SA"/>
    </w:rPr>
  </w:style>
  <w:style w:type="character" w:customStyle="1" w:styleId="127">
    <w:name w:val="引用 字符"/>
    <w:link w:val="128"/>
    <w:autoRedefine/>
    <w:qFormat/>
    <w:uiPriority w:val="0"/>
    <w:rPr>
      <w:rFonts w:ascii="Calibri" w:hAnsi="Calibri"/>
      <w:b/>
      <w:i/>
      <w:iCs/>
      <w:color w:val="000000"/>
      <w:sz w:val="32"/>
      <w:szCs w:val="32"/>
    </w:rPr>
  </w:style>
  <w:style w:type="paragraph" w:styleId="128">
    <w:name w:val="Quote"/>
    <w:basedOn w:val="1"/>
    <w:next w:val="1"/>
    <w:link w:val="127"/>
    <w:autoRedefine/>
    <w:qFormat/>
    <w:uiPriority w:val="0"/>
    <w:rPr>
      <w:b/>
      <w:i/>
      <w:iCs/>
      <w:color w:val="000000"/>
      <w:kern w:val="0"/>
      <w:sz w:val="32"/>
      <w:szCs w:val="32"/>
    </w:rPr>
  </w:style>
  <w:style w:type="character" w:customStyle="1" w:styleId="129">
    <w:name w:val="heading 4 Char2"/>
    <w:autoRedefine/>
    <w:qFormat/>
    <w:uiPriority w:val="0"/>
    <w:rPr>
      <w:rFonts w:ascii="Cambria" w:hAnsi="Cambria" w:eastAsia="仿宋_GB2312"/>
      <w:b/>
      <w:bCs/>
      <w:kern w:val="2"/>
      <w:sz w:val="28"/>
      <w:szCs w:val="28"/>
    </w:rPr>
  </w:style>
  <w:style w:type="character" w:customStyle="1" w:styleId="130">
    <w:name w:val="标题 9 字符"/>
    <w:link w:val="11"/>
    <w:autoRedefine/>
    <w:qFormat/>
    <w:uiPriority w:val="0"/>
    <w:rPr>
      <w:rFonts w:ascii="Arial" w:hAnsi="Arial" w:eastAsia="黑体"/>
      <w:b/>
      <w:sz w:val="21"/>
      <w:szCs w:val="32"/>
    </w:rPr>
  </w:style>
  <w:style w:type="character" w:customStyle="1" w:styleId="131">
    <w:name w:val="纯文本 Char"/>
    <w:autoRedefine/>
    <w:qFormat/>
    <w:uiPriority w:val="0"/>
    <w:rPr>
      <w:rFonts w:ascii="仿宋_GB2312" w:hAnsi="Wingdings" w:eastAsia="仿宋_GB2312"/>
      <w:sz w:val="21"/>
      <w:szCs w:val="21"/>
      <w:lang w:val="en-US" w:eastAsia="zh-CN" w:bidi="ar-SA"/>
    </w:rPr>
  </w:style>
  <w:style w:type="character" w:customStyle="1" w:styleId="132">
    <w:name w:val="正文缩进 字符"/>
    <w:link w:val="14"/>
    <w:autoRedefine/>
    <w:qFormat/>
    <w:uiPriority w:val="0"/>
    <w:rPr>
      <w:rFonts w:eastAsia="宋体"/>
      <w:sz w:val="21"/>
      <w:lang w:val="en-US" w:eastAsia="zh-CN" w:bidi="ar-SA"/>
    </w:rPr>
  </w:style>
  <w:style w:type="character" w:customStyle="1" w:styleId="133">
    <w:name w:val="heading 2 Char"/>
    <w:autoRedefine/>
    <w:qFormat/>
    <w:uiPriority w:val="0"/>
    <w:rPr>
      <w:rFonts w:ascii="Arial" w:hAnsi="Arial" w:eastAsia="黑体" w:cs="Times New Roman"/>
      <w:b/>
      <w:sz w:val="30"/>
      <w:szCs w:val="24"/>
    </w:rPr>
  </w:style>
  <w:style w:type="character" w:customStyle="1" w:styleId="134">
    <w:name w:val="Table Text Char Char"/>
    <w:link w:val="135"/>
    <w:autoRedefine/>
    <w:qFormat/>
    <w:uiPriority w:val="0"/>
    <w:rPr>
      <w:sz w:val="24"/>
    </w:rPr>
  </w:style>
  <w:style w:type="paragraph" w:customStyle="1" w:styleId="135">
    <w:name w:val="Table Text"/>
    <w:basedOn w:val="1"/>
    <w:link w:val="134"/>
    <w:autoRedefine/>
    <w:qFormat/>
    <w:uiPriority w:val="0"/>
    <w:pPr>
      <w:widowControl/>
      <w:autoSpaceDE w:val="0"/>
      <w:autoSpaceDN w:val="0"/>
      <w:adjustRightInd w:val="0"/>
      <w:spacing w:before="60" w:after="60"/>
      <w:jc w:val="left"/>
    </w:pPr>
    <w:rPr>
      <w:kern w:val="0"/>
      <w:sz w:val="24"/>
      <w:szCs w:val="20"/>
    </w:rPr>
  </w:style>
  <w:style w:type="character" w:customStyle="1" w:styleId="136">
    <w:name w:val="heading 3 Char1"/>
    <w:autoRedefine/>
    <w:qFormat/>
    <w:uiPriority w:val="0"/>
    <w:rPr>
      <w:rFonts w:ascii="仿宋_GB2312" w:eastAsia="宋体"/>
      <w:b/>
      <w:bCs/>
      <w:kern w:val="2"/>
      <w:sz w:val="32"/>
      <w:szCs w:val="32"/>
      <w:lang w:val="en-US" w:eastAsia="zh-CN" w:bidi="ar-SA"/>
    </w:rPr>
  </w:style>
  <w:style w:type="character" w:customStyle="1" w:styleId="137">
    <w:name w:val="font31"/>
    <w:autoRedefine/>
    <w:qFormat/>
    <w:uiPriority w:val="0"/>
    <w:rPr>
      <w:rFonts w:hint="eastAsia" w:ascii="宋体" w:hAnsi="宋体" w:eastAsia="宋体" w:cs="宋体"/>
      <w:color w:val="000000"/>
      <w:sz w:val="20"/>
      <w:szCs w:val="20"/>
      <w:u w:val="none"/>
    </w:rPr>
  </w:style>
  <w:style w:type="character" w:customStyle="1" w:styleId="138">
    <w:name w:val="Char Char17"/>
    <w:autoRedefine/>
    <w:qFormat/>
    <w:uiPriority w:val="0"/>
    <w:rPr>
      <w:rFonts w:ascii="Cambria" w:hAnsi="Cambria" w:eastAsia="仿宋_GB2312"/>
      <w:b/>
      <w:bCs/>
      <w:kern w:val="2"/>
      <w:sz w:val="28"/>
      <w:szCs w:val="28"/>
    </w:rPr>
  </w:style>
  <w:style w:type="character" w:customStyle="1" w:styleId="139">
    <w:name w:val="日期 字符"/>
    <w:link w:val="33"/>
    <w:autoRedefine/>
    <w:qFormat/>
    <w:uiPriority w:val="0"/>
    <w:rPr>
      <w:spacing w:val="12"/>
      <w:kern w:val="2"/>
      <w:sz w:val="24"/>
    </w:rPr>
  </w:style>
  <w:style w:type="character" w:customStyle="1" w:styleId="140">
    <w:name w:val="Char Char16"/>
    <w:autoRedefine/>
    <w:qFormat/>
    <w:uiPriority w:val="0"/>
    <w:rPr>
      <w:rFonts w:ascii="仿宋_GB2312" w:eastAsia="仿宋_GB2312"/>
      <w:b/>
      <w:bCs/>
      <w:kern w:val="2"/>
      <w:sz w:val="28"/>
      <w:szCs w:val="28"/>
    </w:rPr>
  </w:style>
  <w:style w:type="character" w:customStyle="1" w:styleId="141">
    <w:name w:val="me04"/>
    <w:autoRedefine/>
    <w:qFormat/>
    <w:uiPriority w:val="0"/>
    <w:rPr>
      <w:rFonts w:ascii="仿宋_GB2312" w:hAnsi="Tahoma" w:eastAsia="仿宋_GB2312"/>
      <w:b/>
      <w:sz w:val="32"/>
      <w:szCs w:val="32"/>
    </w:rPr>
  </w:style>
  <w:style w:type="character" w:customStyle="1" w:styleId="142">
    <w:name w:val="明显引用 Char1"/>
    <w:autoRedefine/>
    <w:qFormat/>
    <w:uiPriority w:val="99"/>
    <w:rPr>
      <w:rFonts w:ascii="Tahoma" w:hAnsi="Tahoma"/>
      <w:b/>
      <w:bCs/>
      <w:i/>
      <w:iCs/>
      <w:color w:val="4F81BD"/>
      <w:kern w:val="2"/>
      <w:sz w:val="21"/>
      <w:szCs w:val="24"/>
    </w:rPr>
  </w:style>
  <w:style w:type="character" w:customStyle="1" w:styleId="143">
    <w:name w:val="页眉 Char"/>
    <w:autoRedefine/>
    <w:qFormat/>
    <w:uiPriority w:val="0"/>
    <w:rPr>
      <w:rFonts w:eastAsia="仿宋_GB2312"/>
      <w:kern w:val="2"/>
      <w:sz w:val="18"/>
      <w:szCs w:val="18"/>
      <w:lang w:val="en-US" w:eastAsia="zh-CN" w:bidi="ar-SA"/>
    </w:rPr>
  </w:style>
  <w:style w:type="character" w:customStyle="1" w:styleId="144">
    <w:name w:val="red"/>
    <w:autoRedefine/>
    <w:qFormat/>
    <w:uiPriority w:val="0"/>
    <w:rPr>
      <w:color w:val="FF0000"/>
      <w:szCs w:val="20"/>
    </w:rPr>
  </w:style>
  <w:style w:type="character" w:customStyle="1" w:styleId="145">
    <w:name w:val="正文1 Char Char"/>
    <w:link w:val="146"/>
    <w:autoRedefine/>
    <w:qFormat/>
    <w:uiPriority w:val="0"/>
    <w:rPr>
      <w:rFonts w:ascii="宋体" w:hAnsi="宋体" w:cs="宋体"/>
      <w:b/>
      <w:sz w:val="21"/>
      <w:szCs w:val="32"/>
    </w:rPr>
  </w:style>
  <w:style w:type="paragraph" w:customStyle="1" w:styleId="146">
    <w:name w:val="正文1"/>
    <w:basedOn w:val="1"/>
    <w:link w:val="145"/>
    <w:autoRedefine/>
    <w:qFormat/>
    <w:uiPriority w:val="0"/>
    <w:pPr>
      <w:widowControl/>
      <w:spacing w:line="360" w:lineRule="auto"/>
      <w:ind w:left="360" w:firstLine="420"/>
      <w:jc w:val="left"/>
    </w:pPr>
    <w:rPr>
      <w:rFonts w:ascii="宋体" w:hAnsi="宋体"/>
      <w:b/>
      <w:kern w:val="0"/>
      <w:szCs w:val="32"/>
    </w:rPr>
  </w:style>
  <w:style w:type="character" w:customStyle="1" w:styleId="147">
    <w:name w:val="heading 1 Char2"/>
    <w:autoRedefine/>
    <w:qFormat/>
    <w:uiPriority w:val="0"/>
    <w:rPr>
      <w:rFonts w:ascii="仿宋_GB2312" w:eastAsia="仿宋_GB2312"/>
      <w:b/>
      <w:bCs/>
      <w:kern w:val="44"/>
      <w:sz w:val="44"/>
      <w:szCs w:val="44"/>
    </w:rPr>
  </w:style>
  <w:style w:type="character" w:customStyle="1" w:styleId="148">
    <w:name w:val="font21"/>
    <w:autoRedefine/>
    <w:qFormat/>
    <w:uiPriority w:val="0"/>
    <w:rPr>
      <w:rFonts w:hint="default" w:ascii="Times New Roman" w:hAnsi="Times New Roman" w:cs="Times New Roman"/>
      <w:color w:val="000000"/>
      <w:sz w:val="20"/>
      <w:szCs w:val="20"/>
      <w:u w:val="none"/>
    </w:rPr>
  </w:style>
  <w:style w:type="character" w:customStyle="1" w:styleId="149">
    <w:name w:val="Char Char Char1"/>
    <w:autoRedefine/>
    <w:qFormat/>
    <w:uiPriority w:val="0"/>
    <w:rPr>
      <w:rFonts w:ascii="宋体" w:hAnsi="Courier New" w:eastAsia="仿宋_GB2312"/>
      <w:b/>
      <w:sz w:val="21"/>
      <w:szCs w:val="21"/>
    </w:rPr>
  </w:style>
  <w:style w:type="character" w:customStyle="1" w:styleId="150">
    <w:name w:val="页脚 Char"/>
    <w:autoRedefine/>
    <w:qFormat/>
    <w:uiPriority w:val="0"/>
    <w:rPr>
      <w:rFonts w:eastAsia="仿宋_GB2312"/>
      <w:kern w:val="2"/>
      <w:sz w:val="18"/>
      <w:szCs w:val="18"/>
      <w:lang w:val="en-US" w:eastAsia="zh-CN" w:bidi="ar-SA"/>
    </w:rPr>
  </w:style>
  <w:style w:type="character" w:customStyle="1" w:styleId="151">
    <w:name w:val="正文首行缩进 Char"/>
    <w:autoRedefine/>
    <w:qFormat/>
    <w:uiPriority w:val="0"/>
    <w:rPr>
      <w:rFonts w:ascii="仿宋_GB2312" w:eastAsia="宋体"/>
      <w:kern w:val="2"/>
      <w:sz w:val="21"/>
      <w:szCs w:val="24"/>
      <w:lang w:val="en-US" w:eastAsia="zh-CN" w:bidi="ar-SA"/>
    </w:rPr>
  </w:style>
  <w:style w:type="character" w:customStyle="1" w:styleId="152">
    <w:name w:val="正文文本 Char"/>
    <w:autoRedefine/>
    <w:qFormat/>
    <w:uiPriority w:val="0"/>
    <w:rPr>
      <w:rFonts w:ascii="仿宋_GB2312" w:eastAsia="宋体"/>
      <w:b/>
      <w:kern w:val="2"/>
      <w:sz w:val="21"/>
      <w:szCs w:val="24"/>
      <w:lang w:val="en-US" w:eastAsia="zh-CN" w:bidi="ar-SA"/>
    </w:rPr>
  </w:style>
  <w:style w:type="character" w:customStyle="1" w:styleId="153">
    <w:name w:val="Char Char201"/>
    <w:autoRedefine/>
    <w:qFormat/>
    <w:uiPriority w:val="0"/>
    <w:rPr>
      <w:rFonts w:ascii="Cambria" w:hAnsi="Cambria" w:eastAsia="宋体" w:cs="Times New Roman"/>
      <w:b/>
      <w:bCs/>
      <w:sz w:val="32"/>
      <w:szCs w:val="32"/>
    </w:rPr>
  </w:style>
  <w:style w:type="character" w:customStyle="1" w:styleId="154">
    <w:name w:val="font01"/>
    <w:autoRedefine/>
    <w:qFormat/>
    <w:uiPriority w:val="0"/>
    <w:rPr>
      <w:rFonts w:hint="eastAsia" w:ascii="宋体" w:hAnsi="宋体" w:eastAsia="宋体" w:cs="宋体"/>
      <w:color w:val="000000"/>
      <w:sz w:val="22"/>
      <w:szCs w:val="22"/>
      <w:u w:val="none"/>
    </w:rPr>
  </w:style>
  <w:style w:type="character" w:customStyle="1" w:styleId="155">
    <w:name w:val="样式2 Char Char"/>
    <w:link w:val="156"/>
    <w:autoRedefine/>
    <w:qFormat/>
    <w:uiPriority w:val="0"/>
    <w:rPr>
      <w:rFonts w:ascii="宋体" w:hAnsi="宋体"/>
      <w:b/>
      <w:bCs/>
      <w:kern w:val="2"/>
      <w:sz w:val="28"/>
      <w:szCs w:val="28"/>
    </w:rPr>
  </w:style>
  <w:style w:type="paragraph" w:customStyle="1" w:styleId="156">
    <w:name w:val="样式2"/>
    <w:basedOn w:val="4"/>
    <w:link w:val="155"/>
    <w:autoRedefine/>
    <w:qFormat/>
    <w:uiPriority w:val="0"/>
    <w:pPr>
      <w:snapToGrid w:val="0"/>
      <w:spacing w:afterLines="50" w:line="480" w:lineRule="exact"/>
      <w:ind w:firstLine="556"/>
    </w:pPr>
    <w:rPr>
      <w:rFonts w:ascii="宋体" w:hAnsi="宋体" w:eastAsia="宋体"/>
      <w:sz w:val="28"/>
      <w:szCs w:val="28"/>
    </w:rPr>
  </w:style>
  <w:style w:type="character" w:customStyle="1" w:styleId="157">
    <w:name w:val="heading 2 Char2"/>
    <w:autoRedefine/>
    <w:qFormat/>
    <w:uiPriority w:val="0"/>
    <w:rPr>
      <w:rFonts w:ascii="Cambria" w:hAnsi="Cambria" w:eastAsia="仿宋_GB2312"/>
      <w:b/>
      <w:bCs/>
      <w:kern w:val="2"/>
      <w:sz w:val="32"/>
      <w:szCs w:val="32"/>
    </w:rPr>
  </w:style>
  <w:style w:type="character" w:customStyle="1" w:styleId="158">
    <w:name w:val="Texte Char Char"/>
    <w:autoRedefine/>
    <w:qFormat/>
    <w:uiPriority w:val="0"/>
    <w:rPr>
      <w:rFonts w:ascii="宋体" w:hAnsi="Courier New" w:eastAsia="宋体"/>
      <w:b/>
      <w:sz w:val="21"/>
      <w:szCs w:val="21"/>
      <w:lang w:val="en-US" w:eastAsia="zh-CN" w:bidi="ar-SA"/>
    </w:rPr>
  </w:style>
  <w:style w:type="character" w:customStyle="1" w:styleId="159">
    <w:name w:val="引用 Char1"/>
    <w:autoRedefine/>
    <w:qFormat/>
    <w:uiPriority w:val="99"/>
    <w:rPr>
      <w:rFonts w:ascii="Tahoma" w:hAnsi="Tahoma"/>
      <w:i/>
      <w:iCs/>
      <w:color w:val="000000"/>
      <w:kern w:val="2"/>
      <w:sz w:val="21"/>
      <w:szCs w:val="24"/>
    </w:rPr>
  </w:style>
  <w:style w:type="character" w:customStyle="1" w:styleId="160">
    <w:name w:val="authcode"/>
    <w:basedOn w:val="55"/>
    <w:autoRedefine/>
    <w:qFormat/>
    <w:uiPriority w:val="0"/>
  </w:style>
  <w:style w:type="character" w:customStyle="1" w:styleId="161">
    <w:name w:val="正文文本 2 字符"/>
    <w:basedOn w:val="55"/>
    <w:link w:val="47"/>
    <w:autoRedefine/>
    <w:qFormat/>
    <w:uiPriority w:val="0"/>
  </w:style>
  <w:style w:type="character" w:customStyle="1" w:styleId="162">
    <w:name w:val="fr"/>
    <w:basedOn w:val="55"/>
    <w:autoRedefine/>
    <w:qFormat/>
    <w:uiPriority w:val="0"/>
  </w:style>
  <w:style w:type="character" w:customStyle="1" w:styleId="163">
    <w:name w:val="gray6"/>
    <w:autoRedefine/>
    <w:qFormat/>
    <w:uiPriority w:val="0"/>
    <w:rPr>
      <w:rFonts w:ascii="仿宋_GB2312" w:hAnsi="Tahoma" w:eastAsia="仿宋_GB2312"/>
      <w:b/>
      <w:sz w:val="32"/>
      <w:szCs w:val="32"/>
    </w:rPr>
  </w:style>
  <w:style w:type="character" w:customStyle="1" w:styleId="164">
    <w:name w:val="heading 3 Char"/>
    <w:autoRedefine/>
    <w:qFormat/>
    <w:uiPriority w:val="0"/>
    <w:rPr>
      <w:rFonts w:ascii="Arial" w:hAnsi="Arial" w:eastAsia="黑体"/>
      <w:b/>
      <w:sz w:val="28"/>
      <w:szCs w:val="24"/>
    </w:rPr>
  </w:style>
  <w:style w:type="character" w:customStyle="1" w:styleId="165">
    <w:name w:val="不明显参考1"/>
    <w:autoRedefine/>
    <w:qFormat/>
    <w:uiPriority w:val="0"/>
    <w:rPr>
      <w:smallCaps/>
      <w:color w:val="C0504D"/>
      <w:u w:val="single"/>
    </w:rPr>
  </w:style>
  <w:style w:type="character" w:customStyle="1" w:styleId="166">
    <w:name w:val="正文缩进 Char"/>
    <w:autoRedefine/>
    <w:qFormat/>
    <w:uiPriority w:val="0"/>
    <w:rPr>
      <w:rFonts w:eastAsia="仿宋_GB2312"/>
      <w:sz w:val="21"/>
      <w:lang w:val="en-US" w:eastAsia="zh-CN" w:bidi="ar-SA"/>
    </w:rPr>
  </w:style>
  <w:style w:type="character" w:customStyle="1" w:styleId="167">
    <w:name w:val="签名 字符"/>
    <w:link w:val="38"/>
    <w:autoRedefine/>
    <w:qFormat/>
    <w:uiPriority w:val="0"/>
    <w:rPr>
      <w:rFonts w:ascii="Tahoma" w:hAnsi="Tahoma" w:eastAsia="仿宋_GB2312"/>
      <w:sz w:val="24"/>
      <w:szCs w:val="20"/>
    </w:rPr>
  </w:style>
  <w:style w:type="character" w:customStyle="1" w:styleId="168">
    <w:name w:val="正文文本缩进 3 字符"/>
    <w:link w:val="44"/>
    <w:autoRedefine/>
    <w:qFormat/>
    <w:uiPriority w:val="0"/>
    <w:rPr>
      <w:kern w:val="2"/>
      <w:sz w:val="16"/>
      <w:szCs w:val="16"/>
    </w:rPr>
  </w:style>
  <w:style w:type="character" w:customStyle="1" w:styleId="169">
    <w:name w:val="style41"/>
    <w:autoRedefine/>
    <w:qFormat/>
    <w:uiPriority w:val="0"/>
    <w:rPr>
      <w:rFonts w:ascii="仿宋_GB2312" w:eastAsia="仿宋_GB2312"/>
      <w:b/>
      <w:color w:val="auto"/>
      <w:sz w:val="32"/>
      <w:szCs w:val="32"/>
    </w:rPr>
  </w:style>
  <w:style w:type="character" w:customStyle="1" w:styleId="170">
    <w:name w:val="dandyren_title1"/>
    <w:autoRedefine/>
    <w:qFormat/>
    <w:uiPriority w:val="0"/>
    <w:rPr>
      <w:rFonts w:ascii="仿宋_GB2312" w:eastAsia="仿宋_GB2312"/>
      <w:b/>
      <w:bCs/>
      <w:color w:val="FF6633"/>
      <w:sz w:val="18"/>
      <w:szCs w:val="18"/>
    </w:rPr>
  </w:style>
  <w:style w:type="character" w:customStyle="1" w:styleId="171">
    <w:name w:val="标题 字符"/>
    <w:link w:val="51"/>
    <w:autoRedefine/>
    <w:qFormat/>
    <w:uiPriority w:val="0"/>
    <w:rPr>
      <w:rFonts w:ascii="Cambria" w:hAnsi="Cambria"/>
      <w:b/>
      <w:bCs/>
      <w:sz w:val="32"/>
      <w:szCs w:val="32"/>
    </w:rPr>
  </w:style>
  <w:style w:type="character" w:customStyle="1" w:styleId="172">
    <w:name w:val="Char Char18"/>
    <w:autoRedefine/>
    <w:qFormat/>
    <w:uiPriority w:val="0"/>
    <w:rPr>
      <w:rFonts w:ascii="仿宋_GB2312" w:eastAsia="仿宋_GB2312"/>
      <w:b/>
      <w:bCs/>
      <w:kern w:val="2"/>
      <w:sz w:val="32"/>
      <w:szCs w:val="32"/>
    </w:rPr>
  </w:style>
  <w:style w:type="character" w:customStyle="1" w:styleId="173">
    <w:name w:val="样式 正文文本 Char Char Char"/>
    <w:autoRedefine/>
    <w:qFormat/>
    <w:uiPriority w:val="0"/>
    <w:rPr>
      <w:rFonts w:ascii="Arial" w:hAnsi="Arial" w:eastAsia="宋体"/>
      <w:color w:val="000000"/>
      <w:kern w:val="2"/>
      <w:sz w:val="21"/>
      <w:lang w:val="en-US" w:eastAsia="zh-CN" w:bidi="ar-SA"/>
    </w:rPr>
  </w:style>
  <w:style w:type="character" w:customStyle="1" w:styleId="174">
    <w:name w:val="Char Char2"/>
    <w:autoRedefine/>
    <w:qFormat/>
    <w:uiPriority w:val="0"/>
    <w:rPr>
      <w:rFonts w:ascii="Arial" w:hAnsi="Arial" w:eastAsia="黑体"/>
      <w:b/>
      <w:bCs/>
      <w:kern w:val="44"/>
      <w:sz w:val="30"/>
      <w:szCs w:val="44"/>
      <w:lang w:val="en-US" w:eastAsia="zh-CN" w:bidi="ar-SA"/>
    </w:rPr>
  </w:style>
  <w:style w:type="character" w:customStyle="1" w:styleId="175">
    <w:name w:val="PI Char2"/>
    <w:autoRedefine/>
    <w:qFormat/>
    <w:uiPriority w:val="0"/>
    <w:rPr>
      <w:rFonts w:ascii="仿宋_GB2312" w:eastAsia="仿宋_GB2312"/>
      <w:b/>
      <w:kern w:val="2"/>
      <w:sz w:val="24"/>
      <w:szCs w:val="24"/>
    </w:rPr>
  </w:style>
  <w:style w:type="character" w:customStyle="1" w:styleId="176">
    <w:name w:val="Ò³Ã¼ Char Char2"/>
    <w:autoRedefine/>
    <w:qFormat/>
    <w:uiPriority w:val="0"/>
    <w:rPr>
      <w:rFonts w:ascii="仿宋_GB2312" w:eastAsia="仿宋_GB2312"/>
      <w:b/>
      <w:kern w:val="2"/>
      <w:sz w:val="18"/>
      <w:szCs w:val="18"/>
    </w:rPr>
  </w:style>
  <w:style w:type="character" w:customStyle="1" w:styleId="177">
    <w:name w:val="纯文本 字符"/>
    <w:link w:val="30"/>
    <w:autoRedefine/>
    <w:qFormat/>
    <w:uiPriority w:val="0"/>
    <w:rPr>
      <w:rFonts w:ascii="宋体" w:hAnsi="Courier New" w:eastAsia="宋体"/>
      <w:kern w:val="2"/>
      <w:sz w:val="21"/>
      <w:lang w:val="en-US" w:eastAsia="zh-CN" w:bidi="ar-SA"/>
    </w:rPr>
  </w:style>
  <w:style w:type="character" w:customStyle="1" w:styleId="178">
    <w:name w:val="标题 1 字符"/>
    <w:link w:val="3"/>
    <w:autoRedefine/>
    <w:qFormat/>
    <w:uiPriority w:val="0"/>
    <w:rPr>
      <w:rFonts w:ascii="楷体_GB2312" w:hAnsi="Tahoma" w:eastAsia="楷体_GB2312"/>
      <w:b/>
      <w:bCs/>
      <w:kern w:val="2"/>
      <w:sz w:val="21"/>
      <w:szCs w:val="24"/>
    </w:rPr>
  </w:style>
  <w:style w:type="character" w:customStyle="1" w:styleId="179">
    <w:name w:val="正文文本 3 字符"/>
    <w:basedOn w:val="55"/>
    <w:link w:val="15"/>
    <w:autoRedefine/>
    <w:qFormat/>
    <w:uiPriority w:val="0"/>
  </w:style>
  <w:style w:type="character" w:customStyle="1" w:styleId="180">
    <w:name w:val="样式 正文文本 Char Char"/>
    <w:link w:val="181"/>
    <w:autoRedefine/>
    <w:qFormat/>
    <w:uiPriority w:val="0"/>
    <w:rPr>
      <w:rFonts w:ascii="Arial" w:hAnsi="Arial" w:cs="宋体"/>
      <w:color w:val="000000"/>
      <w:kern w:val="2"/>
      <w:sz w:val="21"/>
    </w:rPr>
  </w:style>
  <w:style w:type="paragraph" w:customStyle="1" w:styleId="181">
    <w:name w:val="样式 正文文本"/>
    <w:basedOn w:val="1"/>
    <w:link w:val="180"/>
    <w:autoRedefine/>
    <w:qFormat/>
    <w:uiPriority w:val="0"/>
    <w:pPr>
      <w:adjustRightInd w:val="0"/>
      <w:snapToGrid w:val="0"/>
      <w:spacing w:line="400" w:lineRule="exact"/>
      <w:ind w:firstLine="200" w:firstLineChars="200"/>
    </w:pPr>
    <w:rPr>
      <w:rFonts w:ascii="Arial" w:hAnsi="Arial"/>
      <w:color w:val="000000"/>
      <w:szCs w:val="20"/>
    </w:rPr>
  </w:style>
  <w:style w:type="character" w:customStyle="1" w:styleId="182">
    <w:name w:val="Char1"/>
    <w:autoRedefine/>
    <w:qFormat/>
    <w:uiPriority w:val="0"/>
    <w:rPr>
      <w:rFonts w:ascii="宋体" w:hAnsi="宋体" w:eastAsia="宋体"/>
      <w:b/>
      <w:kern w:val="2"/>
      <w:sz w:val="24"/>
      <w:szCs w:val="24"/>
      <w:lang w:val="en-US" w:eastAsia="zh-CN" w:bidi="ar-SA"/>
    </w:rPr>
  </w:style>
  <w:style w:type="character" w:customStyle="1" w:styleId="183">
    <w:name w:val="Char Char6"/>
    <w:autoRedefine/>
    <w:qFormat/>
    <w:uiPriority w:val="0"/>
    <w:rPr>
      <w:rFonts w:ascii="Times New Roman" w:hAnsi="Times New Roman" w:eastAsia="宋体" w:cs="Times New Roman"/>
      <w:szCs w:val="24"/>
    </w:rPr>
  </w:style>
  <w:style w:type="character" w:customStyle="1" w:styleId="184">
    <w:name w:val="Footer-Even Char"/>
    <w:autoRedefine/>
    <w:qFormat/>
    <w:uiPriority w:val="0"/>
    <w:rPr>
      <w:rFonts w:ascii="仿宋_GB2312" w:eastAsia="仿宋_GB2312"/>
      <w:b/>
      <w:sz w:val="18"/>
      <w:szCs w:val="18"/>
    </w:rPr>
  </w:style>
  <w:style w:type="character" w:customStyle="1" w:styleId="185">
    <w:name w:val="heading 8 Char1"/>
    <w:autoRedefine/>
    <w:qFormat/>
    <w:uiPriority w:val="0"/>
    <w:rPr>
      <w:rFonts w:ascii="Arial" w:hAnsi="Arial" w:eastAsia="黑体"/>
      <w:b/>
      <w:sz w:val="24"/>
      <w:szCs w:val="32"/>
      <w:lang w:val="en-US" w:eastAsia="zh-CN" w:bidi="ar-SA"/>
    </w:rPr>
  </w:style>
  <w:style w:type="character" w:customStyle="1" w:styleId="186">
    <w:name w:val="Char Char21"/>
    <w:qFormat/>
    <w:uiPriority w:val="0"/>
    <w:rPr>
      <w:rFonts w:ascii="Times New Roman" w:hAnsi="Times New Roman" w:eastAsia="宋体" w:cs="Times New Roman"/>
      <w:b/>
      <w:bCs/>
      <w:kern w:val="44"/>
      <w:sz w:val="44"/>
      <w:szCs w:val="44"/>
    </w:rPr>
  </w:style>
  <w:style w:type="character" w:customStyle="1" w:styleId="187">
    <w:name w:val="doc"/>
    <w:basedOn w:val="55"/>
    <w:autoRedefine/>
    <w:qFormat/>
    <w:uiPriority w:val="0"/>
  </w:style>
  <w:style w:type="character" w:customStyle="1" w:styleId="188">
    <w:name w:val="标题 3 Char"/>
    <w:autoRedefine/>
    <w:qFormat/>
    <w:uiPriority w:val="0"/>
    <w:rPr>
      <w:rFonts w:ascii="黑体" w:hAnsi="宋体" w:eastAsia="黑体"/>
      <w:bCs/>
      <w:kern w:val="2"/>
      <w:sz w:val="28"/>
      <w:szCs w:val="28"/>
      <w:lang w:val="en-US" w:eastAsia="zh-CN" w:bidi="ar-SA"/>
    </w:rPr>
  </w:style>
  <w:style w:type="character" w:customStyle="1" w:styleId="189">
    <w:name w:val="宏文本 字符"/>
    <w:link w:val="2"/>
    <w:autoRedefine/>
    <w:qFormat/>
    <w:uiPriority w:val="99"/>
    <w:rPr>
      <w:rFonts w:ascii="Courier New" w:hAnsi="Courier New"/>
      <w:kern w:val="2"/>
      <w:sz w:val="24"/>
      <w:szCs w:val="24"/>
      <w:lang w:val="en-US" w:eastAsia="zh-CN" w:bidi="ar-SA"/>
    </w:rPr>
  </w:style>
  <w:style w:type="character" w:customStyle="1" w:styleId="190">
    <w:name w:val="A3"/>
    <w:qFormat/>
    <w:uiPriority w:val="0"/>
    <w:rPr>
      <w:rFonts w:ascii="ZapfDingbatsNr2EFOP-Regular" w:eastAsia="ZapfDingbatsNr2EFOP-Regular" w:cs="ZapfDingbatsNr2EFOP-Regular"/>
      <w:color w:val="211D1E"/>
      <w:sz w:val="14"/>
      <w:szCs w:val="14"/>
    </w:rPr>
  </w:style>
  <w:style w:type="character" w:customStyle="1" w:styleId="191">
    <w:name w:val="Char Char111"/>
    <w:autoRedefine/>
    <w:qFormat/>
    <w:uiPriority w:val="0"/>
    <w:rPr>
      <w:rFonts w:ascii="Times New Roman" w:hAnsi="Times New Roman" w:eastAsia="宋体" w:cs="Times New Roman"/>
      <w:sz w:val="18"/>
      <w:szCs w:val="18"/>
    </w:rPr>
  </w:style>
  <w:style w:type="character" w:customStyle="1" w:styleId="192">
    <w:name w:val="标题 8 字符"/>
    <w:link w:val="10"/>
    <w:qFormat/>
    <w:uiPriority w:val="0"/>
    <w:rPr>
      <w:rFonts w:ascii="Arial" w:hAnsi="Arial" w:eastAsia="黑体"/>
      <w:b/>
      <w:sz w:val="24"/>
      <w:szCs w:val="32"/>
    </w:rPr>
  </w:style>
  <w:style w:type="character" w:customStyle="1" w:styleId="193">
    <w:name w:val="标书标题 3 Char Char Char"/>
    <w:link w:val="194"/>
    <w:autoRedefine/>
    <w:qFormat/>
    <w:uiPriority w:val="0"/>
    <w:rPr>
      <w:rFonts w:ascii="Arial" w:hAnsi="Arial" w:eastAsia="仿宋_GB2312"/>
      <w:b/>
      <w:kern w:val="2"/>
      <w:sz w:val="24"/>
      <w:szCs w:val="32"/>
    </w:rPr>
  </w:style>
  <w:style w:type="paragraph" w:customStyle="1" w:styleId="194">
    <w:name w:val="标书标题 3 Char"/>
    <w:basedOn w:val="1"/>
    <w:link w:val="193"/>
    <w:qFormat/>
    <w:uiPriority w:val="0"/>
    <w:pPr>
      <w:tabs>
        <w:tab w:val="left" w:pos="720"/>
      </w:tabs>
      <w:spacing w:line="360" w:lineRule="auto"/>
      <w:outlineLvl w:val="2"/>
    </w:pPr>
    <w:rPr>
      <w:rFonts w:ascii="Arial" w:hAnsi="Arial" w:eastAsia="仿宋_GB2312"/>
      <w:b/>
      <w:sz w:val="24"/>
      <w:szCs w:val="32"/>
    </w:rPr>
  </w:style>
  <w:style w:type="character" w:customStyle="1" w:styleId="195">
    <w:name w:val="param_td1"/>
    <w:autoRedefine/>
    <w:qFormat/>
    <w:uiPriority w:val="0"/>
    <w:rPr>
      <w:rFonts w:ascii="仿宋_GB2312" w:hAnsi="Tahoma" w:eastAsia="仿宋_GB2312"/>
      <w:b/>
      <w:sz w:val="32"/>
      <w:szCs w:val="32"/>
    </w:rPr>
  </w:style>
  <w:style w:type="character" w:customStyle="1" w:styleId="196">
    <w:name w:val="font161"/>
    <w:autoRedefine/>
    <w:qFormat/>
    <w:uiPriority w:val="0"/>
    <w:rPr>
      <w:b/>
      <w:bCs/>
      <w:sz w:val="32"/>
      <w:szCs w:val="32"/>
    </w:rPr>
  </w:style>
  <w:style w:type="character" w:customStyle="1" w:styleId="197">
    <w:name w:val="标题 6 字符"/>
    <w:link w:val="8"/>
    <w:autoRedefine/>
    <w:qFormat/>
    <w:uiPriority w:val="0"/>
    <w:rPr>
      <w:rFonts w:ascii="Arial" w:hAnsi="Arial" w:eastAsia="黑体"/>
      <w:b/>
      <w:bCs/>
      <w:kern w:val="2"/>
      <w:sz w:val="24"/>
      <w:szCs w:val="24"/>
    </w:rPr>
  </w:style>
  <w:style w:type="character" w:customStyle="1" w:styleId="198">
    <w:name w:val="font11"/>
    <w:qFormat/>
    <w:uiPriority w:val="0"/>
    <w:rPr>
      <w:rFonts w:hint="eastAsia" w:ascii="宋体" w:hAnsi="宋体" w:eastAsia="宋体" w:cs="宋体"/>
      <w:color w:val="000000"/>
      <w:sz w:val="20"/>
      <w:szCs w:val="20"/>
      <w:u w:val="none"/>
      <w:vertAlign w:val="superscript"/>
    </w:rPr>
  </w:style>
  <w:style w:type="character" w:customStyle="1" w:styleId="199">
    <w:name w:val="副标题 字符"/>
    <w:link w:val="41"/>
    <w:autoRedefine/>
    <w:qFormat/>
    <w:uiPriority w:val="0"/>
    <w:rPr>
      <w:rFonts w:ascii="Cambria" w:hAnsi="Cambria"/>
      <w:b/>
      <w:bCs/>
      <w:kern w:val="28"/>
      <w:sz w:val="32"/>
      <w:szCs w:val="32"/>
    </w:rPr>
  </w:style>
  <w:style w:type="character" w:customStyle="1" w:styleId="200">
    <w:name w:val="表格 Char Char"/>
    <w:link w:val="201"/>
    <w:autoRedefine/>
    <w:qFormat/>
    <w:uiPriority w:val="0"/>
    <w:rPr>
      <w:rFonts w:ascii="宋体" w:hAnsi="宋体"/>
      <w:b/>
      <w:sz w:val="32"/>
      <w:szCs w:val="32"/>
    </w:rPr>
  </w:style>
  <w:style w:type="paragraph" w:customStyle="1" w:styleId="201">
    <w:name w:val="表格"/>
    <w:basedOn w:val="1"/>
    <w:link w:val="200"/>
    <w:autoRedefine/>
    <w:qFormat/>
    <w:uiPriority w:val="0"/>
    <w:pPr>
      <w:autoSpaceDE w:val="0"/>
      <w:autoSpaceDN w:val="0"/>
      <w:adjustRightInd w:val="0"/>
      <w:snapToGrid w:val="0"/>
      <w:ind w:firstLine="42" w:firstLineChars="21"/>
      <w:jc w:val="left"/>
    </w:pPr>
    <w:rPr>
      <w:rFonts w:ascii="宋体" w:hAnsi="宋体"/>
      <w:b/>
      <w:kern w:val="0"/>
      <w:sz w:val="32"/>
      <w:szCs w:val="32"/>
    </w:rPr>
  </w:style>
  <w:style w:type="character" w:customStyle="1" w:styleId="202">
    <w:name w:val="doc1"/>
    <w:basedOn w:val="55"/>
    <w:autoRedefine/>
    <w:qFormat/>
    <w:uiPriority w:val="0"/>
  </w:style>
  <w:style w:type="character" w:customStyle="1" w:styleId="203">
    <w:name w:val="heading 1 Char1"/>
    <w:autoRedefine/>
    <w:qFormat/>
    <w:uiPriority w:val="0"/>
    <w:rPr>
      <w:rFonts w:ascii="仿宋_GB2312" w:eastAsia="宋体"/>
      <w:b/>
      <w:bCs/>
      <w:kern w:val="44"/>
      <w:sz w:val="44"/>
      <w:szCs w:val="44"/>
      <w:lang w:val="en-US" w:eastAsia="zh-CN" w:bidi="ar-SA"/>
    </w:rPr>
  </w:style>
  <w:style w:type="character" w:customStyle="1" w:styleId="204">
    <w:name w:val="Char Char Char Char Char Char Char Char Char"/>
    <w:autoRedefine/>
    <w:qFormat/>
    <w:uiPriority w:val="0"/>
    <w:rPr>
      <w:rFonts w:ascii="宋体" w:hAnsi="Courier New" w:eastAsia="宋体"/>
      <w:b/>
      <w:sz w:val="21"/>
      <w:szCs w:val="21"/>
      <w:lang w:val="en-US" w:eastAsia="zh-CN" w:bidi="ar-SA"/>
    </w:rPr>
  </w:style>
  <w:style w:type="character" w:customStyle="1" w:styleId="205">
    <w:name w:val="页眉 字符"/>
    <w:link w:val="37"/>
    <w:qFormat/>
    <w:uiPriority w:val="0"/>
    <w:rPr>
      <w:kern w:val="2"/>
      <w:sz w:val="18"/>
      <w:szCs w:val="18"/>
    </w:rPr>
  </w:style>
  <w:style w:type="character" w:customStyle="1" w:styleId="206">
    <w:name w:val="正文首行缩进 Char1"/>
    <w:autoRedefine/>
    <w:qFormat/>
    <w:uiPriority w:val="0"/>
    <w:rPr>
      <w:rFonts w:ascii="Tahoma" w:hAnsi="Tahoma"/>
      <w:kern w:val="2"/>
      <w:sz w:val="21"/>
      <w:szCs w:val="24"/>
    </w:rPr>
  </w:style>
  <w:style w:type="character" w:customStyle="1" w:styleId="207">
    <w:name w:val="op-map-singlepoint-info-right1"/>
    <w:basedOn w:val="55"/>
    <w:qFormat/>
    <w:uiPriority w:val="0"/>
  </w:style>
  <w:style w:type="character" w:customStyle="1" w:styleId="208">
    <w:name w:val="A6"/>
    <w:autoRedefine/>
    <w:qFormat/>
    <w:uiPriority w:val="0"/>
    <w:rPr>
      <w:rFonts w:cs="Helvetica Neue"/>
      <w:color w:val="3E667A"/>
      <w:sz w:val="14"/>
      <w:szCs w:val="14"/>
    </w:rPr>
  </w:style>
  <w:style w:type="character" w:customStyle="1" w:styleId="209">
    <w:name w:val="批注文字 字符"/>
    <w:link w:val="19"/>
    <w:autoRedefine/>
    <w:qFormat/>
    <w:uiPriority w:val="0"/>
    <w:rPr>
      <w:kern w:val="2"/>
      <w:sz w:val="21"/>
      <w:szCs w:val="24"/>
    </w:rPr>
  </w:style>
  <w:style w:type="character" w:customStyle="1" w:styleId="210">
    <w:name w:val="书籍标题1"/>
    <w:autoRedefine/>
    <w:qFormat/>
    <w:uiPriority w:val="0"/>
    <w:rPr>
      <w:b/>
      <w:bCs/>
      <w:smallCaps/>
      <w:spacing w:val="5"/>
    </w:rPr>
  </w:style>
  <w:style w:type="character" w:customStyle="1" w:styleId="211">
    <w:name w:val="ändrad Char"/>
    <w:qFormat/>
    <w:uiPriority w:val="0"/>
    <w:rPr>
      <w:rFonts w:ascii="仿宋_GB2312" w:eastAsia="宋体"/>
      <w:b/>
      <w:kern w:val="2"/>
      <w:sz w:val="21"/>
      <w:szCs w:val="24"/>
      <w:lang w:val="en-US" w:eastAsia="zh-CN" w:bidi="ar-SA"/>
    </w:rPr>
  </w:style>
  <w:style w:type="character" w:customStyle="1" w:styleId="212">
    <w:name w:val="正文文本缩进 2 Char"/>
    <w:autoRedefine/>
    <w:qFormat/>
    <w:uiPriority w:val="0"/>
    <w:rPr>
      <w:kern w:val="2"/>
      <w:sz w:val="21"/>
      <w:szCs w:val="24"/>
    </w:rPr>
  </w:style>
  <w:style w:type="character" w:customStyle="1" w:styleId="213">
    <w:name w:val="Char Char61"/>
    <w:autoRedefine/>
    <w:qFormat/>
    <w:uiPriority w:val="0"/>
    <w:rPr>
      <w:rFonts w:ascii="Times New Roman" w:hAnsi="Times New Roman" w:eastAsia="宋体" w:cs="Times New Roman"/>
      <w:szCs w:val="24"/>
    </w:rPr>
  </w:style>
  <w:style w:type="character" w:customStyle="1" w:styleId="214">
    <w:name w:val="Char Char15"/>
    <w:qFormat/>
    <w:uiPriority w:val="0"/>
    <w:rPr>
      <w:rFonts w:ascii="Arial" w:hAnsi="Arial" w:eastAsia="黑体"/>
      <w:b/>
      <w:sz w:val="24"/>
      <w:szCs w:val="24"/>
    </w:rPr>
  </w:style>
  <w:style w:type="character" w:customStyle="1" w:styleId="215">
    <w:name w:val="普通文字1 Char"/>
    <w:autoRedefine/>
    <w:qFormat/>
    <w:uiPriority w:val="0"/>
    <w:rPr>
      <w:rFonts w:ascii="宋体" w:hAnsi="Courier New" w:eastAsia="宋体" w:cs="Courier New"/>
      <w:kern w:val="2"/>
      <w:sz w:val="21"/>
      <w:szCs w:val="21"/>
      <w:lang w:val="en-US" w:eastAsia="zh-CN" w:bidi="ar-SA"/>
    </w:rPr>
  </w:style>
  <w:style w:type="character" w:customStyle="1" w:styleId="216">
    <w:name w:val="Style1"/>
    <w:autoRedefine/>
    <w:qFormat/>
    <w:uiPriority w:val="0"/>
    <w:rPr>
      <w:rFonts w:ascii="Calibri" w:hAnsi="宋体" w:eastAsia="宋体" w:cs="Times New Roman"/>
      <w:sz w:val="22"/>
      <w:szCs w:val="22"/>
      <w:lang w:eastAsia="zh-CN"/>
    </w:rPr>
  </w:style>
  <w:style w:type="character" w:customStyle="1" w:styleId="217">
    <w:name w:val="PI Char"/>
    <w:autoRedefine/>
    <w:qFormat/>
    <w:uiPriority w:val="0"/>
    <w:rPr>
      <w:rFonts w:ascii="宋体" w:hAnsi="宋体" w:eastAsia="仿宋_GB2312"/>
      <w:b/>
      <w:sz w:val="24"/>
      <w:szCs w:val="32"/>
    </w:rPr>
  </w:style>
  <w:style w:type="character" w:customStyle="1" w:styleId="218">
    <w:name w:val="password"/>
    <w:basedOn w:val="55"/>
    <w:qFormat/>
    <w:uiPriority w:val="0"/>
  </w:style>
  <w:style w:type="character" w:customStyle="1" w:styleId="219">
    <w:name w:val="正文文本缩进 2 字符"/>
    <w:link w:val="34"/>
    <w:autoRedefine/>
    <w:qFormat/>
    <w:uiPriority w:val="0"/>
    <w:rPr>
      <w:kern w:val="2"/>
      <w:sz w:val="21"/>
      <w:szCs w:val="24"/>
    </w:rPr>
  </w:style>
  <w:style w:type="character" w:customStyle="1" w:styleId="220">
    <w:name w:val="Style2"/>
    <w:autoRedefine/>
    <w:qFormat/>
    <w:uiPriority w:val="0"/>
    <w:rPr>
      <w:rFonts w:ascii="Calibri" w:hAnsi="宋体" w:eastAsia="宋体" w:cs="Times New Roman"/>
      <w:sz w:val="22"/>
      <w:szCs w:val="22"/>
      <w:lang w:eastAsia="zh-CN"/>
    </w:rPr>
  </w:style>
  <w:style w:type="character" w:customStyle="1" w:styleId="221">
    <w:name w:val="明显强调1"/>
    <w:autoRedefine/>
    <w:qFormat/>
    <w:uiPriority w:val="0"/>
    <w:rPr>
      <w:b/>
      <w:bCs/>
      <w:i/>
      <w:iCs/>
      <w:color w:val="4F81BD"/>
    </w:rPr>
  </w:style>
  <w:style w:type="character" w:customStyle="1" w:styleId="222">
    <w:name w:val="称呼 字符"/>
    <w:basedOn w:val="55"/>
    <w:link w:val="20"/>
    <w:autoRedefine/>
    <w:qFormat/>
    <w:uiPriority w:val="0"/>
  </w:style>
  <w:style w:type="character" w:customStyle="1" w:styleId="223">
    <w:name w:val="标题 4 字符"/>
    <w:link w:val="6"/>
    <w:qFormat/>
    <w:uiPriority w:val="0"/>
    <w:rPr>
      <w:rFonts w:ascii="Cambria" w:hAnsi="Cambria"/>
      <w:b/>
      <w:bCs/>
      <w:kern w:val="2"/>
      <w:sz w:val="28"/>
      <w:szCs w:val="28"/>
    </w:rPr>
  </w:style>
  <w:style w:type="character" w:customStyle="1" w:styleId="224">
    <w:name w:val="标题 Char1"/>
    <w:autoRedefine/>
    <w:qFormat/>
    <w:uiPriority w:val="10"/>
    <w:rPr>
      <w:rFonts w:ascii="Cambria" w:hAnsi="Cambria" w:cs="Times New Roman"/>
      <w:b/>
      <w:bCs/>
      <w:kern w:val="2"/>
      <w:sz w:val="32"/>
      <w:szCs w:val="32"/>
    </w:rPr>
  </w:style>
  <w:style w:type="character" w:customStyle="1" w:styleId="225">
    <w:name w:val="heading 9 Char1"/>
    <w:autoRedefine/>
    <w:qFormat/>
    <w:uiPriority w:val="0"/>
    <w:rPr>
      <w:rFonts w:ascii="Arial" w:hAnsi="Arial" w:eastAsia="黑体"/>
      <w:b/>
      <w:sz w:val="21"/>
      <w:szCs w:val="32"/>
      <w:lang w:val="en-US" w:eastAsia="zh-CN" w:bidi="ar-SA"/>
    </w:rPr>
  </w:style>
  <w:style w:type="character" w:customStyle="1" w:styleId="226">
    <w:name w:val="正文文本首行缩进 字符"/>
    <w:link w:val="22"/>
    <w:qFormat/>
    <w:uiPriority w:val="0"/>
    <w:rPr>
      <w:rFonts w:ascii="仿宋_GB2312"/>
      <w:b/>
      <w:sz w:val="32"/>
      <w:szCs w:val="32"/>
    </w:rPr>
  </w:style>
  <w:style w:type="character" w:customStyle="1" w:styleId="227">
    <w:name w:val="标题 7 字符"/>
    <w:link w:val="9"/>
    <w:autoRedefine/>
    <w:qFormat/>
    <w:uiPriority w:val="0"/>
    <w:rPr>
      <w:rFonts w:ascii="Arial" w:hAnsi="Arial" w:eastAsia="黑体"/>
      <w:b/>
      <w:sz w:val="21"/>
      <w:szCs w:val="21"/>
    </w:rPr>
  </w:style>
  <w:style w:type="character" w:customStyle="1" w:styleId="228">
    <w:name w:val="style111"/>
    <w:autoRedefine/>
    <w:qFormat/>
    <w:uiPriority w:val="0"/>
    <w:rPr>
      <w:sz w:val="27"/>
      <w:szCs w:val="27"/>
    </w:rPr>
  </w:style>
  <w:style w:type="character" w:customStyle="1" w:styleId="229">
    <w:name w:val="hui"/>
    <w:autoRedefine/>
    <w:qFormat/>
    <w:uiPriority w:val="0"/>
    <w:rPr>
      <w:rFonts w:ascii="仿宋_GB2312" w:hAnsi="Tahoma" w:eastAsia="仿宋_GB2312"/>
      <w:b/>
      <w:sz w:val="32"/>
      <w:szCs w:val="32"/>
    </w:rPr>
  </w:style>
  <w:style w:type="character" w:customStyle="1" w:styleId="230">
    <w:name w:val="release-day"/>
    <w:autoRedefine/>
    <w:qFormat/>
    <w:uiPriority w:val="0"/>
    <w:rPr>
      <w:szCs w:val="20"/>
      <w:bdr w:val="single" w:color="BDEBB0" w:sz="4" w:space="0"/>
      <w:shd w:val="clear" w:color="auto" w:fill="F5FFF1"/>
    </w:rPr>
  </w:style>
  <w:style w:type="character" w:customStyle="1" w:styleId="231">
    <w:name w:val="Ò³Ã¼ Char Char"/>
    <w:autoRedefine/>
    <w:qFormat/>
    <w:uiPriority w:val="0"/>
    <w:rPr>
      <w:rFonts w:ascii="仿宋_GB2312" w:eastAsia="仿宋_GB2312"/>
      <w:b/>
      <w:sz w:val="18"/>
      <w:szCs w:val="18"/>
    </w:rPr>
  </w:style>
  <w:style w:type="character" w:customStyle="1" w:styleId="232">
    <w:name w:val="批注主题 Char"/>
    <w:autoRedefine/>
    <w:qFormat/>
    <w:uiPriority w:val="0"/>
    <w:rPr>
      <w:rFonts w:eastAsia="宋体"/>
      <w:b/>
      <w:bCs/>
      <w:kern w:val="2"/>
      <w:sz w:val="21"/>
      <w:szCs w:val="24"/>
      <w:lang w:val="en-US" w:eastAsia="zh-CN" w:bidi="ar-SA"/>
    </w:rPr>
  </w:style>
  <w:style w:type="character" w:customStyle="1" w:styleId="233">
    <w:name w:val="heading 5 Char"/>
    <w:autoRedefine/>
    <w:qFormat/>
    <w:uiPriority w:val="0"/>
    <w:rPr>
      <w:rFonts w:ascii="Arial" w:hAnsi="Arial" w:eastAsia="黑体"/>
      <w:b/>
      <w:sz w:val="21"/>
      <w:szCs w:val="21"/>
    </w:rPr>
  </w:style>
  <w:style w:type="character" w:customStyle="1" w:styleId="234">
    <w:name w:val="Style5"/>
    <w:qFormat/>
    <w:uiPriority w:val="0"/>
    <w:rPr>
      <w:rFonts w:ascii="Calibri" w:hAnsi="宋体" w:eastAsia="宋体" w:cs="Times New Roman"/>
      <w:sz w:val="22"/>
      <w:szCs w:val="22"/>
      <w:lang w:eastAsia="zh-CN"/>
    </w:rPr>
  </w:style>
  <w:style w:type="character" w:customStyle="1" w:styleId="235">
    <w:name w:val="样式 标题 3 + 黑体 小四 Char Char"/>
    <w:link w:val="236"/>
    <w:qFormat/>
    <w:uiPriority w:val="0"/>
    <w:rPr>
      <w:rFonts w:ascii="黑体" w:hAnsi="Arial" w:eastAsia="黑体"/>
      <w:bCs/>
      <w:sz w:val="24"/>
      <w:szCs w:val="24"/>
    </w:rPr>
  </w:style>
  <w:style w:type="paragraph" w:customStyle="1" w:styleId="236">
    <w:name w:val="样式 标题 3 + 黑体 小四"/>
    <w:basedOn w:val="5"/>
    <w:link w:val="235"/>
    <w:qFormat/>
    <w:uiPriority w:val="0"/>
    <w:pPr>
      <w:spacing w:line="413" w:lineRule="auto"/>
    </w:pPr>
    <w:rPr>
      <w:rFonts w:ascii="黑体" w:hAnsi="Arial" w:eastAsia="黑体"/>
      <w:b w:val="0"/>
      <w:kern w:val="0"/>
      <w:sz w:val="24"/>
      <w:szCs w:val="24"/>
    </w:rPr>
  </w:style>
  <w:style w:type="character" w:customStyle="1" w:styleId="237">
    <w:name w:val="style21"/>
    <w:autoRedefine/>
    <w:qFormat/>
    <w:uiPriority w:val="0"/>
    <w:rPr>
      <w:rFonts w:ascii="仿宋_GB2312" w:eastAsia="仿宋_GB2312"/>
      <w:b/>
      <w:sz w:val="15"/>
      <w:szCs w:val="15"/>
    </w:rPr>
  </w:style>
  <w:style w:type="character" w:customStyle="1" w:styleId="238">
    <w:name w:val="标题 5 字符"/>
    <w:link w:val="7"/>
    <w:autoRedefine/>
    <w:qFormat/>
    <w:uiPriority w:val="0"/>
    <w:rPr>
      <w:rFonts w:ascii="仿宋_GB2312" w:hAnsi="Tahoma"/>
      <w:b/>
      <w:bCs/>
      <w:kern w:val="2"/>
      <w:sz w:val="28"/>
      <w:szCs w:val="28"/>
    </w:rPr>
  </w:style>
  <w:style w:type="character" w:customStyle="1" w:styleId="239">
    <w:name w:val="正文文本缩进 字符"/>
    <w:link w:val="24"/>
    <w:autoRedefine/>
    <w:qFormat/>
    <w:uiPriority w:val="0"/>
    <w:rPr>
      <w:rFonts w:ascii="宋体" w:hAnsi="宋体"/>
      <w:kern w:val="2"/>
      <w:sz w:val="24"/>
    </w:rPr>
  </w:style>
  <w:style w:type="character" w:customStyle="1" w:styleId="240">
    <w:name w:val="Heading 2 Hidden Char1 Char"/>
    <w:autoRedefine/>
    <w:qFormat/>
    <w:uiPriority w:val="0"/>
    <w:rPr>
      <w:rFonts w:ascii="宋体" w:hAnsi="Times New Roman" w:eastAsia="宋体" w:cs="Times New Roman"/>
      <w:kern w:val="0"/>
      <w:sz w:val="24"/>
      <w:szCs w:val="24"/>
    </w:rPr>
  </w:style>
  <w:style w:type="character" w:customStyle="1" w:styleId="241">
    <w:name w:val="Footer-Even Char2"/>
    <w:autoRedefine/>
    <w:qFormat/>
    <w:uiPriority w:val="0"/>
    <w:rPr>
      <w:rFonts w:ascii="仿宋_GB2312" w:eastAsia="仿宋_GB2312"/>
      <w:b/>
      <w:kern w:val="2"/>
      <w:sz w:val="18"/>
      <w:szCs w:val="18"/>
    </w:rPr>
  </w:style>
  <w:style w:type="character" w:customStyle="1" w:styleId="242">
    <w:name w:val="upload"/>
    <w:basedOn w:val="55"/>
    <w:qFormat/>
    <w:uiPriority w:val="0"/>
  </w:style>
  <w:style w:type="character" w:customStyle="1" w:styleId="243">
    <w:name w:val="update"/>
    <w:basedOn w:val="55"/>
    <w:autoRedefine/>
    <w:qFormat/>
    <w:uiPriority w:val="0"/>
  </w:style>
  <w:style w:type="character" w:customStyle="1" w:styleId="244">
    <w:name w:val="legend"/>
    <w:qFormat/>
    <w:uiPriority w:val="0"/>
    <w:rPr>
      <w:rFonts w:ascii="Arial" w:hAnsi="Arial" w:cs="Arial"/>
      <w:b/>
      <w:color w:val="73B304"/>
      <w:sz w:val="16"/>
      <w:szCs w:val="16"/>
      <w:shd w:val="clear" w:color="auto" w:fill="FFFFFF"/>
    </w:rPr>
  </w:style>
  <w:style w:type="character" w:customStyle="1" w:styleId="245">
    <w:name w:val="hover30"/>
    <w:basedOn w:val="55"/>
    <w:autoRedefine/>
    <w:qFormat/>
    <w:uiPriority w:val="0"/>
  </w:style>
  <w:style w:type="character" w:customStyle="1" w:styleId="246">
    <w:name w:val="Style4"/>
    <w:autoRedefine/>
    <w:qFormat/>
    <w:uiPriority w:val="0"/>
    <w:rPr>
      <w:rFonts w:ascii="Calibri" w:hAnsi="宋体" w:eastAsia="宋体" w:cs="Times New Roman"/>
      <w:szCs w:val="22"/>
      <w:lang w:eastAsia="zh-CN"/>
    </w:rPr>
  </w:style>
  <w:style w:type="character" w:customStyle="1" w:styleId="247">
    <w:name w:val="blue1"/>
    <w:autoRedefine/>
    <w:qFormat/>
    <w:uiPriority w:val="0"/>
    <w:rPr>
      <w:rFonts w:ascii="仿宋_GB2312" w:hAnsi="Tahoma" w:eastAsia="仿宋_GB2312"/>
      <w:b/>
      <w:sz w:val="32"/>
      <w:szCs w:val="32"/>
    </w:rPr>
  </w:style>
  <w:style w:type="character" w:customStyle="1" w:styleId="248">
    <w:name w:val="样式 宋体"/>
    <w:autoRedefine/>
    <w:qFormat/>
    <w:uiPriority w:val="0"/>
    <w:rPr>
      <w:rFonts w:ascii="宋体" w:hAnsi="宋体" w:eastAsia="宋体"/>
      <w:b/>
      <w:sz w:val="24"/>
      <w:szCs w:val="24"/>
    </w:rPr>
  </w:style>
  <w:style w:type="paragraph" w:customStyle="1" w:styleId="249">
    <w:name w:val="p0"/>
    <w:basedOn w:val="1"/>
    <w:autoRedefine/>
    <w:qFormat/>
    <w:uiPriority w:val="0"/>
    <w:pPr>
      <w:widowControl/>
      <w:shd w:val="clear" w:color="auto" w:fill="FFFFFF"/>
      <w:spacing w:before="32" w:line="235" w:lineRule="atLeast"/>
      <w:ind w:left="160"/>
      <w:jc w:val="left"/>
    </w:pPr>
    <w:rPr>
      <w:rFonts w:ascii="宋体" w:hAnsi="宋体" w:cs="宋体"/>
      <w:kern w:val="0"/>
      <w:sz w:val="24"/>
    </w:rPr>
  </w:style>
  <w:style w:type="paragraph" w:customStyle="1" w:styleId="250">
    <w:name w:val="样式 标题 1 + 黑体 三号 非加粗 居中 段前: 6 磅 段后: 6 磅 行距: 固定值 20 磅"/>
    <w:basedOn w:val="3"/>
    <w:qFormat/>
    <w:uiPriority w:val="0"/>
    <w:pPr>
      <w:keepLines/>
      <w:spacing w:before="120" w:after="120" w:line="400" w:lineRule="exact"/>
    </w:pPr>
    <w:rPr>
      <w:rFonts w:ascii="黑体" w:hAnsi="黑体" w:eastAsia="黑体" w:cs="宋体"/>
      <w:b w:val="0"/>
      <w:bCs w:val="0"/>
      <w:kern w:val="44"/>
      <w:sz w:val="32"/>
      <w:szCs w:val="20"/>
    </w:rPr>
  </w:style>
  <w:style w:type="paragraph" w:customStyle="1" w:styleId="251">
    <w:name w:val="Pa3"/>
    <w:basedOn w:val="1"/>
    <w:next w:val="1"/>
    <w:autoRedefine/>
    <w:qFormat/>
    <w:uiPriority w:val="0"/>
    <w:pPr>
      <w:autoSpaceDE w:val="0"/>
      <w:autoSpaceDN w:val="0"/>
      <w:adjustRightInd w:val="0"/>
      <w:spacing w:line="191" w:lineRule="atLeast"/>
      <w:jc w:val="left"/>
    </w:pPr>
    <w:rPr>
      <w:rFonts w:ascii="Linotype Univers 330 Light" w:eastAsia="Linotype Univers 330 Light"/>
      <w:kern w:val="0"/>
      <w:sz w:val="24"/>
    </w:rPr>
  </w:style>
  <w:style w:type="paragraph" w:customStyle="1" w:styleId="252">
    <w:name w:val="TOC 标题1"/>
    <w:basedOn w:val="3"/>
    <w:next w:val="1"/>
    <w:qFormat/>
    <w:uiPriority w:val="0"/>
    <w:pPr>
      <w:keepLines/>
      <w:widowControl/>
      <w:spacing w:before="480" w:line="276" w:lineRule="auto"/>
      <w:jc w:val="left"/>
      <w:outlineLvl w:val="9"/>
    </w:pPr>
    <w:rPr>
      <w:rFonts w:ascii="Cambria" w:hAnsi="Cambria" w:eastAsia="宋体"/>
      <w:color w:val="365F91"/>
      <w:kern w:val="0"/>
      <w:sz w:val="28"/>
      <w:szCs w:val="28"/>
    </w:rPr>
  </w:style>
  <w:style w:type="paragraph" w:customStyle="1" w:styleId="253">
    <w:name w:val="Table Paragraph"/>
    <w:basedOn w:val="1"/>
    <w:autoRedefine/>
    <w:qFormat/>
    <w:uiPriority w:val="1"/>
    <w:pPr>
      <w:autoSpaceDE w:val="0"/>
      <w:autoSpaceDN w:val="0"/>
      <w:adjustRightInd w:val="0"/>
      <w:jc w:val="left"/>
    </w:pPr>
    <w:rPr>
      <w:kern w:val="0"/>
      <w:sz w:val="24"/>
    </w:rPr>
  </w:style>
  <w:style w:type="paragraph" w:customStyle="1" w:styleId="254">
    <w:name w:val="三级条标题"/>
    <w:basedOn w:val="255"/>
    <w:next w:val="1"/>
    <w:autoRedefine/>
    <w:qFormat/>
    <w:uiPriority w:val="0"/>
    <w:pPr>
      <w:numPr>
        <w:ilvl w:val="4"/>
      </w:numPr>
      <w:tabs>
        <w:tab w:val="left" w:pos="360"/>
      </w:tabs>
      <w:outlineLvl w:val="4"/>
    </w:pPr>
  </w:style>
  <w:style w:type="paragraph" w:customStyle="1" w:styleId="255">
    <w:name w:val="二级条标题"/>
    <w:basedOn w:val="256"/>
    <w:next w:val="1"/>
    <w:qFormat/>
    <w:uiPriority w:val="0"/>
    <w:pPr>
      <w:numPr>
        <w:ilvl w:val="3"/>
      </w:numPr>
      <w:tabs>
        <w:tab w:val="left" w:pos="360"/>
      </w:tabs>
      <w:outlineLvl w:val="3"/>
    </w:pPr>
  </w:style>
  <w:style w:type="paragraph" w:customStyle="1" w:styleId="256">
    <w:name w:val="一级条标题"/>
    <w:next w:val="1"/>
    <w:autoRedefine/>
    <w:qFormat/>
    <w:uiPriority w:val="0"/>
    <w:pPr>
      <w:numPr>
        <w:ilvl w:val="2"/>
        <w:numId w:val="3"/>
      </w:numPr>
      <w:outlineLvl w:val="2"/>
    </w:pPr>
    <w:rPr>
      <w:rFonts w:ascii="Calibri" w:hAnsi="Calibri" w:eastAsia="黑体" w:cs="Times New Roman"/>
      <w:sz w:val="21"/>
      <w:lang w:val="en-US" w:eastAsia="zh-CN" w:bidi="ar-SA"/>
    </w:rPr>
  </w:style>
  <w:style w:type="paragraph" w:customStyle="1" w:styleId="257">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58">
    <w:name w:val="正文 首行缩进:  2 字符 Char"/>
    <w:basedOn w:val="1"/>
    <w:qFormat/>
    <w:uiPriority w:val="0"/>
    <w:pPr>
      <w:spacing w:line="360" w:lineRule="auto"/>
      <w:ind w:firstLine="480"/>
    </w:pPr>
    <w:rPr>
      <w:rFonts w:cs="宋体"/>
      <w:sz w:val="24"/>
      <w:szCs w:val="20"/>
    </w:rPr>
  </w:style>
  <w:style w:type="paragraph" w:customStyle="1" w:styleId="259">
    <w:name w:val="Test2"/>
    <w:basedOn w:val="4"/>
    <w:qFormat/>
    <w:uiPriority w:val="0"/>
    <w:pPr>
      <w:keepNext w:val="0"/>
      <w:keepLines w:val="0"/>
      <w:widowControl/>
      <w:tabs>
        <w:tab w:val="left" w:pos="774"/>
      </w:tabs>
      <w:autoSpaceDE w:val="0"/>
      <w:autoSpaceDN w:val="0"/>
      <w:adjustRightInd w:val="0"/>
      <w:snapToGrid w:val="0"/>
      <w:spacing w:before="360" w:after="360" w:line="240" w:lineRule="atLeast"/>
      <w:ind w:left="774" w:hanging="576"/>
      <w:jc w:val="left"/>
    </w:pPr>
    <w:rPr>
      <w:rFonts w:ascii="宋体" w:eastAsia="宋体"/>
      <w:b w:val="0"/>
      <w:bCs w:val="0"/>
      <w:snapToGrid w:val="0"/>
      <w:kern w:val="0"/>
      <w:sz w:val="28"/>
    </w:rPr>
  </w:style>
  <w:style w:type="paragraph" w:customStyle="1" w:styleId="260">
    <w:name w:val="样式 标题 2 + 居中"/>
    <w:basedOn w:val="4"/>
    <w:qFormat/>
    <w:uiPriority w:val="0"/>
    <w:pPr>
      <w:spacing w:beforeLines="50" w:beforeAutospacing="1" w:afterLines="50" w:afterAutospacing="1" w:line="360" w:lineRule="auto"/>
      <w:jc w:val="center"/>
    </w:pPr>
    <w:rPr>
      <w:rFonts w:cs="宋体"/>
      <w:szCs w:val="20"/>
    </w:rPr>
  </w:style>
  <w:style w:type="paragraph" w:customStyle="1" w:styleId="261">
    <w:name w:val="Char Char Char Char"/>
    <w:basedOn w:val="1"/>
    <w:qFormat/>
    <w:uiPriority w:val="0"/>
    <w:pPr>
      <w:autoSpaceDE w:val="0"/>
      <w:autoSpaceDN w:val="0"/>
      <w:adjustRightInd w:val="0"/>
      <w:jc w:val="left"/>
    </w:pPr>
    <w:rPr>
      <w:rFonts w:ascii="Tahoma" w:hAnsi="Tahoma"/>
      <w:kern w:val="0"/>
      <w:sz w:val="24"/>
      <w:szCs w:val="20"/>
    </w:rPr>
  </w:style>
  <w:style w:type="paragraph" w:customStyle="1" w:styleId="262">
    <w:name w:val="Blockquote"/>
    <w:basedOn w:val="1"/>
    <w:autoRedefine/>
    <w:qFormat/>
    <w:uiPriority w:val="0"/>
    <w:pPr>
      <w:autoSpaceDE w:val="0"/>
      <w:autoSpaceDN w:val="0"/>
      <w:spacing w:before="100" w:after="100"/>
      <w:ind w:left="360" w:right="360"/>
      <w:jc w:val="left"/>
    </w:pPr>
    <w:rPr>
      <w:szCs w:val="20"/>
    </w:rPr>
  </w:style>
  <w:style w:type="paragraph" w:customStyle="1" w:styleId="263">
    <w:name w:val="标题五"/>
    <w:basedOn w:val="1"/>
    <w:autoRedefine/>
    <w:qFormat/>
    <w:uiPriority w:val="0"/>
    <w:pPr>
      <w:tabs>
        <w:tab w:val="left" w:pos="1440"/>
      </w:tabs>
      <w:autoSpaceDE w:val="0"/>
      <w:autoSpaceDN w:val="0"/>
      <w:adjustRightInd w:val="0"/>
      <w:spacing w:beforeLines="50" w:line="360" w:lineRule="auto"/>
      <w:ind w:left="1440" w:hanging="420"/>
      <w:jc w:val="left"/>
    </w:pPr>
    <w:rPr>
      <w:b/>
      <w:kern w:val="0"/>
      <w:sz w:val="24"/>
      <w:szCs w:val="20"/>
    </w:rPr>
  </w:style>
  <w:style w:type="paragraph" w:customStyle="1" w:styleId="264">
    <w:name w:val="_Style 25"/>
    <w:basedOn w:val="1"/>
    <w:autoRedefine/>
    <w:qFormat/>
    <w:uiPriority w:val="0"/>
  </w:style>
  <w:style w:type="paragraph" w:customStyle="1" w:styleId="265">
    <w:name w:val="前言、引言标题"/>
    <w:next w:val="1"/>
    <w:autoRedefine/>
    <w:qFormat/>
    <w:uiPriority w:val="0"/>
    <w:pPr>
      <w:numPr>
        <w:ilvl w:val="0"/>
        <w:numId w:val="3"/>
      </w:numPr>
      <w:shd w:val="clear" w:color="FFFFFF" w:fill="FFFFFF"/>
      <w:spacing w:before="640" w:after="560"/>
      <w:jc w:val="center"/>
      <w:outlineLvl w:val="0"/>
    </w:pPr>
    <w:rPr>
      <w:rFonts w:ascii="黑体" w:hAnsi="Calibri" w:eastAsia="黑体" w:cs="Times New Roman"/>
      <w:sz w:val="32"/>
      <w:lang w:val="en-US" w:eastAsia="zh-CN" w:bidi="ar-SA"/>
    </w:rPr>
  </w:style>
  <w:style w:type="paragraph" w:customStyle="1" w:styleId="266">
    <w:name w:val="样式1"/>
    <w:basedOn w:val="1"/>
    <w:next w:val="6"/>
    <w:qFormat/>
    <w:uiPriority w:val="0"/>
    <w:pPr>
      <w:spacing w:line="360" w:lineRule="auto"/>
      <w:ind w:firstLine="420" w:firstLineChars="200"/>
    </w:pPr>
    <w:rPr>
      <w:rFonts w:ascii="宋体" w:hAnsi="宋体"/>
      <w:szCs w:val="21"/>
    </w:rPr>
  </w:style>
  <w:style w:type="paragraph" w:customStyle="1" w:styleId="267">
    <w:name w:val="xl84"/>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68">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269">
    <w:name w:val="xl25"/>
    <w:basedOn w:val="1"/>
    <w:autoRedefine/>
    <w:qFormat/>
    <w:uiPriority w:val="0"/>
    <w:pPr>
      <w:widowControl/>
      <w:autoSpaceDE w:val="0"/>
      <w:autoSpaceDN w:val="0"/>
      <w:adjustRightInd w:val="0"/>
      <w:spacing w:before="100" w:beforeAutospacing="1" w:after="100" w:afterAutospacing="1"/>
      <w:jc w:val="center"/>
      <w:textAlignment w:val="center"/>
    </w:pPr>
    <w:rPr>
      <w:rFonts w:hint="eastAsia" w:ascii="楷体_GB2312" w:hAnsi="宋体" w:eastAsia="楷体_GB2312"/>
      <w:kern w:val="0"/>
      <w:sz w:val="24"/>
      <w:szCs w:val="20"/>
    </w:rPr>
  </w:style>
  <w:style w:type="paragraph" w:customStyle="1" w:styleId="270">
    <w:name w:val="Char Char Char Char Char Char Char Char Char Char Char Char Char Char Char Char Char Char Char"/>
    <w:basedOn w:val="1"/>
    <w:autoRedefine/>
    <w:qFormat/>
    <w:uiPriority w:val="0"/>
    <w:rPr>
      <w:rFonts w:ascii="仿宋_GB2312" w:eastAsia="仿宋_GB2312"/>
      <w:b/>
      <w:sz w:val="32"/>
      <w:szCs w:val="32"/>
    </w:rPr>
  </w:style>
  <w:style w:type="paragraph" w:customStyle="1" w:styleId="271">
    <w:name w:val="xl29"/>
    <w:basedOn w:val="1"/>
    <w:qFormat/>
    <w:uiPriority w:val="0"/>
    <w:pPr>
      <w:widowControl/>
      <w:autoSpaceDE w:val="0"/>
      <w:autoSpaceDN w:val="0"/>
      <w:adjustRightInd w:val="0"/>
      <w:spacing w:before="100" w:beforeAutospacing="1" w:after="100" w:afterAutospacing="1"/>
      <w:jc w:val="center"/>
    </w:pPr>
    <w:rPr>
      <w:rFonts w:ascii="Arial Unicode MS" w:hAnsi="Arial Unicode MS" w:eastAsia="Arial Unicode MS"/>
      <w:kern w:val="0"/>
      <w:sz w:val="24"/>
      <w:szCs w:val="20"/>
    </w:rPr>
  </w:style>
  <w:style w:type="paragraph" w:customStyle="1" w:styleId="272">
    <w:name w:val="保留正文"/>
    <w:basedOn w:val="21"/>
    <w:qFormat/>
    <w:uiPriority w:val="0"/>
    <w:pPr>
      <w:keepNext/>
      <w:spacing w:after="160"/>
    </w:pPr>
    <w:rPr>
      <w:rFonts w:ascii="仿宋_GB2312"/>
      <w:b/>
    </w:rPr>
  </w:style>
  <w:style w:type="paragraph" w:customStyle="1" w:styleId="273">
    <w:name w:val="xl83"/>
    <w:basedOn w:val="1"/>
    <w:autoRedefine/>
    <w:qFormat/>
    <w:uiPriority w:val="0"/>
    <w:pPr>
      <w:widowControl/>
      <w:pBdr>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74">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275">
    <w:name w:val="正文（首行缩进）"/>
    <w:basedOn w:val="24"/>
    <w:autoRedefine/>
    <w:qFormat/>
    <w:uiPriority w:val="0"/>
    <w:pPr>
      <w:widowControl/>
      <w:overflowPunct w:val="0"/>
      <w:autoSpaceDE w:val="0"/>
      <w:autoSpaceDN w:val="0"/>
      <w:spacing w:beforeLines="50" w:after="120" w:line="400" w:lineRule="exact"/>
      <w:ind w:left="200" w:leftChars="200" w:firstLine="200" w:firstLineChars="200"/>
      <w:textAlignment w:val="baseline"/>
    </w:pPr>
    <w:rPr>
      <w:rFonts w:ascii="仿宋_GB2312" w:hAnsi="Times New Roman"/>
      <w:b/>
      <w:spacing w:val="10"/>
      <w:kern w:val="0"/>
    </w:rPr>
  </w:style>
  <w:style w:type="paragraph" w:customStyle="1" w:styleId="276">
    <w:name w:val="修订1"/>
    <w:autoRedefine/>
    <w:qFormat/>
    <w:uiPriority w:val="0"/>
    <w:rPr>
      <w:rFonts w:ascii="Calibri" w:hAnsi="Calibri" w:eastAsia="宋体" w:cs="Times New Roman"/>
      <w:kern w:val="2"/>
      <w:sz w:val="21"/>
      <w:szCs w:val="24"/>
      <w:lang w:val="en-US" w:eastAsia="zh-CN" w:bidi="ar-SA"/>
    </w:rPr>
  </w:style>
  <w:style w:type="paragraph" w:customStyle="1" w:styleId="277">
    <w:name w:val="Char Char12"/>
    <w:basedOn w:val="1"/>
    <w:autoRedefine/>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278">
    <w:name w:val="样式 标题 3 + (中文) 黑体 小四 非加粗 段前: 7.8 磅 段后: 0 磅 行距: 固定值 20 磅"/>
    <w:basedOn w:val="5"/>
    <w:autoRedefine/>
    <w:qFormat/>
    <w:uiPriority w:val="0"/>
    <w:pPr>
      <w:spacing w:before="0" w:after="0" w:line="400" w:lineRule="exact"/>
    </w:pPr>
    <w:rPr>
      <w:rFonts w:ascii="仿宋_GB2312" w:eastAsia="黑体" w:cs="宋体"/>
      <w:b w:val="0"/>
      <w:bCs w:val="0"/>
      <w:sz w:val="24"/>
      <w:szCs w:val="20"/>
    </w:rPr>
  </w:style>
  <w:style w:type="paragraph" w:customStyle="1" w:styleId="279">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新宋体" w:hAnsi="新宋体" w:eastAsia="新宋体" w:cs="宋体"/>
      <w:b/>
      <w:bCs/>
      <w:color w:val="000000"/>
      <w:kern w:val="0"/>
      <w:sz w:val="24"/>
    </w:rPr>
  </w:style>
  <w:style w:type="paragraph" w:customStyle="1" w:styleId="280">
    <w:name w:val="Char Char Char Char Char Char Char Char Char Char Char Char Char"/>
    <w:basedOn w:val="1"/>
    <w:autoRedefine/>
    <w:qFormat/>
    <w:uiPriority w:val="0"/>
    <w:rPr>
      <w:rFonts w:ascii="Tahoma" w:hAnsi="Tahoma"/>
      <w:sz w:val="24"/>
      <w:szCs w:val="20"/>
    </w:rPr>
  </w:style>
  <w:style w:type="paragraph" w:customStyle="1" w:styleId="281">
    <w:name w:val="Char Char Char Char Char Char Char"/>
    <w:basedOn w:val="1"/>
    <w:next w:val="1"/>
    <w:qFormat/>
    <w:uiPriority w:val="0"/>
    <w:pPr>
      <w:tabs>
        <w:tab w:val="left" w:pos="425"/>
      </w:tabs>
      <w:spacing w:beforeLines="50" w:afterLines="100" w:line="360" w:lineRule="auto"/>
      <w:ind w:left="1105" w:hanging="748"/>
      <w:jc w:val="center"/>
    </w:pPr>
    <w:rPr>
      <w:szCs w:val="20"/>
    </w:rPr>
  </w:style>
  <w:style w:type="paragraph" w:customStyle="1" w:styleId="282">
    <w:name w:val="xl9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83">
    <w:name w:val="正文样式 首行缩进:  0.74 厘米"/>
    <w:basedOn w:val="1"/>
    <w:autoRedefine/>
    <w:qFormat/>
    <w:uiPriority w:val="0"/>
    <w:pPr>
      <w:autoSpaceDE w:val="0"/>
      <w:autoSpaceDN w:val="0"/>
      <w:adjustRightInd w:val="0"/>
      <w:spacing w:beforeLines="50" w:line="360" w:lineRule="auto"/>
      <w:ind w:firstLine="420"/>
      <w:jc w:val="left"/>
    </w:pPr>
    <w:rPr>
      <w:rFonts w:cs="宋体"/>
      <w:kern w:val="0"/>
      <w:sz w:val="24"/>
      <w:szCs w:val="20"/>
    </w:rPr>
  </w:style>
  <w:style w:type="paragraph" w:customStyle="1" w:styleId="284">
    <w:name w:val="Char1 Char Char Char Char"/>
    <w:basedOn w:val="18"/>
    <w:autoRedefine/>
    <w:qFormat/>
    <w:uiPriority w:val="0"/>
    <w:rPr>
      <w:rFonts w:ascii="Tahoma" w:hAnsi="Tahoma" w:cs="Tahoma"/>
      <w:kern w:val="0"/>
      <w:sz w:val="18"/>
    </w:rPr>
  </w:style>
  <w:style w:type="paragraph" w:customStyle="1" w:styleId="285">
    <w:name w:val="NICMAN Body Text"/>
    <w:basedOn w:val="1"/>
    <w:next w:val="21"/>
    <w:autoRedefine/>
    <w:qFormat/>
    <w:uiPriority w:val="0"/>
    <w:pPr>
      <w:autoSpaceDE w:val="0"/>
      <w:autoSpaceDN w:val="0"/>
      <w:adjustRightInd w:val="0"/>
      <w:spacing w:after="120"/>
      <w:jc w:val="left"/>
    </w:pPr>
    <w:rPr>
      <w:kern w:val="0"/>
      <w:sz w:val="20"/>
      <w:szCs w:val="20"/>
    </w:rPr>
  </w:style>
  <w:style w:type="paragraph" w:customStyle="1" w:styleId="286">
    <w:name w:val="正文缩进1"/>
    <w:basedOn w:val="1"/>
    <w:qFormat/>
    <w:uiPriority w:val="0"/>
    <w:pPr>
      <w:ind w:firstLine="420"/>
    </w:pPr>
    <w:rPr>
      <w:szCs w:val="20"/>
    </w:rPr>
  </w:style>
  <w:style w:type="paragraph" w:customStyle="1" w:styleId="287">
    <w:name w:val="Pa8"/>
    <w:basedOn w:val="1"/>
    <w:next w:val="1"/>
    <w:qFormat/>
    <w:uiPriority w:val="0"/>
    <w:pPr>
      <w:autoSpaceDE w:val="0"/>
      <w:autoSpaceDN w:val="0"/>
      <w:adjustRightInd w:val="0"/>
      <w:spacing w:after="20" w:line="141" w:lineRule="atLeast"/>
      <w:jc w:val="left"/>
    </w:pPr>
    <w:rPr>
      <w:rFonts w:ascii="Univers LT Std 47 Cn Lt" w:eastAsia="Univers LT Std 47 Cn Lt"/>
      <w:kern w:val="0"/>
      <w:sz w:val="24"/>
    </w:rPr>
  </w:style>
  <w:style w:type="paragraph" w:customStyle="1" w:styleId="288">
    <w:name w:val="Char Char Char"/>
    <w:basedOn w:val="1"/>
    <w:next w:val="1"/>
    <w:autoRedefine/>
    <w:qFormat/>
    <w:uiPriority w:val="0"/>
    <w:pPr>
      <w:shd w:val="clear" w:color="auto" w:fill="000080"/>
    </w:pPr>
    <w:rPr>
      <w:rFonts w:ascii="Tahoma" w:hAnsi="Tahoma"/>
      <w:sz w:val="24"/>
    </w:rPr>
  </w:style>
  <w:style w:type="paragraph" w:customStyle="1" w:styleId="289">
    <w:name w:val="正文缩进11"/>
    <w:basedOn w:val="1"/>
    <w:next w:val="24"/>
    <w:qFormat/>
    <w:uiPriority w:val="0"/>
    <w:pPr>
      <w:autoSpaceDE w:val="0"/>
      <w:autoSpaceDN w:val="0"/>
      <w:adjustRightInd w:val="0"/>
      <w:snapToGrid w:val="0"/>
      <w:spacing w:after="120" w:line="360" w:lineRule="auto"/>
      <w:ind w:left="420" w:leftChars="200" w:firstLine="480" w:firstLineChars="200"/>
      <w:jc w:val="left"/>
    </w:pPr>
    <w:rPr>
      <w:kern w:val="0"/>
      <w:sz w:val="24"/>
      <w:szCs w:val="21"/>
    </w:rPr>
  </w:style>
  <w:style w:type="paragraph" w:customStyle="1" w:styleId="290">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91">
    <w:name w:val="标书正文格式"/>
    <w:autoRedefine/>
    <w:qFormat/>
    <w:uiPriority w:val="0"/>
    <w:pPr>
      <w:spacing w:line="360" w:lineRule="auto"/>
      <w:ind w:firstLine="200" w:firstLineChars="200"/>
    </w:pPr>
    <w:rPr>
      <w:rFonts w:ascii="Calibri" w:hAnsi="Calibri" w:eastAsia="楷体_GB2312" w:cs="Times New Roman"/>
      <w:kern w:val="2"/>
      <w:sz w:val="24"/>
      <w:szCs w:val="24"/>
      <w:lang w:val="en-US" w:eastAsia="zh-CN" w:bidi="ar-SA"/>
    </w:rPr>
  </w:style>
  <w:style w:type="paragraph" w:customStyle="1" w:styleId="292">
    <w:name w:val="正文文字表格居中"/>
    <w:basedOn w:val="1"/>
    <w:next w:val="47"/>
    <w:autoRedefine/>
    <w:qFormat/>
    <w:uiPriority w:val="0"/>
    <w:pPr>
      <w:autoSpaceDE w:val="0"/>
      <w:autoSpaceDN w:val="0"/>
      <w:adjustRightInd w:val="0"/>
      <w:snapToGrid w:val="0"/>
      <w:spacing w:line="360" w:lineRule="auto"/>
      <w:jc w:val="left"/>
    </w:pPr>
    <w:rPr>
      <w:rFonts w:ascii="宋体"/>
      <w:b/>
      <w:kern w:val="0"/>
      <w:sz w:val="24"/>
      <w:szCs w:val="20"/>
    </w:rPr>
  </w:style>
  <w:style w:type="paragraph" w:customStyle="1" w:styleId="293">
    <w:name w:val="Char1 Char Char Char"/>
    <w:basedOn w:val="1"/>
    <w:qFormat/>
    <w:uiPriority w:val="0"/>
    <w:rPr>
      <w:szCs w:val="20"/>
    </w:rPr>
  </w:style>
  <w:style w:type="paragraph" w:customStyle="1" w:styleId="294">
    <w:name w:val="文字"/>
    <w:basedOn w:val="1"/>
    <w:qFormat/>
    <w:uiPriority w:val="0"/>
    <w:pPr>
      <w:tabs>
        <w:tab w:val="left" w:pos="8520"/>
      </w:tabs>
      <w:spacing w:line="312" w:lineRule="auto"/>
      <w:ind w:right="-210" w:firstLine="556"/>
    </w:pPr>
    <w:rPr>
      <w:rFonts w:ascii="宋体"/>
      <w:sz w:val="28"/>
      <w:szCs w:val="20"/>
    </w:rPr>
  </w:style>
  <w:style w:type="paragraph" w:customStyle="1" w:styleId="295">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96">
    <w:name w:val="列出段落1"/>
    <w:basedOn w:val="1"/>
    <w:autoRedefine/>
    <w:qFormat/>
    <w:uiPriority w:val="99"/>
    <w:pPr>
      <w:ind w:firstLine="420" w:firstLineChars="200"/>
    </w:pPr>
    <w:rPr>
      <w:szCs w:val="20"/>
    </w:rPr>
  </w:style>
  <w:style w:type="paragraph" w:customStyle="1" w:styleId="297">
    <w:name w:val="技术报告正文"/>
    <w:basedOn w:val="1"/>
    <w:autoRedefine/>
    <w:qFormat/>
    <w:uiPriority w:val="0"/>
    <w:pPr>
      <w:autoSpaceDE w:val="0"/>
      <w:autoSpaceDN w:val="0"/>
      <w:adjustRightInd w:val="0"/>
      <w:spacing w:beforeLines="50" w:line="440" w:lineRule="exact"/>
      <w:ind w:firstLine="538" w:firstLineChars="192"/>
      <w:jc w:val="left"/>
    </w:pPr>
    <w:rPr>
      <w:rFonts w:cs="Arial"/>
      <w:bCs/>
      <w:kern w:val="0"/>
      <w:sz w:val="28"/>
      <w:szCs w:val="20"/>
    </w:rPr>
  </w:style>
  <w:style w:type="paragraph" w:customStyle="1" w:styleId="298">
    <w:name w:val="Char"/>
    <w:basedOn w:val="1"/>
    <w:autoRedefine/>
    <w:qFormat/>
    <w:uiPriority w:val="0"/>
    <w:pPr>
      <w:widowControl/>
      <w:spacing w:line="400" w:lineRule="exact"/>
      <w:jc w:val="center"/>
    </w:pPr>
    <w:rPr>
      <w:rFonts w:ascii="Verdana" w:hAnsi="Verdana"/>
      <w:kern w:val="0"/>
      <w:szCs w:val="20"/>
      <w:lang w:eastAsia="en-US"/>
    </w:rPr>
  </w:style>
  <w:style w:type="paragraph" w:customStyle="1" w:styleId="299">
    <w:name w:val="Char Char Char Char Char Char Char1"/>
    <w:basedOn w:val="1"/>
    <w:autoRedefine/>
    <w:qFormat/>
    <w:uiPriority w:val="0"/>
    <w:pPr>
      <w:widowControl/>
      <w:spacing w:after="160" w:line="240" w:lineRule="exact"/>
      <w:jc w:val="left"/>
    </w:pPr>
    <w:rPr>
      <w:szCs w:val="20"/>
    </w:rPr>
  </w:style>
  <w:style w:type="paragraph" w:customStyle="1" w:styleId="300">
    <w:name w:val="af17cgridlangnp1033langf"/>
    <w:autoRedefine/>
    <w:qFormat/>
    <w:uiPriority w:val="0"/>
    <w:pPr>
      <w:widowControl w:val="0"/>
      <w:autoSpaceDE w:val="0"/>
      <w:autoSpaceDN w:val="0"/>
      <w:adjustRightInd w:val="0"/>
      <w:spacing w:before="156" w:line="360" w:lineRule="atLeast"/>
      <w:ind w:left="567" w:firstLine="510"/>
      <w:jc w:val="both"/>
    </w:pPr>
    <w:rPr>
      <w:rFonts w:ascii="Calibri" w:hAnsi="Calibri" w:eastAsia="宋体" w:cs="Times New Roman"/>
      <w:lang w:val="en-US" w:eastAsia="zh-CN" w:bidi="ar-SA"/>
    </w:rPr>
  </w:style>
  <w:style w:type="paragraph" w:customStyle="1" w:styleId="301">
    <w:name w:val="Char1 Char Char Char1"/>
    <w:basedOn w:val="1"/>
    <w:autoRedefine/>
    <w:qFormat/>
    <w:uiPriority w:val="0"/>
    <w:pPr>
      <w:widowControl/>
      <w:spacing w:after="120"/>
      <w:jc w:val="left"/>
    </w:pPr>
    <w:rPr>
      <w:rFonts w:ascii="Verdana" w:hAnsi="Verdana" w:eastAsia="仿宋_GB2312"/>
      <w:szCs w:val="20"/>
      <w:lang w:eastAsia="en-US"/>
    </w:rPr>
  </w:style>
  <w:style w:type="paragraph" w:customStyle="1" w:styleId="302">
    <w:name w:val="标准段落"/>
    <w:basedOn w:val="1"/>
    <w:qFormat/>
    <w:uiPriority w:val="0"/>
    <w:pPr>
      <w:spacing w:after="120" w:line="360" w:lineRule="auto"/>
      <w:ind w:firstLine="420"/>
    </w:pPr>
    <w:rPr>
      <w:rFonts w:ascii="黑体" w:hAnsi="宋体" w:eastAsia="黑体"/>
      <w:b/>
      <w:spacing w:val="6"/>
      <w:szCs w:val="22"/>
    </w:rPr>
  </w:style>
  <w:style w:type="paragraph" w:customStyle="1" w:styleId="303">
    <w:name w:val="样式5"/>
    <w:basedOn w:val="14"/>
    <w:qFormat/>
    <w:uiPriority w:val="0"/>
    <w:pPr>
      <w:adjustRightInd/>
      <w:spacing w:line="360" w:lineRule="auto"/>
      <w:ind w:firstLine="200" w:firstLineChars="200"/>
      <w:textAlignment w:val="auto"/>
    </w:pPr>
    <w:rPr>
      <w:rFonts w:ascii="仿宋_GB2312"/>
      <w:b/>
      <w:kern w:val="2"/>
      <w:sz w:val="28"/>
      <w:szCs w:val="21"/>
    </w:rPr>
  </w:style>
  <w:style w:type="paragraph" w:customStyle="1" w:styleId="304">
    <w:name w:val="Char1 Char Char Char Char1"/>
    <w:basedOn w:val="18"/>
    <w:autoRedefine/>
    <w:qFormat/>
    <w:uiPriority w:val="0"/>
    <w:rPr>
      <w:rFonts w:ascii="Tahoma" w:hAnsi="Tahoma" w:cs="Tahoma"/>
      <w:kern w:val="0"/>
      <w:sz w:val="18"/>
    </w:rPr>
  </w:style>
  <w:style w:type="paragraph" w:customStyle="1" w:styleId="305">
    <w:name w:val="四级条标题"/>
    <w:basedOn w:val="254"/>
    <w:next w:val="1"/>
    <w:autoRedefine/>
    <w:qFormat/>
    <w:uiPriority w:val="0"/>
    <w:pPr>
      <w:numPr>
        <w:ilvl w:val="5"/>
      </w:numPr>
      <w:outlineLvl w:val="5"/>
    </w:pPr>
  </w:style>
  <w:style w:type="paragraph" w:customStyle="1" w:styleId="306">
    <w:name w:val="样式"/>
    <w:basedOn w:val="1"/>
    <w:autoRedefine/>
    <w:qFormat/>
    <w:uiPriority w:val="0"/>
    <w:pPr>
      <w:autoSpaceDE w:val="0"/>
      <w:autoSpaceDN w:val="0"/>
      <w:adjustRightInd w:val="0"/>
      <w:snapToGrid w:val="0"/>
      <w:spacing w:before="120" w:after="120" w:line="360" w:lineRule="auto"/>
      <w:jc w:val="left"/>
    </w:pPr>
    <w:rPr>
      <w:rFonts w:ascii="宋体"/>
      <w:kern w:val="0"/>
      <w:sz w:val="24"/>
      <w:szCs w:val="20"/>
    </w:rPr>
  </w:style>
  <w:style w:type="paragraph" w:customStyle="1" w:styleId="307">
    <w:name w:val="Char Char Char Char Char Char Char Char Char Char Char Char Char1"/>
    <w:basedOn w:val="1"/>
    <w:qFormat/>
    <w:uiPriority w:val="0"/>
  </w:style>
  <w:style w:type="paragraph" w:customStyle="1" w:styleId="308">
    <w:name w:val="列表内容"/>
    <w:basedOn w:val="1"/>
    <w:next w:val="1"/>
    <w:autoRedefine/>
    <w:qFormat/>
    <w:uiPriority w:val="0"/>
    <w:pPr>
      <w:widowControl/>
      <w:autoSpaceDE w:val="0"/>
      <w:autoSpaceDN w:val="0"/>
      <w:adjustRightInd w:val="0"/>
      <w:ind w:firstLine="200"/>
      <w:jc w:val="left"/>
    </w:pPr>
    <w:rPr>
      <w:kern w:val="0"/>
      <w:sz w:val="18"/>
      <w:szCs w:val="20"/>
    </w:rPr>
  </w:style>
  <w:style w:type="paragraph" w:customStyle="1" w:styleId="309">
    <w:name w:val="Char Char1 Char Char Char"/>
    <w:basedOn w:val="1"/>
    <w:autoRedefine/>
    <w:qFormat/>
    <w:uiPriority w:val="0"/>
    <w:pPr>
      <w:autoSpaceDE w:val="0"/>
      <w:autoSpaceDN w:val="0"/>
      <w:adjustRightInd w:val="0"/>
      <w:jc w:val="left"/>
    </w:pPr>
    <w:rPr>
      <w:rFonts w:ascii="仿宋_GB2312" w:eastAsia="仿宋_GB2312"/>
      <w:b/>
      <w:kern w:val="0"/>
      <w:sz w:val="32"/>
      <w:szCs w:val="32"/>
    </w:rPr>
  </w:style>
  <w:style w:type="paragraph" w:customStyle="1" w:styleId="310">
    <w:name w:val="正文2"/>
    <w:basedOn w:val="1"/>
    <w:autoRedefine/>
    <w:qFormat/>
    <w:uiPriority w:val="0"/>
    <w:pPr>
      <w:autoSpaceDE w:val="0"/>
      <w:autoSpaceDN w:val="0"/>
      <w:adjustRightInd w:val="0"/>
      <w:spacing w:before="156" w:line="360" w:lineRule="auto"/>
      <w:ind w:firstLine="510" w:firstLineChars="200"/>
      <w:jc w:val="left"/>
    </w:pPr>
    <w:rPr>
      <w:kern w:val="0"/>
      <w:sz w:val="24"/>
      <w:szCs w:val="20"/>
    </w:rPr>
  </w:style>
  <w:style w:type="paragraph" w:customStyle="1" w:styleId="311">
    <w:name w:val="Char2"/>
    <w:basedOn w:val="1"/>
    <w:autoRedefine/>
    <w:qFormat/>
    <w:uiPriority w:val="0"/>
    <w:pPr>
      <w:autoSpaceDE w:val="0"/>
      <w:autoSpaceDN w:val="0"/>
      <w:adjustRightInd w:val="0"/>
      <w:jc w:val="left"/>
    </w:pPr>
    <w:rPr>
      <w:rFonts w:ascii="仿宋_GB2312" w:eastAsia="仿宋_GB2312"/>
      <w:b/>
      <w:kern w:val="0"/>
      <w:sz w:val="32"/>
      <w:szCs w:val="32"/>
    </w:rPr>
  </w:style>
  <w:style w:type="paragraph" w:customStyle="1" w:styleId="312">
    <w:name w:val="段"/>
    <w:autoRedefine/>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313">
    <w:name w:val="简单回函地址"/>
    <w:basedOn w:val="1"/>
    <w:autoRedefine/>
    <w:qFormat/>
    <w:uiPriority w:val="0"/>
  </w:style>
  <w:style w:type="paragraph" w:customStyle="1" w:styleId="314">
    <w:name w:val="Char Char Char Char1"/>
    <w:basedOn w:val="1"/>
    <w:autoRedefine/>
    <w:qFormat/>
    <w:uiPriority w:val="0"/>
    <w:rPr>
      <w:rFonts w:ascii="Tahoma" w:hAnsi="Tahoma"/>
      <w:sz w:val="24"/>
      <w:szCs w:val="20"/>
    </w:rPr>
  </w:style>
  <w:style w:type="paragraph" w:styleId="315">
    <w:name w:val="List Paragraph"/>
    <w:basedOn w:val="1"/>
    <w:link w:val="399"/>
    <w:qFormat/>
    <w:uiPriority w:val="0"/>
    <w:pPr>
      <w:ind w:firstLine="420" w:firstLineChars="200"/>
    </w:pPr>
  </w:style>
  <w:style w:type="paragraph" w:customStyle="1" w:styleId="316">
    <w:name w:val="button"/>
    <w:basedOn w:val="1"/>
    <w:autoRedefine/>
    <w:qFormat/>
    <w:uiPriority w:val="0"/>
    <w:pPr>
      <w:widowControl/>
      <w:autoSpaceDE w:val="0"/>
      <w:autoSpaceDN w:val="0"/>
      <w:adjustRightInd w:val="0"/>
      <w:spacing w:before="100" w:beforeAutospacing="1" w:after="100" w:afterAutospacing="1"/>
      <w:jc w:val="left"/>
    </w:pPr>
    <w:rPr>
      <w:rFonts w:ascii="Arial Unicode MS" w:hAnsi="Arial Unicode MS"/>
      <w:color w:val="000000"/>
      <w:kern w:val="0"/>
      <w:sz w:val="24"/>
      <w:szCs w:val="20"/>
    </w:rPr>
  </w:style>
  <w:style w:type="paragraph" w:customStyle="1" w:styleId="317">
    <w:name w:val="章标题"/>
    <w:next w:val="1"/>
    <w:autoRedefine/>
    <w:qFormat/>
    <w:uiPriority w:val="0"/>
    <w:pPr>
      <w:numPr>
        <w:ilvl w:val="1"/>
        <w:numId w:val="3"/>
      </w:numPr>
      <w:spacing w:beforeLines="50" w:afterLines="50"/>
      <w:jc w:val="both"/>
      <w:outlineLvl w:val="1"/>
    </w:pPr>
    <w:rPr>
      <w:rFonts w:ascii="黑体" w:hAnsi="Calibri" w:eastAsia="黑体" w:cs="Times New Roman"/>
      <w:sz w:val="21"/>
      <w:lang w:val="en-US" w:eastAsia="zh-CN" w:bidi="ar-SA"/>
    </w:rPr>
  </w:style>
  <w:style w:type="paragraph" w:customStyle="1" w:styleId="318">
    <w:name w:val="样式 标题 3h33rd level3Heading 3 - old + 居中 左侧:  9.8 毫米 首行缩进: ...1"/>
    <w:basedOn w:val="5"/>
    <w:autoRedefine/>
    <w:qFormat/>
    <w:uiPriority w:val="0"/>
    <w:pPr>
      <w:keepLines w:val="0"/>
      <w:tabs>
        <w:tab w:val="left" w:pos="1275"/>
      </w:tabs>
      <w:spacing w:beforeLines="50" w:afterLines="50" w:line="240" w:lineRule="auto"/>
      <w:ind w:left="1275" w:hanging="720"/>
      <w:jc w:val="center"/>
    </w:pPr>
    <w:rPr>
      <w:rFonts w:ascii="宋体" w:cs="宋体"/>
      <w:sz w:val="28"/>
      <w:szCs w:val="20"/>
    </w:rPr>
  </w:style>
  <w:style w:type="paragraph" w:customStyle="1" w:styleId="319">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320">
    <w:name w:val="样式 标题 1Level 1Level 11h1II+IHeading1H1-Heading 1Header 1..."/>
    <w:basedOn w:val="3"/>
    <w:autoRedefine/>
    <w:qFormat/>
    <w:uiPriority w:val="0"/>
    <w:pPr>
      <w:keepLines/>
      <w:pageBreakBefore/>
      <w:spacing w:before="100" w:after="100" w:line="360" w:lineRule="auto"/>
      <w:ind w:left="1680" w:hanging="420"/>
      <w:jc w:val="left"/>
    </w:pPr>
    <w:rPr>
      <w:rFonts w:ascii="Arial" w:hAnsi="Arial" w:eastAsia="黑体" w:cs="宋体"/>
      <w:kern w:val="44"/>
      <w:sz w:val="44"/>
      <w:szCs w:val="20"/>
    </w:rPr>
  </w:style>
  <w:style w:type="paragraph" w:customStyle="1" w:styleId="321">
    <w:name w:val="aspnumfaautoadjustrightr"/>
    <w:autoRedefine/>
    <w:qFormat/>
    <w:uiPriority w:val="0"/>
    <w:pPr>
      <w:widowControl w:val="0"/>
      <w:autoSpaceDE w:val="0"/>
      <w:autoSpaceDN w:val="0"/>
      <w:adjustRightInd w:val="0"/>
      <w:ind w:firstLine="720"/>
      <w:jc w:val="both"/>
    </w:pPr>
    <w:rPr>
      <w:rFonts w:ascii="Calibri" w:hAnsi="Calibri" w:eastAsia="宋体" w:cs="Times New Roman"/>
      <w:lang w:val="en-US" w:eastAsia="zh-CN" w:bidi="ar-SA"/>
    </w:rPr>
  </w:style>
  <w:style w:type="paragraph" w:customStyle="1" w:styleId="322">
    <w:name w:val="ÕýÎÄÊ×ÐÐËõ½ø"/>
    <w:basedOn w:val="1"/>
    <w:autoRedefine/>
    <w:qFormat/>
    <w:uiPriority w:val="0"/>
    <w:pPr>
      <w:widowControl/>
      <w:overflowPunct w:val="0"/>
      <w:autoSpaceDE w:val="0"/>
      <w:autoSpaceDN w:val="0"/>
      <w:adjustRightInd w:val="0"/>
      <w:spacing w:line="360" w:lineRule="auto"/>
      <w:ind w:left="1134"/>
      <w:jc w:val="left"/>
      <w:textAlignment w:val="baseline"/>
    </w:pPr>
    <w:rPr>
      <w:rFonts w:eastAsia="Times New Roman"/>
      <w:kern w:val="0"/>
      <w:sz w:val="20"/>
      <w:szCs w:val="20"/>
    </w:rPr>
  </w:style>
  <w:style w:type="paragraph" w:customStyle="1" w:styleId="323">
    <w:name w:val="Char Char1 Char Char Char Char Char Char Char Char Char Char Char Char Char Char"/>
    <w:basedOn w:val="1"/>
    <w:autoRedefine/>
    <w:qFormat/>
    <w:uiPriority w:val="0"/>
    <w:pPr>
      <w:widowControl/>
      <w:autoSpaceDE w:val="0"/>
      <w:autoSpaceDN w:val="0"/>
      <w:adjustRightInd w:val="0"/>
      <w:spacing w:after="160" w:line="240" w:lineRule="exact"/>
      <w:jc w:val="left"/>
    </w:pPr>
    <w:rPr>
      <w:kern w:val="0"/>
      <w:sz w:val="20"/>
      <w:szCs w:val="20"/>
    </w:rPr>
  </w:style>
  <w:style w:type="paragraph" w:customStyle="1" w:styleId="324">
    <w:name w:val="内文正文"/>
    <w:basedOn w:val="30"/>
    <w:autoRedefine/>
    <w:qFormat/>
    <w:uiPriority w:val="0"/>
    <w:pPr>
      <w:adjustRightInd w:val="0"/>
      <w:snapToGrid w:val="0"/>
      <w:spacing w:line="400" w:lineRule="exact"/>
      <w:ind w:firstLine="200" w:firstLineChars="200"/>
    </w:pPr>
    <w:rPr>
      <w:rFonts w:ascii="Arial" w:hAnsi="Arial" w:cs="Courier New"/>
      <w:b/>
      <w:color w:val="000000"/>
      <w:kern w:val="0"/>
      <w:szCs w:val="21"/>
    </w:rPr>
  </w:style>
  <w:style w:type="paragraph" w:customStyle="1" w:styleId="325">
    <w:name w:val="xl7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8"/>
      <w:szCs w:val="28"/>
    </w:rPr>
  </w:style>
  <w:style w:type="paragraph" w:customStyle="1" w:styleId="326">
    <w:name w:val="内文"/>
    <w:autoRedefine/>
    <w:qFormat/>
    <w:uiPriority w:val="0"/>
    <w:pPr>
      <w:adjustRightInd w:val="0"/>
      <w:snapToGrid w:val="0"/>
      <w:spacing w:line="400" w:lineRule="exact"/>
      <w:ind w:firstLine="200" w:firstLineChars="200"/>
      <w:jc w:val="both"/>
    </w:pPr>
    <w:rPr>
      <w:rFonts w:ascii="Arial" w:hAnsi="Arial" w:eastAsia="宋体" w:cs="Times New Roman"/>
      <w:kern w:val="2"/>
      <w:sz w:val="21"/>
      <w:lang w:val="en-US" w:eastAsia="zh-CN" w:bidi="ar-SA"/>
    </w:rPr>
  </w:style>
  <w:style w:type="paragraph" w:customStyle="1" w:styleId="327">
    <w:name w:val="此正文"/>
    <w:basedOn w:val="1"/>
    <w:autoRedefine/>
    <w:qFormat/>
    <w:uiPriority w:val="0"/>
    <w:pPr>
      <w:autoSpaceDE w:val="0"/>
      <w:autoSpaceDN w:val="0"/>
      <w:adjustRightInd w:val="0"/>
      <w:spacing w:line="360" w:lineRule="auto"/>
      <w:ind w:firstLine="200" w:firstLineChars="200"/>
      <w:jc w:val="left"/>
    </w:pPr>
    <w:rPr>
      <w:kern w:val="0"/>
      <w:sz w:val="24"/>
      <w:szCs w:val="20"/>
    </w:rPr>
  </w:style>
  <w:style w:type="paragraph" w:customStyle="1" w:styleId="328">
    <w:name w:val="样式 样式 正文文本缩进 + 仿宋_GB2312 小四 首行缩进:  0 厘米 行距: 1.5 倍行距 + (中文) 仿宋_GB... Char Char"/>
    <w:basedOn w:val="1"/>
    <w:autoRedefine/>
    <w:qFormat/>
    <w:uiPriority w:val="0"/>
    <w:pPr>
      <w:autoSpaceDE w:val="0"/>
      <w:autoSpaceDN w:val="0"/>
      <w:adjustRightInd w:val="0"/>
      <w:spacing w:line="360" w:lineRule="auto"/>
      <w:ind w:firstLine="480" w:firstLineChars="200"/>
      <w:jc w:val="left"/>
    </w:pPr>
    <w:rPr>
      <w:rFonts w:ascii="仿宋_GB2312" w:eastAsia="新宋体"/>
      <w:kern w:val="0"/>
      <w:sz w:val="24"/>
      <w:szCs w:val="20"/>
    </w:rPr>
  </w:style>
  <w:style w:type="paragraph" w:customStyle="1" w:styleId="329">
    <w:name w:val="CM106"/>
    <w:basedOn w:val="330"/>
    <w:next w:val="330"/>
    <w:autoRedefine/>
    <w:qFormat/>
    <w:uiPriority w:val="0"/>
    <w:rPr>
      <w:rFonts w:cs="Times New Roman"/>
      <w:color w:val="auto"/>
    </w:rPr>
  </w:style>
  <w:style w:type="paragraph" w:customStyle="1" w:styleId="330">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31">
    <w:name w:val="正文文本 21"/>
    <w:basedOn w:val="1"/>
    <w:autoRedefine/>
    <w:qFormat/>
    <w:uiPriority w:val="0"/>
    <w:pPr>
      <w:widowControl/>
      <w:overflowPunct w:val="0"/>
      <w:autoSpaceDE w:val="0"/>
      <w:autoSpaceDN w:val="0"/>
      <w:adjustRightInd w:val="0"/>
      <w:ind w:left="720" w:hanging="720"/>
      <w:jc w:val="left"/>
      <w:textAlignment w:val="baseline"/>
    </w:pPr>
    <w:rPr>
      <w:kern w:val="0"/>
      <w:sz w:val="24"/>
      <w:szCs w:val="20"/>
      <w:lang w:val="en-GB"/>
    </w:rPr>
  </w:style>
  <w:style w:type="paragraph" w:customStyle="1" w:styleId="332">
    <w:name w:val="小标题"/>
    <w:basedOn w:val="1"/>
    <w:autoRedefine/>
    <w:qFormat/>
    <w:uiPriority w:val="0"/>
    <w:pPr>
      <w:autoSpaceDE w:val="0"/>
      <w:autoSpaceDN w:val="0"/>
      <w:adjustRightInd w:val="0"/>
      <w:spacing w:before="120" w:line="360" w:lineRule="atLeast"/>
      <w:ind w:left="1134"/>
      <w:jc w:val="left"/>
      <w:textAlignment w:val="baseline"/>
    </w:pPr>
    <w:rPr>
      <w:rFonts w:eastAsia="黑体"/>
      <w:kern w:val="0"/>
      <w:sz w:val="20"/>
      <w:szCs w:val="20"/>
    </w:rPr>
  </w:style>
  <w:style w:type="paragraph" w:customStyle="1" w:styleId="333">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334">
    <w:name w:val="Char Char Char Char Char Char Char Char Char Char Char Char Char Char"/>
    <w:basedOn w:val="1"/>
    <w:autoRedefine/>
    <w:qFormat/>
    <w:uiPriority w:val="0"/>
    <w:pPr>
      <w:widowControl/>
      <w:spacing w:after="160" w:line="240" w:lineRule="exact"/>
      <w:jc w:val="left"/>
    </w:pPr>
    <w:rPr>
      <w:bCs/>
    </w:rPr>
  </w:style>
  <w:style w:type="paragraph" w:customStyle="1" w:styleId="335">
    <w:name w:val="Table Contents"/>
    <w:basedOn w:val="1"/>
    <w:qFormat/>
    <w:uiPriority w:val="0"/>
    <w:pPr>
      <w:suppressAutoHyphens/>
      <w:autoSpaceDE w:val="0"/>
      <w:autoSpaceDN w:val="0"/>
      <w:adjustRightInd w:val="0"/>
      <w:spacing w:after="120"/>
      <w:jc w:val="left"/>
    </w:pPr>
    <w:rPr>
      <w:rFonts w:ascii="Helvetica" w:hAnsi="Helvetica"/>
      <w:kern w:val="1"/>
      <w:sz w:val="20"/>
      <w:szCs w:val="20"/>
    </w:rPr>
  </w:style>
  <w:style w:type="paragraph" w:customStyle="1" w:styleId="336">
    <w:name w:val="_Style 33"/>
    <w:basedOn w:val="1"/>
    <w:autoRedefine/>
    <w:qFormat/>
    <w:uiPriority w:val="0"/>
  </w:style>
  <w:style w:type="paragraph" w:customStyle="1" w:styleId="337">
    <w:name w:val="features1"/>
    <w:basedOn w:val="1"/>
    <w:autoRedefine/>
    <w:qFormat/>
    <w:uiPriority w:val="0"/>
    <w:pPr>
      <w:widowControl/>
      <w:spacing w:before="100" w:beforeAutospacing="1" w:after="100" w:afterAutospacing="1"/>
      <w:jc w:val="left"/>
    </w:pPr>
    <w:rPr>
      <w:rFonts w:ascii="宋体" w:hAnsi="宋体" w:cs="宋体"/>
      <w:b/>
      <w:bCs/>
      <w:kern w:val="0"/>
      <w:sz w:val="18"/>
      <w:szCs w:val="18"/>
    </w:rPr>
  </w:style>
  <w:style w:type="paragraph" w:customStyle="1" w:styleId="338">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 w:val="24"/>
    </w:rPr>
  </w:style>
  <w:style w:type="paragraph" w:customStyle="1" w:styleId="339">
    <w:name w:val="标准小四"/>
    <w:basedOn w:val="1"/>
    <w:autoRedefine/>
    <w:qFormat/>
    <w:uiPriority w:val="0"/>
    <w:pPr>
      <w:autoSpaceDE w:val="0"/>
      <w:autoSpaceDN w:val="0"/>
      <w:adjustRightInd w:val="0"/>
      <w:spacing w:line="360" w:lineRule="auto"/>
      <w:ind w:firstLine="480" w:firstLineChars="200"/>
      <w:jc w:val="left"/>
    </w:pPr>
    <w:rPr>
      <w:rFonts w:ascii="Arial" w:hAnsi="Arial"/>
      <w:kern w:val="0"/>
      <w:sz w:val="24"/>
      <w:szCs w:val="21"/>
    </w:rPr>
  </w:style>
  <w:style w:type="paragraph" w:customStyle="1" w:styleId="34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341">
    <w:name w:val="样式 四号 首行缩进:  1 厘米"/>
    <w:basedOn w:val="1"/>
    <w:autoRedefine/>
    <w:qFormat/>
    <w:uiPriority w:val="0"/>
    <w:pPr>
      <w:spacing w:line="440" w:lineRule="exact"/>
      <w:ind w:firstLine="567"/>
    </w:pPr>
    <w:rPr>
      <w:rFonts w:cs="宋体"/>
      <w:sz w:val="28"/>
      <w:szCs w:val="20"/>
    </w:rPr>
  </w:style>
  <w:style w:type="paragraph" w:customStyle="1" w:styleId="342">
    <w:name w:val="xl88"/>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343">
    <w:name w:val="修订11"/>
    <w:autoRedefine/>
    <w:qFormat/>
    <w:uiPriority w:val="0"/>
    <w:rPr>
      <w:rFonts w:ascii="Calibri" w:hAnsi="Calibri" w:eastAsia="宋体" w:cs="Times New Roman"/>
      <w:kern w:val="2"/>
      <w:sz w:val="21"/>
      <w:szCs w:val="24"/>
      <w:lang w:val="en-US" w:eastAsia="zh-CN" w:bidi="ar-SA"/>
    </w:rPr>
  </w:style>
  <w:style w:type="paragraph" w:customStyle="1" w:styleId="344">
    <w:name w:val="xl7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新宋体" w:hAnsi="新宋体" w:eastAsia="新宋体" w:cs="宋体"/>
      <w:b/>
      <w:bCs/>
      <w:color w:val="FF0000"/>
      <w:kern w:val="0"/>
      <w:sz w:val="24"/>
    </w:rPr>
  </w:style>
  <w:style w:type="paragraph" w:customStyle="1" w:styleId="345">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新宋体" w:hAnsi="新宋体" w:eastAsia="新宋体" w:cs="宋体"/>
      <w:color w:val="000000"/>
      <w:kern w:val="0"/>
      <w:sz w:val="24"/>
    </w:rPr>
  </w:style>
  <w:style w:type="paragraph" w:customStyle="1" w:styleId="346">
    <w:name w:val="xl76"/>
    <w:basedOn w:val="1"/>
    <w:autoRedefine/>
    <w:qFormat/>
    <w:uiPriority w:val="0"/>
    <w:pPr>
      <w:widowControl/>
      <w:pBdr>
        <w:top w:val="single" w:color="auto" w:sz="4" w:space="0"/>
        <w:bottom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347">
    <w:name w:val="纯文本1"/>
    <w:basedOn w:val="1"/>
    <w:qFormat/>
    <w:uiPriority w:val="0"/>
    <w:pPr>
      <w:adjustRightInd w:val="0"/>
      <w:snapToGrid w:val="0"/>
      <w:spacing w:line="288" w:lineRule="auto"/>
      <w:ind w:firstLine="200" w:firstLineChars="200"/>
    </w:pPr>
    <w:rPr>
      <w:rFonts w:ascii="宋体" w:hAnsi="Courier New"/>
    </w:rPr>
  </w:style>
  <w:style w:type="paragraph" w:customStyle="1" w:styleId="348">
    <w:name w:val="排列"/>
    <w:basedOn w:val="1"/>
    <w:qFormat/>
    <w:uiPriority w:val="0"/>
    <w:pPr>
      <w:widowControl/>
      <w:autoSpaceDE w:val="0"/>
      <w:autoSpaceDN w:val="0"/>
      <w:adjustRightInd w:val="0"/>
      <w:spacing w:line="360" w:lineRule="auto"/>
      <w:jc w:val="left"/>
    </w:pPr>
    <w:rPr>
      <w:rFonts w:ascii="宋体" w:hAnsi="宋体"/>
      <w:kern w:val="0"/>
      <w:sz w:val="20"/>
      <w:szCs w:val="20"/>
      <w:lang w:val="zh-CN"/>
    </w:rPr>
  </w:style>
  <w:style w:type="paragraph" w:customStyle="1" w:styleId="349">
    <w:name w:val="Table Heading"/>
    <w:qFormat/>
    <w:uiPriority w:val="0"/>
    <w:pPr>
      <w:keepNext/>
      <w:snapToGrid w:val="0"/>
      <w:spacing w:before="80" w:after="80"/>
      <w:jc w:val="center"/>
    </w:pPr>
    <w:rPr>
      <w:rFonts w:ascii="Calibri" w:hAnsi="Calibri" w:eastAsia="黑体" w:cs="Arial"/>
      <w:kern w:val="2"/>
      <w:sz w:val="18"/>
      <w:szCs w:val="18"/>
      <w:lang w:val="en-US" w:eastAsia="zh-CN" w:bidi="ar-SA"/>
    </w:rPr>
  </w:style>
  <w:style w:type="paragraph" w:customStyle="1" w:styleId="350">
    <w:name w:val="Char3"/>
    <w:basedOn w:val="1"/>
    <w:qFormat/>
    <w:uiPriority w:val="0"/>
    <w:rPr>
      <w:rFonts w:ascii="Tahoma" w:hAnsi="Tahoma"/>
      <w:sz w:val="24"/>
      <w:szCs w:val="20"/>
    </w:rPr>
  </w:style>
  <w:style w:type="paragraph" w:customStyle="1" w:styleId="351">
    <w:name w:val="14"/>
    <w:basedOn w:val="1"/>
    <w:autoRedefine/>
    <w:qFormat/>
    <w:uiPriority w:val="0"/>
    <w:pPr>
      <w:snapToGrid w:val="0"/>
      <w:spacing w:beforeLines="30" w:line="288" w:lineRule="auto"/>
      <w:ind w:left="852" w:leftChars="355" w:firstLine="420" w:firstLineChars="175"/>
    </w:pPr>
    <w:rPr>
      <w:rFonts w:ascii="新宋体" w:hAnsi="新宋体"/>
      <w:sz w:val="24"/>
      <w:szCs w:val="20"/>
    </w:rPr>
  </w:style>
  <w:style w:type="paragraph" w:customStyle="1" w:styleId="352">
    <w:name w:val="部分1"/>
    <w:basedOn w:val="1"/>
    <w:qFormat/>
    <w:uiPriority w:val="0"/>
    <w:pPr>
      <w:keepNext/>
      <w:pageBreakBefore/>
      <w:tabs>
        <w:tab w:val="left" w:pos="720"/>
      </w:tabs>
      <w:autoSpaceDE w:val="0"/>
      <w:autoSpaceDN w:val="0"/>
      <w:adjustRightInd w:val="0"/>
      <w:spacing w:line="360" w:lineRule="auto"/>
      <w:jc w:val="center"/>
      <w:outlineLvl w:val="0"/>
    </w:pPr>
    <w:rPr>
      <w:rFonts w:eastAsia="黑体"/>
      <w:b/>
      <w:kern w:val="44"/>
      <w:sz w:val="36"/>
      <w:szCs w:val="20"/>
    </w:rPr>
  </w:style>
  <w:style w:type="paragraph" w:customStyle="1" w:styleId="353">
    <w:name w:val="Char Char Char Char Char Char Char Char Char Char"/>
    <w:basedOn w:val="1"/>
    <w:autoRedefine/>
    <w:qFormat/>
    <w:uiPriority w:val="0"/>
    <w:pPr>
      <w:autoSpaceDE w:val="0"/>
      <w:autoSpaceDN w:val="0"/>
      <w:adjustRightInd w:val="0"/>
      <w:jc w:val="left"/>
    </w:pPr>
    <w:rPr>
      <w:rFonts w:ascii="仿宋_GB2312" w:eastAsia="仿宋_GB2312"/>
      <w:b/>
      <w:kern w:val="0"/>
      <w:sz w:val="32"/>
      <w:szCs w:val="32"/>
    </w:rPr>
  </w:style>
  <w:style w:type="paragraph" w:customStyle="1" w:styleId="354">
    <w:name w:val="样式 左侧:  0.85 厘米 首行缩进:  0.85 厘米"/>
    <w:basedOn w:val="1"/>
    <w:autoRedefine/>
    <w:qFormat/>
    <w:uiPriority w:val="0"/>
    <w:pPr>
      <w:autoSpaceDE w:val="0"/>
      <w:autoSpaceDN w:val="0"/>
      <w:adjustRightInd w:val="0"/>
      <w:spacing w:line="360" w:lineRule="auto"/>
      <w:ind w:firstLine="482"/>
      <w:jc w:val="left"/>
    </w:pPr>
    <w:rPr>
      <w:rFonts w:cs="宋体"/>
      <w:kern w:val="0"/>
      <w:sz w:val="24"/>
      <w:szCs w:val="20"/>
    </w:rPr>
  </w:style>
  <w:style w:type="paragraph" w:customStyle="1" w:styleId="355">
    <w:name w:val="1Text"/>
    <w:basedOn w:val="1"/>
    <w:qFormat/>
    <w:uiPriority w:val="0"/>
    <w:pPr>
      <w:spacing w:beforeLines="50" w:afterLines="50" w:line="360" w:lineRule="auto"/>
      <w:ind w:firstLine="480" w:firstLineChars="200"/>
      <w:jc w:val="left"/>
    </w:pPr>
    <w:rPr>
      <w:kern w:val="0"/>
      <w:sz w:val="24"/>
    </w:rPr>
  </w:style>
  <w:style w:type="paragraph" w:customStyle="1" w:styleId="356">
    <w:name w:val="Char11"/>
    <w:basedOn w:val="1"/>
    <w:qFormat/>
    <w:uiPriority w:val="0"/>
    <w:pPr>
      <w:autoSpaceDE w:val="0"/>
      <w:autoSpaceDN w:val="0"/>
      <w:adjustRightInd w:val="0"/>
      <w:jc w:val="left"/>
    </w:pPr>
    <w:rPr>
      <w:rFonts w:ascii="仿宋_GB2312" w:eastAsia="仿宋_GB2312"/>
      <w:b/>
      <w:kern w:val="0"/>
      <w:sz w:val="32"/>
      <w:szCs w:val="32"/>
    </w:rPr>
  </w:style>
  <w:style w:type="paragraph" w:customStyle="1" w:styleId="357">
    <w:name w:val="样式 标题 3 + 黑体 小四 非加粗"/>
    <w:basedOn w:val="5"/>
    <w:qFormat/>
    <w:uiPriority w:val="0"/>
    <w:pPr>
      <w:spacing w:line="413" w:lineRule="auto"/>
    </w:pPr>
    <w:rPr>
      <w:rFonts w:ascii="黑体" w:hAnsi="黑体" w:eastAsia="黑体"/>
      <w:b w:val="0"/>
      <w:bCs w:val="0"/>
      <w:kern w:val="0"/>
      <w:sz w:val="24"/>
    </w:rPr>
  </w:style>
  <w:style w:type="paragraph" w:customStyle="1" w:styleId="358">
    <w:name w:val="Item List in Table"/>
    <w:qFormat/>
    <w:uiPriority w:val="0"/>
    <w:pPr>
      <w:tabs>
        <w:tab w:val="left" w:pos="284"/>
        <w:tab w:val="left" w:pos="720"/>
      </w:tabs>
      <w:spacing w:before="40" w:after="40"/>
      <w:ind w:left="720" w:hanging="720"/>
      <w:jc w:val="both"/>
    </w:pPr>
    <w:rPr>
      <w:rFonts w:ascii="Calibri" w:hAnsi="Calibri" w:eastAsia="宋体" w:cs="Arial"/>
      <w:kern w:val="2"/>
      <w:sz w:val="18"/>
      <w:szCs w:val="18"/>
      <w:lang w:val="en-US" w:eastAsia="zh-CN" w:bidi="ar-SA"/>
    </w:rPr>
  </w:style>
  <w:style w:type="paragraph" w:customStyle="1" w:styleId="359">
    <w:name w:val="默认段落字体 Para Char Char Char Char Char Char Char"/>
    <w:basedOn w:val="1"/>
    <w:autoRedefine/>
    <w:qFormat/>
    <w:uiPriority w:val="0"/>
    <w:pPr>
      <w:adjustRightInd w:val="0"/>
      <w:spacing w:line="360" w:lineRule="auto"/>
    </w:pPr>
    <w:rPr>
      <w:rFonts w:ascii="Tahoma" w:hAnsi="Tahoma"/>
      <w:kern w:val="0"/>
      <w:sz w:val="24"/>
      <w:szCs w:val="20"/>
    </w:rPr>
  </w:style>
  <w:style w:type="paragraph" w:customStyle="1" w:styleId="360">
    <w:name w:val="Char Char Char Char Char Char Char Char Char Char Char Char Char Char Char Char Char Char Char1"/>
    <w:basedOn w:val="1"/>
    <w:qFormat/>
    <w:uiPriority w:val="0"/>
    <w:rPr>
      <w:rFonts w:ascii="仿宋_GB2312" w:eastAsia="仿宋_GB2312"/>
      <w:b/>
      <w:sz w:val="32"/>
      <w:szCs w:val="32"/>
    </w:rPr>
  </w:style>
  <w:style w:type="paragraph" w:customStyle="1" w:styleId="361">
    <w:name w:val="正文段"/>
    <w:basedOn w:val="1"/>
    <w:autoRedefine/>
    <w:qFormat/>
    <w:uiPriority w:val="0"/>
    <w:pPr>
      <w:widowControl/>
      <w:snapToGrid w:val="0"/>
      <w:spacing w:afterLines="50"/>
      <w:ind w:firstLine="200" w:firstLineChars="200"/>
    </w:pPr>
    <w:rPr>
      <w:kern w:val="0"/>
      <w:sz w:val="24"/>
      <w:szCs w:val="20"/>
    </w:rPr>
  </w:style>
  <w:style w:type="paragraph" w:customStyle="1" w:styleId="362">
    <w:name w:val="xl91"/>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363">
    <w:name w:val="1 Char"/>
    <w:basedOn w:val="14"/>
    <w:qFormat/>
    <w:uiPriority w:val="0"/>
    <w:pPr>
      <w:adjustRightInd/>
      <w:spacing w:line="360" w:lineRule="auto"/>
      <w:ind w:firstLine="200" w:firstLineChars="200"/>
      <w:textAlignment w:val="auto"/>
    </w:pPr>
    <w:rPr>
      <w:rFonts w:ascii="仿宋_GB2312"/>
      <w:b/>
      <w:kern w:val="2"/>
      <w:szCs w:val="32"/>
    </w:rPr>
  </w:style>
  <w:style w:type="paragraph" w:customStyle="1" w:styleId="364">
    <w:name w:val="xl8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365">
    <w:name w:val="1"/>
    <w:basedOn w:val="1"/>
    <w:qFormat/>
    <w:uiPriority w:val="0"/>
  </w:style>
  <w:style w:type="paragraph" w:customStyle="1" w:styleId="366">
    <w:name w:val="Pa5"/>
    <w:basedOn w:val="330"/>
    <w:next w:val="330"/>
    <w:autoRedefine/>
    <w:qFormat/>
    <w:uiPriority w:val="0"/>
    <w:pPr>
      <w:spacing w:after="60" w:line="161" w:lineRule="atLeast"/>
    </w:pPr>
    <w:rPr>
      <w:rFonts w:ascii="Univers LT Std 57 Cn" w:hAnsi="Univers LT Std 57 Cn" w:cs="Times New Roman"/>
      <w:color w:val="auto"/>
    </w:rPr>
  </w:style>
  <w:style w:type="paragraph" w:customStyle="1" w:styleId="367">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新宋体" w:hAnsi="新宋体" w:eastAsia="新宋体" w:cs="宋体"/>
      <w:color w:val="000000"/>
      <w:kern w:val="0"/>
      <w:sz w:val="24"/>
    </w:rPr>
  </w:style>
  <w:style w:type="paragraph" w:customStyle="1" w:styleId="368">
    <w:name w:val="xl9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369">
    <w:name w:val="招标文件－标准正文"/>
    <w:basedOn w:val="30"/>
    <w:qFormat/>
    <w:uiPriority w:val="0"/>
    <w:pPr>
      <w:spacing w:line="360" w:lineRule="auto"/>
    </w:pPr>
    <w:rPr>
      <w:rFonts w:ascii="Times New Roman" w:hAnsi="Times New Roman" w:cs="宋体"/>
      <w:color w:val="000000"/>
      <w:sz w:val="24"/>
    </w:rPr>
  </w:style>
  <w:style w:type="paragraph" w:customStyle="1" w:styleId="370">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新宋体" w:hAnsi="新宋体" w:eastAsia="新宋体" w:cs="宋体"/>
      <w:color w:val="000000"/>
      <w:kern w:val="0"/>
      <w:sz w:val="24"/>
    </w:rPr>
  </w:style>
  <w:style w:type="paragraph" w:customStyle="1" w:styleId="371">
    <w:name w:val="样式 标题 3 + 黑色 段前: 5 磅 段后: 5 磅 行距: 1.5 倍行距"/>
    <w:basedOn w:val="1"/>
    <w:qFormat/>
    <w:uiPriority w:val="0"/>
    <w:pPr>
      <w:ind w:left="855" w:hanging="855"/>
    </w:pPr>
    <w:rPr>
      <w:sz w:val="24"/>
      <w:szCs w:val="20"/>
    </w:rPr>
  </w:style>
  <w:style w:type="paragraph" w:customStyle="1" w:styleId="372">
    <w:name w:val="正文字缩2字"/>
    <w:basedOn w:val="1"/>
    <w:autoRedefine/>
    <w:qFormat/>
    <w:uiPriority w:val="0"/>
    <w:pPr>
      <w:spacing w:before="60" w:after="60" w:line="360" w:lineRule="auto"/>
      <w:ind w:left="200" w:leftChars="200" w:firstLine="200" w:firstLineChars="200"/>
    </w:pPr>
    <w:rPr>
      <w:sz w:val="24"/>
    </w:rPr>
  </w:style>
  <w:style w:type="paragraph" w:customStyle="1" w:styleId="373">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74">
    <w:name w:val="Char Char Char Char11"/>
    <w:basedOn w:val="1"/>
    <w:autoRedefine/>
    <w:qFormat/>
    <w:uiPriority w:val="0"/>
    <w:rPr>
      <w:szCs w:val="20"/>
    </w:rPr>
  </w:style>
  <w:style w:type="paragraph" w:customStyle="1" w:styleId="375">
    <w:name w:val="xl6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color w:val="000000"/>
      <w:kern w:val="0"/>
      <w:sz w:val="24"/>
    </w:rPr>
  </w:style>
  <w:style w:type="paragraph" w:customStyle="1" w:styleId="376">
    <w:name w:val="Char Char Char Char Char Char"/>
    <w:basedOn w:val="1"/>
    <w:autoRedefine/>
    <w:qFormat/>
    <w:uiPriority w:val="0"/>
    <w:rPr>
      <w:rFonts w:ascii="Tahoma" w:hAnsi="Tahoma"/>
      <w:sz w:val="24"/>
      <w:szCs w:val="20"/>
    </w:rPr>
  </w:style>
  <w:style w:type="paragraph" w:customStyle="1" w:styleId="377">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378">
    <w:name w:val="列项——（一级）"/>
    <w:autoRedefine/>
    <w:qFormat/>
    <w:uiPriority w:val="0"/>
    <w:pPr>
      <w:widowControl w:val="0"/>
      <w:tabs>
        <w:tab w:val="left" w:pos="854"/>
        <w:tab w:val="left" w:pos="1260"/>
      </w:tabs>
      <w:ind w:left="1260" w:hanging="420"/>
      <w:jc w:val="both"/>
    </w:pPr>
    <w:rPr>
      <w:rFonts w:ascii="宋体" w:hAnsi="Calibri" w:eastAsia="宋体" w:cs="Times New Roman"/>
      <w:sz w:val="21"/>
      <w:lang w:val="en-US" w:eastAsia="zh-CN" w:bidi="ar-SA"/>
    </w:rPr>
  </w:style>
  <w:style w:type="paragraph" w:customStyle="1" w:styleId="379">
    <w:name w:val="font6"/>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380">
    <w:name w:val="6'"/>
    <w:basedOn w:val="1"/>
    <w:autoRedefine/>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381">
    <w:name w:val="表格文字"/>
    <w:basedOn w:val="1"/>
    <w:qFormat/>
    <w:uiPriority w:val="0"/>
    <w:pPr>
      <w:spacing w:line="420" w:lineRule="atLeast"/>
      <w:jc w:val="left"/>
    </w:pPr>
    <w:rPr>
      <w:szCs w:val="20"/>
    </w:rPr>
  </w:style>
  <w:style w:type="paragraph" w:customStyle="1" w:styleId="382">
    <w:name w:val="xl89"/>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83">
    <w:name w:val="xl6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color w:val="000000"/>
      <w:kern w:val="0"/>
      <w:sz w:val="24"/>
    </w:rPr>
  </w:style>
  <w:style w:type="paragraph" w:customStyle="1" w:styleId="384">
    <w:name w:val="blockquote"/>
    <w:basedOn w:val="1"/>
    <w:autoRedefine/>
    <w:qFormat/>
    <w:uiPriority w:val="0"/>
    <w:pPr>
      <w:widowControl/>
      <w:spacing w:before="100" w:beforeAutospacing="1" w:after="100" w:afterAutospacing="1"/>
      <w:jc w:val="left"/>
    </w:pPr>
    <w:rPr>
      <w:rFonts w:ascii="宋体" w:hAnsi="宋体"/>
    </w:rPr>
  </w:style>
  <w:style w:type="paragraph" w:customStyle="1" w:styleId="385">
    <w:name w:val="五级条标题"/>
    <w:basedOn w:val="305"/>
    <w:next w:val="1"/>
    <w:autoRedefine/>
    <w:qFormat/>
    <w:uiPriority w:val="0"/>
    <w:pPr>
      <w:numPr>
        <w:ilvl w:val="6"/>
      </w:numPr>
      <w:outlineLvl w:val="6"/>
    </w:pPr>
  </w:style>
  <w:style w:type="paragraph" w:customStyle="1" w:styleId="386">
    <w:name w:val="Char Char3"/>
    <w:basedOn w:val="1"/>
    <w:autoRedefine/>
    <w:qFormat/>
    <w:uiPriority w:val="0"/>
    <w:rPr>
      <w:rFonts w:ascii="仿宋_GB2312" w:eastAsia="仿宋_GB2312"/>
      <w:b/>
      <w:sz w:val="32"/>
      <w:szCs w:val="32"/>
    </w:rPr>
  </w:style>
  <w:style w:type="paragraph" w:customStyle="1" w:styleId="387">
    <w:name w:val="标书正文带编号"/>
    <w:basedOn w:val="1"/>
    <w:autoRedefine/>
    <w:qFormat/>
    <w:uiPriority w:val="0"/>
    <w:pPr>
      <w:tabs>
        <w:tab w:val="left" w:pos="397"/>
      </w:tabs>
      <w:autoSpaceDE w:val="0"/>
      <w:autoSpaceDN w:val="0"/>
      <w:adjustRightInd w:val="0"/>
      <w:ind w:firstLine="397"/>
      <w:jc w:val="left"/>
    </w:pPr>
    <w:rPr>
      <w:rFonts w:cs="宋体"/>
      <w:kern w:val="0"/>
      <w:sz w:val="20"/>
      <w:szCs w:val="21"/>
    </w:rPr>
  </w:style>
  <w:style w:type="paragraph" w:customStyle="1" w:styleId="388">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新宋体" w:hAnsi="新宋体" w:eastAsia="新宋体" w:cs="宋体"/>
      <w:b/>
      <w:bCs/>
      <w:color w:val="000000"/>
      <w:kern w:val="0"/>
      <w:sz w:val="24"/>
    </w:rPr>
  </w:style>
  <w:style w:type="paragraph" w:customStyle="1" w:styleId="389">
    <w:name w:val="Char Char2 Char"/>
    <w:basedOn w:val="1"/>
    <w:autoRedefine/>
    <w:qFormat/>
    <w:uiPriority w:val="0"/>
    <w:pPr>
      <w:keepNext/>
      <w:keepLines/>
      <w:pageBreakBefore/>
      <w:tabs>
        <w:tab w:val="left" w:pos="390"/>
      </w:tabs>
      <w:ind w:left="390" w:hanging="390"/>
    </w:pPr>
    <w:rPr>
      <w:rFonts w:ascii="Tahoma" w:hAnsi="Tahoma"/>
      <w:sz w:val="24"/>
      <w:szCs w:val="20"/>
    </w:rPr>
  </w:style>
  <w:style w:type="paragraph" w:customStyle="1" w:styleId="390">
    <w:name w:val="表格文字（大）"/>
    <w:basedOn w:val="1"/>
    <w:qFormat/>
    <w:uiPriority w:val="0"/>
    <w:pPr>
      <w:autoSpaceDE w:val="0"/>
      <w:autoSpaceDN w:val="0"/>
      <w:adjustRightInd w:val="0"/>
      <w:spacing w:before="20" w:after="20"/>
      <w:jc w:val="left"/>
    </w:pPr>
    <w:rPr>
      <w:rFonts w:ascii="Century Gothic" w:hAnsi="Century Gothic" w:cs="Century Gothic"/>
      <w:kern w:val="0"/>
      <w:sz w:val="24"/>
      <w:szCs w:val="20"/>
    </w:rPr>
  </w:style>
  <w:style w:type="paragraph" w:customStyle="1" w:styleId="391">
    <w:name w:val="普通 (Web)"/>
    <w:basedOn w:val="1"/>
    <w:autoRedefine/>
    <w:qFormat/>
    <w:uiPriority w:val="0"/>
    <w:pPr>
      <w:widowControl/>
      <w:spacing w:before="100" w:after="100"/>
      <w:jc w:val="left"/>
    </w:pPr>
    <w:rPr>
      <w:rFonts w:ascii="宋体" w:hAnsi="宋体"/>
      <w:kern w:val="0"/>
      <w:sz w:val="24"/>
    </w:rPr>
  </w:style>
  <w:style w:type="paragraph" w:customStyle="1" w:styleId="392">
    <w:name w:val="WW-正文文字缩进 2"/>
    <w:basedOn w:val="1"/>
    <w:qFormat/>
    <w:uiPriority w:val="0"/>
    <w:pPr>
      <w:suppressAutoHyphens/>
      <w:autoSpaceDE w:val="0"/>
      <w:autoSpaceDN w:val="0"/>
      <w:adjustRightInd w:val="0"/>
      <w:ind w:firstLine="420"/>
      <w:jc w:val="left"/>
    </w:pPr>
    <w:rPr>
      <w:kern w:val="1"/>
      <w:sz w:val="20"/>
      <w:szCs w:val="20"/>
    </w:rPr>
  </w:style>
  <w:style w:type="paragraph" w:customStyle="1" w:styleId="393">
    <w:name w:val="正文－恩普"/>
    <w:basedOn w:val="14"/>
    <w:autoRedefine/>
    <w:qFormat/>
    <w:uiPriority w:val="0"/>
    <w:pPr>
      <w:adjustRightInd/>
      <w:spacing w:line="360" w:lineRule="auto"/>
      <w:ind w:firstLine="200" w:firstLineChars="200"/>
      <w:textAlignment w:val="auto"/>
    </w:pPr>
    <w:rPr>
      <w:rFonts w:ascii="仿宋_GB2312"/>
      <w:b/>
      <w:kern w:val="2"/>
      <w:sz w:val="24"/>
      <w:szCs w:val="24"/>
    </w:rPr>
  </w:style>
  <w:style w:type="paragraph" w:customStyle="1" w:styleId="394">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95">
    <w:name w:val="xl8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396">
    <w:name w:val="Char Char Char Char Char Char Char Char Char1 Char"/>
    <w:basedOn w:val="1"/>
    <w:autoRedefine/>
    <w:qFormat/>
    <w:uiPriority w:val="0"/>
  </w:style>
  <w:style w:type="paragraph" w:customStyle="1" w:styleId="397">
    <w:name w:val="四级目录 Char Char Char Char Char"/>
    <w:next w:val="1"/>
    <w:autoRedefine/>
    <w:qFormat/>
    <w:uiPriority w:val="0"/>
    <w:pPr>
      <w:spacing w:line="360" w:lineRule="auto"/>
      <w:ind w:left="200" w:leftChars="200"/>
    </w:pPr>
    <w:rPr>
      <w:rFonts w:ascii="Calibri" w:hAnsi="Calibri" w:eastAsia="宋体" w:cs="Times New Roman"/>
      <w:lang w:val="en-US" w:eastAsia="zh-CN" w:bidi="ar-SA"/>
    </w:rPr>
  </w:style>
  <w:style w:type="paragraph" w:customStyle="1" w:styleId="398">
    <w:name w:val="列出段落2"/>
    <w:basedOn w:val="1"/>
    <w:autoRedefine/>
    <w:qFormat/>
    <w:uiPriority w:val="0"/>
    <w:pPr>
      <w:ind w:firstLine="420" w:firstLineChars="200"/>
    </w:pPr>
  </w:style>
  <w:style w:type="character" w:customStyle="1" w:styleId="399">
    <w:name w:val="列表段落 字符"/>
    <w:link w:val="315"/>
    <w:qFormat/>
    <w:uiPriority w:val="0"/>
    <w:rPr>
      <w:rFonts w:ascii="Calibri" w:hAnsi="Calibri"/>
      <w:kern w:val="2"/>
      <w:sz w:val="21"/>
      <w:szCs w:val="24"/>
    </w:rPr>
  </w:style>
  <w:style w:type="paragraph" w:customStyle="1" w:styleId="400">
    <w:name w:val="l正文"/>
    <w:basedOn w:val="1"/>
    <w:autoRedefine/>
    <w:qFormat/>
    <w:uiPriority w:val="0"/>
    <w:pPr>
      <w:spacing w:line="300" w:lineRule="auto"/>
      <w:ind w:firstLine="200" w:firstLineChars="200"/>
      <w:jc w:val="left"/>
    </w:pPr>
    <w:rPr>
      <w:rFonts w:ascii="楷体_GB2312" w:hAnsi="Times" w:eastAsia="楷体_GB2312" w:cs="等线"/>
      <w:sz w:val="24"/>
    </w:rPr>
  </w:style>
  <w:style w:type="paragraph" w:customStyle="1" w:styleId="401">
    <w:name w:val="怡1"/>
    <w:basedOn w:val="3"/>
    <w:autoRedefine/>
    <w:qFormat/>
    <w:uiPriority w:val="0"/>
    <w:pPr>
      <w:keepLines/>
      <w:numPr>
        <w:ilvl w:val="0"/>
        <w:numId w:val="4"/>
      </w:numPr>
      <w:spacing w:before="480" w:after="480"/>
      <w:jc w:val="left"/>
    </w:pPr>
    <w:rPr>
      <w:rFonts w:ascii="Calibri" w:hAnsi="Calibri" w:eastAsia="宋体"/>
      <w:kern w:val="0"/>
      <w:sz w:val="32"/>
      <w:szCs w:val="44"/>
      <w:lang w:val="zh-CN"/>
    </w:rPr>
  </w:style>
  <w:style w:type="paragraph" w:customStyle="1" w:styleId="402">
    <w:name w:val="*正文"/>
    <w:basedOn w:val="1"/>
    <w:qFormat/>
    <w:uiPriority w:val="0"/>
    <w:pPr>
      <w:widowControl/>
      <w:spacing w:line="360" w:lineRule="auto"/>
      <w:ind w:firstLine="200" w:firstLineChars="200"/>
      <w:jc w:val="left"/>
    </w:pPr>
    <w:rPr>
      <w:rFonts w:ascii="仿宋_GB2312" w:eastAsia="仿宋_GB2312"/>
      <w:sz w:val="24"/>
      <w:szCs w:val="28"/>
      <w:lang w:val="zh-CN"/>
    </w:rPr>
  </w:style>
  <w:style w:type="paragraph" w:customStyle="1" w:styleId="403">
    <w:name w:val="怡2"/>
    <w:basedOn w:val="4"/>
    <w:next w:val="5"/>
    <w:autoRedefine/>
    <w:qFormat/>
    <w:uiPriority w:val="0"/>
    <w:pPr>
      <w:numPr>
        <w:ilvl w:val="1"/>
        <w:numId w:val="4"/>
      </w:numPr>
      <w:spacing w:before="360" w:after="360" w:line="480" w:lineRule="auto"/>
      <w:jc w:val="left"/>
    </w:pPr>
    <w:rPr>
      <w:rFonts w:ascii="Cambria" w:hAnsi="Cambria" w:eastAsia="宋体"/>
      <w:kern w:val="0"/>
      <w:sz w:val="36"/>
    </w:rPr>
  </w:style>
  <w:style w:type="paragraph" w:customStyle="1" w:styleId="404">
    <w:name w:val="怡3"/>
    <w:basedOn w:val="5"/>
    <w:autoRedefine/>
    <w:qFormat/>
    <w:uiPriority w:val="0"/>
    <w:pPr>
      <w:numPr>
        <w:ilvl w:val="2"/>
        <w:numId w:val="4"/>
      </w:numPr>
      <w:tabs>
        <w:tab w:val="left" w:pos="857"/>
      </w:tabs>
      <w:spacing w:before="240" w:after="240" w:line="480" w:lineRule="auto"/>
      <w:jc w:val="left"/>
    </w:pPr>
    <w:rPr>
      <w:rFonts w:ascii="宋体" w:hAnsi="宋体"/>
    </w:rPr>
  </w:style>
  <w:style w:type="paragraph" w:customStyle="1" w:styleId="405">
    <w:name w:val="正文5"/>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06">
    <w:name w:val="纯文本2"/>
    <w:basedOn w:val="405"/>
    <w:autoRedefine/>
    <w:qFormat/>
    <w:uiPriority w:val="0"/>
    <w:pPr>
      <w:adjustRightInd w:val="0"/>
      <w:snapToGrid w:val="0"/>
      <w:spacing w:line="288" w:lineRule="auto"/>
      <w:ind w:firstLine="200" w:firstLineChars="200"/>
    </w:pPr>
    <w:rPr>
      <w:rFonts w:ascii="宋体" w:hAnsi="Courier New"/>
    </w:rPr>
  </w:style>
  <w:style w:type="paragraph" w:customStyle="1" w:styleId="407">
    <w:name w:val="列出段落3"/>
    <w:basedOn w:val="1"/>
    <w:autoRedefine/>
    <w:qFormat/>
    <w:uiPriority w:val="99"/>
    <w:pPr>
      <w:widowControl/>
      <w:ind w:firstLine="420" w:firstLineChars="200"/>
      <w:jc w:val="left"/>
    </w:pPr>
    <w:rPr>
      <w:rFonts w:ascii="宋体" w:hAnsi="宋体" w:cs="宋体"/>
      <w:kern w:val="0"/>
      <w:sz w:val="24"/>
    </w:rPr>
  </w:style>
  <w:style w:type="paragraph" w:customStyle="1" w:styleId="408">
    <w:name w:val="List Paragraph1"/>
    <w:basedOn w:val="1"/>
    <w:autoRedefine/>
    <w:qFormat/>
    <w:uiPriority w:val="34"/>
    <w:pPr>
      <w:ind w:firstLine="420" w:firstLineChars="200"/>
    </w:pPr>
    <w:rPr>
      <w:rFonts w:ascii="等线" w:hAnsi="等线"/>
    </w:rPr>
  </w:style>
  <w:style w:type="paragraph" w:customStyle="1" w:styleId="409">
    <w:name w:val="_Style 4"/>
    <w:basedOn w:val="1"/>
    <w:autoRedefine/>
    <w:qFormat/>
    <w:uiPriority w:val="0"/>
    <w:pPr>
      <w:ind w:firstLine="420" w:firstLineChars="200"/>
    </w:pPr>
    <w:rPr>
      <w:rFonts w:ascii="Times New Roman" w:hAnsi="Times New Roman"/>
      <w:szCs w:val="20"/>
    </w:rPr>
  </w:style>
  <w:style w:type="character" w:customStyle="1" w:styleId="410">
    <w:name w:val="无"/>
    <w:qFormat/>
    <w:uiPriority w:val="0"/>
  </w:style>
  <w:style w:type="paragraph" w:customStyle="1" w:styleId="411">
    <w:name w:val="正文 A"/>
    <w:autoRedefine/>
    <w:qFormat/>
    <w:uiPriority w:val="0"/>
    <w:pPr>
      <w:framePr w:wrap="around" w:vAnchor="margin" w:hAnchor="text" w:y="1"/>
      <w:widowControl w:val="0"/>
      <w:jc w:val="both"/>
    </w:pPr>
    <w:rPr>
      <w:rFonts w:ascii="等线" w:hAnsi="等线" w:eastAsia="等线 Light" w:cs="等线 Light"/>
      <w:color w:val="000000"/>
      <w:kern w:val="2"/>
      <w:sz w:val="21"/>
      <w:szCs w:val="21"/>
      <w:u w:color="000000"/>
      <w:lang w:val="en-US" w:eastAsia="zh-CN" w:bidi="ar-SA"/>
    </w:rPr>
  </w:style>
  <w:style w:type="paragraph" w:customStyle="1" w:styleId="412">
    <w:name w:val="修订2"/>
    <w:autoRedefine/>
    <w:hidden/>
    <w:semiHidden/>
    <w:qFormat/>
    <w:uiPriority w:val="99"/>
    <w:rPr>
      <w:rFonts w:ascii="Calibri" w:hAnsi="Calibri" w:eastAsia="宋体" w:cs="Times New Roman"/>
      <w:kern w:val="2"/>
      <w:sz w:val="21"/>
      <w:szCs w:val="24"/>
      <w:lang w:val="en-US" w:eastAsia="zh-CN" w:bidi="ar-SA"/>
    </w:rPr>
  </w:style>
  <w:style w:type="paragraph" w:customStyle="1" w:styleId="413">
    <w:name w:val="Revision"/>
    <w:autoRedefine/>
    <w:hidden/>
    <w:semiHidden/>
    <w:qFormat/>
    <w:uiPriority w:val="99"/>
    <w:rPr>
      <w:rFonts w:ascii="Calibri" w:hAnsi="Calibri" w:eastAsia="宋体" w:cs="Times New Roman"/>
      <w:kern w:val="2"/>
      <w:sz w:val="21"/>
      <w:szCs w:val="24"/>
      <w:lang w:val="en-US" w:eastAsia="zh-CN" w:bidi="ar-SA"/>
    </w:rPr>
  </w:style>
  <w:style w:type="paragraph" w:customStyle="1" w:styleId="414">
    <w:name w:val="17“1.”四级标题"/>
    <w:basedOn w:val="415"/>
    <w:autoRedefine/>
    <w:qFormat/>
    <w:uiPriority w:val="0"/>
    <w:pPr>
      <w:numPr>
        <w:ilvl w:val="3"/>
        <w:numId w:val="5"/>
      </w:numPr>
      <w:ind w:firstLine="803" w:firstLineChars="200"/>
    </w:pPr>
    <w:rPr>
      <w:rFonts w:ascii="宋体" w:hAnsi="宋体" w:eastAsia="宋体"/>
    </w:rPr>
  </w:style>
  <w:style w:type="paragraph" w:customStyle="1" w:styleId="415">
    <w:name w:val="02、首行缩进2字符正文"/>
    <w:basedOn w:val="1"/>
    <w:qFormat/>
    <w:uiPriority w:val="0"/>
    <w:pPr>
      <w:tabs>
        <w:tab w:val="left" w:pos="0"/>
      </w:tabs>
      <w:wordWrap w:val="0"/>
      <w:topLinePunct/>
      <w:ind w:firstLine="480" w:firstLineChars="200"/>
    </w:pPr>
    <w:rPr>
      <w:rFonts w:ascii="宋体" w:hAnsi="宋体" w:eastAsia="宋体"/>
    </w:rPr>
  </w:style>
  <w:style w:type="paragraph" w:customStyle="1" w:styleId="416">
    <w:name w:val="16、“(一)”三级标题"/>
    <w:basedOn w:val="417"/>
    <w:autoRedefine/>
    <w:qFormat/>
    <w:uiPriority w:val="0"/>
    <w:pPr>
      <w:numPr>
        <w:ilvl w:val="2"/>
        <w:numId w:val="5"/>
      </w:numPr>
      <w:ind w:firstLine="803" w:firstLineChars="200"/>
      <w:outlineLvl w:val="2"/>
    </w:pPr>
    <w:rPr>
      <w:rFonts w:ascii="宋体" w:hAnsi="宋体" w:eastAsia="宋体"/>
      <w:b/>
    </w:rPr>
  </w:style>
  <w:style w:type="paragraph" w:customStyle="1" w:styleId="417">
    <w:name w:val="01、普通正文"/>
    <w:basedOn w:val="1"/>
    <w:autoRedefine/>
    <w:qFormat/>
    <w:uiPriority w:val="0"/>
    <w:pPr>
      <w:tabs>
        <w:tab w:val="left" w:pos="0"/>
      </w:tabs>
      <w:wordWrap w:val="0"/>
      <w:topLinePunct/>
      <w:ind w:firstLine="0" w:firstLineChars="0"/>
    </w:pPr>
    <w:rPr>
      <w:rFonts w:ascii="宋体" w:hAnsi="宋体" w:eastAsia="宋体"/>
      <w:snapToGrid w:val="0"/>
    </w:rPr>
  </w:style>
  <w:style w:type="paragraph" w:customStyle="1" w:styleId="418">
    <w:name w:val="19、“(1)”六级标题"/>
    <w:basedOn w:val="414"/>
    <w:autoRedefine/>
    <w:qFormat/>
    <w:uiPriority w:val="0"/>
    <w:pPr>
      <w:numPr>
        <w:ilvl w:val="5"/>
        <w:numId w:val="5"/>
      </w:numPr>
      <w:ind w:firstLine="803" w:firstLineChars="200"/>
    </w:pPr>
  </w:style>
  <w:style w:type="character" w:customStyle="1" w:styleId="419">
    <w:name w:val="NormalCharacter"/>
    <w:autoRedefine/>
    <w:qFormat/>
    <w:uiPriority w:val="0"/>
  </w:style>
  <w:style w:type="paragraph" w:customStyle="1" w:styleId="420">
    <w:name w:val="Body Text First Indent1"/>
    <w:basedOn w:val="21"/>
    <w:next w:val="23"/>
    <w:autoRedefine/>
    <w:qFormat/>
    <w:uiPriority w:val="0"/>
    <w:pPr>
      <w:ind w:firstLine="420" w:firstLineChars="100"/>
    </w:pPr>
    <w:rPr>
      <w:rFonts w:ascii="Calibri" w:hAnsi="Calibri" w:cs="Calibri"/>
      <w:szCs w:val="21"/>
    </w:rPr>
  </w:style>
  <w:style w:type="paragraph" w:customStyle="1" w:styleId="421">
    <w:name w:val="Plain Text"/>
    <w:basedOn w:val="1"/>
    <w:autoRedefine/>
    <w:qFormat/>
    <w:uiPriority w:val="0"/>
    <w:rPr>
      <w:rFonts w:ascii="宋体" w:hAnsi="Courier New"/>
      <w:szCs w:val="20"/>
    </w:rPr>
  </w:style>
  <w:style w:type="paragraph" w:customStyle="1" w:styleId="422">
    <w:name w:val="图例"/>
    <w:basedOn w:val="1"/>
    <w:qFormat/>
    <w:uiPriority w:val="0"/>
    <w:pPr>
      <w:keepNext w:val="0"/>
      <w:keepLines w:val="0"/>
      <w:widowControl w:val="0"/>
      <w:suppressLineNumbers w:val="0"/>
      <w:spacing w:before="120" w:beforeAutospacing="0" w:after="120" w:afterAutospacing="0" w:line="360" w:lineRule="auto"/>
      <w:ind w:left="0" w:firstLine="0"/>
      <w:jc w:val="center"/>
    </w:pPr>
    <w:rPr>
      <w:rFonts w:hint="default" w:ascii="Times New Roman" w:hAnsi="Times New Roman" w:eastAsia="仿宋_GB2312" w:cs="Times New Roman"/>
      <w:b/>
      <w:color w:val="auto"/>
      <w:kern w:val="2"/>
      <w:sz w:val="24"/>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52</Pages>
  <Words>29406</Words>
  <Characters>30632</Characters>
  <Lines>222</Lines>
  <Paragraphs>62</Paragraphs>
  <TotalTime>3</TotalTime>
  <ScaleCrop>false</ScaleCrop>
  <LinksUpToDate>false</LinksUpToDate>
  <CharactersWithSpaces>32427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2021-06-24T02:06:00Z</dcterms:created>
  <dc:creator>can</dc:creator>
  <cp:lastModifiedBy>黄小茹</cp:lastModifiedBy>
  <cp:lastPrinted>2023-06-25T18:10:00Z</cp:lastPrinted>
  <dcterms:modified xsi:type="dcterms:W3CDTF">2024-04-01T08:01:48Z</dcterms:modified>
  <dc:title>温州市政府集中采购</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AD51885647BB406DAA645EC19D112942_13</vt:lpwstr>
  </property>
</Properties>
</file>