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pacing w:val="100"/>
          <w:sz w:val="84"/>
          <w:szCs w:val="84"/>
        </w:rPr>
      </w:pPr>
      <w:r>
        <w:rPr>
          <w:rFonts w:hint="eastAsia" w:ascii="宋体" w:hAnsi="宋体" w:cs="宋体"/>
          <w:b/>
          <w:bCs/>
          <w:color w:val="auto"/>
          <w:spacing w:val="100"/>
          <w:sz w:val="84"/>
          <w:szCs w:val="84"/>
        </w:rPr>
        <w:t>温州市政府采购</w:t>
      </w:r>
    </w:p>
    <w:p>
      <w:pPr>
        <w:jc w:val="center"/>
        <w:rPr>
          <w:rFonts w:ascii="宋体" w:hAnsi="宋体" w:cs="宋体"/>
          <w:b/>
          <w:bCs/>
          <w:color w:val="auto"/>
          <w:spacing w:val="26"/>
          <w:sz w:val="52"/>
        </w:rPr>
      </w:pPr>
    </w:p>
    <w:p>
      <w:pPr>
        <w:jc w:val="center"/>
        <w:rPr>
          <w:rFonts w:ascii="宋体" w:hAnsi="宋体" w:cs="宋体"/>
          <w:b/>
          <w:bCs/>
          <w:color w:val="auto"/>
          <w:spacing w:val="26"/>
          <w:sz w:val="52"/>
        </w:rPr>
      </w:pPr>
    </w:p>
    <w:p>
      <w:pPr>
        <w:jc w:val="center"/>
        <w:rPr>
          <w:rFonts w:ascii="宋体" w:hAnsi="宋体" w:cs="宋体"/>
          <w:b/>
          <w:bCs/>
          <w:color w:val="auto"/>
          <w:spacing w:val="26"/>
          <w:sz w:val="52"/>
        </w:rPr>
      </w:pPr>
    </w:p>
    <w:p>
      <w:pPr>
        <w:jc w:val="center"/>
        <w:rPr>
          <w:rFonts w:ascii="宋体" w:hAnsi="宋体" w:cs="宋体"/>
          <w:b/>
          <w:bCs/>
          <w:color w:val="auto"/>
          <w:spacing w:val="140"/>
          <w:sz w:val="84"/>
          <w:szCs w:val="84"/>
        </w:rPr>
      </w:pPr>
      <w:r>
        <w:rPr>
          <w:rFonts w:hint="eastAsia" w:ascii="宋体" w:hAnsi="宋体" w:cs="宋体"/>
          <w:b/>
          <w:bCs/>
          <w:color w:val="auto"/>
          <w:spacing w:val="140"/>
          <w:sz w:val="84"/>
          <w:szCs w:val="84"/>
        </w:rPr>
        <w:t>采购文件</w:t>
      </w:r>
    </w:p>
    <w:p>
      <w:pPr>
        <w:spacing w:line="600" w:lineRule="exact"/>
        <w:jc w:val="center"/>
        <w:rPr>
          <w:rFonts w:ascii="宋体" w:hAnsi="宋体" w:cs="宋体"/>
          <w:b/>
          <w:bCs/>
          <w:color w:val="auto"/>
          <w:spacing w:val="140"/>
          <w:sz w:val="84"/>
          <w:szCs w:val="84"/>
        </w:rPr>
      </w:pPr>
    </w:p>
    <w:p>
      <w:pPr>
        <w:spacing w:line="400" w:lineRule="exact"/>
        <w:jc w:val="center"/>
        <w:rPr>
          <w:rFonts w:ascii="宋体" w:hAnsi="宋体" w:cs="宋体"/>
          <w:b/>
          <w:bCs/>
          <w:color w:val="auto"/>
          <w:sz w:val="32"/>
          <w:szCs w:val="32"/>
        </w:rPr>
      </w:pPr>
    </w:p>
    <w:p>
      <w:pPr>
        <w:pStyle w:val="23"/>
        <w:rPr>
          <w:rFonts w:ascii="宋体" w:hAnsi="宋体" w:cs="宋体"/>
          <w:color w:val="auto"/>
        </w:rPr>
      </w:pPr>
    </w:p>
    <w:p>
      <w:pPr>
        <w:jc w:val="center"/>
        <w:rPr>
          <w:rFonts w:ascii="宋体" w:hAnsi="宋体" w:cs="宋体"/>
          <w:color w:val="auto"/>
          <w:spacing w:val="40"/>
          <w:sz w:val="30"/>
          <w:szCs w:val="30"/>
        </w:rPr>
      </w:pPr>
    </w:p>
    <w:p>
      <w:pPr>
        <w:jc w:val="center"/>
        <w:rPr>
          <w:rFonts w:ascii="宋体" w:hAnsi="宋体" w:cs="宋体"/>
          <w:color w:val="auto"/>
          <w:spacing w:val="40"/>
          <w:sz w:val="30"/>
          <w:szCs w:val="30"/>
        </w:rPr>
      </w:pPr>
    </w:p>
    <w:p>
      <w:pPr>
        <w:jc w:val="center"/>
        <w:rPr>
          <w:rFonts w:ascii="宋体" w:hAnsi="宋体" w:cs="宋体"/>
          <w:color w:val="auto"/>
          <w:spacing w:val="40"/>
          <w:sz w:val="30"/>
          <w:szCs w:val="30"/>
        </w:rPr>
      </w:pPr>
    </w:p>
    <w:tbl>
      <w:tblPr>
        <w:tblStyle w:val="58"/>
        <w:tblW w:w="0" w:type="auto"/>
        <w:jc w:val="center"/>
        <w:tblLayout w:type="fixed"/>
        <w:tblCellMar>
          <w:top w:w="0" w:type="dxa"/>
          <w:left w:w="108" w:type="dxa"/>
          <w:bottom w:w="0" w:type="dxa"/>
          <w:right w:w="108" w:type="dxa"/>
        </w:tblCellMar>
      </w:tblPr>
      <w:tblGrid>
        <w:gridCol w:w="1483"/>
        <w:gridCol w:w="3126"/>
      </w:tblGrid>
      <w:tr>
        <w:tblPrEx>
          <w:tblCellMar>
            <w:top w:w="0" w:type="dxa"/>
            <w:left w:w="108" w:type="dxa"/>
            <w:bottom w:w="0" w:type="dxa"/>
            <w:right w:w="108" w:type="dxa"/>
          </w:tblCellMar>
        </w:tblPrEx>
        <w:trPr>
          <w:trHeight w:val="707" w:hRule="atLeast"/>
          <w:jc w:val="center"/>
        </w:trPr>
        <w:tc>
          <w:tcPr>
            <w:tcW w:w="1483" w:type="dxa"/>
            <w:noWrap/>
            <w:vAlign w:val="center"/>
          </w:tcPr>
          <w:p>
            <w:pPr>
              <w:rPr>
                <w:rFonts w:ascii="宋体" w:hAnsi="宋体" w:cs="宋体"/>
                <w:b/>
                <w:color w:val="auto"/>
                <w:sz w:val="28"/>
                <w:szCs w:val="28"/>
              </w:rPr>
            </w:pPr>
            <w:r>
              <w:rPr>
                <w:rFonts w:hint="eastAsia" w:ascii="宋体" w:hAnsi="宋体" w:cs="宋体"/>
                <w:b/>
                <w:color w:val="auto"/>
                <w:sz w:val="28"/>
                <w:szCs w:val="28"/>
              </w:rPr>
              <w:t>项目编号：</w:t>
            </w:r>
          </w:p>
        </w:tc>
        <w:tc>
          <w:tcPr>
            <w:tcW w:w="3126" w:type="dxa"/>
            <w:noWrap/>
            <w:vAlign w:val="center"/>
          </w:tcPr>
          <w:p>
            <w:pPr>
              <w:rPr>
                <w:rFonts w:ascii="宋体" w:hAnsi="宋体" w:cs="宋体"/>
                <w:b/>
                <w:color w:val="auto"/>
                <w:sz w:val="28"/>
                <w:szCs w:val="28"/>
              </w:rPr>
            </w:pPr>
            <w:r>
              <w:rPr>
                <w:rFonts w:hint="eastAsia" w:ascii="宋体" w:hAnsi="宋体" w:cs="宋体"/>
                <w:b/>
                <w:color w:val="auto"/>
                <w:sz w:val="28"/>
                <w:szCs w:val="28"/>
              </w:rPr>
              <w:t>ZXZB-F20240130-YJYW</w:t>
            </w:r>
          </w:p>
        </w:tc>
      </w:tr>
      <w:tr>
        <w:tblPrEx>
          <w:tblCellMar>
            <w:top w:w="0" w:type="dxa"/>
            <w:left w:w="108" w:type="dxa"/>
            <w:bottom w:w="0" w:type="dxa"/>
            <w:right w:w="108" w:type="dxa"/>
          </w:tblCellMar>
        </w:tblPrEx>
        <w:trPr>
          <w:trHeight w:val="942" w:hRule="atLeast"/>
          <w:jc w:val="center"/>
        </w:trPr>
        <w:tc>
          <w:tcPr>
            <w:tcW w:w="1483" w:type="dxa"/>
            <w:noWrap/>
            <w:vAlign w:val="center"/>
          </w:tcPr>
          <w:p>
            <w:pPr>
              <w:rPr>
                <w:rFonts w:ascii="宋体" w:hAnsi="宋体" w:cs="宋体"/>
                <w:b/>
                <w:color w:val="auto"/>
                <w:sz w:val="28"/>
                <w:szCs w:val="28"/>
              </w:rPr>
            </w:pPr>
            <w:r>
              <w:rPr>
                <w:rFonts w:hint="eastAsia" w:ascii="宋体" w:hAnsi="宋体" w:cs="宋体"/>
                <w:b/>
                <w:color w:val="auto"/>
                <w:sz w:val="28"/>
                <w:szCs w:val="28"/>
              </w:rPr>
              <w:t>项目名称：</w:t>
            </w:r>
          </w:p>
        </w:tc>
        <w:tc>
          <w:tcPr>
            <w:tcW w:w="3126" w:type="dxa"/>
            <w:noWrap/>
            <w:vAlign w:val="center"/>
          </w:tcPr>
          <w:p>
            <w:pPr>
              <w:rPr>
                <w:rFonts w:ascii="宋体" w:hAnsi="宋体" w:cs="宋体"/>
                <w:b/>
                <w:color w:val="auto"/>
                <w:sz w:val="28"/>
                <w:szCs w:val="28"/>
              </w:rPr>
            </w:pPr>
            <w:r>
              <w:rPr>
                <w:rFonts w:hint="eastAsia" w:ascii="宋体" w:hAnsi="宋体" w:cs="宋体"/>
                <w:b/>
                <w:color w:val="auto"/>
                <w:sz w:val="28"/>
                <w:szCs w:val="28"/>
              </w:rPr>
              <w:t>交通基础设施硬件运维</w:t>
            </w:r>
          </w:p>
        </w:tc>
      </w:tr>
      <w:tr>
        <w:tblPrEx>
          <w:tblCellMar>
            <w:top w:w="0" w:type="dxa"/>
            <w:left w:w="108" w:type="dxa"/>
            <w:bottom w:w="0" w:type="dxa"/>
            <w:right w:w="108" w:type="dxa"/>
          </w:tblCellMar>
        </w:tblPrEx>
        <w:trPr>
          <w:trHeight w:val="627" w:hRule="atLeast"/>
          <w:jc w:val="center"/>
        </w:trPr>
        <w:tc>
          <w:tcPr>
            <w:tcW w:w="1483" w:type="dxa"/>
            <w:noWrap/>
            <w:vAlign w:val="center"/>
          </w:tcPr>
          <w:p>
            <w:pPr>
              <w:rPr>
                <w:rFonts w:ascii="宋体" w:hAnsi="宋体" w:cs="宋体"/>
                <w:b/>
                <w:color w:val="auto"/>
                <w:sz w:val="28"/>
                <w:szCs w:val="28"/>
              </w:rPr>
            </w:pPr>
            <w:r>
              <w:rPr>
                <w:rFonts w:hint="eastAsia" w:ascii="宋体" w:hAnsi="宋体" w:cs="宋体"/>
                <w:b/>
                <w:color w:val="auto"/>
                <w:sz w:val="28"/>
                <w:szCs w:val="28"/>
              </w:rPr>
              <w:t>采购方式：</w:t>
            </w:r>
          </w:p>
        </w:tc>
        <w:tc>
          <w:tcPr>
            <w:tcW w:w="3126" w:type="dxa"/>
            <w:noWrap/>
            <w:vAlign w:val="center"/>
          </w:tcPr>
          <w:p>
            <w:pPr>
              <w:rPr>
                <w:rFonts w:ascii="宋体" w:hAnsi="宋体" w:cs="宋体"/>
                <w:b/>
                <w:color w:val="auto"/>
                <w:sz w:val="28"/>
                <w:szCs w:val="28"/>
              </w:rPr>
            </w:pPr>
            <w:r>
              <w:rPr>
                <w:rFonts w:hint="eastAsia" w:ascii="宋体" w:hAnsi="宋体" w:cs="宋体"/>
                <w:b/>
                <w:color w:val="auto"/>
                <w:sz w:val="28"/>
                <w:szCs w:val="28"/>
              </w:rPr>
              <w:t>公开招标</w:t>
            </w:r>
          </w:p>
        </w:tc>
      </w:tr>
    </w:tbl>
    <w:p>
      <w:pPr>
        <w:spacing w:line="600" w:lineRule="exact"/>
        <w:jc w:val="center"/>
        <w:rPr>
          <w:rFonts w:ascii="宋体" w:hAnsi="宋体" w:cs="宋体"/>
          <w:b/>
          <w:color w:val="auto"/>
          <w:sz w:val="30"/>
          <w:szCs w:val="30"/>
        </w:rPr>
      </w:pPr>
    </w:p>
    <w:p>
      <w:pPr>
        <w:spacing w:line="600" w:lineRule="exact"/>
        <w:jc w:val="center"/>
        <w:rPr>
          <w:rFonts w:ascii="宋体" w:hAnsi="宋体" w:cs="宋体"/>
          <w:b/>
          <w:color w:val="auto"/>
          <w:sz w:val="30"/>
          <w:szCs w:val="30"/>
        </w:rPr>
      </w:pPr>
    </w:p>
    <w:p>
      <w:pPr>
        <w:spacing w:line="600" w:lineRule="exact"/>
        <w:jc w:val="center"/>
        <w:rPr>
          <w:rFonts w:ascii="宋体" w:hAnsi="宋体" w:cs="宋体"/>
          <w:b/>
          <w:color w:val="auto"/>
          <w:sz w:val="30"/>
          <w:szCs w:val="30"/>
        </w:rPr>
      </w:pPr>
    </w:p>
    <w:p>
      <w:pPr>
        <w:spacing w:line="600" w:lineRule="exact"/>
        <w:jc w:val="center"/>
        <w:rPr>
          <w:rFonts w:ascii="宋体" w:hAnsi="宋体" w:cs="宋体"/>
          <w:b/>
          <w:color w:val="auto"/>
          <w:sz w:val="30"/>
          <w:szCs w:val="30"/>
        </w:rPr>
      </w:pPr>
    </w:p>
    <w:p>
      <w:pPr>
        <w:rPr>
          <w:color w:val="auto"/>
        </w:rPr>
      </w:pPr>
    </w:p>
    <w:p>
      <w:pPr>
        <w:pStyle w:val="16"/>
        <w:rPr>
          <w:color w:val="auto"/>
        </w:rPr>
      </w:pPr>
    </w:p>
    <w:tbl>
      <w:tblPr>
        <w:tblStyle w:val="58"/>
        <w:tblW w:w="0" w:type="auto"/>
        <w:jc w:val="center"/>
        <w:tblLayout w:type="fixed"/>
        <w:tblCellMar>
          <w:top w:w="0" w:type="dxa"/>
          <w:left w:w="108" w:type="dxa"/>
          <w:bottom w:w="0" w:type="dxa"/>
          <w:right w:w="108" w:type="dxa"/>
        </w:tblCellMar>
      </w:tblPr>
      <w:tblGrid>
        <w:gridCol w:w="1342"/>
        <w:gridCol w:w="236"/>
        <w:gridCol w:w="4542"/>
      </w:tblGrid>
      <w:tr>
        <w:tblPrEx>
          <w:tblCellMar>
            <w:top w:w="0" w:type="dxa"/>
            <w:left w:w="108" w:type="dxa"/>
            <w:bottom w:w="0" w:type="dxa"/>
            <w:right w:w="108" w:type="dxa"/>
          </w:tblCellMar>
        </w:tblPrEx>
        <w:trPr>
          <w:trHeight w:val="707" w:hRule="atLeast"/>
          <w:jc w:val="center"/>
        </w:trPr>
        <w:tc>
          <w:tcPr>
            <w:tcW w:w="1342" w:type="dxa"/>
            <w:noWrap/>
            <w:vAlign w:val="center"/>
          </w:tcPr>
          <w:p>
            <w:pPr>
              <w:jc w:val="distribute"/>
              <w:rPr>
                <w:rFonts w:ascii="宋体" w:hAnsi="宋体" w:cs="宋体"/>
                <w:b/>
                <w:color w:val="auto"/>
                <w:sz w:val="28"/>
                <w:szCs w:val="28"/>
              </w:rPr>
            </w:pPr>
            <w:r>
              <w:rPr>
                <w:rFonts w:hint="eastAsia" w:ascii="宋体" w:hAnsi="宋体" w:cs="宋体"/>
                <w:b/>
                <w:color w:val="auto"/>
                <w:sz w:val="28"/>
                <w:szCs w:val="28"/>
              </w:rPr>
              <w:t>采购人</w:t>
            </w:r>
          </w:p>
        </w:tc>
        <w:tc>
          <w:tcPr>
            <w:tcW w:w="236" w:type="dxa"/>
            <w:noWrap/>
            <w:vAlign w:val="center"/>
          </w:tcPr>
          <w:p>
            <w:pPr>
              <w:jc w:val="distribute"/>
              <w:rPr>
                <w:rFonts w:ascii="宋体" w:hAnsi="宋体" w:cs="宋体"/>
                <w:b/>
                <w:color w:val="auto"/>
                <w:sz w:val="28"/>
                <w:szCs w:val="28"/>
              </w:rPr>
            </w:pPr>
            <w:r>
              <w:rPr>
                <w:rFonts w:hint="eastAsia" w:ascii="宋体" w:hAnsi="宋体" w:cs="宋体"/>
                <w:b/>
                <w:color w:val="auto"/>
                <w:sz w:val="28"/>
                <w:szCs w:val="28"/>
              </w:rPr>
              <w:t>：</w:t>
            </w:r>
          </w:p>
        </w:tc>
        <w:tc>
          <w:tcPr>
            <w:tcW w:w="4542" w:type="dxa"/>
            <w:noWrap/>
            <w:vAlign w:val="center"/>
          </w:tcPr>
          <w:p>
            <w:pPr>
              <w:jc w:val="distribute"/>
              <w:rPr>
                <w:rFonts w:ascii="宋体" w:hAnsi="宋体" w:cs="宋体"/>
                <w:b/>
                <w:color w:val="auto"/>
                <w:sz w:val="28"/>
                <w:szCs w:val="28"/>
              </w:rPr>
            </w:pPr>
            <w:r>
              <w:rPr>
                <w:rFonts w:hint="eastAsia" w:ascii="宋体" w:hAnsi="宋体" w:cs="宋体"/>
                <w:b/>
                <w:color w:val="auto"/>
                <w:sz w:val="28"/>
                <w:szCs w:val="28"/>
              </w:rPr>
              <w:t>温州市交通运输局</w:t>
            </w:r>
          </w:p>
        </w:tc>
      </w:tr>
      <w:tr>
        <w:tblPrEx>
          <w:tblCellMar>
            <w:top w:w="0" w:type="dxa"/>
            <w:left w:w="108" w:type="dxa"/>
            <w:bottom w:w="0" w:type="dxa"/>
            <w:right w:w="108" w:type="dxa"/>
          </w:tblCellMar>
        </w:tblPrEx>
        <w:trPr>
          <w:trHeight w:val="707" w:hRule="atLeast"/>
          <w:jc w:val="center"/>
        </w:trPr>
        <w:tc>
          <w:tcPr>
            <w:tcW w:w="1342" w:type="dxa"/>
            <w:noWrap/>
            <w:vAlign w:val="center"/>
          </w:tcPr>
          <w:p>
            <w:pPr>
              <w:jc w:val="distribute"/>
              <w:rPr>
                <w:rFonts w:ascii="宋体" w:hAnsi="宋体" w:cs="宋体"/>
                <w:b/>
                <w:color w:val="auto"/>
                <w:sz w:val="28"/>
                <w:szCs w:val="28"/>
              </w:rPr>
            </w:pPr>
            <w:r>
              <w:rPr>
                <w:rFonts w:hint="eastAsia" w:ascii="宋体" w:hAnsi="宋体" w:cs="宋体"/>
                <w:b/>
                <w:color w:val="auto"/>
                <w:sz w:val="28"/>
                <w:szCs w:val="28"/>
              </w:rPr>
              <w:t>代理机构</w:t>
            </w:r>
          </w:p>
        </w:tc>
        <w:tc>
          <w:tcPr>
            <w:tcW w:w="236" w:type="dxa"/>
            <w:noWrap/>
            <w:vAlign w:val="center"/>
          </w:tcPr>
          <w:p>
            <w:pPr>
              <w:jc w:val="distribute"/>
              <w:rPr>
                <w:rFonts w:ascii="宋体" w:hAnsi="宋体" w:cs="宋体"/>
                <w:b/>
                <w:color w:val="auto"/>
                <w:sz w:val="28"/>
                <w:szCs w:val="28"/>
              </w:rPr>
            </w:pPr>
            <w:r>
              <w:rPr>
                <w:rFonts w:hint="eastAsia" w:ascii="宋体" w:hAnsi="宋体" w:cs="宋体"/>
                <w:b/>
                <w:color w:val="auto"/>
                <w:sz w:val="28"/>
                <w:szCs w:val="28"/>
              </w:rPr>
              <w:t>：</w:t>
            </w:r>
          </w:p>
        </w:tc>
        <w:tc>
          <w:tcPr>
            <w:tcW w:w="4542" w:type="dxa"/>
            <w:noWrap/>
            <w:vAlign w:val="center"/>
          </w:tcPr>
          <w:p>
            <w:pPr>
              <w:jc w:val="distribute"/>
              <w:rPr>
                <w:rFonts w:ascii="宋体" w:hAnsi="宋体" w:cs="宋体"/>
                <w:b/>
                <w:color w:val="auto"/>
                <w:sz w:val="28"/>
                <w:szCs w:val="28"/>
              </w:rPr>
            </w:pPr>
            <w:r>
              <w:rPr>
                <w:rFonts w:hint="eastAsia" w:ascii="宋体" w:hAnsi="宋体" w:cs="宋体"/>
                <w:b/>
                <w:color w:val="auto"/>
                <w:sz w:val="28"/>
                <w:szCs w:val="28"/>
              </w:rPr>
              <w:t>温州市智信招标代理有限公司</w:t>
            </w:r>
          </w:p>
        </w:tc>
      </w:tr>
    </w:tbl>
    <w:p>
      <w:pPr>
        <w:spacing w:line="600" w:lineRule="exact"/>
        <w:jc w:val="center"/>
        <w:rPr>
          <w:rFonts w:ascii="宋体" w:hAnsi="宋体" w:cs="宋体"/>
          <w:b/>
          <w:color w:val="auto"/>
          <w:sz w:val="30"/>
          <w:szCs w:val="30"/>
        </w:rPr>
        <w:sectPr>
          <w:headerReference r:id="rId4" w:type="first"/>
          <w:headerReference r:id="rId3" w:type="default"/>
          <w:footerReference r:id="rId5" w:type="default"/>
          <w:footerReference r:id="rId6" w:type="even"/>
          <w:pgSz w:w="11906" w:h="16838"/>
          <w:pgMar w:top="1134" w:right="1134" w:bottom="1134" w:left="1134" w:header="851" w:footer="992" w:gutter="0"/>
          <w:pgNumType w:start="0"/>
          <w:cols w:space="720" w:num="1"/>
          <w:titlePg/>
          <w:docGrid w:linePitch="312" w:charSpace="0"/>
        </w:sectPr>
      </w:pPr>
      <w:r>
        <w:rPr>
          <w:rFonts w:hint="eastAsia" w:ascii="宋体" w:hAnsi="宋体" w:cs="宋体"/>
          <w:b/>
          <w:color w:val="auto"/>
          <w:sz w:val="30"/>
          <w:szCs w:val="30"/>
        </w:rPr>
        <w:t xml:space="preserve">     二○二四年</w:t>
      </w:r>
      <w:r>
        <w:rPr>
          <w:rFonts w:hint="eastAsia" w:ascii="宋体" w:hAnsi="宋体" w:cs="宋体"/>
          <w:b/>
          <w:color w:val="auto"/>
          <w:sz w:val="30"/>
          <w:szCs w:val="30"/>
          <w:lang w:val="en-US" w:eastAsia="zh-CN"/>
        </w:rPr>
        <w:t>三</w:t>
      </w:r>
      <w:r>
        <w:rPr>
          <w:rFonts w:hint="eastAsia" w:ascii="宋体" w:hAnsi="宋体" w:cs="宋体"/>
          <w:b/>
          <w:color w:val="auto"/>
          <w:sz w:val="30"/>
          <w:szCs w:val="30"/>
        </w:rPr>
        <w:t>月</w:t>
      </w:r>
    </w:p>
    <w:p>
      <w:pPr>
        <w:pStyle w:val="41"/>
        <w:tabs>
          <w:tab w:val="right" w:leader="dot" w:pos="9638"/>
        </w:tabs>
        <w:ind w:left="1030" w:hanging="1030"/>
        <w:jc w:val="center"/>
        <w:rPr>
          <w:rFonts w:ascii="宋体" w:hAnsi="宋体" w:eastAsia="宋体" w:cs="宋体"/>
          <w:b/>
          <w:bCs/>
          <w:color w:val="auto"/>
          <w:sz w:val="30"/>
          <w:szCs w:val="30"/>
        </w:rPr>
      </w:pPr>
      <w:r>
        <w:rPr>
          <w:rFonts w:hint="eastAsia" w:ascii="宋体" w:hAnsi="宋体" w:eastAsia="宋体" w:cs="宋体"/>
          <w:b/>
          <w:bCs/>
          <w:color w:val="auto"/>
          <w:sz w:val="30"/>
          <w:szCs w:val="30"/>
        </w:rPr>
        <w:t>目 录</w:t>
      </w:r>
    </w:p>
    <w:p>
      <w:pPr>
        <w:rPr>
          <w:rFonts w:ascii="宋体" w:hAnsi="宋体" w:cs="宋体"/>
          <w:color w:val="auto"/>
        </w:rPr>
      </w:pPr>
    </w:p>
    <w:p>
      <w:pPr>
        <w:pStyle w:val="41"/>
        <w:tabs>
          <w:tab w:val="right" w:leader="dot" w:pos="9628"/>
        </w:tabs>
        <w:spacing w:line="480" w:lineRule="auto"/>
        <w:ind w:left="824" w:hanging="824"/>
        <w:rPr>
          <w:rFonts w:ascii="新宋体" w:hAnsi="新宋体" w:eastAsia="新宋体" w:cs="Times New Roman"/>
          <w:color w:val="auto"/>
          <w:sz w:val="24"/>
        </w:rPr>
      </w:pPr>
      <w:r>
        <w:rPr>
          <w:rFonts w:hint="eastAsia" w:ascii="新宋体" w:hAnsi="新宋体" w:eastAsia="新宋体" w:cs="宋体"/>
          <w:b/>
          <w:bCs/>
          <w:color w:val="auto"/>
          <w:sz w:val="24"/>
        </w:rPr>
        <w:fldChar w:fldCharType="begin"/>
      </w:r>
      <w:r>
        <w:rPr>
          <w:rFonts w:hint="eastAsia" w:ascii="新宋体" w:hAnsi="新宋体" w:eastAsia="新宋体" w:cs="宋体"/>
          <w:b/>
          <w:bCs/>
          <w:color w:val="auto"/>
          <w:sz w:val="24"/>
        </w:rPr>
        <w:instrText xml:space="preserve">TOC \o "1-3" \h \u </w:instrText>
      </w:r>
      <w:r>
        <w:rPr>
          <w:rFonts w:hint="eastAsia" w:ascii="新宋体" w:hAnsi="新宋体" w:eastAsia="新宋体" w:cs="宋体"/>
          <w:b/>
          <w:bCs/>
          <w:color w:val="auto"/>
          <w:sz w:val="24"/>
        </w:rPr>
        <w:fldChar w:fldCharType="separate"/>
      </w:r>
      <w:r>
        <w:rPr>
          <w:color w:val="auto"/>
        </w:rPr>
        <w:fldChar w:fldCharType="begin"/>
      </w:r>
      <w:r>
        <w:rPr>
          <w:color w:val="auto"/>
        </w:rPr>
        <w:instrText xml:space="preserve"> HYPERLINK \l "_Toc58406681" </w:instrText>
      </w:r>
      <w:r>
        <w:rPr>
          <w:color w:val="auto"/>
        </w:rPr>
        <w:fldChar w:fldCharType="separate"/>
      </w:r>
      <w:r>
        <w:rPr>
          <w:rStyle w:val="70"/>
          <w:rFonts w:hint="eastAsia" w:ascii="新宋体" w:hAnsi="新宋体" w:eastAsia="新宋体" w:cs="宋体"/>
          <w:color w:val="auto"/>
          <w:sz w:val="24"/>
          <w:szCs w:val="24"/>
        </w:rPr>
        <w:t>第一部分投标人须知</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_Toc58406681 \h </w:instrText>
      </w:r>
      <w:r>
        <w:rPr>
          <w:rFonts w:ascii="新宋体" w:hAnsi="新宋体" w:eastAsia="新宋体"/>
          <w:color w:val="auto"/>
          <w:sz w:val="24"/>
        </w:rPr>
        <w:fldChar w:fldCharType="separate"/>
      </w:r>
      <w:r>
        <w:rPr>
          <w:rFonts w:ascii="新宋体" w:hAnsi="新宋体" w:eastAsia="新宋体"/>
          <w:color w:val="auto"/>
          <w:sz w:val="24"/>
        </w:rPr>
        <w:t>2</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1"/>
        <w:tabs>
          <w:tab w:val="right" w:leader="dot" w:pos="9628"/>
        </w:tabs>
        <w:spacing w:line="480" w:lineRule="auto"/>
        <w:rPr>
          <w:rFonts w:ascii="新宋体" w:hAnsi="新宋体" w:eastAsia="新宋体" w:cs="Times New Roman"/>
          <w:color w:val="auto"/>
          <w:sz w:val="24"/>
        </w:rPr>
      </w:pPr>
      <w:r>
        <w:rPr>
          <w:color w:val="auto"/>
        </w:rPr>
        <w:fldChar w:fldCharType="begin"/>
      </w:r>
      <w:r>
        <w:rPr>
          <w:color w:val="auto"/>
        </w:rPr>
        <w:instrText xml:space="preserve"> HYPERLINK \l "_Toc58406682" </w:instrText>
      </w:r>
      <w:r>
        <w:rPr>
          <w:color w:val="auto"/>
        </w:rPr>
        <w:fldChar w:fldCharType="separate"/>
      </w:r>
      <w:r>
        <w:rPr>
          <w:rStyle w:val="70"/>
          <w:rFonts w:hint="eastAsia" w:ascii="新宋体" w:hAnsi="新宋体" w:eastAsia="新宋体" w:cs="宋体"/>
          <w:color w:val="auto"/>
          <w:sz w:val="24"/>
          <w:szCs w:val="24"/>
        </w:rPr>
        <w:t>投标人须知前附表</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_Toc58406682 \h </w:instrText>
      </w:r>
      <w:r>
        <w:rPr>
          <w:rFonts w:ascii="新宋体" w:hAnsi="新宋体" w:eastAsia="新宋体"/>
          <w:color w:val="auto"/>
          <w:sz w:val="24"/>
        </w:rPr>
        <w:fldChar w:fldCharType="separate"/>
      </w:r>
      <w:r>
        <w:rPr>
          <w:rFonts w:ascii="新宋体" w:hAnsi="新宋体" w:eastAsia="新宋体"/>
          <w:color w:val="auto"/>
          <w:sz w:val="24"/>
        </w:rPr>
        <w:t>2</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9"/>
        <w:tabs>
          <w:tab w:val="right" w:leader="dot" w:pos="9628"/>
        </w:tabs>
        <w:spacing w:line="480" w:lineRule="auto"/>
        <w:rPr>
          <w:rFonts w:ascii="新宋体" w:hAnsi="新宋体" w:eastAsia="新宋体"/>
          <w:color w:val="auto"/>
          <w:sz w:val="24"/>
        </w:rPr>
      </w:pPr>
      <w:r>
        <w:rPr>
          <w:color w:val="auto"/>
        </w:rPr>
        <w:fldChar w:fldCharType="begin"/>
      </w:r>
      <w:r>
        <w:rPr>
          <w:color w:val="auto"/>
        </w:rPr>
        <w:instrText xml:space="preserve"> HYPERLINK \l "_Toc58406683" </w:instrText>
      </w:r>
      <w:r>
        <w:rPr>
          <w:color w:val="auto"/>
        </w:rPr>
        <w:fldChar w:fldCharType="separate"/>
      </w:r>
      <w:r>
        <w:rPr>
          <w:rStyle w:val="70"/>
          <w:rFonts w:hint="eastAsia" w:ascii="新宋体" w:hAnsi="新宋体" w:eastAsia="新宋体" w:cs="宋体"/>
          <w:color w:val="auto"/>
          <w:sz w:val="24"/>
          <w:szCs w:val="24"/>
        </w:rPr>
        <w:t>一、说明</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_Toc58406683 \h </w:instrText>
      </w:r>
      <w:r>
        <w:rPr>
          <w:rFonts w:ascii="新宋体" w:hAnsi="新宋体" w:eastAsia="新宋体"/>
          <w:color w:val="auto"/>
          <w:sz w:val="24"/>
        </w:rPr>
        <w:fldChar w:fldCharType="separate"/>
      </w:r>
      <w:r>
        <w:rPr>
          <w:rFonts w:ascii="新宋体" w:hAnsi="新宋体" w:eastAsia="新宋体"/>
          <w:color w:val="auto"/>
          <w:sz w:val="24"/>
        </w:rPr>
        <w:t>7</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9"/>
        <w:tabs>
          <w:tab w:val="right" w:leader="dot" w:pos="9628"/>
        </w:tabs>
        <w:spacing w:line="480" w:lineRule="auto"/>
        <w:rPr>
          <w:rFonts w:ascii="新宋体" w:hAnsi="新宋体" w:eastAsia="新宋体"/>
          <w:color w:val="auto"/>
          <w:sz w:val="24"/>
        </w:rPr>
      </w:pPr>
      <w:r>
        <w:rPr>
          <w:color w:val="auto"/>
        </w:rPr>
        <w:fldChar w:fldCharType="begin"/>
      </w:r>
      <w:r>
        <w:rPr>
          <w:color w:val="auto"/>
        </w:rPr>
        <w:instrText xml:space="preserve"> HYPERLINK \l "_Toc58406684" </w:instrText>
      </w:r>
      <w:r>
        <w:rPr>
          <w:color w:val="auto"/>
        </w:rPr>
        <w:fldChar w:fldCharType="separate"/>
      </w:r>
      <w:r>
        <w:rPr>
          <w:rStyle w:val="70"/>
          <w:rFonts w:hint="eastAsia" w:ascii="新宋体" w:hAnsi="新宋体" w:eastAsia="新宋体" w:cs="宋体"/>
          <w:color w:val="auto"/>
          <w:sz w:val="24"/>
          <w:szCs w:val="24"/>
        </w:rPr>
        <w:t>二、采购文件</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_Toc58406684 \h </w:instrText>
      </w:r>
      <w:r>
        <w:rPr>
          <w:rFonts w:ascii="新宋体" w:hAnsi="新宋体" w:eastAsia="新宋体"/>
          <w:color w:val="auto"/>
          <w:sz w:val="24"/>
        </w:rPr>
        <w:fldChar w:fldCharType="separate"/>
      </w:r>
      <w:r>
        <w:rPr>
          <w:rFonts w:ascii="新宋体" w:hAnsi="新宋体" w:eastAsia="新宋体"/>
          <w:color w:val="auto"/>
          <w:sz w:val="24"/>
        </w:rPr>
        <w:t>8</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9"/>
        <w:tabs>
          <w:tab w:val="right" w:leader="dot" w:pos="9628"/>
        </w:tabs>
        <w:spacing w:line="480" w:lineRule="auto"/>
        <w:rPr>
          <w:rFonts w:ascii="新宋体" w:hAnsi="新宋体" w:eastAsia="新宋体"/>
          <w:color w:val="auto"/>
          <w:sz w:val="24"/>
        </w:rPr>
      </w:pPr>
      <w:r>
        <w:rPr>
          <w:color w:val="auto"/>
        </w:rPr>
        <w:fldChar w:fldCharType="begin"/>
      </w:r>
      <w:r>
        <w:rPr>
          <w:color w:val="auto"/>
        </w:rPr>
        <w:instrText xml:space="preserve"> HYPERLINK \l "_Toc58406685" </w:instrText>
      </w:r>
      <w:r>
        <w:rPr>
          <w:color w:val="auto"/>
        </w:rPr>
        <w:fldChar w:fldCharType="separate"/>
      </w:r>
      <w:r>
        <w:rPr>
          <w:rStyle w:val="70"/>
          <w:rFonts w:hint="eastAsia" w:ascii="新宋体" w:hAnsi="新宋体" w:eastAsia="新宋体" w:cs="宋体"/>
          <w:color w:val="auto"/>
          <w:sz w:val="24"/>
          <w:szCs w:val="24"/>
        </w:rPr>
        <w:t>三、投标文件的编制</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_Toc58406685 \h </w:instrText>
      </w:r>
      <w:r>
        <w:rPr>
          <w:rFonts w:ascii="新宋体" w:hAnsi="新宋体" w:eastAsia="新宋体"/>
          <w:color w:val="auto"/>
          <w:sz w:val="24"/>
        </w:rPr>
        <w:fldChar w:fldCharType="separate"/>
      </w:r>
      <w:r>
        <w:rPr>
          <w:rFonts w:ascii="新宋体" w:hAnsi="新宋体" w:eastAsia="新宋体"/>
          <w:color w:val="auto"/>
          <w:sz w:val="24"/>
        </w:rPr>
        <w:t>9</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9"/>
        <w:tabs>
          <w:tab w:val="right" w:leader="dot" w:pos="9628"/>
        </w:tabs>
        <w:spacing w:line="480" w:lineRule="auto"/>
        <w:rPr>
          <w:rFonts w:ascii="新宋体" w:hAnsi="新宋体" w:eastAsia="新宋体"/>
          <w:color w:val="auto"/>
          <w:sz w:val="24"/>
        </w:rPr>
      </w:pPr>
      <w:r>
        <w:rPr>
          <w:color w:val="auto"/>
        </w:rPr>
        <w:fldChar w:fldCharType="begin"/>
      </w:r>
      <w:r>
        <w:rPr>
          <w:color w:val="auto"/>
        </w:rPr>
        <w:instrText xml:space="preserve"> HYPERLINK \l "_Toc58406686" </w:instrText>
      </w:r>
      <w:r>
        <w:rPr>
          <w:color w:val="auto"/>
        </w:rPr>
        <w:fldChar w:fldCharType="separate"/>
      </w:r>
      <w:r>
        <w:rPr>
          <w:rStyle w:val="70"/>
          <w:rFonts w:hint="eastAsia" w:ascii="新宋体" w:hAnsi="新宋体" w:eastAsia="新宋体" w:cs="宋体"/>
          <w:color w:val="auto"/>
          <w:sz w:val="24"/>
          <w:szCs w:val="24"/>
        </w:rPr>
        <w:t>四、投标文件的递交</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_Toc58406686 \h </w:instrText>
      </w:r>
      <w:r>
        <w:rPr>
          <w:rFonts w:ascii="新宋体" w:hAnsi="新宋体" w:eastAsia="新宋体"/>
          <w:color w:val="auto"/>
          <w:sz w:val="24"/>
        </w:rPr>
        <w:fldChar w:fldCharType="separate"/>
      </w:r>
      <w:r>
        <w:rPr>
          <w:rFonts w:ascii="新宋体" w:hAnsi="新宋体" w:eastAsia="新宋体"/>
          <w:color w:val="auto"/>
          <w:sz w:val="24"/>
        </w:rPr>
        <w:t>12</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9"/>
        <w:tabs>
          <w:tab w:val="right" w:leader="dot" w:pos="9628"/>
        </w:tabs>
        <w:spacing w:line="480" w:lineRule="auto"/>
        <w:rPr>
          <w:rFonts w:ascii="新宋体" w:hAnsi="新宋体" w:eastAsia="新宋体"/>
          <w:color w:val="auto"/>
          <w:sz w:val="24"/>
        </w:rPr>
      </w:pPr>
      <w:r>
        <w:rPr>
          <w:color w:val="auto"/>
        </w:rPr>
        <w:fldChar w:fldCharType="begin"/>
      </w:r>
      <w:r>
        <w:rPr>
          <w:color w:val="auto"/>
        </w:rPr>
        <w:instrText xml:space="preserve"> HYPERLINK \l "_Toc58406687" </w:instrText>
      </w:r>
      <w:r>
        <w:rPr>
          <w:color w:val="auto"/>
        </w:rPr>
        <w:fldChar w:fldCharType="separate"/>
      </w:r>
      <w:r>
        <w:rPr>
          <w:rStyle w:val="70"/>
          <w:rFonts w:hint="eastAsia" w:ascii="新宋体" w:hAnsi="新宋体" w:eastAsia="新宋体" w:cs="宋体"/>
          <w:color w:val="auto"/>
          <w:sz w:val="24"/>
          <w:szCs w:val="24"/>
        </w:rPr>
        <w:t>五、开标</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_Toc58406687 \h </w:instrText>
      </w:r>
      <w:r>
        <w:rPr>
          <w:rFonts w:ascii="新宋体" w:hAnsi="新宋体" w:eastAsia="新宋体"/>
          <w:color w:val="auto"/>
          <w:sz w:val="24"/>
        </w:rPr>
        <w:fldChar w:fldCharType="separate"/>
      </w:r>
      <w:r>
        <w:rPr>
          <w:rFonts w:ascii="新宋体" w:hAnsi="新宋体" w:eastAsia="新宋体"/>
          <w:color w:val="auto"/>
          <w:sz w:val="24"/>
        </w:rPr>
        <w:t>13</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9"/>
        <w:tabs>
          <w:tab w:val="right" w:leader="dot" w:pos="9628"/>
        </w:tabs>
        <w:spacing w:line="480" w:lineRule="auto"/>
        <w:rPr>
          <w:rFonts w:ascii="新宋体" w:hAnsi="新宋体" w:eastAsia="新宋体"/>
          <w:color w:val="auto"/>
          <w:sz w:val="24"/>
        </w:rPr>
      </w:pPr>
      <w:r>
        <w:rPr>
          <w:color w:val="auto"/>
        </w:rPr>
        <w:fldChar w:fldCharType="begin"/>
      </w:r>
      <w:r>
        <w:rPr>
          <w:color w:val="auto"/>
        </w:rPr>
        <w:instrText xml:space="preserve"> HYPERLINK \l "_Toc58406688" </w:instrText>
      </w:r>
      <w:r>
        <w:rPr>
          <w:color w:val="auto"/>
        </w:rPr>
        <w:fldChar w:fldCharType="separate"/>
      </w:r>
      <w:r>
        <w:rPr>
          <w:rStyle w:val="70"/>
          <w:rFonts w:hint="eastAsia" w:ascii="新宋体" w:hAnsi="新宋体" w:eastAsia="新宋体" w:cs="宋体"/>
          <w:color w:val="auto"/>
          <w:sz w:val="24"/>
          <w:szCs w:val="24"/>
        </w:rPr>
        <w:t>六、评标</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_Toc58406688 \h </w:instrText>
      </w:r>
      <w:r>
        <w:rPr>
          <w:rFonts w:ascii="新宋体" w:hAnsi="新宋体" w:eastAsia="新宋体"/>
          <w:color w:val="auto"/>
          <w:sz w:val="24"/>
        </w:rPr>
        <w:fldChar w:fldCharType="separate"/>
      </w:r>
      <w:r>
        <w:rPr>
          <w:rFonts w:ascii="新宋体" w:hAnsi="新宋体" w:eastAsia="新宋体"/>
          <w:color w:val="auto"/>
          <w:sz w:val="24"/>
        </w:rPr>
        <w:t>14</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9"/>
        <w:tabs>
          <w:tab w:val="right" w:leader="dot" w:pos="9628"/>
        </w:tabs>
        <w:spacing w:line="480" w:lineRule="auto"/>
        <w:rPr>
          <w:rFonts w:ascii="新宋体" w:hAnsi="新宋体" w:eastAsia="新宋体"/>
          <w:color w:val="auto"/>
          <w:sz w:val="24"/>
        </w:rPr>
      </w:pPr>
      <w:r>
        <w:rPr>
          <w:color w:val="auto"/>
        </w:rPr>
        <w:fldChar w:fldCharType="begin"/>
      </w:r>
      <w:r>
        <w:rPr>
          <w:color w:val="auto"/>
        </w:rPr>
        <w:instrText xml:space="preserve"> HYPERLINK \l "_Toc58406689" </w:instrText>
      </w:r>
      <w:r>
        <w:rPr>
          <w:color w:val="auto"/>
        </w:rPr>
        <w:fldChar w:fldCharType="separate"/>
      </w:r>
      <w:r>
        <w:rPr>
          <w:rStyle w:val="70"/>
          <w:rFonts w:hint="eastAsia" w:ascii="新宋体" w:hAnsi="新宋体" w:eastAsia="新宋体" w:cs="宋体"/>
          <w:color w:val="auto"/>
          <w:sz w:val="24"/>
          <w:szCs w:val="24"/>
        </w:rPr>
        <w:t>七、授予合同</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_Toc58406689 \h </w:instrText>
      </w:r>
      <w:r>
        <w:rPr>
          <w:rFonts w:ascii="新宋体" w:hAnsi="新宋体" w:eastAsia="新宋体"/>
          <w:color w:val="auto"/>
          <w:sz w:val="24"/>
        </w:rPr>
        <w:fldChar w:fldCharType="separate"/>
      </w:r>
      <w:r>
        <w:rPr>
          <w:rFonts w:ascii="新宋体" w:hAnsi="新宋体" w:eastAsia="新宋体"/>
          <w:color w:val="auto"/>
          <w:sz w:val="24"/>
        </w:rPr>
        <w:t>18</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1"/>
        <w:tabs>
          <w:tab w:val="right" w:leader="dot" w:pos="9628"/>
        </w:tabs>
        <w:spacing w:line="480" w:lineRule="auto"/>
        <w:rPr>
          <w:rFonts w:ascii="新宋体" w:hAnsi="新宋体" w:eastAsia="新宋体" w:cs="Times New Roman"/>
          <w:color w:val="auto"/>
          <w:sz w:val="24"/>
        </w:rPr>
      </w:pPr>
      <w:r>
        <w:rPr>
          <w:color w:val="auto"/>
        </w:rPr>
        <w:fldChar w:fldCharType="begin"/>
      </w:r>
      <w:r>
        <w:rPr>
          <w:color w:val="auto"/>
        </w:rPr>
        <w:instrText xml:space="preserve"> HYPERLINK \l "_Toc58406690" </w:instrText>
      </w:r>
      <w:r>
        <w:rPr>
          <w:color w:val="auto"/>
        </w:rPr>
        <w:fldChar w:fldCharType="separate"/>
      </w:r>
      <w:r>
        <w:rPr>
          <w:rStyle w:val="70"/>
          <w:rFonts w:hint="eastAsia" w:ascii="新宋体" w:hAnsi="新宋体" w:eastAsia="新宋体" w:cs="宋体"/>
          <w:color w:val="auto"/>
          <w:sz w:val="24"/>
          <w:szCs w:val="24"/>
        </w:rPr>
        <w:t>第二部分政府采购</w:t>
      </w:r>
      <w:r>
        <w:rPr>
          <w:rStyle w:val="70"/>
          <w:rFonts w:hint="eastAsia" w:ascii="新宋体" w:hAnsi="新宋体" w:eastAsia="新宋体" w:cs="宋体"/>
          <w:color w:val="auto"/>
          <w:sz w:val="24"/>
          <w:szCs w:val="24"/>
          <w:highlight w:val="none"/>
        </w:rPr>
        <w:t>政策功能相</w:t>
      </w:r>
      <w:r>
        <w:rPr>
          <w:rStyle w:val="70"/>
          <w:rFonts w:hint="eastAsia" w:ascii="新宋体" w:hAnsi="新宋体" w:eastAsia="新宋体" w:cs="宋体"/>
          <w:color w:val="auto"/>
          <w:sz w:val="24"/>
          <w:szCs w:val="24"/>
        </w:rPr>
        <w:t>关说明</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_Toc58406690 \h </w:instrText>
      </w:r>
      <w:r>
        <w:rPr>
          <w:rFonts w:ascii="新宋体" w:hAnsi="新宋体" w:eastAsia="新宋体"/>
          <w:color w:val="auto"/>
          <w:sz w:val="24"/>
        </w:rPr>
        <w:fldChar w:fldCharType="separate"/>
      </w:r>
      <w:r>
        <w:rPr>
          <w:rFonts w:ascii="新宋体" w:hAnsi="新宋体" w:eastAsia="新宋体"/>
          <w:color w:val="auto"/>
          <w:sz w:val="24"/>
        </w:rPr>
        <w:t>20</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1"/>
        <w:tabs>
          <w:tab w:val="right" w:leader="dot" w:pos="9628"/>
        </w:tabs>
        <w:spacing w:line="480" w:lineRule="auto"/>
        <w:rPr>
          <w:rFonts w:ascii="新宋体" w:hAnsi="新宋体" w:eastAsia="新宋体" w:cs="Times New Roman"/>
          <w:color w:val="auto"/>
          <w:sz w:val="24"/>
        </w:rPr>
      </w:pPr>
      <w:r>
        <w:rPr>
          <w:color w:val="auto"/>
        </w:rPr>
        <w:fldChar w:fldCharType="begin"/>
      </w:r>
      <w:r>
        <w:rPr>
          <w:color w:val="auto"/>
        </w:rPr>
        <w:instrText xml:space="preserve"> HYPERLINK \l "_Toc58406691" </w:instrText>
      </w:r>
      <w:r>
        <w:rPr>
          <w:color w:val="auto"/>
        </w:rPr>
        <w:fldChar w:fldCharType="separate"/>
      </w:r>
      <w:r>
        <w:rPr>
          <w:rStyle w:val="70"/>
          <w:rFonts w:hint="eastAsia" w:ascii="新宋体" w:hAnsi="新宋体" w:eastAsia="新宋体" w:cs="宋体"/>
          <w:color w:val="auto"/>
          <w:sz w:val="24"/>
          <w:szCs w:val="24"/>
        </w:rPr>
        <w:t>第三部分合同条款及格式</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_Toc58406691 \h </w:instrText>
      </w:r>
      <w:r>
        <w:rPr>
          <w:rFonts w:ascii="新宋体" w:hAnsi="新宋体" w:eastAsia="新宋体"/>
          <w:color w:val="auto"/>
          <w:sz w:val="24"/>
        </w:rPr>
        <w:fldChar w:fldCharType="separate"/>
      </w:r>
      <w:r>
        <w:rPr>
          <w:rFonts w:ascii="新宋体" w:hAnsi="新宋体" w:eastAsia="新宋体"/>
          <w:color w:val="auto"/>
          <w:sz w:val="24"/>
        </w:rPr>
        <w:t>25</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1"/>
        <w:tabs>
          <w:tab w:val="right" w:leader="dot" w:pos="9628"/>
        </w:tabs>
        <w:spacing w:line="480" w:lineRule="auto"/>
        <w:rPr>
          <w:rFonts w:ascii="新宋体" w:hAnsi="新宋体" w:eastAsia="新宋体" w:cs="Times New Roman"/>
          <w:color w:val="auto"/>
          <w:sz w:val="24"/>
        </w:rPr>
      </w:pPr>
      <w:r>
        <w:rPr>
          <w:color w:val="auto"/>
        </w:rPr>
        <w:fldChar w:fldCharType="begin"/>
      </w:r>
      <w:r>
        <w:rPr>
          <w:color w:val="auto"/>
        </w:rPr>
        <w:instrText xml:space="preserve"> HYPERLINK \l "_Toc58406692" </w:instrText>
      </w:r>
      <w:r>
        <w:rPr>
          <w:color w:val="auto"/>
        </w:rPr>
        <w:fldChar w:fldCharType="separate"/>
      </w:r>
      <w:r>
        <w:rPr>
          <w:rStyle w:val="70"/>
          <w:rFonts w:hint="eastAsia" w:ascii="新宋体" w:hAnsi="新宋体" w:eastAsia="新宋体" w:cs="宋体"/>
          <w:color w:val="auto"/>
          <w:sz w:val="24"/>
          <w:szCs w:val="24"/>
        </w:rPr>
        <w:t>第四部分投标文件格式</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_Toc58406692 \h </w:instrText>
      </w:r>
      <w:r>
        <w:rPr>
          <w:rFonts w:ascii="新宋体" w:hAnsi="新宋体" w:eastAsia="新宋体"/>
          <w:color w:val="auto"/>
          <w:sz w:val="24"/>
        </w:rPr>
        <w:fldChar w:fldCharType="separate"/>
      </w:r>
      <w:r>
        <w:rPr>
          <w:rFonts w:ascii="新宋体" w:hAnsi="新宋体" w:eastAsia="新宋体"/>
          <w:color w:val="auto"/>
          <w:sz w:val="24"/>
        </w:rPr>
        <w:t>31</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1"/>
        <w:tabs>
          <w:tab w:val="right" w:leader="dot" w:pos="9628"/>
        </w:tabs>
        <w:spacing w:line="480" w:lineRule="auto"/>
        <w:rPr>
          <w:rFonts w:ascii="新宋体" w:hAnsi="新宋体" w:eastAsia="新宋体" w:cs="Times New Roman"/>
          <w:color w:val="auto"/>
          <w:sz w:val="24"/>
        </w:rPr>
      </w:pPr>
      <w:r>
        <w:rPr>
          <w:color w:val="auto"/>
        </w:rPr>
        <w:fldChar w:fldCharType="begin"/>
      </w:r>
      <w:r>
        <w:rPr>
          <w:color w:val="auto"/>
        </w:rPr>
        <w:instrText xml:space="preserve"> HYPERLINK \l "_Toc58406693" </w:instrText>
      </w:r>
      <w:r>
        <w:rPr>
          <w:color w:val="auto"/>
        </w:rPr>
        <w:fldChar w:fldCharType="separate"/>
      </w:r>
      <w:r>
        <w:rPr>
          <w:rStyle w:val="70"/>
          <w:rFonts w:hint="eastAsia" w:ascii="新宋体" w:hAnsi="新宋体" w:eastAsia="新宋体" w:cs="宋体"/>
          <w:color w:val="auto"/>
          <w:sz w:val="24"/>
          <w:szCs w:val="24"/>
        </w:rPr>
        <w:t>第五部分采购内容及要求</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_Toc58406693 \h </w:instrText>
      </w:r>
      <w:r>
        <w:rPr>
          <w:rFonts w:ascii="新宋体" w:hAnsi="新宋体" w:eastAsia="新宋体"/>
          <w:color w:val="auto"/>
          <w:sz w:val="24"/>
        </w:rPr>
        <w:fldChar w:fldCharType="separate"/>
      </w:r>
      <w:r>
        <w:rPr>
          <w:rFonts w:ascii="新宋体" w:hAnsi="新宋体" w:eastAsia="新宋体"/>
          <w:color w:val="auto"/>
          <w:sz w:val="24"/>
        </w:rPr>
        <w:t>47</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41"/>
        <w:tabs>
          <w:tab w:val="right" w:leader="dot" w:pos="9628"/>
        </w:tabs>
        <w:spacing w:line="480" w:lineRule="auto"/>
        <w:rPr>
          <w:rFonts w:ascii="新宋体" w:hAnsi="新宋体" w:eastAsia="新宋体" w:cs="Times New Roman"/>
          <w:color w:val="auto"/>
          <w:sz w:val="24"/>
        </w:rPr>
      </w:pPr>
      <w:r>
        <w:rPr>
          <w:color w:val="auto"/>
        </w:rPr>
        <w:fldChar w:fldCharType="begin"/>
      </w:r>
      <w:r>
        <w:rPr>
          <w:color w:val="auto"/>
        </w:rPr>
        <w:instrText xml:space="preserve"> HYPERLINK \l "_Toc58406694" </w:instrText>
      </w:r>
      <w:r>
        <w:rPr>
          <w:color w:val="auto"/>
        </w:rPr>
        <w:fldChar w:fldCharType="separate"/>
      </w:r>
      <w:r>
        <w:rPr>
          <w:rStyle w:val="70"/>
          <w:rFonts w:hint="eastAsia" w:ascii="新宋体" w:hAnsi="新宋体" w:eastAsia="新宋体" w:cs="宋体"/>
          <w:color w:val="auto"/>
          <w:sz w:val="24"/>
          <w:szCs w:val="24"/>
        </w:rPr>
        <w:t>第六部分评标原则及方法</w:t>
      </w:r>
      <w:r>
        <w:rPr>
          <w:rFonts w:ascii="新宋体" w:hAnsi="新宋体" w:eastAsia="新宋体"/>
          <w:color w:val="auto"/>
          <w:sz w:val="24"/>
        </w:rPr>
        <w:tab/>
      </w:r>
      <w:r>
        <w:rPr>
          <w:rFonts w:ascii="新宋体" w:hAnsi="新宋体" w:eastAsia="新宋体"/>
          <w:color w:val="auto"/>
          <w:sz w:val="24"/>
        </w:rPr>
        <w:fldChar w:fldCharType="begin"/>
      </w:r>
      <w:r>
        <w:rPr>
          <w:rFonts w:ascii="新宋体" w:hAnsi="新宋体" w:eastAsia="新宋体"/>
          <w:color w:val="auto"/>
          <w:sz w:val="24"/>
        </w:rPr>
        <w:instrText xml:space="preserve"> PAGEREF _Toc58406694 \h </w:instrText>
      </w:r>
      <w:r>
        <w:rPr>
          <w:rFonts w:ascii="新宋体" w:hAnsi="新宋体" w:eastAsia="新宋体"/>
          <w:color w:val="auto"/>
          <w:sz w:val="24"/>
        </w:rPr>
        <w:fldChar w:fldCharType="separate"/>
      </w:r>
      <w:r>
        <w:rPr>
          <w:rFonts w:ascii="新宋体" w:hAnsi="新宋体" w:eastAsia="新宋体"/>
          <w:color w:val="auto"/>
          <w:sz w:val="24"/>
        </w:rPr>
        <w:t>94</w:t>
      </w:r>
      <w:r>
        <w:rPr>
          <w:rFonts w:ascii="新宋体" w:hAnsi="新宋体" w:eastAsia="新宋体"/>
          <w:color w:val="auto"/>
          <w:sz w:val="24"/>
        </w:rPr>
        <w:fldChar w:fldCharType="end"/>
      </w:r>
      <w:r>
        <w:rPr>
          <w:rFonts w:ascii="新宋体" w:hAnsi="新宋体" w:eastAsia="新宋体"/>
          <w:color w:val="auto"/>
          <w:sz w:val="24"/>
        </w:rPr>
        <w:fldChar w:fldCharType="end"/>
      </w:r>
    </w:p>
    <w:p>
      <w:pPr>
        <w:pStyle w:val="24"/>
        <w:ind w:firstLine="241"/>
        <w:rPr>
          <w:rFonts w:ascii="宋体" w:hAnsi="宋体" w:cs="宋体"/>
          <w:b w:val="0"/>
          <w:bCs/>
          <w:color w:val="auto"/>
          <w:szCs w:val="21"/>
        </w:rPr>
      </w:pPr>
      <w:r>
        <w:rPr>
          <w:rFonts w:hint="eastAsia" w:ascii="新宋体" w:hAnsi="新宋体" w:eastAsia="新宋体" w:cs="宋体"/>
          <w:bCs/>
          <w:color w:val="auto"/>
          <w:sz w:val="24"/>
        </w:rPr>
        <w:fldChar w:fldCharType="end"/>
      </w:r>
    </w:p>
    <w:p>
      <w:pPr>
        <w:pStyle w:val="24"/>
        <w:ind w:firstLine="320"/>
        <w:rPr>
          <w:rFonts w:ascii="宋体" w:hAnsi="宋体" w:cs="宋体"/>
          <w:b w:val="0"/>
          <w:bCs/>
          <w:color w:val="auto"/>
          <w:szCs w:val="21"/>
        </w:rPr>
      </w:pPr>
    </w:p>
    <w:p>
      <w:pPr>
        <w:pStyle w:val="24"/>
        <w:ind w:firstLine="320"/>
        <w:rPr>
          <w:rFonts w:ascii="宋体" w:hAnsi="宋体" w:cs="宋体"/>
          <w:b w:val="0"/>
          <w:bCs/>
          <w:color w:val="auto"/>
          <w:szCs w:val="21"/>
        </w:rPr>
      </w:pPr>
    </w:p>
    <w:p>
      <w:pPr>
        <w:pStyle w:val="24"/>
        <w:ind w:firstLine="320"/>
        <w:rPr>
          <w:rFonts w:ascii="宋体" w:hAnsi="宋体" w:cs="宋体"/>
          <w:b w:val="0"/>
          <w:bCs/>
          <w:color w:val="auto"/>
          <w:szCs w:val="21"/>
        </w:rPr>
      </w:pPr>
    </w:p>
    <w:p>
      <w:pPr>
        <w:pStyle w:val="24"/>
        <w:ind w:firstLine="320"/>
        <w:rPr>
          <w:rFonts w:ascii="宋体" w:hAnsi="宋体" w:cs="宋体"/>
          <w:b w:val="0"/>
          <w:bCs/>
          <w:color w:val="auto"/>
          <w:szCs w:val="21"/>
        </w:rPr>
      </w:pPr>
    </w:p>
    <w:p>
      <w:pPr>
        <w:pStyle w:val="24"/>
        <w:ind w:firstLine="320"/>
        <w:rPr>
          <w:rFonts w:ascii="宋体" w:hAnsi="宋体" w:cs="宋体"/>
          <w:b w:val="0"/>
          <w:bCs/>
          <w:color w:val="auto"/>
          <w:szCs w:val="21"/>
        </w:rPr>
      </w:pPr>
    </w:p>
    <w:p>
      <w:pPr>
        <w:pStyle w:val="4"/>
        <w:rPr>
          <w:rFonts w:ascii="宋体" w:hAnsi="宋体" w:eastAsia="宋体" w:cs="宋体"/>
          <w:color w:val="auto"/>
          <w:sz w:val="36"/>
          <w:szCs w:val="36"/>
        </w:rPr>
      </w:pPr>
      <w:bookmarkStart w:id="0" w:name="_Toc32301"/>
      <w:r>
        <w:rPr>
          <w:rFonts w:hint="eastAsia" w:ascii="宋体" w:hAnsi="宋体" w:eastAsia="宋体" w:cs="宋体"/>
          <w:color w:val="auto"/>
          <w:sz w:val="36"/>
          <w:szCs w:val="36"/>
        </w:rPr>
        <w:br w:type="page"/>
      </w:r>
      <w:bookmarkStart w:id="1" w:name="_Toc58406681"/>
      <w:r>
        <w:rPr>
          <w:rFonts w:hint="eastAsia" w:ascii="宋体" w:hAnsi="宋体" w:eastAsia="宋体" w:cs="宋体"/>
          <w:color w:val="auto"/>
          <w:sz w:val="36"/>
          <w:szCs w:val="36"/>
        </w:rPr>
        <w:t>第一部分  投标人须知</w:t>
      </w:r>
      <w:bookmarkEnd w:id="1"/>
    </w:p>
    <w:p>
      <w:pPr>
        <w:pStyle w:val="4"/>
        <w:rPr>
          <w:rFonts w:ascii="宋体" w:hAnsi="宋体" w:eastAsia="宋体" w:cs="宋体"/>
          <w:color w:val="auto"/>
          <w:sz w:val="36"/>
          <w:szCs w:val="36"/>
        </w:rPr>
      </w:pPr>
      <w:bookmarkStart w:id="2" w:name="_Toc58406682"/>
      <w:r>
        <w:rPr>
          <w:rFonts w:hint="eastAsia" w:ascii="宋体" w:hAnsi="宋体" w:eastAsia="宋体" w:cs="宋体"/>
          <w:color w:val="auto"/>
          <w:sz w:val="36"/>
          <w:szCs w:val="36"/>
        </w:rPr>
        <w:t>投标人须知前附表</w:t>
      </w:r>
      <w:bookmarkEnd w:id="0"/>
      <w:bookmarkEnd w:id="2"/>
    </w:p>
    <w:tbl>
      <w:tblPr>
        <w:tblStyle w:val="58"/>
        <w:tblW w:w="10123" w:type="dxa"/>
        <w:jc w:val="center"/>
        <w:tblLayout w:type="fixed"/>
        <w:tblCellMar>
          <w:top w:w="0" w:type="dxa"/>
          <w:left w:w="108" w:type="dxa"/>
          <w:bottom w:w="0" w:type="dxa"/>
          <w:right w:w="108" w:type="dxa"/>
        </w:tblCellMar>
      </w:tblPr>
      <w:tblGrid>
        <w:gridCol w:w="667"/>
        <w:gridCol w:w="2037"/>
        <w:gridCol w:w="7419"/>
      </w:tblGrid>
      <w:tr>
        <w:tblPrEx>
          <w:tblCellMar>
            <w:top w:w="0" w:type="dxa"/>
            <w:left w:w="108" w:type="dxa"/>
            <w:bottom w:w="0" w:type="dxa"/>
            <w:right w:w="108" w:type="dxa"/>
          </w:tblCellMar>
        </w:tblPrEx>
        <w:trPr>
          <w:trHeight w:val="560" w:hRule="atLeast"/>
          <w:tblHeader/>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序号</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条款名称</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b/>
                <w:color w:val="auto"/>
                <w:kern w:val="0"/>
                <w:sz w:val="22"/>
                <w:szCs w:val="22"/>
              </w:rPr>
            </w:pPr>
            <w:r>
              <w:rPr>
                <w:rFonts w:hint="eastAsia" w:ascii="宋体" w:hAnsi="宋体" w:cs="宋体"/>
                <w:b/>
                <w:color w:val="auto"/>
                <w:kern w:val="0"/>
                <w:sz w:val="22"/>
                <w:szCs w:val="22"/>
              </w:rPr>
              <w:t>编列内容</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采购人</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采购人名称：温州市交通运输局</w:t>
            </w:r>
          </w:p>
          <w:p>
            <w:pPr>
              <w:spacing w:line="3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联系地址：浙江省温州市龙湾区新三路16号高新大厦</w:t>
            </w:r>
          </w:p>
          <w:p>
            <w:pPr>
              <w:spacing w:line="3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联系人：程先生</w:t>
            </w:r>
          </w:p>
          <w:p>
            <w:pPr>
              <w:spacing w:line="3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联系电话：0577-88869967</w:t>
            </w:r>
          </w:p>
          <w:p>
            <w:pPr>
              <w:spacing w:line="360" w:lineRule="exac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质疑联系人：赵先生</w:t>
            </w:r>
          </w:p>
          <w:p>
            <w:pPr>
              <w:spacing w:line="360" w:lineRule="exact"/>
              <w:rPr>
                <w:rFonts w:cs="宋体"/>
                <w:bCs/>
                <w:color w:val="auto"/>
                <w:kern w:val="0"/>
                <w:sz w:val="22"/>
                <w:szCs w:val="22"/>
                <w:highlight w:val="none"/>
              </w:rPr>
            </w:pPr>
            <w:r>
              <w:rPr>
                <w:rFonts w:hint="eastAsia" w:ascii="宋体" w:hAnsi="宋体" w:cs="宋体"/>
                <w:bCs/>
                <w:color w:val="auto"/>
                <w:kern w:val="0"/>
                <w:sz w:val="22"/>
                <w:szCs w:val="22"/>
                <w:highlight w:val="none"/>
              </w:rPr>
              <w:t>联系电话：0577-88607912</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采购代理机构</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color w:val="auto"/>
                <w:kern w:val="0"/>
                <w:sz w:val="22"/>
                <w:szCs w:val="22"/>
              </w:rPr>
            </w:pPr>
            <w:r>
              <w:rPr>
                <w:rFonts w:hint="eastAsia" w:ascii="宋体" w:hAnsi="宋体" w:cs="宋体"/>
                <w:bCs/>
                <w:color w:val="auto"/>
                <w:kern w:val="0"/>
                <w:sz w:val="22"/>
                <w:szCs w:val="22"/>
              </w:rPr>
              <w:t>采购代理机构名称：温州市智信招标代理有限公司</w:t>
            </w:r>
          </w:p>
          <w:p>
            <w:pPr>
              <w:spacing w:line="360" w:lineRule="exact"/>
              <w:rPr>
                <w:rFonts w:ascii="宋体" w:hAnsi="宋体" w:cs="宋体"/>
                <w:bCs/>
                <w:color w:val="auto"/>
                <w:kern w:val="0"/>
                <w:sz w:val="22"/>
                <w:szCs w:val="22"/>
              </w:rPr>
            </w:pPr>
            <w:r>
              <w:rPr>
                <w:rFonts w:hint="eastAsia" w:ascii="宋体" w:hAnsi="宋体" w:cs="宋体"/>
                <w:bCs/>
                <w:color w:val="auto"/>
                <w:kern w:val="0"/>
                <w:sz w:val="22"/>
                <w:szCs w:val="22"/>
              </w:rPr>
              <w:t>地 址：温州市瓯海区新桥街道高昂路1号牛山广场2号楼1409室</w:t>
            </w:r>
          </w:p>
          <w:p>
            <w:pPr>
              <w:spacing w:line="360" w:lineRule="exact"/>
              <w:rPr>
                <w:rFonts w:ascii="宋体" w:hAnsi="宋体" w:cs="宋体"/>
                <w:bCs/>
                <w:color w:val="auto"/>
                <w:kern w:val="0"/>
                <w:sz w:val="22"/>
                <w:szCs w:val="22"/>
              </w:rPr>
            </w:pPr>
            <w:r>
              <w:rPr>
                <w:rFonts w:hint="eastAsia" w:ascii="宋体" w:hAnsi="宋体" w:cs="宋体"/>
                <w:bCs/>
                <w:color w:val="auto"/>
                <w:kern w:val="0"/>
                <w:sz w:val="22"/>
                <w:szCs w:val="22"/>
              </w:rPr>
              <w:t>联系人：苏先生 、叶先生</w:t>
            </w:r>
          </w:p>
          <w:p>
            <w:pPr>
              <w:spacing w:line="360" w:lineRule="exact"/>
              <w:rPr>
                <w:rFonts w:ascii="宋体" w:hAnsi="宋体" w:cs="宋体"/>
                <w:bCs/>
                <w:color w:val="auto"/>
                <w:kern w:val="0"/>
                <w:sz w:val="22"/>
                <w:szCs w:val="22"/>
              </w:rPr>
            </w:pPr>
            <w:r>
              <w:rPr>
                <w:rFonts w:hint="eastAsia" w:ascii="宋体" w:hAnsi="宋体" w:cs="宋体"/>
                <w:bCs/>
                <w:color w:val="auto"/>
                <w:kern w:val="0"/>
                <w:sz w:val="22"/>
                <w:szCs w:val="22"/>
              </w:rPr>
              <w:t>联系电话：13626506308，13958779970</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项目名称及编号</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color w:val="auto"/>
                <w:kern w:val="0"/>
                <w:sz w:val="22"/>
                <w:szCs w:val="22"/>
              </w:rPr>
            </w:pPr>
            <w:r>
              <w:rPr>
                <w:rFonts w:hint="eastAsia" w:ascii="宋体" w:hAnsi="宋体" w:cs="宋体"/>
                <w:bCs/>
                <w:color w:val="auto"/>
                <w:kern w:val="0"/>
                <w:sz w:val="22"/>
                <w:szCs w:val="22"/>
              </w:rPr>
              <w:t>项目名称：交通基础设施硬件运维</w:t>
            </w:r>
          </w:p>
          <w:p>
            <w:pPr>
              <w:spacing w:line="360" w:lineRule="exact"/>
              <w:rPr>
                <w:rFonts w:ascii="宋体" w:hAnsi="宋体" w:cs="宋体"/>
                <w:bCs/>
                <w:color w:val="auto"/>
                <w:kern w:val="0"/>
                <w:sz w:val="22"/>
                <w:szCs w:val="22"/>
              </w:rPr>
            </w:pPr>
            <w:r>
              <w:rPr>
                <w:rFonts w:hint="eastAsia" w:ascii="宋体" w:hAnsi="宋体" w:cs="宋体"/>
                <w:bCs/>
                <w:color w:val="auto"/>
                <w:kern w:val="0"/>
                <w:sz w:val="22"/>
                <w:szCs w:val="22"/>
              </w:rPr>
              <w:t>项目编号：ZXZB-F20240130-YJYW</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采购内容</w:t>
            </w:r>
          </w:p>
        </w:tc>
        <w:tc>
          <w:tcPr>
            <w:tcW w:w="741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ind w:right="60"/>
              <w:jc w:val="left"/>
              <w:rPr>
                <w:rFonts w:ascii="宋体" w:hAnsi="宋体" w:cs="宋体"/>
                <w:color w:val="auto"/>
                <w:sz w:val="22"/>
                <w:szCs w:val="22"/>
              </w:rPr>
            </w:pPr>
            <w:r>
              <w:rPr>
                <w:rFonts w:hint="eastAsia" w:ascii="宋体" w:hAnsi="宋体" w:cs="宋体"/>
                <w:color w:val="auto"/>
                <w:sz w:val="22"/>
                <w:szCs w:val="22"/>
              </w:rPr>
              <w:t>温州市交通运输局交通基础设施硬件运维服务，详见采购文件相关部分。</w:t>
            </w:r>
          </w:p>
          <w:p>
            <w:pPr>
              <w:widowControl/>
              <w:spacing w:line="360" w:lineRule="exact"/>
              <w:ind w:right="60"/>
              <w:jc w:val="left"/>
              <w:rPr>
                <w:rFonts w:ascii="宋体" w:hAnsi="宋体" w:cs="宋体"/>
                <w:color w:val="auto"/>
                <w:sz w:val="22"/>
                <w:szCs w:val="22"/>
              </w:rPr>
            </w:pPr>
            <w:r>
              <w:rPr>
                <w:rFonts w:hint="eastAsia" w:ascii="宋体" w:hAnsi="宋体" w:cs="宋体"/>
                <w:color w:val="auto"/>
                <w:sz w:val="22"/>
                <w:szCs w:val="22"/>
              </w:rPr>
              <w:t>项目采购预算：216万元。</w:t>
            </w:r>
          </w:p>
        </w:tc>
      </w:tr>
      <w:tr>
        <w:tblPrEx>
          <w:tblCellMar>
            <w:top w:w="0" w:type="dxa"/>
            <w:left w:w="108" w:type="dxa"/>
            <w:bottom w:w="0" w:type="dxa"/>
            <w:right w:w="108" w:type="dxa"/>
          </w:tblCellMar>
        </w:tblPrEx>
        <w:trPr>
          <w:trHeight w:val="733"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项目服务期</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b/>
                <w:bCs/>
                <w:color w:val="auto"/>
                <w:kern w:val="0"/>
                <w:sz w:val="22"/>
                <w:szCs w:val="22"/>
              </w:rPr>
              <w:t>一年</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投标人资格要求</w:t>
            </w:r>
          </w:p>
        </w:tc>
        <w:tc>
          <w:tcPr>
            <w:tcW w:w="74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1.一般资格条件：</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1）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法律、行政法规规定的其他条件。</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（2）供应商未被列入失信被执行人名单、重大税收违法案件当事人名单、政府采购严重违法失信行为记录名单，信用信息以信用中国网站（www.creditchina.gov.cn）、中国政府采购网（www.ccgp.gov.cn）公布为准。</w:t>
            </w:r>
          </w:p>
          <w:p>
            <w:pPr>
              <w:rPr>
                <w:rFonts w:ascii="新宋体" w:hAnsi="新宋体" w:cs="新宋体"/>
                <w:color w:val="auto"/>
                <w:kern w:val="0"/>
                <w:sz w:val="22"/>
                <w:szCs w:val="22"/>
              </w:rPr>
            </w:pPr>
            <w:r>
              <w:rPr>
                <w:rFonts w:hint="eastAsia" w:ascii="新宋体" w:hAnsi="新宋体" w:eastAsia="新宋体" w:cs="新宋体"/>
                <w:color w:val="auto"/>
                <w:kern w:val="0"/>
                <w:sz w:val="22"/>
                <w:szCs w:val="22"/>
                <w:lang w:val="zh-CN"/>
              </w:rPr>
              <w:t>2.</w:t>
            </w:r>
            <w:r>
              <w:rPr>
                <w:rFonts w:hint="eastAsia" w:ascii="仿宋" w:hAnsi="仿宋"/>
                <w:color w:val="auto"/>
                <w:sz w:val="22"/>
                <w:szCs w:val="22"/>
              </w:rPr>
              <w:t>落实政府采购政策需满足的资格要求</w:t>
            </w:r>
            <w:r>
              <w:rPr>
                <w:rFonts w:ascii="仿宋" w:hAnsi="仿宋"/>
                <w:color w:val="auto"/>
                <w:sz w:val="22"/>
                <w:szCs w:val="22"/>
              </w:rPr>
              <w:t>:</w:t>
            </w:r>
            <w:r>
              <w:rPr>
                <w:rFonts w:hint="eastAsia" w:ascii="宋体" w:hAnsi="宋体" w:cs="新宋体"/>
                <w:bCs/>
                <w:color w:val="auto"/>
                <w:sz w:val="22"/>
                <w:szCs w:val="22"/>
              </w:rPr>
              <w:t>无</w:t>
            </w:r>
          </w:p>
          <w:p>
            <w:pPr>
              <w:widowControl/>
              <w:jc w:val="left"/>
              <w:rPr>
                <w:rFonts w:ascii="宋体" w:hAnsi="宋体" w:cs="宋体"/>
                <w:color w:val="auto"/>
                <w:kern w:val="0"/>
                <w:sz w:val="22"/>
                <w:szCs w:val="22"/>
              </w:rPr>
            </w:pPr>
            <w:r>
              <w:rPr>
                <w:rFonts w:hint="eastAsia" w:ascii="新宋体" w:hAnsi="新宋体" w:eastAsia="新宋体" w:cs="新宋体"/>
                <w:color w:val="auto"/>
                <w:kern w:val="0"/>
                <w:sz w:val="22"/>
                <w:szCs w:val="22"/>
                <w:lang w:val="zh-CN"/>
              </w:rPr>
              <w:t>3.特殊资格条件：无。</w:t>
            </w:r>
          </w:p>
        </w:tc>
      </w:tr>
      <w:tr>
        <w:tblPrEx>
          <w:tblCellMar>
            <w:top w:w="0" w:type="dxa"/>
            <w:left w:w="108" w:type="dxa"/>
            <w:bottom w:w="0" w:type="dxa"/>
            <w:right w:w="108" w:type="dxa"/>
          </w:tblCellMar>
        </w:tblPrEx>
        <w:trPr>
          <w:trHeight w:val="9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是否接受</w:t>
            </w:r>
          </w:p>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联合体投标</w:t>
            </w:r>
          </w:p>
        </w:tc>
        <w:tc>
          <w:tcPr>
            <w:tcW w:w="741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接受，应满足下列要求：</w:t>
            </w:r>
          </w:p>
          <w:p>
            <w:pPr>
              <w:widowControl/>
              <w:jc w:val="left"/>
              <w:rPr>
                <w:rFonts w:ascii="宋体" w:hAnsi="宋体" w:cs="宋体"/>
                <w:color w:val="auto"/>
                <w:kern w:val="0"/>
                <w:sz w:val="22"/>
                <w:szCs w:val="22"/>
              </w:rPr>
            </w:pPr>
            <w:r>
              <w:rPr>
                <w:rFonts w:hint="eastAsia" w:ascii="宋体" w:hAnsi="宋体" w:cs="宋体"/>
                <w:color w:val="auto"/>
                <w:kern w:val="0"/>
                <w:sz w:val="22"/>
                <w:szCs w:val="22"/>
              </w:rPr>
              <w:t>（1）需提供联合体协议书，明确双方各自责任与义务；</w:t>
            </w:r>
          </w:p>
          <w:p>
            <w:pPr>
              <w:widowControl/>
              <w:jc w:val="left"/>
              <w:rPr>
                <w:rFonts w:ascii="宋体" w:hAnsi="宋体" w:cs="宋体"/>
                <w:color w:val="auto"/>
                <w:sz w:val="22"/>
                <w:szCs w:val="22"/>
              </w:rPr>
            </w:pPr>
            <w:r>
              <w:rPr>
                <w:rFonts w:hint="eastAsia" w:ascii="宋体" w:hAnsi="宋体" w:cs="宋体"/>
                <w:color w:val="auto"/>
                <w:kern w:val="0"/>
                <w:sz w:val="22"/>
                <w:szCs w:val="22"/>
              </w:rPr>
              <w:t>（2）联合体成员不超过两家。</w:t>
            </w:r>
          </w:p>
        </w:tc>
      </w:tr>
      <w:tr>
        <w:tblPrEx>
          <w:tblCellMar>
            <w:top w:w="0" w:type="dxa"/>
            <w:left w:w="108" w:type="dxa"/>
            <w:bottom w:w="0" w:type="dxa"/>
            <w:right w:w="108" w:type="dxa"/>
          </w:tblCellMar>
        </w:tblPrEx>
        <w:trPr>
          <w:trHeight w:val="9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踏勘现场</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□组织</w:t>
            </w:r>
          </w:p>
          <w:p>
            <w:pPr>
              <w:spacing w:line="360" w:lineRule="exact"/>
              <w:rPr>
                <w:rFonts w:ascii="宋体" w:hAnsi="宋体" w:cs="宋体"/>
                <w:color w:val="auto"/>
                <w:kern w:val="0"/>
                <w:sz w:val="22"/>
                <w:szCs w:val="22"/>
              </w:rPr>
            </w:pPr>
            <w:r>
              <w:rPr>
                <w:rFonts w:hint="eastAsia" w:ascii="宋体" w:hAnsi="宋体" w:cs="宋体"/>
                <w:b/>
                <w:snapToGrid w:val="0"/>
                <w:color w:val="auto"/>
                <w:sz w:val="22"/>
                <w:szCs w:val="22"/>
              </w:rPr>
              <w:sym w:font="Wingdings" w:char="F0FE"/>
            </w:r>
            <w:r>
              <w:rPr>
                <w:rFonts w:hint="eastAsia" w:ascii="宋体" w:hAnsi="宋体" w:cs="宋体"/>
                <w:color w:val="auto"/>
                <w:kern w:val="0"/>
                <w:sz w:val="22"/>
                <w:szCs w:val="22"/>
              </w:rPr>
              <w:t>不组织，供应商自行前往项目现场进行踏勘。</w:t>
            </w:r>
          </w:p>
        </w:tc>
      </w:tr>
      <w:tr>
        <w:tblPrEx>
          <w:tblCellMar>
            <w:top w:w="0" w:type="dxa"/>
            <w:left w:w="108" w:type="dxa"/>
            <w:bottom w:w="0" w:type="dxa"/>
            <w:right w:w="108" w:type="dxa"/>
          </w:tblCellMar>
        </w:tblPrEx>
        <w:trPr>
          <w:trHeight w:val="615"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9</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投标预备会</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□召开</w:t>
            </w:r>
          </w:p>
          <w:p>
            <w:pPr>
              <w:spacing w:line="360" w:lineRule="exact"/>
              <w:rPr>
                <w:rFonts w:ascii="宋体" w:hAnsi="宋体" w:cs="宋体"/>
                <w:color w:val="auto"/>
                <w:kern w:val="0"/>
                <w:sz w:val="22"/>
                <w:szCs w:val="22"/>
              </w:rPr>
            </w:pPr>
            <w:r>
              <w:rPr>
                <w:rFonts w:hint="eastAsia" w:ascii="宋体" w:hAnsi="宋体" w:cs="宋体"/>
                <w:b/>
                <w:snapToGrid w:val="0"/>
                <w:color w:val="auto"/>
                <w:sz w:val="22"/>
                <w:szCs w:val="22"/>
              </w:rPr>
              <w:sym w:font="Wingdings" w:char="F0FE"/>
            </w:r>
            <w:r>
              <w:rPr>
                <w:rFonts w:hint="eastAsia" w:ascii="宋体" w:hAnsi="宋体" w:cs="宋体"/>
                <w:color w:val="auto"/>
                <w:kern w:val="0"/>
                <w:sz w:val="22"/>
                <w:szCs w:val="22"/>
              </w:rPr>
              <w:t>不召开</w:t>
            </w:r>
          </w:p>
        </w:tc>
      </w:tr>
      <w:tr>
        <w:tblPrEx>
          <w:tblCellMar>
            <w:top w:w="0" w:type="dxa"/>
            <w:left w:w="108" w:type="dxa"/>
            <w:bottom w:w="0" w:type="dxa"/>
            <w:right w:w="108" w:type="dxa"/>
          </w:tblCellMar>
        </w:tblPrEx>
        <w:trPr>
          <w:trHeight w:val="66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投标截止时间</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eastAsia" w:ascii="宋体" w:hAnsi="宋体" w:eastAsia="宋体" w:cs="宋体"/>
                <w:color w:val="auto"/>
                <w:kern w:val="0"/>
                <w:sz w:val="22"/>
                <w:szCs w:val="22"/>
                <w:highlight w:val="none"/>
                <w:lang w:eastAsia="zh-CN"/>
              </w:rPr>
            </w:pPr>
            <w:bookmarkStart w:id="131" w:name="_GoBack"/>
            <w:bookmarkEnd w:id="131"/>
            <w:r>
              <w:rPr>
                <w:rFonts w:hint="eastAsia" w:ascii="宋体" w:hAnsi="宋体" w:cs="宋体"/>
                <w:bCs/>
                <w:color w:val="auto"/>
                <w:kern w:val="0"/>
                <w:sz w:val="22"/>
                <w:szCs w:val="22"/>
                <w:highlight w:val="none"/>
                <w:lang w:eastAsia="zh-CN"/>
              </w:rPr>
              <w:t>2024年04月17日14时30分</w:t>
            </w:r>
          </w:p>
        </w:tc>
      </w:tr>
      <w:tr>
        <w:tblPrEx>
          <w:tblCellMar>
            <w:top w:w="0" w:type="dxa"/>
            <w:left w:w="108" w:type="dxa"/>
            <w:bottom w:w="0" w:type="dxa"/>
            <w:right w:w="108" w:type="dxa"/>
          </w:tblCellMar>
        </w:tblPrEx>
        <w:trPr>
          <w:trHeight w:val="68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11</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分包</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允许，非核心内容允许企业合理分包，若分包需在投标文件内提供分包意向书，明确分包内容及金额比例。</w:t>
            </w:r>
          </w:p>
        </w:tc>
      </w:tr>
      <w:tr>
        <w:tblPrEx>
          <w:tblCellMar>
            <w:top w:w="0" w:type="dxa"/>
            <w:left w:w="108" w:type="dxa"/>
            <w:bottom w:w="0" w:type="dxa"/>
            <w:right w:w="108" w:type="dxa"/>
          </w:tblCellMar>
        </w:tblPrEx>
        <w:trPr>
          <w:trHeight w:val="48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偏离</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偏差允许幅度及其处理方法：允许细微偏差，不允许重大偏差。由评标委员会判断，细微偏差要求供应商在评审结束前予以澄清、说明或补正，不接受要求进行的，评标委员会有权做无效标处理，详见评标办法。</w:t>
            </w:r>
          </w:p>
        </w:tc>
      </w:tr>
      <w:tr>
        <w:tblPrEx>
          <w:tblCellMar>
            <w:top w:w="0" w:type="dxa"/>
            <w:left w:w="108" w:type="dxa"/>
            <w:bottom w:w="0" w:type="dxa"/>
            <w:right w:w="108" w:type="dxa"/>
          </w:tblCellMar>
        </w:tblPrEx>
        <w:trPr>
          <w:trHeight w:val="72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13</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投标文件有效期</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投标文件自投标截止时间起生效，有效期</w:t>
            </w:r>
            <w:r>
              <w:rPr>
                <w:rFonts w:hint="eastAsia" w:ascii="宋体" w:hAnsi="宋体" w:cs="宋体"/>
                <w:color w:val="auto"/>
                <w:kern w:val="0"/>
                <w:sz w:val="22"/>
                <w:szCs w:val="22"/>
                <w:u w:val="single"/>
              </w:rPr>
              <w:t>90</w:t>
            </w:r>
            <w:r>
              <w:rPr>
                <w:rFonts w:hint="eastAsia" w:ascii="宋体" w:hAnsi="宋体" w:cs="宋体"/>
                <w:color w:val="auto"/>
                <w:kern w:val="0"/>
                <w:sz w:val="22"/>
                <w:szCs w:val="22"/>
              </w:rPr>
              <w:t>天。</w:t>
            </w:r>
          </w:p>
        </w:tc>
      </w:tr>
      <w:tr>
        <w:tblPrEx>
          <w:tblCellMar>
            <w:top w:w="0" w:type="dxa"/>
            <w:left w:w="108" w:type="dxa"/>
            <w:bottom w:w="0" w:type="dxa"/>
            <w:right w:w="108" w:type="dxa"/>
          </w:tblCellMar>
        </w:tblPrEx>
        <w:trPr>
          <w:trHeight w:val="756"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14</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投标保证金</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无须提交。</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15</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投标文件的组成</w:t>
            </w:r>
          </w:p>
        </w:tc>
        <w:tc>
          <w:tcPr>
            <w:tcW w:w="741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完整的投标文件由资格审查资料、商务技术文件、报价文件三个部分组成。</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16</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投标文件的编制</w:t>
            </w:r>
          </w:p>
        </w:tc>
        <w:tc>
          <w:tcPr>
            <w:tcW w:w="741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供应商应先安装“政采云电子交易客户端”，并按照本采购文件和“政采云平台”的要求，通过“政采云电子交易客户端”编制并加密投标文件。</w:t>
            </w:r>
          </w:p>
        </w:tc>
      </w:tr>
      <w:tr>
        <w:tblPrEx>
          <w:tblCellMar>
            <w:top w:w="0" w:type="dxa"/>
            <w:left w:w="108" w:type="dxa"/>
            <w:bottom w:w="0" w:type="dxa"/>
            <w:right w:w="108" w:type="dxa"/>
          </w:tblCellMar>
        </w:tblPrEx>
        <w:trPr>
          <w:trHeight w:val="635"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17</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签字或盖章要求</w:t>
            </w:r>
          </w:p>
        </w:tc>
        <w:tc>
          <w:tcPr>
            <w:tcW w:w="741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投标文件的相应位置应：由投标人代表签字并加盖有效公章（电子签章）</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18</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投标文件的形式、制作及组成</w:t>
            </w:r>
          </w:p>
        </w:tc>
        <w:tc>
          <w:tcPr>
            <w:tcW w:w="741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本项目实行在线投标响应（电子投标）。</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投标人须准备电子投标文件（包括“电子加密投标文件”和“备份投标文件”两类，在投标文件编制完成后同时生成）。</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（1）“电子加密投标文件”是指通过“政采云电子交易客户端”完成投标文件编制后生成并加密的数据电文形式的投标文件。</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以上两类投标文件均由资格审查资料、商务技术文件、报价文件三部分组成。</w:t>
            </w:r>
          </w:p>
        </w:tc>
      </w:tr>
      <w:tr>
        <w:tblPrEx>
          <w:tblCellMar>
            <w:top w:w="0" w:type="dxa"/>
            <w:left w:w="108" w:type="dxa"/>
            <w:bottom w:w="0" w:type="dxa"/>
            <w:right w:w="108" w:type="dxa"/>
          </w:tblCellMar>
        </w:tblPrEx>
        <w:trPr>
          <w:trHeight w:val="525"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19</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投标文件份数</w:t>
            </w:r>
          </w:p>
        </w:tc>
        <w:tc>
          <w:tcPr>
            <w:tcW w:w="741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（1）“电子加密投标文件”：在线上传递交、一份。</w:t>
            </w:r>
          </w:p>
          <w:p>
            <w:pPr>
              <w:autoSpaceDE w:val="0"/>
              <w:autoSpaceDN w:val="0"/>
              <w:adjustRightInd w:val="0"/>
              <w:spacing w:line="360" w:lineRule="exact"/>
              <w:rPr>
                <w:rFonts w:ascii="宋体" w:hAnsi="宋体" w:cs="宋体"/>
                <w:color w:val="auto"/>
                <w:lang w:val="zh-CN"/>
              </w:rPr>
            </w:pPr>
            <w:r>
              <w:rPr>
                <w:rFonts w:hint="eastAsia" w:ascii="宋体" w:hAnsi="宋体" w:cs="宋体"/>
                <w:color w:val="auto"/>
                <w:kern w:val="0"/>
                <w:sz w:val="22"/>
                <w:szCs w:val="22"/>
                <w:lang w:val="zh-CN"/>
              </w:rPr>
              <w:t>（2）“备份投标文件”：以U盘存储，密封包装后（顺丰快递形式）在</w:t>
            </w:r>
            <w:r>
              <w:rPr>
                <w:rFonts w:hint="eastAsia" w:ascii="宋体" w:hAnsi="宋体" w:cs="宋体"/>
                <w:bCs/>
                <w:color w:val="auto"/>
                <w:kern w:val="0"/>
                <w:sz w:val="22"/>
                <w:szCs w:val="22"/>
              </w:rPr>
              <w:t>递交投标文件截止时间前</w:t>
            </w:r>
            <w:r>
              <w:rPr>
                <w:rFonts w:hint="eastAsia" w:ascii="宋体" w:hAnsi="宋体" w:cs="宋体"/>
                <w:color w:val="auto"/>
                <w:kern w:val="0"/>
                <w:sz w:val="22"/>
                <w:szCs w:val="22"/>
                <w:lang w:val="zh-CN"/>
              </w:rPr>
              <w:t>由采购代理机构签收，不少于一份，邮寄地址：温州市瓯海区新桥街道高昂路1号牛山广场2号楼1409室，苏先生收。</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20</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投标文件的上传和递交</w:t>
            </w:r>
          </w:p>
        </w:tc>
        <w:tc>
          <w:tcPr>
            <w:tcW w:w="7419" w:type="dxa"/>
            <w:tcBorders>
              <w:top w:val="single" w:color="auto" w:sz="4" w:space="0"/>
              <w:left w:val="single" w:color="auto" w:sz="4" w:space="0"/>
              <w:bottom w:val="single" w:color="auto" w:sz="4" w:space="0"/>
              <w:right w:val="single" w:color="auto" w:sz="4" w:space="0"/>
            </w:tcBorders>
            <w:noWrap/>
            <w:vAlign w:val="center"/>
          </w:tcPr>
          <w:p>
            <w:pPr>
              <w:pStyle w:val="2"/>
              <w:autoSpaceDE w:val="0"/>
              <w:autoSpaceDN w:val="0"/>
              <w:adjustRightInd w:val="0"/>
              <w:spacing w:line="360" w:lineRule="exact"/>
              <w:jc w:val="both"/>
              <w:rPr>
                <w:rFonts w:cs="宋体"/>
                <w:color w:val="auto"/>
                <w:sz w:val="22"/>
              </w:rPr>
            </w:pPr>
            <w:r>
              <w:rPr>
                <w:rFonts w:hint="eastAsia" w:cs="宋体"/>
                <w:color w:val="auto"/>
                <w:sz w:val="22"/>
              </w:rPr>
              <w:t>（1）“电子加密投标文件”的上传、递交：</w:t>
            </w:r>
          </w:p>
          <w:p>
            <w:pPr>
              <w:pStyle w:val="2"/>
              <w:autoSpaceDE w:val="0"/>
              <w:autoSpaceDN w:val="0"/>
              <w:adjustRightInd w:val="0"/>
              <w:spacing w:line="360" w:lineRule="exact"/>
              <w:jc w:val="both"/>
              <w:rPr>
                <w:rFonts w:cs="宋体"/>
                <w:color w:val="auto"/>
                <w:sz w:val="22"/>
              </w:rPr>
            </w:pPr>
            <w:r>
              <w:rPr>
                <w:rFonts w:hint="eastAsia" w:cs="宋体"/>
                <w:color w:val="auto"/>
                <w:sz w:val="22"/>
              </w:rPr>
              <w:t>a.投标人应在投标文件递交截止时间前将“电子加密投标文件”成功上传递交至“政采云平台”，否则投标无效。</w:t>
            </w:r>
          </w:p>
          <w:p>
            <w:pPr>
              <w:pStyle w:val="2"/>
              <w:autoSpaceDE w:val="0"/>
              <w:autoSpaceDN w:val="0"/>
              <w:adjustRightInd w:val="0"/>
              <w:spacing w:line="360" w:lineRule="exact"/>
              <w:jc w:val="both"/>
              <w:rPr>
                <w:rFonts w:cs="宋体"/>
                <w:color w:val="auto"/>
                <w:sz w:val="22"/>
              </w:rPr>
            </w:pPr>
            <w:r>
              <w:rPr>
                <w:rFonts w:hint="eastAsia" w:cs="宋体"/>
                <w:color w:val="auto"/>
                <w:sz w:val="22"/>
              </w:rPr>
              <w:t>b.“电子加密投标文件”成功上传递交后，供应商可自行打印投标文件接收回执。</w:t>
            </w:r>
          </w:p>
          <w:p>
            <w:pPr>
              <w:pStyle w:val="2"/>
              <w:autoSpaceDE w:val="0"/>
              <w:autoSpaceDN w:val="0"/>
              <w:adjustRightInd w:val="0"/>
              <w:spacing w:line="360" w:lineRule="exact"/>
              <w:jc w:val="both"/>
              <w:rPr>
                <w:rFonts w:cs="宋体"/>
                <w:color w:val="auto"/>
                <w:sz w:val="22"/>
              </w:rPr>
            </w:pPr>
            <w:r>
              <w:rPr>
                <w:rFonts w:hint="eastAsia" w:cs="宋体"/>
                <w:color w:val="auto"/>
                <w:sz w:val="22"/>
              </w:rPr>
              <w:t>（2）“备份投标文件”的密封包装、递交：</w:t>
            </w:r>
          </w:p>
          <w:p>
            <w:pPr>
              <w:pStyle w:val="2"/>
              <w:autoSpaceDE w:val="0"/>
              <w:autoSpaceDN w:val="0"/>
              <w:adjustRightInd w:val="0"/>
              <w:spacing w:line="360" w:lineRule="exact"/>
              <w:jc w:val="both"/>
              <w:rPr>
                <w:rFonts w:cs="宋体"/>
                <w:color w:val="auto"/>
                <w:sz w:val="22"/>
              </w:rPr>
            </w:pPr>
            <w:r>
              <w:rPr>
                <w:rFonts w:hint="eastAsia" w:cs="宋体"/>
                <w:color w:val="auto"/>
                <w:sz w:val="22"/>
              </w:rPr>
              <w:t>a.投标人在“政采云平</w:t>
            </w:r>
            <w:r>
              <w:rPr>
                <w:rFonts w:hint="eastAsia" w:cs="宋体"/>
                <w:color w:val="auto"/>
                <w:sz w:val="22"/>
                <w:highlight w:val="none"/>
              </w:rPr>
              <w:t>台”完成“电子加密投标文件”的上传递交后，还可以（建议顺丰快递形式）在</w:t>
            </w:r>
            <w:r>
              <w:rPr>
                <w:rFonts w:hint="eastAsia" w:cs="宋体"/>
                <w:bCs/>
                <w:color w:val="auto"/>
                <w:sz w:val="22"/>
                <w:highlight w:val="none"/>
              </w:rPr>
              <w:t>递交投标文件截止时间前</w:t>
            </w:r>
            <w:r>
              <w:rPr>
                <w:rFonts w:hint="eastAsia" w:cs="宋体"/>
                <w:color w:val="auto"/>
                <w:sz w:val="22"/>
                <w:highlight w:val="none"/>
              </w:rPr>
              <w:t>递交以介质（U盘）存储的 “备份投标文件”（一份）；顺丰快递形式快递至采购代理机构地址（地址见上条，以送达时间为准）；</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d.投标人应加强U盘的包装与保护，因包装不当而造成“备份投标文件”损坏或不能在开评标现场设备上正确读取的责任由投标人自负。</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21</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电子加密投标文件的解密和异常情况处理</w:t>
            </w:r>
          </w:p>
        </w:tc>
        <w:tc>
          <w:tcPr>
            <w:tcW w:w="7419"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（1）开标后，采购组织机构将向各投标人发出“电子加密投标文件”的解密通知，各投标人代表应当在接到解密通知后30分钟内自行完成“电子加密投标文件”的在线解密。</w:t>
            </w:r>
            <w:r>
              <w:rPr>
                <w:rFonts w:hint="eastAsia" w:ascii="宋体" w:hAnsi="宋体" w:cs="宋体"/>
                <w:color w:val="auto"/>
                <w:sz w:val="22"/>
              </w:rPr>
              <w:t>解密CA必须是上传并制作电子投标文件CA锁。</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（3）投标文件递交截止时间前，投标人仅递交了“备份投标文件”而未将电子加密投标文件上传至“政采云平台”的，投标无效。</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22</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递交投标</w:t>
            </w:r>
          </w:p>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文件地点</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bCs/>
                <w:color w:val="auto"/>
                <w:kern w:val="0"/>
                <w:sz w:val="22"/>
                <w:szCs w:val="22"/>
              </w:rPr>
              <w:t>政采云平台(www.zcygov.cn)在线提交</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23</w:t>
            </w:r>
          </w:p>
        </w:tc>
        <w:tc>
          <w:tcPr>
            <w:tcW w:w="203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开标时间</w:t>
            </w:r>
          </w:p>
          <w:p>
            <w:pPr>
              <w:autoSpaceDE w:val="0"/>
              <w:autoSpaceDN w:val="0"/>
              <w:adjustRightInd w:val="0"/>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和评标地点</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bCs/>
                <w:color w:val="auto"/>
                <w:kern w:val="0"/>
                <w:sz w:val="22"/>
                <w:szCs w:val="22"/>
              </w:rPr>
            </w:pPr>
            <w:r>
              <w:rPr>
                <w:rFonts w:hint="eastAsia" w:ascii="宋体" w:hAnsi="宋体" w:cs="宋体"/>
                <w:color w:val="auto"/>
                <w:kern w:val="0"/>
                <w:sz w:val="22"/>
                <w:szCs w:val="22"/>
                <w:lang w:val="zh-CN"/>
              </w:rPr>
              <w:t>开标时间：2024年04月17日14时30分</w:t>
            </w:r>
          </w:p>
          <w:p>
            <w:pPr>
              <w:pStyle w:val="16"/>
              <w:ind w:firstLine="0"/>
              <w:rPr>
                <w:color w:val="auto"/>
              </w:rPr>
            </w:pPr>
            <w:r>
              <w:rPr>
                <w:rFonts w:hint="eastAsia"/>
                <w:color w:val="auto"/>
              </w:rPr>
              <w:t>开标地址：</w:t>
            </w:r>
            <w:r>
              <w:rPr>
                <w:rFonts w:hint="eastAsia" w:ascii="宋体" w:hAnsi="宋体" w:cs="宋体"/>
                <w:bCs/>
                <w:color w:val="auto"/>
                <w:sz w:val="22"/>
                <w:szCs w:val="22"/>
              </w:rPr>
              <w:t>政采云平台(www.zcygov.cn)在线开标</w:t>
            </w:r>
          </w:p>
          <w:p>
            <w:pPr>
              <w:spacing w:line="36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评标地点：</w:t>
            </w:r>
            <w:r>
              <w:rPr>
                <w:rFonts w:hint="eastAsia" w:ascii="宋体" w:hAnsi="宋体" w:cs="宋体"/>
                <w:bCs/>
                <w:color w:val="auto"/>
                <w:kern w:val="0"/>
                <w:sz w:val="22"/>
                <w:szCs w:val="22"/>
              </w:rPr>
              <w:t>温州市瓯海区新桥街道高昂路1号牛山广场2号楼1409室</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24</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rPr>
            </w:pPr>
            <w:r>
              <w:rPr>
                <w:rFonts w:hint="eastAsia" w:ascii="宋体" w:hAnsi="宋体" w:cs="宋体"/>
                <w:color w:val="auto"/>
                <w:kern w:val="0"/>
                <w:sz w:val="22"/>
                <w:szCs w:val="22"/>
              </w:rPr>
              <w:t>评标委员会</w:t>
            </w:r>
          </w:p>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的组建</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lang w:val="zh-CN"/>
              </w:rPr>
            </w:pPr>
            <w:r>
              <w:rPr>
                <w:rFonts w:hint="eastAsia" w:ascii="宋体" w:hAnsi="宋体" w:cs="宋体"/>
                <w:bCs/>
                <w:color w:val="auto"/>
                <w:sz w:val="22"/>
                <w:szCs w:val="22"/>
              </w:rPr>
              <w:t>采购人按照有关法律、法规的规定组建评标委员会，评标委员会成员由采购人代表和有关技术、经济等方面的专家组成，成员人数为5人（含）以上单数，除采购人代表外的专家将在评标专家库中随机抽取产生。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trHeight w:val="825"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25</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履约担保</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rPr>
            </w:pPr>
            <w:r>
              <w:rPr>
                <w:rFonts w:hint="eastAsia" w:ascii="宋体" w:hAnsi="宋体" w:cs="宋体"/>
                <w:color w:val="auto"/>
                <w:kern w:val="0"/>
                <w:sz w:val="22"/>
                <w:szCs w:val="22"/>
              </w:rPr>
              <w:t>☑不需要</w:t>
            </w:r>
          </w:p>
          <w:p>
            <w:pPr>
              <w:spacing w:line="360" w:lineRule="exact"/>
              <w:rPr>
                <w:rFonts w:ascii="宋体" w:hAnsi="宋体" w:cs="宋体"/>
                <w:color w:val="auto"/>
                <w:kern w:val="0"/>
                <w:sz w:val="22"/>
                <w:szCs w:val="22"/>
              </w:rPr>
            </w:pPr>
            <w:r>
              <w:rPr>
                <w:rFonts w:hint="eastAsia" w:ascii="宋体" w:hAnsi="宋体" w:cs="宋体"/>
                <w:color w:val="auto"/>
                <w:kern w:val="0"/>
                <w:sz w:val="22"/>
                <w:szCs w:val="22"/>
              </w:rPr>
              <w:sym w:font="Wingdings" w:char="00A8"/>
            </w:r>
            <w:r>
              <w:rPr>
                <w:rFonts w:hint="eastAsia" w:ascii="宋体" w:hAnsi="宋体" w:cs="宋体"/>
                <w:color w:val="auto"/>
                <w:kern w:val="0"/>
                <w:sz w:val="22"/>
                <w:szCs w:val="22"/>
              </w:rPr>
              <w:t>需要</w:t>
            </w:r>
          </w:p>
        </w:tc>
      </w:tr>
      <w:tr>
        <w:tblPrEx>
          <w:tblCellMar>
            <w:top w:w="0" w:type="dxa"/>
            <w:left w:w="108" w:type="dxa"/>
            <w:bottom w:w="0" w:type="dxa"/>
            <w:right w:w="108" w:type="dxa"/>
          </w:tblCellMar>
        </w:tblPrEx>
        <w:trPr>
          <w:trHeight w:val="468"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26</w:t>
            </w:r>
          </w:p>
        </w:tc>
        <w:tc>
          <w:tcPr>
            <w:tcW w:w="2037" w:type="dxa"/>
            <w:tcBorders>
              <w:top w:val="single" w:color="auto" w:sz="4" w:space="0"/>
              <w:left w:val="single" w:color="auto" w:sz="4" w:space="0"/>
              <w:bottom w:val="single" w:color="auto" w:sz="4" w:space="0"/>
              <w:right w:val="single" w:color="auto" w:sz="4" w:space="0"/>
            </w:tcBorders>
            <w:noWrap/>
            <w:vAlign w:val="center"/>
          </w:tcPr>
          <w:p>
            <w:pPr>
              <w:adjustRightInd w:val="0"/>
              <w:jc w:val="left"/>
              <w:rPr>
                <w:rFonts w:ascii="宋体" w:hAnsi="宋体"/>
                <w:b/>
                <w:color w:val="auto"/>
                <w:kern w:val="0"/>
                <w:sz w:val="22"/>
                <w:szCs w:val="22"/>
              </w:rPr>
            </w:pPr>
            <w:r>
              <w:rPr>
                <w:rFonts w:hint="eastAsia" w:ascii="宋体" w:hAnsi="宋体" w:cs="新宋体"/>
                <w:b/>
                <w:color w:val="auto"/>
                <w:sz w:val="22"/>
                <w:szCs w:val="22"/>
              </w:rPr>
              <w:t>政府采购扶持政策</w:t>
            </w:r>
          </w:p>
        </w:tc>
        <w:tc>
          <w:tcPr>
            <w:tcW w:w="741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bCs/>
                <w:color w:val="auto"/>
                <w:sz w:val="22"/>
                <w:szCs w:val="22"/>
              </w:rPr>
            </w:pPr>
            <w:r>
              <w:rPr>
                <w:rFonts w:hint="eastAsia" w:ascii="宋体" w:hAnsi="宋体" w:cs="宋体"/>
                <w:bCs/>
                <w:color w:val="auto"/>
                <w:sz w:val="22"/>
                <w:szCs w:val="22"/>
              </w:rPr>
              <w:t>1.本项目对符合财政扶持政策的中小企业（小型、微型）、监狱企业、残疾人福利性单位给予价格优惠扶持，价格优惠扶持见《第六部分 评标原则及方法》。</w:t>
            </w:r>
          </w:p>
          <w:p>
            <w:pPr>
              <w:rPr>
                <w:rFonts w:ascii="宋体" w:hAnsi="宋体" w:cs="宋体"/>
                <w:bCs/>
                <w:color w:val="auto"/>
                <w:sz w:val="22"/>
                <w:szCs w:val="22"/>
              </w:rPr>
            </w:pPr>
            <w:r>
              <w:rPr>
                <w:rFonts w:hint="eastAsia" w:ascii="宋体" w:hAnsi="宋体" w:cs="宋体"/>
                <w:bCs/>
                <w:color w:val="auto"/>
                <w:sz w:val="22"/>
                <w:szCs w:val="22"/>
              </w:rPr>
              <w:t>2.满足《政府采购促进中小企业发展管理办法》（财库[2020]46号）的规定的中小企业可享受优惠扶持。</w:t>
            </w:r>
          </w:p>
          <w:p>
            <w:pPr>
              <w:rPr>
                <w:rFonts w:ascii="宋体" w:hAnsi="宋体" w:cs="宋体"/>
                <w:bCs/>
                <w:color w:val="auto"/>
                <w:sz w:val="22"/>
                <w:szCs w:val="22"/>
              </w:rPr>
            </w:pPr>
            <w:r>
              <w:rPr>
                <w:rFonts w:hint="eastAsia" w:ascii="宋体" w:hAnsi="宋体" w:cs="宋体"/>
                <w:bCs/>
                <w:color w:val="auto"/>
                <w:sz w:val="22"/>
                <w:szCs w:val="22"/>
              </w:rPr>
              <w:t>3.满足关于政府采购支持监狱企业发展有关问题的通知（财库[2014]68号）的规定的供应商可享受优惠扶持。</w:t>
            </w:r>
          </w:p>
          <w:p>
            <w:pPr>
              <w:rPr>
                <w:rFonts w:ascii="宋体" w:hAnsi="宋体" w:cs="宋体"/>
                <w:bCs/>
                <w:color w:val="auto"/>
                <w:sz w:val="22"/>
                <w:szCs w:val="22"/>
              </w:rPr>
            </w:pPr>
            <w:r>
              <w:rPr>
                <w:rFonts w:hint="eastAsia" w:ascii="宋体" w:hAnsi="宋体" w:cs="宋体"/>
                <w:bCs/>
                <w:color w:val="auto"/>
                <w:sz w:val="22"/>
                <w:szCs w:val="22"/>
              </w:rPr>
              <w:t>4.满足关于促进残疾人就业政府采购政策的通知（财库[2017]141号）的规定的供应商可享受优惠扶持。</w:t>
            </w:r>
          </w:p>
          <w:p>
            <w:pPr>
              <w:pStyle w:val="16"/>
              <w:ind w:firstLine="0"/>
              <w:rPr>
                <w:color w:val="auto"/>
              </w:rPr>
            </w:pPr>
            <w:r>
              <w:rPr>
                <w:rFonts w:ascii="宋体" w:hAnsi="宋体" w:cs="新宋体"/>
                <w:bCs/>
                <w:color w:val="auto"/>
                <w:sz w:val="22"/>
                <w:szCs w:val="22"/>
              </w:rPr>
              <w:t>5.</w:t>
            </w:r>
            <w:r>
              <w:rPr>
                <w:rFonts w:hint="eastAsia" w:ascii="宋体" w:hAnsi="宋体" w:cs="新宋体"/>
                <w:bCs/>
                <w:color w:val="auto"/>
                <w:sz w:val="22"/>
                <w:szCs w:val="22"/>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27</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投标人信用</w:t>
            </w:r>
          </w:p>
          <w:p>
            <w:pPr>
              <w:spacing w:line="360" w:lineRule="exact"/>
              <w:jc w:val="center"/>
              <w:rPr>
                <w:rFonts w:ascii="宋体" w:hAnsi="宋体" w:cs="宋体"/>
                <w:color w:val="auto"/>
                <w:kern w:val="0"/>
                <w:sz w:val="22"/>
                <w:szCs w:val="22"/>
                <w:lang w:val="zh-CN"/>
              </w:rPr>
            </w:pPr>
            <w:r>
              <w:rPr>
                <w:rFonts w:hint="eastAsia" w:ascii="宋体" w:hAnsi="宋体" w:cs="宋体"/>
                <w:color w:val="auto"/>
                <w:sz w:val="22"/>
                <w:szCs w:val="22"/>
              </w:rPr>
              <w:t>查询</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left"/>
              <w:rPr>
                <w:rFonts w:ascii="宋体" w:hAnsi="宋体" w:cs="宋体"/>
                <w:color w:val="auto"/>
                <w:sz w:val="22"/>
                <w:szCs w:val="22"/>
              </w:rPr>
            </w:pPr>
            <w:r>
              <w:rPr>
                <w:rFonts w:hint="eastAsia" w:ascii="宋体" w:hAnsi="宋体" w:cs="宋体"/>
                <w:color w:val="auto"/>
                <w:sz w:val="22"/>
                <w:szCs w:val="22"/>
              </w:rPr>
              <w:t>（1）供应商信用信息查询的查询渠道：“信用中国”(</w:t>
            </w:r>
            <w:r>
              <w:rPr>
                <w:rFonts w:hint="eastAsia"/>
                <w:color w:val="auto"/>
              </w:rPr>
              <w:fldChar w:fldCharType="begin"/>
            </w:r>
            <w:r>
              <w:rPr>
                <w:color w:val="auto"/>
              </w:rPr>
              <w:instrText xml:space="preserve"> HYPERLINK "http://www.creditchina.gov.cn" </w:instrText>
            </w:r>
            <w:r>
              <w:rPr>
                <w:rFonts w:hint="eastAsia"/>
                <w:color w:val="auto"/>
              </w:rPr>
              <w:fldChar w:fldCharType="separate"/>
            </w:r>
            <w:r>
              <w:rPr>
                <w:rFonts w:hint="eastAsia" w:ascii="宋体" w:hAnsi="宋体" w:cs="宋体"/>
                <w:color w:val="auto"/>
                <w:sz w:val="22"/>
                <w:szCs w:val="22"/>
              </w:rPr>
              <w:t>www.creditchina.gov.cn</w:t>
            </w:r>
            <w:r>
              <w:rPr>
                <w:rFonts w:hint="eastAsia" w:ascii="宋体" w:hAnsi="宋体" w:cs="宋体"/>
                <w:color w:val="auto"/>
                <w:sz w:val="22"/>
                <w:szCs w:val="22"/>
              </w:rPr>
              <w:fldChar w:fldCharType="end"/>
            </w:r>
            <w:r>
              <w:rPr>
                <w:rFonts w:hint="eastAsia" w:ascii="宋体" w:hAnsi="宋体" w:cs="宋体"/>
                <w:color w:val="auto"/>
                <w:sz w:val="22"/>
                <w:szCs w:val="22"/>
              </w:rPr>
              <w:t>)；“中国政府采购网”（http://www.ccgp.gov.cn/）；</w:t>
            </w:r>
          </w:p>
          <w:p>
            <w:pPr>
              <w:spacing w:line="360" w:lineRule="exact"/>
              <w:jc w:val="left"/>
              <w:rPr>
                <w:rFonts w:ascii="宋体" w:hAnsi="宋体" w:cs="宋体"/>
                <w:color w:val="auto"/>
                <w:sz w:val="22"/>
                <w:szCs w:val="22"/>
              </w:rPr>
            </w:pPr>
            <w:r>
              <w:rPr>
                <w:rFonts w:hint="eastAsia" w:ascii="宋体" w:hAnsi="宋体" w:cs="宋体"/>
                <w:color w:val="auto"/>
                <w:sz w:val="22"/>
                <w:szCs w:val="22"/>
              </w:rPr>
              <w:t>（2）供应商信用信息查询截止时点：本项目投标文件递交截止时间。</w:t>
            </w:r>
          </w:p>
          <w:p>
            <w:pPr>
              <w:spacing w:line="360" w:lineRule="exact"/>
              <w:jc w:val="left"/>
              <w:rPr>
                <w:rFonts w:ascii="宋体" w:hAnsi="宋体" w:cs="宋体"/>
                <w:color w:val="auto"/>
                <w:sz w:val="22"/>
                <w:szCs w:val="22"/>
              </w:rPr>
            </w:pPr>
            <w:r>
              <w:rPr>
                <w:rFonts w:hint="eastAsia" w:ascii="宋体" w:hAnsi="宋体" w:cs="宋体"/>
                <w:color w:val="auto"/>
                <w:sz w:val="22"/>
                <w:szCs w:val="22"/>
              </w:rPr>
              <w:t>（3）供应商信用信息查询记录和证据留存的具体方式：网页截图打印；</w:t>
            </w:r>
          </w:p>
          <w:p>
            <w:pPr>
              <w:spacing w:line="360" w:lineRule="exact"/>
              <w:jc w:val="left"/>
              <w:rPr>
                <w:rFonts w:ascii="宋体" w:hAnsi="宋体" w:cs="宋体"/>
                <w:color w:val="auto"/>
                <w:sz w:val="22"/>
                <w:szCs w:val="22"/>
              </w:rPr>
            </w:pPr>
            <w:r>
              <w:rPr>
                <w:rFonts w:hint="eastAsia" w:ascii="宋体" w:hAnsi="宋体" w:cs="宋体"/>
                <w:color w:val="auto"/>
                <w:sz w:val="22"/>
                <w:szCs w:val="22"/>
              </w:rPr>
              <w:t>（4）信用信息的使用规则：</w:t>
            </w:r>
          </w:p>
          <w:p>
            <w:pPr>
              <w:spacing w:line="360" w:lineRule="exact"/>
              <w:jc w:val="left"/>
              <w:rPr>
                <w:rFonts w:ascii="宋体" w:hAnsi="宋体" w:cs="宋体"/>
                <w:color w:val="auto"/>
                <w:sz w:val="22"/>
                <w:szCs w:val="22"/>
              </w:rPr>
            </w:pPr>
            <w:r>
              <w:rPr>
                <w:rFonts w:hint="eastAsia" w:ascii="宋体" w:hAnsi="宋体" w:cs="宋体"/>
                <w:color w:val="auto"/>
                <w:sz w:val="22"/>
                <w:szCs w:val="22"/>
              </w:rPr>
              <w:t>①在“信用中国”具有负面记录：列入失信被执行人、重大税收违法案件当事人名单、政府采购严重违法失信行为名单；</w:t>
            </w:r>
          </w:p>
          <w:p>
            <w:pPr>
              <w:spacing w:line="360" w:lineRule="exact"/>
              <w:jc w:val="left"/>
              <w:rPr>
                <w:rFonts w:ascii="宋体" w:hAnsi="宋体" w:cs="宋体"/>
                <w:color w:val="auto"/>
                <w:sz w:val="22"/>
                <w:szCs w:val="22"/>
              </w:rPr>
            </w:pPr>
            <w:r>
              <w:rPr>
                <w:rFonts w:hint="eastAsia" w:ascii="宋体" w:hAnsi="宋体" w:cs="宋体"/>
                <w:color w:val="auto"/>
                <w:sz w:val="22"/>
                <w:szCs w:val="22"/>
              </w:rPr>
              <w:t>②被“中国政府采购网”(www.ccgp.gov.cn)列入政府采购严重违法失信行为记录名单。</w:t>
            </w:r>
          </w:p>
          <w:p>
            <w:pPr>
              <w:spacing w:line="360" w:lineRule="exact"/>
              <w:jc w:val="left"/>
              <w:rPr>
                <w:rFonts w:ascii="宋体" w:hAnsi="宋体" w:cs="宋体"/>
                <w:color w:val="auto"/>
                <w:sz w:val="22"/>
                <w:szCs w:val="22"/>
              </w:rPr>
            </w:pPr>
            <w:r>
              <w:rPr>
                <w:rFonts w:hint="eastAsia" w:ascii="新宋体" w:hAnsi="新宋体" w:eastAsia="新宋体" w:cs="新宋体"/>
                <w:bCs/>
                <w:color w:val="auto"/>
                <w:sz w:val="22"/>
                <w:szCs w:val="22"/>
              </w:rPr>
              <w:t>（5）具有以上（4）所述信息记录的供应商，其投标做无效投标处理</w:t>
            </w:r>
          </w:p>
          <w:p>
            <w:pPr>
              <w:spacing w:line="360" w:lineRule="exact"/>
              <w:rPr>
                <w:rFonts w:ascii="宋体" w:hAnsi="宋体" w:cs="宋体"/>
                <w:color w:val="auto"/>
              </w:rPr>
            </w:pPr>
            <w:r>
              <w:rPr>
                <w:rFonts w:hint="eastAsia" w:ascii="宋体" w:hAnsi="宋体" w:cs="宋体"/>
                <w:b/>
                <w:bCs/>
                <w:color w:val="auto"/>
                <w:szCs w:val="21"/>
                <w:u w:val="single"/>
              </w:rPr>
              <w:t>（6）▲</w:t>
            </w:r>
            <w:r>
              <w:rPr>
                <w:rFonts w:hint="eastAsia" w:ascii="宋体" w:hAnsi="宋体" w:cs="宋体"/>
                <w:b/>
                <w:color w:val="auto"/>
                <w:sz w:val="22"/>
                <w:szCs w:val="22"/>
                <w:u w:val="single"/>
              </w:rPr>
              <w:t>关于</w:t>
            </w:r>
            <w:r>
              <w:rPr>
                <w:rFonts w:hint="eastAsia" w:ascii="宋体" w:hAnsi="宋体" w:cs="宋体"/>
                <w:b/>
                <w:bCs/>
                <w:color w:val="auto"/>
                <w:sz w:val="22"/>
                <w:szCs w:val="22"/>
                <w:u w:val="single"/>
              </w:rPr>
              <w:t>“信用中国”(www.creditchina.gov.cn) 信用记录网页截图相关说明</w:t>
            </w:r>
            <w:r>
              <w:rPr>
                <w:rFonts w:hint="eastAsia" w:ascii="宋体" w:hAnsi="宋体" w:cs="宋体"/>
                <w:bCs/>
                <w:color w:val="auto"/>
                <w:sz w:val="22"/>
                <w:szCs w:val="22"/>
              </w:rPr>
              <w:t>：</w:t>
            </w:r>
          </w:p>
          <w:p>
            <w:pPr>
              <w:spacing w:line="360" w:lineRule="exact"/>
              <w:rPr>
                <w:rFonts w:ascii="宋体" w:hAnsi="宋体" w:cs="宋体"/>
                <w:bCs/>
                <w:color w:val="auto"/>
                <w:sz w:val="22"/>
                <w:szCs w:val="22"/>
              </w:rPr>
            </w:pPr>
            <w:r>
              <w:rPr>
                <w:rFonts w:hint="eastAsia" w:ascii="宋体" w:hAnsi="宋体" w:cs="宋体"/>
                <w:bCs/>
                <w:color w:val="auto"/>
                <w:sz w:val="22"/>
                <w:szCs w:val="22"/>
              </w:rPr>
              <w:t>①若供应商查询页面“行政处罚”栏显示有行政处罚事项，须将所有行政处罚事项在“信用中国”网页上列出的明细一并打印，并附说明，是否属于“经营活动中的重大违法记录”。</w:t>
            </w:r>
          </w:p>
          <w:p>
            <w:pPr>
              <w:spacing w:line="360" w:lineRule="exact"/>
              <w:rPr>
                <w:rFonts w:ascii="宋体" w:hAnsi="宋体" w:cs="宋体"/>
                <w:bCs/>
                <w:color w:val="auto"/>
                <w:sz w:val="22"/>
                <w:szCs w:val="22"/>
              </w:rPr>
            </w:pPr>
            <w:r>
              <w:rPr>
                <w:rFonts w:hint="eastAsia" w:ascii="宋体" w:hAnsi="宋体" w:cs="宋体"/>
                <w:bCs/>
                <w:color w:val="auto"/>
                <w:sz w:val="22"/>
                <w:szCs w:val="22"/>
              </w:rPr>
              <w:t>②若供应商在“信用中国”无数据，亦须将搜索结果页面打印，并附说明。</w:t>
            </w:r>
          </w:p>
          <w:p>
            <w:pPr>
              <w:spacing w:line="360" w:lineRule="exact"/>
              <w:rPr>
                <w:rFonts w:ascii="宋体" w:hAnsi="宋体" w:cs="宋体"/>
                <w:color w:val="auto"/>
              </w:rPr>
            </w:pPr>
            <w:r>
              <w:rPr>
                <w:rFonts w:hint="eastAsia" w:ascii="宋体" w:hAnsi="宋体" w:cs="宋体"/>
                <w:bCs/>
                <w:color w:val="auto"/>
                <w:sz w:val="22"/>
                <w:szCs w:val="22"/>
              </w:rPr>
              <w:t>（7）具体结果以开标当日采购人或采购代理机构对</w:t>
            </w:r>
            <w:r>
              <w:rPr>
                <w:rFonts w:hint="eastAsia" w:ascii="宋体" w:hAnsi="宋体" w:cs="宋体"/>
                <w:color w:val="auto"/>
                <w:kern w:val="0"/>
                <w:sz w:val="22"/>
                <w:szCs w:val="22"/>
              </w:rPr>
              <w:t>投标人信用查询网页的</w:t>
            </w:r>
            <w:r>
              <w:rPr>
                <w:rFonts w:hint="eastAsia" w:ascii="宋体" w:hAnsi="宋体" w:cs="宋体"/>
                <w:bCs/>
                <w:color w:val="auto"/>
                <w:sz w:val="22"/>
                <w:szCs w:val="22"/>
              </w:rPr>
              <w:t>查询结果为准。</w:t>
            </w:r>
          </w:p>
        </w:tc>
      </w:tr>
      <w:tr>
        <w:tblPrEx>
          <w:tblCellMar>
            <w:top w:w="0" w:type="dxa"/>
            <w:left w:w="108" w:type="dxa"/>
            <w:bottom w:w="0" w:type="dxa"/>
            <w:right w:w="108" w:type="dxa"/>
          </w:tblCellMar>
        </w:tblPrEx>
        <w:trPr>
          <w:trHeight w:val="274"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28</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sz w:val="22"/>
                <w:szCs w:val="22"/>
              </w:rPr>
              <w:t>合同备案</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left"/>
              <w:rPr>
                <w:rFonts w:ascii="宋体" w:hAnsi="宋体" w:cs="宋体"/>
                <w:color w:val="auto"/>
                <w:sz w:val="22"/>
                <w:szCs w:val="22"/>
              </w:rPr>
            </w:pPr>
            <w:r>
              <w:rPr>
                <w:rFonts w:hint="eastAsia" w:ascii="宋体" w:hAnsi="宋体" w:cs="宋体"/>
                <w:color w:val="auto"/>
                <w:sz w:val="22"/>
                <w:szCs w:val="22"/>
              </w:rPr>
              <w:t>（1）中标人须在中标通知书发出之日起</w:t>
            </w:r>
            <w:r>
              <w:rPr>
                <w:rFonts w:ascii="宋体" w:hAnsi="宋体" w:cs="宋体"/>
                <w:color w:val="auto"/>
                <w:sz w:val="22"/>
                <w:szCs w:val="22"/>
              </w:rPr>
              <w:t>30</w:t>
            </w:r>
            <w:r>
              <w:rPr>
                <w:rFonts w:hint="eastAsia" w:ascii="宋体" w:hAnsi="宋体" w:cs="宋体"/>
                <w:color w:val="auto"/>
                <w:sz w:val="22"/>
                <w:szCs w:val="22"/>
              </w:rPr>
              <w:t>日历天内与采购人签订合同。</w:t>
            </w:r>
          </w:p>
          <w:p>
            <w:pPr>
              <w:spacing w:line="360" w:lineRule="exact"/>
              <w:jc w:val="left"/>
              <w:rPr>
                <w:rFonts w:ascii="宋体" w:hAnsi="宋体" w:cs="宋体"/>
                <w:color w:val="auto"/>
                <w:kern w:val="0"/>
                <w:sz w:val="22"/>
                <w:szCs w:val="22"/>
              </w:rPr>
            </w:pPr>
            <w:r>
              <w:rPr>
                <w:rFonts w:hint="eastAsia" w:ascii="宋体" w:hAnsi="宋体" w:cs="宋体"/>
                <w:color w:val="auto"/>
                <w:sz w:val="22"/>
                <w:szCs w:val="22"/>
              </w:rPr>
              <w:t>（2）中标人与采购人签订合同后，2日历天内将合同扫描件电子版发给采购代理机构邮箱：</w:t>
            </w:r>
            <w:r>
              <w:rPr>
                <w:rFonts w:hint="eastAsia" w:ascii="宋体" w:hAnsi="宋体" w:cs="宋体"/>
                <w:b/>
                <w:color w:val="auto"/>
                <w:sz w:val="22"/>
                <w:szCs w:val="22"/>
                <w:u w:val="single"/>
              </w:rPr>
              <w:t>ye462978466@qq.com</w:t>
            </w:r>
            <w:r>
              <w:rPr>
                <w:rFonts w:hint="eastAsia" w:ascii="宋体" w:hAnsi="宋体" w:cs="宋体"/>
                <w:color w:val="auto"/>
                <w:sz w:val="22"/>
                <w:szCs w:val="22"/>
              </w:rPr>
              <w:t>。</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29</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sz w:val="22"/>
                <w:szCs w:val="22"/>
              </w:rPr>
              <w:t>合同履约管理</w:t>
            </w:r>
          </w:p>
        </w:tc>
        <w:tc>
          <w:tcPr>
            <w:tcW w:w="74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topLinePunct w:val="0"/>
              <w:bidi w:val="0"/>
              <w:spacing w:line="360" w:lineRule="auto"/>
              <w:textAlignment w:val="auto"/>
              <w:rPr>
                <w:rFonts w:ascii="宋体" w:hAnsi="宋体" w:cs="宋体"/>
                <w:color w:val="auto"/>
                <w:kern w:val="0"/>
                <w:sz w:val="22"/>
                <w:szCs w:val="22"/>
                <w:lang w:val="zh-CN"/>
              </w:rPr>
            </w:pPr>
            <w:r>
              <w:rPr>
                <w:rFonts w:hint="eastAsia" w:ascii="宋体" w:hAnsi="宋体" w:cs="宋体"/>
                <w:color w:val="auto"/>
                <w:sz w:val="22"/>
                <w:szCs w:val="22"/>
              </w:rPr>
              <w:t>合同签订后，采购人依法加强对合同履约进行管理，并在中标单位服务、项目验收等重要关节，</w:t>
            </w:r>
            <w:r>
              <w:rPr>
                <w:rFonts w:hint="eastAsia" w:ascii="宋体" w:hAnsi="宋体" w:cs="宋体"/>
                <w:b w:val="0"/>
                <w:bCs/>
                <w:sz w:val="22"/>
                <w:szCs w:val="22"/>
                <w:highlight w:val="none"/>
                <w:lang w:val="en-US" w:eastAsia="zh-CN"/>
              </w:rPr>
              <w:t>按照《温州市政府采购履约验收办法》相关要求进行项目验收，</w:t>
            </w:r>
            <w:r>
              <w:rPr>
                <w:rFonts w:hint="eastAsia" w:ascii="宋体" w:hAnsi="宋体" w:cs="宋体"/>
                <w:color w:val="auto"/>
                <w:sz w:val="22"/>
                <w:szCs w:val="22"/>
              </w:rPr>
              <w:t>如实填写《合同</w:t>
            </w:r>
            <w:r>
              <w:rPr>
                <w:rFonts w:hint="eastAsia" w:ascii="宋体" w:hAnsi="宋体" w:cs="宋体"/>
                <w:color w:val="auto"/>
                <w:sz w:val="22"/>
                <w:szCs w:val="22"/>
                <w:lang w:val="en-US" w:eastAsia="zh-CN"/>
              </w:rPr>
              <w:t>履约</w:t>
            </w:r>
            <w:r>
              <w:rPr>
                <w:rFonts w:hint="eastAsia" w:ascii="宋体" w:hAnsi="宋体" w:cs="宋体"/>
                <w:color w:val="auto"/>
                <w:sz w:val="22"/>
                <w:szCs w:val="22"/>
              </w:rPr>
              <w:t>验收报告》（或考核资料），并及时向同级财政部门报告验收过程中遇到的问题。</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30</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kern w:val="0"/>
                <w:sz w:val="22"/>
                <w:szCs w:val="22"/>
                <w:lang w:val="zh-CN"/>
              </w:rPr>
            </w:pPr>
            <w:r>
              <w:rPr>
                <w:rFonts w:hint="eastAsia" w:ascii="宋体" w:hAnsi="宋体" w:cs="宋体"/>
                <w:color w:val="auto"/>
                <w:sz w:val="22"/>
                <w:szCs w:val="22"/>
              </w:rPr>
              <w:t>解释权</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ascii="宋体" w:hAnsi="宋体" w:cs="宋体"/>
                <w:color w:val="auto"/>
                <w:kern w:val="0"/>
                <w:sz w:val="22"/>
                <w:szCs w:val="22"/>
                <w:lang w:val="zh-CN"/>
              </w:rPr>
            </w:pPr>
            <w:r>
              <w:rPr>
                <w:rFonts w:hint="eastAsia" w:ascii="宋体" w:hAnsi="宋体" w:cs="宋体"/>
                <w:color w:val="auto"/>
                <w:sz w:val="22"/>
                <w:szCs w:val="22"/>
              </w:rPr>
              <w:t>构成本采购文件的各个组成文件应互为解释，互为说明；如有不明确或不一致，构成合同文件组成内容的，以合同文件约定内容为准，且以专用合同条款约定的合同文件优先顺序解释；仅适用于采购投标阶段的约定，按采购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trHeight w:val="456"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31</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采购代理服务费</w:t>
            </w:r>
          </w:p>
        </w:tc>
        <w:tc>
          <w:tcPr>
            <w:tcW w:w="7419" w:type="dxa"/>
            <w:tcBorders>
              <w:top w:val="single" w:color="auto" w:sz="4" w:space="0"/>
              <w:left w:val="single" w:color="auto" w:sz="4" w:space="0"/>
              <w:bottom w:val="single" w:color="auto" w:sz="4" w:space="0"/>
              <w:right w:val="single" w:color="auto" w:sz="4" w:space="0"/>
            </w:tcBorders>
            <w:noWrap/>
            <w:vAlign w:val="center"/>
          </w:tcPr>
          <w:p>
            <w:pPr>
              <w:numPr>
                <w:ilvl w:val="0"/>
                <w:numId w:val="17"/>
              </w:numPr>
              <w:rPr>
                <w:rFonts w:ascii="宋体" w:hAnsi="宋体" w:cs="宋体"/>
                <w:color w:val="auto"/>
                <w:sz w:val="22"/>
                <w:szCs w:val="22"/>
                <w:highlight w:val="none"/>
              </w:rPr>
            </w:pPr>
            <w:r>
              <w:rPr>
                <w:rStyle w:val="262"/>
                <w:rFonts w:ascii="新宋体" w:hAnsi="新宋体" w:eastAsia="新宋体"/>
                <w:color w:val="auto"/>
                <w:sz w:val="22"/>
                <w:szCs w:val="22"/>
                <w:highlight w:val="none"/>
              </w:rPr>
              <w:t>招标代理服务费按</w:t>
            </w:r>
            <w:r>
              <w:rPr>
                <w:rStyle w:val="262"/>
                <w:rFonts w:hint="eastAsia" w:ascii="新宋体" w:hAnsi="新宋体" w:eastAsia="新宋体"/>
                <w:color w:val="auto"/>
                <w:sz w:val="22"/>
                <w:szCs w:val="22"/>
                <w:highlight w:val="none"/>
              </w:rPr>
              <w:t>固定金额人民币壹万玖仟元整收取</w:t>
            </w:r>
            <w:r>
              <w:rPr>
                <w:rStyle w:val="262"/>
                <w:rFonts w:ascii="新宋体" w:hAnsi="新宋体" w:eastAsia="新宋体"/>
                <w:color w:val="auto"/>
                <w:sz w:val="22"/>
                <w:szCs w:val="22"/>
                <w:highlight w:val="none"/>
              </w:rPr>
              <w:t>，</w:t>
            </w:r>
            <w:r>
              <w:rPr>
                <w:rStyle w:val="262"/>
                <w:rFonts w:hint="eastAsia" w:ascii="新宋体" w:hAnsi="新宋体" w:eastAsia="新宋体"/>
                <w:color w:val="auto"/>
                <w:sz w:val="22"/>
                <w:szCs w:val="22"/>
                <w:highlight w:val="none"/>
              </w:rPr>
              <w:t>由中标人</w:t>
            </w:r>
            <w:r>
              <w:rPr>
                <w:rStyle w:val="262"/>
                <w:rFonts w:ascii="新宋体" w:hAnsi="新宋体" w:eastAsia="新宋体"/>
                <w:color w:val="auto"/>
                <w:sz w:val="22"/>
                <w:szCs w:val="22"/>
                <w:highlight w:val="none"/>
              </w:rPr>
              <w:t>在领取中标通知书时向采购代理机构进行支付，该服务费须计入投标报价</w:t>
            </w:r>
            <w:r>
              <w:rPr>
                <w:rFonts w:hint="eastAsia" w:ascii="宋体" w:hAnsi="宋体" w:cs="宋体"/>
                <w:color w:val="auto"/>
                <w:sz w:val="22"/>
                <w:szCs w:val="22"/>
                <w:highlight w:val="none"/>
              </w:rPr>
              <w:t>。</w:t>
            </w:r>
          </w:p>
          <w:p>
            <w:pPr>
              <w:numPr>
                <w:ilvl w:val="0"/>
                <w:numId w:val="17"/>
              </w:numPr>
              <w:rPr>
                <w:rFonts w:ascii="宋体" w:hAnsi="宋体" w:cs="新宋体"/>
                <w:color w:val="auto"/>
                <w:sz w:val="22"/>
                <w:szCs w:val="22"/>
                <w:highlight w:val="none"/>
              </w:rPr>
            </w:pPr>
            <w:r>
              <w:rPr>
                <w:rFonts w:hint="eastAsia" w:ascii="宋体" w:hAnsi="宋体" w:cs="新宋体"/>
                <w:color w:val="auto"/>
                <w:sz w:val="22"/>
                <w:szCs w:val="22"/>
                <w:highlight w:val="none"/>
              </w:rPr>
              <w:t>采购代理服务费可以是现金、支票或汇票。</w:t>
            </w:r>
            <w:r>
              <w:rPr>
                <w:rFonts w:hint="eastAsia" w:ascii="新宋体" w:hAnsi="新宋体" w:eastAsia="新宋体"/>
                <w:color w:val="auto"/>
                <w:kern w:val="0"/>
                <w:sz w:val="22"/>
                <w:szCs w:val="22"/>
                <w:highlight w:val="none"/>
              </w:rPr>
              <w:t>代理机构仅提供增值税普通发票</w:t>
            </w:r>
            <w:r>
              <w:rPr>
                <w:rFonts w:hint="eastAsia" w:ascii="宋体" w:hAnsi="宋体" w:cs="宋体"/>
                <w:color w:val="auto"/>
                <w:sz w:val="22"/>
                <w:szCs w:val="22"/>
                <w:highlight w:val="none"/>
              </w:rPr>
              <w:t>。</w:t>
            </w:r>
          </w:p>
          <w:p>
            <w:pPr>
              <w:rPr>
                <w:rFonts w:ascii="宋体" w:hAnsi="宋体"/>
                <w:color w:val="auto"/>
                <w:sz w:val="22"/>
                <w:szCs w:val="22"/>
                <w:highlight w:val="none"/>
              </w:rPr>
            </w:pPr>
            <w:r>
              <w:rPr>
                <w:rFonts w:hint="eastAsia" w:ascii="宋体" w:hAnsi="宋体"/>
                <w:color w:val="auto"/>
                <w:sz w:val="22"/>
                <w:szCs w:val="22"/>
                <w:highlight w:val="none"/>
              </w:rPr>
              <w:t>（3）收款账户户名：温州市智信招标代理有限公司</w:t>
            </w:r>
          </w:p>
          <w:p>
            <w:pPr>
              <w:ind w:firstLine="550" w:firstLineChars="250"/>
              <w:rPr>
                <w:rFonts w:ascii="宋体" w:hAnsi="宋体"/>
                <w:color w:val="auto"/>
                <w:sz w:val="22"/>
                <w:szCs w:val="22"/>
                <w:highlight w:val="none"/>
              </w:rPr>
            </w:pPr>
            <w:r>
              <w:rPr>
                <w:rFonts w:hint="eastAsia" w:ascii="宋体" w:hAnsi="宋体"/>
                <w:color w:val="auto"/>
                <w:sz w:val="22"/>
                <w:szCs w:val="22"/>
                <w:highlight w:val="none"/>
              </w:rPr>
              <w:t>收款账号：333504140018800009390</w:t>
            </w:r>
          </w:p>
          <w:p>
            <w:pPr>
              <w:spacing w:line="360" w:lineRule="exact"/>
              <w:rPr>
                <w:rFonts w:ascii="宋体" w:hAnsi="宋体" w:cs="宋体"/>
                <w:color w:val="auto"/>
                <w:sz w:val="22"/>
                <w:szCs w:val="22"/>
                <w:highlight w:val="none"/>
              </w:rPr>
            </w:pPr>
            <w:r>
              <w:rPr>
                <w:rFonts w:hint="eastAsia" w:ascii="宋体" w:hAnsi="宋体"/>
                <w:color w:val="auto"/>
                <w:sz w:val="22"/>
                <w:szCs w:val="22"/>
                <w:highlight w:val="none"/>
              </w:rPr>
              <w:t>开户行：交通银行温州分行瓯海支行</w:t>
            </w:r>
          </w:p>
        </w:tc>
      </w:tr>
      <w:tr>
        <w:tblPrEx>
          <w:tblCellMar>
            <w:top w:w="0" w:type="dxa"/>
            <w:left w:w="108" w:type="dxa"/>
            <w:bottom w:w="0" w:type="dxa"/>
            <w:right w:w="108" w:type="dxa"/>
          </w:tblCellMar>
        </w:tblPrEx>
        <w:trPr>
          <w:trHeight w:val="737"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32</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宋体" w:hAnsi="宋体" w:cs="宋体"/>
                <w:color w:val="auto"/>
                <w:sz w:val="22"/>
                <w:szCs w:val="22"/>
              </w:rPr>
            </w:pPr>
            <w:r>
              <w:rPr>
                <w:rFonts w:hint="eastAsia" w:ascii="宋体" w:hAnsi="宋体" w:cs="宋体"/>
                <w:color w:val="auto"/>
                <w:sz w:val="22"/>
                <w:szCs w:val="22"/>
              </w:rPr>
              <w:t>项目类型及行业</w:t>
            </w:r>
          </w:p>
        </w:tc>
        <w:tc>
          <w:tcPr>
            <w:tcW w:w="7419" w:type="dxa"/>
            <w:tcBorders>
              <w:top w:val="single" w:color="auto" w:sz="4" w:space="0"/>
              <w:left w:val="single" w:color="auto" w:sz="4" w:space="0"/>
              <w:bottom w:val="single" w:color="auto" w:sz="4" w:space="0"/>
              <w:right w:val="single" w:color="auto" w:sz="4" w:space="0"/>
            </w:tcBorders>
            <w:noWrap/>
            <w:vAlign w:val="center"/>
          </w:tcPr>
          <w:p>
            <w:pPr>
              <w:spacing w:line="360" w:lineRule="exact"/>
              <w:ind w:firstLine="110" w:firstLineChars="50"/>
              <w:rPr>
                <w:rFonts w:ascii="宋体" w:hAnsi="宋体" w:cs="宋体"/>
                <w:color w:val="auto"/>
                <w:sz w:val="22"/>
                <w:szCs w:val="22"/>
              </w:rPr>
            </w:pPr>
            <w:r>
              <w:rPr>
                <w:rFonts w:hint="eastAsia" w:ascii="宋体" w:hAnsi="宋体" w:cs="宋体"/>
                <w:color w:val="auto"/>
                <w:sz w:val="22"/>
                <w:szCs w:val="22"/>
              </w:rPr>
              <w:t>服务类  所属行业：软件和信息技术服务业</w:t>
            </w:r>
          </w:p>
        </w:tc>
      </w:tr>
      <w:tr>
        <w:tblPrEx>
          <w:tblCellMar>
            <w:top w:w="0" w:type="dxa"/>
            <w:left w:w="108" w:type="dxa"/>
            <w:bottom w:w="0" w:type="dxa"/>
            <w:right w:w="108" w:type="dxa"/>
          </w:tblCellMar>
        </w:tblPrEx>
        <w:trPr>
          <w:trHeight w:val="850" w:hRule="atLeast"/>
          <w:jc w:val="center"/>
        </w:trPr>
        <w:tc>
          <w:tcPr>
            <w:tcW w:w="6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22"/>
                <w:szCs w:val="22"/>
              </w:rPr>
            </w:pPr>
            <w:r>
              <w:rPr>
                <w:rFonts w:hint="eastAsia" w:ascii="宋体" w:hAnsi="宋体" w:cs="宋体"/>
                <w:color w:val="auto"/>
                <w:sz w:val="22"/>
                <w:szCs w:val="22"/>
              </w:rPr>
              <w:t>33</w:t>
            </w:r>
          </w:p>
        </w:tc>
        <w:tc>
          <w:tcPr>
            <w:tcW w:w="2037"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宋体" w:hAnsi="宋体" w:cs="宋体"/>
                <w:color w:val="auto"/>
                <w:sz w:val="22"/>
                <w:szCs w:val="22"/>
              </w:rPr>
            </w:pPr>
            <w:r>
              <w:rPr>
                <w:rFonts w:hint="eastAsia" w:ascii="宋体" w:hAnsi="宋体" w:cs="宋体"/>
                <w:color w:val="auto"/>
                <w:kern w:val="0"/>
                <w:sz w:val="22"/>
                <w:szCs w:val="22"/>
              </w:rPr>
              <w:t>联合体投标相关说明</w:t>
            </w:r>
          </w:p>
        </w:tc>
        <w:tc>
          <w:tcPr>
            <w:tcW w:w="7419"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auto"/>
                <w:sz w:val="22"/>
                <w:szCs w:val="22"/>
              </w:rPr>
            </w:pPr>
            <w:r>
              <w:rPr>
                <w:rFonts w:hint="eastAsia" w:ascii="宋体" w:hAnsi="宋体" w:cs="宋体"/>
                <w:color w:val="auto"/>
                <w:sz w:val="22"/>
                <w:szCs w:val="22"/>
              </w:rPr>
              <w:t>（1）供应商如为联合体，必须提供双方签章的联合体协议书，明确联合体牵头人和各方权利义务，并承诺就成交项目向采购人承担连带责任。</w:t>
            </w:r>
          </w:p>
          <w:p>
            <w:pPr>
              <w:jc w:val="left"/>
              <w:rPr>
                <w:rFonts w:ascii="宋体" w:hAnsi="宋体" w:cs="宋体"/>
                <w:color w:val="auto"/>
                <w:sz w:val="22"/>
                <w:szCs w:val="22"/>
              </w:rPr>
            </w:pPr>
            <w:r>
              <w:rPr>
                <w:rFonts w:hint="eastAsia" w:ascii="宋体" w:hAnsi="宋体" w:cs="宋体"/>
                <w:color w:val="auto"/>
                <w:sz w:val="22"/>
                <w:szCs w:val="22"/>
              </w:rPr>
              <w:t>（2）供应商如为联合体，联合体成员各方资格审查资料、企业证书、人员证书、业绩证明材料等复印件应由联合体成员各自盖章。</w:t>
            </w:r>
          </w:p>
          <w:p>
            <w:pPr>
              <w:pStyle w:val="23"/>
              <w:spacing w:after="0"/>
              <w:jc w:val="left"/>
              <w:rPr>
                <w:rFonts w:ascii="宋体" w:hAnsi="宋体" w:cs="宋体"/>
                <w:color w:val="auto"/>
                <w:sz w:val="22"/>
                <w:szCs w:val="22"/>
              </w:rPr>
            </w:pPr>
            <w:r>
              <w:rPr>
                <w:rFonts w:hint="eastAsia" w:ascii="宋体" w:hAnsi="宋体" w:cs="宋体"/>
                <w:color w:val="auto"/>
                <w:sz w:val="22"/>
                <w:szCs w:val="22"/>
              </w:rPr>
              <w:t>（3）由同一专业的单位组成的联合体，按照资质等级较低的单位确定资质等级。</w:t>
            </w:r>
          </w:p>
          <w:p>
            <w:pPr>
              <w:jc w:val="left"/>
              <w:rPr>
                <w:rFonts w:ascii="宋体" w:hAnsi="宋体" w:cs="宋体"/>
                <w:color w:val="auto"/>
                <w:sz w:val="22"/>
                <w:szCs w:val="22"/>
              </w:rPr>
            </w:pPr>
            <w:r>
              <w:rPr>
                <w:rFonts w:hint="eastAsia" w:ascii="宋体" w:hAnsi="宋体" w:cs="宋体"/>
                <w:color w:val="auto"/>
                <w:sz w:val="22"/>
                <w:szCs w:val="22"/>
              </w:rPr>
              <w:t>（4）其他文件可由联合体牵头方盖章。</w:t>
            </w:r>
          </w:p>
          <w:p>
            <w:pPr>
              <w:jc w:val="left"/>
              <w:rPr>
                <w:rFonts w:ascii="宋体" w:hAnsi="宋体" w:cs="宋体"/>
                <w:color w:val="auto"/>
                <w:sz w:val="22"/>
                <w:szCs w:val="22"/>
              </w:rPr>
            </w:pPr>
            <w:r>
              <w:rPr>
                <w:rFonts w:hint="eastAsia" w:ascii="宋体" w:hAnsi="宋体" w:cs="宋体"/>
                <w:color w:val="auto"/>
                <w:sz w:val="22"/>
                <w:szCs w:val="22"/>
              </w:rPr>
              <w:t>（5）供应商若为联合体，电子投标工作由联合体牵头方的账号制作电子投标文件并提交。</w:t>
            </w:r>
          </w:p>
          <w:p>
            <w:pPr>
              <w:jc w:val="left"/>
              <w:rPr>
                <w:rFonts w:ascii="宋体" w:hAnsi="宋体" w:cs="宋体"/>
                <w:color w:val="auto"/>
                <w:sz w:val="22"/>
                <w:szCs w:val="22"/>
              </w:rPr>
            </w:pPr>
            <w:r>
              <w:rPr>
                <w:rFonts w:hint="eastAsia" w:ascii="宋体" w:hAnsi="宋体" w:cs="宋体"/>
                <w:color w:val="auto"/>
                <w:sz w:val="22"/>
                <w:szCs w:val="22"/>
              </w:rPr>
              <w:t>（6）联合体各方不得再以自己名义单独或参加其他联合体在本项目中投标，否则各相关投标均无效。</w:t>
            </w:r>
          </w:p>
          <w:p>
            <w:pPr>
              <w:rPr>
                <w:rFonts w:ascii="宋体" w:hAnsi="宋体" w:cs="宋体"/>
                <w:color w:val="auto"/>
                <w:sz w:val="22"/>
                <w:szCs w:val="22"/>
              </w:rPr>
            </w:pPr>
            <w:r>
              <w:rPr>
                <w:rFonts w:hint="eastAsia" w:ascii="宋体" w:hAnsi="宋体" w:cs="宋体"/>
                <w:color w:val="auto"/>
                <w:sz w:val="22"/>
                <w:szCs w:val="22"/>
              </w:rPr>
              <w:t>（7）中标后，联合体各方根据联合体协议约定承担的项目采购内容与项目采购人签订政府采购合同。</w:t>
            </w:r>
          </w:p>
        </w:tc>
      </w:tr>
    </w:tbl>
    <w:p>
      <w:pPr>
        <w:spacing w:line="500" w:lineRule="exact"/>
        <w:rPr>
          <w:rFonts w:ascii="宋体" w:hAnsi="宋体" w:cs="宋体"/>
          <w:b/>
          <w:bCs/>
          <w:color w:val="auto"/>
          <w:sz w:val="36"/>
          <w:szCs w:val="36"/>
        </w:rPr>
      </w:pPr>
    </w:p>
    <w:p>
      <w:pPr>
        <w:spacing w:line="500" w:lineRule="exact"/>
        <w:jc w:val="center"/>
        <w:rPr>
          <w:rFonts w:ascii="宋体" w:hAnsi="宋体" w:cs="宋体"/>
          <w:b/>
          <w:bCs/>
          <w:color w:val="auto"/>
          <w:sz w:val="36"/>
          <w:szCs w:val="36"/>
        </w:rPr>
      </w:pPr>
    </w:p>
    <w:p>
      <w:pPr>
        <w:pStyle w:val="5"/>
        <w:spacing w:line="500" w:lineRule="exact"/>
        <w:jc w:val="center"/>
        <w:rPr>
          <w:rFonts w:ascii="宋体" w:hAnsi="宋体" w:eastAsia="宋体" w:cs="宋体"/>
          <w:color w:val="auto"/>
          <w:sz w:val="24"/>
          <w:szCs w:val="24"/>
        </w:rPr>
      </w:pPr>
      <w:r>
        <w:rPr>
          <w:rFonts w:hint="eastAsia" w:ascii="宋体" w:hAnsi="宋体" w:eastAsia="宋体" w:cs="宋体"/>
          <w:color w:val="auto"/>
          <w:sz w:val="36"/>
          <w:szCs w:val="36"/>
        </w:rPr>
        <w:br w:type="page"/>
      </w:r>
      <w:bookmarkStart w:id="3" w:name="_Toc58406683"/>
      <w:bookmarkStart w:id="4" w:name="_Toc222114876"/>
      <w:bookmarkStart w:id="5" w:name="_Toc221356883"/>
      <w:bookmarkStart w:id="6" w:name="_Toc221423616"/>
      <w:bookmarkStart w:id="7" w:name="_Toc223715995"/>
      <w:bookmarkStart w:id="8" w:name="_Toc221356948"/>
      <w:bookmarkStart w:id="9" w:name="_Toc265529380"/>
      <w:bookmarkStart w:id="10" w:name="_Toc34508130"/>
      <w:bookmarkStart w:id="11" w:name="_Toc241404199"/>
      <w:bookmarkStart w:id="12" w:name="_Toc221374623"/>
      <w:bookmarkStart w:id="13" w:name="_Toc239145351"/>
      <w:bookmarkStart w:id="14" w:name="_Toc393699549"/>
      <w:r>
        <w:rPr>
          <w:rFonts w:hint="eastAsia" w:ascii="宋体" w:hAnsi="宋体" w:eastAsia="宋体" w:cs="宋体"/>
          <w:color w:val="auto"/>
          <w:sz w:val="24"/>
          <w:szCs w:val="24"/>
        </w:rPr>
        <w:t>一、  说明</w:t>
      </w:r>
      <w:bookmarkEnd w:id="3"/>
      <w:bookmarkEnd w:id="4"/>
      <w:bookmarkEnd w:id="5"/>
      <w:bookmarkEnd w:id="6"/>
      <w:bookmarkEnd w:id="7"/>
      <w:bookmarkEnd w:id="8"/>
      <w:bookmarkEnd w:id="9"/>
      <w:bookmarkEnd w:id="10"/>
      <w:bookmarkEnd w:id="11"/>
      <w:bookmarkEnd w:id="12"/>
      <w:bookmarkEnd w:id="13"/>
    </w:p>
    <w:p>
      <w:pPr>
        <w:tabs>
          <w:tab w:val="left" w:pos="540"/>
          <w:tab w:val="left" w:pos="900"/>
        </w:tabs>
        <w:spacing w:line="460" w:lineRule="exact"/>
        <w:rPr>
          <w:rFonts w:ascii="宋体" w:hAnsi="宋体" w:cs="宋体"/>
          <w:color w:val="auto"/>
          <w:sz w:val="22"/>
          <w:szCs w:val="22"/>
        </w:rPr>
      </w:pPr>
      <w:r>
        <w:rPr>
          <w:rFonts w:hint="eastAsia" w:ascii="宋体" w:hAnsi="宋体" w:cs="宋体"/>
          <w:color w:val="auto"/>
          <w:sz w:val="22"/>
          <w:szCs w:val="22"/>
        </w:rPr>
        <w:t>1.本次采购是按照《中华人民共和国政府采购法》、《中华人民共和国政府采购法实施条例》、《政府采购货物和服务招标投标管理办法》和《关于进一步规范政府采购活动的若干意见》等法律及有关法规组织和实施的。</w:t>
      </w:r>
    </w:p>
    <w:p>
      <w:pPr>
        <w:tabs>
          <w:tab w:val="left" w:pos="540"/>
          <w:tab w:val="left" w:pos="900"/>
        </w:tabs>
        <w:spacing w:line="460" w:lineRule="exact"/>
        <w:rPr>
          <w:rFonts w:ascii="宋体" w:hAnsi="宋体" w:cs="宋体"/>
          <w:b/>
          <w:color w:val="auto"/>
          <w:sz w:val="22"/>
          <w:szCs w:val="22"/>
        </w:rPr>
      </w:pPr>
      <w:r>
        <w:rPr>
          <w:rFonts w:hint="eastAsia" w:ascii="宋体" w:hAnsi="宋体" w:cs="宋体"/>
          <w:b/>
          <w:color w:val="auto"/>
          <w:sz w:val="22"/>
          <w:szCs w:val="22"/>
        </w:rPr>
        <w:t>2.合格投标人要求以采购公告对投标人资格条件要求的表述为准。</w:t>
      </w:r>
    </w:p>
    <w:p>
      <w:pPr>
        <w:tabs>
          <w:tab w:val="left" w:pos="540"/>
          <w:tab w:val="left" w:pos="900"/>
        </w:tabs>
        <w:spacing w:line="460" w:lineRule="exact"/>
        <w:rPr>
          <w:rFonts w:ascii="宋体" w:hAnsi="宋体" w:cs="宋体"/>
          <w:color w:val="auto"/>
          <w:sz w:val="22"/>
          <w:szCs w:val="22"/>
        </w:rPr>
      </w:pPr>
      <w:r>
        <w:rPr>
          <w:rFonts w:hint="eastAsia" w:ascii="宋体" w:hAnsi="宋体" w:cs="宋体"/>
          <w:color w:val="auto"/>
          <w:sz w:val="22"/>
          <w:szCs w:val="22"/>
        </w:rPr>
        <w:t>3.投标人代表</w:t>
      </w:r>
    </w:p>
    <w:p>
      <w:pPr>
        <w:spacing w:line="460" w:lineRule="exact"/>
        <w:ind w:firstLine="440" w:firstLineChars="200"/>
        <w:rPr>
          <w:rFonts w:ascii="宋体" w:hAnsi="宋体" w:cs="宋体"/>
          <w:color w:val="auto"/>
          <w:sz w:val="22"/>
          <w:szCs w:val="22"/>
        </w:rPr>
      </w:pPr>
      <w:r>
        <w:rPr>
          <w:rFonts w:hint="eastAsia" w:ascii="宋体" w:hAnsi="宋体" w:cs="宋体"/>
          <w:color w:val="auto"/>
          <w:sz w:val="22"/>
          <w:szCs w:val="22"/>
        </w:rPr>
        <w:t>指全权代表投标人参加投标活动并签署投标文件的人。如果投标人代表不是法定代表人，须持有《法定代表人授权书》。</w:t>
      </w:r>
    </w:p>
    <w:p>
      <w:pPr>
        <w:tabs>
          <w:tab w:val="left" w:pos="540"/>
          <w:tab w:val="left" w:pos="900"/>
        </w:tabs>
        <w:spacing w:line="460" w:lineRule="exact"/>
        <w:rPr>
          <w:rFonts w:ascii="宋体" w:hAnsi="宋体" w:cs="宋体"/>
          <w:color w:val="auto"/>
          <w:sz w:val="22"/>
          <w:szCs w:val="22"/>
        </w:rPr>
      </w:pPr>
      <w:r>
        <w:rPr>
          <w:rFonts w:hint="eastAsia" w:ascii="宋体" w:hAnsi="宋体" w:cs="宋体"/>
          <w:color w:val="auto"/>
          <w:sz w:val="22"/>
          <w:szCs w:val="22"/>
        </w:rPr>
        <w:t>4.投标费用</w:t>
      </w:r>
    </w:p>
    <w:p>
      <w:pPr>
        <w:spacing w:line="440" w:lineRule="exact"/>
        <w:rPr>
          <w:rFonts w:ascii="宋体" w:hAnsi="宋体" w:cs="宋体"/>
          <w:color w:val="auto"/>
          <w:sz w:val="22"/>
          <w:szCs w:val="22"/>
        </w:rPr>
      </w:pPr>
      <w:r>
        <w:rPr>
          <w:rFonts w:hint="eastAsia" w:ascii="宋体" w:hAnsi="宋体" w:cs="宋体"/>
          <w:color w:val="auto"/>
          <w:sz w:val="22"/>
          <w:szCs w:val="22"/>
        </w:rPr>
        <w:t>4.1投标人应承担所有与准备和参加投标有关费用，不论投标的结果如何，采购人和采购代理机构均无义务和责任承担这些费用。</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5.优化政府采购金融服务</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5.1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5.2鼓励各金融机构与政采云平台合作，利用平台的业务协同和数据集合优势，积极开展政采贷、履约保函等金融服务。政采云平台应向金融机构提供有效增值服务，赋能金融机构推进线上普惠金融服务工作。鼓励金融机构推出有针对性的政府采购金融服务产品和优惠举措，满足供应商个性化金融服务需求。鼓励财政部门在进行财政专户资金竞争性存放和采购单位在进行公款竞争性存放中，将银行推进政采贷工作成效纳入综合评分指标体系。供应商申请政采贷，需要将采购合同收款变更开户行的，财政部门和采购单位应予以支持。供应商以银行、保险公司出具保函形式提交履约保证金的，采购单位不得拒收。鼓励金融机构按照相关要求，优化政采贷服务条件，有效满足企业流动性需求。</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6.特别说明：</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6.1投标人应仔细阅读采购文件的所有内容，按照采购文件的要求提交投标文件，并对所提供的全部资料的真实性承担法律责任。</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00" w:lineRule="exact"/>
        <w:ind w:firstLine="464" w:firstLineChars="200"/>
        <w:rPr>
          <w:rFonts w:ascii="宋体" w:hAnsi="宋体" w:cs="宋体"/>
          <w:bCs/>
          <w:color w:val="auto"/>
          <w:spacing w:val="6"/>
          <w:sz w:val="22"/>
        </w:rPr>
      </w:pPr>
      <w:r>
        <w:rPr>
          <w:rFonts w:hint="eastAsia" w:ascii="宋体" w:hAnsi="宋体" w:cs="宋体"/>
          <w:bCs/>
          <w:color w:val="auto"/>
          <w:spacing w:val="6"/>
          <w:sz w:val="22"/>
          <w:szCs w:val="22"/>
        </w:rPr>
        <w:t>非单一产品采购项目，采购人应当根据采购项目技术构成、产品价格比重等合理确定核心产品，并在采购文件中载明。多家投标人提供的核心产品品牌相同的，按前两款规定处理。</w:t>
      </w:r>
    </w:p>
    <w:p>
      <w:pPr>
        <w:spacing w:line="400" w:lineRule="exact"/>
        <w:ind w:firstLine="464" w:firstLineChars="200"/>
        <w:rPr>
          <w:rFonts w:ascii="宋体" w:hAnsi="宋体" w:cs="宋体"/>
          <w:bCs/>
          <w:color w:val="auto"/>
          <w:spacing w:val="6"/>
          <w:sz w:val="22"/>
        </w:rPr>
      </w:pPr>
      <w:r>
        <w:rPr>
          <w:rFonts w:hint="eastAsia" w:ascii="宋体" w:hAnsi="宋体" w:cs="宋体"/>
          <w:bCs/>
          <w:color w:val="auto"/>
          <w:spacing w:val="6"/>
          <w:sz w:val="22"/>
          <w:szCs w:val="22"/>
        </w:rPr>
        <w:t>注：所有核心产品品牌均相同按同品牌投标人计算。</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spacing w:line="460" w:lineRule="exact"/>
        <w:rPr>
          <w:rFonts w:ascii="宋体" w:hAnsi="宋体" w:cs="宋体"/>
          <w:color w:val="auto"/>
          <w:sz w:val="22"/>
          <w:szCs w:val="22"/>
        </w:rPr>
      </w:pPr>
      <w:r>
        <w:rPr>
          <w:rFonts w:hint="eastAsia" w:ascii="宋体" w:hAnsi="宋体" w:cs="宋体"/>
          <w:bCs/>
          <w:color w:val="auto"/>
          <w:spacing w:val="6"/>
          <w:sz w:val="22"/>
          <w:szCs w:val="22"/>
        </w:rPr>
        <w:t>6.5</w:t>
      </w:r>
      <w:r>
        <w:rPr>
          <w:rFonts w:hint="eastAsia" w:ascii="宋体" w:hAnsi="宋体" w:cs="宋体"/>
          <w:bCs/>
          <w:color w:val="auto"/>
          <w:kern w:val="0"/>
          <w:sz w:val="22"/>
          <w:szCs w:val="22"/>
          <w:lang w:val="zh-CN"/>
        </w:rPr>
        <w:t>非浙江政府采购网注册的供应商或发生变更且未及时更新的供应商，应当在规定时间内按照《浙江省政府采购投标人注册及诚信管理暂行办法》（浙财采监字［2009］28号）的相关规定及时办理更新或供应商注册事项。一旦被确定为中标人的，在合同签订前按本办法的规定完成注册并成为正式注册供应商。</w:t>
      </w:r>
    </w:p>
    <w:p>
      <w:pPr>
        <w:pStyle w:val="5"/>
        <w:spacing w:line="500" w:lineRule="exact"/>
        <w:jc w:val="center"/>
        <w:rPr>
          <w:rFonts w:ascii="宋体" w:hAnsi="宋体" w:eastAsia="宋体" w:cs="宋体"/>
          <w:color w:val="auto"/>
          <w:sz w:val="24"/>
          <w:szCs w:val="24"/>
        </w:rPr>
      </w:pPr>
      <w:bookmarkStart w:id="15" w:name="_Toc239145352"/>
      <w:bookmarkStart w:id="16" w:name="_Toc265529381"/>
      <w:bookmarkStart w:id="17" w:name="_Toc221423617"/>
      <w:bookmarkStart w:id="18" w:name="_Toc223715996"/>
      <w:bookmarkStart w:id="19" w:name="_Toc221374624"/>
      <w:bookmarkStart w:id="20" w:name="_Toc221356884"/>
      <w:bookmarkStart w:id="21" w:name="_Toc34508131"/>
      <w:bookmarkStart w:id="22" w:name="_Toc241404200"/>
      <w:bookmarkStart w:id="23" w:name="_Toc58406684"/>
      <w:bookmarkStart w:id="24" w:name="_Toc222114877"/>
      <w:bookmarkStart w:id="25" w:name="_Toc221356949"/>
      <w:r>
        <w:rPr>
          <w:rFonts w:hint="eastAsia" w:ascii="宋体" w:hAnsi="宋体" w:eastAsia="宋体" w:cs="宋体"/>
          <w:color w:val="auto"/>
          <w:sz w:val="24"/>
          <w:szCs w:val="24"/>
        </w:rPr>
        <w:t>二、 采购文件</w:t>
      </w:r>
      <w:bookmarkEnd w:id="15"/>
      <w:bookmarkEnd w:id="16"/>
      <w:bookmarkEnd w:id="17"/>
      <w:bookmarkEnd w:id="18"/>
      <w:bookmarkEnd w:id="19"/>
      <w:bookmarkEnd w:id="20"/>
      <w:bookmarkEnd w:id="21"/>
      <w:bookmarkEnd w:id="22"/>
      <w:bookmarkEnd w:id="23"/>
      <w:bookmarkEnd w:id="24"/>
      <w:bookmarkEnd w:id="25"/>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7.采购文件由采购文件目录所列内容及相关资料组成。</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8.质疑</w:t>
      </w:r>
    </w:p>
    <w:p>
      <w:pPr>
        <w:tabs>
          <w:tab w:val="left" w:pos="540"/>
        </w:tabs>
        <w:spacing w:line="460" w:lineRule="exact"/>
        <w:rPr>
          <w:rFonts w:ascii="宋体" w:hAnsi="宋体" w:cs="宋体"/>
          <w:color w:val="auto"/>
          <w:spacing w:val="6"/>
          <w:sz w:val="22"/>
        </w:rPr>
      </w:pPr>
      <w:r>
        <w:rPr>
          <w:rFonts w:hint="eastAsia" w:ascii="宋体" w:hAnsi="宋体" w:cs="宋体"/>
          <w:color w:val="auto"/>
          <w:sz w:val="22"/>
          <w:szCs w:val="22"/>
        </w:rPr>
        <w:t>8.1</w:t>
      </w:r>
      <w:r>
        <w:rPr>
          <w:rFonts w:hint="eastAsia" w:ascii="宋体" w:hAnsi="宋体" w:cs="宋体"/>
          <w:color w:val="auto"/>
          <w:spacing w:val="6"/>
          <w:sz w:val="22"/>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ascii="宋体" w:hAnsi="宋体" w:cs="宋体"/>
          <w:color w:val="auto"/>
          <w:spacing w:val="6"/>
          <w:sz w:val="22"/>
        </w:rPr>
      </w:pPr>
      <w:r>
        <w:rPr>
          <w:rFonts w:hint="eastAsia" w:ascii="宋体" w:hAnsi="宋体" w:cs="宋体"/>
          <w:color w:val="auto"/>
          <w:spacing w:val="6"/>
          <w:sz w:val="22"/>
        </w:rPr>
        <w:t>8.2投标人提出质疑应当提交质疑函和必要的证明材料，质疑函范本请到“浙江政府采购网下载专区”下载，质疑函内容及签署等相关要求请参看《政府采购质疑和投诉办法》相关规定。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ascii="宋体" w:hAnsi="宋体" w:cs="宋体"/>
          <w:bCs/>
          <w:color w:val="auto"/>
          <w:spacing w:val="6"/>
          <w:sz w:val="22"/>
        </w:rPr>
      </w:pPr>
      <w:r>
        <w:rPr>
          <w:rFonts w:hint="eastAsia" w:ascii="宋体" w:hAnsi="宋体" w:cs="宋体"/>
          <w:color w:val="auto"/>
          <w:spacing w:val="6"/>
          <w:sz w:val="22"/>
        </w:rPr>
        <w:t>8.3提出质疑的投标人应当是参与本项目采购活动的投标人。</w:t>
      </w:r>
      <w:r>
        <w:rPr>
          <w:rFonts w:hint="eastAsia" w:ascii="宋体" w:hAnsi="宋体" w:cs="宋体"/>
          <w:bCs/>
          <w:color w:val="auto"/>
          <w:spacing w:val="6"/>
          <w:sz w:val="22"/>
        </w:rPr>
        <w:t>投标人在法定质疑期内一次性提出针对同一采购程序环节的质疑。</w:t>
      </w:r>
    </w:p>
    <w:p>
      <w:pPr>
        <w:tabs>
          <w:tab w:val="left" w:pos="540"/>
        </w:tabs>
        <w:spacing w:line="460" w:lineRule="exact"/>
        <w:rPr>
          <w:rFonts w:ascii="宋体" w:hAnsi="宋体" w:cs="宋体"/>
          <w:color w:val="auto"/>
          <w:spacing w:val="6"/>
          <w:sz w:val="22"/>
        </w:rPr>
      </w:pPr>
      <w:r>
        <w:rPr>
          <w:rFonts w:hint="eastAsia" w:ascii="宋体" w:hAnsi="宋体" w:cs="宋体"/>
          <w:bCs/>
          <w:color w:val="auto"/>
          <w:spacing w:val="6"/>
          <w:sz w:val="22"/>
        </w:rPr>
        <w:t>8.4</w:t>
      </w:r>
      <w:r>
        <w:rPr>
          <w:rFonts w:hint="eastAsia" w:ascii="宋体" w:hAnsi="宋体" w:cs="宋体"/>
          <w:color w:val="auto"/>
          <w:spacing w:val="6"/>
          <w:sz w:val="22"/>
        </w:rPr>
        <w:t>根据《政府采购质疑和投诉办法》第三十七条的规定，投诉人在全国范围12个月内三次以上投诉查无实据的，由财政部门列入不良行为记录名单。</w:t>
      </w:r>
    </w:p>
    <w:p>
      <w:pPr>
        <w:tabs>
          <w:tab w:val="left" w:pos="540"/>
        </w:tabs>
        <w:spacing w:line="460" w:lineRule="exact"/>
        <w:rPr>
          <w:rFonts w:ascii="宋体" w:hAnsi="宋体" w:cs="宋体"/>
          <w:color w:val="auto"/>
          <w:spacing w:val="6"/>
          <w:sz w:val="22"/>
        </w:rPr>
      </w:pPr>
      <w:r>
        <w:rPr>
          <w:rFonts w:hint="eastAsia" w:ascii="宋体" w:hAnsi="宋体" w:cs="宋体"/>
          <w:color w:val="auto"/>
          <w:spacing w:val="6"/>
          <w:sz w:val="22"/>
        </w:rPr>
        <w:t>9.投诉</w:t>
      </w:r>
    </w:p>
    <w:p>
      <w:pPr>
        <w:tabs>
          <w:tab w:val="left" w:pos="540"/>
        </w:tabs>
        <w:spacing w:line="460" w:lineRule="exact"/>
        <w:rPr>
          <w:rFonts w:ascii="宋体" w:hAnsi="宋体" w:cs="宋体"/>
          <w:color w:val="auto"/>
          <w:sz w:val="22"/>
          <w:szCs w:val="22"/>
        </w:rPr>
      </w:pPr>
      <w:r>
        <w:rPr>
          <w:rFonts w:hint="eastAsia" w:ascii="宋体" w:hAnsi="宋体" w:cs="宋体"/>
          <w:color w:val="auto"/>
          <w:spacing w:val="6"/>
          <w:sz w:val="22"/>
        </w:rPr>
        <w:t>9.1质疑投标人对采购人、采购代理机构的答复不满意或者采购人、采购代理机构未在规定的时间内作出答复的，可以在答复期满后十五个工作日内向同级采购监督部门投诉。投诉书范本请到“浙江政府采购网下载专区”下载。</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10.采购文件的澄清或修改</w:t>
      </w:r>
    </w:p>
    <w:p>
      <w:pPr>
        <w:spacing w:line="400" w:lineRule="exact"/>
        <w:rPr>
          <w:rFonts w:ascii="宋体" w:hAnsi="宋体" w:cs="宋体"/>
          <w:color w:val="auto"/>
          <w:spacing w:val="6"/>
          <w:sz w:val="22"/>
        </w:rPr>
      </w:pPr>
      <w:r>
        <w:rPr>
          <w:rFonts w:hint="eastAsia" w:ascii="宋体" w:hAnsi="宋体" w:cs="宋体"/>
          <w:color w:val="auto"/>
          <w:spacing w:val="6"/>
          <w:sz w:val="22"/>
        </w:rPr>
        <w:t>10.1采购人或者采购代理机构可以对已发出的采购文件进行必要的澄清或者修改。澄清或者修改在浙江政府采购网上发布公告，同时政采云系统会向所有已按采购文件规定方式获取采购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澄清或者修改的内容为采购文件的组成部分。</w:t>
      </w:r>
    </w:p>
    <w:p>
      <w:pPr>
        <w:spacing w:line="400" w:lineRule="exact"/>
        <w:rPr>
          <w:rFonts w:ascii="宋体" w:hAnsi="宋体" w:cs="宋体"/>
          <w:color w:val="auto"/>
          <w:spacing w:val="6"/>
          <w:sz w:val="22"/>
        </w:rPr>
      </w:pPr>
      <w:r>
        <w:rPr>
          <w:rFonts w:hint="eastAsia" w:ascii="宋体" w:hAnsi="宋体" w:cs="宋体"/>
          <w:color w:val="auto"/>
          <w:spacing w:val="6"/>
          <w:sz w:val="22"/>
        </w:rPr>
        <w:t>10.2澄清或者修改的内容可能影响投标文件编制的，采购人或者采购代理机构应当在投标截止时间至少15日前，以书面形式（</w:t>
      </w:r>
      <w:r>
        <w:rPr>
          <w:rFonts w:hint="eastAsia" w:ascii="宋体" w:hAnsi="宋体" w:cs="宋体"/>
          <w:bCs/>
          <w:color w:val="auto"/>
          <w:spacing w:val="6"/>
        </w:rPr>
        <w:t>在浙江政府采购网上发布公告</w:t>
      </w:r>
      <w:r>
        <w:rPr>
          <w:rFonts w:hint="eastAsia" w:ascii="宋体" w:hAnsi="宋体" w:cs="宋体"/>
          <w:color w:val="auto"/>
          <w:spacing w:val="6"/>
          <w:sz w:val="22"/>
        </w:rPr>
        <w:t>）通知所有获取采购文件的潜在投标人；不足15日的，采购人或者采购代理机构应当顺延提交投标文件的截止时间。</w:t>
      </w:r>
    </w:p>
    <w:p>
      <w:pPr>
        <w:tabs>
          <w:tab w:val="left" w:pos="540"/>
        </w:tabs>
        <w:spacing w:line="460" w:lineRule="exact"/>
        <w:rPr>
          <w:rFonts w:ascii="宋体" w:hAnsi="宋体" w:cs="宋体"/>
          <w:color w:val="auto"/>
          <w:sz w:val="22"/>
          <w:szCs w:val="22"/>
        </w:rPr>
      </w:pPr>
      <w:r>
        <w:rPr>
          <w:rFonts w:hint="eastAsia" w:ascii="宋体" w:hAnsi="宋体" w:cs="宋体"/>
          <w:color w:val="auto"/>
          <w:spacing w:val="6"/>
          <w:sz w:val="22"/>
        </w:rPr>
        <w:t>10.3采购文件如有补充更正均见“政采云”（http://www.zcygov.cn）。投标人须在开标前一日自行查看是否有补充更正文件，并按补充更正文件要求投标，否则责任自负。</w:t>
      </w:r>
    </w:p>
    <w:p>
      <w:pPr>
        <w:pStyle w:val="5"/>
        <w:spacing w:line="500" w:lineRule="exact"/>
        <w:jc w:val="center"/>
        <w:rPr>
          <w:rFonts w:ascii="宋体" w:hAnsi="宋体" w:eastAsia="宋体" w:cs="宋体"/>
          <w:color w:val="auto"/>
          <w:sz w:val="24"/>
          <w:szCs w:val="24"/>
        </w:rPr>
      </w:pPr>
      <w:bookmarkStart w:id="26" w:name="_Toc221423618"/>
      <w:bookmarkStart w:id="27" w:name="_Toc223715997"/>
      <w:bookmarkStart w:id="28" w:name="_Toc58406685"/>
      <w:bookmarkStart w:id="29" w:name="_Toc265529382"/>
      <w:bookmarkStart w:id="30" w:name="_Toc221374625"/>
      <w:bookmarkStart w:id="31" w:name="_Toc221356885"/>
      <w:bookmarkStart w:id="32" w:name="_Toc222114878"/>
      <w:bookmarkStart w:id="33" w:name="_Toc34508132"/>
      <w:bookmarkStart w:id="34" w:name="_Toc239145353"/>
      <w:bookmarkStart w:id="35" w:name="_Toc241404201"/>
      <w:bookmarkStart w:id="36" w:name="_Toc221356950"/>
      <w:r>
        <w:rPr>
          <w:rFonts w:hint="eastAsia" w:ascii="宋体" w:hAnsi="宋体" w:eastAsia="宋体" w:cs="宋体"/>
          <w:color w:val="auto"/>
          <w:sz w:val="24"/>
          <w:szCs w:val="24"/>
        </w:rPr>
        <w:t>三、 投标文件的编制</w:t>
      </w:r>
      <w:bookmarkEnd w:id="26"/>
      <w:bookmarkEnd w:id="27"/>
      <w:bookmarkEnd w:id="28"/>
      <w:bookmarkEnd w:id="29"/>
      <w:bookmarkEnd w:id="30"/>
      <w:bookmarkEnd w:id="31"/>
      <w:bookmarkEnd w:id="32"/>
      <w:bookmarkEnd w:id="33"/>
      <w:bookmarkEnd w:id="34"/>
      <w:bookmarkEnd w:id="35"/>
      <w:bookmarkEnd w:id="36"/>
    </w:p>
    <w:p>
      <w:pPr>
        <w:spacing w:line="440" w:lineRule="exact"/>
        <w:rPr>
          <w:rFonts w:ascii="宋体" w:hAnsi="宋体" w:cs="宋体"/>
          <w:snapToGrid w:val="0"/>
          <w:color w:val="auto"/>
          <w:sz w:val="22"/>
          <w:szCs w:val="22"/>
        </w:rPr>
      </w:pPr>
      <w:bookmarkStart w:id="37" w:name="_Toc221356886"/>
      <w:r>
        <w:rPr>
          <w:rFonts w:hint="eastAsia" w:ascii="宋体" w:hAnsi="宋体" w:cs="宋体"/>
          <w:snapToGrid w:val="0"/>
          <w:color w:val="auto"/>
          <w:sz w:val="22"/>
          <w:szCs w:val="22"/>
        </w:rPr>
        <w:t>11. 投标文件的形式和效力</w:t>
      </w:r>
    </w:p>
    <w:p>
      <w:pPr>
        <w:spacing w:line="440" w:lineRule="exact"/>
        <w:rPr>
          <w:rFonts w:ascii="宋体" w:hAnsi="宋体" w:cs="宋体"/>
          <w:snapToGrid w:val="0"/>
          <w:color w:val="auto"/>
          <w:sz w:val="22"/>
          <w:szCs w:val="22"/>
        </w:rPr>
      </w:pPr>
      <w:r>
        <w:rPr>
          <w:rFonts w:hint="eastAsia" w:ascii="宋体" w:hAnsi="宋体" w:cs="宋体"/>
          <w:snapToGrid w:val="0"/>
          <w:color w:val="auto"/>
          <w:sz w:val="22"/>
          <w:szCs w:val="22"/>
        </w:rPr>
        <w:t>11.1电子投标文件分为 “电子加密投标文件”和“备份投标文件”两类，在投标文件编制完成后同时生成。</w:t>
      </w:r>
    </w:p>
    <w:p>
      <w:pPr>
        <w:spacing w:line="440" w:lineRule="exact"/>
        <w:rPr>
          <w:rFonts w:ascii="宋体" w:hAnsi="宋体" w:cs="宋体"/>
          <w:snapToGrid w:val="0"/>
          <w:color w:val="auto"/>
          <w:sz w:val="22"/>
          <w:szCs w:val="22"/>
        </w:rPr>
      </w:pPr>
      <w:r>
        <w:rPr>
          <w:rFonts w:hint="eastAsia" w:ascii="宋体" w:hAnsi="宋体" w:cs="宋体"/>
          <w:snapToGrid w:val="0"/>
          <w:color w:val="auto"/>
          <w:sz w:val="22"/>
          <w:szCs w:val="22"/>
        </w:rPr>
        <w:t>11.2“电子加密投标文件”是指通过“政采云电子交易客户端”完成投标文件编制后生成并加密的数据电文形式的投标文件。</w:t>
      </w:r>
    </w:p>
    <w:p>
      <w:pPr>
        <w:spacing w:line="440" w:lineRule="exact"/>
        <w:rPr>
          <w:rFonts w:ascii="宋体" w:hAnsi="宋体" w:cs="宋体"/>
          <w:snapToGrid w:val="0"/>
          <w:color w:val="auto"/>
          <w:sz w:val="22"/>
          <w:szCs w:val="22"/>
        </w:rPr>
      </w:pPr>
      <w:r>
        <w:rPr>
          <w:rFonts w:hint="eastAsia" w:ascii="宋体" w:hAnsi="宋体" w:cs="宋体"/>
          <w:snapToGrid w:val="0"/>
          <w:color w:val="auto"/>
          <w:sz w:val="22"/>
          <w:szCs w:val="22"/>
        </w:rPr>
        <w:t>11.3“备份投标文件”是指与“电子加密投标文件”同时生成的数据电文形式的电子文件（备份标书），其他方式编制的备份投标文件视为无效备份投标文件。</w:t>
      </w:r>
    </w:p>
    <w:p>
      <w:pPr>
        <w:spacing w:line="440" w:lineRule="exact"/>
        <w:rPr>
          <w:rFonts w:ascii="宋体" w:hAnsi="宋体" w:cs="宋体"/>
          <w:snapToGrid w:val="0"/>
          <w:color w:val="auto"/>
          <w:sz w:val="22"/>
          <w:szCs w:val="22"/>
        </w:rPr>
      </w:pPr>
      <w:r>
        <w:rPr>
          <w:rFonts w:hint="eastAsia" w:ascii="宋体" w:hAnsi="宋体" w:cs="宋体"/>
          <w:snapToGrid w:val="0"/>
          <w:color w:val="auto"/>
          <w:sz w:val="22"/>
          <w:szCs w:val="22"/>
        </w:rPr>
        <w:t>11.4投标文件的启用，按先后顺位分别为“电子加密投标文件”、 “备份投标文件”。在下一顺位的投标文件启用时，前一顺位的投标文件自动失效。</w:t>
      </w:r>
    </w:p>
    <w:p>
      <w:pPr>
        <w:spacing w:line="440" w:lineRule="exact"/>
        <w:rPr>
          <w:rFonts w:ascii="宋体" w:hAnsi="宋体" w:cs="宋体"/>
          <w:snapToGrid w:val="0"/>
          <w:color w:val="auto"/>
          <w:sz w:val="22"/>
          <w:szCs w:val="22"/>
        </w:rPr>
      </w:pPr>
      <w:r>
        <w:rPr>
          <w:rFonts w:hint="eastAsia" w:ascii="宋体" w:hAnsi="宋体" w:cs="宋体"/>
          <w:snapToGrid w:val="0"/>
          <w:color w:val="auto"/>
          <w:sz w:val="22"/>
          <w:szCs w:val="22"/>
        </w:rPr>
        <w:t>12. 投标文件的构成</w:t>
      </w:r>
    </w:p>
    <w:p>
      <w:pPr>
        <w:tabs>
          <w:tab w:val="left" w:pos="360"/>
        </w:tabs>
        <w:spacing w:line="460" w:lineRule="exact"/>
        <w:rPr>
          <w:rFonts w:ascii="宋体" w:hAnsi="宋体" w:cs="宋体"/>
          <w:color w:val="auto"/>
          <w:sz w:val="22"/>
          <w:szCs w:val="22"/>
        </w:rPr>
      </w:pPr>
      <w:r>
        <w:rPr>
          <w:rFonts w:hint="eastAsia" w:ascii="宋体" w:hAnsi="宋体" w:cs="宋体"/>
          <w:b/>
          <w:bCs/>
          <w:color w:val="auto"/>
          <w:sz w:val="22"/>
          <w:szCs w:val="22"/>
        </w:rPr>
        <w:t>12.1 投标文件包括资格审查资料、商务技术文件、报价文件三部分。</w:t>
      </w:r>
    </w:p>
    <w:p>
      <w:pPr>
        <w:spacing w:line="430" w:lineRule="exact"/>
        <w:rPr>
          <w:rFonts w:ascii="宋体" w:hAnsi="宋体" w:cs="宋体"/>
          <w:b/>
          <w:bCs/>
          <w:color w:val="auto"/>
          <w:sz w:val="22"/>
          <w:szCs w:val="22"/>
        </w:rPr>
      </w:pPr>
      <w:r>
        <w:rPr>
          <w:rFonts w:hint="eastAsia" w:ascii="宋体" w:hAnsi="宋体" w:cs="宋体"/>
          <w:b/>
          <w:bCs/>
          <w:color w:val="auto"/>
          <w:sz w:val="22"/>
          <w:szCs w:val="22"/>
        </w:rPr>
        <w:t>12.2 投标文件资格审查资料须包括下列部分：</w:t>
      </w:r>
    </w:p>
    <w:tbl>
      <w:tblPr>
        <w:tblStyle w:val="58"/>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noWrap/>
            <w:vAlign w:val="center"/>
          </w:tcPr>
          <w:p>
            <w:pPr>
              <w:overflowPunct w:val="0"/>
              <w:spacing w:line="430" w:lineRule="exact"/>
              <w:jc w:val="center"/>
              <w:rPr>
                <w:rFonts w:ascii="宋体" w:hAnsi="宋体" w:cs="宋体"/>
                <w:b/>
                <w:color w:val="auto"/>
                <w:sz w:val="22"/>
                <w:szCs w:val="22"/>
              </w:rPr>
            </w:pPr>
            <w:r>
              <w:rPr>
                <w:rFonts w:hint="eastAsia" w:ascii="宋体" w:hAnsi="宋体" w:cs="宋体"/>
                <w:b/>
                <w:color w:val="auto"/>
                <w:sz w:val="22"/>
                <w:szCs w:val="22"/>
              </w:rPr>
              <w:t>序号</w:t>
            </w:r>
          </w:p>
        </w:tc>
        <w:tc>
          <w:tcPr>
            <w:tcW w:w="9115" w:type="dxa"/>
            <w:noWrap/>
            <w:vAlign w:val="center"/>
          </w:tcPr>
          <w:p>
            <w:pPr>
              <w:overflowPunct w:val="0"/>
              <w:spacing w:line="430" w:lineRule="exact"/>
              <w:jc w:val="center"/>
              <w:rPr>
                <w:rFonts w:ascii="宋体" w:hAnsi="宋体" w:cs="宋体"/>
                <w:b/>
                <w:color w:val="auto"/>
                <w:sz w:val="22"/>
                <w:szCs w:val="22"/>
              </w:rPr>
            </w:pPr>
            <w:r>
              <w:rPr>
                <w:rFonts w:hint="eastAsia" w:ascii="宋体" w:hAnsi="宋体" w:cs="宋体"/>
                <w:b/>
                <w:color w:val="auto"/>
                <w:sz w:val="22"/>
                <w:szCs w:val="2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cs="宋体"/>
                <w:bCs/>
                <w:color w:val="auto"/>
                <w:sz w:val="22"/>
                <w:szCs w:val="22"/>
              </w:rPr>
            </w:pPr>
            <w:bookmarkStart w:id="38" w:name="_Hlk16667472"/>
            <w:r>
              <w:rPr>
                <w:rFonts w:hint="eastAsia" w:ascii="宋体" w:hAnsi="宋体" w:cs="宋体"/>
                <w:bCs/>
                <w:color w:val="auto"/>
                <w:sz w:val="22"/>
                <w:szCs w:val="22"/>
              </w:rPr>
              <w:t>1</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rPr>
            </w:pPr>
            <w:r>
              <w:rPr>
                <w:rFonts w:hint="eastAsia" w:ascii="宋体" w:hAnsi="宋体" w:cs="宋体"/>
                <w:color w:val="auto"/>
                <w:kern w:val="0"/>
                <w:sz w:val="22"/>
                <w:szCs w:val="22"/>
              </w:rPr>
              <w:t>法定代表人（单位负责人）授权书和被授权人有效身份证明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cs="宋体"/>
                <w:bCs/>
                <w:color w:val="auto"/>
                <w:sz w:val="22"/>
                <w:szCs w:val="22"/>
              </w:rPr>
            </w:pPr>
            <w:r>
              <w:rPr>
                <w:rFonts w:hint="eastAsia" w:ascii="宋体" w:hAnsi="宋体" w:cs="宋体"/>
                <w:bCs/>
                <w:color w:val="auto"/>
                <w:sz w:val="22"/>
                <w:szCs w:val="22"/>
              </w:rPr>
              <w:t>2</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rPr>
            </w:pPr>
            <w:r>
              <w:rPr>
                <w:rFonts w:hint="eastAsia" w:ascii="新宋体" w:hAnsi="新宋体" w:eastAsia="新宋体" w:cs="新宋体"/>
                <w:color w:val="auto"/>
                <w:kern w:val="0"/>
                <w:sz w:val="22"/>
                <w:szCs w:val="22"/>
              </w:rPr>
              <w:t>联合体协议书（非联合体无需提供）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cs="宋体"/>
                <w:bCs/>
                <w:color w:val="auto"/>
                <w:sz w:val="22"/>
                <w:szCs w:val="22"/>
              </w:rPr>
            </w:pPr>
            <w:r>
              <w:rPr>
                <w:rFonts w:hint="eastAsia" w:ascii="宋体" w:hAnsi="宋体" w:cs="宋体"/>
                <w:bCs/>
                <w:color w:val="auto"/>
                <w:sz w:val="22"/>
                <w:szCs w:val="22"/>
              </w:rPr>
              <w:t>3</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rPr>
            </w:pPr>
            <w:r>
              <w:rPr>
                <w:rFonts w:hint="eastAsia" w:ascii="宋体" w:hAnsi="宋体" w:cs="宋体"/>
                <w:color w:val="auto"/>
                <w:kern w:val="0"/>
                <w:sz w:val="22"/>
                <w:szCs w:val="22"/>
              </w:rPr>
              <w:t>营业执照(或事业法人登记证书或其它工商等登记证明材料)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cs="宋体"/>
                <w:bCs/>
                <w:color w:val="auto"/>
                <w:sz w:val="22"/>
                <w:szCs w:val="22"/>
              </w:rPr>
            </w:pPr>
            <w:r>
              <w:rPr>
                <w:rFonts w:hint="eastAsia" w:ascii="宋体" w:hAnsi="宋体" w:cs="宋体"/>
                <w:bCs/>
                <w:color w:val="auto"/>
                <w:sz w:val="22"/>
                <w:szCs w:val="22"/>
              </w:rPr>
              <w:t>4</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bCs/>
                <w:color w:val="auto"/>
                <w:kern w:val="0"/>
                <w:sz w:val="22"/>
                <w:szCs w:val="22"/>
              </w:rPr>
            </w:pPr>
            <w:r>
              <w:rPr>
                <w:rFonts w:hint="eastAsia" w:ascii="新宋体" w:hAnsi="新宋体" w:eastAsia="新宋体" w:cs="宋体"/>
                <w:color w:val="auto"/>
                <w:kern w:val="0"/>
                <w:sz w:val="22"/>
                <w:szCs w:val="22"/>
              </w:rPr>
              <w:t>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9" w:type="dxa"/>
            <w:tcBorders>
              <w:top w:val="single" w:color="auto" w:sz="4" w:space="0"/>
              <w:left w:val="single" w:color="auto" w:sz="4" w:space="0"/>
              <w:bottom w:val="single" w:color="auto" w:sz="4" w:space="0"/>
              <w:right w:val="single" w:color="auto" w:sz="4" w:space="0"/>
            </w:tcBorders>
            <w:noWrap/>
            <w:vAlign w:val="center"/>
          </w:tcPr>
          <w:p>
            <w:pPr>
              <w:overflowPunct w:val="0"/>
              <w:spacing w:line="430" w:lineRule="exact"/>
              <w:jc w:val="center"/>
              <w:rPr>
                <w:rFonts w:ascii="宋体" w:hAnsi="宋体" w:cs="宋体"/>
                <w:bCs/>
                <w:color w:val="auto"/>
                <w:sz w:val="22"/>
                <w:szCs w:val="22"/>
              </w:rPr>
            </w:pPr>
            <w:r>
              <w:rPr>
                <w:rFonts w:hint="eastAsia" w:ascii="宋体" w:hAnsi="宋体" w:cs="宋体"/>
                <w:bCs/>
                <w:color w:val="auto"/>
                <w:sz w:val="22"/>
                <w:szCs w:val="22"/>
              </w:rPr>
              <w:t>5</w:t>
            </w:r>
          </w:p>
        </w:tc>
        <w:tc>
          <w:tcPr>
            <w:tcW w:w="9115"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auto"/>
                <w:kern w:val="0"/>
                <w:sz w:val="22"/>
                <w:szCs w:val="22"/>
              </w:rPr>
            </w:pPr>
            <w:r>
              <w:rPr>
                <w:rFonts w:hint="eastAsia" w:ascii="新宋体" w:hAnsi="新宋体" w:eastAsia="新宋体" w:cs="新宋体"/>
                <w:bCs/>
                <w:color w:val="auto"/>
                <w:sz w:val="22"/>
                <w:szCs w:val="22"/>
              </w:rPr>
              <w:t>申请材料真实性声明</w:t>
            </w:r>
          </w:p>
        </w:tc>
      </w:tr>
      <w:bookmarkEnd w:id="38"/>
    </w:tbl>
    <w:p>
      <w:pPr>
        <w:spacing w:line="430" w:lineRule="exact"/>
        <w:rPr>
          <w:rFonts w:ascii="宋体" w:hAnsi="宋体" w:cs="宋体"/>
          <w:color w:val="auto"/>
        </w:rPr>
      </w:pPr>
      <w:r>
        <w:rPr>
          <w:rFonts w:hint="eastAsia" w:ascii="宋体" w:hAnsi="宋体" w:cs="宋体"/>
          <w:b/>
          <w:bCs/>
          <w:color w:val="auto"/>
          <w:sz w:val="22"/>
          <w:szCs w:val="22"/>
        </w:rPr>
        <w:t>备注：</w:t>
      </w:r>
      <w:r>
        <w:rPr>
          <w:rFonts w:hint="eastAsia"/>
          <w:b/>
          <w:bCs/>
          <w:color w:val="auto"/>
        </w:rPr>
        <w:t>如为联合体，则3-5项资格审查材料联合体双方均须提供。</w:t>
      </w:r>
    </w:p>
    <w:p>
      <w:pPr>
        <w:numPr>
          <w:ilvl w:val="0"/>
          <w:numId w:val="18"/>
        </w:numPr>
        <w:spacing w:line="430" w:lineRule="exact"/>
        <w:rPr>
          <w:rFonts w:ascii="宋体" w:hAnsi="宋体" w:cs="宋体"/>
          <w:color w:val="auto"/>
        </w:rPr>
      </w:pPr>
      <w:r>
        <w:rPr>
          <w:rFonts w:hint="eastAsia" w:ascii="宋体" w:hAnsi="宋体" w:cs="宋体"/>
          <w:color w:val="auto"/>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pPr>
        <w:numPr>
          <w:ilvl w:val="0"/>
          <w:numId w:val="18"/>
        </w:numPr>
        <w:spacing w:line="430" w:lineRule="exact"/>
        <w:rPr>
          <w:rFonts w:ascii="宋体" w:hAnsi="宋体" w:cs="宋体"/>
          <w:color w:val="auto"/>
          <w:sz w:val="22"/>
          <w:szCs w:val="22"/>
        </w:rPr>
      </w:pPr>
      <w:r>
        <w:rPr>
          <w:rFonts w:hint="eastAsia" w:ascii="宋体" w:hAnsi="宋体" w:cs="宋体"/>
          <w:b/>
          <w:bCs/>
          <w:color w:val="auto"/>
          <w:szCs w:val="21"/>
          <w:u w:val="single"/>
        </w:rPr>
        <w:t>▲</w:t>
      </w:r>
      <w:r>
        <w:rPr>
          <w:rFonts w:hint="eastAsia" w:ascii="宋体" w:hAnsi="宋体" w:cs="宋体"/>
          <w:b/>
          <w:color w:val="auto"/>
          <w:sz w:val="22"/>
          <w:szCs w:val="22"/>
          <w:u w:val="single"/>
        </w:rPr>
        <w:t>以上所需的各种证书、证件、证明等若系扫描件，须加盖投标人有效的公章（电子签章）。</w:t>
      </w:r>
    </w:p>
    <w:p>
      <w:pPr>
        <w:numPr>
          <w:ilvl w:val="0"/>
          <w:numId w:val="18"/>
        </w:numPr>
        <w:spacing w:line="430" w:lineRule="exact"/>
        <w:rPr>
          <w:rFonts w:ascii="宋体" w:hAnsi="宋体" w:cs="宋体"/>
          <w:color w:val="auto"/>
          <w:sz w:val="22"/>
          <w:szCs w:val="22"/>
        </w:rPr>
      </w:pPr>
      <w:r>
        <w:rPr>
          <w:rFonts w:hint="eastAsia" w:ascii="宋体" w:hAnsi="宋体" w:cs="宋体"/>
          <w:color w:val="auto"/>
          <w:sz w:val="22"/>
          <w:szCs w:val="22"/>
        </w:rPr>
        <w:t>相关证书、报告等如遇年检或换证等特殊情况须按要求提供相应的证明材料。</w:t>
      </w:r>
    </w:p>
    <w:p>
      <w:pPr>
        <w:tabs>
          <w:tab w:val="left" w:pos="360"/>
        </w:tabs>
        <w:spacing w:line="460" w:lineRule="exact"/>
        <w:rPr>
          <w:rFonts w:ascii="宋体" w:hAnsi="宋体" w:cs="宋体"/>
          <w:b/>
          <w:bCs/>
          <w:color w:val="auto"/>
          <w:sz w:val="22"/>
          <w:szCs w:val="22"/>
        </w:rPr>
      </w:pPr>
      <w:r>
        <w:rPr>
          <w:rFonts w:hint="eastAsia" w:ascii="宋体" w:hAnsi="宋体" w:cs="宋体"/>
          <w:b/>
          <w:bCs/>
          <w:color w:val="auto"/>
          <w:sz w:val="22"/>
          <w:szCs w:val="22"/>
        </w:rPr>
        <w:t>12.3 投标文件商务技术文件应包括下列部分：</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ign w:val="center"/>
          </w:tcPr>
          <w:p>
            <w:pPr>
              <w:jc w:val="center"/>
              <w:rPr>
                <w:rFonts w:ascii="宋体" w:hAnsi="宋体" w:cs="宋体"/>
                <w:b/>
                <w:color w:val="auto"/>
                <w:sz w:val="22"/>
                <w:szCs w:val="22"/>
              </w:rPr>
            </w:pPr>
            <w:r>
              <w:rPr>
                <w:rFonts w:hint="eastAsia" w:ascii="宋体" w:hAnsi="宋体" w:cs="宋体"/>
                <w:b/>
                <w:color w:val="auto"/>
                <w:sz w:val="22"/>
                <w:szCs w:val="22"/>
              </w:rPr>
              <w:t>序号</w:t>
            </w:r>
          </w:p>
        </w:tc>
        <w:tc>
          <w:tcPr>
            <w:tcW w:w="9109" w:type="dxa"/>
            <w:noWrap/>
            <w:vAlign w:val="center"/>
          </w:tcPr>
          <w:p>
            <w:pPr>
              <w:jc w:val="center"/>
              <w:rPr>
                <w:rFonts w:ascii="宋体" w:hAnsi="宋体" w:cs="宋体"/>
                <w:b/>
                <w:color w:val="auto"/>
                <w:sz w:val="22"/>
                <w:szCs w:val="22"/>
              </w:rPr>
            </w:pPr>
            <w:r>
              <w:rPr>
                <w:rFonts w:hint="eastAsia" w:ascii="宋体" w:hAnsi="宋体" w:cs="宋体"/>
                <w:b/>
                <w:color w:val="auto"/>
                <w:sz w:val="22"/>
                <w:szCs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ign w:val="center"/>
          </w:tcPr>
          <w:p>
            <w:pPr>
              <w:jc w:val="center"/>
              <w:rPr>
                <w:rFonts w:ascii="宋体" w:hAnsi="宋体" w:cs="宋体"/>
                <w:b/>
                <w:color w:val="auto"/>
                <w:sz w:val="22"/>
                <w:szCs w:val="22"/>
              </w:rPr>
            </w:pPr>
            <w:r>
              <w:rPr>
                <w:rFonts w:hint="eastAsia" w:ascii="宋体" w:hAnsi="宋体" w:cs="宋体"/>
                <w:color w:val="auto"/>
                <w:sz w:val="22"/>
                <w:szCs w:val="22"/>
              </w:rPr>
              <w:t>1</w:t>
            </w:r>
          </w:p>
        </w:tc>
        <w:tc>
          <w:tcPr>
            <w:tcW w:w="9109" w:type="dxa"/>
            <w:noWrap/>
            <w:vAlign w:val="center"/>
          </w:tcPr>
          <w:p>
            <w:pPr>
              <w:jc w:val="left"/>
              <w:rPr>
                <w:rFonts w:ascii="宋体" w:hAnsi="宋体" w:cs="宋体"/>
                <w:b/>
                <w:color w:val="auto"/>
                <w:sz w:val="22"/>
                <w:szCs w:val="22"/>
              </w:rPr>
            </w:pPr>
            <w:r>
              <w:rPr>
                <w:rFonts w:hint="eastAsia" w:ascii="宋体" w:hAnsi="宋体" w:cs="宋体"/>
                <w:bCs/>
                <w:color w:val="auto"/>
                <w:sz w:val="22"/>
                <w:szCs w:val="22"/>
              </w:rPr>
              <w:t>针对评分细则，编制目录索引，注明评标细则项目所在投标文件页码，格式自拟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ign w:val="center"/>
          </w:tcPr>
          <w:p>
            <w:pPr>
              <w:jc w:val="center"/>
              <w:rPr>
                <w:rFonts w:ascii="宋体" w:hAnsi="宋体" w:cs="宋体"/>
                <w:color w:val="auto"/>
                <w:sz w:val="22"/>
                <w:szCs w:val="22"/>
              </w:rPr>
            </w:pPr>
            <w:r>
              <w:rPr>
                <w:rFonts w:hint="eastAsia" w:ascii="宋体" w:hAnsi="宋体" w:cs="宋体"/>
                <w:color w:val="auto"/>
                <w:sz w:val="22"/>
                <w:szCs w:val="22"/>
              </w:rPr>
              <w:t>2</w:t>
            </w:r>
          </w:p>
        </w:tc>
        <w:tc>
          <w:tcPr>
            <w:tcW w:w="9109" w:type="dxa"/>
            <w:noWrap/>
            <w:vAlign w:val="center"/>
          </w:tcPr>
          <w:p>
            <w:pPr>
              <w:rPr>
                <w:rFonts w:ascii="宋体" w:hAnsi="宋体" w:cs="宋体"/>
                <w:b/>
                <w:color w:val="auto"/>
                <w:sz w:val="22"/>
                <w:szCs w:val="22"/>
              </w:rPr>
            </w:pPr>
            <w:r>
              <w:rPr>
                <w:rFonts w:hint="eastAsia" w:ascii="宋体" w:hAnsi="宋体" w:cs="宋体"/>
                <w:color w:val="auto"/>
                <w:sz w:val="22"/>
                <w:szCs w:val="22"/>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ign w:val="center"/>
          </w:tcPr>
          <w:p>
            <w:pPr>
              <w:jc w:val="center"/>
              <w:rPr>
                <w:rFonts w:ascii="宋体" w:hAnsi="宋体" w:cs="宋体"/>
                <w:color w:val="auto"/>
                <w:sz w:val="22"/>
                <w:szCs w:val="22"/>
              </w:rPr>
            </w:pPr>
            <w:r>
              <w:rPr>
                <w:rFonts w:hint="eastAsia" w:ascii="宋体" w:hAnsi="宋体" w:cs="宋体"/>
                <w:color w:val="auto"/>
                <w:sz w:val="22"/>
                <w:szCs w:val="22"/>
              </w:rPr>
              <w:t>3</w:t>
            </w:r>
          </w:p>
        </w:tc>
        <w:tc>
          <w:tcPr>
            <w:tcW w:w="9109" w:type="dxa"/>
            <w:noWrap/>
            <w:vAlign w:val="center"/>
          </w:tcPr>
          <w:p>
            <w:pPr>
              <w:rPr>
                <w:rFonts w:ascii="宋体" w:hAnsi="宋体" w:cs="宋体"/>
                <w:color w:val="auto"/>
                <w:sz w:val="22"/>
                <w:szCs w:val="22"/>
              </w:rPr>
            </w:pPr>
            <w:r>
              <w:rPr>
                <w:rFonts w:hint="eastAsia" w:ascii="宋体" w:hAnsi="宋体" w:cs="宋体"/>
                <w:color w:val="auto"/>
                <w:sz w:val="22"/>
                <w:szCs w:val="22"/>
              </w:rPr>
              <w:t>技术要求应答表、商务条款偏离表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ign w:val="center"/>
          </w:tcPr>
          <w:p>
            <w:pPr>
              <w:jc w:val="center"/>
              <w:rPr>
                <w:rFonts w:ascii="宋体" w:hAnsi="宋体" w:cs="宋体"/>
                <w:color w:val="auto"/>
                <w:sz w:val="22"/>
                <w:szCs w:val="22"/>
              </w:rPr>
            </w:pPr>
            <w:r>
              <w:rPr>
                <w:rFonts w:hint="eastAsia" w:ascii="宋体" w:hAnsi="宋体" w:cs="宋体"/>
                <w:color w:val="auto"/>
                <w:sz w:val="22"/>
                <w:szCs w:val="22"/>
              </w:rPr>
              <w:t>4</w:t>
            </w:r>
          </w:p>
        </w:tc>
        <w:tc>
          <w:tcPr>
            <w:tcW w:w="9109" w:type="dxa"/>
            <w:noWrap/>
            <w:vAlign w:val="center"/>
          </w:tcPr>
          <w:p>
            <w:pPr>
              <w:rPr>
                <w:rFonts w:ascii="宋体" w:hAnsi="宋体" w:cs="宋体"/>
                <w:color w:val="auto"/>
                <w:sz w:val="22"/>
                <w:szCs w:val="22"/>
              </w:rPr>
            </w:pPr>
            <w:r>
              <w:rPr>
                <w:rFonts w:hint="eastAsia" w:ascii="宋体" w:hAnsi="宋体" w:cs="宋体"/>
                <w:color w:val="auto"/>
                <w:sz w:val="22"/>
                <w:szCs w:val="22"/>
              </w:rPr>
              <w:t>投标人实力及相关业绩证明材料（根据商务技术文件评分细则提供相应的证明文件及材料）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ign w:val="center"/>
          </w:tcPr>
          <w:p>
            <w:pPr>
              <w:jc w:val="center"/>
              <w:rPr>
                <w:rFonts w:ascii="宋体" w:hAnsi="宋体" w:cs="宋体"/>
                <w:color w:val="auto"/>
                <w:sz w:val="22"/>
                <w:szCs w:val="22"/>
              </w:rPr>
            </w:pPr>
            <w:r>
              <w:rPr>
                <w:rFonts w:hint="eastAsia" w:ascii="宋体" w:hAnsi="宋体" w:cs="宋体"/>
                <w:color w:val="auto"/>
                <w:sz w:val="22"/>
                <w:szCs w:val="22"/>
              </w:rPr>
              <w:t>5</w:t>
            </w:r>
          </w:p>
        </w:tc>
        <w:tc>
          <w:tcPr>
            <w:tcW w:w="9109" w:type="dxa"/>
            <w:noWrap/>
            <w:vAlign w:val="center"/>
          </w:tcPr>
          <w:p>
            <w:pPr>
              <w:rPr>
                <w:rFonts w:ascii="宋体" w:hAnsi="宋体" w:cs="宋体"/>
                <w:color w:val="auto"/>
                <w:sz w:val="22"/>
                <w:szCs w:val="22"/>
              </w:rPr>
            </w:pPr>
            <w:r>
              <w:rPr>
                <w:rFonts w:hint="eastAsia" w:ascii="宋体" w:hAnsi="宋体" w:cs="宋体"/>
                <w:color w:val="auto"/>
                <w:sz w:val="22"/>
                <w:szCs w:val="22"/>
              </w:rPr>
              <w:t>项目负责人及项目组成员情况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45" w:type="dxa"/>
            <w:noWrap/>
            <w:vAlign w:val="center"/>
          </w:tcPr>
          <w:p>
            <w:pPr>
              <w:jc w:val="center"/>
              <w:rPr>
                <w:rFonts w:ascii="宋体" w:hAnsi="宋体" w:cs="宋体"/>
                <w:color w:val="auto"/>
                <w:sz w:val="22"/>
                <w:szCs w:val="22"/>
              </w:rPr>
            </w:pPr>
            <w:r>
              <w:rPr>
                <w:rFonts w:ascii="宋体" w:hAnsi="宋体" w:cs="宋体"/>
                <w:color w:val="auto"/>
                <w:sz w:val="22"/>
                <w:szCs w:val="22"/>
              </w:rPr>
              <w:t>6</w:t>
            </w:r>
          </w:p>
        </w:tc>
        <w:tc>
          <w:tcPr>
            <w:tcW w:w="9109" w:type="dxa"/>
            <w:noWrap/>
            <w:vAlign w:val="center"/>
          </w:tcPr>
          <w:p>
            <w:pPr>
              <w:rPr>
                <w:rFonts w:ascii="宋体" w:hAnsi="宋体" w:cs="宋体"/>
                <w:color w:val="auto"/>
                <w:sz w:val="22"/>
                <w:szCs w:val="22"/>
              </w:rPr>
            </w:pPr>
            <w:r>
              <w:rPr>
                <w:rFonts w:hint="eastAsia" w:ascii="宋体" w:hAnsi="宋体" w:cs="宋体"/>
                <w:color w:val="auto"/>
                <w:sz w:val="22"/>
                <w:szCs w:val="22"/>
              </w:rPr>
              <w:t>项目整体技术方案（格式及内容自拟）</w:t>
            </w:r>
          </w:p>
        </w:tc>
      </w:tr>
    </w:tbl>
    <w:p>
      <w:pPr>
        <w:spacing w:line="430" w:lineRule="exact"/>
        <w:rPr>
          <w:rFonts w:ascii="宋体" w:hAnsi="宋体" w:cs="宋体"/>
          <w:b/>
          <w:color w:val="auto"/>
          <w:sz w:val="22"/>
          <w:szCs w:val="22"/>
        </w:rPr>
      </w:pPr>
      <w:r>
        <w:rPr>
          <w:rFonts w:hint="eastAsia" w:ascii="宋体" w:hAnsi="宋体" w:cs="宋体"/>
          <w:b/>
          <w:color w:val="auto"/>
          <w:sz w:val="22"/>
          <w:szCs w:val="22"/>
        </w:rPr>
        <w:t>备注：</w:t>
      </w:r>
    </w:p>
    <w:p>
      <w:pPr>
        <w:numPr>
          <w:ilvl w:val="0"/>
          <w:numId w:val="19"/>
        </w:numPr>
        <w:spacing w:line="430" w:lineRule="exact"/>
        <w:rPr>
          <w:rFonts w:ascii="宋体" w:hAnsi="宋体" w:cs="宋体"/>
          <w:color w:val="auto"/>
          <w:sz w:val="22"/>
          <w:szCs w:val="22"/>
        </w:rPr>
      </w:pPr>
      <w:r>
        <w:rPr>
          <w:rFonts w:hint="eastAsia" w:ascii="宋体" w:hAnsi="宋体" w:cs="宋体"/>
          <w:color w:val="auto"/>
          <w:sz w:val="22"/>
          <w:szCs w:val="22"/>
        </w:rPr>
        <w:t>投标人可根据采购文件中的采购内容及需求和商务技术文件评分细则，提供投标人认为需要提供的文件和资料。</w:t>
      </w:r>
    </w:p>
    <w:p>
      <w:pPr>
        <w:numPr>
          <w:ilvl w:val="0"/>
          <w:numId w:val="19"/>
        </w:numPr>
        <w:spacing w:line="430" w:lineRule="exact"/>
        <w:rPr>
          <w:rFonts w:ascii="宋体" w:hAnsi="宋体" w:cs="宋体"/>
          <w:color w:val="auto"/>
          <w:sz w:val="22"/>
          <w:szCs w:val="22"/>
        </w:rPr>
      </w:pPr>
      <w:r>
        <w:rPr>
          <w:rFonts w:hint="eastAsia" w:ascii="宋体" w:hAnsi="宋体" w:cs="宋体"/>
          <w:color w:val="auto"/>
          <w:sz w:val="22"/>
          <w:szCs w:val="22"/>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19"/>
        </w:numPr>
        <w:spacing w:line="430" w:lineRule="exact"/>
        <w:rPr>
          <w:rFonts w:ascii="宋体" w:hAnsi="宋体" w:cs="宋体"/>
          <w:color w:val="auto"/>
          <w:sz w:val="22"/>
          <w:szCs w:val="22"/>
        </w:rPr>
      </w:pPr>
      <w:r>
        <w:rPr>
          <w:rFonts w:hint="eastAsia" w:ascii="宋体" w:hAnsi="宋体" w:cs="宋体"/>
          <w:color w:val="auto"/>
          <w:sz w:val="22"/>
          <w:szCs w:val="22"/>
        </w:rPr>
        <w:t>以上所需的各种证书、证件、证明等若系扫描件，须加盖投标人有效的公章。</w:t>
      </w:r>
    </w:p>
    <w:p>
      <w:pPr>
        <w:numPr>
          <w:ilvl w:val="0"/>
          <w:numId w:val="19"/>
        </w:numPr>
        <w:spacing w:line="430" w:lineRule="exact"/>
        <w:rPr>
          <w:rFonts w:ascii="宋体" w:hAnsi="宋体" w:cs="宋体"/>
          <w:color w:val="auto"/>
          <w:sz w:val="22"/>
          <w:szCs w:val="22"/>
        </w:rPr>
      </w:pPr>
      <w:r>
        <w:rPr>
          <w:rFonts w:hint="eastAsia" w:ascii="宋体" w:hAnsi="宋体" w:cs="宋体"/>
          <w:color w:val="auto"/>
          <w:sz w:val="22"/>
          <w:szCs w:val="22"/>
        </w:rPr>
        <w:t>相关证书、报告等如遇年检或换证等特殊情况须按要求提供相应的证明材料。</w:t>
      </w:r>
    </w:p>
    <w:p>
      <w:pPr>
        <w:tabs>
          <w:tab w:val="left" w:pos="5355"/>
        </w:tabs>
        <w:spacing w:line="430" w:lineRule="exact"/>
        <w:rPr>
          <w:rFonts w:ascii="宋体" w:hAnsi="宋体" w:cs="宋体"/>
          <w:b/>
          <w:bCs/>
          <w:color w:val="auto"/>
          <w:sz w:val="22"/>
          <w:szCs w:val="22"/>
        </w:rPr>
      </w:pPr>
      <w:r>
        <w:rPr>
          <w:rFonts w:hint="eastAsia" w:ascii="宋体" w:hAnsi="宋体" w:cs="宋体"/>
          <w:b/>
          <w:bCs/>
          <w:color w:val="auto"/>
          <w:sz w:val="22"/>
          <w:szCs w:val="22"/>
        </w:rPr>
        <w:t>12.4 投标文件商务报价标应包括下列部分：</w:t>
      </w:r>
    </w:p>
    <w:bookmarkEnd w:id="37"/>
    <w:tbl>
      <w:tblPr>
        <w:tblStyle w:val="58"/>
        <w:tblW w:w="9854" w:type="dxa"/>
        <w:tblInd w:w="0" w:type="dxa"/>
        <w:tblLayout w:type="fixed"/>
        <w:tblCellMar>
          <w:top w:w="0" w:type="dxa"/>
          <w:left w:w="108" w:type="dxa"/>
          <w:bottom w:w="0" w:type="dxa"/>
          <w:right w:w="108" w:type="dxa"/>
        </w:tblCellMar>
      </w:tblPr>
      <w:tblGrid>
        <w:gridCol w:w="966"/>
        <w:gridCol w:w="8888"/>
      </w:tblGrid>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b/>
                <w:bCs/>
                <w:color w:val="auto"/>
                <w:kern w:val="0"/>
                <w:sz w:val="22"/>
                <w:szCs w:val="22"/>
                <w:lang w:val="zh-CN"/>
              </w:rPr>
            </w:pPr>
            <w:r>
              <w:rPr>
                <w:rFonts w:hint="eastAsia" w:ascii="宋体" w:hAnsi="宋体" w:cs="宋体"/>
                <w:b/>
                <w:bCs/>
                <w:color w:val="auto"/>
                <w:kern w:val="0"/>
                <w:sz w:val="22"/>
                <w:szCs w:val="22"/>
                <w:lang w:val="zh-CN"/>
              </w:rPr>
              <w:t>序号</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b/>
                <w:bCs/>
                <w:color w:val="auto"/>
                <w:kern w:val="0"/>
                <w:sz w:val="22"/>
                <w:szCs w:val="22"/>
                <w:lang w:val="zh-CN"/>
              </w:rPr>
            </w:pPr>
            <w:r>
              <w:rPr>
                <w:rFonts w:hint="eastAsia" w:ascii="宋体" w:hAnsi="宋体" w:cs="宋体"/>
                <w:b/>
                <w:bCs/>
                <w:color w:val="auto"/>
                <w:kern w:val="0"/>
                <w:sz w:val="22"/>
                <w:szCs w:val="22"/>
                <w:lang w:val="zh-CN"/>
              </w:rPr>
              <w:t>内容</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rPr>
                <w:rFonts w:ascii="宋体" w:hAnsi="宋体" w:cs="宋体"/>
                <w:color w:val="auto"/>
                <w:kern w:val="0"/>
                <w:sz w:val="22"/>
                <w:szCs w:val="22"/>
                <w:lang w:val="zh-CN"/>
              </w:rPr>
            </w:pPr>
            <w:r>
              <w:rPr>
                <w:rFonts w:hint="eastAsia" w:ascii="宋体" w:hAnsi="宋体" w:cs="宋体"/>
                <w:color w:val="auto"/>
                <w:kern w:val="0"/>
                <w:sz w:val="22"/>
                <w:szCs w:val="22"/>
                <w:lang w:val="zh-CN"/>
              </w:rPr>
              <w:t>开标一览表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rPr>
                <w:rFonts w:ascii="宋体" w:hAnsi="宋体" w:cs="宋体"/>
                <w:color w:val="auto"/>
                <w:kern w:val="0"/>
                <w:sz w:val="22"/>
                <w:szCs w:val="22"/>
                <w:lang w:val="zh-CN"/>
              </w:rPr>
            </w:pPr>
            <w:r>
              <w:rPr>
                <w:rFonts w:hint="eastAsia" w:ascii="宋体" w:hAnsi="宋体" w:cs="宋体"/>
                <w:color w:val="auto"/>
                <w:kern w:val="0"/>
                <w:sz w:val="22"/>
                <w:szCs w:val="22"/>
                <w:lang w:val="zh-CN"/>
              </w:rPr>
              <w:t>投标分项报价表</w:t>
            </w:r>
          </w:p>
        </w:tc>
      </w:tr>
      <w:tr>
        <w:tblPrEx>
          <w:tblCellMar>
            <w:top w:w="0" w:type="dxa"/>
            <w:left w:w="108" w:type="dxa"/>
            <w:bottom w:w="0" w:type="dxa"/>
            <w:right w:w="108" w:type="dxa"/>
          </w:tblCellMar>
        </w:tblPrEx>
        <w:trPr>
          <w:trHeight w:val="848"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ign w:val="center"/>
          </w:tcPr>
          <w:p>
            <w:pPr>
              <w:autoSpaceDE w:val="0"/>
              <w:autoSpaceDN w:val="0"/>
              <w:adjustRightInd w:val="0"/>
              <w:spacing w:line="430" w:lineRule="atLeast"/>
              <w:rPr>
                <w:rFonts w:ascii="宋体" w:hAnsi="宋体" w:cs="宋体"/>
                <w:color w:val="auto"/>
                <w:kern w:val="0"/>
                <w:sz w:val="22"/>
                <w:szCs w:val="22"/>
                <w:lang w:val="zh-CN"/>
              </w:rPr>
            </w:pPr>
            <w:r>
              <w:rPr>
                <w:rFonts w:hint="eastAsia" w:ascii="宋体" w:hAnsi="宋体" w:cs="宋体"/>
                <w:color w:val="auto"/>
                <w:kern w:val="0"/>
                <w:sz w:val="22"/>
                <w:szCs w:val="22"/>
                <w:lang w:val="zh-CN"/>
              </w:rPr>
              <w:t>中小企业声明函（或监狱企业声明函、残疾人福利性单位声明函）（采购文件第二部分相关附件）</w:t>
            </w:r>
          </w:p>
        </w:tc>
      </w:tr>
    </w:tbl>
    <w:p>
      <w:pPr>
        <w:spacing w:line="440" w:lineRule="exact"/>
        <w:ind w:left="331" w:hanging="331" w:hangingChars="150"/>
        <w:rPr>
          <w:rFonts w:ascii="宋体" w:hAnsi="宋体" w:cs="宋体"/>
          <w:b/>
          <w:bCs/>
          <w:color w:val="auto"/>
          <w:sz w:val="22"/>
          <w:szCs w:val="22"/>
        </w:rPr>
      </w:pPr>
      <w:r>
        <w:rPr>
          <w:rFonts w:hint="eastAsia" w:ascii="宋体" w:hAnsi="宋体" w:cs="宋体"/>
          <w:b/>
          <w:bCs/>
          <w:color w:val="auto"/>
          <w:sz w:val="22"/>
          <w:szCs w:val="22"/>
        </w:rPr>
        <w:t>13.投标文件编制</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13.1本项目通过“政采云平台（www.zcygov.cn）”实行在线投标响应（电子投标）。供应商应通过“政采云电子交易客户端”，并按照本采购文件和“政采云平台”的要求编制并加密投标文件。</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13.2投标人应当按照本章节 “投标文件组成”规定的内容及顺序在“政采云电子交易客户端”编制投标文件。其中“资格审查资料”和“商务技术文件”中不得出现本项目投标报价，如因投标人原因提前泄露投标报价，是投标人的责任。</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13.3本采购文件“第四部分 投标文件格式”中有提供格式的，投标人须参照格式进行编制（格式中要求提供相关证明材料的还需后附相关证明材料），并按格式要求在指定位置根据要求进行签章，否则视为未提供；本文件“第四部分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投标文件格式”未提供格式的，请各投标单位自行拟定格式，并加盖单位公章并由法定代表人或其授权代表签署（签字或盖章），否则视为未提供。</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13.4投标文件内容不完整、编排混乱导致投标文件被误读、漏读或者查找不到相关内容的，是投标人的责任。</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13.5投标文件因字迹潦草或表达不清所引起的后果由投标人负责。</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31" w:hanging="331" w:hangingChars="150"/>
        <w:rPr>
          <w:rFonts w:ascii="宋体" w:hAnsi="宋体" w:cs="宋体"/>
          <w:b/>
          <w:bCs/>
          <w:color w:val="auto"/>
          <w:sz w:val="22"/>
          <w:szCs w:val="22"/>
        </w:rPr>
      </w:pPr>
      <w:r>
        <w:rPr>
          <w:rFonts w:hint="eastAsia" w:ascii="宋体" w:hAnsi="宋体" w:cs="宋体"/>
          <w:b/>
          <w:bCs/>
          <w:color w:val="auto"/>
          <w:sz w:val="22"/>
          <w:szCs w:val="22"/>
        </w:rPr>
        <w:t>14.投标文件的签章</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14.1投标文件的签章要求：投标人须知前附表第17款；</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14.2投标文件应由投标人法定代表人或其授权代表签章，并时加盖投标人公章（电子签章）。</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14.3电子签章操作指南详见采购公告附件《供应商项目采购-电子招投标操作指南》。</w:t>
      </w:r>
    </w:p>
    <w:p>
      <w:pPr>
        <w:spacing w:line="440" w:lineRule="exact"/>
        <w:ind w:left="331" w:hanging="331" w:hangingChars="150"/>
        <w:rPr>
          <w:rFonts w:ascii="宋体" w:hAnsi="宋体" w:cs="宋体"/>
          <w:b/>
          <w:bCs/>
          <w:color w:val="auto"/>
          <w:sz w:val="22"/>
          <w:szCs w:val="22"/>
        </w:rPr>
      </w:pPr>
      <w:r>
        <w:rPr>
          <w:rFonts w:hint="eastAsia" w:ascii="宋体" w:hAnsi="宋体" w:cs="宋体"/>
          <w:b/>
          <w:bCs/>
          <w:color w:val="auto"/>
          <w:sz w:val="22"/>
          <w:szCs w:val="22"/>
        </w:rPr>
        <w:t>15.投标文件的形式</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15.1投标文件的形式：见投标人须知前附表第18款；</w:t>
      </w:r>
    </w:p>
    <w:p>
      <w:pPr>
        <w:tabs>
          <w:tab w:val="left" w:pos="360"/>
        </w:tabs>
        <w:spacing w:line="460" w:lineRule="exact"/>
        <w:rPr>
          <w:rFonts w:ascii="宋体" w:hAnsi="宋体" w:cs="宋体"/>
          <w:color w:val="auto"/>
          <w:sz w:val="22"/>
          <w:szCs w:val="22"/>
        </w:rPr>
      </w:pPr>
      <w:r>
        <w:rPr>
          <w:rFonts w:hint="eastAsia" w:ascii="宋体" w:hAnsi="宋体" w:cs="宋体"/>
          <w:color w:val="auto"/>
          <w:sz w:val="22"/>
          <w:szCs w:val="22"/>
        </w:rPr>
        <w:t>15.2“电子加密投标文件”：“电子加密投标文件”是指通过“政采云电子交易客户端”完成投标文件编制后生成并加密的数据电文形式的投标文件。</w:t>
      </w:r>
    </w:p>
    <w:p>
      <w:pPr>
        <w:tabs>
          <w:tab w:val="left" w:pos="360"/>
        </w:tabs>
        <w:spacing w:line="460" w:lineRule="exact"/>
        <w:rPr>
          <w:rFonts w:ascii="宋体" w:hAnsi="宋体" w:cs="宋体"/>
          <w:b/>
          <w:color w:val="auto"/>
          <w:sz w:val="24"/>
        </w:rPr>
      </w:pPr>
      <w:r>
        <w:rPr>
          <w:rFonts w:hint="eastAsia" w:ascii="宋体" w:hAnsi="宋体" w:cs="宋体"/>
          <w:color w:val="auto"/>
          <w:sz w:val="22"/>
          <w:szCs w:val="22"/>
        </w:rPr>
        <w:t>15.3“备份投标文件”：“备份投标文件”是指与“电子加密投标文件”同时生成的数据电文形式的电子文件（备份标书），其他方式编制的“备份投标文件”视为无效的“备份投标文件”。</w:t>
      </w:r>
    </w:p>
    <w:p>
      <w:pPr>
        <w:spacing w:line="440" w:lineRule="exact"/>
        <w:ind w:left="331" w:hanging="331" w:hangingChars="150"/>
        <w:rPr>
          <w:rFonts w:ascii="宋体" w:hAnsi="宋体" w:cs="宋体"/>
          <w:b/>
          <w:bCs/>
          <w:color w:val="auto"/>
          <w:sz w:val="22"/>
          <w:szCs w:val="22"/>
        </w:rPr>
      </w:pPr>
      <w:r>
        <w:rPr>
          <w:rFonts w:hint="eastAsia" w:ascii="宋体" w:hAnsi="宋体" w:cs="宋体"/>
          <w:b/>
          <w:bCs/>
          <w:color w:val="auto"/>
          <w:sz w:val="22"/>
          <w:szCs w:val="22"/>
        </w:rPr>
        <w:t>16.投标文件的份数</w:t>
      </w:r>
    </w:p>
    <w:p>
      <w:pPr>
        <w:tabs>
          <w:tab w:val="left" w:pos="5355"/>
        </w:tabs>
        <w:spacing w:line="430" w:lineRule="exact"/>
        <w:rPr>
          <w:rFonts w:ascii="宋体" w:hAnsi="宋体" w:cs="宋体"/>
          <w:color w:val="auto"/>
          <w:sz w:val="22"/>
          <w:szCs w:val="22"/>
        </w:rPr>
      </w:pPr>
      <w:r>
        <w:rPr>
          <w:rFonts w:hint="eastAsia" w:ascii="宋体" w:hAnsi="宋体" w:cs="宋体"/>
          <w:color w:val="auto"/>
          <w:sz w:val="22"/>
          <w:szCs w:val="22"/>
        </w:rPr>
        <w:t>16.1投标文件的份数：见投标人须知前附表第19款。</w:t>
      </w:r>
    </w:p>
    <w:p>
      <w:pPr>
        <w:tabs>
          <w:tab w:val="left" w:pos="540"/>
        </w:tabs>
        <w:spacing w:line="460" w:lineRule="exact"/>
        <w:rPr>
          <w:rFonts w:ascii="宋体" w:hAnsi="宋体" w:cs="宋体"/>
          <w:color w:val="auto"/>
          <w:sz w:val="22"/>
          <w:szCs w:val="22"/>
        </w:rPr>
      </w:pPr>
      <w:r>
        <w:rPr>
          <w:rFonts w:hint="eastAsia" w:ascii="宋体" w:hAnsi="宋体" w:cs="宋体"/>
          <w:bCs/>
          <w:color w:val="auto"/>
          <w:sz w:val="22"/>
          <w:szCs w:val="22"/>
        </w:rPr>
        <w:t>17.投标报价</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17.1 投标人应报出本项目技术服务所包含的所有单价和总价，并且报出价格组成表，对于投标人价格组成表中未列出的项目或没有填写单价和总价的项目,在合同执行时采购人将不予支付,并认为这些项目费用已包括在投标报价内。</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17.2</w:t>
      </w:r>
      <w:r>
        <w:rPr>
          <w:rFonts w:hint="eastAsia" w:ascii="宋体" w:hAnsi="宋体" w:cs="宋体"/>
          <w:bCs/>
          <w:color w:val="auto"/>
          <w:sz w:val="22"/>
          <w:szCs w:val="22"/>
        </w:rPr>
        <w:t>本项目</w:t>
      </w:r>
      <w:r>
        <w:rPr>
          <w:rFonts w:hint="eastAsia" w:ascii="宋体" w:hAnsi="宋体" w:cs="宋体"/>
          <w:bCs/>
          <w:color w:val="auto"/>
          <w:kern w:val="0"/>
          <w:sz w:val="22"/>
          <w:szCs w:val="22"/>
          <w:lang w:val="zh-CN"/>
        </w:rPr>
        <w:t>投标报价是</w:t>
      </w:r>
      <w:r>
        <w:rPr>
          <w:rFonts w:hint="eastAsia" w:ascii="新宋体" w:hAnsi="新宋体" w:eastAsia="新宋体" w:cs="宋体"/>
          <w:bCs/>
          <w:color w:val="auto"/>
          <w:kern w:val="0"/>
          <w:sz w:val="22"/>
          <w:szCs w:val="22"/>
          <w:lang w:val="zh-CN"/>
        </w:rPr>
        <w:t>采购文件所确定的采购范围内全部工作内容的价格表现，包括提供所有承包服务所需的一切人员工资、奖金、福利、人员培训费、各种加班费、各种社会保险费、人员食宿费、体检费、交通费、管理费、税费、利润及所有故障件的维修、更换等完成合同所需的一切本身和不可或缺的所有工作开支、政策性文件规定及合同包含的所有风险、责任等各项全部费用</w:t>
      </w:r>
      <w:r>
        <w:rPr>
          <w:rFonts w:hint="eastAsia" w:ascii="宋体" w:hAnsi="宋体" w:cs="宋体"/>
          <w:bCs/>
          <w:color w:val="auto"/>
          <w:kern w:val="0"/>
          <w:sz w:val="22"/>
          <w:szCs w:val="22"/>
          <w:lang w:val="zh-CN"/>
        </w:rPr>
        <w:t>。供应商须充分考虑本项目的特殊性和不可预见性在内的所有为完成本项目及由此引起的费用等所需的各项应有费用。招标范围包含的所有内容的价格一次性包干（采购人提出的设计变更除外）。</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17.3 投标人须认真阅读、充分理解采购文件，如有疑问可在询疑截止时间前送达（或传真）采购代理机构，采购代理机构将会统一解答。任何因对本项目采购文件理解不清、产生歧义等由此产生的费用，视作以含在投标总价中。</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17.4 投标人必须按第三部分附件的开标一览表、投标分项报价表的内容填写单价、合价及其他事项，并由法定代表人或授权代表签署。</w:t>
      </w:r>
    </w:p>
    <w:p>
      <w:pPr>
        <w:tabs>
          <w:tab w:val="left" w:pos="540"/>
        </w:tabs>
        <w:spacing w:line="460" w:lineRule="exact"/>
        <w:rPr>
          <w:rFonts w:ascii="宋体" w:hAnsi="宋体" w:cs="宋体"/>
          <w:b/>
          <w:color w:val="auto"/>
          <w:sz w:val="22"/>
          <w:szCs w:val="22"/>
        </w:rPr>
      </w:pPr>
      <w:r>
        <w:rPr>
          <w:rFonts w:hint="eastAsia" w:ascii="宋体" w:hAnsi="宋体" w:cs="宋体"/>
          <w:color w:val="auto"/>
          <w:sz w:val="22"/>
          <w:szCs w:val="22"/>
        </w:rPr>
        <w:t>17.5 所有投标报价均以人民币报价。</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17.6 采购人不接受任何选择报价，对每一项货物/服务只允许一个报价。</w:t>
      </w:r>
    </w:p>
    <w:p>
      <w:pPr>
        <w:tabs>
          <w:tab w:val="left" w:pos="540"/>
        </w:tabs>
        <w:spacing w:line="460" w:lineRule="exact"/>
        <w:rPr>
          <w:rFonts w:ascii="宋体" w:hAnsi="宋体" w:cs="宋体"/>
          <w:color w:val="auto"/>
          <w:sz w:val="22"/>
          <w:szCs w:val="22"/>
        </w:rPr>
      </w:pPr>
      <w:r>
        <w:rPr>
          <w:rFonts w:hint="eastAsia" w:ascii="宋体" w:hAnsi="宋体" w:cs="宋体"/>
          <w:color w:val="auto"/>
          <w:sz w:val="22"/>
          <w:szCs w:val="22"/>
        </w:rPr>
        <w:t>17.7 采购人要求分类报价是为了方便评标，但在任何情况下不限制采购人以其认为最合适的条款、条件签订合同的权利。</w:t>
      </w:r>
    </w:p>
    <w:p>
      <w:pPr>
        <w:tabs>
          <w:tab w:val="left" w:pos="540"/>
        </w:tabs>
        <w:spacing w:line="440" w:lineRule="exact"/>
        <w:rPr>
          <w:rFonts w:ascii="宋体" w:hAnsi="宋体" w:cs="宋体"/>
          <w:color w:val="auto"/>
          <w:sz w:val="22"/>
          <w:szCs w:val="22"/>
        </w:rPr>
      </w:pPr>
      <w:r>
        <w:rPr>
          <w:rFonts w:hint="eastAsia" w:ascii="宋体" w:hAnsi="宋体" w:cs="宋体"/>
          <w:color w:val="auto"/>
          <w:sz w:val="22"/>
          <w:szCs w:val="22"/>
        </w:rPr>
        <w:t>17.8报价是成交的一个重要因素，但最低报价不是成交的唯一依据。</w:t>
      </w:r>
    </w:p>
    <w:p>
      <w:pPr>
        <w:tabs>
          <w:tab w:val="left" w:pos="-180"/>
          <w:tab w:val="left" w:pos="180"/>
          <w:tab w:val="left" w:pos="360"/>
        </w:tabs>
        <w:spacing w:line="440" w:lineRule="exact"/>
        <w:ind w:left="660" w:hanging="660" w:hangingChars="300"/>
        <w:rPr>
          <w:rFonts w:ascii="宋体" w:hAnsi="宋体" w:cs="宋体"/>
          <w:b/>
          <w:bCs/>
          <w:color w:val="auto"/>
          <w:sz w:val="22"/>
          <w:szCs w:val="22"/>
        </w:rPr>
      </w:pPr>
      <w:r>
        <w:rPr>
          <w:rFonts w:hint="eastAsia" w:ascii="宋体" w:hAnsi="宋体" w:cs="宋体"/>
          <w:bCs/>
          <w:color w:val="auto"/>
          <w:sz w:val="22"/>
          <w:szCs w:val="22"/>
        </w:rPr>
        <w:t xml:space="preserve">12. </w:t>
      </w:r>
      <w:r>
        <w:rPr>
          <w:rFonts w:hint="eastAsia" w:ascii="宋体" w:hAnsi="宋体" w:cs="宋体"/>
          <w:b/>
          <w:bCs/>
          <w:color w:val="auto"/>
          <w:sz w:val="22"/>
          <w:szCs w:val="22"/>
        </w:rPr>
        <w:t>投标人如发生下列情况之一，将上报同级采购监督管理部门，追究其责任：</w:t>
      </w:r>
    </w:p>
    <w:p>
      <w:pPr>
        <w:numPr>
          <w:ilvl w:val="0"/>
          <w:numId w:val="20"/>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投标人在采购文件规定的投标有效期内撤回投标；</w:t>
      </w:r>
    </w:p>
    <w:p>
      <w:pPr>
        <w:numPr>
          <w:ilvl w:val="0"/>
          <w:numId w:val="20"/>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中标人未按中标通知书中规定的时间与采购人签订合同；</w:t>
      </w:r>
    </w:p>
    <w:p>
      <w:pPr>
        <w:numPr>
          <w:ilvl w:val="0"/>
          <w:numId w:val="20"/>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投标人在采购文件中提供虚假技术指标及参数，经评标委员会确认属实的。</w:t>
      </w:r>
    </w:p>
    <w:p>
      <w:pPr>
        <w:numPr>
          <w:ilvl w:val="0"/>
          <w:numId w:val="20"/>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经同级采购监督管理部门审查认定投标人有违反有关法律法规的行为。</w:t>
      </w:r>
    </w:p>
    <w:p>
      <w:pPr>
        <w:tabs>
          <w:tab w:val="left" w:pos="-180"/>
          <w:tab w:val="left" w:pos="180"/>
          <w:tab w:val="left" w:pos="360"/>
        </w:tabs>
        <w:spacing w:line="440" w:lineRule="exact"/>
        <w:rPr>
          <w:rFonts w:ascii="宋体" w:hAnsi="宋体" w:cs="宋体"/>
          <w:b/>
          <w:bCs/>
          <w:color w:val="auto"/>
          <w:sz w:val="22"/>
          <w:szCs w:val="22"/>
        </w:rPr>
      </w:pPr>
      <w:bookmarkStart w:id="39" w:name="_Toc241404202"/>
      <w:bookmarkStart w:id="40" w:name="_Toc239145354"/>
      <w:bookmarkStart w:id="41" w:name="_Toc221356887"/>
      <w:bookmarkStart w:id="42" w:name="_Toc221356951"/>
      <w:bookmarkStart w:id="43" w:name="_Toc223715998"/>
      <w:bookmarkStart w:id="44" w:name="_Toc222114879"/>
      <w:bookmarkStart w:id="45" w:name="_Toc221374626"/>
      <w:bookmarkStart w:id="46" w:name="_Toc221423619"/>
      <w:bookmarkStart w:id="47" w:name="_Toc265529383"/>
      <w:r>
        <w:rPr>
          <w:rFonts w:hint="eastAsia" w:ascii="宋体" w:hAnsi="宋体" w:cs="宋体"/>
          <w:b/>
          <w:bCs/>
          <w:color w:val="auto"/>
          <w:sz w:val="22"/>
          <w:szCs w:val="22"/>
        </w:rPr>
        <w:t>19. 投标有效期</w:t>
      </w:r>
    </w:p>
    <w:p>
      <w:pPr>
        <w:tabs>
          <w:tab w:val="left" w:pos="540"/>
          <w:tab w:val="left" w:pos="992"/>
        </w:tabs>
        <w:autoSpaceDE w:val="0"/>
        <w:autoSpaceDN w:val="0"/>
        <w:adjustRightInd w:val="0"/>
        <w:spacing w:line="460" w:lineRule="atLeast"/>
        <w:rPr>
          <w:rFonts w:ascii="宋体" w:hAnsi="宋体" w:cs="宋体"/>
          <w:color w:val="auto"/>
          <w:kern w:val="0"/>
          <w:sz w:val="22"/>
          <w:szCs w:val="22"/>
        </w:rPr>
      </w:pPr>
      <w:r>
        <w:rPr>
          <w:rFonts w:hint="eastAsia" w:ascii="宋体" w:hAnsi="宋体" w:cs="宋体"/>
          <w:color w:val="auto"/>
          <w:kern w:val="0"/>
          <w:sz w:val="22"/>
          <w:szCs w:val="22"/>
        </w:rPr>
        <w:t>19.1 自开标之日起 90天内投标应保持有效。投标有效期短于这个规定期限的投标将视为非响应性投标而予以拒绝。</w:t>
      </w:r>
    </w:p>
    <w:p>
      <w:pPr>
        <w:spacing w:line="440" w:lineRule="exact"/>
        <w:rPr>
          <w:rFonts w:ascii="宋体" w:hAnsi="宋体" w:cs="宋体"/>
          <w:color w:val="auto"/>
          <w:sz w:val="22"/>
          <w:szCs w:val="22"/>
        </w:rPr>
      </w:pPr>
      <w:r>
        <w:rPr>
          <w:rFonts w:hint="eastAsia" w:ascii="宋体" w:hAnsi="宋体" w:cs="宋体"/>
          <w:color w:val="auto"/>
          <w:kern w:val="0"/>
          <w:sz w:val="22"/>
          <w:szCs w:val="22"/>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5"/>
        <w:spacing w:line="500" w:lineRule="exact"/>
        <w:jc w:val="center"/>
        <w:rPr>
          <w:rFonts w:ascii="宋体" w:hAnsi="宋体" w:eastAsia="宋体" w:cs="宋体"/>
          <w:color w:val="auto"/>
          <w:sz w:val="24"/>
          <w:szCs w:val="24"/>
        </w:rPr>
      </w:pPr>
      <w:bookmarkStart w:id="48" w:name="_Toc34508133"/>
      <w:bookmarkStart w:id="49" w:name="_Toc58406686"/>
      <w:r>
        <w:rPr>
          <w:rFonts w:hint="eastAsia" w:ascii="宋体" w:hAnsi="宋体" w:eastAsia="宋体" w:cs="宋体"/>
          <w:color w:val="auto"/>
          <w:sz w:val="24"/>
          <w:szCs w:val="24"/>
        </w:rPr>
        <w:t>四、 投标文件的递交</w:t>
      </w:r>
      <w:bookmarkEnd w:id="39"/>
      <w:bookmarkEnd w:id="40"/>
      <w:bookmarkEnd w:id="41"/>
      <w:bookmarkEnd w:id="42"/>
      <w:bookmarkEnd w:id="43"/>
      <w:bookmarkEnd w:id="44"/>
      <w:bookmarkEnd w:id="45"/>
      <w:bookmarkEnd w:id="46"/>
      <w:bookmarkEnd w:id="47"/>
      <w:bookmarkEnd w:id="48"/>
      <w:bookmarkEnd w:id="49"/>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20. 投标文件的递交</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20.1投标文件的上传、递交：见投标人须知前附表第20款。</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21. “电子加密投标文件”解密和异常情况处理。</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21.1“电子加密投标文件”解密：见投标人须知前附表第21款。</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22. 投标文件的补充、修改或撤回</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22.2投标文件递交截止时间后，投标人不得撤回、修改投标文件。</w:t>
      </w:r>
    </w:p>
    <w:p>
      <w:pPr>
        <w:tabs>
          <w:tab w:val="left" w:pos="540"/>
        </w:tabs>
        <w:spacing w:line="460" w:lineRule="exact"/>
        <w:rPr>
          <w:rFonts w:ascii="宋体" w:hAnsi="宋体" w:cs="宋体"/>
          <w:bCs/>
          <w:color w:val="auto"/>
          <w:kern w:val="0"/>
          <w:sz w:val="22"/>
          <w:szCs w:val="22"/>
        </w:rPr>
      </w:pPr>
      <w:r>
        <w:rPr>
          <w:rFonts w:hint="eastAsia" w:ascii="宋体" w:hAnsi="宋体" w:cs="宋体"/>
          <w:b/>
          <w:bCs/>
          <w:color w:val="auto"/>
          <w:kern w:val="0"/>
          <w:sz w:val="22"/>
          <w:szCs w:val="22"/>
        </w:rPr>
        <w:t>23. 投标文件的备选方案</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23.1投标人不得递交任何的投标备选（替代）方案，否则其投标文件将作无效标处理。与“电子加密投标文件”同时生成的“备份投标文件”不是投标备选（替代）方案。</w:t>
      </w:r>
    </w:p>
    <w:p>
      <w:pPr>
        <w:tabs>
          <w:tab w:val="left" w:pos="540"/>
        </w:tabs>
        <w:spacing w:line="460" w:lineRule="exact"/>
        <w:rPr>
          <w:rFonts w:ascii="宋体" w:hAnsi="宋体" w:cs="宋体"/>
          <w:b/>
          <w:color w:val="auto"/>
          <w:sz w:val="22"/>
          <w:szCs w:val="22"/>
        </w:rPr>
      </w:pPr>
    </w:p>
    <w:p>
      <w:pPr>
        <w:pStyle w:val="5"/>
        <w:spacing w:line="500" w:lineRule="exact"/>
        <w:jc w:val="center"/>
        <w:rPr>
          <w:rFonts w:ascii="宋体" w:hAnsi="宋体" w:eastAsia="宋体" w:cs="宋体"/>
          <w:color w:val="auto"/>
          <w:sz w:val="24"/>
          <w:szCs w:val="24"/>
        </w:rPr>
      </w:pPr>
      <w:bookmarkStart w:id="50" w:name="_Toc239145355"/>
      <w:bookmarkStart w:id="51" w:name="_Toc221423620"/>
      <w:bookmarkStart w:id="52" w:name="_Toc34508134"/>
      <w:bookmarkStart w:id="53" w:name="_Toc221374627"/>
      <w:bookmarkStart w:id="54" w:name="_Toc221356952"/>
      <w:bookmarkStart w:id="55" w:name="_Toc265529384"/>
      <w:bookmarkStart w:id="56" w:name="_Toc221356888"/>
      <w:bookmarkStart w:id="57" w:name="_Toc241404203"/>
      <w:bookmarkStart w:id="58" w:name="_Toc222114880"/>
      <w:bookmarkStart w:id="59" w:name="_Toc58406687"/>
      <w:bookmarkStart w:id="60" w:name="_Toc223715999"/>
      <w:r>
        <w:rPr>
          <w:rFonts w:hint="eastAsia" w:ascii="宋体" w:hAnsi="宋体" w:eastAsia="宋体" w:cs="宋体"/>
          <w:color w:val="auto"/>
          <w:sz w:val="24"/>
          <w:szCs w:val="24"/>
        </w:rPr>
        <w:t>五、 开标</w:t>
      </w:r>
      <w:bookmarkEnd w:id="50"/>
      <w:bookmarkEnd w:id="51"/>
      <w:bookmarkEnd w:id="52"/>
      <w:bookmarkEnd w:id="53"/>
      <w:bookmarkEnd w:id="54"/>
      <w:bookmarkEnd w:id="55"/>
      <w:bookmarkEnd w:id="56"/>
      <w:bookmarkEnd w:id="57"/>
      <w:bookmarkEnd w:id="58"/>
      <w:bookmarkEnd w:id="59"/>
      <w:bookmarkEnd w:id="60"/>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24. 开标形式</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24.1 采购组织机构将按照采购文件规定的时间通过“政采云平台”组织开标、开启投标文件，所有供应商均应当准时在线参加。</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25. 开标准备</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25.1开标的准备工作由采购组织机构负责落实。</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25.2采购组织机构将按照采购文件规定的时间通过“政采云平台”组织开标、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供应商自己承担。</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26.开标流程（两阶段）</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26.1开标第一阶段</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1）向各投标人发出电子加密投标文件【开始解密】通知，由供应商按采购文件规定的时间内自行进行投标文件解密。投标人在规定的时间内（开标时间起半个小时内）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（2）投标文件解密结束，各投标人签署《采购活动现场确认声明书》（见附件）后将扫描件发送至采购代理机构邮箱：</w:t>
      </w:r>
      <w:r>
        <w:rPr>
          <w:rFonts w:hint="eastAsia" w:ascii="宋体" w:hAnsi="宋体" w:cs="宋体"/>
          <w:b/>
          <w:color w:val="auto"/>
          <w:sz w:val="22"/>
          <w:szCs w:val="22"/>
          <w:u w:val="single"/>
        </w:rPr>
        <w:t>ye462978466@qq.com</w:t>
      </w:r>
      <w:r>
        <w:rPr>
          <w:rFonts w:hint="eastAsia" w:ascii="宋体" w:hAnsi="宋体" w:cs="宋体"/>
          <w:b/>
          <w:bCs/>
          <w:color w:val="auto"/>
          <w:kern w:val="0"/>
          <w:sz w:val="22"/>
          <w:szCs w:val="22"/>
        </w:rPr>
        <w:t>；</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（3）开启投标文件，进入资格审查；</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（4）开启资格审查通过的投标人的商务技术文件进入符合性审查、商务技术评审；</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（5）第一阶段开标结束。</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备注：开标大会的第一阶段结束后，采购人或采购代理机构将对依法对投标人的资格进行审查，资格审查结束后进入符合性审查和商务技术文件的评审工作，具体见本章节“投标人资格审查”相关规定。</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26.2开标大会第二阶段</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1）符合性审查、商务技术文件的评审结束后，举行开标大会第二阶段会议。首先在“政采云平台”系统平台上公布符合性审查、商务技术评审无效供应商名称及理由；公布经商务技术评审后有效投标人的名单，同时公布其商务技术部分得分情况。</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2）开启通过符合性审查、商务技术文件评审有效投标人的报价文件，在“政采云平台”系统平台上公布开标一览表有关内容，同时当场制作开标记录。开标结束后，由评标委员会对报价的合理性、准确性等进行审查核实。</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（3）评审结束后，在“政采云平台”系统平台上公布中标（成交）候选供应商名单，及采购人最终确定中标或成交供应商名单的时间和公告方式等。</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特别说明：如遇“政采云平台”电子化开标或评审程序调整的，按调整后程序执行。</w:t>
      </w:r>
    </w:p>
    <w:p>
      <w:pPr>
        <w:tabs>
          <w:tab w:val="left" w:pos="540"/>
        </w:tabs>
        <w:spacing w:line="460" w:lineRule="exact"/>
        <w:rPr>
          <w:rFonts w:ascii="宋体" w:hAnsi="宋体" w:cs="宋体"/>
          <w:b/>
          <w:bCs/>
          <w:color w:val="auto"/>
          <w:kern w:val="0"/>
          <w:sz w:val="22"/>
          <w:szCs w:val="22"/>
        </w:rPr>
      </w:pPr>
      <w:bookmarkStart w:id="61" w:name="_Toc24550037"/>
      <w:bookmarkStart w:id="62" w:name="_Toc33194393"/>
      <w:r>
        <w:rPr>
          <w:rFonts w:hint="eastAsia" w:ascii="宋体" w:hAnsi="宋体" w:cs="宋体"/>
          <w:b/>
          <w:bCs/>
          <w:color w:val="auto"/>
          <w:kern w:val="0"/>
          <w:sz w:val="22"/>
          <w:szCs w:val="22"/>
        </w:rPr>
        <w:t>27. 投标人资格审查</w:t>
      </w:r>
      <w:bookmarkEnd w:id="61"/>
      <w:bookmarkEnd w:id="62"/>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27.1开标大会第一阶段结束后，采购人或采购代理机构首先依法对各投标人的资格进行审查，审查各投标人的资格是否满足采购文件的要求。采购人或采购代理机构对投标人所提交的资格审查材料仅负审核的责任。如发现投标人所提交的资格审查材料不合法或与事实不符，采购人可取消其中标资格并追究投标人的法律责任。</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27.2投标人提交的资格审查材料无法证明其符合采购文件规定的“投标人资格要求”的，采购人或采购代理机构将对其作资格审查不通过处理（无效投标），并不再将其投标提交评标委员会进行后续评审。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ascii="宋体" w:hAnsi="宋体" w:cs="宋体"/>
          <w:bCs/>
          <w:color w:val="auto"/>
          <w:kern w:val="0"/>
          <w:sz w:val="22"/>
          <w:szCs w:val="22"/>
        </w:rPr>
      </w:pPr>
      <w:r>
        <w:rPr>
          <w:rFonts w:hint="eastAsia" w:ascii="宋体" w:hAnsi="宋体" w:cs="宋体"/>
          <w:bCs/>
          <w:color w:val="auto"/>
          <w:kern w:val="0"/>
          <w:sz w:val="22"/>
          <w:szCs w:val="22"/>
        </w:rPr>
        <w:t>27.3单位负责人为同一人或者存在直接控股、管理关系的不同供应商参加同一合同项下的采购活动的，相关投标人均作资格无效处理。</w:t>
      </w:r>
    </w:p>
    <w:p>
      <w:pPr>
        <w:pStyle w:val="5"/>
        <w:spacing w:line="500" w:lineRule="exact"/>
        <w:jc w:val="center"/>
        <w:rPr>
          <w:rFonts w:ascii="宋体" w:hAnsi="宋体" w:eastAsia="宋体" w:cs="宋体"/>
          <w:color w:val="auto"/>
          <w:sz w:val="24"/>
          <w:szCs w:val="24"/>
        </w:rPr>
      </w:pPr>
      <w:bookmarkStart w:id="63" w:name="_Toc34508135"/>
      <w:bookmarkStart w:id="64" w:name="_Toc58406688"/>
      <w:bookmarkStart w:id="65" w:name="_Toc34221900"/>
      <w:r>
        <w:rPr>
          <w:rFonts w:hint="eastAsia" w:ascii="宋体" w:hAnsi="宋体" w:eastAsia="宋体" w:cs="宋体"/>
          <w:color w:val="auto"/>
          <w:sz w:val="24"/>
          <w:szCs w:val="24"/>
        </w:rPr>
        <w:t>六、 评  标</w:t>
      </w:r>
      <w:bookmarkEnd w:id="63"/>
      <w:bookmarkEnd w:id="64"/>
      <w:bookmarkEnd w:id="65"/>
    </w:p>
    <w:p>
      <w:pPr>
        <w:spacing w:line="460" w:lineRule="exact"/>
        <w:rPr>
          <w:rFonts w:ascii="宋体" w:hAnsi="宋体" w:cs="宋体"/>
          <w:b/>
          <w:color w:val="auto"/>
          <w:kern w:val="0"/>
          <w:sz w:val="22"/>
          <w:szCs w:val="22"/>
        </w:rPr>
      </w:pPr>
      <w:r>
        <w:rPr>
          <w:rFonts w:hint="eastAsia" w:ascii="宋体" w:hAnsi="宋体" w:cs="宋体"/>
          <w:b/>
          <w:color w:val="auto"/>
          <w:kern w:val="0"/>
          <w:sz w:val="22"/>
          <w:szCs w:val="22"/>
        </w:rPr>
        <w:t>28. 评标委员会</w:t>
      </w:r>
    </w:p>
    <w:p>
      <w:pPr>
        <w:spacing w:line="460" w:lineRule="exact"/>
        <w:ind w:firstLine="440" w:firstLineChars="200"/>
        <w:rPr>
          <w:rFonts w:ascii="宋体" w:hAnsi="宋体" w:cs="宋体"/>
          <w:color w:val="auto"/>
          <w:kern w:val="0"/>
          <w:sz w:val="22"/>
          <w:szCs w:val="22"/>
        </w:rPr>
      </w:pPr>
      <w:r>
        <w:rPr>
          <w:rFonts w:hint="eastAsia" w:ascii="宋体" w:hAnsi="宋体" w:cs="宋体"/>
          <w:color w:val="auto"/>
          <w:kern w:val="0"/>
          <w:sz w:val="22"/>
          <w:szCs w:val="22"/>
        </w:rPr>
        <w:t>采购人按照有关法律、法规的规定组建评标委员会，评标委员会成员由采购人代表和有关技术、经济等方面的专家组成，成员人数为5人（含）以上单数，除采购人代表外的专家将在评标专家库中随机抽取产生。</w:t>
      </w:r>
    </w:p>
    <w:p>
      <w:pPr>
        <w:spacing w:line="460" w:lineRule="exact"/>
        <w:rPr>
          <w:rFonts w:ascii="宋体" w:hAnsi="宋体" w:cs="宋体"/>
          <w:b/>
          <w:color w:val="auto"/>
          <w:kern w:val="0"/>
          <w:sz w:val="22"/>
          <w:szCs w:val="22"/>
        </w:rPr>
      </w:pPr>
      <w:r>
        <w:rPr>
          <w:rFonts w:hint="eastAsia" w:ascii="宋体" w:hAnsi="宋体" w:cs="宋体"/>
          <w:b/>
          <w:color w:val="auto"/>
          <w:kern w:val="0"/>
          <w:sz w:val="22"/>
          <w:szCs w:val="22"/>
        </w:rPr>
        <w:t>29. 评标过程的保密性</w:t>
      </w:r>
    </w:p>
    <w:p>
      <w:pPr>
        <w:spacing w:line="460" w:lineRule="exact"/>
        <w:ind w:firstLine="440" w:firstLineChars="200"/>
        <w:rPr>
          <w:rFonts w:ascii="宋体" w:hAnsi="宋体" w:cs="宋体"/>
          <w:color w:val="auto"/>
          <w:kern w:val="0"/>
          <w:sz w:val="22"/>
          <w:szCs w:val="22"/>
        </w:rPr>
      </w:pPr>
      <w:r>
        <w:rPr>
          <w:rFonts w:hint="eastAsia" w:ascii="宋体" w:hAnsi="宋体" w:cs="宋体"/>
          <w:color w:val="auto"/>
          <w:kern w:val="0"/>
          <w:sz w:val="22"/>
          <w:szCs w:val="22"/>
        </w:rPr>
        <w:t>开标后直至向中标人授予合同时止，凡与评审有关的资料均不得向投标人及与评标无关人员透露。如果投标人在评标过程中试图向采购人和采购代理机构施加影响，其投标将被拒绝。</w:t>
      </w:r>
    </w:p>
    <w:p>
      <w:pPr>
        <w:spacing w:line="460" w:lineRule="exact"/>
        <w:rPr>
          <w:rFonts w:ascii="宋体" w:hAnsi="宋体" w:cs="宋体"/>
          <w:b/>
          <w:color w:val="auto"/>
          <w:kern w:val="0"/>
          <w:sz w:val="22"/>
          <w:szCs w:val="22"/>
        </w:rPr>
      </w:pPr>
      <w:r>
        <w:rPr>
          <w:rFonts w:hint="eastAsia" w:ascii="宋体" w:hAnsi="宋体" w:cs="宋体"/>
          <w:b/>
          <w:color w:val="auto"/>
          <w:kern w:val="0"/>
          <w:sz w:val="22"/>
          <w:szCs w:val="22"/>
        </w:rPr>
        <w:t>30. 投标文件的初审（符合性检查）。</w:t>
      </w:r>
    </w:p>
    <w:p>
      <w:pPr>
        <w:spacing w:line="460" w:lineRule="exact"/>
        <w:ind w:firstLine="440" w:firstLineChars="200"/>
        <w:rPr>
          <w:rFonts w:ascii="宋体" w:hAnsi="宋体" w:cs="宋体"/>
          <w:color w:val="auto"/>
          <w:kern w:val="0"/>
          <w:sz w:val="22"/>
          <w:szCs w:val="22"/>
        </w:rPr>
      </w:pPr>
      <w:r>
        <w:rPr>
          <w:rFonts w:hint="eastAsia" w:ascii="宋体" w:hAnsi="宋体" w:cs="宋体"/>
          <w:color w:val="auto"/>
          <w:kern w:val="0"/>
          <w:sz w:val="22"/>
          <w:szCs w:val="22"/>
        </w:rPr>
        <w:t>评标委员会依据采购文件的规定，从投标文件中的有效性、完整性和对采购文件的响应程度进行审查，以确定是否对采购文件的实质性要求作出响应。</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30.1▲</w:t>
      </w:r>
      <w:r>
        <w:rPr>
          <w:rFonts w:hint="eastAsia" w:ascii="宋体" w:hAnsi="宋体" w:cs="宋体"/>
          <w:b/>
          <w:bCs/>
          <w:color w:val="auto"/>
          <w:kern w:val="0"/>
          <w:sz w:val="22"/>
          <w:szCs w:val="22"/>
          <w:u w:val="single"/>
        </w:rPr>
        <w:t>投标人存在下列情况之一的，投标无效</w:t>
      </w:r>
      <w:r>
        <w:rPr>
          <w:rFonts w:hint="eastAsia" w:ascii="宋体" w:hAnsi="宋体" w:cs="宋体"/>
          <w:color w:val="auto"/>
          <w:kern w:val="0"/>
          <w:sz w:val="22"/>
          <w:szCs w:val="22"/>
        </w:rPr>
        <w:t>:</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1）投标文件未按采购文件要求签署、盖章的；</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2）不具备采购文件中规定的资格要求的；</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3）报价超过采购文件中规定的预算金额或者最高限价的；</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4）投标文件含有采购人不能接受的附加条件的（包括采购文件中明确要求不得偏离的采购要求，存在负偏离的）；</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5）仅提交“备份投标文件”的；</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6）对关键条文的偏离、保留或反对，例如关于付款方式、完工期（服务期）、免费质保期、适用法律法规、标准、税费等其他内容；</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7）存在串标、抬标或弄虚作假情况的；</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8）法律、法规和采购文件规定的其他无效情形（或出现重大偏差）。</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30.2▲</w:t>
      </w:r>
      <w:r>
        <w:rPr>
          <w:rFonts w:hint="eastAsia" w:ascii="宋体" w:hAnsi="宋体" w:cs="宋体"/>
          <w:b/>
          <w:bCs/>
          <w:color w:val="auto"/>
          <w:kern w:val="0"/>
          <w:sz w:val="22"/>
          <w:szCs w:val="22"/>
          <w:u w:val="single"/>
        </w:rPr>
        <w:t>评标委员会发现投标文件有下列情形之一的属于重大偏差(评标委员会按少数服从多数原则认定),按照无效投标处理</w:t>
      </w:r>
      <w:r>
        <w:rPr>
          <w:rFonts w:hint="eastAsia" w:ascii="宋体" w:hAnsi="宋体" w:cs="宋体"/>
          <w:color w:val="auto"/>
          <w:kern w:val="0"/>
          <w:sz w:val="22"/>
          <w:szCs w:val="22"/>
        </w:rPr>
        <w:t>：</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1）未按采购文件要求编制或字迹模糊、辨认不清的投标文件；</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2）除30.1条款以外，出现其它明显不符合技术规格、技术标准的要求或不满足采购文件技术规格书中的主要参数的投标文件；</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3）除30.1条款以外，出现投标项目数量与采购文件对比出现较大偏差；商务报价明细表计算错误，出现较大差错；</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4）除30.1条款以外，出现其它不符合采购文件中规定的实质性要求的投标文件，是否为偏离实质性要求由评标委员会认定。</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30.3</w:t>
      </w:r>
      <w:r>
        <w:rPr>
          <w:rFonts w:hint="eastAsia" w:ascii="宋体" w:hAnsi="宋体" w:cs="宋体"/>
          <w:b/>
          <w:bCs/>
          <w:color w:val="auto"/>
          <w:kern w:val="0"/>
          <w:sz w:val="22"/>
          <w:szCs w:val="22"/>
          <w:u w:val="single"/>
        </w:rPr>
        <w:t>有下列情形之一的，视为投标人串通投标，其投标无效</w:t>
      </w:r>
      <w:r>
        <w:rPr>
          <w:rFonts w:hint="eastAsia" w:ascii="宋体" w:hAnsi="宋体" w:cs="宋体"/>
          <w:color w:val="auto"/>
          <w:kern w:val="0"/>
          <w:sz w:val="22"/>
          <w:szCs w:val="22"/>
        </w:rPr>
        <w:t>：</w:t>
      </w:r>
    </w:p>
    <w:p>
      <w:pPr>
        <w:numPr>
          <w:ilvl w:val="0"/>
          <w:numId w:val="21"/>
        </w:num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不同投标人的投标文件由同一单位或者个人编制；</w:t>
      </w:r>
    </w:p>
    <w:p>
      <w:pPr>
        <w:numPr>
          <w:ilvl w:val="0"/>
          <w:numId w:val="21"/>
        </w:numPr>
        <w:spacing w:line="460" w:lineRule="exact"/>
        <w:ind w:left="0" w:leftChars="0" w:firstLine="418" w:firstLineChars="190"/>
        <w:rPr>
          <w:rFonts w:ascii="宋体" w:hAnsi="宋体" w:cs="宋体"/>
          <w:color w:val="auto"/>
          <w:kern w:val="0"/>
          <w:sz w:val="22"/>
          <w:szCs w:val="22"/>
        </w:rPr>
      </w:pPr>
      <w:r>
        <w:rPr>
          <w:rFonts w:hint="eastAsia" w:ascii="宋体" w:hAnsi="宋体" w:cs="宋体"/>
          <w:color w:val="auto"/>
          <w:kern w:val="0"/>
          <w:sz w:val="22"/>
          <w:szCs w:val="22"/>
        </w:rPr>
        <w:t>不同投标人委托同一单位或者个人办理投标事宜；</w:t>
      </w:r>
    </w:p>
    <w:p>
      <w:pPr>
        <w:numPr>
          <w:ilvl w:val="0"/>
          <w:numId w:val="21"/>
        </w:numPr>
        <w:spacing w:line="460" w:lineRule="exact"/>
        <w:ind w:left="0" w:leftChars="0" w:firstLine="418" w:firstLineChars="190"/>
        <w:rPr>
          <w:rFonts w:ascii="宋体" w:hAnsi="宋体" w:cs="宋体"/>
          <w:color w:val="auto"/>
          <w:kern w:val="0"/>
          <w:sz w:val="22"/>
          <w:szCs w:val="22"/>
        </w:rPr>
      </w:pPr>
      <w:r>
        <w:rPr>
          <w:rFonts w:hint="eastAsia" w:ascii="宋体" w:hAnsi="宋体" w:cs="宋体"/>
          <w:color w:val="auto"/>
          <w:kern w:val="0"/>
          <w:sz w:val="22"/>
          <w:szCs w:val="22"/>
        </w:rPr>
        <w:t>不同投标人的投标文件载明的项目管理成员或者联系人员为同一人；</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4）不同投标人的投标文件异常一致或者投标报价呈规律性差异；</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5）不同投标人的投标文件相互混装；</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30.4在详细评标之前，评标委员会要审查每份投标文件是否实质上响应了采购文件的要求。实质上响应的投标应该是与采购文件要求的全部条款、条件和规格基本相符。没有重大偏离。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30.5实质上没有响应采购文件要求的投标将被否决，投标人不得通过修正或撤消不合要求的偏离或保留从而使其投标成为实质上响应的投标。</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31.投标文件的澄清</w:t>
      </w:r>
    </w:p>
    <w:p>
      <w:pPr>
        <w:spacing w:line="460" w:lineRule="exact"/>
        <w:rPr>
          <w:rFonts w:ascii="宋体" w:hAnsi="宋体" w:cs="宋体"/>
          <w:b/>
          <w:bCs/>
          <w:color w:val="auto"/>
          <w:sz w:val="22"/>
          <w:szCs w:val="22"/>
        </w:rPr>
      </w:pPr>
      <w:r>
        <w:rPr>
          <w:rFonts w:hint="eastAsia" w:ascii="宋体" w:hAnsi="宋体" w:cs="宋体"/>
          <w:color w:val="auto"/>
          <w:kern w:val="0"/>
          <w:sz w:val="22"/>
          <w:szCs w:val="22"/>
        </w:rPr>
        <w:t>31.1</w:t>
      </w:r>
      <w:r>
        <w:rPr>
          <w:rFonts w:hint="eastAsia" w:ascii="宋体" w:hAnsi="宋体" w:cs="宋体"/>
          <w:b/>
          <w:bCs/>
          <w:color w:val="auto"/>
          <w:sz w:val="22"/>
          <w:szCs w:val="22"/>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ascii="宋体" w:hAnsi="宋体" w:cs="宋体"/>
          <w:b/>
          <w:bCs/>
          <w:color w:val="auto"/>
          <w:sz w:val="22"/>
          <w:szCs w:val="22"/>
        </w:rPr>
      </w:pPr>
      <w:r>
        <w:rPr>
          <w:rFonts w:hint="eastAsia" w:ascii="宋体" w:hAnsi="宋体" w:cs="宋体"/>
          <w:color w:val="auto"/>
          <w:kern w:val="0"/>
          <w:sz w:val="22"/>
          <w:szCs w:val="22"/>
        </w:rPr>
        <w:t>31.2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31.3</w:t>
      </w:r>
      <w:r>
        <w:rPr>
          <w:rFonts w:hint="eastAsia" w:ascii="宋体" w:hAnsi="宋体" w:cs="宋体"/>
          <w:color w:val="auto"/>
          <w:sz w:val="22"/>
        </w:rPr>
        <w:t>投标文件报价出现前后不一致的，除采购文件另有规定外，按照下列规定修正</w:t>
      </w:r>
      <w:r>
        <w:rPr>
          <w:rFonts w:hint="eastAsia" w:ascii="宋体" w:hAnsi="宋体" w:cs="宋体"/>
          <w:color w:val="auto"/>
          <w:kern w:val="0"/>
          <w:sz w:val="22"/>
          <w:szCs w:val="22"/>
        </w:rPr>
        <w:t>：</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sz w:val="22"/>
        </w:rPr>
        <w:t>投标文件中开标一览表（报价表）内容与投标文件中相应内容不一致的，以开标一览表（报价表）为准</w:t>
      </w:r>
      <w:r>
        <w:rPr>
          <w:rFonts w:hint="eastAsia" w:ascii="宋体" w:hAnsi="宋体" w:cs="宋体"/>
          <w:color w:val="auto"/>
          <w:kern w:val="0"/>
          <w:sz w:val="22"/>
          <w:szCs w:val="22"/>
        </w:rPr>
        <w:t>。</w:t>
      </w:r>
    </w:p>
    <w:p>
      <w:pPr>
        <w:spacing w:line="460" w:lineRule="exact"/>
        <w:ind w:firstLine="418" w:firstLineChars="190"/>
        <w:rPr>
          <w:rFonts w:ascii="宋体" w:hAnsi="宋体" w:cs="宋体"/>
          <w:color w:val="auto"/>
          <w:sz w:val="22"/>
        </w:rPr>
      </w:pPr>
      <w:r>
        <w:rPr>
          <w:rFonts w:hint="eastAsia" w:ascii="宋体" w:hAnsi="宋体" w:cs="宋体"/>
          <w:color w:val="auto"/>
          <w:kern w:val="0"/>
          <w:sz w:val="22"/>
          <w:szCs w:val="22"/>
        </w:rPr>
        <w:t>2）</w:t>
      </w:r>
      <w:r>
        <w:rPr>
          <w:rFonts w:hint="eastAsia" w:ascii="宋体" w:hAnsi="宋体" w:cs="宋体"/>
          <w:color w:val="auto"/>
          <w:sz w:val="22"/>
        </w:rPr>
        <w:t>大写金额和小写金额不一致的，以大写金额为准。</w:t>
      </w:r>
    </w:p>
    <w:p>
      <w:pPr>
        <w:spacing w:line="460" w:lineRule="exact"/>
        <w:ind w:firstLine="418" w:firstLineChars="190"/>
        <w:rPr>
          <w:rFonts w:ascii="宋体" w:hAnsi="宋体" w:cs="宋体"/>
          <w:color w:val="auto"/>
          <w:sz w:val="22"/>
        </w:rPr>
      </w:pPr>
      <w:r>
        <w:rPr>
          <w:rFonts w:hint="eastAsia" w:ascii="宋体" w:hAnsi="宋体" w:cs="宋体"/>
          <w:color w:val="auto"/>
          <w:sz w:val="22"/>
        </w:rPr>
        <w:t>3）单价金额小数点或者百分比有明显错位的，以开标一览表的总价为准，并修改单价。</w:t>
      </w:r>
    </w:p>
    <w:p>
      <w:pPr>
        <w:spacing w:line="460" w:lineRule="exact"/>
        <w:ind w:firstLine="418" w:firstLineChars="190"/>
        <w:rPr>
          <w:rFonts w:ascii="宋体" w:hAnsi="宋体" w:cs="宋体"/>
          <w:color w:val="auto"/>
          <w:sz w:val="22"/>
        </w:rPr>
      </w:pPr>
      <w:r>
        <w:rPr>
          <w:rFonts w:hint="eastAsia" w:ascii="宋体" w:hAnsi="宋体" w:cs="宋体"/>
          <w:color w:val="auto"/>
          <w:sz w:val="22"/>
        </w:rPr>
        <w:t>4）总价金额与按单价汇总金额不一致的，以单价金额计算结果为准。</w:t>
      </w:r>
    </w:p>
    <w:p>
      <w:pPr>
        <w:spacing w:line="460" w:lineRule="exact"/>
        <w:ind w:firstLine="418" w:firstLineChars="190"/>
        <w:rPr>
          <w:rFonts w:ascii="宋体" w:hAnsi="宋体" w:cs="宋体"/>
          <w:color w:val="auto"/>
          <w:sz w:val="22"/>
        </w:rPr>
      </w:pPr>
      <w:r>
        <w:rPr>
          <w:rFonts w:hint="eastAsia" w:ascii="宋体" w:hAnsi="宋体" w:cs="宋体"/>
          <w:color w:val="auto"/>
          <w:sz w:val="22"/>
        </w:rPr>
        <w:t>5）</w:t>
      </w:r>
      <w:r>
        <w:rPr>
          <w:rFonts w:hint="eastAsia" w:ascii="新宋体" w:hAnsi="新宋体" w:eastAsia="新宋体" w:cs="新宋体"/>
          <w:color w:val="auto"/>
          <w:sz w:val="22"/>
          <w:szCs w:val="22"/>
        </w:rPr>
        <w:t>投标人在政采云</w:t>
      </w:r>
      <w:r>
        <w:rPr>
          <w:rFonts w:hint="eastAsia" w:ascii="宋体" w:hAnsi="宋体" w:cs="宋体"/>
          <w:color w:val="auto"/>
          <w:sz w:val="22"/>
          <w:szCs w:val="22"/>
        </w:rPr>
        <w:t>客户端填写的报价与以pdf格式上传文件中的报价不一致的，应以Pdf格式上传文件中的报价为准，修正客户端的报价。</w:t>
      </w:r>
    </w:p>
    <w:p>
      <w:pPr>
        <w:spacing w:line="460" w:lineRule="exact"/>
        <w:ind w:firstLine="420" w:firstLineChars="190"/>
        <w:rPr>
          <w:rFonts w:ascii="宋体" w:hAnsi="宋体" w:cs="宋体"/>
          <w:color w:val="auto"/>
          <w:sz w:val="22"/>
        </w:rPr>
      </w:pPr>
      <w:r>
        <w:rPr>
          <w:rFonts w:hint="eastAsia" w:ascii="宋体" w:hAnsi="宋体" w:cs="宋体"/>
          <w:b/>
          <w:bCs/>
          <w:color w:val="auto"/>
          <w:sz w:val="22"/>
        </w:rPr>
        <w:t>同时出现两种以上不一致的，按照前款规定的顺序修正。修正后的报价按照本采购文件规定经投标人确认后产生约束力，投标人不确认的，其投标无效。</w:t>
      </w:r>
    </w:p>
    <w:p>
      <w:pPr>
        <w:spacing w:line="460" w:lineRule="exact"/>
        <w:rPr>
          <w:rFonts w:ascii="宋体" w:hAnsi="宋体" w:cs="宋体"/>
          <w:b/>
          <w:bCs/>
          <w:color w:val="auto"/>
          <w:sz w:val="22"/>
          <w:szCs w:val="22"/>
        </w:rPr>
      </w:pPr>
      <w:r>
        <w:rPr>
          <w:rFonts w:hint="eastAsia" w:ascii="宋体" w:hAnsi="宋体" w:cs="宋体"/>
          <w:b/>
          <w:bCs/>
          <w:color w:val="auto"/>
          <w:sz w:val="22"/>
          <w:szCs w:val="22"/>
        </w:rPr>
        <w:t>31.4</w:t>
      </w:r>
      <w:r>
        <w:rPr>
          <w:rFonts w:hint="eastAsia" w:ascii="宋体" w:hAnsi="宋体" w:cs="宋体"/>
          <w:color w:val="auto"/>
          <w:kern w:val="0"/>
          <w:sz w:val="22"/>
          <w:szCs w:val="22"/>
        </w:rPr>
        <w:t>▲</w:t>
      </w:r>
      <w:r>
        <w:rPr>
          <w:rFonts w:hint="eastAsia" w:ascii="宋体" w:hAnsi="宋体" w:cs="宋体"/>
          <w:b/>
          <w:bCs/>
          <w:color w:val="auto"/>
          <w:kern w:val="0"/>
          <w:sz w:val="22"/>
          <w:szCs w:val="22"/>
          <w:u w:val="single"/>
        </w:rPr>
        <w:t>评标委员会认为投标人的报价明显低于其他通过符合性审查投标人的报价，有可能影响产品质量或者不能诚信履约的，将要求其在合理时间内在“政采云平台”上作出在线澄清并提供书面说明，必要时提交相关证明材料；投标人不能证明其报价合理性的，评标委员会应当将其作为无效投标处理</w:t>
      </w:r>
      <w:r>
        <w:rPr>
          <w:rFonts w:hint="eastAsia" w:ascii="宋体" w:hAnsi="宋体" w:cs="宋体"/>
          <w:color w:val="auto"/>
          <w:kern w:val="0"/>
          <w:sz w:val="22"/>
          <w:szCs w:val="22"/>
        </w:rPr>
        <w:t>。</w:t>
      </w:r>
    </w:p>
    <w:p>
      <w:pPr>
        <w:spacing w:line="460" w:lineRule="exact"/>
        <w:rPr>
          <w:rFonts w:ascii="宋体" w:hAnsi="宋体" w:cs="宋体"/>
          <w:b/>
          <w:bCs/>
          <w:color w:val="auto"/>
          <w:sz w:val="22"/>
          <w:szCs w:val="22"/>
        </w:rPr>
      </w:pPr>
      <w:r>
        <w:rPr>
          <w:rFonts w:hint="eastAsia" w:ascii="宋体" w:hAnsi="宋体" w:cs="宋体"/>
          <w:b/>
          <w:bCs/>
          <w:color w:val="auto"/>
          <w:sz w:val="22"/>
          <w:szCs w:val="22"/>
        </w:rPr>
        <w:t>31.5如果投标人代表拒绝按评标委员会要求在“政采云平台”作出在线回复且无其他有效回复方式的，评标委员会可以对其作出否决投标处理。</w:t>
      </w:r>
    </w:p>
    <w:p>
      <w:pPr>
        <w:spacing w:line="460" w:lineRule="exact"/>
        <w:rPr>
          <w:rFonts w:ascii="宋体" w:hAnsi="宋体" w:cs="宋体"/>
          <w:color w:val="auto"/>
          <w:kern w:val="0"/>
          <w:sz w:val="22"/>
          <w:szCs w:val="22"/>
        </w:rPr>
      </w:pPr>
      <w:r>
        <w:rPr>
          <w:rFonts w:hint="eastAsia" w:ascii="宋体" w:hAnsi="宋体" w:cs="宋体"/>
          <w:b/>
          <w:bCs/>
          <w:color w:val="auto"/>
          <w:sz w:val="22"/>
          <w:szCs w:val="22"/>
        </w:rPr>
        <w:t>31.6</w:t>
      </w:r>
      <w:r>
        <w:rPr>
          <w:rFonts w:hint="eastAsia" w:ascii="宋体" w:hAnsi="宋体" w:cs="宋体"/>
          <w:color w:val="auto"/>
          <w:sz w:val="22"/>
          <w:u w:val="single"/>
        </w:rPr>
        <w:t>经澄清后，若偏差仍存在，且不可接受，则投标文件将被认定为“没有实质性响应采购文件要求”，按无效投标处理，不再进入下一步评审。</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32.</w:t>
      </w:r>
      <w:r>
        <w:rPr>
          <w:rFonts w:hint="eastAsia" w:ascii="宋体" w:hAnsi="宋体" w:cs="宋体"/>
          <w:b/>
          <w:bCs/>
          <w:color w:val="auto"/>
          <w:sz w:val="22"/>
        </w:rPr>
        <w:t xml:space="preserve"> 评标原则和评标办法</w:t>
      </w:r>
    </w:p>
    <w:p>
      <w:pPr>
        <w:pStyle w:val="31"/>
        <w:snapToGrid w:val="0"/>
        <w:spacing w:line="460" w:lineRule="exact"/>
        <w:rPr>
          <w:rFonts w:hAnsi="宋体" w:cs="宋体"/>
          <w:color w:val="auto"/>
          <w:sz w:val="22"/>
        </w:rPr>
      </w:pPr>
      <w:r>
        <w:rPr>
          <w:rFonts w:hint="eastAsia" w:hAnsi="宋体" w:cs="宋体"/>
          <w:color w:val="auto"/>
          <w:sz w:val="22"/>
        </w:rPr>
        <w:t>32.1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53"/>
        <w:spacing w:before="0" w:beforeAutospacing="0" w:after="0" w:afterAutospacing="0" w:line="460" w:lineRule="exact"/>
        <w:jc w:val="both"/>
        <w:rPr>
          <w:rFonts w:cs="宋体"/>
          <w:color w:val="auto"/>
          <w:sz w:val="22"/>
        </w:rPr>
      </w:pPr>
      <w:r>
        <w:rPr>
          <w:rFonts w:hint="eastAsia" w:cs="宋体"/>
          <w:color w:val="auto"/>
          <w:sz w:val="22"/>
        </w:rPr>
        <w:t>32.2评标中因评标委员会成员缺席、回避或者健康等特殊原因导致评标委员会组成不符合规定的，依法补足后继续评标。被更换的评标委员会成员所作出的评标意见无效。</w:t>
      </w:r>
    </w:p>
    <w:p>
      <w:pPr>
        <w:pStyle w:val="31"/>
        <w:snapToGrid w:val="0"/>
        <w:spacing w:line="460" w:lineRule="exact"/>
        <w:rPr>
          <w:rFonts w:hAnsi="宋体" w:cs="宋体"/>
          <w:color w:val="auto"/>
          <w:sz w:val="22"/>
        </w:rPr>
      </w:pPr>
      <w:r>
        <w:rPr>
          <w:rFonts w:hint="eastAsia" w:hAnsi="宋体" w:cs="宋体"/>
          <w:color w:val="auto"/>
          <w:sz w:val="22"/>
        </w:rPr>
        <w:t>32.3评标委员会成员对需要共同认定的事项存在争议的，应当按照少数服从多数的原则作出结论。持不同意见的评标委员会成员应当在评标报告上签署不同意见及理由，否则视为同意评标报告。</w:t>
      </w:r>
    </w:p>
    <w:p>
      <w:pPr>
        <w:pStyle w:val="31"/>
        <w:snapToGrid w:val="0"/>
        <w:spacing w:line="460" w:lineRule="exact"/>
        <w:rPr>
          <w:rFonts w:hAnsi="宋体" w:cs="宋体"/>
          <w:color w:val="auto"/>
          <w:sz w:val="22"/>
        </w:rPr>
      </w:pPr>
      <w:r>
        <w:rPr>
          <w:rFonts w:hint="eastAsia" w:hAnsi="宋体" w:cs="宋体"/>
          <w:color w:val="auto"/>
          <w:sz w:val="22"/>
        </w:rPr>
        <w:t>32.4本项目评标办法是综合评分法，具体评标内容及评分标准等详见第六部分“评标原则及方法”。</w:t>
      </w:r>
    </w:p>
    <w:p>
      <w:pPr>
        <w:pStyle w:val="31"/>
        <w:snapToGrid w:val="0"/>
        <w:spacing w:line="460" w:lineRule="exact"/>
        <w:rPr>
          <w:rFonts w:hAnsi="宋体" w:cs="宋体"/>
          <w:b/>
          <w:color w:val="auto"/>
          <w:sz w:val="22"/>
        </w:rPr>
      </w:pPr>
      <w:r>
        <w:rPr>
          <w:rFonts w:hint="eastAsia" w:hAnsi="宋体" w:cs="宋体"/>
          <w:b/>
          <w:color w:val="auto"/>
          <w:sz w:val="22"/>
          <w:u w:val="single"/>
        </w:rPr>
        <w:t>32.5▲根据《中华人民共和国政府采购法》第三十六条规定：在招标采购中，符合专业条件的投标人或者对采购文件作实质响应的投标人不足三家的，此项目废标，应重新组织采购。</w:t>
      </w:r>
    </w:p>
    <w:p>
      <w:pPr>
        <w:spacing w:line="460" w:lineRule="exact"/>
        <w:rPr>
          <w:rFonts w:ascii="宋体" w:hAnsi="宋体" w:cs="宋体"/>
          <w:color w:val="auto"/>
          <w:kern w:val="0"/>
          <w:sz w:val="22"/>
          <w:szCs w:val="22"/>
        </w:rPr>
      </w:pPr>
      <w:r>
        <w:rPr>
          <w:rFonts w:hint="eastAsia" w:ascii="宋体" w:hAnsi="宋体" w:cs="宋体"/>
          <w:color w:val="auto"/>
          <w:sz w:val="22"/>
        </w:rPr>
        <w:t>32.6评标过程中遇到特殊情况，由评标委员会遵循公开、公正原则，采取投票方式按照少数服从多数原则决定。</w:t>
      </w:r>
    </w:p>
    <w:p>
      <w:pPr>
        <w:spacing w:line="460" w:lineRule="exact"/>
        <w:rPr>
          <w:rFonts w:ascii="新宋体" w:hAnsi="新宋体" w:eastAsia="新宋体" w:cs="新宋体"/>
          <w:b/>
          <w:color w:val="auto"/>
          <w:kern w:val="0"/>
          <w:sz w:val="22"/>
          <w:szCs w:val="22"/>
        </w:rPr>
      </w:pPr>
      <w:r>
        <w:rPr>
          <w:rFonts w:hint="eastAsia" w:ascii="新宋体" w:hAnsi="新宋体" w:eastAsia="新宋体" w:cs="新宋体"/>
          <w:b/>
          <w:color w:val="auto"/>
          <w:kern w:val="0"/>
          <w:sz w:val="22"/>
          <w:szCs w:val="22"/>
        </w:rPr>
        <w:t>33.确定中标候选人</w:t>
      </w:r>
    </w:p>
    <w:p>
      <w:pPr>
        <w:spacing w:line="46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33.1本次采购由评标委员会推荐中标候选人，采购人根据评标委员会的推荐结果进行最终确认。</w:t>
      </w:r>
    </w:p>
    <w:p>
      <w:pPr>
        <w:spacing w:line="46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33.2</w:t>
      </w:r>
      <w:r>
        <w:rPr>
          <w:rFonts w:hint="eastAsia" w:ascii="新宋体" w:hAnsi="新宋体" w:eastAsia="新宋体" w:cs="新宋体"/>
          <w:color w:val="auto"/>
          <w:sz w:val="22"/>
          <w:szCs w:val="22"/>
        </w:rPr>
        <w:t>评标委员会依据法律、法规及采购文件有关规定在有效标中按投标人的最终得分（即技术分与商务分之和）高低进行排序，得分前二名的投标人推荐为中标候选人与备选中标人（得分相同投标报价低的排序前位；得分且投标报价相同的并列，投标文件满足采购文件全部实质性要求，且按照评审因素的量化指标评审得分最高的投标人为中标候选人）</w:t>
      </w:r>
      <w:r>
        <w:rPr>
          <w:rFonts w:hint="eastAsia" w:ascii="新宋体" w:hAnsi="新宋体" w:eastAsia="新宋体" w:cs="新宋体"/>
          <w:color w:val="auto"/>
          <w:kern w:val="0"/>
          <w:sz w:val="22"/>
          <w:szCs w:val="22"/>
        </w:rPr>
        <w:t>。</w:t>
      </w:r>
    </w:p>
    <w:p>
      <w:pPr>
        <w:spacing w:line="46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33.3若出现以下情形之一，采购人可视具体情况确定是否由备选中标人为中标人或重新组织采购：</w:t>
      </w:r>
    </w:p>
    <w:p>
      <w:pPr>
        <w:spacing w:line="460" w:lineRule="exact"/>
        <w:ind w:firstLine="418" w:firstLineChars="19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1）中标候选人放弃中标资格；</w:t>
      </w:r>
    </w:p>
    <w:p>
      <w:pPr>
        <w:spacing w:line="460" w:lineRule="exact"/>
        <w:ind w:firstLine="418" w:firstLineChars="19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2）中标候选人因不可抗力提出不能履行合同；</w:t>
      </w:r>
    </w:p>
    <w:p>
      <w:pPr>
        <w:spacing w:line="460" w:lineRule="exact"/>
        <w:ind w:firstLine="418" w:firstLineChars="19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3）中标候选人未能在规定时间内与采购单位签订合同；</w:t>
      </w:r>
    </w:p>
    <w:p>
      <w:pPr>
        <w:spacing w:line="460" w:lineRule="exact"/>
        <w:ind w:firstLine="418" w:firstLineChars="190"/>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4）经质疑，采购人审查后，中标候选人确实在本次采购活动中存在违法违规行为或其他原因使质疑成立的。</w:t>
      </w:r>
    </w:p>
    <w:p>
      <w:pPr>
        <w:spacing w:line="460" w:lineRule="exac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33.4采购人、采购代理机构及评标委员会对未中标的供应商不作解释。同时根据政府采购法实施条例第四十条规定，本项目不对供应商公布详细的评审情况，不公布具体评标细则中小项得分。</w:t>
      </w:r>
    </w:p>
    <w:p>
      <w:pPr>
        <w:tabs>
          <w:tab w:val="left" w:pos="1365"/>
        </w:tabs>
        <w:spacing w:line="460" w:lineRule="exact"/>
        <w:ind w:left="550" w:hanging="550" w:hangingChars="250"/>
        <w:rPr>
          <w:rFonts w:ascii="宋体" w:hAnsi="宋体" w:cs="宋体"/>
          <w:bCs/>
          <w:color w:val="auto"/>
          <w:sz w:val="22"/>
          <w:szCs w:val="22"/>
        </w:rPr>
      </w:pPr>
      <w:r>
        <w:rPr>
          <w:rFonts w:hint="eastAsia" w:ascii="新宋体" w:hAnsi="新宋体" w:eastAsia="新宋体" w:cs="新宋体"/>
          <w:color w:val="auto"/>
          <w:kern w:val="0"/>
          <w:sz w:val="22"/>
          <w:szCs w:val="22"/>
        </w:rPr>
        <w:t>34. 评标细则详见“评标原则及方法”</w:t>
      </w:r>
      <w:r>
        <w:rPr>
          <w:rFonts w:hint="eastAsia" w:ascii="新宋体" w:hAnsi="新宋体" w:eastAsia="新宋体" w:cs="新宋体"/>
          <w:bCs/>
          <w:color w:val="auto"/>
          <w:sz w:val="22"/>
          <w:szCs w:val="22"/>
        </w:rPr>
        <w:t>。</w:t>
      </w:r>
    </w:p>
    <w:p>
      <w:pPr>
        <w:spacing w:line="460" w:lineRule="exact"/>
        <w:rPr>
          <w:rFonts w:ascii="宋体" w:hAnsi="宋体" w:cs="宋体"/>
          <w:b/>
          <w:color w:val="auto"/>
          <w:kern w:val="0"/>
          <w:sz w:val="22"/>
          <w:szCs w:val="22"/>
        </w:rPr>
      </w:pPr>
      <w:r>
        <w:rPr>
          <w:rFonts w:hint="eastAsia" w:ascii="宋体" w:hAnsi="宋体" w:cs="宋体"/>
          <w:b/>
          <w:color w:val="auto"/>
          <w:kern w:val="0"/>
          <w:sz w:val="22"/>
          <w:szCs w:val="22"/>
        </w:rPr>
        <w:t>35. 可中止电子交易活动的情形</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35.1采购过程中出现以下情形，导致电子交易平台无法正常运行，或者无法保证电子交易的公平、公正和安全时，采购组织机构可中止电子交易活动：</w:t>
      </w:r>
    </w:p>
    <w:p>
      <w:pPr>
        <w:numPr>
          <w:ilvl w:val="2"/>
          <w:numId w:val="22"/>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电子交易平台发生故障而无法登录访问的；</w:t>
      </w:r>
    </w:p>
    <w:p>
      <w:pPr>
        <w:numPr>
          <w:ilvl w:val="2"/>
          <w:numId w:val="22"/>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电子交易平台应用或数据库出现错误，不能进行正常操作的；</w:t>
      </w:r>
    </w:p>
    <w:p>
      <w:pPr>
        <w:numPr>
          <w:ilvl w:val="2"/>
          <w:numId w:val="22"/>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电子交易平台发现严重安全漏洞，有潜在泄密危险的；</w:t>
      </w:r>
    </w:p>
    <w:p>
      <w:pPr>
        <w:numPr>
          <w:ilvl w:val="2"/>
          <w:numId w:val="22"/>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病毒发作导致不能进行正常操作的；</w:t>
      </w:r>
    </w:p>
    <w:p>
      <w:pPr>
        <w:numPr>
          <w:ilvl w:val="2"/>
          <w:numId w:val="22"/>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其他无法保证电子交易的公平、公正和安全的情况。</w:t>
      </w:r>
    </w:p>
    <w:p>
      <w:pPr>
        <w:spacing w:line="460" w:lineRule="exact"/>
        <w:rPr>
          <w:rFonts w:ascii="宋体" w:hAnsi="宋体" w:cs="宋体"/>
          <w:color w:val="auto"/>
          <w:kern w:val="0"/>
          <w:sz w:val="22"/>
          <w:szCs w:val="22"/>
        </w:rPr>
      </w:pPr>
      <w:r>
        <w:rPr>
          <w:rFonts w:hint="eastAsia" w:ascii="宋体" w:hAnsi="宋体" w:cs="宋体"/>
          <w:color w:val="auto"/>
          <w:kern w:val="0"/>
          <w:sz w:val="22"/>
          <w:szCs w:val="22"/>
        </w:rPr>
        <w:t>35.2出现前款规定情形，不影响采购公平、公正性的，采购组织机构可以待上述情形消除后继续组织电子交易活动；影响或可能影响采购公平、公正性的，应当重新采购。</w:t>
      </w:r>
    </w:p>
    <w:p>
      <w:pPr>
        <w:pStyle w:val="5"/>
        <w:spacing w:line="500" w:lineRule="exact"/>
        <w:jc w:val="center"/>
        <w:rPr>
          <w:rFonts w:ascii="宋体" w:hAnsi="宋体" w:eastAsia="宋体" w:cs="宋体"/>
          <w:color w:val="auto"/>
          <w:sz w:val="24"/>
          <w:szCs w:val="24"/>
        </w:rPr>
      </w:pPr>
      <w:bookmarkStart w:id="66" w:name="_Toc34221901"/>
      <w:bookmarkStart w:id="67" w:name="_Toc306613654"/>
      <w:bookmarkStart w:id="68" w:name="_Toc58406689"/>
      <w:bookmarkStart w:id="69" w:name="_Toc34508136"/>
      <w:r>
        <w:rPr>
          <w:rFonts w:hint="eastAsia" w:ascii="宋体" w:hAnsi="宋体" w:eastAsia="宋体" w:cs="宋体"/>
          <w:color w:val="auto"/>
          <w:sz w:val="24"/>
          <w:szCs w:val="24"/>
        </w:rPr>
        <w:t>七、 授予合同</w:t>
      </w:r>
      <w:bookmarkEnd w:id="66"/>
      <w:bookmarkEnd w:id="67"/>
      <w:bookmarkEnd w:id="68"/>
      <w:bookmarkEnd w:id="69"/>
    </w:p>
    <w:p>
      <w:pPr>
        <w:tabs>
          <w:tab w:val="left" w:pos="540"/>
        </w:tabs>
        <w:spacing w:line="440" w:lineRule="exact"/>
        <w:rPr>
          <w:rFonts w:ascii="新宋体" w:hAnsi="新宋体" w:eastAsia="新宋体" w:cs="新宋体"/>
          <w:b/>
          <w:color w:val="auto"/>
          <w:sz w:val="22"/>
          <w:szCs w:val="22"/>
        </w:rPr>
      </w:pPr>
      <w:r>
        <w:rPr>
          <w:rFonts w:hint="eastAsia" w:ascii="新宋体" w:hAnsi="新宋体" w:eastAsia="新宋体" w:cs="新宋体"/>
          <w:b/>
          <w:color w:val="auto"/>
          <w:sz w:val="22"/>
          <w:szCs w:val="22"/>
        </w:rPr>
        <w:t>36. 确定中标人</w:t>
      </w:r>
    </w:p>
    <w:p>
      <w:pPr>
        <w:tabs>
          <w:tab w:val="left" w:pos="540"/>
        </w:tabs>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36.1采购人自收到评标报告之日起5个工作日内，在评标报告确定的中标候选人名单中按顺序确定中标人。</w:t>
      </w:r>
    </w:p>
    <w:p>
      <w:pPr>
        <w:tabs>
          <w:tab w:val="left" w:pos="540"/>
        </w:tabs>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36.2中标人确定之日起2个工作日内，在“政采云”平台上公示中标结果，中标公告期限为1个工作日；</w:t>
      </w:r>
    </w:p>
    <w:p>
      <w:pPr>
        <w:tabs>
          <w:tab w:val="left" w:pos="540"/>
        </w:tabs>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36.3在公告中标结果的同时，采购人向中标人发出中标通知书。</w:t>
      </w:r>
    </w:p>
    <w:p>
      <w:pPr>
        <w:tabs>
          <w:tab w:val="left" w:pos="540"/>
        </w:tabs>
        <w:spacing w:line="440" w:lineRule="exact"/>
        <w:rPr>
          <w:rFonts w:ascii="宋体" w:hAnsi="宋体" w:cs="宋体"/>
          <w:color w:val="auto"/>
          <w:kern w:val="0"/>
          <w:sz w:val="22"/>
          <w:szCs w:val="22"/>
        </w:rPr>
      </w:pPr>
      <w:r>
        <w:rPr>
          <w:rFonts w:hint="eastAsia" w:ascii="新宋体" w:hAnsi="新宋体" w:eastAsia="新宋体" w:cs="新宋体"/>
          <w:color w:val="auto"/>
          <w:sz w:val="22"/>
          <w:szCs w:val="22"/>
        </w:rPr>
        <w:t>36.4各投标人对评标结果如有异议，可在中标结果公示之日起7个工作日内以书面形式向采购人进行署名投诉或提出质疑，但需对投诉或质疑内容的真实性承担法律责任。</w:t>
      </w:r>
    </w:p>
    <w:p>
      <w:pPr>
        <w:tabs>
          <w:tab w:val="left" w:pos="540"/>
        </w:tabs>
        <w:spacing w:line="440" w:lineRule="exact"/>
        <w:rPr>
          <w:rFonts w:ascii="宋体" w:hAnsi="宋体" w:cs="宋体"/>
          <w:b/>
          <w:color w:val="auto"/>
          <w:sz w:val="22"/>
          <w:szCs w:val="22"/>
        </w:rPr>
      </w:pPr>
      <w:r>
        <w:rPr>
          <w:rFonts w:hint="eastAsia" w:ascii="宋体" w:hAnsi="宋体" w:cs="宋体"/>
          <w:b/>
          <w:color w:val="auto"/>
          <w:sz w:val="22"/>
          <w:szCs w:val="22"/>
        </w:rPr>
        <w:t>37. 签订合同</w:t>
      </w:r>
    </w:p>
    <w:p>
      <w:pPr>
        <w:tabs>
          <w:tab w:val="left" w:pos="540"/>
        </w:tabs>
        <w:spacing w:line="440" w:lineRule="exact"/>
        <w:rPr>
          <w:rFonts w:ascii="宋体" w:hAnsi="宋体" w:cs="宋体"/>
          <w:color w:val="auto"/>
          <w:sz w:val="22"/>
          <w:szCs w:val="22"/>
        </w:rPr>
      </w:pPr>
      <w:r>
        <w:rPr>
          <w:rFonts w:hint="eastAsia" w:ascii="宋体" w:hAnsi="宋体" w:cs="宋体"/>
          <w:color w:val="auto"/>
          <w:sz w:val="22"/>
          <w:szCs w:val="22"/>
        </w:rPr>
        <w:t>37.1公示期结束后，中标投标人须在5个工作日内主动联系采购人或采购机构领取中标通知书。中标投标人应当在中标通知书发出之日起7日内与采购人签订合同。中标投标人未经采购人许可，在规定时间内未到采购人处与采购人签订合同，则视为拒签合同。</w:t>
      </w:r>
    </w:p>
    <w:p>
      <w:pPr>
        <w:tabs>
          <w:tab w:val="left" w:pos="540"/>
        </w:tabs>
        <w:spacing w:line="440" w:lineRule="exact"/>
        <w:rPr>
          <w:rFonts w:ascii="宋体" w:hAnsi="宋体" w:cs="宋体"/>
          <w:color w:val="auto"/>
          <w:sz w:val="22"/>
          <w:szCs w:val="22"/>
        </w:rPr>
      </w:pPr>
      <w:r>
        <w:rPr>
          <w:rFonts w:hint="eastAsia" w:ascii="宋体" w:hAnsi="宋体" w:cs="宋体"/>
          <w:color w:val="auto"/>
          <w:sz w:val="22"/>
          <w:szCs w:val="22"/>
        </w:rPr>
        <w:t>37.2采购文件、中标投标人的投标文件及投标修改文件、评标过程中有关澄清文件及经双方签字的询标纪要（承诺）和中标通知书均作为合同附件。</w:t>
      </w:r>
    </w:p>
    <w:p>
      <w:pPr>
        <w:tabs>
          <w:tab w:val="left" w:pos="540"/>
        </w:tabs>
        <w:spacing w:line="440" w:lineRule="exact"/>
        <w:rPr>
          <w:rFonts w:ascii="宋体" w:hAnsi="宋体" w:cs="宋体"/>
          <w:color w:val="auto"/>
          <w:sz w:val="22"/>
          <w:szCs w:val="22"/>
        </w:rPr>
      </w:pPr>
      <w:r>
        <w:rPr>
          <w:rFonts w:hint="eastAsia" w:ascii="宋体" w:hAnsi="宋体" w:cs="宋体"/>
          <w:color w:val="auto"/>
          <w:sz w:val="22"/>
          <w:szCs w:val="22"/>
        </w:rPr>
        <w:t>37.3拒签合同的责任</w:t>
      </w:r>
    </w:p>
    <w:p>
      <w:pPr>
        <w:tabs>
          <w:tab w:val="left" w:pos="640"/>
        </w:tabs>
        <w:spacing w:line="440" w:lineRule="exact"/>
        <w:rPr>
          <w:rFonts w:ascii="宋体" w:hAnsi="宋体" w:cs="宋体"/>
          <w:color w:val="auto"/>
          <w:sz w:val="22"/>
          <w:szCs w:val="22"/>
        </w:rPr>
      </w:pPr>
      <w:r>
        <w:rPr>
          <w:rFonts w:hint="eastAsia" w:ascii="宋体" w:hAnsi="宋体" w:cs="宋体"/>
          <w:color w:val="auto"/>
          <w:sz w:val="22"/>
          <w:szCs w:val="22"/>
        </w:rPr>
        <w:t>37.4中标投标人在规定时间内（30日历天）借故否认已经承诺的条件、拒签合同，以投标违约处理，并赔偿采购人由此造成的直接经济损失；采购人重新组织采购的，所需费用由原中标投标人承担。</w:t>
      </w:r>
    </w:p>
    <w:p>
      <w:pPr>
        <w:pStyle w:val="658"/>
        <w:spacing w:line="500" w:lineRule="exact"/>
        <w:ind w:firstLine="442"/>
        <w:jc w:val="center"/>
        <w:rPr>
          <w:rFonts w:hAnsi="宋体" w:cs="宋体"/>
          <w:b/>
          <w:color w:val="auto"/>
          <w:sz w:val="24"/>
        </w:rPr>
      </w:pPr>
      <w:r>
        <w:rPr>
          <w:rFonts w:hint="eastAsia" w:hAnsi="宋体" w:cs="宋体"/>
          <w:b/>
          <w:bCs/>
          <w:color w:val="auto"/>
          <w:sz w:val="22"/>
          <w:szCs w:val="22"/>
        </w:rPr>
        <w:br w:type="page"/>
      </w:r>
      <w:r>
        <w:rPr>
          <w:rFonts w:hint="eastAsia" w:hAnsi="宋体" w:cs="宋体"/>
          <w:b/>
          <w:color w:val="auto"/>
          <w:sz w:val="24"/>
        </w:rPr>
        <w:t>采购活动现场确认声明书</w:t>
      </w:r>
    </w:p>
    <w:p>
      <w:pPr>
        <w:pStyle w:val="658"/>
        <w:spacing w:line="500" w:lineRule="exact"/>
        <w:ind w:firstLine="0" w:firstLineChars="0"/>
        <w:rPr>
          <w:rFonts w:hAnsi="宋体" w:cs="宋体"/>
          <w:b/>
          <w:color w:val="auto"/>
          <w:sz w:val="22"/>
          <w:szCs w:val="22"/>
        </w:rPr>
      </w:pPr>
      <w:r>
        <w:rPr>
          <w:rFonts w:hint="eastAsia" w:hAnsi="宋体" w:cs="宋体"/>
          <w:b/>
          <w:bCs/>
          <w:color w:val="auto"/>
          <w:sz w:val="22"/>
          <w:szCs w:val="22"/>
        </w:rPr>
        <w:t>温州市智信招标代理有限公司</w:t>
      </w:r>
      <w:r>
        <w:rPr>
          <w:rFonts w:hint="eastAsia" w:hAnsi="宋体" w:cs="宋体"/>
          <w:b/>
          <w:color w:val="auto"/>
          <w:kern w:val="0"/>
          <w:sz w:val="22"/>
          <w:szCs w:val="22"/>
        </w:rPr>
        <w:t>：</w:t>
      </w:r>
    </w:p>
    <w:p>
      <w:pPr>
        <w:pStyle w:val="658"/>
        <w:spacing w:line="480" w:lineRule="exact"/>
        <w:ind w:firstLine="464"/>
        <w:rPr>
          <w:rFonts w:hAnsi="宋体" w:cs="宋体"/>
          <w:color w:val="auto"/>
          <w:spacing w:val="6"/>
          <w:sz w:val="22"/>
          <w:szCs w:val="22"/>
        </w:rPr>
      </w:pPr>
      <w:r>
        <w:rPr>
          <w:rFonts w:hint="eastAsia" w:hAnsi="宋体" w:cs="宋体"/>
          <w:color w:val="auto"/>
          <w:spacing w:val="6"/>
          <w:sz w:val="22"/>
          <w:szCs w:val="22"/>
        </w:rPr>
        <w:t>本人经由</w:t>
      </w:r>
      <w:r>
        <w:rPr>
          <w:rFonts w:hint="eastAsia" w:hAnsi="宋体" w:cs="宋体"/>
          <w:color w:val="auto"/>
          <w:spacing w:val="6"/>
          <w:sz w:val="22"/>
          <w:szCs w:val="22"/>
          <w:u w:val="single"/>
        </w:rPr>
        <w:t xml:space="preserve">          （单位）</w:t>
      </w:r>
      <w:r>
        <w:rPr>
          <w:rFonts w:hint="eastAsia" w:hAnsi="宋体" w:cs="宋体"/>
          <w:color w:val="auto"/>
          <w:spacing w:val="6"/>
          <w:sz w:val="22"/>
          <w:szCs w:val="22"/>
        </w:rPr>
        <w:t>负责人</w:t>
      </w:r>
      <w:r>
        <w:rPr>
          <w:rFonts w:hint="eastAsia" w:hAnsi="宋体" w:cs="宋体"/>
          <w:color w:val="auto"/>
          <w:spacing w:val="6"/>
          <w:sz w:val="22"/>
          <w:szCs w:val="22"/>
          <w:u w:val="single"/>
        </w:rPr>
        <w:t xml:space="preserve">      （姓名）</w:t>
      </w:r>
      <w:r>
        <w:rPr>
          <w:rFonts w:hint="eastAsia" w:hAnsi="宋体" w:cs="宋体"/>
          <w:color w:val="auto"/>
          <w:spacing w:val="6"/>
          <w:sz w:val="22"/>
          <w:szCs w:val="22"/>
        </w:rPr>
        <w:t xml:space="preserve">合法授权参加项目（编号：）采购活动，经与本单位法人代表（负责人）联系确认，现就有关公平竞争事项郑重声明如下： </w:t>
      </w:r>
    </w:p>
    <w:p>
      <w:pPr>
        <w:pStyle w:val="596"/>
        <w:widowControl/>
        <w:numPr>
          <w:ilvl w:val="0"/>
          <w:numId w:val="23"/>
        </w:numPr>
        <w:snapToGrid w:val="0"/>
        <w:spacing w:line="480" w:lineRule="exact"/>
        <w:ind w:firstLine="415" w:firstLineChars="189"/>
        <w:rPr>
          <w:rFonts w:ascii="宋体" w:hAnsi="宋体" w:cs="宋体"/>
          <w:color w:val="auto"/>
          <w:kern w:val="0"/>
          <w:sz w:val="22"/>
          <w:szCs w:val="22"/>
        </w:rPr>
      </w:pPr>
      <w:r>
        <w:rPr>
          <w:rFonts w:hint="eastAsia" w:ascii="宋体" w:hAnsi="宋体" w:cs="宋体"/>
          <w:color w:val="auto"/>
          <w:kern w:val="0"/>
          <w:sz w:val="22"/>
          <w:szCs w:val="22"/>
        </w:rPr>
        <w:t>本单位与采购人之间 □不存在利害关系 □存在下列利害关系：</w:t>
      </w:r>
    </w:p>
    <w:p>
      <w:pPr>
        <w:pStyle w:val="658"/>
        <w:spacing w:line="480" w:lineRule="exact"/>
        <w:ind w:firstLine="440"/>
        <w:rPr>
          <w:rFonts w:hAnsi="宋体" w:cs="宋体"/>
          <w:color w:val="auto"/>
          <w:kern w:val="0"/>
          <w:sz w:val="22"/>
          <w:szCs w:val="22"/>
        </w:rPr>
      </w:pPr>
      <w:r>
        <w:rPr>
          <w:rFonts w:hint="eastAsia" w:hAnsi="宋体" w:cs="宋体"/>
          <w:color w:val="auto"/>
          <w:kern w:val="0"/>
          <w:sz w:val="22"/>
          <w:szCs w:val="22"/>
        </w:rPr>
        <w:t xml:space="preserve">  A.投资关系    B.行政隶属关系    C.业务指导关系</w:t>
      </w:r>
    </w:p>
    <w:p>
      <w:pPr>
        <w:pStyle w:val="658"/>
        <w:spacing w:line="480" w:lineRule="exact"/>
        <w:ind w:firstLine="440"/>
        <w:rPr>
          <w:rFonts w:hAnsi="宋体" w:cs="宋体"/>
          <w:color w:val="auto"/>
          <w:kern w:val="0"/>
          <w:sz w:val="22"/>
          <w:szCs w:val="22"/>
        </w:rPr>
      </w:pPr>
      <w:r>
        <w:rPr>
          <w:rFonts w:hint="eastAsia" w:hAnsi="宋体" w:cs="宋体"/>
          <w:color w:val="auto"/>
          <w:kern w:val="0"/>
          <w:sz w:val="22"/>
          <w:szCs w:val="22"/>
        </w:rPr>
        <w:t xml:space="preserve">  D.其他可能影响采购公正的利害关系（如有，请如实说明）</w:t>
      </w:r>
      <w:r>
        <w:rPr>
          <w:rFonts w:hint="eastAsia" w:hAnsi="宋体" w:cs="宋体"/>
          <w:color w:val="auto"/>
          <w:kern w:val="0"/>
          <w:sz w:val="22"/>
          <w:szCs w:val="22"/>
          <w:u w:val="single"/>
        </w:rPr>
        <w:t xml:space="preserve">                 </w:t>
      </w:r>
      <w:r>
        <w:rPr>
          <w:rFonts w:hint="eastAsia" w:hAnsi="宋体" w:cs="宋体"/>
          <w:color w:val="auto"/>
          <w:kern w:val="0"/>
          <w:sz w:val="22"/>
          <w:szCs w:val="22"/>
        </w:rPr>
        <w:t>。</w:t>
      </w:r>
    </w:p>
    <w:p>
      <w:pPr>
        <w:pStyle w:val="596"/>
        <w:widowControl/>
        <w:snapToGrid w:val="0"/>
        <w:spacing w:line="480" w:lineRule="exact"/>
        <w:rPr>
          <w:rFonts w:ascii="宋体" w:hAnsi="宋体" w:cs="宋体"/>
          <w:color w:val="auto"/>
          <w:kern w:val="0"/>
          <w:sz w:val="22"/>
          <w:szCs w:val="22"/>
        </w:rPr>
      </w:pPr>
      <w:r>
        <w:rPr>
          <w:rFonts w:hint="eastAsia" w:ascii="宋体" w:hAnsi="宋体" w:cs="宋体"/>
          <w:color w:val="auto"/>
          <w:spacing w:val="6"/>
          <w:sz w:val="22"/>
          <w:szCs w:val="22"/>
        </w:rPr>
        <w:t xml:space="preserve">  二、</w:t>
      </w:r>
      <w:r>
        <w:rPr>
          <w:rFonts w:hint="eastAsia" w:ascii="宋体" w:hAnsi="宋体" w:cs="宋体"/>
          <w:color w:val="auto"/>
          <w:kern w:val="0"/>
          <w:sz w:val="22"/>
          <w:szCs w:val="22"/>
        </w:rPr>
        <w:t>现已清楚知道参加本项目采购活动的其他所有供应商名称，本单位 □与其他所有供应商之间均不存在利害关系 □与</w:t>
      </w:r>
      <w:r>
        <w:rPr>
          <w:rFonts w:hint="eastAsia" w:ascii="宋体" w:hAnsi="宋体" w:cs="宋体"/>
          <w:color w:val="auto"/>
          <w:kern w:val="0"/>
          <w:sz w:val="22"/>
          <w:szCs w:val="22"/>
          <w:u w:val="single"/>
        </w:rPr>
        <w:t xml:space="preserve">           （供应商名称）</w:t>
      </w:r>
      <w:r>
        <w:rPr>
          <w:rFonts w:hint="eastAsia" w:ascii="宋体" w:hAnsi="宋体" w:cs="宋体"/>
          <w:color w:val="auto"/>
          <w:kern w:val="0"/>
          <w:sz w:val="22"/>
          <w:szCs w:val="22"/>
        </w:rPr>
        <w:t>之间存在下列利害关系：</w:t>
      </w:r>
    </w:p>
    <w:p>
      <w:pPr>
        <w:pStyle w:val="658"/>
        <w:spacing w:line="480" w:lineRule="exact"/>
        <w:ind w:firstLine="440"/>
        <w:rPr>
          <w:rFonts w:hAnsi="宋体" w:cs="宋体"/>
          <w:color w:val="auto"/>
          <w:kern w:val="0"/>
          <w:sz w:val="22"/>
          <w:szCs w:val="22"/>
        </w:rPr>
      </w:pPr>
      <w:r>
        <w:rPr>
          <w:rFonts w:hint="eastAsia" w:hAnsi="宋体" w:cs="宋体"/>
          <w:color w:val="auto"/>
          <w:kern w:val="0"/>
          <w:sz w:val="22"/>
          <w:szCs w:val="22"/>
        </w:rPr>
        <w:t xml:space="preserve">  A.法定代表人或负责人或实际控制人是同一人</w:t>
      </w:r>
    </w:p>
    <w:p>
      <w:pPr>
        <w:pStyle w:val="658"/>
        <w:spacing w:line="480" w:lineRule="exact"/>
        <w:ind w:firstLine="440"/>
        <w:rPr>
          <w:rFonts w:hAnsi="宋体" w:cs="宋体"/>
          <w:color w:val="auto"/>
          <w:spacing w:val="6"/>
          <w:sz w:val="22"/>
          <w:szCs w:val="22"/>
        </w:rPr>
      </w:pPr>
      <w:r>
        <w:rPr>
          <w:rFonts w:hint="eastAsia" w:hAnsi="宋体" w:cs="宋体"/>
          <w:color w:val="auto"/>
          <w:kern w:val="0"/>
          <w:sz w:val="22"/>
          <w:szCs w:val="22"/>
        </w:rPr>
        <w:t xml:space="preserve">  B.法定代表人或负责人或实际控制人是夫妻关系</w:t>
      </w:r>
    </w:p>
    <w:p>
      <w:pPr>
        <w:pStyle w:val="658"/>
        <w:spacing w:line="480" w:lineRule="exact"/>
        <w:ind w:firstLine="440"/>
        <w:rPr>
          <w:rFonts w:hAnsi="宋体" w:cs="宋体"/>
          <w:color w:val="auto"/>
          <w:spacing w:val="6"/>
          <w:sz w:val="22"/>
          <w:szCs w:val="22"/>
        </w:rPr>
      </w:pPr>
      <w:r>
        <w:rPr>
          <w:rFonts w:hint="eastAsia" w:hAnsi="宋体" w:cs="宋体"/>
          <w:color w:val="auto"/>
          <w:kern w:val="0"/>
          <w:sz w:val="22"/>
          <w:szCs w:val="22"/>
        </w:rPr>
        <w:t xml:space="preserve">  C.法定代表人或负责人或实际控制人是直系血亲关系</w:t>
      </w:r>
    </w:p>
    <w:p>
      <w:pPr>
        <w:pStyle w:val="658"/>
        <w:spacing w:line="480" w:lineRule="exact"/>
        <w:ind w:firstLine="440"/>
        <w:rPr>
          <w:rFonts w:hAnsi="宋体" w:cs="宋体"/>
          <w:color w:val="auto"/>
          <w:spacing w:val="6"/>
          <w:sz w:val="22"/>
          <w:szCs w:val="22"/>
        </w:rPr>
      </w:pPr>
      <w:r>
        <w:rPr>
          <w:rFonts w:hint="eastAsia" w:hAnsi="宋体" w:cs="宋体"/>
          <w:color w:val="auto"/>
          <w:kern w:val="0"/>
          <w:sz w:val="22"/>
          <w:szCs w:val="22"/>
        </w:rPr>
        <w:t xml:space="preserve">  D.法定代表人或负责人或实际控制人存在三代以内旁系血亲关系</w:t>
      </w:r>
    </w:p>
    <w:p>
      <w:pPr>
        <w:pStyle w:val="658"/>
        <w:spacing w:line="480" w:lineRule="exact"/>
        <w:ind w:firstLine="440"/>
        <w:rPr>
          <w:rFonts w:hAnsi="宋体" w:cs="宋体"/>
          <w:color w:val="auto"/>
          <w:kern w:val="0"/>
          <w:sz w:val="22"/>
          <w:szCs w:val="22"/>
        </w:rPr>
      </w:pPr>
      <w:r>
        <w:rPr>
          <w:rFonts w:hint="eastAsia" w:hAnsi="宋体" w:cs="宋体"/>
          <w:color w:val="auto"/>
          <w:kern w:val="0"/>
          <w:sz w:val="22"/>
          <w:szCs w:val="22"/>
        </w:rPr>
        <w:t xml:space="preserve">  E.法定代表人或负责人或实际控制人存在近姻亲关系</w:t>
      </w:r>
    </w:p>
    <w:p>
      <w:pPr>
        <w:pStyle w:val="658"/>
        <w:spacing w:line="480" w:lineRule="exact"/>
        <w:ind w:firstLine="440"/>
        <w:rPr>
          <w:rFonts w:hAnsi="宋体" w:cs="宋体"/>
          <w:color w:val="auto"/>
          <w:kern w:val="0"/>
          <w:sz w:val="22"/>
          <w:szCs w:val="22"/>
        </w:rPr>
      </w:pPr>
      <w:r>
        <w:rPr>
          <w:rFonts w:hint="eastAsia" w:hAnsi="宋体" w:cs="宋体"/>
          <w:color w:val="auto"/>
          <w:kern w:val="0"/>
          <w:sz w:val="22"/>
          <w:szCs w:val="22"/>
        </w:rPr>
        <w:t xml:space="preserve">  F.法定代表人或负责人或实际控制人存在股份控制或实际控制关系</w:t>
      </w:r>
    </w:p>
    <w:p>
      <w:pPr>
        <w:pStyle w:val="658"/>
        <w:spacing w:line="480" w:lineRule="exact"/>
        <w:ind w:firstLine="440"/>
        <w:rPr>
          <w:rFonts w:hAnsi="宋体" w:cs="宋体"/>
          <w:color w:val="auto"/>
          <w:kern w:val="0"/>
          <w:sz w:val="22"/>
          <w:szCs w:val="22"/>
        </w:rPr>
      </w:pPr>
      <w:r>
        <w:rPr>
          <w:rFonts w:hint="eastAsia" w:hAnsi="宋体" w:cs="宋体"/>
          <w:color w:val="auto"/>
          <w:kern w:val="0"/>
          <w:sz w:val="22"/>
          <w:szCs w:val="22"/>
        </w:rPr>
        <w:t xml:space="preserve">  G.存在共同直接或间接投资设立子公司、联营企业和合营企业情况</w:t>
      </w:r>
    </w:p>
    <w:p>
      <w:pPr>
        <w:pStyle w:val="658"/>
        <w:spacing w:line="480" w:lineRule="exact"/>
        <w:ind w:firstLine="440"/>
        <w:rPr>
          <w:rFonts w:hAnsi="宋体" w:cs="宋体"/>
          <w:color w:val="auto"/>
          <w:sz w:val="22"/>
          <w:szCs w:val="22"/>
        </w:rPr>
      </w:pPr>
      <w:r>
        <w:rPr>
          <w:rFonts w:hint="eastAsia" w:hAnsi="宋体" w:cs="宋体"/>
          <w:color w:val="auto"/>
          <w:kern w:val="0"/>
          <w:sz w:val="22"/>
          <w:szCs w:val="22"/>
        </w:rPr>
        <w:t xml:space="preserve">  H.存在分级代理或代销关系、同一生产制造商关系、</w:t>
      </w:r>
      <w:r>
        <w:rPr>
          <w:rFonts w:hint="eastAsia" w:hAnsi="宋体" w:cs="宋体"/>
          <w:color w:val="auto"/>
          <w:sz w:val="22"/>
          <w:szCs w:val="22"/>
        </w:rPr>
        <w:t>管理关系、重要业务（占主营业务收入50%以上）或重要财务往来关系（如融资）等其他实质性控制关系</w:t>
      </w:r>
    </w:p>
    <w:p>
      <w:pPr>
        <w:pStyle w:val="658"/>
        <w:spacing w:line="480" w:lineRule="exact"/>
        <w:ind w:firstLine="440"/>
        <w:rPr>
          <w:rFonts w:hAnsi="宋体" w:cs="宋体"/>
          <w:color w:val="auto"/>
          <w:spacing w:val="6"/>
          <w:sz w:val="22"/>
          <w:szCs w:val="22"/>
        </w:rPr>
      </w:pPr>
      <w:r>
        <w:rPr>
          <w:rFonts w:hint="eastAsia" w:hAnsi="宋体" w:cs="宋体"/>
          <w:color w:val="auto"/>
          <w:sz w:val="22"/>
          <w:szCs w:val="22"/>
        </w:rPr>
        <w:t xml:space="preserve">    I</w:t>
      </w:r>
      <w:r>
        <w:rPr>
          <w:rFonts w:hint="eastAsia" w:hAnsi="宋体" w:cs="宋体"/>
          <w:color w:val="auto"/>
          <w:kern w:val="0"/>
          <w:sz w:val="22"/>
          <w:szCs w:val="22"/>
        </w:rPr>
        <w:t>.</w:t>
      </w:r>
      <w:r>
        <w:rPr>
          <w:rFonts w:hint="eastAsia" w:hAnsi="宋体" w:cs="宋体"/>
          <w:color w:val="auto"/>
          <w:sz w:val="22"/>
          <w:szCs w:val="22"/>
        </w:rPr>
        <w:t>其他利害关系情况</w:t>
      </w:r>
      <w:r>
        <w:rPr>
          <w:rFonts w:hint="eastAsia" w:hAnsi="宋体" w:cs="宋体"/>
          <w:color w:val="auto"/>
          <w:kern w:val="0"/>
          <w:sz w:val="22"/>
          <w:szCs w:val="22"/>
        </w:rPr>
        <w:t>。</w:t>
      </w:r>
    </w:p>
    <w:p>
      <w:pPr>
        <w:pStyle w:val="596"/>
        <w:widowControl/>
        <w:numPr>
          <w:ilvl w:val="0"/>
          <w:numId w:val="24"/>
        </w:numPr>
        <w:snapToGrid w:val="0"/>
        <w:spacing w:line="480" w:lineRule="exact"/>
        <w:ind w:firstLine="415" w:firstLineChars="189"/>
        <w:rPr>
          <w:rFonts w:ascii="宋体" w:hAnsi="宋体" w:cs="宋体"/>
          <w:color w:val="auto"/>
          <w:kern w:val="0"/>
          <w:sz w:val="22"/>
          <w:szCs w:val="22"/>
        </w:rPr>
      </w:pPr>
      <w:r>
        <w:rPr>
          <w:rFonts w:hint="eastAsia" w:ascii="宋体" w:hAnsi="宋体" w:cs="宋体"/>
          <w:color w:val="auto"/>
          <w:sz w:val="22"/>
          <w:szCs w:val="22"/>
        </w:rPr>
        <w:t>现已清楚知道并</w:t>
      </w:r>
      <w:r>
        <w:rPr>
          <w:rFonts w:hint="eastAsia" w:ascii="宋体" w:hAnsi="宋体" w:cs="宋体"/>
          <w:color w:val="auto"/>
          <w:kern w:val="0"/>
          <w:sz w:val="22"/>
          <w:szCs w:val="22"/>
        </w:rPr>
        <w:t>严格遵守法律法规和现场纪律。</w:t>
      </w:r>
    </w:p>
    <w:p>
      <w:pPr>
        <w:pStyle w:val="596"/>
        <w:widowControl/>
        <w:numPr>
          <w:ilvl w:val="0"/>
          <w:numId w:val="24"/>
        </w:numPr>
        <w:snapToGrid w:val="0"/>
        <w:spacing w:line="480" w:lineRule="exact"/>
        <w:ind w:firstLine="415" w:firstLineChars="189"/>
        <w:rPr>
          <w:rFonts w:ascii="宋体" w:hAnsi="宋体" w:cs="宋体"/>
          <w:color w:val="auto"/>
          <w:kern w:val="0"/>
          <w:sz w:val="22"/>
          <w:szCs w:val="22"/>
        </w:rPr>
      </w:pPr>
      <w:r>
        <w:rPr>
          <w:rFonts w:hint="eastAsia" w:ascii="宋体" w:hAnsi="宋体" w:cs="宋体"/>
          <w:color w:val="auto"/>
          <w:kern w:val="0"/>
          <w:sz w:val="22"/>
          <w:szCs w:val="22"/>
        </w:rPr>
        <w:t>我发现供应商</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 xml:space="preserve">之间存在或可能存在上述第二条第 </w:t>
      </w:r>
      <w:r>
        <w:rPr>
          <w:rFonts w:hint="eastAsia" w:ascii="宋体" w:hAnsi="宋体" w:cs="宋体"/>
          <w:color w:val="auto"/>
          <w:kern w:val="0"/>
          <w:sz w:val="22"/>
          <w:szCs w:val="22"/>
          <w:u w:val="single"/>
        </w:rPr>
        <w:t xml:space="preserve">    </w:t>
      </w:r>
      <w:r>
        <w:rPr>
          <w:rFonts w:hint="eastAsia" w:ascii="宋体" w:hAnsi="宋体" w:cs="宋体"/>
          <w:color w:val="auto"/>
          <w:kern w:val="0"/>
          <w:sz w:val="22"/>
          <w:szCs w:val="22"/>
        </w:rPr>
        <w:t xml:space="preserve"> 项利害关系。</w:t>
      </w:r>
    </w:p>
    <w:p>
      <w:pPr>
        <w:pStyle w:val="658"/>
        <w:spacing w:line="500" w:lineRule="exact"/>
        <w:ind w:firstLine="440"/>
        <w:rPr>
          <w:rFonts w:hAnsi="宋体" w:cs="宋体"/>
          <w:color w:val="auto"/>
          <w:sz w:val="22"/>
          <w:szCs w:val="22"/>
        </w:rPr>
      </w:pPr>
    </w:p>
    <w:p>
      <w:pPr>
        <w:pStyle w:val="658"/>
        <w:spacing w:line="500" w:lineRule="exact"/>
        <w:ind w:firstLine="440"/>
        <w:rPr>
          <w:rFonts w:hAnsi="宋体" w:cs="宋体"/>
          <w:color w:val="auto"/>
          <w:sz w:val="22"/>
          <w:szCs w:val="22"/>
          <w:u w:val="single"/>
        </w:rPr>
      </w:pPr>
      <w:r>
        <w:rPr>
          <w:rFonts w:hint="eastAsia" w:hAnsi="宋体" w:cs="宋体"/>
          <w:color w:val="auto"/>
          <w:sz w:val="22"/>
          <w:szCs w:val="22"/>
        </w:rPr>
        <w:t>投标人代表签字：</w:t>
      </w:r>
    </w:p>
    <w:p>
      <w:pPr>
        <w:spacing w:line="440" w:lineRule="exact"/>
        <w:jc w:val="right"/>
        <w:rPr>
          <w:rFonts w:ascii="宋体" w:hAnsi="宋体" w:cs="宋体"/>
          <w:color w:val="auto"/>
          <w:sz w:val="22"/>
          <w:szCs w:val="22"/>
        </w:rPr>
      </w:pPr>
      <w:r>
        <w:rPr>
          <w:rFonts w:hint="eastAsia" w:ascii="宋体" w:hAnsi="宋体" w:cs="宋体"/>
          <w:color w:val="auto"/>
          <w:sz w:val="22"/>
          <w:szCs w:val="22"/>
        </w:rPr>
        <w:tab/>
      </w:r>
      <w:r>
        <w:rPr>
          <w:rFonts w:hint="eastAsia" w:ascii="宋体" w:hAnsi="宋体" w:cs="宋体"/>
          <w:color w:val="auto"/>
          <w:sz w:val="22"/>
          <w:szCs w:val="22"/>
        </w:rPr>
        <w:tab/>
      </w:r>
      <w:r>
        <w:rPr>
          <w:rFonts w:hint="eastAsia" w:ascii="宋体" w:hAnsi="宋体" w:cs="宋体"/>
          <w:color w:val="auto"/>
          <w:sz w:val="22"/>
          <w:szCs w:val="22"/>
        </w:rPr>
        <w:tab/>
      </w:r>
    </w:p>
    <w:p>
      <w:pPr>
        <w:spacing w:line="440" w:lineRule="exact"/>
        <w:jc w:val="right"/>
        <w:rPr>
          <w:rFonts w:ascii="宋体" w:hAnsi="宋体" w:cs="宋体"/>
          <w:color w:val="auto"/>
          <w:sz w:val="22"/>
          <w:szCs w:val="22"/>
        </w:rPr>
      </w:pPr>
    </w:p>
    <w:p>
      <w:pPr>
        <w:spacing w:line="440" w:lineRule="exact"/>
        <w:jc w:val="right"/>
        <w:rPr>
          <w:rFonts w:ascii="宋体" w:hAnsi="宋体" w:cs="宋体"/>
          <w:b/>
          <w:bCs/>
          <w:color w:val="auto"/>
          <w:sz w:val="22"/>
          <w:szCs w:val="22"/>
        </w:rPr>
      </w:pPr>
      <w:r>
        <w:rPr>
          <w:rFonts w:hint="eastAsia" w:ascii="宋体" w:hAnsi="宋体" w:cs="宋体"/>
          <w:color w:val="auto"/>
          <w:sz w:val="22"/>
          <w:szCs w:val="22"/>
        </w:rPr>
        <w:t xml:space="preserve"> 年  月  日</w:t>
      </w:r>
    </w:p>
    <w:p>
      <w:pPr>
        <w:spacing w:line="440" w:lineRule="exact"/>
        <w:rPr>
          <w:rFonts w:ascii="宋体" w:hAnsi="宋体" w:cs="宋体"/>
          <w:b/>
          <w:bCs/>
          <w:color w:val="auto"/>
          <w:sz w:val="22"/>
          <w:szCs w:val="22"/>
        </w:rPr>
      </w:pPr>
    </w:p>
    <w:p>
      <w:pPr>
        <w:pStyle w:val="55"/>
        <w:rPr>
          <w:rFonts w:ascii="宋体" w:hAnsi="宋体" w:cs="宋体"/>
          <w:color w:val="auto"/>
          <w:kern w:val="2"/>
          <w:sz w:val="36"/>
          <w:szCs w:val="36"/>
        </w:rPr>
      </w:pPr>
      <w:r>
        <w:rPr>
          <w:rFonts w:hint="eastAsia" w:ascii="宋体" w:hAnsi="宋体" w:cs="宋体"/>
          <w:b w:val="0"/>
          <w:bCs w:val="0"/>
          <w:color w:val="auto"/>
          <w:sz w:val="22"/>
          <w:szCs w:val="22"/>
        </w:rPr>
        <w:br w:type="page"/>
      </w:r>
      <w:bookmarkStart w:id="70" w:name="_Toc495955195"/>
      <w:bookmarkStart w:id="71" w:name="_Toc58406690"/>
      <w:bookmarkStart w:id="72" w:name="_Toc34508137"/>
      <w:r>
        <w:rPr>
          <w:rFonts w:hint="eastAsia" w:ascii="宋体" w:hAnsi="宋体" w:cs="宋体"/>
          <w:color w:val="auto"/>
          <w:kern w:val="2"/>
          <w:sz w:val="36"/>
          <w:szCs w:val="36"/>
        </w:rPr>
        <w:t>第二部分   政府采购政策功能相关说明</w:t>
      </w:r>
      <w:bookmarkEnd w:id="70"/>
      <w:bookmarkEnd w:id="71"/>
      <w:bookmarkEnd w:id="72"/>
    </w:p>
    <w:p>
      <w:pPr>
        <w:jc w:val="left"/>
        <w:rPr>
          <w:rFonts w:ascii="宋体" w:hAnsi="宋体" w:cs="宋体"/>
          <w:b/>
          <w:color w:val="auto"/>
          <w:sz w:val="22"/>
        </w:rPr>
      </w:pPr>
    </w:p>
    <w:p>
      <w:pPr>
        <w:jc w:val="center"/>
        <w:rPr>
          <w:rFonts w:ascii="宋体" w:hAnsi="宋体" w:cs="宋体"/>
          <w:b/>
          <w:bCs/>
          <w:color w:val="auto"/>
          <w:sz w:val="28"/>
          <w:szCs w:val="28"/>
        </w:rPr>
      </w:pPr>
      <w:r>
        <w:rPr>
          <w:rFonts w:hint="eastAsia" w:ascii="宋体" w:hAnsi="宋体" w:cs="宋体"/>
          <w:b/>
          <w:bCs/>
          <w:color w:val="auto"/>
          <w:sz w:val="28"/>
          <w:szCs w:val="28"/>
        </w:rPr>
        <w:t>小、微企业（含监狱企业、残疾人福利性单位）扶持政策说明</w:t>
      </w:r>
    </w:p>
    <w:p>
      <w:pPr>
        <w:spacing w:line="440" w:lineRule="atLeast"/>
        <w:jc w:val="left"/>
        <w:rPr>
          <w:rFonts w:ascii="宋体" w:hAnsi="宋体" w:cs="宋体"/>
          <w:b/>
          <w:bCs/>
          <w:color w:val="auto"/>
          <w:sz w:val="22"/>
        </w:rPr>
      </w:pPr>
      <w:r>
        <w:rPr>
          <w:rFonts w:hint="eastAsia" w:ascii="宋体" w:hAnsi="宋体" w:cs="宋体"/>
          <w:b/>
          <w:bCs/>
          <w:color w:val="auto"/>
          <w:sz w:val="22"/>
        </w:rPr>
        <w:t>1.文件依据</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（1）关于印发《政府采购促进中小企业发展管理办法》的通知（财库[2020]46号）及财政部关于进一步加大政府采购支持中小企业力度的通知（财库〔2022〕19号）文件。</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（2）浙江省财政厅《关于开展政府采购投标人网上注册登记和诚信管理工作的通知》（浙财采监〔2010〕8号)</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（3）《工业和信息化部、国家统计局、国家发展和改革委员会、财政部关于印发中小企业划型标准规定的通知》（工信部联企业[2011]300号）</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（4）财政部、司法部《关于政府采购支持监狱企业发展有关问题的通知》（财库〔2014〕68号）</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（5）《财政部 民政部 中国残疾人联合会关于促进残疾人就业政府采购政策的通知》（财库〔2017〕 141号）</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（6）《浙江省财政厅  浙江省经济和信息化委员会关于简化中小企业类别确认流程有关事项的通知》（浙财采监〔2018〕2号)</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（7）《浙江省财政厅关于进一步发挥政府采购政策功能全力推动经济稳进提质的通知》（浙财采监〔2022〕3号）</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（8）《浙江省财政厅关于进一步加大政府采购支持中小企业力度 助力扎实稳住经济的通知》（浙财采监〔2022〕8号）</w:t>
      </w:r>
    </w:p>
    <w:p>
      <w:pPr>
        <w:spacing w:line="440" w:lineRule="atLeast"/>
        <w:jc w:val="left"/>
        <w:rPr>
          <w:rFonts w:ascii="宋体" w:hAnsi="宋体" w:cs="宋体"/>
          <w:b/>
          <w:bCs/>
          <w:color w:val="auto"/>
          <w:sz w:val="22"/>
        </w:rPr>
      </w:pPr>
      <w:r>
        <w:rPr>
          <w:rFonts w:hint="eastAsia" w:ascii="宋体" w:hAnsi="宋体" w:cs="宋体"/>
          <w:b/>
          <w:bCs/>
          <w:color w:val="auto"/>
          <w:sz w:val="22"/>
        </w:rPr>
        <w:t>2.供应商提供的货物、工程或者服务符合下列情形的，享受中小企业扶持政策：</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（1）在货物采购项目中，货物由中小企业制造，即货物由中小企业生产且使用该中小企业商号或者注册商标；</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（2）在工程采购项目中，工程由中小企业承建，即工程施工单位为中小企业；</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（3）在服务采购项目中，服务由中小企业承接，即提供服务的人员为中小企业依照《中华人民共和国劳动合同法》订立劳动合同的从业人员。</w:t>
      </w:r>
    </w:p>
    <w:p>
      <w:pPr>
        <w:spacing w:line="440" w:lineRule="atLeast"/>
        <w:jc w:val="left"/>
        <w:rPr>
          <w:rFonts w:ascii="宋体" w:hAnsi="宋体" w:cs="宋体"/>
          <w:b/>
          <w:bCs/>
          <w:color w:val="auto"/>
          <w:sz w:val="22"/>
        </w:rPr>
      </w:pPr>
      <w:r>
        <w:rPr>
          <w:rFonts w:hint="eastAsia" w:ascii="宋体" w:hAnsi="宋体" w:cs="宋体"/>
          <w:b/>
          <w:bCs/>
          <w:color w:val="auto"/>
          <w:sz w:val="22"/>
        </w:rPr>
        <w:t>3.小微企业（含监狱企业、残疾人福利性单位）评审扶持政策</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（1）本项目对小型企业和微型企业（含监狱企业、残疾人福利性单位）的投标报价给予10%的扣除，用扣除后的价格参与评审。</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（2）在货物采购项目中，供应商提供的货物既有中小企业制造货物，也有大型企业制造货物的，不享受中小企业扶持政策。</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（3）以联合体形式参加政府采购活动，联合体各方均为中小企业的，联合体视同中小企业。其中，联合体各方均为小微企业的，联合体视同小微企业。</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（4）对于联合体协议或者分包意向协议约定小微企业合同份额占到合同总金额30%以上的，对其投标报价给予4%的扣除，用扣除后的价格参与评审。</w:t>
      </w:r>
    </w:p>
    <w:p>
      <w:pPr>
        <w:spacing w:line="440" w:lineRule="atLeast"/>
        <w:jc w:val="left"/>
        <w:rPr>
          <w:rFonts w:ascii="宋体" w:hAnsi="宋体" w:cs="宋体"/>
          <w:b/>
          <w:bCs/>
          <w:color w:val="auto"/>
          <w:sz w:val="22"/>
        </w:rPr>
      </w:pPr>
      <w:r>
        <w:rPr>
          <w:rFonts w:hint="eastAsia" w:ascii="宋体" w:hAnsi="宋体" w:cs="宋体"/>
          <w:b/>
          <w:bCs/>
          <w:color w:val="auto"/>
          <w:sz w:val="22"/>
          <w:u w:val="single"/>
        </w:rPr>
        <w:t>4.享受小微企业价格扣除应提供以下证明材料（投标文件报价文件中，不提供的不享受价格扣除）</w:t>
      </w:r>
      <w:r>
        <w:rPr>
          <w:rFonts w:hint="eastAsia" w:ascii="宋体" w:hAnsi="宋体" w:cs="宋体"/>
          <w:b/>
          <w:bCs/>
          <w:color w:val="auto"/>
          <w:sz w:val="22"/>
        </w:rPr>
        <w:t>：</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（1）《中小企业声明函》（原件，加盖投标人公章，格式见附件1）</w:t>
      </w:r>
    </w:p>
    <w:p>
      <w:pPr>
        <w:spacing w:line="440" w:lineRule="atLeast"/>
        <w:jc w:val="left"/>
        <w:rPr>
          <w:rFonts w:ascii="宋体" w:hAnsi="宋体" w:cs="宋体"/>
          <w:bCs/>
          <w:color w:val="auto"/>
          <w:sz w:val="22"/>
        </w:rPr>
      </w:pPr>
      <w:r>
        <w:rPr>
          <w:rFonts w:hint="eastAsia" w:ascii="宋体" w:hAnsi="宋体" w:cs="宋体"/>
          <w:bCs/>
          <w:color w:val="auto"/>
          <w:sz w:val="22"/>
        </w:rPr>
        <w:t>5.</w:t>
      </w:r>
      <w:r>
        <w:rPr>
          <w:rFonts w:hint="eastAsia" w:ascii="宋体" w:hAnsi="宋体" w:cs="宋体"/>
          <w:b/>
          <w:bCs/>
          <w:color w:val="auto"/>
          <w:sz w:val="22"/>
          <w:u w:val="single"/>
        </w:rPr>
        <w:t>享受监狱企业价格扣除应提供以下证明材料（投标文件报价文件中，不提供的不享受价格扣除）</w:t>
      </w:r>
      <w:r>
        <w:rPr>
          <w:rFonts w:hint="eastAsia" w:ascii="宋体" w:hAnsi="宋体" w:cs="宋体"/>
          <w:bCs/>
          <w:color w:val="auto"/>
          <w:sz w:val="22"/>
        </w:rPr>
        <w:t>：</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1）监狱企业参加政府采购活动时，应当提供由省级以上监狱管理局、戒毒管理局(含新疆生产建设兵团)出具的属于监狱企业的证明文件（原件或复印件加盖公章）。在政府采购活动中，监狱企业视同小型、微型企业，享受评审中价格扣除政策。</w:t>
      </w:r>
    </w:p>
    <w:p>
      <w:pPr>
        <w:spacing w:line="440" w:lineRule="atLeast"/>
        <w:jc w:val="left"/>
        <w:rPr>
          <w:rFonts w:ascii="宋体" w:hAnsi="宋体" w:cs="宋体"/>
          <w:bCs/>
          <w:color w:val="auto"/>
          <w:sz w:val="22"/>
        </w:rPr>
      </w:pPr>
      <w:r>
        <w:rPr>
          <w:rFonts w:hint="eastAsia" w:ascii="宋体" w:hAnsi="宋体" w:cs="宋体"/>
          <w:bCs/>
          <w:color w:val="auto"/>
          <w:sz w:val="22"/>
        </w:rPr>
        <w:t>6.</w:t>
      </w:r>
      <w:r>
        <w:rPr>
          <w:rFonts w:hint="eastAsia" w:ascii="宋体" w:hAnsi="宋体" w:cs="宋体"/>
          <w:b/>
          <w:bCs/>
          <w:color w:val="auto"/>
          <w:sz w:val="22"/>
          <w:u w:val="single"/>
        </w:rPr>
        <w:t>享受残疾人福利性单位格扣除应提供以下证明材料（投标文件报价文件中，不提供的不享受价格扣除）</w:t>
      </w:r>
      <w:r>
        <w:rPr>
          <w:rFonts w:hint="eastAsia" w:ascii="宋体" w:hAnsi="宋体" w:cs="宋体"/>
          <w:bCs/>
          <w:color w:val="auto"/>
          <w:sz w:val="22"/>
        </w:rPr>
        <w:t>：</w:t>
      </w:r>
    </w:p>
    <w:p>
      <w:pPr>
        <w:spacing w:line="440" w:lineRule="atLeast"/>
        <w:ind w:firstLine="440" w:firstLineChars="200"/>
        <w:jc w:val="left"/>
        <w:rPr>
          <w:rFonts w:ascii="宋体" w:hAnsi="宋体" w:cs="宋体"/>
          <w:bCs/>
          <w:color w:val="auto"/>
          <w:sz w:val="22"/>
        </w:rPr>
      </w:pPr>
      <w:r>
        <w:rPr>
          <w:rFonts w:hint="eastAsia" w:ascii="宋体" w:hAnsi="宋体" w:cs="宋体"/>
          <w:bCs/>
          <w:color w:val="auto"/>
          <w:sz w:val="22"/>
        </w:rPr>
        <w:t>（1）残疾人福利性单位声明函（附件2）；</w:t>
      </w:r>
    </w:p>
    <w:p>
      <w:pPr>
        <w:spacing w:line="440" w:lineRule="atLeast"/>
        <w:jc w:val="left"/>
        <w:rPr>
          <w:rFonts w:ascii="宋体" w:hAnsi="宋体" w:cs="宋体"/>
          <w:bCs/>
          <w:color w:val="auto"/>
          <w:sz w:val="22"/>
        </w:rPr>
      </w:pPr>
      <w:r>
        <w:rPr>
          <w:rFonts w:hint="eastAsia" w:ascii="宋体" w:hAnsi="宋体" w:cs="宋体"/>
          <w:bCs/>
          <w:color w:val="auto"/>
          <w:sz w:val="22"/>
        </w:rPr>
        <w:t>7.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扣除。</w:t>
      </w:r>
    </w:p>
    <w:p>
      <w:pPr>
        <w:spacing w:line="440" w:lineRule="atLeast"/>
        <w:jc w:val="left"/>
        <w:rPr>
          <w:rFonts w:ascii="宋体" w:hAnsi="宋体" w:cs="宋体"/>
          <w:b/>
          <w:color w:val="auto"/>
          <w:sz w:val="22"/>
        </w:rPr>
      </w:pPr>
      <w:r>
        <w:rPr>
          <w:rFonts w:hint="eastAsia" w:ascii="宋体" w:hAnsi="宋体" w:cs="宋体"/>
          <w:b/>
          <w:color w:val="auto"/>
          <w:sz w:val="22"/>
        </w:rPr>
        <w:t>8.享受扶持政策获得政府采购合同的，小微企业不得将合同分包给大中型企业，中型企业不得将合同分包给大型企业。</w:t>
      </w:r>
    </w:p>
    <w:p>
      <w:pPr>
        <w:spacing w:line="440" w:lineRule="atLeast"/>
        <w:jc w:val="left"/>
        <w:rPr>
          <w:rFonts w:ascii="宋体" w:hAnsi="宋体" w:cs="宋体"/>
          <w:b/>
          <w:color w:val="auto"/>
          <w:sz w:val="22"/>
        </w:rPr>
      </w:pPr>
    </w:p>
    <w:p>
      <w:pPr>
        <w:spacing w:line="440" w:lineRule="atLeast"/>
        <w:jc w:val="left"/>
        <w:rPr>
          <w:rFonts w:ascii="宋体" w:hAnsi="宋体" w:cs="宋体"/>
          <w:b/>
          <w:color w:val="auto"/>
          <w:sz w:val="22"/>
        </w:rPr>
      </w:pPr>
    </w:p>
    <w:p>
      <w:pPr>
        <w:spacing w:line="440" w:lineRule="atLeast"/>
        <w:jc w:val="left"/>
        <w:rPr>
          <w:rFonts w:ascii="宋体" w:hAnsi="宋体" w:cs="宋体"/>
          <w:b/>
          <w:color w:val="auto"/>
          <w:sz w:val="22"/>
        </w:rPr>
      </w:pPr>
    </w:p>
    <w:p>
      <w:pPr>
        <w:spacing w:line="440" w:lineRule="atLeast"/>
        <w:jc w:val="left"/>
        <w:rPr>
          <w:rFonts w:ascii="宋体" w:hAnsi="宋体" w:cs="宋体"/>
          <w:b/>
          <w:color w:val="auto"/>
          <w:sz w:val="22"/>
        </w:rPr>
      </w:pPr>
    </w:p>
    <w:p>
      <w:pPr>
        <w:spacing w:line="440" w:lineRule="atLeast"/>
        <w:jc w:val="left"/>
        <w:rPr>
          <w:rFonts w:ascii="宋体" w:hAnsi="宋体" w:cs="宋体"/>
          <w:b/>
          <w:color w:val="auto"/>
          <w:sz w:val="22"/>
        </w:rPr>
      </w:pPr>
    </w:p>
    <w:p>
      <w:pPr>
        <w:pStyle w:val="16"/>
        <w:rPr>
          <w:rFonts w:ascii="宋体" w:hAnsi="宋体" w:cs="宋体"/>
          <w:b/>
          <w:color w:val="auto"/>
          <w:sz w:val="22"/>
        </w:rPr>
      </w:pPr>
    </w:p>
    <w:p>
      <w:pPr>
        <w:rPr>
          <w:rFonts w:ascii="宋体" w:hAnsi="宋体" w:cs="宋体"/>
          <w:b/>
          <w:color w:val="auto"/>
          <w:sz w:val="22"/>
        </w:rPr>
      </w:pPr>
    </w:p>
    <w:p>
      <w:pPr>
        <w:pStyle w:val="16"/>
        <w:rPr>
          <w:rFonts w:ascii="宋体" w:hAnsi="宋体" w:cs="宋体"/>
          <w:b/>
          <w:color w:val="auto"/>
          <w:sz w:val="22"/>
        </w:rPr>
      </w:pPr>
    </w:p>
    <w:p>
      <w:pPr>
        <w:rPr>
          <w:rFonts w:ascii="宋体" w:hAnsi="宋体" w:cs="宋体"/>
          <w:b/>
          <w:color w:val="auto"/>
          <w:sz w:val="22"/>
        </w:rPr>
      </w:pPr>
    </w:p>
    <w:p>
      <w:pPr>
        <w:pStyle w:val="16"/>
        <w:rPr>
          <w:rFonts w:ascii="宋体" w:hAnsi="宋体" w:cs="宋体"/>
          <w:b/>
          <w:color w:val="auto"/>
          <w:sz w:val="22"/>
        </w:rPr>
      </w:pPr>
    </w:p>
    <w:p>
      <w:pPr>
        <w:rPr>
          <w:rFonts w:ascii="宋体" w:hAnsi="宋体" w:cs="宋体"/>
          <w:b/>
          <w:color w:val="auto"/>
          <w:sz w:val="22"/>
        </w:rPr>
      </w:pPr>
    </w:p>
    <w:p>
      <w:pPr>
        <w:pStyle w:val="16"/>
        <w:rPr>
          <w:rFonts w:ascii="宋体" w:hAnsi="宋体" w:cs="宋体"/>
          <w:b/>
          <w:color w:val="auto"/>
          <w:sz w:val="22"/>
        </w:rPr>
      </w:pPr>
    </w:p>
    <w:p>
      <w:pPr>
        <w:rPr>
          <w:rFonts w:ascii="宋体" w:hAnsi="宋体" w:cs="宋体"/>
          <w:b/>
          <w:color w:val="auto"/>
          <w:sz w:val="22"/>
        </w:rPr>
      </w:pPr>
    </w:p>
    <w:p>
      <w:pPr>
        <w:pStyle w:val="16"/>
        <w:rPr>
          <w:rFonts w:ascii="宋体" w:hAnsi="宋体" w:cs="宋体"/>
          <w:b/>
          <w:color w:val="auto"/>
          <w:sz w:val="22"/>
        </w:rPr>
      </w:pPr>
    </w:p>
    <w:p>
      <w:pPr>
        <w:rPr>
          <w:rFonts w:ascii="宋体" w:hAnsi="宋体" w:cs="宋体"/>
          <w:b/>
          <w:color w:val="auto"/>
          <w:sz w:val="22"/>
        </w:rPr>
      </w:pPr>
    </w:p>
    <w:p>
      <w:pPr>
        <w:pStyle w:val="16"/>
        <w:rPr>
          <w:rFonts w:ascii="宋体" w:hAnsi="宋体" w:cs="宋体"/>
          <w:b/>
          <w:color w:val="auto"/>
          <w:sz w:val="22"/>
        </w:rPr>
      </w:pPr>
    </w:p>
    <w:p>
      <w:pPr>
        <w:rPr>
          <w:rFonts w:ascii="宋体" w:hAnsi="宋体" w:cs="宋体"/>
          <w:b/>
          <w:color w:val="auto"/>
          <w:sz w:val="22"/>
        </w:rPr>
      </w:pPr>
    </w:p>
    <w:p>
      <w:pPr>
        <w:pStyle w:val="16"/>
        <w:rPr>
          <w:rFonts w:ascii="宋体" w:hAnsi="宋体" w:cs="宋体"/>
          <w:b/>
          <w:color w:val="auto"/>
          <w:sz w:val="22"/>
        </w:rPr>
      </w:pPr>
    </w:p>
    <w:p>
      <w:pPr>
        <w:rPr>
          <w:rFonts w:ascii="宋体" w:hAnsi="宋体" w:cs="宋体"/>
          <w:b/>
          <w:color w:val="auto"/>
          <w:sz w:val="22"/>
        </w:rPr>
      </w:pPr>
    </w:p>
    <w:p>
      <w:pPr>
        <w:pStyle w:val="16"/>
        <w:rPr>
          <w:rFonts w:ascii="宋体" w:hAnsi="宋体" w:cs="宋体"/>
          <w:b/>
          <w:color w:val="auto"/>
          <w:sz w:val="22"/>
        </w:rPr>
      </w:pPr>
    </w:p>
    <w:p>
      <w:pPr>
        <w:rPr>
          <w:color w:val="auto"/>
        </w:rPr>
      </w:pPr>
    </w:p>
    <w:p>
      <w:pPr>
        <w:widowControl/>
        <w:spacing w:before="100" w:beforeAutospacing="1" w:after="100" w:afterAutospacing="1" w:line="440" w:lineRule="atLeast"/>
        <w:jc w:val="left"/>
        <w:rPr>
          <w:rFonts w:ascii="宋体" w:hAnsi="宋体" w:cs="宋体"/>
          <w:b/>
          <w:color w:val="auto"/>
          <w:sz w:val="24"/>
        </w:rPr>
      </w:pPr>
      <w:r>
        <w:rPr>
          <w:rFonts w:hint="eastAsia" w:ascii="宋体" w:hAnsi="宋体" w:cs="宋体"/>
          <w:b/>
          <w:color w:val="auto"/>
          <w:sz w:val="24"/>
        </w:rPr>
        <w:t>附件1：</w:t>
      </w:r>
    </w:p>
    <w:p>
      <w:pPr>
        <w:widowControl/>
        <w:spacing w:before="100" w:beforeAutospacing="1" w:after="100" w:afterAutospacing="1" w:line="440" w:lineRule="atLeast"/>
        <w:jc w:val="center"/>
        <w:rPr>
          <w:rFonts w:ascii="宋体" w:hAnsi="宋体" w:cs="宋体"/>
          <w:b/>
          <w:color w:val="auto"/>
          <w:sz w:val="24"/>
        </w:rPr>
      </w:pPr>
      <w:r>
        <w:rPr>
          <w:rFonts w:hint="eastAsia" w:ascii="宋体" w:hAnsi="宋体" w:cs="宋体"/>
          <w:b/>
          <w:bCs/>
          <w:color w:val="auto"/>
          <w:sz w:val="24"/>
        </w:rPr>
        <w:t>中小企业声明函（货物）</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 xml:space="preserve">本公司（联合体）郑重声明，根据《政府采购促进中小企业发展管理办法》（财库﹝2020﹞46 号）的规定，本公司（联合体）参加 </w:t>
      </w:r>
      <w:r>
        <w:rPr>
          <w:rFonts w:hint="eastAsia" w:ascii="宋体" w:hAnsi="宋体" w:cs="宋体"/>
          <w:bCs/>
          <w:color w:val="auto"/>
          <w:sz w:val="22"/>
          <w:szCs w:val="22"/>
          <w:u w:val="single"/>
        </w:rPr>
        <w:t>（单位名称）</w:t>
      </w:r>
      <w:r>
        <w:rPr>
          <w:rFonts w:hint="eastAsia" w:ascii="宋体" w:hAnsi="宋体" w:cs="宋体"/>
          <w:bCs/>
          <w:color w:val="auto"/>
          <w:sz w:val="22"/>
          <w:szCs w:val="22"/>
        </w:rPr>
        <w:t xml:space="preserve"> 的</w:t>
      </w:r>
      <w:r>
        <w:rPr>
          <w:rFonts w:hint="eastAsia" w:ascii="宋体" w:hAnsi="宋体" w:cs="宋体"/>
          <w:bCs/>
          <w:color w:val="auto"/>
          <w:sz w:val="22"/>
          <w:szCs w:val="22"/>
          <w:u w:val="single"/>
        </w:rPr>
        <w:t xml:space="preserve"> （项目名称） </w:t>
      </w:r>
      <w:r>
        <w:rPr>
          <w:rFonts w:hint="eastAsia" w:ascii="宋体" w:hAnsi="宋体" w:cs="宋体"/>
          <w:bCs/>
          <w:color w:val="auto"/>
          <w:sz w:val="22"/>
          <w:szCs w:val="22"/>
        </w:rPr>
        <w:t>采购活动，提供的货物全部由符合政策要求的中小企业制造。相关企业（含联合体中的中小企业、签订分包意向协议的中小企业）的具体情况如下：</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 xml:space="preserve">1. </w:t>
      </w:r>
      <w:r>
        <w:rPr>
          <w:rFonts w:hint="eastAsia" w:ascii="宋体" w:hAnsi="宋体" w:cs="宋体"/>
          <w:bCs/>
          <w:color w:val="auto"/>
          <w:sz w:val="22"/>
          <w:szCs w:val="22"/>
          <w:u w:val="single"/>
        </w:rPr>
        <w:t>（标的名称）</w:t>
      </w:r>
      <w:r>
        <w:rPr>
          <w:rFonts w:hint="eastAsia" w:ascii="宋体" w:hAnsi="宋体" w:cs="宋体"/>
          <w:bCs/>
          <w:color w:val="auto"/>
          <w:sz w:val="22"/>
          <w:szCs w:val="22"/>
        </w:rPr>
        <w:t xml:space="preserve"> ，属于</w:t>
      </w:r>
      <w:r>
        <w:rPr>
          <w:rFonts w:hint="eastAsia" w:ascii="宋体" w:hAnsi="宋体" w:cs="宋体"/>
          <w:bCs/>
          <w:color w:val="auto"/>
          <w:sz w:val="22"/>
          <w:szCs w:val="22"/>
          <w:u w:val="single"/>
        </w:rPr>
        <w:t xml:space="preserve"> （采购文件中明确的所属行业）</w:t>
      </w:r>
      <w:r>
        <w:rPr>
          <w:rFonts w:hint="eastAsia" w:ascii="宋体" w:hAnsi="宋体" w:cs="宋体"/>
          <w:bCs/>
          <w:color w:val="auto"/>
          <w:sz w:val="22"/>
          <w:szCs w:val="22"/>
        </w:rPr>
        <w:t>行业 ；制造商为</w:t>
      </w:r>
      <w:r>
        <w:rPr>
          <w:rFonts w:hint="eastAsia" w:ascii="宋体" w:hAnsi="宋体" w:cs="宋体"/>
          <w:bCs/>
          <w:color w:val="auto"/>
          <w:sz w:val="22"/>
          <w:szCs w:val="22"/>
          <w:u w:val="single"/>
        </w:rPr>
        <w:t xml:space="preserve"> （企业名称） </w:t>
      </w:r>
      <w:r>
        <w:rPr>
          <w:rFonts w:hint="eastAsia" w:ascii="宋体" w:hAnsi="宋体" w:cs="宋体"/>
          <w:bCs/>
          <w:color w:val="auto"/>
          <w:sz w:val="22"/>
          <w:szCs w:val="22"/>
        </w:rPr>
        <w:t>，从业人员人，营业收入为万元，资产总额为万元</w:t>
      </w:r>
      <w:r>
        <w:rPr>
          <w:rFonts w:hint="eastAsia" w:ascii="宋体" w:hAnsi="宋体" w:cs="宋体"/>
          <w:bCs/>
          <w:color w:val="auto"/>
          <w:sz w:val="22"/>
          <w:szCs w:val="22"/>
          <w:vertAlign w:val="superscript"/>
        </w:rPr>
        <w:t>1</w:t>
      </w:r>
      <w:r>
        <w:rPr>
          <w:rFonts w:hint="eastAsia" w:ascii="宋体" w:hAnsi="宋体" w:cs="宋体"/>
          <w:bCs/>
          <w:color w:val="auto"/>
          <w:sz w:val="22"/>
          <w:szCs w:val="22"/>
        </w:rPr>
        <w:t>，属于</w:t>
      </w:r>
      <w:r>
        <w:rPr>
          <w:rFonts w:hint="eastAsia" w:ascii="宋体" w:hAnsi="宋体" w:cs="宋体"/>
          <w:bCs/>
          <w:color w:val="auto"/>
          <w:sz w:val="22"/>
          <w:szCs w:val="22"/>
          <w:u w:val="single"/>
        </w:rPr>
        <w:t>（中型企业、小型企业、微型企业）</w:t>
      </w:r>
      <w:r>
        <w:rPr>
          <w:rFonts w:hint="eastAsia" w:ascii="宋体" w:hAnsi="宋体" w:cs="宋体"/>
          <w:bCs/>
          <w:color w:val="auto"/>
          <w:sz w:val="22"/>
          <w:szCs w:val="22"/>
        </w:rPr>
        <w:t>；</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 xml:space="preserve">2. </w:t>
      </w:r>
      <w:r>
        <w:rPr>
          <w:rFonts w:hint="eastAsia" w:ascii="宋体" w:hAnsi="宋体" w:cs="宋体"/>
          <w:bCs/>
          <w:color w:val="auto"/>
          <w:sz w:val="22"/>
          <w:szCs w:val="22"/>
          <w:u w:val="single"/>
        </w:rPr>
        <w:t xml:space="preserve">（标的名称） </w:t>
      </w:r>
      <w:r>
        <w:rPr>
          <w:rFonts w:hint="eastAsia" w:ascii="宋体" w:hAnsi="宋体" w:cs="宋体"/>
          <w:bCs/>
          <w:color w:val="auto"/>
          <w:sz w:val="22"/>
          <w:szCs w:val="22"/>
        </w:rPr>
        <w:t>，属于</w:t>
      </w:r>
      <w:r>
        <w:rPr>
          <w:rFonts w:hint="eastAsia" w:ascii="宋体" w:hAnsi="宋体" w:cs="宋体"/>
          <w:bCs/>
          <w:color w:val="auto"/>
          <w:sz w:val="22"/>
          <w:szCs w:val="22"/>
          <w:u w:val="single"/>
        </w:rPr>
        <w:t xml:space="preserve"> （采购文件中明确的所属行业）</w:t>
      </w:r>
      <w:r>
        <w:rPr>
          <w:rFonts w:hint="eastAsia" w:ascii="宋体" w:hAnsi="宋体" w:cs="宋体"/>
          <w:bCs/>
          <w:color w:val="auto"/>
          <w:sz w:val="22"/>
          <w:szCs w:val="22"/>
        </w:rPr>
        <w:t>行业 ；制造商为</w:t>
      </w:r>
      <w:r>
        <w:rPr>
          <w:rFonts w:hint="eastAsia" w:ascii="宋体" w:hAnsi="宋体" w:cs="宋体"/>
          <w:bCs/>
          <w:color w:val="auto"/>
          <w:sz w:val="22"/>
          <w:szCs w:val="22"/>
          <w:u w:val="single"/>
        </w:rPr>
        <w:t xml:space="preserve"> （企业名称） </w:t>
      </w:r>
      <w:r>
        <w:rPr>
          <w:rFonts w:hint="eastAsia" w:ascii="宋体" w:hAnsi="宋体" w:cs="宋体"/>
          <w:bCs/>
          <w:color w:val="auto"/>
          <w:sz w:val="22"/>
          <w:szCs w:val="22"/>
        </w:rPr>
        <w:t>，从业人员人，营业收入为万元，资产总额为万元，属于 （中型企业、小型企业、微型企业） ；</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本企业对上述声明内容的真实性负责。如有虚假，将依法承担相应责任。</w:t>
      </w:r>
    </w:p>
    <w:p>
      <w:pPr>
        <w:widowControl/>
        <w:spacing w:before="100" w:beforeAutospacing="1" w:after="100" w:afterAutospacing="1" w:line="440" w:lineRule="atLeast"/>
        <w:ind w:firstLine="5669" w:firstLineChars="2577"/>
        <w:jc w:val="left"/>
        <w:rPr>
          <w:rFonts w:ascii="宋体" w:hAnsi="宋体" w:cs="宋体"/>
          <w:bCs/>
          <w:color w:val="auto"/>
          <w:sz w:val="22"/>
          <w:szCs w:val="22"/>
        </w:rPr>
      </w:pPr>
      <w:r>
        <w:rPr>
          <w:rFonts w:hint="eastAsia" w:ascii="宋体" w:hAnsi="宋体" w:cs="宋体"/>
          <w:bCs/>
          <w:color w:val="auto"/>
          <w:sz w:val="22"/>
          <w:szCs w:val="22"/>
        </w:rPr>
        <w:t>企业名称（盖章）：</w:t>
      </w:r>
    </w:p>
    <w:p>
      <w:pPr>
        <w:widowControl/>
        <w:spacing w:before="100" w:beforeAutospacing="1" w:after="100" w:afterAutospacing="1" w:line="440" w:lineRule="atLeast"/>
        <w:ind w:firstLine="5669" w:firstLineChars="2577"/>
        <w:jc w:val="left"/>
        <w:rPr>
          <w:rFonts w:ascii="宋体" w:hAnsi="宋体" w:cs="宋体"/>
          <w:bCs/>
          <w:color w:val="auto"/>
          <w:sz w:val="22"/>
          <w:szCs w:val="22"/>
        </w:rPr>
      </w:pPr>
      <w:r>
        <w:rPr>
          <w:rFonts w:hint="eastAsia" w:ascii="宋体" w:hAnsi="宋体" w:cs="宋体"/>
          <w:bCs/>
          <w:color w:val="auto"/>
          <w:sz w:val="22"/>
          <w:szCs w:val="22"/>
        </w:rPr>
        <w:t>日 期：</w:t>
      </w:r>
    </w:p>
    <w:p>
      <w:pPr>
        <w:widowControl/>
        <w:tabs>
          <w:tab w:val="left" w:pos="312"/>
        </w:tabs>
        <w:spacing w:before="100" w:beforeAutospacing="1" w:after="100" w:afterAutospacing="1" w:line="440" w:lineRule="atLeast"/>
        <w:jc w:val="left"/>
        <w:rPr>
          <w:rFonts w:ascii="宋体" w:hAnsi="宋体" w:cs="宋体"/>
          <w:bCs/>
          <w:color w:val="auto"/>
          <w:sz w:val="18"/>
          <w:szCs w:val="18"/>
        </w:rPr>
      </w:pPr>
    </w:p>
    <w:p>
      <w:pPr>
        <w:widowControl/>
        <w:tabs>
          <w:tab w:val="left" w:pos="312"/>
        </w:tabs>
        <w:spacing w:before="100" w:beforeAutospacing="1" w:after="100" w:afterAutospacing="1" w:line="440" w:lineRule="atLeast"/>
        <w:jc w:val="left"/>
        <w:rPr>
          <w:rFonts w:ascii="宋体" w:hAnsi="宋体" w:cs="宋体"/>
          <w:bCs/>
          <w:color w:val="auto"/>
          <w:sz w:val="18"/>
          <w:szCs w:val="18"/>
        </w:rPr>
      </w:pPr>
    </w:p>
    <w:p>
      <w:pPr>
        <w:widowControl/>
        <w:tabs>
          <w:tab w:val="left" w:pos="312"/>
        </w:tabs>
        <w:spacing w:before="100" w:beforeAutospacing="1" w:after="100" w:afterAutospacing="1" w:line="440" w:lineRule="atLeast"/>
        <w:jc w:val="left"/>
        <w:rPr>
          <w:rFonts w:ascii="宋体" w:hAnsi="宋体" w:cs="宋体"/>
          <w:bCs/>
          <w:color w:val="auto"/>
          <w:sz w:val="18"/>
          <w:szCs w:val="18"/>
        </w:rPr>
      </w:pPr>
      <w:r>
        <w:rPr>
          <w:rFonts w:hint="eastAsia" w:ascii="宋体" w:hAnsi="宋体" w:cs="宋体"/>
          <w:bCs/>
          <w:color w:val="auto"/>
          <w:sz w:val="18"/>
          <w:szCs w:val="18"/>
        </w:rPr>
        <w:t>注1.从业人员、营业收入、资产总额填报上一年度数据，无上一年度数据的新成立企业可不填报。</w:t>
      </w:r>
    </w:p>
    <w:p>
      <w:pPr>
        <w:widowControl/>
        <w:spacing w:before="100" w:beforeAutospacing="1" w:after="100" w:afterAutospacing="1" w:line="440" w:lineRule="atLeast"/>
        <w:jc w:val="center"/>
        <w:rPr>
          <w:rFonts w:ascii="宋体" w:hAnsi="宋体" w:cs="宋体"/>
          <w:b/>
          <w:color w:val="auto"/>
          <w:sz w:val="24"/>
        </w:rPr>
      </w:pPr>
      <w:r>
        <w:rPr>
          <w:rFonts w:hint="eastAsia" w:ascii="宋体" w:hAnsi="宋体" w:cs="宋体"/>
          <w:b/>
          <w:color w:val="auto"/>
          <w:sz w:val="24"/>
        </w:rPr>
        <w:br w:type="page"/>
      </w:r>
      <w:r>
        <w:rPr>
          <w:rFonts w:hint="eastAsia" w:ascii="宋体" w:hAnsi="宋体" w:cs="宋体"/>
          <w:b/>
          <w:bCs/>
          <w:color w:val="auto"/>
          <w:sz w:val="24"/>
        </w:rPr>
        <w:t>中小企业声明函（工程、服务）</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 xml:space="preserve">本公司（联合体）郑重声明，根据《政府采购促进中小企业发展管理办法》（财库﹝2020﹞46 号）的规定，本公司（联合体）参加 </w:t>
      </w:r>
      <w:r>
        <w:rPr>
          <w:rFonts w:hint="eastAsia" w:ascii="宋体" w:hAnsi="宋体" w:cs="宋体"/>
          <w:bCs/>
          <w:color w:val="auto"/>
          <w:sz w:val="22"/>
          <w:szCs w:val="22"/>
          <w:u w:val="single"/>
        </w:rPr>
        <w:t>（单位名称）</w:t>
      </w:r>
      <w:r>
        <w:rPr>
          <w:rFonts w:hint="eastAsia" w:ascii="宋体" w:hAnsi="宋体" w:cs="宋体"/>
          <w:bCs/>
          <w:color w:val="auto"/>
          <w:sz w:val="22"/>
          <w:szCs w:val="22"/>
        </w:rPr>
        <w:t xml:space="preserve"> 的</w:t>
      </w:r>
      <w:r>
        <w:rPr>
          <w:rFonts w:hint="eastAsia" w:ascii="宋体" w:hAnsi="宋体" w:cs="宋体"/>
          <w:bCs/>
          <w:color w:val="auto"/>
          <w:sz w:val="22"/>
          <w:szCs w:val="22"/>
          <w:u w:val="single"/>
        </w:rPr>
        <w:t xml:space="preserve"> （项目名称） </w:t>
      </w:r>
      <w:r>
        <w:rPr>
          <w:rFonts w:hint="eastAsia" w:ascii="宋体" w:hAnsi="宋体" w:cs="宋体"/>
          <w:bCs/>
          <w:color w:val="auto"/>
          <w:sz w:val="22"/>
          <w:szCs w:val="22"/>
        </w:rPr>
        <w:t>采购活动，工程的施工单位全部为符合政策要求的中小企业（或者：服务全部由符合政策要求的中小企业承接）。相关企业（含联合体中的中小企业、签订分包意向协议的中小企业）的具体情况如下：</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 xml:space="preserve">1. </w:t>
      </w:r>
      <w:r>
        <w:rPr>
          <w:rFonts w:hint="eastAsia" w:ascii="宋体" w:hAnsi="宋体" w:cs="宋体"/>
          <w:bCs/>
          <w:color w:val="auto"/>
          <w:sz w:val="22"/>
          <w:szCs w:val="22"/>
          <w:u w:val="single"/>
        </w:rPr>
        <w:t>（标的名称）</w:t>
      </w:r>
      <w:r>
        <w:rPr>
          <w:rFonts w:hint="eastAsia" w:ascii="宋体" w:hAnsi="宋体" w:cs="宋体"/>
          <w:bCs/>
          <w:color w:val="auto"/>
          <w:sz w:val="22"/>
          <w:szCs w:val="22"/>
        </w:rPr>
        <w:t xml:space="preserve"> ，属于</w:t>
      </w:r>
      <w:r>
        <w:rPr>
          <w:rFonts w:hint="eastAsia" w:ascii="宋体" w:hAnsi="宋体" w:cs="宋体"/>
          <w:bCs/>
          <w:color w:val="auto"/>
          <w:sz w:val="22"/>
          <w:szCs w:val="22"/>
          <w:u w:val="single"/>
        </w:rPr>
        <w:t xml:space="preserve"> （采购文件中明确的所属行业）</w:t>
      </w:r>
      <w:r>
        <w:rPr>
          <w:rFonts w:hint="eastAsia" w:ascii="宋体" w:hAnsi="宋体" w:cs="宋体"/>
          <w:bCs/>
          <w:color w:val="auto"/>
          <w:sz w:val="22"/>
          <w:szCs w:val="22"/>
        </w:rPr>
        <w:t>行业 ；承建（承接）企业为</w:t>
      </w:r>
      <w:r>
        <w:rPr>
          <w:rFonts w:hint="eastAsia" w:ascii="宋体" w:hAnsi="宋体" w:cs="宋体"/>
          <w:bCs/>
          <w:color w:val="auto"/>
          <w:sz w:val="22"/>
          <w:szCs w:val="22"/>
          <w:u w:val="single"/>
        </w:rPr>
        <w:t xml:space="preserve"> （企业名称） </w:t>
      </w:r>
      <w:r>
        <w:rPr>
          <w:rFonts w:hint="eastAsia" w:ascii="宋体" w:hAnsi="宋体" w:cs="宋体"/>
          <w:bCs/>
          <w:color w:val="auto"/>
          <w:sz w:val="22"/>
          <w:szCs w:val="22"/>
        </w:rPr>
        <w:t>，从业人员人，营业收入为万元，资产总额为万元</w:t>
      </w:r>
      <w:r>
        <w:rPr>
          <w:rFonts w:hint="eastAsia" w:ascii="宋体" w:hAnsi="宋体" w:cs="宋体"/>
          <w:bCs/>
          <w:color w:val="auto"/>
          <w:sz w:val="22"/>
          <w:szCs w:val="22"/>
          <w:vertAlign w:val="superscript"/>
        </w:rPr>
        <w:t>1</w:t>
      </w:r>
      <w:r>
        <w:rPr>
          <w:rFonts w:hint="eastAsia" w:ascii="宋体" w:hAnsi="宋体" w:cs="宋体"/>
          <w:bCs/>
          <w:color w:val="auto"/>
          <w:sz w:val="22"/>
          <w:szCs w:val="22"/>
        </w:rPr>
        <w:t>，属于</w:t>
      </w:r>
      <w:r>
        <w:rPr>
          <w:rFonts w:hint="eastAsia" w:ascii="宋体" w:hAnsi="宋体" w:cs="宋体"/>
          <w:bCs/>
          <w:color w:val="auto"/>
          <w:sz w:val="22"/>
          <w:szCs w:val="22"/>
          <w:u w:val="single"/>
        </w:rPr>
        <w:t>（中型企业、小型企业、微型企业）</w:t>
      </w:r>
      <w:r>
        <w:rPr>
          <w:rFonts w:hint="eastAsia" w:ascii="宋体" w:hAnsi="宋体" w:cs="宋体"/>
          <w:bCs/>
          <w:color w:val="auto"/>
          <w:sz w:val="22"/>
          <w:szCs w:val="22"/>
        </w:rPr>
        <w:t>；</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 xml:space="preserve">2. </w:t>
      </w:r>
      <w:r>
        <w:rPr>
          <w:rFonts w:hint="eastAsia" w:ascii="宋体" w:hAnsi="宋体" w:cs="宋体"/>
          <w:bCs/>
          <w:color w:val="auto"/>
          <w:sz w:val="22"/>
          <w:szCs w:val="22"/>
          <w:u w:val="single"/>
        </w:rPr>
        <w:t xml:space="preserve">（标的名称） </w:t>
      </w:r>
      <w:r>
        <w:rPr>
          <w:rFonts w:hint="eastAsia" w:ascii="宋体" w:hAnsi="宋体" w:cs="宋体"/>
          <w:bCs/>
          <w:color w:val="auto"/>
          <w:sz w:val="22"/>
          <w:szCs w:val="22"/>
        </w:rPr>
        <w:t>，属于</w:t>
      </w:r>
      <w:r>
        <w:rPr>
          <w:rFonts w:hint="eastAsia" w:ascii="宋体" w:hAnsi="宋体" w:cs="宋体"/>
          <w:bCs/>
          <w:color w:val="auto"/>
          <w:sz w:val="22"/>
          <w:szCs w:val="22"/>
          <w:u w:val="single"/>
        </w:rPr>
        <w:t xml:space="preserve"> （采购文件中明确的所属行业）</w:t>
      </w:r>
      <w:r>
        <w:rPr>
          <w:rFonts w:hint="eastAsia" w:ascii="宋体" w:hAnsi="宋体" w:cs="宋体"/>
          <w:bCs/>
          <w:color w:val="auto"/>
          <w:sz w:val="22"/>
          <w:szCs w:val="22"/>
        </w:rPr>
        <w:t>行业 ；承建（承接）企业为</w:t>
      </w:r>
      <w:r>
        <w:rPr>
          <w:rFonts w:hint="eastAsia" w:ascii="宋体" w:hAnsi="宋体" w:cs="宋体"/>
          <w:bCs/>
          <w:color w:val="auto"/>
          <w:sz w:val="22"/>
          <w:szCs w:val="22"/>
          <w:u w:val="single"/>
        </w:rPr>
        <w:t xml:space="preserve">（企业名称） </w:t>
      </w:r>
      <w:r>
        <w:rPr>
          <w:rFonts w:hint="eastAsia" w:ascii="宋体" w:hAnsi="宋体" w:cs="宋体"/>
          <w:bCs/>
          <w:color w:val="auto"/>
          <w:sz w:val="22"/>
          <w:szCs w:val="22"/>
        </w:rPr>
        <w:t>，从业人员人，营业收入为万元，资产总额为万元，属于 （中型企业、小型企业、微型企业） ；</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以上企业，不属于大企业的分支机构，不存在控股股东为大企业的情形，也不存在与大企业的负责人为同一人的情形。</w:t>
      </w:r>
    </w:p>
    <w:p>
      <w:pPr>
        <w:widowControl/>
        <w:tabs>
          <w:tab w:val="left" w:pos="312"/>
        </w:tabs>
        <w:spacing w:line="500" w:lineRule="atLeast"/>
        <w:ind w:firstLine="440" w:firstLineChars="200"/>
        <w:jc w:val="left"/>
        <w:rPr>
          <w:rFonts w:ascii="宋体" w:hAnsi="宋体" w:cs="宋体"/>
          <w:bCs/>
          <w:color w:val="auto"/>
          <w:sz w:val="22"/>
          <w:szCs w:val="22"/>
        </w:rPr>
      </w:pPr>
      <w:r>
        <w:rPr>
          <w:rFonts w:hint="eastAsia" w:ascii="宋体" w:hAnsi="宋体" w:cs="宋体"/>
          <w:bCs/>
          <w:color w:val="auto"/>
          <w:sz w:val="22"/>
          <w:szCs w:val="22"/>
        </w:rPr>
        <w:t>本企业对上述声明内容的真实性负责。如有虚假，将依法承担相应责任。</w:t>
      </w:r>
    </w:p>
    <w:p>
      <w:pPr>
        <w:widowControl/>
        <w:spacing w:line="500" w:lineRule="atLeast"/>
        <w:ind w:firstLine="5669" w:firstLineChars="2577"/>
        <w:jc w:val="left"/>
        <w:rPr>
          <w:rFonts w:ascii="宋体" w:hAnsi="宋体" w:cs="宋体"/>
          <w:bCs/>
          <w:color w:val="auto"/>
          <w:sz w:val="22"/>
          <w:szCs w:val="22"/>
        </w:rPr>
      </w:pPr>
      <w:r>
        <w:rPr>
          <w:rFonts w:hint="eastAsia" w:ascii="宋体" w:hAnsi="宋体" w:cs="宋体"/>
          <w:bCs/>
          <w:color w:val="auto"/>
          <w:sz w:val="22"/>
          <w:szCs w:val="22"/>
        </w:rPr>
        <w:t>企业名称（盖章）：</w:t>
      </w:r>
    </w:p>
    <w:p>
      <w:pPr>
        <w:widowControl/>
        <w:spacing w:line="500" w:lineRule="atLeast"/>
        <w:ind w:firstLine="5669" w:firstLineChars="2577"/>
        <w:jc w:val="left"/>
        <w:rPr>
          <w:rFonts w:ascii="宋体" w:hAnsi="宋体" w:cs="宋体"/>
          <w:bCs/>
          <w:color w:val="auto"/>
          <w:sz w:val="22"/>
          <w:szCs w:val="22"/>
        </w:rPr>
      </w:pPr>
      <w:r>
        <w:rPr>
          <w:rFonts w:hint="eastAsia" w:ascii="宋体" w:hAnsi="宋体" w:cs="宋体"/>
          <w:bCs/>
          <w:color w:val="auto"/>
          <w:sz w:val="22"/>
          <w:szCs w:val="22"/>
        </w:rPr>
        <w:t>日 期：</w:t>
      </w:r>
    </w:p>
    <w:p>
      <w:pPr>
        <w:widowControl/>
        <w:tabs>
          <w:tab w:val="left" w:pos="312"/>
        </w:tabs>
        <w:spacing w:before="100" w:beforeAutospacing="1" w:after="100" w:afterAutospacing="1" w:line="440" w:lineRule="atLeast"/>
        <w:jc w:val="left"/>
        <w:rPr>
          <w:rFonts w:ascii="宋体" w:hAnsi="宋体" w:cs="宋体"/>
          <w:bCs/>
          <w:color w:val="auto"/>
          <w:sz w:val="18"/>
          <w:szCs w:val="18"/>
        </w:rPr>
      </w:pPr>
    </w:p>
    <w:p>
      <w:pPr>
        <w:widowControl/>
        <w:tabs>
          <w:tab w:val="left" w:pos="312"/>
        </w:tabs>
        <w:spacing w:before="100" w:beforeAutospacing="1" w:after="100" w:afterAutospacing="1" w:line="440" w:lineRule="atLeast"/>
        <w:jc w:val="left"/>
        <w:rPr>
          <w:rFonts w:ascii="宋体" w:hAnsi="宋体" w:cs="宋体"/>
          <w:bCs/>
          <w:color w:val="auto"/>
          <w:sz w:val="18"/>
          <w:szCs w:val="18"/>
        </w:rPr>
      </w:pPr>
    </w:p>
    <w:p>
      <w:pPr>
        <w:widowControl/>
        <w:tabs>
          <w:tab w:val="left" w:pos="312"/>
        </w:tabs>
        <w:spacing w:before="100" w:beforeAutospacing="1" w:after="100" w:afterAutospacing="1" w:line="440" w:lineRule="atLeast"/>
        <w:jc w:val="left"/>
        <w:rPr>
          <w:rFonts w:ascii="宋体" w:hAnsi="宋体" w:cs="宋体"/>
          <w:bCs/>
          <w:color w:val="auto"/>
          <w:sz w:val="18"/>
          <w:szCs w:val="18"/>
        </w:rPr>
      </w:pPr>
    </w:p>
    <w:p>
      <w:pPr>
        <w:widowControl/>
        <w:tabs>
          <w:tab w:val="left" w:pos="312"/>
        </w:tabs>
        <w:spacing w:before="100" w:beforeAutospacing="1" w:after="100" w:afterAutospacing="1" w:line="440" w:lineRule="atLeast"/>
        <w:jc w:val="left"/>
        <w:rPr>
          <w:rFonts w:ascii="宋体" w:hAnsi="宋体" w:cs="宋体"/>
          <w:bCs/>
          <w:color w:val="auto"/>
          <w:sz w:val="18"/>
          <w:szCs w:val="18"/>
        </w:rPr>
      </w:pPr>
    </w:p>
    <w:p>
      <w:pPr>
        <w:widowControl/>
        <w:spacing w:before="100" w:beforeAutospacing="1" w:after="100" w:afterAutospacing="1" w:line="440" w:lineRule="atLeast"/>
        <w:jc w:val="left"/>
        <w:rPr>
          <w:rFonts w:ascii="宋体" w:hAnsi="宋体" w:cs="宋体"/>
          <w:b/>
          <w:color w:val="auto"/>
          <w:sz w:val="24"/>
        </w:rPr>
      </w:pPr>
      <w:r>
        <w:rPr>
          <w:rFonts w:hint="eastAsia" w:ascii="宋体" w:hAnsi="宋体" w:cs="宋体"/>
          <w:bCs/>
          <w:color w:val="auto"/>
          <w:sz w:val="18"/>
          <w:szCs w:val="18"/>
        </w:rPr>
        <w:t>注1.从业人员、营业收入、资产总额填报上一年度数据，无上一年度数据的新成立企业可不填报。</w:t>
      </w:r>
    </w:p>
    <w:p>
      <w:pPr>
        <w:widowControl/>
        <w:spacing w:before="100" w:beforeAutospacing="1" w:after="100" w:afterAutospacing="1" w:line="440" w:lineRule="atLeast"/>
        <w:jc w:val="left"/>
        <w:rPr>
          <w:rFonts w:ascii="宋体" w:hAnsi="宋体" w:cs="宋体"/>
          <w:b/>
          <w:color w:val="auto"/>
          <w:sz w:val="24"/>
        </w:rPr>
      </w:pPr>
      <w:r>
        <w:rPr>
          <w:rFonts w:hint="eastAsia" w:ascii="宋体" w:hAnsi="宋体" w:cs="宋体"/>
          <w:b/>
          <w:color w:val="auto"/>
          <w:sz w:val="24"/>
        </w:rPr>
        <w:br w:type="page"/>
      </w:r>
      <w:r>
        <w:rPr>
          <w:rFonts w:hint="eastAsia" w:ascii="宋体" w:hAnsi="宋体" w:cs="宋体"/>
          <w:b/>
          <w:color w:val="auto"/>
          <w:sz w:val="24"/>
        </w:rPr>
        <w:t>附件2</w:t>
      </w:r>
    </w:p>
    <w:p>
      <w:pPr>
        <w:widowControl/>
        <w:spacing w:before="100" w:beforeAutospacing="1" w:after="100" w:afterAutospacing="1" w:line="440" w:lineRule="atLeast"/>
        <w:jc w:val="center"/>
        <w:rPr>
          <w:rFonts w:ascii="宋体" w:hAnsi="宋体" w:cs="宋体"/>
          <w:b/>
          <w:bCs/>
          <w:color w:val="auto"/>
          <w:sz w:val="24"/>
        </w:rPr>
      </w:pPr>
      <w:bookmarkStart w:id="73" w:name="OLE_LINK13"/>
      <w:bookmarkStart w:id="74" w:name="OLE_LINK14"/>
      <w:r>
        <w:rPr>
          <w:rFonts w:hint="eastAsia" w:ascii="宋体" w:hAnsi="宋体" w:cs="宋体"/>
          <w:b/>
          <w:bCs/>
          <w:color w:val="auto"/>
          <w:sz w:val="24"/>
        </w:rPr>
        <w:t>残疾人福利性单位声明函</w:t>
      </w:r>
    </w:p>
    <w:bookmarkEnd w:id="73"/>
    <w:bookmarkEnd w:id="74"/>
    <w:p>
      <w:pPr>
        <w:spacing w:line="588" w:lineRule="exact"/>
        <w:rPr>
          <w:rFonts w:ascii="宋体" w:hAnsi="宋体" w:cs="宋体"/>
          <w:b/>
          <w:color w:val="auto"/>
          <w:spacing w:val="6"/>
          <w:sz w:val="30"/>
          <w:szCs w:val="30"/>
        </w:rPr>
      </w:pPr>
    </w:p>
    <w:p>
      <w:pPr>
        <w:spacing w:line="588" w:lineRule="exact"/>
        <w:ind w:firstLine="464" w:firstLineChars="200"/>
        <w:rPr>
          <w:rFonts w:ascii="宋体" w:hAnsi="宋体" w:cs="宋体"/>
          <w:color w:val="auto"/>
          <w:spacing w:val="6"/>
          <w:sz w:val="22"/>
          <w:szCs w:val="22"/>
        </w:rPr>
      </w:pPr>
      <w:r>
        <w:rPr>
          <w:rFonts w:hint="eastAsia" w:ascii="宋体" w:hAnsi="宋体" w:cs="宋体"/>
          <w:color w:val="auto"/>
          <w:spacing w:val="6"/>
          <w:sz w:val="22"/>
          <w:szCs w:val="22"/>
        </w:rPr>
        <w:t>本单位郑重声明，根据《财政部 民政部 中国残疾人联合会关于促进残疾人就业政府采购政策的通知》（财库</w:t>
      </w:r>
      <w:r>
        <w:rPr>
          <w:rFonts w:hint="eastAsia" w:ascii="宋体" w:hAnsi="宋体" w:cs="宋体"/>
          <w:color w:val="auto"/>
          <w:sz w:val="22"/>
          <w:szCs w:val="22"/>
        </w:rPr>
        <w:t>〔2017〕 141</w:t>
      </w:r>
      <w:r>
        <w:rPr>
          <w:rFonts w:hint="eastAsia" w:ascii="宋体" w:hAnsi="宋体" w:cs="宋体"/>
          <w:color w:val="auto"/>
          <w:spacing w:val="6"/>
          <w:sz w:val="22"/>
          <w:szCs w:val="22"/>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ascii="宋体" w:hAnsi="宋体" w:cs="宋体"/>
          <w:color w:val="auto"/>
          <w:spacing w:val="6"/>
          <w:sz w:val="22"/>
          <w:szCs w:val="22"/>
        </w:rPr>
      </w:pPr>
      <w:r>
        <w:rPr>
          <w:rFonts w:hint="eastAsia" w:ascii="宋体" w:hAnsi="宋体" w:cs="宋体"/>
          <w:color w:val="auto"/>
          <w:spacing w:val="6"/>
          <w:sz w:val="22"/>
          <w:szCs w:val="22"/>
        </w:rPr>
        <w:t>本单位对上述声明的真实性负责。如有虚假，将依法承担相应责任。</w:t>
      </w:r>
    </w:p>
    <w:p>
      <w:pPr>
        <w:spacing w:line="588" w:lineRule="exact"/>
        <w:ind w:firstLine="464" w:firstLineChars="200"/>
        <w:rPr>
          <w:rFonts w:ascii="宋体" w:hAnsi="宋体" w:cs="宋体"/>
          <w:color w:val="auto"/>
          <w:spacing w:val="6"/>
          <w:sz w:val="22"/>
          <w:szCs w:val="22"/>
        </w:rPr>
      </w:pPr>
    </w:p>
    <w:p>
      <w:pPr>
        <w:tabs>
          <w:tab w:val="left" w:pos="4860"/>
        </w:tabs>
        <w:spacing w:line="588" w:lineRule="exact"/>
        <w:ind w:right="1560" w:firstLine="464" w:firstLineChars="200"/>
        <w:rPr>
          <w:rFonts w:ascii="宋体" w:hAnsi="宋体" w:cs="宋体"/>
          <w:color w:val="auto"/>
          <w:spacing w:val="6"/>
          <w:sz w:val="22"/>
          <w:szCs w:val="22"/>
        </w:rPr>
      </w:pPr>
    </w:p>
    <w:p>
      <w:pPr>
        <w:tabs>
          <w:tab w:val="left" w:pos="4860"/>
        </w:tabs>
        <w:spacing w:line="588" w:lineRule="exact"/>
        <w:ind w:right="1560" w:firstLine="464" w:firstLineChars="200"/>
        <w:rPr>
          <w:rFonts w:ascii="宋体" w:hAnsi="宋体" w:cs="宋体"/>
          <w:color w:val="auto"/>
          <w:spacing w:val="6"/>
          <w:sz w:val="22"/>
          <w:szCs w:val="22"/>
        </w:rPr>
      </w:pPr>
      <w:r>
        <w:rPr>
          <w:rFonts w:hint="eastAsia" w:ascii="宋体" w:hAnsi="宋体" w:cs="宋体"/>
          <w:color w:val="auto"/>
          <w:spacing w:val="6"/>
          <w:sz w:val="22"/>
          <w:szCs w:val="22"/>
        </w:rPr>
        <w:t>投标人全称（盖章）：</w:t>
      </w:r>
    </w:p>
    <w:p>
      <w:pPr>
        <w:tabs>
          <w:tab w:val="left" w:pos="4860"/>
        </w:tabs>
        <w:spacing w:line="588" w:lineRule="exact"/>
        <w:ind w:right="1560" w:firstLine="464" w:firstLineChars="200"/>
        <w:rPr>
          <w:rFonts w:ascii="宋体" w:hAnsi="宋体" w:cs="宋体"/>
          <w:color w:val="auto"/>
          <w:spacing w:val="6"/>
          <w:sz w:val="22"/>
          <w:szCs w:val="22"/>
        </w:rPr>
      </w:pPr>
      <w:r>
        <w:rPr>
          <w:rFonts w:hint="eastAsia" w:ascii="宋体" w:hAnsi="宋体" w:cs="宋体"/>
          <w:color w:val="auto"/>
          <w:spacing w:val="6"/>
          <w:sz w:val="22"/>
          <w:szCs w:val="22"/>
        </w:rPr>
        <w:t>日  期：</w:t>
      </w:r>
    </w:p>
    <w:p>
      <w:pPr>
        <w:tabs>
          <w:tab w:val="left" w:pos="4860"/>
        </w:tabs>
        <w:spacing w:line="588" w:lineRule="exact"/>
        <w:ind w:right="1560" w:firstLine="464" w:firstLineChars="200"/>
        <w:jc w:val="center"/>
        <w:rPr>
          <w:rFonts w:ascii="宋体" w:hAnsi="宋体" w:cs="宋体"/>
          <w:color w:val="auto"/>
          <w:spacing w:val="6"/>
          <w:sz w:val="22"/>
          <w:szCs w:val="22"/>
        </w:rPr>
      </w:pPr>
    </w:p>
    <w:p>
      <w:pPr>
        <w:tabs>
          <w:tab w:val="left" w:pos="4860"/>
        </w:tabs>
        <w:spacing w:line="588" w:lineRule="exact"/>
        <w:ind w:right="1560" w:firstLine="464" w:firstLineChars="200"/>
        <w:jc w:val="center"/>
        <w:rPr>
          <w:rFonts w:ascii="宋体" w:hAnsi="宋体" w:cs="宋体"/>
          <w:color w:val="auto"/>
          <w:spacing w:val="6"/>
          <w:sz w:val="22"/>
          <w:szCs w:val="22"/>
        </w:rPr>
      </w:pPr>
    </w:p>
    <w:p>
      <w:pPr>
        <w:tabs>
          <w:tab w:val="left" w:pos="4860"/>
        </w:tabs>
        <w:spacing w:line="588" w:lineRule="exact"/>
        <w:ind w:right="1560"/>
        <w:jc w:val="left"/>
        <w:rPr>
          <w:rFonts w:ascii="宋体" w:hAnsi="宋体" w:cs="宋体"/>
          <w:b/>
          <w:color w:val="auto"/>
          <w:sz w:val="22"/>
          <w:szCs w:val="22"/>
        </w:rPr>
      </w:pPr>
      <w:r>
        <w:rPr>
          <w:rFonts w:hint="eastAsia" w:ascii="宋体" w:hAnsi="宋体" w:cs="宋体"/>
          <w:b/>
          <w:color w:val="auto"/>
          <w:sz w:val="22"/>
          <w:szCs w:val="22"/>
        </w:rPr>
        <w:t>备注说明：</w:t>
      </w:r>
    </w:p>
    <w:p>
      <w:pPr>
        <w:numPr>
          <w:ilvl w:val="2"/>
          <w:numId w:val="25"/>
        </w:numPr>
        <w:tabs>
          <w:tab w:val="left" w:pos="0"/>
        </w:tabs>
        <w:spacing w:line="588" w:lineRule="exact"/>
        <w:ind w:left="0" w:right="114" w:firstLine="0"/>
        <w:jc w:val="left"/>
        <w:rPr>
          <w:rFonts w:ascii="宋体" w:hAnsi="宋体" w:cs="宋体"/>
          <w:color w:val="auto"/>
          <w:sz w:val="22"/>
          <w:szCs w:val="22"/>
        </w:rPr>
      </w:pPr>
      <w:r>
        <w:rPr>
          <w:rFonts w:hint="eastAsia" w:ascii="宋体" w:hAnsi="宋体" w:cs="宋体"/>
          <w:color w:val="auto"/>
          <w:sz w:val="22"/>
          <w:szCs w:val="22"/>
        </w:rPr>
        <w:t>如中标，将在中标公示中将此残疾人福利性单位声明函予以公示，接受社会监督。</w:t>
      </w:r>
    </w:p>
    <w:p>
      <w:pPr>
        <w:numPr>
          <w:ilvl w:val="2"/>
          <w:numId w:val="25"/>
        </w:numPr>
        <w:tabs>
          <w:tab w:val="left" w:pos="0"/>
        </w:tabs>
        <w:spacing w:line="588" w:lineRule="exact"/>
        <w:ind w:left="0" w:right="114" w:firstLine="0"/>
        <w:jc w:val="left"/>
        <w:rPr>
          <w:rFonts w:ascii="宋体" w:hAnsi="宋体" w:cs="宋体"/>
          <w:color w:val="auto"/>
          <w:sz w:val="22"/>
          <w:szCs w:val="22"/>
        </w:rPr>
      </w:pPr>
      <w:r>
        <w:rPr>
          <w:rFonts w:hint="eastAsia" w:ascii="宋体" w:hAnsi="宋体" w:cs="宋体"/>
          <w:color w:val="auto"/>
          <w:sz w:val="22"/>
          <w:szCs w:val="22"/>
        </w:rPr>
        <w:t>投标人提供的《残疾人福利性单位声明函》与事实不符的，依照《政府采购法》第七十七条第一款的规定追究法律责任。</w:t>
      </w:r>
    </w:p>
    <w:p>
      <w:pPr>
        <w:rPr>
          <w:color w:val="auto"/>
        </w:rPr>
      </w:pPr>
    </w:p>
    <w:p>
      <w:pPr>
        <w:pStyle w:val="55"/>
        <w:rPr>
          <w:rFonts w:ascii="宋体" w:hAnsi="宋体" w:cs="宋体"/>
          <w:color w:val="auto"/>
          <w:sz w:val="22"/>
          <w:szCs w:val="22"/>
        </w:rPr>
      </w:pPr>
    </w:p>
    <w:p>
      <w:pPr>
        <w:tabs>
          <w:tab w:val="left" w:pos="0"/>
        </w:tabs>
        <w:spacing w:line="588" w:lineRule="exact"/>
        <w:ind w:right="114"/>
        <w:jc w:val="left"/>
        <w:rPr>
          <w:rFonts w:ascii="宋体" w:hAnsi="宋体" w:cs="宋体"/>
          <w:color w:val="auto"/>
          <w:sz w:val="22"/>
          <w:szCs w:val="22"/>
        </w:rPr>
      </w:pPr>
    </w:p>
    <w:p>
      <w:pPr>
        <w:pStyle w:val="55"/>
        <w:rPr>
          <w:rFonts w:ascii="宋体" w:hAnsi="宋体" w:cs="宋体"/>
          <w:color w:val="auto"/>
          <w:kern w:val="2"/>
          <w:sz w:val="36"/>
          <w:szCs w:val="36"/>
        </w:rPr>
      </w:pPr>
      <w:r>
        <w:rPr>
          <w:rFonts w:hint="eastAsia" w:ascii="宋体" w:hAnsi="宋体" w:cs="宋体"/>
          <w:color w:val="auto"/>
          <w:sz w:val="22"/>
          <w:szCs w:val="22"/>
        </w:rPr>
        <w:br w:type="page"/>
      </w:r>
      <w:bookmarkStart w:id="75" w:name="_Toc9491"/>
      <w:bookmarkStart w:id="76" w:name="_Toc58406691"/>
      <w:r>
        <w:rPr>
          <w:rFonts w:hint="eastAsia" w:ascii="宋体" w:hAnsi="宋体" w:cs="宋体"/>
          <w:color w:val="auto"/>
          <w:kern w:val="2"/>
          <w:sz w:val="36"/>
          <w:szCs w:val="36"/>
        </w:rPr>
        <w:t>第三部分   合同条款及格式</w:t>
      </w:r>
      <w:bookmarkEnd w:id="75"/>
      <w:bookmarkEnd w:id="76"/>
    </w:p>
    <w:p>
      <w:pPr>
        <w:rPr>
          <w:rFonts w:ascii="宋体" w:hAnsi="宋体" w:cs="宋体"/>
          <w:color w:val="auto"/>
        </w:rPr>
      </w:pPr>
    </w:p>
    <w:p>
      <w:pPr>
        <w:spacing w:line="400" w:lineRule="exact"/>
        <w:ind w:firstLine="440" w:firstLineChars="200"/>
        <w:rPr>
          <w:rFonts w:ascii="宋体" w:hAnsi="宋体" w:cs="宋体"/>
          <w:color w:val="auto"/>
          <w:kern w:val="0"/>
          <w:sz w:val="22"/>
          <w:szCs w:val="22"/>
          <w:lang w:val="zh-CN"/>
        </w:rPr>
      </w:pPr>
      <w:bookmarkStart w:id="77" w:name="_Toc296602498"/>
      <w:bookmarkStart w:id="78" w:name="_Toc222114883"/>
      <w:bookmarkStart w:id="79" w:name="_Toc241404206"/>
      <w:bookmarkStart w:id="80" w:name="_Toc221356955"/>
      <w:bookmarkStart w:id="81" w:name="_Toc152045610"/>
      <w:bookmarkStart w:id="82" w:name="_Toc221356891"/>
      <w:bookmarkStart w:id="83" w:name="_Toc265529387"/>
      <w:bookmarkStart w:id="84" w:name="_Toc246996996"/>
      <w:bookmarkStart w:id="85" w:name="_Toc221423623"/>
      <w:bookmarkStart w:id="86" w:name="_Toc144974578"/>
      <w:bookmarkStart w:id="87" w:name="_Toc239145358"/>
      <w:bookmarkStart w:id="88" w:name="_Toc247085768"/>
      <w:bookmarkStart w:id="89" w:name="_Toc223716002"/>
      <w:bookmarkStart w:id="90" w:name="_Toc221374630"/>
      <w:bookmarkStart w:id="91" w:name="_Toc152042388"/>
      <w:bookmarkStart w:id="92" w:name="_Toc246996253"/>
      <w:bookmarkStart w:id="93" w:name="_Toc179632628"/>
      <w:r>
        <w:rPr>
          <w:rFonts w:hint="eastAsia" w:ascii="新宋体" w:hAnsi="新宋体" w:eastAsia="新宋体" w:cs="新宋体"/>
          <w:color w:val="auto"/>
          <w:sz w:val="22"/>
          <w:szCs w:val="22"/>
        </w:rPr>
        <w:t>说明：如甲、乙双方同意，合同格式也可以按照其他形式。但合同主要条款的相关内容应与本章节要求的内容相符。</w:t>
      </w:r>
      <w:r>
        <w:rPr>
          <w:rFonts w:hint="eastAsia" w:ascii="宋体" w:hAnsi="宋体" w:cs="宋体"/>
          <w:color w:val="auto"/>
          <w:kern w:val="0"/>
          <w:sz w:val="22"/>
          <w:szCs w:val="22"/>
          <w:lang w:val="zh-CN"/>
        </w:rPr>
        <w:t>本合同作为示范文本，具体以成交人与采购人所签定正式合同为准。</w:t>
      </w:r>
    </w:p>
    <w:p>
      <w:pPr>
        <w:pStyle w:val="77"/>
        <w:ind w:firstLine="210"/>
        <w:rPr>
          <w:color w:val="auto"/>
        </w:rPr>
      </w:pPr>
    </w:p>
    <w:p>
      <w:pPr>
        <w:spacing w:before="120" w:beforeLines="50" w:after="120" w:afterLines="50" w:line="500" w:lineRule="exact"/>
        <w:jc w:val="center"/>
        <w:rPr>
          <w:b/>
          <w:color w:val="auto"/>
          <w:sz w:val="36"/>
          <w:szCs w:val="36"/>
        </w:rPr>
      </w:pPr>
    </w:p>
    <w:p>
      <w:pPr>
        <w:spacing w:before="120" w:beforeLines="50" w:after="120" w:afterLines="50" w:line="500" w:lineRule="exact"/>
        <w:jc w:val="center"/>
        <w:rPr>
          <w:b/>
          <w:color w:val="auto"/>
          <w:sz w:val="36"/>
          <w:szCs w:val="36"/>
        </w:rPr>
      </w:pPr>
    </w:p>
    <w:p>
      <w:pPr>
        <w:spacing w:before="120" w:beforeLines="50" w:after="120" w:afterLines="50" w:line="500" w:lineRule="exact"/>
        <w:jc w:val="center"/>
        <w:rPr>
          <w:b/>
          <w:color w:val="auto"/>
          <w:sz w:val="36"/>
          <w:szCs w:val="36"/>
        </w:rPr>
      </w:pPr>
    </w:p>
    <w:p>
      <w:pPr>
        <w:spacing w:before="120" w:beforeLines="50" w:after="120" w:afterLines="50" w:line="500" w:lineRule="exact"/>
        <w:jc w:val="center"/>
        <w:rPr>
          <w:b/>
          <w:color w:val="auto"/>
          <w:sz w:val="36"/>
          <w:szCs w:val="36"/>
        </w:rPr>
      </w:pPr>
      <w:r>
        <w:rPr>
          <w:rFonts w:hint="eastAsia"/>
          <w:b/>
          <w:color w:val="auto"/>
          <w:sz w:val="36"/>
          <w:szCs w:val="36"/>
        </w:rPr>
        <w:t>交通基础设施硬件运维项目合同</w:t>
      </w:r>
    </w:p>
    <w:p>
      <w:pPr>
        <w:autoSpaceDE w:val="0"/>
        <w:autoSpaceDN w:val="0"/>
        <w:spacing w:line="440" w:lineRule="exact"/>
        <w:jc w:val="center"/>
        <w:textAlignment w:val="bottom"/>
        <w:rPr>
          <w:rFonts w:ascii="宋体" w:hAnsi="宋体" w:cs="Arial"/>
          <w:color w:val="auto"/>
          <w:sz w:val="22"/>
          <w:szCs w:val="22"/>
        </w:rPr>
      </w:pPr>
    </w:p>
    <w:p>
      <w:pPr>
        <w:autoSpaceDE w:val="0"/>
        <w:autoSpaceDN w:val="0"/>
        <w:spacing w:line="440" w:lineRule="exact"/>
        <w:jc w:val="center"/>
        <w:textAlignment w:val="bottom"/>
        <w:rPr>
          <w:rFonts w:ascii="宋体" w:hAnsi="宋体" w:cs="Arial"/>
          <w:color w:val="auto"/>
          <w:sz w:val="22"/>
          <w:szCs w:val="22"/>
        </w:rPr>
      </w:pPr>
    </w:p>
    <w:p>
      <w:pPr>
        <w:autoSpaceDE w:val="0"/>
        <w:autoSpaceDN w:val="0"/>
        <w:spacing w:line="440" w:lineRule="exact"/>
        <w:textAlignment w:val="bottom"/>
        <w:rPr>
          <w:rFonts w:ascii="宋体" w:hAnsi="宋体" w:cs="Arial"/>
          <w:color w:val="auto"/>
          <w:sz w:val="22"/>
          <w:szCs w:val="22"/>
          <w:u w:val="single"/>
        </w:rPr>
      </w:pP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项目名称：</w:t>
      </w:r>
    </w:p>
    <w:p>
      <w:pPr>
        <w:autoSpaceDE w:val="0"/>
        <w:autoSpaceDN w:val="0"/>
        <w:spacing w:line="440" w:lineRule="exact"/>
        <w:textAlignment w:val="bottom"/>
        <w:rPr>
          <w:rFonts w:ascii="宋体" w:hAnsi="宋体" w:cs="Arial"/>
          <w:color w:val="auto"/>
          <w:sz w:val="22"/>
          <w:szCs w:val="22"/>
          <w:u w:val="single"/>
        </w:rPr>
      </w:pPr>
    </w:p>
    <w:p>
      <w:pPr>
        <w:autoSpaceDE w:val="0"/>
        <w:autoSpaceDN w:val="0"/>
        <w:spacing w:line="440" w:lineRule="exact"/>
        <w:ind w:firstLine="1650" w:firstLineChars="750"/>
        <w:textAlignment w:val="bottom"/>
        <w:rPr>
          <w:rFonts w:ascii="宋体" w:hAnsi="宋体" w:cs="Arial"/>
          <w:color w:val="auto"/>
          <w:sz w:val="22"/>
          <w:szCs w:val="22"/>
          <w:u w:val="single"/>
        </w:rPr>
      </w:pPr>
      <w:r>
        <w:rPr>
          <w:rFonts w:ascii="宋体" w:hAnsi="宋体" w:cs="Arial"/>
          <w:color w:val="auto"/>
          <w:sz w:val="22"/>
          <w:szCs w:val="22"/>
        </w:rPr>
        <w:t>项目编号</w:t>
      </w:r>
      <w:r>
        <w:rPr>
          <w:rFonts w:hint="eastAsia" w:ascii="宋体" w:hAnsi="宋体" w:cs="Arial"/>
          <w:color w:val="auto"/>
          <w:sz w:val="22"/>
          <w:szCs w:val="22"/>
        </w:rPr>
        <w:t>：</w:t>
      </w:r>
    </w:p>
    <w:p>
      <w:pPr>
        <w:autoSpaceDE w:val="0"/>
        <w:autoSpaceDN w:val="0"/>
        <w:spacing w:line="440" w:lineRule="exact"/>
        <w:textAlignment w:val="bottom"/>
        <w:rPr>
          <w:rFonts w:ascii="宋体" w:hAnsi="宋体" w:cs="Arial"/>
          <w:color w:val="auto"/>
          <w:sz w:val="22"/>
          <w:szCs w:val="22"/>
          <w:u w:val="single"/>
        </w:rPr>
      </w:pPr>
    </w:p>
    <w:p>
      <w:pPr>
        <w:autoSpaceDE w:val="0"/>
        <w:autoSpaceDN w:val="0"/>
        <w:spacing w:line="440" w:lineRule="exact"/>
        <w:textAlignment w:val="bottom"/>
        <w:rPr>
          <w:rFonts w:ascii="宋体" w:hAnsi="宋体" w:cs="Arial"/>
          <w:color w:val="auto"/>
          <w:sz w:val="22"/>
          <w:szCs w:val="22"/>
        </w:rPr>
      </w:pP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合同编号：</w:t>
      </w:r>
    </w:p>
    <w:p>
      <w:pPr>
        <w:autoSpaceDE w:val="0"/>
        <w:autoSpaceDN w:val="0"/>
        <w:spacing w:line="440" w:lineRule="exact"/>
        <w:textAlignment w:val="bottom"/>
        <w:rPr>
          <w:rFonts w:ascii="宋体" w:hAnsi="宋体" w:cs="Arial"/>
          <w:color w:val="auto"/>
          <w:sz w:val="22"/>
          <w:szCs w:val="22"/>
        </w:rPr>
      </w:pPr>
    </w:p>
    <w:p>
      <w:pPr>
        <w:autoSpaceDE w:val="0"/>
        <w:autoSpaceDN w:val="0"/>
        <w:spacing w:line="440" w:lineRule="exact"/>
        <w:textAlignment w:val="bottom"/>
        <w:rPr>
          <w:rFonts w:ascii="宋体" w:hAnsi="宋体" w:cs="Arial"/>
          <w:color w:val="auto"/>
          <w:sz w:val="22"/>
          <w:szCs w:val="22"/>
        </w:rPr>
      </w:pPr>
    </w:p>
    <w:p>
      <w:pPr>
        <w:autoSpaceDE w:val="0"/>
        <w:autoSpaceDN w:val="0"/>
        <w:spacing w:line="440" w:lineRule="exact"/>
        <w:textAlignment w:val="bottom"/>
        <w:rPr>
          <w:rFonts w:ascii="宋体" w:hAnsi="宋体" w:cs="Arial"/>
          <w:color w:val="auto"/>
          <w:sz w:val="22"/>
          <w:szCs w:val="22"/>
        </w:rPr>
      </w:pPr>
    </w:p>
    <w:p>
      <w:pPr>
        <w:autoSpaceDE w:val="0"/>
        <w:autoSpaceDN w:val="0"/>
        <w:spacing w:line="440" w:lineRule="exact"/>
        <w:textAlignment w:val="bottom"/>
        <w:rPr>
          <w:rFonts w:ascii="宋体" w:hAnsi="宋体" w:cs="Arial"/>
          <w:color w:val="auto"/>
          <w:sz w:val="22"/>
          <w:szCs w:val="22"/>
        </w:rPr>
      </w:pPr>
    </w:p>
    <w:p>
      <w:pPr>
        <w:autoSpaceDE w:val="0"/>
        <w:autoSpaceDN w:val="0"/>
        <w:spacing w:line="440" w:lineRule="exact"/>
        <w:textAlignment w:val="bottom"/>
        <w:rPr>
          <w:rFonts w:ascii="宋体" w:hAnsi="宋体" w:cs="Arial"/>
          <w:color w:val="auto"/>
          <w:sz w:val="22"/>
          <w:szCs w:val="22"/>
          <w:u w:val="single"/>
        </w:rPr>
      </w:pP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甲    方：</w:t>
      </w:r>
    </w:p>
    <w:p>
      <w:pPr>
        <w:autoSpaceDE w:val="0"/>
        <w:autoSpaceDN w:val="0"/>
        <w:spacing w:line="440" w:lineRule="exact"/>
        <w:textAlignment w:val="bottom"/>
        <w:rPr>
          <w:rFonts w:ascii="宋体" w:hAnsi="宋体" w:cs="Arial"/>
          <w:color w:val="auto"/>
          <w:sz w:val="22"/>
          <w:szCs w:val="22"/>
        </w:rPr>
      </w:pP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乙    方：</w:t>
      </w:r>
    </w:p>
    <w:p>
      <w:pPr>
        <w:spacing w:line="440" w:lineRule="exact"/>
        <w:rPr>
          <w:rFonts w:ascii="宋体" w:hAnsi="宋体" w:cs="Arial"/>
          <w:color w:val="auto"/>
          <w:sz w:val="22"/>
          <w:szCs w:val="22"/>
          <w:u w:val="single"/>
        </w:rPr>
      </w:pP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ab/>
      </w:r>
      <w:r>
        <w:rPr>
          <w:rFonts w:hint="eastAsia" w:ascii="宋体" w:hAnsi="宋体" w:cs="Arial"/>
          <w:color w:val="auto"/>
          <w:sz w:val="22"/>
          <w:szCs w:val="22"/>
        </w:rPr>
        <w:t>签署日期：</w:t>
      </w:r>
    </w:p>
    <w:p>
      <w:pPr>
        <w:tabs>
          <w:tab w:val="left" w:pos="720"/>
        </w:tabs>
        <w:spacing w:line="360" w:lineRule="auto"/>
        <w:jc w:val="center"/>
        <w:rPr>
          <w:rFonts w:ascii="宋体" w:hAnsi="宋体" w:cs="宋体"/>
          <w:b/>
          <w:color w:val="auto"/>
          <w:sz w:val="72"/>
          <w:szCs w:val="72"/>
        </w:rPr>
      </w:pPr>
    </w:p>
    <w:p>
      <w:pPr>
        <w:tabs>
          <w:tab w:val="left" w:pos="720"/>
        </w:tabs>
        <w:spacing w:line="360" w:lineRule="auto"/>
        <w:jc w:val="center"/>
        <w:rPr>
          <w:rFonts w:ascii="宋体" w:hAnsi="宋体" w:cs="宋体"/>
          <w:b/>
          <w:color w:val="auto"/>
          <w:sz w:val="72"/>
          <w:szCs w:val="72"/>
        </w:rPr>
      </w:pPr>
    </w:p>
    <w:p>
      <w:pPr>
        <w:pStyle w:val="2"/>
      </w:pPr>
    </w:p>
    <w:p>
      <w:pPr>
        <w:pStyle w:val="23"/>
        <w:rPr>
          <w:color w:val="auto"/>
        </w:rPr>
      </w:pPr>
    </w:p>
    <w:p>
      <w:pPr>
        <w:widowControl/>
        <w:spacing w:line="440" w:lineRule="exact"/>
        <w:ind w:right="-874" w:rightChars="-416"/>
        <w:jc w:val="left"/>
        <w:rPr>
          <w:rFonts w:ascii="新宋体" w:hAnsi="新宋体" w:eastAsia="新宋体"/>
          <w:b/>
          <w:bCs/>
          <w:color w:val="auto"/>
          <w:kern w:val="0"/>
          <w:sz w:val="22"/>
          <w:szCs w:val="22"/>
        </w:rPr>
      </w:pPr>
      <w:r>
        <w:rPr>
          <w:rFonts w:hint="eastAsia" w:ascii="新宋体" w:hAnsi="新宋体" w:eastAsia="新宋体"/>
          <w:b/>
          <w:bCs/>
          <w:color w:val="auto"/>
          <w:kern w:val="0"/>
          <w:sz w:val="22"/>
          <w:szCs w:val="22"/>
        </w:rPr>
        <w:t>甲方(采购单位)：</w:t>
      </w:r>
    </w:p>
    <w:p>
      <w:pPr>
        <w:snapToGrid w:val="0"/>
        <w:spacing w:line="440" w:lineRule="exact"/>
        <w:rPr>
          <w:rFonts w:ascii="新宋体" w:hAnsi="新宋体" w:eastAsia="新宋体"/>
          <w:color w:val="auto"/>
          <w:sz w:val="22"/>
          <w:szCs w:val="22"/>
        </w:rPr>
      </w:pPr>
      <w:r>
        <w:rPr>
          <w:rFonts w:hint="eastAsia" w:ascii="新宋体" w:hAnsi="新宋体" w:eastAsia="新宋体"/>
          <w:b/>
          <w:bCs/>
          <w:color w:val="auto"/>
          <w:kern w:val="0"/>
          <w:sz w:val="22"/>
          <w:szCs w:val="22"/>
        </w:rPr>
        <w:t>乙方(中标供应商)：</w:t>
      </w:r>
    </w:p>
    <w:p>
      <w:pPr>
        <w:autoSpaceDE w:val="0"/>
        <w:autoSpaceDN w:val="0"/>
        <w:ind w:firstLine="440" w:firstLineChars="200"/>
        <w:rPr>
          <w:rFonts w:ascii="新宋体" w:hAnsi="新宋体" w:eastAsia="新宋体" w:cs="新宋体"/>
          <w:color w:val="auto"/>
          <w:sz w:val="22"/>
          <w:szCs w:val="22"/>
        </w:rPr>
      </w:pPr>
    </w:p>
    <w:p>
      <w:pPr>
        <w:autoSpaceDE w:val="0"/>
        <w:autoSpaceDN w:val="0"/>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甲、乙双方根据《中华人民共和国民法典》等法律、法规的规定,在平等自愿、互惠互利的前提下，经双方友好协商，现就</w:t>
      </w:r>
      <w:r>
        <w:rPr>
          <w:rFonts w:hint="eastAsia" w:ascii="新宋体" w:hAnsi="新宋体" w:eastAsia="新宋体" w:cs="新宋体"/>
          <w:color w:val="auto"/>
          <w:spacing w:val="6"/>
          <w:sz w:val="22"/>
          <w:szCs w:val="22"/>
        </w:rPr>
        <w:t>交通基础设施硬件运维</w:t>
      </w:r>
      <w:r>
        <w:rPr>
          <w:rFonts w:hint="eastAsia" w:ascii="新宋体" w:hAnsi="新宋体" w:eastAsia="新宋体" w:cs="新宋体"/>
          <w:color w:val="auto"/>
          <w:sz w:val="22"/>
          <w:szCs w:val="22"/>
        </w:rPr>
        <w:t>服务事宜达成一致，签订本合同并共同遵守。</w:t>
      </w:r>
    </w:p>
    <w:p>
      <w:pPr>
        <w:spacing w:line="440" w:lineRule="exact"/>
        <w:outlineLvl w:val="1"/>
        <w:rPr>
          <w:rFonts w:ascii="新宋体" w:hAnsi="新宋体" w:eastAsia="新宋体" w:cs="新宋体"/>
          <w:b/>
          <w:color w:val="auto"/>
          <w:sz w:val="22"/>
          <w:szCs w:val="22"/>
        </w:rPr>
      </w:pPr>
      <w:bookmarkStart w:id="94" w:name="_Toc32213"/>
      <w:r>
        <w:rPr>
          <w:rFonts w:hint="eastAsia" w:ascii="新宋体" w:hAnsi="新宋体" w:eastAsia="新宋体" w:cs="新宋体"/>
          <w:b/>
          <w:color w:val="auto"/>
          <w:sz w:val="22"/>
          <w:szCs w:val="22"/>
        </w:rPr>
        <w:t>一、合同概况</w:t>
      </w:r>
      <w:bookmarkEnd w:id="94"/>
    </w:p>
    <w:p>
      <w:pPr>
        <w:numPr>
          <w:ilvl w:val="0"/>
          <w:numId w:val="26"/>
        </w:numPr>
        <w:spacing w:line="440" w:lineRule="exact"/>
        <w:ind w:firstLine="466" w:firstLineChars="200"/>
        <w:rPr>
          <w:rFonts w:ascii="新宋体" w:hAnsi="新宋体" w:eastAsia="新宋体" w:cs="新宋体"/>
          <w:b/>
          <w:bCs/>
          <w:color w:val="auto"/>
          <w:spacing w:val="6"/>
          <w:sz w:val="22"/>
          <w:szCs w:val="22"/>
        </w:rPr>
      </w:pPr>
      <w:r>
        <w:rPr>
          <w:rFonts w:hint="eastAsia" w:ascii="新宋体" w:hAnsi="新宋体" w:eastAsia="新宋体" w:cs="新宋体"/>
          <w:b/>
          <w:bCs/>
          <w:color w:val="auto"/>
          <w:spacing w:val="6"/>
          <w:sz w:val="22"/>
          <w:szCs w:val="22"/>
        </w:rPr>
        <w:t>局中心机房维保</w:t>
      </w:r>
    </w:p>
    <w:p>
      <w:pPr>
        <w:spacing w:line="440" w:lineRule="exact"/>
        <w:ind w:firstLine="42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①基础环境、主机和数据库运维；②安全及应急响应服务；③重保值守服务；④资产与漏洞全生命周期管理服务；⑤全职人员驻场服务。</w:t>
      </w:r>
    </w:p>
    <w:p>
      <w:pPr>
        <w:numPr>
          <w:ilvl w:val="0"/>
          <w:numId w:val="26"/>
        </w:numPr>
        <w:spacing w:line="440" w:lineRule="exact"/>
        <w:ind w:firstLine="466" w:firstLineChars="200"/>
        <w:rPr>
          <w:rFonts w:ascii="新宋体" w:hAnsi="新宋体" w:eastAsia="新宋体" w:cs="新宋体"/>
          <w:b/>
          <w:bCs/>
          <w:color w:val="auto"/>
          <w:spacing w:val="6"/>
          <w:sz w:val="22"/>
          <w:szCs w:val="22"/>
        </w:rPr>
      </w:pPr>
      <w:r>
        <w:rPr>
          <w:rFonts w:hint="eastAsia" w:ascii="新宋体" w:hAnsi="新宋体" w:eastAsia="新宋体" w:cs="新宋体"/>
          <w:b/>
          <w:bCs/>
          <w:color w:val="auto"/>
          <w:spacing w:val="6"/>
          <w:sz w:val="22"/>
          <w:szCs w:val="22"/>
        </w:rPr>
        <w:t>外场监控部分运维</w:t>
      </w:r>
    </w:p>
    <w:p>
      <w:pPr>
        <w:spacing w:line="440" w:lineRule="exact"/>
        <w:ind w:firstLine="420"/>
        <w:rPr>
          <w:rFonts w:ascii="新宋体" w:hAnsi="新宋体" w:eastAsia="新宋体" w:cs="新宋体"/>
          <w:color w:val="auto"/>
          <w:sz w:val="22"/>
          <w:szCs w:val="22"/>
        </w:rPr>
      </w:pPr>
      <w:r>
        <w:rPr>
          <w:rFonts w:hint="eastAsia" w:ascii="新宋体" w:hAnsi="新宋体" w:eastAsia="新宋体" w:cs="新宋体"/>
          <w:color w:val="auto"/>
          <w:sz w:val="22"/>
          <w:szCs w:val="22"/>
        </w:rPr>
        <w:t>交通基础设施硬件运维项目外场监控部分是由市交通视频整合平台运维、市普通国省道桥隧机电设施安保工程和智慧公路应急指挥与信息服务系统（含智慧公路1-3期项目内硬件设备）等三部分组成的，主要是对视频平台的运维及前端监控点位的运维。</w:t>
      </w:r>
    </w:p>
    <w:p>
      <w:pPr>
        <w:spacing w:line="440" w:lineRule="exact"/>
        <w:ind w:firstLine="42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合同总价：</w:t>
      </w:r>
      <w:r>
        <w:rPr>
          <w:rFonts w:hint="eastAsia" w:ascii="新宋体" w:hAnsi="新宋体" w:eastAsia="新宋体" w:cs="新宋体"/>
          <w:color w:val="auto"/>
          <w:spacing w:val="6"/>
          <w:sz w:val="22"/>
          <w:szCs w:val="22"/>
          <w:u w:val="single"/>
        </w:rPr>
        <w:t xml:space="preserve">￥       </w:t>
      </w:r>
      <w:r>
        <w:rPr>
          <w:rFonts w:hint="eastAsia" w:ascii="新宋体" w:hAnsi="新宋体" w:eastAsia="新宋体" w:cs="新宋体"/>
          <w:color w:val="auto"/>
          <w:spacing w:val="6"/>
          <w:sz w:val="22"/>
          <w:szCs w:val="22"/>
        </w:rPr>
        <w:t>元（大写：人民币</w:t>
      </w:r>
      <w:r>
        <w:rPr>
          <w:rFonts w:hint="eastAsia" w:ascii="新宋体" w:hAnsi="新宋体" w:eastAsia="新宋体" w:cs="新宋体"/>
          <w:color w:val="auto"/>
          <w:spacing w:val="6"/>
          <w:sz w:val="22"/>
          <w:szCs w:val="22"/>
          <w:u w:val="single"/>
        </w:rPr>
        <w:t xml:space="preserve">                 </w:t>
      </w:r>
      <w:r>
        <w:rPr>
          <w:rFonts w:hint="eastAsia" w:ascii="新宋体" w:hAnsi="新宋体" w:eastAsia="新宋体" w:cs="新宋体"/>
          <w:color w:val="auto"/>
          <w:spacing w:val="6"/>
          <w:sz w:val="22"/>
          <w:szCs w:val="22"/>
        </w:rPr>
        <w:t>元整）。</w:t>
      </w:r>
    </w:p>
    <w:p>
      <w:pPr>
        <w:spacing w:line="440" w:lineRule="exact"/>
        <w:ind w:firstLine="42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项目期限：2024年1月1日起至2024年12月31日止。</w:t>
      </w:r>
    </w:p>
    <w:p>
      <w:pPr>
        <w:spacing w:line="440" w:lineRule="exact"/>
        <w:ind w:firstLine="420"/>
        <w:rPr>
          <w:rFonts w:ascii="新宋体" w:hAnsi="新宋体" w:eastAsia="新宋体" w:cs="新宋体"/>
          <w:color w:val="auto"/>
          <w:sz w:val="22"/>
          <w:szCs w:val="22"/>
        </w:rPr>
      </w:pPr>
      <w:r>
        <w:rPr>
          <w:rFonts w:hint="eastAsia" w:ascii="新宋体" w:hAnsi="新宋体" w:eastAsia="新宋体" w:cs="新宋体"/>
          <w:color w:val="auto"/>
          <w:sz w:val="22"/>
          <w:szCs w:val="22"/>
        </w:rPr>
        <w:t>由于上一年度项目截止后，财政预算未下达，自2024年1月1日至乙方接手时止这段时间的运维费用由乙方支付（该运维费用金额=（该时间月数/12）*2024年中标运维金额）</w:t>
      </w:r>
    </w:p>
    <w:p>
      <w:pPr>
        <w:numPr>
          <w:ilvl w:val="0"/>
          <w:numId w:val="27"/>
        </w:numPr>
        <w:spacing w:line="440" w:lineRule="exact"/>
        <w:outlineLvl w:val="1"/>
        <w:rPr>
          <w:rFonts w:ascii="新宋体" w:hAnsi="新宋体" w:eastAsia="新宋体" w:cs="新宋体"/>
          <w:b/>
          <w:color w:val="auto"/>
          <w:sz w:val="22"/>
          <w:szCs w:val="22"/>
        </w:rPr>
      </w:pPr>
      <w:r>
        <w:rPr>
          <w:rFonts w:hint="eastAsia" w:ascii="新宋体" w:hAnsi="新宋体" w:eastAsia="新宋体" w:cs="新宋体"/>
          <w:b/>
          <w:color w:val="auto"/>
          <w:sz w:val="22"/>
          <w:szCs w:val="22"/>
        </w:rPr>
        <w:t>服务规范</w:t>
      </w:r>
    </w:p>
    <w:p>
      <w:pPr>
        <w:adjustRightInd w:val="0"/>
        <w:spacing w:line="440" w:lineRule="exact"/>
        <w:ind w:firstLine="440" w:firstLineChars="200"/>
        <w:rPr>
          <w:rFonts w:ascii="新宋体" w:hAnsi="新宋体" w:eastAsia="新宋体" w:cs="新宋体"/>
          <w:bCs/>
          <w:color w:val="auto"/>
          <w:kern w:val="0"/>
          <w:sz w:val="22"/>
          <w:szCs w:val="22"/>
          <w:lang w:bidi="ar"/>
        </w:rPr>
      </w:pPr>
      <w:r>
        <w:rPr>
          <w:rFonts w:hint="eastAsia" w:ascii="新宋体" w:hAnsi="新宋体" w:eastAsia="新宋体" w:cs="新宋体"/>
          <w:bCs/>
          <w:color w:val="auto"/>
          <w:kern w:val="0"/>
          <w:sz w:val="22"/>
          <w:szCs w:val="22"/>
          <w:lang w:bidi="ar"/>
        </w:rPr>
        <w:t>以甲方项目采购文件及乙方投标文件两者取高标准约定如下：</w:t>
      </w:r>
    </w:p>
    <w:p>
      <w:pPr>
        <w:adjustRightInd w:val="0"/>
        <w:spacing w:line="440" w:lineRule="exact"/>
        <w:ind w:firstLine="440" w:firstLineChars="200"/>
        <w:rPr>
          <w:rFonts w:ascii="新宋体" w:hAnsi="新宋体" w:eastAsia="新宋体" w:cs="新宋体"/>
          <w:bCs/>
          <w:color w:val="auto"/>
          <w:kern w:val="0"/>
          <w:sz w:val="22"/>
          <w:szCs w:val="22"/>
          <w:lang w:bidi="ar"/>
        </w:rPr>
      </w:pPr>
      <w:r>
        <w:rPr>
          <w:rFonts w:hint="eastAsia" w:ascii="新宋体" w:hAnsi="新宋体" w:eastAsia="新宋体" w:cs="新宋体"/>
          <w:bCs/>
          <w:color w:val="auto"/>
          <w:kern w:val="0"/>
          <w:sz w:val="22"/>
          <w:szCs w:val="22"/>
          <w:u w:val="single"/>
          <w:lang w:bidi="ar"/>
        </w:rPr>
        <w:t xml:space="preserve">                                                                                。</w:t>
      </w:r>
    </w:p>
    <w:p>
      <w:pPr>
        <w:adjustRightInd w:val="0"/>
        <w:spacing w:line="440" w:lineRule="exact"/>
        <w:rPr>
          <w:rFonts w:ascii="新宋体" w:hAnsi="新宋体" w:eastAsia="新宋体" w:cs="新宋体"/>
          <w:b/>
          <w:color w:val="auto"/>
          <w:kern w:val="0"/>
          <w:sz w:val="22"/>
          <w:szCs w:val="22"/>
          <w:lang w:bidi="ar"/>
        </w:rPr>
      </w:pPr>
      <w:bookmarkStart w:id="95" w:name="_Toc16881"/>
      <w:r>
        <w:rPr>
          <w:rFonts w:hint="eastAsia" w:ascii="新宋体" w:hAnsi="新宋体" w:eastAsia="新宋体" w:cs="新宋体"/>
          <w:b/>
          <w:color w:val="auto"/>
          <w:kern w:val="0"/>
          <w:sz w:val="22"/>
          <w:szCs w:val="22"/>
          <w:lang w:bidi="ar"/>
        </w:rPr>
        <w:t>三、款项支付</w:t>
      </w:r>
      <w:bookmarkEnd w:id="95"/>
    </w:p>
    <w:p>
      <w:pPr>
        <w:adjustRightInd w:val="0"/>
        <w:spacing w:line="440" w:lineRule="exact"/>
        <w:ind w:firstLine="440" w:firstLineChars="200"/>
        <w:rPr>
          <w:rFonts w:ascii="新宋体" w:hAnsi="新宋体" w:eastAsia="新宋体" w:cs="新宋体"/>
          <w:bCs/>
          <w:color w:val="auto"/>
          <w:kern w:val="0"/>
          <w:sz w:val="22"/>
          <w:szCs w:val="22"/>
          <w:lang w:bidi="ar"/>
        </w:rPr>
      </w:pPr>
      <w:r>
        <w:rPr>
          <w:rFonts w:hint="eastAsia" w:ascii="新宋体" w:hAnsi="新宋体" w:eastAsia="新宋体" w:cs="新宋体"/>
          <w:bCs/>
          <w:color w:val="auto"/>
          <w:kern w:val="0"/>
          <w:sz w:val="22"/>
          <w:szCs w:val="22"/>
          <w:lang w:bidi="ar"/>
        </w:rPr>
        <w:t>1.合同签订7个工作日内，甲方向乙方支付合同总额50%（乙方需出具相应金额的发票），即首付款￥</w:t>
      </w:r>
      <w:r>
        <w:rPr>
          <w:rFonts w:hint="eastAsia" w:ascii="新宋体" w:hAnsi="新宋体" w:eastAsia="新宋体" w:cs="新宋体"/>
          <w:bCs/>
          <w:color w:val="auto"/>
          <w:kern w:val="0"/>
          <w:sz w:val="22"/>
          <w:szCs w:val="22"/>
          <w:u w:val="single"/>
          <w:lang w:bidi="ar"/>
        </w:rPr>
        <w:t xml:space="preserve">        </w:t>
      </w:r>
      <w:r>
        <w:rPr>
          <w:rFonts w:hint="eastAsia" w:ascii="新宋体" w:hAnsi="新宋体" w:eastAsia="新宋体" w:cs="新宋体"/>
          <w:bCs/>
          <w:color w:val="auto"/>
          <w:kern w:val="0"/>
          <w:sz w:val="22"/>
          <w:szCs w:val="22"/>
          <w:lang w:bidi="ar"/>
        </w:rPr>
        <w:t>元（大写：人民币</w:t>
      </w:r>
      <w:r>
        <w:rPr>
          <w:rFonts w:hint="eastAsia" w:ascii="新宋体" w:hAnsi="新宋体" w:eastAsia="新宋体" w:cs="新宋体"/>
          <w:bCs/>
          <w:color w:val="auto"/>
          <w:kern w:val="0"/>
          <w:sz w:val="22"/>
          <w:szCs w:val="22"/>
          <w:u w:val="single"/>
          <w:lang w:bidi="ar"/>
        </w:rPr>
        <w:t xml:space="preserve">                    </w:t>
      </w:r>
      <w:r>
        <w:rPr>
          <w:rFonts w:hint="eastAsia" w:ascii="新宋体" w:hAnsi="新宋体" w:eastAsia="新宋体" w:cs="新宋体"/>
          <w:bCs/>
          <w:color w:val="auto"/>
          <w:kern w:val="0"/>
          <w:sz w:val="22"/>
          <w:szCs w:val="22"/>
          <w:lang w:bidi="ar"/>
        </w:rPr>
        <w:t>元整）；</w:t>
      </w:r>
    </w:p>
    <w:p>
      <w:pPr>
        <w:adjustRightInd w:val="0"/>
        <w:spacing w:line="440" w:lineRule="exact"/>
        <w:ind w:firstLine="440" w:firstLineChars="200"/>
        <w:rPr>
          <w:rFonts w:ascii="新宋体" w:hAnsi="新宋体" w:eastAsia="新宋体" w:cs="新宋体"/>
          <w:bCs/>
          <w:color w:val="auto"/>
          <w:kern w:val="0"/>
          <w:sz w:val="22"/>
          <w:szCs w:val="22"/>
          <w:lang w:bidi="ar"/>
        </w:rPr>
      </w:pPr>
      <w:r>
        <w:rPr>
          <w:rFonts w:hint="eastAsia" w:ascii="新宋体" w:hAnsi="新宋体" w:eastAsia="新宋体" w:cs="新宋体"/>
          <w:bCs/>
          <w:color w:val="auto"/>
          <w:kern w:val="0"/>
          <w:sz w:val="22"/>
          <w:szCs w:val="22"/>
          <w:lang w:bidi="ar"/>
        </w:rPr>
        <w:t>2.本项目服务至</w:t>
      </w:r>
      <w:r>
        <w:rPr>
          <w:rFonts w:ascii="新宋体" w:hAnsi="新宋体" w:eastAsia="新宋体" w:cs="新宋体"/>
          <w:bCs/>
          <w:color w:val="auto"/>
          <w:kern w:val="0"/>
          <w:sz w:val="22"/>
          <w:szCs w:val="22"/>
          <w:lang w:bidi="ar"/>
        </w:rPr>
        <w:t>2024年6月30日后</w:t>
      </w:r>
      <w:r>
        <w:rPr>
          <w:rFonts w:hint="eastAsia" w:ascii="新宋体" w:hAnsi="新宋体" w:eastAsia="新宋体" w:cs="新宋体"/>
          <w:bCs/>
          <w:color w:val="auto"/>
          <w:kern w:val="0"/>
          <w:sz w:val="22"/>
          <w:szCs w:val="22"/>
          <w:lang w:bidi="ar"/>
        </w:rPr>
        <w:t>，甲方向乙方支付合同总额40%（乙方需出具相应金额的发票），即￥</w:t>
      </w:r>
      <w:r>
        <w:rPr>
          <w:rFonts w:hint="eastAsia" w:ascii="新宋体" w:hAnsi="新宋体" w:eastAsia="新宋体" w:cs="新宋体"/>
          <w:bCs/>
          <w:color w:val="auto"/>
          <w:kern w:val="0"/>
          <w:sz w:val="22"/>
          <w:szCs w:val="22"/>
          <w:u w:val="single"/>
          <w:lang w:bidi="ar"/>
        </w:rPr>
        <w:t xml:space="preserve">         </w:t>
      </w:r>
      <w:r>
        <w:rPr>
          <w:rFonts w:hint="eastAsia" w:ascii="新宋体" w:hAnsi="新宋体" w:eastAsia="新宋体" w:cs="新宋体"/>
          <w:bCs/>
          <w:color w:val="auto"/>
          <w:kern w:val="0"/>
          <w:sz w:val="22"/>
          <w:szCs w:val="22"/>
          <w:lang w:bidi="ar"/>
        </w:rPr>
        <w:t>元（大写：人民币</w:t>
      </w:r>
      <w:r>
        <w:rPr>
          <w:rFonts w:hint="eastAsia" w:ascii="新宋体" w:hAnsi="新宋体" w:eastAsia="新宋体" w:cs="新宋体"/>
          <w:bCs/>
          <w:color w:val="auto"/>
          <w:kern w:val="0"/>
          <w:sz w:val="22"/>
          <w:szCs w:val="22"/>
          <w:u w:val="single"/>
          <w:lang w:bidi="ar"/>
        </w:rPr>
        <w:t xml:space="preserve">                    </w:t>
      </w:r>
      <w:r>
        <w:rPr>
          <w:rFonts w:hint="eastAsia" w:ascii="新宋体" w:hAnsi="新宋体" w:eastAsia="新宋体" w:cs="新宋体"/>
          <w:bCs/>
          <w:color w:val="auto"/>
          <w:kern w:val="0"/>
          <w:sz w:val="22"/>
          <w:szCs w:val="22"/>
          <w:lang w:bidi="ar"/>
        </w:rPr>
        <w:t>元整）；</w:t>
      </w:r>
    </w:p>
    <w:p>
      <w:pPr>
        <w:adjustRightInd w:val="0"/>
        <w:spacing w:line="440" w:lineRule="exact"/>
        <w:ind w:firstLine="440" w:firstLineChars="200"/>
        <w:rPr>
          <w:rFonts w:ascii="新宋体" w:hAnsi="新宋体" w:eastAsia="新宋体" w:cs="新宋体"/>
          <w:bCs/>
          <w:color w:val="auto"/>
          <w:kern w:val="0"/>
          <w:sz w:val="22"/>
          <w:szCs w:val="22"/>
          <w:lang w:bidi="ar"/>
        </w:rPr>
      </w:pPr>
      <w:r>
        <w:rPr>
          <w:rFonts w:hint="eastAsia" w:ascii="新宋体" w:hAnsi="新宋体" w:eastAsia="新宋体" w:cs="新宋体"/>
          <w:bCs/>
          <w:color w:val="auto"/>
          <w:kern w:val="0"/>
          <w:sz w:val="22"/>
          <w:szCs w:val="22"/>
          <w:lang w:bidi="ar"/>
        </w:rPr>
        <w:t>3.本项目服务至2024年11月1日后，甲方向乙方支付合同总额10%（乙方需出具相应金额的发票），即尾款￥</w:t>
      </w:r>
      <w:r>
        <w:rPr>
          <w:rFonts w:hint="eastAsia" w:ascii="新宋体" w:hAnsi="新宋体" w:eastAsia="新宋体" w:cs="新宋体"/>
          <w:bCs/>
          <w:color w:val="auto"/>
          <w:kern w:val="0"/>
          <w:sz w:val="22"/>
          <w:szCs w:val="22"/>
          <w:u w:val="single"/>
          <w:lang w:bidi="ar"/>
        </w:rPr>
        <w:t xml:space="preserve">         </w:t>
      </w:r>
      <w:r>
        <w:rPr>
          <w:rFonts w:hint="eastAsia" w:ascii="新宋体" w:hAnsi="新宋体" w:eastAsia="新宋体" w:cs="新宋体"/>
          <w:bCs/>
          <w:color w:val="auto"/>
          <w:kern w:val="0"/>
          <w:sz w:val="22"/>
          <w:szCs w:val="22"/>
          <w:lang w:bidi="ar"/>
        </w:rPr>
        <w:t>元（大写：人民币</w:t>
      </w:r>
      <w:r>
        <w:rPr>
          <w:rFonts w:hint="eastAsia" w:ascii="新宋体" w:hAnsi="新宋体" w:eastAsia="新宋体" w:cs="新宋体"/>
          <w:bCs/>
          <w:color w:val="auto"/>
          <w:kern w:val="0"/>
          <w:sz w:val="22"/>
          <w:szCs w:val="22"/>
          <w:u w:val="single"/>
          <w:lang w:bidi="ar"/>
        </w:rPr>
        <w:t xml:space="preserve">                    </w:t>
      </w:r>
      <w:r>
        <w:rPr>
          <w:rFonts w:hint="eastAsia" w:ascii="新宋体" w:hAnsi="新宋体" w:eastAsia="新宋体" w:cs="新宋体"/>
          <w:bCs/>
          <w:color w:val="auto"/>
          <w:kern w:val="0"/>
          <w:sz w:val="22"/>
          <w:szCs w:val="22"/>
          <w:lang w:bidi="ar"/>
        </w:rPr>
        <w:t>元整）。</w:t>
      </w:r>
    </w:p>
    <w:p>
      <w:pPr>
        <w:adjustRightInd w:val="0"/>
        <w:spacing w:line="440" w:lineRule="exact"/>
        <w:rPr>
          <w:rFonts w:ascii="新宋体" w:hAnsi="新宋体" w:eastAsia="新宋体" w:cs="新宋体"/>
          <w:b/>
          <w:color w:val="auto"/>
          <w:kern w:val="0"/>
          <w:sz w:val="22"/>
          <w:szCs w:val="22"/>
          <w:lang w:bidi="ar"/>
        </w:rPr>
      </w:pPr>
      <w:bookmarkStart w:id="96" w:name="_Toc20110"/>
      <w:r>
        <w:rPr>
          <w:rFonts w:hint="eastAsia" w:ascii="新宋体" w:hAnsi="新宋体" w:eastAsia="新宋体" w:cs="新宋体"/>
          <w:b/>
          <w:color w:val="auto"/>
          <w:kern w:val="0"/>
          <w:sz w:val="22"/>
          <w:szCs w:val="22"/>
          <w:lang w:bidi="ar"/>
        </w:rPr>
        <w:t>四、权利和义务</w:t>
      </w:r>
      <w:bookmarkEnd w:id="96"/>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1.乙方派驻人员的就餐费用由乙方负责提供。</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2.乙方需落实机房网络安全管理和运维相关制度，如因乙方管理及运维不当出现网络安全事件，由乙方承担全部责任。</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3.乙方派驻员工实施甲方安排的维保服务产生的交通费用，由乙方负责。</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4.乙方要加强技术人员的管理与培训，并保证常驻技术人员的稳定性，未经甲方允许不得擅自更换技术人员。若甲方人发现常驻技术人员不合格，有权要求更换，乙方应在收到甲方的书面通知7个日历日内完成更换。</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5.运维及管理期间，乙方应严格按照甲方制订的操作规范和规章制度，对所管理的系统及设备进行规范操作和精心维护及必要维修，保证系统及设备的正常运行，达到甲方提出的系统及设备的考核指标要求。并接受甲方定期和不定期考核。</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6.若乙方未履行本合同以上各项所规定之职责，由此产生的一切损失，甲方有权向乙方要求相应的赔偿。</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7.甲乙双方中任何一方如有严重违约行为发生，另一方均有权以书面形式终止本合同，违约方承担由此产生的一切后果。</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8.乙方应按甲方要求提供服务。若发现服务未及时响应或工作失误造成损失和恶劣影响的，按每次扣除合同金额的1%，达到10次及以上，甲方有权提前终止服务合作，不支付服务费用。造成经济损失的，应予以赔偿。情节严重的，将予追究法律责任。</w:t>
      </w:r>
    </w:p>
    <w:p>
      <w:pPr>
        <w:spacing w:line="440" w:lineRule="exact"/>
        <w:outlineLvl w:val="1"/>
        <w:rPr>
          <w:rFonts w:ascii="新宋体" w:hAnsi="新宋体" w:eastAsia="新宋体" w:cs="新宋体"/>
          <w:b/>
          <w:color w:val="auto"/>
          <w:sz w:val="22"/>
          <w:szCs w:val="22"/>
        </w:rPr>
      </w:pPr>
      <w:bookmarkStart w:id="97" w:name="_Toc28173"/>
      <w:r>
        <w:rPr>
          <w:rFonts w:hint="eastAsia" w:ascii="新宋体" w:hAnsi="新宋体" w:eastAsia="新宋体" w:cs="新宋体"/>
          <w:b/>
          <w:color w:val="auto"/>
          <w:sz w:val="22"/>
          <w:szCs w:val="22"/>
        </w:rPr>
        <w:t>五、免责条款</w:t>
      </w:r>
      <w:bookmarkEnd w:id="97"/>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1.双方的任何一方由于不可抗力的原因不能履行合同时，应以书面形式及时向对方通报不能履行或不能完全履行的理由，并应在15个日历日内提供有关主管部门的证明。在发生不可抗力的情况下，应允许延期履行、部分履行或者不履行合同，并可以免除责任。</w:t>
      </w:r>
    </w:p>
    <w:p>
      <w:pPr>
        <w:spacing w:line="440" w:lineRule="exact"/>
        <w:ind w:firstLine="444"/>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2.本合同中，不可抗力是指不能预见、不能避免并不能克服的客观情况，包括：战争、火灾、洪水、台风、地震、大面积传播突发性传染性疾病、政策变化或其它人力不可抗拒之事件。</w:t>
      </w:r>
    </w:p>
    <w:p>
      <w:pPr>
        <w:spacing w:line="440" w:lineRule="exact"/>
        <w:outlineLvl w:val="1"/>
        <w:rPr>
          <w:rFonts w:ascii="新宋体" w:hAnsi="新宋体" w:eastAsia="新宋体" w:cs="新宋体"/>
          <w:b/>
          <w:color w:val="auto"/>
          <w:sz w:val="22"/>
          <w:szCs w:val="22"/>
        </w:rPr>
      </w:pPr>
      <w:bookmarkStart w:id="98" w:name="_Toc2686"/>
      <w:r>
        <w:rPr>
          <w:rFonts w:hint="eastAsia" w:ascii="新宋体" w:hAnsi="新宋体" w:eastAsia="新宋体" w:cs="新宋体"/>
          <w:b/>
          <w:color w:val="auto"/>
          <w:sz w:val="22"/>
          <w:szCs w:val="22"/>
        </w:rPr>
        <w:t>六、不可抗力</w:t>
      </w:r>
      <w:bookmarkEnd w:id="98"/>
    </w:p>
    <w:p>
      <w:pPr>
        <w:spacing w:line="440" w:lineRule="exact"/>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如果双方中任何一方由于战争、严重火灾、水灾、破坏性台风和地震以及其它经双方同意属不可抗力的事故，致使合同履行受阻时，履行合同期限应予延长，延长时限应相当于事故所影响的时间，或双方协商解决。</w:t>
      </w:r>
    </w:p>
    <w:p>
      <w:pPr>
        <w:pStyle w:val="2"/>
        <w:numPr>
          <w:ilvl w:val="0"/>
          <w:numId w:val="28"/>
        </w:numPr>
        <w:spacing w:line="440" w:lineRule="exact"/>
        <w:rPr>
          <w:rFonts w:ascii="新宋体" w:hAnsi="新宋体" w:eastAsia="新宋体" w:cs="新宋体"/>
          <w:b/>
          <w:color w:val="auto"/>
          <w:kern w:val="2"/>
          <w:sz w:val="22"/>
          <w:lang w:val="en-US"/>
        </w:rPr>
      </w:pPr>
      <w:r>
        <w:rPr>
          <w:rFonts w:hint="eastAsia" w:ascii="新宋体" w:hAnsi="新宋体" w:eastAsia="新宋体" w:cs="新宋体"/>
          <w:b/>
          <w:color w:val="auto"/>
          <w:kern w:val="2"/>
          <w:sz w:val="22"/>
          <w:lang w:val="en-US"/>
        </w:rPr>
        <w:t>争议的解决</w:t>
      </w:r>
    </w:p>
    <w:p>
      <w:pPr>
        <w:spacing w:line="440" w:lineRule="exact"/>
        <w:ind w:firstLine="464" w:firstLineChars="200"/>
        <w:rPr>
          <w:rFonts w:ascii="新宋体" w:hAnsi="新宋体" w:eastAsia="新宋体" w:cs="新宋体"/>
          <w:color w:val="auto"/>
          <w:spacing w:val="6"/>
          <w:sz w:val="22"/>
          <w:szCs w:val="22"/>
        </w:rPr>
      </w:pPr>
      <w:r>
        <w:rPr>
          <w:rFonts w:hint="eastAsia" w:ascii="新宋体" w:hAnsi="新宋体" w:eastAsia="新宋体" w:cs="新宋体"/>
          <w:color w:val="auto"/>
          <w:spacing w:val="6"/>
          <w:sz w:val="22"/>
          <w:szCs w:val="22"/>
        </w:rPr>
        <w:t>合同未尽事宜，应双方友好协调解决。如通过协商还不能解决的，可向甲方所在地温州市人民法院起诉。在诉讼期间，除正在进行诉讼的部分外，本合同其他部分应继续履行。</w:t>
      </w:r>
    </w:p>
    <w:p>
      <w:pPr>
        <w:pStyle w:val="2"/>
        <w:numPr>
          <w:ilvl w:val="0"/>
          <w:numId w:val="28"/>
        </w:numPr>
        <w:spacing w:line="440" w:lineRule="exact"/>
        <w:rPr>
          <w:rFonts w:ascii="新宋体" w:hAnsi="新宋体" w:eastAsia="新宋体" w:cs="新宋体"/>
          <w:b/>
          <w:color w:val="auto"/>
          <w:kern w:val="2"/>
          <w:sz w:val="22"/>
          <w:lang w:val="en-US"/>
        </w:rPr>
      </w:pPr>
      <w:r>
        <w:rPr>
          <w:rFonts w:hint="eastAsia" w:ascii="新宋体" w:hAnsi="新宋体" w:eastAsia="新宋体" w:cs="新宋体"/>
          <w:b/>
          <w:color w:val="auto"/>
          <w:kern w:val="2"/>
          <w:sz w:val="22"/>
          <w:lang w:val="en-US"/>
        </w:rPr>
        <w:t>合同生效及终止</w:t>
      </w:r>
    </w:p>
    <w:p>
      <w:pPr>
        <w:pStyle w:val="735"/>
        <w:numPr>
          <w:ilvl w:val="0"/>
          <w:numId w:val="29"/>
        </w:numPr>
        <w:tabs>
          <w:tab w:val="left" w:pos="1227"/>
        </w:tabs>
        <w:spacing w:line="440" w:lineRule="exact"/>
        <w:ind w:firstLine="660"/>
        <w:rPr>
          <w:rFonts w:ascii="新宋体" w:hAnsi="新宋体" w:eastAsia="新宋体" w:cs="新宋体"/>
          <w:color w:val="auto"/>
          <w:sz w:val="22"/>
          <w:szCs w:val="22"/>
        </w:rPr>
      </w:pPr>
      <w:r>
        <w:rPr>
          <w:rFonts w:hint="eastAsia" w:ascii="新宋体" w:hAnsi="新宋体" w:eastAsia="新宋体" w:cs="新宋体"/>
          <w:color w:val="auto"/>
          <w:sz w:val="22"/>
          <w:szCs w:val="22"/>
        </w:rPr>
        <w:t>合同生效：本合同自甲乙双方盖章之日起生效。</w:t>
      </w:r>
    </w:p>
    <w:p>
      <w:pPr>
        <w:pStyle w:val="735"/>
        <w:numPr>
          <w:ilvl w:val="0"/>
          <w:numId w:val="29"/>
        </w:numPr>
        <w:tabs>
          <w:tab w:val="left" w:pos="1227"/>
        </w:tabs>
        <w:spacing w:line="440" w:lineRule="exact"/>
        <w:ind w:firstLine="660"/>
        <w:rPr>
          <w:rFonts w:ascii="新宋体" w:hAnsi="新宋体" w:eastAsia="新宋体" w:cs="新宋体"/>
          <w:color w:val="auto"/>
          <w:sz w:val="22"/>
          <w:szCs w:val="22"/>
        </w:rPr>
      </w:pPr>
      <w:bookmarkStart w:id="99" w:name="bookmark25"/>
      <w:bookmarkEnd w:id="99"/>
      <w:r>
        <w:rPr>
          <w:rFonts w:hint="eastAsia" w:ascii="新宋体" w:hAnsi="新宋体" w:eastAsia="新宋体" w:cs="新宋体"/>
          <w:color w:val="auto"/>
          <w:sz w:val="22"/>
          <w:szCs w:val="22"/>
        </w:rPr>
        <w:t>合同终止：本合同出现以下情况时终止。</w:t>
      </w:r>
    </w:p>
    <w:p>
      <w:pPr>
        <w:pStyle w:val="735"/>
        <w:tabs>
          <w:tab w:val="left" w:pos="898"/>
        </w:tabs>
        <w:spacing w:line="440" w:lineRule="exact"/>
        <w:ind w:firstLine="540"/>
        <w:rPr>
          <w:rFonts w:ascii="新宋体" w:hAnsi="新宋体" w:eastAsia="新宋体" w:cs="新宋体"/>
          <w:color w:val="auto"/>
          <w:sz w:val="22"/>
          <w:szCs w:val="22"/>
          <w:lang w:eastAsia="zh-CN"/>
        </w:rPr>
      </w:pPr>
      <w:bookmarkStart w:id="100" w:name="bookmark26"/>
      <w:r>
        <w:rPr>
          <w:rFonts w:hint="eastAsia" w:ascii="新宋体" w:hAnsi="新宋体" w:eastAsia="新宋体" w:cs="新宋体"/>
          <w:color w:val="auto"/>
          <w:sz w:val="22"/>
          <w:szCs w:val="22"/>
        </w:rPr>
        <w:t>1</w:t>
      </w:r>
      <w:bookmarkEnd w:id="100"/>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期限届满时自行终止</w:t>
      </w:r>
      <w:r>
        <w:rPr>
          <w:rFonts w:hint="eastAsia" w:ascii="新宋体" w:hAnsi="新宋体" w:eastAsia="新宋体" w:cs="新宋体"/>
          <w:color w:val="auto"/>
          <w:sz w:val="22"/>
          <w:szCs w:val="22"/>
          <w:lang w:val="en-US" w:eastAsia="zh-CN"/>
        </w:rPr>
        <w:t>；</w:t>
      </w:r>
    </w:p>
    <w:p>
      <w:pPr>
        <w:pStyle w:val="735"/>
        <w:tabs>
          <w:tab w:val="left" w:pos="884"/>
        </w:tabs>
        <w:spacing w:line="440" w:lineRule="exact"/>
        <w:ind w:firstLine="540"/>
        <w:rPr>
          <w:rFonts w:ascii="新宋体" w:hAnsi="新宋体" w:eastAsia="新宋体" w:cs="新宋体"/>
          <w:color w:val="auto"/>
          <w:sz w:val="22"/>
          <w:szCs w:val="22"/>
          <w:lang w:eastAsia="zh-CN"/>
        </w:rPr>
      </w:pPr>
      <w:bookmarkStart w:id="101" w:name="bookmark27"/>
      <w:r>
        <w:rPr>
          <w:rFonts w:hint="eastAsia" w:ascii="新宋体" w:hAnsi="新宋体" w:eastAsia="新宋体" w:cs="新宋体"/>
          <w:color w:val="auto"/>
          <w:sz w:val="22"/>
          <w:szCs w:val="22"/>
        </w:rPr>
        <w:t>2</w:t>
      </w:r>
      <w:bookmarkEnd w:id="101"/>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乙方在签定合同15日内，未能按照投标文件的要求，甲方有权单方终止合同</w:t>
      </w:r>
      <w:r>
        <w:rPr>
          <w:rFonts w:hint="eastAsia" w:ascii="新宋体" w:hAnsi="新宋体" w:eastAsia="新宋体" w:cs="新宋体"/>
          <w:color w:val="auto"/>
          <w:sz w:val="22"/>
          <w:szCs w:val="22"/>
          <w:lang w:eastAsia="zh-CN"/>
        </w:rPr>
        <w:t>；</w:t>
      </w:r>
    </w:p>
    <w:p>
      <w:pPr>
        <w:pStyle w:val="735"/>
        <w:tabs>
          <w:tab w:val="left" w:pos="906"/>
        </w:tabs>
        <w:spacing w:line="440" w:lineRule="exact"/>
        <w:ind w:firstLine="540"/>
        <w:rPr>
          <w:rFonts w:ascii="新宋体" w:hAnsi="新宋体" w:eastAsia="新宋体" w:cs="新宋体"/>
          <w:color w:val="auto"/>
          <w:sz w:val="22"/>
          <w:szCs w:val="22"/>
          <w:lang w:eastAsia="zh-CN"/>
        </w:rPr>
      </w:pPr>
      <w:bookmarkStart w:id="102" w:name="bookmark28"/>
      <w:r>
        <w:rPr>
          <w:rFonts w:hint="eastAsia" w:ascii="新宋体" w:hAnsi="新宋体" w:eastAsia="新宋体" w:cs="新宋体"/>
          <w:color w:val="auto"/>
          <w:sz w:val="22"/>
          <w:szCs w:val="22"/>
        </w:rPr>
        <w:t>3</w:t>
      </w:r>
      <w:bookmarkEnd w:id="102"/>
      <w:r>
        <w:rPr>
          <w:rFonts w:hint="eastAsia" w:ascii="新宋体" w:hAnsi="新宋体" w:eastAsia="新宋体" w:cs="新宋体"/>
          <w:color w:val="auto"/>
          <w:sz w:val="22"/>
          <w:szCs w:val="22"/>
          <w:lang w:eastAsia="zh-CN"/>
        </w:rPr>
        <w:t>.</w:t>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有以下行为之一的：</w:t>
      </w:r>
      <w:bookmarkStart w:id="103" w:name="bookmark29"/>
      <w:bookmarkEnd w:id="103"/>
    </w:p>
    <w:p>
      <w:pPr>
        <w:pStyle w:val="735"/>
        <w:numPr>
          <w:ilvl w:val="0"/>
          <w:numId w:val="30"/>
        </w:numPr>
        <w:tabs>
          <w:tab w:val="left" w:pos="1126"/>
        </w:tabs>
        <w:spacing w:line="440" w:lineRule="exact"/>
        <w:ind w:firstLine="658"/>
        <w:rPr>
          <w:rFonts w:ascii="新宋体" w:hAnsi="新宋体" w:eastAsia="新宋体" w:cs="新宋体"/>
          <w:color w:val="auto"/>
          <w:sz w:val="22"/>
          <w:szCs w:val="22"/>
        </w:rPr>
      </w:pPr>
      <w:r>
        <w:rPr>
          <w:rFonts w:hint="eastAsia" w:ascii="新宋体" w:hAnsi="新宋体" w:eastAsia="新宋体" w:cs="新宋体"/>
          <w:color w:val="auto"/>
          <w:sz w:val="22"/>
          <w:szCs w:val="22"/>
        </w:rPr>
        <w:t>违反管理规定，造成重大伤亡或重大损失。</w:t>
      </w:r>
    </w:p>
    <w:p>
      <w:pPr>
        <w:pStyle w:val="735"/>
        <w:numPr>
          <w:ilvl w:val="0"/>
          <w:numId w:val="30"/>
        </w:numPr>
        <w:tabs>
          <w:tab w:val="left" w:pos="1126"/>
        </w:tabs>
        <w:spacing w:line="440" w:lineRule="exact"/>
        <w:ind w:firstLine="658"/>
        <w:rPr>
          <w:rFonts w:ascii="新宋体" w:hAnsi="新宋体" w:eastAsia="新宋体" w:cs="新宋体"/>
          <w:color w:val="auto"/>
          <w:sz w:val="22"/>
          <w:szCs w:val="22"/>
        </w:rPr>
      </w:pPr>
      <w:bookmarkStart w:id="104" w:name="bookmark30"/>
      <w:bookmarkEnd w:id="104"/>
      <w:r>
        <w:rPr>
          <w:rFonts w:hint="eastAsia" w:ascii="新宋体" w:hAnsi="新宋体" w:eastAsia="新宋体" w:cs="新宋体"/>
          <w:color w:val="auto"/>
          <w:sz w:val="22"/>
          <w:szCs w:val="22"/>
        </w:rPr>
        <w:t>因管理不善造成恶劣影响。</w:t>
      </w:r>
    </w:p>
    <w:p>
      <w:pPr>
        <w:pStyle w:val="735"/>
        <w:numPr>
          <w:ilvl w:val="0"/>
          <w:numId w:val="30"/>
        </w:numPr>
        <w:tabs>
          <w:tab w:val="left" w:pos="1126"/>
        </w:tabs>
        <w:spacing w:line="440" w:lineRule="exact"/>
        <w:ind w:firstLine="658"/>
        <w:rPr>
          <w:rFonts w:ascii="新宋体" w:hAnsi="新宋体" w:eastAsia="新宋体" w:cs="新宋体"/>
          <w:color w:val="auto"/>
          <w:sz w:val="22"/>
          <w:szCs w:val="22"/>
        </w:rPr>
      </w:pPr>
      <w:bookmarkStart w:id="105" w:name="bookmark31"/>
      <w:bookmarkEnd w:id="105"/>
      <w:r>
        <w:rPr>
          <w:rFonts w:hint="eastAsia" w:ascii="新宋体" w:hAnsi="新宋体" w:eastAsia="新宋体" w:cs="新宋体"/>
          <w:color w:val="auto"/>
          <w:sz w:val="22"/>
          <w:szCs w:val="22"/>
        </w:rPr>
        <w:t>擅自将合同转包给第三者。</w:t>
      </w:r>
    </w:p>
    <w:p>
      <w:pPr>
        <w:pStyle w:val="735"/>
        <w:numPr>
          <w:ilvl w:val="0"/>
          <w:numId w:val="30"/>
        </w:numPr>
        <w:tabs>
          <w:tab w:val="left" w:pos="1126"/>
        </w:tabs>
        <w:spacing w:line="440" w:lineRule="exact"/>
        <w:ind w:firstLine="658"/>
        <w:rPr>
          <w:rFonts w:ascii="新宋体" w:hAnsi="新宋体" w:eastAsia="新宋体" w:cs="新宋体"/>
          <w:b/>
          <w:color w:val="auto"/>
          <w:sz w:val="22"/>
          <w:szCs w:val="22"/>
          <w:lang w:val="en-US"/>
        </w:rPr>
      </w:pPr>
      <w:bookmarkStart w:id="106" w:name="bookmark32"/>
      <w:bookmarkEnd w:id="106"/>
      <w:r>
        <w:rPr>
          <w:rFonts w:hint="eastAsia" w:ascii="新宋体" w:hAnsi="新宋体" w:eastAsia="新宋体" w:cs="新宋体"/>
          <w:color w:val="auto"/>
          <w:sz w:val="22"/>
          <w:szCs w:val="22"/>
        </w:rPr>
        <w:t>违反劳动法或其他相关法律法规，造成恶劣影响。</w:t>
      </w:r>
      <w:bookmarkStart w:id="107" w:name="bookmark33"/>
      <w:bookmarkEnd w:id="107"/>
    </w:p>
    <w:p>
      <w:pPr>
        <w:pStyle w:val="735"/>
        <w:numPr>
          <w:ilvl w:val="0"/>
          <w:numId w:val="30"/>
        </w:numPr>
        <w:tabs>
          <w:tab w:val="left" w:pos="1126"/>
        </w:tabs>
        <w:spacing w:line="440" w:lineRule="exact"/>
        <w:ind w:firstLine="658"/>
        <w:rPr>
          <w:rFonts w:ascii="新宋体" w:hAnsi="新宋体" w:eastAsia="新宋体" w:cs="新宋体"/>
          <w:b/>
          <w:color w:val="auto"/>
          <w:sz w:val="22"/>
          <w:szCs w:val="22"/>
          <w:lang w:val="en-US"/>
        </w:rPr>
      </w:pPr>
      <w:r>
        <w:rPr>
          <w:rFonts w:hint="eastAsia" w:ascii="新宋体" w:hAnsi="新宋体" w:eastAsia="新宋体" w:cs="新宋体"/>
          <w:color w:val="auto"/>
          <w:sz w:val="22"/>
          <w:szCs w:val="22"/>
        </w:rPr>
        <w:t>《</w:t>
      </w:r>
      <w:r>
        <w:rPr>
          <w:rFonts w:hint="eastAsia" w:ascii="新宋体" w:hAnsi="新宋体" w:eastAsia="新宋体" w:cs="新宋体"/>
          <w:color w:val="auto"/>
          <w:sz w:val="22"/>
          <w:szCs w:val="22"/>
          <w:lang w:eastAsia="zh-CN"/>
        </w:rPr>
        <w:t>投标</w:t>
      </w:r>
      <w:r>
        <w:rPr>
          <w:rFonts w:hint="eastAsia" w:ascii="新宋体" w:hAnsi="新宋体" w:eastAsia="新宋体" w:cs="新宋体"/>
          <w:color w:val="auto"/>
          <w:sz w:val="22"/>
          <w:szCs w:val="22"/>
        </w:rPr>
        <w:t>文件》承诺项目未落实到位的，弄虚作假及其他不正当行为。</w:t>
      </w:r>
    </w:p>
    <w:p>
      <w:pPr>
        <w:pStyle w:val="55"/>
        <w:spacing w:before="0" w:after="0" w:line="440" w:lineRule="exact"/>
        <w:jc w:val="left"/>
        <w:rPr>
          <w:rFonts w:ascii="新宋体" w:hAnsi="新宋体" w:eastAsia="新宋体" w:cs="新宋体"/>
          <w:bCs w:val="0"/>
          <w:color w:val="auto"/>
          <w:sz w:val="22"/>
          <w:szCs w:val="22"/>
        </w:rPr>
      </w:pPr>
      <w:r>
        <w:rPr>
          <w:rFonts w:hint="eastAsia" w:ascii="新宋体" w:hAnsi="新宋体" w:eastAsia="新宋体" w:cs="新宋体"/>
          <w:bCs w:val="0"/>
          <w:color w:val="auto"/>
          <w:sz w:val="22"/>
          <w:szCs w:val="22"/>
          <w:lang w:val="en-US" w:eastAsia="zh-CN"/>
        </w:rPr>
        <w:t>九</w:t>
      </w:r>
      <w:r>
        <w:rPr>
          <w:rFonts w:hint="eastAsia" w:ascii="新宋体" w:hAnsi="新宋体" w:eastAsia="新宋体" w:cs="新宋体"/>
          <w:bCs w:val="0"/>
          <w:color w:val="auto"/>
          <w:sz w:val="22"/>
          <w:szCs w:val="22"/>
        </w:rPr>
        <w:t>、保密</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详见附件一安全保密协议。</w:t>
      </w:r>
    </w:p>
    <w:p>
      <w:pPr>
        <w:spacing w:line="440" w:lineRule="exact"/>
        <w:rPr>
          <w:rFonts w:ascii="新宋体" w:hAnsi="新宋体" w:eastAsia="新宋体" w:cs="新宋体"/>
          <w:color w:val="auto"/>
          <w:sz w:val="22"/>
          <w:szCs w:val="22"/>
        </w:rPr>
      </w:pPr>
    </w:p>
    <w:p>
      <w:pPr>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甲方（公章）：温州市交通运输局</w:t>
      </w:r>
    </w:p>
    <w:p>
      <w:pPr>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法定代表人或授权代表（签字或盖章）：              </w:t>
      </w:r>
    </w:p>
    <w:p>
      <w:pPr>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日期：        年        月       日              </w:t>
      </w:r>
    </w:p>
    <w:p>
      <w:pPr>
        <w:spacing w:line="440" w:lineRule="exact"/>
        <w:rPr>
          <w:rFonts w:ascii="新宋体" w:hAnsi="新宋体" w:eastAsia="新宋体" w:cs="新宋体"/>
          <w:color w:val="auto"/>
          <w:sz w:val="22"/>
          <w:szCs w:val="22"/>
        </w:rPr>
      </w:pPr>
    </w:p>
    <w:p>
      <w:pPr>
        <w:pStyle w:val="2"/>
        <w:spacing w:line="440" w:lineRule="exact"/>
        <w:rPr>
          <w:rFonts w:ascii="新宋体" w:hAnsi="新宋体" w:eastAsia="新宋体" w:cs="新宋体"/>
          <w:color w:val="auto"/>
          <w:sz w:val="22"/>
          <w:lang w:val="en-US"/>
        </w:rPr>
      </w:pPr>
    </w:p>
    <w:p>
      <w:pPr>
        <w:pStyle w:val="2"/>
        <w:spacing w:line="440" w:lineRule="exact"/>
        <w:rPr>
          <w:rFonts w:ascii="新宋体" w:hAnsi="新宋体" w:eastAsia="新宋体" w:cs="新宋体"/>
          <w:color w:val="auto"/>
          <w:sz w:val="22"/>
          <w:lang w:val="en-US"/>
        </w:rPr>
      </w:pPr>
    </w:p>
    <w:p>
      <w:pPr>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乙方（公章）：</w:t>
      </w:r>
    </w:p>
    <w:p>
      <w:pPr>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法定代表人或授权代表（签字或盖章）：</w:t>
      </w:r>
    </w:p>
    <w:p>
      <w:pPr>
        <w:spacing w:line="44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日期：        年        月       日</w:t>
      </w:r>
    </w:p>
    <w:p>
      <w:pPr>
        <w:spacing w:line="440" w:lineRule="exact"/>
        <w:rPr>
          <w:rFonts w:ascii="新宋体" w:hAnsi="新宋体" w:eastAsia="新宋体" w:cs="新宋体"/>
          <w:color w:val="auto"/>
          <w:sz w:val="22"/>
          <w:szCs w:val="22"/>
        </w:rPr>
      </w:pPr>
    </w:p>
    <w:p>
      <w:pPr>
        <w:spacing w:line="440" w:lineRule="exact"/>
        <w:rPr>
          <w:rFonts w:ascii="新宋体" w:hAnsi="新宋体" w:eastAsia="新宋体" w:cs="新宋体"/>
          <w:b/>
          <w:bCs/>
          <w:color w:val="auto"/>
          <w:sz w:val="22"/>
          <w:szCs w:val="22"/>
        </w:rPr>
      </w:pPr>
      <w:r>
        <w:rPr>
          <w:rFonts w:hint="eastAsia" w:ascii="新宋体" w:hAnsi="新宋体" w:eastAsia="新宋体" w:cs="新宋体"/>
          <w:color w:val="auto"/>
          <w:sz w:val="22"/>
          <w:szCs w:val="22"/>
        </w:rPr>
        <w:br w:type="page"/>
      </w:r>
      <w:r>
        <w:rPr>
          <w:rFonts w:hint="eastAsia" w:ascii="新宋体" w:hAnsi="新宋体" w:eastAsia="新宋体" w:cs="新宋体"/>
          <w:b/>
          <w:bCs/>
          <w:color w:val="auto"/>
          <w:sz w:val="22"/>
          <w:szCs w:val="22"/>
        </w:rPr>
        <w:t>附件一：安全保密协议</w:t>
      </w:r>
    </w:p>
    <w:p>
      <w:pPr>
        <w:pStyle w:val="2"/>
        <w:spacing w:line="440" w:lineRule="exact"/>
        <w:rPr>
          <w:rFonts w:ascii="新宋体" w:hAnsi="新宋体" w:eastAsia="新宋体" w:cs="新宋体"/>
          <w:b/>
          <w:bCs/>
          <w:color w:val="auto"/>
          <w:sz w:val="22"/>
          <w:lang w:val="en-US"/>
        </w:rPr>
      </w:pPr>
    </w:p>
    <w:p>
      <w:pPr>
        <w:pStyle w:val="2"/>
        <w:spacing w:line="440" w:lineRule="exact"/>
        <w:jc w:val="center"/>
        <w:rPr>
          <w:rFonts w:ascii="新宋体" w:hAnsi="新宋体" w:eastAsia="新宋体" w:cs="新宋体"/>
          <w:color w:val="auto"/>
          <w:sz w:val="22"/>
        </w:rPr>
      </w:pPr>
      <w:r>
        <w:rPr>
          <w:rFonts w:hint="eastAsia" w:ascii="新宋体" w:hAnsi="新宋体" w:eastAsia="新宋体" w:cs="新宋体"/>
          <w:color w:val="auto"/>
          <w:sz w:val="22"/>
        </w:rPr>
        <w:t>交通基础设施硬件运维项目</w:t>
      </w:r>
    </w:p>
    <w:p>
      <w:pPr>
        <w:spacing w:line="440" w:lineRule="exact"/>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安全保密协议</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甲方：温州市交通运输局</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乙方：</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交通基础设施硬件运维项目（以下简称“项目”），项目实施过程中涉及到技术信息以及技术资料的安全性，经双方协商一致，为确保相应工作涉及的技术信息和技术资源不被泄露，并防止上述保密信息被滥用，甲乙双方达成如下协议：</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一、甲乙双方作为相关工作的承担或参与单位，其工作任务依据相关工作的有关任务书确定，本协议仅涉及承担或参与该相关工作过程中及以后的保密责任。</w:t>
      </w:r>
    </w:p>
    <w:p>
      <w:pPr>
        <w:spacing w:line="440" w:lineRule="exact"/>
        <w:ind w:firstLine="442" w:firstLineChars="200"/>
        <w:rPr>
          <w:rFonts w:ascii="新宋体" w:hAnsi="新宋体" w:eastAsia="新宋体" w:cs="新宋体"/>
          <w:color w:val="auto"/>
          <w:sz w:val="22"/>
          <w:szCs w:val="22"/>
        </w:rPr>
      </w:pPr>
      <w:r>
        <w:rPr>
          <w:rFonts w:hint="eastAsia" w:ascii="新宋体" w:hAnsi="新宋体" w:eastAsia="新宋体" w:cs="新宋体"/>
          <w:b/>
          <w:bCs/>
          <w:color w:val="auto"/>
          <w:sz w:val="22"/>
          <w:szCs w:val="22"/>
        </w:rPr>
        <w:t>二、</w:t>
      </w:r>
      <w:r>
        <w:rPr>
          <w:rFonts w:hint="eastAsia" w:ascii="新宋体" w:hAnsi="新宋体" w:eastAsia="新宋体" w:cs="新宋体"/>
          <w:color w:val="auto"/>
          <w:sz w:val="22"/>
          <w:szCs w:val="22"/>
        </w:rPr>
        <w:t>本协议涉及保密的技术信息和技术资料（以下简称“保密信息”）包括但不限于：</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项目合同中涉及的技术信息和技术资料。甲方的技术方案、数据库、源程序、目标程序、技术文档、计算机系统的漏洞信息等信息；甲方应用系统内容、数据存储和传输、系统测试及试运行期间的客户资料等信息；甲方现有的网络拓扑结构及其相关资料，包括网络参数、设备配置、IP地址规划、命名规则等；甲方现有安全机制及规划目标、所有系统的应急方案、应用系统接口程序与文档等信息。以及有关会议文件，纪要和决定等；</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2．甲乙双方之间工作往来的沟通记录、录音、传真，信函，电子邮件等；</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3．项目工作实施过程中产生的新的技术信息和技术资料；</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4．项目工作实施过程中各有关当事人拥有的知识产权，已经公开的知识产权信息除外；</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5．经甲乙双方在该项目工作实施过程中确认的需要保密的其他信息。</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6.甲方计算机终端中的文件信息和各种资料。</w:t>
      </w:r>
    </w:p>
    <w:p>
      <w:pPr>
        <w:spacing w:line="440" w:lineRule="exact"/>
        <w:ind w:firstLine="442" w:firstLineChars="200"/>
        <w:rPr>
          <w:rFonts w:ascii="新宋体" w:hAnsi="新宋体" w:eastAsia="新宋体" w:cs="新宋体"/>
          <w:color w:val="auto"/>
          <w:sz w:val="22"/>
          <w:szCs w:val="22"/>
        </w:rPr>
      </w:pPr>
      <w:r>
        <w:rPr>
          <w:rFonts w:hint="eastAsia" w:ascii="新宋体" w:hAnsi="新宋体" w:eastAsia="新宋体" w:cs="新宋体"/>
          <w:b/>
          <w:bCs/>
          <w:color w:val="auto"/>
          <w:sz w:val="22"/>
          <w:szCs w:val="22"/>
        </w:rPr>
        <w:t>三、</w:t>
      </w:r>
      <w:r>
        <w:rPr>
          <w:rFonts w:hint="eastAsia" w:ascii="新宋体" w:hAnsi="新宋体" w:eastAsia="新宋体" w:cs="新宋体"/>
          <w:color w:val="auto"/>
          <w:sz w:val="22"/>
          <w:szCs w:val="22"/>
        </w:rPr>
        <w:t>甲方责任：</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1．甲方根据项目实施的需要，向乙方提供相应所需的技术信息和技术资料；</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2．甲方在以书面形式向乙方提供技术信息时，可以进行登记或备案；</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3．对不再需要保密或者已经公开的保密信息，甲方应及时通知乙方。</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bCs/>
          <w:color w:val="auto"/>
          <w:sz w:val="22"/>
          <w:szCs w:val="22"/>
        </w:rPr>
        <w:t>四、</w:t>
      </w:r>
      <w:r>
        <w:rPr>
          <w:rFonts w:hint="eastAsia" w:ascii="新宋体" w:hAnsi="新宋体" w:eastAsia="新宋体" w:cs="新宋体"/>
          <w:color w:val="auto"/>
          <w:sz w:val="22"/>
          <w:szCs w:val="22"/>
        </w:rPr>
        <w:t>乙方责任：</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1．乙方应仅将甲方批露的保密信息只用于对甲方的项目工作中。</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2. 乙方对从甲方获得的涉及相关工作的保密信息负有保密责任，未经甲方同意不得提供给任何第三方，包括乙方的分支机构、子公司、委托顾问方或接受咨询方；</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3．乙方为承担本协议约定的保密责任，必须按国家有关保密法律法规的要求，采取有效的保密措施，妥善保管有关的文件和资料，保证资料的安全，严防泄密和丢失，对应用系统数据和用户信息进行有效加密存储和传输。未经甲方事先的书面许可，不对其复制，传输和仿造等；</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4．乙方应对有关人员进行有效管理，规范遵守项目保密要求，以确保本协议的履行，包括乙方在职员工或仍在保密期内的离职员工；</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5．在本协议约定的保密期限内，乙方如发现有关保密信息被泄露，应及时通知甲方，并采取积极的措施避免损失的扩大；</w:t>
      </w:r>
    </w:p>
    <w:p>
      <w:pPr>
        <w:spacing w:line="440" w:lineRule="exact"/>
        <w:ind w:firstLine="435"/>
        <w:rPr>
          <w:rFonts w:ascii="新宋体" w:hAnsi="新宋体" w:eastAsia="新宋体" w:cs="新宋体"/>
          <w:color w:val="auto"/>
          <w:sz w:val="22"/>
          <w:szCs w:val="22"/>
        </w:rPr>
      </w:pPr>
      <w:r>
        <w:rPr>
          <w:rFonts w:hint="eastAsia" w:ascii="新宋体" w:hAnsi="新宋体" w:eastAsia="新宋体" w:cs="新宋体"/>
          <w:color w:val="auto"/>
          <w:sz w:val="22"/>
          <w:szCs w:val="22"/>
        </w:rPr>
        <w:t>6.项目完成后，乙方不得保留任何与该项目有关的数据以及基于该项目产生的任何成果；</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7.制定企业内部的网络和数据安全管理制度；</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8.无条件接受甲方的监督评估。</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9.乙方需对派驻人员和参与本项目相关人员做好背调工作，并签订安全保密协议，提交甲方备案。</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10.乙方需无条件配合甲方完成信息系统网络安全及信息保密等整改工作，直至满足要求。</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bCs/>
          <w:color w:val="auto"/>
          <w:sz w:val="22"/>
          <w:szCs w:val="22"/>
        </w:rPr>
        <w:t>五、</w:t>
      </w:r>
      <w:r>
        <w:rPr>
          <w:rFonts w:hint="eastAsia" w:ascii="新宋体" w:hAnsi="新宋体" w:eastAsia="新宋体" w:cs="新宋体"/>
          <w:color w:val="auto"/>
          <w:sz w:val="22"/>
          <w:szCs w:val="22"/>
        </w:rPr>
        <w:t>违约条款：乙方违反规定，有下列行为之一的，甲方有权对因此造成的损失追究责任；构成犯罪的，由司法机关追究其刑事责任：</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1.擅自向第三方提供或者转让项目资料的；</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2.未经甲方许可使用项目资料的；</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3.工程完成后，乙方未经甲方许可保留项目资料的；</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4.对项目资料保管不当，造成数据全部或者部分丢失、被窃的。</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六</w:t>
      </w:r>
      <w:r>
        <w:rPr>
          <w:rFonts w:hint="eastAsia" w:ascii="新宋体" w:hAnsi="新宋体" w:eastAsia="新宋体" w:cs="新宋体"/>
          <w:color w:val="auto"/>
          <w:sz w:val="22"/>
          <w:szCs w:val="22"/>
        </w:rPr>
        <w:tab/>
      </w:r>
      <w:r>
        <w:rPr>
          <w:rFonts w:hint="eastAsia" w:ascii="新宋体" w:hAnsi="新宋体" w:eastAsia="新宋体" w:cs="新宋体"/>
          <w:color w:val="auto"/>
          <w:sz w:val="22"/>
          <w:szCs w:val="22"/>
        </w:rPr>
        <w:t>法律责任：</w:t>
      </w:r>
    </w:p>
    <w:p>
      <w:pPr>
        <w:spacing w:line="44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乙方在进行项目维护时违反有关保密规定的，依照《中华人民共和国保守国家秘密法》等有关法律法规的规定处理。甲方有权对因此造成的损失追究责任；构成犯罪的，由司法机关追究其刑事责任。</w:t>
      </w:r>
    </w:p>
    <w:p>
      <w:pPr>
        <w:pStyle w:val="16"/>
        <w:spacing w:line="440" w:lineRule="exact"/>
        <w:rPr>
          <w:color w:val="auto"/>
        </w:rPr>
      </w:pPr>
      <w:r>
        <w:rPr>
          <w:rFonts w:hint="eastAsia" w:ascii="新宋体" w:hAnsi="新宋体" w:eastAsia="新宋体" w:cs="新宋体"/>
          <w:color w:val="auto"/>
          <w:sz w:val="22"/>
          <w:szCs w:val="22"/>
        </w:rPr>
        <w:t>七、保密期限：乙方对因实施本项目而知悉的甲方保密信息负有保密义务，即使项目合作终止，乙方仍需对甲方的保密信息进行保密，直至该技术信息在同行业中已成为公开信息后方可解除保密义务。</w:t>
      </w:r>
    </w:p>
    <w:p>
      <w:pPr>
        <w:pStyle w:val="666"/>
        <w:keepNext/>
        <w:keepLines/>
        <w:shd w:val="clear" w:color="auto" w:fill="auto"/>
        <w:jc w:val="left"/>
        <w:rPr>
          <w:rFonts w:ascii="宋体" w:hAnsi="宋体" w:eastAsia="宋体" w:cs="宋体"/>
          <w:color w:val="auto"/>
          <w:sz w:val="22"/>
          <w:szCs w:val="22"/>
        </w:rPr>
      </w:pPr>
      <w:r>
        <w:rPr>
          <w:rFonts w:hint="eastAsia" w:ascii="宋体" w:hAnsi="宋体" w:eastAsia="宋体" w:cs="宋体"/>
          <w:color w:val="auto"/>
          <w:spacing w:val="0"/>
          <w:sz w:val="22"/>
          <w:szCs w:val="22"/>
        </w:rPr>
        <w:br w:type="page"/>
      </w:r>
    </w:p>
    <w:p>
      <w:pPr>
        <w:pStyle w:val="4"/>
        <w:rPr>
          <w:rFonts w:ascii="宋体" w:hAnsi="宋体" w:eastAsia="宋体" w:cs="宋体"/>
          <w:bCs w:val="0"/>
          <w:color w:val="auto"/>
          <w:sz w:val="36"/>
          <w:szCs w:val="36"/>
        </w:rPr>
      </w:pPr>
      <w:bookmarkStart w:id="108" w:name="_Toc5314"/>
      <w:bookmarkStart w:id="109" w:name="_Toc29422"/>
      <w:bookmarkStart w:id="110" w:name="_Toc21106"/>
      <w:bookmarkStart w:id="111" w:name="_Toc58406692"/>
      <w:r>
        <w:rPr>
          <w:rFonts w:hint="eastAsia" w:ascii="宋体" w:hAnsi="宋体" w:eastAsia="宋体" w:cs="宋体"/>
          <w:bCs w:val="0"/>
          <w:color w:val="auto"/>
          <w:sz w:val="36"/>
          <w:szCs w:val="36"/>
        </w:rPr>
        <w:t>第四部分   投标文件格式</w:t>
      </w:r>
      <w:bookmarkEnd w:id="108"/>
      <w:bookmarkEnd w:id="109"/>
      <w:bookmarkEnd w:id="110"/>
      <w:bookmarkEnd w:id="111"/>
    </w:p>
    <w:p>
      <w:pPr>
        <w:spacing w:before="120" w:beforeLines="50" w:after="120" w:afterLines="50"/>
        <w:rPr>
          <w:rFonts w:ascii="宋体" w:hAnsi="宋体" w:cs="宋体"/>
          <w:color w:val="auto"/>
          <w:sz w:val="22"/>
          <w:szCs w:val="22"/>
        </w:rPr>
      </w:pPr>
      <w:r>
        <w:rPr>
          <w:rFonts w:hint="eastAsia" w:ascii="宋体" w:hAnsi="宋体" w:cs="宋体"/>
          <w:color w:val="auto"/>
          <w:sz w:val="22"/>
          <w:szCs w:val="22"/>
        </w:rPr>
        <w:t>（资格审查资料封面，供参考）</w:t>
      </w:r>
    </w:p>
    <w:p>
      <w:pPr>
        <w:rPr>
          <w:rFonts w:ascii="宋体" w:hAnsi="宋体" w:cs="宋体"/>
          <w:color w:val="auto"/>
        </w:rPr>
      </w:pPr>
    </w:p>
    <w:p>
      <w:pPr>
        <w:rPr>
          <w:rFonts w:ascii="宋体" w:hAnsi="宋体" w:cs="宋体"/>
          <w:color w:val="auto"/>
        </w:rPr>
      </w:pPr>
    </w:p>
    <w:p>
      <w:pPr>
        <w:rPr>
          <w:rFonts w:ascii="宋体" w:hAnsi="宋体" w:cs="宋体"/>
          <w:color w:val="auto"/>
        </w:rPr>
      </w:pPr>
    </w:p>
    <w:p>
      <w:pPr>
        <w:jc w:val="center"/>
        <w:rPr>
          <w:rFonts w:hint="eastAsia" w:ascii="宋体" w:hAnsi="宋体" w:cs="宋体"/>
          <w:sz w:val="28"/>
          <w:szCs w:val="28"/>
        </w:rPr>
      </w:pPr>
      <w:r>
        <w:rPr>
          <w:rFonts w:hint="eastAsia" w:ascii="宋体" w:hAnsi="宋体" w:cs="宋体"/>
          <w:sz w:val="28"/>
          <w:szCs w:val="28"/>
          <w:u w:val="single"/>
        </w:rPr>
        <w:t xml:space="preserve">                 （项目名称）              </w:t>
      </w:r>
      <w:r>
        <w:rPr>
          <w:rFonts w:hint="eastAsia" w:ascii="宋体" w:hAnsi="宋体" w:cs="宋体"/>
          <w:sz w:val="28"/>
          <w:szCs w:val="28"/>
        </w:rPr>
        <w:t>投标文件</w:t>
      </w:r>
    </w:p>
    <w:p>
      <w:pPr>
        <w:rPr>
          <w:rFonts w:hint="eastAsia" w:ascii="宋体" w:hAnsi="宋体" w:cs="宋体"/>
          <w:sz w:val="28"/>
          <w:szCs w:val="28"/>
        </w:rPr>
      </w:pPr>
    </w:p>
    <w:p>
      <w:pPr>
        <w:rPr>
          <w:rFonts w:hint="eastAsia" w:ascii="宋体" w:hAnsi="宋体" w:cs="宋体"/>
          <w:sz w:val="28"/>
          <w:szCs w:val="28"/>
        </w:rPr>
      </w:pPr>
    </w:p>
    <w:p>
      <w:pPr>
        <w:pStyle w:val="24"/>
        <w:ind w:firstLine="281"/>
        <w:rPr>
          <w:rFonts w:hint="eastAsia" w:ascii="宋体" w:hAnsi="宋体" w:cs="宋体"/>
          <w:sz w:val="28"/>
          <w:szCs w:val="28"/>
        </w:rPr>
      </w:pPr>
    </w:p>
    <w:p>
      <w:pPr>
        <w:pStyle w:val="24"/>
        <w:ind w:firstLine="281"/>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jc w:val="center"/>
        <w:rPr>
          <w:rFonts w:hint="eastAsia" w:ascii="宋体" w:hAnsi="宋体" w:cs="宋体"/>
          <w:sz w:val="52"/>
          <w:szCs w:val="52"/>
        </w:rPr>
      </w:pPr>
      <w:r>
        <w:rPr>
          <w:rFonts w:hint="eastAsia" w:ascii="宋体" w:hAnsi="宋体" w:cs="宋体"/>
          <w:sz w:val="52"/>
          <w:szCs w:val="52"/>
        </w:rPr>
        <w:t>资格审查资料</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jc w:val="center"/>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（盖单位章）</w:t>
      </w:r>
    </w:p>
    <w:p>
      <w:pPr>
        <w:rPr>
          <w:rFonts w:hint="eastAsia" w:ascii="宋体" w:hAnsi="宋体" w:cs="宋体"/>
          <w:sz w:val="28"/>
          <w:szCs w:val="28"/>
          <w:u w:val="single"/>
        </w:rPr>
      </w:pPr>
    </w:p>
    <w:p>
      <w:pPr>
        <w:jc w:val="center"/>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p>
    <w:p>
      <w:pPr>
        <w:rPr>
          <w:rFonts w:hint="eastAsia" w:ascii="宋体" w:hAnsi="宋体" w:cs="宋体"/>
          <w:sz w:val="28"/>
          <w:szCs w:val="28"/>
        </w:rPr>
      </w:pPr>
    </w:p>
    <w:p>
      <w:pPr>
        <w:overflowPunct w:val="0"/>
        <w:spacing w:line="380" w:lineRule="exact"/>
        <w:ind w:firstLine="2738" w:firstLineChars="978"/>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60" w:lineRule="exact"/>
        <w:jc w:val="center"/>
        <w:rPr>
          <w:rFonts w:ascii="宋体" w:hAnsi="宋体" w:cs="宋体"/>
          <w:color w:val="auto"/>
          <w:sz w:val="22"/>
          <w:szCs w:val="22"/>
        </w:rPr>
      </w:pPr>
      <w:r>
        <w:rPr>
          <w:rFonts w:hint="eastAsia" w:ascii="宋体" w:hAnsi="宋体" w:cs="宋体"/>
          <w:color w:val="auto"/>
          <w:sz w:val="22"/>
          <w:szCs w:val="22"/>
        </w:rPr>
        <w:br w:type="page"/>
      </w:r>
    </w:p>
    <w:p>
      <w:pPr>
        <w:jc w:val="center"/>
        <w:rPr>
          <w:rFonts w:ascii="宋体" w:hAnsi="宋体" w:cs="宋体"/>
          <w:b/>
          <w:bCs/>
          <w:color w:val="auto"/>
          <w:sz w:val="52"/>
          <w:szCs w:val="52"/>
        </w:rPr>
      </w:pPr>
      <w:bookmarkStart w:id="112" w:name="_Toc465107614"/>
      <w:bookmarkStart w:id="113" w:name="_Toc504034734"/>
      <w:r>
        <w:rPr>
          <w:rFonts w:hint="eastAsia" w:ascii="宋体" w:hAnsi="宋体" w:cs="宋体"/>
          <w:b/>
          <w:bCs/>
          <w:color w:val="auto"/>
          <w:sz w:val="52"/>
          <w:szCs w:val="52"/>
        </w:rPr>
        <w:t>目    录</w:t>
      </w:r>
    </w:p>
    <w:p>
      <w:pPr>
        <w:pStyle w:val="16"/>
        <w:spacing w:line="480" w:lineRule="auto"/>
        <w:rPr>
          <w:color w:val="auto"/>
        </w:rPr>
      </w:pPr>
    </w:p>
    <w:p>
      <w:pPr>
        <w:pStyle w:val="16"/>
        <w:spacing w:line="480" w:lineRule="auto"/>
        <w:rPr>
          <w:color w:val="auto"/>
        </w:rPr>
      </w:pPr>
    </w:p>
    <w:p>
      <w:pPr>
        <w:pStyle w:val="16"/>
        <w:spacing w:line="480" w:lineRule="auto"/>
        <w:rPr>
          <w:color w:val="auto"/>
        </w:rPr>
      </w:pPr>
      <w:r>
        <w:rPr>
          <w:rFonts w:hint="eastAsia"/>
          <w:color w:val="auto"/>
        </w:rPr>
        <w:t>一、法定代表人（单位负责人）授权书和被授权人有效身份证明。</w:t>
      </w:r>
    </w:p>
    <w:p>
      <w:pPr>
        <w:pStyle w:val="16"/>
        <w:spacing w:line="480" w:lineRule="auto"/>
        <w:rPr>
          <w:color w:val="auto"/>
        </w:rPr>
      </w:pPr>
      <w:r>
        <w:rPr>
          <w:rFonts w:hint="eastAsia"/>
          <w:color w:val="auto"/>
        </w:rPr>
        <w:t>二、联合体协议书（非联合体无需提供）</w:t>
      </w:r>
    </w:p>
    <w:p>
      <w:pPr>
        <w:pStyle w:val="16"/>
        <w:spacing w:line="480" w:lineRule="auto"/>
        <w:rPr>
          <w:color w:val="auto"/>
        </w:rPr>
      </w:pPr>
      <w:r>
        <w:rPr>
          <w:rFonts w:hint="eastAsia"/>
          <w:color w:val="auto"/>
        </w:rPr>
        <w:t>三、营业执照(或事业法人登记证书或其它工商等登记证明材料)。</w:t>
      </w:r>
    </w:p>
    <w:p>
      <w:pPr>
        <w:pStyle w:val="16"/>
        <w:spacing w:line="480" w:lineRule="auto"/>
        <w:rPr>
          <w:color w:val="auto"/>
        </w:rPr>
      </w:pPr>
      <w:r>
        <w:rPr>
          <w:rFonts w:hint="eastAsia"/>
          <w:color w:val="auto"/>
        </w:rPr>
        <w:t>四、资格条件承诺函</w:t>
      </w:r>
    </w:p>
    <w:p>
      <w:pPr>
        <w:pStyle w:val="16"/>
        <w:spacing w:line="480" w:lineRule="auto"/>
        <w:rPr>
          <w:color w:val="auto"/>
        </w:rPr>
      </w:pPr>
      <w:r>
        <w:rPr>
          <w:rFonts w:hint="eastAsia"/>
          <w:color w:val="auto"/>
        </w:rPr>
        <w:t>五、申请材料真实性声明</w:t>
      </w:r>
    </w:p>
    <w:p>
      <w:pPr>
        <w:pStyle w:val="16"/>
        <w:spacing w:line="480" w:lineRule="auto"/>
        <w:rPr>
          <w:color w:val="auto"/>
        </w:rPr>
      </w:pPr>
    </w:p>
    <w:p>
      <w:pPr>
        <w:pStyle w:val="16"/>
        <w:spacing w:line="480" w:lineRule="auto"/>
        <w:rPr>
          <w:color w:val="auto"/>
        </w:rPr>
      </w:pPr>
    </w:p>
    <w:p>
      <w:pPr>
        <w:pStyle w:val="16"/>
        <w:spacing w:line="480" w:lineRule="auto"/>
        <w:rPr>
          <w:b/>
          <w:bCs/>
          <w:color w:val="auto"/>
        </w:rPr>
      </w:pPr>
      <w:r>
        <w:rPr>
          <w:rFonts w:hint="eastAsia"/>
          <w:b/>
          <w:bCs/>
          <w:color w:val="auto"/>
        </w:rPr>
        <w:t>注：如为联合体，则3-5项资格审查材料联合体双方均须提供。</w:t>
      </w:r>
    </w:p>
    <w:p>
      <w:pPr>
        <w:pStyle w:val="4"/>
        <w:spacing w:line="360" w:lineRule="auto"/>
        <w:ind w:left="420"/>
        <w:jc w:val="left"/>
        <w:rPr>
          <w:rFonts w:ascii="宋体" w:hAnsi="宋体" w:eastAsia="宋体" w:cs="宋体"/>
          <w:b w:val="0"/>
          <w:color w:val="auto"/>
          <w:sz w:val="22"/>
          <w:szCs w:val="22"/>
        </w:rPr>
      </w:pPr>
    </w:p>
    <w:p>
      <w:pPr>
        <w:pStyle w:val="4"/>
        <w:spacing w:line="360" w:lineRule="auto"/>
        <w:ind w:left="420"/>
        <w:jc w:val="left"/>
        <w:rPr>
          <w:rFonts w:ascii="宋体" w:hAnsi="宋体" w:eastAsia="宋体" w:cs="宋体"/>
          <w:b w:val="0"/>
          <w:color w:val="auto"/>
          <w:sz w:val="22"/>
          <w:szCs w:val="22"/>
        </w:rPr>
      </w:pPr>
    </w:p>
    <w:p>
      <w:pPr>
        <w:pStyle w:val="4"/>
        <w:spacing w:line="360" w:lineRule="auto"/>
        <w:ind w:left="420"/>
        <w:jc w:val="left"/>
        <w:rPr>
          <w:rFonts w:ascii="宋体" w:hAnsi="宋体" w:eastAsia="宋体" w:cs="宋体"/>
          <w:b w:val="0"/>
          <w:color w:val="auto"/>
          <w:sz w:val="22"/>
          <w:szCs w:val="22"/>
        </w:rPr>
      </w:pPr>
    </w:p>
    <w:p>
      <w:pPr>
        <w:pStyle w:val="4"/>
        <w:spacing w:line="360" w:lineRule="auto"/>
        <w:ind w:left="420"/>
        <w:rPr>
          <w:rFonts w:ascii="宋体" w:hAnsi="宋体" w:eastAsia="宋体" w:cs="宋体"/>
          <w:b w:val="0"/>
          <w:color w:val="auto"/>
          <w:sz w:val="22"/>
          <w:szCs w:val="22"/>
        </w:rPr>
      </w:pPr>
      <w:r>
        <w:rPr>
          <w:rFonts w:hint="eastAsia" w:ascii="宋体" w:hAnsi="宋体" w:eastAsia="宋体" w:cs="宋体"/>
          <w:b w:val="0"/>
          <w:color w:val="auto"/>
          <w:sz w:val="22"/>
          <w:szCs w:val="22"/>
        </w:rPr>
        <w:br w:type="page"/>
      </w:r>
    </w:p>
    <w:p>
      <w:pPr>
        <w:widowControl/>
        <w:adjustRightInd w:val="0"/>
        <w:snapToGrid w:val="0"/>
        <w:spacing w:line="360" w:lineRule="auto"/>
        <w:jc w:val="center"/>
        <w:rPr>
          <w:rFonts w:ascii="宋体" w:hAnsi="宋体" w:cs="宋体"/>
          <w:b/>
          <w:color w:val="auto"/>
          <w:kern w:val="0"/>
          <w:sz w:val="28"/>
          <w:szCs w:val="28"/>
        </w:rPr>
      </w:pPr>
      <w:r>
        <w:rPr>
          <w:rFonts w:hint="eastAsia" w:ascii="宋体" w:hAnsi="宋体" w:cs="宋体"/>
          <w:b/>
          <w:color w:val="auto"/>
          <w:kern w:val="0"/>
          <w:sz w:val="28"/>
          <w:szCs w:val="28"/>
        </w:rPr>
        <w:t>法定代表人授权书</w:t>
      </w:r>
    </w:p>
    <w:p>
      <w:pPr>
        <w:spacing w:line="420" w:lineRule="exact"/>
        <w:rPr>
          <w:rFonts w:ascii="宋体" w:hAnsi="宋体" w:cs="宋体"/>
          <w:b/>
          <w:color w:val="auto"/>
          <w:sz w:val="22"/>
          <w:szCs w:val="22"/>
        </w:rPr>
      </w:pPr>
    </w:p>
    <w:p>
      <w:pPr>
        <w:spacing w:line="420" w:lineRule="exact"/>
        <w:rPr>
          <w:rFonts w:ascii="宋体" w:hAnsi="宋体" w:cs="宋体"/>
          <w:color w:val="auto"/>
          <w:sz w:val="22"/>
          <w:szCs w:val="22"/>
        </w:rPr>
      </w:pPr>
      <w:r>
        <w:rPr>
          <w:rFonts w:hint="eastAsia" w:ascii="宋体" w:hAnsi="宋体" w:cs="宋体"/>
          <w:color w:val="auto"/>
          <w:sz w:val="22"/>
          <w:szCs w:val="22"/>
        </w:rPr>
        <w:t>温州市交通运输局:</w:t>
      </w:r>
    </w:p>
    <w:p>
      <w:pPr>
        <w:spacing w:line="420" w:lineRule="exact"/>
        <w:rPr>
          <w:rFonts w:ascii="宋体" w:hAnsi="宋体" w:cs="宋体"/>
          <w:color w:val="auto"/>
          <w:sz w:val="22"/>
          <w:szCs w:val="22"/>
        </w:rPr>
      </w:pPr>
      <w:r>
        <w:rPr>
          <w:rFonts w:hint="eastAsia" w:ascii="宋体" w:hAnsi="宋体" w:cs="宋体"/>
          <w:color w:val="auto"/>
          <w:sz w:val="22"/>
          <w:szCs w:val="22"/>
        </w:rPr>
        <w:t>温州市智信招标代理有限公司：</w:t>
      </w:r>
    </w:p>
    <w:p>
      <w:pPr>
        <w:spacing w:line="460" w:lineRule="exact"/>
        <w:rPr>
          <w:rFonts w:ascii="宋体" w:hAnsi="宋体" w:cs="宋体"/>
          <w:color w:val="auto"/>
          <w:sz w:val="22"/>
          <w:szCs w:val="22"/>
          <w:u w:val="single"/>
        </w:rPr>
      </w:pPr>
    </w:p>
    <w:p>
      <w:pPr>
        <w:spacing w:line="460" w:lineRule="exact"/>
        <w:ind w:firstLine="550" w:firstLineChars="250"/>
        <w:rPr>
          <w:rFonts w:ascii="宋体" w:hAnsi="宋体" w:cs="宋体"/>
          <w:color w:val="auto"/>
          <w:sz w:val="22"/>
          <w:szCs w:val="22"/>
        </w:rPr>
      </w:pPr>
      <w:r>
        <w:rPr>
          <w:rFonts w:hint="eastAsia" w:ascii="宋体" w:hAnsi="宋体" w:cs="宋体"/>
          <w:sz w:val="22"/>
          <w:szCs w:val="22"/>
          <w:u w:val="single"/>
        </w:rPr>
        <w:t xml:space="preserve">                   </w:t>
      </w:r>
      <w:r>
        <w:rPr>
          <w:rFonts w:hint="eastAsia" w:ascii="宋体" w:hAnsi="宋体" w:cs="宋体"/>
          <w:sz w:val="22"/>
          <w:szCs w:val="22"/>
        </w:rPr>
        <w:t>（投标人全称）法定代表人</w:t>
      </w:r>
      <w:r>
        <w:rPr>
          <w:rFonts w:hint="eastAsia" w:ascii="宋体" w:hAnsi="宋体" w:cs="宋体"/>
          <w:sz w:val="22"/>
          <w:szCs w:val="22"/>
          <w:u w:val="single"/>
        </w:rPr>
        <w:t xml:space="preserve">            </w:t>
      </w:r>
      <w:r>
        <w:rPr>
          <w:rFonts w:hint="eastAsia" w:ascii="宋体" w:hAnsi="宋体" w:cs="宋体"/>
          <w:sz w:val="22"/>
          <w:szCs w:val="22"/>
        </w:rPr>
        <w:t>授权</w:t>
      </w:r>
      <w:r>
        <w:rPr>
          <w:rFonts w:hint="eastAsia" w:ascii="宋体" w:hAnsi="宋体" w:cs="宋体"/>
          <w:sz w:val="22"/>
          <w:szCs w:val="22"/>
          <w:u w:val="single"/>
        </w:rPr>
        <w:t xml:space="preserve">           </w:t>
      </w:r>
      <w:r>
        <w:rPr>
          <w:rFonts w:hint="eastAsia" w:ascii="宋体" w:hAnsi="宋体" w:cs="宋体"/>
          <w:sz w:val="22"/>
          <w:szCs w:val="22"/>
        </w:rPr>
        <w:t>（全权代表姓名）为全权代表，参加贵</w:t>
      </w:r>
      <w:r>
        <w:rPr>
          <w:rFonts w:hint="eastAsia" w:ascii="宋体" w:hAnsi="宋体" w:cs="宋体"/>
          <w:sz w:val="22"/>
          <w:szCs w:val="22"/>
          <w:lang w:val="en-US" w:eastAsia="zh-CN"/>
        </w:rPr>
        <w:t>方</w:t>
      </w:r>
      <w:r>
        <w:rPr>
          <w:rFonts w:hint="eastAsia" w:ascii="宋体" w:hAnsi="宋体" w:cs="宋体"/>
          <w:sz w:val="22"/>
          <w:szCs w:val="22"/>
        </w:rPr>
        <w:t>组织的</w:t>
      </w:r>
      <w:r>
        <w:rPr>
          <w:rFonts w:hint="eastAsia" w:ascii="宋体" w:hAnsi="宋体" w:cs="宋体"/>
          <w:sz w:val="22"/>
          <w:szCs w:val="22"/>
          <w:u w:val="single"/>
        </w:rPr>
        <w:t xml:space="preserve">               </w:t>
      </w:r>
      <w:r>
        <w:rPr>
          <w:rFonts w:hint="eastAsia" w:ascii="宋体" w:hAnsi="宋体" w:cs="宋体"/>
          <w:sz w:val="22"/>
          <w:szCs w:val="22"/>
        </w:rPr>
        <w:t>（采购项目名称、编号）的采购活动，全权代表我方处理采购活动中的一切事宜。</w:t>
      </w:r>
    </w:p>
    <w:p>
      <w:pPr>
        <w:spacing w:line="460" w:lineRule="exact"/>
        <w:ind w:firstLine="2955"/>
        <w:rPr>
          <w:rFonts w:ascii="宋体" w:hAnsi="宋体" w:cs="宋体"/>
          <w:color w:val="auto"/>
          <w:sz w:val="22"/>
          <w:szCs w:val="22"/>
        </w:rPr>
      </w:pPr>
    </w:p>
    <w:p>
      <w:pPr>
        <w:spacing w:line="460" w:lineRule="exact"/>
        <w:ind w:firstLine="2955"/>
        <w:rPr>
          <w:rFonts w:ascii="宋体" w:hAnsi="宋体" w:cs="宋体"/>
          <w:color w:val="auto"/>
          <w:sz w:val="22"/>
          <w:szCs w:val="22"/>
        </w:rPr>
      </w:pPr>
    </w:p>
    <w:p>
      <w:pPr>
        <w:spacing w:line="460" w:lineRule="exact"/>
        <w:ind w:firstLine="3971" w:firstLineChars="1805"/>
        <w:rPr>
          <w:rFonts w:ascii="宋体" w:hAnsi="宋体" w:cs="宋体"/>
          <w:color w:val="auto"/>
          <w:sz w:val="22"/>
          <w:szCs w:val="22"/>
        </w:rPr>
      </w:pPr>
      <w:r>
        <w:rPr>
          <w:rFonts w:hint="eastAsia" w:ascii="宋体" w:hAnsi="宋体" w:cs="宋体"/>
          <w:color w:val="auto"/>
          <w:sz w:val="22"/>
          <w:szCs w:val="22"/>
        </w:rPr>
        <w:t>法定代表人 (签字或盖章)：</w:t>
      </w:r>
    </w:p>
    <w:p>
      <w:pPr>
        <w:spacing w:line="460" w:lineRule="exact"/>
        <w:ind w:firstLine="2955"/>
        <w:rPr>
          <w:rFonts w:ascii="宋体" w:hAnsi="宋体" w:cs="宋体"/>
          <w:color w:val="auto"/>
          <w:sz w:val="22"/>
          <w:szCs w:val="22"/>
        </w:rPr>
      </w:pPr>
      <w:r>
        <w:rPr>
          <w:rFonts w:hint="eastAsia" w:ascii="宋体" w:hAnsi="宋体" w:cs="宋体"/>
          <w:color w:val="auto"/>
          <w:sz w:val="22"/>
          <w:szCs w:val="22"/>
        </w:rPr>
        <w:t xml:space="preserve">         投标人全称（公章）：</w:t>
      </w:r>
    </w:p>
    <w:p>
      <w:pPr>
        <w:spacing w:line="460" w:lineRule="exact"/>
        <w:ind w:firstLine="2955"/>
        <w:rPr>
          <w:rFonts w:ascii="宋体" w:hAnsi="宋体" w:cs="宋体"/>
          <w:color w:val="auto"/>
          <w:sz w:val="22"/>
          <w:szCs w:val="22"/>
        </w:rPr>
      </w:pPr>
      <w:r>
        <w:rPr>
          <w:rFonts w:hint="eastAsia" w:ascii="宋体" w:hAnsi="宋体" w:cs="宋体"/>
          <w:color w:val="auto"/>
          <w:sz w:val="22"/>
          <w:szCs w:val="22"/>
        </w:rPr>
        <w:t xml:space="preserve">         日期：     年    月   日</w:t>
      </w:r>
    </w:p>
    <w:p>
      <w:pPr>
        <w:spacing w:line="460" w:lineRule="exact"/>
        <w:rPr>
          <w:rFonts w:ascii="宋体" w:hAnsi="宋体" w:cs="宋体"/>
          <w:color w:val="auto"/>
          <w:sz w:val="22"/>
          <w:szCs w:val="22"/>
        </w:rPr>
      </w:pPr>
    </w:p>
    <w:p>
      <w:pPr>
        <w:spacing w:line="460" w:lineRule="exact"/>
        <w:rPr>
          <w:rFonts w:ascii="宋体" w:hAnsi="宋体" w:cs="宋体"/>
          <w:color w:val="auto"/>
          <w:sz w:val="22"/>
          <w:szCs w:val="22"/>
        </w:rPr>
      </w:pPr>
      <w:r>
        <w:rPr>
          <w:rFonts w:hint="eastAsia" w:ascii="宋体" w:hAnsi="宋体" w:cs="宋体"/>
          <w:color w:val="auto"/>
          <w:sz w:val="22"/>
          <w:szCs w:val="22"/>
        </w:rPr>
        <w:t>附：</w:t>
      </w:r>
    </w:p>
    <w:p>
      <w:pPr>
        <w:spacing w:line="460" w:lineRule="exact"/>
        <w:ind w:firstLine="220" w:firstLineChars="100"/>
        <w:rPr>
          <w:rFonts w:ascii="宋体" w:hAnsi="宋体" w:cs="宋体"/>
          <w:color w:val="auto"/>
          <w:sz w:val="22"/>
          <w:szCs w:val="22"/>
        </w:rPr>
      </w:pPr>
      <w:r>
        <w:rPr>
          <w:rFonts w:hint="eastAsia" w:ascii="宋体" w:hAnsi="宋体" w:cs="宋体"/>
          <w:color w:val="auto"/>
          <w:sz w:val="22"/>
          <w:szCs w:val="22"/>
        </w:rPr>
        <w:t>授权代表姓名：</w:t>
      </w:r>
    </w:p>
    <w:p>
      <w:pPr>
        <w:spacing w:line="460" w:lineRule="exact"/>
        <w:ind w:firstLine="220" w:firstLineChars="100"/>
        <w:rPr>
          <w:rFonts w:ascii="宋体" w:hAnsi="宋体" w:cs="宋体"/>
          <w:color w:val="auto"/>
          <w:sz w:val="22"/>
          <w:szCs w:val="22"/>
        </w:rPr>
      </w:pPr>
      <w:r>
        <w:rPr>
          <w:rFonts w:hint="eastAsia" w:ascii="宋体" w:hAnsi="宋体" w:cs="宋体"/>
          <w:color w:val="auto"/>
          <w:sz w:val="22"/>
          <w:szCs w:val="22"/>
        </w:rPr>
        <w:t>职务：</w:t>
      </w:r>
    </w:p>
    <w:p>
      <w:pPr>
        <w:spacing w:line="460" w:lineRule="exact"/>
        <w:ind w:firstLine="220" w:firstLineChars="100"/>
        <w:rPr>
          <w:rFonts w:ascii="宋体" w:hAnsi="宋体" w:cs="宋体"/>
          <w:color w:val="auto"/>
          <w:sz w:val="22"/>
          <w:szCs w:val="22"/>
        </w:rPr>
      </w:pPr>
      <w:r>
        <w:rPr>
          <w:rFonts w:hint="eastAsia" w:ascii="宋体" w:hAnsi="宋体" w:cs="宋体"/>
          <w:color w:val="auto"/>
          <w:sz w:val="22"/>
          <w:szCs w:val="22"/>
        </w:rPr>
        <w:t>详细通讯地址：</w:t>
      </w:r>
    </w:p>
    <w:p>
      <w:pPr>
        <w:spacing w:line="460" w:lineRule="exact"/>
        <w:ind w:firstLine="220" w:firstLineChars="100"/>
        <w:rPr>
          <w:rFonts w:ascii="宋体" w:hAnsi="宋体" w:cs="宋体"/>
          <w:color w:val="auto"/>
          <w:sz w:val="22"/>
          <w:szCs w:val="22"/>
        </w:rPr>
      </w:pPr>
      <w:r>
        <w:rPr>
          <w:rFonts w:hint="eastAsia" w:ascii="宋体" w:hAnsi="宋体" w:cs="宋体"/>
          <w:color w:val="auto"/>
          <w:sz w:val="22"/>
          <w:szCs w:val="22"/>
        </w:rPr>
        <w:t>电话：</w:t>
      </w:r>
    </w:p>
    <w:p>
      <w:pPr>
        <w:spacing w:line="460" w:lineRule="exact"/>
        <w:ind w:firstLine="220" w:firstLineChars="100"/>
        <w:rPr>
          <w:rFonts w:ascii="宋体" w:hAnsi="宋体" w:cs="宋体"/>
          <w:color w:val="auto"/>
          <w:sz w:val="22"/>
          <w:szCs w:val="22"/>
        </w:rPr>
      </w:pPr>
      <w:r>
        <w:rPr>
          <w:rFonts w:hint="eastAsia" w:ascii="宋体" w:hAnsi="宋体" w:cs="宋体"/>
          <w:color w:val="auto"/>
          <w:sz w:val="22"/>
          <w:szCs w:val="22"/>
        </w:rPr>
        <w:t>传真：</w:t>
      </w:r>
    </w:p>
    <w:p>
      <w:pPr>
        <w:spacing w:line="460" w:lineRule="exact"/>
        <w:ind w:firstLine="220" w:firstLineChars="100"/>
        <w:rPr>
          <w:rFonts w:ascii="宋体" w:hAnsi="宋体" w:cs="宋体"/>
          <w:color w:val="auto"/>
          <w:sz w:val="22"/>
          <w:szCs w:val="22"/>
        </w:rPr>
      </w:pPr>
      <w:r>
        <w:rPr>
          <w:rFonts w:hint="eastAsia" w:ascii="宋体" w:hAnsi="宋体" w:cs="宋体"/>
          <w:color w:val="auto"/>
          <w:sz w:val="22"/>
          <w:szCs w:val="22"/>
        </w:rPr>
        <w:t>邮政编码:</w:t>
      </w:r>
    </w:p>
    <w:tbl>
      <w:tblPr>
        <w:tblStyle w:val="58"/>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noWrap/>
            <w:vAlign w:val="center"/>
          </w:tcPr>
          <w:p>
            <w:pPr>
              <w:spacing w:line="380" w:lineRule="exact"/>
              <w:jc w:val="center"/>
              <w:rPr>
                <w:rFonts w:ascii="宋体" w:hAnsi="宋体" w:cs="宋体"/>
                <w:b/>
                <w:color w:val="auto"/>
                <w:sz w:val="28"/>
                <w:szCs w:val="28"/>
              </w:rPr>
            </w:pPr>
            <w:r>
              <w:rPr>
                <w:rFonts w:hint="eastAsia" w:ascii="宋体" w:hAnsi="宋体" w:cs="宋体"/>
                <w:b/>
                <w:color w:val="auto"/>
                <w:sz w:val="28"/>
                <w:szCs w:val="28"/>
              </w:rPr>
              <w:t>投标人代表身份证扫描件</w:t>
            </w:r>
          </w:p>
          <w:p>
            <w:pPr>
              <w:spacing w:line="380" w:lineRule="exact"/>
              <w:jc w:val="center"/>
              <w:rPr>
                <w:rFonts w:ascii="宋体" w:hAnsi="宋体" w:cs="宋体"/>
                <w:b/>
                <w:bCs/>
                <w:color w:val="auto"/>
                <w:sz w:val="28"/>
              </w:rPr>
            </w:pPr>
          </w:p>
        </w:tc>
      </w:tr>
    </w:tbl>
    <w:p>
      <w:pPr>
        <w:pStyle w:val="4"/>
        <w:rPr>
          <w:rFonts w:ascii="新宋体" w:hAnsi="新宋体" w:eastAsia="新宋体" w:cs="新宋体"/>
          <w:color w:val="auto"/>
          <w:kern w:val="0"/>
          <w:sz w:val="28"/>
          <w:szCs w:val="28"/>
        </w:rPr>
      </w:pPr>
      <w:r>
        <w:rPr>
          <w:rFonts w:hint="eastAsia" w:ascii="宋体" w:hAnsi="宋体" w:cs="宋体"/>
          <w:color w:val="auto"/>
          <w:sz w:val="22"/>
          <w:szCs w:val="22"/>
        </w:rPr>
        <w:br w:type="page"/>
      </w:r>
      <w:bookmarkStart w:id="114" w:name="_Toc23773"/>
      <w:r>
        <w:rPr>
          <w:rFonts w:hint="eastAsia" w:ascii="新宋体" w:hAnsi="新宋体" w:eastAsia="新宋体" w:cs="新宋体"/>
          <w:color w:val="auto"/>
          <w:kern w:val="0"/>
          <w:sz w:val="28"/>
          <w:szCs w:val="28"/>
        </w:rPr>
        <w:t>资格条件承诺函</w:t>
      </w:r>
      <w:bookmarkEnd w:id="114"/>
    </w:p>
    <w:p>
      <w:pPr>
        <w:spacing w:line="440" w:lineRule="exact"/>
        <w:ind w:right="-153" w:rightChars="-73"/>
        <w:rPr>
          <w:rFonts w:ascii="宋体" w:hAnsi="宋体" w:cs="宋体"/>
          <w:color w:val="auto"/>
          <w:sz w:val="22"/>
          <w:szCs w:val="22"/>
        </w:rPr>
      </w:pPr>
    </w:p>
    <w:p>
      <w:pPr>
        <w:spacing w:line="420" w:lineRule="exact"/>
        <w:rPr>
          <w:rFonts w:ascii="宋体" w:hAnsi="宋体"/>
          <w:color w:val="auto"/>
          <w:sz w:val="22"/>
          <w:szCs w:val="22"/>
        </w:rPr>
      </w:pPr>
      <w:r>
        <w:rPr>
          <w:rFonts w:hint="eastAsia" w:ascii="宋体" w:hAnsi="宋体"/>
          <w:color w:val="auto"/>
          <w:sz w:val="22"/>
          <w:szCs w:val="22"/>
        </w:rPr>
        <w:t>温州市交通运输局</w:t>
      </w:r>
    </w:p>
    <w:p>
      <w:pPr>
        <w:spacing w:line="420" w:lineRule="exact"/>
        <w:rPr>
          <w:rFonts w:ascii="新宋体" w:hAnsi="新宋体" w:eastAsia="新宋体" w:cs="新宋体"/>
          <w:color w:val="auto"/>
          <w:sz w:val="22"/>
          <w:szCs w:val="22"/>
        </w:rPr>
      </w:pPr>
      <w:r>
        <w:rPr>
          <w:rFonts w:hint="eastAsia" w:ascii="宋体" w:hAnsi="宋体"/>
          <w:color w:val="auto"/>
          <w:sz w:val="22"/>
          <w:szCs w:val="22"/>
        </w:rPr>
        <w:t>温州市智信招标代理有限公司：</w:t>
      </w:r>
    </w:p>
    <w:p>
      <w:pPr>
        <w:shd w:val="clear" w:color="auto" w:fill="FFFFFF"/>
        <w:snapToGrid w:val="0"/>
        <w:spacing w:line="440" w:lineRule="exact"/>
        <w:rPr>
          <w:rFonts w:ascii="宋体" w:hAnsi="宋体" w:cs="宋体"/>
          <w:color w:val="auto"/>
          <w:sz w:val="22"/>
          <w:szCs w:val="22"/>
        </w:rPr>
      </w:pPr>
    </w:p>
    <w:p>
      <w:pPr>
        <w:widowControl/>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我方参与（采购项目名称、编号）项目投标，现郑重承诺：</w:t>
      </w:r>
    </w:p>
    <w:p>
      <w:pPr>
        <w:widowControl/>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1.我方符合《中华人民共和国政府采购法》第二十二条规定的资格条件，即</w:t>
      </w:r>
    </w:p>
    <w:p>
      <w:pPr>
        <w:widowControl/>
        <w:snapToGrid w:val="0"/>
        <w:spacing w:line="440" w:lineRule="exact"/>
        <w:ind w:left="420" w:leftChars="200"/>
        <w:jc w:val="left"/>
        <w:rPr>
          <w:rFonts w:ascii="宋体" w:hAnsi="宋体" w:cs="宋体"/>
          <w:color w:val="auto"/>
          <w:kern w:val="0"/>
          <w:sz w:val="22"/>
          <w:szCs w:val="22"/>
        </w:rPr>
      </w:pPr>
      <w:r>
        <w:rPr>
          <w:rFonts w:hint="eastAsia" w:ascii="宋体" w:hAnsi="宋体" w:cs="宋体"/>
          <w:color w:val="auto"/>
          <w:kern w:val="0"/>
          <w:sz w:val="22"/>
          <w:szCs w:val="22"/>
        </w:rPr>
        <w:t>（1）我方具有独立承担民事责任的能力；</w:t>
      </w:r>
    </w:p>
    <w:p>
      <w:pPr>
        <w:widowControl/>
        <w:snapToGrid w:val="0"/>
        <w:spacing w:line="440" w:lineRule="exact"/>
        <w:ind w:left="420" w:leftChars="200"/>
        <w:jc w:val="left"/>
        <w:rPr>
          <w:rFonts w:ascii="宋体" w:hAnsi="宋体" w:cs="宋体"/>
          <w:color w:val="auto"/>
          <w:kern w:val="0"/>
          <w:sz w:val="22"/>
          <w:szCs w:val="22"/>
        </w:rPr>
      </w:pPr>
      <w:r>
        <w:rPr>
          <w:rFonts w:hint="eastAsia" w:ascii="宋体" w:hAnsi="宋体" w:cs="宋体"/>
          <w:color w:val="auto"/>
          <w:kern w:val="0"/>
          <w:sz w:val="22"/>
          <w:szCs w:val="22"/>
        </w:rPr>
        <w:t>（2）我方具有良好的商业信誉和健全的财务会计制度；</w:t>
      </w:r>
    </w:p>
    <w:p>
      <w:pPr>
        <w:widowControl/>
        <w:snapToGrid w:val="0"/>
        <w:spacing w:line="440" w:lineRule="exact"/>
        <w:ind w:left="420" w:leftChars="200"/>
        <w:jc w:val="left"/>
        <w:rPr>
          <w:rFonts w:ascii="宋体" w:hAnsi="宋体" w:cs="宋体"/>
          <w:color w:val="auto"/>
          <w:kern w:val="0"/>
          <w:sz w:val="22"/>
          <w:szCs w:val="22"/>
        </w:rPr>
      </w:pPr>
      <w:r>
        <w:rPr>
          <w:rFonts w:hint="eastAsia" w:ascii="宋体" w:hAnsi="宋体" w:cs="宋体"/>
          <w:color w:val="auto"/>
          <w:kern w:val="0"/>
          <w:sz w:val="22"/>
          <w:szCs w:val="22"/>
        </w:rPr>
        <w:t>（3）我方具有履行合同所必需的设备和专业技术能力；</w:t>
      </w:r>
    </w:p>
    <w:p>
      <w:pPr>
        <w:widowControl/>
        <w:snapToGrid w:val="0"/>
        <w:spacing w:line="440" w:lineRule="exact"/>
        <w:ind w:left="420" w:leftChars="200"/>
        <w:jc w:val="left"/>
        <w:rPr>
          <w:rFonts w:ascii="宋体" w:hAnsi="宋体" w:cs="宋体"/>
          <w:color w:val="auto"/>
          <w:kern w:val="0"/>
          <w:sz w:val="22"/>
          <w:szCs w:val="22"/>
        </w:rPr>
      </w:pPr>
      <w:r>
        <w:rPr>
          <w:rFonts w:hint="eastAsia" w:ascii="宋体" w:hAnsi="宋体" w:cs="宋体"/>
          <w:color w:val="auto"/>
          <w:kern w:val="0"/>
          <w:sz w:val="22"/>
          <w:szCs w:val="22"/>
        </w:rPr>
        <w:t>（4）我方有依法缴纳税收和社会保障资金的良好记录；</w:t>
      </w:r>
    </w:p>
    <w:p>
      <w:pPr>
        <w:widowControl/>
        <w:snapToGrid w:val="0"/>
        <w:spacing w:line="440" w:lineRule="exact"/>
        <w:ind w:left="970" w:leftChars="200" w:hanging="550" w:hangingChars="250"/>
        <w:jc w:val="left"/>
        <w:rPr>
          <w:rFonts w:ascii="宋体" w:hAnsi="宋体" w:cs="宋体"/>
          <w:color w:val="auto"/>
          <w:kern w:val="0"/>
          <w:sz w:val="22"/>
          <w:szCs w:val="22"/>
        </w:rPr>
      </w:pPr>
      <w:r>
        <w:rPr>
          <w:rFonts w:hint="eastAsia" w:ascii="宋体" w:hAnsi="宋体" w:cs="宋体"/>
          <w:color w:val="auto"/>
          <w:kern w:val="0"/>
          <w:sz w:val="22"/>
          <w:szCs w:val="22"/>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2.到本项目投标截止时间为止，我方未被“信用中国（</w:t>
      </w:r>
      <w:r>
        <w:rPr>
          <w:rFonts w:hint="eastAsia"/>
          <w:color w:val="auto"/>
        </w:rPr>
        <w:fldChar w:fldCharType="begin"/>
      </w:r>
      <w:r>
        <w:rPr>
          <w:color w:val="auto"/>
        </w:rPr>
        <w:instrText xml:space="preserve"> HYPERLINK "http://www.creditchina.gov.cn）、" </w:instrText>
      </w:r>
      <w:r>
        <w:rPr>
          <w:rFonts w:hint="eastAsia"/>
          <w:color w:val="auto"/>
        </w:rPr>
        <w:fldChar w:fldCharType="separate"/>
      </w:r>
      <w:r>
        <w:rPr>
          <w:rStyle w:val="70"/>
          <w:rFonts w:hint="eastAsia" w:ascii="宋体" w:hAnsi="宋体" w:cs="宋体"/>
          <w:color w:val="auto"/>
          <w:kern w:val="0"/>
          <w:sz w:val="22"/>
          <w:szCs w:val="22"/>
        </w:rPr>
        <w:t>www.creditchina.gov.cn）、</w:t>
      </w:r>
      <w:r>
        <w:rPr>
          <w:rStyle w:val="70"/>
          <w:rFonts w:hint="eastAsia" w:ascii="宋体" w:hAnsi="宋体" w:cs="宋体"/>
          <w:color w:val="auto"/>
          <w:kern w:val="0"/>
          <w:sz w:val="22"/>
          <w:szCs w:val="22"/>
        </w:rPr>
        <w:fldChar w:fldCharType="end"/>
      </w:r>
      <w:r>
        <w:rPr>
          <w:rFonts w:hint="eastAsia" w:ascii="宋体" w:hAnsi="宋体" w:cs="宋体"/>
          <w:color w:val="auto"/>
          <w:kern w:val="0"/>
          <w:sz w:val="22"/>
          <w:szCs w:val="22"/>
        </w:rPr>
        <w:t xml:space="preserve"> 中国政府采购网（www.ccgp.gov.cn）列入失信被执行人名单、重大税收违法案件当事人名单、政府采购严重违法失信行为记录名单。</w:t>
      </w:r>
    </w:p>
    <w:p>
      <w:pPr>
        <w:widowControl/>
        <w:snapToGrid w:val="0"/>
        <w:spacing w:line="440" w:lineRule="exact"/>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3.单位、法定代表人（单位负责人）、本项目被授权人及本项目负责人在参加本项目前三年内（以法院判决书生效日期为准）均无行贿犯罪记录。</w:t>
      </w:r>
    </w:p>
    <w:p>
      <w:pPr>
        <w:widowControl/>
        <w:snapToGrid w:val="0"/>
        <w:spacing w:line="440" w:lineRule="exact"/>
        <w:ind w:firstLine="440" w:firstLineChars="200"/>
        <w:jc w:val="left"/>
        <w:rPr>
          <w:rFonts w:ascii="宋体" w:hAnsi="宋体" w:cs="宋体"/>
          <w:color w:val="auto"/>
          <w:kern w:val="0"/>
          <w:sz w:val="22"/>
          <w:szCs w:val="22"/>
        </w:rPr>
      </w:pPr>
    </w:p>
    <w:p>
      <w:pPr>
        <w:widowControl/>
        <w:snapToGrid w:val="0"/>
        <w:spacing w:line="440" w:lineRule="exact"/>
        <w:ind w:left="210" w:leftChars="100"/>
        <w:jc w:val="left"/>
        <w:rPr>
          <w:rFonts w:ascii="宋体" w:hAnsi="宋体" w:cs="宋体"/>
          <w:color w:val="auto"/>
          <w:kern w:val="0"/>
          <w:sz w:val="22"/>
          <w:szCs w:val="22"/>
        </w:rPr>
      </w:pPr>
      <w:r>
        <w:rPr>
          <w:rFonts w:hint="eastAsia" w:ascii="宋体" w:hAnsi="宋体" w:cs="宋体"/>
          <w:color w:val="auto"/>
          <w:kern w:val="0"/>
          <w:sz w:val="22"/>
          <w:szCs w:val="22"/>
        </w:rPr>
        <w:t>以上承诺如有虚假，</w:t>
      </w:r>
      <w:r>
        <w:rPr>
          <w:rFonts w:hint="eastAsia" w:ascii="宋体" w:hAnsi="宋体" w:cs="宋体"/>
          <w:color w:val="auto"/>
          <w:sz w:val="22"/>
          <w:szCs w:val="22"/>
        </w:rPr>
        <w:t>愿接受取消</w:t>
      </w:r>
      <w:r>
        <w:rPr>
          <w:rFonts w:hint="eastAsia" w:ascii="宋体" w:hAnsi="宋体" w:cs="宋体"/>
          <w:color w:val="auto"/>
          <w:kern w:val="0"/>
          <w:sz w:val="22"/>
          <w:szCs w:val="22"/>
        </w:rPr>
        <w:t>我方任何资格（投标/中标/签订合同）</w:t>
      </w:r>
      <w:r>
        <w:rPr>
          <w:rFonts w:hint="eastAsia" w:ascii="宋体" w:hAnsi="宋体" w:cs="宋体"/>
          <w:color w:val="auto"/>
          <w:sz w:val="22"/>
          <w:szCs w:val="22"/>
        </w:rPr>
        <w:t>及其他任何形式的处理。</w:t>
      </w:r>
    </w:p>
    <w:p>
      <w:pPr>
        <w:pStyle w:val="31"/>
        <w:spacing w:line="600" w:lineRule="exact"/>
        <w:ind w:firstLine="4840" w:firstLineChars="2200"/>
        <w:rPr>
          <w:rFonts w:hAnsi="宋体" w:cs="宋体"/>
          <w:color w:val="auto"/>
          <w:sz w:val="22"/>
          <w:szCs w:val="22"/>
        </w:rPr>
      </w:pPr>
    </w:p>
    <w:p>
      <w:pPr>
        <w:spacing w:line="400" w:lineRule="exact"/>
        <w:ind w:firstLine="770" w:firstLineChars="350"/>
        <w:rPr>
          <w:rFonts w:ascii="宋体" w:hAnsi="宋体" w:cs="宋体"/>
          <w:color w:val="auto"/>
          <w:sz w:val="22"/>
          <w:szCs w:val="22"/>
        </w:rPr>
      </w:pPr>
      <w:r>
        <w:rPr>
          <w:rFonts w:hint="eastAsia" w:ascii="宋体" w:hAnsi="宋体" w:cs="宋体"/>
          <w:color w:val="auto"/>
          <w:sz w:val="22"/>
          <w:szCs w:val="22"/>
        </w:rPr>
        <w:t>投标人全称（盖章）：</w:t>
      </w:r>
    </w:p>
    <w:p>
      <w:pPr>
        <w:spacing w:line="400" w:lineRule="exact"/>
        <w:ind w:firstLine="770" w:firstLineChars="350"/>
        <w:rPr>
          <w:rFonts w:ascii="宋体" w:hAnsi="宋体" w:cs="宋体"/>
          <w:color w:val="auto"/>
          <w:sz w:val="22"/>
          <w:szCs w:val="22"/>
        </w:rPr>
      </w:pPr>
      <w:r>
        <w:rPr>
          <w:rFonts w:hint="eastAsia" w:ascii="宋体" w:hAnsi="宋体" w:cs="宋体"/>
          <w:color w:val="auto"/>
          <w:sz w:val="22"/>
          <w:szCs w:val="22"/>
        </w:rPr>
        <w:t>投标人代表（签名或盖章）：</w:t>
      </w:r>
    </w:p>
    <w:p>
      <w:pPr>
        <w:spacing w:line="400" w:lineRule="exact"/>
        <w:ind w:firstLine="770" w:firstLineChars="350"/>
        <w:rPr>
          <w:rFonts w:ascii="宋体" w:hAnsi="宋体" w:cs="宋体"/>
          <w:color w:val="auto"/>
          <w:sz w:val="22"/>
          <w:szCs w:val="22"/>
        </w:rPr>
      </w:pPr>
      <w:r>
        <w:rPr>
          <w:rFonts w:hint="eastAsia" w:ascii="宋体" w:hAnsi="宋体" w:cs="宋体"/>
          <w:color w:val="auto"/>
          <w:sz w:val="22"/>
          <w:szCs w:val="22"/>
        </w:rPr>
        <w:t>日 期：  年  月  日</w:t>
      </w:r>
    </w:p>
    <w:p>
      <w:pPr>
        <w:spacing w:line="380" w:lineRule="exact"/>
        <w:ind w:left="-358" w:leftChars="-171" w:hanging="1"/>
        <w:jc w:val="center"/>
        <w:rPr>
          <w:rFonts w:ascii="宋体" w:hAnsi="宋体" w:cs="宋体"/>
          <w:bCs/>
          <w:color w:val="auto"/>
          <w:sz w:val="22"/>
          <w:szCs w:val="22"/>
        </w:rPr>
      </w:pPr>
    </w:p>
    <w:p>
      <w:pPr>
        <w:spacing w:line="380" w:lineRule="exact"/>
        <w:ind w:left="-359" w:leftChars="-171" w:firstLine="442" w:firstLineChars="200"/>
        <w:rPr>
          <w:rFonts w:ascii="宋体" w:hAnsi="宋体" w:cs="宋体"/>
          <w:b/>
          <w:bCs/>
          <w:sz w:val="22"/>
          <w:szCs w:val="22"/>
          <w:u w:val="single"/>
        </w:rPr>
      </w:pPr>
      <w:r>
        <w:rPr>
          <w:rFonts w:hint="eastAsia" w:ascii="宋体" w:hAnsi="宋体" w:cs="宋体"/>
          <w:b/>
          <w:bCs/>
          <w:sz w:val="22"/>
          <w:szCs w:val="22"/>
        </w:rPr>
        <w:t>注：</w:t>
      </w:r>
      <w:r>
        <w:rPr>
          <w:rFonts w:hint="eastAsia" w:ascii="宋体" w:hAnsi="宋体" w:cs="宋体"/>
          <w:b/>
          <w:bCs/>
          <w:sz w:val="22"/>
          <w:szCs w:val="22"/>
          <w:u w:val="single"/>
        </w:rPr>
        <w:t>▲不提交本承诺书按无效标处理</w:t>
      </w:r>
      <w:r>
        <w:rPr>
          <w:rFonts w:hint="eastAsia" w:ascii="宋体" w:hAnsi="宋体" w:cs="宋体"/>
          <w:b/>
          <w:bCs/>
          <w:sz w:val="22"/>
          <w:szCs w:val="22"/>
          <w:u w:val="single"/>
          <w:lang w:eastAsia="zh-CN"/>
        </w:rPr>
        <w:t>，</w:t>
      </w:r>
      <w:r>
        <w:rPr>
          <w:rFonts w:hint="eastAsia" w:ascii="宋体" w:hAnsi="宋体" w:cs="宋体"/>
          <w:b/>
          <w:bCs/>
          <w:sz w:val="22"/>
          <w:szCs w:val="22"/>
          <w:highlight w:val="none"/>
          <w:u w:val="single"/>
        </w:rPr>
        <w:t>（如为联合体，联合体双方均需提供）</w:t>
      </w:r>
      <w:r>
        <w:rPr>
          <w:rFonts w:hint="eastAsia" w:ascii="宋体" w:hAnsi="宋体" w:cs="宋体"/>
          <w:b/>
          <w:bCs/>
          <w:sz w:val="22"/>
          <w:szCs w:val="22"/>
          <w:u w:val="single"/>
        </w:rPr>
        <w:t>。</w:t>
      </w:r>
    </w:p>
    <w:p>
      <w:pPr>
        <w:widowControl/>
        <w:adjustRightInd w:val="0"/>
        <w:snapToGrid w:val="0"/>
        <w:spacing w:line="360" w:lineRule="auto"/>
        <w:jc w:val="center"/>
        <w:rPr>
          <w:rFonts w:ascii="新宋体" w:hAnsi="新宋体" w:eastAsia="新宋体" w:cs="新宋体"/>
          <w:b/>
          <w:color w:val="auto"/>
          <w:kern w:val="0"/>
          <w:sz w:val="28"/>
          <w:szCs w:val="28"/>
        </w:rPr>
      </w:pPr>
      <w:r>
        <w:rPr>
          <w:rFonts w:hint="eastAsia" w:ascii="新宋体" w:hAnsi="新宋体" w:eastAsia="新宋体" w:cs="新宋体"/>
          <w:b/>
          <w:color w:val="auto"/>
          <w:kern w:val="0"/>
          <w:sz w:val="28"/>
          <w:szCs w:val="28"/>
        </w:rPr>
        <w:br w:type="page"/>
      </w:r>
      <w:r>
        <w:rPr>
          <w:rFonts w:hint="eastAsia" w:ascii="新宋体" w:hAnsi="新宋体" w:eastAsia="新宋体" w:cs="新宋体"/>
          <w:b/>
          <w:color w:val="auto"/>
          <w:kern w:val="0"/>
          <w:sz w:val="28"/>
          <w:szCs w:val="28"/>
        </w:rPr>
        <w:t>申请材料真实性声明</w:t>
      </w:r>
    </w:p>
    <w:p>
      <w:pPr>
        <w:widowControl/>
        <w:adjustRightInd w:val="0"/>
        <w:snapToGrid w:val="0"/>
        <w:spacing w:line="360" w:lineRule="auto"/>
        <w:jc w:val="center"/>
        <w:rPr>
          <w:rFonts w:ascii="新宋体" w:hAnsi="新宋体" w:eastAsia="新宋体" w:cs="新宋体"/>
          <w:b/>
          <w:color w:val="auto"/>
          <w:kern w:val="0"/>
          <w:sz w:val="28"/>
          <w:szCs w:val="28"/>
        </w:rPr>
      </w:pPr>
    </w:p>
    <w:p>
      <w:pPr>
        <w:spacing w:line="420" w:lineRule="exact"/>
        <w:rPr>
          <w:rFonts w:ascii="新宋体" w:hAnsi="新宋体" w:eastAsia="新宋体"/>
          <w:color w:val="auto"/>
          <w:sz w:val="22"/>
          <w:szCs w:val="22"/>
        </w:rPr>
      </w:pPr>
      <w:r>
        <w:rPr>
          <w:rFonts w:hint="eastAsia" w:ascii="新宋体" w:hAnsi="新宋体" w:eastAsia="新宋体"/>
          <w:color w:val="auto"/>
          <w:sz w:val="22"/>
          <w:szCs w:val="22"/>
        </w:rPr>
        <w:t>温州市交通运输局</w:t>
      </w:r>
    </w:p>
    <w:p>
      <w:pPr>
        <w:spacing w:line="460" w:lineRule="exact"/>
        <w:rPr>
          <w:rFonts w:ascii="新宋体" w:hAnsi="新宋体" w:eastAsia="新宋体" w:cs="新宋体"/>
          <w:color w:val="auto"/>
          <w:sz w:val="22"/>
          <w:szCs w:val="22"/>
        </w:rPr>
      </w:pPr>
      <w:r>
        <w:rPr>
          <w:rFonts w:hint="eastAsia" w:ascii="宋体" w:hAnsi="宋体"/>
          <w:color w:val="auto"/>
          <w:sz w:val="22"/>
          <w:szCs w:val="22"/>
        </w:rPr>
        <w:t>温州市智信招标代理有限公司：</w:t>
      </w:r>
    </w:p>
    <w:p>
      <w:pPr>
        <w:widowControl/>
        <w:adjustRightInd w:val="0"/>
        <w:snapToGrid w:val="0"/>
        <w:spacing w:line="360" w:lineRule="auto"/>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hint="eastAsia" w:ascii="新宋体" w:hAnsi="新宋体" w:eastAsia="新宋体" w:cs="新宋体"/>
          <w:kern w:val="0"/>
          <w:sz w:val="22"/>
          <w:szCs w:val="22"/>
        </w:rPr>
      </w:pPr>
      <w:r>
        <w:rPr>
          <w:rFonts w:hint="eastAsia" w:ascii="新宋体" w:hAnsi="新宋体" w:eastAsia="新宋体" w:cs="新宋体"/>
          <w:kern w:val="0"/>
          <w:sz w:val="22"/>
          <w:szCs w:val="22"/>
        </w:rPr>
        <w:t>我单位此次响应参与</w:t>
      </w:r>
      <w:r>
        <w:rPr>
          <w:rFonts w:hint="eastAsia" w:ascii="宋体" w:hAnsi="宋体" w:cs="宋体"/>
          <w:sz w:val="22"/>
          <w:szCs w:val="22"/>
          <w:u w:val="single"/>
        </w:rPr>
        <w:t xml:space="preserve">                          </w:t>
      </w:r>
      <w:r>
        <w:rPr>
          <w:rFonts w:hint="eastAsia" w:ascii="宋体" w:hAnsi="宋体" w:cs="宋体"/>
          <w:sz w:val="22"/>
          <w:szCs w:val="22"/>
        </w:rPr>
        <w:t>（采购项目名称、编号）招投标活动</w:t>
      </w:r>
      <w:r>
        <w:rPr>
          <w:rFonts w:hint="eastAsia" w:ascii="新宋体" w:hAnsi="新宋体" w:eastAsia="新宋体" w:cs="新宋体"/>
          <w:kern w:val="0"/>
          <w:sz w:val="22"/>
          <w:szCs w:val="22"/>
        </w:rPr>
        <w:t>所提交的全部材料均真实、合法。如有不实之处，愿负相应的法律责任，并承担由此产生的一切后果。</w:t>
      </w: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p>
    <w:p>
      <w:pPr>
        <w:widowControl/>
        <w:adjustRightInd w:val="0"/>
        <w:snapToGrid w:val="0"/>
        <w:spacing w:line="360" w:lineRule="auto"/>
        <w:ind w:firstLine="440" w:firstLineChars="200"/>
        <w:jc w:val="left"/>
        <w:rPr>
          <w:rFonts w:ascii="新宋体" w:hAnsi="新宋体" w:eastAsia="新宋体" w:cs="新宋体"/>
          <w:color w:val="auto"/>
          <w:kern w:val="0"/>
          <w:sz w:val="22"/>
          <w:szCs w:val="22"/>
        </w:rPr>
      </w:pPr>
      <w:r>
        <w:rPr>
          <w:rFonts w:hint="eastAsia" w:ascii="新宋体" w:hAnsi="新宋体" w:eastAsia="新宋体" w:cs="新宋体"/>
          <w:color w:val="auto"/>
          <w:kern w:val="0"/>
          <w:sz w:val="22"/>
          <w:szCs w:val="22"/>
        </w:rPr>
        <w:t>特此声明。</w:t>
      </w:r>
    </w:p>
    <w:p>
      <w:pPr>
        <w:spacing w:line="400" w:lineRule="exact"/>
        <w:ind w:firstLine="770" w:firstLineChars="350"/>
        <w:rPr>
          <w:rFonts w:ascii="宋体" w:hAnsi="宋体" w:cs="宋体"/>
          <w:color w:val="auto"/>
          <w:sz w:val="22"/>
          <w:szCs w:val="22"/>
        </w:rPr>
      </w:pPr>
      <w:r>
        <w:rPr>
          <w:rFonts w:hint="eastAsia" w:ascii="宋体" w:hAnsi="宋体" w:cs="宋体"/>
          <w:color w:val="auto"/>
          <w:sz w:val="22"/>
          <w:szCs w:val="22"/>
        </w:rPr>
        <w:t>投标人全称（盖章）：</w:t>
      </w:r>
    </w:p>
    <w:p>
      <w:pPr>
        <w:spacing w:line="400" w:lineRule="exact"/>
        <w:ind w:firstLine="770" w:firstLineChars="350"/>
        <w:rPr>
          <w:rFonts w:ascii="宋体" w:hAnsi="宋体" w:cs="宋体"/>
          <w:color w:val="auto"/>
          <w:sz w:val="22"/>
          <w:szCs w:val="22"/>
        </w:rPr>
      </w:pPr>
      <w:r>
        <w:rPr>
          <w:rFonts w:hint="eastAsia" w:ascii="宋体" w:hAnsi="宋体" w:cs="宋体"/>
          <w:color w:val="auto"/>
          <w:sz w:val="22"/>
          <w:szCs w:val="22"/>
        </w:rPr>
        <w:t>投标人代表（签名或盖章）：</w:t>
      </w:r>
    </w:p>
    <w:p>
      <w:pPr>
        <w:spacing w:line="400" w:lineRule="exact"/>
        <w:ind w:firstLine="770" w:firstLineChars="350"/>
        <w:rPr>
          <w:rFonts w:ascii="宋体" w:hAnsi="宋体" w:cs="宋体"/>
          <w:color w:val="auto"/>
          <w:sz w:val="22"/>
          <w:szCs w:val="22"/>
        </w:rPr>
      </w:pPr>
      <w:r>
        <w:rPr>
          <w:rFonts w:hint="eastAsia" w:ascii="宋体" w:hAnsi="宋体" w:cs="宋体"/>
          <w:color w:val="auto"/>
          <w:sz w:val="22"/>
          <w:szCs w:val="22"/>
        </w:rPr>
        <w:t>日 期：  年  月  日</w:t>
      </w:r>
    </w:p>
    <w:p>
      <w:pPr>
        <w:widowControl/>
        <w:adjustRightInd w:val="0"/>
        <w:snapToGrid w:val="0"/>
        <w:spacing w:line="360" w:lineRule="auto"/>
        <w:ind w:firstLine="440" w:firstLineChars="200"/>
        <w:jc w:val="left"/>
        <w:rPr>
          <w:rFonts w:ascii="宋体" w:hAnsi="宋体" w:cs="宋体"/>
          <w:color w:val="auto"/>
          <w:kern w:val="0"/>
          <w:sz w:val="22"/>
          <w:szCs w:val="22"/>
        </w:rPr>
      </w:pPr>
    </w:p>
    <w:p>
      <w:pPr>
        <w:spacing w:line="360" w:lineRule="auto"/>
        <w:rPr>
          <w:rFonts w:ascii="宋体" w:hAnsi="宋体" w:cs="宋体"/>
          <w:color w:val="auto"/>
          <w:sz w:val="22"/>
        </w:rPr>
      </w:pPr>
    </w:p>
    <w:p>
      <w:pPr>
        <w:spacing w:line="360" w:lineRule="auto"/>
        <w:rPr>
          <w:rFonts w:ascii="宋体" w:hAnsi="宋体" w:cs="宋体"/>
          <w:color w:val="auto"/>
          <w:sz w:val="22"/>
        </w:rPr>
      </w:pPr>
    </w:p>
    <w:p>
      <w:pPr>
        <w:spacing w:line="380" w:lineRule="exact"/>
        <w:ind w:left="-359" w:leftChars="-171" w:firstLine="442" w:firstLineChars="200"/>
        <w:rPr>
          <w:rFonts w:ascii="宋体" w:hAnsi="宋体" w:cs="宋体"/>
          <w:b/>
          <w:bCs/>
          <w:sz w:val="22"/>
          <w:szCs w:val="22"/>
          <w:u w:val="single"/>
        </w:rPr>
      </w:pPr>
      <w:r>
        <w:rPr>
          <w:rFonts w:hint="eastAsia" w:ascii="宋体" w:hAnsi="宋体" w:cs="宋体"/>
          <w:b/>
          <w:bCs/>
          <w:sz w:val="22"/>
          <w:szCs w:val="22"/>
        </w:rPr>
        <w:t>注：</w:t>
      </w:r>
      <w:r>
        <w:rPr>
          <w:rFonts w:hint="eastAsia" w:ascii="宋体" w:hAnsi="宋体" w:cs="宋体"/>
          <w:b/>
          <w:bCs/>
          <w:sz w:val="22"/>
          <w:szCs w:val="22"/>
          <w:u w:val="single"/>
        </w:rPr>
        <w:t>▲不提交本承诺书按无效标处理</w:t>
      </w:r>
      <w:r>
        <w:rPr>
          <w:rFonts w:hint="eastAsia" w:ascii="宋体" w:hAnsi="宋体" w:cs="宋体"/>
          <w:b/>
          <w:bCs/>
          <w:sz w:val="22"/>
          <w:szCs w:val="22"/>
          <w:u w:val="single"/>
          <w:lang w:eastAsia="zh-CN"/>
        </w:rPr>
        <w:t>，</w:t>
      </w:r>
      <w:r>
        <w:rPr>
          <w:rFonts w:hint="eastAsia" w:ascii="宋体" w:hAnsi="宋体" w:cs="宋体"/>
          <w:b/>
          <w:bCs/>
          <w:sz w:val="22"/>
          <w:szCs w:val="22"/>
          <w:highlight w:val="none"/>
          <w:u w:val="single"/>
        </w:rPr>
        <w:t>（如为联合体，联合体双方均需提供）</w:t>
      </w:r>
      <w:r>
        <w:rPr>
          <w:rFonts w:hint="eastAsia" w:ascii="宋体" w:hAnsi="宋体" w:cs="宋体"/>
          <w:b/>
          <w:bCs/>
          <w:sz w:val="22"/>
          <w:szCs w:val="22"/>
          <w:u w:val="single"/>
        </w:rPr>
        <w:t>。</w:t>
      </w:r>
    </w:p>
    <w:p>
      <w:pPr>
        <w:spacing w:line="440" w:lineRule="exact"/>
        <w:rPr>
          <w:rFonts w:ascii="宋体" w:hAnsi="宋体"/>
          <w:color w:val="auto"/>
          <w:sz w:val="22"/>
          <w:szCs w:val="22"/>
          <w:u w:val="single"/>
        </w:rPr>
      </w:pPr>
    </w:p>
    <w:p>
      <w:pPr>
        <w:pStyle w:val="24"/>
        <w:ind w:firstLine="221"/>
        <w:rPr>
          <w:rFonts w:ascii="宋体" w:hAnsi="宋体"/>
          <w:color w:val="auto"/>
          <w:sz w:val="22"/>
          <w:szCs w:val="22"/>
          <w:u w:val="single"/>
        </w:rPr>
      </w:pPr>
    </w:p>
    <w:p>
      <w:pPr>
        <w:pStyle w:val="24"/>
        <w:ind w:firstLine="321"/>
        <w:rPr>
          <w:rFonts w:ascii="宋体" w:hAnsi="宋体" w:cs="宋体"/>
          <w:color w:val="auto"/>
        </w:rPr>
      </w:pPr>
    </w:p>
    <w:p>
      <w:pPr>
        <w:pStyle w:val="4"/>
        <w:jc w:val="left"/>
        <w:rPr>
          <w:rFonts w:ascii="宋体" w:hAnsi="宋体" w:eastAsia="宋体" w:cs="宋体"/>
          <w:b w:val="0"/>
          <w:color w:val="auto"/>
          <w:szCs w:val="21"/>
        </w:rPr>
      </w:pPr>
      <w:r>
        <w:rPr>
          <w:rFonts w:hint="eastAsia" w:ascii="宋体" w:hAnsi="宋体" w:eastAsia="宋体" w:cs="宋体"/>
          <w:b w:val="0"/>
          <w:color w:val="auto"/>
          <w:szCs w:val="21"/>
        </w:rPr>
        <w:br w:type="page"/>
      </w:r>
    </w:p>
    <w:p>
      <w:pPr>
        <w:spacing w:before="120" w:beforeLines="50" w:after="120" w:afterLines="50"/>
        <w:rPr>
          <w:rFonts w:ascii="宋体" w:hAnsi="宋体" w:cs="宋体"/>
          <w:color w:val="auto"/>
          <w:sz w:val="22"/>
          <w:szCs w:val="22"/>
        </w:rPr>
      </w:pPr>
      <w:r>
        <w:rPr>
          <w:rFonts w:hint="eastAsia" w:ascii="宋体" w:hAnsi="宋体" w:cs="宋体"/>
          <w:color w:val="auto"/>
          <w:sz w:val="22"/>
          <w:szCs w:val="22"/>
        </w:rPr>
        <w:t>（商务技术文件封面，供参考）</w:t>
      </w:r>
      <w:bookmarkEnd w:id="112"/>
      <w:bookmarkEnd w:id="113"/>
    </w:p>
    <w:p>
      <w:pPr>
        <w:rPr>
          <w:rFonts w:ascii="宋体" w:hAnsi="宋体" w:cs="宋体"/>
          <w:color w:val="auto"/>
        </w:rPr>
      </w:pPr>
    </w:p>
    <w:p>
      <w:pPr>
        <w:rPr>
          <w:rFonts w:ascii="宋体" w:hAnsi="宋体" w:cs="宋体"/>
          <w:color w:val="auto"/>
        </w:rPr>
      </w:pPr>
    </w:p>
    <w:p>
      <w:pPr>
        <w:rPr>
          <w:rFonts w:ascii="宋体" w:hAnsi="宋体" w:cs="宋体"/>
          <w:color w:val="auto"/>
        </w:rPr>
      </w:pPr>
    </w:p>
    <w:p>
      <w:pPr>
        <w:jc w:val="center"/>
        <w:rPr>
          <w:rFonts w:hint="eastAsia" w:ascii="宋体" w:hAnsi="宋体" w:cs="宋体"/>
          <w:sz w:val="28"/>
          <w:szCs w:val="28"/>
        </w:rPr>
      </w:pPr>
      <w:r>
        <w:rPr>
          <w:rFonts w:hint="eastAsia" w:ascii="宋体" w:hAnsi="宋体" w:cs="宋体"/>
          <w:sz w:val="28"/>
          <w:szCs w:val="28"/>
          <w:u w:val="single"/>
        </w:rPr>
        <w:t xml:space="preserve">                 （项目名称）              </w:t>
      </w:r>
      <w:r>
        <w:rPr>
          <w:rFonts w:hint="eastAsia" w:ascii="宋体" w:hAnsi="宋体" w:cs="宋体"/>
          <w:sz w:val="28"/>
          <w:szCs w:val="28"/>
        </w:rPr>
        <w:t>投标文件</w:t>
      </w:r>
    </w:p>
    <w:p>
      <w:pPr>
        <w:rPr>
          <w:rFonts w:hint="eastAsia" w:ascii="宋体" w:hAnsi="宋体" w:cs="宋体"/>
          <w:sz w:val="28"/>
          <w:szCs w:val="28"/>
        </w:rPr>
      </w:pPr>
    </w:p>
    <w:p>
      <w:pPr>
        <w:rPr>
          <w:rFonts w:hint="eastAsia" w:ascii="宋体" w:hAnsi="宋体" w:cs="宋体"/>
          <w:sz w:val="28"/>
          <w:szCs w:val="28"/>
        </w:rPr>
      </w:pPr>
    </w:p>
    <w:p>
      <w:pPr>
        <w:pStyle w:val="24"/>
        <w:ind w:firstLine="281"/>
        <w:rPr>
          <w:rFonts w:hint="eastAsia" w:ascii="宋体" w:hAnsi="宋体" w:cs="宋体"/>
          <w:sz w:val="28"/>
          <w:szCs w:val="28"/>
        </w:rPr>
      </w:pPr>
    </w:p>
    <w:p>
      <w:pPr>
        <w:pStyle w:val="24"/>
        <w:ind w:firstLine="281"/>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jc w:val="center"/>
        <w:rPr>
          <w:rFonts w:hint="eastAsia" w:ascii="宋体" w:hAnsi="宋体" w:cs="宋体"/>
          <w:sz w:val="52"/>
          <w:szCs w:val="52"/>
        </w:rPr>
      </w:pPr>
      <w:r>
        <w:rPr>
          <w:rFonts w:hint="eastAsia" w:ascii="宋体" w:hAnsi="宋体" w:cs="宋体"/>
          <w:sz w:val="52"/>
          <w:szCs w:val="52"/>
        </w:rPr>
        <w:t>商 务 技 术 文 件</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pStyle w:val="24"/>
        <w:ind w:firstLine="321"/>
        <w:rPr>
          <w:rFonts w:hint="eastAsia" w:ascii="宋体" w:hAnsi="宋体" w:cs="宋体"/>
        </w:rPr>
      </w:pPr>
    </w:p>
    <w:p>
      <w:pPr>
        <w:spacing w:line="360" w:lineRule="auto"/>
        <w:rPr>
          <w:rFonts w:hint="eastAsia" w:ascii="宋体" w:hAnsi="宋体" w:cs="宋体"/>
          <w:szCs w:val="21"/>
        </w:rPr>
      </w:pPr>
    </w:p>
    <w:p>
      <w:pPr>
        <w:jc w:val="center"/>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（盖单位章）</w:t>
      </w:r>
    </w:p>
    <w:p>
      <w:pPr>
        <w:rPr>
          <w:rFonts w:hint="eastAsia" w:ascii="宋体" w:hAnsi="宋体" w:cs="宋体"/>
          <w:sz w:val="28"/>
          <w:szCs w:val="28"/>
          <w:u w:val="single"/>
        </w:rPr>
      </w:pPr>
    </w:p>
    <w:p>
      <w:pPr>
        <w:jc w:val="center"/>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p>
    <w:p>
      <w:pP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24"/>
        <w:ind w:firstLine="0" w:firstLineChars="0"/>
        <w:jc w:val="center"/>
        <w:rPr>
          <w:rFonts w:ascii="宋体" w:hAnsi="宋体" w:cs="宋体"/>
          <w:color w:val="auto"/>
        </w:rPr>
      </w:pPr>
      <w:r>
        <w:rPr>
          <w:rFonts w:hint="eastAsia" w:ascii="宋体" w:hAnsi="宋体" w:cs="宋体"/>
          <w:color w:val="auto"/>
        </w:rPr>
        <w:br w:type="page"/>
      </w:r>
      <w:r>
        <w:rPr>
          <w:rFonts w:hint="eastAsia" w:ascii="宋体" w:hAnsi="宋体" w:cs="宋体"/>
          <w:color w:val="auto"/>
        </w:rPr>
        <w:t>目录</w:t>
      </w:r>
    </w:p>
    <w:p>
      <w:pPr>
        <w:pStyle w:val="24"/>
        <w:ind w:firstLine="0" w:firstLineChars="0"/>
        <w:jc w:val="center"/>
        <w:rPr>
          <w:rFonts w:ascii="宋体" w:hAnsi="宋体" w:cs="宋体"/>
          <w:color w:val="auto"/>
          <w:sz w:val="22"/>
          <w:szCs w:val="22"/>
        </w:rPr>
      </w:pPr>
    </w:p>
    <w:p>
      <w:pPr>
        <w:numPr>
          <w:ilvl w:val="0"/>
          <w:numId w:val="31"/>
        </w:numPr>
        <w:spacing w:line="540" w:lineRule="exact"/>
        <w:rPr>
          <w:rFonts w:ascii="宋体" w:hAnsi="宋体" w:cs="宋体"/>
          <w:color w:val="auto"/>
          <w:sz w:val="22"/>
          <w:szCs w:val="22"/>
        </w:rPr>
      </w:pPr>
      <w:r>
        <w:rPr>
          <w:rFonts w:hint="eastAsia" w:ascii="宋体" w:hAnsi="宋体" w:cs="宋体"/>
          <w:color w:val="auto"/>
          <w:sz w:val="22"/>
          <w:szCs w:val="22"/>
        </w:rPr>
        <w:t>针对评分细则，编制目录索引，注明评标细则项目所在投标文件页码，格式自拟</w:t>
      </w:r>
    </w:p>
    <w:p>
      <w:pPr>
        <w:numPr>
          <w:ilvl w:val="0"/>
          <w:numId w:val="31"/>
        </w:numPr>
        <w:spacing w:line="540" w:lineRule="exact"/>
        <w:rPr>
          <w:rFonts w:ascii="宋体" w:hAnsi="宋体" w:cs="宋体"/>
          <w:color w:val="auto"/>
          <w:sz w:val="22"/>
          <w:szCs w:val="22"/>
        </w:rPr>
      </w:pPr>
      <w:r>
        <w:rPr>
          <w:rFonts w:hint="eastAsia" w:ascii="宋体" w:hAnsi="宋体" w:cs="宋体"/>
          <w:color w:val="auto"/>
          <w:sz w:val="22"/>
          <w:szCs w:val="22"/>
        </w:rPr>
        <w:t>投标函</w:t>
      </w:r>
    </w:p>
    <w:p>
      <w:pPr>
        <w:numPr>
          <w:ilvl w:val="0"/>
          <w:numId w:val="31"/>
        </w:numPr>
        <w:spacing w:line="540" w:lineRule="exact"/>
        <w:rPr>
          <w:rFonts w:ascii="宋体" w:hAnsi="宋体" w:cs="宋体"/>
          <w:color w:val="auto"/>
          <w:sz w:val="22"/>
          <w:szCs w:val="22"/>
        </w:rPr>
      </w:pPr>
      <w:r>
        <w:rPr>
          <w:rFonts w:hint="eastAsia" w:ascii="宋体" w:hAnsi="宋体" w:cs="宋体"/>
          <w:color w:val="auto"/>
          <w:sz w:val="22"/>
          <w:szCs w:val="22"/>
        </w:rPr>
        <w:t>技术要求应答表、商务条款偏离表</w:t>
      </w:r>
    </w:p>
    <w:p>
      <w:pPr>
        <w:numPr>
          <w:ilvl w:val="0"/>
          <w:numId w:val="31"/>
        </w:numPr>
        <w:spacing w:line="540" w:lineRule="exact"/>
        <w:rPr>
          <w:rFonts w:ascii="宋体" w:hAnsi="宋体" w:cs="宋体"/>
          <w:color w:val="auto"/>
          <w:sz w:val="22"/>
          <w:szCs w:val="22"/>
        </w:rPr>
      </w:pPr>
      <w:r>
        <w:rPr>
          <w:rFonts w:hint="eastAsia" w:ascii="宋体" w:hAnsi="宋体" w:cs="宋体"/>
          <w:color w:val="auto"/>
          <w:sz w:val="22"/>
          <w:szCs w:val="22"/>
        </w:rPr>
        <w:t>投标人实力及相关业绩证明材料（根据商务技术文件评分细则提供相应的证明文件及材料）</w:t>
      </w:r>
    </w:p>
    <w:p>
      <w:pPr>
        <w:numPr>
          <w:ilvl w:val="0"/>
          <w:numId w:val="31"/>
        </w:numPr>
        <w:spacing w:line="540" w:lineRule="exact"/>
        <w:rPr>
          <w:rFonts w:ascii="宋体" w:hAnsi="宋体" w:cs="宋体"/>
          <w:color w:val="auto"/>
          <w:sz w:val="22"/>
          <w:szCs w:val="22"/>
        </w:rPr>
      </w:pPr>
      <w:r>
        <w:rPr>
          <w:rFonts w:hint="eastAsia" w:ascii="宋体" w:hAnsi="宋体" w:cs="宋体"/>
          <w:color w:val="auto"/>
          <w:sz w:val="22"/>
          <w:szCs w:val="22"/>
        </w:rPr>
        <w:t>项目负责人及项目组成员情况</w:t>
      </w:r>
    </w:p>
    <w:p>
      <w:pPr>
        <w:numPr>
          <w:ilvl w:val="0"/>
          <w:numId w:val="31"/>
        </w:numPr>
        <w:spacing w:line="540" w:lineRule="exact"/>
        <w:rPr>
          <w:rFonts w:ascii="宋体" w:hAnsi="宋体" w:cs="宋体"/>
          <w:color w:val="auto"/>
          <w:sz w:val="22"/>
          <w:szCs w:val="22"/>
        </w:rPr>
      </w:pPr>
      <w:r>
        <w:rPr>
          <w:rFonts w:hint="eastAsia" w:ascii="宋体" w:hAnsi="宋体" w:cs="宋体"/>
          <w:color w:val="auto"/>
          <w:sz w:val="22"/>
          <w:szCs w:val="22"/>
        </w:rPr>
        <w:t>项目整体技术方案（格式及内容自拟）</w:t>
      </w:r>
    </w:p>
    <w:p>
      <w:pPr>
        <w:spacing w:line="460" w:lineRule="exact"/>
        <w:rPr>
          <w:rFonts w:ascii="宋体" w:hAnsi="宋体" w:cs="宋体"/>
          <w:b/>
          <w:bCs/>
          <w:color w:val="auto"/>
          <w:sz w:val="22"/>
          <w:szCs w:val="22"/>
        </w:rPr>
      </w:pPr>
      <w:r>
        <w:rPr>
          <w:rFonts w:hint="eastAsia" w:ascii="宋体" w:hAnsi="宋体" w:cs="宋体"/>
          <w:color w:val="auto"/>
          <w:sz w:val="22"/>
          <w:szCs w:val="22"/>
        </w:rPr>
        <w:br w:type="page"/>
      </w:r>
      <w:r>
        <w:rPr>
          <w:rFonts w:hint="eastAsia" w:ascii="宋体" w:hAnsi="宋体" w:cs="宋体"/>
          <w:b/>
          <w:bCs/>
          <w:color w:val="auto"/>
          <w:sz w:val="22"/>
          <w:szCs w:val="22"/>
        </w:rPr>
        <w:t>附件一</w:t>
      </w:r>
    </w:p>
    <w:p>
      <w:pPr>
        <w:spacing w:line="460" w:lineRule="exact"/>
        <w:ind w:left="22" w:hanging="22" w:hangingChars="8"/>
        <w:jc w:val="center"/>
        <w:rPr>
          <w:rFonts w:ascii="宋体" w:hAnsi="宋体" w:cs="宋体"/>
          <w:b/>
          <w:bCs/>
          <w:color w:val="auto"/>
          <w:sz w:val="28"/>
          <w:szCs w:val="28"/>
        </w:rPr>
      </w:pPr>
      <w:r>
        <w:rPr>
          <w:rFonts w:hint="eastAsia" w:ascii="宋体" w:hAnsi="宋体" w:cs="宋体"/>
          <w:b/>
          <w:bCs/>
          <w:color w:val="auto"/>
          <w:sz w:val="28"/>
          <w:szCs w:val="28"/>
        </w:rPr>
        <w:t>投 标 函</w:t>
      </w:r>
    </w:p>
    <w:p>
      <w:pPr>
        <w:spacing w:line="420" w:lineRule="exact"/>
        <w:rPr>
          <w:rFonts w:ascii="宋体" w:hAnsi="宋体" w:cs="宋体"/>
          <w:color w:val="auto"/>
          <w:sz w:val="22"/>
          <w:szCs w:val="22"/>
        </w:rPr>
      </w:pPr>
      <w:r>
        <w:rPr>
          <w:rFonts w:hint="eastAsia" w:ascii="宋体" w:hAnsi="宋体" w:cs="宋体"/>
          <w:color w:val="auto"/>
          <w:sz w:val="22"/>
          <w:szCs w:val="22"/>
        </w:rPr>
        <w:t>温州市交通运输局：</w:t>
      </w:r>
    </w:p>
    <w:p>
      <w:pPr>
        <w:spacing w:line="420" w:lineRule="exact"/>
        <w:rPr>
          <w:rFonts w:ascii="宋体" w:hAnsi="宋体" w:cs="宋体"/>
          <w:color w:val="auto"/>
          <w:sz w:val="22"/>
          <w:szCs w:val="22"/>
        </w:rPr>
      </w:pPr>
      <w:r>
        <w:rPr>
          <w:rFonts w:hint="eastAsia" w:ascii="宋体" w:hAnsi="宋体" w:cs="宋体"/>
          <w:color w:val="auto"/>
          <w:sz w:val="22"/>
          <w:szCs w:val="22"/>
        </w:rPr>
        <w:t>温州市智信招标代理有限公司：</w:t>
      </w:r>
    </w:p>
    <w:p>
      <w:pPr>
        <w:spacing w:line="420" w:lineRule="exact"/>
        <w:ind w:firstLine="440" w:firstLineChars="200"/>
        <w:rPr>
          <w:rFonts w:ascii="宋体" w:hAnsi="宋体" w:cs="宋体"/>
          <w:color w:val="auto"/>
          <w:sz w:val="22"/>
          <w:szCs w:val="22"/>
        </w:rPr>
      </w:pPr>
      <w:r>
        <w:rPr>
          <w:rFonts w:hint="eastAsia" w:ascii="宋体" w:hAnsi="宋体" w:cs="宋体"/>
          <w:color w:val="auto"/>
          <w:sz w:val="22"/>
          <w:szCs w:val="22"/>
        </w:rPr>
        <w:t>根据贵方为项目（项目编号：）的投标邀请，我方</w:t>
      </w:r>
      <w:r>
        <w:rPr>
          <w:rFonts w:hint="eastAsia" w:ascii="宋体" w:hAnsi="宋体" w:cs="宋体"/>
          <w:color w:val="auto"/>
          <w:sz w:val="22"/>
          <w:szCs w:val="22"/>
          <w:u w:val="single"/>
        </w:rPr>
        <w:t xml:space="preserve">           　　</w:t>
      </w:r>
      <w:r>
        <w:rPr>
          <w:rFonts w:hint="eastAsia" w:ascii="宋体" w:hAnsi="宋体" w:cs="宋体"/>
          <w:color w:val="auto"/>
          <w:sz w:val="22"/>
          <w:szCs w:val="22"/>
        </w:rPr>
        <w:t>（投标人名称）作为投标人正式授权</w:t>
      </w:r>
      <w:r>
        <w:rPr>
          <w:rFonts w:hint="eastAsia" w:ascii="宋体" w:hAnsi="宋体" w:cs="宋体"/>
          <w:color w:val="auto"/>
          <w:sz w:val="22"/>
          <w:szCs w:val="22"/>
          <w:u w:val="single"/>
        </w:rPr>
        <w:t xml:space="preserve">　           </w:t>
      </w:r>
      <w:r>
        <w:rPr>
          <w:rFonts w:hint="eastAsia" w:ascii="宋体" w:hAnsi="宋体" w:cs="宋体"/>
          <w:color w:val="auto"/>
          <w:sz w:val="22"/>
          <w:szCs w:val="22"/>
        </w:rPr>
        <w:t>（授权代表全名，职务）代表我方处理有关本项目投标的一切事宜。</w:t>
      </w:r>
    </w:p>
    <w:p>
      <w:pPr>
        <w:autoSpaceDE w:val="0"/>
        <w:autoSpaceDN w:val="0"/>
        <w:adjustRightInd w:val="0"/>
        <w:spacing w:line="420" w:lineRule="atLeast"/>
        <w:ind w:firstLine="440" w:firstLineChars="200"/>
        <w:rPr>
          <w:rFonts w:ascii="宋体" w:hAnsi="宋体" w:cs="宋体"/>
          <w:color w:val="auto"/>
          <w:kern w:val="0"/>
          <w:sz w:val="22"/>
          <w:szCs w:val="22"/>
          <w:lang w:val="zh-CN"/>
        </w:rPr>
      </w:pPr>
      <w:r>
        <w:rPr>
          <w:rFonts w:hint="eastAsia" w:ascii="宋体" w:hAnsi="宋体" w:cs="宋体"/>
          <w:color w:val="auto"/>
          <w:kern w:val="0"/>
          <w:sz w:val="22"/>
          <w:szCs w:val="22"/>
          <w:lang w:val="zh-CN"/>
        </w:rPr>
        <w:t>在此提交的投标文件中，包括如下内容，并已分别单独提交：</w:t>
      </w:r>
    </w:p>
    <w:p>
      <w:pPr>
        <w:numPr>
          <w:ilvl w:val="0"/>
          <w:numId w:val="32"/>
        </w:numPr>
        <w:spacing w:line="420" w:lineRule="exact"/>
        <w:rPr>
          <w:rFonts w:ascii="宋体" w:hAnsi="宋体" w:cs="宋体"/>
          <w:color w:val="auto"/>
          <w:szCs w:val="21"/>
        </w:rPr>
      </w:pPr>
      <w:r>
        <w:rPr>
          <w:rFonts w:hint="eastAsia" w:ascii="宋体" w:hAnsi="宋体" w:cs="宋体"/>
          <w:color w:val="auto"/>
          <w:sz w:val="22"/>
        </w:rPr>
        <w:t>按“投标人须知”要求编制的投标文件资格审查资料 ；</w:t>
      </w:r>
    </w:p>
    <w:p>
      <w:pPr>
        <w:numPr>
          <w:ilvl w:val="0"/>
          <w:numId w:val="32"/>
        </w:numPr>
        <w:spacing w:line="420" w:lineRule="exact"/>
        <w:rPr>
          <w:rFonts w:ascii="宋体" w:hAnsi="宋体" w:cs="宋体"/>
          <w:color w:val="auto"/>
          <w:szCs w:val="21"/>
        </w:rPr>
      </w:pPr>
      <w:r>
        <w:rPr>
          <w:rFonts w:hint="eastAsia" w:ascii="宋体" w:hAnsi="宋体" w:cs="宋体"/>
          <w:color w:val="auto"/>
          <w:sz w:val="22"/>
        </w:rPr>
        <w:t>按“投标人须知”要求编制的投标文件商务商务技术文件 ；</w:t>
      </w:r>
    </w:p>
    <w:p>
      <w:pPr>
        <w:numPr>
          <w:ilvl w:val="0"/>
          <w:numId w:val="32"/>
        </w:numPr>
        <w:spacing w:line="420" w:lineRule="exact"/>
        <w:rPr>
          <w:rFonts w:ascii="宋体" w:hAnsi="宋体" w:cs="宋体"/>
          <w:color w:val="auto"/>
          <w:szCs w:val="21"/>
        </w:rPr>
      </w:pPr>
      <w:r>
        <w:rPr>
          <w:rFonts w:hint="eastAsia" w:ascii="宋体" w:hAnsi="宋体" w:cs="宋体"/>
          <w:color w:val="auto"/>
          <w:sz w:val="22"/>
        </w:rPr>
        <w:t>按“投标人须知”要求编制的投标文件投标报价标 。</w:t>
      </w:r>
    </w:p>
    <w:p>
      <w:pPr>
        <w:autoSpaceDE w:val="0"/>
        <w:autoSpaceDN w:val="0"/>
        <w:adjustRightInd w:val="0"/>
        <w:spacing w:line="420" w:lineRule="atLeast"/>
        <w:ind w:firstLine="440"/>
        <w:rPr>
          <w:rFonts w:ascii="宋体" w:hAnsi="宋体" w:cs="宋体"/>
          <w:color w:val="auto"/>
          <w:kern w:val="0"/>
          <w:sz w:val="22"/>
          <w:szCs w:val="22"/>
          <w:lang w:val="zh-CN"/>
        </w:rPr>
      </w:pPr>
      <w:r>
        <w:rPr>
          <w:rFonts w:hint="eastAsia" w:ascii="宋体" w:hAnsi="宋体" w:cs="宋体"/>
          <w:color w:val="auto"/>
          <w:kern w:val="0"/>
          <w:sz w:val="22"/>
          <w:szCs w:val="22"/>
          <w:lang w:val="zh-CN"/>
        </w:rPr>
        <w:t>我方</w:t>
      </w:r>
      <w:r>
        <w:rPr>
          <w:rFonts w:hint="eastAsia" w:ascii="宋体" w:hAnsi="宋体" w:cs="宋体"/>
          <w:color w:val="auto"/>
          <w:kern w:val="0"/>
          <w:sz w:val="22"/>
          <w:szCs w:val="22"/>
          <w:lang w:val="en-US" w:eastAsia="zh-CN"/>
        </w:rPr>
        <w:t>已</w:t>
      </w:r>
      <w:r>
        <w:rPr>
          <w:rFonts w:hint="eastAsia" w:ascii="宋体" w:hAnsi="宋体" w:cs="宋体"/>
          <w:color w:val="auto"/>
          <w:kern w:val="0"/>
          <w:sz w:val="22"/>
          <w:szCs w:val="22"/>
          <w:lang w:val="zh-CN"/>
        </w:rPr>
        <w:t>完全明白采购文件的所有条款要求，并重申以下几点：</w:t>
      </w:r>
    </w:p>
    <w:p>
      <w:pPr>
        <w:numPr>
          <w:ilvl w:val="0"/>
          <w:numId w:val="33"/>
        </w:numPr>
        <w:spacing w:line="420" w:lineRule="exact"/>
        <w:rPr>
          <w:rFonts w:ascii="宋体" w:hAnsi="宋体" w:cs="宋体"/>
          <w:color w:val="auto"/>
          <w:sz w:val="22"/>
        </w:rPr>
      </w:pPr>
      <w:r>
        <w:rPr>
          <w:rFonts w:hint="eastAsia" w:ascii="宋体" w:hAnsi="宋体" w:cs="宋体"/>
          <w:color w:val="auto"/>
          <w:sz w:val="22"/>
        </w:rPr>
        <w:t>已详细阅读全部采购文件，包括采购文件补充文件（如果有，包括相关的补充、更正、澄清公告和文件）、参考资料及有关附件，确认无误。我方完全理解并接受采购文件的各项规定和要求。</w:t>
      </w:r>
    </w:p>
    <w:p>
      <w:pPr>
        <w:numPr>
          <w:ilvl w:val="0"/>
          <w:numId w:val="33"/>
        </w:numPr>
        <w:spacing w:line="420" w:lineRule="exact"/>
        <w:rPr>
          <w:rFonts w:ascii="宋体" w:hAnsi="宋体" w:cs="宋体"/>
          <w:color w:val="auto"/>
          <w:sz w:val="22"/>
        </w:rPr>
      </w:pPr>
      <w:r>
        <w:rPr>
          <w:rFonts w:hint="eastAsia" w:ascii="宋体" w:hAnsi="宋体" w:cs="宋体"/>
          <w:color w:val="auto"/>
          <w:sz w:val="22"/>
        </w:rPr>
        <w:t>同意提供按照贵方可能要求的与投标有关的一切数据或资料等。若贵方需要，我方愿意提供我方作出的一切承诺的证明材料。</w:t>
      </w:r>
    </w:p>
    <w:p>
      <w:pPr>
        <w:numPr>
          <w:ilvl w:val="0"/>
          <w:numId w:val="33"/>
        </w:numPr>
        <w:spacing w:line="420" w:lineRule="exact"/>
        <w:rPr>
          <w:rFonts w:ascii="宋体" w:hAnsi="宋体" w:cs="宋体"/>
          <w:color w:val="auto"/>
          <w:sz w:val="22"/>
        </w:rPr>
      </w:pPr>
      <w:r>
        <w:rPr>
          <w:rFonts w:hint="eastAsia" w:ascii="宋体" w:hAnsi="宋体" w:cs="宋体"/>
          <w:color w:val="auto"/>
          <w:sz w:val="22"/>
        </w:rPr>
        <w:t>如中标，保证按照采购文件要求及投标文件的承诺与采购人签订合同，保证履行合同条款。</w:t>
      </w:r>
    </w:p>
    <w:p>
      <w:pPr>
        <w:numPr>
          <w:ilvl w:val="0"/>
          <w:numId w:val="33"/>
        </w:numPr>
        <w:spacing w:line="420" w:lineRule="exact"/>
        <w:rPr>
          <w:rFonts w:ascii="宋体" w:hAnsi="宋体" w:cs="宋体"/>
          <w:color w:val="auto"/>
          <w:sz w:val="22"/>
        </w:rPr>
      </w:pPr>
      <w:r>
        <w:rPr>
          <w:rFonts w:hint="eastAsia" w:ascii="宋体" w:hAnsi="宋体" w:cs="宋体"/>
          <w:color w:val="auto"/>
          <w:sz w:val="22"/>
        </w:rPr>
        <w:t>同意在采购文件中供应商须知规定的开标日期起遵守本投标书中的承诺且在投标有效期满之前均具有约束力。</w:t>
      </w:r>
    </w:p>
    <w:p>
      <w:pPr>
        <w:numPr>
          <w:ilvl w:val="0"/>
          <w:numId w:val="33"/>
        </w:numPr>
        <w:spacing w:line="420" w:lineRule="exact"/>
        <w:rPr>
          <w:rFonts w:ascii="宋体" w:hAnsi="宋体" w:cs="宋体"/>
          <w:color w:val="auto"/>
          <w:sz w:val="22"/>
        </w:rPr>
      </w:pPr>
      <w:r>
        <w:rPr>
          <w:rFonts w:hint="eastAsia" w:ascii="宋体" w:hAnsi="宋体" w:cs="宋体"/>
          <w:color w:val="auto"/>
          <w:sz w:val="22"/>
        </w:rPr>
        <w:t>如果在开标后规定的投标有效期内撤回投标，我方接受贵方处罚。</w:t>
      </w:r>
    </w:p>
    <w:p>
      <w:pPr>
        <w:numPr>
          <w:ilvl w:val="0"/>
          <w:numId w:val="33"/>
        </w:numPr>
        <w:spacing w:line="420" w:lineRule="exact"/>
        <w:rPr>
          <w:rFonts w:ascii="宋体" w:hAnsi="宋体" w:cs="宋体"/>
          <w:color w:val="auto"/>
          <w:sz w:val="22"/>
        </w:rPr>
      </w:pPr>
      <w:r>
        <w:rPr>
          <w:rFonts w:hint="eastAsia" w:ascii="宋体" w:hAnsi="宋体" w:cs="宋体"/>
          <w:color w:val="auto"/>
          <w:sz w:val="22"/>
        </w:rPr>
        <w:t>完全理解贵方不一定要接受最低价的投标。</w:t>
      </w:r>
    </w:p>
    <w:p>
      <w:pPr>
        <w:numPr>
          <w:ilvl w:val="0"/>
          <w:numId w:val="33"/>
        </w:numPr>
        <w:spacing w:line="420" w:lineRule="exact"/>
        <w:rPr>
          <w:rFonts w:ascii="宋体" w:hAnsi="宋体" w:cs="宋体"/>
          <w:color w:val="auto"/>
          <w:sz w:val="22"/>
        </w:rPr>
      </w:pPr>
      <w:r>
        <w:rPr>
          <w:rFonts w:hint="eastAsia" w:ascii="宋体" w:hAnsi="宋体" w:cs="宋体"/>
          <w:color w:val="auto"/>
          <w:sz w:val="22"/>
        </w:rPr>
        <w:t>在参加本项目前三年内（被通报或者处罚的违法行为有：）或（没有因违法经营受到刑事处罚或者责令停产停业、吊销许可证或者执照、较大数额罚款等行政处罚或处罚）或（在至期间禁止参加政府采购活动但是期限届满，须附相关证明文件）</w:t>
      </w:r>
    </w:p>
    <w:p>
      <w:pPr>
        <w:numPr>
          <w:ilvl w:val="0"/>
          <w:numId w:val="33"/>
        </w:numPr>
        <w:spacing w:line="420" w:lineRule="exact"/>
        <w:rPr>
          <w:rFonts w:ascii="宋体" w:hAnsi="宋体" w:cs="宋体"/>
          <w:color w:val="auto"/>
          <w:sz w:val="22"/>
        </w:rPr>
      </w:pPr>
      <w:r>
        <w:rPr>
          <w:rFonts w:hint="eastAsia" w:ascii="宋体" w:hAnsi="宋体" w:cs="宋体"/>
          <w:color w:val="auto"/>
          <w:sz w:val="22"/>
        </w:rPr>
        <w:t>在投标截止前（未被“信用中国”网站(</w:t>
      </w:r>
      <w:r>
        <w:rPr>
          <w:rFonts w:hint="eastAsia"/>
          <w:color w:val="auto"/>
        </w:rPr>
        <w:fldChar w:fldCharType="begin"/>
      </w:r>
      <w:r>
        <w:rPr>
          <w:color w:val="auto"/>
        </w:rPr>
        <w:instrText xml:space="preserve"> HYPERLINK "http://www.creditchina.gov.cn" </w:instrText>
      </w:r>
      <w:r>
        <w:rPr>
          <w:rFonts w:hint="eastAsia"/>
          <w:color w:val="auto"/>
        </w:rPr>
        <w:fldChar w:fldCharType="separate"/>
      </w:r>
      <w:r>
        <w:rPr>
          <w:rFonts w:hint="eastAsia" w:ascii="宋体" w:hAnsi="宋体" w:cs="宋体"/>
          <w:color w:val="auto"/>
          <w:sz w:val="22"/>
        </w:rPr>
        <w:t>www.creditchina.gov.cn</w:t>
      </w:r>
      <w:r>
        <w:rPr>
          <w:rFonts w:hint="eastAsia" w:ascii="宋体" w:hAnsi="宋体" w:cs="宋体"/>
          <w:color w:val="auto"/>
          <w:sz w:val="22"/>
        </w:rPr>
        <w:fldChar w:fldCharType="end"/>
      </w:r>
      <w:r>
        <w:rPr>
          <w:rFonts w:hint="eastAsia" w:ascii="宋体" w:hAnsi="宋体" w:cs="宋体"/>
          <w:color w:val="auto"/>
          <w:sz w:val="22"/>
        </w:rPr>
        <w:t>)列入失信被执行人、重大税收违法案件当事人名单；未被“中国政府采购网”(</w:t>
      </w:r>
      <w:r>
        <w:rPr>
          <w:rFonts w:hint="eastAsia"/>
          <w:color w:val="auto"/>
        </w:rPr>
        <w:fldChar w:fldCharType="begin"/>
      </w:r>
      <w:r>
        <w:rPr>
          <w:color w:val="auto"/>
        </w:rPr>
        <w:instrText xml:space="preserve"> HYPERLINK "http://www.ccgp.gov.cn" </w:instrText>
      </w:r>
      <w:r>
        <w:rPr>
          <w:rFonts w:hint="eastAsia"/>
          <w:color w:val="auto"/>
        </w:rPr>
        <w:fldChar w:fldCharType="separate"/>
      </w:r>
      <w:r>
        <w:rPr>
          <w:rFonts w:hint="eastAsia" w:ascii="宋体" w:hAnsi="宋体" w:cs="宋体"/>
          <w:color w:val="auto"/>
          <w:sz w:val="22"/>
        </w:rPr>
        <w:t>www.ccgp.gov.cn</w:t>
      </w:r>
      <w:r>
        <w:rPr>
          <w:rFonts w:hint="eastAsia" w:ascii="宋体" w:hAnsi="宋体" w:cs="宋体"/>
          <w:color w:val="auto"/>
          <w:sz w:val="22"/>
        </w:rPr>
        <w:fldChar w:fldCharType="end"/>
      </w:r>
      <w:r>
        <w:rPr>
          <w:rFonts w:hint="eastAsia" w:ascii="宋体" w:hAnsi="宋体" w:cs="宋体"/>
          <w:color w:val="auto"/>
          <w:sz w:val="22"/>
        </w:rPr>
        <w:t>)列入政府采购严重违法失信行为记录名单。）或（被“信用中国”或“中国政府采购网”列入……名单。）</w:t>
      </w:r>
    </w:p>
    <w:p>
      <w:pPr>
        <w:numPr>
          <w:ilvl w:val="0"/>
          <w:numId w:val="33"/>
        </w:numPr>
        <w:spacing w:line="420" w:lineRule="exact"/>
        <w:rPr>
          <w:rFonts w:ascii="宋体" w:hAnsi="宋体" w:cs="宋体"/>
          <w:color w:val="auto"/>
          <w:sz w:val="22"/>
        </w:rPr>
      </w:pPr>
      <w:r>
        <w:rPr>
          <w:rFonts w:hint="eastAsia" w:ascii="宋体" w:hAnsi="宋体" w:cs="宋体"/>
          <w:color w:val="auto"/>
          <w:sz w:val="22"/>
        </w:rPr>
        <w:t>单位、法定代表人（单位负责人）、本项目被授权人及本项目负责人在参加本项目前三年内（以法院判决书生效日期为准）均无行贿犯罪记录。</w:t>
      </w:r>
    </w:p>
    <w:p>
      <w:pPr>
        <w:numPr>
          <w:ilvl w:val="0"/>
          <w:numId w:val="33"/>
        </w:numPr>
        <w:spacing w:line="420" w:lineRule="exact"/>
        <w:rPr>
          <w:rFonts w:ascii="宋体" w:hAnsi="宋体" w:cs="宋体"/>
          <w:color w:val="auto"/>
          <w:sz w:val="22"/>
        </w:rPr>
      </w:pPr>
      <w:r>
        <w:rPr>
          <w:rFonts w:hint="eastAsia" w:ascii="宋体" w:hAnsi="宋体" w:cs="宋体"/>
          <w:color w:val="auto"/>
          <w:sz w:val="22"/>
        </w:rPr>
        <w:t>如有列情形之一的，我方愿意被取消中标资格（如中标），同时继续承担其他一切法律后果，并不再寻求任何旨在减轻或免除法律责任的解释：</w:t>
      </w:r>
    </w:p>
    <w:p>
      <w:pPr>
        <w:spacing w:line="420" w:lineRule="exact"/>
        <w:ind w:firstLine="440" w:firstLineChars="200"/>
        <w:rPr>
          <w:rFonts w:ascii="宋体" w:hAnsi="宋体" w:cs="宋体"/>
          <w:color w:val="auto"/>
          <w:sz w:val="22"/>
        </w:rPr>
      </w:pPr>
      <w:r>
        <w:rPr>
          <w:rFonts w:hint="eastAsia" w:ascii="宋体" w:hAnsi="宋体" w:cs="宋体"/>
          <w:color w:val="auto"/>
          <w:sz w:val="22"/>
        </w:rPr>
        <w:t>(1)提供虚假材料（承诺）谋取中标、成交的；</w:t>
      </w:r>
    </w:p>
    <w:p>
      <w:pPr>
        <w:spacing w:line="420" w:lineRule="exact"/>
        <w:ind w:firstLine="440" w:firstLineChars="200"/>
        <w:rPr>
          <w:rFonts w:ascii="宋体" w:hAnsi="宋体" w:cs="宋体"/>
          <w:color w:val="auto"/>
          <w:sz w:val="22"/>
        </w:rPr>
      </w:pPr>
      <w:r>
        <w:rPr>
          <w:rFonts w:hint="eastAsia" w:ascii="宋体" w:hAnsi="宋体" w:cs="宋体"/>
          <w:color w:val="auto"/>
          <w:sz w:val="22"/>
        </w:rPr>
        <w:t>(2)采取不正当手段诋毁、排挤其他供应商的；</w:t>
      </w:r>
    </w:p>
    <w:p>
      <w:pPr>
        <w:spacing w:line="420" w:lineRule="exact"/>
        <w:ind w:firstLine="440" w:firstLineChars="200"/>
        <w:rPr>
          <w:rFonts w:ascii="宋体" w:hAnsi="宋体" w:cs="宋体"/>
          <w:color w:val="auto"/>
          <w:sz w:val="22"/>
        </w:rPr>
      </w:pPr>
      <w:r>
        <w:rPr>
          <w:rFonts w:hint="eastAsia" w:ascii="宋体" w:hAnsi="宋体" w:cs="宋体"/>
          <w:color w:val="auto"/>
          <w:sz w:val="22"/>
        </w:rPr>
        <w:t>(3)与采购人、其它供应商或者采购代理机构恶意串通的；</w:t>
      </w:r>
    </w:p>
    <w:p>
      <w:pPr>
        <w:spacing w:line="420" w:lineRule="exact"/>
        <w:ind w:firstLine="440" w:firstLineChars="200"/>
        <w:rPr>
          <w:rFonts w:ascii="宋体" w:hAnsi="宋体" w:cs="宋体"/>
          <w:color w:val="auto"/>
          <w:sz w:val="22"/>
        </w:rPr>
      </w:pPr>
      <w:r>
        <w:rPr>
          <w:rFonts w:hint="eastAsia" w:ascii="宋体" w:hAnsi="宋体" w:cs="宋体"/>
          <w:color w:val="auto"/>
          <w:sz w:val="22"/>
        </w:rPr>
        <w:t>(4)向采购人、采购代理机构行贿或者提供其他不正当利益的；</w:t>
      </w:r>
    </w:p>
    <w:p>
      <w:pPr>
        <w:spacing w:line="420" w:lineRule="exact"/>
        <w:ind w:firstLine="440" w:firstLineChars="200"/>
        <w:rPr>
          <w:rFonts w:ascii="宋体" w:hAnsi="宋体" w:cs="宋体"/>
          <w:color w:val="auto"/>
          <w:sz w:val="22"/>
        </w:rPr>
      </w:pPr>
      <w:r>
        <w:rPr>
          <w:rFonts w:hint="eastAsia" w:ascii="宋体" w:hAnsi="宋体" w:cs="宋体"/>
          <w:color w:val="auto"/>
          <w:sz w:val="22"/>
        </w:rPr>
        <w:t>(5)在招标采购过程中与采购人进行协商谈判的；</w:t>
      </w:r>
    </w:p>
    <w:p>
      <w:pPr>
        <w:spacing w:line="420" w:lineRule="exact"/>
        <w:ind w:firstLine="440" w:firstLineChars="200"/>
        <w:rPr>
          <w:rFonts w:ascii="宋体" w:hAnsi="宋体" w:cs="宋体"/>
          <w:color w:val="auto"/>
          <w:sz w:val="22"/>
        </w:rPr>
      </w:pPr>
      <w:r>
        <w:rPr>
          <w:rFonts w:hint="eastAsia" w:ascii="宋体" w:hAnsi="宋体" w:cs="宋体"/>
          <w:color w:val="auto"/>
          <w:sz w:val="22"/>
        </w:rPr>
        <w:t>(6)拒绝有关部门监督检查或提供虚假情况的。</w:t>
      </w:r>
    </w:p>
    <w:p>
      <w:pPr>
        <w:numPr>
          <w:ilvl w:val="0"/>
          <w:numId w:val="33"/>
        </w:numPr>
        <w:spacing w:line="420" w:lineRule="exact"/>
        <w:rPr>
          <w:rFonts w:ascii="宋体" w:hAnsi="宋体" w:cs="宋体"/>
          <w:color w:val="auto"/>
          <w:sz w:val="22"/>
        </w:rPr>
      </w:pPr>
      <w:r>
        <w:rPr>
          <w:rFonts w:hint="eastAsia" w:ascii="宋体" w:hAnsi="宋体" w:cs="宋体"/>
          <w:color w:val="auto"/>
          <w:sz w:val="22"/>
        </w:rPr>
        <w:t>所有与本投标有关的函件请发往下列地址：</w:t>
      </w:r>
    </w:p>
    <w:p>
      <w:pPr>
        <w:spacing w:line="420" w:lineRule="exact"/>
        <w:ind w:firstLine="435"/>
        <w:rPr>
          <w:rFonts w:ascii="宋体" w:hAnsi="宋体" w:cs="宋体"/>
          <w:color w:val="auto"/>
          <w:sz w:val="22"/>
          <w:szCs w:val="22"/>
        </w:rPr>
      </w:pPr>
      <w:r>
        <w:rPr>
          <w:rFonts w:hint="eastAsia" w:ascii="宋体" w:hAnsi="宋体" w:cs="宋体"/>
          <w:color w:val="auto"/>
          <w:sz w:val="22"/>
          <w:szCs w:val="22"/>
        </w:rPr>
        <w:t xml:space="preserve">   地址</w:t>
      </w:r>
    </w:p>
    <w:p>
      <w:pPr>
        <w:spacing w:line="420" w:lineRule="exact"/>
        <w:ind w:firstLine="435"/>
        <w:rPr>
          <w:rFonts w:ascii="宋体" w:hAnsi="宋体" w:cs="宋体"/>
          <w:color w:val="auto"/>
          <w:sz w:val="22"/>
          <w:szCs w:val="22"/>
        </w:rPr>
      </w:pPr>
      <w:r>
        <w:rPr>
          <w:rFonts w:hint="eastAsia" w:ascii="宋体" w:hAnsi="宋体" w:cs="宋体"/>
          <w:color w:val="auto"/>
          <w:sz w:val="22"/>
          <w:szCs w:val="22"/>
        </w:rPr>
        <w:t xml:space="preserve">   电话</w:t>
      </w:r>
    </w:p>
    <w:p>
      <w:pPr>
        <w:spacing w:line="420" w:lineRule="exact"/>
        <w:ind w:firstLine="435"/>
        <w:rPr>
          <w:rFonts w:ascii="宋体" w:hAnsi="宋体" w:cs="宋体"/>
          <w:color w:val="auto"/>
          <w:sz w:val="22"/>
          <w:szCs w:val="22"/>
          <w:u w:val="single"/>
        </w:rPr>
      </w:pPr>
      <w:r>
        <w:rPr>
          <w:rFonts w:hint="eastAsia" w:ascii="宋体" w:hAnsi="宋体" w:cs="宋体"/>
          <w:color w:val="auto"/>
          <w:sz w:val="22"/>
          <w:szCs w:val="22"/>
        </w:rPr>
        <w:t xml:space="preserve">   传真</w:t>
      </w:r>
    </w:p>
    <w:p>
      <w:pPr>
        <w:spacing w:line="420" w:lineRule="exact"/>
        <w:ind w:firstLine="770" w:firstLineChars="350"/>
        <w:rPr>
          <w:rFonts w:ascii="宋体" w:hAnsi="宋体" w:cs="宋体"/>
          <w:color w:val="auto"/>
          <w:sz w:val="22"/>
          <w:szCs w:val="22"/>
        </w:rPr>
      </w:pPr>
      <w:r>
        <w:rPr>
          <w:rFonts w:hint="eastAsia" w:ascii="宋体" w:hAnsi="宋体" w:cs="宋体"/>
          <w:color w:val="auto"/>
          <w:sz w:val="22"/>
          <w:szCs w:val="22"/>
        </w:rPr>
        <w:t>电子邮件</w:t>
      </w:r>
    </w:p>
    <w:p>
      <w:pPr>
        <w:spacing w:line="380" w:lineRule="exact"/>
        <w:ind w:firstLine="4400" w:firstLineChars="2000"/>
        <w:rPr>
          <w:rFonts w:eastAsia="新宋体"/>
          <w:color w:val="auto"/>
          <w:sz w:val="22"/>
          <w:szCs w:val="22"/>
        </w:rPr>
      </w:pPr>
      <w:r>
        <w:rPr>
          <w:rFonts w:hint="eastAsia" w:eastAsia="新宋体"/>
          <w:color w:val="auto"/>
          <w:sz w:val="22"/>
          <w:szCs w:val="22"/>
        </w:rPr>
        <w:t>投标人全称（盖章）：</w:t>
      </w:r>
    </w:p>
    <w:p>
      <w:pPr>
        <w:spacing w:line="380" w:lineRule="exact"/>
        <w:ind w:firstLine="4400" w:firstLineChars="2000"/>
        <w:rPr>
          <w:rFonts w:eastAsia="新宋体"/>
          <w:color w:val="auto"/>
          <w:sz w:val="22"/>
          <w:szCs w:val="22"/>
        </w:rPr>
      </w:pPr>
      <w:r>
        <w:rPr>
          <w:rFonts w:hint="eastAsia" w:eastAsia="新宋体"/>
          <w:color w:val="auto"/>
          <w:sz w:val="22"/>
          <w:szCs w:val="22"/>
        </w:rPr>
        <w:t>法定代表人或授权代表（签字）：</w:t>
      </w:r>
    </w:p>
    <w:p>
      <w:pPr>
        <w:spacing w:line="380" w:lineRule="exact"/>
        <w:ind w:firstLine="4400" w:firstLineChars="2000"/>
        <w:rPr>
          <w:rFonts w:eastAsia="新宋体"/>
          <w:color w:val="auto"/>
          <w:sz w:val="22"/>
          <w:szCs w:val="22"/>
        </w:rPr>
      </w:pPr>
      <w:r>
        <w:rPr>
          <w:rFonts w:hint="eastAsia" w:eastAsia="新宋体"/>
          <w:color w:val="auto"/>
          <w:sz w:val="22"/>
          <w:szCs w:val="22"/>
        </w:rPr>
        <w:t>日期：  年   月  日</w:t>
      </w:r>
    </w:p>
    <w:p>
      <w:pPr>
        <w:spacing w:line="460" w:lineRule="exact"/>
        <w:ind w:firstLine="4620"/>
        <w:rPr>
          <w:rFonts w:ascii="宋体" w:hAnsi="宋体" w:cs="宋体"/>
          <w:color w:val="auto"/>
          <w:sz w:val="22"/>
          <w:szCs w:val="22"/>
          <w:u w:val="single"/>
        </w:rPr>
      </w:pPr>
    </w:p>
    <w:p>
      <w:pPr>
        <w:spacing w:line="460" w:lineRule="exact"/>
        <w:ind w:firstLine="4620"/>
        <w:rPr>
          <w:rFonts w:ascii="宋体" w:hAnsi="宋体" w:cs="宋体"/>
          <w:color w:val="auto"/>
          <w:sz w:val="22"/>
          <w:szCs w:val="22"/>
          <w:u w:val="single"/>
        </w:rPr>
      </w:pPr>
    </w:p>
    <w:p>
      <w:pPr>
        <w:spacing w:line="460" w:lineRule="exact"/>
        <w:rPr>
          <w:rFonts w:ascii="宋体" w:hAnsi="宋体" w:cs="宋体"/>
          <w:b/>
          <w:color w:val="auto"/>
          <w:sz w:val="22"/>
          <w:szCs w:val="22"/>
          <w:u w:val="single"/>
        </w:rPr>
      </w:pPr>
      <w:r>
        <w:rPr>
          <w:rFonts w:hint="eastAsia" w:ascii="宋体" w:hAnsi="宋体" w:cs="宋体"/>
          <w:b/>
          <w:color w:val="auto"/>
          <w:sz w:val="22"/>
          <w:szCs w:val="22"/>
          <w:u w:val="single"/>
        </w:rPr>
        <w:t>▲不提供投标函的投标文件将被视为未实质性响应采购文件。</w:t>
      </w:r>
    </w:p>
    <w:p>
      <w:pPr>
        <w:spacing w:line="460" w:lineRule="exact"/>
        <w:ind w:firstLine="435"/>
        <w:rPr>
          <w:rFonts w:ascii="宋体" w:hAnsi="宋体" w:cs="宋体"/>
          <w:b/>
          <w:color w:val="auto"/>
          <w:sz w:val="22"/>
          <w:szCs w:val="22"/>
          <w:u w:val="single"/>
        </w:rPr>
      </w:pPr>
    </w:p>
    <w:p>
      <w:pPr>
        <w:spacing w:line="460" w:lineRule="exact"/>
        <w:rPr>
          <w:rFonts w:ascii="宋体" w:hAnsi="宋体" w:cs="宋体"/>
          <w:b/>
          <w:bCs/>
          <w:color w:val="auto"/>
          <w:sz w:val="22"/>
          <w:szCs w:val="22"/>
        </w:rPr>
      </w:pPr>
      <w:r>
        <w:rPr>
          <w:rFonts w:hint="eastAsia" w:ascii="宋体" w:hAnsi="宋体" w:cs="宋体"/>
          <w:b/>
          <w:color w:val="auto"/>
          <w:sz w:val="22"/>
          <w:szCs w:val="22"/>
          <w:u w:val="single"/>
        </w:rPr>
        <w:br w:type="page"/>
      </w:r>
      <w:r>
        <w:rPr>
          <w:rFonts w:hint="eastAsia" w:ascii="宋体" w:hAnsi="宋体" w:cs="宋体"/>
          <w:b/>
          <w:bCs/>
          <w:color w:val="auto"/>
          <w:sz w:val="22"/>
          <w:szCs w:val="22"/>
        </w:rPr>
        <w:t>附件二</w:t>
      </w:r>
    </w:p>
    <w:p>
      <w:pPr>
        <w:spacing w:line="460" w:lineRule="exact"/>
        <w:jc w:val="center"/>
        <w:rPr>
          <w:rFonts w:ascii="宋体" w:hAnsi="宋体" w:cs="宋体"/>
          <w:b/>
          <w:bCs/>
          <w:color w:val="auto"/>
          <w:sz w:val="28"/>
          <w:szCs w:val="28"/>
        </w:rPr>
      </w:pPr>
      <w:r>
        <w:rPr>
          <w:rFonts w:hint="eastAsia" w:ascii="宋体" w:hAnsi="宋体" w:cs="宋体"/>
          <w:b/>
          <w:bCs/>
          <w:color w:val="auto"/>
          <w:sz w:val="28"/>
          <w:szCs w:val="28"/>
        </w:rPr>
        <w:t xml:space="preserve"> (1)技术要求应答表</w:t>
      </w:r>
    </w:p>
    <w:p>
      <w:pPr>
        <w:ind w:firstLine="435"/>
        <w:jc w:val="center"/>
        <w:rPr>
          <w:rFonts w:ascii="宋体" w:hAnsi="宋体" w:cs="宋体"/>
          <w:b/>
          <w:color w:val="auto"/>
          <w:sz w:val="44"/>
        </w:rPr>
      </w:pPr>
    </w:p>
    <w:p>
      <w:pPr>
        <w:overflowPunct w:val="0"/>
        <w:spacing w:line="380" w:lineRule="exact"/>
        <w:rPr>
          <w:rFonts w:ascii="宋体" w:hAnsi="宋体" w:cs="宋体"/>
          <w:bCs/>
          <w:color w:val="auto"/>
          <w:sz w:val="22"/>
          <w:szCs w:val="22"/>
        </w:rPr>
      </w:pPr>
      <w:r>
        <w:rPr>
          <w:rFonts w:hint="eastAsia" w:ascii="宋体" w:hAnsi="宋体" w:cs="宋体"/>
          <w:bCs/>
          <w:color w:val="auto"/>
          <w:sz w:val="22"/>
          <w:szCs w:val="22"/>
        </w:rPr>
        <w:t>项目名称：                                      项目编号：</w:t>
      </w:r>
    </w:p>
    <w:p>
      <w:pPr>
        <w:ind w:firstLine="361" w:firstLineChars="150"/>
        <w:rPr>
          <w:rFonts w:ascii="宋体" w:hAnsi="宋体" w:cs="宋体"/>
          <w:b/>
          <w:color w:val="auto"/>
          <w:sz w:val="24"/>
        </w:rPr>
      </w:pPr>
    </w:p>
    <w:tbl>
      <w:tblPr>
        <w:tblStyle w:val="5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73" w:type="dxa"/>
            <w:noWrap/>
            <w:vAlign w:val="center"/>
          </w:tcPr>
          <w:p>
            <w:pPr>
              <w:jc w:val="center"/>
              <w:rPr>
                <w:rFonts w:ascii="宋体" w:hAnsi="宋体" w:cs="宋体"/>
                <w:color w:val="auto"/>
                <w:sz w:val="22"/>
                <w:szCs w:val="22"/>
              </w:rPr>
            </w:pPr>
            <w:r>
              <w:rPr>
                <w:rFonts w:hint="eastAsia" w:ascii="宋体" w:hAnsi="宋体" w:cs="宋体"/>
                <w:color w:val="auto"/>
                <w:sz w:val="22"/>
                <w:szCs w:val="22"/>
              </w:rPr>
              <w:t>序号</w:t>
            </w:r>
          </w:p>
        </w:tc>
        <w:tc>
          <w:tcPr>
            <w:tcW w:w="2538" w:type="dxa"/>
            <w:noWrap/>
            <w:vAlign w:val="center"/>
          </w:tcPr>
          <w:p>
            <w:pPr>
              <w:jc w:val="center"/>
              <w:rPr>
                <w:rFonts w:ascii="宋体" w:hAnsi="宋体" w:cs="宋体"/>
                <w:color w:val="auto"/>
                <w:sz w:val="22"/>
                <w:szCs w:val="22"/>
              </w:rPr>
            </w:pPr>
            <w:r>
              <w:rPr>
                <w:rFonts w:hint="eastAsia" w:ascii="宋体" w:hAnsi="宋体" w:cs="宋体"/>
                <w:color w:val="auto"/>
                <w:sz w:val="22"/>
                <w:szCs w:val="22"/>
              </w:rPr>
              <w:t>采购文件技术要求</w:t>
            </w:r>
          </w:p>
        </w:tc>
        <w:tc>
          <w:tcPr>
            <w:tcW w:w="2326" w:type="dxa"/>
            <w:noWrap/>
            <w:vAlign w:val="center"/>
          </w:tcPr>
          <w:p>
            <w:pPr>
              <w:jc w:val="center"/>
              <w:rPr>
                <w:rFonts w:ascii="宋体" w:hAnsi="宋体" w:cs="宋体"/>
                <w:color w:val="auto"/>
                <w:sz w:val="22"/>
                <w:szCs w:val="22"/>
              </w:rPr>
            </w:pPr>
            <w:r>
              <w:rPr>
                <w:rFonts w:hint="eastAsia" w:ascii="宋体" w:hAnsi="宋体" w:cs="宋体"/>
                <w:color w:val="auto"/>
                <w:sz w:val="22"/>
                <w:szCs w:val="22"/>
              </w:rPr>
              <w:t>投标人技术响应</w:t>
            </w:r>
          </w:p>
        </w:tc>
        <w:tc>
          <w:tcPr>
            <w:tcW w:w="2115" w:type="dxa"/>
            <w:noWrap/>
            <w:vAlign w:val="center"/>
          </w:tcPr>
          <w:p>
            <w:pPr>
              <w:jc w:val="center"/>
              <w:rPr>
                <w:rFonts w:ascii="宋体" w:hAnsi="宋体" w:cs="宋体"/>
                <w:color w:val="auto"/>
                <w:sz w:val="22"/>
                <w:szCs w:val="22"/>
              </w:rPr>
            </w:pPr>
            <w:r>
              <w:rPr>
                <w:rFonts w:hint="eastAsia" w:ascii="宋体" w:hAnsi="宋体" w:cs="宋体"/>
                <w:color w:val="auto"/>
                <w:sz w:val="22"/>
                <w:szCs w:val="22"/>
              </w:rPr>
              <w:t>偏离</w:t>
            </w:r>
          </w:p>
        </w:tc>
        <w:tc>
          <w:tcPr>
            <w:tcW w:w="1902" w:type="dxa"/>
            <w:noWrap/>
            <w:vAlign w:val="center"/>
          </w:tcPr>
          <w:p>
            <w:pPr>
              <w:jc w:val="center"/>
              <w:rPr>
                <w:rFonts w:ascii="宋体" w:hAnsi="宋体" w:cs="宋体"/>
                <w:color w:val="auto"/>
                <w:sz w:val="22"/>
                <w:szCs w:val="22"/>
              </w:rPr>
            </w:pPr>
            <w:r>
              <w:rPr>
                <w:rFonts w:hint="eastAsia" w:ascii="宋体" w:hAnsi="宋体" w:cs="宋体"/>
                <w:color w:val="auto"/>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0" w:hRule="atLeast"/>
          <w:jc w:val="center"/>
        </w:trPr>
        <w:tc>
          <w:tcPr>
            <w:tcW w:w="973" w:type="dxa"/>
            <w:noWrap/>
            <w:vAlign w:val="center"/>
          </w:tcPr>
          <w:p>
            <w:pPr>
              <w:jc w:val="center"/>
              <w:rPr>
                <w:rFonts w:ascii="宋体" w:hAnsi="宋体" w:cs="宋体"/>
                <w:color w:val="auto"/>
                <w:sz w:val="22"/>
                <w:szCs w:val="22"/>
              </w:rPr>
            </w:pPr>
          </w:p>
        </w:tc>
        <w:tc>
          <w:tcPr>
            <w:tcW w:w="2538" w:type="dxa"/>
            <w:noWrap/>
            <w:vAlign w:val="center"/>
          </w:tcPr>
          <w:p>
            <w:pPr>
              <w:jc w:val="center"/>
              <w:rPr>
                <w:rFonts w:ascii="宋体" w:hAnsi="宋体" w:cs="宋体"/>
                <w:color w:val="auto"/>
                <w:sz w:val="22"/>
                <w:szCs w:val="22"/>
              </w:rPr>
            </w:pPr>
          </w:p>
        </w:tc>
        <w:tc>
          <w:tcPr>
            <w:tcW w:w="2326" w:type="dxa"/>
            <w:noWrap/>
            <w:vAlign w:val="center"/>
          </w:tcPr>
          <w:p>
            <w:pPr>
              <w:jc w:val="center"/>
              <w:rPr>
                <w:rFonts w:ascii="宋体" w:hAnsi="宋体" w:cs="宋体"/>
                <w:color w:val="auto"/>
                <w:sz w:val="22"/>
                <w:szCs w:val="22"/>
              </w:rPr>
            </w:pPr>
          </w:p>
        </w:tc>
        <w:tc>
          <w:tcPr>
            <w:tcW w:w="2115" w:type="dxa"/>
            <w:noWrap/>
            <w:vAlign w:val="center"/>
          </w:tcPr>
          <w:p>
            <w:pPr>
              <w:jc w:val="center"/>
              <w:rPr>
                <w:rFonts w:ascii="宋体" w:hAnsi="宋体" w:cs="宋体"/>
                <w:color w:val="auto"/>
                <w:sz w:val="22"/>
                <w:szCs w:val="22"/>
              </w:rPr>
            </w:pPr>
          </w:p>
        </w:tc>
        <w:tc>
          <w:tcPr>
            <w:tcW w:w="1902"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ign w:val="center"/>
          </w:tcPr>
          <w:p>
            <w:pPr>
              <w:jc w:val="center"/>
              <w:rPr>
                <w:rFonts w:ascii="宋体" w:hAnsi="宋体" w:cs="宋体"/>
                <w:color w:val="auto"/>
                <w:sz w:val="22"/>
                <w:szCs w:val="22"/>
              </w:rPr>
            </w:pPr>
          </w:p>
        </w:tc>
        <w:tc>
          <w:tcPr>
            <w:tcW w:w="2538" w:type="dxa"/>
            <w:noWrap/>
            <w:vAlign w:val="center"/>
          </w:tcPr>
          <w:p>
            <w:pPr>
              <w:jc w:val="center"/>
              <w:rPr>
                <w:rFonts w:ascii="宋体" w:hAnsi="宋体" w:cs="宋体"/>
                <w:color w:val="auto"/>
                <w:sz w:val="22"/>
                <w:szCs w:val="22"/>
              </w:rPr>
            </w:pPr>
          </w:p>
        </w:tc>
        <w:tc>
          <w:tcPr>
            <w:tcW w:w="2326" w:type="dxa"/>
            <w:noWrap/>
            <w:vAlign w:val="center"/>
          </w:tcPr>
          <w:p>
            <w:pPr>
              <w:jc w:val="center"/>
              <w:rPr>
                <w:rFonts w:ascii="宋体" w:hAnsi="宋体" w:cs="宋体"/>
                <w:color w:val="auto"/>
                <w:sz w:val="22"/>
                <w:szCs w:val="22"/>
              </w:rPr>
            </w:pPr>
          </w:p>
        </w:tc>
        <w:tc>
          <w:tcPr>
            <w:tcW w:w="2115" w:type="dxa"/>
            <w:noWrap/>
            <w:vAlign w:val="center"/>
          </w:tcPr>
          <w:p>
            <w:pPr>
              <w:jc w:val="center"/>
              <w:rPr>
                <w:rFonts w:ascii="宋体" w:hAnsi="宋体" w:cs="宋体"/>
                <w:color w:val="auto"/>
                <w:sz w:val="22"/>
                <w:szCs w:val="22"/>
              </w:rPr>
            </w:pPr>
          </w:p>
        </w:tc>
        <w:tc>
          <w:tcPr>
            <w:tcW w:w="1902"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ign w:val="center"/>
          </w:tcPr>
          <w:p>
            <w:pPr>
              <w:jc w:val="center"/>
              <w:rPr>
                <w:rFonts w:ascii="宋体" w:hAnsi="宋体" w:cs="宋体"/>
                <w:color w:val="auto"/>
                <w:sz w:val="22"/>
                <w:szCs w:val="22"/>
              </w:rPr>
            </w:pPr>
          </w:p>
        </w:tc>
        <w:tc>
          <w:tcPr>
            <w:tcW w:w="2538" w:type="dxa"/>
            <w:noWrap/>
            <w:vAlign w:val="center"/>
          </w:tcPr>
          <w:p>
            <w:pPr>
              <w:jc w:val="center"/>
              <w:rPr>
                <w:rFonts w:ascii="宋体" w:hAnsi="宋体" w:cs="宋体"/>
                <w:color w:val="auto"/>
                <w:sz w:val="22"/>
                <w:szCs w:val="22"/>
              </w:rPr>
            </w:pPr>
          </w:p>
        </w:tc>
        <w:tc>
          <w:tcPr>
            <w:tcW w:w="2326" w:type="dxa"/>
            <w:noWrap/>
            <w:vAlign w:val="center"/>
          </w:tcPr>
          <w:p>
            <w:pPr>
              <w:jc w:val="center"/>
              <w:rPr>
                <w:rFonts w:ascii="宋体" w:hAnsi="宋体" w:cs="宋体"/>
                <w:color w:val="auto"/>
                <w:sz w:val="22"/>
                <w:szCs w:val="22"/>
              </w:rPr>
            </w:pPr>
          </w:p>
        </w:tc>
        <w:tc>
          <w:tcPr>
            <w:tcW w:w="2115" w:type="dxa"/>
            <w:noWrap/>
            <w:vAlign w:val="center"/>
          </w:tcPr>
          <w:p>
            <w:pPr>
              <w:jc w:val="center"/>
              <w:rPr>
                <w:rFonts w:ascii="宋体" w:hAnsi="宋体" w:cs="宋体"/>
                <w:color w:val="auto"/>
                <w:sz w:val="22"/>
                <w:szCs w:val="22"/>
              </w:rPr>
            </w:pPr>
          </w:p>
        </w:tc>
        <w:tc>
          <w:tcPr>
            <w:tcW w:w="1902"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ign w:val="center"/>
          </w:tcPr>
          <w:p>
            <w:pPr>
              <w:jc w:val="center"/>
              <w:rPr>
                <w:rFonts w:ascii="宋体" w:hAnsi="宋体" w:cs="宋体"/>
                <w:color w:val="auto"/>
                <w:sz w:val="22"/>
                <w:szCs w:val="22"/>
              </w:rPr>
            </w:pPr>
          </w:p>
        </w:tc>
        <w:tc>
          <w:tcPr>
            <w:tcW w:w="2538" w:type="dxa"/>
            <w:noWrap/>
            <w:vAlign w:val="center"/>
          </w:tcPr>
          <w:p>
            <w:pPr>
              <w:jc w:val="center"/>
              <w:rPr>
                <w:rFonts w:ascii="宋体" w:hAnsi="宋体" w:cs="宋体"/>
                <w:color w:val="auto"/>
                <w:sz w:val="22"/>
                <w:szCs w:val="22"/>
              </w:rPr>
            </w:pPr>
          </w:p>
        </w:tc>
        <w:tc>
          <w:tcPr>
            <w:tcW w:w="2326" w:type="dxa"/>
            <w:noWrap/>
            <w:vAlign w:val="center"/>
          </w:tcPr>
          <w:p>
            <w:pPr>
              <w:jc w:val="center"/>
              <w:rPr>
                <w:rFonts w:ascii="宋体" w:hAnsi="宋体" w:cs="宋体"/>
                <w:color w:val="auto"/>
                <w:sz w:val="22"/>
                <w:szCs w:val="22"/>
              </w:rPr>
            </w:pPr>
          </w:p>
        </w:tc>
        <w:tc>
          <w:tcPr>
            <w:tcW w:w="2115" w:type="dxa"/>
            <w:noWrap/>
            <w:vAlign w:val="center"/>
          </w:tcPr>
          <w:p>
            <w:pPr>
              <w:jc w:val="center"/>
              <w:rPr>
                <w:rFonts w:ascii="宋体" w:hAnsi="宋体" w:cs="宋体"/>
                <w:color w:val="auto"/>
                <w:sz w:val="22"/>
                <w:szCs w:val="22"/>
              </w:rPr>
            </w:pPr>
          </w:p>
        </w:tc>
        <w:tc>
          <w:tcPr>
            <w:tcW w:w="1902"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ign w:val="center"/>
          </w:tcPr>
          <w:p>
            <w:pPr>
              <w:jc w:val="center"/>
              <w:rPr>
                <w:rFonts w:ascii="宋体" w:hAnsi="宋体" w:cs="宋体"/>
                <w:color w:val="auto"/>
                <w:sz w:val="22"/>
                <w:szCs w:val="22"/>
              </w:rPr>
            </w:pPr>
          </w:p>
        </w:tc>
        <w:tc>
          <w:tcPr>
            <w:tcW w:w="2538" w:type="dxa"/>
            <w:noWrap/>
            <w:vAlign w:val="center"/>
          </w:tcPr>
          <w:p>
            <w:pPr>
              <w:jc w:val="center"/>
              <w:rPr>
                <w:rFonts w:ascii="宋体" w:hAnsi="宋体" w:cs="宋体"/>
                <w:color w:val="auto"/>
                <w:sz w:val="22"/>
                <w:szCs w:val="22"/>
              </w:rPr>
            </w:pPr>
          </w:p>
        </w:tc>
        <w:tc>
          <w:tcPr>
            <w:tcW w:w="2326" w:type="dxa"/>
            <w:noWrap/>
            <w:vAlign w:val="center"/>
          </w:tcPr>
          <w:p>
            <w:pPr>
              <w:jc w:val="center"/>
              <w:rPr>
                <w:rFonts w:ascii="宋体" w:hAnsi="宋体" w:cs="宋体"/>
                <w:color w:val="auto"/>
                <w:sz w:val="22"/>
                <w:szCs w:val="22"/>
              </w:rPr>
            </w:pPr>
          </w:p>
        </w:tc>
        <w:tc>
          <w:tcPr>
            <w:tcW w:w="2115" w:type="dxa"/>
            <w:noWrap/>
            <w:vAlign w:val="center"/>
          </w:tcPr>
          <w:p>
            <w:pPr>
              <w:jc w:val="center"/>
              <w:rPr>
                <w:rFonts w:ascii="宋体" w:hAnsi="宋体" w:cs="宋体"/>
                <w:color w:val="auto"/>
                <w:sz w:val="22"/>
                <w:szCs w:val="22"/>
              </w:rPr>
            </w:pPr>
          </w:p>
        </w:tc>
        <w:tc>
          <w:tcPr>
            <w:tcW w:w="1902" w:type="dxa"/>
            <w:noWrap/>
            <w:vAlign w:val="center"/>
          </w:tcPr>
          <w:p>
            <w:pPr>
              <w:jc w:val="center"/>
              <w:rPr>
                <w:rFonts w:ascii="宋体" w:hAnsi="宋体" w:cs="宋体"/>
                <w:color w:val="auto"/>
                <w:sz w:val="22"/>
                <w:szCs w:val="22"/>
              </w:rPr>
            </w:pPr>
          </w:p>
        </w:tc>
      </w:tr>
    </w:tbl>
    <w:p>
      <w:pPr>
        <w:spacing w:line="500" w:lineRule="exact"/>
        <w:rPr>
          <w:rFonts w:ascii="宋体" w:hAnsi="宋体" w:cs="宋体"/>
          <w:color w:val="auto"/>
          <w:sz w:val="24"/>
        </w:rPr>
      </w:pPr>
      <w:r>
        <w:rPr>
          <w:rFonts w:hint="eastAsia" w:ascii="宋体" w:hAnsi="宋体" w:cs="宋体"/>
          <w:color w:val="auto"/>
          <w:sz w:val="24"/>
        </w:rPr>
        <w:t>说明：</w:t>
      </w:r>
    </w:p>
    <w:p>
      <w:pPr>
        <w:spacing w:line="400" w:lineRule="exact"/>
        <w:rPr>
          <w:rFonts w:ascii="宋体" w:hAnsi="宋体" w:cs="宋体"/>
          <w:color w:val="auto"/>
          <w:sz w:val="22"/>
          <w:szCs w:val="22"/>
        </w:rPr>
      </w:pPr>
      <w:r>
        <w:rPr>
          <w:rFonts w:hint="eastAsia" w:ascii="宋体" w:hAnsi="宋体" w:cs="宋体"/>
          <w:color w:val="auto"/>
          <w:sz w:val="22"/>
          <w:szCs w:val="22"/>
        </w:rPr>
        <w:t>不填写此表视作完全响应采购文件要求。</w:t>
      </w:r>
    </w:p>
    <w:p>
      <w:pPr>
        <w:spacing w:line="400" w:lineRule="exact"/>
        <w:rPr>
          <w:rFonts w:ascii="宋体" w:hAnsi="宋体" w:cs="宋体"/>
          <w:color w:val="auto"/>
          <w:sz w:val="22"/>
          <w:szCs w:val="22"/>
        </w:rPr>
      </w:pPr>
    </w:p>
    <w:p>
      <w:pPr>
        <w:spacing w:line="400" w:lineRule="exact"/>
        <w:rPr>
          <w:rFonts w:ascii="宋体" w:hAnsi="宋体" w:cs="宋体"/>
          <w:color w:val="auto"/>
          <w:sz w:val="22"/>
          <w:szCs w:val="22"/>
        </w:rPr>
      </w:pPr>
    </w:p>
    <w:p>
      <w:pPr>
        <w:spacing w:line="400" w:lineRule="exact"/>
        <w:rPr>
          <w:rFonts w:ascii="宋体" w:hAnsi="宋体" w:cs="宋体"/>
          <w:color w:val="auto"/>
          <w:sz w:val="22"/>
          <w:szCs w:val="22"/>
        </w:rPr>
      </w:pPr>
    </w:p>
    <w:p>
      <w:pPr>
        <w:spacing w:line="400" w:lineRule="exact"/>
        <w:rPr>
          <w:rFonts w:ascii="宋体" w:hAnsi="宋体" w:cs="宋体"/>
          <w:color w:val="auto"/>
          <w:sz w:val="22"/>
          <w:szCs w:val="22"/>
        </w:rPr>
      </w:pPr>
    </w:p>
    <w:p>
      <w:pPr>
        <w:spacing w:line="380" w:lineRule="exact"/>
        <w:ind w:firstLine="4400" w:firstLineChars="2000"/>
        <w:rPr>
          <w:rFonts w:eastAsia="新宋体"/>
          <w:color w:val="auto"/>
          <w:sz w:val="22"/>
          <w:szCs w:val="22"/>
        </w:rPr>
      </w:pPr>
      <w:r>
        <w:rPr>
          <w:rFonts w:hint="eastAsia" w:eastAsia="新宋体"/>
          <w:color w:val="auto"/>
          <w:sz w:val="22"/>
          <w:szCs w:val="22"/>
        </w:rPr>
        <w:t>投标人全称（盖章）：</w:t>
      </w:r>
    </w:p>
    <w:p>
      <w:pPr>
        <w:spacing w:line="380" w:lineRule="exact"/>
        <w:ind w:firstLine="4400" w:firstLineChars="2000"/>
        <w:rPr>
          <w:rFonts w:eastAsia="新宋体"/>
          <w:color w:val="auto"/>
          <w:sz w:val="22"/>
          <w:szCs w:val="22"/>
        </w:rPr>
      </w:pPr>
      <w:r>
        <w:rPr>
          <w:rFonts w:hint="eastAsia" w:eastAsia="新宋体"/>
          <w:color w:val="auto"/>
          <w:sz w:val="22"/>
          <w:szCs w:val="22"/>
        </w:rPr>
        <w:t>法定代表人或授权代表（签字）：</w:t>
      </w:r>
    </w:p>
    <w:p>
      <w:pPr>
        <w:spacing w:line="380" w:lineRule="exact"/>
        <w:ind w:firstLine="4400" w:firstLineChars="2000"/>
        <w:rPr>
          <w:rFonts w:eastAsia="新宋体"/>
          <w:color w:val="auto"/>
          <w:sz w:val="22"/>
          <w:szCs w:val="22"/>
        </w:rPr>
      </w:pPr>
      <w:r>
        <w:rPr>
          <w:rFonts w:hint="eastAsia" w:eastAsia="新宋体"/>
          <w:color w:val="auto"/>
          <w:sz w:val="22"/>
          <w:szCs w:val="22"/>
        </w:rPr>
        <w:t>日期：  年   月  日</w:t>
      </w:r>
    </w:p>
    <w:p>
      <w:pPr>
        <w:spacing w:line="400" w:lineRule="exact"/>
        <w:rPr>
          <w:rFonts w:ascii="宋体" w:hAnsi="宋体" w:cs="宋体"/>
          <w:color w:val="auto"/>
          <w:sz w:val="22"/>
          <w:szCs w:val="22"/>
        </w:rPr>
      </w:pPr>
    </w:p>
    <w:p>
      <w:pPr>
        <w:spacing w:line="500" w:lineRule="exact"/>
        <w:jc w:val="center"/>
        <w:rPr>
          <w:rFonts w:ascii="宋体" w:hAnsi="宋体" w:cs="宋体"/>
          <w:b/>
          <w:bCs/>
          <w:color w:val="auto"/>
          <w:sz w:val="28"/>
          <w:szCs w:val="28"/>
        </w:rPr>
      </w:pPr>
      <w:r>
        <w:rPr>
          <w:rFonts w:hint="eastAsia" w:ascii="宋体" w:hAnsi="宋体" w:cs="宋体"/>
          <w:color w:val="auto"/>
          <w:sz w:val="24"/>
        </w:rPr>
        <w:br w:type="page"/>
      </w:r>
      <w:r>
        <w:rPr>
          <w:rFonts w:hint="eastAsia" w:ascii="宋体" w:hAnsi="宋体" w:cs="宋体"/>
          <w:b/>
          <w:bCs/>
          <w:color w:val="auto"/>
          <w:sz w:val="28"/>
          <w:szCs w:val="28"/>
        </w:rPr>
        <w:t>(2)商务条款偏离表</w:t>
      </w:r>
    </w:p>
    <w:p>
      <w:pPr>
        <w:ind w:firstLine="435"/>
        <w:jc w:val="center"/>
        <w:rPr>
          <w:rFonts w:ascii="宋体" w:hAnsi="宋体" w:cs="宋体"/>
          <w:b/>
          <w:color w:val="auto"/>
          <w:sz w:val="44"/>
        </w:rPr>
      </w:pPr>
    </w:p>
    <w:p>
      <w:pPr>
        <w:overflowPunct w:val="0"/>
        <w:spacing w:line="380" w:lineRule="exact"/>
        <w:rPr>
          <w:rFonts w:ascii="宋体" w:hAnsi="宋体" w:cs="宋体"/>
          <w:bCs/>
          <w:color w:val="auto"/>
          <w:sz w:val="22"/>
          <w:szCs w:val="22"/>
        </w:rPr>
      </w:pPr>
      <w:r>
        <w:rPr>
          <w:rFonts w:hint="eastAsia" w:ascii="宋体" w:hAnsi="宋体" w:cs="宋体"/>
          <w:bCs/>
          <w:color w:val="auto"/>
          <w:sz w:val="22"/>
          <w:szCs w:val="22"/>
        </w:rPr>
        <w:t>项目名称：                                      项目编号：</w:t>
      </w:r>
    </w:p>
    <w:p>
      <w:pPr>
        <w:ind w:firstLine="221" w:firstLineChars="100"/>
        <w:rPr>
          <w:rFonts w:ascii="宋体" w:hAnsi="宋体" w:cs="宋体"/>
          <w:b/>
          <w:color w:val="auto"/>
          <w:sz w:val="22"/>
          <w:szCs w:val="22"/>
        </w:rPr>
      </w:pPr>
    </w:p>
    <w:tbl>
      <w:tblPr>
        <w:tblStyle w:val="5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21" w:type="dxa"/>
            <w:noWrap/>
            <w:vAlign w:val="center"/>
          </w:tcPr>
          <w:p>
            <w:pPr>
              <w:jc w:val="center"/>
              <w:rPr>
                <w:rFonts w:ascii="宋体" w:hAnsi="宋体" w:cs="宋体"/>
                <w:color w:val="auto"/>
                <w:sz w:val="22"/>
                <w:szCs w:val="22"/>
              </w:rPr>
            </w:pPr>
            <w:r>
              <w:rPr>
                <w:rFonts w:hint="eastAsia" w:ascii="宋体" w:hAnsi="宋体" w:cs="宋体"/>
                <w:color w:val="auto"/>
                <w:sz w:val="22"/>
                <w:szCs w:val="22"/>
              </w:rPr>
              <w:t>序号</w:t>
            </w:r>
          </w:p>
        </w:tc>
        <w:tc>
          <w:tcPr>
            <w:tcW w:w="1559" w:type="dxa"/>
            <w:noWrap/>
            <w:vAlign w:val="center"/>
          </w:tcPr>
          <w:p>
            <w:pPr>
              <w:jc w:val="center"/>
              <w:rPr>
                <w:rFonts w:ascii="宋体" w:hAnsi="宋体" w:cs="宋体"/>
                <w:color w:val="auto"/>
                <w:sz w:val="22"/>
                <w:szCs w:val="22"/>
              </w:rPr>
            </w:pPr>
            <w:r>
              <w:rPr>
                <w:rFonts w:hint="eastAsia" w:ascii="宋体" w:hAnsi="宋体" w:cs="宋体"/>
                <w:color w:val="auto"/>
                <w:sz w:val="22"/>
                <w:szCs w:val="22"/>
              </w:rPr>
              <w:t>条款内容</w:t>
            </w:r>
          </w:p>
        </w:tc>
        <w:tc>
          <w:tcPr>
            <w:tcW w:w="2184" w:type="dxa"/>
            <w:noWrap/>
            <w:vAlign w:val="center"/>
          </w:tcPr>
          <w:p>
            <w:pPr>
              <w:jc w:val="center"/>
              <w:rPr>
                <w:rFonts w:ascii="宋体" w:hAnsi="宋体" w:cs="宋体"/>
                <w:color w:val="auto"/>
                <w:sz w:val="22"/>
                <w:szCs w:val="22"/>
              </w:rPr>
            </w:pPr>
            <w:r>
              <w:rPr>
                <w:rFonts w:hint="eastAsia" w:ascii="宋体" w:hAnsi="宋体" w:cs="宋体"/>
                <w:color w:val="auto"/>
                <w:sz w:val="22"/>
                <w:szCs w:val="22"/>
              </w:rPr>
              <w:t>采购文件商务条款描述</w:t>
            </w:r>
          </w:p>
        </w:tc>
        <w:tc>
          <w:tcPr>
            <w:tcW w:w="2402" w:type="dxa"/>
            <w:noWrap/>
            <w:vAlign w:val="center"/>
          </w:tcPr>
          <w:p>
            <w:pPr>
              <w:jc w:val="center"/>
              <w:rPr>
                <w:rFonts w:ascii="宋体" w:hAnsi="宋体" w:cs="宋体"/>
                <w:color w:val="auto"/>
                <w:sz w:val="22"/>
                <w:szCs w:val="22"/>
              </w:rPr>
            </w:pPr>
            <w:r>
              <w:rPr>
                <w:rFonts w:hint="eastAsia" w:ascii="宋体" w:hAnsi="宋体" w:cs="宋体"/>
                <w:color w:val="auto"/>
                <w:sz w:val="22"/>
                <w:szCs w:val="22"/>
              </w:rPr>
              <w:t>投标文件商务条款</w:t>
            </w:r>
          </w:p>
        </w:tc>
        <w:tc>
          <w:tcPr>
            <w:tcW w:w="1200" w:type="dxa"/>
            <w:noWrap/>
            <w:vAlign w:val="center"/>
          </w:tcPr>
          <w:p>
            <w:pPr>
              <w:jc w:val="center"/>
              <w:rPr>
                <w:rFonts w:ascii="宋体" w:hAnsi="宋体" w:cs="宋体"/>
                <w:color w:val="auto"/>
                <w:sz w:val="22"/>
                <w:szCs w:val="22"/>
              </w:rPr>
            </w:pPr>
            <w:r>
              <w:rPr>
                <w:rFonts w:hint="eastAsia" w:ascii="宋体" w:hAnsi="宋体" w:cs="宋体"/>
                <w:color w:val="auto"/>
                <w:sz w:val="22"/>
                <w:szCs w:val="22"/>
              </w:rPr>
              <w:t>偏离</w:t>
            </w:r>
          </w:p>
        </w:tc>
        <w:tc>
          <w:tcPr>
            <w:tcW w:w="1588" w:type="dxa"/>
            <w:noWrap/>
            <w:vAlign w:val="center"/>
          </w:tcPr>
          <w:p>
            <w:pPr>
              <w:jc w:val="center"/>
              <w:rPr>
                <w:rFonts w:ascii="宋体" w:hAnsi="宋体" w:cs="宋体"/>
                <w:color w:val="auto"/>
                <w:sz w:val="22"/>
                <w:szCs w:val="22"/>
              </w:rPr>
            </w:pPr>
            <w:r>
              <w:rPr>
                <w:rFonts w:hint="eastAsia" w:ascii="宋体" w:hAnsi="宋体" w:cs="宋体"/>
                <w:color w:val="auto"/>
                <w:sz w:val="22"/>
                <w:szCs w:val="22"/>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21" w:type="dxa"/>
            <w:noWrap/>
            <w:vAlign w:val="center"/>
          </w:tcPr>
          <w:p>
            <w:pPr>
              <w:jc w:val="center"/>
              <w:rPr>
                <w:rFonts w:ascii="宋体" w:hAnsi="宋体" w:cs="宋体"/>
                <w:color w:val="auto"/>
                <w:sz w:val="22"/>
                <w:szCs w:val="22"/>
              </w:rPr>
            </w:pPr>
            <w:r>
              <w:rPr>
                <w:rFonts w:hint="eastAsia" w:ascii="宋体" w:hAnsi="宋体" w:cs="宋体"/>
                <w:color w:val="auto"/>
                <w:sz w:val="22"/>
                <w:szCs w:val="22"/>
              </w:rPr>
              <w:t>1</w:t>
            </w:r>
          </w:p>
        </w:tc>
        <w:tc>
          <w:tcPr>
            <w:tcW w:w="1559" w:type="dxa"/>
            <w:noWrap/>
            <w:vAlign w:val="center"/>
          </w:tcPr>
          <w:p>
            <w:pPr>
              <w:jc w:val="center"/>
              <w:rPr>
                <w:rFonts w:ascii="宋体" w:hAnsi="宋体" w:cs="宋体"/>
                <w:color w:val="auto"/>
                <w:sz w:val="22"/>
                <w:szCs w:val="22"/>
              </w:rPr>
            </w:pPr>
            <w:r>
              <w:rPr>
                <w:rFonts w:hint="eastAsia" w:ascii="宋体" w:hAnsi="宋体" w:cs="宋体"/>
                <w:color w:val="auto"/>
                <w:sz w:val="22"/>
                <w:szCs w:val="22"/>
              </w:rPr>
              <w:t>付款方式</w:t>
            </w:r>
          </w:p>
        </w:tc>
        <w:tc>
          <w:tcPr>
            <w:tcW w:w="2184" w:type="dxa"/>
            <w:noWrap/>
            <w:vAlign w:val="center"/>
          </w:tcPr>
          <w:p>
            <w:pPr>
              <w:jc w:val="center"/>
              <w:rPr>
                <w:rFonts w:ascii="宋体" w:hAnsi="宋体" w:cs="宋体"/>
                <w:color w:val="auto"/>
                <w:sz w:val="22"/>
                <w:szCs w:val="22"/>
              </w:rPr>
            </w:pPr>
          </w:p>
        </w:tc>
        <w:tc>
          <w:tcPr>
            <w:tcW w:w="2402" w:type="dxa"/>
            <w:noWrap/>
            <w:vAlign w:val="center"/>
          </w:tcPr>
          <w:p>
            <w:pPr>
              <w:jc w:val="center"/>
              <w:rPr>
                <w:rFonts w:ascii="宋体" w:hAnsi="宋体" w:cs="宋体"/>
                <w:color w:val="auto"/>
                <w:sz w:val="22"/>
                <w:szCs w:val="22"/>
              </w:rPr>
            </w:pPr>
          </w:p>
        </w:tc>
        <w:tc>
          <w:tcPr>
            <w:tcW w:w="1200" w:type="dxa"/>
            <w:noWrap/>
            <w:vAlign w:val="center"/>
          </w:tcPr>
          <w:p>
            <w:pPr>
              <w:jc w:val="center"/>
              <w:rPr>
                <w:rFonts w:ascii="宋体" w:hAnsi="宋体" w:cs="宋体"/>
                <w:color w:val="auto"/>
                <w:sz w:val="22"/>
                <w:szCs w:val="22"/>
              </w:rPr>
            </w:pPr>
          </w:p>
        </w:tc>
        <w:tc>
          <w:tcPr>
            <w:tcW w:w="1588"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ign w:val="center"/>
          </w:tcPr>
          <w:p>
            <w:pPr>
              <w:jc w:val="center"/>
              <w:rPr>
                <w:rFonts w:ascii="宋体" w:hAnsi="宋体" w:cs="宋体"/>
                <w:color w:val="auto"/>
                <w:sz w:val="22"/>
                <w:szCs w:val="22"/>
              </w:rPr>
            </w:pPr>
            <w:r>
              <w:rPr>
                <w:rFonts w:hint="eastAsia" w:ascii="宋体" w:hAnsi="宋体" w:cs="宋体"/>
                <w:color w:val="auto"/>
                <w:sz w:val="22"/>
                <w:szCs w:val="22"/>
              </w:rPr>
              <w:t>2</w:t>
            </w:r>
          </w:p>
        </w:tc>
        <w:tc>
          <w:tcPr>
            <w:tcW w:w="1559" w:type="dxa"/>
            <w:noWrap/>
            <w:vAlign w:val="center"/>
          </w:tcPr>
          <w:p>
            <w:pPr>
              <w:jc w:val="center"/>
              <w:rPr>
                <w:rFonts w:ascii="宋体" w:hAnsi="宋体" w:cs="宋体"/>
                <w:color w:val="auto"/>
                <w:sz w:val="22"/>
                <w:szCs w:val="22"/>
              </w:rPr>
            </w:pPr>
            <w:r>
              <w:rPr>
                <w:rFonts w:hint="eastAsia" w:ascii="宋体" w:hAnsi="宋体" w:cs="宋体"/>
                <w:color w:val="auto"/>
                <w:sz w:val="22"/>
                <w:szCs w:val="22"/>
              </w:rPr>
              <w:t>服务时间</w:t>
            </w:r>
          </w:p>
        </w:tc>
        <w:tc>
          <w:tcPr>
            <w:tcW w:w="2184" w:type="dxa"/>
            <w:noWrap/>
            <w:vAlign w:val="center"/>
          </w:tcPr>
          <w:p>
            <w:pPr>
              <w:jc w:val="center"/>
              <w:rPr>
                <w:rFonts w:ascii="宋体" w:hAnsi="宋体" w:cs="宋体"/>
                <w:color w:val="auto"/>
                <w:sz w:val="22"/>
                <w:szCs w:val="22"/>
              </w:rPr>
            </w:pPr>
          </w:p>
        </w:tc>
        <w:tc>
          <w:tcPr>
            <w:tcW w:w="2402" w:type="dxa"/>
            <w:noWrap/>
            <w:vAlign w:val="center"/>
          </w:tcPr>
          <w:p>
            <w:pPr>
              <w:jc w:val="center"/>
              <w:rPr>
                <w:rFonts w:ascii="宋体" w:hAnsi="宋体" w:cs="宋体"/>
                <w:color w:val="auto"/>
                <w:sz w:val="22"/>
                <w:szCs w:val="22"/>
              </w:rPr>
            </w:pPr>
          </w:p>
        </w:tc>
        <w:tc>
          <w:tcPr>
            <w:tcW w:w="1200" w:type="dxa"/>
            <w:noWrap/>
            <w:vAlign w:val="center"/>
          </w:tcPr>
          <w:p>
            <w:pPr>
              <w:jc w:val="center"/>
              <w:rPr>
                <w:rFonts w:ascii="宋体" w:hAnsi="宋体" w:cs="宋体"/>
                <w:color w:val="auto"/>
                <w:sz w:val="22"/>
                <w:szCs w:val="22"/>
              </w:rPr>
            </w:pPr>
          </w:p>
        </w:tc>
        <w:tc>
          <w:tcPr>
            <w:tcW w:w="1588"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ign w:val="center"/>
          </w:tcPr>
          <w:p>
            <w:pPr>
              <w:jc w:val="center"/>
              <w:rPr>
                <w:rFonts w:ascii="宋体" w:hAnsi="宋体" w:cs="宋体"/>
                <w:color w:val="auto"/>
                <w:sz w:val="22"/>
                <w:szCs w:val="22"/>
              </w:rPr>
            </w:pPr>
            <w:r>
              <w:rPr>
                <w:rFonts w:hint="eastAsia" w:ascii="宋体" w:hAnsi="宋体" w:cs="宋体"/>
                <w:color w:val="auto"/>
                <w:sz w:val="22"/>
                <w:szCs w:val="22"/>
              </w:rPr>
              <w:t>3</w:t>
            </w:r>
          </w:p>
        </w:tc>
        <w:tc>
          <w:tcPr>
            <w:tcW w:w="1559" w:type="dxa"/>
            <w:noWrap/>
            <w:vAlign w:val="center"/>
          </w:tcPr>
          <w:p>
            <w:pPr>
              <w:jc w:val="center"/>
              <w:rPr>
                <w:rFonts w:ascii="宋体" w:hAnsi="宋体" w:cs="宋体"/>
                <w:color w:val="auto"/>
                <w:sz w:val="22"/>
                <w:szCs w:val="22"/>
              </w:rPr>
            </w:pPr>
          </w:p>
        </w:tc>
        <w:tc>
          <w:tcPr>
            <w:tcW w:w="2184" w:type="dxa"/>
            <w:noWrap/>
            <w:vAlign w:val="center"/>
          </w:tcPr>
          <w:p>
            <w:pPr>
              <w:jc w:val="center"/>
              <w:rPr>
                <w:rFonts w:ascii="宋体" w:hAnsi="宋体" w:cs="宋体"/>
                <w:color w:val="auto"/>
                <w:sz w:val="22"/>
                <w:szCs w:val="22"/>
              </w:rPr>
            </w:pPr>
          </w:p>
        </w:tc>
        <w:tc>
          <w:tcPr>
            <w:tcW w:w="2402" w:type="dxa"/>
            <w:noWrap/>
            <w:vAlign w:val="center"/>
          </w:tcPr>
          <w:p>
            <w:pPr>
              <w:jc w:val="center"/>
              <w:rPr>
                <w:rFonts w:ascii="宋体" w:hAnsi="宋体" w:cs="宋体"/>
                <w:color w:val="auto"/>
                <w:sz w:val="22"/>
                <w:szCs w:val="22"/>
              </w:rPr>
            </w:pPr>
          </w:p>
        </w:tc>
        <w:tc>
          <w:tcPr>
            <w:tcW w:w="1200" w:type="dxa"/>
            <w:noWrap/>
            <w:vAlign w:val="center"/>
          </w:tcPr>
          <w:p>
            <w:pPr>
              <w:jc w:val="center"/>
              <w:rPr>
                <w:rFonts w:ascii="宋体" w:hAnsi="宋体" w:cs="宋体"/>
                <w:color w:val="auto"/>
                <w:sz w:val="22"/>
                <w:szCs w:val="22"/>
              </w:rPr>
            </w:pPr>
          </w:p>
        </w:tc>
        <w:tc>
          <w:tcPr>
            <w:tcW w:w="1588"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ign w:val="center"/>
          </w:tcPr>
          <w:p>
            <w:pPr>
              <w:jc w:val="center"/>
              <w:rPr>
                <w:rFonts w:ascii="宋体" w:hAnsi="宋体" w:cs="宋体"/>
                <w:color w:val="auto"/>
                <w:sz w:val="22"/>
                <w:szCs w:val="22"/>
              </w:rPr>
            </w:pPr>
            <w:r>
              <w:rPr>
                <w:rFonts w:hint="eastAsia" w:ascii="宋体" w:hAnsi="宋体" w:cs="宋体"/>
                <w:color w:val="auto"/>
                <w:sz w:val="22"/>
                <w:szCs w:val="22"/>
              </w:rPr>
              <w:t>4</w:t>
            </w:r>
          </w:p>
        </w:tc>
        <w:tc>
          <w:tcPr>
            <w:tcW w:w="1559" w:type="dxa"/>
            <w:noWrap/>
            <w:vAlign w:val="center"/>
          </w:tcPr>
          <w:p>
            <w:pPr>
              <w:jc w:val="center"/>
              <w:rPr>
                <w:rFonts w:ascii="宋体" w:hAnsi="宋体" w:cs="宋体"/>
                <w:color w:val="auto"/>
                <w:sz w:val="22"/>
                <w:szCs w:val="22"/>
              </w:rPr>
            </w:pPr>
          </w:p>
        </w:tc>
        <w:tc>
          <w:tcPr>
            <w:tcW w:w="2184" w:type="dxa"/>
            <w:noWrap/>
            <w:vAlign w:val="center"/>
          </w:tcPr>
          <w:p>
            <w:pPr>
              <w:jc w:val="center"/>
              <w:rPr>
                <w:rFonts w:ascii="宋体" w:hAnsi="宋体" w:cs="宋体"/>
                <w:color w:val="auto"/>
                <w:sz w:val="22"/>
                <w:szCs w:val="22"/>
              </w:rPr>
            </w:pPr>
          </w:p>
        </w:tc>
        <w:tc>
          <w:tcPr>
            <w:tcW w:w="2402" w:type="dxa"/>
            <w:noWrap/>
            <w:vAlign w:val="center"/>
          </w:tcPr>
          <w:p>
            <w:pPr>
              <w:jc w:val="center"/>
              <w:rPr>
                <w:rFonts w:ascii="宋体" w:hAnsi="宋体" w:cs="宋体"/>
                <w:color w:val="auto"/>
                <w:sz w:val="22"/>
                <w:szCs w:val="22"/>
              </w:rPr>
            </w:pPr>
          </w:p>
        </w:tc>
        <w:tc>
          <w:tcPr>
            <w:tcW w:w="1200" w:type="dxa"/>
            <w:noWrap/>
            <w:vAlign w:val="center"/>
          </w:tcPr>
          <w:p>
            <w:pPr>
              <w:jc w:val="center"/>
              <w:rPr>
                <w:rFonts w:ascii="宋体" w:hAnsi="宋体" w:cs="宋体"/>
                <w:color w:val="auto"/>
                <w:sz w:val="22"/>
                <w:szCs w:val="22"/>
              </w:rPr>
            </w:pPr>
          </w:p>
        </w:tc>
        <w:tc>
          <w:tcPr>
            <w:tcW w:w="1588"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ign w:val="center"/>
          </w:tcPr>
          <w:p>
            <w:pPr>
              <w:jc w:val="center"/>
              <w:rPr>
                <w:rFonts w:ascii="宋体" w:hAnsi="宋体" w:cs="宋体"/>
                <w:color w:val="auto"/>
                <w:sz w:val="22"/>
                <w:szCs w:val="22"/>
              </w:rPr>
            </w:pPr>
            <w:r>
              <w:rPr>
                <w:rFonts w:hint="eastAsia" w:ascii="宋体" w:hAnsi="宋体" w:cs="宋体"/>
                <w:color w:val="auto"/>
                <w:sz w:val="22"/>
                <w:szCs w:val="22"/>
              </w:rPr>
              <w:t>5</w:t>
            </w:r>
          </w:p>
        </w:tc>
        <w:tc>
          <w:tcPr>
            <w:tcW w:w="1559" w:type="dxa"/>
            <w:noWrap/>
            <w:vAlign w:val="center"/>
          </w:tcPr>
          <w:p>
            <w:pPr>
              <w:jc w:val="center"/>
              <w:rPr>
                <w:rFonts w:ascii="宋体" w:hAnsi="宋体" w:cs="宋体"/>
                <w:color w:val="auto"/>
                <w:sz w:val="22"/>
                <w:szCs w:val="22"/>
              </w:rPr>
            </w:pPr>
          </w:p>
        </w:tc>
        <w:tc>
          <w:tcPr>
            <w:tcW w:w="2184" w:type="dxa"/>
            <w:noWrap/>
            <w:vAlign w:val="center"/>
          </w:tcPr>
          <w:p>
            <w:pPr>
              <w:jc w:val="center"/>
              <w:rPr>
                <w:rFonts w:ascii="宋体" w:hAnsi="宋体" w:cs="宋体"/>
                <w:color w:val="auto"/>
                <w:sz w:val="22"/>
                <w:szCs w:val="22"/>
              </w:rPr>
            </w:pPr>
          </w:p>
        </w:tc>
        <w:tc>
          <w:tcPr>
            <w:tcW w:w="2402" w:type="dxa"/>
            <w:noWrap/>
            <w:vAlign w:val="center"/>
          </w:tcPr>
          <w:p>
            <w:pPr>
              <w:jc w:val="center"/>
              <w:rPr>
                <w:rFonts w:ascii="宋体" w:hAnsi="宋体" w:cs="宋体"/>
                <w:color w:val="auto"/>
                <w:sz w:val="22"/>
                <w:szCs w:val="22"/>
              </w:rPr>
            </w:pPr>
          </w:p>
        </w:tc>
        <w:tc>
          <w:tcPr>
            <w:tcW w:w="1200" w:type="dxa"/>
            <w:noWrap/>
            <w:vAlign w:val="center"/>
          </w:tcPr>
          <w:p>
            <w:pPr>
              <w:jc w:val="center"/>
              <w:rPr>
                <w:rFonts w:ascii="宋体" w:hAnsi="宋体" w:cs="宋体"/>
                <w:color w:val="auto"/>
                <w:sz w:val="22"/>
                <w:szCs w:val="22"/>
              </w:rPr>
            </w:pPr>
          </w:p>
        </w:tc>
        <w:tc>
          <w:tcPr>
            <w:tcW w:w="1588" w:type="dxa"/>
            <w:noWrap/>
            <w:vAlign w:val="center"/>
          </w:tcPr>
          <w:p>
            <w:pPr>
              <w:jc w:val="center"/>
              <w:rPr>
                <w:rFonts w:ascii="宋体" w:hAnsi="宋体" w:cs="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ign w:val="center"/>
          </w:tcPr>
          <w:p>
            <w:pPr>
              <w:jc w:val="center"/>
              <w:rPr>
                <w:rFonts w:ascii="宋体" w:hAnsi="宋体" w:cs="宋体"/>
                <w:color w:val="auto"/>
                <w:sz w:val="22"/>
                <w:szCs w:val="22"/>
              </w:rPr>
            </w:pPr>
            <w:r>
              <w:rPr>
                <w:rFonts w:hint="eastAsia" w:ascii="宋体" w:hAnsi="宋体" w:cs="宋体"/>
                <w:color w:val="auto"/>
                <w:sz w:val="22"/>
                <w:szCs w:val="22"/>
              </w:rPr>
              <w:t>……</w:t>
            </w:r>
          </w:p>
        </w:tc>
        <w:tc>
          <w:tcPr>
            <w:tcW w:w="1559" w:type="dxa"/>
            <w:noWrap/>
            <w:vAlign w:val="center"/>
          </w:tcPr>
          <w:p>
            <w:pPr>
              <w:jc w:val="center"/>
              <w:rPr>
                <w:rFonts w:ascii="宋体" w:hAnsi="宋体" w:cs="宋体"/>
                <w:color w:val="auto"/>
                <w:sz w:val="22"/>
                <w:szCs w:val="22"/>
              </w:rPr>
            </w:pPr>
            <w:r>
              <w:rPr>
                <w:rFonts w:hint="eastAsia" w:ascii="宋体" w:hAnsi="宋体" w:cs="宋体"/>
                <w:color w:val="auto"/>
                <w:sz w:val="22"/>
                <w:szCs w:val="22"/>
              </w:rPr>
              <w:t>……</w:t>
            </w:r>
          </w:p>
        </w:tc>
        <w:tc>
          <w:tcPr>
            <w:tcW w:w="2184" w:type="dxa"/>
            <w:noWrap/>
            <w:vAlign w:val="center"/>
          </w:tcPr>
          <w:p>
            <w:pPr>
              <w:jc w:val="center"/>
              <w:rPr>
                <w:rFonts w:ascii="宋体" w:hAnsi="宋体" w:cs="宋体"/>
                <w:color w:val="auto"/>
                <w:sz w:val="22"/>
                <w:szCs w:val="22"/>
              </w:rPr>
            </w:pPr>
          </w:p>
        </w:tc>
        <w:tc>
          <w:tcPr>
            <w:tcW w:w="2402" w:type="dxa"/>
            <w:noWrap/>
            <w:vAlign w:val="center"/>
          </w:tcPr>
          <w:p>
            <w:pPr>
              <w:jc w:val="center"/>
              <w:rPr>
                <w:rFonts w:ascii="宋体" w:hAnsi="宋体" w:cs="宋体"/>
                <w:color w:val="auto"/>
                <w:sz w:val="22"/>
                <w:szCs w:val="22"/>
              </w:rPr>
            </w:pPr>
          </w:p>
        </w:tc>
        <w:tc>
          <w:tcPr>
            <w:tcW w:w="1200" w:type="dxa"/>
            <w:noWrap/>
            <w:vAlign w:val="center"/>
          </w:tcPr>
          <w:p>
            <w:pPr>
              <w:jc w:val="center"/>
              <w:rPr>
                <w:rFonts w:ascii="宋体" w:hAnsi="宋体" w:cs="宋体"/>
                <w:color w:val="auto"/>
                <w:sz w:val="22"/>
                <w:szCs w:val="22"/>
              </w:rPr>
            </w:pPr>
          </w:p>
        </w:tc>
        <w:tc>
          <w:tcPr>
            <w:tcW w:w="1588" w:type="dxa"/>
            <w:noWrap/>
            <w:vAlign w:val="center"/>
          </w:tcPr>
          <w:p>
            <w:pPr>
              <w:jc w:val="center"/>
              <w:rPr>
                <w:rFonts w:ascii="宋体" w:hAnsi="宋体" w:cs="宋体"/>
                <w:color w:val="auto"/>
                <w:sz w:val="22"/>
                <w:szCs w:val="22"/>
              </w:rPr>
            </w:pPr>
          </w:p>
        </w:tc>
      </w:tr>
    </w:tbl>
    <w:p>
      <w:pPr>
        <w:spacing w:line="500" w:lineRule="exact"/>
        <w:rPr>
          <w:rFonts w:ascii="宋体" w:hAnsi="宋体" w:cs="宋体"/>
          <w:color w:val="auto"/>
          <w:sz w:val="24"/>
        </w:rPr>
      </w:pPr>
      <w:r>
        <w:rPr>
          <w:rFonts w:hint="eastAsia" w:ascii="宋体" w:hAnsi="宋体" w:cs="宋体"/>
          <w:color w:val="auto"/>
          <w:sz w:val="24"/>
        </w:rPr>
        <w:t>说明：</w:t>
      </w:r>
    </w:p>
    <w:p>
      <w:pPr>
        <w:spacing w:line="500" w:lineRule="exact"/>
        <w:rPr>
          <w:rFonts w:ascii="宋体" w:hAnsi="宋体" w:cs="宋体"/>
          <w:color w:val="auto"/>
          <w:sz w:val="22"/>
          <w:szCs w:val="22"/>
        </w:rPr>
      </w:pPr>
      <w:r>
        <w:rPr>
          <w:rFonts w:hint="eastAsia" w:ascii="宋体" w:hAnsi="宋体" w:cs="宋体"/>
          <w:color w:val="auto"/>
          <w:sz w:val="22"/>
          <w:szCs w:val="22"/>
        </w:rPr>
        <w:t>不填写此表视作完全响应采购文件要求。</w:t>
      </w:r>
    </w:p>
    <w:p>
      <w:pPr>
        <w:spacing w:line="500" w:lineRule="exact"/>
        <w:ind w:firstLine="4400" w:firstLineChars="2000"/>
        <w:rPr>
          <w:rFonts w:ascii="宋体" w:hAnsi="宋体" w:cs="宋体"/>
          <w:color w:val="auto"/>
          <w:sz w:val="22"/>
          <w:szCs w:val="22"/>
        </w:rPr>
      </w:pPr>
    </w:p>
    <w:p>
      <w:pPr>
        <w:spacing w:line="500" w:lineRule="exact"/>
        <w:ind w:firstLine="4400" w:firstLineChars="2000"/>
        <w:rPr>
          <w:rFonts w:ascii="宋体" w:hAnsi="宋体" w:cs="宋体"/>
          <w:color w:val="auto"/>
          <w:sz w:val="22"/>
          <w:szCs w:val="22"/>
        </w:rPr>
      </w:pPr>
    </w:p>
    <w:p>
      <w:pPr>
        <w:spacing w:line="500" w:lineRule="exact"/>
        <w:ind w:firstLine="4400" w:firstLineChars="2000"/>
        <w:rPr>
          <w:rFonts w:ascii="宋体" w:hAnsi="宋体" w:cs="宋体"/>
          <w:color w:val="auto"/>
          <w:sz w:val="22"/>
          <w:szCs w:val="22"/>
        </w:rPr>
      </w:pPr>
    </w:p>
    <w:p>
      <w:pPr>
        <w:spacing w:line="380" w:lineRule="exact"/>
        <w:ind w:firstLine="4400" w:firstLineChars="2000"/>
        <w:rPr>
          <w:rFonts w:eastAsia="新宋体"/>
          <w:color w:val="auto"/>
          <w:sz w:val="22"/>
          <w:szCs w:val="22"/>
        </w:rPr>
      </w:pPr>
      <w:r>
        <w:rPr>
          <w:rFonts w:hint="eastAsia" w:eastAsia="新宋体"/>
          <w:color w:val="auto"/>
          <w:sz w:val="22"/>
          <w:szCs w:val="22"/>
        </w:rPr>
        <w:t>投标人全称（盖章）：</w:t>
      </w:r>
    </w:p>
    <w:p>
      <w:pPr>
        <w:spacing w:line="380" w:lineRule="exact"/>
        <w:ind w:firstLine="4400" w:firstLineChars="2000"/>
        <w:rPr>
          <w:rFonts w:eastAsia="新宋体"/>
          <w:color w:val="auto"/>
          <w:sz w:val="22"/>
          <w:szCs w:val="22"/>
        </w:rPr>
      </w:pPr>
      <w:r>
        <w:rPr>
          <w:rFonts w:hint="eastAsia" w:eastAsia="新宋体"/>
          <w:color w:val="auto"/>
          <w:sz w:val="22"/>
          <w:szCs w:val="22"/>
        </w:rPr>
        <w:t>法定代表人或授权代表（签字）：</w:t>
      </w:r>
    </w:p>
    <w:p>
      <w:pPr>
        <w:spacing w:line="380" w:lineRule="exact"/>
        <w:ind w:firstLine="4400" w:firstLineChars="2000"/>
        <w:rPr>
          <w:rFonts w:eastAsia="新宋体"/>
          <w:color w:val="auto"/>
          <w:sz w:val="22"/>
          <w:szCs w:val="22"/>
        </w:rPr>
      </w:pPr>
      <w:r>
        <w:rPr>
          <w:rFonts w:hint="eastAsia" w:eastAsia="新宋体"/>
          <w:color w:val="auto"/>
          <w:sz w:val="22"/>
          <w:szCs w:val="22"/>
        </w:rPr>
        <w:t>日期：  年   月  日</w:t>
      </w:r>
    </w:p>
    <w:p>
      <w:pPr>
        <w:tabs>
          <w:tab w:val="left" w:pos="840"/>
        </w:tabs>
        <w:adjustRightInd w:val="0"/>
        <w:snapToGrid w:val="0"/>
        <w:spacing w:line="360" w:lineRule="auto"/>
        <w:ind w:left="420" w:leftChars="200" w:firstLine="330" w:firstLineChars="150"/>
        <w:rPr>
          <w:rFonts w:ascii="宋体" w:hAnsi="宋体" w:cs="宋体"/>
          <w:color w:val="auto"/>
          <w:sz w:val="22"/>
          <w:szCs w:val="22"/>
        </w:rPr>
      </w:pPr>
    </w:p>
    <w:p>
      <w:pPr>
        <w:tabs>
          <w:tab w:val="left" w:pos="840"/>
        </w:tabs>
        <w:adjustRightInd w:val="0"/>
        <w:snapToGrid w:val="0"/>
        <w:spacing w:line="360" w:lineRule="auto"/>
        <w:ind w:left="18" w:hanging="17" w:hangingChars="8"/>
        <w:jc w:val="left"/>
        <w:rPr>
          <w:rFonts w:ascii="宋体" w:hAnsi="宋体" w:cs="宋体"/>
          <w:color w:val="auto"/>
          <w:sz w:val="22"/>
          <w:szCs w:val="22"/>
        </w:rPr>
      </w:pPr>
      <w:r>
        <w:rPr>
          <w:rFonts w:hint="eastAsia" w:ascii="宋体" w:hAnsi="宋体" w:cs="宋体"/>
          <w:color w:val="auto"/>
          <w:sz w:val="22"/>
          <w:szCs w:val="22"/>
        </w:rPr>
        <w:br w:type="page"/>
      </w:r>
      <w:r>
        <w:rPr>
          <w:rFonts w:hint="eastAsia" w:ascii="宋体" w:hAnsi="宋体" w:cs="宋体"/>
          <w:b/>
          <w:bCs/>
          <w:color w:val="auto"/>
          <w:sz w:val="22"/>
          <w:szCs w:val="22"/>
        </w:rPr>
        <w:t>附件三</w:t>
      </w:r>
    </w:p>
    <w:p>
      <w:pPr>
        <w:tabs>
          <w:tab w:val="left" w:pos="840"/>
        </w:tabs>
        <w:adjustRightInd w:val="0"/>
        <w:snapToGrid w:val="0"/>
        <w:spacing w:line="360" w:lineRule="auto"/>
        <w:ind w:left="22" w:hanging="22" w:hangingChars="8"/>
        <w:jc w:val="center"/>
        <w:rPr>
          <w:rFonts w:eastAsia="新宋体"/>
          <w:b/>
          <w:bCs/>
          <w:color w:val="auto"/>
          <w:sz w:val="28"/>
          <w:szCs w:val="28"/>
        </w:rPr>
      </w:pPr>
      <w:r>
        <w:rPr>
          <w:rFonts w:hint="eastAsia" w:eastAsia="新宋体"/>
          <w:b/>
          <w:bCs/>
          <w:color w:val="auto"/>
          <w:sz w:val="28"/>
          <w:szCs w:val="28"/>
        </w:rPr>
        <w:t>供应商为完成本项目组建的工作小组名单</w:t>
      </w:r>
    </w:p>
    <w:p>
      <w:pPr>
        <w:pStyle w:val="31"/>
        <w:spacing w:line="400" w:lineRule="atLeast"/>
        <w:ind w:left="17" w:hanging="17" w:hangingChars="6"/>
        <w:jc w:val="center"/>
        <w:rPr>
          <w:rFonts w:ascii="新宋体" w:hAnsi="新宋体" w:eastAsia="新宋体"/>
          <w:b/>
          <w:color w:val="auto"/>
          <w:sz w:val="28"/>
        </w:rPr>
      </w:pPr>
      <w:r>
        <w:rPr>
          <w:rFonts w:hint="eastAsia" w:ascii="新宋体" w:hAnsi="新宋体" w:eastAsia="新宋体"/>
          <w:b/>
          <w:color w:val="auto"/>
          <w:sz w:val="28"/>
        </w:rPr>
        <w:t>（1）项目负责人简历表</w:t>
      </w:r>
    </w:p>
    <w:p>
      <w:pPr>
        <w:pStyle w:val="31"/>
        <w:spacing w:line="400" w:lineRule="atLeast"/>
        <w:ind w:left="663" w:hanging="663" w:hangingChars="300"/>
        <w:rPr>
          <w:rFonts w:ascii="新宋体" w:hAnsi="新宋体" w:eastAsia="新宋体"/>
          <w:b/>
          <w:color w:val="auto"/>
          <w:sz w:val="22"/>
        </w:rPr>
      </w:pPr>
      <w:r>
        <w:rPr>
          <w:rFonts w:hint="eastAsia" w:ascii="新宋体" w:hAnsi="新宋体" w:eastAsia="新宋体"/>
          <w:b/>
          <w:color w:val="auto"/>
          <w:sz w:val="22"/>
        </w:rPr>
        <w:t>项目名称：                                            项目编号：</w:t>
      </w:r>
    </w:p>
    <w:tbl>
      <w:tblPr>
        <w:tblStyle w:val="58"/>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018"/>
        <w:gridCol w:w="439"/>
        <w:gridCol w:w="1799"/>
        <w:gridCol w:w="1189"/>
        <w:gridCol w:w="378"/>
        <w:gridCol w:w="1062"/>
        <w:gridCol w:w="2074"/>
        <w:gridCol w:w="156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56" w:hRule="atLeast"/>
          <w:jc w:val="center"/>
        </w:trPr>
        <w:tc>
          <w:tcPr>
            <w:tcW w:w="9527" w:type="dxa"/>
            <w:gridSpan w:val="8"/>
            <w:tcBorders>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1、一般情况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姓   名</w:t>
            </w:r>
          </w:p>
        </w:tc>
        <w:tc>
          <w:tcPr>
            <w:tcW w:w="1799"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p>
        </w:tc>
        <w:tc>
          <w:tcPr>
            <w:tcW w:w="1567"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年  龄</w:t>
            </w:r>
          </w:p>
        </w:tc>
        <w:tc>
          <w:tcPr>
            <w:tcW w:w="1062"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p>
        </w:tc>
        <w:tc>
          <w:tcPr>
            <w:tcW w:w="2074"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学  历</w:t>
            </w:r>
          </w:p>
        </w:tc>
        <w:tc>
          <w:tcPr>
            <w:tcW w:w="1568"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毕业学校</w:t>
            </w:r>
          </w:p>
        </w:tc>
        <w:tc>
          <w:tcPr>
            <w:tcW w:w="1799" w:type="dxa"/>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1567"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专  业</w:t>
            </w:r>
          </w:p>
        </w:tc>
        <w:tc>
          <w:tcPr>
            <w:tcW w:w="1062"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p>
        </w:tc>
        <w:tc>
          <w:tcPr>
            <w:tcW w:w="2074"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职  务</w:t>
            </w:r>
          </w:p>
        </w:tc>
        <w:tc>
          <w:tcPr>
            <w:tcW w:w="1568"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963" w:hRule="exact"/>
          <w:jc w:val="center"/>
        </w:trPr>
        <w:tc>
          <w:tcPr>
            <w:tcW w:w="1457"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职  称</w:t>
            </w:r>
          </w:p>
        </w:tc>
        <w:tc>
          <w:tcPr>
            <w:tcW w:w="1799" w:type="dxa"/>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1567"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拟任何职</w:t>
            </w:r>
          </w:p>
        </w:tc>
        <w:tc>
          <w:tcPr>
            <w:tcW w:w="1062"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p>
        </w:tc>
        <w:tc>
          <w:tcPr>
            <w:tcW w:w="2074"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参加工作</w:t>
            </w:r>
          </w:p>
          <w:p>
            <w:pPr>
              <w:spacing w:line="360" w:lineRule="exact"/>
              <w:jc w:val="center"/>
              <w:rPr>
                <w:rFonts w:eastAsia="新宋体"/>
                <w:color w:val="auto"/>
                <w:sz w:val="22"/>
                <w:szCs w:val="22"/>
              </w:rPr>
            </w:pPr>
            <w:r>
              <w:rPr>
                <w:rFonts w:hint="eastAsia" w:eastAsia="新宋体"/>
                <w:color w:val="auto"/>
                <w:sz w:val="22"/>
                <w:szCs w:val="22"/>
              </w:rPr>
              <w:t>时间</w:t>
            </w:r>
          </w:p>
        </w:tc>
        <w:tc>
          <w:tcPr>
            <w:tcW w:w="1568"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2、个人简历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时  间</w:t>
            </w:r>
          </w:p>
        </w:tc>
        <w:tc>
          <w:tcPr>
            <w:tcW w:w="8070" w:type="dxa"/>
            <w:gridSpan w:val="6"/>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专业工作经历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8070" w:type="dxa"/>
            <w:gridSpan w:val="6"/>
            <w:tcBorders>
              <w:top w:val="single" w:color="auto" w:sz="4" w:space="0"/>
              <w:bottom w:val="single" w:color="auto" w:sz="4" w:space="0"/>
            </w:tcBorders>
            <w:noWrap/>
            <w:vAlign w:val="center"/>
          </w:tcPr>
          <w:p>
            <w:pPr>
              <w:spacing w:line="360" w:lineRule="exact"/>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8070" w:type="dxa"/>
            <w:gridSpan w:val="6"/>
            <w:tcBorders>
              <w:top w:val="single" w:color="auto" w:sz="4" w:space="0"/>
              <w:bottom w:val="single" w:color="auto" w:sz="4" w:space="0"/>
            </w:tcBorders>
            <w:noWrap/>
            <w:vAlign w:val="center"/>
          </w:tcPr>
          <w:p>
            <w:pPr>
              <w:spacing w:line="360" w:lineRule="exact"/>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3、项目负责人业绩</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序号</w:t>
            </w:r>
          </w:p>
        </w:tc>
        <w:tc>
          <w:tcPr>
            <w:tcW w:w="3427" w:type="dxa"/>
            <w:gridSpan w:val="3"/>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项  目  名  称</w:t>
            </w:r>
          </w:p>
        </w:tc>
        <w:tc>
          <w:tcPr>
            <w:tcW w:w="1440"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完成年份</w:t>
            </w:r>
          </w:p>
        </w:tc>
        <w:tc>
          <w:tcPr>
            <w:tcW w:w="3642" w:type="dxa"/>
            <w:gridSpan w:val="2"/>
            <w:tcBorders>
              <w:top w:val="single" w:color="auto" w:sz="4" w:space="0"/>
              <w:bottom w:val="single" w:color="auto" w:sz="4" w:space="0"/>
            </w:tcBorders>
            <w:noWrap/>
            <w:vAlign w:val="center"/>
          </w:tcPr>
          <w:p>
            <w:pPr>
              <w:spacing w:line="360" w:lineRule="exact"/>
              <w:jc w:val="center"/>
              <w:rPr>
                <w:rFonts w:eastAsia="新宋体"/>
                <w:color w:val="auto"/>
                <w:sz w:val="22"/>
                <w:szCs w:val="22"/>
              </w:rPr>
            </w:pPr>
            <w:r>
              <w:rPr>
                <w:rFonts w:hint="eastAsia" w:eastAsia="新宋体"/>
                <w:color w:val="auto"/>
                <w:sz w:val="22"/>
                <w:szCs w:val="22"/>
              </w:rPr>
              <w:t>获奖情况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3427" w:type="dxa"/>
            <w:gridSpan w:val="3"/>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1440"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3642"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3427" w:type="dxa"/>
            <w:gridSpan w:val="3"/>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1440"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3642"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3427" w:type="dxa"/>
            <w:gridSpan w:val="3"/>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1440"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c>
          <w:tcPr>
            <w:tcW w:w="3642" w:type="dxa"/>
            <w:gridSpan w:val="2"/>
            <w:tcBorders>
              <w:top w:val="single" w:color="auto" w:sz="4" w:space="0"/>
              <w:bottom w:val="single" w:color="auto" w:sz="4" w:space="0"/>
            </w:tcBorders>
            <w:noWrap/>
            <w:vAlign w:val="center"/>
          </w:tcPr>
          <w:p>
            <w:pPr>
              <w:spacing w:line="360" w:lineRule="exact"/>
              <w:rPr>
                <w:rFonts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12" w:space="0"/>
            </w:tcBorders>
            <w:noWrap/>
            <w:vAlign w:val="center"/>
          </w:tcPr>
          <w:p>
            <w:pPr>
              <w:spacing w:line="360" w:lineRule="exact"/>
              <w:rPr>
                <w:rFonts w:eastAsia="新宋体"/>
                <w:color w:val="auto"/>
                <w:sz w:val="22"/>
                <w:szCs w:val="22"/>
              </w:rPr>
            </w:pPr>
          </w:p>
        </w:tc>
        <w:tc>
          <w:tcPr>
            <w:tcW w:w="3427" w:type="dxa"/>
            <w:gridSpan w:val="3"/>
            <w:tcBorders>
              <w:top w:val="single" w:color="auto" w:sz="4" w:space="0"/>
              <w:bottom w:val="single" w:color="auto" w:sz="12" w:space="0"/>
            </w:tcBorders>
            <w:noWrap/>
            <w:vAlign w:val="center"/>
          </w:tcPr>
          <w:p>
            <w:pPr>
              <w:spacing w:line="360" w:lineRule="exact"/>
              <w:rPr>
                <w:rFonts w:eastAsia="新宋体"/>
                <w:color w:val="auto"/>
                <w:sz w:val="22"/>
                <w:szCs w:val="22"/>
              </w:rPr>
            </w:pPr>
          </w:p>
        </w:tc>
        <w:tc>
          <w:tcPr>
            <w:tcW w:w="1440" w:type="dxa"/>
            <w:gridSpan w:val="2"/>
            <w:tcBorders>
              <w:top w:val="single" w:color="auto" w:sz="4" w:space="0"/>
              <w:bottom w:val="single" w:color="auto" w:sz="12" w:space="0"/>
            </w:tcBorders>
            <w:noWrap/>
            <w:vAlign w:val="center"/>
          </w:tcPr>
          <w:p>
            <w:pPr>
              <w:spacing w:line="360" w:lineRule="exact"/>
              <w:rPr>
                <w:rFonts w:eastAsia="新宋体"/>
                <w:color w:val="auto"/>
                <w:sz w:val="22"/>
                <w:szCs w:val="22"/>
              </w:rPr>
            </w:pPr>
          </w:p>
        </w:tc>
        <w:tc>
          <w:tcPr>
            <w:tcW w:w="3642" w:type="dxa"/>
            <w:gridSpan w:val="2"/>
            <w:tcBorders>
              <w:top w:val="single" w:color="auto" w:sz="4" w:space="0"/>
              <w:bottom w:val="single" w:color="auto" w:sz="12" w:space="0"/>
            </w:tcBorders>
            <w:noWrap/>
            <w:vAlign w:val="center"/>
          </w:tcPr>
          <w:p>
            <w:pPr>
              <w:spacing w:line="360" w:lineRule="exact"/>
              <w:rPr>
                <w:rFonts w:eastAsia="新宋体"/>
                <w:color w:val="auto"/>
                <w:sz w:val="22"/>
                <w:szCs w:val="22"/>
              </w:rPr>
            </w:pPr>
          </w:p>
        </w:tc>
      </w:tr>
    </w:tbl>
    <w:p>
      <w:pPr>
        <w:pStyle w:val="31"/>
        <w:spacing w:line="340" w:lineRule="exact"/>
        <w:ind w:left="660" w:hanging="660" w:hangingChars="300"/>
        <w:rPr>
          <w:rFonts w:ascii="新宋体" w:hAnsi="新宋体" w:eastAsia="新宋体"/>
          <w:color w:val="auto"/>
          <w:sz w:val="22"/>
        </w:rPr>
      </w:pPr>
    </w:p>
    <w:p>
      <w:pPr>
        <w:spacing w:line="380" w:lineRule="exact"/>
        <w:ind w:left="4420" w:leftChars="2000" w:hanging="220" w:hangingChars="100"/>
        <w:rPr>
          <w:rFonts w:eastAsia="新宋体"/>
          <w:color w:val="auto"/>
          <w:sz w:val="22"/>
          <w:szCs w:val="22"/>
        </w:rPr>
      </w:pPr>
      <w:r>
        <w:rPr>
          <w:rFonts w:hint="eastAsia" w:eastAsia="新宋体"/>
          <w:color w:val="auto"/>
          <w:sz w:val="22"/>
          <w:szCs w:val="22"/>
        </w:rPr>
        <w:t>投标人全称（盖章）：</w:t>
      </w:r>
    </w:p>
    <w:p>
      <w:pPr>
        <w:spacing w:line="380" w:lineRule="exact"/>
        <w:ind w:firstLine="4400" w:firstLineChars="2000"/>
        <w:rPr>
          <w:rFonts w:eastAsia="新宋体"/>
          <w:color w:val="auto"/>
          <w:sz w:val="22"/>
          <w:szCs w:val="22"/>
        </w:rPr>
      </w:pPr>
      <w:r>
        <w:rPr>
          <w:rFonts w:hint="eastAsia" w:eastAsia="新宋体"/>
          <w:color w:val="auto"/>
          <w:sz w:val="22"/>
          <w:szCs w:val="22"/>
        </w:rPr>
        <w:t>法定代表人或授权代表（签字）：</w:t>
      </w:r>
    </w:p>
    <w:p>
      <w:pPr>
        <w:spacing w:line="380" w:lineRule="exact"/>
        <w:ind w:firstLine="4400" w:firstLineChars="2000"/>
        <w:rPr>
          <w:rFonts w:eastAsia="新宋体"/>
          <w:color w:val="auto"/>
          <w:sz w:val="22"/>
          <w:szCs w:val="22"/>
        </w:rPr>
      </w:pPr>
      <w:r>
        <w:rPr>
          <w:rFonts w:hint="eastAsia" w:eastAsia="新宋体"/>
          <w:color w:val="auto"/>
          <w:sz w:val="22"/>
          <w:szCs w:val="22"/>
        </w:rPr>
        <w:t>日期：  年   月  日</w:t>
      </w:r>
    </w:p>
    <w:p>
      <w:pPr>
        <w:jc w:val="center"/>
        <w:rPr>
          <w:rFonts w:ascii="宋体" w:hAnsi="宋体" w:cs="宋体"/>
          <w:b/>
          <w:color w:val="auto"/>
          <w:sz w:val="28"/>
          <w:szCs w:val="21"/>
        </w:rPr>
      </w:pPr>
      <w:r>
        <w:rPr>
          <w:rFonts w:hint="eastAsia" w:eastAsia="新宋体"/>
          <w:b/>
          <w:color w:val="auto"/>
          <w:sz w:val="28"/>
        </w:rPr>
        <w:br w:type="page"/>
      </w:r>
      <w:r>
        <w:rPr>
          <w:rFonts w:hint="eastAsia" w:ascii="宋体" w:hAnsi="宋体" w:cs="宋体"/>
          <w:b/>
          <w:color w:val="auto"/>
          <w:sz w:val="28"/>
          <w:szCs w:val="21"/>
        </w:rPr>
        <w:t>（2）拟投入的项目实施人员名单</w:t>
      </w:r>
    </w:p>
    <w:p>
      <w:pPr>
        <w:rPr>
          <w:rFonts w:ascii="宋体" w:hAnsi="宋体" w:cs="宋体"/>
          <w:color w:val="auto"/>
          <w:sz w:val="22"/>
        </w:rPr>
      </w:pPr>
      <w:r>
        <w:rPr>
          <w:rFonts w:hint="eastAsia" w:ascii="宋体" w:hAnsi="宋体" w:cs="宋体"/>
          <w:b/>
          <w:color w:val="auto"/>
          <w:sz w:val="24"/>
        </w:rPr>
        <w:t>项目名称：</w:t>
      </w:r>
      <w:r>
        <w:rPr>
          <w:rFonts w:hint="eastAsia" w:ascii="宋体" w:hAnsi="宋体" w:cs="宋体"/>
          <w:b/>
          <w:color w:val="auto"/>
          <w:sz w:val="22"/>
        </w:rPr>
        <w:t xml:space="preserve">                                         项目编号：</w:t>
      </w:r>
    </w:p>
    <w:tbl>
      <w:tblPr>
        <w:tblStyle w:val="5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noWrap/>
            <w:vAlign w:val="center"/>
          </w:tcPr>
          <w:p>
            <w:pPr>
              <w:spacing w:line="360" w:lineRule="auto"/>
              <w:jc w:val="center"/>
              <w:rPr>
                <w:rFonts w:ascii="宋体" w:hAnsi="宋体" w:cs="宋体"/>
                <w:color w:val="auto"/>
                <w:sz w:val="22"/>
              </w:rPr>
            </w:pPr>
            <w:r>
              <w:rPr>
                <w:rFonts w:hint="eastAsia" w:ascii="宋体" w:hAnsi="宋体" w:cs="宋体"/>
                <w:color w:val="auto"/>
                <w:sz w:val="22"/>
              </w:rPr>
              <w:t>序号</w:t>
            </w:r>
          </w:p>
        </w:tc>
        <w:tc>
          <w:tcPr>
            <w:tcW w:w="958" w:type="dxa"/>
            <w:noWrap/>
            <w:vAlign w:val="center"/>
          </w:tcPr>
          <w:p>
            <w:pPr>
              <w:spacing w:line="360" w:lineRule="auto"/>
              <w:jc w:val="center"/>
              <w:rPr>
                <w:rFonts w:ascii="宋体" w:hAnsi="宋体" w:cs="宋体"/>
                <w:color w:val="auto"/>
                <w:sz w:val="22"/>
              </w:rPr>
            </w:pPr>
            <w:r>
              <w:rPr>
                <w:rFonts w:hint="eastAsia" w:ascii="宋体" w:hAnsi="宋体" w:cs="宋体"/>
                <w:color w:val="auto"/>
                <w:sz w:val="22"/>
              </w:rPr>
              <w:t>姓名</w:t>
            </w:r>
          </w:p>
        </w:tc>
        <w:tc>
          <w:tcPr>
            <w:tcW w:w="958" w:type="dxa"/>
            <w:noWrap/>
            <w:vAlign w:val="center"/>
          </w:tcPr>
          <w:p>
            <w:pPr>
              <w:spacing w:line="360" w:lineRule="auto"/>
              <w:jc w:val="center"/>
              <w:rPr>
                <w:rFonts w:ascii="宋体" w:hAnsi="宋体" w:cs="宋体"/>
                <w:color w:val="auto"/>
                <w:sz w:val="22"/>
              </w:rPr>
            </w:pPr>
            <w:r>
              <w:rPr>
                <w:rFonts w:hint="eastAsia" w:ascii="宋体" w:hAnsi="宋体" w:cs="宋体"/>
                <w:color w:val="auto"/>
                <w:sz w:val="22"/>
              </w:rPr>
              <w:t>性别</w:t>
            </w:r>
          </w:p>
        </w:tc>
        <w:tc>
          <w:tcPr>
            <w:tcW w:w="767" w:type="dxa"/>
            <w:noWrap/>
            <w:vAlign w:val="center"/>
          </w:tcPr>
          <w:p>
            <w:pPr>
              <w:spacing w:line="360" w:lineRule="auto"/>
              <w:jc w:val="center"/>
              <w:rPr>
                <w:rFonts w:ascii="宋体" w:hAnsi="宋体" w:cs="宋体"/>
                <w:color w:val="auto"/>
                <w:sz w:val="22"/>
              </w:rPr>
            </w:pPr>
            <w:r>
              <w:rPr>
                <w:rFonts w:hint="eastAsia" w:ascii="宋体" w:hAnsi="宋体" w:cs="宋体"/>
                <w:color w:val="auto"/>
                <w:sz w:val="22"/>
              </w:rPr>
              <w:t>年龄</w:t>
            </w:r>
          </w:p>
        </w:tc>
        <w:tc>
          <w:tcPr>
            <w:tcW w:w="767" w:type="dxa"/>
            <w:noWrap/>
            <w:vAlign w:val="center"/>
          </w:tcPr>
          <w:p>
            <w:pPr>
              <w:spacing w:line="360" w:lineRule="auto"/>
              <w:jc w:val="center"/>
              <w:rPr>
                <w:rFonts w:ascii="宋体" w:hAnsi="宋体" w:cs="宋体"/>
                <w:color w:val="auto"/>
                <w:sz w:val="22"/>
              </w:rPr>
            </w:pPr>
            <w:r>
              <w:rPr>
                <w:rFonts w:hint="eastAsia" w:ascii="宋体" w:hAnsi="宋体" w:cs="宋体"/>
                <w:color w:val="auto"/>
                <w:sz w:val="22"/>
              </w:rPr>
              <w:t>学历</w:t>
            </w:r>
          </w:p>
        </w:tc>
        <w:tc>
          <w:tcPr>
            <w:tcW w:w="1340" w:type="dxa"/>
            <w:noWrap/>
            <w:vAlign w:val="center"/>
          </w:tcPr>
          <w:p>
            <w:pPr>
              <w:spacing w:line="280" w:lineRule="exact"/>
              <w:jc w:val="center"/>
              <w:rPr>
                <w:rFonts w:ascii="宋体" w:hAnsi="宋体" w:cs="宋体"/>
                <w:color w:val="auto"/>
                <w:sz w:val="22"/>
              </w:rPr>
            </w:pPr>
            <w:r>
              <w:rPr>
                <w:rFonts w:hint="eastAsia" w:ascii="宋体" w:hAnsi="宋体" w:cs="宋体"/>
                <w:color w:val="auto"/>
                <w:sz w:val="22"/>
              </w:rPr>
              <w:t>职称/职务</w:t>
            </w:r>
          </w:p>
        </w:tc>
        <w:tc>
          <w:tcPr>
            <w:tcW w:w="1326" w:type="dxa"/>
            <w:noWrap/>
            <w:vAlign w:val="center"/>
          </w:tcPr>
          <w:p>
            <w:pPr>
              <w:spacing w:line="280" w:lineRule="exact"/>
              <w:jc w:val="center"/>
              <w:rPr>
                <w:rFonts w:ascii="宋体" w:hAnsi="宋体" w:cs="宋体"/>
                <w:color w:val="auto"/>
                <w:sz w:val="22"/>
              </w:rPr>
            </w:pPr>
            <w:r>
              <w:rPr>
                <w:rFonts w:hint="eastAsia" w:ascii="宋体" w:hAnsi="宋体" w:cs="宋体"/>
                <w:color w:val="auto"/>
              </w:rPr>
              <w:t>本工程中的岗位</w:t>
            </w:r>
          </w:p>
        </w:tc>
        <w:tc>
          <w:tcPr>
            <w:tcW w:w="1825" w:type="dxa"/>
            <w:noWrap/>
            <w:vAlign w:val="center"/>
          </w:tcPr>
          <w:p>
            <w:pPr>
              <w:spacing w:line="360" w:lineRule="auto"/>
              <w:jc w:val="center"/>
              <w:rPr>
                <w:rFonts w:ascii="宋体" w:hAnsi="宋体" w:cs="宋体"/>
                <w:color w:val="auto"/>
                <w:sz w:val="22"/>
              </w:rPr>
            </w:pPr>
            <w:r>
              <w:rPr>
                <w:rFonts w:hint="eastAsia" w:ascii="宋体" w:hAnsi="宋体" w:cs="宋体"/>
                <w:color w:val="auto"/>
                <w:sz w:val="22"/>
              </w:rPr>
              <w:t>从事专业年限</w:t>
            </w:r>
          </w:p>
        </w:tc>
        <w:tc>
          <w:tcPr>
            <w:tcW w:w="1147" w:type="dxa"/>
            <w:noWrap/>
            <w:vAlign w:val="center"/>
          </w:tcPr>
          <w:p>
            <w:pPr>
              <w:spacing w:line="360" w:lineRule="auto"/>
              <w:jc w:val="center"/>
              <w:rPr>
                <w:rFonts w:ascii="宋体" w:hAnsi="宋体" w:cs="宋体"/>
                <w:color w:val="auto"/>
                <w:sz w:val="22"/>
              </w:rPr>
            </w:pPr>
            <w:r>
              <w:rPr>
                <w:rFonts w:hint="eastAsia" w:ascii="宋体" w:hAnsi="宋体" w:cs="宋体"/>
                <w:color w:val="auto"/>
                <w:sz w:val="2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958"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767" w:type="dxa"/>
            <w:noWrap/>
            <w:vAlign w:val="center"/>
          </w:tcPr>
          <w:p>
            <w:pPr>
              <w:spacing w:line="360" w:lineRule="auto"/>
              <w:jc w:val="center"/>
              <w:rPr>
                <w:rFonts w:ascii="宋体" w:hAnsi="宋体" w:cs="宋体"/>
                <w:color w:val="auto"/>
                <w:sz w:val="22"/>
              </w:rPr>
            </w:pPr>
          </w:p>
        </w:tc>
        <w:tc>
          <w:tcPr>
            <w:tcW w:w="1340" w:type="dxa"/>
            <w:noWrap/>
            <w:vAlign w:val="center"/>
          </w:tcPr>
          <w:p>
            <w:pPr>
              <w:spacing w:line="360" w:lineRule="auto"/>
              <w:jc w:val="center"/>
              <w:rPr>
                <w:rFonts w:ascii="宋体" w:hAnsi="宋体" w:cs="宋体"/>
                <w:color w:val="auto"/>
                <w:sz w:val="22"/>
              </w:rPr>
            </w:pPr>
          </w:p>
        </w:tc>
        <w:tc>
          <w:tcPr>
            <w:tcW w:w="1326" w:type="dxa"/>
            <w:noWrap/>
            <w:vAlign w:val="center"/>
          </w:tcPr>
          <w:p>
            <w:pPr>
              <w:spacing w:line="360" w:lineRule="auto"/>
              <w:jc w:val="center"/>
              <w:rPr>
                <w:rFonts w:ascii="宋体" w:hAnsi="宋体" w:cs="宋体"/>
                <w:color w:val="auto"/>
                <w:sz w:val="22"/>
              </w:rPr>
            </w:pPr>
          </w:p>
        </w:tc>
        <w:tc>
          <w:tcPr>
            <w:tcW w:w="1825" w:type="dxa"/>
            <w:noWrap/>
          </w:tcPr>
          <w:p>
            <w:pPr>
              <w:spacing w:line="360" w:lineRule="auto"/>
              <w:jc w:val="center"/>
              <w:rPr>
                <w:rFonts w:ascii="宋体" w:hAnsi="宋体" w:cs="宋体"/>
                <w:color w:val="auto"/>
                <w:sz w:val="22"/>
              </w:rPr>
            </w:pPr>
          </w:p>
        </w:tc>
        <w:tc>
          <w:tcPr>
            <w:tcW w:w="1147" w:type="dxa"/>
            <w:noWrap/>
            <w:vAlign w:val="center"/>
          </w:tcPr>
          <w:p>
            <w:pPr>
              <w:spacing w:line="360" w:lineRule="auto"/>
              <w:jc w:val="center"/>
              <w:rPr>
                <w:rFonts w:ascii="宋体" w:hAnsi="宋体" w:cs="宋体"/>
                <w:color w:val="auto"/>
                <w:sz w:val="22"/>
              </w:rPr>
            </w:pPr>
          </w:p>
        </w:tc>
      </w:tr>
    </w:tbl>
    <w:p>
      <w:pPr>
        <w:pStyle w:val="31"/>
        <w:spacing w:line="400" w:lineRule="atLeast"/>
        <w:ind w:left="660" w:hanging="660" w:hangingChars="300"/>
        <w:rPr>
          <w:rFonts w:hAnsi="宋体" w:cs="宋体"/>
          <w:color w:val="auto"/>
          <w:sz w:val="22"/>
        </w:rPr>
      </w:pPr>
      <w:r>
        <w:rPr>
          <w:rFonts w:hint="eastAsia" w:hAnsi="宋体" w:cs="宋体"/>
          <w:color w:val="auto"/>
          <w:sz w:val="22"/>
        </w:rPr>
        <w:t>注：此表仅提供了表格形式，供应商可按此表格复制。</w:t>
      </w:r>
    </w:p>
    <w:p>
      <w:pPr>
        <w:pStyle w:val="31"/>
        <w:spacing w:line="400" w:lineRule="atLeast"/>
        <w:ind w:left="660" w:hanging="660" w:hangingChars="300"/>
        <w:rPr>
          <w:rFonts w:hAnsi="宋体" w:cs="宋体"/>
          <w:color w:val="auto"/>
          <w:sz w:val="22"/>
        </w:rPr>
      </w:pPr>
    </w:p>
    <w:p>
      <w:pPr>
        <w:pStyle w:val="31"/>
        <w:spacing w:line="400" w:lineRule="atLeast"/>
        <w:ind w:left="660" w:hanging="660" w:hangingChars="300"/>
        <w:rPr>
          <w:rFonts w:hAnsi="宋体" w:cs="宋体"/>
          <w:color w:val="auto"/>
          <w:sz w:val="22"/>
        </w:rPr>
      </w:pPr>
    </w:p>
    <w:p>
      <w:pPr>
        <w:spacing w:line="380" w:lineRule="exact"/>
        <w:ind w:firstLine="4400" w:firstLineChars="2000"/>
        <w:rPr>
          <w:rFonts w:ascii="宋体" w:hAnsi="宋体" w:cs="宋体"/>
          <w:color w:val="auto"/>
          <w:sz w:val="22"/>
          <w:szCs w:val="22"/>
        </w:rPr>
      </w:pPr>
      <w:r>
        <w:rPr>
          <w:rFonts w:hint="eastAsia" w:ascii="宋体" w:hAnsi="宋体" w:cs="宋体"/>
          <w:color w:val="auto"/>
          <w:sz w:val="22"/>
          <w:szCs w:val="22"/>
        </w:rPr>
        <w:t>投标人全称（盖章）：</w:t>
      </w:r>
    </w:p>
    <w:p>
      <w:pPr>
        <w:spacing w:line="380" w:lineRule="exact"/>
        <w:ind w:firstLine="4400" w:firstLineChars="2000"/>
        <w:rPr>
          <w:rFonts w:ascii="宋体" w:hAnsi="宋体" w:cs="宋体"/>
          <w:color w:val="auto"/>
          <w:sz w:val="22"/>
          <w:szCs w:val="22"/>
        </w:rPr>
      </w:pPr>
      <w:r>
        <w:rPr>
          <w:rFonts w:hint="eastAsia" w:ascii="宋体" w:hAnsi="宋体" w:cs="宋体"/>
          <w:color w:val="auto"/>
          <w:sz w:val="22"/>
          <w:szCs w:val="22"/>
        </w:rPr>
        <w:t>投标人代表（签字或盖章）：</w:t>
      </w:r>
    </w:p>
    <w:p>
      <w:pPr>
        <w:spacing w:line="380" w:lineRule="exact"/>
        <w:ind w:firstLine="4400" w:firstLineChars="2000"/>
        <w:rPr>
          <w:rFonts w:ascii="宋体" w:hAnsi="宋体" w:cs="宋体"/>
          <w:color w:val="auto"/>
          <w:sz w:val="22"/>
          <w:szCs w:val="22"/>
        </w:rPr>
      </w:pPr>
      <w:r>
        <w:rPr>
          <w:rFonts w:hint="eastAsia" w:ascii="宋体" w:hAnsi="宋体" w:cs="宋体"/>
          <w:color w:val="auto"/>
          <w:sz w:val="22"/>
          <w:szCs w:val="22"/>
        </w:rPr>
        <w:t>日期：  年   月  日</w:t>
      </w:r>
    </w:p>
    <w:p>
      <w:pPr>
        <w:ind w:firstLine="4417" w:firstLineChars="2000"/>
        <w:jc w:val="left"/>
        <w:rPr>
          <w:rFonts w:eastAsia="新宋体"/>
          <w:b/>
          <w:bCs/>
          <w:color w:val="auto"/>
          <w:sz w:val="22"/>
          <w:szCs w:val="22"/>
        </w:rPr>
      </w:pPr>
    </w:p>
    <w:p>
      <w:pPr>
        <w:ind w:firstLine="4417" w:firstLineChars="2000"/>
        <w:jc w:val="left"/>
        <w:rPr>
          <w:rFonts w:eastAsia="新宋体"/>
          <w:b/>
          <w:bCs/>
          <w:color w:val="auto"/>
          <w:sz w:val="22"/>
          <w:szCs w:val="22"/>
        </w:rPr>
      </w:pPr>
    </w:p>
    <w:p>
      <w:pPr>
        <w:ind w:firstLine="4417" w:firstLineChars="2000"/>
        <w:jc w:val="left"/>
        <w:rPr>
          <w:rFonts w:eastAsia="新宋体"/>
          <w:b/>
          <w:bCs/>
          <w:color w:val="auto"/>
          <w:sz w:val="22"/>
          <w:szCs w:val="22"/>
        </w:rPr>
      </w:pPr>
    </w:p>
    <w:p>
      <w:pPr>
        <w:rPr>
          <w:rFonts w:eastAsia="新宋体"/>
          <w:color w:val="auto"/>
          <w:sz w:val="22"/>
          <w:szCs w:val="22"/>
        </w:rPr>
      </w:pPr>
      <w:r>
        <w:rPr>
          <w:rFonts w:hint="eastAsia" w:eastAsia="新宋体"/>
          <w:b/>
          <w:bCs/>
          <w:color w:val="auto"/>
          <w:sz w:val="22"/>
          <w:szCs w:val="22"/>
        </w:rPr>
        <w:t>附件四</w:t>
      </w:r>
    </w:p>
    <w:p>
      <w:pPr>
        <w:pStyle w:val="31"/>
        <w:spacing w:line="400" w:lineRule="atLeast"/>
        <w:ind w:left="1"/>
        <w:jc w:val="center"/>
        <w:rPr>
          <w:rFonts w:ascii="新宋体" w:hAnsi="新宋体" w:eastAsia="新宋体"/>
          <w:b/>
          <w:color w:val="auto"/>
          <w:sz w:val="28"/>
        </w:rPr>
      </w:pPr>
      <w:r>
        <w:rPr>
          <w:rFonts w:hint="eastAsia" w:ascii="新宋体" w:hAnsi="新宋体" w:eastAsia="新宋体"/>
          <w:b/>
          <w:color w:val="auto"/>
          <w:sz w:val="28"/>
        </w:rPr>
        <w:t>投标人相关业绩一览表</w:t>
      </w:r>
    </w:p>
    <w:p>
      <w:pPr>
        <w:spacing w:line="360" w:lineRule="exact"/>
        <w:jc w:val="center"/>
        <w:rPr>
          <w:rFonts w:eastAsia="新宋体"/>
          <w:color w:val="auto"/>
          <w:sz w:val="22"/>
        </w:rPr>
      </w:pPr>
    </w:p>
    <w:tbl>
      <w:tblPr>
        <w:tblStyle w:val="58"/>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4"/>
        <w:gridCol w:w="1538"/>
        <w:gridCol w:w="1583"/>
        <w:gridCol w:w="2036"/>
        <w:gridCol w:w="1471"/>
        <w:gridCol w:w="1007"/>
        <w:gridCol w:w="135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8" w:hRule="atLeast"/>
          <w:jc w:val="center"/>
        </w:trPr>
        <w:tc>
          <w:tcPr>
            <w:tcW w:w="834" w:type="dxa"/>
            <w:noWrap/>
            <w:vAlign w:val="center"/>
          </w:tcPr>
          <w:p>
            <w:pPr>
              <w:spacing w:line="380" w:lineRule="exact"/>
              <w:jc w:val="center"/>
              <w:rPr>
                <w:rFonts w:ascii="新宋体" w:hAnsi="新宋体" w:eastAsia="新宋体"/>
                <w:b/>
                <w:color w:val="auto"/>
                <w:sz w:val="22"/>
                <w:szCs w:val="22"/>
              </w:rPr>
            </w:pPr>
            <w:r>
              <w:rPr>
                <w:rFonts w:hint="eastAsia" w:ascii="新宋体" w:hAnsi="新宋体" w:eastAsia="新宋体"/>
                <w:b/>
                <w:color w:val="auto"/>
                <w:sz w:val="22"/>
                <w:szCs w:val="22"/>
              </w:rPr>
              <w:t>序号</w:t>
            </w:r>
          </w:p>
        </w:tc>
        <w:tc>
          <w:tcPr>
            <w:tcW w:w="1538" w:type="dxa"/>
            <w:noWrap/>
            <w:vAlign w:val="center"/>
          </w:tcPr>
          <w:p>
            <w:pPr>
              <w:spacing w:line="380" w:lineRule="exact"/>
              <w:jc w:val="center"/>
              <w:rPr>
                <w:rFonts w:ascii="新宋体" w:hAnsi="新宋体" w:eastAsia="新宋体"/>
                <w:b/>
                <w:color w:val="auto"/>
                <w:sz w:val="22"/>
                <w:szCs w:val="22"/>
              </w:rPr>
            </w:pPr>
            <w:r>
              <w:rPr>
                <w:rFonts w:hint="eastAsia" w:ascii="新宋体" w:hAnsi="新宋体" w:eastAsia="新宋体"/>
                <w:b/>
                <w:color w:val="auto"/>
                <w:sz w:val="22"/>
                <w:szCs w:val="22"/>
              </w:rPr>
              <w:t>项目名称</w:t>
            </w:r>
          </w:p>
        </w:tc>
        <w:tc>
          <w:tcPr>
            <w:tcW w:w="1583" w:type="dxa"/>
            <w:noWrap/>
            <w:vAlign w:val="center"/>
          </w:tcPr>
          <w:p>
            <w:pPr>
              <w:spacing w:line="380" w:lineRule="exact"/>
              <w:jc w:val="center"/>
              <w:rPr>
                <w:rFonts w:ascii="新宋体" w:hAnsi="新宋体" w:eastAsia="新宋体"/>
                <w:b/>
                <w:color w:val="auto"/>
                <w:sz w:val="22"/>
                <w:szCs w:val="22"/>
              </w:rPr>
            </w:pPr>
            <w:r>
              <w:rPr>
                <w:rFonts w:hint="eastAsia" w:ascii="新宋体" w:hAnsi="新宋体" w:eastAsia="新宋体"/>
                <w:b/>
                <w:color w:val="auto"/>
                <w:sz w:val="22"/>
                <w:szCs w:val="22"/>
              </w:rPr>
              <w:t>项目单位</w:t>
            </w:r>
          </w:p>
        </w:tc>
        <w:tc>
          <w:tcPr>
            <w:tcW w:w="2036" w:type="dxa"/>
            <w:noWrap/>
            <w:vAlign w:val="center"/>
          </w:tcPr>
          <w:p>
            <w:pPr>
              <w:spacing w:line="380" w:lineRule="exact"/>
              <w:jc w:val="center"/>
              <w:rPr>
                <w:rFonts w:ascii="新宋体" w:hAnsi="新宋体" w:eastAsia="新宋体"/>
                <w:b/>
                <w:color w:val="auto"/>
                <w:sz w:val="22"/>
                <w:szCs w:val="22"/>
              </w:rPr>
            </w:pPr>
            <w:r>
              <w:rPr>
                <w:rFonts w:hint="eastAsia" w:ascii="新宋体" w:hAnsi="新宋体" w:eastAsia="新宋体"/>
                <w:b/>
                <w:color w:val="auto"/>
                <w:sz w:val="22"/>
                <w:szCs w:val="22"/>
              </w:rPr>
              <w:t>项目金额</w:t>
            </w:r>
          </w:p>
        </w:tc>
        <w:tc>
          <w:tcPr>
            <w:tcW w:w="1471" w:type="dxa"/>
            <w:noWrap/>
            <w:vAlign w:val="center"/>
          </w:tcPr>
          <w:p>
            <w:pPr>
              <w:spacing w:line="380" w:lineRule="exact"/>
              <w:jc w:val="center"/>
              <w:rPr>
                <w:rFonts w:ascii="新宋体" w:hAnsi="新宋体" w:eastAsia="新宋体"/>
                <w:b/>
                <w:color w:val="auto"/>
                <w:sz w:val="22"/>
                <w:szCs w:val="22"/>
              </w:rPr>
            </w:pPr>
            <w:r>
              <w:rPr>
                <w:rFonts w:hint="eastAsia" w:ascii="新宋体" w:hAnsi="新宋体" w:eastAsia="新宋体"/>
                <w:b/>
                <w:color w:val="auto"/>
                <w:sz w:val="22"/>
                <w:szCs w:val="22"/>
              </w:rPr>
              <w:t>合同日期</w:t>
            </w:r>
          </w:p>
        </w:tc>
        <w:tc>
          <w:tcPr>
            <w:tcW w:w="1007" w:type="dxa"/>
            <w:noWrap/>
            <w:vAlign w:val="center"/>
          </w:tcPr>
          <w:p>
            <w:pPr>
              <w:spacing w:line="380" w:lineRule="exact"/>
              <w:jc w:val="center"/>
              <w:rPr>
                <w:rFonts w:ascii="新宋体" w:hAnsi="新宋体" w:eastAsia="新宋体"/>
                <w:b/>
                <w:color w:val="auto"/>
                <w:sz w:val="22"/>
                <w:szCs w:val="22"/>
              </w:rPr>
            </w:pPr>
            <w:r>
              <w:rPr>
                <w:rFonts w:hint="eastAsia" w:ascii="新宋体" w:hAnsi="新宋体" w:eastAsia="新宋体"/>
                <w:b/>
                <w:color w:val="auto"/>
                <w:sz w:val="22"/>
                <w:szCs w:val="22"/>
              </w:rPr>
              <w:t>联系人</w:t>
            </w:r>
          </w:p>
        </w:tc>
        <w:tc>
          <w:tcPr>
            <w:tcW w:w="1351" w:type="dxa"/>
            <w:noWrap/>
            <w:vAlign w:val="center"/>
          </w:tcPr>
          <w:p>
            <w:pPr>
              <w:spacing w:line="380" w:lineRule="exact"/>
              <w:jc w:val="center"/>
              <w:rPr>
                <w:rFonts w:ascii="新宋体" w:hAnsi="新宋体" w:eastAsia="新宋体"/>
                <w:b/>
                <w:color w:val="auto"/>
                <w:sz w:val="22"/>
                <w:szCs w:val="22"/>
              </w:rPr>
            </w:pPr>
            <w:r>
              <w:rPr>
                <w:rFonts w:hint="eastAsia" w:ascii="新宋体" w:hAnsi="新宋体" w:eastAsia="新宋体"/>
                <w:b/>
                <w:color w:val="auto"/>
                <w:sz w:val="22"/>
                <w:szCs w:val="22"/>
              </w:rPr>
              <w:t>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7" w:hRule="atLeast"/>
          <w:jc w:val="center"/>
        </w:trPr>
        <w:tc>
          <w:tcPr>
            <w:tcW w:w="834" w:type="dxa"/>
            <w:noWrap/>
          </w:tcPr>
          <w:p>
            <w:pPr>
              <w:spacing w:after="120" w:line="360" w:lineRule="atLeast"/>
              <w:jc w:val="center"/>
              <w:rPr>
                <w:rFonts w:ascii="新宋体" w:hAnsi="新宋体" w:eastAsia="新宋体"/>
                <w:color w:val="auto"/>
                <w:sz w:val="22"/>
                <w:szCs w:val="22"/>
              </w:rPr>
            </w:pPr>
          </w:p>
        </w:tc>
        <w:tc>
          <w:tcPr>
            <w:tcW w:w="1538" w:type="dxa"/>
            <w:noWrap/>
          </w:tcPr>
          <w:p>
            <w:pPr>
              <w:spacing w:after="120" w:line="360" w:lineRule="atLeast"/>
              <w:jc w:val="center"/>
              <w:rPr>
                <w:rFonts w:ascii="新宋体" w:hAnsi="新宋体" w:eastAsia="新宋体"/>
                <w:color w:val="auto"/>
                <w:sz w:val="22"/>
                <w:szCs w:val="22"/>
              </w:rPr>
            </w:pPr>
          </w:p>
        </w:tc>
        <w:tc>
          <w:tcPr>
            <w:tcW w:w="1583" w:type="dxa"/>
            <w:noWrap/>
          </w:tcPr>
          <w:p>
            <w:pPr>
              <w:spacing w:after="120" w:line="360" w:lineRule="atLeast"/>
              <w:jc w:val="center"/>
              <w:rPr>
                <w:rFonts w:ascii="新宋体" w:hAnsi="新宋体" w:eastAsia="新宋体"/>
                <w:color w:val="auto"/>
                <w:sz w:val="22"/>
                <w:szCs w:val="22"/>
              </w:rPr>
            </w:pPr>
          </w:p>
        </w:tc>
        <w:tc>
          <w:tcPr>
            <w:tcW w:w="2036" w:type="dxa"/>
            <w:noWrap/>
          </w:tcPr>
          <w:p>
            <w:pPr>
              <w:spacing w:after="120" w:line="360" w:lineRule="atLeast"/>
              <w:jc w:val="center"/>
              <w:rPr>
                <w:rFonts w:ascii="新宋体" w:hAnsi="新宋体" w:eastAsia="新宋体"/>
                <w:color w:val="auto"/>
                <w:sz w:val="22"/>
                <w:szCs w:val="22"/>
              </w:rPr>
            </w:pPr>
          </w:p>
        </w:tc>
        <w:tc>
          <w:tcPr>
            <w:tcW w:w="1471" w:type="dxa"/>
            <w:noWrap/>
          </w:tcPr>
          <w:p>
            <w:pPr>
              <w:spacing w:after="120" w:line="360" w:lineRule="atLeast"/>
              <w:jc w:val="center"/>
              <w:rPr>
                <w:rFonts w:ascii="新宋体" w:hAnsi="新宋体" w:eastAsia="新宋体"/>
                <w:color w:val="auto"/>
                <w:sz w:val="22"/>
                <w:szCs w:val="22"/>
              </w:rPr>
            </w:pPr>
          </w:p>
        </w:tc>
        <w:tc>
          <w:tcPr>
            <w:tcW w:w="1007" w:type="dxa"/>
            <w:noWrap/>
          </w:tcPr>
          <w:p>
            <w:pPr>
              <w:spacing w:after="120" w:line="360" w:lineRule="atLeast"/>
              <w:jc w:val="center"/>
              <w:rPr>
                <w:rFonts w:ascii="新宋体" w:hAnsi="新宋体" w:eastAsia="新宋体"/>
                <w:color w:val="auto"/>
                <w:sz w:val="22"/>
                <w:szCs w:val="22"/>
              </w:rPr>
            </w:pPr>
          </w:p>
        </w:tc>
        <w:tc>
          <w:tcPr>
            <w:tcW w:w="1351" w:type="dxa"/>
            <w:noWrap/>
          </w:tcPr>
          <w:p>
            <w:pPr>
              <w:spacing w:after="120" w:line="360" w:lineRule="atLeast"/>
              <w:jc w:val="center"/>
              <w:rPr>
                <w:rFonts w:ascii="新宋体" w:hAnsi="新宋体" w:eastAsia="新宋体"/>
                <w:color w:val="auto"/>
                <w:sz w:val="22"/>
                <w:szCs w:val="22"/>
              </w:rPr>
            </w:pPr>
          </w:p>
        </w:tc>
      </w:tr>
    </w:tbl>
    <w:p>
      <w:pPr>
        <w:spacing w:line="380" w:lineRule="exact"/>
        <w:rPr>
          <w:rFonts w:eastAsia="新宋体"/>
          <w:color w:val="auto"/>
          <w:sz w:val="22"/>
          <w:szCs w:val="22"/>
        </w:rPr>
      </w:pPr>
      <w:r>
        <w:rPr>
          <w:rFonts w:hint="eastAsia" w:eastAsia="新宋体"/>
          <w:color w:val="auto"/>
          <w:sz w:val="22"/>
          <w:szCs w:val="22"/>
        </w:rPr>
        <w:t>注：1、每项业绩须提供相关的证明材料，以合同文本为准（扫描件上加盖投标人有效的公章）；</w:t>
      </w:r>
    </w:p>
    <w:p>
      <w:pPr>
        <w:spacing w:line="380" w:lineRule="exact"/>
        <w:rPr>
          <w:rFonts w:eastAsia="新宋体"/>
          <w:color w:val="auto"/>
          <w:sz w:val="22"/>
          <w:szCs w:val="22"/>
        </w:rPr>
      </w:pPr>
      <w:r>
        <w:rPr>
          <w:rFonts w:hint="eastAsia" w:eastAsia="新宋体"/>
          <w:color w:val="auto"/>
          <w:sz w:val="22"/>
          <w:szCs w:val="22"/>
        </w:rPr>
        <w:t>2、本表可在不改变格式的情况下根据具体需要自行增减。</w:t>
      </w:r>
    </w:p>
    <w:p>
      <w:pPr>
        <w:spacing w:line="380" w:lineRule="exact"/>
        <w:rPr>
          <w:rFonts w:eastAsia="新宋体"/>
          <w:color w:val="auto"/>
          <w:sz w:val="22"/>
          <w:szCs w:val="22"/>
        </w:rPr>
      </w:pPr>
    </w:p>
    <w:p>
      <w:pPr>
        <w:spacing w:line="380" w:lineRule="exact"/>
        <w:rPr>
          <w:rFonts w:eastAsia="新宋体"/>
          <w:b/>
          <w:bCs/>
          <w:color w:val="auto"/>
          <w:sz w:val="22"/>
          <w:szCs w:val="22"/>
        </w:rPr>
      </w:pPr>
    </w:p>
    <w:p>
      <w:pPr>
        <w:spacing w:line="380" w:lineRule="exact"/>
        <w:ind w:firstLine="4400" w:firstLineChars="2000"/>
        <w:rPr>
          <w:rFonts w:eastAsia="新宋体"/>
          <w:color w:val="auto"/>
          <w:sz w:val="22"/>
          <w:szCs w:val="22"/>
        </w:rPr>
      </w:pPr>
      <w:r>
        <w:rPr>
          <w:rFonts w:hint="eastAsia" w:eastAsia="新宋体"/>
          <w:color w:val="auto"/>
          <w:sz w:val="22"/>
          <w:szCs w:val="22"/>
        </w:rPr>
        <w:t>投标人全称（盖章）：</w:t>
      </w:r>
    </w:p>
    <w:p>
      <w:pPr>
        <w:spacing w:line="380" w:lineRule="exact"/>
        <w:ind w:firstLine="4400" w:firstLineChars="2000"/>
        <w:rPr>
          <w:rFonts w:eastAsia="新宋体"/>
          <w:color w:val="auto"/>
          <w:sz w:val="22"/>
          <w:szCs w:val="22"/>
        </w:rPr>
      </w:pPr>
      <w:r>
        <w:rPr>
          <w:rFonts w:hint="eastAsia" w:eastAsia="新宋体"/>
          <w:color w:val="auto"/>
          <w:sz w:val="22"/>
          <w:szCs w:val="22"/>
        </w:rPr>
        <w:t>法定代表人或授权代表（签字）：</w:t>
      </w:r>
    </w:p>
    <w:p>
      <w:pPr>
        <w:spacing w:line="380" w:lineRule="exact"/>
        <w:ind w:firstLine="4400" w:firstLineChars="2000"/>
        <w:rPr>
          <w:rFonts w:eastAsia="新宋体"/>
          <w:color w:val="auto"/>
          <w:sz w:val="22"/>
          <w:szCs w:val="22"/>
        </w:rPr>
      </w:pPr>
      <w:r>
        <w:rPr>
          <w:rFonts w:hint="eastAsia" w:eastAsia="新宋体"/>
          <w:color w:val="auto"/>
          <w:sz w:val="22"/>
          <w:szCs w:val="22"/>
        </w:rPr>
        <w:t>日期：  年   月  日</w:t>
      </w:r>
    </w:p>
    <w:p>
      <w:pPr>
        <w:spacing w:line="360" w:lineRule="auto"/>
        <w:rPr>
          <w:rFonts w:eastAsia="新宋体"/>
          <w:color w:val="auto"/>
        </w:rPr>
      </w:pPr>
    </w:p>
    <w:p>
      <w:pPr>
        <w:pStyle w:val="31"/>
        <w:spacing w:line="400" w:lineRule="atLeast"/>
        <w:jc w:val="left"/>
        <w:rPr>
          <w:rFonts w:hAnsi="宋体" w:cs="宋体"/>
          <w:color w:val="auto"/>
          <w:sz w:val="22"/>
          <w:szCs w:val="22"/>
        </w:rPr>
      </w:pPr>
      <w:r>
        <w:rPr>
          <w:rFonts w:hint="eastAsia" w:ascii="新宋体" w:hAnsi="新宋体" w:eastAsia="新宋体"/>
          <w:b/>
          <w:color w:val="auto"/>
          <w:sz w:val="28"/>
        </w:rPr>
        <w:br w:type="page"/>
      </w:r>
      <w:r>
        <w:rPr>
          <w:rFonts w:hint="eastAsia" w:hAnsi="宋体" w:cs="宋体"/>
          <w:color w:val="auto"/>
          <w:sz w:val="22"/>
          <w:szCs w:val="22"/>
        </w:rPr>
        <w:t xml:space="preserve"> （报价文件封面，供参考）</w:t>
      </w:r>
    </w:p>
    <w:p>
      <w:pPr>
        <w:rPr>
          <w:rFonts w:ascii="宋体" w:hAnsi="宋体" w:cs="宋体"/>
          <w:color w:val="auto"/>
        </w:rPr>
      </w:pPr>
    </w:p>
    <w:p>
      <w:pPr>
        <w:rPr>
          <w:rFonts w:ascii="宋体" w:hAnsi="宋体" w:cs="宋体"/>
          <w:color w:val="auto"/>
        </w:rPr>
      </w:pPr>
    </w:p>
    <w:p>
      <w:pPr>
        <w:rPr>
          <w:rFonts w:ascii="宋体" w:hAnsi="宋体" w:cs="宋体"/>
          <w:color w:val="auto"/>
        </w:rPr>
      </w:pPr>
    </w:p>
    <w:p>
      <w:pPr>
        <w:jc w:val="center"/>
        <w:rPr>
          <w:rFonts w:hint="eastAsia" w:ascii="宋体" w:hAnsi="宋体" w:cs="宋体"/>
          <w:sz w:val="28"/>
          <w:szCs w:val="28"/>
        </w:rPr>
      </w:pPr>
      <w:r>
        <w:rPr>
          <w:rFonts w:hint="eastAsia" w:ascii="宋体" w:hAnsi="宋体" w:cs="宋体"/>
          <w:sz w:val="28"/>
          <w:szCs w:val="28"/>
          <w:u w:val="single"/>
        </w:rPr>
        <w:t xml:space="preserve">                 （项目名称）              </w:t>
      </w:r>
      <w:r>
        <w:rPr>
          <w:rFonts w:hint="eastAsia" w:ascii="宋体" w:hAnsi="宋体" w:cs="宋体"/>
          <w:sz w:val="28"/>
          <w:szCs w:val="28"/>
        </w:rPr>
        <w:t>投标文件</w:t>
      </w:r>
    </w:p>
    <w:p>
      <w:pPr>
        <w:rPr>
          <w:rFonts w:hint="eastAsia" w:ascii="宋体" w:hAnsi="宋体" w:cs="宋体"/>
          <w:sz w:val="28"/>
          <w:szCs w:val="28"/>
        </w:rPr>
      </w:pPr>
    </w:p>
    <w:p>
      <w:pPr>
        <w:rPr>
          <w:rFonts w:hint="eastAsia" w:ascii="宋体" w:hAnsi="宋体" w:cs="宋体"/>
          <w:sz w:val="28"/>
          <w:szCs w:val="28"/>
        </w:rPr>
      </w:pPr>
    </w:p>
    <w:p>
      <w:pPr>
        <w:pStyle w:val="24"/>
        <w:ind w:firstLine="281"/>
        <w:rPr>
          <w:rFonts w:hint="eastAsia" w:ascii="宋体" w:hAnsi="宋体" w:cs="宋体"/>
          <w:sz w:val="28"/>
          <w:szCs w:val="28"/>
        </w:rPr>
      </w:pPr>
    </w:p>
    <w:p>
      <w:pPr>
        <w:pStyle w:val="24"/>
        <w:ind w:firstLine="281"/>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jc w:val="center"/>
        <w:rPr>
          <w:rFonts w:hint="eastAsia" w:ascii="宋体" w:hAnsi="宋体" w:cs="宋体"/>
          <w:sz w:val="52"/>
          <w:szCs w:val="52"/>
        </w:rPr>
      </w:pPr>
      <w:r>
        <w:rPr>
          <w:rFonts w:hint="eastAsia" w:ascii="宋体" w:hAnsi="宋体" w:cs="宋体"/>
          <w:sz w:val="52"/>
          <w:szCs w:val="52"/>
        </w:rPr>
        <w:t>报 价 文 件</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jc w:val="center"/>
        <w:rPr>
          <w:rFonts w:hint="eastAsia" w:ascii="宋体" w:hAnsi="宋体" w:cs="宋体"/>
          <w:sz w:val="28"/>
          <w:szCs w:val="28"/>
        </w:rPr>
      </w:pPr>
      <w:r>
        <w:rPr>
          <w:rFonts w:hint="eastAsia" w:ascii="宋体" w:hAnsi="宋体" w:cs="宋体"/>
          <w:sz w:val="28"/>
          <w:szCs w:val="28"/>
          <w:lang w:val="en-US" w:eastAsia="zh-CN"/>
        </w:rPr>
        <w:t>投标人</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（盖单位章）</w:t>
      </w:r>
    </w:p>
    <w:p>
      <w:pPr>
        <w:rPr>
          <w:rFonts w:hint="eastAsia" w:ascii="宋体" w:hAnsi="宋体" w:cs="宋体"/>
          <w:sz w:val="28"/>
          <w:szCs w:val="28"/>
          <w:u w:val="single"/>
        </w:rPr>
      </w:pPr>
    </w:p>
    <w:p>
      <w:pPr>
        <w:jc w:val="center"/>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p>
    <w:p>
      <w:pPr>
        <w:rPr>
          <w:rFonts w:hint="eastAsia" w:ascii="宋体" w:hAnsi="宋体" w:cs="宋体"/>
          <w:sz w:val="28"/>
          <w:szCs w:val="28"/>
        </w:rPr>
      </w:pPr>
    </w:p>
    <w:p>
      <w:pPr>
        <w:overflowPunct w:val="0"/>
        <w:spacing w:line="380" w:lineRule="exact"/>
        <w:ind w:firstLine="2738" w:firstLineChars="978"/>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overflowPunct w:val="0"/>
        <w:spacing w:line="380" w:lineRule="exact"/>
        <w:rPr>
          <w:rFonts w:ascii="宋体" w:hAnsi="宋体" w:cs="宋体"/>
          <w:b/>
          <w:bCs/>
          <w:color w:val="auto"/>
          <w:sz w:val="22"/>
          <w:szCs w:val="22"/>
        </w:rPr>
      </w:pPr>
      <w:r>
        <w:rPr>
          <w:rFonts w:hint="eastAsia" w:ascii="宋体" w:hAnsi="宋体" w:cs="宋体"/>
          <w:color w:val="auto"/>
          <w:sz w:val="22"/>
          <w:szCs w:val="22"/>
        </w:rPr>
        <w:br w:type="page"/>
      </w:r>
      <w:r>
        <w:rPr>
          <w:rFonts w:hint="eastAsia" w:ascii="宋体" w:hAnsi="宋体" w:cs="宋体"/>
          <w:b/>
          <w:bCs/>
          <w:color w:val="auto"/>
          <w:sz w:val="22"/>
          <w:szCs w:val="22"/>
        </w:rPr>
        <w:t>附件一</w:t>
      </w:r>
    </w:p>
    <w:p>
      <w:pPr>
        <w:autoSpaceDE w:val="0"/>
        <w:autoSpaceDN w:val="0"/>
        <w:adjustRightInd w:val="0"/>
        <w:spacing w:line="460" w:lineRule="atLeast"/>
        <w:jc w:val="center"/>
        <w:rPr>
          <w:rFonts w:ascii="宋体" w:hAnsi="宋体" w:cs="宋体"/>
          <w:b/>
          <w:bCs/>
          <w:color w:val="auto"/>
          <w:kern w:val="0"/>
          <w:sz w:val="28"/>
          <w:szCs w:val="28"/>
          <w:lang w:val="zh-CN"/>
        </w:rPr>
      </w:pPr>
    </w:p>
    <w:p>
      <w:pPr>
        <w:jc w:val="center"/>
        <w:rPr>
          <w:rFonts w:ascii="宋体" w:hAnsi="宋体" w:cs="宋体"/>
          <w:b/>
          <w:color w:val="auto"/>
          <w:sz w:val="28"/>
        </w:rPr>
      </w:pPr>
      <w:r>
        <w:rPr>
          <w:rFonts w:hint="eastAsia" w:ascii="宋体" w:hAnsi="宋体" w:cs="宋体"/>
          <w:b/>
          <w:color w:val="auto"/>
          <w:sz w:val="28"/>
        </w:rPr>
        <w:t>开标一览表</w:t>
      </w:r>
    </w:p>
    <w:p>
      <w:pPr>
        <w:overflowPunct w:val="0"/>
        <w:spacing w:line="380" w:lineRule="exact"/>
        <w:jc w:val="center"/>
        <w:rPr>
          <w:rFonts w:ascii="宋体" w:hAnsi="宋体" w:cs="宋体"/>
          <w:b/>
          <w:bCs/>
          <w:color w:val="auto"/>
          <w:sz w:val="28"/>
        </w:rPr>
      </w:pPr>
    </w:p>
    <w:p>
      <w:pPr>
        <w:overflowPunct w:val="0"/>
        <w:spacing w:line="380" w:lineRule="exact"/>
        <w:jc w:val="center"/>
        <w:rPr>
          <w:rFonts w:ascii="宋体" w:hAnsi="宋体" w:cs="宋体"/>
          <w:b/>
          <w:bCs/>
          <w:color w:val="auto"/>
          <w:sz w:val="28"/>
        </w:rPr>
      </w:pPr>
    </w:p>
    <w:p>
      <w:pPr>
        <w:overflowPunct w:val="0"/>
        <w:spacing w:line="380" w:lineRule="exact"/>
        <w:rPr>
          <w:rFonts w:ascii="宋体" w:hAnsi="宋体" w:cs="宋体"/>
          <w:bCs/>
          <w:color w:val="auto"/>
          <w:sz w:val="22"/>
          <w:szCs w:val="22"/>
        </w:rPr>
      </w:pPr>
      <w:r>
        <w:rPr>
          <w:rFonts w:hint="eastAsia" w:ascii="宋体" w:hAnsi="宋体" w:cs="宋体"/>
          <w:bCs/>
          <w:color w:val="auto"/>
          <w:sz w:val="22"/>
          <w:szCs w:val="22"/>
        </w:rPr>
        <w:t>项目名称：                                   项目编号：</w:t>
      </w:r>
    </w:p>
    <w:tbl>
      <w:tblPr>
        <w:tblStyle w:val="5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0" w:hRule="atLeast"/>
          <w:jc w:val="center"/>
        </w:trPr>
        <w:tc>
          <w:tcPr>
            <w:tcW w:w="10200" w:type="dxa"/>
            <w:tcBorders>
              <w:left w:val="single" w:color="auto" w:sz="12" w:space="0"/>
              <w:bottom w:val="single" w:color="auto" w:sz="12" w:space="0"/>
              <w:right w:val="single" w:color="auto" w:sz="12" w:space="0"/>
            </w:tcBorders>
            <w:noWrap/>
            <w:vAlign w:val="center"/>
          </w:tcPr>
          <w:p>
            <w:pPr>
              <w:autoSpaceDE w:val="0"/>
              <w:autoSpaceDN w:val="0"/>
              <w:adjustRightInd w:val="0"/>
              <w:spacing w:line="380" w:lineRule="atLeast"/>
              <w:ind w:right="349" w:firstLine="331"/>
              <w:jc w:val="left"/>
              <w:rPr>
                <w:rFonts w:ascii="宋体" w:hAnsi="宋体" w:cs="宋体"/>
                <w:b/>
                <w:bCs/>
                <w:color w:val="auto"/>
                <w:kern w:val="0"/>
                <w:sz w:val="22"/>
                <w:szCs w:val="22"/>
              </w:rPr>
            </w:pPr>
            <w:r>
              <w:rPr>
                <w:rFonts w:hint="eastAsia" w:ascii="宋体" w:hAnsi="宋体" w:cs="宋体"/>
                <w:b/>
                <w:bCs/>
                <w:color w:val="auto"/>
                <w:kern w:val="0"/>
                <w:sz w:val="22"/>
                <w:szCs w:val="22"/>
              </w:rPr>
              <w:t>投标总价（大写）：</w:t>
            </w:r>
          </w:p>
          <w:p>
            <w:pPr>
              <w:autoSpaceDE w:val="0"/>
              <w:autoSpaceDN w:val="0"/>
              <w:adjustRightInd w:val="0"/>
              <w:spacing w:line="380" w:lineRule="atLeast"/>
              <w:ind w:right="349" w:firstLine="331"/>
              <w:jc w:val="left"/>
              <w:rPr>
                <w:rFonts w:ascii="宋体" w:hAnsi="宋体" w:cs="宋体"/>
                <w:b/>
                <w:bCs/>
                <w:color w:val="auto"/>
                <w:kern w:val="0"/>
                <w:sz w:val="22"/>
                <w:szCs w:val="22"/>
              </w:rPr>
            </w:pPr>
          </w:p>
          <w:p>
            <w:pPr>
              <w:autoSpaceDE w:val="0"/>
              <w:autoSpaceDN w:val="0"/>
              <w:adjustRightInd w:val="0"/>
              <w:spacing w:line="380" w:lineRule="atLeast"/>
              <w:ind w:right="349" w:firstLine="331"/>
              <w:jc w:val="left"/>
              <w:rPr>
                <w:rFonts w:ascii="宋体" w:hAnsi="宋体" w:cs="宋体"/>
                <w:b/>
                <w:bCs/>
                <w:color w:val="auto"/>
                <w:kern w:val="0"/>
                <w:sz w:val="22"/>
                <w:szCs w:val="22"/>
              </w:rPr>
            </w:pPr>
            <w:r>
              <w:rPr>
                <w:rFonts w:hint="eastAsia" w:ascii="宋体" w:hAnsi="宋体" w:cs="宋体"/>
                <w:b/>
                <w:bCs/>
                <w:color w:val="auto"/>
                <w:kern w:val="0"/>
                <w:sz w:val="22"/>
                <w:szCs w:val="22"/>
              </w:rPr>
              <w:t>（小写）¥</w:t>
            </w:r>
          </w:p>
        </w:tc>
      </w:tr>
    </w:tbl>
    <w:p>
      <w:pPr>
        <w:overflowPunct w:val="0"/>
        <w:spacing w:line="380" w:lineRule="exact"/>
        <w:rPr>
          <w:rFonts w:ascii="宋体" w:hAnsi="宋体" w:cs="宋体"/>
          <w:bCs/>
          <w:color w:val="auto"/>
          <w:sz w:val="22"/>
          <w:szCs w:val="22"/>
        </w:rPr>
      </w:pPr>
    </w:p>
    <w:p>
      <w:pPr>
        <w:overflowPunct w:val="0"/>
        <w:spacing w:line="460" w:lineRule="exact"/>
        <w:rPr>
          <w:rFonts w:ascii="宋体" w:hAnsi="宋体" w:cs="宋体"/>
          <w:color w:val="auto"/>
          <w:sz w:val="22"/>
          <w:szCs w:val="22"/>
        </w:rPr>
      </w:pPr>
      <w:r>
        <w:rPr>
          <w:rFonts w:hint="eastAsia" w:ascii="宋体" w:hAnsi="宋体" w:cs="宋体"/>
          <w:color w:val="auto"/>
          <w:sz w:val="22"/>
          <w:szCs w:val="22"/>
        </w:rPr>
        <w:t>说明：</w:t>
      </w:r>
    </w:p>
    <w:p>
      <w:pPr>
        <w:spacing w:line="380" w:lineRule="exact"/>
        <w:ind w:left="11" w:hanging="11" w:hangingChars="5"/>
        <w:rPr>
          <w:rFonts w:ascii="宋体" w:hAnsi="宋体" w:cs="宋体"/>
          <w:b/>
          <w:color w:val="auto"/>
          <w:sz w:val="22"/>
        </w:rPr>
      </w:pPr>
      <w:r>
        <w:rPr>
          <w:rFonts w:hint="eastAsia" w:ascii="宋体" w:hAnsi="宋体" w:cs="宋体"/>
          <w:b/>
          <w:color w:val="auto"/>
          <w:sz w:val="22"/>
        </w:rPr>
        <w:t>此栏内投标总价应与“投标分项报价表”中</w:t>
      </w:r>
      <w:r>
        <w:rPr>
          <w:rFonts w:hint="eastAsia" w:ascii="宋体" w:hAnsi="宋体" w:cs="宋体"/>
          <w:b/>
          <w:color w:val="auto"/>
          <w:sz w:val="22"/>
          <w:lang w:val="en-US" w:eastAsia="zh-CN"/>
        </w:rPr>
        <w:t>合计</w:t>
      </w:r>
      <w:r>
        <w:rPr>
          <w:rFonts w:hint="eastAsia" w:ascii="宋体" w:hAnsi="宋体" w:cs="宋体"/>
          <w:b/>
          <w:color w:val="auto"/>
          <w:sz w:val="22"/>
        </w:rPr>
        <w:t>价相一致。</w:t>
      </w:r>
    </w:p>
    <w:p>
      <w:pPr>
        <w:overflowPunct w:val="0"/>
        <w:spacing w:line="460" w:lineRule="exact"/>
        <w:rPr>
          <w:rFonts w:ascii="宋体" w:hAnsi="宋体" w:cs="宋体"/>
          <w:b/>
          <w:color w:val="auto"/>
          <w:sz w:val="22"/>
          <w:szCs w:val="22"/>
        </w:rPr>
      </w:pPr>
    </w:p>
    <w:p>
      <w:pPr>
        <w:overflowPunct w:val="0"/>
        <w:spacing w:line="460" w:lineRule="exact"/>
        <w:rPr>
          <w:rFonts w:ascii="宋体" w:hAnsi="宋体" w:cs="宋体"/>
          <w:color w:val="auto"/>
          <w:sz w:val="22"/>
          <w:szCs w:val="22"/>
        </w:rPr>
      </w:pPr>
    </w:p>
    <w:p>
      <w:pPr>
        <w:spacing w:line="380" w:lineRule="exact"/>
        <w:ind w:firstLine="4400" w:firstLineChars="2000"/>
        <w:rPr>
          <w:rFonts w:eastAsia="新宋体"/>
          <w:color w:val="auto"/>
          <w:sz w:val="22"/>
          <w:szCs w:val="22"/>
        </w:rPr>
      </w:pPr>
      <w:r>
        <w:rPr>
          <w:rFonts w:hint="eastAsia" w:eastAsia="新宋体"/>
          <w:color w:val="auto"/>
          <w:sz w:val="22"/>
          <w:szCs w:val="22"/>
        </w:rPr>
        <w:t>投标人全称（盖章）：</w:t>
      </w:r>
    </w:p>
    <w:p>
      <w:pPr>
        <w:spacing w:line="380" w:lineRule="exact"/>
        <w:ind w:firstLine="4400" w:firstLineChars="2000"/>
        <w:rPr>
          <w:rFonts w:eastAsia="新宋体"/>
          <w:color w:val="auto"/>
          <w:sz w:val="22"/>
          <w:szCs w:val="22"/>
        </w:rPr>
      </w:pPr>
      <w:r>
        <w:rPr>
          <w:rFonts w:hint="eastAsia" w:eastAsia="新宋体"/>
          <w:color w:val="auto"/>
          <w:sz w:val="22"/>
          <w:szCs w:val="22"/>
        </w:rPr>
        <w:t>法定代表人或授权代表（签字）：</w:t>
      </w:r>
    </w:p>
    <w:p>
      <w:pPr>
        <w:spacing w:line="380" w:lineRule="exact"/>
        <w:ind w:firstLine="4400" w:firstLineChars="2000"/>
        <w:rPr>
          <w:rFonts w:eastAsia="新宋体"/>
          <w:color w:val="auto"/>
          <w:sz w:val="22"/>
          <w:szCs w:val="22"/>
        </w:rPr>
      </w:pPr>
      <w:r>
        <w:rPr>
          <w:rFonts w:hint="eastAsia" w:eastAsia="新宋体"/>
          <w:color w:val="auto"/>
          <w:sz w:val="22"/>
          <w:szCs w:val="22"/>
        </w:rPr>
        <w:t>日期：  年   月  日</w:t>
      </w:r>
    </w:p>
    <w:p>
      <w:pPr>
        <w:overflowPunct w:val="0"/>
        <w:spacing w:line="460" w:lineRule="exact"/>
        <w:rPr>
          <w:rFonts w:ascii="宋体" w:hAnsi="宋体" w:cs="宋体"/>
          <w:color w:val="auto"/>
          <w:sz w:val="22"/>
          <w:szCs w:val="22"/>
        </w:rPr>
      </w:pPr>
    </w:p>
    <w:p>
      <w:pPr>
        <w:overflowPunct w:val="0"/>
        <w:spacing w:line="380" w:lineRule="exact"/>
        <w:ind w:firstLine="9460" w:firstLineChars="4300"/>
        <w:rPr>
          <w:rFonts w:ascii="宋体" w:hAnsi="宋体" w:cs="宋体"/>
          <w:color w:val="auto"/>
          <w:sz w:val="22"/>
          <w:szCs w:val="22"/>
        </w:rPr>
      </w:pPr>
    </w:p>
    <w:p>
      <w:pPr>
        <w:spacing w:line="380" w:lineRule="exact"/>
        <w:jc w:val="center"/>
        <w:rPr>
          <w:rFonts w:ascii="宋体" w:hAnsi="宋体" w:cs="宋体"/>
          <w:b/>
          <w:bCs/>
          <w:color w:val="auto"/>
          <w:sz w:val="28"/>
          <w:szCs w:val="28"/>
        </w:rPr>
      </w:pPr>
      <w:r>
        <w:rPr>
          <w:rFonts w:hint="eastAsia" w:ascii="宋体" w:hAnsi="宋体" w:cs="宋体"/>
          <w:b/>
          <w:bCs/>
          <w:color w:val="auto"/>
          <w:sz w:val="22"/>
          <w:szCs w:val="22"/>
        </w:rPr>
        <w:br w:type="page"/>
      </w:r>
      <w:r>
        <w:rPr>
          <w:rFonts w:hint="eastAsia" w:ascii="宋体" w:hAnsi="宋体" w:cs="宋体"/>
          <w:b/>
          <w:bCs/>
          <w:color w:val="auto"/>
          <w:sz w:val="28"/>
          <w:szCs w:val="28"/>
        </w:rPr>
        <w:t>投标分项报价表</w:t>
      </w:r>
    </w:p>
    <w:p>
      <w:pPr>
        <w:spacing w:line="380" w:lineRule="exact"/>
        <w:rPr>
          <w:rFonts w:eastAsia="新宋体"/>
          <w:b/>
          <w:color w:val="auto"/>
          <w:sz w:val="22"/>
        </w:rPr>
      </w:pPr>
      <w:bookmarkStart w:id="115" w:name="_Toc15843"/>
      <w:bookmarkStart w:id="116" w:name="_Toc58406693"/>
      <w:r>
        <w:rPr>
          <w:rFonts w:hint="eastAsia" w:eastAsia="新宋体"/>
          <w:b/>
          <w:color w:val="auto"/>
          <w:sz w:val="22"/>
        </w:rPr>
        <w:t>项目名称：                              项目编号：       价格单位：元</w:t>
      </w:r>
    </w:p>
    <w:tbl>
      <w:tblPr>
        <w:tblStyle w:val="58"/>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132"/>
        <w:gridCol w:w="1867"/>
        <w:gridCol w:w="2813"/>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869" w:type="dxa"/>
            <w:noWrap/>
            <w:vAlign w:val="center"/>
          </w:tcPr>
          <w:p>
            <w:pPr>
              <w:jc w:val="center"/>
              <w:rPr>
                <w:rFonts w:ascii="宋体" w:hAnsi="宋体" w:cs="宋体"/>
                <w:color w:val="auto"/>
                <w:sz w:val="22"/>
              </w:rPr>
            </w:pPr>
            <w:r>
              <w:rPr>
                <w:rFonts w:hint="eastAsia" w:ascii="宋体" w:hAnsi="宋体" w:cs="宋体"/>
                <w:color w:val="auto"/>
                <w:sz w:val="22"/>
              </w:rPr>
              <w:t>序号</w:t>
            </w:r>
          </w:p>
        </w:tc>
        <w:tc>
          <w:tcPr>
            <w:tcW w:w="3999" w:type="dxa"/>
            <w:gridSpan w:val="2"/>
            <w:noWrap/>
            <w:vAlign w:val="center"/>
          </w:tcPr>
          <w:p>
            <w:pPr>
              <w:jc w:val="center"/>
              <w:rPr>
                <w:rFonts w:ascii="宋体" w:hAnsi="宋体" w:cs="宋体"/>
                <w:color w:val="auto"/>
                <w:sz w:val="22"/>
              </w:rPr>
            </w:pPr>
            <w:r>
              <w:rPr>
                <w:rFonts w:hint="eastAsia" w:ascii="宋体" w:hAnsi="宋体" w:cs="宋体"/>
                <w:color w:val="auto"/>
                <w:sz w:val="22"/>
              </w:rPr>
              <w:t>项 目 内 容</w:t>
            </w:r>
          </w:p>
        </w:tc>
        <w:tc>
          <w:tcPr>
            <w:tcW w:w="2813" w:type="dxa"/>
            <w:noWrap/>
            <w:vAlign w:val="center"/>
          </w:tcPr>
          <w:p>
            <w:pPr>
              <w:jc w:val="center"/>
              <w:rPr>
                <w:rFonts w:ascii="宋体" w:hAnsi="宋体" w:cs="宋体"/>
                <w:color w:val="auto"/>
                <w:sz w:val="22"/>
              </w:rPr>
            </w:pPr>
            <w:r>
              <w:rPr>
                <w:rFonts w:hint="eastAsia" w:ascii="宋体" w:hAnsi="宋体" w:cs="宋体"/>
                <w:color w:val="auto"/>
                <w:sz w:val="22"/>
              </w:rPr>
              <w:t>报价（人民币元）</w:t>
            </w:r>
          </w:p>
        </w:tc>
        <w:tc>
          <w:tcPr>
            <w:tcW w:w="1927" w:type="dxa"/>
            <w:noWrap/>
            <w:vAlign w:val="center"/>
          </w:tcPr>
          <w:p>
            <w:pPr>
              <w:jc w:val="center"/>
              <w:rPr>
                <w:rFonts w:ascii="宋体" w:hAnsi="宋体" w:cs="宋体"/>
                <w:color w:val="auto"/>
                <w:sz w:val="22"/>
              </w:rPr>
            </w:pPr>
            <w:r>
              <w:rPr>
                <w:rFonts w:hint="eastAsia" w:ascii="宋体" w:hAnsi="宋体" w:cs="宋体"/>
                <w:color w:val="auto"/>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69" w:type="dxa"/>
            <w:noWrap/>
            <w:vAlign w:val="center"/>
          </w:tcPr>
          <w:p>
            <w:pPr>
              <w:jc w:val="center"/>
              <w:rPr>
                <w:rFonts w:ascii="宋体" w:hAnsi="宋体" w:cs="宋体"/>
                <w:color w:val="auto"/>
                <w:sz w:val="22"/>
              </w:rPr>
            </w:pPr>
            <w:r>
              <w:rPr>
                <w:rFonts w:hint="eastAsia" w:ascii="宋体" w:hAnsi="宋体" w:cs="宋体"/>
                <w:color w:val="auto"/>
                <w:sz w:val="22"/>
              </w:rPr>
              <w:t>1</w:t>
            </w:r>
          </w:p>
        </w:tc>
        <w:tc>
          <w:tcPr>
            <w:tcW w:w="3999" w:type="dxa"/>
            <w:gridSpan w:val="2"/>
            <w:noWrap/>
            <w:vAlign w:val="center"/>
          </w:tcPr>
          <w:p>
            <w:pPr>
              <w:jc w:val="center"/>
              <w:rPr>
                <w:rFonts w:ascii="宋体" w:hAnsi="宋体" w:cs="宋体"/>
                <w:color w:val="auto"/>
                <w:sz w:val="22"/>
              </w:rPr>
            </w:pPr>
            <w:r>
              <w:rPr>
                <w:rFonts w:hint="eastAsia" w:ascii="宋体" w:hAnsi="宋体" w:cs="宋体"/>
                <w:color w:val="auto"/>
                <w:sz w:val="22"/>
              </w:rPr>
              <w:t>局中心机房维保</w:t>
            </w:r>
          </w:p>
        </w:tc>
        <w:tc>
          <w:tcPr>
            <w:tcW w:w="2813" w:type="dxa"/>
            <w:noWrap/>
            <w:vAlign w:val="center"/>
          </w:tcPr>
          <w:p>
            <w:pPr>
              <w:jc w:val="center"/>
              <w:rPr>
                <w:rFonts w:ascii="宋体" w:hAnsi="宋体" w:cs="宋体"/>
                <w:color w:val="auto"/>
                <w:sz w:val="22"/>
              </w:rPr>
            </w:pPr>
          </w:p>
        </w:tc>
        <w:tc>
          <w:tcPr>
            <w:tcW w:w="1927" w:type="dxa"/>
            <w:noWrap/>
            <w:vAlign w:val="center"/>
          </w:tcPr>
          <w:p>
            <w:pPr>
              <w:jc w:val="center"/>
              <w:rPr>
                <w:rFonts w:ascii="宋体" w:hAnsi="宋体" w:cs="宋体"/>
                <w:color w:val="auto"/>
                <w:sz w:val="22"/>
              </w:rPr>
            </w:pPr>
            <w:r>
              <w:rPr>
                <w:rFonts w:hint="eastAsia" w:ascii="宋体" w:hAnsi="宋体" w:cs="宋体"/>
                <w:color w:val="auto"/>
                <w:sz w:val="22"/>
              </w:rPr>
              <w:t>最高限价85万元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69" w:type="dxa"/>
            <w:noWrap/>
            <w:vAlign w:val="center"/>
          </w:tcPr>
          <w:p>
            <w:pPr>
              <w:jc w:val="center"/>
              <w:rPr>
                <w:rFonts w:ascii="宋体" w:hAnsi="宋体" w:cs="宋体"/>
                <w:color w:val="auto"/>
                <w:sz w:val="22"/>
              </w:rPr>
            </w:pPr>
            <w:r>
              <w:rPr>
                <w:rFonts w:hint="eastAsia" w:ascii="宋体" w:hAnsi="宋体" w:cs="宋体"/>
                <w:color w:val="auto"/>
                <w:sz w:val="22"/>
              </w:rPr>
              <w:t>2</w:t>
            </w:r>
          </w:p>
        </w:tc>
        <w:tc>
          <w:tcPr>
            <w:tcW w:w="3999" w:type="dxa"/>
            <w:gridSpan w:val="2"/>
            <w:noWrap/>
            <w:vAlign w:val="center"/>
          </w:tcPr>
          <w:p>
            <w:pPr>
              <w:jc w:val="center"/>
              <w:rPr>
                <w:rFonts w:ascii="宋体" w:hAnsi="宋体" w:cs="宋体"/>
                <w:color w:val="auto"/>
                <w:sz w:val="22"/>
              </w:rPr>
            </w:pPr>
            <w:r>
              <w:rPr>
                <w:rFonts w:hint="eastAsia" w:ascii="宋体" w:hAnsi="宋体" w:cs="宋体"/>
                <w:color w:val="auto"/>
                <w:sz w:val="22"/>
              </w:rPr>
              <w:t>市普通国省道桥隧机电设施安保工程</w:t>
            </w:r>
          </w:p>
        </w:tc>
        <w:tc>
          <w:tcPr>
            <w:tcW w:w="2813" w:type="dxa"/>
            <w:noWrap/>
            <w:vAlign w:val="center"/>
          </w:tcPr>
          <w:p>
            <w:pPr>
              <w:jc w:val="center"/>
              <w:rPr>
                <w:rFonts w:ascii="宋体" w:hAnsi="宋体" w:cs="宋体"/>
                <w:color w:val="auto"/>
                <w:sz w:val="22"/>
              </w:rPr>
            </w:pPr>
          </w:p>
        </w:tc>
        <w:tc>
          <w:tcPr>
            <w:tcW w:w="1927" w:type="dxa"/>
            <w:noWrap/>
            <w:vAlign w:val="center"/>
          </w:tcPr>
          <w:p>
            <w:pPr>
              <w:jc w:val="center"/>
              <w:rPr>
                <w:rFonts w:ascii="宋体" w:hAnsi="宋体" w:cs="宋体"/>
                <w:color w:val="auto"/>
                <w:sz w:val="22"/>
              </w:rPr>
            </w:pPr>
            <w:r>
              <w:rPr>
                <w:rFonts w:hint="eastAsia" w:ascii="宋体" w:hAnsi="宋体" w:cs="宋体"/>
                <w:color w:val="auto"/>
                <w:sz w:val="22"/>
              </w:rPr>
              <w:t>最高限价46万元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69" w:type="dxa"/>
            <w:noWrap/>
            <w:vAlign w:val="center"/>
          </w:tcPr>
          <w:p>
            <w:pPr>
              <w:jc w:val="center"/>
              <w:rPr>
                <w:rFonts w:ascii="宋体" w:hAnsi="宋体" w:cs="宋体"/>
                <w:color w:val="auto"/>
                <w:sz w:val="22"/>
              </w:rPr>
            </w:pPr>
            <w:r>
              <w:rPr>
                <w:rFonts w:hint="eastAsia" w:ascii="宋体" w:hAnsi="宋体" w:cs="宋体"/>
                <w:color w:val="auto"/>
                <w:sz w:val="22"/>
              </w:rPr>
              <w:t>3</w:t>
            </w:r>
          </w:p>
        </w:tc>
        <w:tc>
          <w:tcPr>
            <w:tcW w:w="3999" w:type="dxa"/>
            <w:gridSpan w:val="2"/>
            <w:noWrap/>
            <w:vAlign w:val="center"/>
          </w:tcPr>
          <w:p>
            <w:pPr>
              <w:jc w:val="center"/>
              <w:rPr>
                <w:rFonts w:ascii="宋体" w:hAnsi="宋体" w:cs="宋体"/>
                <w:color w:val="auto"/>
                <w:sz w:val="22"/>
              </w:rPr>
            </w:pPr>
            <w:r>
              <w:rPr>
                <w:rFonts w:hint="eastAsia" w:ascii="宋体" w:hAnsi="宋体" w:cs="宋体"/>
                <w:color w:val="auto"/>
                <w:sz w:val="22"/>
              </w:rPr>
              <w:t>市交通视频整合平台</w:t>
            </w:r>
          </w:p>
        </w:tc>
        <w:tc>
          <w:tcPr>
            <w:tcW w:w="2813" w:type="dxa"/>
            <w:noWrap/>
            <w:vAlign w:val="center"/>
          </w:tcPr>
          <w:p>
            <w:pPr>
              <w:jc w:val="center"/>
              <w:rPr>
                <w:rFonts w:ascii="宋体" w:hAnsi="宋体" w:cs="宋体"/>
                <w:color w:val="auto"/>
                <w:sz w:val="22"/>
              </w:rPr>
            </w:pPr>
          </w:p>
        </w:tc>
        <w:tc>
          <w:tcPr>
            <w:tcW w:w="1927" w:type="dxa"/>
            <w:noWrap/>
            <w:vAlign w:val="center"/>
          </w:tcPr>
          <w:p>
            <w:pPr>
              <w:jc w:val="center"/>
              <w:rPr>
                <w:rFonts w:ascii="宋体" w:hAnsi="宋体" w:cs="宋体"/>
                <w:color w:val="auto"/>
                <w:sz w:val="22"/>
              </w:rPr>
            </w:pPr>
            <w:r>
              <w:rPr>
                <w:rFonts w:hint="eastAsia" w:ascii="宋体" w:hAnsi="宋体" w:cs="宋体"/>
                <w:color w:val="auto"/>
                <w:sz w:val="22"/>
              </w:rPr>
              <w:t>最高限价45万元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69" w:type="dxa"/>
            <w:noWrap/>
            <w:vAlign w:val="center"/>
          </w:tcPr>
          <w:p>
            <w:pPr>
              <w:jc w:val="center"/>
              <w:rPr>
                <w:rFonts w:ascii="宋体" w:hAnsi="宋体" w:cs="宋体"/>
                <w:color w:val="auto"/>
                <w:sz w:val="22"/>
              </w:rPr>
            </w:pPr>
            <w:r>
              <w:rPr>
                <w:rFonts w:hint="eastAsia" w:ascii="宋体" w:hAnsi="宋体" w:cs="宋体"/>
                <w:color w:val="auto"/>
                <w:sz w:val="22"/>
              </w:rPr>
              <w:t>4</w:t>
            </w:r>
          </w:p>
        </w:tc>
        <w:tc>
          <w:tcPr>
            <w:tcW w:w="3999" w:type="dxa"/>
            <w:gridSpan w:val="2"/>
            <w:noWrap/>
            <w:vAlign w:val="center"/>
          </w:tcPr>
          <w:p>
            <w:pPr>
              <w:jc w:val="center"/>
              <w:rPr>
                <w:rFonts w:ascii="宋体" w:hAnsi="宋体" w:cs="宋体"/>
                <w:color w:val="auto"/>
                <w:sz w:val="22"/>
              </w:rPr>
            </w:pPr>
            <w:r>
              <w:rPr>
                <w:rFonts w:hint="eastAsia" w:ascii="宋体" w:hAnsi="宋体" w:cs="宋体"/>
                <w:color w:val="auto"/>
                <w:sz w:val="22"/>
              </w:rPr>
              <w:t>智慧公路应急指挥与信息服务系统</w:t>
            </w:r>
            <w:r>
              <w:rPr>
                <w:rFonts w:hint="eastAsia" w:ascii="新宋体" w:hAnsi="新宋体" w:eastAsia="新宋体" w:cs="新宋体"/>
                <w:color w:val="auto"/>
                <w:sz w:val="22"/>
                <w:szCs w:val="22"/>
              </w:rPr>
              <w:t>（含智慧公路1-3期项目内硬件设备）</w:t>
            </w:r>
          </w:p>
        </w:tc>
        <w:tc>
          <w:tcPr>
            <w:tcW w:w="2813" w:type="dxa"/>
            <w:noWrap/>
            <w:vAlign w:val="center"/>
          </w:tcPr>
          <w:p>
            <w:pPr>
              <w:jc w:val="center"/>
              <w:rPr>
                <w:rFonts w:ascii="宋体" w:hAnsi="宋体" w:cs="宋体"/>
                <w:color w:val="auto"/>
                <w:sz w:val="22"/>
              </w:rPr>
            </w:pPr>
          </w:p>
        </w:tc>
        <w:tc>
          <w:tcPr>
            <w:tcW w:w="1927" w:type="dxa"/>
            <w:noWrap/>
            <w:vAlign w:val="center"/>
          </w:tcPr>
          <w:p>
            <w:pPr>
              <w:jc w:val="center"/>
              <w:rPr>
                <w:rFonts w:ascii="宋体" w:hAnsi="宋体" w:cs="宋体"/>
                <w:color w:val="auto"/>
                <w:sz w:val="22"/>
              </w:rPr>
            </w:pPr>
            <w:r>
              <w:rPr>
                <w:rFonts w:hint="eastAsia" w:ascii="宋体" w:hAnsi="宋体" w:cs="宋体"/>
                <w:color w:val="auto"/>
                <w:sz w:val="22"/>
              </w:rPr>
              <w:t>最高限价40万元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3001" w:type="dxa"/>
            <w:gridSpan w:val="2"/>
            <w:noWrap/>
            <w:vAlign w:val="center"/>
          </w:tcPr>
          <w:p>
            <w:pPr>
              <w:jc w:val="center"/>
              <w:rPr>
                <w:rFonts w:ascii="宋体" w:hAnsi="宋体" w:cs="宋体"/>
                <w:color w:val="auto"/>
                <w:sz w:val="22"/>
              </w:rPr>
            </w:pPr>
            <w:r>
              <w:rPr>
                <w:rFonts w:hint="eastAsia" w:ascii="宋体" w:hAnsi="宋体" w:cs="宋体"/>
                <w:color w:val="auto"/>
                <w:sz w:val="22"/>
              </w:rPr>
              <w:t>合计价（人民币元）</w:t>
            </w:r>
          </w:p>
        </w:tc>
        <w:tc>
          <w:tcPr>
            <w:tcW w:w="6607" w:type="dxa"/>
            <w:gridSpan w:val="3"/>
            <w:noWrap/>
            <w:vAlign w:val="center"/>
          </w:tcPr>
          <w:p>
            <w:pPr>
              <w:jc w:val="center"/>
              <w:rPr>
                <w:rFonts w:ascii="宋体" w:hAnsi="宋体" w:cs="宋体"/>
                <w:color w:val="auto"/>
                <w:sz w:val="22"/>
              </w:rPr>
            </w:pPr>
          </w:p>
        </w:tc>
      </w:tr>
    </w:tbl>
    <w:p>
      <w:pPr>
        <w:autoSpaceDE w:val="0"/>
        <w:autoSpaceDN w:val="0"/>
        <w:adjustRightInd w:val="0"/>
        <w:spacing w:line="380" w:lineRule="atLeast"/>
        <w:rPr>
          <w:rFonts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说明：</w:t>
      </w:r>
    </w:p>
    <w:p>
      <w:pPr>
        <w:autoSpaceDE w:val="0"/>
        <w:autoSpaceDN w:val="0"/>
        <w:adjustRightInd w:val="0"/>
        <w:spacing w:line="380" w:lineRule="atLeast"/>
        <w:rPr>
          <w:rFonts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 xml:space="preserve">1. </w:t>
      </w:r>
      <w:r>
        <w:rPr>
          <w:rFonts w:hint="eastAsia" w:ascii="新宋体" w:hAnsi="新宋体" w:eastAsia="新宋体" w:cs="新宋体"/>
          <w:b/>
          <w:bCs/>
          <w:color w:val="auto"/>
          <w:kern w:val="0"/>
          <w:sz w:val="22"/>
          <w:szCs w:val="22"/>
        </w:rPr>
        <w:t>总</w:t>
      </w:r>
      <w:r>
        <w:rPr>
          <w:rFonts w:hint="eastAsia" w:ascii="新宋体" w:hAnsi="新宋体" w:eastAsia="新宋体" w:cs="新宋体"/>
          <w:b/>
          <w:bCs/>
          <w:color w:val="auto"/>
          <w:kern w:val="0"/>
          <w:sz w:val="22"/>
          <w:szCs w:val="22"/>
          <w:lang w:val="zh-CN"/>
        </w:rPr>
        <w:t>计价应与附件一“开标一览表”中投标总价相一致。</w:t>
      </w:r>
    </w:p>
    <w:p>
      <w:pPr>
        <w:autoSpaceDE w:val="0"/>
        <w:autoSpaceDN w:val="0"/>
        <w:adjustRightInd w:val="0"/>
        <w:spacing w:line="380" w:lineRule="atLeast"/>
        <w:rPr>
          <w:rFonts w:ascii="新宋体" w:hAnsi="新宋体" w:eastAsia="新宋体" w:cs="新宋体"/>
          <w:b/>
          <w:bCs/>
          <w:color w:val="auto"/>
          <w:kern w:val="0"/>
          <w:sz w:val="22"/>
          <w:szCs w:val="22"/>
          <w:lang w:val="zh-CN"/>
        </w:rPr>
      </w:pPr>
      <w:r>
        <w:rPr>
          <w:rFonts w:hint="eastAsia" w:ascii="新宋体" w:hAnsi="新宋体" w:eastAsia="新宋体" w:cs="新宋体"/>
          <w:b/>
          <w:bCs/>
          <w:color w:val="auto"/>
          <w:kern w:val="0"/>
          <w:sz w:val="22"/>
          <w:szCs w:val="22"/>
          <w:lang w:val="zh-CN"/>
        </w:rPr>
        <w:t xml:space="preserve">2. 不提供投标分项报价表的投标文件将被视为未实质性响应采购文件。 </w:t>
      </w:r>
    </w:p>
    <w:p>
      <w:pPr>
        <w:spacing w:line="380" w:lineRule="exact"/>
        <w:rPr>
          <w:rFonts w:ascii="新宋体" w:hAnsi="新宋体" w:eastAsia="新宋体" w:cs="新宋体"/>
          <w:color w:val="auto"/>
          <w:kern w:val="0"/>
          <w:sz w:val="22"/>
          <w:szCs w:val="22"/>
          <w:lang w:val="zh-CN"/>
        </w:rPr>
      </w:pPr>
      <w:r>
        <w:rPr>
          <w:rFonts w:hint="eastAsia" w:ascii="新宋体" w:hAnsi="新宋体" w:eastAsia="新宋体" w:cs="新宋体"/>
          <w:b/>
          <w:bCs/>
          <w:color w:val="auto"/>
          <w:kern w:val="0"/>
          <w:sz w:val="22"/>
          <w:szCs w:val="22"/>
          <w:lang w:val="zh-CN"/>
        </w:rPr>
        <w:t>3. 本表可在不改变格式的情况下根据具体需要自行增减。</w:t>
      </w:r>
    </w:p>
    <w:p>
      <w:pPr>
        <w:spacing w:line="380" w:lineRule="exact"/>
        <w:rPr>
          <w:rFonts w:eastAsia="新宋体"/>
          <w:color w:val="auto"/>
          <w:sz w:val="22"/>
          <w:szCs w:val="22"/>
        </w:rPr>
      </w:pPr>
    </w:p>
    <w:p>
      <w:pPr>
        <w:spacing w:line="380" w:lineRule="exact"/>
        <w:rPr>
          <w:rFonts w:eastAsia="新宋体"/>
          <w:color w:val="auto"/>
          <w:sz w:val="22"/>
          <w:szCs w:val="22"/>
        </w:rPr>
      </w:pPr>
    </w:p>
    <w:p>
      <w:pPr>
        <w:spacing w:line="380" w:lineRule="exact"/>
        <w:ind w:firstLine="4400" w:firstLineChars="2000"/>
        <w:rPr>
          <w:rFonts w:eastAsia="新宋体"/>
          <w:color w:val="auto"/>
          <w:sz w:val="22"/>
          <w:szCs w:val="22"/>
        </w:rPr>
      </w:pPr>
      <w:r>
        <w:rPr>
          <w:rFonts w:hint="eastAsia" w:eastAsia="新宋体"/>
          <w:color w:val="auto"/>
          <w:sz w:val="22"/>
          <w:szCs w:val="22"/>
        </w:rPr>
        <w:t>投标人全称（盖章）：</w:t>
      </w:r>
    </w:p>
    <w:p>
      <w:pPr>
        <w:spacing w:line="380" w:lineRule="exact"/>
        <w:ind w:firstLine="4400" w:firstLineChars="2000"/>
        <w:rPr>
          <w:rFonts w:eastAsia="新宋体"/>
          <w:color w:val="auto"/>
          <w:sz w:val="22"/>
          <w:szCs w:val="22"/>
        </w:rPr>
      </w:pPr>
      <w:r>
        <w:rPr>
          <w:rFonts w:hint="eastAsia" w:eastAsia="新宋体"/>
          <w:color w:val="auto"/>
          <w:sz w:val="22"/>
          <w:szCs w:val="22"/>
        </w:rPr>
        <w:t>法定代表人或授权代表（签字）：</w:t>
      </w:r>
    </w:p>
    <w:p>
      <w:pPr>
        <w:spacing w:line="380" w:lineRule="exact"/>
        <w:ind w:firstLine="4400" w:firstLineChars="2000"/>
        <w:rPr>
          <w:rFonts w:eastAsia="新宋体"/>
          <w:color w:val="auto"/>
          <w:sz w:val="22"/>
          <w:szCs w:val="22"/>
        </w:rPr>
      </w:pPr>
      <w:r>
        <w:rPr>
          <w:rFonts w:hint="eastAsia" w:eastAsia="新宋体"/>
          <w:color w:val="auto"/>
          <w:sz w:val="22"/>
          <w:szCs w:val="22"/>
        </w:rPr>
        <w:t>日期：  年   月  日</w:t>
      </w:r>
    </w:p>
    <w:p>
      <w:pPr>
        <w:pStyle w:val="4"/>
        <w:rPr>
          <w:rFonts w:ascii="宋体" w:hAnsi="宋体" w:eastAsia="宋体" w:cs="宋体"/>
          <w:color w:val="auto"/>
          <w:sz w:val="36"/>
          <w:szCs w:val="36"/>
        </w:rPr>
      </w:pPr>
      <w:r>
        <w:rPr>
          <w:rFonts w:hint="eastAsia" w:ascii="宋体" w:hAnsi="宋体" w:eastAsia="宋体" w:cs="宋体"/>
          <w:color w:val="auto"/>
          <w:sz w:val="36"/>
          <w:szCs w:val="36"/>
        </w:rPr>
        <w:br w:type="page"/>
      </w:r>
      <w:r>
        <w:rPr>
          <w:rFonts w:hint="eastAsia" w:ascii="宋体" w:hAnsi="宋体" w:eastAsia="宋体" w:cs="宋体"/>
          <w:color w:val="auto"/>
          <w:sz w:val="36"/>
          <w:szCs w:val="36"/>
        </w:rPr>
        <w:t>第五部分   采购内容及要求</w:t>
      </w:r>
      <w:bookmarkEnd w:id="115"/>
      <w:bookmarkEnd w:id="116"/>
    </w:p>
    <w:p>
      <w:pPr>
        <w:rPr>
          <w:color w:val="auto"/>
        </w:rPr>
      </w:pPr>
    </w:p>
    <w:p>
      <w:pPr>
        <w:spacing w:line="440" w:lineRule="exact"/>
        <w:jc w:val="center"/>
        <w:rPr>
          <w:rFonts w:ascii="宋体" w:hAnsi="宋体" w:cs="宋体"/>
          <w:b/>
          <w:bCs/>
          <w:color w:val="auto"/>
          <w:sz w:val="28"/>
          <w:szCs w:val="28"/>
        </w:rPr>
      </w:pPr>
      <w:r>
        <w:rPr>
          <w:rFonts w:hint="eastAsia" w:ascii="宋体" w:hAnsi="宋体" w:cs="宋体"/>
          <w:b/>
          <w:bCs/>
          <w:color w:val="auto"/>
          <w:sz w:val="28"/>
          <w:szCs w:val="28"/>
        </w:rPr>
        <w:t>第一部分：局中心机房维保</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温州市交通运输局数据中心机房位于交通运输局原大楼（瓯江路1155号）M楼，数据备份容灾机房位于温州市温州大道1792号7楼，目前全网运行的设备主要包括：曙光服务器、IBM服务器、华为服务器、H3C、锐捷、华为路由交换等设备，天融信、安恒、网御星云、深信服、奇安信等多种品牌网络安全设备，曙光大数据计算平台、虚拟化平台、超融合平台、智能化集中管控平台、精密空调、UPS机组、环境监控平台以及10套Oracle、DB2和MYSQL等数据库系统、同时部署有多种应用中间件软件，多个核心业务系统运行在WINDOWS和LINUX操作系统上。具体采购内容及运维要求如下：</w:t>
      </w:r>
    </w:p>
    <w:p>
      <w:pPr>
        <w:spacing w:line="360" w:lineRule="auto"/>
        <w:rPr>
          <w:rFonts w:ascii="宋体" w:hAnsi="宋体" w:cs="宋体"/>
          <w:color w:val="auto"/>
          <w:sz w:val="22"/>
          <w:szCs w:val="22"/>
        </w:rPr>
      </w:pPr>
      <w:r>
        <w:rPr>
          <w:rFonts w:hint="eastAsia" w:ascii="宋体" w:hAnsi="宋体" w:cs="宋体"/>
          <w:b/>
          <w:color w:val="auto"/>
          <w:sz w:val="22"/>
          <w:szCs w:val="22"/>
        </w:rPr>
        <w:t>一、具体运维设备、服务清单和运维内容</w:t>
      </w:r>
    </w:p>
    <w:tbl>
      <w:tblPr>
        <w:tblStyle w:val="5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304"/>
        <w:gridCol w:w="1324"/>
        <w:gridCol w:w="851"/>
        <w:gridCol w:w="2681"/>
        <w:gridCol w:w="1803"/>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367" w:type="pct"/>
            <w:shd w:val="clear" w:color="auto" w:fill="auto"/>
            <w:noWrap/>
            <w:vAlign w:val="center"/>
          </w:tcPr>
          <w:p>
            <w:pPr>
              <w:jc w:val="center"/>
              <w:rPr>
                <w:rFonts w:ascii="宋体" w:hAnsi="宋体" w:cs="宋体"/>
                <w:b/>
                <w:bCs/>
                <w:color w:val="auto"/>
                <w:szCs w:val="21"/>
              </w:rPr>
            </w:pPr>
            <w:r>
              <w:rPr>
                <w:rFonts w:hint="eastAsia" w:ascii="宋体" w:hAnsi="宋体" w:cs="宋体"/>
                <w:b/>
                <w:bCs/>
                <w:color w:val="auto"/>
                <w:szCs w:val="21"/>
              </w:rPr>
              <w:t>序号</w:t>
            </w:r>
          </w:p>
        </w:tc>
        <w:tc>
          <w:tcPr>
            <w:tcW w:w="662" w:type="pct"/>
            <w:shd w:val="clear" w:color="auto" w:fill="auto"/>
            <w:noWrap/>
            <w:vAlign w:val="center"/>
          </w:tcPr>
          <w:p>
            <w:pPr>
              <w:jc w:val="center"/>
              <w:rPr>
                <w:rFonts w:ascii="宋体" w:hAnsi="宋体" w:cs="宋体"/>
                <w:b/>
                <w:bCs/>
                <w:color w:val="auto"/>
                <w:szCs w:val="21"/>
              </w:rPr>
            </w:pPr>
            <w:r>
              <w:rPr>
                <w:rFonts w:hint="eastAsia" w:ascii="宋体" w:hAnsi="宋体" w:cs="宋体"/>
                <w:b/>
                <w:bCs/>
                <w:color w:val="auto"/>
                <w:szCs w:val="21"/>
              </w:rPr>
              <w:t>服务名称</w:t>
            </w:r>
          </w:p>
        </w:tc>
        <w:tc>
          <w:tcPr>
            <w:tcW w:w="672" w:type="pct"/>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服务模块</w:t>
            </w:r>
          </w:p>
        </w:tc>
        <w:tc>
          <w:tcPr>
            <w:tcW w:w="1793" w:type="pct"/>
            <w:gridSpan w:val="2"/>
            <w:shd w:val="clear" w:color="auto" w:fill="auto"/>
            <w:noWrap/>
            <w:vAlign w:val="center"/>
          </w:tcPr>
          <w:p>
            <w:pPr>
              <w:jc w:val="center"/>
              <w:rPr>
                <w:rFonts w:ascii="宋体" w:hAnsi="宋体" w:cs="宋体"/>
                <w:b/>
                <w:bCs/>
                <w:color w:val="auto"/>
                <w:szCs w:val="21"/>
              </w:rPr>
            </w:pPr>
            <w:r>
              <w:rPr>
                <w:rFonts w:hint="eastAsia" w:ascii="宋体" w:hAnsi="宋体" w:cs="宋体"/>
                <w:b/>
                <w:bCs/>
                <w:color w:val="auto"/>
                <w:szCs w:val="21"/>
              </w:rPr>
              <w:t>服务描述</w:t>
            </w:r>
          </w:p>
        </w:tc>
        <w:tc>
          <w:tcPr>
            <w:tcW w:w="915" w:type="pct"/>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交付文档</w:t>
            </w:r>
          </w:p>
        </w:tc>
        <w:tc>
          <w:tcPr>
            <w:tcW w:w="591" w:type="pct"/>
            <w:shd w:val="clear" w:color="auto" w:fill="auto"/>
            <w:noWrap/>
            <w:vAlign w:val="center"/>
          </w:tcPr>
          <w:p>
            <w:pPr>
              <w:jc w:val="center"/>
              <w:rPr>
                <w:rFonts w:ascii="宋体" w:hAnsi="宋体" w:cs="宋体"/>
                <w:b/>
                <w:bCs/>
                <w:color w:val="auto"/>
                <w:szCs w:val="21"/>
              </w:rPr>
            </w:pPr>
            <w:r>
              <w:rPr>
                <w:rFonts w:hint="eastAsia" w:ascii="宋体" w:hAnsi="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restart"/>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1</w:t>
            </w:r>
          </w:p>
        </w:tc>
        <w:tc>
          <w:tcPr>
            <w:tcW w:w="662" w:type="pct"/>
            <w:vMerge w:val="restart"/>
            <w:shd w:val="clear" w:color="auto" w:fill="auto"/>
            <w:vAlign w:val="center"/>
          </w:tcPr>
          <w:p>
            <w:pPr>
              <w:rPr>
                <w:rFonts w:ascii="宋体" w:hAnsi="宋体" w:cs="宋体"/>
                <w:b/>
                <w:bCs/>
                <w:color w:val="auto"/>
                <w:szCs w:val="21"/>
              </w:rPr>
            </w:pPr>
            <w:r>
              <w:rPr>
                <w:rFonts w:hint="eastAsia" w:ascii="宋体" w:hAnsi="宋体" w:cs="宋体"/>
                <w:b/>
                <w:bCs/>
                <w:color w:val="auto"/>
                <w:szCs w:val="21"/>
              </w:rPr>
              <w:t>基础环境、主机和数据库运维</w:t>
            </w:r>
          </w:p>
        </w:tc>
        <w:tc>
          <w:tcPr>
            <w:tcW w:w="3971" w:type="pct"/>
            <w:gridSpan w:val="5"/>
            <w:shd w:val="clear" w:color="auto" w:fill="auto"/>
            <w:noWrap/>
            <w:vAlign w:val="center"/>
          </w:tcPr>
          <w:p>
            <w:pPr>
              <w:jc w:val="center"/>
              <w:rPr>
                <w:rFonts w:ascii="宋体" w:hAnsi="宋体" w:cs="宋体"/>
                <w:b/>
                <w:bCs/>
                <w:color w:val="auto"/>
                <w:szCs w:val="21"/>
              </w:rPr>
            </w:pPr>
            <w:r>
              <w:rPr>
                <w:rFonts w:hint="eastAsia" w:ascii="宋体" w:hAnsi="宋体" w:cs="宋体"/>
                <w:b/>
                <w:bCs/>
                <w:color w:val="auto"/>
                <w:szCs w:val="21"/>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IT资产调研</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纪录数据中心服务范围内各设备和系统的种类、型号、功能、物理位置、序列号、购买时间、过保时间等资产详细信息</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设备清单</w:t>
            </w:r>
          </w:p>
        </w:tc>
        <w:tc>
          <w:tcPr>
            <w:tcW w:w="591" w:type="pct"/>
            <w:vMerge w:val="restart"/>
            <w:shd w:val="clear" w:color="auto" w:fill="auto"/>
            <w:noWrap/>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基础信息完善</w:t>
            </w:r>
          </w:p>
        </w:tc>
        <w:tc>
          <w:tcPr>
            <w:tcW w:w="1793" w:type="pct"/>
            <w:gridSpan w:val="2"/>
            <w:vMerge w:val="restart"/>
            <w:shd w:val="clear" w:color="auto" w:fill="auto"/>
            <w:vAlign w:val="center"/>
          </w:tcPr>
          <w:p>
            <w:pPr>
              <w:rPr>
                <w:rFonts w:ascii="宋体" w:hAnsi="宋体" w:cs="宋体"/>
                <w:color w:val="auto"/>
                <w:szCs w:val="21"/>
              </w:rPr>
            </w:pPr>
            <w:r>
              <w:rPr>
                <w:rFonts w:hint="eastAsia" w:ascii="宋体" w:hAnsi="宋体" w:cs="宋体"/>
                <w:color w:val="auto"/>
                <w:szCs w:val="21"/>
              </w:rPr>
              <w:t>利用设备清单进行物理设备建档，绘制网络拓扑，硬件设备物理位置图、接口对应表，完善数据中心基础信息</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拓扑图</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vMerge w:val="continue"/>
            <w:vAlign w:val="center"/>
          </w:tcPr>
          <w:p>
            <w:pPr>
              <w:rPr>
                <w:rFonts w:ascii="宋体" w:hAnsi="宋体" w:cs="宋体"/>
                <w:color w:val="auto"/>
                <w:szCs w:val="21"/>
              </w:rPr>
            </w:pPr>
          </w:p>
        </w:tc>
        <w:tc>
          <w:tcPr>
            <w:tcW w:w="1793" w:type="pct"/>
            <w:gridSpan w:val="2"/>
            <w:vMerge w:val="continue"/>
            <w:vAlign w:val="center"/>
          </w:tcPr>
          <w:p>
            <w:pPr>
              <w:rPr>
                <w:rFonts w:ascii="宋体" w:hAnsi="宋体" w:cs="宋体"/>
                <w:color w:val="auto"/>
                <w:szCs w:val="21"/>
              </w:rPr>
            </w:pP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机柜图</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vMerge w:val="continue"/>
            <w:vAlign w:val="center"/>
          </w:tcPr>
          <w:p>
            <w:pPr>
              <w:rPr>
                <w:rFonts w:ascii="宋体" w:hAnsi="宋体" w:cs="宋体"/>
                <w:color w:val="auto"/>
                <w:szCs w:val="21"/>
              </w:rPr>
            </w:pPr>
          </w:p>
        </w:tc>
        <w:tc>
          <w:tcPr>
            <w:tcW w:w="1793" w:type="pct"/>
            <w:gridSpan w:val="2"/>
            <w:vMerge w:val="continue"/>
            <w:vAlign w:val="center"/>
          </w:tcPr>
          <w:p>
            <w:pPr>
              <w:rPr>
                <w:rFonts w:ascii="宋体" w:hAnsi="宋体" w:cs="宋体"/>
                <w:color w:val="auto"/>
                <w:szCs w:val="21"/>
              </w:rPr>
            </w:pP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线序表</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vMerge w:val="continue"/>
            <w:vAlign w:val="center"/>
          </w:tcPr>
          <w:p>
            <w:pPr>
              <w:rPr>
                <w:rFonts w:ascii="宋体" w:hAnsi="宋体" w:cs="宋体"/>
                <w:color w:val="auto"/>
                <w:szCs w:val="21"/>
              </w:rPr>
            </w:pPr>
          </w:p>
        </w:tc>
        <w:tc>
          <w:tcPr>
            <w:tcW w:w="1793" w:type="pct"/>
            <w:gridSpan w:val="2"/>
            <w:vMerge w:val="continue"/>
            <w:vAlign w:val="center"/>
          </w:tcPr>
          <w:p>
            <w:pPr>
              <w:rPr>
                <w:rFonts w:ascii="宋体" w:hAnsi="宋体" w:cs="宋体"/>
                <w:color w:val="auto"/>
                <w:szCs w:val="21"/>
              </w:rPr>
            </w:pP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业务表</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动力环境</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机房空调、UPS、温湿度、水浸等环境监测管理服务</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动环报告</w:t>
            </w:r>
          </w:p>
        </w:tc>
        <w:tc>
          <w:tcPr>
            <w:tcW w:w="591" w:type="pct"/>
            <w:vMerge w:val="restart"/>
            <w:shd w:val="clear" w:color="auto" w:fill="auto"/>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机房卫生</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机房卫生清洁工作，地面卫生、设备外部除尘、储物间整理服务</w:t>
            </w:r>
          </w:p>
        </w:tc>
        <w:tc>
          <w:tcPr>
            <w:tcW w:w="915" w:type="pct"/>
            <w:shd w:val="clear" w:color="auto" w:fill="auto"/>
            <w:vAlign w:val="center"/>
          </w:tcPr>
          <w:p>
            <w:pPr>
              <w:jc w:val="center"/>
              <w:rPr>
                <w:rFonts w:ascii="宋体" w:hAnsi="宋体" w:cs="宋体"/>
                <w:color w:val="auto"/>
                <w:szCs w:val="21"/>
              </w:rPr>
            </w:pP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线路标签</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根据资产信息进行设备标签、线路标签制作粘贴服务</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标签</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故障响应</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日常信息系统故障应急响应，根据不同故障级别，提供对应的响应机制</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服务报告单</w:t>
            </w:r>
          </w:p>
        </w:tc>
        <w:tc>
          <w:tcPr>
            <w:tcW w:w="591" w:type="pct"/>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3971" w:type="pct"/>
            <w:gridSpan w:val="5"/>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定期巡检与总结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季度巡检</w:t>
            </w:r>
          </w:p>
        </w:tc>
        <w:tc>
          <w:tcPr>
            <w:tcW w:w="1793" w:type="pct"/>
            <w:gridSpan w:val="2"/>
            <w:vMerge w:val="restart"/>
            <w:shd w:val="clear" w:color="auto" w:fill="auto"/>
            <w:vAlign w:val="center"/>
          </w:tcPr>
          <w:p>
            <w:pPr>
              <w:rPr>
                <w:rFonts w:ascii="宋体" w:hAnsi="宋体" w:cs="宋体"/>
                <w:color w:val="auto"/>
                <w:szCs w:val="21"/>
              </w:rPr>
            </w:pPr>
            <w:r>
              <w:rPr>
                <w:rFonts w:hint="eastAsia" w:ascii="宋体" w:hAnsi="宋体" w:cs="宋体"/>
                <w:color w:val="auto"/>
                <w:szCs w:val="21"/>
              </w:rPr>
              <w:t>为了确保用户信息系统安全稳定，由被动解决问题变为主动发现问题，最大限度的降低系统的运行故障，为用户单位提供重要信息安全资产如安全设备、业务系统、网络设备等周期性健康检查服务。</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季度巡检报告</w:t>
            </w:r>
          </w:p>
        </w:tc>
        <w:tc>
          <w:tcPr>
            <w:tcW w:w="591" w:type="pct"/>
            <w:vMerge w:val="restart"/>
            <w:shd w:val="clear" w:color="auto" w:fill="auto"/>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年度总结报告</w:t>
            </w:r>
          </w:p>
        </w:tc>
        <w:tc>
          <w:tcPr>
            <w:tcW w:w="1793" w:type="pct"/>
            <w:gridSpan w:val="2"/>
            <w:vMerge w:val="continue"/>
            <w:vAlign w:val="center"/>
          </w:tcPr>
          <w:p>
            <w:pPr>
              <w:rPr>
                <w:rFonts w:ascii="宋体" w:hAnsi="宋体" w:cs="宋体"/>
                <w:color w:val="auto"/>
                <w:szCs w:val="21"/>
              </w:rPr>
            </w:pP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年度总结报告</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3971" w:type="pct"/>
            <w:gridSpan w:val="5"/>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数据库运维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服务建档</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提供现场勘查服务器、存储以及相关网络的配置，勘察数据库配置，并整理为初始文档，出具数据库服务范围说明书</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数据库服务范围说明书</w:t>
            </w:r>
          </w:p>
        </w:tc>
        <w:tc>
          <w:tcPr>
            <w:tcW w:w="591" w:type="pct"/>
            <w:vMerge w:val="restart"/>
            <w:shd w:val="clear" w:color="auto" w:fill="auto"/>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数据库备份升级</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提供现有数据库数据备份、版本、补丁升级服务</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数据库备份升级方案</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数据库优化</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提供现有数据库系统的检测、优化服务，提高性能，利于生产</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数据库优化方案</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3971" w:type="pct"/>
            <w:gridSpan w:val="5"/>
            <w:shd w:val="clear" w:color="auto" w:fill="auto"/>
            <w:vAlign w:val="center"/>
          </w:tcPr>
          <w:p>
            <w:pPr>
              <w:jc w:val="center"/>
              <w:rPr>
                <w:rFonts w:ascii="宋体" w:hAnsi="宋体" w:cs="宋体"/>
                <w:b/>
                <w:bCs/>
                <w:color w:val="auto"/>
                <w:szCs w:val="21"/>
              </w:rPr>
            </w:pPr>
            <w:r>
              <w:rPr>
                <w:rFonts w:hint="eastAsia" w:ascii="宋体" w:hAnsi="宋体" w:cs="宋体"/>
                <w:b/>
                <w:bCs/>
                <w:color w:val="auto"/>
                <w:szCs w:val="21"/>
              </w:rPr>
              <w:t>I</w:t>
            </w:r>
            <w:r>
              <w:rPr>
                <w:rFonts w:ascii="宋体" w:hAnsi="宋体" w:cs="宋体"/>
                <w:b/>
                <w:bCs/>
                <w:color w:val="auto"/>
                <w:szCs w:val="21"/>
              </w:rPr>
              <w:t>DC</w:t>
            </w:r>
            <w:r>
              <w:rPr>
                <w:rFonts w:hint="eastAsia" w:ascii="宋体" w:hAnsi="宋体" w:cs="宋体"/>
                <w:b/>
                <w:bCs/>
                <w:color w:val="auto"/>
                <w:szCs w:val="21"/>
              </w:rPr>
              <w:t>综合运维平台维护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机房环境监测</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提供机房动力环境（空调、UPS、温湿度、漏水等）监测服务，故障以邮件或短信告警方式告知运维人员。含各个检测感应器及授权许可。</w:t>
            </w:r>
          </w:p>
        </w:tc>
        <w:tc>
          <w:tcPr>
            <w:tcW w:w="915" w:type="pct"/>
            <w:vMerge w:val="restart"/>
            <w:shd w:val="clear" w:color="auto" w:fill="auto"/>
            <w:vAlign w:val="center"/>
          </w:tcPr>
          <w:p>
            <w:pPr>
              <w:jc w:val="center"/>
              <w:rPr>
                <w:rFonts w:ascii="宋体" w:hAnsi="宋体" w:cs="宋体"/>
                <w:color w:val="auto"/>
                <w:szCs w:val="21"/>
              </w:rPr>
            </w:pPr>
            <w:r>
              <w:rPr>
                <w:rFonts w:hint="eastAsia" w:ascii="宋体" w:hAnsi="宋体" w:cs="宋体"/>
                <w:color w:val="auto"/>
                <w:szCs w:val="21"/>
              </w:rPr>
              <w:t>监测报告  短信、邮件告警</w:t>
            </w:r>
          </w:p>
        </w:tc>
        <w:tc>
          <w:tcPr>
            <w:tcW w:w="591" w:type="pct"/>
            <w:vMerge w:val="restart"/>
            <w:shd w:val="clear" w:color="auto" w:fill="auto"/>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设备运维监测</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提供机房基础设备运行状态（设备存活状态、网络连通性、性能）监测服务，故障以邮件或短信告警方式告知运维人员。</w:t>
            </w:r>
            <w:r>
              <w:rPr>
                <w:rFonts w:ascii="宋体" w:hAnsi="宋体" w:cs="宋体"/>
                <w:color w:val="auto"/>
                <w:szCs w:val="21"/>
              </w:rPr>
              <w:t xml:space="preserve"> </w:t>
            </w:r>
          </w:p>
        </w:tc>
        <w:tc>
          <w:tcPr>
            <w:tcW w:w="915" w:type="pct"/>
            <w:vMerge w:val="continue"/>
            <w:vAlign w:val="center"/>
          </w:tcPr>
          <w:p>
            <w:pPr>
              <w:rPr>
                <w:rFonts w:ascii="宋体" w:hAnsi="宋体" w:cs="宋体"/>
                <w:color w:val="auto"/>
                <w:szCs w:val="21"/>
              </w:rPr>
            </w:pP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应用系统监测</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提供应用系统的状态监测（操作系统、设备使用率、网络连通性、对外提供服务，系统时间同步），故障以邮件或短信告警方式告知运维人员。</w:t>
            </w:r>
          </w:p>
        </w:tc>
        <w:tc>
          <w:tcPr>
            <w:tcW w:w="915" w:type="pct"/>
            <w:vMerge w:val="continue"/>
            <w:vAlign w:val="center"/>
          </w:tcPr>
          <w:p>
            <w:pPr>
              <w:rPr>
                <w:rFonts w:ascii="宋体" w:hAnsi="宋体" w:cs="宋体"/>
                <w:color w:val="auto"/>
                <w:szCs w:val="21"/>
              </w:rPr>
            </w:pP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restart"/>
            <w:shd w:val="clear" w:color="auto" w:fill="auto"/>
            <w:noWrap/>
            <w:vAlign w:val="center"/>
          </w:tcPr>
          <w:p>
            <w:pPr>
              <w:jc w:val="center"/>
              <w:rPr>
                <w:rFonts w:ascii="宋体" w:hAnsi="宋体" w:cs="宋体"/>
                <w:color w:val="auto"/>
                <w:szCs w:val="21"/>
              </w:rPr>
            </w:pPr>
            <w:r>
              <w:rPr>
                <w:rFonts w:hint="eastAsia" w:ascii="宋体" w:hAnsi="宋体" w:cs="宋体"/>
                <w:color w:val="auto"/>
                <w:szCs w:val="21"/>
              </w:rPr>
              <w:t>2</w:t>
            </w:r>
          </w:p>
        </w:tc>
        <w:tc>
          <w:tcPr>
            <w:tcW w:w="662" w:type="pct"/>
            <w:vMerge w:val="continue"/>
            <w:shd w:val="clear" w:color="auto" w:fill="auto"/>
            <w:vAlign w:val="center"/>
          </w:tcPr>
          <w:p>
            <w:pPr>
              <w:jc w:val="cente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日常运维服务</w:t>
            </w:r>
          </w:p>
        </w:tc>
        <w:tc>
          <w:tcPr>
            <w:tcW w:w="1793" w:type="pct"/>
            <w:gridSpan w:val="2"/>
            <w:shd w:val="clear" w:color="auto" w:fill="auto"/>
            <w:vAlign w:val="center"/>
          </w:tcPr>
          <w:p>
            <w:pPr>
              <w:rPr>
                <w:color w:val="auto"/>
              </w:rPr>
            </w:pPr>
            <w:r>
              <w:rPr>
                <w:rFonts w:hint="eastAsia"/>
                <w:color w:val="auto"/>
              </w:rPr>
              <w:t>定期巡检各网络安全设备、安全监测平台、梳理优化配置，及时排查和消除隐患；日常信息系统故障应急响应，根据不同故障级别，提供对应的响应机制。</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服务报告单</w:t>
            </w:r>
          </w:p>
        </w:tc>
        <w:tc>
          <w:tcPr>
            <w:tcW w:w="591" w:type="pct"/>
            <w:vMerge w:val="restart"/>
            <w:shd w:val="clear" w:color="auto" w:fill="auto"/>
            <w:vAlign w:val="center"/>
          </w:tcPr>
          <w:p>
            <w:pPr>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restart"/>
            <w:vAlign w:val="center"/>
          </w:tcPr>
          <w:p>
            <w:pPr>
              <w:rPr>
                <w:rFonts w:ascii="宋体" w:hAnsi="宋体" w:cs="宋体"/>
                <w:b/>
                <w:bCs/>
                <w:color w:val="auto"/>
                <w:szCs w:val="21"/>
              </w:rPr>
            </w:pPr>
            <w:r>
              <w:rPr>
                <w:rFonts w:hint="eastAsia" w:ascii="宋体" w:hAnsi="宋体" w:cs="宋体"/>
                <w:b/>
                <w:bCs/>
                <w:color w:val="auto"/>
                <w:szCs w:val="21"/>
              </w:rPr>
              <w:t>安全及应急响应服务</w:t>
            </w: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安全应急响应</w:t>
            </w:r>
          </w:p>
        </w:tc>
        <w:tc>
          <w:tcPr>
            <w:tcW w:w="1793" w:type="pct"/>
            <w:gridSpan w:val="2"/>
            <w:shd w:val="clear" w:color="auto" w:fill="auto"/>
            <w:vAlign w:val="center"/>
          </w:tcPr>
          <w:p>
            <w:pPr>
              <w:rPr>
                <w:color w:val="auto"/>
              </w:rPr>
            </w:pPr>
            <w:r>
              <w:rPr>
                <w:rFonts w:hint="eastAsia"/>
                <w:color w:val="auto"/>
              </w:rPr>
              <w:t>临时性监管单位安全检查或信息系统自查进行响应，并进行检测自评估服务。</w:t>
            </w:r>
          </w:p>
          <w:p>
            <w:pPr>
              <w:rPr>
                <w:color w:val="auto"/>
              </w:rPr>
            </w:pPr>
            <w:r>
              <w:rPr>
                <w:rFonts w:hint="eastAsia"/>
                <w:color w:val="auto"/>
              </w:rPr>
              <w:t>对各级部门通报的安全隐患要及时排查和消除，提交安全处置报告。</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监测评估报告</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安全加固</w:t>
            </w:r>
          </w:p>
        </w:tc>
        <w:tc>
          <w:tcPr>
            <w:tcW w:w="3532" w:type="dxa"/>
            <w:gridSpan w:val="2"/>
            <w:shd w:val="clear" w:color="auto" w:fill="auto"/>
            <w:vAlign w:val="center"/>
          </w:tcPr>
          <w:p>
            <w:pPr>
              <w:rPr>
                <w:rFonts w:hint="eastAsia" w:ascii="宋体" w:hAnsi="宋体" w:cs="宋体"/>
                <w:color w:val="auto"/>
                <w:szCs w:val="21"/>
                <w:highlight w:val="none"/>
              </w:rPr>
            </w:pPr>
            <w:r>
              <w:rPr>
                <w:rFonts w:hint="eastAsia" w:ascii="宋体" w:hAnsi="宋体" w:cs="宋体"/>
                <w:color w:val="auto"/>
                <w:szCs w:val="21"/>
                <w:highlight w:val="none"/>
              </w:rPr>
              <w:t>根据提供的漏扫报告和巡检报告内容进行技术加固：业务系统与信息支撑平台进行信息安全加固，包括数据安全、应用安全、操作系统、网络设备、管理制度等； 对管理层面提供建议：完善管理体系，包括人员管理、安全制度规章、系统运维等。</w:t>
            </w:r>
          </w:p>
          <w:p>
            <w:pPr>
              <w:rPr>
                <w:rFonts w:ascii="宋体" w:hAnsi="宋体" w:cs="宋体"/>
                <w:color w:val="auto"/>
                <w:szCs w:val="21"/>
                <w:highlight w:val="none"/>
              </w:rPr>
            </w:pPr>
            <w:r>
              <w:rPr>
                <w:rFonts w:hint="eastAsia" w:ascii="宋体" w:hAnsi="宋体" w:cs="宋体"/>
                <w:bCs/>
                <w:color w:val="auto"/>
                <w:sz w:val="24"/>
                <w:highlight w:val="none"/>
              </w:rPr>
              <w:t>★</w:t>
            </w:r>
            <w:r>
              <w:rPr>
                <w:rFonts w:hint="eastAsia" w:ascii="宋体" w:hAnsi="宋体" w:cs="宋体"/>
                <w:color w:val="auto"/>
                <w:szCs w:val="21"/>
                <w:highlight w:val="none"/>
              </w:rPr>
              <w:t>对</w:t>
            </w:r>
            <w:r>
              <w:rPr>
                <w:rFonts w:hint="eastAsia" w:ascii="宋体" w:hAnsi="宋体" w:cs="宋体"/>
                <w:color w:val="auto"/>
                <w:szCs w:val="21"/>
                <w:highlight w:val="none"/>
                <w:lang w:val="en-US" w:eastAsia="zh-CN"/>
              </w:rPr>
              <w:t>用户原有</w:t>
            </w:r>
            <w:r>
              <w:rPr>
                <w:rFonts w:hint="eastAsia" w:ascii="宋体" w:hAnsi="宋体" w:cs="宋体"/>
                <w:color w:val="auto"/>
                <w:szCs w:val="21"/>
                <w:highlight w:val="none"/>
              </w:rPr>
              <w:t>360天擎安全管理系统进行病毒库升级，终端节点130个，服务器节点205个。</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安全加固报告</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安全攻防和应急演练</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全市交通系统网络及信息系统网络安全攻防演练服务；市局关键系统灾难或故障的应急演练服务，包括数据库集群切换、重要服务器切换、数据库容灾切换和云平台节点切换等。每年攻防演练和应急演练不少于2次并及时更新预案。</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演练报告和预案</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安全技术培训</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提供不少于2次专业网络安全技术培训服务</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培训计划与报告</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Merge w:val="continue"/>
            <w:vAlign w:val="center"/>
          </w:tcPr>
          <w:p>
            <w:pPr>
              <w:rPr>
                <w:rFonts w:ascii="宋体" w:hAnsi="宋体" w:cs="宋体"/>
                <w:color w:val="auto"/>
                <w:szCs w:val="21"/>
              </w:rPr>
            </w:pPr>
          </w:p>
        </w:tc>
        <w:tc>
          <w:tcPr>
            <w:tcW w:w="662" w:type="pct"/>
            <w:vMerge w:val="continue"/>
            <w:vAlign w:val="center"/>
          </w:tcPr>
          <w:p>
            <w:pPr>
              <w:rPr>
                <w:rFonts w:ascii="宋体" w:hAnsi="宋体" w:cs="宋体"/>
                <w:b/>
                <w:bCs/>
                <w:color w:val="auto"/>
                <w:szCs w:val="21"/>
              </w:rPr>
            </w:pP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特殊事件响应</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针对出现安全漏洞、攻击、数据丢失及基础设施故障等特殊事件进行紧急应急响应，在最短时间内妥善解决问题并总结。</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应急响应报告</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Align w:val="center"/>
          </w:tcPr>
          <w:p>
            <w:pPr>
              <w:jc w:val="center"/>
              <w:rPr>
                <w:rFonts w:ascii="宋体" w:hAnsi="宋体" w:cs="宋体"/>
                <w:color w:val="auto"/>
                <w:szCs w:val="21"/>
              </w:rPr>
            </w:pPr>
            <w:r>
              <w:rPr>
                <w:rFonts w:hint="eastAsia" w:ascii="宋体" w:hAnsi="宋体" w:cs="宋体"/>
                <w:color w:val="auto"/>
                <w:szCs w:val="21"/>
              </w:rPr>
              <w:t>3</w:t>
            </w:r>
          </w:p>
        </w:tc>
        <w:tc>
          <w:tcPr>
            <w:tcW w:w="662" w:type="pct"/>
            <w:vAlign w:val="center"/>
          </w:tcPr>
          <w:p>
            <w:pPr>
              <w:rPr>
                <w:rFonts w:ascii="宋体" w:hAnsi="宋体" w:cs="宋体"/>
                <w:b/>
                <w:bCs/>
                <w:color w:val="auto"/>
                <w:szCs w:val="21"/>
              </w:rPr>
            </w:pPr>
            <w:r>
              <w:rPr>
                <w:rFonts w:hint="eastAsia" w:ascii="宋体" w:hAnsi="宋体" w:cs="宋体"/>
                <w:b/>
                <w:bCs/>
                <w:color w:val="auto"/>
                <w:szCs w:val="21"/>
              </w:rPr>
              <w:t>重保值守</w:t>
            </w:r>
          </w:p>
        </w:tc>
        <w:tc>
          <w:tcPr>
            <w:tcW w:w="672"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重保值守服务</w:t>
            </w:r>
          </w:p>
        </w:tc>
        <w:tc>
          <w:tcPr>
            <w:tcW w:w="1793" w:type="pct"/>
            <w:gridSpan w:val="2"/>
            <w:shd w:val="clear" w:color="auto" w:fill="auto"/>
            <w:vAlign w:val="center"/>
          </w:tcPr>
          <w:p>
            <w:pPr>
              <w:rPr>
                <w:rFonts w:ascii="宋体" w:hAnsi="宋体" w:cs="宋体"/>
                <w:color w:val="auto"/>
                <w:szCs w:val="21"/>
              </w:rPr>
            </w:pPr>
            <w:r>
              <w:rPr>
                <w:rFonts w:hint="eastAsia" w:ascii="宋体" w:hAnsi="宋体" w:cs="宋体"/>
                <w:color w:val="auto"/>
                <w:szCs w:val="21"/>
              </w:rPr>
              <w:t>在温州市交通运输局机房及数据容灾机房分别提供重要节假日、重大会议期间，网络重大割接或用户认为可能对其业务运营产生重大影响的时刻进行远程保障服务或现场值守服务（根据用户要求）</w:t>
            </w:r>
          </w:p>
        </w:tc>
        <w:tc>
          <w:tcPr>
            <w:tcW w:w="915"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总结报告</w:t>
            </w:r>
          </w:p>
        </w:tc>
        <w:tc>
          <w:tcPr>
            <w:tcW w:w="591" w:type="pct"/>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Align w:val="center"/>
          </w:tcPr>
          <w:p>
            <w:pPr>
              <w:jc w:val="center"/>
              <w:rPr>
                <w:rFonts w:ascii="宋体" w:hAnsi="宋体" w:cs="宋体"/>
                <w:color w:val="auto"/>
                <w:szCs w:val="21"/>
              </w:rPr>
            </w:pPr>
            <w:r>
              <w:rPr>
                <w:rFonts w:ascii="宋体" w:hAnsi="宋体" w:cs="宋体"/>
                <w:color w:val="auto"/>
                <w:szCs w:val="21"/>
              </w:rPr>
              <w:t>4</w:t>
            </w:r>
          </w:p>
        </w:tc>
        <w:tc>
          <w:tcPr>
            <w:tcW w:w="2628" w:type="dxa"/>
            <w:gridSpan w:val="2"/>
            <w:vAlign w:val="center"/>
          </w:tcPr>
          <w:p>
            <w:pPr>
              <w:jc w:val="center"/>
              <w:rPr>
                <w:rFonts w:ascii="宋体" w:hAnsi="宋体" w:cs="宋体"/>
                <w:color w:val="auto"/>
                <w:szCs w:val="21"/>
              </w:rPr>
            </w:pPr>
            <w:r>
              <w:rPr>
                <w:rFonts w:hint="eastAsia" w:ascii="宋体" w:hAnsi="宋体" w:cs="宋体"/>
                <w:b/>
                <w:bCs/>
                <w:color w:val="auto"/>
                <w:szCs w:val="21"/>
                <w:highlight w:val="none"/>
              </w:rPr>
              <w:t>资产与漏洞全生命周期管理服务</w:t>
            </w:r>
            <w:r>
              <w:rPr>
                <w:rFonts w:hint="eastAsia" w:ascii="宋体" w:hAnsi="宋体" w:cs="宋体"/>
                <w:bCs/>
                <w:color w:val="auto"/>
                <w:sz w:val="24"/>
                <w:highlight w:val="none"/>
              </w:rPr>
              <w:t>★</w:t>
            </w:r>
          </w:p>
        </w:tc>
        <w:tc>
          <w:tcPr>
            <w:tcW w:w="5335" w:type="dxa"/>
            <w:gridSpan w:val="3"/>
            <w:shd w:val="clear" w:color="auto" w:fill="auto"/>
            <w:vAlign w:val="center"/>
          </w:tcPr>
          <w:p>
            <w:pPr>
              <w:rPr>
                <w:color w:val="auto"/>
              </w:rPr>
            </w:pPr>
            <w:r>
              <w:rPr>
                <w:rFonts w:hint="eastAsia"/>
                <w:color w:val="auto"/>
              </w:rPr>
              <w:t>围绕资产与漏洞全生命周期管理开展安全服务工作，从应用资产风险评估角度开展资产漏洞全生命周期评估与管理，解决资产不清晰、找不到负责人、漏洞持续跟踪成本高昂、安全知识难以沉淀、高频风险没有数据支持、风险量化难等问题。</w:t>
            </w:r>
          </w:p>
          <w:p>
            <w:pPr>
              <w:rPr>
                <w:color w:val="auto"/>
              </w:rPr>
            </w:pPr>
            <w:r>
              <w:rPr>
                <w:rFonts w:hint="eastAsia"/>
                <w:color w:val="auto"/>
              </w:rPr>
              <w:t>资产需要能支持自动发现以及管理字段的自定义，能够在线实现资产的远程管理(telnet/ssh/vnc),包括资产管理审计功能，资产需要支持运行指标展现（可自定义采集指标cpu、内存、io..），支持基于自定义告警策略，自动生成工单、自动关联资产责任人，自动关联故障解决案例FAQ,可通过钉钉、微信、短信邮件推送等</w:t>
            </w:r>
          </w:p>
          <w:p>
            <w:pPr>
              <w:rPr>
                <w:color w:val="auto"/>
              </w:rPr>
            </w:pPr>
            <w:r>
              <w:rPr>
                <w:rFonts w:hint="eastAsia"/>
                <w:color w:val="auto"/>
              </w:rPr>
              <w:t>漏洞管理支持从资产管理、漏洞全生命周期管理、安全知识库三位一体的集成化管理。支持常用的物理服务、虚拟服务器、网络设备、安全设备、办公等设备，支持与项目集成化管理。同时能够支持与浙政钉认证结合扫码进行平台用户实名制登入，不同用户关联不同的漏洞、应用资产实现精准化管理　　</w:t>
            </w:r>
          </w:p>
          <w:p>
            <w:pPr>
              <w:numPr>
                <w:ilvl w:val="0"/>
                <w:numId w:val="34"/>
              </w:numPr>
              <w:rPr>
                <w:color w:val="auto"/>
              </w:rPr>
            </w:pPr>
            <w:r>
              <w:rPr>
                <w:rFonts w:hint="eastAsia"/>
                <w:color w:val="auto"/>
              </w:rPr>
              <w:t>应用系统资产管理：对应用系统资产进行管理，包括系统名称、域名、重要级别、部门、负责人等。</w:t>
            </w:r>
          </w:p>
          <w:p>
            <w:pPr>
              <w:rPr>
                <w:color w:val="auto"/>
              </w:rPr>
            </w:pPr>
            <w:r>
              <w:rPr>
                <w:rFonts w:hint="eastAsia"/>
                <w:color w:val="auto"/>
              </w:rPr>
              <w:t>2、漏洞生命周期管理：对应用系统产生的安全漏洞进行线上提交、通告、知悉、复测、分类、风险计算、修复期限计算、邮件提醒、漏洞数据分析统计等。</w:t>
            </w:r>
          </w:p>
          <w:p>
            <w:pPr>
              <w:rPr>
                <w:rFonts w:eastAsia="黑体"/>
                <w:color w:val="auto"/>
              </w:rPr>
            </w:pPr>
            <w:r>
              <w:rPr>
                <w:rFonts w:hint="eastAsia"/>
                <w:color w:val="auto"/>
              </w:rPr>
              <w:t>3、安全知识库管理：对安全知识、管理制度进行集中存放、线上学习、安全培训、知识传承等。（需提供配套的服务工具）</w:t>
            </w:r>
          </w:p>
        </w:tc>
        <w:tc>
          <w:tcPr>
            <w:tcW w:w="591" w:type="pct"/>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 w:hRule="atLeast"/>
          <w:jc w:val="center"/>
        </w:trPr>
        <w:tc>
          <w:tcPr>
            <w:tcW w:w="367" w:type="pct"/>
            <w:vMerge w:val="restart"/>
            <w:vAlign w:val="center"/>
          </w:tcPr>
          <w:p>
            <w:pPr>
              <w:jc w:val="center"/>
              <w:rPr>
                <w:rFonts w:ascii="宋体" w:hAnsi="宋体" w:cs="宋体"/>
                <w:color w:val="auto"/>
                <w:szCs w:val="21"/>
              </w:rPr>
            </w:pPr>
            <w:r>
              <w:rPr>
                <w:rFonts w:hint="eastAsia" w:ascii="宋体" w:hAnsi="宋体" w:cs="宋体"/>
                <w:color w:val="auto"/>
                <w:szCs w:val="21"/>
              </w:rPr>
              <w:t>5</w:t>
            </w:r>
          </w:p>
        </w:tc>
        <w:tc>
          <w:tcPr>
            <w:tcW w:w="1334" w:type="pct"/>
            <w:gridSpan w:val="2"/>
            <w:vMerge w:val="restart"/>
            <w:vAlign w:val="center"/>
          </w:tcPr>
          <w:p>
            <w:pPr>
              <w:jc w:val="center"/>
              <w:rPr>
                <w:rFonts w:hint="eastAsia" w:ascii="宋体" w:hAnsi="宋体" w:cs="宋体"/>
                <w:b/>
                <w:bCs/>
                <w:color w:val="auto"/>
                <w:szCs w:val="21"/>
              </w:rPr>
            </w:pPr>
            <w:r>
              <w:rPr>
                <w:rFonts w:hint="eastAsia" w:ascii="宋体" w:hAnsi="宋体" w:cs="宋体"/>
                <w:b/>
                <w:bCs/>
                <w:color w:val="auto"/>
                <w:szCs w:val="21"/>
              </w:rPr>
              <w:t>网页防篡改服务</w:t>
            </w:r>
          </w:p>
        </w:tc>
        <w:tc>
          <w:tcPr>
            <w:tcW w:w="432" w:type="pct"/>
            <w:shd w:val="clear" w:color="auto" w:fill="auto"/>
            <w:vAlign w:val="center"/>
          </w:tcPr>
          <w:p>
            <w:pPr>
              <w:rPr>
                <w:rFonts w:hint="eastAsia"/>
                <w:color w:val="auto"/>
              </w:rPr>
            </w:pPr>
            <w:r>
              <w:rPr>
                <w:rFonts w:hint="eastAsia" w:ascii="宋体" w:hAnsi="宋体" w:cs="宋体"/>
                <w:bCs/>
                <w:color w:val="auto"/>
                <w:sz w:val="24"/>
              </w:rPr>
              <w:t>★基本要求</w:t>
            </w:r>
          </w:p>
        </w:tc>
        <w:tc>
          <w:tcPr>
            <w:tcW w:w="2276" w:type="pct"/>
            <w:gridSpan w:val="2"/>
            <w:shd w:val="clear" w:color="auto" w:fill="auto"/>
            <w:vAlign w:val="center"/>
          </w:tcPr>
          <w:p>
            <w:pPr>
              <w:rPr>
                <w:rFonts w:hint="eastAsia"/>
                <w:color w:val="auto"/>
              </w:rPr>
            </w:pPr>
            <w:r>
              <w:rPr>
                <w:rFonts w:hint="eastAsia"/>
                <w:color w:val="auto"/>
              </w:rPr>
              <w:t>软件版产品，配置网页防篡改保护系统基本包（含软件狗），配置1个</w:t>
            </w:r>
            <w:r>
              <w:rPr>
                <w:color w:val="auto"/>
              </w:rPr>
              <w:t>Windows客户端LIC模块，</w:t>
            </w:r>
            <w:r>
              <w:rPr>
                <w:rFonts w:hint="eastAsia"/>
                <w:color w:val="auto"/>
              </w:rPr>
              <w:t>配置1个</w:t>
            </w:r>
            <w:r>
              <w:rPr>
                <w:color w:val="auto"/>
              </w:rPr>
              <w:t>Linux客户端LIC模块。</w:t>
            </w:r>
            <w:r>
              <w:rPr>
                <w:rFonts w:hint="eastAsia"/>
                <w:color w:val="auto"/>
              </w:rPr>
              <w:t>为保障产品运行的安全及稳定性，要求产品设计、开发、生产及售后服务符合TL9000-HSV标准要求；提供第三方权威证明材料。</w:t>
            </w:r>
          </w:p>
        </w:tc>
        <w:tc>
          <w:tcPr>
            <w:tcW w:w="591" w:type="pct"/>
            <w:vMerge w:val="restart"/>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367" w:type="pct"/>
            <w:vMerge w:val="continue"/>
            <w:vAlign w:val="center"/>
          </w:tcPr>
          <w:p>
            <w:pPr>
              <w:jc w:val="center"/>
              <w:rPr>
                <w:rFonts w:hint="eastAsia" w:ascii="宋体" w:hAnsi="宋体" w:cs="宋体"/>
                <w:color w:val="auto"/>
                <w:szCs w:val="21"/>
              </w:rPr>
            </w:pPr>
          </w:p>
        </w:tc>
        <w:tc>
          <w:tcPr>
            <w:tcW w:w="1334" w:type="pct"/>
            <w:gridSpan w:val="2"/>
            <w:vMerge w:val="continue"/>
            <w:vAlign w:val="center"/>
          </w:tcPr>
          <w:p>
            <w:pPr>
              <w:jc w:val="center"/>
              <w:rPr>
                <w:rFonts w:hint="eastAsia" w:ascii="宋体" w:hAnsi="宋体" w:cs="宋体"/>
                <w:b/>
                <w:bCs/>
                <w:color w:val="auto"/>
                <w:szCs w:val="21"/>
              </w:rPr>
            </w:pPr>
          </w:p>
        </w:tc>
        <w:tc>
          <w:tcPr>
            <w:tcW w:w="432" w:type="pct"/>
            <w:shd w:val="clear" w:color="auto" w:fill="auto"/>
            <w:vAlign w:val="center"/>
          </w:tcPr>
          <w:p>
            <w:pPr>
              <w:rPr>
                <w:rFonts w:hint="eastAsia"/>
                <w:color w:val="auto"/>
              </w:rPr>
            </w:pPr>
            <w:r>
              <w:rPr>
                <w:rFonts w:hint="eastAsia" w:ascii="宋体" w:hAnsi="宋体" w:cs="宋体"/>
                <w:bCs/>
                <w:color w:val="auto"/>
                <w:sz w:val="24"/>
              </w:rPr>
              <w:t>运行环境</w:t>
            </w:r>
          </w:p>
        </w:tc>
        <w:tc>
          <w:tcPr>
            <w:tcW w:w="2276" w:type="pct"/>
            <w:gridSpan w:val="2"/>
            <w:shd w:val="clear" w:color="auto" w:fill="auto"/>
            <w:vAlign w:val="center"/>
          </w:tcPr>
          <w:p>
            <w:pPr>
              <w:rPr>
                <w:rFonts w:hint="eastAsia"/>
                <w:color w:val="auto"/>
              </w:rPr>
            </w:pPr>
            <w:r>
              <w:rPr>
                <w:rFonts w:hint="eastAsia"/>
                <w:color w:val="auto"/>
              </w:rPr>
              <w:t>支持Windows</w:t>
            </w:r>
            <w:r>
              <w:rPr>
                <w:color w:val="auto"/>
              </w:rPr>
              <w:t>2000/2003</w:t>
            </w:r>
            <w:r>
              <w:rPr>
                <w:rFonts w:hint="eastAsia"/>
                <w:color w:val="auto"/>
              </w:rPr>
              <w:t>/</w:t>
            </w:r>
            <w:r>
              <w:rPr>
                <w:color w:val="auto"/>
              </w:rPr>
              <w:t>2008</w:t>
            </w:r>
            <w:r>
              <w:rPr>
                <w:rFonts w:hint="eastAsia"/>
                <w:color w:val="auto"/>
              </w:rPr>
              <w:t>/</w:t>
            </w:r>
            <w:r>
              <w:rPr>
                <w:color w:val="auto"/>
              </w:rPr>
              <w:t>2012/2016</w:t>
            </w:r>
            <w:r>
              <w:rPr>
                <w:rFonts w:hint="eastAsia"/>
                <w:color w:val="auto"/>
              </w:rPr>
              <w:t>；</w:t>
            </w:r>
            <w:r>
              <w:rPr>
                <w:color w:val="auto"/>
              </w:rPr>
              <w:t>支持国产化环境部署兼容兆芯、飞腾、鲲鹏、中标麒麟、银河麒麟、Uos统信等软硬件平台</w:t>
            </w:r>
            <w:r>
              <w:rPr>
                <w:rFonts w:hint="eastAsia"/>
                <w:color w:val="auto"/>
              </w:rPr>
              <w:t>；支持U</w:t>
            </w:r>
            <w:r>
              <w:rPr>
                <w:color w:val="auto"/>
              </w:rPr>
              <w:t>nix/Linux/Solaries等</w:t>
            </w:r>
            <w:r>
              <w:rPr>
                <w:rFonts w:hint="eastAsia"/>
                <w:color w:val="auto"/>
              </w:rPr>
              <w:t>操作系统；</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367" w:type="pct"/>
            <w:vMerge w:val="continue"/>
            <w:vAlign w:val="center"/>
          </w:tcPr>
          <w:p>
            <w:pPr>
              <w:jc w:val="center"/>
              <w:rPr>
                <w:rFonts w:hint="eastAsia" w:ascii="宋体" w:hAnsi="宋体" w:cs="宋体"/>
                <w:color w:val="auto"/>
                <w:szCs w:val="21"/>
              </w:rPr>
            </w:pPr>
          </w:p>
        </w:tc>
        <w:tc>
          <w:tcPr>
            <w:tcW w:w="1334" w:type="pct"/>
            <w:gridSpan w:val="2"/>
            <w:vMerge w:val="continue"/>
            <w:vAlign w:val="center"/>
          </w:tcPr>
          <w:p>
            <w:pPr>
              <w:jc w:val="center"/>
              <w:rPr>
                <w:rFonts w:hint="eastAsia" w:ascii="宋体" w:hAnsi="宋体" w:cs="宋体"/>
                <w:b/>
                <w:bCs/>
                <w:color w:val="auto"/>
                <w:szCs w:val="21"/>
              </w:rPr>
            </w:pPr>
          </w:p>
        </w:tc>
        <w:tc>
          <w:tcPr>
            <w:tcW w:w="432" w:type="pct"/>
            <w:shd w:val="clear" w:color="auto" w:fill="auto"/>
            <w:vAlign w:val="center"/>
          </w:tcPr>
          <w:p>
            <w:pPr>
              <w:rPr>
                <w:rFonts w:hint="eastAsia"/>
                <w:color w:val="auto"/>
              </w:rPr>
            </w:pPr>
            <w:r>
              <w:rPr>
                <w:rFonts w:hint="eastAsia" w:ascii="宋体" w:hAnsi="宋体" w:cs="宋体"/>
                <w:bCs/>
                <w:color w:val="auto"/>
                <w:sz w:val="24"/>
              </w:rPr>
              <w:t>日志功能</w:t>
            </w:r>
          </w:p>
        </w:tc>
        <w:tc>
          <w:tcPr>
            <w:tcW w:w="2276" w:type="pct"/>
            <w:gridSpan w:val="2"/>
            <w:shd w:val="clear" w:color="auto" w:fill="auto"/>
            <w:vAlign w:val="center"/>
          </w:tcPr>
          <w:p>
            <w:pPr>
              <w:rPr>
                <w:color w:val="auto"/>
              </w:rPr>
            </w:pPr>
            <w:bookmarkStart w:id="117" w:name="_Hlk78914923"/>
            <w:r>
              <w:rPr>
                <w:rFonts w:hint="eastAsia"/>
                <w:color w:val="auto"/>
              </w:rPr>
              <w:t>系统支持对记录日志类型进行选择，并能够对日志中包含的敏感字段进行排除不记录</w:t>
            </w:r>
            <w:bookmarkEnd w:id="117"/>
            <w:r>
              <w:rPr>
                <w:rFonts w:hint="eastAsia"/>
                <w:color w:val="auto"/>
              </w:rPr>
              <w:t>；（提供产品截图）</w:t>
            </w:r>
          </w:p>
          <w:p>
            <w:pPr>
              <w:pStyle w:val="2"/>
              <w:rPr>
                <w:rFonts w:hint="eastAsia" w:ascii="Times New Roman" w:hAnsi="Times New Roman"/>
                <w:color w:val="auto"/>
                <w:kern w:val="2"/>
                <w:sz w:val="21"/>
                <w:szCs w:val="24"/>
                <w:lang w:val="en-US"/>
              </w:rPr>
            </w:pPr>
            <w:r>
              <w:rPr>
                <w:rFonts w:hint="eastAsia" w:ascii="Times New Roman" w:hAnsi="Times New Roman"/>
                <w:color w:val="auto"/>
                <w:kern w:val="2"/>
                <w:sz w:val="21"/>
                <w:szCs w:val="24"/>
                <w:lang w:val="en-US"/>
              </w:rPr>
              <w:t>根据操作类型,篡改文件等提供数据统计分析；</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367" w:type="pct"/>
            <w:vMerge w:val="continue"/>
            <w:vAlign w:val="center"/>
          </w:tcPr>
          <w:p>
            <w:pPr>
              <w:jc w:val="center"/>
              <w:rPr>
                <w:rFonts w:hint="eastAsia" w:ascii="宋体" w:hAnsi="宋体" w:cs="宋体"/>
                <w:color w:val="auto"/>
                <w:szCs w:val="21"/>
              </w:rPr>
            </w:pPr>
          </w:p>
        </w:tc>
        <w:tc>
          <w:tcPr>
            <w:tcW w:w="1334" w:type="pct"/>
            <w:gridSpan w:val="2"/>
            <w:vMerge w:val="continue"/>
            <w:vAlign w:val="center"/>
          </w:tcPr>
          <w:p>
            <w:pPr>
              <w:jc w:val="center"/>
              <w:rPr>
                <w:rFonts w:hint="eastAsia" w:ascii="宋体" w:hAnsi="宋体" w:cs="宋体"/>
                <w:b/>
                <w:bCs/>
                <w:color w:val="auto"/>
                <w:szCs w:val="21"/>
              </w:rPr>
            </w:pPr>
          </w:p>
        </w:tc>
        <w:tc>
          <w:tcPr>
            <w:tcW w:w="432" w:type="pct"/>
            <w:shd w:val="clear" w:color="auto" w:fill="auto"/>
            <w:vAlign w:val="center"/>
          </w:tcPr>
          <w:p>
            <w:pPr>
              <w:rPr>
                <w:rFonts w:hint="eastAsia"/>
                <w:color w:val="auto"/>
              </w:rPr>
            </w:pPr>
            <w:r>
              <w:rPr>
                <w:rFonts w:hint="eastAsia" w:ascii="宋体" w:hAnsi="宋体" w:cs="宋体"/>
                <w:bCs/>
                <w:color w:val="auto"/>
                <w:sz w:val="24"/>
              </w:rPr>
              <w:t>防篡改功能</w:t>
            </w:r>
          </w:p>
        </w:tc>
        <w:tc>
          <w:tcPr>
            <w:tcW w:w="2276" w:type="pct"/>
            <w:gridSpan w:val="2"/>
            <w:shd w:val="clear" w:color="auto" w:fill="auto"/>
            <w:vAlign w:val="center"/>
          </w:tcPr>
          <w:p>
            <w:pPr>
              <w:rPr>
                <w:rFonts w:hint="eastAsia"/>
                <w:color w:val="auto"/>
              </w:rPr>
            </w:pPr>
            <w:r>
              <w:rPr>
                <w:rFonts w:hint="eastAsia"/>
                <w:color w:val="auto"/>
              </w:rPr>
              <w:t>支持各类网页文件的保护，包括静态和动态网页以及各类文件信息；（提供产品截图）</w:t>
            </w:r>
          </w:p>
          <w:p>
            <w:pPr>
              <w:rPr>
                <w:rFonts w:hint="eastAsia"/>
                <w:color w:val="auto"/>
              </w:rPr>
            </w:pPr>
            <w:r>
              <w:rPr>
                <w:rFonts w:hint="eastAsia"/>
                <w:color w:val="auto"/>
              </w:rPr>
              <w:t>支持对指定文件夹以及子文件夹的保护，避免上传非法文件及木马等恶意文件或插入恶意代码；</w:t>
            </w:r>
          </w:p>
          <w:p>
            <w:pPr>
              <w:rPr>
                <w:rFonts w:hint="eastAsia"/>
                <w:color w:val="auto"/>
              </w:rPr>
            </w:pPr>
            <w:r>
              <w:rPr>
                <w:rFonts w:hint="eastAsia"/>
                <w:color w:val="auto"/>
              </w:rPr>
              <w:t>在驱动遭到破坏文件被篡改的情况下，系统能基于事件触发机制及时恢复被篡改页面，恢复时间小于5MS；（提供产品截图）</w:t>
            </w:r>
          </w:p>
          <w:p>
            <w:pPr>
              <w:rPr>
                <w:rFonts w:hint="eastAsia"/>
                <w:color w:val="auto"/>
              </w:rPr>
            </w:pPr>
            <w:r>
              <w:rPr>
                <w:rFonts w:hint="eastAsia"/>
                <w:color w:val="auto"/>
              </w:rPr>
              <w:t>支持在客户端断线情况下对监控文件目录进行篡改防护的功能；</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367" w:type="pct"/>
            <w:vMerge w:val="continue"/>
            <w:vAlign w:val="center"/>
          </w:tcPr>
          <w:p>
            <w:pPr>
              <w:jc w:val="center"/>
              <w:rPr>
                <w:rFonts w:hint="eastAsia" w:ascii="宋体" w:hAnsi="宋体" w:cs="宋体"/>
                <w:color w:val="auto"/>
                <w:szCs w:val="21"/>
              </w:rPr>
            </w:pPr>
          </w:p>
        </w:tc>
        <w:tc>
          <w:tcPr>
            <w:tcW w:w="1334" w:type="pct"/>
            <w:gridSpan w:val="2"/>
            <w:vMerge w:val="continue"/>
            <w:vAlign w:val="center"/>
          </w:tcPr>
          <w:p>
            <w:pPr>
              <w:jc w:val="center"/>
              <w:rPr>
                <w:rFonts w:hint="eastAsia" w:ascii="宋体" w:hAnsi="宋体" w:cs="宋体"/>
                <w:b/>
                <w:bCs/>
                <w:color w:val="auto"/>
                <w:szCs w:val="21"/>
              </w:rPr>
            </w:pPr>
          </w:p>
        </w:tc>
        <w:tc>
          <w:tcPr>
            <w:tcW w:w="432" w:type="pct"/>
            <w:shd w:val="clear" w:color="auto" w:fill="auto"/>
            <w:vAlign w:val="center"/>
          </w:tcPr>
          <w:p>
            <w:pPr>
              <w:rPr>
                <w:rFonts w:hint="eastAsia"/>
                <w:color w:val="auto"/>
              </w:rPr>
            </w:pPr>
            <w:r>
              <w:rPr>
                <w:rFonts w:hint="eastAsia" w:ascii="宋体" w:hAnsi="宋体" w:cs="宋体"/>
                <w:bCs/>
                <w:color w:val="auto"/>
                <w:sz w:val="24"/>
              </w:rPr>
              <w:t>同步功能</w:t>
            </w:r>
          </w:p>
        </w:tc>
        <w:tc>
          <w:tcPr>
            <w:tcW w:w="2276" w:type="pct"/>
            <w:gridSpan w:val="2"/>
            <w:shd w:val="clear" w:color="auto" w:fill="auto"/>
            <w:vAlign w:val="center"/>
          </w:tcPr>
          <w:p>
            <w:pPr>
              <w:rPr>
                <w:rFonts w:hint="eastAsia"/>
                <w:color w:val="auto"/>
              </w:rPr>
            </w:pPr>
            <w:r>
              <w:rPr>
                <w:rFonts w:hint="eastAsia"/>
                <w:color w:val="auto"/>
              </w:rPr>
              <w:t>系统可以从本地或异地备份文件夹自动同步到监控目录内；</w:t>
            </w:r>
          </w:p>
          <w:p>
            <w:pPr>
              <w:rPr>
                <w:rFonts w:hint="eastAsia"/>
                <w:color w:val="auto"/>
              </w:rPr>
            </w:pPr>
            <w:r>
              <w:rPr>
                <w:rFonts w:hint="eastAsia"/>
                <w:color w:val="auto"/>
              </w:rPr>
              <w:t>系统支持增量备份功能；</w:t>
            </w:r>
          </w:p>
          <w:p>
            <w:pPr>
              <w:rPr>
                <w:rFonts w:hint="eastAsia"/>
                <w:color w:val="auto"/>
              </w:rPr>
            </w:pPr>
            <w:r>
              <w:rPr>
                <w:rFonts w:hint="eastAsia"/>
                <w:color w:val="auto"/>
              </w:rPr>
              <w:t>防篡改系统支持与第三方发布系统及内容管理系统协同工作；</w:t>
            </w:r>
          </w:p>
          <w:p>
            <w:pPr>
              <w:rPr>
                <w:rFonts w:hint="eastAsia"/>
                <w:color w:val="auto"/>
              </w:rPr>
            </w:pPr>
            <w:r>
              <w:rPr>
                <w:rFonts w:hint="eastAsia"/>
                <w:color w:val="auto"/>
              </w:rPr>
              <w:t>系统支持发布失败的自动重新发布；</w:t>
            </w:r>
          </w:p>
          <w:p>
            <w:pPr>
              <w:rPr>
                <w:rFonts w:hint="eastAsia"/>
                <w:color w:val="auto"/>
              </w:rPr>
            </w:pPr>
            <w:r>
              <w:rPr>
                <w:rFonts w:hint="eastAsia"/>
                <w:color w:val="auto"/>
              </w:rPr>
              <w:t>支持加密通信和文件加密传输，保证通信过程安全性；</w:t>
            </w:r>
          </w:p>
          <w:p>
            <w:pPr>
              <w:rPr>
                <w:rFonts w:hint="eastAsia"/>
                <w:color w:val="auto"/>
              </w:rPr>
            </w:pPr>
            <w:r>
              <w:rPr>
                <w:rFonts w:hint="eastAsia"/>
                <w:color w:val="auto"/>
              </w:rPr>
              <w:t>系统支持多虚拟主机 / 目录的并发同步功能；</w:t>
            </w:r>
          </w:p>
          <w:p>
            <w:pPr>
              <w:rPr>
                <w:rFonts w:hint="eastAsia"/>
                <w:color w:val="auto"/>
              </w:rPr>
            </w:pPr>
            <w:r>
              <w:rPr>
                <w:rFonts w:hint="eastAsia"/>
                <w:color w:val="auto"/>
              </w:rPr>
              <w:t>系统支持文件变化自动同步到多个Web服务器；</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367" w:type="pct"/>
            <w:vMerge w:val="continue"/>
            <w:vAlign w:val="center"/>
          </w:tcPr>
          <w:p>
            <w:pPr>
              <w:jc w:val="center"/>
              <w:rPr>
                <w:rFonts w:hint="eastAsia" w:ascii="宋体" w:hAnsi="宋体" w:cs="宋体"/>
                <w:color w:val="auto"/>
                <w:szCs w:val="21"/>
              </w:rPr>
            </w:pPr>
          </w:p>
        </w:tc>
        <w:tc>
          <w:tcPr>
            <w:tcW w:w="1334" w:type="pct"/>
            <w:gridSpan w:val="2"/>
            <w:vMerge w:val="continue"/>
            <w:vAlign w:val="center"/>
          </w:tcPr>
          <w:p>
            <w:pPr>
              <w:jc w:val="center"/>
              <w:rPr>
                <w:rFonts w:hint="eastAsia" w:ascii="宋体" w:hAnsi="宋体" w:cs="宋体"/>
                <w:b/>
                <w:bCs/>
                <w:color w:val="auto"/>
                <w:szCs w:val="21"/>
              </w:rPr>
            </w:pPr>
          </w:p>
        </w:tc>
        <w:tc>
          <w:tcPr>
            <w:tcW w:w="432" w:type="pct"/>
            <w:shd w:val="clear" w:color="auto" w:fill="auto"/>
            <w:vAlign w:val="center"/>
          </w:tcPr>
          <w:p>
            <w:pPr>
              <w:rPr>
                <w:rFonts w:hint="eastAsia"/>
                <w:color w:val="auto"/>
              </w:rPr>
            </w:pPr>
            <w:r>
              <w:rPr>
                <w:rFonts w:hint="eastAsia" w:ascii="宋体" w:hAnsi="宋体" w:cs="宋体"/>
                <w:bCs/>
                <w:color w:val="auto"/>
                <w:sz w:val="24"/>
              </w:rPr>
              <w:t>系统管理</w:t>
            </w:r>
          </w:p>
        </w:tc>
        <w:tc>
          <w:tcPr>
            <w:tcW w:w="2276" w:type="pct"/>
            <w:gridSpan w:val="2"/>
            <w:shd w:val="clear" w:color="auto" w:fill="auto"/>
            <w:vAlign w:val="center"/>
          </w:tcPr>
          <w:p>
            <w:pPr>
              <w:rPr>
                <w:rFonts w:hint="eastAsia"/>
                <w:color w:val="auto"/>
              </w:rPr>
            </w:pPr>
            <w:r>
              <w:rPr>
                <w:rFonts w:hint="eastAsia"/>
                <w:color w:val="auto"/>
              </w:rPr>
              <w:t>★防篡改系统的安装与卸载过程中，无需重启服务器，保障客户业务的连续性（提供产品截图）；</w:t>
            </w:r>
          </w:p>
          <w:p>
            <w:pPr>
              <w:rPr>
                <w:rFonts w:hint="eastAsia"/>
                <w:color w:val="auto"/>
              </w:rPr>
            </w:pPr>
            <w:r>
              <w:rPr>
                <w:rFonts w:hint="eastAsia"/>
                <w:color w:val="auto"/>
              </w:rPr>
              <w:t xml:space="preserve">系统支持添加许可路径及许可进程，排除无需保护内容； </w:t>
            </w:r>
          </w:p>
          <w:p>
            <w:pPr>
              <w:rPr>
                <w:rFonts w:hint="eastAsia"/>
                <w:color w:val="auto"/>
              </w:rPr>
            </w:pPr>
            <w:r>
              <w:rPr>
                <w:rFonts w:hint="eastAsia"/>
                <w:color w:val="auto"/>
              </w:rPr>
              <w:t>管理中心支持对全局配置的导入/导出，方便客户运维管理；</w:t>
            </w:r>
          </w:p>
          <w:p>
            <w:pPr>
              <w:rPr>
                <w:rFonts w:hint="eastAsia"/>
                <w:color w:val="auto"/>
              </w:rPr>
            </w:pPr>
            <w:r>
              <w:rPr>
                <w:rFonts w:hint="eastAsia"/>
                <w:color w:val="auto"/>
              </w:rPr>
              <w:t>支持将客户端进行分组管理；</w:t>
            </w:r>
          </w:p>
          <w:p>
            <w:pPr>
              <w:rPr>
                <w:rFonts w:hint="eastAsia"/>
                <w:color w:val="auto"/>
              </w:rPr>
            </w:pPr>
            <w:r>
              <w:rPr>
                <w:rFonts w:hint="eastAsia"/>
                <w:color w:val="auto"/>
              </w:rPr>
              <w:t>支持自定义登录失败次数，账户锁定时间及密码复杂度等配置，同时支持登录IP限制保障防篡改系统运维安全；</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367" w:type="pct"/>
            <w:vMerge w:val="continue"/>
            <w:vAlign w:val="center"/>
          </w:tcPr>
          <w:p>
            <w:pPr>
              <w:jc w:val="center"/>
              <w:rPr>
                <w:rFonts w:hint="eastAsia" w:ascii="宋体" w:hAnsi="宋体" w:cs="宋体"/>
                <w:color w:val="auto"/>
                <w:szCs w:val="21"/>
              </w:rPr>
            </w:pPr>
          </w:p>
        </w:tc>
        <w:tc>
          <w:tcPr>
            <w:tcW w:w="1334" w:type="pct"/>
            <w:gridSpan w:val="2"/>
            <w:vMerge w:val="continue"/>
            <w:vAlign w:val="center"/>
          </w:tcPr>
          <w:p>
            <w:pPr>
              <w:jc w:val="center"/>
              <w:rPr>
                <w:rFonts w:hint="eastAsia" w:ascii="宋体" w:hAnsi="宋体" w:cs="宋体"/>
                <w:b/>
                <w:bCs/>
                <w:color w:val="auto"/>
                <w:szCs w:val="21"/>
              </w:rPr>
            </w:pPr>
          </w:p>
        </w:tc>
        <w:tc>
          <w:tcPr>
            <w:tcW w:w="432" w:type="pct"/>
            <w:shd w:val="clear" w:color="auto" w:fill="auto"/>
            <w:vAlign w:val="center"/>
          </w:tcPr>
          <w:p>
            <w:pPr>
              <w:rPr>
                <w:rFonts w:hint="eastAsia"/>
                <w:color w:val="auto"/>
              </w:rPr>
            </w:pPr>
            <w:r>
              <w:rPr>
                <w:rFonts w:hint="eastAsia" w:ascii="宋体" w:hAnsi="宋体" w:cs="宋体"/>
                <w:bCs/>
                <w:color w:val="auto"/>
                <w:sz w:val="24"/>
              </w:rPr>
              <w:t>自身安全性</w:t>
            </w:r>
          </w:p>
        </w:tc>
        <w:tc>
          <w:tcPr>
            <w:tcW w:w="2276" w:type="pct"/>
            <w:gridSpan w:val="2"/>
            <w:shd w:val="clear" w:color="auto" w:fill="auto"/>
            <w:vAlign w:val="center"/>
          </w:tcPr>
          <w:p>
            <w:pPr>
              <w:rPr>
                <w:rFonts w:hint="eastAsia"/>
                <w:color w:val="auto"/>
              </w:rPr>
            </w:pPr>
            <w:r>
              <w:rPr>
                <w:rFonts w:hint="eastAsia"/>
                <w:color w:val="auto"/>
              </w:rPr>
              <w:t>支持守护进程：能够防止防篡改主进程运行异常，保证软件运行稳定（提供产品截图）；</w:t>
            </w:r>
          </w:p>
          <w:p>
            <w:pPr>
              <w:rPr>
                <w:rFonts w:hint="eastAsia"/>
                <w:color w:val="auto"/>
              </w:rPr>
            </w:pPr>
            <w:r>
              <w:rPr>
                <w:rFonts w:hint="eastAsia"/>
                <w:color w:val="auto"/>
              </w:rPr>
              <w:t>隐藏主进程：能够将系统监控进程进行隐藏（提供产品截图）；</w:t>
            </w:r>
          </w:p>
          <w:p>
            <w:pPr>
              <w:rPr>
                <w:rFonts w:hint="eastAsia"/>
                <w:color w:val="auto"/>
              </w:rPr>
            </w:pPr>
            <w:r>
              <w:rPr>
                <w:rFonts w:hint="eastAsia"/>
                <w:color w:val="auto"/>
              </w:rPr>
              <w:t>系统各个模块之间、进程之间的通讯、交互和自身配置均采用加密传输和保护</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367" w:type="pct"/>
            <w:vMerge w:val="continue"/>
            <w:vAlign w:val="center"/>
          </w:tcPr>
          <w:p>
            <w:pPr>
              <w:jc w:val="center"/>
              <w:rPr>
                <w:rFonts w:hint="eastAsia" w:ascii="宋体" w:hAnsi="宋体" w:cs="宋体"/>
                <w:color w:val="auto"/>
                <w:szCs w:val="21"/>
              </w:rPr>
            </w:pPr>
          </w:p>
        </w:tc>
        <w:tc>
          <w:tcPr>
            <w:tcW w:w="1334" w:type="pct"/>
            <w:gridSpan w:val="2"/>
            <w:vMerge w:val="continue"/>
            <w:vAlign w:val="center"/>
          </w:tcPr>
          <w:p>
            <w:pPr>
              <w:jc w:val="center"/>
              <w:rPr>
                <w:rFonts w:hint="eastAsia" w:ascii="宋体" w:hAnsi="宋体" w:cs="宋体"/>
                <w:b/>
                <w:bCs/>
                <w:color w:val="auto"/>
                <w:szCs w:val="21"/>
              </w:rPr>
            </w:pPr>
          </w:p>
        </w:tc>
        <w:tc>
          <w:tcPr>
            <w:tcW w:w="432" w:type="pct"/>
            <w:shd w:val="clear" w:color="auto" w:fill="auto"/>
            <w:vAlign w:val="center"/>
          </w:tcPr>
          <w:p>
            <w:pPr>
              <w:rPr>
                <w:rFonts w:hint="eastAsia"/>
                <w:color w:val="auto"/>
              </w:rPr>
            </w:pPr>
            <w:r>
              <w:rPr>
                <w:rFonts w:hint="eastAsia" w:ascii="宋体" w:hAnsi="宋体" w:cs="宋体"/>
                <w:bCs/>
                <w:color w:val="auto"/>
                <w:sz w:val="24"/>
              </w:rPr>
              <w:t>性能指标</w:t>
            </w:r>
          </w:p>
        </w:tc>
        <w:tc>
          <w:tcPr>
            <w:tcW w:w="2276" w:type="pct"/>
            <w:gridSpan w:val="2"/>
            <w:shd w:val="clear" w:color="auto" w:fill="auto"/>
            <w:vAlign w:val="center"/>
          </w:tcPr>
          <w:p>
            <w:pPr>
              <w:rPr>
                <w:rFonts w:hint="eastAsia"/>
                <w:color w:val="auto"/>
              </w:rPr>
            </w:pPr>
            <w:r>
              <w:rPr>
                <w:rFonts w:hint="eastAsia"/>
                <w:color w:val="auto"/>
              </w:rPr>
              <w:t>系统运行过程中，被保护主机的CPU资源占用率和内存占用率小于2%（提供产品截图）；</w:t>
            </w:r>
          </w:p>
        </w:tc>
        <w:tc>
          <w:tcPr>
            <w:tcW w:w="591" w:type="pct"/>
            <w:vMerge w:val="continue"/>
            <w:vAlign w:val="center"/>
          </w:tcPr>
          <w:p>
            <w:pP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vAlign w:val="center"/>
          </w:tcPr>
          <w:p>
            <w:pPr>
              <w:jc w:val="center"/>
              <w:rPr>
                <w:rFonts w:ascii="宋体" w:hAnsi="宋体" w:cs="宋体"/>
                <w:color w:val="auto"/>
                <w:szCs w:val="21"/>
              </w:rPr>
            </w:pPr>
            <w:r>
              <w:rPr>
                <w:rFonts w:hint="eastAsia" w:ascii="宋体" w:hAnsi="宋体" w:cs="宋体"/>
                <w:color w:val="auto"/>
                <w:szCs w:val="21"/>
              </w:rPr>
              <w:t>6</w:t>
            </w:r>
          </w:p>
        </w:tc>
        <w:tc>
          <w:tcPr>
            <w:tcW w:w="1334" w:type="pct"/>
            <w:gridSpan w:val="2"/>
            <w:vAlign w:val="center"/>
          </w:tcPr>
          <w:p>
            <w:pPr>
              <w:jc w:val="center"/>
              <w:rPr>
                <w:rFonts w:ascii="宋体" w:hAnsi="宋体" w:cs="宋体"/>
                <w:b/>
                <w:bCs/>
                <w:color w:val="auto"/>
                <w:szCs w:val="21"/>
              </w:rPr>
            </w:pPr>
            <w:r>
              <w:rPr>
                <w:rFonts w:hint="eastAsia" w:ascii="宋体" w:hAnsi="宋体" w:cs="宋体"/>
                <w:b/>
                <w:bCs/>
                <w:color w:val="auto"/>
                <w:szCs w:val="21"/>
              </w:rPr>
              <w:t>全职人员驻场服务</w:t>
            </w:r>
          </w:p>
        </w:tc>
        <w:tc>
          <w:tcPr>
            <w:tcW w:w="3299" w:type="pct"/>
            <w:gridSpan w:val="4"/>
            <w:shd w:val="clear" w:color="auto" w:fill="auto"/>
            <w:vAlign w:val="center"/>
          </w:tcPr>
          <w:p>
            <w:pPr>
              <w:rPr>
                <w:rFonts w:ascii="宋体" w:hAnsi="宋体" w:cs="宋体"/>
                <w:color w:val="auto"/>
                <w:szCs w:val="21"/>
              </w:rPr>
            </w:pPr>
            <w:r>
              <w:rPr>
                <w:rFonts w:hint="eastAsia" w:ascii="宋体" w:hAnsi="宋体" w:cs="宋体"/>
                <w:color w:val="auto"/>
                <w:szCs w:val="21"/>
              </w:rPr>
              <w:t>提供1人次全职运维工程师驻场服务，驻点工程师需具备相关机房或网络运维经验。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 w:type="pct"/>
            <w:shd w:val="clear" w:color="auto" w:fill="auto"/>
            <w:vAlign w:val="center"/>
          </w:tcPr>
          <w:p>
            <w:pPr>
              <w:jc w:val="center"/>
              <w:rPr>
                <w:rFonts w:ascii="宋体" w:hAnsi="宋体" w:cs="宋体"/>
                <w:color w:val="auto"/>
                <w:szCs w:val="21"/>
              </w:rPr>
            </w:pPr>
            <w:r>
              <w:rPr>
                <w:rFonts w:hint="eastAsia" w:ascii="宋体" w:hAnsi="宋体" w:cs="宋体"/>
                <w:color w:val="auto"/>
                <w:szCs w:val="21"/>
              </w:rPr>
              <w:t>7</w:t>
            </w:r>
          </w:p>
        </w:tc>
        <w:tc>
          <w:tcPr>
            <w:tcW w:w="4633" w:type="pct"/>
            <w:gridSpan w:val="6"/>
            <w:shd w:val="clear" w:color="auto" w:fill="auto"/>
            <w:noWrap/>
            <w:vAlign w:val="center"/>
          </w:tcPr>
          <w:p>
            <w:pPr>
              <w:jc w:val="center"/>
              <w:rPr>
                <w:rFonts w:ascii="宋体" w:hAnsi="宋体" w:cs="宋体"/>
                <w:color w:val="auto"/>
                <w:szCs w:val="21"/>
              </w:rPr>
            </w:pPr>
            <w:r>
              <w:rPr>
                <w:rFonts w:hint="eastAsia" w:ascii="宋体" w:hAnsi="宋体" w:cs="宋体"/>
                <w:b/>
                <w:bCs/>
                <w:color w:val="auto"/>
                <w:szCs w:val="21"/>
              </w:rPr>
              <w:t>基础和设备维护内容详见清单</w:t>
            </w:r>
          </w:p>
        </w:tc>
      </w:tr>
    </w:tbl>
    <w:p>
      <w:pPr>
        <w:rPr>
          <w:rFonts w:ascii="宋体" w:hAnsi="宋体" w:cs="宋体"/>
          <w:b/>
          <w:bCs/>
          <w:color w:val="auto"/>
          <w:sz w:val="22"/>
          <w:szCs w:val="22"/>
        </w:rPr>
      </w:pPr>
    </w:p>
    <w:p>
      <w:pPr>
        <w:rPr>
          <w:rFonts w:ascii="宋体" w:hAnsi="宋体" w:cs="宋体"/>
          <w:b/>
          <w:bCs/>
          <w:color w:val="auto"/>
          <w:sz w:val="22"/>
          <w:szCs w:val="22"/>
        </w:rPr>
      </w:pPr>
      <w:r>
        <w:rPr>
          <w:rFonts w:hint="eastAsia" w:ascii="宋体" w:hAnsi="宋体" w:cs="宋体"/>
          <w:b/>
          <w:bCs/>
          <w:color w:val="auto"/>
          <w:sz w:val="22"/>
          <w:szCs w:val="22"/>
        </w:rPr>
        <w:t>二、维护内容清单：</w:t>
      </w:r>
    </w:p>
    <w:tbl>
      <w:tblPr>
        <w:tblStyle w:val="58"/>
        <w:tblW w:w="11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583"/>
        <w:gridCol w:w="2057"/>
        <w:gridCol w:w="742"/>
        <w:gridCol w:w="2127"/>
        <w:gridCol w:w="2385"/>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blHeader/>
          <w:jc w:val="center"/>
        </w:trPr>
        <w:tc>
          <w:tcPr>
            <w:tcW w:w="716"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1583"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设备类型</w:t>
            </w:r>
          </w:p>
        </w:tc>
        <w:tc>
          <w:tcPr>
            <w:tcW w:w="2799" w:type="dxa"/>
            <w:gridSpan w:val="2"/>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设备型号</w:t>
            </w:r>
          </w:p>
        </w:tc>
        <w:tc>
          <w:tcPr>
            <w:tcW w:w="2127"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设备序列号</w:t>
            </w:r>
          </w:p>
        </w:tc>
        <w:tc>
          <w:tcPr>
            <w:tcW w:w="2385" w:type="dxa"/>
            <w:vAlign w:val="center"/>
          </w:tcPr>
          <w:p>
            <w:pPr>
              <w:widowControl/>
              <w:jc w:val="center"/>
              <w:rPr>
                <w:rFonts w:hint="eastAsia" w:ascii="宋体" w:hAnsi="宋体" w:cs="宋体"/>
                <w:b/>
                <w:bCs/>
                <w:color w:val="auto"/>
                <w:kern w:val="0"/>
                <w:szCs w:val="21"/>
              </w:rPr>
            </w:pPr>
            <w:r>
              <w:rPr>
                <w:rFonts w:hint="eastAsia" w:ascii="宋体" w:hAnsi="宋体" w:cs="宋体"/>
                <w:b/>
                <w:bCs/>
                <w:color w:val="auto"/>
                <w:kern w:val="0"/>
                <w:szCs w:val="21"/>
              </w:rPr>
              <w:t>设备位置</w:t>
            </w:r>
          </w:p>
        </w:tc>
        <w:tc>
          <w:tcPr>
            <w:tcW w:w="2094" w:type="dxa"/>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维保要求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Brocade 6510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BRW2532K017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Brocade 6510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BRW2532K01W</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ruijie RG-EG2000CE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H1J90RC00072C</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H3C-7603S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210235A43KX165000022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H3C-7603S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210235A43KX165000023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ruijie RG-S2628G-I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G1FC090002359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FS5800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216404216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FS5800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216404248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D-Link DES-1024A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SR8806-X-S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210235A1DPX149000023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ruijie RG-S2628G-I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G1FC090002338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RG-NBS5652XG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S5800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210235A377H14A000070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S105080-2</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210235A0J8X14A000032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S10508</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210235A0J8X14A000037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AR3200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2102350LEM10HA000004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S5800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210235A377H14A000005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万国软宝TP2000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1T010080121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S7508E-1</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210235A0J9X14A000043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Asw1000-24t</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KZT2A00281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Asw1000-24t</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KZT2A00244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S7508E-X</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210235A0J9X14A000012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219801A12L9195Q000T7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S7503E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210235A27RX14B000067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WX3508H</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219801A18P9194Q0002S</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S5700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2102352350DMG8000342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S5560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210235A1QMM193A000GT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S7506E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210235A1JAX19300009N</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Brocade 300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ALJ2542K0R6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Brocade 300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ALJ2542K0E2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Brocade 300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ALJ2537J00A</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Brocade 300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ALJ2537J00C</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S5500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210235A24WH128000504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RG-S5750-24SFP/12GT</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8976FH3340043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RuiJie RG-S2628G-I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G1FC090012600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S6520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210235A2CEH18B000095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S5700S-28P-LI-AC</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21023538368YGB001896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FAST FS16</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114A051004280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S7506E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210235A1JAX19B000081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S7506E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210235A1JAX19B00008G</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RuiJie RG-S2628G-I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G1FC090011730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锐捷RG-NBS5652XG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G1MD2MA001486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S5500 Series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6600219654144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219801A12M9195Q0OOB3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219801A12M9195Q000G3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TP-AC300无线控制器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1171411000047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Tenda TEH2400S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S2400S04104801964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AR3260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21021312128NH8002851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华为路由器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2102310NPQ10HC000020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Tenda TEH2400S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S2400S04003601786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TP-TL-SG1226P</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116C714000219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Tenda TEH2400S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S2400S04003601788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RuiJie RG-EG1000S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H1FB0SG00160B</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 AR28-11</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210231A170X062000438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S5120-28P-LI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210235A0HVC14C900920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S7508E-X</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210235A0J9X141000010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mini S24G-U</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S5110-52P-SI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219801A0L29172Q01009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S5120-48P-EI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210235A0BKH129000760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S3600-28P-EI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210235A10TB078000288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D-Link DES-1024R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IDC综合运维平台</w:t>
            </w:r>
          </w:p>
        </w:tc>
        <w:tc>
          <w:tcPr>
            <w:tcW w:w="2127"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XCH61L62U2018121004</w:t>
            </w:r>
          </w:p>
        </w:tc>
        <w:tc>
          <w:tcPr>
            <w:tcW w:w="2385"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市交通执法队容灾机房</w:t>
            </w:r>
          </w:p>
        </w:tc>
        <w:tc>
          <w:tcPr>
            <w:tcW w:w="2094" w:type="dxa"/>
            <w:shd w:val="clear" w:color="auto" w:fill="auto"/>
            <w:vAlign w:val="center"/>
          </w:tcPr>
          <w:p>
            <w:pPr>
              <w:widowControl/>
              <w:jc w:val="center"/>
              <w:rPr>
                <w:rFonts w:ascii="宋体" w:hAnsi="宋体" w:cs="宋体"/>
                <w:color w:val="auto"/>
                <w:kern w:val="0"/>
                <w:szCs w:val="21"/>
                <w:highlight w:val="none"/>
              </w:rPr>
            </w:pPr>
            <w:r>
              <w:rPr>
                <w:rFonts w:hint="eastAsia" w:ascii="宋体" w:hAnsi="宋体" w:cs="宋体"/>
                <w:bCs/>
                <w:color w:val="auto"/>
                <w:sz w:val="24"/>
                <w:highlight w:val="none"/>
              </w:rPr>
              <w:t>★</w:t>
            </w:r>
            <w:r>
              <w:rPr>
                <w:rFonts w:hint="eastAsia" w:ascii="宋体" w:hAnsi="宋体" w:cs="宋体"/>
                <w:bCs/>
                <w:color w:val="auto"/>
                <w:sz w:val="24"/>
                <w:highlight w:val="none"/>
                <w:lang w:val="en-US" w:eastAsia="zh-CN"/>
              </w:rPr>
              <w:t>含原厂</w:t>
            </w:r>
            <w:r>
              <w:rPr>
                <w:rFonts w:hint="eastAsia" w:ascii="宋体" w:hAnsi="宋体" w:cs="宋体"/>
                <w:color w:val="auto"/>
                <w:kern w:val="0"/>
                <w:szCs w:val="21"/>
                <w:highlight w:val="none"/>
              </w:rPr>
              <w:t>整机维保</w:t>
            </w:r>
            <w:r>
              <w:rPr>
                <w:rFonts w:hint="eastAsia" w:ascii="宋体" w:hAnsi="宋体" w:cs="宋体"/>
                <w:color w:val="auto"/>
                <w:kern w:val="0"/>
                <w:szCs w:val="21"/>
                <w:highlight w:val="none"/>
                <w:lang w:val="en-US" w:eastAsia="zh-CN"/>
              </w:rPr>
              <w:t>及一年规则库升级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D-Link DES-1024B</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S7503E-S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210235A33RX105000101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S5120-48P-EI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210235A0BKH129000865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D-Link DES-1100-26</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Quidway S5700-28C-SI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21023167836TDC904172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Quidway S5700-28C-SI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2102316783N0C8000372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AR3260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2102350LEM10HA000006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S5110-52P-SI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219801A0L29172Q00982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S5120-24P-EI</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210235A0BJH158000055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锐捷 RG-S5760C-24GT8XS-X</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G1P91YV00136B</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网络设备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锐捷 RG-WS7204-A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G1P91ZF001421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其他设备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金鹏正WS-Server-02动力环境监控主机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其他设备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机房环境运维主机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A620r-G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9800062800473335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A620r-G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9800062800473336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I620-G30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9800115601294243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I620-G30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9800115601294246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24FDKM2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I620-G30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9800115601294244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I620-G30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9800115601294245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9800054600472830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9800054600472831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9800054600472813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9800054600472827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RH2288Hv2</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2102310YSG10FA000544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RH2288Hv2</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2102310YSG10FB000002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I950r-G</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9800040400473322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I950r-G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9800040400473294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P200-oPara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9800058600473302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P200-oPara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9800058600473303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P200-oStor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9800063500473306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P200-oStor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9800063500473304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P200-oStor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9800063500473305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EMC R740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BH2BF53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xData-CM</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9800058100473297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xData-CM</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9800058100473298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xData-CM</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9800058100473300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xData-CM</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9800058100473299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xData-DM-OLRAID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9800057700473295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119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xData-DM-OLRAID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9800057700473296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xData-DM-OLRAID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9800057700473301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x3850X5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06X4987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816411924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816411925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816411923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816411926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816411927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816411928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NX8840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816411929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816411930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海康硬盘录像机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K80258388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DJKGVG2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aServer-2100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9S3B000117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aServer-2100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9S3B000116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aServer-2100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9S3B000125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r830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 xml:space="preserve"> 5LJLNK2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 xml:space="preserve"> CKQPNK2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139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intel服务器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FCBU5371281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intel服务器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S5191AU15102207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HXSGVG2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Think RD640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NC01609349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intel服务器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nf5280m4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816411931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Think-Server RD640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0008231775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2288H V5</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2102312BRF10K9001016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2288H V5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2102312BRF10K9000952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2288H V5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2102312BRF10KA000061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149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DL388 Gen9</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CN7647023W</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RH2288V3</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2102311QGM10J4000025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移动代理服务器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RH5885Hv3</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2102310SFL10EC000539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RH5885Hv3</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2102310SFL10EC000540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CRQBVG2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x3650M4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06ETKCV</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x3650M4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06KFD80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DL388 Gen9</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CN765107H3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RH2288Hv2</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2102310QPE10EC000936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159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RH2288Hv2</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2102310QPE10EC000937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R820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78R5TF2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Lenovo x3850 x6</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06FV708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Lenovo x3850 x6</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06FV427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x3850X5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06X4984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x3850X5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99A4569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R820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78NDTF2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CSJDVG2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4GKH6H2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4GMF6H2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169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DL388 Gen9</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CN72250GJZ</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DL388 Gen9</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CN72250GLD</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RH2288Hv3</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2102311QGKCNJ8000162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aSERVER-2105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9C3F000268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aSERVER-2105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9C3F000247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R720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B51Y252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多媒体智能终端T530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I620-G20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9800092000792601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DL180 G9</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dell台式机Vostro</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海康录像机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705916259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I620-G20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9800092000827303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HK-570瘦客户机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HKPCK400P211914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HK-570瘦客户机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HKPCK400P211710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AiMC-2000J微型计算机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KSA5029055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AiMC-2000J微型计算机</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KSA5078659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智诚ZC-QZ320A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E6GGRH22027381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海康HK-570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hkpck400p211914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海康HK-570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HKPCK400P211710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DS-TPE400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G93037051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大华DH-IVSS724R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7G0539CYAJ00004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大华DH-EVS5016S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7E058E6PAJ9C078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大华DH-IVSS724R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7H0BB11PAJ00002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DL580 Gen8</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CN74430D0R</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曙光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9800054600769978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曙光 A840-G10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9800054600769977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海康iDS-TP6200-HD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695514225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海康iDS-TP6200-HD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695514219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海康iDS-TP6200-HD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695514217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199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海康iDS-TP6200-HD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695514223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海康iDS-TP6200-HD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695514215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海康iDS-TP6200-HD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695514221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海康DS-IE6200-E/D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689599812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IS-VSE2326X-NDA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HIK096336169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IS-VSE2326X-NDA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HIK096336167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DS-IE6200-E/D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DS-IE6200-E/D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DS-IE6200-E/D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DL388 Gen9</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CN7444024B</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DL388 Gen9</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CN74440246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DS-VE2208C-BBC</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HIK10010691801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R410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BX72T2X</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曙光 I210r-G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9800039800292390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坤达安超算一体机DZ2000-70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22111504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 IVMS-8601E-NCG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571603742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CNG532S05S</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StorageWorks 1/8 autoloader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联想 System X3750 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94Y9523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联想 System X3750 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浪潮et5300w</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ProLiant DL380 G5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CNG735S151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浪潮服务器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Flex System Enterprise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06RRGL8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06PANA2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06PDXB8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06PAHD5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06PAKT1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06PANG5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06PAKA4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229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06PDXA8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06PDWZ9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06PANG7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X240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06PAHD1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X3650 M3</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06RK029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戴尔 R720xd</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4WSDC52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海康威视硬盘录像机</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236</w:t>
            </w:r>
          </w:p>
        </w:tc>
        <w:tc>
          <w:tcPr>
            <w:tcW w:w="1583"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X3850 X5</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06X4983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237</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X3650 M4</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06GRPB0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X3650 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06GPXZ4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239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X3650 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06GRCL0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X3650 M4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06GRNX9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2950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4D4752X</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R910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H4QJF3X</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R910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J4QJF3X</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R910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C1RM93X</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R910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3GMZ73X</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R910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2GMZ73X</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X3850 X5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0689587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IBM System X3850 X5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0689585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249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戴尔 R730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4MR6VK2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RH2288h v2</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2102310QPE10EC000936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戴尔OPTIPLEX 9010工作站</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4Z711W1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DELL PowerEdge R720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FCD5S12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HP DL360 G7</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CNG143T8H2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浪潮NF3200L</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121049054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Intel R1208RPMSHOR服务器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FCBU5371147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服务器设备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Intel R1208RPMSHOR服务器</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FCBU5371254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DS800-G35H</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9800114901453010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DS800-G35H</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9800114901453012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259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DS800-G35H</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9800114901453010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DS900-G10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6100308600473337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DS900-G10</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6100308600473337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OceanStor 5300V3</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2102350BCV10G5000020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DBStor100</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9800063800473338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SS6G24</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216437915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AS1000G6</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216422965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SS6G24</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216422967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浪潮 AS1000G6</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216422966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Sugon DS800-G30H</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9800164406169731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269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OceanStor S5500T</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210235G6ES10EC000452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EMC VNX5500</w:t>
            </w:r>
          </w:p>
        </w:tc>
        <w:tc>
          <w:tcPr>
            <w:tcW w:w="2127" w:type="dxa"/>
            <w:shd w:val="clear" w:color="000000" w:fill="FFFFFF"/>
            <w:vAlign w:val="center"/>
          </w:tcPr>
          <w:p>
            <w:pPr>
              <w:widowControl/>
              <w:jc w:val="center"/>
              <w:rPr>
                <w:rFonts w:ascii="宋体" w:hAnsi="宋体" w:cs="宋体"/>
                <w:color w:val="auto"/>
                <w:kern w:val="0"/>
                <w:szCs w:val="21"/>
              </w:rPr>
            </w:pPr>
            <w:r>
              <w:rPr>
                <w:rFonts w:hint="eastAsia" w:ascii="宋体" w:hAnsi="宋体" w:cs="宋体"/>
                <w:color w:val="auto"/>
                <w:kern w:val="0"/>
                <w:szCs w:val="21"/>
              </w:rPr>
              <w:t>CKM00133803904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大华DH-IVSS716</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PR2510P21060700006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大华 DH-EVS5224S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8LOA417PAJ01888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海康DS-18024D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697152796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DS-A82024D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590600312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DS-A82024D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590600310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DS-A82024D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590600309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DS-A82024D</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590600311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 DS-A71024R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-547866419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279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华为DAE62435U4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E5GGNK06004500　</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华为DAE62525U2-10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华为DAE62525U2-10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海康存储DS-A71024R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C04272525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华为DAE62435U4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2102354CDMN0NC100055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华为DAE62525U2-10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2102354CDNN0NC100060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火星舱</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S20160621C004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海康威视DS-7916N-K4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672528626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海康威视DS-7916N-K4</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692615907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海康威视DS-7916N-K4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561279671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289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存储设备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海康威视DS-7916N-K4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561279701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290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 DAS-NGFW-A800-LU</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530002000121110840865423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网神H9000-G500M</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SS0S175973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网神SecGate3600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网神C3000-BH100P</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SS0S172507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网神P5000-TA620P</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SS0S174775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 DAS-Gateway</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530002000121110836540431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天融信Toprules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Q5687940120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NGIPS5000-C-SR 启明星辰</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0113241612129993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整机维保含安全规则库升级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安恒DAS-RAS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1712X15806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整机维保含安全规则库升级和升级到无限许可。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299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天融信TA-11214-DB</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Q1601402601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 DAS-Gateway</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530002000121110805606067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 DAS-Gateway</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530002000121110858780575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加密机SJJ 1901A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BR1707210009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网神W1500-DP030P</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SS0S176145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网神SecSIS3600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SS0S167741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安恒Rack Server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9800168803091009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安恒DAS-ABL-SP600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2111X230675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 DAS-AC</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530000500121041981172319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齐治Shterm-L3</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SH-BJY15-JP136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309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AF-1000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5039014252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AF-1120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5051022008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Sangfor vpn-1000 B1030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5017517004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 DAS-Logger</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2011X070170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360 NSG-1060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SS0SAKLYBT231654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盈高ASM6303</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 xml:space="preserve"> 600022-003968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网御星云SIS-3000-Z7100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NT00409876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安恒DAS-USM-A2180-KU</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AH210K240476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国保金泰网闸</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Leadsec-RS-500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NT00194354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319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Power V6000-P3330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NT00188633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SAG-1100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NT00188463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网神SecSIS 3600 G1500-E350P</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SS0S135204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Power V6000-F5330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NT00196800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Power V6000-F5330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NT00196797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Power V-424-HG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NT00138001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SIS3000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NT00262271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网神SecSIS 3600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SS0S187415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SIS30000Z2201</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NT00188314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 Power V6000-F5330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NT00196798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329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 NGFW4000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Q1512398408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天融信TG-51030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Q1411284451</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USG6000E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1019C0119627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USG6000E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1019C0119725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 NGFW4000-UF(TG-5035)</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K1208146813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 NGFW4000-UF(TG-5014)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Q1611486160</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网神 SecGate 3600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5679a80749e898e4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天融信NGFW4000-UF(ZX-A)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Q2012853099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天融信NGFW4000-UF(ZX-A)</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Q2012853098</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338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HUAWEI USG6000E</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1019B0131604</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339</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安恒DAS-APT-1280-PLS</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1808X130486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整机维保含安全规则库升级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340</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网御防火墙POWER V6000-F2680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NT100162182</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网御防火墙POWER V6000-F2680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NT100162183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网御网闸SIS-3000-Z4201-HG</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NT00161479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343</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网御网闸SIS-3000-Z4201-HG</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NT00161479</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天融信 NGFW4000-UF(TG-5014)</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Q1611486165</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深信服 AC-1400</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5039006843</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346</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思福迪LOGBASE AH330</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AH330-1611-036</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3</w:t>
            </w:r>
            <w:r>
              <w:rPr>
                <w:rFonts w:ascii="宋体" w:hAnsi="宋体" w:cs="宋体"/>
                <w:color w:val="auto"/>
                <w:kern w:val="0"/>
                <w:szCs w:val="21"/>
              </w:rPr>
              <w:t>47</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安全设备</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H3C SecPath U200-A</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210235A314B105000067</w:t>
            </w:r>
          </w:p>
        </w:tc>
        <w:tc>
          <w:tcPr>
            <w:tcW w:w="2385" w:type="dxa"/>
            <w:vAlign w:val="center"/>
          </w:tcPr>
          <w:p>
            <w:pPr>
              <w:widowControl/>
              <w:jc w:val="center"/>
              <w:rPr>
                <w:rFonts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348</w:t>
            </w:r>
          </w:p>
        </w:tc>
        <w:tc>
          <w:tcPr>
            <w:tcW w:w="1583" w:type="dxa"/>
            <w:shd w:val="clear" w:color="auto" w:fill="auto"/>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精密空调</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斯图兹CSD351A</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107713/2/3000693/7/2</w:t>
            </w: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349</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精密空调</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斯图兹CSD371A</w:t>
            </w:r>
          </w:p>
        </w:tc>
        <w:tc>
          <w:tcPr>
            <w:tcW w:w="2127"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86012150</w:t>
            </w: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350</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水冷行间空调室内机</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曙光6台</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351</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水冷行间空调室内机</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克莱门特SCU-016 6台</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352</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UPS主机</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台达/GES- HIFT100K</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353</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UPS主机</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台达/GES- HIFT100K</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354</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UPS主机</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易斯特EA66100</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355</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UPS主机</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易斯特EA66100</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356</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空调</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大金通讯机房空调</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357</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消防系统</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海湾消防系统</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358</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监测主机</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大榕树</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市交通执法队容灾机房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359</w:t>
            </w:r>
          </w:p>
        </w:tc>
        <w:tc>
          <w:tcPr>
            <w:tcW w:w="1583" w:type="dxa"/>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环境监测</w:t>
            </w:r>
          </w:p>
        </w:tc>
        <w:tc>
          <w:tcPr>
            <w:tcW w:w="2799" w:type="dxa"/>
            <w:gridSpan w:val="2"/>
            <w:shd w:val="clear" w:color="auto" w:fill="auto"/>
            <w:noWrap/>
            <w:vAlign w:val="center"/>
          </w:tcPr>
          <w:p>
            <w:pPr>
              <w:widowControl/>
              <w:jc w:val="center"/>
              <w:rPr>
                <w:rFonts w:ascii="宋体" w:hAnsi="宋体" w:cs="宋体"/>
                <w:color w:val="auto"/>
                <w:kern w:val="0"/>
                <w:szCs w:val="21"/>
              </w:rPr>
            </w:pPr>
            <w:r>
              <w:rPr>
                <w:rFonts w:hint="eastAsia" w:ascii="宋体" w:hAnsi="宋体" w:cs="宋体"/>
                <w:color w:val="auto"/>
                <w:kern w:val="0"/>
                <w:szCs w:val="21"/>
              </w:rPr>
              <w:t>环境监测</w:t>
            </w:r>
          </w:p>
        </w:tc>
        <w:tc>
          <w:tcPr>
            <w:tcW w:w="2127" w:type="dxa"/>
            <w:shd w:val="clear" w:color="auto" w:fill="auto"/>
            <w:noWrap/>
            <w:vAlign w:val="center"/>
          </w:tcPr>
          <w:p>
            <w:pPr>
              <w:widowControl/>
              <w:jc w:val="center"/>
              <w:rPr>
                <w:rFonts w:ascii="宋体" w:hAnsi="宋体" w:cs="宋体"/>
                <w:color w:val="auto"/>
                <w:kern w:val="0"/>
                <w:szCs w:val="21"/>
              </w:rPr>
            </w:pPr>
          </w:p>
        </w:tc>
        <w:tc>
          <w:tcPr>
            <w:tcW w:w="2385" w:type="dxa"/>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rPr>
              <w:t>市交通局中心机房</w:t>
            </w: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360</w:t>
            </w:r>
          </w:p>
        </w:tc>
        <w:tc>
          <w:tcPr>
            <w:tcW w:w="1583" w:type="dxa"/>
            <w:shd w:val="clear" w:color="auto" w:fill="auto"/>
            <w:vAlign w:val="center"/>
          </w:tcPr>
          <w:p>
            <w:pPr>
              <w:widowControl/>
              <w:jc w:val="center"/>
              <w:rPr>
                <w:rFonts w:ascii="宋体" w:hAnsi="宋体" w:cs="宋体"/>
                <w:color w:val="auto"/>
                <w:kern w:val="0"/>
                <w:szCs w:val="21"/>
              </w:rPr>
            </w:pPr>
            <w:r>
              <w:rPr>
                <w:rFonts w:ascii="宋体" w:hAnsi="宋体" w:cs="宋体"/>
                <w:color w:val="auto"/>
                <w:kern w:val="0"/>
                <w:szCs w:val="21"/>
              </w:rPr>
              <w:t>UPS电源系统保养</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每年</w:t>
            </w:r>
            <w:r>
              <w:rPr>
                <w:rFonts w:ascii="宋体" w:hAnsi="宋体" w:cs="宋体"/>
                <w:color w:val="auto"/>
                <w:kern w:val="0"/>
                <w:szCs w:val="21"/>
              </w:rPr>
              <w:t>12次巡检</w:t>
            </w:r>
            <w:r>
              <w:rPr>
                <w:rFonts w:ascii="宋体" w:hAnsi="宋体" w:cs="宋体"/>
                <w:color w:val="auto"/>
                <w:kern w:val="0"/>
                <w:szCs w:val="21"/>
              </w:rPr>
              <w:br w:type="textWrapping"/>
            </w:r>
            <w:r>
              <w:rPr>
                <w:rFonts w:hint="eastAsia" w:ascii="宋体" w:hAnsi="宋体" w:cs="宋体"/>
                <w:color w:val="auto"/>
                <w:kern w:val="0"/>
                <w:szCs w:val="21"/>
              </w:rPr>
              <w:t>电池保养（电池做静态、动态测试，对电池组的联接进行检查）</w:t>
            </w:r>
            <w:r>
              <w:rPr>
                <w:rFonts w:ascii="宋体" w:hAnsi="宋体" w:cs="宋体"/>
                <w:color w:val="auto"/>
                <w:kern w:val="0"/>
                <w:szCs w:val="21"/>
              </w:rPr>
              <w:br w:type="textWrapping"/>
            </w:r>
            <w:r>
              <w:rPr>
                <w:rFonts w:hint="eastAsia" w:ascii="宋体" w:hAnsi="宋体" w:cs="宋体"/>
                <w:color w:val="auto"/>
                <w:kern w:val="0"/>
                <w:szCs w:val="21"/>
              </w:rPr>
              <w:t>主机保养（检查设备的运行状况、需要进行清扫的机器进行除尘清扫、对设备内主要部件进行静态测试、检查设备的输入</w:t>
            </w:r>
            <w:r>
              <w:rPr>
                <w:rFonts w:ascii="宋体" w:hAnsi="宋体" w:cs="宋体"/>
                <w:color w:val="auto"/>
                <w:kern w:val="0"/>
                <w:szCs w:val="21"/>
              </w:rPr>
              <w:t xml:space="preserve">, </w:t>
            </w:r>
            <w:r>
              <w:rPr>
                <w:rFonts w:hint="eastAsia" w:ascii="宋体" w:hAnsi="宋体" w:cs="宋体"/>
                <w:color w:val="auto"/>
                <w:kern w:val="0"/>
                <w:szCs w:val="21"/>
              </w:rPr>
              <w:t>输出联接端子是否牢固）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361</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空调新风系统保养</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每年</w:t>
            </w:r>
            <w:r>
              <w:rPr>
                <w:rFonts w:ascii="宋体" w:hAnsi="宋体" w:cs="宋体"/>
                <w:color w:val="auto"/>
                <w:kern w:val="0"/>
                <w:szCs w:val="21"/>
              </w:rPr>
              <w:t>12次巡检</w:t>
            </w:r>
            <w:r>
              <w:rPr>
                <w:rFonts w:ascii="宋体" w:hAnsi="宋体" w:cs="宋体"/>
                <w:color w:val="auto"/>
                <w:kern w:val="0"/>
                <w:szCs w:val="21"/>
              </w:rPr>
              <w:br w:type="textWrapping"/>
            </w:r>
            <w:r>
              <w:rPr>
                <w:rFonts w:hint="eastAsia" w:ascii="宋体" w:hAnsi="宋体" w:cs="宋体"/>
                <w:color w:val="auto"/>
                <w:kern w:val="0"/>
                <w:szCs w:val="21"/>
              </w:rPr>
              <w:t>空调内机保养（每年</w:t>
            </w:r>
            <w:r>
              <w:rPr>
                <w:rFonts w:ascii="宋体" w:hAnsi="宋体" w:cs="宋体"/>
                <w:color w:val="auto"/>
                <w:kern w:val="0"/>
                <w:szCs w:val="21"/>
              </w:rPr>
              <w:t>4次过滤网更换、清洗）</w:t>
            </w:r>
            <w:r>
              <w:rPr>
                <w:rFonts w:ascii="宋体" w:hAnsi="宋体" w:cs="宋体"/>
                <w:color w:val="auto"/>
                <w:kern w:val="0"/>
                <w:szCs w:val="21"/>
              </w:rPr>
              <w:br w:type="textWrapping"/>
            </w:r>
            <w:r>
              <w:rPr>
                <w:rFonts w:hint="eastAsia" w:ascii="宋体" w:hAnsi="宋体" w:cs="宋体"/>
                <w:color w:val="auto"/>
                <w:kern w:val="0"/>
                <w:szCs w:val="21"/>
              </w:rPr>
              <w:t>空调外机保养</w:t>
            </w:r>
            <w:r>
              <w:rPr>
                <w:rFonts w:ascii="宋体" w:hAnsi="宋体" w:cs="宋体"/>
                <w:color w:val="auto"/>
                <w:kern w:val="0"/>
                <w:szCs w:val="21"/>
              </w:rPr>
              <w:t xml:space="preserve"> </w:t>
            </w:r>
            <w:r>
              <w:rPr>
                <w:rFonts w:hint="eastAsia" w:ascii="宋体" w:hAnsi="宋体" w:cs="宋体"/>
                <w:color w:val="auto"/>
                <w:kern w:val="0"/>
                <w:szCs w:val="21"/>
              </w:rPr>
              <w:t>（每年</w:t>
            </w:r>
            <w:r>
              <w:rPr>
                <w:rFonts w:ascii="宋体" w:hAnsi="宋体" w:cs="宋体"/>
                <w:color w:val="auto"/>
                <w:kern w:val="0"/>
                <w:szCs w:val="21"/>
              </w:rPr>
              <w:t>4月前要求进行冷冻油及油过滤器更换）</w:t>
            </w:r>
            <w:r>
              <w:rPr>
                <w:rFonts w:ascii="宋体" w:hAnsi="宋体" w:cs="宋体"/>
                <w:color w:val="auto"/>
                <w:kern w:val="0"/>
                <w:szCs w:val="21"/>
              </w:rPr>
              <w:br w:type="textWrapping"/>
            </w:r>
            <w:r>
              <w:rPr>
                <w:rFonts w:hint="eastAsia" w:ascii="宋体" w:hAnsi="宋体" w:cs="宋体"/>
                <w:color w:val="auto"/>
                <w:kern w:val="0"/>
                <w:szCs w:val="21"/>
              </w:rPr>
              <w:t>新风机更换或清洗滤网、检查风机运行情况等</w:t>
            </w:r>
            <w:r>
              <w:rPr>
                <w:rFonts w:ascii="宋体" w:hAnsi="宋体" w:cs="宋体"/>
                <w:color w:val="auto"/>
                <w:kern w:val="0"/>
                <w:szCs w:val="21"/>
              </w:rPr>
              <w:br w:type="textWrapping"/>
            </w:r>
            <w:r>
              <w:rPr>
                <w:rFonts w:hint="eastAsia" w:ascii="宋体" w:hAnsi="宋体" w:cs="宋体"/>
                <w:color w:val="auto"/>
                <w:kern w:val="0"/>
                <w:szCs w:val="21"/>
              </w:rPr>
              <w:t>空调管道保养（过滤网清洗等）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362</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克莱门特捷联空调外机维保</w:t>
            </w:r>
          </w:p>
        </w:tc>
        <w:tc>
          <w:tcPr>
            <w:tcW w:w="2799" w:type="dxa"/>
            <w:gridSpan w:val="2"/>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克莱门特水冷空调室外机组</w:t>
            </w:r>
          </w:p>
        </w:tc>
        <w:tc>
          <w:tcPr>
            <w:tcW w:w="2127"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B100063830</w:t>
            </w:r>
          </w:p>
        </w:tc>
        <w:tc>
          <w:tcPr>
            <w:tcW w:w="2385" w:type="dxa"/>
            <w:vAlign w:val="center"/>
          </w:tcPr>
          <w:p>
            <w:pPr>
              <w:widowControl/>
              <w:jc w:val="center"/>
              <w:rPr>
                <w:rFonts w:hint="eastAsia" w:ascii="宋体" w:hAnsi="宋体" w:cs="宋体"/>
                <w:color w:val="auto"/>
                <w:kern w:val="0"/>
                <w:szCs w:val="21"/>
              </w:rPr>
            </w:pPr>
          </w:p>
        </w:tc>
        <w:tc>
          <w:tcPr>
            <w:tcW w:w="2094"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363</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备用空调系统</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每年12次巡检，内外机保养，过滤网清洗更换等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364</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环境在线监测系统</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每年12次巡检，软件功能检查，硬件性能检查、机房温湿度检查调校，水浸检测检查和系统维保。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365</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消防系统维护保养</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每年12次巡检，管网系统的检查与保养、控制系统的检查和保养，气体储存装置的检查、保养和灌装。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366</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供配电系统</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每年12次巡检，对设备内主要部件进行静态测试、检查设备的输入, 输出联接端子是否牢固,UPS供电主机及模块整机维保。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367</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金鹏正门禁系统</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每年12次巡检，门禁系统软件功能，硬件功能检查和系统维保。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6" w:type="dxa"/>
            <w:shd w:val="clear" w:color="auto" w:fill="auto"/>
            <w:vAlign w:val="center"/>
          </w:tcPr>
          <w:p>
            <w:pPr>
              <w:widowControl/>
              <w:jc w:val="center"/>
              <w:rPr>
                <w:rFonts w:hint="eastAsia" w:ascii="宋体" w:hAnsi="宋体" w:cs="宋体"/>
                <w:color w:val="auto"/>
                <w:kern w:val="0"/>
                <w:szCs w:val="21"/>
              </w:rPr>
            </w:pPr>
            <w:r>
              <w:rPr>
                <w:rFonts w:hint="eastAsia" w:ascii="宋体" w:hAnsi="宋体" w:cs="宋体"/>
                <w:color w:val="auto"/>
                <w:kern w:val="0"/>
                <w:szCs w:val="21"/>
                <w:lang w:val="en-US" w:eastAsia="zh-CN"/>
              </w:rPr>
              <w:t>368</w:t>
            </w:r>
          </w:p>
        </w:tc>
        <w:tc>
          <w:tcPr>
            <w:tcW w:w="1583" w:type="dxa"/>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工具与耗材</w:t>
            </w:r>
          </w:p>
        </w:tc>
        <w:tc>
          <w:tcPr>
            <w:tcW w:w="2057" w:type="dxa"/>
          </w:tcPr>
          <w:p>
            <w:pPr>
              <w:widowControl/>
              <w:jc w:val="center"/>
              <w:rPr>
                <w:rFonts w:hint="eastAsia" w:ascii="宋体" w:hAnsi="宋体" w:cs="宋体"/>
                <w:color w:val="auto"/>
                <w:kern w:val="0"/>
                <w:szCs w:val="21"/>
              </w:rPr>
            </w:pPr>
          </w:p>
        </w:tc>
        <w:tc>
          <w:tcPr>
            <w:tcW w:w="7348" w:type="dxa"/>
            <w:gridSpan w:val="4"/>
            <w:shd w:val="clear" w:color="auto" w:fill="auto"/>
            <w:vAlign w:val="center"/>
          </w:tcPr>
          <w:p>
            <w:pPr>
              <w:widowControl/>
              <w:jc w:val="center"/>
              <w:rPr>
                <w:rFonts w:ascii="宋体" w:hAnsi="宋体" w:cs="宋体"/>
                <w:color w:val="auto"/>
                <w:kern w:val="0"/>
                <w:szCs w:val="21"/>
              </w:rPr>
            </w:pPr>
            <w:r>
              <w:rPr>
                <w:rFonts w:hint="eastAsia" w:ascii="宋体" w:hAnsi="宋体" w:cs="宋体"/>
                <w:color w:val="auto"/>
                <w:kern w:val="0"/>
                <w:szCs w:val="21"/>
              </w:rPr>
              <w:t>6类网线10箱，1米、2米、5米、10米成品非屏蔽双绞网线各100条，多功能便携设备标签打印机1台及黄底黑字色带100盒，机房专用工具箱2套，无线键鼠10套，无线路由器个，U盘128G 10个，SSD移动硬盘8T 5个,机房专用移动工作台，Navicat Premium 非商业版本 永久许可证 1份。。</w:t>
            </w:r>
          </w:p>
        </w:tc>
      </w:tr>
    </w:tbl>
    <w:p>
      <w:pPr>
        <w:spacing w:line="360" w:lineRule="auto"/>
        <w:rPr>
          <w:rFonts w:ascii="宋体" w:hAnsi="宋体" w:cs="宋体"/>
          <w:b/>
          <w:bCs/>
          <w:color w:val="auto"/>
          <w:sz w:val="22"/>
          <w:szCs w:val="22"/>
        </w:rPr>
      </w:pPr>
      <w:r>
        <w:rPr>
          <w:rFonts w:hint="eastAsia" w:ascii="宋体" w:hAnsi="宋体" w:cs="宋体"/>
          <w:b/>
          <w:bCs/>
          <w:color w:val="auto"/>
          <w:sz w:val="22"/>
          <w:szCs w:val="22"/>
        </w:rPr>
        <w:t>维保设备（维保设备范围为市交通运输局中心机房及市交通运输行政执法队容灾机房）包括但不限于上述设备清单（如未列入上述清单，维护内容同样为一年整机维保）。</w:t>
      </w:r>
    </w:p>
    <w:p>
      <w:pPr>
        <w:spacing w:line="360" w:lineRule="auto"/>
        <w:rPr>
          <w:rFonts w:ascii="宋体" w:hAnsi="宋体" w:cs="宋体"/>
          <w:b/>
          <w:bCs/>
          <w:color w:val="auto"/>
          <w:sz w:val="22"/>
          <w:szCs w:val="22"/>
        </w:rPr>
      </w:pPr>
    </w:p>
    <w:p>
      <w:pPr>
        <w:spacing w:line="360" w:lineRule="auto"/>
        <w:rPr>
          <w:rFonts w:ascii="宋体" w:hAnsi="宋体" w:cs="宋体"/>
          <w:bCs/>
          <w:color w:val="auto"/>
          <w:sz w:val="22"/>
          <w:szCs w:val="22"/>
        </w:rPr>
      </w:pPr>
      <w:r>
        <w:rPr>
          <w:rFonts w:hint="eastAsia" w:ascii="宋体" w:hAnsi="宋体" w:cs="宋体"/>
          <w:b/>
          <w:bCs/>
          <w:color w:val="auto"/>
          <w:sz w:val="22"/>
          <w:szCs w:val="22"/>
        </w:rPr>
        <w:t>三、维护周期：</w:t>
      </w:r>
    </w:p>
    <w:p>
      <w:pPr>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1.系统维护时间为2024年1月1日至2024年12月31日，共一年服务。</w:t>
      </w:r>
    </w:p>
    <w:p>
      <w:pPr>
        <w:autoSpaceDE w:val="0"/>
        <w:adjustRightInd w:val="0"/>
        <w:spacing w:line="360" w:lineRule="auto"/>
        <w:ind w:firstLine="440" w:firstLineChars="200"/>
        <w:rPr>
          <w:rFonts w:ascii="宋体" w:hAnsi="宋体" w:cs="宋体"/>
          <w:color w:val="auto"/>
          <w:sz w:val="22"/>
          <w:szCs w:val="22"/>
        </w:rPr>
      </w:pPr>
      <w:r>
        <w:rPr>
          <w:rFonts w:hint="eastAsia" w:ascii="宋体" w:hAnsi="宋体" w:cs="宋体"/>
          <w:color w:val="auto"/>
          <w:sz w:val="22"/>
          <w:szCs w:val="22"/>
        </w:rPr>
        <w:t>2.</w:t>
      </w:r>
      <w:r>
        <w:rPr>
          <w:rFonts w:hint="eastAsia" w:ascii="宋体" w:hAnsi="宋体" w:cs="宋体"/>
          <w:bCs/>
          <w:color w:val="auto"/>
          <w:kern w:val="0"/>
          <w:sz w:val="22"/>
          <w:szCs w:val="22"/>
        </w:rPr>
        <w:t>由于上一年度项目截止后，财政预算未下达，自2024年1月份至中标单位接手时止这段时间的运维费用由中标单位支付（该运维费用金额=（该时间月数/12）*2024年中标运维金额）。</w:t>
      </w:r>
    </w:p>
    <w:p>
      <w:pPr>
        <w:spacing w:line="360" w:lineRule="auto"/>
        <w:rPr>
          <w:rFonts w:ascii="宋体" w:hAnsi="宋体" w:cs="宋体"/>
          <w:b/>
          <w:bCs/>
          <w:color w:val="auto"/>
          <w:sz w:val="22"/>
          <w:szCs w:val="22"/>
        </w:rPr>
      </w:pPr>
    </w:p>
    <w:p>
      <w:pPr>
        <w:spacing w:line="360" w:lineRule="auto"/>
        <w:rPr>
          <w:rFonts w:ascii="宋体" w:hAnsi="宋体" w:cs="宋体"/>
          <w:b/>
          <w:bCs/>
          <w:color w:val="auto"/>
          <w:sz w:val="22"/>
          <w:szCs w:val="22"/>
        </w:rPr>
      </w:pPr>
      <w:r>
        <w:rPr>
          <w:rFonts w:hint="eastAsia" w:ascii="宋体" w:hAnsi="宋体" w:cs="宋体"/>
          <w:b/>
          <w:bCs/>
          <w:color w:val="auto"/>
          <w:sz w:val="22"/>
          <w:szCs w:val="22"/>
        </w:rPr>
        <w:t>四、相关技术服务要求</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1. 7×24小时技术支持</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提供7×24小时的免费技术支持。支持范围包括产品的功能、配置、安装、调试、客户使用中遇到的各种技术问题的一般性咨询，并随时准备处理各种突发事件，提供400或其它热线电话支持服务；</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2. 资产梳理服务</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梳理温州市交通运输局现有机房设备资产信息，纪录数据中心服务范围内各设备和系统的种类、型号、功能、物理位置、序列号、购买时间、过保时间等资产详细信息，利用设备清单进行物理设备建档，绘制网络拓扑，硬件设备物理位置图、接口对应表，完善数据中心基础信息，形成资产台账信息。</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3. 信息安全评估服务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通过识别资产现有的脆弱性，可能面临的威胁，并充分调研已有的安全控制措施，以综合判断存在的风险，帮助用户预知可能发生的安全事件，规划后期建设。</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4. 机房运维服务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定期开展机房卫生清洁工作，地面卫生、设备外部除尘、储物间整理服务，根据资产信息进行设备标签、线路标签制作粘贴服务。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5. 应急响应支持</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对网络、服务器（含OS）、存储、安全设备、容灾备份设备等物理资源提供7×24的响应支持服务。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事件驱动响应：针对软、硬件故障、误操作等引起的业务中断或运行效率无法满足正常运行要求，而进行的响应服务；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服务请求响应：根据应用系统运行需要或网络的要求而进行的响应服务；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事件关闭后2个工作日内提供《事件响应报告》并记录运维台帐。</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6. 运维巡检服务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每个季度（重大节假另行安排）定期对服务器（含操作系统：linux、centos、alios，windows server等）、网络（交换机、路由器、防火墙、IPS等网络和安全设备）、存储等硬件设备CPU使用峰值、内存情况、全网链路的健康状态、磁盘空间使用情况、服务器IO读写情况、服务器安全防护情况、数据流网络流量情况和时间同步等进行检查。</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每季度巡检结束后15个工作日内整理并提交《巡检报告》；</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每年度输出一份年度运维总结报告。</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7. 备份服务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提供定期对现有网络设备、安全设备的配置备份服务。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8. 数据库服务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提供现场勘查服务器、存储以及相关网络的配置，勘察数据库配置，并整理为初始文档，出具数据库服务范围说明书，提供现有数据库数据备份、版本、补丁升级服务，提供现有数据库系统的检测、优化服务，提高性能，利于生产。</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9. 运维监测服务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利用监控平台对应用软件、数据系统、虚拟化系统、硬件系统提供7×24自动化监控服务，包括性能监控和可用性监控。利用动环系统对机房环境提供7×24小时自动化监控服务；</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虚拟化系统：vmware虚拟化和深信服超融合相关资源</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数据系统：数据库、中间件、应用系统；</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硬件系统：服务器（含操作系统：linux、centos、alios、windows server等）、网络（交换机、路由器、防火墙、IPS等网络和安全设备）、存储等物理资源；</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机房环境：温湿度、漏水、电力、消防、安防监控等；</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10. 特殊时段现场支持服务</w:t>
      </w:r>
      <w:r>
        <w:rPr>
          <w:rFonts w:hint="eastAsia" w:ascii="宋体" w:cs="Arial"/>
          <w:bCs/>
          <w:color w:val="auto"/>
          <w:kern w:val="0"/>
          <w:sz w:val="22"/>
          <w:szCs w:val="22"/>
          <w:lang w:bidi="ar"/>
        </w:rPr>
        <w:tab/>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在春节、劳动节、国庆节等重要节假日和各重大安全活动期间对系统设备稳定运行要求较高的特殊时段，需将技术工程师的值班时间表以及联系方式以邮件或微信等方式传送给我局技术负责人，如果需要，根据实际情况安排工程师提供现场值班技术支持服务。</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在举行省级及以上重大会议或重要活动时，需提供工程师现场值班完成全天候技术安保服务。值班人员要密切监测温州市交通运输局门户网站、OA系统、云平台、数据中心平台、数据库集群系统等关键应用系统和网站的网络信息安全情况，及时发现和处理隐患。</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实时监测态势感知平台、IDC、WAF、IPS和APT预警平台安全信息并第一时间予以上报和处置；</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在计划实施较重要的项目（如系统安装、升级、联网、数据迁移、业务合并或拓展等）时，在得到我局通知后积极予以响应，并派相关技术工程师到现场服务。提供新业务系统上线的技术支持服务，确保新业务正常上线。</w:t>
      </w:r>
    </w:p>
    <w:p>
      <w:pPr>
        <w:adjustRightInd w:val="0"/>
        <w:spacing w:line="440" w:lineRule="exact"/>
        <w:ind w:firstLine="440" w:firstLineChars="200"/>
        <w:rPr>
          <w:rFonts w:ascii="宋体" w:cs="Arial"/>
          <w:bCs/>
          <w:color w:val="auto"/>
          <w:kern w:val="0"/>
          <w:sz w:val="22"/>
          <w:szCs w:val="22"/>
          <w:lang w:bidi="ar"/>
        </w:rPr>
      </w:pPr>
      <w:r>
        <w:rPr>
          <w:rFonts w:hint="eastAsia" w:ascii="宋体" w:cs="Arial"/>
          <w:bCs/>
          <w:color w:val="auto"/>
          <w:kern w:val="0"/>
          <w:sz w:val="22"/>
          <w:szCs w:val="22"/>
          <w:lang w:bidi="ar"/>
        </w:rPr>
        <w:t>计划实施较重要的项目或新业务上线支持结束后5个工作日内提交服务报告。</w:t>
      </w:r>
    </w:p>
    <w:p>
      <w:pPr>
        <w:pStyle w:val="486"/>
        <w:spacing w:line="360" w:lineRule="auto"/>
        <w:ind w:left="400"/>
        <w:rPr>
          <w:rFonts w:ascii="宋体" w:hAnsi="Times New Roman" w:eastAsia="宋体" w:cs="Arial"/>
          <w:bCs/>
          <w:color w:val="auto"/>
          <w:kern w:val="0"/>
          <w:sz w:val="22"/>
          <w:szCs w:val="22"/>
          <w:lang w:bidi="ar"/>
        </w:rPr>
      </w:pPr>
      <w:r>
        <w:rPr>
          <w:rFonts w:hint="eastAsia" w:ascii="宋体" w:hAnsi="Times New Roman" w:eastAsia="宋体" w:cs="Arial"/>
          <w:bCs/>
          <w:color w:val="auto"/>
          <w:kern w:val="0"/>
          <w:sz w:val="22"/>
          <w:szCs w:val="22"/>
          <w:lang w:bidi="ar"/>
        </w:rPr>
        <w:t>11. 业务连续性（应急）服务</w:t>
      </w:r>
    </w:p>
    <w:p>
      <w:pPr>
        <w:pStyle w:val="486"/>
        <w:spacing w:line="360" w:lineRule="auto"/>
        <w:ind w:firstLine="440" w:firstLineChars="200"/>
        <w:rPr>
          <w:rFonts w:ascii="宋体" w:hAnsi="宋体" w:eastAsia="宋体" w:cs="宋体"/>
          <w:bCs/>
          <w:color w:val="auto"/>
          <w:sz w:val="22"/>
          <w:szCs w:val="22"/>
        </w:rPr>
      </w:pPr>
      <w:r>
        <w:rPr>
          <w:rFonts w:hint="eastAsia" w:ascii="宋体" w:hAnsi="宋体" w:eastAsia="宋体" w:cs="宋体"/>
          <w:bCs/>
          <w:color w:val="auto"/>
          <w:sz w:val="22"/>
          <w:szCs w:val="22"/>
        </w:rPr>
        <w:t>（1）应急备机服务</w:t>
      </w:r>
      <w:r>
        <w:rPr>
          <w:rFonts w:hint="eastAsia" w:ascii="宋体" w:hAnsi="宋体" w:eastAsia="宋体" w:cs="宋体"/>
          <w:bCs/>
          <w:color w:val="auto"/>
          <w:sz w:val="22"/>
          <w:szCs w:val="22"/>
        </w:rPr>
        <w:tab/>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本地备机：1台堡垒机、1台防火墙、1台千兆三层网络交换机、1台日志审计设备、1台上网行管审计设备和1台WEB防护设备。要求2小时内到用户现场。</w:t>
      </w:r>
    </w:p>
    <w:p>
      <w:pPr>
        <w:pStyle w:val="486"/>
        <w:spacing w:line="360" w:lineRule="auto"/>
        <w:ind w:firstLine="440" w:firstLineChars="200"/>
        <w:rPr>
          <w:rFonts w:ascii="宋体" w:hAnsi="宋体" w:eastAsia="宋体" w:cs="宋体"/>
          <w:bCs/>
          <w:color w:val="auto"/>
          <w:sz w:val="22"/>
          <w:szCs w:val="22"/>
        </w:rPr>
      </w:pPr>
      <w:r>
        <w:rPr>
          <w:rFonts w:hint="eastAsia" w:ascii="宋体" w:hAnsi="宋体" w:eastAsia="宋体" w:cs="宋体"/>
          <w:bCs/>
          <w:color w:val="auto"/>
          <w:sz w:val="22"/>
          <w:szCs w:val="22"/>
        </w:rPr>
        <w:t>（2）攻防演练和应急演练服务：</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提供全市交通系统网络及信息系统网络安全攻防演练服务；市局关键系统灾难或故障的应急演练服务，包括数据库集群切换、重要服务器切换、数据库容灾切换和云平台节点切换等。每年攻防演练和应急演练不少于2次并及时更新预案。每年安全演练不少于2次并及时更新预案。投标要求结合我局现状提供现场备机（防火墙、堡垒机和网闸）应急切换、关键数据库故障业务连续性（应急）计划。</w:t>
      </w:r>
    </w:p>
    <w:p>
      <w:pPr>
        <w:pStyle w:val="486"/>
        <w:spacing w:line="360" w:lineRule="auto"/>
        <w:ind w:left="400"/>
        <w:rPr>
          <w:rFonts w:ascii="宋体" w:hAnsi="宋体" w:eastAsia="宋体" w:cs="宋体"/>
          <w:color w:val="auto"/>
          <w:sz w:val="22"/>
          <w:szCs w:val="22"/>
        </w:rPr>
      </w:pPr>
      <w:r>
        <w:rPr>
          <w:rFonts w:hint="eastAsia" w:ascii="宋体" w:hAnsi="宋体" w:eastAsia="宋体" w:cs="宋体"/>
          <w:color w:val="auto"/>
          <w:sz w:val="22"/>
          <w:szCs w:val="22"/>
        </w:rPr>
        <w:t>12. 系统补丁、漏洞扫描和网络信息安全服务</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每月定期通告最新发现的系统补丁、微码和安全漏洞情况，提供包括Microsoft、ibm、oracle、emc、华为等主流厂商的安全通告；其他应用系统和安全组织的安全通告；以及其他有必要提示的重要安全问题通告，每月定期通告最新的病毒爆发情况和处理方法。</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每月对服务器操作系统安全漏洞、数据库安全漏洞、应用系统安全漏洞等，扫描、分析上述系统的安全漏洞，及时发现安全隐患并要求及时对漏洞进行修复。</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每月提供硬件原厂商的硬件补丁、微码和漏洞的更新表。扫描和修复结束后10个工作日内提交《漏洞扫描和修复报告》</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安全扫描加固服务：每季度对温州市交通运输局全网关键业务应用做全面安全扫描及加固，范围包括系统漏洞、应用漏洞、WEB漏洞、配置合规性检查，提供相应评估报告，并协助我局工作人员完成加固整改。</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新业务上线前安全测试：针对新业务系统进行全面测评，提供相应评估报告，提前完成整改，提高新业务系统上线后安全能力。</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应急响应服务：提供全年应急响应支撑服务，原厂工程师1小时到现场，4小时定位并提供解决方案，协助温州市交通运输局完成问题处理并提出后续防范措施。</w:t>
      </w:r>
    </w:p>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相应服务报表要求见下表：</w:t>
      </w:r>
    </w:p>
    <w:tbl>
      <w:tblPr>
        <w:tblStyle w:val="5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3930"/>
        <w:gridCol w:w="4013"/>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序号</w:t>
            </w:r>
          </w:p>
        </w:tc>
        <w:tc>
          <w:tcPr>
            <w:tcW w:w="1994" w:type="pct"/>
            <w:shd w:val="clear" w:color="auto" w:fill="auto"/>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服务内容</w:t>
            </w:r>
          </w:p>
        </w:tc>
        <w:tc>
          <w:tcPr>
            <w:tcW w:w="2036" w:type="pct"/>
            <w:shd w:val="clear" w:color="auto" w:fill="auto"/>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输出台账</w:t>
            </w:r>
          </w:p>
        </w:tc>
        <w:tc>
          <w:tcPr>
            <w:tcW w:w="512" w:type="pct"/>
            <w:shd w:val="clear" w:color="auto" w:fill="auto"/>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资产管理及基础信息完善工作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资产管理、基础信息台账</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季度巡检与总结服务工作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季度巡检报告、年度总结报告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数据库运维</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数据库运维巡检报告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日常运维服务</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日常运维服务台账记录</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信息安全风险评估工作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风险评估报告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6</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安全扫描加固服务工作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扫描报告、安全加固报告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渗透测试及漏洞挖掘服务工作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渗透测试报告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8</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应急演练工作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应急演练预案、应急演练报告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9</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安全应急响应工作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应急响应报告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10</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重保值守工作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重保值守记录、重保值守总结报告</w:t>
            </w:r>
          </w:p>
        </w:tc>
        <w:tc>
          <w:tcPr>
            <w:tcW w:w="512" w:type="pct"/>
            <w:shd w:val="clear" w:color="auto" w:fill="auto"/>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6" w:type="pct"/>
            <w:shd w:val="clear" w:color="auto" w:fill="auto"/>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11</w:t>
            </w:r>
          </w:p>
        </w:tc>
        <w:tc>
          <w:tcPr>
            <w:tcW w:w="1994"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数据备份工作</w:t>
            </w:r>
          </w:p>
        </w:tc>
        <w:tc>
          <w:tcPr>
            <w:tcW w:w="2036" w:type="pct"/>
            <w:shd w:val="clear" w:color="auto" w:fill="auto"/>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数据备份台账记录</w:t>
            </w:r>
          </w:p>
        </w:tc>
        <w:tc>
          <w:tcPr>
            <w:tcW w:w="512" w:type="pct"/>
            <w:shd w:val="clear" w:color="auto" w:fill="auto"/>
            <w:vAlign w:val="center"/>
          </w:tcPr>
          <w:p>
            <w:pPr>
              <w:pStyle w:val="78"/>
              <w:rPr>
                <w:rFonts w:ascii="新宋体" w:hAnsi="新宋体" w:eastAsia="新宋体" w:cs="新宋体"/>
                <w:color w:val="auto"/>
                <w:sz w:val="22"/>
                <w:szCs w:val="22"/>
              </w:rPr>
            </w:pPr>
          </w:p>
        </w:tc>
      </w:tr>
    </w:tbl>
    <w:p>
      <w:pPr>
        <w:pStyle w:val="486"/>
        <w:spacing w:line="360" w:lineRule="auto"/>
        <w:ind w:firstLine="440" w:firstLineChars="200"/>
        <w:rPr>
          <w:rFonts w:ascii="宋体" w:hAnsi="宋体" w:eastAsia="宋体" w:cs="宋体"/>
          <w:color w:val="auto"/>
          <w:sz w:val="22"/>
          <w:szCs w:val="22"/>
        </w:rPr>
      </w:pPr>
      <w:r>
        <w:rPr>
          <w:rFonts w:hint="eastAsia" w:ascii="宋体" w:hAnsi="宋体" w:eastAsia="宋体" w:cs="宋体"/>
          <w:color w:val="auto"/>
          <w:sz w:val="22"/>
          <w:szCs w:val="22"/>
        </w:rPr>
        <w:t>运维服务质量考核：基于中标单位运维服务质量进行每月考核，考核表满分为100分，对服务质量不达标的每次扣一分，每分按照合同金额的千分之一扣款。</w:t>
      </w:r>
    </w:p>
    <w:tbl>
      <w:tblPr>
        <w:tblStyle w:val="58"/>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7005"/>
        <w:gridCol w:w="945"/>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004" w:type="pct"/>
            <w:gridSpan w:val="2"/>
            <w:shd w:val="clear" w:color="auto" w:fill="auto"/>
            <w:vAlign w:val="center"/>
          </w:tcPr>
          <w:p>
            <w:pPr>
              <w:jc w:val="center"/>
              <w:rPr>
                <w:rFonts w:ascii="宋体" w:hAnsi="宋体" w:cs="宋体"/>
                <w:b/>
                <w:bCs/>
                <w:color w:val="auto"/>
                <w:position w:val="2"/>
                <w:sz w:val="22"/>
                <w:szCs w:val="22"/>
              </w:rPr>
            </w:pPr>
            <w:r>
              <w:rPr>
                <w:rFonts w:hint="eastAsia" w:ascii="宋体" w:hAnsi="宋体" w:cs="宋体"/>
                <w:b/>
                <w:bCs/>
                <w:color w:val="auto"/>
                <w:position w:val="2"/>
                <w:sz w:val="22"/>
                <w:szCs w:val="22"/>
              </w:rPr>
              <w:t>评价内容</w:t>
            </w:r>
          </w:p>
        </w:tc>
        <w:tc>
          <w:tcPr>
            <w:tcW w:w="479" w:type="pct"/>
            <w:shd w:val="clear" w:color="auto" w:fill="auto"/>
            <w:vAlign w:val="center"/>
          </w:tcPr>
          <w:p>
            <w:pPr>
              <w:jc w:val="center"/>
              <w:rPr>
                <w:rFonts w:ascii="宋体" w:hAnsi="宋体" w:cs="宋体"/>
                <w:b/>
                <w:bCs/>
                <w:color w:val="auto"/>
                <w:position w:val="2"/>
                <w:sz w:val="22"/>
                <w:szCs w:val="22"/>
              </w:rPr>
            </w:pPr>
            <w:r>
              <w:rPr>
                <w:rFonts w:hint="eastAsia" w:ascii="宋体" w:hAnsi="宋体" w:cs="宋体"/>
                <w:b/>
                <w:bCs/>
                <w:color w:val="auto"/>
                <w:position w:val="2"/>
                <w:sz w:val="22"/>
                <w:szCs w:val="22"/>
              </w:rPr>
              <w:t>分值</w:t>
            </w:r>
          </w:p>
        </w:tc>
        <w:tc>
          <w:tcPr>
            <w:tcW w:w="515" w:type="pct"/>
            <w:shd w:val="clear" w:color="auto" w:fill="auto"/>
            <w:vAlign w:val="center"/>
          </w:tcPr>
          <w:p>
            <w:pPr>
              <w:jc w:val="center"/>
              <w:rPr>
                <w:rFonts w:ascii="宋体" w:hAnsi="宋体" w:cs="宋体"/>
                <w:b/>
                <w:bCs/>
                <w:color w:val="auto"/>
                <w:position w:val="2"/>
                <w:sz w:val="22"/>
                <w:szCs w:val="22"/>
              </w:rPr>
            </w:pPr>
            <w:r>
              <w:rPr>
                <w:rFonts w:hint="eastAsia" w:ascii="宋体" w:hAnsi="宋体" w:cs="宋体"/>
                <w:b/>
                <w:bCs/>
                <w:color w:val="auto"/>
                <w:position w:val="2"/>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1</w:t>
            </w:r>
          </w:p>
        </w:tc>
        <w:tc>
          <w:tcPr>
            <w:tcW w:w="3557" w:type="pct"/>
            <w:shd w:val="clear" w:color="auto" w:fill="auto"/>
            <w:vAlign w:val="center"/>
          </w:tcPr>
          <w:p>
            <w:pPr>
              <w:rPr>
                <w:rFonts w:ascii="宋体" w:hAnsi="宋体" w:cs="宋体"/>
                <w:color w:val="auto"/>
                <w:position w:val="2"/>
                <w:sz w:val="22"/>
                <w:szCs w:val="22"/>
              </w:rPr>
            </w:pPr>
            <w:r>
              <w:rPr>
                <w:rFonts w:hint="eastAsia" w:ascii="宋体" w:hAnsi="宋体" w:cs="宋体"/>
                <w:color w:val="auto"/>
                <w:sz w:val="22"/>
                <w:szCs w:val="22"/>
              </w:rPr>
              <w:t>是否完成每季度系统巡检并完成系统巡检后均需提供巡检报告，同时按照规定进行故障排除和检修，对系统存在的风险隐患提供合理化方案。</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positio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2</w:t>
            </w:r>
          </w:p>
        </w:tc>
        <w:tc>
          <w:tcPr>
            <w:tcW w:w="3557" w:type="pct"/>
            <w:shd w:val="clear" w:color="auto" w:fill="auto"/>
            <w:vAlign w:val="center"/>
          </w:tcPr>
          <w:p>
            <w:pPr>
              <w:rPr>
                <w:rFonts w:ascii="宋体" w:hAnsi="宋体" w:cs="宋体"/>
                <w:color w:val="auto"/>
                <w:position w:val="2"/>
                <w:sz w:val="22"/>
                <w:szCs w:val="22"/>
              </w:rPr>
            </w:pPr>
            <w:r>
              <w:rPr>
                <w:rFonts w:hint="eastAsia" w:ascii="宋体" w:hAnsi="宋体" w:cs="宋体"/>
                <w:color w:val="auto"/>
                <w:sz w:val="22"/>
                <w:szCs w:val="22"/>
              </w:rPr>
              <w:t>是否制定标准化的维护制度和应急预案，提供法定工作日全时段维护服务。在系统故障时须立即做出响应。</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position w:val="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3</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是否根据设备巡检规范要求，负责网络的日常巡检及维护工作。</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4</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是否保障网络系统安全稳定运行，对进行日常维护，根据业务需要对网络进行适应性调整，协助其他部门处理相关网络问题。</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5</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是否负责对主机房及其附属机房、楼层弱电间所有信息化相关设备做日常维护、功能调整、故障诊断及系统性能维护。</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6</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是否保障系统安全运行，协助做好信息系统主机层、系统层、应用层、制度层安全工作。</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7</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是否做好网络安全运维应急处理工作，在甲方网络发生故障时，接到甲方技术需求后须立即做出回应及处理。</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8</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是否协助做好文档台账的处理归档工作。</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9</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是否做好网络线缆整理、标记制作、机房设备清洁除尘、网络信息点故障修复、设备连接线接触故障修复等。</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6" w:type="pct"/>
            <w:shd w:val="clear" w:color="auto" w:fill="auto"/>
            <w:vAlign w:val="center"/>
          </w:tcPr>
          <w:p>
            <w:pPr>
              <w:jc w:val="center"/>
              <w:rPr>
                <w:rFonts w:ascii="宋体" w:hAnsi="宋体" w:cs="宋体"/>
                <w:color w:val="auto"/>
                <w:position w:val="2"/>
                <w:sz w:val="22"/>
                <w:szCs w:val="22"/>
              </w:rPr>
            </w:pPr>
            <w:r>
              <w:rPr>
                <w:rFonts w:hint="eastAsia" w:ascii="宋体" w:hAnsi="宋体" w:cs="宋体"/>
                <w:color w:val="auto"/>
                <w:position w:val="2"/>
                <w:sz w:val="22"/>
                <w:szCs w:val="22"/>
              </w:rPr>
              <w:t>10</w:t>
            </w:r>
          </w:p>
        </w:tc>
        <w:tc>
          <w:tcPr>
            <w:tcW w:w="3557" w:type="pct"/>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在服务过程中是否态度端正，是否获得用户表扬或投诉，是否</w:t>
            </w:r>
            <w:r>
              <w:rPr>
                <w:rFonts w:hint="eastAsia" w:ascii="宋体" w:hAnsi="宋体" w:cs="宋体"/>
                <w:bCs/>
                <w:color w:val="auto"/>
                <w:sz w:val="22"/>
                <w:szCs w:val="22"/>
              </w:rPr>
              <w:t>做好相关信息数据保密工作，是否存在其他不良行为。</w:t>
            </w:r>
          </w:p>
        </w:tc>
        <w:tc>
          <w:tcPr>
            <w:tcW w:w="479" w:type="pct"/>
            <w:shd w:val="clear" w:color="auto" w:fill="auto"/>
            <w:vAlign w:val="center"/>
          </w:tcPr>
          <w:p>
            <w:pPr>
              <w:jc w:val="center"/>
              <w:rPr>
                <w:rFonts w:ascii="宋体" w:hAnsi="宋体" w:cs="宋体"/>
                <w:color w:val="auto"/>
                <w:sz w:val="22"/>
                <w:szCs w:val="22"/>
              </w:rPr>
            </w:pPr>
            <w:r>
              <w:rPr>
                <w:rFonts w:hint="eastAsia" w:ascii="宋体" w:hAnsi="宋体" w:cs="宋体"/>
                <w:color w:val="auto"/>
                <w:sz w:val="22"/>
                <w:szCs w:val="22"/>
              </w:rPr>
              <w:t>10</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84" w:type="pct"/>
            <w:gridSpan w:val="3"/>
            <w:shd w:val="clear" w:color="auto" w:fill="auto"/>
            <w:vAlign w:val="center"/>
          </w:tcPr>
          <w:p>
            <w:pPr>
              <w:jc w:val="center"/>
              <w:rPr>
                <w:rFonts w:ascii="宋体" w:hAnsi="宋体" w:cs="宋体"/>
                <w:color w:val="auto"/>
                <w:sz w:val="22"/>
                <w:szCs w:val="22"/>
              </w:rPr>
            </w:pPr>
            <w:r>
              <w:rPr>
                <w:rFonts w:hint="eastAsia" w:ascii="宋体" w:hAnsi="宋体" w:cs="宋体"/>
                <w:b/>
                <w:bCs/>
                <w:color w:val="auto"/>
                <w:position w:val="2"/>
                <w:sz w:val="22"/>
                <w:szCs w:val="22"/>
              </w:rPr>
              <w:t>合计</w:t>
            </w:r>
          </w:p>
        </w:tc>
        <w:tc>
          <w:tcPr>
            <w:tcW w:w="515" w:type="pct"/>
            <w:shd w:val="clear" w:color="auto" w:fill="auto"/>
            <w:vAlign w:val="center"/>
          </w:tcPr>
          <w:p>
            <w:pPr>
              <w:jc w:val="cente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4"/>
            <w:shd w:val="clear" w:color="auto" w:fill="auto"/>
            <w:vAlign w:val="center"/>
          </w:tcPr>
          <w:p>
            <w:pPr>
              <w:rPr>
                <w:rFonts w:ascii="宋体" w:hAnsi="宋体" w:cs="宋体"/>
                <w:color w:val="auto"/>
                <w:sz w:val="22"/>
                <w:szCs w:val="22"/>
              </w:rPr>
            </w:pPr>
            <w:r>
              <w:rPr>
                <w:rFonts w:hint="eastAsia" w:ascii="宋体" w:hAnsi="宋体" w:cs="宋体"/>
                <w:b/>
                <w:bCs/>
                <w:color w:val="auto"/>
                <w:position w:val="2"/>
                <w:sz w:val="22"/>
                <w:szCs w:val="22"/>
              </w:rPr>
              <w:t>评分人（签字）：</w:t>
            </w:r>
          </w:p>
        </w:tc>
      </w:tr>
    </w:tbl>
    <w:p>
      <w:pPr>
        <w:pStyle w:val="78"/>
        <w:rPr>
          <w:color w:val="auto"/>
          <w:sz w:val="22"/>
          <w:szCs w:val="22"/>
        </w:rPr>
      </w:pPr>
    </w:p>
    <w:p>
      <w:pPr>
        <w:rPr>
          <w:rFonts w:ascii="宋体" w:hAnsi="宋体" w:cs="宋体"/>
          <w:b/>
          <w:bCs/>
          <w:color w:val="auto"/>
          <w:sz w:val="22"/>
          <w:szCs w:val="22"/>
        </w:rPr>
      </w:pPr>
      <w:bookmarkStart w:id="118" w:name="_Toc25082544"/>
      <w:bookmarkStart w:id="119" w:name="_Toc413943564"/>
      <w:r>
        <w:rPr>
          <w:rFonts w:hint="eastAsia" w:ascii="宋体" w:hAnsi="宋体" w:cs="宋体"/>
          <w:b/>
          <w:bCs/>
          <w:color w:val="auto"/>
          <w:sz w:val="22"/>
          <w:szCs w:val="22"/>
        </w:rPr>
        <w:t>五、▲机房运行维护机构及技术力量的要求及规范</w:t>
      </w:r>
      <w:bookmarkEnd w:id="118"/>
      <w:bookmarkEnd w:id="119"/>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在运营维护及管理期间</w:t>
      </w:r>
      <w:r>
        <w:rPr>
          <w:rFonts w:hint="eastAsia" w:ascii="宋体" w:hAnsi="宋体" w:cs="宋体"/>
          <w:color w:val="auto"/>
          <w:sz w:val="22"/>
          <w:szCs w:val="22"/>
        </w:rPr>
        <w:t>中标单位</w:t>
      </w:r>
      <w:r>
        <w:rPr>
          <w:rFonts w:hint="eastAsia" w:ascii="宋体" w:cs="Arial"/>
          <w:bCs/>
          <w:color w:val="auto"/>
          <w:kern w:val="0"/>
          <w:sz w:val="22"/>
          <w:szCs w:val="22"/>
          <w:lang w:bidi="ar"/>
        </w:rPr>
        <w:t>必须遵守国家的有关法律、法规及其他规定，本着为采购人负责的精神，依照规范，科学管理，使各系统运行达到采购人要求的技术标准和要求。</w:t>
      </w:r>
    </w:p>
    <w:p>
      <w:pPr>
        <w:adjustRightInd w:val="0"/>
        <w:spacing w:line="440" w:lineRule="exact"/>
        <w:ind w:firstLine="440" w:firstLineChars="200"/>
        <w:rPr>
          <w:rFonts w:ascii="宋体" w:cs="Arial"/>
          <w:bCs/>
          <w:color w:val="auto"/>
          <w:sz w:val="22"/>
          <w:szCs w:val="22"/>
        </w:rPr>
      </w:pPr>
      <w:r>
        <w:rPr>
          <w:rFonts w:hint="eastAsia" w:ascii="宋体" w:hAnsi="宋体" w:cs="宋体"/>
          <w:color w:val="auto"/>
          <w:sz w:val="22"/>
          <w:szCs w:val="22"/>
        </w:rPr>
        <w:t>中标单位</w:t>
      </w:r>
      <w:r>
        <w:rPr>
          <w:rFonts w:hint="eastAsia" w:ascii="宋体" w:cs="Arial"/>
          <w:bCs/>
          <w:color w:val="auto"/>
          <w:kern w:val="0"/>
          <w:sz w:val="22"/>
          <w:szCs w:val="22"/>
          <w:lang w:bidi="ar"/>
        </w:rPr>
        <w:t>任何更换或调整常驻技术人员的行为应事先提前征求采购人意见，在征得采购人同意后方可更换、调整。若采购人发现常驻技术人员不合格，有权要求更换技术人员，</w:t>
      </w:r>
      <w:r>
        <w:rPr>
          <w:rFonts w:hint="eastAsia" w:ascii="宋体" w:hAnsi="宋体" w:cs="宋体"/>
          <w:color w:val="auto"/>
          <w:sz w:val="22"/>
          <w:szCs w:val="22"/>
        </w:rPr>
        <w:t>中标单位</w:t>
      </w:r>
      <w:r>
        <w:rPr>
          <w:rFonts w:hint="eastAsia" w:ascii="宋体" w:cs="Arial"/>
          <w:bCs/>
          <w:color w:val="auto"/>
          <w:kern w:val="0"/>
          <w:sz w:val="22"/>
          <w:szCs w:val="22"/>
          <w:lang w:bidi="ar"/>
        </w:rPr>
        <w:t>应在收到采购人的书面通知7个日历日内完成技术人员的更换。</w:t>
      </w:r>
    </w:p>
    <w:p>
      <w:pPr>
        <w:adjustRightInd w:val="0"/>
        <w:spacing w:line="440" w:lineRule="exact"/>
        <w:ind w:firstLine="440" w:firstLineChars="200"/>
        <w:rPr>
          <w:rFonts w:ascii="宋体" w:cs="Arial"/>
          <w:bCs/>
          <w:color w:val="auto"/>
          <w:sz w:val="22"/>
          <w:szCs w:val="22"/>
        </w:rPr>
      </w:pPr>
      <w:r>
        <w:rPr>
          <w:rFonts w:hint="eastAsia" w:ascii="宋体" w:hAnsi="宋体" w:cs="宋体"/>
          <w:color w:val="auto"/>
          <w:sz w:val="22"/>
          <w:szCs w:val="22"/>
        </w:rPr>
        <w:t>中标单位</w:t>
      </w:r>
      <w:r>
        <w:rPr>
          <w:rFonts w:hint="eastAsia" w:ascii="宋体" w:cs="Arial"/>
          <w:bCs/>
          <w:color w:val="auto"/>
          <w:kern w:val="0"/>
          <w:sz w:val="22"/>
          <w:szCs w:val="22"/>
          <w:lang w:bidi="ar"/>
        </w:rPr>
        <w:t>要加强技术人员的管理与培训，并保证常驻技术人员的稳定性，未经采购人允许不得擅自更换从事核心技术服务的人员。</w:t>
      </w:r>
    </w:p>
    <w:p>
      <w:pPr>
        <w:adjustRightInd w:val="0"/>
        <w:spacing w:line="440" w:lineRule="exact"/>
        <w:ind w:firstLine="440" w:firstLineChars="200"/>
        <w:rPr>
          <w:rFonts w:ascii="宋体" w:cs="Arial"/>
          <w:bCs/>
          <w:color w:val="auto"/>
          <w:sz w:val="22"/>
          <w:szCs w:val="22"/>
        </w:rPr>
      </w:pPr>
      <w:r>
        <w:rPr>
          <w:rFonts w:hint="eastAsia" w:ascii="宋体" w:hAnsi="宋体" w:cs="宋体"/>
          <w:color w:val="auto"/>
          <w:sz w:val="22"/>
          <w:szCs w:val="22"/>
        </w:rPr>
        <w:t>中标单位</w:t>
      </w:r>
      <w:r>
        <w:rPr>
          <w:rFonts w:hint="eastAsia" w:ascii="宋体" w:cs="Arial"/>
          <w:bCs/>
          <w:color w:val="auto"/>
          <w:kern w:val="0"/>
          <w:sz w:val="22"/>
          <w:szCs w:val="22"/>
          <w:lang w:bidi="ar"/>
        </w:rPr>
        <w:t>要制定适合采购人技术服务工作特点的详细的工作服务流程与方案，经采购人同意后实施。常驻技术人员参照项目团队管理模式，设立负责人。</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运维及管理期间，中标单位应严格按照采购人制订的操作规范和规章制度，对所管理的系统及设备进行规范操作和精心维护及必要维修，保证系统及设备的正常运行，达到采购人提出的系统及设备的考核指标要求。中标单位必须接受采购人的定期或不定期检查和考核。</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不论何时，中标单位必须做好相关信息数据保密工作，承担保密责任。未经允许不得对外透露采购人相关的设备、网络及系统的信息，未经允许不得复制与工作相关的数据与信息，不得以任何方式和渠道向外界传递、泄露、披露任何信息数据。</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机房运维项目实施要求</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中标单位必须在投标书中阐明项目运维管理计划；提供项目运维组成员名单、职务、学历、经历，参与人员名单。</w:t>
      </w:r>
    </w:p>
    <w:p>
      <w:pPr>
        <w:adjustRightInd w:val="0"/>
        <w:spacing w:line="440" w:lineRule="exact"/>
        <w:ind w:firstLine="440" w:firstLineChars="200"/>
        <w:rPr>
          <w:rFonts w:ascii="宋体" w:cs="Arial"/>
          <w:bCs/>
          <w:color w:val="auto"/>
          <w:sz w:val="22"/>
          <w:szCs w:val="22"/>
        </w:rPr>
      </w:pPr>
      <w:r>
        <w:rPr>
          <w:rFonts w:hint="eastAsia" w:ascii="宋体" w:cs="Arial"/>
          <w:bCs/>
          <w:color w:val="auto"/>
          <w:kern w:val="0"/>
          <w:sz w:val="22"/>
          <w:szCs w:val="22"/>
          <w:lang w:bidi="ar"/>
        </w:rPr>
        <w:t>在合同生效以后，对采购人认为其能力与本项目所要求的能力不相称而提出更换的项目负责人或者技术员，中标单位必须予以更换；中标单位更换项目主要负责人或主要技术骨干必须书面报采购单位同意后方可进行。</w:t>
      </w:r>
    </w:p>
    <w:p>
      <w:pPr>
        <w:adjustRightInd w:val="0"/>
        <w:spacing w:line="440" w:lineRule="exact"/>
        <w:rPr>
          <w:rFonts w:ascii="宋体" w:cs="Arial"/>
          <w:b/>
          <w:color w:val="auto"/>
          <w:kern w:val="0"/>
          <w:sz w:val="22"/>
          <w:szCs w:val="22"/>
          <w:lang w:bidi="ar"/>
        </w:rPr>
      </w:pPr>
    </w:p>
    <w:p>
      <w:pPr>
        <w:pStyle w:val="77"/>
        <w:ind w:firstLine="210"/>
        <w:rPr>
          <w:color w:val="auto"/>
        </w:rPr>
      </w:pPr>
    </w:p>
    <w:p>
      <w:pPr>
        <w:snapToGrid w:val="0"/>
        <w:spacing w:line="360" w:lineRule="auto"/>
        <w:ind w:firstLine="442" w:firstLineChars="200"/>
        <w:rPr>
          <w:rFonts w:ascii="宋体" w:hAnsi="宋体" w:cs="宋体"/>
          <w:b/>
          <w:bCs/>
          <w:color w:val="auto"/>
          <w:sz w:val="22"/>
          <w:szCs w:val="22"/>
        </w:rPr>
      </w:pPr>
    </w:p>
    <w:p>
      <w:pPr>
        <w:pStyle w:val="2"/>
      </w:pPr>
    </w:p>
    <w:p>
      <w:pPr>
        <w:spacing w:line="440" w:lineRule="exact"/>
        <w:jc w:val="center"/>
        <w:rPr>
          <w:rFonts w:ascii="宋体" w:hAnsi="宋体" w:cs="宋体"/>
          <w:b/>
          <w:bCs/>
          <w:color w:val="auto"/>
          <w:sz w:val="28"/>
          <w:szCs w:val="28"/>
        </w:rPr>
      </w:pPr>
      <w:r>
        <w:rPr>
          <w:rFonts w:hint="eastAsia" w:ascii="宋体" w:hAnsi="宋体" w:cs="宋体"/>
          <w:b/>
          <w:bCs/>
          <w:color w:val="auto"/>
          <w:sz w:val="28"/>
          <w:szCs w:val="28"/>
        </w:rPr>
        <w:t>第二部分：外场监控</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交通基础设施硬件运维项目外场监控部分是由市交通视频整合平台、市普通国省道桥隧机电设施安保工程和智慧公路应急指挥与信息服务系统</w:t>
      </w:r>
      <w:r>
        <w:rPr>
          <w:rFonts w:hint="eastAsia" w:ascii="新宋体" w:hAnsi="新宋体" w:eastAsia="新宋体" w:cs="新宋体"/>
          <w:color w:val="auto"/>
          <w:sz w:val="22"/>
          <w:szCs w:val="22"/>
        </w:rPr>
        <w:t>（含智慧公路1-3期项目内硬件设备）</w:t>
      </w:r>
      <w:r>
        <w:rPr>
          <w:rStyle w:val="731"/>
          <w:rFonts w:hint="default" w:ascii="新宋体" w:hAnsi="新宋体" w:eastAsia="新宋体" w:cs="新宋体"/>
          <w:color w:val="auto"/>
        </w:rPr>
        <w:t>等三部分组成的，主要是对视频平台的运维及前端监控点位的运维。</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三个项目分别对应的维护内容为：</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市交通视频整合平台：市交通视频整合平台维护、市港航中心航道港口和重点航道视频监控系统的85路视频。</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市普通国省道桥隧机电设施安保工程维保：温州市14个隧道和4座桥梁，共253路前端监控点位及视频存储设备。</w:t>
      </w:r>
    </w:p>
    <w:p>
      <w:pPr>
        <w:pStyle w:val="703"/>
        <w:spacing w:line="560" w:lineRule="exact"/>
        <w:ind w:firstLine="440"/>
        <w:rPr>
          <w:rStyle w:val="731"/>
          <w:rFonts w:hint="default" w:ascii="新宋体" w:hAnsi="新宋体" w:eastAsia="新宋体" w:cs="新宋体"/>
          <w:color w:val="auto"/>
        </w:rPr>
      </w:pPr>
      <w:r>
        <w:rPr>
          <w:rFonts w:hint="eastAsia" w:ascii="宋体" w:hAnsi="宋体"/>
          <w:color w:val="auto"/>
          <w:sz w:val="22"/>
        </w:rPr>
        <w:t>智慧公路应急指挥与信息服务系统</w:t>
      </w:r>
      <w:r>
        <w:rPr>
          <w:rFonts w:hint="eastAsia" w:ascii="新宋体" w:hAnsi="新宋体" w:eastAsia="新宋体" w:cs="新宋体"/>
          <w:color w:val="auto"/>
          <w:sz w:val="22"/>
          <w:szCs w:val="22"/>
        </w:rPr>
        <w:t>（含智慧公路1-3期项目内硬件设备）</w:t>
      </w:r>
      <w:r>
        <w:rPr>
          <w:rFonts w:hint="eastAsia" w:ascii="宋体" w:hAnsi="宋体"/>
          <w:color w:val="auto"/>
          <w:sz w:val="22"/>
        </w:rPr>
        <w:t>：智慧公路视频平台、国省道</w:t>
      </w:r>
      <w:r>
        <w:rPr>
          <w:rFonts w:ascii="宋体" w:hAnsi="宋体"/>
          <w:color w:val="auto"/>
          <w:sz w:val="22"/>
        </w:rPr>
        <w:t>34路道路监控点位、</w:t>
      </w:r>
      <w:r>
        <w:rPr>
          <w:rStyle w:val="731"/>
          <w:rFonts w:hint="default" w:ascii="新宋体" w:hAnsi="新宋体" w:eastAsia="新宋体" w:cs="新宋体"/>
          <w:color w:val="auto"/>
        </w:rPr>
        <w:t>龙门架37路视频、19块LED可变情报板、4个气象监测点位及视频存储设备。</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外场监控部分主要是对视频平台的运维及前端监控点位的运维，具体的内容如下：</w:t>
      </w:r>
    </w:p>
    <w:p>
      <w:pPr>
        <w:spacing w:line="560" w:lineRule="exact"/>
        <w:ind w:firstLine="442" w:firstLineChars="200"/>
        <w:rPr>
          <w:rFonts w:ascii="新宋体" w:hAnsi="新宋体" w:eastAsia="新宋体" w:cs="新宋体"/>
          <w:b/>
          <w:color w:val="auto"/>
          <w:sz w:val="22"/>
          <w:szCs w:val="22"/>
        </w:rPr>
      </w:pPr>
      <w:r>
        <w:rPr>
          <w:rFonts w:hint="eastAsia" w:ascii="新宋体" w:hAnsi="新宋体" w:eastAsia="新宋体" w:cs="新宋体"/>
          <w:b/>
          <w:color w:val="auto"/>
          <w:sz w:val="22"/>
          <w:szCs w:val="22"/>
        </w:rPr>
        <w:t>一、采购内容：</w:t>
      </w:r>
    </w:p>
    <w:p>
      <w:pPr>
        <w:spacing w:line="560" w:lineRule="exact"/>
        <w:ind w:firstLine="442" w:firstLineChars="200"/>
        <w:rPr>
          <w:rFonts w:ascii="新宋体" w:hAnsi="新宋体" w:eastAsia="新宋体" w:cs="新宋体"/>
          <w:b/>
          <w:color w:val="auto"/>
          <w:sz w:val="22"/>
          <w:szCs w:val="22"/>
        </w:rPr>
      </w:pPr>
      <w:r>
        <w:rPr>
          <w:rFonts w:hint="eastAsia" w:ascii="新宋体" w:hAnsi="新宋体" w:eastAsia="新宋体" w:cs="新宋体"/>
          <w:b/>
          <w:color w:val="auto"/>
          <w:sz w:val="22"/>
          <w:szCs w:val="22"/>
        </w:rPr>
        <w:t>（一）视频平台服务内容及要求</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本视频平台服务是指针对市交通视频整合平台、智慧公路视频平台和桥隧视频存储设备等提供运维及技术支撑服务。包含以下内容及要求：</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1.应</w:t>
      </w:r>
      <w:r>
        <w:rPr>
          <w:rFonts w:hint="eastAsia" w:ascii="新宋体" w:hAnsi="新宋体" w:eastAsia="新宋体" w:cs="新宋体"/>
          <w:color w:val="auto"/>
          <w:sz w:val="22"/>
          <w:szCs w:val="22"/>
          <w:shd w:val="clear" w:color="auto" w:fill="FDFDFE"/>
        </w:rPr>
        <w:t>确保</w:t>
      </w:r>
      <w:r>
        <w:rPr>
          <w:rFonts w:hint="eastAsia" w:ascii="新宋体" w:hAnsi="新宋体" w:eastAsia="新宋体" w:cs="新宋体"/>
          <w:color w:val="auto"/>
          <w:sz w:val="22"/>
          <w:szCs w:val="22"/>
        </w:rPr>
        <w:t>上述</w:t>
      </w:r>
      <w:r>
        <w:rPr>
          <w:rFonts w:hint="eastAsia" w:ascii="新宋体" w:hAnsi="新宋体" w:eastAsia="新宋体" w:cs="新宋体"/>
          <w:color w:val="auto"/>
          <w:sz w:val="22"/>
          <w:szCs w:val="22"/>
          <w:shd w:val="clear" w:color="auto" w:fill="FDFDFE"/>
        </w:rPr>
        <w:t>视频平台稳定的日常运行，提供确保平台高可用性、高可靠性和高扩展性的服务。含</w:t>
      </w:r>
      <w:r>
        <w:rPr>
          <w:rFonts w:hint="eastAsia" w:ascii="新宋体" w:hAnsi="新宋体" w:eastAsia="新宋体" w:cs="新宋体"/>
          <w:color w:val="auto"/>
          <w:sz w:val="22"/>
          <w:szCs w:val="22"/>
        </w:rPr>
        <w:t>对视频平台接入的自建和共享的所有视频点位每日进行在线巡检，及时发现问题并处置，提供每日巡检记录。</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2.保证对上述平台的系统及存储设备进行每月一次以上的现场巡检；遇重大活动和重要保障任务时，接通知后应立即安排技术人员现场或远程支持，并对平台进行巡检。</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3.提供7*24小时远程电话支撑服务；若出现重大问题，技术人员可根据需求在6小时内赶赴现场。</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4.应</w:t>
      </w:r>
      <w:r>
        <w:rPr>
          <w:rFonts w:hint="eastAsia" w:ascii="新宋体" w:hAnsi="新宋体" w:eastAsia="新宋体" w:cs="新宋体"/>
          <w:color w:val="auto"/>
          <w:sz w:val="22"/>
          <w:szCs w:val="22"/>
          <w:shd w:val="clear" w:color="auto" w:fill="FDFDFE"/>
        </w:rPr>
        <w:t>确保视频图像质量清晰、稳定，无卡顿、模糊等问题，</w:t>
      </w:r>
      <w:r>
        <w:rPr>
          <w:rFonts w:hint="eastAsia" w:ascii="新宋体" w:hAnsi="新宋体" w:eastAsia="新宋体" w:cs="新宋体"/>
          <w:color w:val="auto"/>
          <w:sz w:val="22"/>
          <w:szCs w:val="22"/>
        </w:rPr>
        <w:t>一旦出现点位离线、视频无法预览、图像画面不清、链路不通等等故障问题，技术人员须在2小时内响应。若属平台自身问题的，要求在12小时内解决；若非平台问题的，则根据问题实际情况提供相应解决方案。</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5.上述视频平台需按照省市相关部门要求提供视频共享服务，在保障原有视频共享级联正常稳定的情况下，新增的共享需求中标单位需无条件配合完成共享级联。</w:t>
      </w:r>
    </w:p>
    <w:p>
      <w:pPr>
        <w:pStyle w:val="5"/>
        <w:spacing w:line="560" w:lineRule="exact"/>
        <w:rPr>
          <w:rFonts w:ascii="新宋体" w:hAnsi="新宋体" w:eastAsia="新宋体" w:cs="新宋体"/>
          <w:color w:val="auto"/>
          <w:sz w:val="22"/>
          <w:szCs w:val="22"/>
        </w:rPr>
      </w:pPr>
      <w:r>
        <w:rPr>
          <w:rFonts w:hint="eastAsia" w:ascii="新宋体" w:hAnsi="新宋体" w:eastAsia="新宋体" w:cs="新宋体"/>
          <w:color w:val="auto"/>
          <w:sz w:val="22"/>
          <w:szCs w:val="22"/>
        </w:rPr>
        <w:t xml:space="preserve">    </w:t>
      </w:r>
      <w:r>
        <w:rPr>
          <w:rFonts w:hint="eastAsia" w:ascii="新宋体" w:hAnsi="新宋体" w:eastAsia="新宋体" w:cs="新宋体"/>
          <w:b w:val="0"/>
          <w:color w:val="auto"/>
          <w:sz w:val="22"/>
          <w:szCs w:val="22"/>
        </w:rPr>
        <w:t>6.为了保证故障的及时跟进和快速解决，确保视频监控平台良好运行，中标单位需要提供必要时间段的人员驻场服务。在采购人需要的时候，中标单位应该安排至少1名人员驻场并提供服务。</w:t>
      </w:r>
    </w:p>
    <w:p>
      <w:pPr>
        <w:spacing w:line="560" w:lineRule="exact"/>
        <w:ind w:firstLine="442" w:firstLineChars="200"/>
        <w:rPr>
          <w:rFonts w:ascii="新宋体" w:hAnsi="新宋体" w:eastAsia="新宋体" w:cs="新宋体"/>
          <w:b/>
          <w:bCs/>
          <w:color w:val="auto"/>
          <w:sz w:val="22"/>
          <w:szCs w:val="22"/>
        </w:rPr>
      </w:pPr>
      <w:r>
        <w:rPr>
          <w:rFonts w:hint="eastAsia" w:ascii="新宋体" w:hAnsi="新宋体" w:eastAsia="新宋体" w:cs="新宋体"/>
          <w:b/>
          <w:color w:val="auto"/>
          <w:sz w:val="22"/>
          <w:szCs w:val="22"/>
        </w:rPr>
        <w:t>（二）</w:t>
      </w:r>
      <w:r>
        <w:rPr>
          <w:rFonts w:hint="eastAsia" w:ascii="新宋体" w:hAnsi="新宋体" w:eastAsia="新宋体" w:cs="新宋体"/>
          <w:b/>
          <w:bCs/>
          <w:color w:val="auto"/>
          <w:sz w:val="22"/>
          <w:szCs w:val="22"/>
        </w:rPr>
        <w:t>前端监控点位维护服务内容及要求</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本案中的前端监控点位</w:t>
      </w:r>
      <w:r>
        <w:rPr>
          <w:rStyle w:val="731"/>
          <w:rFonts w:hint="default" w:ascii="新宋体" w:hAnsi="新宋体" w:eastAsia="新宋体" w:cs="新宋体"/>
          <w:bCs/>
          <w:color w:val="auto"/>
        </w:rPr>
        <w:t>维护服务内容</w:t>
      </w:r>
      <w:r>
        <w:rPr>
          <w:rStyle w:val="731"/>
          <w:rFonts w:hint="default" w:ascii="新宋体" w:hAnsi="新宋体" w:eastAsia="新宋体" w:cs="新宋体"/>
          <w:color w:val="auto"/>
        </w:rPr>
        <w:t>包括：市港航中心航道港口和重点航道视频监控系统的85路视频、温州市普通国省道桥隧机电设施安保工程253路视频及存储设备、温州市公路应急指挥与信息服务系统视频平台、前端34路视频、龙门架37路视频、19块LED可变情报板、4个气象监测点位及视频存储设备的维护服务。</w:t>
      </w:r>
    </w:p>
    <w:p>
      <w:pPr>
        <w:pStyle w:val="703"/>
        <w:spacing w:line="560" w:lineRule="exact"/>
        <w:ind w:firstLine="440"/>
        <w:rPr>
          <w:rStyle w:val="731"/>
          <w:rFonts w:hint="default" w:ascii="新宋体" w:hAnsi="新宋体" w:eastAsia="新宋体" w:cs="新宋体"/>
          <w:color w:val="auto"/>
        </w:rPr>
      </w:pPr>
      <w:r>
        <w:rPr>
          <w:rStyle w:val="731"/>
          <w:rFonts w:hint="default" w:ascii="新宋体" w:hAnsi="新宋体" w:eastAsia="新宋体" w:cs="新宋体"/>
          <w:color w:val="auto"/>
        </w:rPr>
        <w:t>前端监控点位</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1.根据实际工作需求，本项目中视频监控维护点位可能发生变动，中标单位需无条件接受配合迁移工作，免费迁移到新的位置，具体点位见附件</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2.负责提供所有点位的全部设备（含所有配件），在服务期内提供免费更换和维护服务。</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3.应保证至少有本项目中10%的高清球机备件数量。</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4.需保证上述视频在线率95%以上（因业主方原因除外）。</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5.在重要节假日和重大活动的保障工作中，需保障视频正常运行。</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6.中标单位通过巡检（含线上和实地）中发现前端监控点位出现故障或接到甲方的故障申告时，经故障原因判断后保证：光纤链路故障（确认时间为2小时），在4小时内恢复；前端设备如摄像机被盗或损坏、线缆被剪断等故障，在市区范围内6小时恢复，在县市区偏远地区在24小时内恢复。</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7.每月提供一次现场巡检，对每个前端监控点位进行巡检维护，及时发现问题并处置；每季度配合业主方开展一次现场巡检工作（线路由业主方确定）。</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8.每日线上对所有点位进行一次巡查，及时发现问题并处置，提供巡检记录报告。</w:t>
      </w:r>
    </w:p>
    <w:p>
      <w:pPr>
        <w:spacing w:line="560" w:lineRule="exact"/>
        <w:ind w:firstLine="442" w:firstLineChars="200"/>
        <w:rPr>
          <w:rFonts w:ascii="新宋体" w:hAnsi="新宋体" w:eastAsia="新宋体" w:cs="新宋体"/>
          <w:b/>
          <w:color w:val="auto"/>
          <w:sz w:val="22"/>
          <w:szCs w:val="22"/>
        </w:rPr>
      </w:pPr>
      <w:r>
        <w:rPr>
          <w:rFonts w:hint="eastAsia" w:ascii="新宋体" w:hAnsi="新宋体" w:eastAsia="新宋体" w:cs="新宋体"/>
          <w:b/>
          <w:color w:val="auto"/>
          <w:sz w:val="22"/>
          <w:szCs w:val="22"/>
        </w:rPr>
        <w:t>二、服务时间（运维服务时间）</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 服务时间为2024年1月1日至2024年12月31日。</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 由于上一年度项目截止后，财政预算未下达，自2024年1月份至中标单位接手时止这段时间的运维费用由中标单位支付（该运维费用金额=（该时间月数/12）*中标运维金额）。</w:t>
      </w:r>
    </w:p>
    <w:p>
      <w:pPr>
        <w:spacing w:line="560" w:lineRule="exact"/>
        <w:ind w:firstLine="442" w:firstLineChars="200"/>
        <w:rPr>
          <w:rFonts w:ascii="新宋体" w:hAnsi="新宋体" w:eastAsia="新宋体" w:cs="新宋体"/>
          <w:b/>
          <w:color w:val="auto"/>
          <w:sz w:val="22"/>
          <w:szCs w:val="22"/>
        </w:rPr>
      </w:pPr>
      <w:r>
        <w:rPr>
          <w:rFonts w:hint="eastAsia" w:ascii="新宋体" w:hAnsi="新宋体" w:eastAsia="新宋体" w:cs="新宋体"/>
          <w:b/>
          <w:color w:val="auto"/>
          <w:sz w:val="22"/>
          <w:szCs w:val="22"/>
        </w:rPr>
        <w:t>三、运维服务质量考核要求</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1. 对视频平台运维及前端监控点位运维每月运维完成情况进行服务满意度调查表，输出服务满意度调查表。</w:t>
      </w:r>
    </w:p>
    <w:p>
      <w:pPr>
        <w:spacing w:line="560" w:lineRule="exact"/>
        <w:ind w:firstLine="440" w:firstLineChars="200"/>
        <w:rPr>
          <w:rFonts w:ascii="新宋体" w:hAnsi="新宋体" w:eastAsia="新宋体" w:cs="新宋体"/>
          <w:color w:val="auto"/>
          <w:sz w:val="22"/>
          <w:szCs w:val="22"/>
        </w:rPr>
      </w:pPr>
      <w:r>
        <w:rPr>
          <w:rFonts w:hint="eastAsia" w:ascii="新宋体" w:hAnsi="新宋体" w:eastAsia="新宋体" w:cs="新宋体"/>
          <w:color w:val="auto"/>
          <w:sz w:val="22"/>
          <w:szCs w:val="22"/>
        </w:rPr>
        <w:t>2.每月对运维服务质量进行考核，输出运维服务质量考核表，考核表满分为100分，对运维服务要求不达标的每次扣一分，每分按照合同金额的千分之一扣款。</w:t>
      </w:r>
    </w:p>
    <w:p>
      <w:pPr>
        <w:spacing w:line="440" w:lineRule="exact"/>
        <w:ind w:firstLine="442" w:firstLineChars="200"/>
        <w:rPr>
          <w:rFonts w:ascii="新宋体" w:hAnsi="新宋体" w:eastAsia="新宋体" w:cs="新宋体"/>
          <w:b/>
          <w:color w:val="auto"/>
          <w:sz w:val="22"/>
          <w:szCs w:val="22"/>
        </w:rPr>
      </w:pPr>
      <w:r>
        <w:rPr>
          <w:rFonts w:hint="eastAsia" w:ascii="新宋体" w:hAnsi="新宋体" w:eastAsia="新宋体" w:cs="新宋体"/>
          <w:b/>
          <w:color w:val="auto"/>
          <w:sz w:val="22"/>
          <w:szCs w:val="22"/>
        </w:rPr>
        <w:t>四、相应服务报表要求见下表：</w:t>
      </w:r>
    </w:p>
    <w:tbl>
      <w:tblPr>
        <w:tblStyle w:val="5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3869"/>
        <w:gridCol w:w="3933"/>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序号</w:t>
            </w:r>
          </w:p>
        </w:tc>
        <w:tc>
          <w:tcPr>
            <w:tcW w:w="1963" w:type="pct"/>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服务内容</w:t>
            </w:r>
          </w:p>
        </w:tc>
        <w:tc>
          <w:tcPr>
            <w:tcW w:w="1995" w:type="pct"/>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输出台账</w:t>
            </w:r>
          </w:p>
        </w:tc>
        <w:tc>
          <w:tcPr>
            <w:tcW w:w="512" w:type="pct"/>
            <w:vAlign w:val="center"/>
          </w:tcPr>
          <w:p>
            <w:pPr>
              <w:pStyle w:val="78"/>
              <w:jc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tcBorders>
              <w:top w:val="single" w:color="auto" w:sz="4" w:space="0"/>
              <w:left w:val="single" w:color="auto" w:sz="4" w:space="0"/>
              <w:right w:val="single" w:color="auto" w:sz="4" w:space="0"/>
            </w:tcBorders>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1963"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平台巡检</w:t>
            </w:r>
          </w:p>
        </w:tc>
        <w:tc>
          <w:tcPr>
            <w:tcW w:w="1995"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平台巡检台账</w:t>
            </w:r>
          </w:p>
        </w:tc>
        <w:tc>
          <w:tcPr>
            <w:tcW w:w="512"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tcBorders>
              <w:top w:val="single" w:color="auto" w:sz="4" w:space="0"/>
              <w:left w:val="single" w:color="auto" w:sz="4" w:space="0"/>
              <w:right w:val="single" w:color="auto" w:sz="4" w:space="0"/>
            </w:tcBorders>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1963"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前端监控点位巡检</w:t>
            </w:r>
          </w:p>
        </w:tc>
        <w:tc>
          <w:tcPr>
            <w:tcW w:w="1995"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前端监控点位巡检台账</w:t>
            </w:r>
          </w:p>
        </w:tc>
        <w:tc>
          <w:tcPr>
            <w:tcW w:w="512"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tcBorders>
              <w:top w:val="single" w:color="auto" w:sz="4" w:space="0"/>
              <w:left w:val="single" w:color="auto" w:sz="4" w:space="0"/>
              <w:right w:val="single" w:color="auto" w:sz="4" w:space="0"/>
            </w:tcBorders>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1963"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视频平台及前端监控点位日常运维服务</w:t>
            </w:r>
          </w:p>
        </w:tc>
        <w:tc>
          <w:tcPr>
            <w:tcW w:w="1995"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月度报告</w:t>
            </w:r>
          </w:p>
        </w:tc>
        <w:tc>
          <w:tcPr>
            <w:tcW w:w="512"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tcBorders>
              <w:top w:val="single" w:color="auto" w:sz="4" w:space="0"/>
              <w:left w:val="single" w:color="auto" w:sz="4" w:space="0"/>
              <w:right w:val="single" w:color="auto" w:sz="4" w:space="0"/>
            </w:tcBorders>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1963"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视频平台及前端监控点位日常运维服务</w:t>
            </w:r>
          </w:p>
        </w:tc>
        <w:tc>
          <w:tcPr>
            <w:tcW w:w="1995"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服务评价表</w:t>
            </w:r>
          </w:p>
        </w:tc>
        <w:tc>
          <w:tcPr>
            <w:tcW w:w="512"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tcBorders>
              <w:top w:val="single" w:color="auto" w:sz="4" w:space="0"/>
              <w:left w:val="single" w:color="auto" w:sz="4" w:space="0"/>
              <w:right w:val="single" w:color="auto" w:sz="4" w:space="0"/>
            </w:tcBorders>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1963"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视频平台及前端监控点位日常运维服务</w:t>
            </w:r>
          </w:p>
        </w:tc>
        <w:tc>
          <w:tcPr>
            <w:tcW w:w="1995"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运维服务质量考核表</w:t>
            </w:r>
          </w:p>
        </w:tc>
        <w:tc>
          <w:tcPr>
            <w:tcW w:w="512"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tcBorders>
              <w:top w:val="single" w:color="auto" w:sz="4" w:space="0"/>
              <w:left w:val="single" w:color="auto" w:sz="4" w:space="0"/>
              <w:bottom w:val="single" w:color="auto" w:sz="4" w:space="0"/>
              <w:right w:val="single" w:color="auto" w:sz="4" w:space="0"/>
            </w:tcBorders>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6</w:t>
            </w:r>
          </w:p>
        </w:tc>
        <w:tc>
          <w:tcPr>
            <w:tcW w:w="1963" w:type="pct"/>
            <w:tcBorders>
              <w:top w:val="single" w:color="auto" w:sz="4" w:space="0"/>
              <w:left w:val="single" w:color="auto" w:sz="4" w:space="0"/>
              <w:bottom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视频平台及前端监控点位日常运维服务</w:t>
            </w:r>
          </w:p>
        </w:tc>
        <w:tc>
          <w:tcPr>
            <w:tcW w:w="1995" w:type="pct"/>
            <w:tcBorders>
              <w:top w:val="single" w:color="auto" w:sz="4" w:space="0"/>
              <w:left w:val="single" w:color="auto" w:sz="4" w:space="0"/>
              <w:bottom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视频平台故障处理台账、前端监控点位故障维修处理台账</w:t>
            </w:r>
          </w:p>
        </w:tc>
        <w:tc>
          <w:tcPr>
            <w:tcW w:w="512" w:type="pct"/>
            <w:tcBorders>
              <w:top w:val="single" w:color="auto" w:sz="4" w:space="0"/>
              <w:left w:val="single" w:color="auto" w:sz="4" w:space="0"/>
              <w:bottom w:val="single" w:color="auto" w:sz="4" w:space="0"/>
              <w:right w:val="single" w:color="auto" w:sz="4" w:space="0"/>
            </w:tcBorders>
            <w:vAlign w:val="center"/>
          </w:tcPr>
          <w:p>
            <w:pPr>
              <w:pStyle w:val="78"/>
              <w:rPr>
                <w:rFonts w:ascii="新宋体" w:hAnsi="新宋体" w:eastAsia="新宋体" w:cs="新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7" w:type="pct"/>
            <w:tcBorders>
              <w:top w:val="single" w:color="auto" w:sz="4" w:space="0"/>
              <w:left w:val="single" w:color="auto" w:sz="4" w:space="0"/>
              <w:right w:val="single" w:color="auto" w:sz="4" w:space="0"/>
            </w:tcBorders>
            <w:vAlign w:val="center"/>
          </w:tcPr>
          <w:p>
            <w:pPr>
              <w:pStyle w:val="78"/>
              <w:jc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1963"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外场监控部分</w:t>
            </w:r>
          </w:p>
        </w:tc>
        <w:tc>
          <w:tcPr>
            <w:tcW w:w="1995"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r>
              <w:rPr>
                <w:rFonts w:hint="eastAsia" w:ascii="新宋体" w:hAnsi="新宋体" w:eastAsia="新宋体" w:cs="新宋体"/>
                <w:color w:val="auto"/>
                <w:sz w:val="22"/>
                <w:szCs w:val="22"/>
              </w:rPr>
              <w:t>年度总结报告</w:t>
            </w:r>
          </w:p>
        </w:tc>
        <w:tc>
          <w:tcPr>
            <w:tcW w:w="512" w:type="pct"/>
            <w:tcBorders>
              <w:top w:val="single" w:color="auto" w:sz="4" w:space="0"/>
              <w:left w:val="single" w:color="auto" w:sz="4" w:space="0"/>
              <w:right w:val="single" w:color="auto" w:sz="4" w:space="0"/>
            </w:tcBorders>
            <w:vAlign w:val="center"/>
          </w:tcPr>
          <w:p>
            <w:pPr>
              <w:pStyle w:val="78"/>
              <w:rPr>
                <w:rFonts w:ascii="新宋体" w:hAnsi="新宋体" w:eastAsia="新宋体" w:cs="新宋体"/>
                <w:color w:val="auto"/>
                <w:sz w:val="22"/>
                <w:szCs w:val="22"/>
              </w:rPr>
            </w:pPr>
          </w:p>
        </w:tc>
      </w:tr>
    </w:tbl>
    <w:p>
      <w:pPr>
        <w:pStyle w:val="24"/>
        <w:ind w:firstLine="221"/>
        <w:rPr>
          <w:rFonts w:ascii="新宋体" w:hAnsi="新宋体" w:eastAsia="新宋体" w:cs="新宋体"/>
          <w:bCs/>
          <w:color w:val="auto"/>
          <w:sz w:val="22"/>
          <w:szCs w:val="22"/>
          <w:lang w:bidi="ar"/>
        </w:rPr>
      </w:pPr>
    </w:p>
    <w:p>
      <w:pPr>
        <w:spacing w:line="440" w:lineRule="exact"/>
        <w:ind w:firstLine="442" w:firstLineChars="200"/>
        <w:rPr>
          <w:rFonts w:ascii="新宋体" w:hAnsi="新宋体" w:eastAsia="新宋体" w:cs="新宋体"/>
          <w:b/>
          <w:color w:val="auto"/>
          <w:sz w:val="22"/>
          <w:szCs w:val="22"/>
        </w:rPr>
      </w:pPr>
      <w:r>
        <w:rPr>
          <w:rFonts w:hint="eastAsia" w:ascii="新宋体" w:hAnsi="新宋体" w:eastAsia="新宋体" w:cs="新宋体"/>
          <w:b/>
          <w:color w:val="auto"/>
          <w:sz w:val="22"/>
          <w:szCs w:val="22"/>
        </w:rPr>
        <w:t>五、外场监控部分点位清单</w:t>
      </w:r>
    </w:p>
    <w:p>
      <w:pPr>
        <w:spacing w:line="560" w:lineRule="exact"/>
        <w:ind w:firstLine="442" w:firstLineChars="200"/>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1.桥隧点位清单</w:t>
      </w:r>
    </w:p>
    <w:tbl>
      <w:tblPr>
        <w:tblStyle w:val="58"/>
        <w:tblW w:w="4999" w:type="pct"/>
        <w:tblInd w:w="0" w:type="dxa"/>
        <w:tblLayout w:type="autofit"/>
        <w:tblCellMar>
          <w:top w:w="0" w:type="dxa"/>
          <w:left w:w="108" w:type="dxa"/>
          <w:bottom w:w="0" w:type="dxa"/>
          <w:right w:w="108" w:type="dxa"/>
        </w:tblCellMar>
      </w:tblPr>
      <w:tblGrid>
        <w:gridCol w:w="1264"/>
        <w:gridCol w:w="2119"/>
        <w:gridCol w:w="5477"/>
        <w:gridCol w:w="992"/>
      </w:tblGrid>
      <w:tr>
        <w:tblPrEx>
          <w:tblCellMar>
            <w:top w:w="0" w:type="dxa"/>
            <w:left w:w="108" w:type="dxa"/>
            <w:bottom w:w="0" w:type="dxa"/>
            <w:right w:w="108" w:type="dxa"/>
          </w:tblCellMar>
        </w:tblPrEx>
        <w:trPr>
          <w:trHeight w:val="567" w:hRule="atLeast"/>
          <w:tblHeader/>
        </w:trPr>
        <w:tc>
          <w:tcPr>
            <w:tcW w:w="641" w:type="pct"/>
            <w:tcBorders>
              <w:top w:val="single" w:color="000000" w:sz="12"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所属县市</w:t>
            </w:r>
          </w:p>
        </w:tc>
        <w:tc>
          <w:tcPr>
            <w:tcW w:w="1075" w:type="pct"/>
            <w:tcBorders>
              <w:top w:val="single" w:color="000000" w:sz="12"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所在位置</w:t>
            </w:r>
          </w:p>
        </w:tc>
        <w:tc>
          <w:tcPr>
            <w:tcW w:w="2778" w:type="pct"/>
            <w:tcBorders>
              <w:top w:val="single" w:color="000000" w:sz="12"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监控点名称</w:t>
            </w:r>
          </w:p>
        </w:tc>
        <w:tc>
          <w:tcPr>
            <w:tcW w:w="503" w:type="pct"/>
            <w:tcBorders>
              <w:top w:val="single" w:color="000000" w:sz="12"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类型</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鹿城</w:t>
            </w: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官岭隧道(9路)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G330鹿城K14+770温州方向1（卡口）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G330鹿城K14+200温州方向5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G330鹿城K14+50温州方向6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G330鹿城K14+650温州方向2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G330鹿城K14+770藤桥方向1（卡口）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G330鹿城K13+900温州方向7（事件）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G330鹿城K14+500温州方向3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G330鹿城K13+750温州方向8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G330鹿城K14+350温州方向4（事件）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洞头</w:t>
            </w: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洞头大桥(12路)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S77洞头K40+320洞头方向6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S77洞头K40+830洞头方向8（球机）</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S77洞头K40温州方向1（卡口）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S77洞头K41+370洞头方向3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S77洞头K40+100洞头方向7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S77洞头K41+570洞头方向2（事件）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S77洞头K40+540洞头方向2（通航）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S77洞头K40+920洞头方向1（通航）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S77洞头K40+780洞头方向5（事件）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S77洞头K41+10洞头方向9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S77洞头K40洞头方向1（卡口）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S77洞头K41+160洞头方向4（球机）</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永嘉</w:t>
            </w: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双龙山隧道(19路)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G104永嘉K1876+280瓯北方向9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G104永嘉K1877+380瓯北方向1（卡口）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前端存储</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G104永嘉K1876+800乌牛方向5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G104永嘉K1877+100瓯北方向4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G104永嘉K1876+950瓯北方向5（事件）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G104永嘉K1877+250乌牛方向2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G104永嘉K1876+800瓯北方向6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G104永嘉K1877+380乌牛方向1（卡口）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G104永嘉K1876+650乌牛方向6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G104永嘉K1876+650瓯北方向7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G104永嘉K1877+300瓯北方向2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G104永嘉K1877+100乌牛方向3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G104永嘉K1876+500乌牛方向7（事件）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G104永嘉K1876+500瓯北方向8（事件）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G104永嘉K1877+250瓯北方向3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G104永嘉K1876+280乌牛方向8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G104永嘉K1876+950乌牛方向4（事件）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楠溪江特大桥(10路)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G104永嘉K1873+700永嘉方向1（通航）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G104永嘉K1873+510瓯北方向3（事件）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G104永嘉K1873+730温州方向2（通航）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G104永嘉K1873+790瓯北方向4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G104永嘉K1873+280瓯北方向1（卡口）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G104永嘉K1874+500乌牛方向1（卡口）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磁盘录像机</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G104永嘉K1874+160瓯北方向6（事件）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G104永嘉K1873+320瓯北方向2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G104永嘉K1874+400瓯北方向7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G104永嘉K1873+950瓯北方向5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瑞安</w:t>
            </w:r>
          </w:p>
        </w:tc>
        <w:tc>
          <w:tcPr>
            <w:tcW w:w="1075"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塔石岭隧道(13路)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S56瑞安K25+970瑞安方向9（事件）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S56瑞安K26+870瑞安方向3（事件）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S56瑞安K26+570瑞安方向5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S56瑞安K27+180瑞安方向1（卡口）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S56瑞安K25+820瑞安方向10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S56瑞安K26+720瑞安方向4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S56瑞安K26+120瑞安方向8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S56瑞安K27+180高楼方向1（卡口）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S56瑞安K25+670瑞安方向11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S56瑞安K26+420瑞安方向6（事件）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S56瑞安K26+270瑞安方向7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S56瑞安K27+20瑞安方向2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S56瑞安K25+520瑞安方向12（事件）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飞云江大桥(22路)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G104瑞安K1942+825瑞安方向2（事件）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G104瑞安K1942+40瑞安方向1（通航）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G104瑞安K1942+40港口方向1（通航）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G104瑞安K1941+965瑞安方向6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G104瑞安K1942+110瑞安方向2（通航）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G104瑞安K1942+610平阳方向7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G104瑞安K1941+750平阳方向3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G104瑞安K1942+110港口方向2（通航）</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G104瑞安K1941+750瑞安方向7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G104瑞安K1942+610瑞安方向3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G104瑞安K1942+825平阳方向8（事件）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G104瑞安K1941+965平阳方向4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G104瑞安K1941+535瑞安方向8（事件）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G104瑞安K1942+395瑞安方向4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G104瑞安K1943+20平阳方向9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G104瑞安K1942+180平阳方向5（事件）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G104瑞安K1941+320平阳方向1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G104瑞安K1943+20瑞安方向1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G104瑞安K1941+320瑞安方向9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G104瑞安K1942+180瑞安方向5（事件）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G104瑞安K1942+395平阳方向6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G104瑞安K1941+535平阳方向2（事件）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瑞安高架桥(12路)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G104瑞安K1939+665瑞安方向7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G104瑞安K1940+525瑞安方向3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G104瑞安K1939+928隆山路12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G104瑞安K1940+310瑞安方向4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G104瑞安K1939+245瑞安方向9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G104瑞安K1940+95瑞安方向5（事件）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G104瑞安K1940+960瑞安方向1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G104瑞安K1939+30瑞安方向10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G104瑞安K1939+455瑞安方向8（事件）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G104瑞安K1939+880瑞安方向6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G104瑞安K1940+740瑞安方向2（事件）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G104瑞安K1940+630瑞光大道11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文成</w:t>
            </w: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上岙岭隧道(10路)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S330文成K48+400文成方向6（事件）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S330文成K48+250文成方向7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S330文成K48+700文成方向4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S330文成K48+550文成方向5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S330文成K49+100瑞安方向1（卡口）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S330文成K49+000文成方向2（球机）事件监测</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S330文成K48+850文成方向3（事件）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S330文成K49+100文成方向1（卡口）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S330文成K48+100文成方向8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S330文成K47+950文成方向9（球机）事件监测</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苍南</w:t>
            </w: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Style w:val="736"/>
                <w:rFonts w:hint="default" w:ascii="新宋体" w:hAnsi="新宋体" w:eastAsia="新宋体" w:cs="新宋体"/>
                <w:color w:val="auto"/>
                <w:lang w:bidi="ar"/>
              </w:rPr>
              <w:t>鹤顶山隧道(22路)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S232苍南K30+850矾山方向20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S232苍南K29+950矾山方向14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S232苍南K30+100矾山方向15（事件）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S232苍南K28+300矾山方向3（事件）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S232苍南K28+000矾山方向1（卡口）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S232苍南K28+450矾山方向4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S232苍南K30+250矾山方向16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S232苍南K29+50矾山方向8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S232苍南K30+550矾山方向18（事件）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S232苍南K28+750矾山方向6（事件）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S232苍南K29+350矾山方向10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S232苍南K28+000马站方向1（卡口）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S232苍南K28+600矾山方向5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S232苍南K30+400矾山方向17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S232苍南K29+500矾山方向11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S232苍南K29+200矾山方向9（事件）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S232苍南K31+00矾山方向21（事件）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S232苍南K28+900矾山方向7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S232苍南K30+700矾山方向19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S232苍南K29+800矾山方向13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S232苍南K29+650矾山方向12（事件）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S232苍南K28+150矾山方向2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平阳</w:t>
            </w: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九凰山隧道(6路)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G104平阳K1957+30苍南方向2（事件）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G104平阳K1957+430苍南方向3（事件）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G104平阳K1956+630瑞安方向1（事件）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G104平阳K1957+830苍南方向4（事件）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G104平阳K1957+430瑞安方向2（事件）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G104平阳K1956+630苍南方向1（事件）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张基岭隧道(17路)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S230平阳K80+540平阳方向4（事件）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S230平阳K82+350平阳方向16（卡口）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S230平阳K82+40平阳方向14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S230平阳K81+140平阳方向8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S230瑞安K80+240平阳方向2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S230平阳K82+190平阳方向15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S230平阳K81+290平阳方向9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S230平阳K80+990平阳方向7（事件）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S230平阳K81+440平阳方向10（事件）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S230平阳K80+840平阳方向6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S230平阳K81+590平阳方向11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S230瑞安K80+390平阳方向3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S230平阳K82+350瑞安方向16（卡口）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S230瑞安K80+90平阳方向1（事件）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S230平阳K81+890平阳方向13（事件)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S230平阳K81+740平阳方向12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S230平阳K80+690平阳方向5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泰顺</w:t>
            </w: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红岩隧道(19路)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S228泰顺K84+100泰顺方向12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S228泰顺K85+300泰顺方向4（事件）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S228泰顺K83+200泰顺方向18（卡口）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S228泰顺K83+500泰顺方向16（事件）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S228泰顺K84+550泰顺方向9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S228泰顺K85+150泰顺方向5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S228泰顺K83+800泰顺方向14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S228泰顺K84+850泰顺方向7（事件）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S228泰顺K84+250泰顺方向11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S228泰顺K85+450泰顺方向3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S228泰顺K83+650泰顺方向15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S228泰顺K84+400泰顺方向10（事件）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S228泰顺K85+000泰顺方向6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S228泰顺K83+350泰顺方向17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S228泰顺K83+950泰顺方向13（事件）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S228泰顺K85+750泰顺方向1（事件）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S228泰顺K83+200景宁方向18（卡口）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S228泰顺K84+700泰顺方向8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S228泰顺段K85+600红岩隧道南2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富洋隧道(19路)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S331泰顺K12+210泰顺方向10（事件）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S331泰顺K11+460泰顺方向5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S331泰顺K12+510泰顺方向12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S331泰顺K12+660泰顺方向13（事件）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S331泰顺K10+860泰顺方向1（事件）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S331泰顺K10+730泰顺方向18（卡口）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S331泰顺K12+60泰顺方向9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S331泰顺K13+260泰顺方向17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S331泰顺K11+610泰顺方向6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S331泰顺K13+110泰顺方向16（事件）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S331泰顺K11+310泰顺方向4（事件）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S331泰顺K12+810泰顺方向14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S331泰顺K10+730苍南方向18（卡口）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S331泰顺K11+910泰顺方向8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S331泰顺K11+10泰顺方向2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S331泰顺K11+760泰顺方向7（事件）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S331泰顺K11+160泰顺方向3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S331泰顺K12+960泰顺方向15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S331泰顺K12+360泰顺方向11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峰坳隧道(10路)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S331泰顺K16+780苍南方向5（事件）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S331泰顺K16+480苍南方向7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S331泰顺K16+150苍南方向9（卡口）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S331泰顺K16+330苍南方向8（事件）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S331泰顺K17+380苍南方向1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S331泰顺K17+80苍南方向3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S331泰顺K16+150泰顺方向9（卡口）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S331泰顺K16+930苍南方向4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S331泰顺K17+230苍南方向2（事件）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S331泰顺K16+630苍南方向6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淡竹洋隧道(18路)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S331泰顺K36+600泰顺方向2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S331泰顺K37+50苍南方向17（卡口）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S331泰顺K35+550泰顺方向9（事件）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S331泰顺K34+800泰顺方向14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S331泰顺K35+700泰顺方向8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S331泰顺K35+100泰顺方向12（事件）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S331泰顺K34+500泰顺方向16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S331泰顺K35+400泰顺方向10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S331泰顺K36+300泰顺方向4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S331泰顺K34+650泰顺方向15（事件）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S331泰顺K36+450泰顺方向3（事件）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S331泰顺K35+250泰顺方向11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S331泰顺K36+150泰顺方向5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S331泰顺K36+750泰顺方向1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S331泰顺K37+50泰顺方向17（卡口）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S331泰顺K36+000泰顺方向6（事件）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S331泰顺K34+950泰顺方向13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S331泰顺K35+850泰顺方向7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杨家岭隧道(24路)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S331泰顺K53+370苍南方向21（事件）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S331泰顺K53+520苍南方向20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S331泰顺K55+920苍南方向4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S331泰顺K53+220苍南方向22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S331泰顺K54+720苍南方向12（事件）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S331泰顺K54+870苍南方向11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S331泰顺K56+220苍南方向2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S331泰顺K53+970苍南方向17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S331泰顺K55+770苍南方向5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S331泰顺K53+60苍南方向23（卡口）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S331泰顺K54+270苍南方向15（事件）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S331泰顺K56+70苍南方向3（事件）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S331泰顺K54+570苍南方向13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S331泰顺K53+670苍南方向19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S331泰顺K55+470苍南方向7</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S331泰顺K53+60泰顺方向23（卡口）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S331泰顺K53+820苍南方向18（事件）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S331泰顺K55+620苍南方向6（事件）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S331泰顺K54+420苍南方向14</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S331泰顺K56+370苍南方向1</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S331泰顺K55+170苍南方向9（事件）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S331泰顺K55+320苍南方向8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S331泰顺K54+120苍南方向16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S331泰顺K55+20苍南方向10</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洪岭头隧道(11路)</w:t>
            </w: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S331泰顺K46+420苍南方向5</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S331泰顺K46+120苍南方向7（事件）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S331泰顺K46+270苍南方向6</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S331泰顺K45+670苍南方向10（事件）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S331泰顺K45+970苍南方向8</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S331泰顺K46+870苍南方向2</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S331泰顺K47+000苍南方向1（卡口）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S331泰顺K45+820苍南方向9</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S331泰顺K46+720苍南方向3</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S331泰顺K46+570苍南方向4（事件）</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抓拍机</w:t>
            </w:r>
          </w:p>
        </w:tc>
      </w:tr>
      <w:tr>
        <w:tblPrEx>
          <w:tblCellMar>
            <w:top w:w="0" w:type="dxa"/>
            <w:left w:w="108" w:type="dxa"/>
            <w:bottom w:w="0" w:type="dxa"/>
            <w:right w:w="108" w:type="dxa"/>
          </w:tblCellMar>
        </w:tblPrEx>
        <w:trPr>
          <w:trHeight w:val="567" w:hRule="atLeast"/>
        </w:trPr>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10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新宋体" w:hAnsi="新宋体" w:eastAsia="新宋体" w:cs="新宋体"/>
                <w:color w:val="auto"/>
                <w:sz w:val="22"/>
                <w:szCs w:val="22"/>
              </w:rPr>
            </w:pPr>
          </w:p>
        </w:tc>
        <w:tc>
          <w:tcPr>
            <w:tcW w:w="2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S331泰顺K47+000泰顺方向1（卡口）</w:t>
            </w:r>
          </w:p>
        </w:tc>
        <w:tc>
          <w:tcPr>
            <w:tcW w:w="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枪机</w:t>
            </w:r>
          </w:p>
        </w:tc>
      </w:tr>
    </w:tbl>
    <w:p>
      <w:pPr>
        <w:pStyle w:val="24"/>
        <w:ind w:left="420" w:firstLine="0" w:firstLineChars="0"/>
        <w:jc w:val="both"/>
        <w:rPr>
          <w:rFonts w:ascii="新宋体" w:hAnsi="新宋体" w:eastAsia="新宋体" w:cs="新宋体"/>
          <w:bCs/>
          <w:color w:val="auto"/>
          <w:sz w:val="22"/>
          <w:szCs w:val="22"/>
        </w:rPr>
      </w:pPr>
      <w:r>
        <w:rPr>
          <w:rFonts w:hint="eastAsia" w:ascii="新宋体" w:hAnsi="新宋体" w:eastAsia="新宋体" w:cs="新宋体"/>
          <w:bCs/>
          <w:color w:val="auto"/>
          <w:sz w:val="22"/>
          <w:szCs w:val="22"/>
        </w:rPr>
        <w:t>2. 85路港航点位清单</w:t>
      </w:r>
    </w:p>
    <w:tbl>
      <w:tblPr>
        <w:tblStyle w:val="58"/>
        <w:tblW w:w="4999" w:type="pct"/>
        <w:tblInd w:w="0" w:type="dxa"/>
        <w:tblLayout w:type="autofit"/>
        <w:tblCellMar>
          <w:top w:w="0" w:type="dxa"/>
          <w:left w:w="108" w:type="dxa"/>
          <w:bottom w:w="0" w:type="dxa"/>
          <w:right w:w="108" w:type="dxa"/>
        </w:tblCellMar>
      </w:tblPr>
      <w:tblGrid>
        <w:gridCol w:w="1316"/>
        <w:gridCol w:w="8536"/>
      </w:tblGrid>
      <w:tr>
        <w:tblPrEx>
          <w:tblCellMar>
            <w:top w:w="0" w:type="dxa"/>
            <w:left w:w="108" w:type="dxa"/>
            <w:bottom w:w="0" w:type="dxa"/>
            <w:right w:w="108" w:type="dxa"/>
          </w:tblCellMar>
        </w:tblPrEx>
        <w:trPr>
          <w:trHeight w:val="567" w:hRule="atLeast"/>
          <w:tblHeader/>
        </w:trPr>
        <w:tc>
          <w:tcPr>
            <w:tcW w:w="668" w:type="pct"/>
            <w:tcBorders>
              <w:top w:val="single" w:color="000000" w:sz="8" w:space="0"/>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序号</w:t>
            </w:r>
          </w:p>
        </w:tc>
        <w:tc>
          <w:tcPr>
            <w:tcW w:w="4331" w:type="pct"/>
            <w:tcBorders>
              <w:top w:val="single" w:color="000000" w:sz="8" w:space="0"/>
              <w:left w:val="nil"/>
              <w:bottom w:val="single" w:color="000000" w:sz="8" w:space="0"/>
              <w:right w:val="single" w:color="000000" w:sz="8" w:space="0"/>
            </w:tcBorders>
            <w:shd w:val="clear" w:color="auto" w:fill="FFFFFF"/>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视频监控点位名称</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机场大道155号状元油库1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机场大道温州中油石油销售有限公司1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机场大道港口石化二期1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机场大道港口石化二期2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水心小南门水上巴士</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南塘塘河大桥</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南白象白象后大桥</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南白象永瑞桥</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9</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藤桥嘉力化工</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10</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七都东沙码头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11</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机场大道太平洋石化有限公司1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12</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仙岩穗丰</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13</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平阳安信混凝土有限公司2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14</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平阳中燃能源公司有限公司</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15</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鳌江客运码头1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16</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鳌江客运码头2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17</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港航管理码头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18</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瑞安中石油江南油库1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19</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瑞安中石油江南油库2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20</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瑞安中石化油库1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21</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瑞安华峰物流码头1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22</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瑞安港客运站</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23</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欧华码头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24</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洞头区鹿西岛口筐村中石油码头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25</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大门岛潭头码头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26</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元觉码头小北岙渡口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27</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白象琯头村金川闸口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28</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柳市文昌阁四岔口3</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29</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柳市文昌阁四岔口2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30</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龙港新美洲龙达液化气1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31</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龙港新美洲龙达液化气2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32</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石砰中石化仓储码头1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33</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永嘉港航局4楼阳台</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34</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上塘越江大桥左侧桥梁拱背上</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35</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上塘越江大桥右侧桥梁拱背上</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36</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文成大垟口村渡口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37</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泰顺司前镇水库码头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38</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泰顺百丈镇执法码头4</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39</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泰顺百丈镇港航执法专用码头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40</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龙湾广丰建筑材料有限公司</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41</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洞头小门屿中燃公司</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42</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乐清蒲岐南岳桃花岛码头附近</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43</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机场大道港口石化一期1（开发区）</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44</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南白象新象桥</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45</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藤桥龙泰化工厂(上戍外垟)</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46</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灵昆宏丰码头公司</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47</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洞头区鹿西岛口筐码头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48</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南麂岛码头2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49</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南麂岛码头3</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50</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龙湾区致富路上岙码头1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51</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龙湾区致富路上岙码头2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52</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湖头湖3</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53</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湖头湖2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54</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瑞安华峰物流码头2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55</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乐清石岙乐清高速口1</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56</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乐清石岙乐清高速口2</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57</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中国石化巴艚油码头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58</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瑞安小口村渡口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59</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瑞安石溪渡口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60</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瑞安黄岙下渡口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61</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瑞安潘营渡口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62</w:t>
            </w:r>
          </w:p>
        </w:tc>
        <w:tc>
          <w:tcPr>
            <w:tcW w:w="4331" w:type="pct"/>
            <w:tcBorders>
              <w:top w:val="nil"/>
              <w:left w:val="nil"/>
              <w:bottom w:val="single" w:color="000000" w:sz="8" w:space="0"/>
              <w:right w:val="single" w:color="000000" w:sz="8" w:space="0"/>
            </w:tcBorders>
            <w:shd w:val="clear" w:color="auto" w:fill="FFFFFF"/>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灵昆渡口</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63</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瓯江温溪界点位　</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64</w:t>
            </w:r>
          </w:p>
        </w:tc>
        <w:tc>
          <w:tcPr>
            <w:tcW w:w="43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瓯江五桥南岸上游</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65</w:t>
            </w:r>
          </w:p>
        </w:tc>
        <w:tc>
          <w:tcPr>
            <w:tcW w:w="43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瓯江五桥南岸下游</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66</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瓯江三桥点位</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67</w:t>
            </w:r>
          </w:p>
        </w:tc>
        <w:tc>
          <w:tcPr>
            <w:tcW w:w="43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温州大桥-七都大桥（上）</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68</w:t>
            </w:r>
          </w:p>
        </w:tc>
        <w:tc>
          <w:tcPr>
            <w:tcW w:w="43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温州大桥-七都大桥（中）</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69</w:t>
            </w:r>
          </w:p>
        </w:tc>
        <w:tc>
          <w:tcPr>
            <w:tcW w:w="43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温州大桥-七都大桥（下）</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70</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瓯江翻水站</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71</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瓯江下岸航道处</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72</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瓯江铁路桥处</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73</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瓯江大桥处</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74</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前陈村处</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75</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瓯越大桥处</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76</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江南码头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77</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温化码头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78</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丰隆码头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79</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安澜夜游码头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80</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瓯江良业码头</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81</w:t>
            </w:r>
          </w:p>
        </w:tc>
        <w:tc>
          <w:tcPr>
            <w:tcW w:w="433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蒲丽航道(会展路2号桥东侧)</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82</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温瑞塘河航道（南白象新象桥北侧)</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83</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温瑞塘河航道（三板桥、工业码头附近）</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84</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茶梧航道(南塘1号桥北侧)　</w:t>
            </w:r>
          </w:p>
        </w:tc>
      </w:tr>
      <w:tr>
        <w:tblPrEx>
          <w:tblCellMar>
            <w:top w:w="0" w:type="dxa"/>
            <w:left w:w="108" w:type="dxa"/>
            <w:bottom w:w="0" w:type="dxa"/>
            <w:right w:w="108" w:type="dxa"/>
          </w:tblCellMar>
        </w:tblPrEx>
        <w:trPr>
          <w:trHeight w:val="567" w:hRule="atLeast"/>
        </w:trPr>
        <w:tc>
          <w:tcPr>
            <w:tcW w:w="668" w:type="pct"/>
            <w:tcBorders>
              <w:top w:val="nil"/>
              <w:left w:val="single" w:color="000000" w:sz="8" w:space="0"/>
              <w:bottom w:val="single" w:color="000000" w:sz="8" w:space="0"/>
              <w:right w:val="single" w:color="000000" w:sz="8" w:space="0"/>
            </w:tcBorders>
            <w:shd w:val="clear" w:color="auto" w:fill="FFFFFF"/>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85</w:t>
            </w:r>
          </w:p>
        </w:tc>
        <w:tc>
          <w:tcPr>
            <w:tcW w:w="4331" w:type="pct"/>
            <w:tcBorders>
              <w:top w:val="nil"/>
              <w:left w:val="nil"/>
              <w:bottom w:val="single" w:color="000000" w:sz="8" w:space="0"/>
              <w:right w:val="single" w:color="000000" w:sz="8" w:space="0"/>
            </w:tcBorders>
            <w:shd w:val="clear" w:color="auto" w:fill="FFFFFF"/>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温瑞塘河航道(德胜桥)</w:t>
            </w:r>
          </w:p>
        </w:tc>
      </w:tr>
    </w:tbl>
    <w:p>
      <w:pPr>
        <w:pStyle w:val="24"/>
        <w:ind w:left="420" w:firstLine="0" w:firstLineChars="0"/>
        <w:jc w:val="both"/>
        <w:rPr>
          <w:rFonts w:ascii="新宋体" w:hAnsi="新宋体" w:eastAsia="新宋体" w:cs="新宋体"/>
          <w:bCs/>
          <w:color w:val="auto"/>
          <w:sz w:val="22"/>
          <w:szCs w:val="22"/>
        </w:rPr>
      </w:pPr>
      <w:r>
        <w:rPr>
          <w:rFonts w:hint="eastAsia" w:ascii="新宋体" w:hAnsi="新宋体" w:eastAsia="新宋体" w:cs="新宋体"/>
          <w:bCs/>
          <w:color w:val="auto"/>
          <w:sz w:val="22"/>
          <w:szCs w:val="22"/>
        </w:rPr>
        <w:t>3. 智慧公路前端点位清单</w:t>
      </w:r>
    </w:p>
    <w:tbl>
      <w:tblPr>
        <w:tblStyle w:val="58"/>
        <w:tblW w:w="4999" w:type="pct"/>
        <w:tblInd w:w="0" w:type="dxa"/>
        <w:tblLayout w:type="autofit"/>
        <w:tblCellMar>
          <w:top w:w="0" w:type="dxa"/>
          <w:left w:w="108" w:type="dxa"/>
          <w:bottom w:w="0" w:type="dxa"/>
          <w:right w:w="108" w:type="dxa"/>
        </w:tblCellMar>
      </w:tblPr>
      <w:tblGrid>
        <w:gridCol w:w="1078"/>
        <w:gridCol w:w="1772"/>
        <w:gridCol w:w="7002"/>
      </w:tblGrid>
      <w:tr>
        <w:tblPrEx>
          <w:tblCellMar>
            <w:top w:w="0" w:type="dxa"/>
            <w:left w:w="108" w:type="dxa"/>
            <w:bottom w:w="0" w:type="dxa"/>
            <w:right w:w="108" w:type="dxa"/>
          </w:tblCellMar>
        </w:tblPrEx>
        <w:trPr>
          <w:trHeight w:val="567" w:hRule="atLeast"/>
        </w:trPr>
        <w:tc>
          <w:tcPr>
            <w:tcW w:w="547"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序号</w:t>
            </w:r>
          </w:p>
        </w:tc>
        <w:tc>
          <w:tcPr>
            <w:tcW w:w="899" w:type="pct"/>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区县</w:t>
            </w:r>
          </w:p>
        </w:tc>
        <w:tc>
          <w:tcPr>
            <w:tcW w:w="3553" w:type="pct"/>
            <w:tcBorders>
              <w:top w:val="single" w:color="000000" w:sz="8"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新桩号</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w:t>
            </w:r>
          </w:p>
        </w:tc>
        <w:tc>
          <w:tcPr>
            <w:tcW w:w="8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泰顺</w:t>
            </w: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S331泰顺K0+150M分水关路口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S331泰顺K1+350M迎宾驿站角落</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S331泰顺K6+500M隘门关隧道</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S331泰顺K20+170M易结冰路段</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S331泰顺K21+700M秀涧隧道入口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S331泰顺K24+450M雅阳路口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泰顺县公路路政管理大队二、三中队门口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S331泰顺K39+120M战洲路口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9</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S331泰顺K49+150M上洪隧道入口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10</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S331泰顺K50+500M龙井坑隧道口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11</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S331泰顺K58+000M落石路段</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12</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S331泰顺K59+700M新城路口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13</w:t>
            </w:r>
          </w:p>
        </w:tc>
        <w:tc>
          <w:tcPr>
            <w:tcW w:w="8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瑞安</w:t>
            </w: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G322瑞东线K15+020M铁路桥下</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14</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G322瑞东线K19+200M仙降工业区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15</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G322瑞东线K29+300M石牌路口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16</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G322瑞东线K33+400M(往藤岙隧道)</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17</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G322瑞东线K43+690M大华地段</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18</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G322瑞东线K50+180M管岩大桥</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19</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G322瑞东线K51+400M漈门溪大桥</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20</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G322瑞东线K52+230M营朱线路口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21</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G322瑞东线K55+080M落石地段</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22</w:t>
            </w:r>
          </w:p>
        </w:tc>
        <w:tc>
          <w:tcPr>
            <w:tcW w:w="8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文成</w:t>
            </w: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G322瑞东线K55+480M文成驿站</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23</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G322瑞东线K59+350M上岙岭隧道</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24</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G322瑞东线K61+300M畔峃桥</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25</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G322瑞东线K63+003(往瑞安方向)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26</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G322瑞东线K70+530M花横村口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27</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G322瑞东线K72+770M马垟路公交站</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28</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G322瑞东线K74+700M中林大桥</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29</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G322瑞东线K78+720M黄坦路口(周岙底2号隧道前)</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30</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G322瑞东线K81+800M培头路口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31</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G322瑞东线K85+720M丁坑领桥长下坡(往文成)</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32</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G322瑞东线K85+720M敖里隧道入口</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33</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G322瑞东线K89+350后垟2号大桥</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34</w:t>
            </w:r>
          </w:p>
        </w:tc>
        <w:tc>
          <w:tcPr>
            <w:tcW w:w="8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b/>
                <w:bCs/>
                <w:color w:val="auto"/>
                <w:sz w:val="22"/>
                <w:szCs w:val="22"/>
              </w:rPr>
            </w:pPr>
          </w:p>
        </w:tc>
        <w:tc>
          <w:tcPr>
            <w:tcW w:w="3553" w:type="pct"/>
            <w:tcBorders>
              <w:top w:val="single" w:color="000000" w:sz="4" w:space="0"/>
              <w:left w:val="single" w:color="000000" w:sz="4" w:space="0"/>
              <w:bottom w:val="single" w:color="000000" w:sz="8" w:space="0"/>
              <w:right w:val="single" w:color="000000" w:sz="4" w:space="0"/>
            </w:tcBorders>
            <w:shd w:val="clear" w:color="auto" w:fill="auto"/>
            <w:noWrap/>
            <w:vAlign w:val="center"/>
          </w:tcPr>
          <w:p>
            <w:pPr>
              <w:widowControl/>
              <w:jc w:val="left"/>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G322瑞东线K89+950M西坑民族村</w:t>
            </w:r>
          </w:p>
        </w:tc>
      </w:tr>
    </w:tbl>
    <w:p>
      <w:pPr>
        <w:pStyle w:val="2"/>
        <w:rPr>
          <w:rFonts w:ascii="新宋体" w:hAnsi="新宋体" w:eastAsia="新宋体" w:cs="新宋体"/>
          <w:color w:val="auto"/>
          <w:sz w:val="22"/>
          <w:lang w:val="en-US"/>
        </w:rPr>
      </w:pPr>
    </w:p>
    <w:tbl>
      <w:tblPr>
        <w:tblStyle w:val="58"/>
        <w:tblW w:w="4995" w:type="pct"/>
        <w:tblInd w:w="0" w:type="dxa"/>
        <w:tblLayout w:type="autofit"/>
        <w:tblCellMar>
          <w:top w:w="0" w:type="dxa"/>
          <w:left w:w="108" w:type="dxa"/>
          <w:bottom w:w="0" w:type="dxa"/>
          <w:right w:w="108" w:type="dxa"/>
        </w:tblCellMar>
      </w:tblPr>
      <w:tblGrid>
        <w:gridCol w:w="1077"/>
        <w:gridCol w:w="1765"/>
        <w:gridCol w:w="7002"/>
      </w:tblGrid>
      <w:tr>
        <w:tblPrEx>
          <w:tblCellMar>
            <w:top w:w="0" w:type="dxa"/>
            <w:left w:w="108" w:type="dxa"/>
            <w:bottom w:w="0" w:type="dxa"/>
            <w:right w:w="108" w:type="dxa"/>
          </w:tblCellMar>
        </w:tblPrEx>
        <w:trPr>
          <w:trHeight w:val="567" w:hRule="atLeast"/>
          <w:tblHeader/>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序号</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区县</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点位名称</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w:t>
            </w:r>
          </w:p>
        </w:tc>
        <w:tc>
          <w:tcPr>
            <w:tcW w:w="8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苍南</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G104苍南K2005+970往苍南方向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G104苍南K2005+970往苍南方向(球机)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G104苍南K2005+970往桥墩方向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4</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G104苍南K2005+970往桥墩方向(球机)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5</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S232苍南K1+620往苍南方向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6</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S232苍南K1+620往苍南方向(球机)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7</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S232苍南K1+620往霞光方向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8</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S232苍南K1+620往霞光方向(球机)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9</w:t>
            </w:r>
          </w:p>
        </w:tc>
        <w:tc>
          <w:tcPr>
            <w:tcW w:w="8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乐清</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G104乐清K1811+660往乐清</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10</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G104乐清K1811+660往乐清(球机)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11</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G104乐清K1811+660往台州</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12</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G104乐清K1811+660往台州(球机)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13</w:t>
            </w:r>
          </w:p>
        </w:tc>
        <w:tc>
          <w:tcPr>
            <w:tcW w:w="8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鹿城</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G330鹿城K110+510往青田方向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14</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G330鹿城K110+510往青田方向(球机)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15</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G330鹿城K110+510往温州方向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16</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G330鹿城K110+510往温州方向(球机)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17</w:t>
            </w:r>
          </w:p>
        </w:tc>
        <w:tc>
          <w:tcPr>
            <w:tcW w:w="8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瓯海</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G104瓯海K1937+220往瑞安方向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18</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G104瓯海K1937+220往瑞安方向(球机)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19</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G104瓯海K1937+220往温州方向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20</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G104瓯海K1937+220往温州方向(球机)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21</w:t>
            </w:r>
          </w:p>
        </w:tc>
        <w:tc>
          <w:tcPr>
            <w:tcW w:w="8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瑞安</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G322瑞安K23+960往瑞安方向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22</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G322瑞安K23+960往瑞安方向(球机)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23</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G322瑞安K23+960往文成方向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24</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G322瑞安K23+960往文成方向(球机)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25</w:t>
            </w:r>
          </w:p>
        </w:tc>
        <w:tc>
          <w:tcPr>
            <w:tcW w:w="8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泰顺</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S58泰顺K3+470往分水关方向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26</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S58泰顺K3+470往分水关方向(球机)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27</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S58泰顺K3+470往泰顺方向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28</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S58泰顺K3+470往泰顺方向(球机)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29</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S58泰顺K56+730往彭溪方向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30</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S58泰顺K56+730往彭溪方向(球机)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31</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S58泰顺K56+730往泰顺方向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32</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S58泰顺K56+730往泰顺方向(球机)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33</w:t>
            </w:r>
          </w:p>
        </w:tc>
        <w:tc>
          <w:tcPr>
            <w:tcW w:w="8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永嘉</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G104永嘉K1884+0往乐清方向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34</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G104永嘉K1884+0往乐清方向(球机)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35</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G104永嘉K1884+0往永嘉方向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36</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G104永嘉K1884+0往永嘉方向(球机)</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37</w:t>
            </w:r>
          </w:p>
        </w:tc>
        <w:tc>
          <w:tcPr>
            <w:tcW w:w="8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新宋体" w:hAnsi="新宋体" w:eastAsia="新宋体" w:cs="新宋体"/>
                <w:color w:val="auto"/>
                <w:sz w:val="22"/>
                <w:szCs w:val="22"/>
              </w:rPr>
            </w:pP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新宋体" w:hAnsi="新宋体" w:eastAsia="新宋体" w:cs="新宋体"/>
                <w:color w:val="auto"/>
                <w:sz w:val="22"/>
                <w:szCs w:val="22"/>
              </w:rPr>
            </w:pPr>
            <w:r>
              <w:rPr>
                <w:rFonts w:hint="eastAsia" w:ascii="新宋体" w:hAnsi="新宋体" w:eastAsia="新宋体" w:cs="新宋体"/>
                <w:color w:val="auto"/>
                <w:kern w:val="0"/>
                <w:sz w:val="22"/>
                <w:szCs w:val="22"/>
                <w:lang w:bidi="ar"/>
              </w:rPr>
              <w:t>S223永嘉K34+780往永嘉方向(球机)</w:t>
            </w:r>
          </w:p>
        </w:tc>
      </w:tr>
    </w:tbl>
    <w:p>
      <w:pPr>
        <w:pStyle w:val="24"/>
        <w:ind w:left="420" w:firstLine="0" w:firstLineChars="0"/>
        <w:jc w:val="both"/>
        <w:rPr>
          <w:rFonts w:ascii="新宋体" w:hAnsi="新宋体" w:eastAsia="新宋体" w:cs="新宋体"/>
          <w:bCs/>
          <w:color w:val="auto"/>
          <w:sz w:val="22"/>
          <w:szCs w:val="22"/>
          <w:lang w:bidi="ar"/>
        </w:rPr>
      </w:pPr>
      <w:r>
        <w:rPr>
          <w:rFonts w:hint="eastAsia" w:ascii="新宋体" w:hAnsi="新宋体" w:eastAsia="新宋体" w:cs="新宋体"/>
          <w:bCs/>
          <w:color w:val="auto"/>
          <w:sz w:val="22"/>
          <w:szCs w:val="22"/>
          <w:lang w:bidi="ar"/>
        </w:rPr>
        <w:t>4.LED情报板点位清单</w:t>
      </w:r>
    </w:p>
    <w:tbl>
      <w:tblPr>
        <w:tblStyle w:val="58"/>
        <w:tblW w:w="4995" w:type="pct"/>
        <w:tblInd w:w="0" w:type="dxa"/>
        <w:tblLayout w:type="autofit"/>
        <w:tblCellMar>
          <w:top w:w="0" w:type="dxa"/>
          <w:left w:w="108" w:type="dxa"/>
          <w:bottom w:w="0" w:type="dxa"/>
          <w:right w:w="108" w:type="dxa"/>
        </w:tblCellMar>
      </w:tblPr>
      <w:tblGrid>
        <w:gridCol w:w="1077"/>
        <w:gridCol w:w="1765"/>
        <w:gridCol w:w="7002"/>
      </w:tblGrid>
      <w:tr>
        <w:tblPrEx>
          <w:tblCellMar>
            <w:top w:w="0" w:type="dxa"/>
            <w:left w:w="108" w:type="dxa"/>
            <w:bottom w:w="0" w:type="dxa"/>
            <w:right w:w="108" w:type="dxa"/>
          </w:tblCellMar>
        </w:tblPrEx>
        <w:trPr>
          <w:trHeight w:val="567" w:hRule="atLeast"/>
          <w:tblHeader/>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序号</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区县</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sz w:val="22"/>
                <w:szCs w:val="22"/>
              </w:rPr>
              <w:t>情报板点位</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乐清</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G104乐清K1811+660往乐清</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2</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乐清</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G104乐清K1811+660往台州</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3</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永嘉</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G104永嘉K1884+0往乐清方向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4</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永嘉</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G104永嘉K1884+0往永嘉方向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5</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瓯海</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G104瓯海K1937+220往温州方向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6</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瓯海</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G104瓯海K1937+220往瑞安方向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7</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苍南</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G104苍南K2005+970往桥墩方向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8</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苍南</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G104苍南K2005+970往苍南方向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9</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瑞安</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G322瑞安K23+960往文成方向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10</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瑞安</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G322瑞安K23+960往瑞安方向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11</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鹿城</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G330鹿城K110+510往温州方向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12</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鹿城</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G330鹿城K110+510往青田方向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13</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苍南</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IS232苍南K1+620往苍南方向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14</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永嘉</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S223永嘉K34+780(往永嘉方向)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15</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苍南</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S232苍南K1+620往霞光方向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16</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泰顺</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S58泰顺K3+470往分水关方向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17</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泰顺</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S58泰顺K3+470往泰顺方向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18</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泰顺</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S58泰顺K56+730(往彭溪方向)</w:t>
            </w:r>
          </w:p>
        </w:tc>
      </w:tr>
      <w:tr>
        <w:tblPrEx>
          <w:tblCellMar>
            <w:top w:w="0" w:type="dxa"/>
            <w:left w:w="108" w:type="dxa"/>
            <w:bottom w:w="0" w:type="dxa"/>
            <w:right w:w="108" w:type="dxa"/>
          </w:tblCellMar>
        </w:tblPrEx>
        <w:trPr>
          <w:trHeight w:val="567" w:hRule="atLeast"/>
        </w:trPr>
        <w:tc>
          <w:tcPr>
            <w:tcW w:w="5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19</w:t>
            </w:r>
          </w:p>
        </w:tc>
        <w:tc>
          <w:tcPr>
            <w:tcW w:w="8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泰顺</w:t>
            </w:r>
          </w:p>
        </w:tc>
        <w:tc>
          <w:tcPr>
            <w:tcW w:w="3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sz w:val="22"/>
                <w:szCs w:val="22"/>
              </w:rPr>
            </w:pPr>
            <w:r>
              <w:rPr>
                <w:rFonts w:hint="eastAsia" w:ascii="新宋体" w:hAnsi="新宋体" w:eastAsia="新宋体" w:cs="新宋体"/>
                <w:color w:val="auto"/>
                <w:sz w:val="22"/>
                <w:szCs w:val="22"/>
              </w:rPr>
              <w:t>S58泰顺K56+730(往泰顺方向)</w:t>
            </w:r>
          </w:p>
        </w:tc>
      </w:tr>
    </w:tbl>
    <w:p>
      <w:pPr>
        <w:pStyle w:val="24"/>
        <w:ind w:left="420" w:firstLine="0" w:firstLineChars="0"/>
        <w:jc w:val="both"/>
        <w:rPr>
          <w:rFonts w:ascii="新宋体" w:hAnsi="新宋体" w:eastAsia="新宋体" w:cs="新宋体"/>
          <w:bCs/>
          <w:color w:val="auto"/>
          <w:sz w:val="22"/>
          <w:szCs w:val="22"/>
          <w:lang w:bidi="ar"/>
        </w:rPr>
      </w:pPr>
      <w:r>
        <w:rPr>
          <w:rFonts w:hint="eastAsia" w:ascii="新宋体" w:hAnsi="新宋体" w:eastAsia="新宋体" w:cs="新宋体"/>
          <w:bCs/>
          <w:color w:val="auto"/>
          <w:sz w:val="22"/>
          <w:szCs w:val="22"/>
          <w:lang w:bidi="ar"/>
        </w:rPr>
        <w:t>5.气象点位清单</w:t>
      </w:r>
    </w:p>
    <w:tbl>
      <w:tblPr>
        <w:tblStyle w:val="58"/>
        <w:tblW w:w="4997" w:type="pct"/>
        <w:tblInd w:w="0" w:type="dxa"/>
        <w:tblLayout w:type="autofit"/>
        <w:tblCellMar>
          <w:top w:w="0" w:type="dxa"/>
          <w:left w:w="108" w:type="dxa"/>
          <w:bottom w:w="0" w:type="dxa"/>
          <w:right w:w="108" w:type="dxa"/>
        </w:tblCellMar>
      </w:tblPr>
      <w:tblGrid>
        <w:gridCol w:w="1097"/>
        <w:gridCol w:w="6808"/>
        <w:gridCol w:w="1943"/>
      </w:tblGrid>
      <w:tr>
        <w:tblPrEx>
          <w:tblCellMar>
            <w:top w:w="0" w:type="dxa"/>
            <w:left w:w="108" w:type="dxa"/>
            <w:bottom w:w="0" w:type="dxa"/>
            <w:right w:w="108" w:type="dxa"/>
          </w:tblCellMar>
        </w:tblPrEx>
        <w:trPr>
          <w:trHeight w:val="567"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sz w:val="22"/>
                <w:szCs w:val="22"/>
              </w:rPr>
            </w:pPr>
            <w:r>
              <w:rPr>
                <w:rFonts w:hint="eastAsia" w:ascii="新宋体" w:hAnsi="新宋体" w:eastAsia="新宋体" w:cs="新宋体"/>
                <w:b/>
                <w:bCs/>
                <w:color w:val="auto"/>
                <w:kern w:val="0"/>
                <w:sz w:val="22"/>
                <w:szCs w:val="22"/>
                <w:lang w:bidi="ar"/>
              </w:rPr>
              <w:t>序号</w:t>
            </w:r>
          </w:p>
        </w:tc>
        <w:tc>
          <w:tcPr>
            <w:tcW w:w="3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kern w:val="0"/>
                <w:sz w:val="22"/>
                <w:szCs w:val="22"/>
                <w:lang w:bidi="ar"/>
              </w:rPr>
            </w:pPr>
            <w:r>
              <w:rPr>
                <w:rFonts w:hint="eastAsia" w:ascii="新宋体" w:hAnsi="新宋体" w:eastAsia="新宋体" w:cs="新宋体"/>
                <w:b/>
                <w:bCs/>
                <w:color w:val="auto"/>
                <w:kern w:val="0"/>
                <w:sz w:val="22"/>
                <w:szCs w:val="22"/>
                <w:lang w:bidi="ar"/>
              </w:rPr>
              <w:t>点位</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b/>
                <w:bCs/>
                <w:color w:val="auto"/>
                <w:kern w:val="0"/>
                <w:sz w:val="22"/>
                <w:szCs w:val="22"/>
                <w:lang w:bidi="ar"/>
              </w:rPr>
            </w:pPr>
            <w:r>
              <w:rPr>
                <w:rFonts w:hint="eastAsia" w:ascii="新宋体" w:hAnsi="新宋体" w:eastAsia="新宋体" w:cs="新宋体"/>
                <w:b/>
                <w:bCs/>
                <w:color w:val="auto"/>
                <w:kern w:val="0"/>
                <w:sz w:val="22"/>
                <w:szCs w:val="22"/>
                <w:lang w:bidi="ar"/>
              </w:rPr>
              <w:t>气象类型</w:t>
            </w:r>
          </w:p>
        </w:tc>
      </w:tr>
      <w:tr>
        <w:tblPrEx>
          <w:tblCellMar>
            <w:top w:w="0" w:type="dxa"/>
            <w:left w:w="108" w:type="dxa"/>
            <w:bottom w:w="0" w:type="dxa"/>
            <w:right w:w="108" w:type="dxa"/>
          </w:tblCellMar>
        </w:tblPrEx>
        <w:trPr>
          <w:trHeight w:val="567"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1</w:t>
            </w:r>
          </w:p>
        </w:tc>
        <w:tc>
          <w:tcPr>
            <w:tcW w:w="3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G322瑞东线K100+300里程标识牌前</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路面结冰监测</w:t>
            </w:r>
          </w:p>
        </w:tc>
      </w:tr>
      <w:tr>
        <w:tblPrEx>
          <w:tblCellMar>
            <w:top w:w="0" w:type="dxa"/>
            <w:left w:w="108" w:type="dxa"/>
            <w:bottom w:w="0" w:type="dxa"/>
            <w:right w:w="108" w:type="dxa"/>
          </w:tblCellMar>
        </w:tblPrEx>
        <w:trPr>
          <w:trHeight w:val="567"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2</w:t>
            </w:r>
          </w:p>
        </w:tc>
        <w:tc>
          <w:tcPr>
            <w:tcW w:w="3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S223永嘉K35+500仙永隧道</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路面结冰监测</w:t>
            </w:r>
          </w:p>
        </w:tc>
      </w:tr>
      <w:tr>
        <w:tblPrEx>
          <w:tblCellMar>
            <w:top w:w="0" w:type="dxa"/>
            <w:left w:w="108" w:type="dxa"/>
            <w:bottom w:w="0" w:type="dxa"/>
            <w:right w:w="108" w:type="dxa"/>
          </w:tblCellMar>
        </w:tblPrEx>
        <w:trPr>
          <w:trHeight w:val="567"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3</w:t>
            </w:r>
          </w:p>
        </w:tc>
        <w:tc>
          <w:tcPr>
            <w:tcW w:w="3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文成S230 K42+600(大才线和青岱线交叉口往北500m)</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能见度监测</w:t>
            </w:r>
          </w:p>
        </w:tc>
      </w:tr>
      <w:tr>
        <w:tblPrEx>
          <w:tblCellMar>
            <w:top w:w="0" w:type="dxa"/>
            <w:left w:w="108" w:type="dxa"/>
            <w:bottom w:w="0" w:type="dxa"/>
            <w:right w:w="108" w:type="dxa"/>
          </w:tblCellMar>
        </w:tblPrEx>
        <w:trPr>
          <w:trHeight w:val="567" w:hRule="atLeast"/>
        </w:trPr>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4</w:t>
            </w:r>
          </w:p>
        </w:tc>
        <w:tc>
          <w:tcPr>
            <w:tcW w:w="34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苍南G104国道K2009+750</w:t>
            </w:r>
          </w:p>
        </w:tc>
        <w:tc>
          <w:tcPr>
            <w:tcW w:w="9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新宋体" w:hAnsi="新宋体" w:eastAsia="新宋体" w:cs="新宋体"/>
                <w:color w:val="auto"/>
                <w:kern w:val="0"/>
                <w:sz w:val="22"/>
                <w:szCs w:val="22"/>
                <w:lang w:bidi="ar"/>
              </w:rPr>
            </w:pPr>
            <w:r>
              <w:rPr>
                <w:rFonts w:hint="eastAsia" w:ascii="新宋体" w:hAnsi="新宋体" w:eastAsia="新宋体" w:cs="新宋体"/>
                <w:color w:val="auto"/>
                <w:kern w:val="0"/>
                <w:sz w:val="22"/>
                <w:szCs w:val="22"/>
                <w:lang w:bidi="ar"/>
              </w:rPr>
              <w:t>能见度监测</w:t>
            </w:r>
          </w:p>
        </w:tc>
      </w:tr>
    </w:tbl>
    <w:p>
      <w:pPr>
        <w:jc w:val="center"/>
        <w:rPr>
          <w:rFonts w:ascii="宋体" w:hAnsi="宋体" w:cs="宋体"/>
          <w:b/>
          <w:bCs/>
          <w:color w:val="auto"/>
          <w:sz w:val="36"/>
          <w:szCs w:val="36"/>
        </w:rPr>
      </w:pPr>
      <w:bookmarkStart w:id="120" w:name="_Toc262105510"/>
      <w:bookmarkStart w:id="121" w:name="_Toc249758871"/>
      <w:bookmarkStart w:id="122" w:name="_Toc262049425"/>
      <w:bookmarkStart w:id="123" w:name="_Toc249758721"/>
      <w:bookmarkStart w:id="124" w:name="_Toc422225262"/>
      <w:bookmarkStart w:id="125" w:name="_Toc58406694"/>
      <w:bookmarkStart w:id="126" w:name="_Toc7368"/>
      <w:r>
        <w:rPr>
          <w:rFonts w:hint="eastAsia" w:ascii="宋体" w:hAnsi="宋体" w:cs="宋体"/>
          <w:b/>
          <w:bCs/>
          <w:color w:val="auto"/>
          <w:sz w:val="36"/>
          <w:szCs w:val="36"/>
        </w:rPr>
        <w:br w:type="page"/>
      </w:r>
      <w:r>
        <w:rPr>
          <w:rFonts w:hint="eastAsia" w:ascii="宋体" w:hAnsi="宋体" w:cs="宋体"/>
          <w:b/>
          <w:bCs/>
          <w:color w:val="auto"/>
          <w:sz w:val="36"/>
          <w:szCs w:val="36"/>
        </w:rPr>
        <w:t>第六部分</w:t>
      </w:r>
      <w:bookmarkEnd w:id="120"/>
      <w:bookmarkEnd w:id="121"/>
      <w:bookmarkEnd w:id="122"/>
      <w:bookmarkEnd w:id="123"/>
      <w:bookmarkEnd w:id="124"/>
      <w:r>
        <w:rPr>
          <w:rFonts w:hint="eastAsia" w:ascii="宋体" w:hAnsi="宋体" w:cs="宋体"/>
          <w:b/>
          <w:bCs/>
          <w:color w:val="auto"/>
          <w:sz w:val="36"/>
          <w:szCs w:val="36"/>
        </w:rPr>
        <w:t xml:space="preserve">   评标原则及方法</w:t>
      </w:r>
      <w:bookmarkEnd w:id="125"/>
      <w:bookmarkEnd w:id="126"/>
    </w:p>
    <w:bookmarkEnd w:id="1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Pr>
        <w:pStyle w:val="23"/>
        <w:overflowPunct w:val="0"/>
        <w:spacing w:after="0" w:line="440" w:lineRule="exact"/>
        <w:rPr>
          <w:rFonts w:ascii="宋体" w:hAnsi="宋体" w:cs="宋体"/>
          <w:b/>
          <w:color w:val="auto"/>
        </w:rPr>
      </w:pPr>
      <w:bookmarkStart w:id="127" w:name="_Toc221356898"/>
      <w:bookmarkStart w:id="128" w:name="_Toc221356961"/>
      <w:r>
        <w:rPr>
          <w:rFonts w:hint="eastAsia" w:ascii="宋体" w:hAnsi="宋体" w:cs="宋体"/>
          <w:b/>
          <w:color w:val="auto"/>
        </w:rPr>
        <w:t>一. 总  则</w:t>
      </w:r>
      <w:bookmarkEnd w:id="127"/>
      <w:bookmarkEnd w:id="128"/>
    </w:p>
    <w:p>
      <w:pPr>
        <w:overflowPunct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pStyle w:val="23"/>
        <w:overflowPunct w:val="0"/>
        <w:spacing w:after="0" w:line="440" w:lineRule="exact"/>
        <w:rPr>
          <w:rFonts w:ascii="宋体" w:hAnsi="宋体" w:cs="宋体"/>
          <w:b/>
          <w:color w:val="auto"/>
        </w:rPr>
      </w:pPr>
      <w:bookmarkStart w:id="129" w:name="_Toc221356962"/>
      <w:bookmarkStart w:id="130" w:name="_Toc221356899"/>
      <w:r>
        <w:rPr>
          <w:rFonts w:hint="eastAsia" w:ascii="宋体" w:hAnsi="宋体" w:cs="宋体"/>
          <w:b/>
          <w:color w:val="auto"/>
        </w:rPr>
        <w:t>二、评标组织</w:t>
      </w:r>
      <w:bookmarkEnd w:id="129"/>
      <w:bookmarkEnd w:id="130"/>
    </w:p>
    <w:p>
      <w:pPr>
        <w:overflowPunct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评标工作由采购人依法组建的评标委员会负责，评标全过程由有关部门指导监督。</w:t>
      </w:r>
    </w:p>
    <w:p>
      <w:pPr>
        <w:autoSpaceDE w:val="0"/>
        <w:autoSpaceDN w:val="0"/>
        <w:adjustRightInd w:val="0"/>
        <w:spacing w:line="440" w:lineRule="exact"/>
        <w:rPr>
          <w:rFonts w:ascii="宋体" w:hAnsi="宋体" w:cs="宋体"/>
          <w:b/>
          <w:bCs/>
          <w:color w:val="auto"/>
          <w:kern w:val="0"/>
          <w:sz w:val="22"/>
          <w:szCs w:val="22"/>
          <w:lang w:val="zh-CN"/>
        </w:rPr>
      </w:pPr>
      <w:r>
        <w:rPr>
          <w:rFonts w:hint="eastAsia" w:ascii="宋体" w:hAnsi="宋体" w:cs="宋体"/>
          <w:b/>
          <w:bCs/>
          <w:color w:val="auto"/>
          <w:kern w:val="0"/>
          <w:sz w:val="22"/>
          <w:szCs w:val="22"/>
          <w:lang w:val="zh-CN"/>
        </w:rPr>
        <w:t>三、评标程序</w:t>
      </w:r>
    </w:p>
    <w:p>
      <w:pPr>
        <w:overflowPunct w:val="0"/>
        <w:spacing w:line="440" w:lineRule="exact"/>
        <w:ind w:firstLine="440" w:firstLineChars="200"/>
        <w:rPr>
          <w:rFonts w:ascii="宋体" w:hAnsi="宋体" w:cs="宋体"/>
          <w:color w:val="auto"/>
          <w:sz w:val="22"/>
          <w:szCs w:val="22"/>
        </w:rPr>
      </w:pPr>
      <w:r>
        <w:rPr>
          <w:rFonts w:hint="eastAsia" w:ascii="宋体" w:hAnsi="宋体" w:cs="宋体"/>
          <w:color w:val="auto"/>
          <w:sz w:val="22"/>
          <w:szCs w:val="22"/>
        </w:rPr>
        <w:t>开标后，采购人或采购代理机构对各投标人的资格进行审查；然后评标委员会对合格投标人的进行符合性审查，按照采购文件中规定的评标方法和标准，对符合性审查合格的投标文件进行商务和技术评估，综合比较与评价。</w:t>
      </w:r>
    </w:p>
    <w:p>
      <w:pPr>
        <w:pStyle w:val="23"/>
        <w:adjustRightInd w:val="0"/>
        <w:snapToGrid w:val="0"/>
        <w:spacing w:after="0" w:line="440" w:lineRule="exact"/>
        <w:rPr>
          <w:rFonts w:ascii="宋体" w:hAnsi="宋体" w:cs="宋体"/>
          <w:b/>
          <w:color w:val="auto"/>
          <w:sz w:val="22"/>
          <w:szCs w:val="22"/>
        </w:rPr>
      </w:pPr>
      <w:r>
        <w:rPr>
          <w:rFonts w:hint="eastAsia" w:ascii="宋体" w:hAnsi="宋体" w:cs="宋体"/>
          <w:b/>
          <w:color w:val="auto"/>
          <w:sz w:val="22"/>
          <w:szCs w:val="22"/>
        </w:rPr>
        <w:t>四、 评标办法</w:t>
      </w:r>
    </w:p>
    <w:p>
      <w:pPr>
        <w:pStyle w:val="25"/>
        <w:numPr>
          <w:ilvl w:val="0"/>
          <w:numId w:val="35"/>
        </w:numPr>
        <w:adjustRightInd/>
        <w:spacing w:line="440" w:lineRule="exact"/>
        <w:jc w:val="both"/>
        <w:rPr>
          <w:rFonts w:cs="宋体"/>
          <w:b/>
          <w:color w:val="auto"/>
          <w:sz w:val="22"/>
          <w:szCs w:val="22"/>
          <w:u w:val="single"/>
        </w:rPr>
      </w:pPr>
      <w:r>
        <w:rPr>
          <w:rFonts w:hint="eastAsia" w:cs="宋体"/>
          <w:b/>
          <w:color w:val="auto"/>
          <w:sz w:val="22"/>
        </w:rPr>
        <w:t>本项目评标办法采取百分制综合评分法</w:t>
      </w:r>
      <w:r>
        <w:rPr>
          <w:rFonts w:hint="eastAsia" w:cs="宋体"/>
          <w:color w:val="auto"/>
          <w:sz w:val="22"/>
        </w:rPr>
        <w:t>，</w:t>
      </w:r>
      <w:r>
        <w:rPr>
          <w:rFonts w:hint="eastAsia" w:cs="宋体"/>
          <w:b/>
          <w:color w:val="auto"/>
          <w:sz w:val="22"/>
        </w:rPr>
        <w:t>其中</w:t>
      </w:r>
      <w:r>
        <w:rPr>
          <w:rFonts w:hint="eastAsia" w:cs="宋体"/>
          <w:b/>
          <w:bCs/>
          <w:color w:val="auto"/>
          <w:sz w:val="22"/>
        </w:rPr>
        <w:t>商务技术</w:t>
      </w:r>
      <w:r>
        <w:rPr>
          <w:rFonts w:hint="eastAsia" w:cs="宋体"/>
          <w:b/>
          <w:color w:val="auto"/>
          <w:sz w:val="22"/>
        </w:rPr>
        <w:t>80分（技术权值为80%），投标报价20分（价格权值为20%）。</w:t>
      </w:r>
      <w:r>
        <w:rPr>
          <w:rFonts w:hint="eastAsia" w:cs="宋体"/>
          <w:color w:val="auto"/>
          <w:sz w:val="22"/>
          <w:szCs w:val="22"/>
        </w:rPr>
        <w:t>即最大限度地满足采购文件实质性要求前提下，按照采购文件中规定的各项评分内容进行综合评审。以最终得分（即技术分与商务分之和）高低进行排序，得分前二名的投标人推荐为中标候选人与备选中标人（得分相同投标报价低的排序前位；得分且投标报价相同的并列，投标文件满足采购文件全部实质性要求，且按照评审因素的量化指标评审得分最高的投标人为中标候选人）。</w:t>
      </w:r>
    </w:p>
    <w:p>
      <w:pPr>
        <w:spacing w:line="440" w:lineRule="exact"/>
        <w:ind w:firstLine="440" w:firstLineChars="200"/>
        <w:rPr>
          <w:rFonts w:ascii="宋体" w:hAnsi="宋体" w:cs="宋体"/>
          <w:color w:val="auto"/>
          <w:sz w:val="22"/>
          <w:szCs w:val="22"/>
        </w:rPr>
      </w:pPr>
      <w:r>
        <w:rPr>
          <w:rFonts w:hint="eastAsia" w:ascii="宋体" w:hAnsi="宋体" w:cs="宋体"/>
          <w:color w:val="auto"/>
          <w:sz w:val="22"/>
        </w:rPr>
        <w:t>评标过程中遇到特殊情况，由评标委员会遵循公平、公正原则，采取记名投票方式按照少数服从多数原则决定。</w:t>
      </w:r>
    </w:p>
    <w:p>
      <w:pPr>
        <w:pStyle w:val="23"/>
        <w:spacing w:after="0" w:line="440" w:lineRule="exact"/>
        <w:rPr>
          <w:rFonts w:ascii="宋体" w:hAnsi="宋体" w:cs="宋体"/>
          <w:b/>
          <w:color w:val="auto"/>
          <w:sz w:val="22"/>
          <w:szCs w:val="22"/>
        </w:rPr>
      </w:pPr>
      <w:r>
        <w:rPr>
          <w:rFonts w:hint="eastAsia" w:ascii="宋体" w:hAnsi="宋体" w:cs="宋体"/>
          <w:b/>
          <w:color w:val="auto"/>
          <w:sz w:val="22"/>
          <w:szCs w:val="22"/>
        </w:rPr>
        <w:t>五、评分细则</w:t>
      </w:r>
    </w:p>
    <w:p>
      <w:pPr>
        <w:numPr>
          <w:ilvl w:val="0"/>
          <w:numId w:val="36"/>
        </w:numPr>
        <w:spacing w:line="440" w:lineRule="exact"/>
        <w:ind w:firstLine="0"/>
        <w:rPr>
          <w:rFonts w:ascii="宋体" w:hAnsi="宋体" w:cs="宋体"/>
          <w:b/>
          <w:color w:val="auto"/>
          <w:sz w:val="22"/>
          <w:szCs w:val="22"/>
        </w:rPr>
      </w:pPr>
      <w:r>
        <w:rPr>
          <w:rFonts w:hint="eastAsia" w:ascii="宋体" w:hAnsi="宋体" w:cs="宋体"/>
          <w:b/>
          <w:color w:val="auto"/>
          <w:sz w:val="22"/>
          <w:szCs w:val="22"/>
        </w:rPr>
        <w:t>商务技术文件的评定（80分）</w:t>
      </w:r>
    </w:p>
    <w:p>
      <w:pPr>
        <w:spacing w:line="440" w:lineRule="exact"/>
        <w:ind w:firstLine="330" w:firstLineChars="150"/>
        <w:rPr>
          <w:rFonts w:ascii="宋体" w:hAnsi="宋体" w:cs="宋体"/>
          <w:color w:val="auto"/>
          <w:sz w:val="22"/>
          <w:szCs w:val="22"/>
        </w:rPr>
      </w:pPr>
      <w:r>
        <w:rPr>
          <w:rFonts w:hint="eastAsia" w:ascii="宋体" w:hAnsi="宋体" w:cs="宋体"/>
          <w:color w:val="auto"/>
          <w:sz w:val="22"/>
          <w:szCs w:val="22"/>
        </w:rPr>
        <w:t>各评委成员按下列评分项目进行评定，每人一张评分计算表，由评标委员会成员各自评定打分并记实名。</w:t>
      </w:r>
      <w:r>
        <w:rPr>
          <w:rFonts w:hint="eastAsia" w:ascii="宋体" w:hAnsi="宋体" w:cs="宋体"/>
          <w:b/>
          <w:color w:val="auto"/>
          <w:sz w:val="22"/>
          <w:szCs w:val="22"/>
        </w:rPr>
        <w:t>如任何一张表的一项评分内容分值超过规定的范围，则该张表无效。</w:t>
      </w:r>
      <w:r>
        <w:rPr>
          <w:rFonts w:hint="eastAsia" w:ascii="宋体" w:hAnsi="宋体" w:cs="宋体"/>
          <w:color w:val="auto"/>
          <w:sz w:val="22"/>
          <w:szCs w:val="22"/>
        </w:rPr>
        <w:t>评标委员会成员对各投标人的各项评分内容评分合计值的算术平均值为该投标人商务技术文件的最终得分（四舍五入，保留小数点后二位）。</w:t>
      </w:r>
    </w:p>
    <w:tbl>
      <w:tblPr>
        <w:tblStyle w:val="58"/>
        <w:tblW w:w="5000" w:type="pct"/>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479"/>
        <w:gridCol w:w="1114"/>
        <w:gridCol w:w="847"/>
        <w:gridCol w:w="741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blHeader/>
        </w:trPr>
        <w:tc>
          <w:tcPr>
            <w:tcW w:w="243" w:type="pct"/>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序号</w:t>
            </w:r>
          </w:p>
        </w:tc>
        <w:tc>
          <w:tcPr>
            <w:tcW w:w="565" w:type="pct"/>
            <w:noWrap/>
            <w:vAlign w:val="center"/>
          </w:tcPr>
          <w:p>
            <w:pPr>
              <w:widowControl/>
              <w:ind w:left="-107" w:leftChars="-51"/>
              <w:jc w:val="center"/>
              <w:rPr>
                <w:rFonts w:ascii="宋体" w:hAnsi="宋体" w:cs="宋体"/>
                <w:b/>
                <w:bCs/>
                <w:color w:val="auto"/>
                <w:kern w:val="0"/>
                <w:sz w:val="22"/>
                <w:szCs w:val="22"/>
              </w:rPr>
            </w:pPr>
            <w:r>
              <w:rPr>
                <w:rFonts w:hint="eastAsia" w:ascii="宋体" w:hAnsi="宋体" w:cs="宋体"/>
                <w:b/>
                <w:bCs/>
                <w:color w:val="auto"/>
                <w:kern w:val="0"/>
                <w:sz w:val="22"/>
                <w:szCs w:val="22"/>
              </w:rPr>
              <w:t>评分内容</w:t>
            </w:r>
          </w:p>
        </w:tc>
        <w:tc>
          <w:tcPr>
            <w:tcW w:w="430" w:type="pct"/>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分值</w:t>
            </w:r>
          </w:p>
        </w:tc>
        <w:tc>
          <w:tcPr>
            <w:tcW w:w="3760" w:type="pct"/>
            <w:noWrap/>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评分标准说明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418" w:hRule="atLeast"/>
        </w:trPr>
        <w:tc>
          <w:tcPr>
            <w:tcW w:w="243"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565" w:type="pct"/>
            <w:noWrap/>
            <w:vAlign w:val="center"/>
          </w:tcPr>
          <w:p>
            <w:pPr>
              <w:ind w:left="-107" w:leftChars="-51"/>
              <w:jc w:val="center"/>
              <w:rPr>
                <w:rFonts w:ascii="宋体" w:hAnsi="宋体" w:cs="宋体"/>
                <w:color w:val="auto"/>
                <w:sz w:val="22"/>
                <w:szCs w:val="22"/>
              </w:rPr>
            </w:pPr>
            <w:r>
              <w:rPr>
                <w:rFonts w:hint="eastAsia" w:ascii="宋体" w:hAnsi="宋体" w:cs="宋体"/>
                <w:color w:val="auto"/>
                <w:sz w:val="22"/>
                <w:szCs w:val="22"/>
              </w:rPr>
              <w:t>供应商实力、资信和信誉</w:t>
            </w: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0-10</w:t>
            </w:r>
          </w:p>
        </w:tc>
        <w:tc>
          <w:tcPr>
            <w:tcW w:w="3760" w:type="pct"/>
            <w:noWrap/>
            <w:vAlign w:val="center"/>
          </w:tcPr>
          <w:p>
            <w:pPr>
              <w:snapToGrid w:val="0"/>
              <w:ind w:left="-107"/>
              <w:rPr>
                <w:rFonts w:hint="eastAsia" w:ascii="宋体" w:hAnsi="宋体" w:cs="宋体"/>
                <w:color w:val="auto"/>
                <w:sz w:val="22"/>
                <w:szCs w:val="22"/>
              </w:rPr>
            </w:pPr>
            <w:r>
              <w:rPr>
                <w:rFonts w:hint="eastAsia" w:ascii="宋体" w:hAnsi="宋体" w:cs="宋体"/>
                <w:color w:val="auto"/>
                <w:sz w:val="22"/>
                <w:szCs w:val="22"/>
              </w:rPr>
              <w:t>供应商具有ISO27001《信息安全管理体系认证》、ISO22301《业务连续性管理体系认证证书》、ISO45001《职业健康安全管理体系认证》</w:t>
            </w:r>
            <w:r>
              <w:rPr>
                <w:rFonts w:hint="eastAsia" w:ascii="宋体" w:hAnsi="宋体" w:cs="宋体"/>
                <w:color w:val="auto"/>
                <w:sz w:val="22"/>
                <w:szCs w:val="22"/>
                <w:lang w:eastAsia="zh-CN"/>
              </w:rPr>
              <w:t>、</w:t>
            </w:r>
            <w:r>
              <w:rPr>
                <w:rFonts w:hint="eastAsia" w:ascii="宋体" w:hAnsi="宋体" w:cs="宋体"/>
                <w:color w:val="auto"/>
                <w:sz w:val="22"/>
                <w:szCs w:val="22"/>
              </w:rPr>
              <w:t>ISO9001《企业质量体系认证》、ISO20000《信息技术服务管理体系证书》，每种证书得2分，全满足得</w:t>
            </w:r>
            <w:r>
              <w:rPr>
                <w:rFonts w:hint="eastAsia" w:ascii="宋体" w:hAnsi="宋体" w:cs="宋体"/>
                <w:color w:val="auto"/>
                <w:sz w:val="22"/>
                <w:szCs w:val="22"/>
                <w:lang w:val="en-US" w:eastAsia="zh-CN"/>
              </w:rPr>
              <w:t>10</w:t>
            </w:r>
            <w:r>
              <w:rPr>
                <w:rFonts w:hint="eastAsia" w:ascii="宋体" w:hAnsi="宋体" w:cs="宋体"/>
                <w:color w:val="auto"/>
                <w:sz w:val="22"/>
                <w:szCs w:val="22"/>
              </w:rPr>
              <w:t>分。</w:t>
            </w:r>
          </w:p>
          <w:p>
            <w:pPr>
              <w:snapToGrid w:val="0"/>
              <w:ind w:left="-107"/>
              <w:rPr>
                <w:rFonts w:ascii="宋体" w:hAnsi="宋体" w:cs="宋体"/>
                <w:color w:val="auto"/>
                <w:sz w:val="22"/>
                <w:szCs w:val="22"/>
              </w:rPr>
            </w:pPr>
            <w:r>
              <w:rPr>
                <w:rFonts w:hint="eastAsia" w:ascii="宋体" w:hAnsi="宋体" w:eastAsia="宋体" w:cs="宋体"/>
                <w:i w:val="0"/>
                <w:iCs w:val="0"/>
                <w:color w:val="auto"/>
                <w:kern w:val="0"/>
                <w:sz w:val="22"/>
                <w:szCs w:val="22"/>
                <w:u w:val="none"/>
                <w:lang w:val="en-US" w:eastAsia="zh-CN" w:bidi="ar"/>
              </w:rPr>
              <w:t>注:以上证书提供证书扫描件加盖公章，不提供不得分。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rPr>
        <w:tc>
          <w:tcPr>
            <w:tcW w:w="243"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565" w:type="pct"/>
            <w:noWrap/>
            <w:vAlign w:val="center"/>
          </w:tcPr>
          <w:p>
            <w:pPr>
              <w:ind w:left="-107" w:leftChars="-51"/>
              <w:jc w:val="center"/>
              <w:rPr>
                <w:rFonts w:ascii="宋体" w:hAnsi="宋体" w:cs="宋体"/>
                <w:color w:val="auto"/>
                <w:sz w:val="22"/>
                <w:szCs w:val="22"/>
              </w:rPr>
            </w:pPr>
            <w:r>
              <w:rPr>
                <w:rFonts w:hint="eastAsia" w:ascii="宋体" w:hAnsi="宋体" w:cs="宋体"/>
                <w:color w:val="auto"/>
                <w:sz w:val="22"/>
                <w:szCs w:val="22"/>
              </w:rPr>
              <w:t>同类项目业绩</w:t>
            </w: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0-2</w:t>
            </w:r>
          </w:p>
        </w:tc>
        <w:tc>
          <w:tcPr>
            <w:tcW w:w="3760" w:type="pct"/>
            <w:noWrap/>
            <w:vAlign w:val="center"/>
          </w:tcPr>
          <w:p>
            <w:pPr>
              <w:snapToGrid w:val="0"/>
              <w:ind w:left="-107"/>
              <w:rPr>
                <w:rFonts w:ascii="宋体" w:hAnsi="宋体" w:cs="宋体"/>
                <w:color w:val="auto"/>
                <w:sz w:val="22"/>
                <w:szCs w:val="22"/>
              </w:rPr>
            </w:pPr>
            <w:r>
              <w:rPr>
                <w:rFonts w:hint="eastAsia" w:ascii="宋体" w:hAnsi="宋体" w:cs="宋体"/>
                <w:color w:val="auto"/>
                <w:sz w:val="22"/>
                <w:szCs w:val="22"/>
              </w:rPr>
              <w:t>根据供应商提供的业绩打分：</w:t>
            </w:r>
          </w:p>
          <w:p>
            <w:pPr>
              <w:snapToGrid w:val="0"/>
              <w:ind w:left="-107"/>
              <w:rPr>
                <w:rFonts w:ascii="宋体" w:hAnsi="宋体" w:cs="宋体"/>
                <w:color w:val="auto"/>
                <w:sz w:val="22"/>
                <w:szCs w:val="22"/>
              </w:rPr>
            </w:pPr>
            <w:r>
              <w:rPr>
                <w:rFonts w:hint="eastAsia" w:ascii="宋体" w:hAnsi="宋体" w:cs="宋体"/>
                <w:color w:val="auto"/>
                <w:sz w:val="22"/>
                <w:szCs w:val="22"/>
              </w:rPr>
              <w:t>投标供应商具有2021年1年1日至今同类项目业绩每个得2分，本项最多得2分。</w:t>
            </w:r>
          </w:p>
          <w:p>
            <w:pPr>
              <w:snapToGrid w:val="0"/>
              <w:ind w:left="-107"/>
              <w:rPr>
                <w:rFonts w:ascii="宋体" w:hAnsi="宋体" w:cs="宋体"/>
                <w:color w:val="auto"/>
                <w:sz w:val="22"/>
                <w:szCs w:val="22"/>
              </w:rPr>
            </w:pPr>
            <w:r>
              <w:rPr>
                <w:rFonts w:hint="eastAsia" w:ascii="宋体" w:hAnsi="宋体" w:cs="宋体"/>
                <w:color w:val="auto"/>
                <w:sz w:val="22"/>
                <w:szCs w:val="22"/>
              </w:rPr>
              <w:t>业绩证明需提供合同扫描件加盖单位公章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332" w:hRule="atLeast"/>
        </w:trPr>
        <w:tc>
          <w:tcPr>
            <w:tcW w:w="243" w:type="pct"/>
            <w:vMerge w:val="restar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1114" w:type="dxa"/>
            <w:vMerge w:val="restart"/>
            <w:noWrap/>
            <w:vAlign w:val="center"/>
          </w:tcPr>
          <w:p>
            <w:pPr>
              <w:ind w:left="-107" w:leftChars="-51"/>
              <w:jc w:val="center"/>
              <w:rPr>
                <w:rFonts w:ascii="宋体" w:hAnsi="宋体" w:cs="宋体"/>
                <w:color w:val="auto"/>
                <w:sz w:val="22"/>
                <w:szCs w:val="22"/>
              </w:rPr>
            </w:pPr>
            <w:r>
              <w:rPr>
                <w:rFonts w:hint="eastAsia" w:ascii="宋体" w:hAnsi="宋体" w:cs="宋体"/>
                <w:color w:val="auto"/>
                <w:sz w:val="22"/>
                <w:szCs w:val="22"/>
              </w:rPr>
              <w:t>供应商项目维保方案、技术服务方案</w:t>
            </w: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0-9</w:t>
            </w:r>
          </w:p>
        </w:tc>
        <w:tc>
          <w:tcPr>
            <w:tcW w:w="3760" w:type="pct"/>
            <w:noWrap/>
            <w:vAlign w:val="center"/>
          </w:tcPr>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供应商对机房设备维护服务的熟悉程度，提供的技术服务方案是否满足采购人的要求，在同等级服务中是否具有优势，其方案的可行性如何（0-9分）；</w:t>
            </w:r>
          </w:p>
          <w:p>
            <w:pPr>
              <w:snapToGrid w:val="0"/>
              <w:ind w:left="-107" w:leftChars="-51"/>
              <w:rPr>
                <w:rFonts w:hint="default" w:ascii="宋体" w:hAnsi="宋体" w:cs="宋体"/>
                <w:color w:val="auto"/>
                <w:kern w:val="0"/>
                <w:sz w:val="22"/>
                <w:szCs w:val="22"/>
                <w:lang w:val="en-US" w:eastAsia="zh-CN"/>
              </w:rPr>
            </w:pPr>
            <w:r>
              <w:rPr>
                <w:rFonts w:hint="eastAsia" w:ascii="宋体" w:hAnsi="宋体" w:cs="宋体"/>
                <w:color w:val="auto"/>
                <w:kern w:val="0"/>
                <w:sz w:val="22"/>
                <w:szCs w:val="22"/>
              </w:rPr>
              <w:t>A档9分；B档6分；C档：3分。</w:t>
            </w:r>
            <w:r>
              <w:rPr>
                <w:rFonts w:hint="eastAsia" w:ascii="宋体" w:hAnsi="宋体" w:cs="宋体"/>
                <w:color w:val="auto"/>
                <w:kern w:val="0"/>
                <w:sz w:val="22"/>
                <w:szCs w:val="22"/>
                <w:lang w:val="en-US" w:eastAsia="zh-CN"/>
              </w:rPr>
              <w:t>未提供本项的不得分。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rPr>
        <w:tc>
          <w:tcPr>
            <w:tcW w:w="243" w:type="pct"/>
            <w:vMerge w:val="continue"/>
            <w:noWrap/>
            <w:vAlign w:val="center"/>
          </w:tcPr>
          <w:p>
            <w:pPr>
              <w:widowControl/>
              <w:jc w:val="center"/>
              <w:rPr>
                <w:rFonts w:ascii="宋体" w:hAnsi="宋体" w:cs="宋体"/>
                <w:color w:val="auto"/>
                <w:kern w:val="0"/>
                <w:sz w:val="22"/>
                <w:szCs w:val="22"/>
              </w:rPr>
            </w:pPr>
          </w:p>
        </w:tc>
        <w:tc>
          <w:tcPr>
            <w:tcW w:w="565" w:type="pct"/>
            <w:vMerge w:val="continue"/>
            <w:noWrap/>
            <w:vAlign w:val="center"/>
          </w:tcPr>
          <w:p>
            <w:pPr>
              <w:ind w:left="-107" w:leftChars="-51"/>
              <w:jc w:val="center"/>
              <w:rPr>
                <w:rFonts w:ascii="宋体" w:hAnsi="宋体" w:cs="宋体"/>
                <w:color w:val="auto"/>
                <w:sz w:val="22"/>
                <w:szCs w:val="22"/>
              </w:rPr>
            </w:pP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0-9</w:t>
            </w:r>
          </w:p>
        </w:tc>
        <w:tc>
          <w:tcPr>
            <w:tcW w:w="3760" w:type="pct"/>
            <w:noWrap/>
            <w:vAlign w:val="center"/>
          </w:tcPr>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供应商是否建立运行服务保障应急预案，方案对本次采购单位现有所有系统的服务可能遇到的问题及其应对措施的考虑情况、故障处理的组织和联系机制的合理性、有效性等（0-9分）；</w:t>
            </w:r>
          </w:p>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A档9分；B档6分；C档：3分。</w:t>
            </w:r>
            <w:r>
              <w:rPr>
                <w:rFonts w:hint="eastAsia" w:ascii="宋体" w:hAnsi="宋体" w:cs="宋体"/>
                <w:color w:val="auto"/>
                <w:kern w:val="0"/>
                <w:sz w:val="22"/>
                <w:szCs w:val="22"/>
                <w:lang w:val="en-US" w:eastAsia="zh-CN"/>
              </w:rPr>
              <w:t>未提供本项的不得分。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rPr>
        <w:tc>
          <w:tcPr>
            <w:tcW w:w="243" w:type="pct"/>
            <w:vMerge w:val="continue"/>
            <w:noWrap/>
            <w:vAlign w:val="center"/>
          </w:tcPr>
          <w:p>
            <w:pPr>
              <w:widowControl/>
              <w:jc w:val="center"/>
              <w:rPr>
                <w:rFonts w:ascii="宋体" w:hAnsi="宋体" w:cs="宋体"/>
                <w:color w:val="auto"/>
                <w:kern w:val="0"/>
                <w:sz w:val="22"/>
                <w:szCs w:val="22"/>
              </w:rPr>
            </w:pPr>
          </w:p>
        </w:tc>
        <w:tc>
          <w:tcPr>
            <w:tcW w:w="565" w:type="pct"/>
            <w:vMerge w:val="continue"/>
            <w:noWrap/>
            <w:vAlign w:val="center"/>
          </w:tcPr>
          <w:p>
            <w:pPr>
              <w:ind w:left="-107" w:leftChars="-51"/>
              <w:jc w:val="center"/>
              <w:rPr>
                <w:rFonts w:ascii="宋体" w:hAnsi="宋体" w:cs="宋体"/>
                <w:color w:val="auto"/>
                <w:sz w:val="22"/>
                <w:szCs w:val="22"/>
              </w:rPr>
            </w:pP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0-9</w:t>
            </w:r>
          </w:p>
        </w:tc>
        <w:tc>
          <w:tcPr>
            <w:tcW w:w="3760" w:type="pct"/>
            <w:noWrap/>
            <w:vAlign w:val="center"/>
          </w:tcPr>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供应商是否建立定期巡检制度和系统运行情况报告制度，定期出具巡检和系统运行情况报告；是否建立服务档案和解决方案资料库等工作台帐（0-9分）；</w:t>
            </w:r>
          </w:p>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A档9分；B档6分；C档：3分。</w:t>
            </w:r>
            <w:r>
              <w:rPr>
                <w:rFonts w:hint="eastAsia" w:ascii="宋体" w:hAnsi="宋体" w:cs="宋体"/>
                <w:color w:val="auto"/>
                <w:kern w:val="0"/>
                <w:sz w:val="22"/>
                <w:szCs w:val="22"/>
                <w:lang w:val="en-US" w:eastAsia="zh-CN"/>
              </w:rPr>
              <w:t>未提供本项的不得分。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837" w:hRule="atLeast"/>
        </w:trPr>
        <w:tc>
          <w:tcPr>
            <w:tcW w:w="243" w:type="pct"/>
            <w:vMerge w:val="continue"/>
            <w:noWrap/>
            <w:vAlign w:val="center"/>
          </w:tcPr>
          <w:p>
            <w:pPr>
              <w:widowControl/>
              <w:jc w:val="center"/>
              <w:rPr>
                <w:rFonts w:ascii="宋体" w:hAnsi="宋体" w:cs="宋体"/>
                <w:color w:val="auto"/>
                <w:kern w:val="0"/>
                <w:sz w:val="22"/>
                <w:szCs w:val="22"/>
              </w:rPr>
            </w:pPr>
          </w:p>
        </w:tc>
        <w:tc>
          <w:tcPr>
            <w:tcW w:w="565" w:type="pct"/>
            <w:vMerge w:val="continue"/>
            <w:noWrap/>
            <w:vAlign w:val="center"/>
          </w:tcPr>
          <w:p>
            <w:pPr>
              <w:ind w:left="-107" w:leftChars="-51"/>
              <w:jc w:val="center"/>
              <w:rPr>
                <w:rFonts w:ascii="宋体" w:hAnsi="宋体" w:cs="宋体"/>
                <w:color w:val="auto"/>
                <w:sz w:val="22"/>
                <w:szCs w:val="22"/>
              </w:rPr>
            </w:pP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0-3</w:t>
            </w:r>
          </w:p>
        </w:tc>
        <w:tc>
          <w:tcPr>
            <w:tcW w:w="3760" w:type="pct"/>
            <w:noWrap/>
            <w:vAlign w:val="center"/>
          </w:tcPr>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供应商具有完备的服务中心响应情况（0-3分）；</w:t>
            </w:r>
          </w:p>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A档3分；B档2分；C档：1分。</w:t>
            </w:r>
            <w:r>
              <w:rPr>
                <w:rFonts w:hint="eastAsia" w:ascii="宋体" w:hAnsi="宋体" w:cs="宋体"/>
                <w:color w:val="auto"/>
                <w:kern w:val="0"/>
                <w:sz w:val="22"/>
                <w:szCs w:val="22"/>
                <w:lang w:val="en-US" w:eastAsia="zh-CN"/>
              </w:rPr>
              <w:t>未提供本项的不得分。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rPr>
        <w:tc>
          <w:tcPr>
            <w:tcW w:w="243" w:type="pct"/>
            <w:vMerge w:val="continue"/>
            <w:noWrap/>
            <w:vAlign w:val="center"/>
          </w:tcPr>
          <w:p>
            <w:pPr>
              <w:widowControl/>
              <w:jc w:val="center"/>
              <w:rPr>
                <w:rFonts w:ascii="宋体" w:hAnsi="宋体" w:cs="宋体"/>
                <w:color w:val="auto"/>
                <w:kern w:val="0"/>
                <w:sz w:val="22"/>
                <w:szCs w:val="22"/>
              </w:rPr>
            </w:pPr>
          </w:p>
        </w:tc>
        <w:tc>
          <w:tcPr>
            <w:tcW w:w="565" w:type="pct"/>
            <w:vMerge w:val="continue"/>
            <w:noWrap/>
            <w:vAlign w:val="center"/>
          </w:tcPr>
          <w:p>
            <w:pPr>
              <w:ind w:left="-107" w:leftChars="-51"/>
              <w:jc w:val="center"/>
              <w:rPr>
                <w:rFonts w:ascii="宋体" w:hAnsi="宋体" w:cs="宋体"/>
                <w:color w:val="auto"/>
                <w:sz w:val="22"/>
                <w:szCs w:val="22"/>
              </w:rPr>
            </w:pPr>
          </w:p>
        </w:tc>
        <w:tc>
          <w:tcPr>
            <w:tcW w:w="430" w:type="pct"/>
            <w:noWrap/>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0-3</w:t>
            </w:r>
          </w:p>
        </w:tc>
        <w:tc>
          <w:tcPr>
            <w:tcW w:w="3760" w:type="pct"/>
            <w:noWrap/>
            <w:vAlign w:val="center"/>
          </w:tcPr>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供应商备品备件响应情况，根据投标人提供的备件信息与采购人现有设备的吻合度（提供备件照片为准）综合比较打分（0-3分）；</w:t>
            </w:r>
          </w:p>
          <w:p>
            <w:pPr>
              <w:snapToGrid w:val="0"/>
              <w:ind w:left="-107" w:leftChars="-51"/>
              <w:rPr>
                <w:rFonts w:hint="eastAsia" w:ascii="宋体" w:hAnsi="宋体" w:cs="宋体"/>
                <w:color w:val="auto"/>
                <w:kern w:val="0"/>
                <w:sz w:val="22"/>
                <w:szCs w:val="22"/>
              </w:rPr>
            </w:pPr>
            <w:r>
              <w:rPr>
                <w:rFonts w:hint="eastAsia" w:ascii="宋体" w:hAnsi="宋体" w:cs="宋体"/>
                <w:color w:val="auto"/>
                <w:kern w:val="0"/>
                <w:sz w:val="22"/>
                <w:szCs w:val="22"/>
              </w:rPr>
              <w:t>A档3分；B档2分；C档：1分。</w:t>
            </w:r>
            <w:r>
              <w:rPr>
                <w:rFonts w:hint="eastAsia" w:ascii="宋体" w:hAnsi="宋体" w:cs="宋体"/>
                <w:color w:val="auto"/>
                <w:kern w:val="0"/>
                <w:sz w:val="22"/>
                <w:szCs w:val="22"/>
                <w:lang w:val="en-US" w:eastAsia="zh-CN"/>
              </w:rPr>
              <w:t>未提供本项的不得分。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rPr>
        <w:tc>
          <w:tcPr>
            <w:tcW w:w="243" w:type="pct"/>
            <w:vMerge w:val="continue"/>
            <w:noWrap/>
            <w:vAlign w:val="center"/>
          </w:tcPr>
          <w:p>
            <w:pPr>
              <w:widowControl/>
              <w:jc w:val="center"/>
              <w:rPr>
                <w:rFonts w:ascii="宋体" w:hAnsi="宋体" w:cs="宋体"/>
                <w:color w:val="auto"/>
                <w:kern w:val="0"/>
                <w:sz w:val="22"/>
                <w:szCs w:val="22"/>
              </w:rPr>
            </w:pPr>
          </w:p>
        </w:tc>
        <w:tc>
          <w:tcPr>
            <w:tcW w:w="565" w:type="pct"/>
            <w:vMerge w:val="continue"/>
            <w:noWrap/>
            <w:vAlign w:val="center"/>
          </w:tcPr>
          <w:p>
            <w:pPr>
              <w:ind w:left="-107" w:leftChars="-51"/>
              <w:jc w:val="center"/>
              <w:rPr>
                <w:rFonts w:ascii="宋体" w:hAnsi="宋体" w:cs="宋体"/>
                <w:color w:val="auto"/>
                <w:sz w:val="22"/>
                <w:szCs w:val="22"/>
              </w:rPr>
            </w:pPr>
          </w:p>
        </w:tc>
        <w:tc>
          <w:tcPr>
            <w:tcW w:w="430" w:type="pct"/>
            <w:noWrap/>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0-3</w:t>
            </w:r>
          </w:p>
        </w:tc>
        <w:tc>
          <w:tcPr>
            <w:tcW w:w="3760" w:type="pct"/>
            <w:noWrap/>
            <w:vAlign w:val="center"/>
          </w:tcPr>
          <w:p>
            <w:pPr>
              <w:snapToGrid w:val="0"/>
              <w:ind w:left="-107" w:leftChars="-51"/>
              <w:rPr>
                <w:rFonts w:ascii="宋体" w:hAnsi="宋体" w:cs="宋体"/>
                <w:color w:val="auto"/>
                <w:kern w:val="0"/>
                <w:sz w:val="22"/>
                <w:szCs w:val="22"/>
              </w:rPr>
            </w:pPr>
            <w:r>
              <w:rPr>
                <w:rFonts w:hint="eastAsia" w:ascii="宋体" w:hAnsi="宋体" w:cs="宋体"/>
                <w:color w:val="auto"/>
                <w:kern w:val="0"/>
                <w:sz w:val="22"/>
                <w:szCs w:val="22"/>
              </w:rPr>
              <w:t>供应商根据本项目维保设备的备品备件响应情况，最近的备件库详细地址距离与备品备件到现场的响应时间，综合比较打分（0-3分）；</w:t>
            </w:r>
          </w:p>
          <w:p>
            <w:pPr>
              <w:snapToGrid w:val="0"/>
              <w:ind w:left="-107" w:leftChars="-51"/>
              <w:rPr>
                <w:rFonts w:ascii="宋体" w:hAnsi="宋体" w:cs="宋体"/>
                <w:color w:val="auto"/>
                <w:kern w:val="0"/>
                <w:sz w:val="22"/>
                <w:szCs w:val="22"/>
              </w:rPr>
            </w:pPr>
            <w:r>
              <w:rPr>
                <w:rFonts w:hint="eastAsia" w:ascii="宋体" w:hAnsi="宋体" w:cs="宋体"/>
                <w:color w:val="auto"/>
                <w:kern w:val="0"/>
                <w:sz w:val="22"/>
                <w:szCs w:val="22"/>
              </w:rPr>
              <w:t>A档3分；B档2分；C档：1分。</w:t>
            </w:r>
            <w:r>
              <w:rPr>
                <w:rFonts w:hint="eastAsia" w:ascii="宋体" w:hAnsi="宋体" w:cs="宋体"/>
                <w:color w:val="auto"/>
                <w:kern w:val="0"/>
                <w:sz w:val="22"/>
                <w:szCs w:val="22"/>
                <w:lang w:val="en-US" w:eastAsia="zh-CN"/>
              </w:rPr>
              <w:t>未提供本项的不得分。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rPr>
        <w:tc>
          <w:tcPr>
            <w:tcW w:w="243"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565" w:type="pct"/>
            <w:noWrap/>
            <w:vAlign w:val="center"/>
          </w:tcPr>
          <w:p>
            <w:pPr>
              <w:ind w:left="-107" w:leftChars="-51"/>
              <w:jc w:val="center"/>
              <w:rPr>
                <w:rFonts w:ascii="宋体" w:hAnsi="宋体" w:cs="宋体"/>
                <w:color w:val="auto"/>
                <w:sz w:val="22"/>
                <w:szCs w:val="22"/>
              </w:rPr>
            </w:pPr>
            <w:r>
              <w:rPr>
                <w:rFonts w:hint="eastAsia" w:ascii="宋体" w:hAnsi="宋体" w:cs="宋体"/>
                <w:color w:val="auto"/>
                <w:kern w:val="0"/>
                <w:sz w:val="22"/>
                <w:szCs w:val="22"/>
              </w:rPr>
              <w:t>服务小组成员专业技术情况</w:t>
            </w: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0-26</w:t>
            </w:r>
          </w:p>
        </w:tc>
        <w:tc>
          <w:tcPr>
            <w:tcW w:w="3760" w:type="pct"/>
            <w:noWrap/>
            <w:vAlign w:val="center"/>
          </w:tcPr>
          <w:p>
            <w:pPr>
              <w:widowControl/>
              <w:textAlignment w:val="center"/>
              <w:rPr>
                <w:rFonts w:ascii="宋体" w:hAnsi="宋体" w:cs="宋体"/>
                <w:color w:val="auto"/>
                <w:sz w:val="22"/>
                <w:szCs w:val="22"/>
              </w:rPr>
            </w:pPr>
            <w:r>
              <w:rPr>
                <w:rFonts w:hint="eastAsia" w:ascii="宋体" w:hAnsi="宋体" w:cs="宋体"/>
                <w:color w:val="auto"/>
                <w:sz w:val="22"/>
                <w:szCs w:val="22"/>
              </w:rPr>
              <w:t>1.供应商为本项目指派项目经理（一名），项目经理同时具备高级网络与信息安全工程师证书、售后服务管理师证书、高级信息系统项目管理师证书，三个证书得6分；同时具备两个证书得2分；具备一个证书得1分；均不具备得0分。</w:t>
            </w:r>
          </w:p>
          <w:p>
            <w:pPr>
              <w:widowControl/>
              <w:textAlignment w:val="center"/>
              <w:rPr>
                <w:rFonts w:ascii="宋体" w:hAnsi="宋体" w:cs="宋体"/>
                <w:color w:val="auto"/>
                <w:sz w:val="22"/>
                <w:szCs w:val="22"/>
              </w:rPr>
            </w:pPr>
            <w:r>
              <w:rPr>
                <w:rFonts w:hint="eastAsia" w:ascii="宋体" w:hAnsi="宋体" w:cs="宋体"/>
                <w:color w:val="auto"/>
                <w:sz w:val="22"/>
                <w:szCs w:val="22"/>
              </w:rPr>
              <w:t>2.供应商为本项目指派技术总监（一名），技术总监同时具备高级信息系统项目管理师、系统架构设计师(高级)、数据库系统工程师证书，三个证书得6分；同时具备两个证书得2分；具备一个证书得1分；均不具备得0分。</w:t>
            </w:r>
          </w:p>
          <w:p>
            <w:pPr>
              <w:widowControl/>
              <w:textAlignment w:val="center"/>
              <w:rPr>
                <w:rFonts w:ascii="宋体" w:hAnsi="宋体" w:cs="宋体"/>
                <w:color w:val="auto"/>
                <w:sz w:val="22"/>
                <w:szCs w:val="22"/>
              </w:rPr>
            </w:pPr>
            <w:r>
              <w:rPr>
                <w:rFonts w:hint="eastAsia" w:ascii="宋体" w:hAnsi="宋体" w:cs="宋体"/>
                <w:color w:val="auto"/>
                <w:sz w:val="22"/>
                <w:szCs w:val="22"/>
              </w:rPr>
              <w:t>3.供应商为本项目指派安全总监（一名），安全总监同时</w:t>
            </w:r>
            <w:r>
              <w:rPr>
                <w:rFonts w:hint="eastAsia" w:ascii="宋体" w:hAnsi="宋体" w:cs="宋体"/>
                <w:color w:val="auto"/>
                <w:kern w:val="0"/>
                <w:sz w:val="22"/>
                <w:szCs w:val="22"/>
              </w:rPr>
              <w:t>具</w:t>
            </w:r>
            <w:r>
              <w:rPr>
                <w:rFonts w:hint="eastAsia" w:ascii="宋体" w:hAnsi="宋体" w:cs="宋体"/>
                <w:color w:val="auto"/>
                <w:sz w:val="22"/>
                <w:szCs w:val="22"/>
              </w:rPr>
              <w:t>备</w:t>
            </w:r>
            <w:r>
              <w:rPr>
                <w:rFonts w:hint="eastAsia" w:ascii="宋体" w:hAnsi="宋体" w:cs="宋体"/>
                <w:color w:val="auto"/>
                <w:kern w:val="0"/>
                <w:sz w:val="22"/>
                <w:szCs w:val="22"/>
              </w:rPr>
              <w:t>高级信息系统项目管理师、中级信息安全工程师、信息安全管理（高级）证书，三个证书</w:t>
            </w:r>
            <w:r>
              <w:rPr>
                <w:rFonts w:hint="eastAsia" w:ascii="宋体" w:hAnsi="宋体" w:cs="宋体"/>
                <w:color w:val="auto"/>
                <w:sz w:val="22"/>
                <w:szCs w:val="22"/>
              </w:rPr>
              <w:t>得6分；同时具备两个证书得2分；具备一个证书得1分；均不具备得0分。</w:t>
            </w:r>
          </w:p>
          <w:p>
            <w:pPr>
              <w:pStyle w:val="78"/>
              <w:rPr>
                <w:rFonts w:ascii="宋体" w:hAnsi="宋体"/>
                <w:color w:val="auto"/>
                <w:sz w:val="22"/>
                <w:szCs w:val="22"/>
              </w:rPr>
            </w:pPr>
            <w:r>
              <w:rPr>
                <w:rFonts w:hint="eastAsia" w:ascii="宋体" w:hAnsi="宋体"/>
                <w:color w:val="auto"/>
                <w:sz w:val="22"/>
                <w:szCs w:val="22"/>
              </w:rPr>
              <w:t>4.供应商拟派本项目的项目组人员（除项目经理、技术总监、安全总监）</w:t>
            </w:r>
          </w:p>
          <w:p>
            <w:pPr>
              <w:pStyle w:val="78"/>
              <w:rPr>
                <w:rFonts w:ascii="宋体" w:hAnsi="宋体"/>
                <w:color w:val="auto"/>
                <w:sz w:val="22"/>
                <w:szCs w:val="22"/>
              </w:rPr>
            </w:pPr>
            <w:r>
              <w:rPr>
                <w:rFonts w:hint="eastAsia" w:ascii="宋体" w:hAnsi="宋体"/>
                <w:color w:val="auto"/>
                <w:sz w:val="22"/>
                <w:szCs w:val="22"/>
              </w:rPr>
              <w:t>①能提供持有高级工程师（信息技术）证书的工程师得2分</w:t>
            </w:r>
          </w:p>
          <w:p>
            <w:pPr>
              <w:pStyle w:val="78"/>
              <w:rPr>
                <w:rFonts w:ascii="宋体" w:hAnsi="宋体"/>
                <w:color w:val="auto"/>
                <w:sz w:val="22"/>
                <w:szCs w:val="22"/>
              </w:rPr>
            </w:pPr>
            <w:r>
              <w:rPr>
                <w:rFonts w:hint="eastAsia" w:ascii="宋体" w:hAnsi="宋体"/>
                <w:color w:val="auto"/>
                <w:sz w:val="22"/>
                <w:szCs w:val="22"/>
              </w:rPr>
              <w:t>②能提供持有一级注册消防工程师的得2分；</w:t>
            </w:r>
          </w:p>
          <w:p>
            <w:pPr>
              <w:pStyle w:val="78"/>
              <w:rPr>
                <w:rFonts w:ascii="宋体" w:hAnsi="宋体"/>
                <w:color w:val="auto"/>
                <w:sz w:val="22"/>
                <w:szCs w:val="22"/>
              </w:rPr>
            </w:pPr>
            <w:r>
              <w:rPr>
                <w:rFonts w:hint="eastAsia" w:ascii="宋体" w:hAnsi="宋体"/>
                <w:color w:val="auto"/>
                <w:sz w:val="22"/>
                <w:szCs w:val="22"/>
              </w:rPr>
              <w:t>③能提供中级数据库系统工程师的得2分；</w:t>
            </w:r>
          </w:p>
          <w:p>
            <w:pPr>
              <w:pStyle w:val="78"/>
              <w:rPr>
                <w:rFonts w:ascii="宋体" w:hAnsi="宋体"/>
                <w:color w:val="auto"/>
                <w:sz w:val="22"/>
                <w:szCs w:val="22"/>
              </w:rPr>
            </w:pPr>
            <w:r>
              <w:rPr>
                <w:rFonts w:hint="eastAsia" w:ascii="宋体" w:hAnsi="宋体"/>
                <w:color w:val="auto"/>
                <w:sz w:val="22"/>
                <w:szCs w:val="22"/>
              </w:rPr>
              <w:t>④能提供CISAW证书（信息安全保障人员认证）的工程师的得2分。</w:t>
            </w:r>
          </w:p>
          <w:p>
            <w:pPr>
              <w:snapToGrid w:val="0"/>
              <w:ind w:left="-107" w:leftChars="-51"/>
              <w:rPr>
                <w:rFonts w:ascii="宋体" w:hAnsi="宋体" w:cs="宋体"/>
                <w:color w:val="auto"/>
                <w:sz w:val="22"/>
                <w:szCs w:val="22"/>
              </w:rPr>
            </w:pPr>
            <w:r>
              <w:rPr>
                <w:rFonts w:hint="eastAsia" w:ascii="宋体" w:hAnsi="宋体" w:cs="宋体"/>
                <w:color w:val="auto"/>
                <w:sz w:val="22"/>
                <w:szCs w:val="22"/>
              </w:rPr>
              <w:t>（注：以上项目人员需提供完整有效的证书扫描件加盖公章，并提供投标截止时间前近三个月任一月在投标单位的社保证明扫描件加盖公章，不提供社保证明扫描件不得分）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857" w:hRule="atLeast"/>
        </w:trPr>
        <w:tc>
          <w:tcPr>
            <w:tcW w:w="243"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565" w:type="pct"/>
            <w:noWrap/>
            <w:vAlign w:val="center"/>
          </w:tcPr>
          <w:p>
            <w:pPr>
              <w:ind w:left="-107" w:leftChars="-51"/>
              <w:jc w:val="center"/>
              <w:rPr>
                <w:rFonts w:ascii="宋体" w:hAnsi="宋体" w:cs="宋体"/>
                <w:color w:val="auto"/>
                <w:kern w:val="0"/>
                <w:sz w:val="22"/>
                <w:szCs w:val="22"/>
              </w:rPr>
            </w:pPr>
            <w:r>
              <w:rPr>
                <w:rFonts w:hint="eastAsia" w:ascii="宋体" w:hAnsi="宋体" w:cs="宋体"/>
                <w:color w:val="auto"/>
                <w:kern w:val="0"/>
                <w:sz w:val="22"/>
                <w:szCs w:val="22"/>
              </w:rPr>
              <w:t>应急服务响应</w:t>
            </w:r>
          </w:p>
        </w:tc>
        <w:tc>
          <w:tcPr>
            <w:tcW w:w="430" w:type="pct"/>
            <w:noWrap/>
            <w:vAlign w:val="center"/>
          </w:tcPr>
          <w:p>
            <w:pPr>
              <w:jc w:val="center"/>
              <w:rPr>
                <w:rFonts w:ascii="宋体" w:hAnsi="宋体" w:cs="宋体"/>
                <w:color w:val="auto"/>
                <w:kern w:val="0"/>
                <w:sz w:val="22"/>
                <w:szCs w:val="22"/>
              </w:rPr>
            </w:pPr>
            <w:r>
              <w:rPr>
                <w:rFonts w:hint="eastAsia" w:ascii="宋体" w:hAnsi="宋体" w:cs="宋体"/>
                <w:color w:val="auto"/>
                <w:kern w:val="0"/>
                <w:sz w:val="22"/>
                <w:szCs w:val="22"/>
              </w:rPr>
              <w:t>0-3</w:t>
            </w:r>
          </w:p>
        </w:tc>
        <w:tc>
          <w:tcPr>
            <w:tcW w:w="3760" w:type="pct"/>
            <w:noWrap/>
            <w:vAlign w:val="center"/>
          </w:tcPr>
          <w:p>
            <w:pPr>
              <w:jc w:val="left"/>
              <w:rPr>
                <w:rFonts w:ascii="宋体" w:hAnsi="宋体" w:cs="宋体"/>
                <w:color w:val="auto"/>
                <w:sz w:val="22"/>
                <w:szCs w:val="22"/>
              </w:rPr>
            </w:pPr>
            <w:r>
              <w:rPr>
                <w:rFonts w:hint="eastAsia" w:ascii="宋体" w:hAnsi="宋体" w:cs="宋体"/>
                <w:color w:val="auto"/>
                <w:sz w:val="22"/>
                <w:szCs w:val="22"/>
              </w:rPr>
              <w:t>根据供应商针对本项目的应急服务响应的组织形式的多样性、人员配备的充足性、响应时间的及时性，综合打分。（0-3分）A档3分；B档2分；C档：1分。</w:t>
            </w:r>
            <w:r>
              <w:rPr>
                <w:rFonts w:hint="eastAsia" w:ascii="宋体" w:hAnsi="宋体" w:cs="宋体"/>
                <w:color w:val="auto"/>
                <w:kern w:val="0"/>
                <w:sz w:val="22"/>
                <w:szCs w:val="22"/>
                <w:lang w:val="en-US" w:eastAsia="zh-CN"/>
              </w:rPr>
              <w:t>未提供本项的不得分。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567" w:hRule="atLeast"/>
        </w:trPr>
        <w:tc>
          <w:tcPr>
            <w:tcW w:w="243" w:type="pct"/>
            <w:noWrap/>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565" w:type="pct"/>
            <w:noWrap/>
            <w:vAlign w:val="center"/>
          </w:tcPr>
          <w:p>
            <w:pPr>
              <w:ind w:left="-107" w:leftChars="-51"/>
              <w:jc w:val="center"/>
              <w:rPr>
                <w:rFonts w:ascii="宋体" w:hAnsi="宋体" w:cs="宋体"/>
                <w:color w:val="auto"/>
                <w:sz w:val="22"/>
                <w:szCs w:val="22"/>
              </w:rPr>
            </w:pPr>
            <w:r>
              <w:rPr>
                <w:rFonts w:hint="eastAsia" w:ascii="宋体" w:hAnsi="宋体" w:cs="宋体"/>
                <w:color w:val="auto"/>
                <w:sz w:val="22"/>
                <w:szCs w:val="22"/>
              </w:rPr>
              <w:t>优惠承诺</w:t>
            </w:r>
          </w:p>
        </w:tc>
        <w:tc>
          <w:tcPr>
            <w:tcW w:w="430" w:type="pct"/>
            <w:noWrap/>
            <w:vAlign w:val="center"/>
          </w:tcPr>
          <w:p>
            <w:pPr>
              <w:widowControl/>
              <w:jc w:val="center"/>
              <w:rPr>
                <w:rFonts w:ascii="宋体" w:hAnsi="宋体" w:cs="宋体"/>
                <w:color w:val="auto"/>
                <w:kern w:val="0"/>
                <w:sz w:val="22"/>
                <w:szCs w:val="22"/>
              </w:rPr>
            </w:pPr>
            <w:r>
              <w:rPr>
                <w:rFonts w:hint="eastAsia" w:ascii="宋体" w:hAnsi="宋体" w:cs="宋体"/>
                <w:color w:val="auto"/>
                <w:sz w:val="22"/>
                <w:szCs w:val="22"/>
              </w:rPr>
              <w:t>0-3</w:t>
            </w:r>
          </w:p>
        </w:tc>
        <w:tc>
          <w:tcPr>
            <w:tcW w:w="3760" w:type="pct"/>
            <w:noWrap/>
            <w:vAlign w:val="center"/>
          </w:tcPr>
          <w:p>
            <w:pPr>
              <w:snapToGrid w:val="0"/>
              <w:ind w:left="-107" w:leftChars="-51"/>
              <w:rPr>
                <w:rFonts w:ascii="宋体" w:hAnsi="宋体" w:cs="宋体"/>
                <w:color w:val="auto"/>
                <w:sz w:val="22"/>
                <w:szCs w:val="22"/>
              </w:rPr>
            </w:pPr>
            <w:r>
              <w:rPr>
                <w:rFonts w:hint="eastAsia" w:ascii="宋体" w:hAnsi="宋体" w:cs="宋体"/>
                <w:color w:val="auto"/>
                <w:sz w:val="22"/>
                <w:szCs w:val="22"/>
              </w:rPr>
              <w:t>根据供应商提供的优惠承诺的实际价值，但供应商不得提供与本项目无关的其他商品、服务。（0-3分）；</w:t>
            </w:r>
          </w:p>
          <w:p>
            <w:pPr>
              <w:snapToGrid w:val="0"/>
              <w:ind w:left="-107" w:leftChars="-51"/>
              <w:rPr>
                <w:rFonts w:ascii="宋体" w:hAnsi="宋体" w:cs="宋体"/>
                <w:color w:val="auto"/>
                <w:sz w:val="22"/>
                <w:szCs w:val="22"/>
              </w:rPr>
            </w:pPr>
            <w:r>
              <w:rPr>
                <w:rFonts w:hint="eastAsia" w:ascii="宋体" w:hAnsi="宋体" w:cs="宋体"/>
                <w:color w:val="auto"/>
                <w:sz w:val="22"/>
                <w:szCs w:val="22"/>
              </w:rPr>
              <w:t>A档3分；B档2分；C档：1分。</w:t>
            </w:r>
            <w:r>
              <w:rPr>
                <w:rFonts w:hint="eastAsia" w:ascii="宋体" w:hAnsi="宋体" w:cs="宋体"/>
                <w:color w:val="auto"/>
                <w:kern w:val="0"/>
                <w:sz w:val="22"/>
                <w:szCs w:val="22"/>
                <w:lang w:val="en-US" w:eastAsia="zh-CN"/>
              </w:rPr>
              <w:t>未提供本项的不得分。</w:t>
            </w:r>
          </w:p>
        </w:tc>
      </w:tr>
    </w:tbl>
    <w:p>
      <w:pPr>
        <w:spacing w:line="440" w:lineRule="exact"/>
        <w:rPr>
          <w:rFonts w:ascii="新宋体" w:hAnsi="新宋体" w:eastAsia="新宋体"/>
          <w:color w:val="auto"/>
          <w:sz w:val="22"/>
          <w:szCs w:val="22"/>
        </w:rPr>
      </w:pPr>
      <w:r>
        <w:rPr>
          <w:rFonts w:hint="eastAsia" w:ascii="新宋体" w:hAnsi="新宋体" w:eastAsia="新宋体"/>
          <w:color w:val="auto"/>
          <w:sz w:val="22"/>
          <w:szCs w:val="22"/>
        </w:rPr>
        <w:t>注：</w:t>
      </w:r>
    </w:p>
    <w:p>
      <w:pPr>
        <w:spacing w:line="440" w:lineRule="exact"/>
        <w:rPr>
          <w:rFonts w:ascii="新宋体" w:hAnsi="新宋体" w:eastAsia="新宋体"/>
          <w:color w:val="auto"/>
          <w:sz w:val="22"/>
          <w:szCs w:val="22"/>
        </w:rPr>
      </w:pPr>
      <w:r>
        <w:rPr>
          <w:rFonts w:hint="eastAsia" w:ascii="新宋体" w:hAnsi="新宋体" w:eastAsia="新宋体"/>
          <w:color w:val="auto"/>
          <w:sz w:val="22"/>
          <w:szCs w:val="22"/>
        </w:rPr>
        <w:t>（1）资信及业绩评分项中，若投标供应商为联合体形式，则联合体各方的业绩、资信证书等内容均认定为投标供应商主体资信业绩内容。</w:t>
      </w:r>
    </w:p>
    <w:p>
      <w:pPr>
        <w:spacing w:line="440" w:lineRule="exact"/>
        <w:rPr>
          <w:rFonts w:ascii="宋体" w:hAnsi="宋体" w:cs="宋体"/>
          <w:b/>
          <w:bCs/>
          <w:color w:val="auto"/>
          <w:sz w:val="22"/>
          <w:szCs w:val="22"/>
        </w:rPr>
      </w:pPr>
      <w:r>
        <w:rPr>
          <w:rFonts w:hint="eastAsia" w:ascii="新宋体" w:hAnsi="新宋体" w:eastAsia="新宋体"/>
          <w:color w:val="auto"/>
          <w:sz w:val="22"/>
          <w:szCs w:val="22"/>
        </w:rPr>
        <w:t>（2）以上评分标准中，A档一般以该分项方案/措施的表述详尽、科学、操作性强、可信度高等为划分标准；B档一般以该分项方案/措施的表述细致度、可操作性、科学性等方面满足采购需求基本要求为划分标准；C档一般以该分项方案/措施的表述细致度、可操作性、科学性等方面较差为划分标准。</w:t>
      </w:r>
    </w:p>
    <w:p>
      <w:pPr>
        <w:numPr>
          <w:ilvl w:val="0"/>
          <w:numId w:val="36"/>
        </w:numPr>
        <w:spacing w:line="440" w:lineRule="exact"/>
        <w:ind w:firstLine="0"/>
        <w:rPr>
          <w:rFonts w:ascii="宋体" w:hAnsi="宋体" w:cs="宋体"/>
          <w:b/>
          <w:bCs/>
          <w:color w:val="auto"/>
          <w:sz w:val="22"/>
          <w:szCs w:val="22"/>
        </w:rPr>
      </w:pPr>
      <w:r>
        <w:rPr>
          <w:rFonts w:hint="eastAsia" w:ascii="宋体" w:hAnsi="宋体" w:cs="宋体"/>
          <w:b/>
          <w:color w:val="auto"/>
          <w:sz w:val="22"/>
          <w:szCs w:val="22"/>
        </w:rPr>
        <w:t>投标报价评分</w:t>
      </w:r>
      <w:r>
        <w:rPr>
          <w:rFonts w:hint="eastAsia" w:ascii="宋体" w:hAnsi="宋体" w:cs="宋体"/>
          <w:b/>
          <w:bCs/>
          <w:color w:val="auto"/>
          <w:sz w:val="22"/>
          <w:szCs w:val="22"/>
        </w:rPr>
        <w:t>（20分）：</w:t>
      </w:r>
    </w:p>
    <w:p>
      <w:pPr>
        <w:spacing w:line="440" w:lineRule="exact"/>
        <w:rPr>
          <w:rFonts w:ascii="宋体" w:hAnsi="宋体" w:cs="宋体"/>
          <w:color w:val="auto"/>
          <w:kern w:val="0"/>
          <w:sz w:val="22"/>
          <w:szCs w:val="22"/>
        </w:rPr>
      </w:pPr>
      <w:r>
        <w:rPr>
          <w:rFonts w:hint="eastAsia" w:ascii="宋体" w:hAnsi="宋体" w:cs="宋体"/>
          <w:color w:val="auto"/>
          <w:kern w:val="0"/>
          <w:sz w:val="22"/>
          <w:szCs w:val="22"/>
        </w:rPr>
        <w:t>2.1满足采购文件要求且投标价格最低的投标报价为评标基准价；</w:t>
      </w:r>
    </w:p>
    <w:p>
      <w:pPr>
        <w:spacing w:line="440" w:lineRule="exact"/>
        <w:ind w:left="330"/>
        <w:rPr>
          <w:rFonts w:ascii="宋体" w:hAnsi="宋体" w:cs="宋体"/>
          <w:color w:val="auto"/>
          <w:kern w:val="0"/>
          <w:sz w:val="22"/>
          <w:szCs w:val="22"/>
        </w:rPr>
      </w:pPr>
      <w:r>
        <w:rPr>
          <w:rFonts w:hint="eastAsia" w:ascii="宋体" w:hAnsi="宋体" w:cs="宋体"/>
          <w:color w:val="auto"/>
          <w:kern w:val="0"/>
          <w:sz w:val="22"/>
          <w:szCs w:val="22"/>
        </w:rPr>
        <w:t>1）有效投标人的投标价等于评标基准价时，其投标报价评分值为满分；</w:t>
      </w:r>
    </w:p>
    <w:p>
      <w:pPr>
        <w:spacing w:line="440" w:lineRule="exact"/>
        <w:ind w:left="330"/>
        <w:rPr>
          <w:rFonts w:ascii="宋体" w:hAnsi="宋体" w:cs="宋体"/>
          <w:color w:val="auto"/>
          <w:kern w:val="0"/>
          <w:sz w:val="22"/>
          <w:szCs w:val="22"/>
        </w:rPr>
      </w:pPr>
      <w:r>
        <w:rPr>
          <w:rFonts w:hint="eastAsia" w:ascii="宋体" w:hAnsi="宋体" w:cs="宋体"/>
          <w:color w:val="auto"/>
          <w:kern w:val="0"/>
          <w:sz w:val="22"/>
          <w:szCs w:val="22"/>
        </w:rPr>
        <w:t>2）</w:t>
      </w:r>
      <w:r>
        <w:rPr>
          <w:rFonts w:hint="eastAsia" w:ascii="宋体" w:hAnsi="宋体" w:cs="宋体"/>
          <w:color w:val="auto"/>
          <w:sz w:val="22"/>
        </w:rPr>
        <w:t>报价得分</w:t>
      </w:r>
      <w:r>
        <w:rPr>
          <w:rFonts w:hint="eastAsia" w:ascii="宋体" w:hAnsi="宋体" w:cs="宋体"/>
          <w:color w:val="auto"/>
          <w:kern w:val="0"/>
          <w:sz w:val="22"/>
          <w:szCs w:val="22"/>
        </w:rPr>
        <w:t>=（评标基准价/投标人投标报价）×20</w:t>
      </w:r>
      <w:r>
        <w:rPr>
          <w:rFonts w:hint="eastAsia" w:ascii="宋体" w:hAnsi="宋体" w:cs="宋体"/>
          <w:color w:val="auto"/>
          <w:sz w:val="22"/>
          <w:szCs w:val="22"/>
        </w:rPr>
        <w:t>（四舍五入，保留小数点后2位）</w:t>
      </w:r>
    </w:p>
    <w:p>
      <w:pPr>
        <w:spacing w:line="440" w:lineRule="exact"/>
        <w:ind w:left="330"/>
        <w:rPr>
          <w:rFonts w:ascii="宋体" w:hAnsi="宋体" w:cs="宋体"/>
          <w:color w:val="auto"/>
          <w:kern w:val="0"/>
          <w:sz w:val="22"/>
          <w:szCs w:val="22"/>
        </w:rPr>
      </w:pPr>
      <w:r>
        <w:rPr>
          <w:rFonts w:ascii="宋体" w:hAnsi="宋体" w:cs="宋体"/>
          <w:color w:val="auto"/>
          <w:kern w:val="0"/>
          <w:sz w:val="22"/>
          <w:szCs w:val="22"/>
        </w:rPr>
        <w:t>3</w:t>
      </w:r>
      <w:r>
        <w:rPr>
          <w:rFonts w:hint="eastAsia" w:ascii="宋体" w:hAnsi="宋体" w:cs="宋体"/>
          <w:color w:val="auto"/>
          <w:kern w:val="0"/>
          <w:sz w:val="22"/>
          <w:szCs w:val="22"/>
        </w:rPr>
        <w:t>）本项目采购预算为人民币</w:t>
      </w:r>
      <w:r>
        <w:rPr>
          <w:rFonts w:hint="eastAsia" w:ascii="宋体" w:hAnsi="宋体" w:cs="宋体"/>
          <w:color w:val="auto"/>
          <w:kern w:val="0"/>
          <w:sz w:val="22"/>
          <w:szCs w:val="22"/>
          <w:u w:val="single"/>
        </w:rPr>
        <w:t>216万</w:t>
      </w:r>
      <w:r>
        <w:rPr>
          <w:rFonts w:hint="eastAsia" w:ascii="宋体" w:hAnsi="宋体" w:cs="宋体"/>
          <w:color w:val="auto"/>
          <w:kern w:val="0"/>
          <w:sz w:val="22"/>
          <w:szCs w:val="22"/>
        </w:rPr>
        <w:t>元整，如投标人报价超过采购预算，其投标文件作无效标处理。</w:t>
      </w:r>
    </w:p>
    <w:p>
      <w:pPr>
        <w:spacing w:line="440" w:lineRule="exact"/>
        <w:ind w:left="330"/>
        <w:rPr>
          <w:rFonts w:ascii="宋体" w:hAnsi="宋体" w:cs="宋体"/>
          <w:color w:val="auto"/>
          <w:kern w:val="0"/>
          <w:sz w:val="22"/>
          <w:szCs w:val="22"/>
        </w:rPr>
      </w:pPr>
      <w:r>
        <w:rPr>
          <w:rFonts w:ascii="宋体" w:hAnsi="宋体" w:cs="宋体"/>
          <w:color w:val="auto"/>
          <w:kern w:val="0"/>
          <w:sz w:val="22"/>
          <w:szCs w:val="22"/>
        </w:rPr>
        <w:t>4</w:t>
      </w:r>
      <w:r>
        <w:rPr>
          <w:rFonts w:hint="eastAsia" w:ascii="宋体" w:hAnsi="宋体" w:cs="宋体"/>
          <w:color w:val="auto"/>
          <w:kern w:val="0"/>
          <w:sz w:val="22"/>
          <w:szCs w:val="22"/>
        </w:rPr>
        <w:t>）所有投标人商务报价均超采购预算，重新组织招标。</w:t>
      </w:r>
    </w:p>
    <w:p>
      <w:pPr>
        <w:spacing w:line="440" w:lineRule="exact"/>
        <w:rPr>
          <w:rFonts w:ascii="新宋体" w:hAnsi="新宋体" w:eastAsia="新宋体" w:cs="宋体"/>
          <w:color w:val="auto"/>
          <w:sz w:val="22"/>
          <w:szCs w:val="22"/>
        </w:rPr>
      </w:pPr>
      <w:r>
        <w:rPr>
          <w:rFonts w:hint="eastAsia" w:ascii="新宋体" w:hAnsi="新宋体" w:eastAsia="新宋体" w:cs="宋体"/>
          <w:color w:val="auto"/>
          <w:sz w:val="22"/>
          <w:szCs w:val="22"/>
        </w:rPr>
        <w:t>2.2政府采购政策说明</w:t>
      </w:r>
    </w:p>
    <w:p>
      <w:pPr>
        <w:spacing w:line="440" w:lineRule="exact"/>
        <w:ind w:firstLine="440" w:firstLineChars="200"/>
        <w:rPr>
          <w:rFonts w:ascii="宋体" w:hAnsi="宋体" w:cs="宋体"/>
          <w:bCs/>
          <w:color w:val="auto"/>
          <w:sz w:val="22"/>
        </w:rPr>
      </w:pPr>
      <w:r>
        <w:rPr>
          <w:rFonts w:hint="eastAsia" w:ascii="宋体" w:hAnsi="宋体" w:cs="宋体"/>
          <w:bCs/>
          <w:color w:val="auto"/>
          <w:sz w:val="22"/>
        </w:rPr>
        <w:t>①根据《政府采购促进中小企业发展管理办法》的通知（财库[2020]46号）及财政部关于进一步加大政府采购支持中小企业力度的通知（财库〔2022〕19号）文件的规定，投标人为小型或微型企业并提交中小企业声明函，其小型或微型企业部分投标报价扣除10%后参与评审。</w:t>
      </w:r>
    </w:p>
    <w:p>
      <w:pPr>
        <w:spacing w:line="440" w:lineRule="exact"/>
        <w:ind w:firstLine="440" w:firstLineChars="200"/>
        <w:rPr>
          <w:rFonts w:ascii="宋体" w:hAnsi="宋体" w:cs="宋体"/>
          <w:bCs/>
          <w:color w:val="auto"/>
          <w:sz w:val="22"/>
        </w:rPr>
      </w:pPr>
      <w:r>
        <w:rPr>
          <w:rFonts w:hint="eastAsia" w:ascii="宋体" w:hAnsi="宋体" w:cs="宋体"/>
          <w:bCs/>
          <w:color w:val="auto"/>
          <w:sz w:val="22"/>
        </w:rPr>
        <w:t>②根据《关于政府采购支持监狱企业发展有关问题的通知》（财库[2014]68号）的规定，投标人如为监狱企业并提交相关证明材料，在政府采购活动中，监狱企业视同小型、微型企业，其小型或微型企业部分投标报价扣除10%后参与评审。</w:t>
      </w:r>
    </w:p>
    <w:p>
      <w:pPr>
        <w:spacing w:line="440" w:lineRule="exact"/>
        <w:ind w:firstLine="440" w:firstLineChars="200"/>
        <w:rPr>
          <w:rFonts w:ascii="宋体" w:hAnsi="宋体" w:cs="宋体"/>
          <w:bCs/>
          <w:color w:val="auto"/>
          <w:sz w:val="22"/>
        </w:rPr>
      </w:pPr>
      <w:r>
        <w:rPr>
          <w:rFonts w:hint="eastAsia" w:ascii="宋体" w:hAnsi="宋体" w:cs="宋体"/>
          <w:bCs/>
          <w:color w:val="auto"/>
          <w:sz w:val="22"/>
        </w:rPr>
        <w:t>③根据《财政部、民政部、中国残疾人联合会关于促进残疾人就业政府采购政策的通知》（财库〔2017〕141号）的规定，投标人如为残疾人福利性单位并提交相关证明材料，在政府采购活动中，残疾人福利性单位视同小型、微型企业，其小型或微型企业部分投标报价扣除10%后参与评审。</w:t>
      </w:r>
    </w:p>
    <w:p>
      <w:pPr>
        <w:spacing w:line="440" w:lineRule="exact"/>
        <w:ind w:firstLine="440" w:firstLineChars="200"/>
        <w:rPr>
          <w:rFonts w:ascii="宋体" w:hAnsi="宋体" w:cs="宋体"/>
          <w:bCs/>
          <w:color w:val="auto"/>
          <w:sz w:val="22"/>
        </w:rPr>
      </w:pPr>
      <w:r>
        <w:rPr>
          <w:rFonts w:hint="eastAsia" w:ascii="宋体" w:hAnsi="宋体" w:cs="宋体"/>
          <w:bCs/>
          <w:color w:val="auto"/>
          <w:sz w:val="22"/>
        </w:rPr>
        <w:t>④以上小型、微型企业的，不重复享受政策。未提供完整证明材料的，投标报价不予扣减。对于联合体协议或者分包意向协议约定小微企业合同份额占到合同总金额30%以上的，对其投标报价给予4%的扣除，用扣除后的价格参与评审。证明材料详见采购文件第二部分。</w:t>
      </w:r>
    </w:p>
    <w:p>
      <w:pPr>
        <w:spacing w:line="440" w:lineRule="exact"/>
        <w:ind w:firstLine="440" w:firstLineChars="200"/>
        <w:rPr>
          <w:rFonts w:ascii="新宋体" w:hAnsi="新宋体" w:eastAsia="新宋体" w:cs="宋体"/>
          <w:bCs/>
          <w:color w:val="auto"/>
          <w:sz w:val="22"/>
        </w:rPr>
      </w:pPr>
      <w:r>
        <w:rPr>
          <w:rFonts w:hint="eastAsia" w:ascii="宋体" w:hAnsi="宋体" w:cs="宋体"/>
          <w:bCs/>
          <w:color w:val="auto"/>
          <w:sz w:val="22"/>
        </w:rPr>
        <w:t>⑤投标如缺少须提供的一种功能或配置或服务，评标价将在其投标价的基础上加上其他投标人相应分项价格的最高价。如若中标，该缺漏项费用将由中标人自行承担。</w:t>
      </w:r>
    </w:p>
    <w:p>
      <w:pPr>
        <w:numPr>
          <w:ilvl w:val="0"/>
          <w:numId w:val="36"/>
        </w:numPr>
        <w:spacing w:line="440" w:lineRule="exact"/>
        <w:ind w:firstLine="0"/>
        <w:rPr>
          <w:rFonts w:ascii="宋体" w:hAnsi="宋体" w:cs="宋体"/>
          <w:b/>
          <w:color w:val="auto"/>
          <w:sz w:val="22"/>
          <w:szCs w:val="22"/>
        </w:rPr>
      </w:pPr>
      <w:r>
        <w:rPr>
          <w:rFonts w:hint="eastAsia" w:ascii="新宋体" w:hAnsi="新宋体" w:eastAsia="新宋体" w:cs="宋体"/>
          <w:b/>
          <w:color w:val="auto"/>
          <w:sz w:val="22"/>
          <w:szCs w:val="22"/>
        </w:rPr>
        <w:t>有效投标人的综合得分为商务技术文件得分和投标报价得分的总和。</w:t>
      </w:r>
    </w:p>
    <w:sectPr>
      <w:footerReference r:id="rId9" w:type="first"/>
      <w:headerReference r:id="rId7" w:type="default"/>
      <w:footerReference r:id="rId8" w:type="default"/>
      <w:type w:val="nextColumn"/>
      <w:pgSz w:w="11906" w:h="16838"/>
      <w:pgMar w:top="1134" w:right="1134" w:bottom="1134" w:left="1134" w:header="851" w:footer="851" w:gutter="0"/>
      <w:pgNumType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宋体,Verdana,Arial">
    <w:altName w:val="宋体"/>
    <w:panose1 w:val="00000000000000000000"/>
    <w:charset w:val="00"/>
    <w:family w:val="auto"/>
    <w:pitch w:val="default"/>
    <w:sig w:usb0="00000000" w:usb1="00000000" w:usb2="00000000"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Heiti SC Light">
    <w:altName w:val="黑体"/>
    <w:panose1 w:val="00000000000000000000"/>
    <w:charset w:val="00"/>
    <w:family w:val="auto"/>
    <w:pitch w:val="default"/>
    <w:sig w:usb0="00000000" w:usb1="00000000" w:usb2="00000010" w:usb3="00000000" w:csb0="003E0000" w:csb1="00000000"/>
  </w:font>
  <w:font w:name="Arial Unicode MS">
    <w:altName w:val="宋体"/>
    <w:panose1 w:val="020B0604020202020204"/>
    <w:charset w:val="86"/>
    <w:family w:val="roman"/>
    <w:pitch w:val="default"/>
    <w:sig w:usb0="00000000" w:usb1="00000000" w:usb2="0000003F" w:usb3="00000000" w:csb0="603F01FF" w:csb1="FFFF0000"/>
  </w:font>
  <w:font w:name="ˎ̥">
    <w:altName w:val="微软雅黑"/>
    <w:panose1 w:val="00000000000000000000"/>
    <w:charset w:val="00"/>
    <w:family w:val="roman"/>
    <w:pitch w:val="default"/>
    <w:sig w:usb0="00000000" w:usb1="00000000" w:usb2="00000000" w:usb3="00000000" w:csb0="00040001" w:csb1="00000000"/>
  </w:font>
  <w:font w:name="ZapfDingbatsNr2EFOP-Regular">
    <w:altName w:val="黑体"/>
    <w:panose1 w:val="00000000000000000000"/>
    <w:charset w:val="00"/>
    <w:family w:val="auto"/>
    <w:pitch w:val="default"/>
    <w:sig w:usb0="00000000" w:usb1="00000000" w:usb2="00000010" w:usb3="00000000" w:csb0="00040001" w:csb1="00000000"/>
  </w:font>
  <w:font w:name="Helvetica Neue">
    <w:altName w:val="Malgun Gothic"/>
    <w:panose1 w:val="00000000000000000000"/>
    <w:charset w:val="00"/>
    <w:family w:val="auto"/>
    <w:pitch w:val="default"/>
    <w:sig w:usb0="00000000" w:usb1="00000000" w:usb2="00000010" w:usb3="00000000" w:csb0="00000001" w:csb1="00000000"/>
  </w:font>
  <w:font w:name="Univers LT Std 47 Cn Lt">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Helvetica">
    <w:panose1 w:val="020B0504020202030204"/>
    <w:charset w:val="00"/>
    <w:family w:val="swiss"/>
    <w:pitch w:val="default"/>
    <w:sig w:usb0="00000007"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Univers LT Std 57 Cn">
    <w:altName w:val="Arial"/>
    <w:panose1 w:val="00000000000000000000"/>
    <w:charset w:val="00"/>
    <w:family w:val="swiss"/>
    <w:pitch w:val="default"/>
    <w:sig w:usb0="00000000" w:usb1="00000000" w:usb2="00000000" w:usb3="00000000" w:csb0="00000001" w:csb1="00000000"/>
  </w:font>
  <w:font w:name="Linotype Univers 330 Light">
    <w:altName w:val="宋体"/>
    <w:panose1 w:val="00000000000000000000"/>
    <w:charset w:val="86"/>
    <w:family w:val="swiss"/>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firstLine="4410" w:firstLineChars="2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2"/>
      </w:rPr>
    </w:pPr>
    <w:r>
      <w:fldChar w:fldCharType="begin"/>
    </w:r>
    <w:r>
      <w:rPr>
        <w:rStyle w:val="62"/>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single" w:color="auto" w:sz="4" w:space="1"/>
      </w:pBdr>
      <w:ind w:right="-21" w:rightChars="-10" w:firstLine="4410" w:firstLineChars="2450"/>
      <w:jc w:val="right"/>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02895" cy="132080"/>
              <wp:effectExtent l="0" t="0" r="0" b="0"/>
              <wp:wrapNone/>
              <wp:docPr id="1" name="文本框 6"/>
              <wp:cNvGraphicFramePr/>
              <a:graphic xmlns:a="http://schemas.openxmlformats.org/drawingml/2006/main">
                <a:graphicData uri="http://schemas.microsoft.com/office/word/2010/wordprocessingShape">
                  <wps:wsp>
                    <wps:cNvSpPr txBox="1"/>
                    <wps:spPr>
                      <a:xfrm>
                        <a:off x="0" y="0"/>
                        <a:ext cx="302895" cy="132080"/>
                      </a:xfrm>
                      <a:prstGeom prst="rect">
                        <a:avLst/>
                      </a:prstGeom>
                      <a:noFill/>
                      <a:ln>
                        <a:noFill/>
                      </a:ln>
                    </wps:spPr>
                    <wps:txbx>
                      <w:txbxContent>
                        <w:p>
                          <w:pPr>
                            <w:pStyle w:val="38"/>
                            <w:rPr>
                              <w:rStyle w:val="62"/>
                              <w:rFonts w:ascii="新宋体" w:hAnsi="新宋体" w:eastAsia="新宋体" w:cs="新宋体"/>
                              <w:b/>
                              <w:sz w:val="16"/>
                              <w:szCs w:val="16"/>
                            </w:rPr>
                          </w:pPr>
                          <w:r>
                            <w:rPr>
                              <w:rFonts w:hint="eastAsia" w:ascii="新宋体" w:hAnsi="新宋体" w:eastAsia="新宋体" w:cs="新宋体"/>
                              <w:b/>
                              <w:sz w:val="16"/>
                              <w:szCs w:val="16"/>
                            </w:rPr>
                            <w:fldChar w:fldCharType="begin"/>
                          </w:r>
                          <w:r>
                            <w:rPr>
                              <w:rStyle w:val="62"/>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2"/>
                              <w:rFonts w:ascii="新宋体" w:hAnsi="新宋体" w:eastAsia="新宋体" w:cs="新宋体"/>
                              <w:b/>
                              <w:sz w:val="16"/>
                              <w:szCs w:val="16"/>
                            </w:rPr>
                            <w:t>92</w:t>
                          </w:r>
                          <w:r>
                            <w:rPr>
                              <w:rFonts w:hint="eastAsia" w:ascii="新宋体" w:hAnsi="新宋体" w:eastAsia="新宋体" w:cs="新宋体"/>
                              <w:b/>
                              <w:sz w:val="16"/>
                              <w:szCs w:val="16"/>
                            </w:rPr>
                            <w:fldChar w:fldCharType="end"/>
                          </w:r>
                        </w:p>
                      </w:txbxContent>
                    </wps:txbx>
                    <wps:bodyPr vert="horz" wrap="square" lIns="0" tIns="0" rIns="0" bIns="0" anchor="t" anchorCtr="0" upright="1"/>
                  </wps:wsp>
                </a:graphicData>
              </a:graphic>
            </wp:anchor>
          </w:drawing>
        </mc:Choice>
        <mc:Fallback>
          <w:pict>
            <v:shape id="文本框 6" o:spid="_x0000_s1026" o:spt="202" type="#_x0000_t202" style="position:absolute;left:0pt;margin-top:0pt;height:10.4pt;width:23.85pt;mso-position-horizontal:center;mso-position-horizontal-relative:margin;z-index:251660288;mso-width-relative:page;mso-height-relative:page;" filled="f" stroked="f" coordsize="21600,21600" o:gfxdata="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uTFWtQAAAADAQAADwAAAAAAAAABACAA&#10;AAAiAAAAZHJzL2Rvd25yZXYueG1sUEsBAhQAFAAAAAgAh07iQIndUY/YAQAApAMAAA4AAAAAAAAA&#10;AQAgAAAAIwEAAGRycy9lMm9Eb2MueG1sUEsFBgAAAAAGAAYAWQEAAG0FAAAAAA==&#10;">
              <v:fill on="f" focussize="0,0"/>
              <v:stroke on="f"/>
              <v:imagedata o:title=""/>
              <o:lock v:ext="edit" aspectratio="f"/>
              <v:textbox inset="0mm,0mm,0mm,0mm">
                <w:txbxContent>
                  <w:p>
                    <w:pPr>
                      <w:pStyle w:val="38"/>
                      <w:rPr>
                        <w:rStyle w:val="62"/>
                        <w:rFonts w:ascii="新宋体" w:hAnsi="新宋体" w:eastAsia="新宋体" w:cs="新宋体"/>
                        <w:b/>
                        <w:sz w:val="16"/>
                        <w:szCs w:val="16"/>
                      </w:rPr>
                    </w:pPr>
                    <w:r>
                      <w:rPr>
                        <w:rFonts w:hint="eastAsia" w:ascii="新宋体" w:hAnsi="新宋体" w:eastAsia="新宋体" w:cs="新宋体"/>
                        <w:b/>
                        <w:sz w:val="16"/>
                        <w:szCs w:val="16"/>
                      </w:rPr>
                      <w:fldChar w:fldCharType="begin"/>
                    </w:r>
                    <w:r>
                      <w:rPr>
                        <w:rStyle w:val="62"/>
                        <w:rFonts w:hint="eastAsia" w:ascii="新宋体" w:hAnsi="新宋体" w:eastAsia="新宋体" w:cs="新宋体"/>
                        <w:b/>
                        <w:sz w:val="16"/>
                        <w:szCs w:val="16"/>
                      </w:rPr>
                      <w:instrText xml:space="preserve">PAGE  </w:instrText>
                    </w:r>
                    <w:r>
                      <w:rPr>
                        <w:rFonts w:hint="eastAsia" w:ascii="新宋体" w:hAnsi="新宋体" w:eastAsia="新宋体" w:cs="新宋体"/>
                        <w:b/>
                        <w:sz w:val="16"/>
                        <w:szCs w:val="16"/>
                      </w:rPr>
                      <w:fldChar w:fldCharType="separate"/>
                    </w:r>
                    <w:r>
                      <w:rPr>
                        <w:rStyle w:val="62"/>
                        <w:rFonts w:ascii="新宋体" w:hAnsi="新宋体" w:eastAsia="新宋体" w:cs="新宋体"/>
                        <w:b/>
                        <w:sz w:val="16"/>
                        <w:szCs w:val="16"/>
                      </w:rPr>
                      <w:t>92</w:t>
                    </w:r>
                    <w:r>
                      <w:rPr>
                        <w:rFonts w:hint="eastAsia" w:ascii="新宋体" w:hAnsi="新宋体" w:eastAsia="新宋体" w:cs="新宋体"/>
                        <w:b/>
                        <w:sz w:val="16"/>
                        <w:szCs w:val="16"/>
                      </w:rPr>
                      <w:fldChar w:fldCharType="end"/>
                    </w:r>
                  </w:p>
                </w:txbxContent>
              </v:textbox>
            </v:shape>
          </w:pict>
        </mc:Fallback>
      </mc:AlternateContent>
    </w:r>
    <w:r>
      <w:rPr>
        <w:rFonts w:hint="eastAsia" w:ascii="宋体" w:hAnsi="宋体" w:cs="宋体"/>
      </w:rPr>
      <w:t>温州市智信招标代理有限公司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9"/>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vert="horz" wrap="none" lIns="0" tIns="0" rIns="0" bIns="0" anchor="t" anchorCtr="0" upright="1">
                      <a:spAutoFit/>
                    </wps:bodyPr>
                  </wps:wsp>
                </a:graphicData>
              </a:graphic>
            </wp:anchor>
          </w:drawing>
        </mc:Choice>
        <mc:Fallback>
          <w:pict>
            <v:shape id="文本框 9"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L3UTQAAAAAgEAAA8AAAAA&#10;AAAAAQAgAAAAIgAAAGRycy9kb3ducmV2LnhtbFBLAQIUABQAAAAIAIdO4kAfD9nK4wEAALsDAAAO&#10;AAAAAAAAAAEAIAAAAB8BAABkcnMvZTJvRG9jLnhtbFBLBQYAAAAABgAGAFkBAAB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jc w:val="left"/>
    </w:pPr>
    <w:r>
      <w:rPr>
        <w:rFonts w:hint="eastAsia"/>
      </w:rPr>
      <w:t xml:space="preserve">温州市政府采购采购文件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eastAsia="新宋体"/>
      </w:rPr>
    </w:pPr>
    <w:r>
      <w:rPr>
        <w:rFonts w:hint="eastAsia" w:eastAsia="新宋体"/>
      </w:rPr>
      <w:t>温州市政府采购采购文件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2A7DE"/>
    <w:multiLevelType w:val="singleLevel"/>
    <w:tmpl w:val="9132A7DE"/>
    <w:lvl w:ilvl="0" w:tentative="0">
      <w:start w:val="1"/>
      <w:numFmt w:val="decimal"/>
      <w:suff w:val="nothing"/>
      <w:lvlText w:val="%1．"/>
      <w:lvlJc w:val="left"/>
      <w:pPr>
        <w:ind w:left="0" w:firstLine="400"/>
      </w:pPr>
      <w:rPr>
        <w:rFonts w:hint="default"/>
      </w:rPr>
    </w:lvl>
  </w:abstractNum>
  <w:abstractNum w:abstractNumId="1">
    <w:nsid w:val="9780D570"/>
    <w:multiLevelType w:val="singleLevel"/>
    <w:tmpl w:val="9780D570"/>
    <w:lvl w:ilvl="0" w:tentative="0">
      <w:start w:val="1"/>
      <w:numFmt w:val="decimal"/>
      <w:suff w:val="nothing"/>
      <w:lvlText w:val="%1．"/>
      <w:lvlJc w:val="left"/>
      <w:pPr>
        <w:ind w:left="0" w:firstLine="400"/>
      </w:pPr>
      <w:rPr>
        <w:rFonts w:hint="default"/>
      </w:rPr>
    </w:lvl>
  </w:abstractNum>
  <w:abstractNum w:abstractNumId="2">
    <w:nsid w:val="ABF77E1E"/>
    <w:multiLevelType w:val="singleLevel"/>
    <w:tmpl w:val="ABF77E1E"/>
    <w:lvl w:ilvl="0" w:tentative="0">
      <w:start w:val="1"/>
      <w:numFmt w:val="decimal"/>
      <w:suff w:val="nothing"/>
      <w:lvlText w:val="%1、"/>
      <w:lvlJc w:val="left"/>
    </w:lvl>
  </w:abstractNum>
  <w:abstractNum w:abstractNumId="3">
    <w:nsid w:val="B2B1F45F"/>
    <w:multiLevelType w:val="singleLevel"/>
    <w:tmpl w:val="B2B1F45F"/>
    <w:lvl w:ilvl="0" w:tentative="0">
      <w:start w:val="1"/>
      <w:numFmt w:val="decimal"/>
      <w:suff w:val="space"/>
      <w:lvlText w:val="%1)"/>
      <w:lvlJc w:val="left"/>
    </w:lvl>
  </w:abstractNum>
  <w:abstractNum w:abstractNumId="4">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5">
    <w:nsid w:val="B5E306ED"/>
    <w:multiLevelType w:val="singleLevel"/>
    <w:tmpl w:val="B5E306ED"/>
    <w:lvl w:ilvl="0" w:tentative="0">
      <w:start w:val="1"/>
      <w:numFmt w:val="decimal"/>
      <w:lvlText w:val="(%1)"/>
      <w:lvlJc w:val="left"/>
      <w:rPr>
        <w:rFonts w:hint="default" w:ascii="新宋体" w:hAnsi="新宋体" w:eastAsia="新宋体" w:cs="新宋体"/>
        <w:b w:val="0"/>
        <w:bCs w:val="0"/>
        <w:i w:val="0"/>
        <w:iCs w:val="0"/>
        <w:smallCaps w:val="0"/>
        <w:strike w:val="0"/>
        <w:color w:val="000000"/>
        <w:spacing w:val="0"/>
        <w:w w:val="100"/>
        <w:position w:val="0"/>
        <w:sz w:val="22"/>
        <w:szCs w:val="19"/>
        <w:u w:val="none"/>
        <w:shd w:val="clear" w:color="auto" w:fill="auto"/>
        <w:lang w:val="zh-TW" w:eastAsia="zh-TW" w:bidi="zh-TW"/>
      </w:rPr>
    </w:lvl>
  </w:abstractNum>
  <w:abstractNum w:abstractNumId="6">
    <w:nsid w:val="BF205925"/>
    <w:multiLevelType w:val="singleLevel"/>
    <w:tmpl w:val="BF205925"/>
    <w:lvl w:ilvl="0" w:tentative="0">
      <w:start w:val="1"/>
      <w:numFmt w:val="ideographDigital"/>
      <w:lvlText w:val="(%1)"/>
      <w:lvlJc w:val="left"/>
      <w:rPr>
        <w:rFonts w:ascii="宋体" w:hAnsi="宋体" w:eastAsia="宋体" w:cs="宋体"/>
        <w:b w:val="0"/>
        <w:bCs w:val="0"/>
        <w:i w:val="0"/>
        <w:iCs w:val="0"/>
        <w:smallCaps w:val="0"/>
        <w:strike w:val="0"/>
        <w:color w:val="000000"/>
        <w:spacing w:val="0"/>
        <w:w w:val="100"/>
        <w:position w:val="0"/>
        <w:sz w:val="22"/>
        <w:szCs w:val="20"/>
        <w:u w:val="none"/>
        <w:shd w:val="clear" w:color="auto" w:fill="auto"/>
        <w:lang w:val="zh-TW" w:eastAsia="zh-TW" w:bidi="zh-TW"/>
      </w:rPr>
    </w:lvl>
  </w:abstractNum>
  <w:abstractNum w:abstractNumId="7">
    <w:nsid w:val="E252E885"/>
    <w:multiLevelType w:val="singleLevel"/>
    <w:tmpl w:val="E252E885"/>
    <w:lvl w:ilvl="0" w:tentative="0">
      <w:start w:val="7"/>
      <w:numFmt w:val="chineseCounting"/>
      <w:suff w:val="nothing"/>
      <w:lvlText w:val="%1、"/>
      <w:lvlJc w:val="left"/>
      <w:rPr>
        <w:rFonts w:hint="eastAsia"/>
      </w:rPr>
    </w:lvl>
  </w:abstractNum>
  <w:abstractNum w:abstractNumId="8">
    <w:nsid w:val="00000005"/>
    <w:multiLevelType w:val="multilevel"/>
    <w:tmpl w:val="00000005"/>
    <w:lvl w:ilvl="0" w:tentative="0">
      <w:start w:val="1"/>
      <w:numFmt w:val="bullet"/>
      <w:pStyle w:val="280"/>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9">
    <w:nsid w:val="00000006"/>
    <w:multiLevelType w:val="multilevel"/>
    <w:tmpl w:val="00000006"/>
    <w:lvl w:ilvl="0" w:tentative="0">
      <w:start w:val="1"/>
      <w:numFmt w:val="decimal"/>
      <w:pStyle w:val="18"/>
      <w:lvlText w:val="（%1）"/>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07"/>
    <w:multiLevelType w:val="multilevel"/>
    <w:tmpl w:val="00000007"/>
    <w:lvl w:ilvl="0" w:tentative="0">
      <w:start w:val="5"/>
      <w:numFmt w:val="decimal"/>
      <w:pStyle w:val="527"/>
      <w:lvlText w:val="%1."/>
      <w:lvlJc w:val="left"/>
      <w:pPr>
        <w:tabs>
          <w:tab w:val="left" w:pos="360"/>
        </w:tabs>
        <w:ind w:left="360" w:hanging="360"/>
      </w:pPr>
      <w:rPr>
        <w:rFonts w:hint="default"/>
      </w:rPr>
    </w:lvl>
    <w:lvl w:ilvl="1" w:tentative="0">
      <w:start w:val="0"/>
      <w:numFmt w:val="none"/>
      <w:pStyle w:val="495"/>
      <w:lvlText w:val=""/>
      <w:lvlJc w:val="left"/>
      <w:pPr>
        <w:tabs>
          <w:tab w:val="left" w:pos="360"/>
        </w:tabs>
      </w:pPr>
    </w:lvl>
    <w:lvl w:ilvl="2" w:tentative="0">
      <w:start w:val="0"/>
      <w:numFmt w:val="none"/>
      <w:pStyle w:val="473"/>
      <w:lvlText w:val=""/>
      <w:lvlJc w:val="left"/>
      <w:pPr>
        <w:tabs>
          <w:tab w:val="left" w:pos="360"/>
        </w:tabs>
      </w:pPr>
    </w:lvl>
    <w:lvl w:ilvl="3" w:tentative="0">
      <w:start w:val="0"/>
      <w:numFmt w:val="none"/>
      <w:pStyle w:val="472"/>
      <w:lvlText w:val=""/>
      <w:lvlJc w:val="left"/>
      <w:pPr>
        <w:tabs>
          <w:tab w:val="left" w:pos="360"/>
        </w:tabs>
      </w:pPr>
    </w:lvl>
    <w:lvl w:ilvl="4" w:tentative="0">
      <w:start w:val="0"/>
      <w:numFmt w:val="none"/>
      <w:pStyle w:val="503"/>
      <w:lvlText w:val=""/>
      <w:lvlJc w:val="left"/>
      <w:pPr>
        <w:tabs>
          <w:tab w:val="left" w:pos="360"/>
        </w:tabs>
      </w:pPr>
    </w:lvl>
    <w:lvl w:ilvl="5" w:tentative="0">
      <w:start w:val="0"/>
      <w:numFmt w:val="none"/>
      <w:pStyle w:val="630"/>
      <w:lvlText w:val=""/>
      <w:lvlJc w:val="left"/>
      <w:pPr>
        <w:tabs>
          <w:tab w:val="left" w:pos="360"/>
        </w:tabs>
      </w:pPr>
    </w:lvl>
    <w:lvl w:ilvl="6" w:tentative="0">
      <w:start w:val="0"/>
      <w:numFmt w:val="none"/>
      <w:pStyle w:val="629"/>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1">
    <w:nsid w:val="00000028"/>
    <w:multiLevelType w:val="multilevel"/>
    <w:tmpl w:val="00000028"/>
    <w:lvl w:ilvl="0" w:tentative="0">
      <w:start w:val="1"/>
      <w:numFmt w:val="bullet"/>
      <w:lvlText w:val=""/>
      <w:lvlJc w:val="left"/>
      <w:pPr>
        <w:tabs>
          <w:tab w:val="left" w:pos="420"/>
        </w:tabs>
        <w:ind w:left="420" w:hanging="420"/>
      </w:pPr>
      <w:rPr>
        <w:rFonts w:hint="default" w:ascii="Symbol" w:hAnsi="Symbol"/>
      </w:rPr>
    </w:lvl>
    <w:lvl w:ilvl="1" w:tentative="0">
      <w:start w:val="1"/>
      <w:numFmt w:val="lowerLetter"/>
      <w:pStyle w:val="705"/>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31"/>
    <w:multiLevelType w:val="multilevel"/>
    <w:tmpl w:val="00000031"/>
    <w:lvl w:ilvl="0" w:tentative="0">
      <w:start w:val="1"/>
      <w:numFmt w:val="decimal"/>
      <w:lvlText w:val="（%1）"/>
      <w:lvlJc w:val="left"/>
      <w:pPr>
        <w:tabs>
          <w:tab w:val="left" w:pos="420"/>
        </w:tabs>
        <w:ind w:left="420" w:hanging="420"/>
      </w:pPr>
      <w:rPr>
        <w:rFonts w:hint="eastAsia" w:ascii="新宋体" w:hAnsi="新宋体" w:eastAsia="新宋体"/>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b w:val="0"/>
        <w:i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A474E98"/>
    <w:multiLevelType w:val="singleLevel"/>
    <w:tmpl w:val="0A474E98"/>
    <w:lvl w:ilvl="0" w:tentative="0">
      <w:start w:val="2"/>
      <w:numFmt w:val="chineseCounting"/>
      <w:suff w:val="nothing"/>
      <w:lvlText w:val="%1、"/>
      <w:lvlJc w:val="left"/>
      <w:rPr>
        <w:rFonts w:hint="eastAsia"/>
      </w:rPr>
    </w:lvl>
  </w:abstractNum>
  <w:abstractNum w:abstractNumId="14">
    <w:nsid w:val="0D1875C4"/>
    <w:multiLevelType w:val="multilevel"/>
    <w:tmpl w:val="0D1875C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F865BA7"/>
    <w:multiLevelType w:val="singleLevel"/>
    <w:tmpl w:val="0F865BA7"/>
    <w:lvl w:ilvl="0" w:tentative="0">
      <w:start w:val="1"/>
      <w:numFmt w:val="decimal"/>
      <w:suff w:val="nothing"/>
      <w:lvlText w:val="%1．"/>
      <w:lvlJc w:val="left"/>
      <w:pPr>
        <w:ind w:left="0" w:firstLine="400"/>
      </w:pPr>
      <w:rPr>
        <w:rFonts w:hint="default"/>
      </w:rPr>
    </w:lvl>
  </w:abstractNum>
  <w:abstractNum w:abstractNumId="16">
    <w:nsid w:val="2D723055"/>
    <w:multiLevelType w:val="multilevel"/>
    <w:tmpl w:val="2D723055"/>
    <w:lvl w:ilvl="0" w:tentative="0">
      <w:start w:val="1"/>
      <w:numFmt w:val="bullet"/>
      <w:pStyle w:val="601"/>
      <w:lvlText w:val=""/>
      <w:lvlJc w:val="left"/>
      <w:pPr>
        <w:tabs>
          <w:tab w:val="left" w:pos="1259"/>
        </w:tabs>
        <w:ind w:left="1259"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7">
    <w:nsid w:val="2DD62459"/>
    <w:multiLevelType w:val="singleLevel"/>
    <w:tmpl w:val="2DD62459"/>
    <w:lvl w:ilvl="0" w:tentative="0">
      <w:start w:val="1"/>
      <w:numFmt w:val="bullet"/>
      <w:pStyle w:val="661"/>
      <w:lvlText w:val=""/>
      <w:lvlJc w:val="left"/>
      <w:pPr>
        <w:tabs>
          <w:tab w:val="left" w:pos="425"/>
        </w:tabs>
        <w:ind w:left="425" w:hanging="425"/>
      </w:pPr>
      <w:rPr>
        <w:rFonts w:hint="default" w:ascii="Wingdings" w:hAnsi="Wingdings"/>
      </w:rPr>
    </w:lvl>
  </w:abstractNum>
  <w:abstractNum w:abstractNumId="18">
    <w:nsid w:val="335030C5"/>
    <w:multiLevelType w:val="multilevel"/>
    <w:tmpl w:val="335030C5"/>
    <w:lvl w:ilvl="0" w:tentative="0">
      <w:start w:val="1"/>
      <w:numFmt w:val="decimal"/>
      <w:pStyle w:val="521"/>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35B05358"/>
    <w:multiLevelType w:val="multilevel"/>
    <w:tmpl w:val="35B05358"/>
    <w:lvl w:ilvl="0" w:tentative="0">
      <w:start w:val="1"/>
      <w:numFmt w:val="bullet"/>
      <w:pStyle w:val="544"/>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60ABEF4"/>
    <w:multiLevelType w:val="singleLevel"/>
    <w:tmpl w:val="360ABEF4"/>
    <w:lvl w:ilvl="0" w:tentative="0">
      <w:start w:val="1"/>
      <w:numFmt w:val="decimal"/>
      <w:suff w:val="nothing"/>
      <w:lvlText w:val="%1．"/>
      <w:lvlJc w:val="left"/>
      <w:pPr>
        <w:ind w:left="0" w:firstLine="400"/>
      </w:pPr>
      <w:rPr>
        <w:rFonts w:hint="default"/>
      </w:rPr>
    </w:lvl>
  </w:abstractNum>
  <w:abstractNum w:abstractNumId="21">
    <w:nsid w:val="39622E4B"/>
    <w:multiLevelType w:val="multilevel"/>
    <w:tmpl w:val="39622E4B"/>
    <w:lvl w:ilvl="0" w:tentative="0">
      <w:start w:val="1"/>
      <w:numFmt w:val="decimal"/>
      <w:pStyle w:val="354"/>
      <w:lvlText w:val="%1."/>
      <w:lvlJc w:val="left"/>
      <w:pPr>
        <w:tabs>
          <w:tab w:val="left" w:pos="1497"/>
        </w:tabs>
        <w:ind w:left="1497" w:hanging="420"/>
      </w:pPr>
      <w:rPr>
        <w:rFonts w:hint="eastAsia"/>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22">
    <w:nsid w:val="496D15BE"/>
    <w:multiLevelType w:val="multilevel"/>
    <w:tmpl w:val="496D15BE"/>
    <w:lvl w:ilvl="0" w:tentative="0">
      <w:start w:val="1"/>
      <w:numFmt w:val="decimal"/>
      <w:pStyle w:val="294"/>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4CA75A52"/>
    <w:multiLevelType w:val="multilevel"/>
    <w:tmpl w:val="4CA75A52"/>
    <w:lvl w:ilvl="0" w:tentative="0">
      <w:start w:val="1"/>
      <w:numFmt w:val="decimal"/>
      <w:pStyle w:val="571"/>
      <w:lvlText w:val="%1)"/>
      <w:lvlJc w:val="left"/>
      <w:pPr>
        <w:ind w:left="420" w:firstLine="0"/>
      </w:pPr>
      <w:rPr>
        <w:rFonts w:hint="eastAsia"/>
      </w:rPr>
    </w:lvl>
    <w:lvl w:ilvl="1" w:tentative="0">
      <w:start w:val="5"/>
      <w:numFmt w:val="decimal"/>
      <w:lvlText w:val="%2）"/>
      <w:lvlJc w:val="left"/>
      <w:pPr>
        <w:ind w:left="370" w:hanging="370"/>
      </w:pPr>
      <w:rPr>
        <w:rFonts w:hint="default"/>
      </w:rPr>
    </w:lvl>
    <w:lvl w:ilvl="2" w:tentative="0">
      <w:start w:val="1"/>
      <w:numFmt w:val="lowerRoman"/>
      <w:lvlText w:val="%3."/>
      <w:lvlJc w:val="right"/>
      <w:pPr>
        <w:ind w:left="840" w:hanging="420"/>
      </w:pPr>
    </w:lvl>
    <w:lvl w:ilvl="3" w:tentative="0">
      <w:start w:val="1"/>
      <w:numFmt w:val="decimal"/>
      <w:lvlText w:val="%4."/>
      <w:lvlJc w:val="left"/>
      <w:pPr>
        <w:ind w:left="1260" w:hanging="420"/>
      </w:pPr>
    </w:lvl>
    <w:lvl w:ilvl="4" w:tentative="0">
      <w:start w:val="1"/>
      <w:numFmt w:val="lowerLetter"/>
      <w:lvlText w:val="%5)"/>
      <w:lvlJc w:val="left"/>
      <w:pPr>
        <w:ind w:left="1680" w:hanging="420"/>
      </w:pPr>
    </w:lvl>
    <w:lvl w:ilvl="5" w:tentative="0">
      <w:start w:val="1"/>
      <w:numFmt w:val="lowerRoman"/>
      <w:lvlText w:val="%6."/>
      <w:lvlJc w:val="right"/>
      <w:pPr>
        <w:ind w:left="2100" w:hanging="420"/>
      </w:pPr>
    </w:lvl>
    <w:lvl w:ilvl="6" w:tentative="0">
      <w:start w:val="1"/>
      <w:numFmt w:val="decimal"/>
      <w:lvlText w:val="%7."/>
      <w:lvlJc w:val="left"/>
      <w:pPr>
        <w:ind w:left="2520" w:hanging="420"/>
      </w:pPr>
    </w:lvl>
    <w:lvl w:ilvl="7" w:tentative="0">
      <w:start w:val="1"/>
      <w:numFmt w:val="lowerLetter"/>
      <w:lvlText w:val="%8)"/>
      <w:lvlJc w:val="left"/>
      <w:pPr>
        <w:ind w:left="2940" w:hanging="420"/>
      </w:pPr>
    </w:lvl>
    <w:lvl w:ilvl="8" w:tentative="0">
      <w:start w:val="1"/>
      <w:numFmt w:val="lowerRoman"/>
      <w:lvlText w:val="%9."/>
      <w:lvlJc w:val="right"/>
      <w:pPr>
        <w:ind w:left="3360" w:hanging="420"/>
      </w:pPr>
    </w:lvl>
  </w:abstractNum>
  <w:abstractNum w:abstractNumId="24">
    <w:nsid w:val="54F403B5"/>
    <w:multiLevelType w:val="singleLevel"/>
    <w:tmpl w:val="54F403B5"/>
    <w:lvl w:ilvl="0" w:tentative="0">
      <w:start w:val="1"/>
      <w:numFmt w:val="chineseCounting"/>
      <w:suff w:val="nothing"/>
      <w:lvlText w:val="%1、"/>
      <w:lvlJc w:val="left"/>
      <w:pPr>
        <w:ind w:left="0" w:firstLine="0"/>
      </w:pPr>
    </w:lvl>
  </w:abstractNum>
  <w:abstractNum w:abstractNumId="25">
    <w:nsid w:val="550F68AE"/>
    <w:multiLevelType w:val="multilevel"/>
    <w:tmpl w:val="550F68AE"/>
    <w:lvl w:ilvl="0" w:tentative="0">
      <w:start w:val="1"/>
      <w:numFmt w:val="decimal"/>
      <w:pStyle w:val="603"/>
      <w:lvlText w:val="(%1)"/>
      <w:lvlJc w:val="left"/>
      <w:pPr>
        <w:tabs>
          <w:tab w:val="left" w:pos="454"/>
        </w:tabs>
        <w:ind w:left="454" w:hanging="45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557FD3DA"/>
    <w:multiLevelType w:val="singleLevel"/>
    <w:tmpl w:val="557FD3DA"/>
    <w:lvl w:ilvl="0" w:tentative="0">
      <w:start w:val="3"/>
      <w:numFmt w:val="chineseCounting"/>
      <w:suff w:val="nothing"/>
      <w:lvlText w:val="%1、"/>
      <w:lvlJc w:val="left"/>
      <w:pPr>
        <w:ind w:left="0" w:firstLine="0"/>
      </w:pPr>
    </w:lvl>
  </w:abstractNum>
  <w:abstractNum w:abstractNumId="27">
    <w:nsid w:val="57D5443E"/>
    <w:multiLevelType w:val="multilevel"/>
    <w:tmpl w:val="57D54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A82CCC1"/>
    <w:multiLevelType w:val="singleLevel"/>
    <w:tmpl w:val="5A82CCC1"/>
    <w:lvl w:ilvl="0" w:tentative="0">
      <w:start w:val="1"/>
      <w:numFmt w:val="chineseCounting"/>
      <w:suff w:val="nothing"/>
      <w:lvlText w:val="%1、"/>
      <w:lvlJc w:val="left"/>
      <w:pPr>
        <w:ind w:left="0" w:firstLine="420"/>
      </w:pPr>
      <w:rPr>
        <w:rFonts w:hint="eastAsia"/>
      </w:rPr>
    </w:lvl>
  </w:abstractNum>
  <w:abstractNum w:abstractNumId="29">
    <w:nsid w:val="661F27CA"/>
    <w:multiLevelType w:val="singleLevel"/>
    <w:tmpl w:val="661F27CA"/>
    <w:lvl w:ilvl="0" w:tentative="0">
      <w:start w:val="1"/>
      <w:numFmt w:val="decimal"/>
      <w:suff w:val="nothing"/>
      <w:lvlText w:val="（%1）"/>
      <w:lvlJc w:val="left"/>
    </w:lvl>
  </w:abstractNum>
  <w:abstractNum w:abstractNumId="30">
    <w:nsid w:val="6B864C8B"/>
    <w:multiLevelType w:val="multilevel"/>
    <w:tmpl w:val="6B864C8B"/>
    <w:lvl w:ilvl="0" w:tentative="0">
      <w:start w:val="1"/>
      <w:numFmt w:val="decimal"/>
      <w:pStyle w:val="537"/>
      <w:lvlText w:val="%1)"/>
      <w:lvlJc w:val="left"/>
      <w:pPr>
        <w:ind w:left="845" w:hanging="425"/>
      </w:pPr>
    </w:lvl>
    <w:lvl w:ilvl="1" w:tentative="0">
      <w:start w:val="1"/>
      <w:numFmt w:val="decimal"/>
      <w:lvlText w:val="12.%2"/>
      <w:lvlJc w:val="left"/>
      <w:pPr>
        <w:ind w:left="987" w:hanging="567"/>
      </w:pPr>
      <w:rPr>
        <w:rFonts w:hint="eastAsia"/>
      </w:rPr>
    </w:lvl>
    <w:lvl w:ilvl="2" w:tentative="0">
      <w:start w:val="1"/>
      <w:numFmt w:val="decimal"/>
      <w:lvlText w:val="5.5.%3"/>
      <w:lvlJc w:val="left"/>
      <w:pPr>
        <w:ind w:left="1129" w:hanging="709"/>
      </w:pPr>
      <w:rPr>
        <w:rFonts w:hint="eastAsia"/>
      </w:rPr>
    </w:lvl>
    <w:lvl w:ilvl="3" w:tentative="0">
      <w:start w:val="1"/>
      <w:numFmt w:val="decimal"/>
      <w:pStyle w:val="184"/>
      <w:lvlText w:val="5.4.1.%4"/>
      <w:lvlJc w:val="left"/>
      <w:pPr>
        <w:ind w:left="3965" w:hanging="851"/>
      </w:pPr>
      <w:rPr>
        <w:rFonts w:hint="eastAsia"/>
      </w:r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31">
    <w:nsid w:val="70391D9F"/>
    <w:multiLevelType w:val="multilevel"/>
    <w:tmpl w:val="70391D9F"/>
    <w:lvl w:ilvl="0" w:tentative="0">
      <w:start w:val="1"/>
      <w:numFmt w:val="bullet"/>
      <w:pStyle w:val="421"/>
      <w:lvlText w:val=""/>
      <w:lvlJc w:val="left"/>
      <w:pPr>
        <w:tabs>
          <w:tab w:val="left" w:pos="1497"/>
        </w:tabs>
        <w:ind w:left="1497" w:hanging="420"/>
      </w:pPr>
      <w:rPr>
        <w:rFonts w:hint="default" w:ascii="Wingdings" w:hAnsi="Wingdings"/>
      </w:rPr>
    </w:lvl>
    <w:lvl w:ilvl="1" w:tentative="0">
      <w:start w:val="1"/>
      <w:numFmt w:val="lowerLetter"/>
      <w:lvlText w:val="%2)"/>
      <w:lvlJc w:val="left"/>
      <w:pPr>
        <w:ind w:left="1917" w:hanging="420"/>
      </w:pPr>
    </w:lvl>
    <w:lvl w:ilvl="2" w:tentative="0">
      <w:start w:val="1"/>
      <w:numFmt w:val="lowerRoman"/>
      <w:lvlText w:val="%3."/>
      <w:lvlJc w:val="right"/>
      <w:pPr>
        <w:ind w:left="2337" w:hanging="420"/>
      </w:pPr>
    </w:lvl>
    <w:lvl w:ilvl="3" w:tentative="0">
      <w:start w:val="1"/>
      <w:numFmt w:val="decimal"/>
      <w:lvlText w:val="%4."/>
      <w:lvlJc w:val="left"/>
      <w:pPr>
        <w:ind w:left="2757" w:hanging="420"/>
      </w:pPr>
    </w:lvl>
    <w:lvl w:ilvl="4" w:tentative="0">
      <w:start w:val="1"/>
      <w:numFmt w:val="lowerLetter"/>
      <w:lvlText w:val="%5)"/>
      <w:lvlJc w:val="left"/>
      <w:pPr>
        <w:ind w:left="3177" w:hanging="420"/>
      </w:pPr>
    </w:lvl>
    <w:lvl w:ilvl="5" w:tentative="0">
      <w:start w:val="1"/>
      <w:numFmt w:val="lowerRoman"/>
      <w:lvlText w:val="%6."/>
      <w:lvlJc w:val="right"/>
      <w:pPr>
        <w:ind w:left="3597" w:hanging="420"/>
      </w:pPr>
    </w:lvl>
    <w:lvl w:ilvl="6" w:tentative="0">
      <w:start w:val="1"/>
      <w:numFmt w:val="decimal"/>
      <w:lvlText w:val="%7."/>
      <w:lvlJc w:val="left"/>
      <w:pPr>
        <w:ind w:left="4017" w:hanging="420"/>
      </w:pPr>
    </w:lvl>
    <w:lvl w:ilvl="7" w:tentative="0">
      <w:start w:val="1"/>
      <w:numFmt w:val="lowerLetter"/>
      <w:lvlText w:val="%8)"/>
      <w:lvlJc w:val="left"/>
      <w:pPr>
        <w:ind w:left="4437" w:hanging="420"/>
      </w:pPr>
    </w:lvl>
    <w:lvl w:ilvl="8" w:tentative="0">
      <w:start w:val="1"/>
      <w:numFmt w:val="lowerRoman"/>
      <w:lvlText w:val="%9."/>
      <w:lvlJc w:val="right"/>
      <w:pPr>
        <w:ind w:left="4857" w:hanging="420"/>
      </w:pPr>
    </w:lvl>
  </w:abstractNum>
  <w:abstractNum w:abstractNumId="32">
    <w:nsid w:val="718BE135"/>
    <w:multiLevelType w:val="singleLevel"/>
    <w:tmpl w:val="718BE135"/>
    <w:lvl w:ilvl="0" w:tentative="0">
      <w:start w:val="1"/>
      <w:numFmt w:val="decimal"/>
      <w:suff w:val="nothing"/>
      <w:lvlText w:val="%1．"/>
      <w:lvlJc w:val="left"/>
      <w:pPr>
        <w:ind w:left="0" w:firstLine="400"/>
      </w:pPr>
      <w:rPr>
        <w:rFonts w:hint="default"/>
      </w:rPr>
    </w:lvl>
  </w:abstractNum>
  <w:abstractNum w:abstractNumId="33">
    <w:nsid w:val="73FB4307"/>
    <w:multiLevelType w:val="multilevel"/>
    <w:tmpl w:val="73FB4307"/>
    <w:lvl w:ilvl="0" w:tentative="0">
      <w:start w:val="1"/>
      <w:numFmt w:val="bullet"/>
      <w:lvlText w:val=""/>
      <w:lvlJc w:val="left"/>
      <w:pPr>
        <w:ind w:left="420" w:hanging="420"/>
      </w:pPr>
      <w:rPr>
        <w:rFonts w:hint="default" w:ascii="Wingdings" w:hAnsi="Wingdings"/>
      </w:rPr>
    </w:lvl>
    <w:lvl w:ilvl="1" w:tentative="0">
      <w:start w:val="1"/>
      <w:numFmt w:val="bullet"/>
      <w:pStyle w:val="467"/>
      <w:lvlText w:val=""/>
      <w:lvlJc w:val="left"/>
      <w:pPr>
        <w:ind w:left="840" w:hanging="420"/>
      </w:pPr>
      <w:rPr>
        <w:rFonts w:hint="default" w:ascii="Wingdings" w:hAnsi="Wingdings"/>
      </w:rPr>
    </w:lvl>
    <w:lvl w:ilvl="2" w:tentative="0">
      <w:start w:val="1"/>
      <w:numFmt w:val="bullet"/>
      <w:pStyle w:val="647"/>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4">
    <w:nsid w:val="79213472"/>
    <w:multiLevelType w:val="multilevel"/>
    <w:tmpl w:val="79213472"/>
    <w:lvl w:ilvl="0" w:tentative="0">
      <w:start w:val="1"/>
      <w:numFmt w:val="decimal"/>
      <w:pStyle w:val="265"/>
      <w:lvlText w:val="2.3.1.2.%1"/>
      <w:lvlJc w:val="left"/>
      <w:pPr>
        <w:ind w:left="420" w:hanging="420"/>
      </w:pPr>
      <w:rPr>
        <w:rFonts w:hint="eastAsia"/>
      </w:rPr>
    </w:lvl>
    <w:lvl w:ilvl="1" w:tentative="0">
      <w:start w:val="1"/>
      <w:numFmt w:val="lowerLetter"/>
      <w:lvlText w:val="%2）"/>
      <w:lvlJc w:val="left"/>
      <w:pPr>
        <w:tabs>
          <w:tab w:val="left" w:pos="1400"/>
        </w:tabs>
        <w:ind w:left="1400" w:hanging="360"/>
      </w:pPr>
      <w:rPr>
        <w:rFonts w:hint="default"/>
      </w:rPr>
    </w:lvl>
    <w:lvl w:ilvl="2" w:tentative="0">
      <w:start w:val="1"/>
      <w:numFmt w:val="decimal"/>
      <w:lvlText w:val="（%3）"/>
      <w:lvlJc w:val="left"/>
      <w:pPr>
        <w:ind w:left="2195" w:hanging="735"/>
      </w:pPr>
      <w:rPr>
        <w:rFonts w:hint="default"/>
      </w:rPr>
    </w:lvl>
    <w:lvl w:ilvl="3" w:tentative="0">
      <w:start w:val="1"/>
      <w:numFmt w:val="decimal"/>
      <w:lvlText w:val="%4."/>
      <w:lvlJc w:val="left"/>
      <w:pPr>
        <w:tabs>
          <w:tab w:val="left" w:pos="2300"/>
        </w:tabs>
        <w:ind w:left="2300" w:hanging="420"/>
      </w:pPr>
    </w:lvl>
    <w:lvl w:ilvl="4" w:tentative="0">
      <w:start w:val="1"/>
      <w:numFmt w:val="lowerLetter"/>
      <w:lvlText w:val="%5)"/>
      <w:lvlJc w:val="left"/>
      <w:pPr>
        <w:tabs>
          <w:tab w:val="left" w:pos="2720"/>
        </w:tabs>
        <w:ind w:left="2720" w:hanging="420"/>
      </w:pPr>
    </w:lvl>
    <w:lvl w:ilvl="5" w:tentative="0">
      <w:start w:val="1"/>
      <w:numFmt w:val="lowerRoman"/>
      <w:lvlText w:val="%6."/>
      <w:lvlJc w:val="right"/>
      <w:pPr>
        <w:tabs>
          <w:tab w:val="left" w:pos="3140"/>
        </w:tabs>
        <w:ind w:left="3140" w:hanging="420"/>
      </w:pPr>
    </w:lvl>
    <w:lvl w:ilvl="6" w:tentative="0">
      <w:start w:val="1"/>
      <w:numFmt w:val="decimal"/>
      <w:lvlText w:val="%7."/>
      <w:lvlJc w:val="left"/>
      <w:pPr>
        <w:tabs>
          <w:tab w:val="left" w:pos="3560"/>
        </w:tabs>
        <w:ind w:left="3560" w:hanging="420"/>
      </w:pPr>
    </w:lvl>
    <w:lvl w:ilvl="7" w:tentative="0">
      <w:start w:val="1"/>
      <w:numFmt w:val="lowerLetter"/>
      <w:lvlText w:val="%8)"/>
      <w:lvlJc w:val="left"/>
      <w:pPr>
        <w:tabs>
          <w:tab w:val="left" w:pos="3980"/>
        </w:tabs>
        <w:ind w:left="3980" w:hanging="420"/>
      </w:pPr>
    </w:lvl>
    <w:lvl w:ilvl="8" w:tentative="0">
      <w:start w:val="1"/>
      <w:numFmt w:val="lowerRoman"/>
      <w:lvlText w:val="%9."/>
      <w:lvlJc w:val="right"/>
      <w:pPr>
        <w:tabs>
          <w:tab w:val="left" w:pos="4400"/>
        </w:tabs>
        <w:ind w:left="4400" w:hanging="420"/>
      </w:pPr>
    </w:lvl>
  </w:abstractNum>
  <w:abstractNum w:abstractNumId="35">
    <w:nsid w:val="7B9B3A13"/>
    <w:multiLevelType w:val="singleLevel"/>
    <w:tmpl w:val="7B9B3A13"/>
    <w:lvl w:ilvl="0" w:tentative="0">
      <w:start w:val="1"/>
      <w:numFmt w:val="decimalEnclosedCircleChinese"/>
      <w:suff w:val="nothing"/>
      <w:lvlText w:val="%1　"/>
      <w:lvlJc w:val="left"/>
      <w:pPr>
        <w:ind w:left="0" w:firstLine="400"/>
      </w:pPr>
      <w:rPr>
        <w:rFonts w:hint="eastAsia"/>
      </w:rPr>
    </w:lvl>
  </w:abstractNum>
  <w:num w:numId="1">
    <w:abstractNumId w:val="9"/>
  </w:num>
  <w:num w:numId="2">
    <w:abstractNumId w:val="30"/>
  </w:num>
  <w:num w:numId="3">
    <w:abstractNumId w:val="34"/>
  </w:num>
  <w:num w:numId="4">
    <w:abstractNumId w:val="8"/>
  </w:num>
  <w:num w:numId="5">
    <w:abstractNumId w:val="22"/>
  </w:num>
  <w:num w:numId="6">
    <w:abstractNumId w:val="21"/>
  </w:num>
  <w:num w:numId="7">
    <w:abstractNumId w:val="31"/>
  </w:num>
  <w:num w:numId="8">
    <w:abstractNumId w:val="33"/>
  </w:num>
  <w:num w:numId="9">
    <w:abstractNumId w:val="10"/>
  </w:num>
  <w:num w:numId="10">
    <w:abstractNumId w:val="18"/>
  </w:num>
  <w:num w:numId="11">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25"/>
    <w:lvlOverride w:ilvl="0">
      <w:startOverride w:val="1"/>
    </w:lvlOverride>
  </w:num>
  <w:num w:numId="15">
    <w:abstractNumId w:val="17"/>
  </w:num>
  <w:num w:numId="16">
    <w:abstractNumId w:val="11"/>
  </w:num>
  <w:num w:numId="17">
    <w:abstractNumId w:val="29"/>
  </w:num>
  <w:num w:numId="18">
    <w:abstractNumId w:val="35"/>
  </w:num>
  <w:num w:numId="19">
    <w:abstractNumId w:val="4"/>
  </w:num>
  <w:num w:numId="20">
    <w:abstractNumId w:val="12"/>
  </w:num>
  <w:num w:numId="21">
    <w:abstractNumId w:val="3"/>
  </w:num>
  <w:num w:numId="22">
    <w:abstractNumId w:val="14"/>
  </w:num>
  <w:num w:numId="23">
    <w:abstractNumId w:val="24"/>
    <w:lvlOverride w:ilvl="0">
      <w:startOverride w:val="1"/>
    </w:lvlOverride>
  </w:num>
  <w:num w:numId="24">
    <w:abstractNumId w:val="26"/>
    <w:lvlOverride w:ilvl="0">
      <w:startOverride w:val="3"/>
    </w:lvlOverride>
  </w:num>
  <w:num w:numId="25">
    <w:abstractNumId w:val="27"/>
  </w:num>
  <w:num w:numId="26">
    <w:abstractNumId w:val="20"/>
  </w:num>
  <w:num w:numId="27">
    <w:abstractNumId w:val="13"/>
  </w:num>
  <w:num w:numId="28">
    <w:abstractNumId w:val="7"/>
  </w:num>
  <w:num w:numId="29">
    <w:abstractNumId w:val="6"/>
  </w:num>
  <w:num w:numId="30">
    <w:abstractNumId w:val="5"/>
  </w:num>
  <w:num w:numId="31">
    <w:abstractNumId w:val="28"/>
  </w:num>
  <w:num w:numId="32">
    <w:abstractNumId w:val="1"/>
  </w:num>
  <w:num w:numId="33">
    <w:abstractNumId w:val="0"/>
  </w:num>
  <w:num w:numId="34">
    <w:abstractNumId w:val="2"/>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4Y2FiM2Y2MWU2MDVmMTUxYjFkMDg4YjU4NmRhYmEifQ=="/>
  </w:docVars>
  <w:rsids>
    <w:rsidRoot w:val="00172A27"/>
    <w:rsid w:val="000020D1"/>
    <w:rsid w:val="0001503C"/>
    <w:rsid w:val="0001521F"/>
    <w:rsid w:val="00016CCB"/>
    <w:rsid w:val="00017492"/>
    <w:rsid w:val="000174C3"/>
    <w:rsid w:val="0002135E"/>
    <w:rsid w:val="00023A68"/>
    <w:rsid w:val="0002424F"/>
    <w:rsid w:val="00025364"/>
    <w:rsid w:val="00034534"/>
    <w:rsid w:val="0003480C"/>
    <w:rsid w:val="00034C4D"/>
    <w:rsid w:val="0003586B"/>
    <w:rsid w:val="000404E1"/>
    <w:rsid w:val="00041F17"/>
    <w:rsid w:val="000423D5"/>
    <w:rsid w:val="00051759"/>
    <w:rsid w:val="00052516"/>
    <w:rsid w:val="000526A1"/>
    <w:rsid w:val="000528C6"/>
    <w:rsid w:val="000546C0"/>
    <w:rsid w:val="000609AA"/>
    <w:rsid w:val="000627DC"/>
    <w:rsid w:val="00063852"/>
    <w:rsid w:val="00071105"/>
    <w:rsid w:val="00072217"/>
    <w:rsid w:val="00072D0A"/>
    <w:rsid w:val="00074270"/>
    <w:rsid w:val="00074BEF"/>
    <w:rsid w:val="0007567B"/>
    <w:rsid w:val="00075CA7"/>
    <w:rsid w:val="000765F2"/>
    <w:rsid w:val="000766F3"/>
    <w:rsid w:val="000772F6"/>
    <w:rsid w:val="0009250A"/>
    <w:rsid w:val="00096156"/>
    <w:rsid w:val="00096BB9"/>
    <w:rsid w:val="000A0F1B"/>
    <w:rsid w:val="000A10A2"/>
    <w:rsid w:val="000A134A"/>
    <w:rsid w:val="000A1A6B"/>
    <w:rsid w:val="000A2103"/>
    <w:rsid w:val="000A481C"/>
    <w:rsid w:val="000A4837"/>
    <w:rsid w:val="000A5391"/>
    <w:rsid w:val="000A5C27"/>
    <w:rsid w:val="000A5CE7"/>
    <w:rsid w:val="000B4764"/>
    <w:rsid w:val="000B4E1F"/>
    <w:rsid w:val="000B6A9E"/>
    <w:rsid w:val="000B7348"/>
    <w:rsid w:val="000B75CB"/>
    <w:rsid w:val="000B7D87"/>
    <w:rsid w:val="000C034C"/>
    <w:rsid w:val="000C0DAD"/>
    <w:rsid w:val="000C1512"/>
    <w:rsid w:val="000C1E25"/>
    <w:rsid w:val="000C1FCD"/>
    <w:rsid w:val="000C2444"/>
    <w:rsid w:val="000C33CF"/>
    <w:rsid w:val="000C36B8"/>
    <w:rsid w:val="000C58F2"/>
    <w:rsid w:val="000C76E1"/>
    <w:rsid w:val="000D0679"/>
    <w:rsid w:val="000D3765"/>
    <w:rsid w:val="000D3B14"/>
    <w:rsid w:val="000D4ACC"/>
    <w:rsid w:val="000D548C"/>
    <w:rsid w:val="000E0F78"/>
    <w:rsid w:val="000E1986"/>
    <w:rsid w:val="000E37E0"/>
    <w:rsid w:val="000E3DDC"/>
    <w:rsid w:val="000E44B1"/>
    <w:rsid w:val="000E56A0"/>
    <w:rsid w:val="000E74F4"/>
    <w:rsid w:val="000E77C2"/>
    <w:rsid w:val="000E7F08"/>
    <w:rsid w:val="000F31F1"/>
    <w:rsid w:val="000F65DE"/>
    <w:rsid w:val="00100804"/>
    <w:rsid w:val="00102504"/>
    <w:rsid w:val="00102794"/>
    <w:rsid w:val="00105AFE"/>
    <w:rsid w:val="0010755B"/>
    <w:rsid w:val="00113898"/>
    <w:rsid w:val="001147D0"/>
    <w:rsid w:val="00115140"/>
    <w:rsid w:val="0011601B"/>
    <w:rsid w:val="001203C5"/>
    <w:rsid w:val="00120AE6"/>
    <w:rsid w:val="00120C4F"/>
    <w:rsid w:val="00125E3E"/>
    <w:rsid w:val="00132584"/>
    <w:rsid w:val="00134C12"/>
    <w:rsid w:val="001373E0"/>
    <w:rsid w:val="00137AC1"/>
    <w:rsid w:val="00146621"/>
    <w:rsid w:val="00147402"/>
    <w:rsid w:val="001504E5"/>
    <w:rsid w:val="00153389"/>
    <w:rsid w:val="00154344"/>
    <w:rsid w:val="00157A56"/>
    <w:rsid w:val="00157D81"/>
    <w:rsid w:val="00162E03"/>
    <w:rsid w:val="001648AA"/>
    <w:rsid w:val="00165AEE"/>
    <w:rsid w:val="00166956"/>
    <w:rsid w:val="00171C49"/>
    <w:rsid w:val="00172A27"/>
    <w:rsid w:val="00173998"/>
    <w:rsid w:val="001752CD"/>
    <w:rsid w:val="00177023"/>
    <w:rsid w:val="001818DB"/>
    <w:rsid w:val="00182E5C"/>
    <w:rsid w:val="0018413B"/>
    <w:rsid w:val="00184AAB"/>
    <w:rsid w:val="00187F28"/>
    <w:rsid w:val="001907CE"/>
    <w:rsid w:val="001917D3"/>
    <w:rsid w:val="001942DC"/>
    <w:rsid w:val="001952CC"/>
    <w:rsid w:val="00197D94"/>
    <w:rsid w:val="001A0025"/>
    <w:rsid w:val="001A06A2"/>
    <w:rsid w:val="001A0A65"/>
    <w:rsid w:val="001A25D3"/>
    <w:rsid w:val="001A57C3"/>
    <w:rsid w:val="001A5957"/>
    <w:rsid w:val="001B192B"/>
    <w:rsid w:val="001B281E"/>
    <w:rsid w:val="001B2834"/>
    <w:rsid w:val="001B5B5D"/>
    <w:rsid w:val="001B767A"/>
    <w:rsid w:val="001C18E4"/>
    <w:rsid w:val="001C1C0A"/>
    <w:rsid w:val="001C1CEE"/>
    <w:rsid w:val="001C3C94"/>
    <w:rsid w:val="001C6714"/>
    <w:rsid w:val="001C7ED9"/>
    <w:rsid w:val="001D000C"/>
    <w:rsid w:val="001D010E"/>
    <w:rsid w:val="001D1BF1"/>
    <w:rsid w:val="001D30A0"/>
    <w:rsid w:val="001D32C3"/>
    <w:rsid w:val="001D7349"/>
    <w:rsid w:val="001E3203"/>
    <w:rsid w:val="001E6123"/>
    <w:rsid w:val="001F04E0"/>
    <w:rsid w:val="001F10CC"/>
    <w:rsid w:val="001F13BC"/>
    <w:rsid w:val="001F3B5D"/>
    <w:rsid w:val="001F5185"/>
    <w:rsid w:val="001F55A7"/>
    <w:rsid w:val="001F55D4"/>
    <w:rsid w:val="001F597A"/>
    <w:rsid w:val="002000CE"/>
    <w:rsid w:val="002016D5"/>
    <w:rsid w:val="0020200F"/>
    <w:rsid w:val="00205090"/>
    <w:rsid w:val="00205A5C"/>
    <w:rsid w:val="002071D0"/>
    <w:rsid w:val="00207630"/>
    <w:rsid w:val="0020769F"/>
    <w:rsid w:val="002114C8"/>
    <w:rsid w:val="00211A52"/>
    <w:rsid w:val="002135E8"/>
    <w:rsid w:val="00214803"/>
    <w:rsid w:val="002150F9"/>
    <w:rsid w:val="00215129"/>
    <w:rsid w:val="00215633"/>
    <w:rsid w:val="002218BE"/>
    <w:rsid w:val="00222088"/>
    <w:rsid w:val="002225FD"/>
    <w:rsid w:val="00225414"/>
    <w:rsid w:val="00225FB0"/>
    <w:rsid w:val="0023080E"/>
    <w:rsid w:val="00231743"/>
    <w:rsid w:val="00232A1A"/>
    <w:rsid w:val="00234100"/>
    <w:rsid w:val="00234C5A"/>
    <w:rsid w:val="00237BF9"/>
    <w:rsid w:val="00237F32"/>
    <w:rsid w:val="00240F97"/>
    <w:rsid w:val="00241ACC"/>
    <w:rsid w:val="00242BA7"/>
    <w:rsid w:val="002452A3"/>
    <w:rsid w:val="002453F2"/>
    <w:rsid w:val="00245E73"/>
    <w:rsid w:val="00245EBB"/>
    <w:rsid w:val="00247058"/>
    <w:rsid w:val="00250A6E"/>
    <w:rsid w:val="0025264D"/>
    <w:rsid w:val="00252D92"/>
    <w:rsid w:val="0025717C"/>
    <w:rsid w:val="002612C9"/>
    <w:rsid w:val="00261AE6"/>
    <w:rsid w:val="00261C54"/>
    <w:rsid w:val="00262836"/>
    <w:rsid w:val="00264C67"/>
    <w:rsid w:val="00275AE0"/>
    <w:rsid w:val="00277AE9"/>
    <w:rsid w:val="00280665"/>
    <w:rsid w:val="002808A3"/>
    <w:rsid w:val="0028097B"/>
    <w:rsid w:val="00281371"/>
    <w:rsid w:val="0028173C"/>
    <w:rsid w:val="00281DDD"/>
    <w:rsid w:val="00283764"/>
    <w:rsid w:val="002851A6"/>
    <w:rsid w:val="002857A5"/>
    <w:rsid w:val="0028639F"/>
    <w:rsid w:val="00287AD3"/>
    <w:rsid w:val="00290D89"/>
    <w:rsid w:val="00293952"/>
    <w:rsid w:val="002A2185"/>
    <w:rsid w:val="002A3701"/>
    <w:rsid w:val="002A425D"/>
    <w:rsid w:val="002A4CFC"/>
    <w:rsid w:val="002A4FBF"/>
    <w:rsid w:val="002B0EFA"/>
    <w:rsid w:val="002B1DDF"/>
    <w:rsid w:val="002B20CC"/>
    <w:rsid w:val="002B2B0D"/>
    <w:rsid w:val="002B5B79"/>
    <w:rsid w:val="002B60D6"/>
    <w:rsid w:val="002B7EA6"/>
    <w:rsid w:val="002C0713"/>
    <w:rsid w:val="002C07CB"/>
    <w:rsid w:val="002C133A"/>
    <w:rsid w:val="002C1B9D"/>
    <w:rsid w:val="002C1F7A"/>
    <w:rsid w:val="002C6213"/>
    <w:rsid w:val="002C68D8"/>
    <w:rsid w:val="002C7FDE"/>
    <w:rsid w:val="002D0B59"/>
    <w:rsid w:val="002D2049"/>
    <w:rsid w:val="002D36F0"/>
    <w:rsid w:val="002D3A02"/>
    <w:rsid w:val="002D79D3"/>
    <w:rsid w:val="002E072B"/>
    <w:rsid w:val="002E0FA1"/>
    <w:rsid w:val="002E3ED6"/>
    <w:rsid w:val="002E44AF"/>
    <w:rsid w:val="002E4E17"/>
    <w:rsid w:val="002E55A5"/>
    <w:rsid w:val="002F5652"/>
    <w:rsid w:val="002F5E0B"/>
    <w:rsid w:val="002F7683"/>
    <w:rsid w:val="00305B41"/>
    <w:rsid w:val="003065FB"/>
    <w:rsid w:val="003109E5"/>
    <w:rsid w:val="00310E51"/>
    <w:rsid w:val="0031653A"/>
    <w:rsid w:val="00317168"/>
    <w:rsid w:val="00317549"/>
    <w:rsid w:val="00320364"/>
    <w:rsid w:val="00321DA0"/>
    <w:rsid w:val="00322559"/>
    <w:rsid w:val="00324F57"/>
    <w:rsid w:val="00327E84"/>
    <w:rsid w:val="00330F68"/>
    <w:rsid w:val="003331F4"/>
    <w:rsid w:val="003334E2"/>
    <w:rsid w:val="00333CA9"/>
    <w:rsid w:val="00334582"/>
    <w:rsid w:val="00334CA0"/>
    <w:rsid w:val="00335D2E"/>
    <w:rsid w:val="00341A59"/>
    <w:rsid w:val="00342DF6"/>
    <w:rsid w:val="003447C6"/>
    <w:rsid w:val="0034519A"/>
    <w:rsid w:val="00346936"/>
    <w:rsid w:val="00346FA6"/>
    <w:rsid w:val="00347434"/>
    <w:rsid w:val="003506D5"/>
    <w:rsid w:val="0035116C"/>
    <w:rsid w:val="0035123F"/>
    <w:rsid w:val="0035178D"/>
    <w:rsid w:val="00352538"/>
    <w:rsid w:val="00352C42"/>
    <w:rsid w:val="0035369C"/>
    <w:rsid w:val="00360538"/>
    <w:rsid w:val="00360A27"/>
    <w:rsid w:val="00361339"/>
    <w:rsid w:val="00361505"/>
    <w:rsid w:val="00362235"/>
    <w:rsid w:val="00363654"/>
    <w:rsid w:val="003636A3"/>
    <w:rsid w:val="00365C7D"/>
    <w:rsid w:val="00366E33"/>
    <w:rsid w:val="00370103"/>
    <w:rsid w:val="0037030E"/>
    <w:rsid w:val="0037045B"/>
    <w:rsid w:val="0037077D"/>
    <w:rsid w:val="00370A8C"/>
    <w:rsid w:val="00370B04"/>
    <w:rsid w:val="00371D81"/>
    <w:rsid w:val="00373FD6"/>
    <w:rsid w:val="00374BBC"/>
    <w:rsid w:val="00374C7D"/>
    <w:rsid w:val="003751D2"/>
    <w:rsid w:val="003762D2"/>
    <w:rsid w:val="003777B7"/>
    <w:rsid w:val="003802E6"/>
    <w:rsid w:val="00382609"/>
    <w:rsid w:val="00382FA1"/>
    <w:rsid w:val="00384072"/>
    <w:rsid w:val="003857DC"/>
    <w:rsid w:val="00386C09"/>
    <w:rsid w:val="00391DD0"/>
    <w:rsid w:val="00395D79"/>
    <w:rsid w:val="003A1A9C"/>
    <w:rsid w:val="003A23FC"/>
    <w:rsid w:val="003A38AD"/>
    <w:rsid w:val="003A51E4"/>
    <w:rsid w:val="003A5340"/>
    <w:rsid w:val="003B226B"/>
    <w:rsid w:val="003B31DD"/>
    <w:rsid w:val="003B4250"/>
    <w:rsid w:val="003B4C14"/>
    <w:rsid w:val="003B6D7D"/>
    <w:rsid w:val="003C00A0"/>
    <w:rsid w:val="003C38C6"/>
    <w:rsid w:val="003C415B"/>
    <w:rsid w:val="003C4C5B"/>
    <w:rsid w:val="003C5F18"/>
    <w:rsid w:val="003C650A"/>
    <w:rsid w:val="003D0862"/>
    <w:rsid w:val="003D08E3"/>
    <w:rsid w:val="003D1274"/>
    <w:rsid w:val="003D28C5"/>
    <w:rsid w:val="003D43D9"/>
    <w:rsid w:val="003D5E4D"/>
    <w:rsid w:val="003E1A9C"/>
    <w:rsid w:val="003E29FF"/>
    <w:rsid w:val="003F1255"/>
    <w:rsid w:val="003F3E8B"/>
    <w:rsid w:val="003F4B65"/>
    <w:rsid w:val="003F5510"/>
    <w:rsid w:val="003F5773"/>
    <w:rsid w:val="003F633D"/>
    <w:rsid w:val="003F6B05"/>
    <w:rsid w:val="003F6E3F"/>
    <w:rsid w:val="0040337C"/>
    <w:rsid w:val="00404A39"/>
    <w:rsid w:val="00405799"/>
    <w:rsid w:val="004067F7"/>
    <w:rsid w:val="00407E18"/>
    <w:rsid w:val="004100A0"/>
    <w:rsid w:val="00410C98"/>
    <w:rsid w:val="00411C61"/>
    <w:rsid w:val="004140F7"/>
    <w:rsid w:val="00416873"/>
    <w:rsid w:val="0042049E"/>
    <w:rsid w:val="00421F79"/>
    <w:rsid w:val="00423729"/>
    <w:rsid w:val="0042621A"/>
    <w:rsid w:val="00426D4B"/>
    <w:rsid w:val="00430108"/>
    <w:rsid w:val="00431E21"/>
    <w:rsid w:val="00434B76"/>
    <w:rsid w:val="00436CD3"/>
    <w:rsid w:val="00437AC9"/>
    <w:rsid w:val="00440660"/>
    <w:rsid w:val="00440A4E"/>
    <w:rsid w:val="004412DE"/>
    <w:rsid w:val="004418B9"/>
    <w:rsid w:val="00442CCB"/>
    <w:rsid w:val="00444318"/>
    <w:rsid w:val="004463BF"/>
    <w:rsid w:val="00447401"/>
    <w:rsid w:val="0045083A"/>
    <w:rsid w:val="00450E4F"/>
    <w:rsid w:val="004551E9"/>
    <w:rsid w:val="004574C5"/>
    <w:rsid w:val="00463EF4"/>
    <w:rsid w:val="004643B6"/>
    <w:rsid w:val="004652A3"/>
    <w:rsid w:val="0047158F"/>
    <w:rsid w:val="00471C40"/>
    <w:rsid w:val="00471C4F"/>
    <w:rsid w:val="004755A8"/>
    <w:rsid w:val="0048110A"/>
    <w:rsid w:val="00481F74"/>
    <w:rsid w:val="004821A8"/>
    <w:rsid w:val="004842E1"/>
    <w:rsid w:val="00485DA9"/>
    <w:rsid w:val="00492571"/>
    <w:rsid w:val="004956DF"/>
    <w:rsid w:val="0049766C"/>
    <w:rsid w:val="004A0FEC"/>
    <w:rsid w:val="004A1225"/>
    <w:rsid w:val="004A3332"/>
    <w:rsid w:val="004A6DF9"/>
    <w:rsid w:val="004A7385"/>
    <w:rsid w:val="004A7A17"/>
    <w:rsid w:val="004B1399"/>
    <w:rsid w:val="004B3275"/>
    <w:rsid w:val="004B3428"/>
    <w:rsid w:val="004B617F"/>
    <w:rsid w:val="004B7F58"/>
    <w:rsid w:val="004C1B49"/>
    <w:rsid w:val="004C255B"/>
    <w:rsid w:val="004C44DA"/>
    <w:rsid w:val="004C5F3D"/>
    <w:rsid w:val="004C6BCD"/>
    <w:rsid w:val="004C7A19"/>
    <w:rsid w:val="004C7BD7"/>
    <w:rsid w:val="004D0106"/>
    <w:rsid w:val="004D15C0"/>
    <w:rsid w:val="004D41DF"/>
    <w:rsid w:val="004D50EE"/>
    <w:rsid w:val="004D58F1"/>
    <w:rsid w:val="004D7594"/>
    <w:rsid w:val="004E0F42"/>
    <w:rsid w:val="004E20EF"/>
    <w:rsid w:val="004E3A27"/>
    <w:rsid w:val="004E5358"/>
    <w:rsid w:val="004E5D4B"/>
    <w:rsid w:val="004E61E1"/>
    <w:rsid w:val="004E6766"/>
    <w:rsid w:val="004E6F69"/>
    <w:rsid w:val="004F246B"/>
    <w:rsid w:val="004F430A"/>
    <w:rsid w:val="004F5A73"/>
    <w:rsid w:val="004F61F9"/>
    <w:rsid w:val="004F63E8"/>
    <w:rsid w:val="004F75B9"/>
    <w:rsid w:val="00502B08"/>
    <w:rsid w:val="00503D9F"/>
    <w:rsid w:val="00504D6A"/>
    <w:rsid w:val="005074A3"/>
    <w:rsid w:val="00511B93"/>
    <w:rsid w:val="00514650"/>
    <w:rsid w:val="0052285A"/>
    <w:rsid w:val="00522E7A"/>
    <w:rsid w:val="00526521"/>
    <w:rsid w:val="00526F98"/>
    <w:rsid w:val="00543D9A"/>
    <w:rsid w:val="00543E8A"/>
    <w:rsid w:val="00543F07"/>
    <w:rsid w:val="00543FBA"/>
    <w:rsid w:val="00547714"/>
    <w:rsid w:val="00547B6D"/>
    <w:rsid w:val="005510CD"/>
    <w:rsid w:val="00551F4A"/>
    <w:rsid w:val="00556412"/>
    <w:rsid w:val="00560C80"/>
    <w:rsid w:val="00560F44"/>
    <w:rsid w:val="005620B3"/>
    <w:rsid w:val="00564B33"/>
    <w:rsid w:val="00564D29"/>
    <w:rsid w:val="005657AE"/>
    <w:rsid w:val="00567CB7"/>
    <w:rsid w:val="00572BE1"/>
    <w:rsid w:val="0057398E"/>
    <w:rsid w:val="00573CEF"/>
    <w:rsid w:val="0057515B"/>
    <w:rsid w:val="005754DB"/>
    <w:rsid w:val="005756AB"/>
    <w:rsid w:val="005830B3"/>
    <w:rsid w:val="00584716"/>
    <w:rsid w:val="00584782"/>
    <w:rsid w:val="00590BED"/>
    <w:rsid w:val="00590DE4"/>
    <w:rsid w:val="005935A2"/>
    <w:rsid w:val="005A15E7"/>
    <w:rsid w:val="005A23D2"/>
    <w:rsid w:val="005A2468"/>
    <w:rsid w:val="005A43B4"/>
    <w:rsid w:val="005A4A96"/>
    <w:rsid w:val="005A6404"/>
    <w:rsid w:val="005A6500"/>
    <w:rsid w:val="005B28B6"/>
    <w:rsid w:val="005B5756"/>
    <w:rsid w:val="005B7403"/>
    <w:rsid w:val="005B7F32"/>
    <w:rsid w:val="005C139E"/>
    <w:rsid w:val="005C2F6F"/>
    <w:rsid w:val="005C39EB"/>
    <w:rsid w:val="005C4918"/>
    <w:rsid w:val="005D0C26"/>
    <w:rsid w:val="005D0F95"/>
    <w:rsid w:val="005D225B"/>
    <w:rsid w:val="005D5C43"/>
    <w:rsid w:val="005E1C05"/>
    <w:rsid w:val="005E46C6"/>
    <w:rsid w:val="005F178D"/>
    <w:rsid w:val="005F2119"/>
    <w:rsid w:val="005F255D"/>
    <w:rsid w:val="005F5EAF"/>
    <w:rsid w:val="005F71EE"/>
    <w:rsid w:val="006015D9"/>
    <w:rsid w:val="0060182B"/>
    <w:rsid w:val="00603FC8"/>
    <w:rsid w:val="0060488B"/>
    <w:rsid w:val="006069DE"/>
    <w:rsid w:val="0061145C"/>
    <w:rsid w:val="00611E6C"/>
    <w:rsid w:val="00617067"/>
    <w:rsid w:val="00621082"/>
    <w:rsid w:val="006255A7"/>
    <w:rsid w:val="00625E53"/>
    <w:rsid w:val="00627A30"/>
    <w:rsid w:val="0063428C"/>
    <w:rsid w:val="006347A2"/>
    <w:rsid w:val="00635361"/>
    <w:rsid w:val="00637353"/>
    <w:rsid w:val="00637756"/>
    <w:rsid w:val="006413C8"/>
    <w:rsid w:val="00642748"/>
    <w:rsid w:val="00642A86"/>
    <w:rsid w:val="00643947"/>
    <w:rsid w:val="00643D21"/>
    <w:rsid w:val="006459F0"/>
    <w:rsid w:val="006464D5"/>
    <w:rsid w:val="00646DE9"/>
    <w:rsid w:val="00651809"/>
    <w:rsid w:val="00653BB6"/>
    <w:rsid w:val="0065478D"/>
    <w:rsid w:val="00655A70"/>
    <w:rsid w:val="00655E4C"/>
    <w:rsid w:val="00660862"/>
    <w:rsid w:val="0066201B"/>
    <w:rsid w:val="00662A63"/>
    <w:rsid w:val="00663E83"/>
    <w:rsid w:val="00664DF9"/>
    <w:rsid w:val="00665183"/>
    <w:rsid w:val="00667386"/>
    <w:rsid w:val="006673DB"/>
    <w:rsid w:val="00667927"/>
    <w:rsid w:val="00667BC4"/>
    <w:rsid w:val="00667BEB"/>
    <w:rsid w:val="00670D62"/>
    <w:rsid w:val="00671CED"/>
    <w:rsid w:val="006750C4"/>
    <w:rsid w:val="0068035C"/>
    <w:rsid w:val="00680E92"/>
    <w:rsid w:val="00682CF5"/>
    <w:rsid w:val="0068353C"/>
    <w:rsid w:val="00683600"/>
    <w:rsid w:val="00690FC4"/>
    <w:rsid w:val="00692C33"/>
    <w:rsid w:val="00693969"/>
    <w:rsid w:val="0069593E"/>
    <w:rsid w:val="00696324"/>
    <w:rsid w:val="006A166D"/>
    <w:rsid w:val="006A18C0"/>
    <w:rsid w:val="006A343B"/>
    <w:rsid w:val="006A36DE"/>
    <w:rsid w:val="006A4934"/>
    <w:rsid w:val="006A78D8"/>
    <w:rsid w:val="006A7C7E"/>
    <w:rsid w:val="006B1217"/>
    <w:rsid w:val="006B22FC"/>
    <w:rsid w:val="006B24FC"/>
    <w:rsid w:val="006B291A"/>
    <w:rsid w:val="006B4552"/>
    <w:rsid w:val="006B50E2"/>
    <w:rsid w:val="006B731A"/>
    <w:rsid w:val="006C0AB0"/>
    <w:rsid w:val="006C1BD3"/>
    <w:rsid w:val="006C27B0"/>
    <w:rsid w:val="006C4B55"/>
    <w:rsid w:val="006C4F4F"/>
    <w:rsid w:val="006C5B24"/>
    <w:rsid w:val="006C679B"/>
    <w:rsid w:val="006C6FC8"/>
    <w:rsid w:val="006C724F"/>
    <w:rsid w:val="006C7D81"/>
    <w:rsid w:val="006C7F73"/>
    <w:rsid w:val="006D16A6"/>
    <w:rsid w:val="006D356C"/>
    <w:rsid w:val="006D46D6"/>
    <w:rsid w:val="006D480D"/>
    <w:rsid w:val="006D4D7F"/>
    <w:rsid w:val="006D55EA"/>
    <w:rsid w:val="006D612A"/>
    <w:rsid w:val="006E5898"/>
    <w:rsid w:val="006F000D"/>
    <w:rsid w:val="006F2310"/>
    <w:rsid w:val="006F49BD"/>
    <w:rsid w:val="006F4AD3"/>
    <w:rsid w:val="006F526F"/>
    <w:rsid w:val="006F63E1"/>
    <w:rsid w:val="006F719F"/>
    <w:rsid w:val="007003CB"/>
    <w:rsid w:val="00700C74"/>
    <w:rsid w:val="007044B6"/>
    <w:rsid w:val="00705650"/>
    <w:rsid w:val="007123A7"/>
    <w:rsid w:val="007173B9"/>
    <w:rsid w:val="00717483"/>
    <w:rsid w:val="007205BE"/>
    <w:rsid w:val="00722895"/>
    <w:rsid w:val="00722FCD"/>
    <w:rsid w:val="00723F9D"/>
    <w:rsid w:val="00725981"/>
    <w:rsid w:val="00726C90"/>
    <w:rsid w:val="007349AB"/>
    <w:rsid w:val="00735BFB"/>
    <w:rsid w:val="00736637"/>
    <w:rsid w:val="00736C06"/>
    <w:rsid w:val="00736D37"/>
    <w:rsid w:val="00737A63"/>
    <w:rsid w:val="007406E2"/>
    <w:rsid w:val="0074159A"/>
    <w:rsid w:val="007435B9"/>
    <w:rsid w:val="00744010"/>
    <w:rsid w:val="00747DF4"/>
    <w:rsid w:val="00750FB7"/>
    <w:rsid w:val="007512D7"/>
    <w:rsid w:val="00752013"/>
    <w:rsid w:val="007526D6"/>
    <w:rsid w:val="007527BF"/>
    <w:rsid w:val="007531E2"/>
    <w:rsid w:val="00753717"/>
    <w:rsid w:val="00753F3F"/>
    <w:rsid w:val="00756A9E"/>
    <w:rsid w:val="0075741F"/>
    <w:rsid w:val="00760716"/>
    <w:rsid w:val="0076216B"/>
    <w:rsid w:val="00762454"/>
    <w:rsid w:val="00764DB2"/>
    <w:rsid w:val="007671C1"/>
    <w:rsid w:val="00770926"/>
    <w:rsid w:val="00771069"/>
    <w:rsid w:val="00774309"/>
    <w:rsid w:val="00774BAD"/>
    <w:rsid w:val="0077511C"/>
    <w:rsid w:val="0078020F"/>
    <w:rsid w:val="00782E66"/>
    <w:rsid w:val="00784419"/>
    <w:rsid w:val="00784FF3"/>
    <w:rsid w:val="00785AD4"/>
    <w:rsid w:val="00786F98"/>
    <w:rsid w:val="00787046"/>
    <w:rsid w:val="00787344"/>
    <w:rsid w:val="00787494"/>
    <w:rsid w:val="00790A06"/>
    <w:rsid w:val="007912C8"/>
    <w:rsid w:val="00791336"/>
    <w:rsid w:val="00792CDE"/>
    <w:rsid w:val="0079558D"/>
    <w:rsid w:val="007956CA"/>
    <w:rsid w:val="0079655D"/>
    <w:rsid w:val="007A214E"/>
    <w:rsid w:val="007A5A35"/>
    <w:rsid w:val="007A7D47"/>
    <w:rsid w:val="007B1683"/>
    <w:rsid w:val="007B3865"/>
    <w:rsid w:val="007B3B83"/>
    <w:rsid w:val="007B5423"/>
    <w:rsid w:val="007B7552"/>
    <w:rsid w:val="007C1AC7"/>
    <w:rsid w:val="007C2199"/>
    <w:rsid w:val="007C26F8"/>
    <w:rsid w:val="007C614D"/>
    <w:rsid w:val="007D0799"/>
    <w:rsid w:val="007D10AB"/>
    <w:rsid w:val="007D2B68"/>
    <w:rsid w:val="007D3DCD"/>
    <w:rsid w:val="007D4692"/>
    <w:rsid w:val="007D5D99"/>
    <w:rsid w:val="007D6026"/>
    <w:rsid w:val="007D7DC2"/>
    <w:rsid w:val="007E3587"/>
    <w:rsid w:val="007E7DEB"/>
    <w:rsid w:val="007F01B0"/>
    <w:rsid w:val="007F2B38"/>
    <w:rsid w:val="00803D04"/>
    <w:rsid w:val="008061FD"/>
    <w:rsid w:val="00806933"/>
    <w:rsid w:val="00807618"/>
    <w:rsid w:val="00807DB0"/>
    <w:rsid w:val="00811C8B"/>
    <w:rsid w:val="00814119"/>
    <w:rsid w:val="008145D9"/>
    <w:rsid w:val="00814AB4"/>
    <w:rsid w:val="00815C09"/>
    <w:rsid w:val="00817369"/>
    <w:rsid w:val="00820E50"/>
    <w:rsid w:val="00823CA8"/>
    <w:rsid w:val="0082536B"/>
    <w:rsid w:val="0083027F"/>
    <w:rsid w:val="00833C4E"/>
    <w:rsid w:val="00835804"/>
    <w:rsid w:val="008372CE"/>
    <w:rsid w:val="0084150C"/>
    <w:rsid w:val="00843CA7"/>
    <w:rsid w:val="008442F6"/>
    <w:rsid w:val="00851BB6"/>
    <w:rsid w:val="0085451A"/>
    <w:rsid w:val="00855D7A"/>
    <w:rsid w:val="00857B94"/>
    <w:rsid w:val="00864169"/>
    <w:rsid w:val="00864B02"/>
    <w:rsid w:val="008653D9"/>
    <w:rsid w:val="00870E49"/>
    <w:rsid w:val="008717EC"/>
    <w:rsid w:val="00872BA5"/>
    <w:rsid w:val="00873A39"/>
    <w:rsid w:val="008764B9"/>
    <w:rsid w:val="00876E97"/>
    <w:rsid w:val="00877E73"/>
    <w:rsid w:val="00880083"/>
    <w:rsid w:val="008822EF"/>
    <w:rsid w:val="008826BD"/>
    <w:rsid w:val="008837BD"/>
    <w:rsid w:val="0088633C"/>
    <w:rsid w:val="00890575"/>
    <w:rsid w:val="008923AF"/>
    <w:rsid w:val="00893721"/>
    <w:rsid w:val="00893B7B"/>
    <w:rsid w:val="008960AF"/>
    <w:rsid w:val="008A108A"/>
    <w:rsid w:val="008A1EAA"/>
    <w:rsid w:val="008A2005"/>
    <w:rsid w:val="008A348E"/>
    <w:rsid w:val="008A4BBE"/>
    <w:rsid w:val="008A7E00"/>
    <w:rsid w:val="008B114E"/>
    <w:rsid w:val="008B350A"/>
    <w:rsid w:val="008C04BE"/>
    <w:rsid w:val="008C0998"/>
    <w:rsid w:val="008C33EE"/>
    <w:rsid w:val="008C36F6"/>
    <w:rsid w:val="008C448B"/>
    <w:rsid w:val="008C56BE"/>
    <w:rsid w:val="008D572F"/>
    <w:rsid w:val="008D6204"/>
    <w:rsid w:val="008E002C"/>
    <w:rsid w:val="008E09EA"/>
    <w:rsid w:val="008E1C22"/>
    <w:rsid w:val="008E3791"/>
    <w:rsid w:val="008E61B7"/>
    <w:rsid w:val="008E6DFE"/>
    <w:rsid w:val="008E74C1"/>
    <w:rsid w:val="008E7F0A"/>
    <w:rsid w:val="008E7F26"/>
    <w:rsid w:val="008F267D"/>
    <w:rsid w:val="008F4090"/>
    <w:rsid w:val="008F4CD0"/>
    <w:rsid w:val="0090021D"/>
    <w:rsid w:val="00900D62"/>
    <w:rsid w:val="009017C5"/>
    <w:rsid w:val="009031EA"/>
    <w:rsid w:val="00905CEF"/>
    <w:rsid w:val="00907C70"/>
    <w:rsid w:val="00911309"/>
    <w:rsid w:val="009127D3"/>
    <w:rsid w:val="00912ECB"/>
    <w:rsid w:val="00913A45"/>
    <w:rsid w:val="00913FAF"/>
    <w:rsid w:val="00915AE2"/>
    <w:rsid w:val="0091768C"/>
    <w:rsid w:val="009213E7"/>
    <w:rsid w:val="00921EBB"/>
    <w:rsid w:val="0092360D"/>
    <w:rsid w:val="00925742"/>
    <w:rsid w:val="00926FD9"/>
    <w:rsid w:val="009271D1"/>
    <w:rsid w:val="009319D5"/>
    <w:rsid w:val="00932626"/>
    <w:rsid w:val="00932E7D"/>
    <w:rsid w:val="00933655"/>
    <w:rsid w:val="00933740"/>
    <w:rsid w:val="0093435A"/>
    <w:rsid w:val="009351A5"/>
    <w:rsid w:val="009354E7"/>
    <w:rsid w:val="00935803"/>
    <w:rsid w:val="0093637C"/>
    <w:rsid w:val="00937D7D"/>
    <w:rsid w:val="00940BEB"/>
    <w:rsid w:val="00940F7F"/>
    <w:rsid w:val="0094100E"/>
    <w:rsid w:val="009415F2"/>
    <w:rsid w:val="00942007"/>
    <w:rsid w:val="0094329C"/>
    <w:rsid w:val="00944630"/>
    <w:rsid w:val="00944B94"/>
    <w:rsid w:val="0094534C"/>
    <w:rsid w:val="00945FFC"/>
    <w:rsid w:val="00946899"/>
    <w:rsid w:val="0094770C"/>
    <w:rsid w:val="00947995"/>
    <w:rsid w:val="00947ED2"/>
    <w:rsid w:val="00950009"/>
    <w:rsid w:val="00954060"/>
    <w:rsid w:val="00956846"/>
    <w:rsid w:val="00962BAA"/>
    <w:rsid w:val="0096437E"/>
    <w:rsid w:val="00964734"/>
    <w:rsid w:val="00964C6C"/>
    <w:rsid w:val="00967DE1"/>
    <w:rsid w:val="009719FF"/>
    <w:rsid w:val="00973512"/>
    <w:rsid w:val="009763BE"/>
    <w:rsid w:val="00977F88"/>
    <w:rsid w:val="00980498"/>
    <w:rsid w:val="00980701"/>
    <w:rsid w:val="00980B19"/>
    <w:rsid w:val="00982853"/>
    <w:rsid w:val="00983DB1"/>
    <w:rsid w:val="00984EF6"/>
    <w:rsid w:val="0098645F"/>
    <w:rsid w:val="0098782C"/>
    <w:rsid w:val="009913F0"/>
    <w:rsid w:val="009924CB"/>
    <w:rsid w:val="009934FC"/>
    <w:rsid w:val="009937D6"/>
    <w:rsid w:val="00993B92"/>
    <w:rsid w:val="00993DD0"/>
    <w:rsid w:val="00993EF3"/>
    <w:rsid w:val="00996A02"/>
    <w:rsid w:val="00997A79"/>
    <w:rsid w:val="00997FCD"/>
    <w:rsid w:val="009A0264"/>
    <w:rsid w:val="009A24AD"/>
    <w:rsid w:val="009A3813"/>
    <w:rsid w:val="009A45B9"/>
    <w:rsid w:val="009A5AD0"/>
    <w:rsid w:val="009A6441"/>
    <w:rsid w:val="009A6AB6"/>
    <w:rsid w:val="009A7D93"/>
    <w:rsid w:val="009B0C1A"/>
    <w:rsid w:val="009B22E7"/>
    <w:rsid w:val="009B45BE"/>
    <w:rsid w:val="009B6ABF"/>
    <w:rsid w:val="009B6F7A"/>
    <w:rsid w:val="009B7AC2"/>
    <w:rsid w:val="009C21CC"/>
    <w:rsid w:val="009C26D3"/>
    <w:rsid w:val="009C2DDA"/>
    <w:rsid w:val="009C445C"/>
    <w:rsid w:val="009C4C3F"/>
    <w:rsid w:val="009C582B"/>
    <w:rsid w:val="009C6791"/>
    <w:rsid w:val="009C6C44"/>
    <w:rsid w:val="009C6D93"/>
    <w:rsid w:val="009C6DEE"/>
    <w:rsid w:val="009D1732"/>
    <w:rsid w:val="009D6637"/>
    <w:rsid w:val="009D6B48"/>
    <w:rsid w:val="009D7984"/>
    <w:rsid w:val="009D79B2"/>
    <w:rsid w:val="009E1550"/>
    <w:rsid w:val="009E1C20"/>
    <w:rsid w:val="009E4D2A"/>
    <w:rsid w:val="009E5962"/>
    <w:rsid w:val="009F23DE"/>
    <w:rsid w:val="009F3114"/>
    <w:rsid w:val="009F535E"/>
    <w:rsid w:val="009F7AB7"/>
    <w:rsid w:val="009F7F82"/>
    <w:rsid w:val="00A01D8A"/>
    <w:rsid w:val="00A027BC"/>
    <w:rsid w:val="00A039B7"/>
    <w:rsid w:val="00A03CB3"/>
    <w:rsid w:val="00A03D7A"/>
    <w:rsid w:val="00A04D28"/>
    <w:rsid w:val="00A05C4D"/>
    <w:rsid w:val="00A06549"/>
    <w:rsid w:val="00A06F22"/>
    <w:rsid w:val="00A1020A"/>
    <w:rsid w:val="00A10BE1"/>
    <w:rsid w:val="00A1122E"/>
    <w:rsid w:val="00A11A46"/>
    <w:rsid w:val="00A11E6F"/>
    <w:rsid w:val="00A12C57"/>
    <w:rsid w:val="00A12DA5"/>
    <w:rsid w:val="00A15557"/>
    <w:rsid w:val="00A15831"/>
    <w:rsid w:val="00A1733F"/>
    <w:rsid w:val="00A2301E"/>
    <w:rsid w:val="00A24BF8"/>
    <w:rsid w:val="00A27ECE"/>
    <w:rsid w:val="00A32C97"/>
    <w:rsid w:val="00A34412"/>
    <w:rsid w:val="00A3490B"/>
    <w:rsid w:val="00A35069"/>
    <w:rsid w:val="00A40263"/>
    <w:rsid w:val="00A40E62"/>
    <w:rsid w:val="00A45B2C"/>
    <w:rsid w:val="00A4686F"/>
    <w:rsid w:val="00A46A66"/>
    <w:rsid w:val="00A46D37"/>
    <w:rsid w:val="00A470F3"/>
    <w:rsid w:val="00A50867"/>
    <w:rsid w:val="00A53F23"/>
    <w:rsid w:val="00A5465C"/>
    <w:rsid w:val="00A553DC"/>
    <w:rsid w:val="00A57B31"/>
    <w:rsid w:val="00A60B98"/>
    <w:rsid w:val="00A60D98"/>
    <w:rsid w:val="00A61F6C"/>
    <w:rsid w:val="00A62F4C"/>
    <w:rsid w:val="00A6444E"/>
    <w:rsid w:val="00A6485D"/>
    <w:rsid w:val="00A700B6"/>
    <w:rsid w:val="00A702D9"/>
    <w:rsid w:val="00A7049C"/>
    <w:rsid w:val="00A73305"/>
    <w:rsid w:val="00A758FC"/>
    <w:rsid w:val="00A75945"/>
    <w:rsid w:val="00A76BBB"/>
    <w:rsid w:val="00A821F0"/>
    <w:rsid w:val="00A84268"/>
    <w:rsid w:val="00A8595C"/>
    <w:rsid w:val="00A85E04"/>
    <w:rsid w:val="00A86EC5"/>
    <w:rsid w:val="00A90224"/>
    <w:rsid w:val="00A92608"/>
    <w:rsid w:val="00A92AFD"/>
    <w:rsid w:val="00A94C0F"/>
    <w:rsid w:val="00A957E3"/>
    <w:rsid w:val="00A97848"/>
    <w:rsid w:val="00AA0A4B"/>
    <w:rsid w:val="00AA54A8"/>
    <w:rsid w:val="00AB0A9F"/>
    <w:rsid w:val="00AB2D72"/>
    <w:rsid w:val="00AB39EA"/>
    <w:rsid w:val="00AB5391"/>
    <w:rsid w:val="00AC0197"/>
    <w:rsid w:val="00AC242D"/>
    <w:rsid w:val="00AC368D"/>
    <w:rsid w:val="00AC3F3E"/>
    <w:rsid w:val="00AC4072"/>
    <w:rsid w:val="00AC5687"/>
    <w:rsid w:val="00AC608B"/>
    <w:rsid w:val="00AC7993"/>
    <w:rsid w:val="00AD3036"/>
    <w:rsid w:val="00AD3C2E"/>
    <w:rsid w:val="00AD5BB4"/>
    <w:rsid w:val="00AE2EDF"/>
    <w:rsid w:val="00AE395F"/>
    <w:rsid w:val="00AE4A56"/>
    <w:rsid w:val="00AE4B5A"/>
    <w:rsid w:val="00AF3B73"/>
    <w:rsid w:val="00AF50C7"/>
    <w:rsid w:val="00B0030C"/>
    <w:rsid w:val="00B003AF"/>
    <w:rsid w:val="00B009E3"/>
    <w:rsid w:val="00B035C0"/>
    <w:rsid w:val="00B04E09"/>
    <w:rsid w:val="00B04FA7"/>
    <w:rsid w:val="00B1331A"/>
    <w:rsid w:val="00B154FB"/>
    <w:rsid w:val="00B159A8"/>
    <w:rsid w:val="00B21D03"/>
    <w:rsid w:val="00B21EED"/>
    <w:rsid w:val="00B22981"/>
    <w:rsid w:val="00B22E12"/>
    <w:rsid w:val="00B23A3B"/>
    <w:rsid w:val="00B258F6"/>
    <w:rsid w:val="00B2635D"/>
    <w:rsid w:val="00B278A4"/>
    <w:rsid w:val="00B27CA4"/>
    <w:rsid w:val="00B30887"/>
    <w:rsid w:val="00B30C48"/>
    <w:rsid w:val="00B33ED8"/>
    <w:rsid w:val="00B404BA"/>
    <w:rsid w:val="00B41F38"/>
    <w:rsid w:val="00B43FFB"/>
    <w:rsid w:val="00B45565"/>
    <w:rsid w:val="00B46BFD"/>
    <w:rsid w:val="00B46C49"/>
    <w:rsid w:val="00B50F60"/>
    <w:rsid w:val="00B5194A"/>
    <w:rsid w:val="00B540C9"/>
    <w:rsid w:val="00B5707A"/>
    <w:rsid w:val="00B5793D"/>
    <w:rsid w:val="00B61068"/>
    <w:rsid w:val="00B63701"/>
    <w:rsid w:val="00B657B0"/>
    <w:rsid w:val="00B65D90"/>
    <w:rsid w:val="00B67782"/>
    <w:rsid w:val="00B735BE"/>
    <w:rsid w:val="00B74664"/>
    <w:rsid w:val="00B801CB"/>
    <w:rsid w:val="00B838B6"/>
    <w:rsid w:val="00B84B79"/>
    <w:rsid w:val="00B863D2"/>
    <w:rsid w:val="00B86D05"/>
    <w:rsid w:val="00B90E78"/>
    <w:rsid w:val="00B90E88"/>
    <w:rsid w:val="00B92273"/>
    <w:rsid w:val="00B92A7D"/>
    <w:rsid w:val="00B94A1D"/>
    <w:rsid w:val="00B9507C"/>
    <w:rsid w:val="00B95ECF"/>
    <w:rsid w:val="00B9747D"/>
    <w:rsid w:val="00B97C3A"/>
    <w:rsid w:val="00BA16C6"/>
    <w:rsid w:val="00BA4F27"/>
    <w:rsid w:val="00BA52B0"/>
    <w:rsid w:val="00BA7061"/>
    <w:rsid w:val="00BB0CB2"/>
    <w:rsid w:val="00BB1A96"/>
    <w:rsid w:val="00BB3F57"/>
    <w:rsid w:val="00BB64C1"/>
    <w:rsid w:val="00BB73C4"/>
    <w:rsid w:val="00BC0D8B"/>
    <w:rsid w:val="00BC12BC"/>
    <w:rsid w:val="00BC2938"/>
    <w:rsid w:val="00BC543D"/>
    <w:rsid w:val="00BC65A3"/>
    <w:rsid w:val="00BC6892"/>
    <w:rsid w:val="00BC7008"/>
    <w:rsid w:val="00BD1A54"/>
    <w:rsid w:val="00BD21F7"/>
    <w:rsid w:val="00BD4342"/>
    <w:rsid w:val="00BD51C8"/>
    <w:rsid w:val="00BD5B6B"/>
    <w:rsid w:val="00BD6BA5"/>
    <w:rsid w:val="00BD6FC9"/>
    <w:rsid w:val="00BD755E"/>
    <w:rsid w:val="00BE1CFF"/>
    <w:rsid w:val="00BE3849"/>
    <w:rsid w:val="00BF1E9B"/>
    <w:rsid w:val="00BF2D30"/>
    <w:rsid w:val="00BF37E6"/>
    <w:rsid w:val="00BF3E90"/>
    <w:rsid w:val="00BF525E"/>
    <w:rsid w:val="00BF6F44"/>
    <w:rsid w:val="00C0062A"/>
    <w:rsid w:val="00C025D3"/>
    <w:rsid w:val="00C042B4"/>
    <w:rsid w:val="00C0449E"/>
    <w:rsid w:val="00C046BA"/>
    <w:rsid w:val="00C053EB"/>
    <w:rsid w:val="00C0682B"/>
    <w:rsid w:val="00C077A8"/>
    <w:rsid w:val="00C10BCE"/>
    <w:rsid w:val="00C11A3A"/>
    <w:rsid w:val="00C12586"/>
    <w:rsid w:val="00C13916"/>
    <w:rsid w:val="00C14240"/>
    <w:rsid w:val="00C1467F"/>
    <w:rsid w:val="00C1508F"/>
    <w:rsid w:val="00C20A25"/>
    <w:rsid w:val="00C22710"/>
    <w:rsid w:val="00C24AA2"/>
    <w:rsid w:val="00C30881"/>
    <w:rsid w:val="00C309B0"/>
    <w:rsid w:val="00C31A8F"/>
    <w:rsid w:val="00C32D27"/>
    <w:rsid w:val="00C34BD2"/>
    <w:rsid w:val="00C37319"/>
    <w:rsid w:val="00C37C6E"/>
    <w:rsid w:val="00C404F3"/>
    <w:rsid w:val="00C42CCB"/>
    <w:rsid w:val="00C42E53"/>
    <w:rsid w:val="00C43DD2"/>
    <w:rsid w:val="00C458D0"/>
    <w:rsid w:val="00C458ED"/>
    <w:rsid w:val="00C459BC"/>
    <w:rsid w:val="00C45A3C"/>
    <w:rsid w:val="00C46AD6"/>
    <w:rsid w:val="00C46CBE"/>
    <w:rsid w:val="00C50191"/>
    <w:rsid w:val="00C50585"/>
    <w:rsid w:val="00C511A7"/>
    <w:rsid w:val="00C5185A"/>
    <w:rsid w:val="00C54817"/>
    <w:rsid w:val="00C558C6"/>
    <w:rsid w:val="00C571CB"/>
    <w:rsid w:val="00C61CBD"/>
    <w:rsid w:val="00C64BFC"/>
    <w:rsid w:val="00C652B8"/>
    <w:rsid w:val="00C65C18"/>
    <w:rsid w:val="00C66358"/>
    <w:rsid w:val="00C66891"/>
    <w:rsid w:val="00C7207C"/>
    <w:rsid w:val="00C72D05"/>
    <w:rsid w:val="00C731D8"/>
    <w:rsid w:val="00C76593"/>
    <w:rsid w:val="00C81F62"/>
    <w:rsid w:val="00C850BE"/>
    <w:rsid w:val="00C85CAA"/>
    <w:rsid w:val="00C862F3"/>
    <w:rsid w:val="00C87300"/>
    <w:rsid w:val="00C90266"/>
    <w:rsid w:val="00C92631"/>
    <w:rsid w:val="00C936D8"/>
    <w:rsid w:val="00C965A5"/>
    <w:rsid w:val="00CA010E"/>
    <w:rsid w:val="00CA37F7"/>
    <w:rsid w:val="00CA4352"/>
    <w:rsid w:val="00CA6FD1"/>
    <w:rsid w:val="00CB2459"/>
    <w:rsid w:val="00CB27BD"/>
    <w:rsid w:val="00CB3536"/>
    <w:rsid w:val="00CB4265"/>
    <w:rsid w:val="00CB4312"/>
    <w:rsid w:val="00CB4992"/>
    <w:rsid w:val="00CB4A53"/>
    <w:rsid w:val="00CB5772"/>
    <w:rsid w:val="00CC1BC9"/>
    <w:rsid w:val="00CC2550"/>
    <w:rsid w:val="00CC5E14"/>
    <w:rsid w:val="00CC6C3D"/>
    <w:rsid w:val="00CC6D06"/>
    <w:rsid w:val="00CC7034"/>
    <w:rsid w:val="00CC7CFE"/>
    <w:rsid w:val="00CD15BF"/>
    <w:rsid w:val="00CD463C"/>
    <w:rsid w:val="00CD4742"/>
    <w:rsid w:val="00CD5B44"/>
    <w:rsid w:val="00CD68F8"/>
    <w:rsid w:val="00CE15EB"/>
    <w:rsid w:val="00CE1900"/>
    <w:rsid w:val="00CE2EE3"/>
    <w:rsid w:val="00CE3202"/>
    <w:rsid w:val="00CF060E"/>
    <w:rsid w:val="00CF375E"/>
    <w:rsid w:val="00CF463C"/>
    <w:rsid w:val="00CF786D"/>
    <w:rsid w:val="00D014C4"/>
    <w:rsid w:val="00D066E6"/>
    <w:rsid w:val="00D106DC"/>
    <w:rsid w:val="00D10E31"/>
    <w:rsid w:val="00D152F0"/>
    <w:rsid w:val="00D20055"/>
    <w:rsid w:val="00D20AE1"/>
    <w:rsid w:val="00D22819"/>
    <w:rsid w:val="00D23BC3"/>
    <w:rsid w:val="00D249CE"/>
    <w:rsid w:val="00D24F26"/>
    <w:rsid w:val="00D25873"/>
    <w:rsid w:val="00D25F58"/>
    <w:rsid w:val="00D30297"/>
    <w:rsid w:val="00D32B36"/>
    <w:rsid w:val="00D33026"/>
    <w:rsid w:val="00D34CE3"/>
    <w:rsid w:val="00D35CC6"/>
    <w:rsid w:val="00D35E50"/>
    <w:rsid w:val="00D378CD"/>
    <w:rsid w:val="00D41307"/>
    <w:rsid w:val="00D446AA"/>
    <w:rsid w:val="00D5206C"/>
    <w:rsid w:val="00D5448B"/>
    <w:rsid w:val="00D55822"/>
    <w:rsid w:val="00D56550"/>
    <w:rsid w:val="00D56A2E"/>
    <w:rsid w:val="00D615CA"/>
    <w:rsid w:val="00D6169B"/>
    <w:rsid w:val="00D6713E"/>
    <w:rsid w:val="00D671AC"/>
    <w:rsid w:val="00D70D21"/>
    <w:rsid w:val="00D7139C"/>
    <w:rsid w:val="00D73C21"/>
    <w:rsid w:val="00D74FA8"/>
    <w:rsid w:val="00D8570D"/>
    <w:rsid w:val="00D91FBD"/>
    <w:rsid w:val="00D93D88"/>
    <w:rsid w:val="00D9478C"/>
    <w:rsid w:val="00D96DE7"/>
    <w:rsid w:val="00D976FD"/>
    <w:rsid w:val="00DA06AE"/>
    <w:rsid w:val="00DA0DE9"/>
    <w:rsid w:val="00DA5C5B"/>
    <w:rsid w:val="00DA67DF"/>
    <w:rsid w:val="00DB09D1"/>
    <w:rsid w:val="00DB19F2"/>
    <w:rsid w:val="00DB1C0A"/>
    <w:rsid w:val="00DB4B89"/>
    <w:rsid w:val="00DB5ACB"/>
    <w:rsid w:val="00DB6AE3"/>
    <w:rsid w:val="00DC1211"/>
    <w:rsid w:val="00DC2FD7"/>
    <w:rsid w:val="00DC37CC"/>
    <w:rsid w:val="00DC3F6F"/>
    <w:rsid w:val="00DC644D"/>
    <w:rsid w:val="00DC76C5"/>
    <w:rsid w:val="00DD14D9"/>
    <w:rsid w:val="00DD1CE5"/>
    <w:rsid w:val="00DD5048"/>
    <w:rsid w:val="00DD7811"/>
    <w:rsid w:val="00DE0D73"/>
    <w:rsid w:val="00DE11D4"/>
    <w:rsid w:val="00DE2E56"/>
    <w:rsid w:val="00DE49D7"/>
    <w:rsid w:val="00DF3B73"/>
    <w:rsid w:val="00DF4D22"/>
    <w:rsid w:val="00DF51A5"/>
    <w:rsid w:val="00DF7C8F"/>
    <w:rsid w:val="00E030C9"/>
    <w:rsid w:val="00E03F1F"/>
    <w:rsid w:val="00E10C6F"/>
    <w:rsid w:val="00E11325"/>
    <w:rsid w:val="00E124D9"/>
    <w:rsid w:val="00E14221"/>
    <w:rsid w:val="00E145D9"/>
    <w:rsid w:val="00E15FF8"/>
    <w:rsid w:val="00E171F7"/>
    <w:rsid w:val="00E172E7"/>
    <w:rsid w:val="00E20494"/>
    <w:rsid w:val="00E21F7F"/>
    <w:rsid w:val="00E25CB9"/>
    <w:rsid w:val="00E2609F"/>
    <w:rsid w:val="00E26299"/>
    <w:rsid w:val="00E26DBA"/>
    <w:rsid w:val="00E33246"/>
    <w:rsid w:val="00E33E12"/>
    <w:rsid w:val="00E34CF2"/>
    <w:rsid w:val="00E34E3C"/>
    <w:rsid w:val="00E37F50"/>
    <w:rsid w:val="00E4108C"/>
    <w:rsid w:val="00E41227"/>
    <w:rsid w:val="00E4143B"/>
    <w:rsid w:val="00E414B4"/>
    <w:rsid w:val="00E42F32"/>
    <w:rsid w:val="00E45AFA"/>
    <w:rsid w:val="00E46540"/>
    <w:rsid w:val="00E46E63"/>
    <w:rsid w:val="00E46F65"/>
    <w:rsid w:val="00E47762"/>
    <w:rsid w:val="00E537BD"/>
    <w:rsid w:val="00E550A3"/>
    <w:rsid w:val="00E5527F"/>
    <w:rsid w:val="00E6394D"/>
    <w:rsid w:val="00E6517A"/>
    <w:rsid w:val="00E65234"/>
    <w:rsid w:val="00E66F77"/>
    <w:rsid w:val="00E7133D"/>
    <w:rsid w:val="00E720C9"/>
    <w:rsid w:val="00E74B2D"/>
    <w:rsid w:val="00E81561"/>
    <w:rsid w:val="00E81685"/>
    <w:rsid w:val="00E82810"/>
    <w:rsid w:val="00E8358F"/>
    <w:rsid w:val="00E842F5"/>
    <w:rsid w:val="00E87B9D"/>
    <w:rsid w:val="00E92E6A"/>
    <w:rsid w:val="00EA032B"/>
    <w:rsid w:val="00EA06C5"/>
    <w:rsid w:val="00EA3A08"/>
    <w:rsid w:val="00EA5BF2"/>
    <w:rsid w:val="00EB35A4"/>
    <w:rsid w:val="00EB689E"/>
    <w:rsid w:val="00EB746E"/>
    <w:rsid w:val="00EB7FC5"/>
    <w:rsid w:val="00EC1014"/>
    <w:rsid w:val="00EC41A1"/>
    <w:rsid w:val="00EC61A3"/>
    <w:rsid w:val="00EC6AA6"/>
    <w:rsid w:val="00EC70BA"/>
    <w:rsid w:val="00ED59D5"/>
    <w:rsid w:val="00EE0FD4"/>
    <w:rsid w:val="00EE17BE"/>
    <w:rsid w:val="00EE5E1C"/>
    <w:rsid w:val="00EE74AE"/>
    <w:rsid w:val="00EF4325"/>
    <w:rsid w:val="00EF4B6C"/>
    <w:rsid w:val="00EF4CE7"/>
    <w:rsid w:val="00EF5946"/>
    <w:rsid w:val="00EF594C"/>
    <w:rsid w:val="00EF78B8"/>
    <w:rsid w:val="00F01A97"/>
    <w:rsid w:val="00F032A0"/>
    <w:rsid w:val="00F054C4"/>
    <w:rsid w:val="00F06DE3"/>
    <w:rsid w:val="00F0786C"/>
    <w:rsid w:val="00F0791C"/>
    <w:rsid w:val="00F121B8"/>
    <w:rsid w:val="00F127F0"/>
    <w:rsid w:val="00F157A1"/>
    <w:rsid w:val="00F1680D"/>
    <w:rsid w:val="00F17807"/>
    <w:rsid w:val="00F17ECE"/>
    <w:rsid w:val="00F2202D"/>
    <w:rsid w:val="00F26035"/>
    <w:rsid w:val="00F27561"/>
    <w:rsid w:val="00F275DE"/>
    <w:rsid w:val="00F27AF4"/>
    <w:rsid w:val="00F329FB"/>
    <w:rsid w:val="00F32C9D"/>
    <w:rsid w:val="00F340DB"/>
    <w:rsid w:val="00F35F89"/>
    <w:rsid w:val="00F366DD"/>
    <w:rsid w:val="00F366E4"/>
    <w:rsid w:val="00F37F56"/>
    <w:rsid w:val="00F40DAE"/>
    <w:rsid w:val="00F433AF"/>
    <w:rsid w:val="00F44290"/>
    <w:rsid w:val="00F473A8"/>
    <w:rsid w:val="00F52C7D"/>
    <w:rsid w:val="00F564FB"/>
    <w:rsid w:val="00F576C1"/>
    <w:rsid w:val="00F57EE3"/>
    <w:rsid w:val="00F6057C"/>
    <w:rsid w:val="00F60644"/>
    <w:rsid w:val="00F63A4B"/>
    <w:rsid w:val="00F64356"/>
    <w:rsid w:val="00F66991"/>
    <w:rsid w:val="00F701AF"/>
    <w:rsid w:val="00F701ED"/>
    <w:rsid w:val="00F70657"/>
    <w:rsid w:val="00F726E3"/>
    <w:rsid w:val="00F72D91"/>
    <w:rsid w:val="00F7396B"/>
    <w:rsid w:val="00F75B38"/>
    <w:rsid w:val="00F76E40"/>
    <w:rsid w:val="00F77884"/>
    <w:rsid w:val="00F80DF3"/>
    <w:rsid w:val="00F815A1"/>
    <w:rsid w:val="00F81B12"/>
    <w:rsid w:val="00F824FE"/>
    <w:rsid w:val="00F84E83"/>
    <w:rsid w:val="00F85C36"/>
    <w:rsid w:val="00F878E0"/>
    <w:rsid w:val="00F9119F"/>
    <w:rsid w:val="00F930E3"/>
    <w:rsid w:val="00F94FBD"/>
    <w:rsid w:val="00F95033"/>
    <w:rsid w:val="00F9636E"/>
    <w:rsid w:val="00F9721A"/>
    <w:rsid w:val="00FA2EAD"/>
    <w:rsid w:val="00FA3E8E"/>
    <w:rsid w:val="00FA4733"/>
    <w:rsid w:val="00FA52BA"/>
    <w:rsid w:val="00FA74B5"/>
    <w:rsid w:val="00FA7FE1"/>
    <w:rsid w:val="00FB01E9"/>
    <w:rsid w:val="00FB0F30"/>
    <w:rsid w:val="00FB0FAB"/>
    <w:rsid w:val="00FB1FCF"/>
    <w:rsid w:val="00FB42A5"/>
    <w:rsid w:val="00FB73B0"/>
    <w:rsid w:val="00FC10E2"/>
    <w:rsid w:val="00FC1265"/>
    <w:rsid w:val="00FC214D"/>
    <w:rsid w:val="00FC2430"/>
    <w:rsid w:val="00FC33DE"/>
    <w:rsid w:val="00FC4430"/>
    <w:rsid w:val="00FC54FA"/>
    <w:rsid w:val="00FC5827"/>
    <w:rsid w:val="00FC597C"/>
    <w:rsid w:val="00FD02A7"/>
    <w:rsid w:val="00FD2003"/>
    <w:rsid w:val="00FD235C"/>
    <w:rsid w:val="00FD2AEE"/>
    <w:rsid w:val="00FD37D9"/>
    <w:rsid w:val="00FD4C7B"/>
    <w:rsid w:val="00FD5CCD"/>
    <w:rsid w:val="00FE0AF8"/>
    <w:rsid w:val="00FE19F6"/>
    <w:rsid w:val="00FE5343"/>
    <w:rsid w:val="00FE6290"/>
    <w:rsid w:val="00FE6593"/>
    <w:rsid w:val="00FF0768"/>
    <w:rsid w:val="00FF315D"/>
    <w:rsid w:val="00FF3311"/>
    <w:rsid w:val="0175527C"/>
    <w:rsid w:val="01B47E04"/>
    <w:rsid w:val="01C24651"/>
    <w:rsid w:val="01C915FA"/>
    <w:rsid w:val="021E018C"/>
    <w:rsid w:val="02B15D77"/>
    <w:rsid w:val="02F034FC"/>
    <w:rsid w:val="03096EC1"/>
    <w:rsid w:val="03417CB0"/>
    <w:rsid w:val="037B3BA0"/>
    <w:rsid w:val="037C6ACA"/>
    <w:rsid w:val="03A84145"/>
    <w:rsid w:val="03FC095B"/>
    <w:rsid w:val="03FD6D49"/>
    <w:rsid w:val="042F5D1F"/>
    <w:rsid w:val="04637138"/>
    <w:rsid w:val="049F3B72"/>
    <w:rsid w:val="04A24A7D"/>
    <w:rsid w:val="04B12457"/>
    <w:rsid w:val="04DF6A75"/>
    <w:rsid w:val="04EA21CE"/>
    <w:rsid w:val="04EB042F"/>
    <w:rsid w:val="0501077F"/>
    <w:rsid w:val="0514323F"/>
    <w:rsid w:val="054F35A7"/>
    <w:rsid w:val="05530F98"/>
    <w:rsid w:val="05534A8E"/>
    <w:rsid w:val="05626F0B"/>
    <w:rsid w:val="056801AD"/>
    <w:rsid w:val="05AF5852"/>
    <w:rsid w:val="05CF5E57"/>
    <w:rsid w:val="05D35773"/>
    <w:rsid w:val="05ED6D79"/>
    <w:rsid w:val="05EE2C8F"/>
    <w:rsid w:val="05F80C2C"/>
    <w:rsid w:val="06072F00"/>
    <w:rsid w:val="060F03CA"/>
    <w:rsid w:val="060F080D"/>
    <w:rsid w:val="061D6AF3"/>
    <w:rsid w:val="061F7618"/>
    <w:rsid w:val="06616FE7"/>
    <w:rsid w:val="06812940"/>
    <w:rsid w:val="06A2646F"/>
    <w:rsid w:val="06C453DB"/>
    <w:rsid w:val="0727403C"/>
    <w:rsid w:val="074346A6"/>
    <w:rsid w:val="0764081E"/>
    <w:rsid w:val="07863CDD"/>
    <w:rsid w:val="07990E67"/>
    <w:rsid w:val="080768F7"/>
    <w:rsid w:val="08820352"/>
    <w:rsid w:val="08C7561E"/>
    <w:rsid w:val="08F32743"/>
    <w:rsid w:val="090303BC"/>
    <w:rsid w:val="092F724F"/>
    <w:rsid w:val="09300F3B"/>
    <w:rsid w:val="094B32DC"/>
    <w:rsid w:val="094E0278"/>
    <w:rsid w:val="09A759CB"/>
    <w:rsid w:val="0A507644"/>
    <w:rsid w:val="0A9432FA"/>
    <w:rsid w:val="0B106908"/>
    <w:rsid w:val="0B1E58F0"/>
    <w:rsid w:val="0B2E69D9"/>
    <w:rsid w:val="0B4E0497"/>
    <w:rsid w:val="0B5C0D9E"/>
    <w:rsid w:val="0B641FE7"/>
    <w:rsid w:val="0B71239E"/>
    <w:rsid w:val="0B9F7869"/>
    <w:rsid w:val="0BA01101"/>
    <w:rsid w:val="0BBB1364"/>
    <w:rsid w:val="0BC9539F"/>
    <w:rsid w:val="0BCD6D9E"/>
    <w:rsid w:val="0BE12B86"/>
    <w:rsid w:val="0BFD6957"/>
    <w:rsid w:val="0C6816CE"/>
    <w:rsid w:val="0C7E5F6D"/>
    <w:rsid w:val="0CA879D8"/>
    <w:rsid w:val="0CF524DC"/>
    <w:rsid w:val="0D0B3FF1"/>
    <w:rsid w:val="0D1C41F6"/>
    <w:rsid w:val="0D1D6955"/>
    <w:rsid w:val="0D326E78"/>
    <w:rsid w:val="0D5A4DF7"/>
    <w:rsid w:val="0D915AFC"/>
    <w:rsid w:val="0D974242"/>
    <w:rsid w:val="0DB57E54"/>
    <w:rsid w:val="0DC25E9A"/>
    <w:rsid w:val="0DC6188C"/>
    <w:rsid w:val="0DFFE16A"/>
    <w:rsid w:val="0E2A1C4C"/>
    <w:rsid w:val="0E3C2EFC"/>
    <w:rsid w:val="0E660B65"/>
    <w:rsid w:val="0E66372D"/>
    <w:rsid w:val="0E6A2F43"/>
    <w:rsid w:val="0ECF145E"/>
    <w:rsid w:val="0EEB6487"/>
    <w:rsid w:val="0EF9590C"/>
    <w:rsid w:val="0F5238B6"/>
    <w:rsid w:val="0F646B88"/>
    <w:rsid w:val="0F874D5A"/>
    <w:rsid w:val="0FB41D99"/>
    <w:rsid w:val="0FE47865"/>
    <w:rsid w:val="100B6747"/>
    <w:rsid w:val="1025656E"/>
    <w:rsid w:val="103313EA"/>
    <w:rsid w:val="107E588B"/>
    <w:rsid w:val="10811C7A"/>
    <w:rsid w:val="10886CF4"/>
    <w:rsid w:val="10C20E5F"/>
    <w:rsid w:val="10CF355A"/>
    <w:rsid w:val="10DB1A50"/>
    <w:rsid w:val="10F638F3"/>
    <w:rsid w:val="11014335"/>
    <w:rsid w:val="116F3DB0"/>
    <w:rsid w:val="11754949"/>
    <w:rsid w:val="11851C0B"/>
    <w:rsid w:val="11CB1184"/>
    <w:rsid w:val="11E37825"/>
    <w:rsid w:val="11F34D41"/>
    <w:rsid w:val="124F74EF"/>
    <w:rsid w:val="12742AC7"/>
    <w:rsid w:val="13077F85"/>
    <w:rsid w:val="130A757E"/>
    <w:rsid w:val="1331710B"/>
    <w:rsid w:val="133F2D14"/>
    <w:rsid w:val="138F6C27"/>
    <w:rsid w:val="139E45C8"/>
    <w:rsid w:val="13C06743"/>
    <w:rsid w:val="1473700D"/>
    <w:rsid w:val="14965AB1"/>
    <w:rsid w:val="14967CC8"/>
    <w:rsid w:val="14C33A7B"/>
    <w:rsid w:val="14F01823"/>
    <w:rsid w:val="14F81E38"/>
    <w:rsid w:val="150C6473"/>
    <w:rsid w:val="15877190"/>
    <w:rsid w:val="15992432"/>
    <w:rsid w:val="15A90DA7"/>
    <w:rsid w:val="160C42D6"/>
    <w:rsid w:val="16430E10"/>
    <w:rsid w:val="16651463"/>
    <w:rsid w:val="167F6DA8"/>
    <w:rsid w:val="16892499"/>
    <w:rsid w:val="16E9298A"/>
    <w:rsid w:val="16F55FB8"/>
    <w:rsid w:val="16FB6B41"/>
    <w:rsid w:val="17281577"/>
    <w:rsid w:val="17314E57"/>
    <w:rsid w:val="17372BA0"/>
    <w:rsid w:val="17C8687A"/>
    <w:rsid w:val="180309BC"/>
    <w:rsid w:val="187D1ABE"/>
    <w:rsid w:val="1889564E"/>
    <w:rsid w:val="18B02EF0"/>
    <w:rsid w:val="18F56002"/>
    <w:rsid w:val="19004393"/>
    <w:rsid w:val="19736BB2"/>
    <w:rsid w:val="19E415C3"/>
    <w:rsid w:val="1A2E4D24"/>
    <w:rsid w:val="1A3D616C"/>
    <w:rsid w:val="1A686FD2"/>
    <w:rsid w:val="1A914029"/>
    <w:rsid w:val="1AB36E09"/>
    <w:rsid w:val="1AB80937"/>
    <w:rsid w:val="1B0672C6"/>
    <w:rsid w:val="1B0B4124"/>
    <w:rsid w:val="1B196BD3"/>
    <w:rsid w:val="1B3D3423"/>
    <w:rsid w:val="1BB2199A"/>
    <w:rsid w:val="1BBA200E"/>
    <w:rsid w:val="1C3B7A96"/>
    <w:rsid w:val="1C4050AC"/>
    <w:rsid w:val="1CE14D21"/>
    <w:rsid w:val="1CE33BE2"/>
    <w:rsid w:val="1CFB0475"/>
    <w:rsid w:val="1D272397"/>
    <w:rsid w:val="1D4B1E31"/>
    <w:rsid w:val="1D747847"/>
    <w:rsid w:val="1D7B23E4"/>
    <w:rsid w:val="1D8125BE"/>
    <w:rsid w:val="1E8E2DB0"/>
    <w:rsid w:val="1E9F000F"/>
    <w:rsid w:val="1EB525EF"/>
    <w:rsid w:val="1EB6109D"/>
    <w:rsid w:val="1ECA3722"/>
    <w:rsid w:val="1EF2736B"/>
    <w:rsid w:val="1EF82B19"/>
    <w:rsid w:val="1F16470F"/>
    <w:rsid w:val="1F4F0922"/>
    <w:rsid w:val="1F6B0692"/>
    <w:rsid w:val="1F934CC0"/>
    <w:rsid w:val="1FD15D74"/>
    <w:rsid w:val="1FDD44EC"/>
    <w:rsid w:val="203A044D"/>
    <w:rsid w:val="204B180E"/>
    <w:rsid w:val="20533588"/>
    <w:rsid w:val="2066258A"/>
    <w:rsid w:val="20821300"/>
    <w:rsid w:val="209634ED"/>
    <w:rsid w:val="20AC6CCD"/>
    <w:rsid w:val="20B67DB3"/>
    <w:rsid w:val="20DC6201"/>
    <w:rsid w:val="20E51B52"/>
    <w:rsid w:val="211975F1"/>
    <w:rsid w:val="21584AE0"/>
    <w:rsid w:val="215F06A9"/>
    <w:rsid w:val="219B2BCD"/>
    <w:rsid w:val="22051F98"/>
    <w:rsid w:val="220B200C"/>
    <w:rsid w:val="221D1F0E"/>
    <w:rsid w:val="22430565"/>
    <w:rsid w:val="2261739B"/>
    <w:rsid w:val="22660C40"/>
    <w:rsid w:val="227E44E6"/>
    <w:rsid w:val="22C44C41"/>
    <w:rsid w:val="22DB181A"/>
    <w:rsid w:val="22F11B81"/>
    <w:rsid w:val="233141F6"/>
    <w:rsid w:val="23427BF9"/>
    <w:rsid w:val="236A69D7"/>
    <w:rsid w:val="238133A8"/>
    <w:rsid w:val="239B4ABA"/>
    <w:rsid w:val="23AA48AE"/>
    <w:rsid w:val="23C17FCB"/>
    <w:rsid w:val="240B1774"/>
    <w:rsid w:val="247054DD"/>
    <w:rsid w:val="24776664"/>
    <w:rsid w:val="24E045FA"/>
    <w:rsid w:val="250C613C"/>
    <w:rsid w:val="25291F40"/>
    <w:rsid w:val="25394E23"/>
    <w:rsid w:val="253D2474"/>
    <w:rsid w:val="25457FB6"/>
    <w:rsid w:val="25747A43"/>
    <w:rsid w:val="25870A1F"/>
    <w:rsid w:val="25A939E8"/>
    <w:rsid w:val="25AE615B"/>
    <w:rsid w:val="25B44F23"/>
    <w:rsid w:val="25CD5C03"/>
    <w:rsid w:val="25EF7AF6"/>
    <w:rsid w:val="26181240"/>
    <w:rsid w:val="262F2132"/>
    <w:rsid w:val="26303FAF"/>
    <w:rsid w:val="26B36C9D"/>
    <w:rsid w:val="26C22C66"/>
    <w:rsid w:val="26CB0992"/>
    <w:rsid w:val="26D011FB"/>
    <w:rsid w:val="274F1635"/>
    <w:rsid w:val="28AA1A78"/>
    <w:rsid w:val="28CF54AB"/>
    <w:rsid w:val="291C39BD"/>
    <w:rsid w:val="29223789"/>
    <w:rsid w:val="292C14BA"/>
    <w:rsid w:val="29500600"/>
    <w:rsid w:val="29581C87"/>
    <w:rsid w:val="299452ED"/>
    <w:rsid w:val="29E24B7A"/>
    <w:rsid w:val="29F50F47"/>
    <w:rsid w:val="2A244F98"/>
    <w:rsid w:val="2A4944AA"/>
    <w:rsid w:val="2A5F7A43"/>
    <w:rsid w:val="2AB51687"/>
    <w:rsid w:val="2AC667BC"/>
    <w:rsid w:val="2ACB79F4"/>
    <w:rsid w:val="2ACE5A58"/>
    <w:rsid w:val="2AD21F0D"/>
    <w:rsid w:val="2AD406FB"/>
    <w:rsid w:val="2BA75114"/>
    <w:rsid w:val="2BD64CE6"/>
    <w:rsid w:val="2BDB3A0A"/>
    <w:rsid w:val="2C503A00"/>
    <w:rsid w:val="2C5E32CE"/>
    <w:rsid w:val="2C6879B6"/>
    <w:rsid w:val="2C7359A9"/>
    <w:rsid w:val="2CA90E20"/>
    <w:rsid w:val="2CB52F4D"/>
    <w:rsid w:val="2CCE079A"/>
    <w:rsid w:val="2D175CF0"/>
    <w:rsid w:val="2D3C3DC5"/>
    <w:rsid w:val="2D632D02"/>
    <w:rsid w:val="2D7527D3"/>
    <w:rsid w:val="2D81205D"/>
    <w:rsid w:val="2DA86846"/>
    <w:rsid w:val="2DCA355C"/>
    <w:rsid w:val="2DE15A2A"/>
    <w:rsid w:val="2DEE76C2"/>
    <w:rsid w:val="2DF41502"/>
    <w:rsid w:val="2E704C40"/>
    <w:rsid w:val="2E7D6578"/>
    <w:rsid w:val="2E823302"/>
    <w:rsid w:val="2EA96AE1"/>
    <w:rsid w:val="2EAE2F99"/>
    <w:rsid w:val="2EB201EE"/>
    <w:rsid w:val="2EFF34CE"/>
    <w:rsid w:val="2F0517E9"/>
    <w:rsid w:val="2F09187F"/>
    <w:rsid w:val="2F6516EE"/>
    <w:rsid w:val="2F8C4B5A"/>
    <w:rsid w:val="2F9D27EF"/>
    <w:rsid w:val="2FBC7BBE"/>
    <w:rsid w:val="2FEC276B"/>
    <w:rsid w:val="30021413"/>
    <w:rsid w:val="30117E7F"/>
    <w:rsid w:val="303375CD"/>
    <w:rsid w:val="30417E57"/>
    <w:rsid w:val="304B1457"/>
    <w:rsid w:val="305631D2"/>
    <w:rsid w:val="30750065"/>
    <w:rsid w:val="309C337C"/>
    <w:rsid w:val="30CB0233"/>
    <w:rsid w:val="30D5114E"/>
    <w:rsid w:val="3103135B"/>
    <w:rsid w:val="310E17FD"/>
    <w:rsid w:val="31361F63"/>
    <w:rsid w:val="31560621"/>
    <w:rsid w:val="31587608"/>
    <w:rsid w:val="31E94182"/>
    <w:rsid w:val="32462DCA"/>
    <w:rsid w:val="3252168B"/>
    <w:rsid w:val="32614B36"/>
    <w:rsid w:val="328874D7"/>
    <w:rsid w:val="32B465D6"/>
    <w:rsid w:val="32DC7485"/>
    <w:rsid w:val="32F7454B"/>
    <w:rsid w:val="3338457A"/>
    <w:rsid w:val="33436A97"/>
    <w:rsid w:val="33461627"/>
    <w:rsid w:val="33841118"/>
    <w:rsid w:val="338A38E1"/>
    <w:rsid w:val="339B7340"/>
    <w:rsid w:val="33B15CD8"/>
    <w:rsid w:val="33B71E0E"/>
    <w:rsid w:val="33D33712"/>
    <w:rsid w:val="33EE2BD0"/>
    <w:rsid w:val="34271C06"/>
    <w:rsid w:val="342A2EDE"/>
    <w:rsid w:val="34735E7F"/>
    <w:rsid w:val="34772642"/>
    <w:rsid w:val="347F2FC4"/>
    <w:rsid w:val="35114DCF"/>
    <w:rsid w:val="35635188"/>
    <w:rsid w:val="35825271"/>
    <w:rsid w:val="359A6072"/>
    <w:rsid w:val="35E8116D"/>
    <w:rsid w:val="35F56C5B"/>
    <w:rsid w:val="36650D65"/>
    <w:rsid w:val="366B11D8"/>
    <w:rsid w:val="36760A6F"/>
    <w:rsid w:val="36FD63F6"/>
    <w:rsid w:val="371A057C"/>
    <w:rsid w:val="37424F12"/>
    <w:rsid w:val="375F35F1"/>
    <w:rsid w:val="37675342"/>
    <w:rsid w:val="379D4CDE"/>
    <w:rsid w:val="37E142B1"/>
    <w:rsid w:val="37EC177B"/>
    <w:rsid w:val="38092F9F"/>
    <w:rsid w:val="38461A94"/>
    <w:rsid w:val="387206F0"/>
    <w:rsid w:val="39B55902"/>
    <w:rsid w:val="39CE2279"/>
    <w:rsid w:val="39E64AA3"/>
    <w:rsid w:val="39E82A28"/>
    <w:rsid w:val="39EF23AF"/>
    <w:rsid w:val="3A5D47D6"/>
    <w:rsid w:val="3A7E0D23"/>
    <w:rsid w:val="3A816F5E"/>
    <w:rsid w:val="3A910CD2"/>
    <w:rsid w:val="3AA2196D"/>
    <w:rsid w:val="3AC240CF"/>
    <w:rsid w:val="3ACD436A"/>
    <w:rsid w:val="3B1139DC"/>
    <w:rsid w:val="3B346891"/>
    <w:rsid w:val="3B3C3764"/>
    <w:rsid w:val="3B4E2A1B"/>
    <w:rsid w:val="3B693ABE"/>
    <w:rsid w:val="3B695CE9"/>
    <w:rsid w:val="3B930F30"/>
    <w:rsid w:val="3BAA3A8C"/>
    <w:rsid w:val="3BCC6D26"/>
    <w:rsid w:val="3BCD6DCC"/>
    <w:rsid w:val="3BFF1AFF"/>
    <w:rsid w:val="3C05794C"/>
    <w:rsid w:val="3C8637E7"/>
    <w:rsid w:val="3C93694A"/>
    <w:rsid w:val="3C9C0EE0"/>
    <w:rsid w:val="3CAA50D7"/>
    <w:rsid w:val="3CC23CE7"/>
    <w:rsid w:val="3D685D41"/>
    <w:rsid w:val="3D734BA5"/>
    <w:rsid w:val="3D7627E6"/>
    <w:rsid w:val="3D7913E8"/>
    <w:rsid w:val="3DD95F68"/>
    <w:rsid w:val="3DDD2815"/>
    <w:rsid w:val="3DEB73A9"/>
    <w:rsid w:val="3DF51398"/>
    <w:rsid w:val="3DF93EE2"/>
    <w:rsid w:val="3DFA0550"/>
    <w:rsid w:val="3E49637E"/>
    <w:rsid w:val="3E5762FA"/>
    <w:rsid w:val="3EAC1F9C"/>
    <w:rsid w:val="3EBA7D64"/>
    <w:rsid w:val="3F160824"/>
    <w:rsid w:val="3F357959"/>
    <w:rsid w:val="3F621BC8"/>
    <w:rsid w:val="3F7A1395"/>
    <w:rsid w:val="3F9A5F9A"/>
    <w:rsid w:val="4040304E"/>
    <w:rsid w:val="40585914"/>
    <w:rsid w:val="409A7B8F"/>
    <w:rsid w:val="40EF0D87"/>
    <w:rsid w:val="40EF2F2A"/>
    <w:rsid w:val="41230A69"/>
    <w:rsid w:val="412A6933"/>
    <w:rsid w:val="413546D5"/>
    <w:rsid w:val="4184424B"/>
    <w:rsid w:val="41A22929"/>
    <w:rsid w:val="41A50A27"/>
    <w:rsid w:val="41FB4403"/>
    <w:rsid w:val="420B3F64"/>
    <w:rsid w:val="422A509B"/>
    <w:rsid w:val="422B2257"/>
    <w:rsid w:val="42476297"/>
    <w:rsid w:val="424B3B49"/>
    <w:rsid w:val="42613D77"/>
    <w:rsid w:val="4267663F"/>
    <w:rsid w:val="42756196"/>
    <w:rsid w:val="429C5AC6"/>
    <w:rsid w:val="42ED3256"/>
    <w:rsid w:val="4300495F"/>
    <w:rsid w:val="437370B7"/>
    <w:rsid w:val="43897891"/>
    <w:rsid w:val="4426495C"/>
    <w:rsid w:val="44296D06"/>
    <w:rsid w:val="44344C0C"/>
    <w:rsid w:val="445B3043"/>
    <w:rsid w:val="44DD3E91"/>
    <w:rsid w:val="44FE6A97"/>
    <w:rsid w:val="45280009"/>
    <w:rsid w:val="46045CCA"/>
    <w:rsid w:val="46163B17"/>
    <w:rsid w:val="46830356"/>
    <w:rsid w:val="468B12A0"/>
    <w:rsid w:val="46945465"/>
    <w:rsid w:val="46946CC7"/>
    <w:rsid w:val="46E416BF"/>
    <w:rsid w:val="46F91E7C"/>
    <w:rsid w:val="47020093"/>
    <w:rsid w:val="47601966"/>
    <w:rsid w:val="47A21B7E"/>
    <w:rsid w:val="47B85DA2"/>
    <w:rsid w:val="47FA7693"/>
    <w:rsid w:val="47FC1AAA"/>
    <w:rsid w:val="48312A56"/>
    <w:rsid w:val="4831507B"/>
    <w:rsid w:val="488C4279"/>
    <w:rsid w:val="48975150"/>
    <w:rsid w:val="48D94840"/>
    <w:rsid w:val="48F873C3"/>
    <w:rsid w:val="4908499A"/>
    <w:rsid w:val="491202EB"/>
    <w:rsid w:val="49625A84"/>
    <w:rsid w:val="49653F45"/>
    <w:rsid w:val="49BE34F2"/>
    <w:rsid w:val="49CD5922"/>
    <w:rsid w:val="4A4C39AD"/>
    <w:rsid w:val="4A7D3C0E"/>
    <w:rsid w:val="4A9E78BB"/>
    <w:rsid w:val="4AE22767"/>
    <w:rsid w:val="4B8507BD"/>
    <w:rsid w:val="4BB47AC2"/>
    <w:rsid w:val="4BC02BD8"/>
    <w:rsid w:val="4BD66AD1"/>
    <w:rsid w:val="4C5E0D5A"/>
    <w:rsid w:val="4C796071"/>
    <w:rsid w:val="4C7C7209"/>
    <w:rsid w:val="4CBF4276"/>
    <w:rsid w:val="4CD541BE"/>
    <w:rsid w:val="4CE2382F"/>
    <w:rsid w:val="4D3E6D99"/>
    <w:rsid w:val="4D584B20"/>
    <w:rsid w:val="4DB72D0B"/>
    <w:rsid w:val="4DDE1A53"/>
    <w:rsid w:val="4E1622A9"/>
    <w:rsid w:val="4E1E138D"/>
    <w:rsid w:val="4E2E279D"/>
    <w:rsid w:val="4E47495A"/>
    <w:rsid w:val="4E5C77A4"/>
    <w:rsid w:val="4E693FAA"/>
    <w:rsid w:val="4E796078"/>
    <w:rsid w:val="4EDC01C5"/>
    <w:rsid w:val="4F3B09F2"/>
    <w:rsid w:val="4F4A3AE3"/>
    <w:rsid w:val="4FAB421F"/>
    <w:rsid w:val="4FC60261"/>
    <w:rsid w:val="5028016B"/>
    <w:rsid w:val="50873996"/>
    <w:rsid w:val="50C55F5A"/>
    <w:rsid w:val="50F2034F"/>
    <w:rsid w:val="51611A3C"/>
    <w:rsid w:val="51767DCA"/>
    <w:rsid w:val="51A66B21"/>
    <w:rsid w:val="51B122AB"/>
    <w:rsid w:val="51EC339B"/>
    <w:rsid w:val="52380824"/>
    <w:rsid w:val="52582329"/>
    <w:rsid w:val="52CD27D2"/>
    <w:rsid w:val="52D32FAE"/>
    <w:rsid w:val="52F13372"/>
    <w:rsid w:val="53013A3B"/>
    <w:rsid w:val="534D60B9"/>
    <w:rsid w:val="535A067F"/>
    <w:rsid w:val="53696550"/>
    <w:rsid w:val="539C13A0"/>
    <w:rsid w:val="53B72340"/>
    <w:rsid w:val="53E2646E"/>
    <w:rsid w:val="54213D40"/>
    <w:rsid w:val="54446CA9"/>
    <w:rsid w:val="54461AD3"/>
    <w:rsid w:val="54581E64"/>
    <w:rsid w:val="5497640C"/>
    <w:rsid w:val="54B566C2"/>
    <w:rsid w:val="54B85F76"/>
    <w:rsid w:val="54E96DC8"/>
    <w:rsid w:val="54FF2231"/>
    <w:rsid w:val="5509049F"/>
    <w:rsid w:val="55104FA0"/>
    <w:rsid w:val="5568105C"/>
    <w:rsid w:val="557C08CC"/>
    <w:rsid w:val="557C6727"/>
    <w:rsid w:val="55ED6EE0"/>
    <w:rsid w:val="56172DB1"/>
    <w:rsid w:val="5633291A"/>
    <w:rsid w:val="565B3F47"/>
    <w:rsid w:val="567F71BD"/>
    <w:rsid w:val="56A21C1F"/>
    <w:rsid w:val="56B70A2E"/>
    <w:rsid w:val="56C105B6"/>
    <w:rsid w:val="57396B1E"/>
    <w:rsid w:val="57440089"/>
    <w:rsid w:val="57495993"/>
    <w:rsid w:val="576A0140"/>
    <w:rsid w:val="57B454EE"/>
    <w:rsid w:val="57CF0AFC"/>
    <w:rsid w:val="58067904"/>
    <w:rsid w:val="5858380C"/>
    <w:rsid w:val="58613506"/>
    <w:rsid w:val="58845D9B"/>
    <w:rsid w:val="58884175"/>
    <w:rsid w:val="58C1556E"/>
    <w:rsid w:val="58ED7447"/>
    <w:rsid w:val="58EF76ED"/>
    <w:rsid w:val="591B58C0"/>
    <w:rsid w:val="59204F48"/>
    <w:rsid w:val="59234ECA"/>
    <w:rsid w:val="595D3DAB"/>
    <w:rsid w:val="59840B1E"/>
    <w:rsid w:val="59ED2A83"/>
    <w:rsid w:val="5A1C6270"/>
    <w:rsid w:val="5A245A88"/>
    <w:rsid w:val="5A2B7908"/>
    <w:rsid w:val="5A6D3BE8"/>
    <w:rsid w:val="5A822399"/>
    <w:rsid w:val="5AB729DC"/>
    <w:rsid w:val="5AB77B5E"/>
    <w:rsid w:val="5AEA5EB0"/>
    <w:rsid w:val="5B3369D1"/>
    <w:rsid w:val="5BE307B4"/>
    <w:rsid w:val="5C166E4F"/>
    <w:rsid w:val="5C276E7C"/>
    <w:rsid w:val="5C306DDF"/>
    <w:rsid w:val="5C49575C"/>
    <w:rsid w:val="5C9108EC"/>
    <w:rsid w:val="5C9E4255"/>
    <w:rsid w:val="5C9E4B22"/>
    <w:rsid w:val="5CD42E3E"/>
    <w:rsid w:val="5CF41B55"/>
    <w:rsid w:val="5D0F5894"/>
    <w:rsid w:val="5D215608"/>
    <w:rsid w:val="5D316B4B"/>
    <w:rsid w:val="5D7C032C"/>
    <w:rsid w:val="5D7E6CC5"/>
    <w:rsid w:val="5D8178C4"/>
    <w:rsid w:val="5D89316A"/>
    <w:rsid w:val="5D916F3A"/>
    <w:rsid w:val="5DA628A5"/>
    <w:rsid w:val="5DAE0909"/>
    <w:rsid w:val="5DCE5468"/>
    <w:rsid w:val="5DE24E13"/>
    <w:rsid w:val="5DE93F98"/>
    <w:rsid w:val="5E132EFB"/>
    <w:rsid w:val="5E1C02C1"/>
    <w:rsid w:val="5E245A60"/>
    <w:rsid w:val="5E531B9F"/>
    <w:rsid w:val="5E5F1019"/>
    <w:rsid w:val="5E790599"/>
    <w:rsid w:val="5EA77881"/>
    <w:rsid w:val="5ED42E29"/>
    <w:rsid w:val="5ED87541"/>
    <w:rsid w:val="5F0D61FF"/>
    <w:rsid w:val="5F1B0F35"/>
    <w:rsid w:val="5F1F31CB"/>
    <w:rsid w:val="5F2E1BCB"/>
    <w:rsid w:val="5F424F1B"/>
    <w:rsid w:val="5F682CF2"/>
    <w:rsid w:val="5F857143"/>
    <w:rsid w:val="5FD11D7D"/>
    <w:rsid w:val="5FDB7D9D"/>
    <w:rsid w:val="5FFE4272"/>
    <w:rsid w:val="60101288"/>
    <w:rsid w:val="60510E15"/>
    <w:rsid w:val="605C2ABC"/>
    <w:rsid w:val="60A77BF0"/>
    <w:rsid w:val="60AB793D"/>
    <w:rsid w:val="60EB3387"/>
    <w:rsid w:val="61354C2B"/>
    <w:rsid w:val="615006E0"/>
    <w:rsid w:val="6161292D"/>
    <w:rsid w:val="6167161A"/>
    <w:rsid w:val="61DC6DB3"/>
    <w:rsid w:val="61E34130"/>
    <w:rsid w:val="62532DD8"/>
    <w:rsid w:val="629F5C38"/>
    <w:rsid w:val="62D95D35"/>
    <w:rsid w:val="62E14DA4"/>
    <w:rsid w:val="62E55EDB"/>
    <w:rsid w:val="62E919AE"/>
    <w:rsid w:val="632417E0"/>
    <w:rsid w:val="63614E88"/>
    <w:rsid w:val="63A23566"/>
    <w:rsid w:val="63AE7C71"/>
    <w:rsid w:val="63B17F1C"/>
    <w:rsid w:val="63E776F7"/>
    <w:rsid w:val="6477079C"/>
    <w:rsid w:val="64884ABB"/>
    <w:rsid w:val="64BF74D6"/>
    <w:rsid w:val="64CA25E2"/>
    <w:rsid w:val="64CC5C0C"/>
    <w:rsid w:val="651D7774"/>
    <w:rsid w:val="6537227D"/>
    <w:rsid w:val="65687B32"/>
    <w:rsid w:val="65C32F83"/>
    <w:rsid w:val="65FD5241"/>
    <w:rsid w:val="66145AE8"/>
    <w:rsid w:val="66266612"/>
    <w:rsid w:val="66531324"/>
    <w:rsid w:val="668974B7"/>
    <w:rsid w:val="66BD4D07"/>
    <w:rsid w:val="66DB1A39"/>
    <w:rsid w:val="67120167"/>
    <w:rsid w:val="67425856"/>
    <w:rsid w:val="676D5535"/>
    <w:rsid w:val="679A064C"/>
    <w:rsid w:val="67EE6E63"/>
    <w:rsid w:val="6807487D"/>
    <w:rsid w:val="6815760F"/>
    <w:rsid w:val="681E541D"/>
    <w:rsid w:val="68546EEF"/>
    <w:rsid w:val="6876296E"/>
    <w:rsid w:val="68906D27"/>
    <w:rsid w:val="689D1AB8"/>
    <w:rsid w:val="68A80483"/>
    <w:rsid w:val="6900157B"/>
    <w:rsid w:val="69320929"/>
    <w:rsid w:val="69660C8B"/>
    <w:rsid w:val="696F212F"/>
    <w:rsid w:val="69752D81"/>
    <w:rsid w:val="69791C0D"/>
    <w:rsid w:val="69A433E0"/>
    <w:rsid w:val="69DA2876"/>
    <w:rsid w:val="69E057C4"/>
    <w:rsid w:val="69E76C61"/>
    <w:rsid w:val="69EE5696"/>
    <w:rsid w:val="6A332318"/>
    <w:rsid w:val="6A3C4ED7"/>
    <w:rsid w:val="6AAB60E7"/>
    <w:rsid w:val="6AFC23DC"/>
    <w:rsid w:val="6B171F35"/>
    <w:rsid w:val="6BAB6F14"/>
    <w:rsid w:val="6BAD1EE5"/>
    <w:rsid w:val="6BB9504A"/>
    <w:rsid w:val="6BBE353D"/>
    <w:rsid w:val="6BEB4F4D"/>
    <w:rsid w:val="6C474471"/>
    <w:rsid w:val="6C4C4C1E"/>
    <w:rsid w:val="6C8769E4"/>
    <w:rsid w:val="6D012796"/>
    <w:rsid w:val="6D3A3329"/>
    <w:rsid w:val="6D5341EA"/>
    <w:rsid w:val="6D9E6246"/>
    <w:rsid w:val="6DF3512C"/>
    <w:rsid w:val="6E9C74A7"/>
    <w:rsid w:val="6EB16B19"/>
    <w:rsid w:val="6EB26CBB"/>
    <w:rsid w:val="6EBF262E"/>
    <w:rsid w:val="6EC10BF5"/>
    <w:rsid w:val="6EC13C6B"/>
    <w:rsid w:val="6EC66036"/>
    <w:rsid w:val="6EC92841"/>
    <w:rsid w:val="6ED84BE7"/>
    <w:rsid w:val="6F94255E"/>
    <w:rsid w:val="6FA86872"/>
    <w:rsid w:val="6FFE28A4"/>
    <w:rsid w:val="700B1DBC"/>
    <w:rsid w:val="700F5C96"/>
    <w:rsid w:val="7034059F"/>
    <w:rsid w:val="70485252"/>
    <w:rsid w:val="704F2C5F"/>
    <w:rsid w:val="707E2B59"/>
    <w:rsid w:val="70A82C64"/>
    <w:rsid w:val="70D8212E"/>
    <w:rsid w:val="70DE752F"/>
    <w:rsid w:val="70DF68B2"/>
    <w:rsid w:val="70E4170B"/>
    <w:rsid w:val="71335A9B"/>
    <w:rsid w:val="7146408D"/>
    <w:rsid w:val="71844742"/>
    <w:rsid w:val="719B701F"/>
    <w:rsid w:val="71B21C56"/>
    <w:rsid w:val="71D927C2"/>
    <w:rsid w:val="7219323C"/>
    <w:rsid w:val="7290103C"/>
    <w:rsid w:val="72A66CA0"/>
    <w:rsid w:val="732228BC"/>
    <w:rsid w:val="733B028F"/>
    <w:rsid w:val="73547CB3"/>
    <w:rsid w:val="73694025"/>
    <w:rsid w:val="739A7DBC"/>
    <w:rsid w:val="73AC7712"/>
    <w:rsid w:val="73C37B3A"/>
    <w:rsid w:val="73E5397F"/>
    <w:rsid w:val="73EA70F6"/>
    <w:rsid w:val="740021F6"/>
    <w:rsid w:val="740A4FCB"/>
    <w:rsid w:val="74332397"/>
    <w:rsid w:val="74410973"/>
    <w:rsid w:val="74477C79"/>
    <w:rsid w:val="748E3C4A"/>
    <w:rsid w:val="749F7D37"/>
    <w:rsid w:val="74A57097"/>
    <w:rsid w:val="751838B1"/>
    <w:rsid w:val="757229F9"/>
    <w:rsid w:val="75787FC9"/>
    <w:rsid w:val="757E4AF9"/>
    <w:rsid w:val="759304D8"/>
    <w:rsid w:val="75A17E72"/>
    <w:rsid w:val="75A27EB4"/>
    <w:rsid w:val="75D133D0"/>
    <w:rsid w:val="763E0C8B"/>
    <w:rsid w:val="76786F2E"/>
    <w:rsid w:val="776930BE"/>
    <w:rsid w:val="77B06CF3"/>
    <w:rsid w:val="77B45926"/>
    <w:rsid w:val="77B5591A"/>
    <w:rsid w:val="77C6308A"/>
    <w:rsid w:val="77C94015"/>
    <w:rsid w:val="78546CA6"/>
    <w:rsid w:val="78E818E5"/>
    <w:rsid w:val="797F60D5"/>
    <w:rsid w:val="79DC55F4"/>
    <w:rsid w:val="79FF16A0"/>
    <w:rsid w:val="7A434E36"/>
    <w:rsid w:val="7A71383E"/>
    <w:rsid w:val="7A7747DA"/>
    <w:rsid w:val="7A877999"/>
    <w:rsid w:val="7AFF2D6F"/>
    <w:rsid w:val="7B396895"/>
    <w:rsid w:val="7BD24E35"/>
    <w:rsid w:val="7BE23A26"/>
    <w:rsid w:val="7BE93382"/>
    <w:rsid w:val="7C082B3B"/>
    <w:rsid w:val="7C190EA3"/>
    <w:rsid w:val="7C2D09C7"/>
    <w:rsid w:val="7C4A7907"/>
    <w:rsid w:val="7CA52ABC"/>
    <w:rsid w:val="7D332259"/>
    <w:rsid w:val="7D3846C5"/>
    <w:rsid w:val="7D4C3AED"/>
    <w:rsid w:val="7D50212B"/>
    <w:rsid w:val="7D502D5B"/>
    <w:rsid w:val="7D5928AF"/>
    <w:rsid w:val="7D5E2298"/>
    <w:rsid w:val="7D6B16D3"/>
    <w:rsid w:val="7D784C4C"/>
    <w:rsid w:val="7D790677"/>
    <w:rsid w:val="7DC04C9F"/>
    <w:rsid w:val="7DCF07E9"/>
    <w:rsid w:val="7E053626"/>
    <w:rsid w:val="7E247594"/>
    <w:rsid w:val="7E262414"/>
    <w:rsid w:val="7E375C98"/>
    <w:rsid w:val="7E7437A1"/>
    <w:rsid w:val="7E843559"/>
    <w:rsid w:val="7EE22AA9"/>
    <w:rsid w:val="7FCFF568"/>
    <w:rsid w:val="7FEA5DAD"/>
    <w:rsid w:val="7FFF2F8A"/>
    <w:rsid w:val="96FF4145"/>
    <w:rsid w:val="97AF3377"/>
    <w:rsid w:val="D73FD318"/>
    <w:rsid w:val="DEFF14BE"/>
    <w:rsid w:val="F6F32FA4"/>
    <w:rsid w:val="F9FD1B0F"/>
    <w:rsid w:val="FF4A63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qFormat="1" w:unhideWhenUsed="0" w:uiPriority="0" w:semiHidden="0"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nhideWhenUsed="0" w:uiPriority="0" w:semiHidden="0" w:name="HTML Cite"/>
    <w:lsdException w:qFormat="1" w:uiPriority="99" w:semiHidden="0" w:name="HTML Code"/>
    <w:lsdException w:qFormat="1" w:uiPriority="99" w:semiHidden="0" w:name="HTML Definition"/>
    <w:lsdException w:qFormat="1" w:uiPriority="99" w:semiHidden="0" w:name="HTML Keyboard"/>
    <w:lsdException w:qFormat="1" w:uiPriority="0" w:semiHidden="0" w:name="HTML Preformatted"/>
    <w:lsdException w:qFormat="1" w:uiPriority="0" w:semiHidden="0" w:name="HTML Sample"/>
    <w:lsdException w:qFormat="1" w:unhideWhenUsed="0" w:uiPriority="0" w:semiHidden="0"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
    <w:autoRedefine/>
    <w:qFormat/>
    <w:uiPriority w:val="0"/>
    <w:pPr>
      <w:keepNext/>
      <w:jc w:val="center"/>
      <w:outlineLvl w:val="0"/>
    </w:pPr>
    <w:rPr>
      <w:rFonts w:ascii="楷体_GB2312" w:hAnsi="Tahoma" w:eastAsia="楷体_GB2312"/>
      <w:b/>
      <w:bCs/>
    </w:rPr>
  </w:style>
  <w:style w:type="paragraph" w:styleId="5">
    <w:name w:val="heading 2"/>
    <w:basedOn w:val="1"/>
    <w:next w:val="1"/>
    <w:link w:val="81"/>
    <w:autoRedefine/>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82"/>
    <w:qFormat/>
    <w:uiPriority w:val="0"/>
    <w:pPr>
      <w:keepNext/>
      <w:keepLines/>
      <w:spacing w:before="260" w:after="260" w:line="415" w:lineRule="auto"/>
      <w:outlineLvl w:val="2"/>
    </w:pPr>
    <w:rPr>
      <w:b/>
      <w:bCs/>
      <w:sz w:val="32"/>
      <w:szCs w:val="32"/>
    </w:rPr>
  </w:style>
  <w:style w:type="paragraph" w:styleId="7">
    <w:name w:val="heading 4"/>
    <w:basedOn w:val="1"/>
    <w:next w:val="1"/>
    <w:link w:val="83"/>
    <w:qFormat/>
    <w:uiPriority w:val="0"/>
    <w:pPr>
      <w:keepNext/>
      <w:keepLines/>
      <w:spacing w:before="280" w:after="290" w:line="372" w:lineRule="auto"/>
      <w:outlineLvl w:val="3"/>
    </w:pPr>
    <w:rPr>
      <w:rFonts w:ascii="Cambria" w:hAnsi="Cambria"/>
      <w:b/>
      <w:bCs/>
      <w:sz w:val="28"/>
      <w:szCs w:val="28"/>
    </w:rPr>
  </w:style>
  <w:style w:type="paragraph" w:styleId="8">
    <w:name w:val="heading 5"/>
    <w:basedOn w:val="1"/>
    <w:next w:val="1"/>
    <w:link w:val="84"/>
    <w:qFormat/>
    <w:uiPriority w:val="0"/>
    <w:pPr>
      <w:keepNext/>
      <w:keepLines/>
      <w:spacing w:before="280" w:after="290" w:line="372" w:lineRule="auto"/>
      <w:outlineLvl w:val="4"/>
    </w:pPr>
    <w:rPr>
      <w:rFonts w:ascii="仿宋_GB2312" w:hAnsi="Tahoma"/>
      <w:b/>
      <w:bCs/>
      <w:sz w:val="28"/>
      <w:szCs w:val="28"/>
    </w:rPr>
  </w:style>
  <w:style w:type="paragraph" w:styleId="9">
    <w:name w:val="heading 6"/>
    <w:basedOn w:val="1"/>
    <w:next w:val="1"/>
    <w:link w:val="85"/>
    <w:autoRedefine/>
    <w:qFormat/>
    <w:uiPriority w:val="0"/>
    <w:pPr>
      <w:keepNext/>
      <w:keepLines/>
      <w:spacing w:before="240" w:after="64" w:line="319" w:lineRule="auto"/>
      <w:outlineLvl w:val="5"/>
    </w:pPr>
    <w:rPr>
      <w:rFonts w:ascii="Arial" w:hAnsi="Arial" w:eastAsia="黑体"/>
      <w:b/>
      <w:bCs/>
      <w:sz w:val="24"/>
    </w:rPr>
  </w:style>
  <w:style w:type="paragraph" w:styleId="10">
    <w:name w:val="heading 7"/>
    <w:basedOn w:val="1"/>
    <w:next w:val="1"/>
    <w:link w:val="86"/>
    <w:qFormat/>
    <w:uiPriority w:val="0"/>
    <w:pPr>
      <w:widowControl/>
      <w:tabs>
        <w:tab w:val="left" w:pos="765"/>
      </w:tabs>
      <w:autoSpaceDE w:val="0"/>
      <w:autoSpaceDN w:val="0"/>
      <w:adjustRightInd w:val="0"/>
      <w:spacing w:line="360" w:lineRule="auto"/>
      <w:ind w:left="1134" w:hanging="680"/>
      <w:jc w:val="left"/>
      <w:outlineLvl w:val="6"/>
    </w:pPr>
    <w:rPr>
      <w:rFonts w:ascii="Arial" w:hAnsi="Arial" w:eastAsia="黑体"/>
      <w:b/>
      <w:kern w:val="0"/>
      <w:szCs w:val="21"/>
    </w:rPr>
  </w:style>
  <w:style w:type="paragraph" w:styleId="11">
    <w:name w:val="heading 8"/>
    <w:basedOn w:val="1"/>
    <w:next w:val="1"/>
    <w:link w:val="87"/>
    <w:autoRedefine/>
    <w:qFormat/>
    <w:uiPriority w:val="0"/>
    <w:pPr>
      <w:keepLines/>
      <w:tabs>
        <w:tab w:val="left" w:pos="1638"/>
      </w:tabs>
      <w:autoSpaceDE w:val="0"/>
      <w:autoSpaceDN w:val="0"/>
      <w:adjustRightInd w:val="0"/>
      <w:spacing w:before="240" w:after="64" w:line="317" w:lineRule="auto"/>
      <w:ind w:left="1638" w:hanging="1440"/>
      <w:jc w:val="left"/>
      <w:outlineLvl w:val="7"/>
    </w:pPr>
    <w:rPr>
      <w:rFonts w:ascii="Arial" w:hAnsi="Arial" w:eastAsia="黑体"/>
      <w:b/>
      <w:kern w:val="0"/>
      <w:sz w:val="24"/>
      <w:szCs w:val="32"/>
    </w:rPr>
  </w:style>
  <w:style w:type="paragraph" w:styleId="12">
    <w:name w:val="heading 9"/>
    <w:basedOn w:val="1"/>
    <w:next w:val="1"/>
    <w:link w:val="88"/>
    <w:autoRedefine/>
    <w:qFormat/>
    <w:uiPriority w:val="0"/>
    <w:pPr>
      <w:keepLines/>
      <w:tabs>
        <w:tab w:val="left" w:pos="1782"/>
      </w:tabs>
      <w:autoSpaceDE w:val="0"/>
      <w:autoSpaceDN w:val="0"/>
      <w:adjustRightInd w:val="0"/>
      <w:spacing w:before="240" w:after="64" w:line="317" w:lineRule="auto"/>
      <w:ind w:left="1782" w:hanging="1584"/>
      <w:jc w:val="left"/>
      <w:outlineLvl w:val="8"/>
    </w:pPr>
    <w:rPr>
      <w:rFonts w:ascii="Arial" w:hAnsi="Arial" w:eastAsia="黑体"/>
      <w:b/>
      <w:kern w:val="0"/>
      <w:szCs w:val="32"/>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customStyle="1" w:styleId="2">
    <w:name w:val="[Normal]"/>
    <w:autoRedefine/>
    <w:qFormat/>
    <w:uiPriority w:val="0"/>
    <w:rPr>
      <w:rFonts w:ascii="宋体" w:hAnsi="宋体" w:eastAsia="宋体" w:cs="Times New Roman"/>
      <w:sz w:val="24"/>
      <w:szCs w:val="22"/>
      <w:lang w:val="zh-CN" w:eastAsia="zh-CN" w:bidi="ar-SA"/>
    </w:rPr>
  </w:style>
  <w:style w:type="paragraph" w:styleId="3">
    <w:name w:val="macro"/>
    <w:link w:val="79"/>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3">
    <w:name w:val="toc 7"/>
    <w:basedOn w:val="1"/>
    <w:next w:val="1"/>
    <w:autoRedefine/>
    <w:qFormat/>
    <w:uiPriority w:val="39"/>
    <w:pPr>
      <w:autoSpaceDE w:val="0"/>
      <w:autoSpaceDN w:val="0"/>
      <w:adjustRightInd w:val="0"/>
      <w:ind w:left="2520" w:leftChars="1200"/>
      <w:jc w:val="left"/>
    </w:pPr>
    <w:rPr>
      <w:kern w:val="0"/>
      <w:sz w:val="20"/>
      <w:szCs w:val="20"/>
    </w:rPr>
  </w:style>
  <w:style w:type="paragraph" w:styleId="14">
    <w:name w:val="Note Heading"/>
    <w:basedOn w:val="1"/>
    <w:next w:val="1"/>
    <w:link w:val="89"/>
    <w:qFormat/>
    <w:uiPriority w:val="0"/>
    <w:pPr>
      <w:jc w:val="left"/>
    </w:pPr>
    <w:rPr>
      <w:rFonts w:eastAsia="黑体"/>
      <w:sz w:val="28"/>
      <w:szCs w:val="20"/>
    </w:rPr>
  </w:style>
  <w:style w:type="paragraph" w:styleId="15">
    <w:name w:val="List Number"/>
    <w:basedOn w:val="1"/>
    <w:autoRedefine/>
    <w:qFormat/>
    <w:uiPriority w:val="0"/>
    <w:pPr>
      <w:tabs>
        <w:tab w:val="left" w:pos="360"/>
      </w:tabs>
      <w:ind w:left="360" w:hanging="360" w:hangingChars="200"/>
    </w:pPr>
  </w:style>
  <w:style w:type="paragraph" w:styleId="16">
    <w:name w:val="Normal Indent"/>
    <w:basedOn w:val="1"/>
    <w:next w:val="1"/>
    <w:link w:val="90"/>
    <w:autoRedefine/>
    <w:qFormat/>
    <w:uiPriority w:val="0"/>
    <w:pPr>
      <w:adjustRightInd w:val="0"/>
      <w:spacing w:line="312" w:lineRule="atLeast"/>
      <w:ind w:firstLine="420"/>
      <w:textAlignment w:val="baseline"/>
    </w:pPr>
    <w:rPr>
      <w:kern w:val="0"/>
      <w:szCs w:val="20"/>
    </w:rPr>
  </w:style>
  <w:style w:type="paragraph" w:styleId="17">
    <w:name w:val="caption"/>
    <w:basedOn w:val="1"/>
    <w:next w:val="1"/>
    <w:link w:val="91"/>
    <w:autoRedefine/>
    <w:qFormat/>
    <w:uiPriority w:val="0"/>
    <w:pPr>
      <w:autoSpaceDE w:val="0"/>
      <w:autoSpaceDN w:val="0"/>
      <w:adjustRightInd w:val="0"/>
      <w:jc w:val="left"/>
    </w:pPr>
    <w:rPr>
      <w:rFonts w:ascii="Arial" w:hAnsi="Arial" w:eastAsia="黑体"/>
      <w:kern w:val="0"/>
      <w:sz w:val="20"/>
      <w:szCs w:val="20"/>
    </w:rPr>
  </w:style>
  <w:style w:type="paragraph" w:styleId="18">
    <w:name w:val="List Bullet"/>
    <w:basedOn w:val="1"/>
    <w:autoRedefine/>
    <w:qFormat/>
    <w:uiPriority w:val="0"/>
    <w:pPr>
      <w:numPr>
        <w:ilvl w:val="0"/>
        <w:numId w:val="1"/>
      </w:numPr>
      <w:tabs>
        <w:tab w:val="left" w:pos="360"/>
        <w:tab w:val="clear" w:pos="1080"/>
      </w:tabs>
    </w:pPr>
    <w:rPr>
      <w:rFonts w:ascii="Calibri" w:hAnsi="Calibri"/>
      <w:szCs w:val="22"/>
    </w:rPr>
  </w:style>
  <w:style w:type="paragraph" w:styleId="19">
    <w:name w:val="Document Map"/>
    <w:basedOn w:val="1"/>
    <w:link w:val="92"/>
    <w:autoRedefine/>
    <w:qFormat/>
    <w:uiPriority w:val="0"/>
    <w:pPr>
      <w:shd w:val="clear" w:color="auto" w:fill="000080"/>
    </w:pPr>
  </w:style>
  <w:style w:type="paragraph" w:styleId="20">
    <w:name w:val="annotation text"/>
    <w:basedOn w:val="1"/>
    <w:link w:val="93"/>
    <w:autoRedefine/>
    <w:qFormat/>
    <w:uiPriority w:val="0"/>
    <w:pPr>
      <w:jc w:val="left"/>
    </w:pPr>
  </w:style>
  <w:style w:type="paragraph" w:styleId="21">
    <w:name w:val="Salutation"/>
    <w:basedOn w:val="1"/>
    <w:next w:val="1"/>
    <w:link w:val="94"/>
    <w:autoRedefine/>
    <w:qFormat/>
    <w:uiPriority w:val="0"/>
    <w:pPr>
      <w:tabs>
        <w:tab w:val="left" w:pos="840"/>
      </w:tabs>
      <w:autoSpaceDE w:val="0"/>
      <w:autoSpaceDN w:val="0"/>
      <w:adjustRightInd w:val="0"/>
      <w:jc w:val="left"/>
    </w:pPr>
    <w:rPr>
      <w:kern w:val="0"/>
      <w:sz w:val="20"/>
      <w:szCs w:val="20"/>
    </w:rPr>
  </w:style>
  <w:style w:type="paragraph" w:styleId="22">
    <w:name w:val="Body Text 3"/>
    <w:basedOn w:val="1"/>
    <w:link w:val="95"/>
    <w:autoRedefine/>
    <w:qFormat/>
    <w:uiPriority w:val="0"/>
    <w:pPr>
      <w:autoSpaceDE w:val="0"/>
      <w:autoSpaceDN w:val="0"/>
      <w:adjustRightInd w:val="0"/>
      <w:jc w:val="center"/>
    </w:pPr>
    <w:rPr>
      <w:kern w:val="0"/>
      <w:sz w:val="20"/>
      <w:szCs w:val="20"/>
    </w:rPr>
  </w:style>
  <w:style w:type="paragraph" w:styleId="23">
    <w:name w:val="Body Text"/>
    <w:basedOn w:val="1"/>
    <w:next w:val="24"/>
    <w:link w:val="96"/>
    <w:autoRedefine/>
    <w:qFormat/>
    <w:uiPriority w:val="0"/>
    <w:pPr>
      <w:spacing w:after="120"/>
    </w:pPr>
    <w:rPr>
      <w:rFonts w:ascii="Tahoma" w:hAnsi="Tahoma"/>
    </w:rPr>
  </w:style>
  <w:style w:type="paragraph" w:styleId="24">
    <w:name w:val="Body Text First Indent"/>
    <w:basedOn w:val="23"/>
    <w:next w:val="1"/>
    <w:link w:val="97"/>
    <w:autoRedefine/>
    <w:qFormat/>
    <w:uiPriority w:val="0"/>
    <w:pPr>
      <w:autoSpaceDE w:val="0"/>
      <w:autoSpaceDN w:val="0"/>
      <w:adjustRightInd w:val="0"/>
      <w:ind w:firstLine="420" w:firstLineChars="100"/>
      <w:jc w:val="left"/>
    </w:pPr>
    <w:rPr>
      <w:rFonts w:ascii="仿宋_GB2312" w:hAnsi="Times New Roman"/>
      <w:b/>
      <w:kern w:val="0"/>
      <w:sz w:val="32"/>
      <w:szCs w:val="32"/>
    </w:rPr>
  </w:style>
  <w:style w:type="paragraph" w:styleId="25">
    <w:name w:val="Body Text Indent"/>
    <w:basedOn w:val="1"/>
    <w:link w:val="98"/>
    <w:autoRedefine/>
    <w:qFormat/>
    <w:uiPriority w:val="0"/>
    <w:pPr>
      <w:adjustRightInd w:val="0"/>
      <w:spacing w:line="360" w:lineRule="auto"/>
      <w:ind w:firstLine="490"/>
      <w:jc w:val="left"/>
    </w:pPr>
    <w:rPr>
      <w:rFonts w:ascii="宋体" w:hAnsi="宋体"/>
      <w:sz w:val="24"/>
      <w:szCs w:val="20"/>
    </w:rPr>
  </w:style>
  <w:style w:type="paragraph" w:styleId="26">
    <w:name w:val="List Number 3"/>
    <w:basedOn w:val="1"/>
    <w:autoRedefine/>
    <w:qFormat/>
    <w:uiPriority w:val="0"/>
    <w:pPr>
      <w:tabs>
        <w:tab w:val="left" w:pos="1200"/>
      </w:tabs>
      <w:ind w:left="1200" w:leftChars="400" w:hanging="360" w:hangingChars="200"/>
    </w:pPr>
  </w:style>
  <w:style w:type="paragraph" w:styleId="27">
    <w:name w:val="Block Text"/>
    <w:basedOn w:val="1"/>
    <w:autoRedefine/>
    <w:qFormat/>
    <w:uiPriority w:val="99"/>
    <w:pPr>
      <w:spacing w:after="120"/>
      <w:ind w:left="1440" w:leftChars="700" w:right="1440" w:rightChars="700"/>
    </w:pPr>
    <w:rPr>
      <w:szCs w:val="22"/>
    </w:rPr>
  </w:style>
  <w:style w:type="paragraph" w:styleId="28">
    <w:name w:val="List Bullet 2"/>
    <w:basedOn w:val="1"/>
    <w:autoRedefine/>
    <w:qFormat/>
    <w:uiPriority w:val="0"/>
    <w:pPr>
      <w:tabs>
        <w:tab w:val="left" w:pos="780"/>
      </w:tabs>
      <w:spacing w:line="360" w:lineRule="auto"/>
      <w:ind w:left="780" w:leftChars="200" w:hanging="360" w:hangingChars="200"/>
    </w:pPr>
  </w:style>
  <w:style w:type="paragraph" w:styleId="29">
    <w:name w:val="toc 5"/>
    <w:basedOn w:val="1"/>
    <w:next w:val="1"/>
    <w:autoRedefine/>
    <w:qFormat/>
    <w:uiPriority w:val="39"/>
    <w:pPr>
      <w:autoSpaceDE w:val="0"/>
      <w:autoSpaceDN w:val="0"/>
      <w:adjustRightInd w:val="0"/>
      <w:ind w:left="1680" w:leftChars="800"/>
      <w:jc w:val="left"/>
    </w:pPr>
    <w:rPr>
      <w:kern w:val="0"/>
      <w:sz w:val="20"/>
      <w:szCs w:val="20"/>
    </w:rPr>
  </w:style>
  <w:style w:type="paragraph" w:styleId="30">
    <w:name w:val="toc 3"/>
    <w:basedOn w:val="1"/>
    <w:next w:val="1"/>
    <w:autoRedefine/>
    <w:qFormat/>
    <w:uiPriority w:val="39"/>
    <w:pPr>
      <w:ind w:left="840" w:leftChars="400"/>
    </w:pPr>
  </w:style>
  <w:style w:type="paragraph" w:styleId="31">
    <w:name w:val="Plain Text"/>
    <w:basedOn w:val="1"/>
    <w:next w:val="1"/>
    <w:link w:val="99"/>
    <w:autoRedefine/>
    <w:qFormat/>
    <w:uiPriority w:val="0"/>
    <w:rPr>
      <w:rFonts w:ascii="宋体" w:hAnsi="Courier New"/>
      <w:szCs w:val="20"/>
    </w:rPr>
  </w:style>
  <w:style w:type="paragraph" w:styleId="32">
    <w:name w:val="List Number 4"/>
    <w:basedOn w:val="1"/>
    <w:autoRedefine/>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3">
    <w:name w:val="toc 8"/>
    <w:basedOn w:val="1"/>
    <w:next w:val="1"/>
    <w:autoRedefine/>
    <w:qFormat/>
    <w:uiPriority w:val="39"/>
    <w:pPr>
      <w:autoSpaceDE w:val="0"/>
      <w:autoSpaceDN w:val="0"/>
      <w:adjustRightInd w:val="0"/>
      <w:ind w:left="2940" w:leftChars="1400"/>
      <w:jc w:val="left"/>
    </w:pPr>
    <w:rPr>
      <w:kern w:val="0"/>
      <w:sz w:val="20"/>
      <w:szCs w:val="20"/>
    </w:rPr>
  </w:style>
  <w:style w:type="paragraph" w:styleId="34">
    <w:name w:val="Date"/>
    <w:basedOn w:val="1"/>
    <w:next w:val="1"/>
    <w:link w:val="100"/>
    <w:autoRedefine/>
    <w:qFormat/>
    <w:uiPriority w:val="99"/>
    <w:pPr>
      <w:spacing w:line="440" w:lineRule="exact"/>
    </w:pPr>
    <w:rPr>
      <w:spacing w:val="12"/>
      <w:sz w:val="24"/>
      <w:szCs w:val="20"/>
    </w:rPr>
  </w:style>
  <w:style w:type="paragraph" w:styleId="35">
    <w:name w:val="Body Text Indent 2"/>
    <w:basedOn w:val="1"/>
    <w:link w:val="101"/>
    <w:autoRedefine/>
    <w:qFormat/>
    <w:uiPriority w:val="0"/>
    <w:pPr>
      <w:spacing w:after="120" w:line="480" w:lineRule="auto"/>
      <w:ind w:left="420" w:leftChars="200"/>
    </w:pPr>
  </w:style>
  <w:style w:type="paragraph" w:styleId="36">
    <w:name w:val="endnote text"/>
    <w:basedOn w:val="1"/>
    <w:link w:val="102"/>
    <w:autoRedefine/>
    <w:qFormat/>
    <w:uiPriority w:val="0"/>
    <w:pPr>
      <w:spacing w:line="360" w:lineRule="auto"/>
      <w:ind w:firstLine="720" w:firstLineChars="200"/>
    </w:pPr>
    <w:rPr>
      <w:sz w:val="24"/>
    </w:rPr>
  </w:style>
  <w:style w:type="paragraph" w:styleId="37">
    <w:name w:val="Balloon Text"/>
    <w:basedOn w:val="1"/>
    <w:link w:val="103"/>
    <w:autoRedefine/>
    <w:qFormat/>
    <w:uiPriority w:val="99"/>
    <w:rPr>
      <w:sz w:val="18"/>
      <w:szCs w:val="18"/>
    </w:rPr>
  </w:style>
  <w:style w:type="paragraph" w:styleId="38">
    <w:name w:val="footer"/>
    <w:basedOn w:val="1"/>
    <w:link w:val="104"/>
    <w:autoRedefine/>
    <w:qFormat/>
    <w:uiPriority w:val="0"/>
    <w:pPr>
      <w:tabs>
        <w:tab w:val="center" w:pos="4153"/>
        <w:tab w:val="right" w:pos="8306"/>
      </w:tabs>
      <w:snapToGrid w:val="0"/>
      <w:jc w:val="left"/>
    </w:pPr>
    <w:rPr>
      <w:sz w:val="18"/>
      <w:szCs w:val="18"/>
    </w:rPr>
  </w:style>
  <w:style w:type="paragraph" w:styleId="39">
    <w:name w:val="header"/>
    <w:basedOn w:val="1"/>
    <w:link w:val="105"/>
    <w:autoRedefine/>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06"/>
    <w:autoRedefine/>
    <w:qFormat/>
    <w:uiPriority w:val="0"/>
    <w:pPr>
      <w:autoSpaceDE w:val="0"/>
      <w:autoSpaceDN w:val="0"/>
      <w:adjustRightInd w:val="0"/>
      <w:spacing w:after="600" w:line="312" w:lineRule="atLeast"/>
      <w:jc w:val="center"/>
      <w:textAlignment w:val="baseline"/>
    </w:pPr>
    <w:rPr>
      <w:rFonts w:ascii="Tahoma" w:hAnsi="Tahoma" w:eastAsia="仿宋_GB2312"/>
      <w:kern w:val="0"/>
      <w:sz w:val="24"/>
      <w:szCs w:val="20"/>
    </w:rPr>
  </w:style>
  <w:style w:type="paragraph" w:styleId="41">
    <w:name w:val="toc 1"/>
    <w:basedOn w:val="1"/>
    <w:next w:val="1"/>
    <w:autoRedefine/>
    <w:qFormat/>
    <w:uiPriority w:val="39"/>
    <w:pPr>
      <w:spacing w:line="360" w:lineRule="exact"/>
      <w:ind w:left="718" w:hanging="718" w:hangingChars="342"/>
    </w:pPr>
    <w:rPr>
      <w:rFonts w:ascii="Arial" w:hAnsi="Arial" w:eastAsia="楷体_GB2312" w:cs="Arial"/>
    </w:rPr>
  </w:style>
  <w:style w:type="paragraph" w:styleId="42">
    <w:name w:val="toc 4"/>
    <w:basedOn w:val="1"/>
    <w:next w:val="1"/>
    <w:autoRedefine/>
    <w:qFormat/>
    <w:uiPriority w:val="39"/>
    <w:pPr>
      <w:autoSpaceDE w:val="0"/>
      <w:autoSpaceDN w:val="0"/>
      <w:adjustRightInd w:val="0"/>
      <w:ind w:left="1260" w:leftChars="600"/>
      <w:jc w:val="left"/>
    </w:pPr>
    <w:rPr>
      <w:kern w:val="0"/>
      <w:sz w:val="20"/>
      <w:szCs w:val="20"/>
    </w:rPr>
  </w:style>
  <w:style w:type="paragraph" w:styleId="43">
    <w:name w:val="Subtitle"/>
    <w:basedOn w:val="1"/>
    <w:next w:val="1"/>
    <w:link w:val="107"/>
    <w:autoRedefine/>
    <w:qFormat/>
    <w:uiPriority w:val="0"/>
    <w:pPr>
      <w:spacing w:before="240" w:after="60" w:line="312" w:lineRule="auto"/>
      <w:jc w:val="center"/>
      <w:outlineLvl w:val="1"/>
    </w:pPr>
    <w:rPr>
      <w:rFonts w:ascii="Cambria" w:hAnsi="Cambria"/>
      <w:b/>
      <w:bCs/>
      <w:kern w:val="28"/>
      <w:sz w:val="32"/>
      <w:szCs w:val="32"/>
    </w:rPr>
  </w:style>
  <w:style w:type="paragraph" w:styleId="44">
    <w:name w:val="List Number 5"/>
    <w:basedOn w:val="1"/>
    <w:autoRedefine/>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5">
    <w:name w:val="List"/>
    <w:basedOn w:val="1"/>
    <w:autoRedefine/>
    <w:qFormat/>
    <w:uiPriority w:val="0"/>
    <w:pPr>
      <w:ind w:left="200" w:hanging="200" w:hangingChars="200"/>
    </w:pPr>
    <w:rPr>
      <w:sz w:val="28"/>
    </w:rPr>
  </w:style>
  <w:style w:type="paragraph" w:styleId="46">
    <w:name w:val="footnote text"/>
    <w:basedOn w:val="1"/>
    <w:link w:val="108"/>
    <w:autoRedefine/>
    <w:unhideWhenUsed/>
    <w:qFormat/>
    <w:uiPriority w:val="99"/>
    <w:pPr>
      <w:snapToGrid w:val="0"/>
      <w:spacing w:line="360" w:lineRule="auto"/>
      <w:jc w:val="left"/>
    </w:pPr>
    <w:rPr>
      <w:sz w:val="18"/>
      <w:szCs w:val="18"/>
    </w:rPr>
  </w:style>
  <w:style w:type="paragraph" w:styleId="47">
    <w:name w:val="toc 6"/>
    <w:basedOn w:val="1"/>
    <w:next w:val="1"/>
    <w:autoRedefine/>
    <w:qFormat/>
    <w:uiPriority w:val="39"/>
    <w:pPr>
      <w:autoSpaceDE w:val="0"/>
      <w:autoSpaceDN w:val="0"/>
      <w:adjustRightInd w:val="0"/>
      <w:ind w:left="2100" w:leftChars="1000"/>
      <w:jc w:val="left"/>
    </w:pPr>
    <w:rPr>
      <w:kern w:val="0"/>
      <w:sz w:val="20"/>
      <w:szCs w:val="20"/>
    </w:rPr>
  </w:style>
  <w:style w:type="paragraph" w:styleId="48">
    <w:name w:val="Body Text Indent 3"/>
    <w:basedOn w:val="1"/>
    <w:link w:val="109"/>
    <w:autoRedefine/>
    <w:qFormat/>
    <w:uiPriority w:val="99"/>
    <w:pPr>
      <w:spacing w:after="120"/>
      <w:ind w:left="420" w:leftChars="200"/>
    </w:pPr>
    <w:rPr>
      <w:sz w:val="16"/>
      <w:szCs w:val="16"/>
    </w:rPr>
  </w:style>
  <w:style w:type="paragraph" w:styleId="49">
    <w:name w:val="toc 2"/>
    <w:basedOn w:val="1"/>
    <w:next w:val="1"/>
    <w:autoRedefine/>
    <w:qFormat/>
    <w:uiPriority w:val="39"/>
    <w:pPr>
      <w:ind w:left="420" w:leftChars="200"/>
    </w:pPr>
  </w:style>
  <w:style w:type="paragraph" w:styleId="50">
    <w:name w:val="toc 9"/>
    <w:basedOn w:val="1"/>
    <w:next w:val="1"/>
    <w:autoRedefine/>
    <w:qFormat/>
    <w:uiPriority w:val="39"/>
    <w:pPr>
      <w:autoSpaceDE w:val="0"/>
      <w:autoSpaceDN w:val="0"/>
      <w:adjustRightInd w:val="0"/>
      <w:ind w:left="3360" w:leftChars="1600"/>
      <w:jc w:val="left"/>
    </w:pPr>
    <w:rPr>
      <w:kern w:val="0"/>
      <w:sz w:val="20"/>
      <w:szCs w:val="20"/>
    </w:rPr>
  </w:style>
  <w:style w:type="paragraph" w:styleId="51">
    <w:name w:val="Body Text 2"/>
    <w:basedOn w:val="1"/>
    <w:link w:val="110"/>
    <w:autoRedefine/>
    <w:qFormat/>
    <w:uiPriority w:val="0"/>
    <w:pPr>
      <w:autoSpaceDE w:val="0"/>
      <w:autoSpaceDN w:val="0"/>
      <w:adjustRightInd w:val="0"/>
      <w:spacing w:after="120" w:line="480" w:lineRule="auto"/>
      <w:jc w:val="left"/>
    </w:pPr>
    <w:rPr>
      <w:kern w:val="0"/>
      <w:sz w:val="20"/>
      <w:szCs w:val="20"/>
    </w:rPr>
  </w:style>
  <w:style w:type="paragraph" w:styleId="52">
    <w:name w:val="HTML Preformatted"/>
    <w:basedOn w:val="1"/>
    <w:link w:val="111"/>
    <w:autoRedefine/>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53">
    <w:name w:val="Normal (Web)"/>
    <w:basedOn w:val="1"/>
    <w:link w:val="112"/>
    <w:autoRedefine/>
    <w:qFormat/>
    <w:uiPriority w:val="99"/>
    <w:pPr>
      <w:widowControl/>
      <w:spacing w:before="100" w:beforeAutospacing="1" w:after="100" w:afterAutospacing="1"/>
      <w:jc w:val="left"/>
    </w:pPr>
    <w:rPr>
      <w:rFonts w:ascii="宋体" w:hAnsi="宋体"/>
      <w:color w:val="000000"/>
      <w:kern w:val="0"/>
      <w:sz w:val="24"/>
    </w:rPr>
  </w:style>
  <w:style w:type="paragraph" w:styleId="54">
    <w:name w:val="index 1"/>
    <w:basedOn w:val="1"/>
    <w:next w:val="1"/>
    <w:autoRedefine/>
    <w:qFormat/>
    <w:uiPriority w:val="0"/>
    <w:pPr>
      <w:spacing w:line="220" w:lineRule="exact"/>
      <w:jc w:val="center"/>
    </w:pPr>
    <w:rPr>
      <w:rFonts w:ascii="仿宋_GB2312" w:eastAsia="仿宋_GB2312"/>
      <w:szCs w:val="21"/>
    </w:rPr>
  </w:style>
  <w:style w:type="paragraph" w:styleId="55">
    <w:name w:val="Title"/>
    <w:basedOn w:val="1"/>
    <w:next w:val="1"/>
    <w:link w:val="113"/>
    <w:autoRedefine/>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56">
    <w:name w:val="annotation subject"/>
    <w:basedOn w:val="20"/>
    <w:next w:val="20"/>
    <w:link w:val="114"/>
    <w:autoRedefine/>
    <w:qFormat/>
    <w:uiPriority w:val="0"/>
    <w:rPr>
      <w:b/>
      <w:bCs/>
    </w:rPr>
  </w:style>
  <w:style w:type="paragraph" w:styleId="57">
    <w:name w:val="Body Text First Indent 2"/>
    <w:basedOn w:val="25"/>
    <w:link w:val="115"/>
    <w:autoRedefine/>
    <w:unhideWhenUsed/>
    <w:qFormat/>
    <w:uiPriority w:val="0"/>
    <w:pPr>
      <w:adjustRightInd/>
      <w:spacing w:after="120"/>
      <w:ind w:left="420" w:leftChars="200" w:firstLine="420" w:firstLineChars="200"/>
      <w:jc w:val="both"/>
    </w:pPr>
    <w:rPr>
      <w:szCs w:val="24"/>
    </w:rPr>
  </w:style>
  <w:style w:type="table" w:styleId="59">
    <w:name w:val="Table Grid"/>
    <w:basedOn w:val="58"/>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22"/>
    <w:rPr>
      <w:rFonts w:ascii="仿宋_GB2312" w:eastAsia="仿宋_GB2312"/>
      <w:bCs/>
      <w:sz w:val="32"/>
      <w:szCs w:val="32"/>
    </w:rPr>
  </w:style>
  <w:style w:type="character" w:styleId="62">
    <w:name w:val="page number"/>
    <w:autoRedefine/>
    <w:qFormat/>
    <w:uiPriority w:val="0"/>
    <w:rPr>
      <w:szCs w:val="20"/>
    </w:rPr>
  </w:style>
  <w:style w:type="character" w:styleId="63">
    <w:name w:val="FollowedHyperlink"/>
    <w:autoRedefine/>
    <w:qFormat/>
    <w:uiPriority w:val="99"/>
    <w:rPr>
      <w:rFonts w:ascii="仿宋_GB2312" w:eastAsia="仿宋_GB2312"/>
      <w:b/>
      <w:color w:val="800080"/>
      <w:sz w:val="32"/>
      <w:szCs w:val="32"/>
      <w:u w:val="single"/>
    </w:rPr>
  </w:style>
  <w:style w:type="character" w:styleId="64">
    <w:name w:val="Emphasis"/>
    <w:autoRedefine/>
    <w:qFormat/>
    <w:uiPriority w:val="20"/>
    <w:rPr>
      <w:i/>
      <w:iCs/>
    </w:rPr>
  </w:style>
  <w:style w:type="character" w:styleId="65">
    <w:name w:val="line number"/>
    <w:autoRedefine/>
    <w:qFormat/>
    <w:uiPriority w:val="0"/>
    <w:rPr>
      <w:rFonts w:ascii="仿宋_GB2312" w:hAnsi="Tahoma" w:eastAsia="仿宋_GB2312"/>
      <w:b/>
      <w:sz w:val="32"/>
      <w:szCs w:val="32"/>
    </w:rPr>
  </w:style>
  <w:style w:type="character" w:styleId="66">
    <w:name w:val="HTML Definition"/>
    <w:autoRedefine/>
    <w:unhideWhenUsed/>
    <w:qFormat/>
    <w:uiPriority w:val="99"/>
    <w:rPr>
      <w:szCs w:val="20"/>
    </w:rPr>
  </w:style>
  <w:style w:type="character" w:styleId="67">
    <w:name w:val="HTML Typewriter"/>
    <w:autoRedefine/>
    <w:qFormat/>
    <w:uiPriority w:val="0"/>
    <w:rPr>
      <w:rFonts w:ascii="宋体" w:hAnsi="宋体" w:eastAsia="宋体" w:cs="宋体"/>
      <w:sz w:val="24"/>
      <w:szCs w:val="24"/>
    </w:rPr>
  </w:style>
  <w:style w:type="character" w:styleId="68">
    <w:name w:val="HTML Acronym"/>
    <w:autoRedefine/>
    <w:unhideWhenUsed/>
    <w:qFormat/>
    <w:uiPriority w:val="99"/>
    <w:rPr>
      <w:szCs w:val="20"/>
    </w:rPr>
  </w:style>
  <w:style w:type="character" w:styleId="69">
    <w:name w:val="HTML Variable"/>
    <w:autoRedefine/>
    <w:unhideWhenUsed/>
    <w:qFormat/>
    <w:uiPriority w:val="99"/>
    <w:rPr>
      <w:szCs w:val="20"/>
    </w:rPr>
  </w:style>
  <w:style w:type="character" w:styleId="70">
    <w:name w:val="Hyperlink"/>
    <w:autoRedefine/>
    <w:qFormat/>
    <w:uiPriority w:val="99"/>
    <w:rPr>
      <w:rFonts w:ascii="仿宋_GB2312" w:eastAsia="仿宋_GB2312"/>
      <w:color w:val="000000"/>
      <w:sz w:val="20"/>
      <w:szCs w:val="20"/>
      <w:u w:val="none"/>
    </w:rPr>
  </w:style>
  <w:style w:type="character" w:styleId="71">
    <w:name w:val="HTML Code"/>
    <w:autoRedefine/>
    <w:unhideWhenUsed/>
    <w:qFormat/>
    <w:uiPriority w:val="99"/>
    <w:rPr>
      <w:rFonts w:hint="eastAsia" w:ascii="微软雅黑" w:hAnsi="微软雅黑" w:eastAsia="微软雅黑" w:cs="微软雅黑"/>
      <w:sz w:val="20"/>
      <w:szCs w:val="20"/>
    </w:rPr>
  </w:style>
  <w:style w:type="character" w:styleId="72">
    <w:name w:val="annotation reference"/>
    <w:autoRedefine/>
    <w:qFormat/>
    <w:uiPriority w:val="0"/>
    <w:rPr>
      <w:sz w:val="21"/>
      <w:szCs w:val="21"/>
    </w:rPr>
  </w:style>
  <w:style w:type="character" w:styleId="73">
    <w:name w:val="HTML Cite"/>
    <w:autoRedefine/>
    <w:qFormat/>
    <w:uiPriority w:val="0"/>
    <w:rPr>
      <w:color w:val="008000"/>
    </w:rPr>
  </w:style>
  <w:style w:type="character" w:styleId="74">
    <w:name w:val="footnote reference"/>
    <w:autoRedefine/>
    <w:qFormat/>
    <w:uiPriority w:val="99"/>
    <w:rPr>
      <w:vertAlign w:val="superscript"/>
    </w:rPr>
  </w:style>
  <w:style w:type="character" w:styleId="75">
    <w:name w:val="HTML Keyboard"/>
    <w:autoRedefine/>
    <w:unhideWhenUsed/>
    <w:qFormat/>
    <w:uiPriority w:val="99"/>
    <w:rPr>
      <w:rFonts w:hint="eastAsia" w:ascii="微软雅黑" w:hAnsi="微软雅黑" w:eastAsia="微软雅黑" w:cs="微软雅黑"/>
      <w:sz w:val="20"/>
      <w:szCs w:val="20"/>
    </w:rPr>
  </w:style>
  <w:style w:type="character" w:styleId="76">
    <w:name w:val="HTML Sample"/>
    <w:autoRedefine/>
    <w:unhideWhenUsed/>
    <w:qFormat/>
    <w:uiPriority w:val="0"/>
    <w:rPr>
      <w:rFonts w:hint="eastAsia" w:ascii="微软雅黑" w:hAnsi="微软雅黑" w:eastAsia="微软雅黑" w:cs="微软雅黑"/>
      <w:szCs w:val="20"/>
    </w:rPr>
  </w:style>
  <w:style w:type="paragraph" w:customStyle="1" w:styleId="77">
    <w:name w:val="Body Text First Indent1"/>
    <w:basedOn w:val="23"/>
    <w:next w:val="47"/>
    <w:autoRedefine/>
    <w:qFormat/>
    <w:uiPriority w:val="0"/>
    <w:pPr>
      <w:ind w:firstLine="420" w:firstLineChars="100"/>
    </w:pPr>
    <w:rPr>
      <w:rFonts w:ascii="Calibri" w:hAnsi="Calibri" w:cs="Calibri"/>
      <w:szCs w:val="21"/>
    </w:rPr>
  </w:style>
  <w:style w:type="paragraph" w:customStyle="1" w:styleId="78">
    <w:name w:val="Fließtext"/>
    <w:basedOn w:val="1"/>
    <w:autoRedefine/>
    <w:qFormat/>
    <w:uiPriority w:val="0"/>
    <w:pPr>
      <w:overflowPunct w:val="0"/>
      <w:autoSpaceDE w:val="0"/>
      <w:autoSpaceDN w:val="0"/>
      <w:textAlignment w:val="baseline"/>
    </w:pPr>
    <w:rPr>
      <w:rFonts w:cs="宋体"/>
      <w:kern w:val="28"/>
      <w:szCs w:val="20"/>
    </w:rPr>
  </w:style>
  <w:style w:type="character" w:customStyle="1" w:styleId="79">
    <w:name w:val="宏文本 字符"/>
    <w:link w:val="3"/>
    <w:autoRedefine/>
    <w:qFormat/>
    <w:uiPriority w:val="0"/>
    <w:rPr>
      <w:rFonts w:ascii="Courier New" w:hAnsi="Courier New"/>
      <w:kern w:val="2"/>
      <w:sz w:val="24"/>
      <w:szCs w:val="24"/>
      <w:lang w:val="en-US" w:eastAsia="zh-CN" w:bidi="ar-SA"/>
    </w:rPr>
  </w:style>
  <w:style w:type="character" w:customStyle="1" w:styleId="80">
    <w:name w:val="标题 1 字符"/>
    <w:link w:val="4"/>
    <w:autoRedefine/>
    <w:qFormat/>
    <w:uiPriority w:val="0"/>
    <w:rPr>
      <w:rFonts w:ascii="楷体_GB2312" w:hAnsi="Tahoma" w:eastAsia="楷体_GB2312"/>
      <w:b/>
      <w:bCs/>
      <w:kern w:val="2"/>
      <w:sz w:val="21"/>
      <w:szCs w:val="24"/>
    </w:rPr>
  </w:style>
  <w:style w:type="character" w:customStyle="1" w:styleId="81">
    <w:name w:val="标题 2 字符"/>
    <w:link w:val="5"/>
    <w:autoRedefine/>
    <w:qFormat/>
    <w:uiPriority w:val="0"/>
    <w:rPr>
      <w:rFonts w:ascii="Arial" w:hAnsi="Arial" w:eastAsia="黑体"/>
      <w:b/>
      <w:bCs/>
      <w:kern w:val="2"/>
      <w:sz w:val="32"/>
      <w:szCs w:val="32"/>
    </w:rPr>
  </w:style>
  <w:style w:type="character" w:customStyle="1" w:styleId="82">
    <w:name w:val="标题 3 字符"/>
    <w:link w:val="6"/>
    <w:autoRedefine/>
    <w:qFormat/>
    <w:uiPriority w:val="0"/>
    <w:rPr>
      <w:b/>
      <w:bCs/>
      <w:kern w:val="2"/>
      <w:sz w:val="32"/>
      <w:szCs w:val="32"/>
    </w:rPr>
  </w:style>
  <w:style w:type="character" w:customStyle="1" w:styleId="83">
    <w:name w:val="标题 4 字符"/>
    <w:link w:val="7"/>
    <w:autoRedefine/>
    <w:qFormat/>
    <w:uiPriority w:val="0"/>
    <w:rPr>
      <w:rFonts w:ascii="Cambria" w:hAnsi="Cambria"/>
      <w:b/>
      <w:bCs/>
      <w:kern w:val="2"/>
      <w:sz w:val="28"/>
      <w:szCs w:val="28"/>
    </w:rPr>
  </w:style>
  <w:style w:type="character" w:customStyle="1" w:styleId="84">
    <w:name w:val="标题 5 字符"/>
    <w:link w:val="8"/>
    <w:autoRedefine/>
    <w:qFormat/>
    <w:uiPriority w:val="0"/>
    <w:rPr>
      <w:rFonts w:ascii="仿宋_GB2312" w:hAnsi="Tahoma"/>
      <w:b/>
      <w:bCs/>
      <w:kern w:val="2"/>
      <w:sz w:val="28"/>
      <w:szCs w:val="28"/>
    </w:rPr>
  </w:style>
  <w:style w:type="character" w:customStyle="1" w:styleId="85">
    <w:name w:val="标题 6 字符1"/>
    <w:link w:val="9"/>
    <w:autoRedefine/>
    <w:qFormat/>
    <w:uiPriority w:val="0"/>
    <w:rPr>
      <w:rFonts w:ascii="Arial" w:hAnsi="Arial" w:eastAsia="黑体"/>
      <w:b/>
      <w:bCs/>
      <w:kern w:val="2"/>
      <w:sz w:val="24"/>
      <w:szCs w:val="24"/>
    </w:rPr>
  </w:style>
  <w:style w:type="character" w:customStyle="1" w:styleId="86">
    <w:name w:val="标题 7 字符"/>
    <w:link w:val="10"/>
    <w:autoRedefine/>
    <w:qFormat/>
    <w:uiPriority w:val="0"/>
    <w:rPr>
      <w:rFonts w:ascii="Arial" w:hAnsi="Arial" w:eastAsia="黑体"/>
      <w:b/>
      <w:sz w:val="21"/>
      <w:szCs w:val="21"/>
    </w:rPr>
  </w:style>
  <w:style w:type="character" w:customStyle="1" w:styleId="87">
    <w:name w:val="标题 8 字符"/>
    <w:link w:val="11"/>
    <w:autoRedefine/>
    <w:qFormat/>
    <w:uiPriority w:val="0"/>
    <w:rPr>
      <w:rFonts w:ascii="Arial" w:hAnsi="Arial" w:eastAsia="黑体"/>
      <w:b/>
      <w:sz w:val="24"/>
      <w:szCs w:val="32"/>
    </w:rPr>
  </w:style>
  <w:style w:type="character" w:customStyle="1" w:styleId="88">
    <w:name w:val="标题 9 字符"/>
    <w:link w:val="12"/>
    <w:autoRedefine/>
    <w:qFormat/>
    <w:uiPriority w:val="0"/>
    <w:rPr>
      <w:rFonts w:ascii="Arial" w:hAnsi="Arial" w:eastAsia="黑体"/>
      <w:b/>
      <w:sz w:val="21"/>
      <w:szCs w:val="32"/>
    </w:rPr>
  </w:style>
  <w:style w:type="character" w:customStyle="1" w:styleId="89">
    <w:name w:val="注释标题 字符"/>
    <w:link w:val="14"/>
    <w:autoRedefine/>
    <w:qFormat/>
    <w:uiPriority w:val="0"/>
    <w:rPr>
      <w:rFonts w:eastAsia="黑体"/>
      <w:kern w:val="2"/>
      <w:sz w:val="28"/>
    </w:rPr>
  </w:style>
  <w:style w:type="character" w:customStyle="1" w:styleId="90">
    <w:name w:val="正文缩进 字符1"/>
    <w:link w:val="16"/>
    <w:autoRedefine/>
    <w:qFormat/>
    <w:uiPriority w:val="0"/>
    <w:rPr>
      <w:rFonts w:eastAsia="宋体"/>
      <w:sz w:val="21"/>
      <w:lang w:val="en-US" w:eastAsia="zh-CN" w:bidi="ar-SA"/>
    </w:rPr>
  </w:style>
  <w:style w:type="character" w:customStyle="1" w:styleId="91">
    <w:name w:val="题注 字符"/>
    <w:link w:val="17"/>
    <w:autoRedefine/>
    <w:qFormat/>
    <w:uiPriority w:val="0"/>
    <w:rPr>
      <w:rFonts w:ascii="Arial" w:hAnsi="Arial" w:eastAsia="黑体" w:cs="Arial"/>
    </w:rPr>
  </w:style>
  <w:style w:type="character" w:customStyle="1" w:styleId="92">
    <w:name w:val="文档结构图 字符"/>
    <w:link w:val="19"/>
    <w:autoRedefine/>
    <w:qFormat/>
    <w:uiPriority w:val="0"/>
    <w:rPr>
      <w:kern w:val="2"/>
      <w:sz w:val="21"/>
      <w:szCs w:val="24"/>
      <w:shd w:val="clear" w:color="auto" w:fill="000080"/>
    </w:rPr>
  </w:style>
  <w:style w:type="character" w:customStyle="1" w:styleId="93">
    <w:name w:val="批注文字 字符1"/>
    <w:link w:val="20"/>
    <w:autoRedefine/>
    <w:qFormat/>
    <w:uiPriority w:val="0"/>
    <w:rPr>
      <w:kern w:val="2"/>
      <w:sz w:val="21"/>
      <w:szCs w:val="24"/>
    </w:rPr>
  </w:style>
  <w:style w:type="character" w:customStyle="1" w:styleId="94">
    <w:name w:val="称呼 字符"/>
    <w:link w:val="21"/>
    <w:autoRedefine/>
    <w:qFormat/>
    <w:uiPriority w:val="0"/>
    <w:rPr>
      <w:szCs w:val="20"/>
    </w:rPr>
  </w:style>
  <w:style w:type="character" w:customStyle="1" w:styleId="95">
    <w:name w:val="正文文本 3 字符"/>
    <w:link w:val="22"/>
    <w:autoRedefine/>
    <w:qFormat/>
    <w:uiPriority w:val="0"/>
    <w:rPr>
      <w:szCs w:val="20"/>
    </w:rPr>
  </w:style>
  <w:style w:type="character" w:customStyle="1" w:styleId="96">
    <w:name w:val="正文文本 字符1"/>
    <w:link w:val="23"/>
    <w:autoRedefine/>
    <w:qFormat/>
    <w:uiPriority w:val="0"/>
    <w:rPr>
      <w:rFonts w:ascii="Tahoma" w:hAnsi="Tahoma"/>
      <w:kern w:val="2"/>
      <w:sz w:val="21"/>
      <w:szCs w:val="24"/>
    </w:rPr>
  </w:style>
  <w:style w:type="character" w:customStyle="1" w:styleId="97">
    <w:name w:val="正文文本首行缩进 字符"/>
    <w:link w:val="24"/>
    <w:autoRedefine/>
    <w:qFormat/>
    <w:uiPriority w:val="0"/>
    <w:rPr>
      <w:rFonts w:ascii="仿宋_GB2312"/>
      <w:b/>
      <w:sz w:val="32"/>
      <w:szCs w:val="32"/>
    </w:rPr>
  </w:style>
  <w:style w:type="character" w:customStyle="1" w:styleId="98">
    <w:name w:val="正文文本缩进 字符"/>
    <w:link w:val="25"/>
    <w:autoRedefine/>
    <w:qFormat/>
    <w:uiPriority w:val="0"/>
    <w:rPr>
      <w:rFonts w:ascii="宋体" w:hAnsi="宋体"/>
      <w:kern w:val="2"/>
      <w:sz w:val="24"/>
    </w:rPr>
  </w:style>
  <w:style w:type="character" w:customStyle="1" w:styleId="99">
    <w:name w:val="纯文本 字符"/>
    <w:link w:val="31"/>
    <w:autoRedefine/>
    <w:qFormat/>
    <w:uiPriority w:val="0"/>
    <w:rPr>
      <w:rFonts w:ascii="宋体" w:hAnsi="Courier New" w:eastAsia="宋体"/>
      <w:kern w:val="2"/>
      <w:sz w:val="21"/>
      <w:lang w:val="en-US" w:eastAsia="zh-CN" w:bidi="ar-SA"/>
    </w:rPr>
  </w:style>
  <w:style w:type="character" w:customStyle="1" w:styleId="100">
    <w:name w:val="日期 字符"/>
    <w:link w:val="34"/>
    <w:autoRedefine/>
    <w:qFormat/>
    <w:uiPriority w:val="99"/>
    <w:rPr>
      <w:spacing w:val="12"/>
      <w:kern w:val="2"/>
      <w:sz w:val="24"/>
    </w:rPr>
  </w:style>
  <w:style w:type="character" w:customStyle="1" w:styleId="101">
    <w:name w:val="正文文本缩进 2 字符"/>
    <w:link w:val="35"/>
    <w:autoRedefine/>
    <w:qFormat/>
    <w:uiPriority w:val="0"/>
    <w:rPr>
      <w:kern w:val="2"/>
      <w:sz w:val="21"/>
      <w:szCs w:val="24"/>
    </w:rPr>
  </w:style>
  <w:style w:type="character" w:customStyle="1" w:styleId="102">
    <w:name w:val="尾注文本 字符"/>
    <w:link w:val="36"/>
    <w:autoRedefine/>
    <w:qFormat/>
    <w:uiPriority w:val="0"/>
    <w:rPr>
      <w:kern w:val="2"/>
      <w:sz w:val="24"/>
      <w:szCs w:val="24"/>
    </w:rPr>
  </w:style>
  <w:style w:type="character" w:customStyle="1" w:styleId="103">
    <w:name w:val="批注框文本 字符"/>
    <w:link w:val="37"/>
    <w:autoRedefine/>
    <w:qFormat/>
    <w:uiPriority w:val="99"/>
    <w:rPr>
      <w:kern w:val="2"/>
      <w:sz w:val="18"/>
      <w:szCs w:val="18"/>
    </w:rPr>
  </w:style>
  <w:style w:type="character" w:customStyle="1" w:styleId="104">
    <w:name w:val="页脚 字符"/>
    <w:link w:val="38"/>
    <w:autoRedefine/>
    <w:qFormat/>
    <w:uiPriority w:val="0"/>
    <w:rPr>
      <w:kern w:val="2"/>
      <w:sz w:val="18"/>
      <w:szCs w:val="18"/>
    </w:rPr>
  </w:style>
  <w:style w:type="character" w:customStyle="1" w:styleId="105">
    <w:name w:val="页眉 字符"/>
    <w:link w:val="39"/>
    <w:autoRedefine/>
    <w:qFormat/>
    <w:uiPriority w:val="0"/>
    <w:rPr>
      <w:kern w:val="2"/>
      <w:sz w:val="18"/>
      <w:szCs w:val="18"/>
    </w:rPr>
  </w:style>
  <w:style w:type="character" w:customStyle="1" w:styleId="106">
    <w:name w:val="签名 字符"/>
    <w:link w:val="40"/>
    <w:autoRedefine/>
    <w:qFormat/>
    <w:uiPriority w:val="0"/>
    <w:rPr>
      <w:rFonts w:ascii="Tahoma" w:hAnsi="Tahoma" w:eastAsia="仿宋_GB2312"/>
      <w:sz w:val="24"/>
      <w:szCs w:val="20"/>
    </w:rPr>
  </w:style>
  <w:style w:type="character" w:customStyle="1" w:styleId="107">
    <w:name w:val="副标题 字符"/>
    <w:link w:val="43"/>
    <w:autoRedefine/>
    <w:qFormat/>
    <w:uiPriority w:val="0"/>
    <w:rPr>
      <w:rFonts w:ascii="Cambria" w:hAnsi="Cambria"/>
      <w:b/>
      <w:bCs/>
      <w:kern w:val="28"/>
      <w:sz w:val="32"/>
      <w:szCs w:val="32"/>
    </w:rPr>
  </w:style>
  <w:style w:type="character" w:customStyle="1" w:styleId="108">
    <w:name w:val="脚注文本 字符"/>
    <w:link w:val="46"/>
    <w:autoRedefine/>
    <w:qFormat/>
    <w:uiPriority w:val="99"/>
    <w:rPr>
      <w:kern w:val="2"/>
      <w:sz w:val="18"/>
      <w:szCs w:val="18"/>
    </w:rPr>
  </w:style>
  <w:style w:type="character" w:customStyle="1" w:styleId="109">
    <w:name w:val="正文文本缩进 3 字符"/>
    <w:link w:val="48"/>
    <w:autoRedefine/>
    <w:qFormat/>
    <w:uiPriority w:val="99"/>
    <w:rPr>
      <w:kern w:val="2"/>
      <w:sz w:val="16"/>
      <w:szCs w:val="16"/>
    </w:rPr>
  </w:style>
  <w:style w:type="character" w:customStyle="1" w:styleId="110">
    <w:name w:val="正文文本 2 字符"/>
    <w:link w:val="51"/>
    <w:autoRedefine/>
    <w:qFormat/>
    <w:uiPriority w:val="0"/>
    <w:rPr>
      <w:szCs w:val="20"/>
    </w:rPr>
  </w:style>
  <w:style w:type="character" w:customStyle="1" w:styleId="111">
    <w:name w:val="HTML 预设格式 字符"/>
    <w:link w:val="52"/>
    <w:autoRedefine/>
    <w:qFormat/>
    <w:uiPriority w:val="0"/>
    <w:rPr>
      <w:rFonts w:ascii="微软雅黑" w:hAnsi="微软雅黑" w:eastAsia="微软雅黑"/>
      <w:sz w:val="24"/>
      <w:szCs w:val="24"/>
    </w:rPr>
  </w:style>
  <w:style w:type="character" w:customStyle="1" w:styleId="112">
    <w:name w:val="普通(网站) 字符"/>
    <w:link w:val="53"/>
    <w:autoRedefine/>
    <w:qFormat/>
    <w:uiPriority w:val="99"/>
    <w:rPr>
      <w:rFonts w:ascii="宋体" w:hAnsi="宋体"/>
      <w:color w:val="000000"/>
      <w:sz w:val="24"/>
      <w:szCs w:val="24"/>
    </w:rPr>
  </w:style>
  <w:style w:type="character" w:customStyle="1" w:styleId="113">
    <w:name w:val="标题 字符"/>
    <w:link w:val="55"/>
    <w:autoRedefine/>
    <w:qFormat/>
    <w:uiPriority w:val="0"/>
    <w:rPr>
      <w:rFonts w:ascii="Cambria" w:hAnsi="Cambria"/>
      <w:b/>
      <w:bCs/>
      <w:sz w:val="32"/>
      <w:szCs w:val="32"/>
    </w:rPr>
  </w:style>
  <w:style w:type="character" w:customStyle="1" w:styleId="114">
    <w:name w:val="批注主题 字符"/>
    <w:link w:val="56"/>
    <w:autoRedefine/>
    <w:qFormat/>
    <w:uiPriority w:val="0"/>
    <w:rPr>
      <w:b/>
      <w:bCs/>
      <w:kern w:val="2"/>
      <w:sz w:val="21"/>
      <w:szCs w:val="24"/>
    </w:rPr>
  </w:style>
  <w:style w:type="character" w:customStyle="1" w:styleId="115">
    <w:name w:val="正文文本首行缩进 2 字符"/>
    <w:link w:val="57"/>
    <w:autoRedefine/>
    <w:qFormat/>
    <w:uiPriority w:val="0"/>
    <w:rPr>
      <w:rFonts w:ascii="宋体" w:hAnsi="宋体"/>
      <w:kern w:val="2"/>
      <w:sz w:val="24"/>
      <w:szCs w:val="24"/>
    </w:rPr>
  </w:style>
  <w:style w:type="character" w:customStyle="1" w:styleId="116">
    <w:name w:val="标题 Char"/>
    <w:autoRedefine/>
    <w:qFormat/>
    <w:uiPriority w:val="0"/>
    <w:rPr>
      <w:rFonts w:ascii="宋体,Verdana,Arial" w:hAnsi="宋体,Verdana,Arial" w:eastAsia="Cambria"/>
      <w:b/>
      <w:bCs/>
      <w:sz w:val="32"/>
      <w:szCs w:val="32"/>
    </w:rPr>
  </w:style>
  <w:style w:type="character" w:customStyle="1" w:styleId="117">
    <w:name w:val="正文居中 Char Char"/>
    <w:autoRedefine/>
    <w:qFormat/>
    <w:uiPriority w:val="0"/>
    <w:rPr>
      <w:kern w:val="2"/>
      <w:sz w:val="21"/>
      <w:szCs w:val="24"/>
    </w:rPr>
  </w:style>
  <w:style w:type="character" w:customStyle="1" w:styleId="118">
    <w:name w:val="样式1 Char"/>
    <w:link w:val="119"/>
    <w:autoRedefine/>
    <w:qFormat/>
    <w:uiPriority w:val="0"/>
    <w:rPr>
      <w:rFonts w:ascii="宋体" w:hAnsi="宋体"/>
      <w:kern w:val="2"/>
      <w:sz w:val="21"/>
      <w:szCs w:val="21"/>
    </w:rPr>
  </w:style>
  <w:style w:type="paragraph" w:customStyle="1" w:styleId="119">
    <w:name w:val="样式1"/>
    <w:basedOn w:val="1"/>
    <w:next w:val="7"/>
    <w:link w:val="118"/>
    <w:autoRedefine/>
    <w:qFormat/>
    <w:uiPriority w:val="0"/>
    <w:pPr>
      <w:spacing w:line="360" w:lineRule="auto"/>
      <w:ind w:firstLine="420" w:firstLineChars="200"/>
    </w:pPr>
    <w:rPr>
      <w:rFonts w:ascii="宋体" w:hAnsi="宋体"/>
      <w:szCs w:val="21"/>
    </w:rPr>
  </w:style>
  <w:style w:type="character" w:customStyle="1" w:styleId="120">
    <w:name w:val="font21"/>
    <w:autoRedefine/>
    <w:qFormat/>
    <w:uiPriority w:val="0"/>
    <w:rPr>
      <w:rFonts w:hint="default" w:ascii="Times New Roman" w:hAnsi="Times New Roman" w:cs="Times New Roman"/>
      <w:color w:val="000000"/>
      <w:sz w:val="20"/>
      <w:szCs w:val="20"/>
      <w:u w:val="none"/>
    </w:rPr>
  </w:style>
  <w:style w:type="character" w:customStyle="1" w:styleId="121">
    <w:name w:val="正文首行缩进 2 Char3"/>
    <w:autoRedefine/>
    <w:semiHidden/>
    <w:qFormat/>
    <w:uiPriority w:val="99"/>
  </w:style>
  <w:style w:type="character" w:customStyle="1" w:styleId="122">
    <w:name w:val="正文文本缩进 Char1"/>
    <w:autoRedefine/>
    <w:semiHidden/>
    <w:qFormat/>
    <w:uiPriority w:val="99"/>
    <w:rPr>
      <w:kern w:val="2"/>
      <w:sz w:val="21"/>
      <w:szCs w:val="24"/>
    </w:rPr>
  </w:style>
  <w:style w:type="character" w:customStyle="1" w:styleId="123">
    <w:name w:val="正文缩进 字符"/>
    <w:autoRedefine/>
    <w:qFormat/>
    <w:uiPriority w:val="0"/>
    <w:rPr>
      <w:rFonts w:eastAsia="宋体"/>
      <w:sz w:val="21"/>
      <w:lang w:val="en-US" w:eastAsia="zh-CN" w:bidi="ar-SA"/>
    </w:rPr>
  </w:style>
  <w:style w:type="character" w:customStyle="1" w:styleId="124">
    <w:name w:val="Char Char Char Char Char Char Char Char Char"/>
    <w:autoRedefine/>
    <w:qFormat/>
    <w:uiPriority w:val="0"/>
    <w:rPr>
      <w:rFonts w:ascii="宋体" w:hAnsi="Courier New" w:eastAsia="宋体"/>
      <w:b/>
      <w:sz w:val="21"/>
      <w:szCs w:val="21"/>
      <w:lang w:val="en-US" w:eastAsia="zh-CN" w:bidi="ar-SA"/>
    </w:rPr>
  </w:style>
  <w:style w:type="character" w:customStyle="1" w:styleId="125">
    <w:name w:val="pages"/>
    <w:qFormat/>
    <w:uiPriority w:val="0"/>
    <w:rPr>
      <w:color w:val="999999"/>
      <w:szCs w:val="20"/>
    </w:rPr>
  </w:style>
  <w:style w:type="character" w:customStyle="1" w:styleId="126">
    <w:name w:val="update"/>
    <w:autoRedefine/>
    <w:qFormat/>
    <w:uiPriority w:val="0"/>
    <w:rPr>
      <w:szCs w:val="20"/>
    </w:rPr>
  </w:style>
  <w:style w:type="character" w:customStyle="1" w:styleId="127">
    <w:name w:val="Char Char19"/>
    <w:autoRedefine/>
    <w:qFormat/>
    <w:uiPriority w:val="0"/>
    <w:rPr>
      <w:rFonts w:ascii="Cambria" w:hAnsi="Cambria" w:eastAsia="仿宋_GB2312"/>
      <w:b/>
      <w:bCs/>
      <w:kern w:val="2"/>
      <w:sz w:val="32"/>
      <w:szCs w:val="32"/>
    </w:rPr>
  </w:style>
  <w:style w:type="character" w:customStyle="1" w:styleId="128">
    <w:name w:val="批注文字 字符"/>
    <w:qFormat/>
    <w:uiPriority w:val="0"/>
    <w:rPr>
      <w:rFonts w:eastAsia="宋体"/>
      <w:kern w:val="2"/>
      <w:sz w:val="36"/>
      <w:szCs w:val="24"/>
      <w:lang w:val="en-US" w:eastAsia="zh-CN" w:bidi="ar-SA"/>
    </w:rPr>
  </w:style>
  <w:style w:type="character" w:customStyle="1" w:styleId="129">
    <w:name w:val="Footer-Even Char"/>
    <w:autoRedefine/>
    <w:qFormat/>
    <w:uiPriority w:val="0"/>
    <w:rPr>
      <w:rFonts w:ascii="仿宋_GB2312" w:eastAsia="仿宋_GB2312"/>
      <w:b/>
      <w:sz w:val="18"/>
      <w:szCs w:val="18"/>
    </w:rPr>
  </w:style>
  <w:style w:type="character" w:customStyle="1" w:styleId="130">
    <w:name w:val="fr"/>
    <w:autoRedefine/>
    <w:qFormat/>
    <w:uiPriority w:val="0"/>
    <w:rPr>
      <w:szCs w:val="20"/>
    </w:rPr>
  </w:style>
  <w:style w:type="character" w:customStyle="1" w:styleId="131">
    <w:name w:val="style21"/>
    <w:autoRedefine/>
    <w:qFormat/>
    <w:uiPriority w:val="0"/>
    <w:rPr>
      <w:rFonts w:ascii="仿宋_GB2312" w:eastAsia="仿宋_GB2312"/>
      <w:b/>
      <w:sz w:val="15"/>
      <w:szCs w:val="15"/>
    </w:rPr>
  </w:style>
  <w:style w:type="character" w:customStyle="1" w:styleId="132">
    <w:name w:val="正文2 Char"/>
    <w:link w:val="133"/>
    <w:autoRedefine/>
    <w:qFormat/>
    <w:uiPriority w:val="0"/>
    <w:rPr>
      <w:sz w:val="24"/>
    </w:rPr>
  </w:style>
  <w:style w:type="paragraph" w:customStyle="1" w:styleId="133">
    <w:name w:val="正文2"/>
    <w:basedOn w:val="1"/>
    <w:link w:val="132"/>
    <w:qFormat/>
    <w:uiPriority w:val="0"/>
    <w:pPr>
      <w:autoSpaceDE w:val="0"/>
      <w:autoSpaceDN w:val="0"/>
      <w:adjustRightInd w:val="0"/>
      <w:spacing w:before="156" w:line="360" w:lineRule="auto"/>
      <w:ind w:firstLine="510" w:firstLineChars="200"/>
      <w:jc w:val="left"/>
    </w:pPr>
    <w:rPr>
      <w:kern w:val="0"/>
      <w:sz w:val="24"/>
      <w:szCs w:val="20"/>
    </w:rPr>
  </w:style>
  <w:style w:type="character" w:customStyle="1" w:styleId="134">
    <w:name w:val="doc1"/>
    <w:autoRedefine/>
    <w:qFormat/>
    <w:uiPriority w:val="0"/>
    <w:rPr>
      <w:szCs w:val="20"/>
    </w:rPr>
  </w:style>
  <w:style w:type="character" w:customStyle="1" w:styleId="135">
    <w:name w:val="heading 5 Char2"/>
    <w:autoRedefine/>
    <w:qFormat/>
    <w:uiPriority w:val="0"/>
    <w:rPr>
      <w:rFonts w:ascii="仿宋_GB2312" w:eastAsia="仿宋_GB2312"/>
      <w:b/>
      <w:bCs/>
      <w:kern w:val="2"/>
      <w:sz w:val="28"/>
      <w:szCs w:val="28"/>
    </w:rPr>
  </w:style>
  <w:style w:type="character" w:customStyle="1" w:styleId="136">
    <w:name w:val="标题 4 Char1"/>
    <w:autoRedefine/>
    <w:qFormat/>
    <w:uiPriority w:val="0"/>
    <w:rPr>
      <w:rFonts w:ascii="Cambria" w:hAnsi="Cambria"/>
      <w:b/>
      <w:bCs/>
      <w:kern w:val="2"/>
      <w:sz w:val="28"/>
      <w:szCs w:val="28"/>
    </w:rPr>
  </w:style>
  <w:style w:type="character" w:customStyle="1" w:styleId="137">
    <w:name w:val="pt141"/>
    <w:qFormat/>
    <w:uiPriority w:val="0"/>
    <w:rPr>
      <w:rFonts w:ascii="仿宋_GB2312" w:eastAsia="仿宋_GB2312"/>
      <w:b/>
      <w:color w:val="330066"/>
      <w:spacing w:val="450"/>
      <w:sz w:val="22"/>
      <w:szCs w:val="22"/>
    </w:rPr>
  </w:style>
  <w:style w:type="character" w:customStyle="1" w:styleId="138">
    <w:name w:val="authcode"/>
    <w:qFormat/>
    <w:uiPriority w:val="0"/>
    <w:rPr>
      <w:szCs w:val="20"/>
    </w:rPr>
  </w:style>
  <w:style w:type="character" w:customStyle="1" w:styleId="139">
    <w:name w:val="样式2 Char"/>
    <w:autoRedefine/>
    <w:qFormat/>
    <w:uiPriority w:val="0"/>
    <w:rPr>
      <w:rFonts w:ascii="Arial" w:hAnsi="Arial" w:eastAsia="黑体"/>
      <w:b/>
      <w:bCs/>
      <w:sz w:val="36"/>
      <w:szCs w:val="32"/>
    </w:rPr>
  </w:style>
  <w:style w:type="character" w:customStyle="1" w:styleId="140">
    <w:name w:val="题注 Char"/>
    <w:qFormat/>
    <w:uiPriority w:val="0"/>
    <w:rPr>
      <w:rFonts w:ascii="Arial" w:hAnsi="Arial" w:eastAsia="黑体" w:cs="Arial"/>
    </w:rPr>
  </w:style>
  <w:style w:type="character" w:customStyle="1" w:styleId="141">
    <w:name w:val="heading 4 Char1"/>
    <w:qFormat/>
    <w:uiPriority w:val="0"/>
    <w:rPr>
      <w:rFonts w:ascii="Cambria" w:hAnsi="Cambria" w:eastAsia="宋体"/>
      <w:b/>
      <w:bCs/>
      <w:kern w:val="2"/>
      <w:sz w:val="28"/>
      <w:szCs w:val="28"/>
      <w:lang w:val="en-US" w:eastAsia="zh-CN" w:bidi="ar-SA"/>
    </w:rPr>
  </w:style>
  <w:style w:type="character" w:customStyle="1" w:styleId="142">
    <w:name w:val="Heading 2 Hidden Char1 Char"/>
    <w:qFormat/>
    <w:uiPriority w:val="0"/>
    <w:rPr>
      <w:rFonts w:ascii="宋体" w:hAnsi="Times New Roman" w:eastAsia="宋体" w:cs="Times New Roman"/>
      <w:kern w:val="0"/>
      <w:sz w:val="24"/>
      <w:szCs w:val="24"/>
    </w:rPr>
  </w:style>
  <w:style w:type="character" w:customStyle="1" w:styleId="143">
    <w:name w:val="编号正文缩进 Char Char"/>
    <w:autoRedefine/>
    <w:qFormat/>
    <w:uiPriority w:val="0"/>
    <w:rPr>
      <w:sz w:val="24"/>
    </w:rPr>
  </w:style>
  <w:style w:type="character" w:customStyle="1" w:styleId="144">
    <w:name w:val="heading 5 Char1"/>
    <w:qFormat/>
    <w:uiPriority w:val="0"/>
    <w:rPr>
      <w:rFonts w:ascii="仿宋_GB2312" w:eastAsia="宋体"/>
      <w:b/>
      <w:bCs/>
      <w:kern w:val="2"/>
      <w:sz w:val="28"/>
      <w:szCs w:val="28"/>
      <w:lang w:val="en-US" w:eastAsia="zh-CN" w:bidi="ar-SA"/>
    </w:rPr>
  </w:style>
  <w:style w:type="character" w:customStyle="1" w:styleId="145">
    <w:name w:val="正文文本 Char Char"/>
    <w:autoRedefine/>
    <w:qFormat/>
    <w:uiPriority w:val="0"/>
    <w:rPr>
      <w:rFonts w:ascii="Times New Roman" w:hAnsi="Times New Roman"/>
      <w:kern w:val="2"/>
      <w:sz w:val="21"/>
      <w:szCs w:val="24"/>
    </w:rPr>
  </w:style>
  <w:style w:type="character" w:customStyle="1" w:styleId="146">
    <w:name w:val="Char Char20"/>
    <w:autoRedefine/>
    <w:qFormat/>
    <w:uiPriority w:val="0"/>
    <w:rPr>
      <w:rFonts w:ascii="仿宋_GB2312" w:eastAsia="仿宋_GB2312"/>
      <w:b/>
      <w:bCs/>
      <w:kern w:val="44"/>
      <w:sz w:val="44"/>
      <w:szCs w:val="44"/>
    </w:rPr>
  </w:style>
  <w:style w:type="character" w:customStyle="1" w:styleId="147">
    <w:name w:val="段落 Char"/>
    <w:link w:val="148"/>
    <w:qFormat/>
    <w:uiPriority w:val="0"/>
    <w:rPr>
      <w:kern w:val="2"/>
    </w:rPr>
  </w:style>
  <w:style w:type="paragraph" w:customStyle="1" w:styleId="148">
    <w:name w:val="段落"/>
    <w:basedOn w:val="1"/>
    <w:link w:val="147"/>
    <w:qFormat/>
    <w:uiPriority w:val="0"/>
    <w:pPr>
      <w:spacing w:line="360" w:lineRule="auto"/>
      <w:ind w:firstLine="200" w:firstLineChars="200"/>
    </w:pPr>
    <w:rPr>
      <w:sz w:val="20"/>
      <w:szCs w:val="20"/>
    </w:rPr>
  </w:style>
  <w:style w:type="character" w:customStyle="1" w:styleId="149">
    <w:name w:val="批注主题 Char"/>
    <w:autoRedefine/>
    <w:qFormat/>
    <w:uiPriority w:val="99"/>
    <w:rPr>
      <w:rFonts w:eastAsia="宋体"/>
      <w:b/>
      <w:bCs/>
      <w:kern w:val="2"/>
      <w:sz w:val="21"/>
      <w:szCs w:val="24"/>
      <w:lang w:val="en-US" w:eastAsia="zh-CN" w:bidi="ar-SA"/>
    </w:rPr>
  </w:style>
  <w:style w:type="character" w:customStyle="1" w:styleId="150">
    <w:name w:val="正文文本 3 Char"/>
    <w:qFormat/>
    <w:uiPriority w:val="0"/>
  </w:style>
  <w:style w:type="character" w:customStyle="1" w:styleId="151">
    <w:name w:val="样式 样式 正文首行缩进 + 首行缩进:  2 字符 + 首行缩进:  2 字符 Char"/>
    <w:link w:val="152"/>
    <w:autoRedefine/>
    <w:qFormat/>
    <w:uiPriority w:val="0"/>
    <w:rPr>
      <w:rFonts w:cs="宋体"/>
      <w:kern w:val="2"/>
      <w:sz w:val="24"/>
    </w:rPr>
  </w:style>
  <w:style w:type="paragraph" w:customStyle="1" w:styleId="152">
    <w:name w:val="样式 样式 正文首行缩进 + 首行缩进:  2 字符 + 首行缩进:  2 字符"/>
    <w:basedOn w:val="1"/>
    <w:link w:val="151"/>
    <w:qFormat/>
    <w:uiPriority w:val="0"/>
    <w:pPr>
      <w:spacing w:line="440" w:lineRule="exact"/>
      <w:ind w:firstLine="200" w:firstLineChars="200"/>
    </w:pPr>
    <w:rPr>
      <w:sz w:val="24"/>
      <w:szCs w:val="20"/>
    </w:rPr>
  </w:style>
  <w:style w:type="character" w:customStyle="1" w:styleId="153">
    <w:name w:val="页脚 Char"/>
    <w:autoRedefine/>
    <w:qFormat/>
    <w:uiPriority w:val="99"/>
    <w:rPr>
      <w:rFonts w:eastAsia="仿宋_GB2312"/>
      <w:kern w:val="2"/>
      <w:sz w:val="18"/>
      <w:szCs w:val="18"/>
      <w:lang w:val="en-US" w:eastAsia="zh-CN" w:bidi="ar-SA"/>
    </w:rPr>
  </w:style>
  <w:style w:type="character" w:customStyle="1" w:styleId="154">
    <w:name w:val="标题 Char1"/>
    <w:autoRedefine/>
    <w:qFormat/>
    <w:uiPriority w:val="0"/>
    <w:rPr>
      <w:rFonts w:ascii="Cambria" w:hAnsi="Cambria" w:cs="Times New Roman"/>
      <w:b/>
      <w:bCs/>
      <w:kern w:val="2"/>
      <w:sz w:val="32"/>
      <w:szCs w:val="32"/>
    </w:rPr>
  </w:style>
  <w:style w:type="character" w:customStyle="1" w:styleId="155">
    <w:name w:val="Char Char18"/>
    <w:autoRedefine/>
    <w:qFormat/>
    <w:uiPriority w:val="0"/>
    <w:rPr>
      <w:rFonts w:ascii="仿宋_GB2312" w:eastAsia="仿宋_GB2312"/>
      <w:b/>
      <w:bCs/>
      <w:kern w:val="2"/>
      <w:sz w:val="32"/>
      <w:szCs w:val="32"/>
    </w:rPr>
  </w:style>
  <w:style w:type="character" w:customStyle="1" w:styleId="156">
    <w:name w:val="表格 Char"/>
    <w:autoRedefine/>
    <w:qFormat/>
    <w:uiPriority w:val="0"/>
    <w:rPr>
      <w:rFonts w:ascii="Calibri" w:hAnsi="Calibri" w:cs="黑体"/>
      <w:kern w:val="2"/>
      <w:sz w:val="21"/>
      <w:szCs w:val="21"/>
    </w:rPr>
  </w:style>
  <w:style w:type="character" w:customStyle="1" w:styleId="157">
    <w:name w:val="样式 宋体1"/>
    <w:autoRedefine/>
    <w:qFormat/>
    <w:uiPriority w:val="0"/>
    <w:rPr>
      <w:rFonts w:ascii="宋体" w:hAnsi="宋体" w:eastAsia="宋体"/>
      <w:sz w:val="24"/>
    </w:rPr>
  </w:style>
  <w:style w:type="character" w:customStyle="1" w:styleId="158">
    <w:name w:val="引用 Char1"/>
    <w:autoRedefine/>
    <w:qFormat/>
    <w:uiPriority w:val="99"/>
    <w:rPr>
      <w:rFonts w:ascii="Tahoma" w:hAnsi="Tahoma"/>
      <w:i/>
      <w:iCs/>
      <w:color w:val="000000"/>
      <w:kern w:val="2"/>
      <w:sz w:val="21"/>
      <w:szCs w:val="24"/>
    </w:rPr>
  </w:style>
  <w:style w:type="character" w:customStyle="1" w:styleId="159">
    <w:name w:val="正文缩进 Char1"/>
    <w:autoRedefine/>
    <w:qFormat/>
    <w:uiPriority w:val="0"/>
    <w:rPr>
      <w:sz w:val="21"/>
    </w:rPr>
  </w:style>
  <w:style w:type="character" w:customStyle="1" w:styleId="160">
    <w:name w:val="普通(网站) Char"/>
    <w:autoRedefine/>
    <w:qFormat/>
    <w:uiPriority w:val="99"/>
    <w:rPr>
      <w:rFonts w:ascii="宋体" w:hAnsi="宋体"/>
      <w:color w:val="000000"/>
      <w:sz w:val="24"/>
      <w:szCs w:val="24"/>
    </w:rPr>
  </w:style>
  <w:style w:type="character" w:customStyle="1" w:styleId="161">
    <w:name w:val="Char Char17"/>
    <w:autoRedefine/>
    <w:qFormat/>
    <w:uiPriority w:val="0"/>
    <w:rPr>
      <w:rFonts w:ascii="Cambria" w:hAnsi="Cambria" w:eastAsia="仿宋_GB2312"/>
      <w:b/>
      <w:bCs/>
      <w:kern w:val="2"/>
      <w:sz w:val="28"/>
      <w:szCs w:val="28"/>
    </w:rPr>
  </w:style>
  <w:style w:type="character" w:customStyle="1" w:styleId="162">
    <w:name w:val="文档结构图 Char"/>
    <w:autoRedefine/>
    <w:qFormat/>
    <w:uiPriority w:val="99"/>
    <w:rPr>
      <w:rFonts w:eastAsia="宋体"/>
      <w:kern w:val="2"/>
      <w:sz w:val="21"/>
      <w:szCs w:val="24"/>
      <w:lang w:val="en-US" w:eastAsia="zh-CN" w:bidi="ar-SA"/>
    </w:rPr>
  </w:style>
  <w:style w:type="character" w:customStyle="1" w:styleId="163">
    <w:name w:val="表格标题 Char Char"/>
    <w:autoRedefine/>
    <w:qFormat/>
    <w:uiPriority w:val="0"/>
    <w:rPr>
      <w:rFonts w:ascii="黑体" w:hAnsi="黑体" w:eastAsia="黑体"/>
      <w:b/>
      <w:color w:val="FFFFFF"/>
      <w:kern w:val="2"/>
      <w:sz w:val="21"/>
      <w:szCs w:val="24"/>
    </w:rPr>
  </w:style>
  <w:style w:type="character" w:customStyle="1" w:styleId="164">
    <w:name w:val="heading 6 Char1"/>
    <w:qFormat/>
    <w:uiPriority w:val="0"/>
    <w:rPr>
      <w:rFonts w:ascii="Arial" w:hAnsi="Arial" w:eastAsia="黑体"/>
      <w:b/>
      <w:kern w:val="2"/>
      <w:sz w:val="24"/>
      <w:szCs w:val="24"/>
      <w:lang w:val="en-US" w:eastAsia="zh-CN" w:bidi="ar-SA"/>
    </w:rPr>
  </w:style>
  <w:style w:type="character" w:customStyle="1" w:styleId="165">
    <w:name w:val="样式2 Char Char"/>
    <w:link w:val="166"/>
    <w:autoRedefine/>
    <w:qFormat/>
    <w:uiPriority w:val="0"/>
    <w:rPr>
      <w:rFonts w:ascii="宋体" w:hAnsi="宋体"/>
      <w:b/>
      <w:bCs/>
      <w:kern w:val="2"/>
      <w:sz w:val="28"/>
      <w:szCs w:val="28"/>
    </w:rPr>
  </w:style>
  <w:style w:type="paragraph" w:customStyle="1" w:styleId="166">
    <w:name w:val="样式2"/>
    <w:basedOn w:val="5"/>
    <w:link w:val="165"/>
    <w:autoRedefine/>
    <w:qFormat/>
    <w:uiPriority w:val="0"/>
    <w:pPr>
      <w:snapToGrid w:val="0"/>
      <w:spacing w:afterLines="50" w:line="480" w:lineRule="exact"/>
      <w:ind w:firstLine="556"/>
    </w:pPr>
    <w:rPr>
      <w:rFonts w:ascii="宋体" w:hAnsi="宋体" w:eastAsia="宋体"/>
      <w:sz w:val="28"/>
      <w:szCs w:val="28"/>
    </w:rPr>
  </w:style>
  <w:style w:type="character" w:customStyle="1" w:styleId="167">
    <w:name w:val="3级 Char"/>
    <w:link w:val="168"/>
    <w:qFormat/>
    <w:uiPriority w:val="0"/>
    <w:rPr>
      <w:rFonts w:ascii="Calibri" w:hAnsi="Calibri"/>
      <w:b/>
      <w:bCs/>
      <w:sz w:val="28"/>
      <w:szCs w:val="32"/>
    </w:rPr>
  </w:style>
  <w:style w:type="paragraph" w:customStyle="1" w:styleId="168">
    <w:name w:val="3级"/>
    <w:basedOn w:val="6"/>
    <w:next w:val="24"/>
    <w:link w:val="167"/>
    <w:qFormat/>
    <w:uiPriority w:val="0"/>
    <w:pPr>
      <w:spacing w:line="416" w:lineRule="auto"/>
      <w:ind w:right="100" w:rightChars="100"/>
    </w:pPr>
    <w:rPr>
      <w:rFonts w:ascii="Calibri" w:hAnsi="Calibri"/>
      <w:kern w:val="0"/>
      <w:sz w:val="28"/>
    </w:rPr>
  </w:style>
  <w:style w:type="character" w:customStyle="1" w:styleId="169">
    <w:name w:val="正文文本缩进 3 Char"/>
    <w:qFormat/>
    <w:uiPriority w:val="99"/>
    <w:rPr>
      <w:kern w:val="2"/>
      <w:sz w:val="16"/>
      <w:szCs w:val="16"/>
    </w:rPr>
  </w:style>
  <w:style w:type="character" w:customStyle="1" w:styleId="170">
    <w:name w:val="标题 6 字符"/>
    <w:autoRedefine/>
    <w:qFormat/>
    <w:uiPriority w:val="0"/>
    <w:rPr>
      <w:rFonts w:ascii="黑体" w:hAnsi="黑体" w:eastAsia="黑体" w:cs="黑体"/>
      <w:b/>
      <w:bCs/>
      <w:kern w:val="2"/>
      <w:sz w:val="24"/>
      <w:szCs w:val="28"/>
    </w:rPr>
  </w:style>
  <w:style w:type="character" w:customStyle="1" w:styleId="171">
    <w:name w:val="Plain Text Char"/>
    <w:autoRedefine/>
    <w:qFormat/>
    <w:uiPriority w:val="0"/>
    <w:rPr>
      <w:rFonts w:ascii="宋体" w:hAnsi="Courier New" w:eastAsia="宋体" w:cs="Times New Roman"/>
      <w:sz w:val="21"/>
      <w:szCs w:val="21"/>
    </w:rPr>
  </w:style>
  <w:style w:type="character" w:customStyle="1" w:styleId="172">
    <w:name w:val="日期 Char2"/>
    <w:semiHidden/>
    <w:qFormat/>
    <w:uiPriority w:val="99"/>
    <w:rPr>
      <w:kern w:val="2"/>
      <w:sz w:val="21"/>
      <w:szCs w:val="24"/>
    </w:rPr>
  </w:style>
  <w:style w:type="character" w:customStyle="1" w:styleId="173">
    <w:name w:val="box-header-con"/>
    <w:autoRedefine/>
    <w:qFormat/>
    <w:uiPriority w:val="0"/>
  </w:style>
  <w:style w:type="character" w:customStyle="1" w:styleId="174">
    <w:name w:val="批注文字 Char1"/>
    <w:autoRedefine/>
    <w:qFormat/>
    <w:uiPriority w:val="0"/>
    <w:rPr>
      <w:kern w:val="2"/>
      <w:sz w:val="21"/>
      <w:szCs w:val="24"/>
    </w:rPr>
  </w:style>
  <w:style w:type="character" w:customStyle="1" w:styleId="175">
    <w:name w:val="Char Char6"/>
    <w:qFormat/>
    <w:uiPriority w:val="0"/>
    <w:rPr>
      <w:rFonts w:ascii="Times New Roman" w:hAnsi="Times New Roman" w:eastAsia="宋体" w:cs="Times New Roman"/>
      <w:szCs w:val="24"/>
    </w:rPr>
  </w:style>
  <w:style w:type="character" w:customStyle="1" w:styleId="176">
    <w:name w:val="样式 样式 四号 首行缩进:  0.74 厘米 行距: 1.5 倍行距 + 宋体 四号 行距: 1.5 倍行距 Char"/>
    <w:link w:val="177"/>
    <w:autoRedefine/>
    <w:qFormat/>
    <w:uiPriority w:val="0"/>
    <w:rPr>
      <w:rFonts w:ascii="宋体" w:hAnsi="宋体" w:cs="宋体"/>
      <w:kern w:val="2"/>
      <w:sz w:val="28"/>
    </w:rPr>
  </w:style>
  <w:style w:type="paragraph" w:customStyle="1" w:styleId="177">
    <w:name w:val="样式 样式 四号 首行缩进:  0.74 厘米 行距: 1.5 倍行距 + 宋体 四号 行距: 1.5 倍行距"/>
    <w:basedOn w:val="1"/>
    <w:link w:val="176"/>
    <w:autoRedefine/>
    <w:qFormat/>
    <w:uiPriority w:val="0"/>
    <w:pPr>
      <w:spacing w:line="360" w:lineRule="auto"/>
      <w:ind w:firstLine="560" w:firstLineChars="200"/>
    </w:pPr>
    <w:rPr>
      <w:rFonts w:ascii="宋体" w:hAnsi="宋体"/>
      <w:sz w:val="28"/>
      <w:szCs w:val="20"/>
    </w:rPr>
  </w:style>
  <w:style w:type="character" w:customStyle="1" w:styleId="178">
    <w:name w:val="日期 Char1"/>
    <w:autoRedefine/>
    <w:qFormat/>
    <w:uiPriority w:val="0"/>
    <w:rPr>
      <w:rFonts w:ascii="Calibri" w:hAnsi="Calibri" w:cs="黑体"/>
      <w:kern w:val="2"/>
      <w:sz w:val="24"/>
      <w:szCs w:val="22"/>
    </w:rPr>
  </w:style>
  <w:style w:type="character" w:customStyle="1" w:styleId="179">
    <w:name w:val="dandyren_title1"/>
    <w:autoRedefine/>
    <w:qFormat/>
    <w:uiPriority w:val="0"/>
    <w:rPr>
      <w:rFonts w:ascii="仿宋_GB2312" w:eastAsia="仿宋_GB2312"/>
      <w:b/>
      <w:bCs/>
      <w:color w:val="FF6633"/>
      <w:sz w:val="18"/>
      <w:szCs w:val="18"/>
    </w:rPr>
  </w:style>
  <w:style w:type="character" w:customStyle="1" w:styleId="180">
    <w:name w:val="普通文字1 Char"/>
    <w:qFormat/>
    <w:uiPriority w:val="0"/>
    <w:rPr>
      <w:rFonts w:ascii="宋体" w:hAnsi="Courier New" w:eastAsia="宋体" w:cs="Courier New"/>
      <w:kern w:val="2"/>
      <w:sz w:val="21"/>
      <w:szCs w:val="21"/>
      <w:lang w:val="en-US" w:eastAsia="zh-CN" w:bidi="ar-SA"/>
    </w:rPr>
  </w:style>
  <w:style w:type="character" w:customStyle="1" w:styleId="181">
    <w:name w:val="param_td1"/>
    <w:autoRedefine/>
    <w:qFormat/>
    <w:uiPriority w:val="0"/>
    <w:rPr>
      <w:rFonts w:ascii="仿宋_GB2312" w:hAnsi="Tahoma" w:eastAsia="仿宋_GB2312"/>
      <w:b/>
      <w:sz w:val="32"/>
      <w:szCs w:val="32"/>
    </w:rPr>
  </w:style>
  <w:style w:type="character" w:customStyle="1" w:styleId="182">
    <w:name w:val="样式4 Char"/>
    <w:link w:val="183"/>
    <w:qFormat/>
    <w:uiPriority w:val="0"/>
    <w:rPr>
      <w:rFonts w:ascii="Arial" w:hAnsi="Arial" w:eastAsia="黑体"/>
      <w:b/>
      <w:bCs/>
      <w:kern w:val="2"/>
      <w:sz w:val="24"/>
      <w:szCs w:val="28"/>
    </w:rPr>
  </w:style>
  <w:style w:type="paragraph" w:customStyle="1" w:styleId="183">
    <w:name w:val="样式4"/>
    <w:basedOn w:val="184"/>
    <w:next w:val="1"/>
    <w:link w:val="182"/>
    <w:qFormat/>
    <w:uiPriority w:val="0"/>
    <w:pPr>
      <w:numPr>
        <w:ilvl w:val="0"/>
        <w:numId w:val="0"/>
      </w:numPr>
      <w:spacing w:line="377" w:lineRule="auto"/>
      <w:ind w:left="851" w:right="0" w:rightChars="0" w:hanging="851"/>
      <w:jc w:val="both"/>
    </w:pPr>
    <w:rPr>
      <w:rFonts w:ascii="Arial" w:hAnsi="Arial" w:eastAsia="黑体"/>
      <w:kern w:val="2"/>
    </w:rPr>
  </w:style>
  <w:style w:type="paragraph" w:customStyle="1" w:styleId="184">
    <w:name w:val="4级"/>
    <w:basedOn w:val="7"/>
    <w:next w:val="57"/>
    <w:autoRedefine/>
    <w:qFormat/>
    <w:uiPriority w:val="0"/>
    <w:pPr>
      <w:keepNext w:val="0"/>
      <w:numPr>
        <w:ilvl w:val="3"/>
        <w:numId w:val="2"/>
      </w:numPr>
      <w:adjustRightInd w:val="0"/>
      <w:spacing w:beforeLines="50" w:afterLines="50" w:line="376" w:lineRule="auto"/>
      <w:ind w:right="210" w:rightChars="100"/>
      <w:jc w:val="left"/>
      <w:textAlignment w:val="baseline"/>
    </w:pPr>
    <w:rPr>
      <w:kern w:val="0"/>
      <w:sz w:val="24"/>
    </w:rPr>
  </w:style>
  <w:style w:type="character" w:customStyle="1" w:styleId="185">
    <w:name w:val="heading 1 Char1"/>
    <w:autoRedefine/>
    <w:qFormat/>
    <w:uiPriority w:val="0"/>
    <w:rPr>
      <w:rFonts w:ascii="仿宋_GB2312" w:eastAsia="宋体"/>
      <w:b/>
      <w:bCs/>
      <w:kern w:val="44"/>
      <w:sz w:val="44"/>
      <w:szCs w:val="44"/>
      <w:lang w:val="en-US" w:eastAsia="zh-CN" w:bidi="ar-SA"/>
    </w:rPr>
  </w:style>
  <w:style w:type="character" w:customStyle="1" w:styleId="186">
    <w:name w:val="正文文本缩进 3 Char1"/>
    <w:qFormat/>
    <w:uiPriority w:val="0"/>
    <w:rPr>
      <w:rFonts w:ascii="Calibri" w:hAnsi="Calibri" w:cs="黑体"/>
      <w:kern w:val="2"/>
      <w:sz w:val="16"/>
      <w:szCs w:val="16"/>
    </w:rPr>
  </w:style>
  <w:style w:type="character" w:customStyle="1" w:styleId="187">
    <w:name w:val="宏文本 Char"/>
    <w:autoRedefine/>
    <w:qFormat/>
    <w:uiPriority w:val="0"/>
    <w:rPr>
      <w:rFonts w:ascii="Courier New" w:hAnsi="Courier New"/>
      <w:kern w:val="2"/>
      <w:sz w:val="24"/>
      <w:szCs w:val="24"/>
    </w:rPr>
  </w:style>
  <w:style w:type="character" w:customStyle="1" w:styleId="188">
    <w:name w:val="*正文 Char"/>
    <w:link w:val="189"/>
    <w:qFormat/>
    <w:uiPriority w:val="0"/>
    <w:rPr>
      <w:rFonts w:ascii="仿宋_GB2312" w:eastAsia="仿宋_GB2312"/>
      <w:kern w:val="2"/>
      <w:sz w:val="24"/>
      <w:szCs w:val="28"/>
      <w:lang w:val="zh-CN"/>
    </w:rPr>
  </w:style>
  <w:style w:type="paragraph" w:customStyle="1" w:styleId="189">
    <w:name w:val="*正文"/>
    <w:basedOn w:val="1"/>
    <w:link w:val="188"/>
    <w:qFormat/>
    <w:uiPriority w:val="0"/>
    <w:pPr>
      <w:widowControl/>
      <w:spacing w:line="360" w:lineRule="auto"/>
      <w:ind w:firstLine="200" w:firstLineChars="200"/>
      <w:jc w:val="left"/>
    </w:pPr>
    <w:rPr>
      <w:rFonts w:ascii="仿宋_GB2312" w:eastAsia="仿宋_GB2312"/>
      <w:sz w:val="24"/>
      <w:szCs w:val="28"/>
      <w:lang w:val="zh-CN"/>
    </w:rPr>
  </w:style>
  <w:style w:type="character" w:customStyle="1" w:styleId="190">
    <w:name w:val="栏目标题 Char Char"/>
    <w:qFormat/>
    <w:uiPriority w:val="0"/>
    <w:rPr>
      <w:rFonts w:ascii="黑体" w:hAnsi="黑体" w:eastAsia="黑体"/>
      <w:b/>
      <w:kern w:val="2"/>
      <w:sz w:val="21"/>
      <w:szCs w:val="24"/>
    </w:rPr>
  </w:style>
  <w:style w:type="character" w:customStyle="1" w:styleId="191">
    <w:name w:val="批注框文本 Char2"/>
    <w:semiHidden/>
    <w:qFormat/>
    <w:uiPriority w:val="99"/>
    <w:rPr>
      <w:kern w:val="2"/>
      <w:sz w:val="18"/>
      <w:szCs w:val="18"/>
    </w:rPr>
  </w:style>
  <w:style w:type="character" w:customStyle="1" w:styleId="192">
    <w:name w:val="heading 5 Char"/>
    <w:qFormat/>
    <w:uiPriority w:val="0"/>
    <w:rPr>
      <w:rFonts w:ascii="Arial" w:hAnsi="Arial" w:eastAsia="黑体"/>
      <w:b/>
      <w:sz w:val="21"/>
      <w:szCs w:val="21"/>
    </w:rPr>
  </w:style>
  <w:style w:type="character" w:customStyle="1" w:styleId="193">
    <w:name w:val="符号正文缩进 Char Char"/>
    <w:qFormat/>
    <w:uiPriority w:val="0"/>
    <w:rPr>
      <w:sz w:val="24"/>
    </w:rPr>
  </w:style>
  <w:style w:type="character" w:customStyle="1" w:styleId="194">
    <w:name w:val="引用 Char"/>
    <w:link w:val="195"/>
    <w:qFormat/>
    <w:uiPriority w:val="29"/>
    <w:rPr>
      <w:rFonts w:ascii="Calibri" w:hAnsi="Calibri"/>
      <w:b/>
      <w:i/>
      <w:iCs/>
      <w:color w:val="000000"/>
      <w:sz w:val="32"/>
      <w:szCs w:val="32"/>
    </w:rPr>
  </w:style>
  <w:style w:type="paragraph" w:customStyle="1" w:styleId="195">
    <w:name w:val="引用1"/>
    <w:basedOn w:val="1"/>
    <w:next w:val="1"/>
    <w:link w:val="194"/>
    <w:qFormat/>
    <w:uiPriority w:val="29"/>
    <w:rPr>
      <w:rFonts w:ascii="Calibri" w:hAnsi="Calibri"/>
      <w:b/>
      <w:i/>
      <w:iCs/>
      <w:color w:val="000000"/>
      <w:kern w:val="0"/>
      <w:sz w:val="32"/>
      <w:szCs w:val="32"/>
    </w:rPr>
  </w:style>
  <w:style w:type="character" w:customStyle="1" w:styleId="196">
    <w:name w:val="Char Char61"/>
    <w:qFormat/>
    <w:uiPriority w:val="0"/>
    <w:rPr>
      <w:rFonts w:ascii="Times New Roman" w:hAnsi="Times New Roman" w:eastAsia="宋体" w:cs="Times New Roman"/>
      <w:szCs w:val="24"/>
    </w:rPr>
  </w:style>
  <w:style w:type="character" w:customStyle="1" w:styleId="197">
    <w:name w:val="正文首行缩进 2 Char1"/>
    <w:qFormat/>
    <w:uiPriority w:val="0"/>
  </w:style>
  <w:style w:type="character" w:customStyle="1" w:styleId="198">
    <w:name w:val="font01"/>
    <w:qFormat/>
    <w:uiPriority w:val="0"/>
    <w:rPr>
      <w:rFonts w:hint="eastAsia" w:ascii="宋体" w:hAnsi="宋体" w:eastAsia="宋体" w:cs="宋体"/>
      <w:color w:val="000000"/>
      <w:sz w:val="22"/>
      <w:szCs w:val="22"/>
      <w:u w:val="none"/>
    </w:rPr>
  </w:style>
  <w:style w:type="character" w:customStyle="1" w:styleId="199">
    <w:name w:val="正文首行缩进 2 Char2"/>
    <w:qFormat/>
    <w:uiPriority w:val="0"/>
    <w:rPr>
      <w:rFonts w:ascii="Calibri" w:hAnsi="Calibri" w:cs="黑体"/>
      <w:kern w:val="2"/>
      <w:sz w:val="21"/>
      <w:szCs w:val="24"/>
    </w:rPr>
  </w:style>
  <w:style w:type="character" w:customStyle="1" w:styleId="200">
    <w:name w:val="样式 正文文本 Char Char Char"/>
    <w:qFormat/>
    <w:uiPriority w:val="0"/>
    <w:rPr>
      <w:rFonts w:ascii="Arial" w:hAnsi="Arial" w:eastAsia="宋体"/>
      <w:color w:val="000000"/>
      <w:kern w:val="2"/>
      <w:sz w:val="21"/>
      <w:lang w:val="en-US" w:eastAsia="zh-CN" w:bidi="ar-SA"/>
    </w:rPr>
  </w:style>
  <w:style w:type="character" w:customStyle="1" w:styleId="201">
    <w:name w:val="Table of contents|1 + Spacing 3 pt"/>
    <w:unhideWhenUsed/>
    <w:qFormat/>
    <w:uiPriority w:val="0"/>
    <w:rPr>
      <w:rFonts w:ascii="PMingLiU" w:hAnsi="PMingLiU" w:eastAsia="PMingLiU" w:cs="PMingLiU"/>
      <w:color w:val="000000"/>
      <w:spacing w:val="60"/>
      <w:w w:val="100"/>
      <w:position w:val="0"/>
      <w:sz w:val="20"/>
      <w:szCs w:val="20"/>
      <w:u w:val="none"/>
      <w:lang w:val="zh-CN" w:eastAsia="zh-CN" w:bidi="zh-CN"/>
    </w:rPr>
  </w:style>
  <w:style w:type="character" w:customStyle="1" w:styleId="202">
    <w:name w:val="HTML 预设格式 Char"/>
    <w:qFormat/>
    <w:uiPriority w:val="0"/>
    <w:rPr>
      <w:rFonts w:ascii="微软雅黑" w:hAnsi="微软雅黑" w:eastAsia="微软雅黑"/>
      <w:sz w:val="24"/>
      <w:szCs w:val="24"/>
    </w:rPr>
  </w:style>
  <w:style w:type="character" w:customStyle="1" w:styleId="203">
    <w:name w:val="投标正文 Char"/>
    <w:link w:val="204"/>
    <w:qFormat/>
    <w:uiPriority w:val="0"/>
    <w:rPr>
      <w:rFonts w:ascii="Calibri" w:hAnsi="Calibri"/>
      <w:sz w:val="24"/>
      <w:szCs w:val="24"/>
    </w:rPr>
  </w:style>
  <w:style w:type="paragraph" w:customStyle="1" w:styleId="204">
    <w:name w:val="投标正文"/>
    <w:basedOn w:val="1"/>
    <w:link w:val="203"/>
    <w:qFormat/>
    <w:uiPriority w:val="0"/>
    <w:pPr>
      <w:spacing w:line="360" w:lineRule="auto"/>
      <w:ind w:left="100" w:firstLine="480" w:firstLineChars="200"/>
    </w:pPr>
    <w:rPr>
      <w:rFonts w:ascii="Calibri" w:hAnsi="Calibri"/>
      <w:kern w:val="0"/>
      <w:sz w:val="24"/>
    </w:rPr>
  </w:style>
  <w:style w:type="character" w:customStyle="1" w:styleId="205">
    <w:name w:val="hover15"/>
    <w:qFormat/>
    <w:uiPriority w:val="0"/>
    <w:rPr>
      <w:szCs w:val="20"/>
      <w:u w:val="single"/>
    </w:rPr>
  </w:style>
  <w:style w:type="character" w:customStyle="1" w:styleId="206">
    <w:name w:val="正文文本 Char"/>
    <w:qFormat/>
    <w:uiPriority w:val="99"/>
    <w:rPr>
      <w:rFonts w:ascii="仿宋_GB2312" w:eastAsia="宋体"/>
      <w:b/>
      <w:kern w:val="2"/>
      <w:sz w:val="21"/>
      <w:szCs w:val="24"/>
      <w:lang w:val="en-US" w:eastAsia="zh-CN" w:bidi="ar-SA"/>
    </w:rPr>
  </w:style>
  <w:style w:type="character" w:customStyle="1" w:styleId="207">
    <w:name w:val="标题 1 Char1"/>
    <w:qFormat/>
    <w:uiPriority w:val="0"/>
    <w:rPr>
      <w:rFonts w:ascii="楷体_GB2312" w:hAnsi="Tahoma" w:eastAsia="楷体_GB2312"/>
      <w:b/>
      <w:bCs/>
      <w:kern w:val="2"/>
      <w:sz w:val="21"/>
      <w:szCs w:val="24"/>
    </w:rPr>
  </w:style>
  <w:style w:type="character" w:customStyle="1" w:styleId="208">
    <w:name w:val="批注文字 Char2"/>
    <w:semiHidden/>
    <w:qFormat/>
    <w:uiPriority w:val="99"/>
    <w:rPr>
      <w:kern w:val="2"/>
      <w:sz w:val="21"/>
      <w:szCs w:val="24"/>
    </w:rPr>
  </w:style>
  <w:style w:type="character" w:customStyle="1" w:styleId="209">
    <w:name w:val="font11"/>
    <w:qFormat/>
    <w:uiPriority w:val="0"/>
    <w:rPr>
      <w:rFonts w:hint="eastAsia" w:ascii="宋体" w:hAnsi="宋体" w:eastAsia="宋体" w:cs="宋体"/>
      <w:color w:val="000000"/>
      <w:sz w:val="20"/>
      <w:szCs w:val="20"/>
      <w:u w:val="none"/>
      <w:vertAlign w:val="superscript"/>
    </w:rPr>
  </w:style>
  <w:style w:type="character" w:customStyle="1" w:styleId="210">
    <w:name w:val="Style2"/>
    <w:qFormat/>
    <w:uiPriority w:val="0"/>
    <w:rPr>
      <w:rFonts w:ascii="Calibri" w:hAnsi="宋体" w:eastAsia="宋体" w:cs="Times New Roman"/>
      <w:sz w:val="22"/>
      <w:szCs w:val="22"/>
      <w:lang w:eastAsia="zh-CN"/>
    </w:rPr>
  </w:style>
  <w:style w:type="character" w:customStyle="1" w:styleId="211">
    <w:name w:val="正文1 Char Char"/>
    <w:link w:val="212"/>
    <w:qFormat/>
    <w:uiPriority w:val="0"/>
    <w:rPr>
      <w:rFonts w:ascii="宋体" w:hAnsi="宋体" w:cs="宋体"/>
      <w:b/>
      <w:sz w:val="21"/>
      <w:szCs w:val="32"/>
    </w:rPr>
  </w:style>
  <w:style w:type="paragraph" w:customStyle="1" w:styleId="212">
    <w:name w:val="正文1"/>
    <w:basedOn w:val="1"/>
    <w:link w:val="211"/>
    <w:qFormat/>
    <w:uiPriority w:val="0"/>
    <w:pPr>
      <w:widowControl/>
      <w:spacing w:line="360" w:lineRule="auto"/>
      <w:ind w:left="360" w:firstLine="420"/>
      <w:jc w:val="left"/>
    </w:pPr>
    <w:rPr>
      <w:rFonts w:ascii="宋体" w:hAnsi="宋体"/>
      <w:b/>
      <w:kern w:val="0"/>
      <w:szCs w:val="32"/>
    </w:rPr>
  </w:style>
  <w:style w:type="character" w:customStyle="1" w:styleId="213">
    <w:name w:val="Style4"/>
    <w:qFormat/>
    <w:uiPriority w:val="0"/>
    <w:rPr>
      <w:rFonts w:ascii="Calibri" w:hAnsi="宋体" w:eastAsia="宋体" w:cs="Times New Roman"/>
      <w:szCs w:val="22"/>
      <w:lang w:eastAsia="zh-CN"/>
    </w:rPr>
  </w:style>
  <w:style w:type="character" w:customStyle="1" w:styleId="214">
    <w:name w:val="正文文本缩进 3 Char2"/>
    <w:semiHidden/>
    <w:qFormat/>
    <w:uiPriority w:val="99"/>
    <w:rPr>
      <w:kern w:val="2"/>
      <w:sz w:val="16"/>
      <w:szCs w:val="16"/>
    </w:rPr>
  </w:style>
  <w:style w:type="character" w:customStyle="1" w:styleId="215">
    <w:name w:val="heading 4 Char"/>
    <w:qFormat/>
    <w:uiPriority w:val="0"/>
    <w:rPr>
      <w:rFonts w:ascii="Arial" w:hAnsi="Arial" w:eastAsia="黑体" w:cs="Times New Roman"/>
      <w:b/>
      <w:sz w:val="21"/>
      <w:szCs w:val="21"/>
    </w:rPr>
  </w:style>
  <w:style w:type="character" w:customStyle="1" w:styleId="216">
    <w:name w:val="heading 2 Char"/>
    <w:qFormat/>
    <w:uiPriority w:val="0"/>
    <w:rPr>
      <w:rFonts w:ascii="Arial" w:hAnsi="Arial" w:eastAsia="黑体" w:cs="Times New Roman"/>
      <w:b/>
      <w:sz w:val="30"/>
      <w:szCs w:val="24"/>
    </w:rPr>
  </w:style>
  <w:style w:type="character" w:customStyle="1" w:styleId="217">
    <w:name w:val="HTML 预设格式 Char2"/>
    <w:semiHidden/>
    <w:qFormat/>
    <w:uiPriority w:val="99"/>
    <w:rPr>
      <w:rFonts w:ascii="Courier New" w:hAnsi="Courier New" w:cs="Courier New"/>
      <w:kern w:val="2"/>
    </w:rPr>
  </w:style>
  <w:style w:type="character" w:customStyle="1" w:styleId="218">
    <w:name w:val="标题样式 Char"/>
    <w:link w:val="219"/>
    <w:qFormat/>
    <w:uiPriority w:val="0"/>
    <w:rPr>
      <w:b/>
    </w:rPr>
  </w:style>
  <w:style w:type="paragraph" w:customStyle="1" w:styleId="219">
    <w:name w:val="标题样式"/>
    <w:basedOn w:val="1"/>
    <w:link w:val="218"/>
    <w:qFormat/>
    <w:uiPriority w:val="0"/>
    <w:pPr>
      <w:spacing w:beforeLines="50" w:afterLines="50"/>
    </w:pPr>
    <w:rPr>
      <w:b/>
      <w:kern w:val="0"/>
      <w:sz w:val="20"/>
      <w:szCs w:val="20"/>
    </w:rPr>
  </w:style>
  <w:style w:type="character" w:customStyle="1" w:styleId="220">
    <w:name w:val="Ò³Ã¼ Char Char1"/>
    <w:qFormat/>
    <w:uiPriority w:val="0"/>
    <w:rPr>
      <w:rFonts w:ascii="仿宋_GB2312" w:eastAsia="宋体"/>
      <w:b/>
      <w:kern w:val="2"/>
      <w:sz w:val="18"/>
      <w:szCs w:val="18"/>
      <w:lang w:val="en-US" w:eastAsia="zh-CN" w:bidi="ar-SA"/>
    </w:rPr>
  </w:style>
  <w:style w:type="character" w:customStyle="1" w:styleId="221">
    <w:name w:val="apple-converted-space"/>
    <w:qFormat/>
    <w:uiPriority w:val="0"/>
  </w:style>
  <w:style w:type="character" w:customStyle="1" w:styleId="222">
    <w:name w:val="表格用 Char Char"/>
    <w:link w:val="223"/>
    <w:qFormat/>
    <w:locked/>
    <w:uiPriority w:val="0"/>
    <w:rPr>
      <w:sz w:val="21"/>
      <w:szCs w:val="24"/>
    </w:rPr>
  </w:style>
  <w:style w:type="paragraph" w:customStyle="1" w:styleId="223">
    <w:name w:val="表格用"/>
    <w:basedOn w:val="1"/>
    <w:link w:val="222"/>
    <w:qFormat/>
    <w:uiPriority w:val="0"/>
    <w:rPr>
      <w:kern w:val="0"/>
    </w:rPr>
  </w:style>
  <w:style w:type="character" w:customStyle="1" w:styleId="224">
    <w:name w:val="标题 2 Char1"/>
    <w:qFormat/>
    <w:uiPriority w:val="0"/>
    <w:rPr>
      <w:rFonts w:ascii="Arial" w:hAnsi="Arial" w:eastAsia="黑体"/>
      <w:b/>
      <w:bCs/>
      <w:kern w:val="2"/>
      <w:sz w:val="32"/>
      <w:szCs w:val="32"/>
    </w:rPr>
  </w:style>
  <w:style w:type="character" w:customStyle="1" w:styleId="225">
    <w:name w:val="count"/>
    <w:qFormat/>
    <w:uiPriority w:val="0"/>
  </w:style>
  <w:style w:type="character" w:customStyle="1" w:styleId="226">
    <w:name w:val="标题1"/>
    <w:qFormat/>
    <w:uiPriority w:val="0"/>
  </w:style>
  <w:style w:type="character" w:customStyle="1" w:styleId="227">
    <w:name w:val="标题 6 Char"/>
    <w:qFormat/>
    <w:uiPriority w:val="0"/>
    <w:rPr>
      <w:rFonts w:ascii="Arial" w:hAnsi="Arial" w:eastAsia="黑体"/>
      <w:b/>
      <w:bCs/>
      <w:kern w:val="2"/>
      <w:sz w:val="24"/>
      <w:szCs w:val="24"/>
    </w:rPr>
  </w:style>
  <w:style w:type="character" w:customStyle="1" w:styleId="228">
    <w:name w:val="heading 1 Char"/>
    <w:qFormat/>
    <w:uiPriority w:val="0"/>
    <w:rPr>
      <w:rFonts w:ascii="Arial" w:hAnsi="Arial" w:eastAsia="黑体"/>
      <w:b/>
      <w:sz w:val="36"/>
      <w:szCs w:val="36"/>
    </w:rPr>
  </w:style>
  <w:style w:type="character" w:customStyle="1" w:styleId="229">
    <w:name w:val="style41"/>
    <w:qFormat/>
    <w:uiPriority w:val="0"/>
    <w:rPr>
      <w:rFonts w:ascii="仿宋_GB2312" w:eastAsia="仿宋_GB2312"/>
      <w:b/>
      <w:color w:val="auto"/>
      <w:sz w:val="32"/>
      <w:szCs w:val="32"/>
    </w:rPr>
  </w:style>
  <w:style w:type="character" w:customStyle="1" w:styleId="230">
    <w:name w:val="正文00 Char"/>
    <w:link w:val="231"/>
    <w:qFormat/>
    <w:uiPriority w:val="0"/>
    <w:rPr>
      <w:rFonts w:ascii="宋体" w:hAnsi="宋体"/>
      <w:kern w:val="2"/>
      <w:sz w:val="24"/>
      <w:szCs w:val="24"/>
    </w:rPr>
  </w:style>
  <w:style w:type="paragraph" w:customStyle="1" w:styleId="231">
    <w:name w:val="正文00"/>
    <w:basedOn w:val="1"/>
    <w:link w:val="230"/>
    <w:qFormat/>
    <w:uiPriority w:val="0"/>
    <w:pPr>
      <w:spacing w:line="360" w:lineRule="auto"/>
      <w:ind w:firstLine="480" w:firstLineChars="200"/>
    </w:pPr>
    <w:rPr>
      <w:rFonts w:ascii="宋体" w:hAnsi="宋体"/>
      <w:sz w:val="24"/>
    </w:rPr>
  </w:style>
  <w:style w:type="character" w:customStyle="1" w:styleId="232">
    <w:name w:val="_正文段落 Char"/>
    <w:link w:val="233"/>
    <w:qFormat/>
    <w:uiPriority w:val="0"/>
    <w:rPr>
      <w:kern w:val="2"/>
      <w:sz w:val="21"/>
      <w:szCs w:val="24"/>
    </w:rPr>
  </w:style>
  <w:style w:type="paragraph" w:customStyle="1" w:styleId="233">
    <w:name w:val="_正文段落"/>
    <w:basedOn w:val="1"/>
    <w:link w:val="232"/>
    <w:qFormat/>
    <w:uiPriority w:val="0"/>
    <w:pPr>
      <w:spacing w:beforeLines="15" w:afterLines="15" w:line="360" w:lineRule="auto"/>
      <w:ind w:firstLine="200" w:firstLineChars="200"/>
    </w:pPr>
  </w:style>
  <w:style w:type="character" w:customStyle="1" w:styleId="234">
    <w:name w:val="图片题注 Char"/>
    <w:link w:val="235"/>
    <w:qFormat/>
    <w:uiPriority w:val="0"/>
    <w:rPr>
      <w:rFonts w:ascii="Calibri Light" w:hAnsi="Calibri Light" w:eastAsia="黑体" w:cs="黑体"/>
      <w:bCs/>
      <w:kern w:val="2"/>
    </w:rPr>
  </w:style>
  <w:style w:type="paragraph" w:customStyle="1" w:styleId="235">
    <w:name w:val="图片题注"/>
    <w:basedOn w:val="17"/>
    <w:link w:val="234"/>
    <w:qFormat/>
    <w:uiPriority w:val="0"/>
    <w:pPr>
      <w:autoSpaceDE/>
      <w:autoSpaceDN/>
      <w:adjustRightInd/>
      <w:spacing w:line="360" w:lineRule="auto"/>
      <w:jc w:val="center"/>
    </w:pPr>
    <w:rPr>
      <w:rFonts w:ascii="Calibri Light" w:hAnsi="Calibri Light"/>
      <w:bCs/>
      <w:kern w:val="2"/>
    </w:rPr>
  </w:style>
  <w:style w:type="character" w:customStyle="1" w:styleId="236">
    <w:name w:val="heading 1 Char2"/>
    <w:qFormat/>
    <w:uiPriority w:val="0"/>
    <w:rPr>
      <w:rFonts w:ascii="仿宋_GB2312" w:eastAsia="仿宋_GB2312"/>
      <w:b/>
      <w:bCs/>
      <w:kern w:val="44"/>
      <w:sz w:val="44"/>
      <w:szCs w:val="44"/>
    </w:rPr>
  </w:style>
  <w:style w:type="character" w:customStyle="1" w:styleId="237">
    <w:name w:val="标题 4 Char"/>
    <w:qFormat/>
    <w:uiPriority w:val="9"/>
    <w:rPr>
      <w:rFonts w:ascii="Arial" w:hAnsi="Arial" w:eastAsia="黑体"/>
      <w:b/>
      <w:bCs/>
      <w:kern w:val="2"/>
      <w:sz w:val="28"/>
      <w:szCs w:val="28"/>
      <w:lang w:val="en-US" w:eastAsia="zh-CN" w:bidi="ar-SA"/>
    </w:rPr>
  </w:style>
  <w:style w:type="character" w:customStyle="1" w:styleId="238">
    <w:name w:val="Title1"/>
    <w:qFormat/>
    <w:uiPriority w:val="0"/>
  </w:style>
  <w:style w:type="character" w:customStyle="1" w:styleId="239">
    <w:name w:val="font31"/>
    <w:autoRedefine/>
    <w:qFormat/>
    <w:uiPriority w:val="0"/>
    <w:rPr>
      <w:rFonts w:hint="eastAsia" w:ascii="宋体" w:hAnsi="宋体" w:eastAsia="宋体" w:cs="宋体"/>
      <w:color w:val="000000"/>
      <w:sz w:val="20"/>
      <w:szCs w:val="20"/>
      <w:u w:val="none"/>
    </w:rPr>
  </w:style>
  <w:style w:type="character" w:customStyle="1" w:styleId="240">
    <w:name w:val="正文靠右 Char Char"/>
    <w:qFormat/>
    <w:uiPriority w:val="0"/>
    <w:rPr>
      <w:kern w:val="2"/>
      <w:sz w:val="21"/>
      <w:szCs w:val="24"/>
    </w:rPr>
  </w:style>
  <w:style w:type="character" w:customStyle="1" w:styleId="241">
    <w:name w:val="Footer-Even Char2"/>
    <w:qFormat/>
    <w:uiPriority w:val="0"/>
    <w:rPr>
      <w:rFonts w:ascii="仿宋_GB2312" w:eastAsia="仿宋_GB2312"/>
      <w:b/>
      <w:kern w:val="2"/>
      <w:sz w:val="18"/>
      <w:szCs w:val="18"/>
    </w:rPr>
  </w:style>
  <w:style w:type="character" w:customStyle="1" w:styleId="242">
    <w:name w:val="upload"/>
    <w:qFormat/>
    <w:uiPriority w:val="0"/>
    <w:rPr>
      <w:szCs w:val="20"/>
    </w:rPr>
  </w:style>
  <w:style w:type="character" w:customStyle="1" w:styleId="243">
    <w:name w:val="注释正文"/>
    <w:qFormat/>
    <w:uiPriority w:val="0"/>
    <w:rPr>
      <w:rFonts w:eastAsia="宋体"/>
      <w:sz w:val="28"/>
      <w:u w:val="single"/>
    </w:rPr>
  </w:style>
  <w:style w:type="character" w:customStyle="1" w:styleId="244">
    <w:name w:val="不明显强调1"/>
    <w:qFormat/>
    <w:uiPriority w:val="0"/>
    <w:rPr>
      <w:i/>
      <w:iCs/>
      <w:color w:val="808080"/>
    </w:rPr>
  </w:style>
  <w:style w:type="character" w:customStyle="1" w:styleId="245">
    <w:name w:val="注释正文＋下划线 Char"/>
    <w:link w:val="246"/>
    <w:autoRedefine/>
    <w:qFormat/>
    <w:uiPriority w:val="0"/>
    <w:rPr>
      <w:rFonts w:ascii="宋体" w:hAnsi="宋体"/>
      <w:kern w:val="2"/>
      <w:sz w:val="28"/>
      <w:szCs w:val="28"/>
      <w:u w:val="single"/>
    </w:rPr>
  </w:style>
  <w:style w:type="paragraph" w:customStyle="1" w:styleId="246">
    <w:name w:val="注释正文＋下划线"/>
    <w:basedOn w:val="1"/>
    <w:link w:val="245"/>
    <w:qFormat/>
    <w:uiPriority w:val="0"/>
    <w:rPr>
      <w:rFonts w:ascii="宋体" w:hAnsi="宋体"/>
      <w:sz w:val="28"/>
      <w:szCs w:val="28"/>
      <w:u w:val="single"/>
    </w:rPr>
  </w:style>
  <w:style w:type="character" w:customStyle="1" w:styleId="247">
    <w:name w:val="gray6"/>
    <w:qFormat/>
    <w:uiPriority w:val="0"/>
    <w:rPr>
      <w:rFonts w:ascii="仿宋_GB2312" w:hAnsi="Tahoma" w:eastAsia="仿宋_GB2312"/>
      <w:b/>
      <w:sz w:val="32"/>
      <w:szCs w:val="32"/>
    </w:rPr>
  </w:style>
  <w:style w:type="character" w:customStyle="1" w:styleId="248">
    <w:name w:val="font12"/>
    <w:qFormat/>
    <w:uiPriority w:val="0"/>
    <w:rPr>
      <w:rFonts w:hint="eastAsia" w:ascii="宋体" w:hAnsi="宋体" w:eastAsia="宋体" w:cs="宋体"/>
      <w:color w:val="000000"/>
      <w:sz w:val="20"/>
      <w:szCs w:val="20"/>
      <w:u w:val="none"/>
    </w:rPr>
  </w:style>
  <w:style w:type="character" w:customStyle="1" w:styleId="249">
    <w:name w:val="正文缩进 Char"/>
    <w:qFormat/>
    <w:uiPriority w:val="99"/>
    <w:rPr>
      <w:rFonts w:eastAsia="仿宋_GB2312"/>
      <w:sz w:val="21"/>
      <w:lang w:val="en-US" w:eastAsia="zh-CN" w:bidi="ar-SA"/>
    </w:rPr>
  </w:style>
  <w:style w:type="character" w:customStyle="1" w:styleId="250">
    <w:name w:val="ändrad Char"/>
    <w:qFormat/>
    <w:uiPriority w:val="0"/>
    <w:rPr>
      <w:rFonts w:ascii="仿宋_GB2312" w:eastAsia="宋体"/>
      <w:b/>
      <w:kern w:val="2"/>
      <w:sz w:val="21"/>
      <w:szCs w:val="24"/>
      <w:lang w:val="en-US" w:eastAsia="zh-CN" w:bidi="ar-SA"/>
    </w:rPr>
  </w:style>
  <w:style w:type="character" w:customStyle="1" w:styleId="251">
    <w:name w:val="列出段落 Char"/>
    <w:link w:val="252"/>
    <w:qFormat/>
    <w:uiPriority w:val="0"/>
    <w:rPr>
      <w:kern w:val="2"/>
      <w:sz w:val="21"/>
      <w:szCs w:val="24"/>
    </w:rPr>
  </w:style>
  <w:style w:type="paragraph" w:customStyle="1" w:styleId="252">
    <w:name w:val="List Paragraph2"/>
    <w:basedOn w:val="1"/>
    <w:link w:val="251"/>
    <w:qFormat/>
    <w:uiPriority w:val="0"/>
    <w:pPr>
      <w:ind w:firstLine="420" w:firstLineChars="200"/>
    </w:pPr>
  </w:style>
  <w:style w:type="character" w:customStyle="1" w:styleId="253">
    <w:name w:val="legend"/>
    <w:qFormat/>
    <w:uiPriority w:val="0"/>
    <w:rPr>
      <w:rFonts w:ascii="Arial" w:hAnsi="Arial" w:cs="Arial"/>
      <w:b/>
      <w:color w:val="73B304"/>
      <w:sz w:val="16"/>
      <w:szCs w:val="16"/>
      <w:shd w:val="clear" w:color="auto" w:fill="FFFFFF"/>
    </w:rPr>
  </w:style>
  <w:style w:type="character" w:customStyle="1" w:styleId="254">
    <w:name w:val="正文文本 Char1"/>
    <w:qFormat/>
    <w:uiPriority w:val="0"/>
    <w:rPr>
      <w:rFonts w:ascii="Tahoma" w:hAnsi="Tahoma"/>
      <w:kern w:val="2"/>
      <w:sz w:val="21"/>
      <w:szCs w:val="24"/>
    </w:rPr>
  </w:style>
  <w:style w:type="character" w:customStyle="1" w:styleId="255">
    <w:name w:val="标题 8 Char"/>
    <w:qFormat/>
    <w:uiPriority w:val="0"/>
    <w:rPr>
      <w:rFonts w:ascii="Arial" w:hAnsi="Arial" w:eastAsia="黑体"/>
      <w:b/>
      <w:sz w:val="24"/>
      <w:szCs w:val="32"/>
    </w:rPr>
  </w:style>
  <w:style w:type="character" w:customStyle="1" w:styleId="256">
    <w:name w:val="页眉 Char2"/>
    <w:semiHidden/>
    <w:qFormat/>
    <w:uiPriority w:val="99"/>
    <w:rPr>
      <w:kern w:val="2"/>
      <w:sz w:val="18"/>
      <w:szCs w:val="18"/>
    </w:rPr>
  </w:style>
  <w:style w:type="character" w:customStyle="1" w:styleId="257">
    <w:name w:val="签名 Char"/>
    <w:qFormat/>
    <w:uiPriority w:val="0"/>
    <w:rPr>
      <w:rFonts w:ascii="Tahoma" w:hAnsi="Tahoma" w:eastAsia="仿宋_GB2312"/>
      <w:sz w:val="24"/>
    </w:rPr>
  </w:style>
  <w:style w:type="character" w:customStyle="1" w:styleId="258">
    <w:name w:val="样式 正文文本 Char Char"/>
    <w:link w:val="259"/>
    <w:qFormat/>
    <w:uiPriority w:val="0"/>
    <w:rPr>
      <w:rFonts w:ascii="Arial" w:hAnsi="Arial" w:cs="宋体"/>
      <w:color w:val="000000"/>
      <w:kern w:val="2"/>
      <w:sz w:val="21"/>
    </w:rPr>
  </w:style>
  <w:style w:type="paragraph" w:customStyle="1" w:styleId="259">
    <w:name w:val="样式 正文文本"/>
    <w:basedOn w:val="1"/>
    <w:link w:val="258"/>
    <w:qFormat/>
    <w:uiPriority w:val="0"/>
    <w:pPr>
      <w:adjustRightInd w:val="0"/>
      <w:snapToGrid w:val="0"/>
      <w:spacing w:line="400" w:lineRule="exact"/>
      <w:ind w:firstLine="200" w:firstLineChars="200"/>
    </w:pPr>
    <w:rPr>
      <w:rFonts w:ascii="Arial" w:hAnsi="Arial"/>
      <w:color w:val="000000"/>
      <w:szCs w:val="20"/>
    </w:rPr>
  </w:style>
  <w:style w:type="character" w:customStyle="1" w:styleId="260">
    <w:name w:val="style111"/>
    <w:qFormat/>
    <w:uiPriority w:val="0"/>
    <w:rPr>
      <w:sz w:val="27"/>
      <w:szCs w:val="27"/>
    </w:rPr>
  </w:style>
  <w:style w:type="character" w:customStyle="1" w:styleId="261">
    <w:name w:val="明显强调1"/>
    <w:qFormat/>
    <w:uiPriority w:val="0"/>
    <w:rPr>
      <w:b/>
      <w:bCs/>
      <w:i/>
      <w:iCs/>
      <w:color w:val="4F81BD"/>
    </w:rPr>
  </w:style>
  <w:style w:type="character" w:customStyle="1" w:styleId="262">
    <w:name w:val="NormalCharacter"/>
    <w:qFormat/>
    <w:uiPriority w:val="0"/>
  </w:style>
  <w:style w:type="character" w:customStyle="1" w:styleId="263">
    <w:name w:val="页脚 Char2"/>
    <w:semiHidden/>
    <w:qFormat/>
    <w:uiPriority w:val="99"/>
    <w:rPr>
      <w:kern w:val="2"/>
      <w:sz w:val="18"/>
      <w:szCs w:val="18"/>
    </w:rPr>
  </w:style>
  <w:style w:type="character" w:customStyle="1" w:styleId="264">
    <w:name w:val="1.1.1.1.1 Char"/>
    <w:link w:val="265"/>
    <w:qFormat/>
    <w:uiPriority w:val="0"/>
    <w:rPr>
      <w:rFonts w:ascii="Arial" w:hAnsi="Arial" w:eastAsia="黑体"/>
      <w:b/>
      <w:bCs/>
      <w:kern w:val="2"/>
      <w:sz w:val="24"/>
      <w:szCs w:val="28"/>
    </w:rPr>
  </w:style>
  <w:style w:type="paragraph" w:customStyle="1" w:styleId="265">
    <w:name w:val="1.1.1.1.1"/>
    <w:basedOn w:val="266"/>
    <w:next w:val="16"/>
    <w:link w:val="264"/>
    <w:autoRedefine/>
    <w:qFormat/>
    <w:uiPriority w:val="0"/>
    <w:pPr>
      <w:keepLines/>
      <w:numPr>
        <w:ilvl w:val="0"/>
        <w:numId w:val="3"/>
      </w:numPr>
      <w:spacing w:before="240" w:after="240" w:line="377" w:lineRule="auto"/>
      <w:ind w:firstLine="0" w:firstLineChars="0"/>
      <w:outlineLvl w:val="4"/>
    </w:pPr>
    <w:rPr>
      <w:rFonts w:ascii="Arial" w:hAnsi="Arial" w:eastAsia="黑体"/>
      <w:bCs/>
      <w:sz w:val="24"/>
      <w:szCs w:val="28"/>
    </w:rPr>
  </w:style>
  <w:style w:type="paragraph" w:customStyle="1" w:styleId="266">
    <w:name w:val="样式5"/>
    <w:basedOn w:val="16"/>
    <w:link w:val="267"/>
    <w:qFormat/>
    <w:uiPriority w:val="0"/>
    <w:pPr>
      <w:adjustRightInd/>
      <w:spacing w:line="360" w:lineRule="auto"/>
      <w:ind w:firstLine="200" w:firstLineChars="200"/>
      <w:textAlignment w:val="auto"/>
    </w:pPr>
    <w:rPr>
      <w:rFonts w:ascii="仿宋_GB2312"/>
      <w:b/>
      <w:kern w:val="2"/>
      <w:sz w:val="28"/>
      <w:szCs w:val="21"/>
    </w:rPr>
  </w:style>
  <w:style w:type="character" w:customStyle="1" w:styleId="267">
    <w:name w:val="样式5 Char"/>
    <w:link w:val="266"/>
    <w:qFormat/>
    <w:uiPriority w:val="0"/>
    <w:rPr>
      <w:rFonts w:ascii="仿宋_GB2312"/>
      <w:b/>
      <w:kern w:val="2"/>
      <w:sz w:val="28"/>
      <w:szCs w:val="21"/>
    </w:rPr>
  </w:style>
  <w:style w:type="character" w:customStyle="1" w:styleId="268">
    <w:name w:val="表格标题 Char"/>
    <w:link w:val="269"/>
    <w:qFormat/>
    <w:uiPriority w:val="0"/>
    <w:rPr>
      <w:rFonts w:ascii="黑体" w:hAnsi="黑体" w:eastAsia="黑体"/>
      <w:b/>
      <w:color w:val="FFFFFF"/>
      <w:kern w:val="2"/>
      <w:sz w:val="21"/>
      <w:szCs w:val="24"/>
    </w:rPr>
  </w:style>
  <w:style w:type="paragraph" w:customStyle="1" w:styleId="269">
    <w:name w:val="表格标题"/>
    <w:basedOn w:val="1"/>
    <w:link w:val="268"/>
    <w:qFormat/>
    <w:uiPriority w:val="0"/>
    <w:rPr>
      <w:rFonts w:ascii="黑体" w:hAnsi="黑体" w:eastAsia="黑体"/>
      <w:b/>
      <w:color w:val="FFFFFF"/>
    </w:rPr>
  </w:style>
  <w:style w:type="character" w:customStyle="1" w:styleId="270">
    <w:name w:val="标题 9 Char"/>
    <w:qFormat/>
    <w:uiPriority w:val="0"/>
    <w:rPr>
      <w:rFonts w:ascii="Arial" w:hAnsi="Arial" w:eastAsia="黑体"/>
      <w:b/>
      <w:sz w:val="21"/>
      <w:szCs w:val="32"/>
    </w:rPr>
  </w:style>
  <w:style w:type="character" w:customStyle="1" w:styleId="271">
    <w:name w:val="PI Char"/>
    <w:qFormat/>
    <w:uiPriority w:val="0"/>
    <w:rPr>
      <w:rFonts w:ascii="宋体" w:hAnsi="宋体" w:eastAsia="仿宋_GB2312"/>
      <w:b/>
      <w:sz w:val="24"/>
      <w:szCs w:val="32"/>
    </w:rPr>
  </w:style>
  <w:style w:type="character" w:customStyle="1" w:styleId="272">
    <w:name w:val="Char Char22"/>
    <w:qFormat/>
    <w:uiPriority w:val="0"/>
    <w:rPr>
      <w:rFonts w:ascii="Arial" w:hAnsi="Arial" w:eastAsia="黑体"/>
      <w:b/>
      <w:bCs/>
      <w:kern w:val="44"/>
      <w:sz w:val="30"/>
      <w:szCs w:val="44"/>
      <w:lang w:val="en-US" w:eastAsia="zh-CN" w:bidi="ar-SA"/>
    </w:rPr>
  </w:style>
  <w:style w:type="character" w:customStyle="1" w:styleId="273">
    <w:name w:val="heading 3 Char"/>
    <w:qFormat/>
    <w:uiPriority w:val="0"/>
    <w:rPr>
      <w:rFonts w:ascii="Arial" w:hAnsi="Arial" w:eastAsia="黑体"/>
      <w:b/>
      <w:sz w:val="28"/>
      <w:szCs w:val="24"/>
    </w:rPr>
  </w:style>
  <w:style w:type="character" w:customStyle="1" w:styleId="274">
    <w:name w:val="标题 Char2"/>
    <w:qFormat/>
    <w:uiPriority w:val="10"/>
    <w:rPr>
      <w:rFonts w:ascii="Cambria" w:hAnsi="Cambria" w:cs="Times New Roman"/>
      <w:b/>
      <w:bCs/>
      <w:kern w:val="2"/>
      <w:sz w:val="32"/>
      <w:szCs w:val="32"/>
    </w:rPr>
  </w:style>
  <w:style w:type="character" w:customStyle="1" w:styleId="275">
    <w:name w:val="文档结构图 Char1"/>
    <w:qFormat/>
    <w:uiPriority w:val="0"/>
    <w:rPr>
      <w:kern w:val="2"/>
      <w:sz w:val="21"/>
      <w:szCs w:val="24"/>
      <w:shd w:val="clear" w:color="auto" w:fill="000080"/>
    </w:rPr>
  </w:style>
  <w:style w:type="character" w:customStyle="1" w:styleId="276">
    <w:name w:val="heading 4 Char2"/>
    <w:qFormat/>
    <w:uiPriority w:val="0"/>
    <w:rPr>
      <w:rFonts w:ascii="Cambria" w:hAnsi="Cambria" w:eastAsia="仿宋_GB2312"/>
      <w:b/>
      <w:bCs/>
      <w:kern w:val="2"/>
      <w:sz w:val="28"/>
      <w:szCs w:val="28"/>
    </w:rPr>
  </w:style>
  <w:style w:type="character" w:customStyle="1" w:styleId="277">
    <w:name w:val="Char Char Char"/>
    <w:qFormat/>
    <w:uiPriority w:val="0"/>
    <w:rPr>
      <w:rFonts w:ascii="宋体" w:hAnsi="宋体" w:eastAsia="宋体"/>
      <w:kern w:val="2"/>
      <w:sz w:val="18"/>
      <w:szCs w:val="18"/>
      <w:lang w:val="en-US" w:eastAsia="zh-CN" w:bidi="ar-SA"/>
    </w:rPr>
  </w:style>
  <w:style w:type="character" w:customStyle="1" w:styleId="278">
    <w:name w:val="小标题 Char Char"/>
    <w:qFormat/>
    <w:uiPriority w:val="0"/>
    <w:rPr>
      <w:rFonts w:ascii="黑体" w:hAnsi="黑体" w:eastAsia="黑体"/>
      <w:b/>
      <w:bCs/>
      <w:kern w:val="2"/>
      <w:sz w:val="48"/>
      <w:szCs w:val="48"/>
    </w:rPr>
  </w:style>
  <w:style w:type="character" w:customStyle="1" w:styleId="279">
    <w:name w:val="正文4 Char Char"/>
    <w:link w:val="280"/>
    <w:qFormat/>
    <w:uiPriority w:val="0"/>
    <w:rPr>
      <w:kern w:val="2"/>
    </w:rPr>
  </w:style>
  <w:style w:type="paragraph" w:customStyle="1" w:styleId="280">
    <w:name w:val="正文4"/>
    <w:basedOn w:val="1"/>
    <w:link w:val="279"/>
    <w:qFormat/>
    <w:uiPriority w:val="0"/>
    <w:pPr>
      <w:numPr>
        <w:ilvl w:val="0"/>
        <w:numId w:val="4"/>
      </w:numPr>
      <w:spacing w:before="60" w:after="60" w:line="360" w:lineRule="auto"/>
      <w:ind w:firstLine="0"/>
    </w:pPr>
    <w:rPr>
      <w:sz w:val="20"/>
      <w:szCs w:val="20"/>
    </w:rPr>
  </w:style>
  <w:style w:type="character" w:customStyle="1" w:styleId="281">
    <w:name w:val="Char1"/>
    <w:qFormat/>
    <w:uiPriority w:val="0"/>
    <w:rPr>
      <w:rFonts w:ascii="宋体" w:hAnsi="宋体" w:eastAsia="宋体"/>
      <w:b/>
      <w:kern w:val="2"/>
      <w:sz w:val="24"/>
      <w:szCs w:val="24"/>
      <w:lang w:val="en-US" w:eastAsia="zh-CN" w:bidi="ar-SA"/>
    </w:rPr>
  </w:style>
  <w:style w:type="character" w:customStyle="1" w:styleId="282">
    <w:name w:val="Char Char2"/>
    <w:qFormat/>
    <w:uiPriority w:val="0"/>
    <w:rPr>
      <w:rFonts w:ascii="Arial" w:hAnsi="Arial" w:eastAsia="黑体"/>
      <w:b/>
      <w:bCs/>
      <w:kern w:val="44"/>
      <w:sz w:val="30"/>
      <w:szCs w:val="44"/>
      <w:lang w:val="en-US" w:eastAsia="zh-CN" w:bidi="ar-SA"/>
    </w:rPr>
  </w:style>
  <w:style w:type="character" w:customStyle="1" w:styleId="283">
    <w:name w:val="不明显参考1"/>
    <w:qFormat/>
    <w:uiPriority w:val="0"/>
    <w:rPr>
      <w:smallCaps/>
      <w:color w:val="C0504D"/>
      <w:u w:val="single"/>
    </w:rPr>
  </w:style>
  <w:style w:type="character" w:customStyle="1" w:styleId="284">
    <w:name w:val="password"/>
    <w:qFormat/>
    <w:uiPriority w:val="0"/>
    <w:rPr>
      <w:szCs w:val="20"/>
    </w:rPr>
  </w:style>
  <w:style w:type="character" w:customStyle="1" w:styleId="285">
    <w:name w:val="题注 Char1"/>
    <w:qFormat/>
    <w:uiPriority w:val="0"/>
    <w:rPr>
      <w:rFonts w:ascii="Arial" w:hAnsi="Arial" w:eastAsia="黑体" w:cs="Arial"/>
      <w:kern w:val="2"/>
    </w:rPr>
  </w:style>
  <w:style w:type="character" w:customStyle="1" w:styleId="286">
    <w:name w:val="标题 7 Char"/>
    <w:qFormat/>
    <w:uiPriority w:val="0"/>
    <w:rPr>
      <w:rFonts w:ascii="Arial" w:hAnsi="Arial" w:eastAsia="黑体"/>
      <w:b/>
      <w:sz w:val="21"/>
      <w:szCs w:val="21"/>
    </w:rPr>
  </w:style>
  <w:style w:type="character" w:customStyle="1" w:styleId="287">
    <w:name w:val="强调划线"/>
    <w:qFormat/>
    <w:uiPriority w:val="0"/>
    <w:rPr>
      <w:u w:val="single"/>
    </w:rPr>
  </w:style>
  <w:style w:type="character" w:customStyle="1" w:styleId="288">
    <w:name w:val="正文文本缩进 2 Char1"/>
    <w:qFormat/>
    <w:uiPriority w:val="0"/>
    <w:rPr>
      <w:kern w:val="2"/>
      <w:sz w:val="21"/>
      <w:szCs w:val="24"/>
    </w:rPr>
  </w:style>
  <w:style w:type="character" w:customStyle="1" w:styleId="289">
    <w:name w:val="HTML 预设格式 Char1"/>
    <w:qFormat/>
    <w:uiPriority w:val="99"/>
    <w:rPr>
      <w:rFonts w:ascii="Courier New" w:hAnsi="Courier New" w:cs="Courier New"/>
      <w:kern w:val="2"/>
    </w:rPr>
  </w:style>
  <w:style w:type="character" w:customStyle="1" w:styleId="290">
    <w:name w:val="red"/>
    <w:qFormat/>
    <w:uiPriority w:val="0"/>
    <w:rPr>
      <w:color w:val="FF0000"/>
      <w:szCs w:val="20"/>
    </w:rPr>
  </w:style>
  <w:style w:type="character" w:customStyle="1" w:styleId="291">
    <w:name w:val="签名 Char1"/>
    <w:semiHidden/>
    <w:qFormat/>
    <w:uiPriority w:val="99"/>
    <w:rPr>
      <w:kern w:val="2"/>
      <w:sz w:val="21"/>
      <w:szCs w:val="24"/>
    </w:rPr>
  </w:style>
  <w:style w:type="character" w:customStyle="1" w:styleId="292">
    <w:name w:val="文档结构图 Char2"/>
    <w:semiHidden/>
    <w:qFormat/>
    <w:uiPriority w:val="0"/>
    <w:rPr>
      <w:rFonts w:ascii="Microsoft YaHei UI" w:eastAsia="Microsoft YaHei UI"/>
      <w:sz w:val="18"/>
      <w:szCs w:val="18"/>
    </w:rPr>
  </w:style>
  <w:style w:type="character" w:customStyle="1" w:styleId="293">
    <w:name w:val="111 Char"/>
    <w:link w:val="294"/>
    <w:qFormat/>
    <w:uiPriority w:val="0"/>
    <w:rPr>
      <w:kern w:val="2"/>
    </w:rPr>
  </w:style>
  <w:style w:type="paragraph" w:customStyle="1" w:styleId="294">
    <w:name w:val="111"/>
    <w:basedOn w:val="148"/>
    <w:link w:val="293"/>
    <w:qFormat/>
    <w:uiPriority w:val="0"/>
    <w:pPr>
      <w:numPr>
        <w:ilvl w:val="0"/>
        <w:numId w:val="5"/>
      </w:numPr>
      <w:ind w:firstLine="0" w:firstLineChars="0"/>
    </w:pPr>
  </w:style>
  <w:style w:type="character" w:customStyle="1" w:styleId="295">
    <w:name w:val="页眉 Char1"/>
    <w:qFormat/>
    <w:uiPriority w:val="0"/>
    <w:rPr>
      <w:kern w:val="2"/>
      <w:sz w:val="18"/>
      <w:szCs w:val="18"/>
    </w:rPr>
  </w:style>
  <w:style w:type="character" w:customStyle="1" w:styleId="296">
    <w:name w:val="aaaaaaaaaaaaaa Char Char"/>
    <w:link w:val="297"/>
    <w:qFormat/>
    <w:uiPriority w:val="0"/>
    <w:rPr>
      <w:kern w:val="2"/>
    </w:rPr>
  </w:style>
  <w:style w:type="paragraph" w:customStyle="1" w:styleId="297">
    <w:name w:val="aaaaaaaaaaaaaa"/>
    <w:basedOn w:val="1"/>
    <w:link w:val="296"/>
    <w:qFormat/>
    <w:uiPriority w:val="0"/>
    <w:pPr>
      <w:spacing w:line="360" w:lineRule="auto"/>
      <w:ind w:firstLine="485" w:firstLineChars="202"/>
    </w:pPr>
    <w:rPr>
      <w:sz w:val="20"/>
      <w:szCs w:val="20"/>
    </w:rPr>
  </w:style>
  <w:style w:type="character" w:customStyle="1" w:styleId="298">
    <w:name w:val="页眉注释 Char Char"/>
    <w:qFormat/>
    <w:uiPriority w:val="0"/>
    <w:rPr>
      <w:rFonts w:ascii="华文细黑" w:hAnsi="华文细黑" w:eastAsia="华文细黑"/>
      <w:b/>
      <w:color w:val="FFFFFF"/>
      <w:kern w:val="2"/>
      <w:sz w:val="18"/>
      <w:szCs w:val="18"/>
    </w:rPr>
  </w:style>
  <w:style w:type="character" w:customStyle="1" w:styleId="299">
    <w:name w:val="大标题 Char"/>
    <w:link w:val="300"/>
    <w:qFormat/>
    <w:uiPriority w:val="0"/>
    <w:rPr>
      <w:rFonts w:ascii="黑体" w:hAnsi="黑体" w:eastAsia="黑体"/>
      <w:b/>
      <w:bCs/>
      <w:kern w:val="2"/>
      <w:sz w:val="72"/>
      <w:szCs w:val="72"/>
    </w:rPr>
  </w:style>
  <w:style w:type="paragraph" w:customStyle="1" w:styleId="300">
    <w:name w:val="大标题"/>
    <w:basedOn w:val="1"/>
    <w:link w:val="299"/>
    <w:qFormat/>
    <w:uiPriority w:val="0"/>
    <w:pPr>
      <w:spacing w:line="40" w:lineRule="atLeast"/>
    </w:pPr>
    <w:rPr>
      <w:rFonts w:ascii="黑体" w:hAnsi="黑体" w:eastAsia="黑体"/>
      <w:b/>
      <w:bCs/>
      <w:sz w:val="72"/>
      <w:szCs w:val="72"/>
    </w:rPr>
  </w:style>
  <w:style w:type="character" w:customStyle="1" w:styleId="301">
    <w:name w:val="正文文本 2 Char"/>
    <w:autoRedefine/>
    <w:qFormat/>
    <w:uiPriority w:val="0"/>
  </w:style>
  <w:style w:type="character" w:customStyle="1" w:styleId="302">
    <w:name w:val="Ò³Ã¼ Char Char2"/>
    <w:qFormat/>
    <w:uiPriority w:val="0"/>
    <w:rPr>
      <w:rFonts w:ascii="仿宋_GB2312" w:eastAsia="仿宋_GB2312"/>
      <w:b/>
      <w:kern w:val="2"/>
      <w:sz w:val="18"/>
      <w:szCs w:val="18"/>
    </w:rPr>
  </w:style>
  <w:style w:type="character" w:customStyle="1" w:styleId="303">
    <w:name w:val="脚注文本 Char1"/>
    <w:semiHidden/>
    <w:qFormat/>
    <w:uiPriority w:val="99"/>
    <w:rPr>
      <w:kern w:val="2"/>
      <w:sz w:val="18"/>
      <w:szCs w:val="18"/>
    </w:rPr>
  </w:style>
  <w:style w:type="character" w:customStyle="1" w:styleId="304">
    <w:name w:val="标题 2 Char"/>
    <w:autoRedefine/>
    <w:qFormat/>
    <w:uiPriority w:val="0"/>
    <w:rPr>
      <w:rFonts w:ascii="Arial" w:hAnsi="Arial" w:eastAsia="黑体"/>
      <w:b/>
      <w:bCs/>
      <w:kern w:val="2"/>
      <w:sz w:val="32"/>
      <w:szCs w:val="32"/>
      <w:lang w:val="en-US" w:eastAsia="zh-CN" w:bidi="ar-SA"/>
    </w:rPr>
  </w:style>
  <w:style w:type="character" w:customStyle="1" w:styleId="305">
    <w:name w:val="样式 标题 3 + 黑体 小四 Char Char"/>
    <w:link w:val="306"/>
    <w:qFormat/>
    <w:uiPriority w:val="0"/>
    <w:rPr>
      <w:rFonts w:ascii="黑体" w:hAnsi="Arial" w:eastAsia="黑体"/>
      <w:bCs/>
      <w:sz w:val="24"/>
      <w:szCs w:val="24"/>
    </w:rPr>
  </w:style>
  <w:style w:type="paragraph" w:customStyle="1" w:styleId="306">
    <w:name w:val="样式 标题 3 + 黑体 小四"/>
    <w:basedOn w:val="6"/>
    <w:link w:val="305"/>
    <w:qFormat/>
    <w:uiPriority w:val="0"/>
    <w:pPr>
      <w:spacing w:line="413" w:lineRule="auto"/>
    </w:pPr>
    <w:rPr>
      <w:rFonts w:ascii="黑体" w:hAnsi="Arial" w:eastAsia="黑体"/>
      <w:b w:val="0"/>
      <w:kern w:val="0"/>
      <w:sz w:val="24"/>
      <w:szCs w:val="24"/>
    </w:rPr>
  </w:style>
  <w:style w:type="character" w:customStyle="1" w:styleId="307">
    <w:name w:val="文档正文 Char"/>
    <w:link w:val="308"/>
    <w:qFormat/>
    <w:locked/>
    <w:uiPriority w:val="0"/>
    <w:rPr>
      <w:sz w:val="24"/>
    </w:rPr>
  </w:style>
  <w:style w:type="paragraph" w:customStyle="1" w:styleId="308">
    <w:name w:val="文档正文"/>
    <w:basedOn w:val="1"/>
    <w:link w:val="307"/>
    <w:qFormat/>
    <w:uiPriority w:val="0"/>
    <w:pPr>
      <w:adjustRightInd w:val="0"/>
      <w:spacing w:line="300" w:lineRule="auto"/>
      <w:ind w:firstLine="567"/>
      <w:textAlignment w:val="baseline"/>
    </w:pPr>
    <w:rPr>
      <w:kern w:val="0"/>
      <w:sz w:val="24"/>
      <w:szCs w:val="20"/>
    </w:rPr>
  </w:style>
  <w:style w:type="character" w:customStyle="1" w:styleId="309">
    <w:name w:val="批注框文本 Char1"/>
    <w:semiHidden/>
    <w:qFormat/>
    <w:locked/>
    <w:uiPriority w:val="99"/>
    <w:rPr>
      <w:rFonts w:hint="eastAsia" w:ascii="Heiti SC Light" w:hAnsi="宋体" w:eastAsia="Heiti SC Light" w:cs="Times New Roman"/>
      <w:sz w:val="18"/>
      <w:szCs w:val="18"/>
    </w:rPr>
  </w:style>
  <w:style w:type="character" w:customStyle="1" w:styleId="310">
    <w:name w:val="PI Char1"/>
    <w:qFormat/>
    <w:uiPriority w:val="0"/>
    <w:rPr>
      <w:rFonts w:ascii="仿宋_GB2312" w:eastAsia="宋体"/>
      <w:b/>
      <w:kern w:val="2"/>
      <w:sz w:val="24"/>
      <w:szCs w:val="24"/>
      <w:lang w:val="en-US" w:eastAsia="zh-CN" w:bidi="ar-SA"/>
    </w:rPr>
  </w:style>
  <w:style w:type="character" w:customStyle="1" w:styleId="311">
    <w:name w:val="正文居中 Char"/>
    <w:link w:val="312"/>
    <w:qFormat/>
    <w:uiPriority w:val="0"/>
    <w:rPr>
      <w:kern w:val="2"/>
      <w:sz w:val="21"/>
      <w:szCs w:val="24"/>
    </w:rPr>
  </w:style>
  <w:style w:type="paragraph" w:customStyle="1" w:styleId="312">
    <w:name w:val="正文居中"/>
    <w:basedOn w:val="1"/>
    <w:link w:val="311"/>
    <w:autoRedefine/>
    <w:qFormat/>
    <w:uiPriority w:val="0"/>
    <w:pPr>
      <w:jc w:val="center"/>
    </w:pPr>
  </w:style>
  <w:style w:type="character" w:customStyle="1" w:styleId="313">
    <w:name w:val="Char Char"/>
    <w:autoRedefine/>
    <w:qFormat/>
    <w:uiPriority w:val="0"/>
    <w:rPr>
      <w:rFonts w:ascii="宋体" w:hAnsi="Courier New" w:eastAsia="宋体"/>
      <w:kern w:val="2"/>
      <w:sz w:val="21"/>
      <w:lang w:val="en-US" w:eastAsia="zh-CN" w:bidi="ar-SA"/>
    </w:rPr>
  </w:style>
  <w:style w:type="character" w:customStyle="1" w:styleId="314">
    <w:name w:val="正文文本缩进 Char"/>
    <w:autoRedefine/>
    <w:qFormat/>
    <w:uiPriority w:val="0"/>
    <w:rPr>
      <w:rFonts w:ascii="宋体" w:hAnsi="宋体"/>
      <w:kern w:val="2"/>
      <w:sz w:val="24"/>
    </w:rPr>
  </w:style>
  <w:style w:type="character" w:customStyle="1" w:styleId="315">
    <w:name w:val="Style1"/>
    <w:autoRedefine/>
    <w:qFormat/>
    <w:uiPriority w:val="0"/>
    <w:rPr>
      <w:rFonts w:ascii="Calibri" w:hAnsi="宋体" w:eastAsia="宋体" w:cs="Times New Roman"/>
      <w:sz w:val="22"/>
      <w:szCs w:val="22"/>
      <w:lang w:eastAsia="zh-CN"/>
    </w:rPr>
  </w:style>
  <w:style w:type="character" w:customStyle="1" w:styleId="316">
    <w:name w:val="题注(图注) Char"/>
    <w:qFormat/>
    <w:uiPriority w:val="0"/>
    <w:rPr>
      <w:rFonts w:ascii="Arial Unicode MS" w:hAnsi="Arial Unicode MS" w:eastAsia="宋体" w:cs="宋体"/>
      <w:szCs w:val="20"/>
      <w:lang w:val="en-US" w:eastAsia="zh-CN"/>
    </w:rPr>
  </w:style>
  <w:style w:type="character" w:customStyle="1" w:styleId="317">
    <w:name w:val="注释题目"/>
    <w:qFormat/>
    <w:uiPriority w:val="0"/>
    <w:rPr>
      <w:rFonts w:eastAsia="黑体"/>
      <w:sz w:val="28"/>
      <w:u w:val="none"/>
    </w:rPr>
  </w:style>
  <w:style w:type="character" w:customStyle="1" w:styleId="318">
    <w:name w:val="宏文本 Char2"/>
    <w:semiHidden/>
    <w:qFormat/>
    <w:uiPriority w:val="99"/>
    <w:rPr>
      <w:rFonts w:ascii="Courier New" w:hAnsi="Courier New" w:cs="Courier New"/>
      <w:kern w:val="2"/>
      <w:sz w:val="24"/>
      <w:szCs w:val="24"/>
    </w:rPr>
  </w:style>
  <w:style w:type="character" w:customStyle="1" w:styleId="319">
    <w:name w:val="副标题 Char2"/>
    <w:qFormat/>
    <w:uiPriority w:val="11"/>
    <w:rPr>
      <w:rFonts w:ascii="Cambria" w:hAnsi="Cambria" w:cs="Times New Roman"/>
      <w:b/>
      <w:bCs/>
      <w:kern w:val="28"/>
      <w:sz w:val="32"/>
      <w:szCs w:val="32"/>
    </w:rPr>
  </w:style>
  <w:style w:type="character" w:customStyle="1" w:styleId="320">
    <w:name w:val="zbggmain style9"/>
    <w:autoRedefine/>
    <w:qFormat/>
    <w:uiPriority w:val="0"/>
    <w:rPr>
      <w:szCs w:val="20"/>
    </w:rPr>
  </w:style>
  <w:style w:type="character" w:customStyle="1" w:styleId="321">
    <w:name w:val="正文首行缩进 2 Char"/>
    <w:qFormat/>
    <w:uiPriority w:val="0"/>
    <w:rPr>
      <w:rFonts w:ascii="宋体" w:hAnsi="宋体"/>
      <w:kern w:val="2"/>
      <w:sz w:val="24"/>
      <w:szCs w:val="24"/>
    </w:rPr>
  </w:style>
  <w:style w:type="character" w:customStyle="1" w:styleId="322">
    <w:name w:val="批注主题 Char2"/>
    <w:semiHidden/>
    <w:qFormat/>
    <w:uiPriority w:val="99"/>
    <w:rPr>
      <w:b/>
      <w:bCs/>
      <w:kern w:val="2"/>
      <w:sz w:val="21"/>
      <w:szCs w:val="24"/>
    </w:rPr>
  </w:style>
  <w:style w:type="character" w:customStyle="1" w:styleId="323">
    <w:name w:val="纯文本 Char"/>
    <w:qFormat/>
    <w:uiPriority w:val="0"/>
    <w:rPr>
      <w:rFonts w:ascii="仿宋_GB2312" w:hAnsi="Wingdings" w:eastAsia="仿宋_GB2312"/>
      <w:sz w:val="21"/>
      <w:szCs w:val="21"/>
      <w:lang w:val="en-US" w:eastAsia="zh-CN" w:bidi="ar-SA"/>
    </w:rPr>
  </w:style>
  <w:style w:type="character" w:customStyle="1" w:styleId="324">
    <w:name w:val="表正文 Char2"/>
    <w:qFormat/>
    <w:uiPriority w:val="0"/>
    <w:rPr>
      <w:rFonts w:ascii="Times New Roman" w:hAnsi="Times New Roman" w:eastAsia="宋体" w:cs="Times New Roman"/>
      <w:szCs w:val="24"/>
    </w:rPr>
  </w:style>
  <w:style w:type="character" w:customStyle="1" w:styleId="325">
    <w:name w:val="正文首行缩进 Char3"/>
    <w:semiHidden/>
    <w:qFormat/>
    <w:uiPriority w:val="99"/>
    <w:rPr>
      <w:lang w:val="en-US" w:eastAsia="zh-CN" w:bidi="ar-SA"/>
    </w:rPr>
  </w:style>
  <w:style w:type="character" w:customStyle="1" w:styleId="326">
    <w:name w:val="标题 1 Char"/>
    <w:qFormat/>
    <w:uiPriority w:val="0"/>
    <w:rPr>
      <w:rFonts w:eastAsia="宋体"/>
      <w:b/>
      <w:bCs/>
      <w:kern w:val="44"/>
      <w:sz w:val="44"/>
      <w:szCs w:val="44"/>
      <w:lang w:val="en-US" w:eastAsia="zh-CN" w:bidi="ar-SA"/>
    </w:rPr>
  </w:style>
  <w:style w:type="character" w:customStyle="1" w:styleId="327">
    <w:name w:val="纯文本 Char2"/>
    <w:semiHidden/>
    <w:qFormat/>
    <w:uiPriority w:val="99"/>
    <w:rPr>
      <w:rFonts w:ascii="宋体" w:hAnsi="Courier New" w:cs="Courier New"/>
      <w:kern w:val="2"/>
      <w:sz w:val="21"/>
      <w:szCs w:val="21"/>
    </w:rPr>
  </w:style>
  <w:style w:type="character" w:customStyle="1" w:styleId="328">
    <w:name w:val="文档结构图 Char3"/>
    <w:semiHidden/>
    <w:qFormat/>
    <w:uiPriority w:val="99"/>
    <w:rPr>
      <w:rFonts w:ascii="宋体"/>
      <w:kern w:val="2"/>
      <w:sz w:val="18"/>
      <w:szCs w:val="18"/>
    </w:rPr>
  </w:style>
  <w:style w:type="character" w:customStyle="1" w:styleId="329">
    <w:name w:val="日期 Char"/>
    <w:qFormat/>
    <w:uiPriority w:val="99"/>
    <w:rPr>
      <w:spacing w:val="12"/>
      <w:kern w:val="2"/>
      <w:sz w:val="24"/>
    </w:rPr>
  </w:style>
  <w:style w:type="character" w:customStyle="1" w:styleId="330">
    <w:name w:val="正文缩进 Char2"/>
    <w:qFormat/>
    <w:uiPriority w:val="0"/>
    <w:rPr>
      <w:rFonts w:ascii="Tahoma" w:hAnsi="Tahoma" w:eastAsia="宋体"/>
      <w:b/>
      <w:bCs/>
      <w:kern w:val="2"/>
      <w:sz w:val="24"/>
      <w:szCs w:val="24"/>
      <w:lang w:val="en-US" w:eastAsia="zh-CN" w:bidi="ar-SA"/>
    </w:rPr>
  </w:style>
  <w:style w:type="character" w:customStyle="1" w:styleId="331">
    <w:name w:val="副标题 Char"/>
    <w:qFormat/>
    <w:uiPriority w:val="0"/>
    <w:rPr>
      <w:rFonts w:ascii="Cambria" w:hAnsi="Cambria"/>
      <w:b/>
      <w:bCs/>
      <w:kern w:val="28"/>
      <w:sz w:val="32"/>
      <w:szCs w:val="32"/>
    </w:rPr>
  </w:style>
  <w:style w:type="character" w:customStyle="1" w:styleId="332">
    <w:name w:val="正文靠右 Char"/>
    <w:link w:val="333"/>
    <w:qFormat/>
    <w:uiPriority w:val="0"/>
    <w:rPr>
      <w:kern w:val="2"/>
      <w:sz w:val="21"/>
      <w:szCs w:val="24"/>
    </w:rPr>
  </w:style>
  <w:style w:type="paragraph" w:customStyle="1" w:styleId="333">
    <w:name w:val="正文靠右"/>
    <w:basedOn w:val="1"/>
    <w:link w:val="332"/>
    <w:qFormat/>
    <w:uiPriority w:val="0"/>
    <w:pPr>
      <w:jc w:val="right"/>
    </w:pPr>
  </w:style>
  <w:style w:type="character" w:customStyle="1" w:styleId="334">
    <w:name w:val="p91"/>
    <w:qFormat/>
    <w:uiPriority w:val="0"/>
    <w:rPr>
      <w:rFonts w:hint="eastAsia" w:ascii="宋体" w:hAnsi="宋体" w:eastAsia="宋体"/>
      <w:spacing w:val="360"/>
      <w:sz w:val="18"/>
      <w:szCs w:val="18"/>
    </w:rPr>
  </w:style>
  <w:style w:type="character" w:customStyle="1" w:styleId="335">
    <w:name w:val="size31"/>
    <w:qFormat/>
    <w:uiPriority w:val="0"/>
    <w:rPr>
      <w:rFonts w:hint="default" w:ascii="Arial" w:hAnsi="Arial" w:cs="Arial"/>
      <w:color w:val="2D2D2D"/>
      <w:spacing w:val="285"/>
      <w:sz w:val="18"/>
      <w:szCs w:val="18"/>
    </w:rPr>
  </w:style>
  <w:style w:type="character" w:customStyle="1" w:styleId="336">
    <w:name w:val="2级 Char"/>
    <w:link w:val="337"/>
    <w:qFormat/>
    <w:uiPriority w:val="0"/>
    <w:rPr>
      <w:rFonts w:ascii="Cambria" w:hAnsi="Cambria"/>
      <w:b/>
      <w:bCs/>
      <w:sz w:val="28"/>
      <w:szCs w:val="32"/>
    </w:rPr>
  </w:style>
  <w:style w:type="paragraph" w:customStyle="1" w:styleId="337">
    <w:name w:val="2级"/>
    <w:basedOn w:val="5"/>
    <w:next w:val="57"/>
    <w:link w:val="336"/>
    <w:autoRedefine/>
    <w:qFormat/>
    <w:uiPriority w:val="0"/>
    <w:pPr>
      <w:spacing w:line="416" w:lineRule="auto"/>
    </w:pPr>
    <w:rPr>
      <w:rFonts w:ascii="Cambria" w:hAnsi="Cambria" w:eastAsia="宋体"/>
      <w:kern w:val="0"/>
      <w:sz w:val="28"/>
    </w:rPr>
  </w:style>
  <w:style w:type="character" w:customStyle="1" w:styleId="338">
    <w:name w:val="页眉注释 Char"/>
    <w:link w:val="339"/>
    <w:autoRedefine/>
    <w:qFormat/>
    <w:uiPriority w:val="0"/>
    <w:rPr>
      <w:rFonts w:ascii="华文细黑" w:hAnsi="华文细黑" w:eastAsia="华文细黑"/>
      <w:b/>
      <w:color w:val="FFFFFF"/>
      <w:kern w:val="2"/>
      <w:sz w:val="18"/>
      <w:szCs w:val="18"/>
    </w:rPr>
  </w:style>
  <w:style w:type="paragraph" w:customStyle="1" w:styleId="339">
    <w:name w:val="页眉注释"/>
    <w:basedOn w:val="1"/>
    <w:link w:val="338"/>
    <w:qFormat/>
    <w:uiPriority w:val="0"/>
    <w:pPr>
      <w:spacing w:line="0" w:lineRule="atLeast"/>
      <w:jc w:val="center"/>
    </w:pPr>
    <w:rPr>
      <w:rFonts w:ascii="华文细黑" w:hAnsi="华文细黑" w:eastAsia="华文细黑"/>
      <w:b/>
      <w:color w:val="FFFFFF"/>
      <w:sz w:val="18"/>
      <w:szCs w:val="18"/>
    </w:rPr>
  </w:style>
  <w:style w:type="character" w:customStyle="1" w:styleId="340">
    <w:name w:val="正文（首行缩进2字符） Char"/>
    <w:link w:val="341"/>
    <w:autoRedefine/>
    <w:qFormat/>
    <w:uiPriority w:val="0"/>
    <w:rPr>
      <w:kern w:val="2"/>
      <w:sz w:val="22"/>
      <w:szCs w:val="24"/>
    </w:rPr>
  </w:style>
  <w:style w:type="paragraph" w:customStyle="1" w:styleId="341">
    <w:name w:val="正文（首行缩进2字符）"/>
    <w:basedOn w:val="1"/>
    <w:link w:val="340"/>
    <w:qFormat/>
    <w:uiPriority w:val="0"/>
    <w:pPr>
      <w:jc w:val="center"/>
    </w:pPr>
    <w:rPr>
      <w:sz w:val="22"/>
    </w:rPr>
  </w:style>
  <w:style w:type="character" w:customStyle="1" w:styleId="342">
    <w:name w:val="正文文本 2 Char1"/>
    <w:qFormat/>
    <w:uiPriority w:val="0"/>
    <w:rPr>
      <w:rFonts w:ascii="Calibri" w:hAnsi="Calibri" w:cs="黑体"/>
      <w:kern w:val="2"/>
      <w:sz w:val="24"/>
      <w:szCs w:val="22"/>
    </w:rPr>
  </w:style>
  <w:style w:type="character" w:customStyle="1" w:styleId="343">
    <w:name w:val="脚注文本 Char"/>
    <w:qFormat/>
    <w:uiPriority w:val="99"/>
    <w:rPr>
      <w:kern w:val="2"/>
      <w:sz w:val="18"/>
      <w:szCs w:val="18"/>
    </w:rPr>
  </w:style>
  <w:style w:type="character" w:customStyle="1" w:styleId="344">
    <w:name w:val="宏文本 Char1"/>
    <w:semiHidden/>
    <w:qFormat/>
    <w:uiPriority w:val="99"/>
    <w:rPr>
      <w:rFonts w:ascii="Courier New" w:hAnsi="Courier New" w:cs="Courier New"/>
      <w:kern w:val="2"/>
      <w:sz w:val="24"/>
      <w:szCs w:val="24"/>
    </w:rPr>
  </w:style>
  <w:style w:type="character" w:customStyle="1" w:styleId="345">
    <w:name w:val="标书标题 3 Char Char Char"/>
    <w:link w:val="346"/>
    <w:qFormat/>
    <w:uiPriority w:val="0"/>
    <w:rPr>
      <w:rFonts w:ascii="Arial" w:hAnsi="Arial" w:eastAsia="仿宋_GB2312" w:cs="Times New Roman"/>
      <w:b/>
      <w:kern w:val="2"/>
      <w:sz w:val="24"/>
      <w:szCs w:val="32"/>
    </w:rPr>
  </w:style>
  <w:style w:type="paragraph" w:customStyle="1" w:styleId="346">
    <w:name w:val="标书标题 3 Char"/>
    <w:basedOn w:val="1"/>
    <w:link w:val="345"/>
    <w:qFormat/>
    <w:uiPriority w:val="0"/>
    <w:pPr>
      <w:tabs>
        <w:tab w:val="left" w:pos="720"/>
      </w:tabs>
      <w:spacing w:line="360" w:lineRule="auto"/>
      <w:outlineLvl w:val="2"/>
    </w:pPr>
    <w:rPr>
      <w:rFonts w:ascii="Arial" w:hAnsi="Arial" w:eastAsia="仿宋_GB2312"/>
      <w:b/>
      <w:sz w:val="24"/>
      <w:szCs w:val="32"/>
    </w:rPr>
  </w:style>
  <w:style w:type="character" w:customStyle="1" w:styleId="347">
    <w:name w:val="heading 2 Char2"/>
    <w:autoRedefine/>
    <w:qFormat/>
    <w:uiPriority w:val="0"/>
    <w:rPr>
      <w:rFonts w:ascii="Cambria" w:hAnsi="Cambria" w:eastAsia="仿宋_GB2312"/>
      <w:b/>
      <w:bCs/>
      <w:kern w:val="2"/>
      <w:sz w:val="32"/>
      <w:szCs w:val="32"/>
    </w:rPr>
  </w:style>
  <w:style w:type="character" w:customStyle="1" w:styleId="348">
    <w:name w:val="me04"/>
    <w:autoRedefine/>
    <w:qFormat/>
    <w:uiPriority w:val="0"/>
    <w:rPr>
      <w:rFonts w:ascii="仿宋_GB2312" w:hAnsi="Tahoma" w:eastAsia="仿宋_GB2312"/>
      <w:b/>
      <w:sz w:val="32"/>
      <w:szCs w:val="32"/>
    </w:rPr>
  </w:style>
  <w:style w:type="character" w:customStyle="1" w:styleId="349">
    <w:name w:val="注释标题 Char2"/>
    <w:semiHidden/>
    <w:qFormat/>
    <w:uiPriority w:val="99"/>
    <w:rPr>
      <w:kern w:val="2"/>
      <w:sz w:val="21"/>
      <w:szCs w:val="24"/>
    </w:rPr>
  </w:style>
  <w:style w:type="character" w:customStyle="1" w:styleId="350">
    <w:name w:val="正文文本缩进 2 Char"/>
    <w:qFormat/>
    <w:uiPriority w:val="0"/>
    <w:rPr>
      <w:kern w:val="2"/>
      <w:sz w:val="21"/>
      <w:szCs w:val="24"/>
    </w:rPr>
  </w:style>
  <w:style w:type="character" w:customStyle="1" w:styleId="351">
    <w:name w:val="font161"/>
    <w:qFormat/>
    <w:uiPriority w:val="0"/>
    <w:rPr>
      <w:b/>
      <w:bCs/>
      <w:sz w:val="32"/>
      <w:szCs w:val="32"/>
    </w:rPr>
  </w:style>
  <w:style w:type="character" w:customStyle="1" w:styleId="352">
    <w:name w:val="Char Char16"/>
    <w:qFormat/>
    <w:uiPriority w:val="0"/>
    <w:rPr>
      <w:rFonts w:ascii="仿宋_GB2312" w:eastAsia="仿宋_GB2312"/>
      <w:b/>
      <w:bCs/>
      <w:kern w:val="2"/>
      <w:sz w:val="28"/>
      <w:szCs w:val="28"/>
    </w:rPr>
  </w:style>
  <w:style w:type="character" w:customStyle="1" w:styleId="353">
    <w:name w:val="编号正文缩进 Char"/>
    <w:link w:val="354"/>
    <w:autoRedefine/>
    <w:qFormat/>
    <w:uiPriority w:val="0"/>
    <w:rPr>
      <w:sz w:val="24"/>
    </w:rPr>
  </w:style>
  <w:style w:type="paragraph" w:customStyle="1" w:styleId="354">
    <w:name w:val="编号正文缩进"/>
    <w:basedOn w:val="16"/>
    <w:link w:val="353"/>
    <w:qFormat/>
    <w:uiPriority w:val="0"/>
    <w:pPr>
      <w:numPr>
        <w:ilvl w:val="0"/>
        <w:numId w:val="6"/>
      </w:numPr>
      <w:spacing w:line="400" w:lineRule="atLeast"/>
    </w:pPr>
    <w:rPr>
      <w:sz w:val="24"/>
    </w:rPr>
  </w:style>
  <w:style w:type="character" w:customStyle="1" w:styleId="355">
    <w:name w:val="smalltxt1"/>
    <w:qFormat/>
    <w:uiPriority w:val="0"/>
    <w:rPr>
      <w:rFonts w:hint="default" w:ascii="ˎ̥" w:hAnsi="ˎ̥" w:eastAsia="仿宋_GB2312"/>
      <w:b/>
      <w:sz w:val="24"/>
      <w:szCs w:val="24"/>
    </w:rPr>
  </w:style>
  <w:style w:type="character" w:customStyle="1" w:styleId="356">
    <w:name w:val="注释标题 Char"/>
    <w:qFormat/>
    <w:uiPriority w:val="0"/>
    <w:rPr>
      <w:rFonts w:eastAsia="黑体"/>
      <w:kern w:val="2"/>
      <w:sz w:val="28"/>
    </w:rPr>
  </w:style>
  <w:style w:type="character" w:customStyle="1" w:styleId="357">
    <w:name w:val="批注文字 Char"/>
    <w:qFormat/>
    <w:uiPriority w:val="0"/>
    <w:rPr>
      <w:rFonts w:eastAsia="宋体"/>
      <w:kern w:val="2"/>
      <w:sz w:val="21"/>
      <w:szCs w:val="24"/>
      <w:lang w:val="en-US" w:eastAsia="zh-CN" w:bidi="ar-SA"/>
    </w:rPr>
  </w:style>
  <w:style w:type="character" w:customStyle="1" w:styleId="358">
    <w:name w:val="正文文本 3 Char1"/>
    <w:semiHidden/>
    <w:qFormat/>
    <w:uiPriority w:val="99"/>
    <w:rPr>
      <w:kern w:val="2"/>
      <w:sz w:val="16"/>
      <w:szCs w:val="16"/>
    </w:rPr>
  </w:style>
  <w:style w:type="character" w:customStyle="1" w:styleId="359">
    <w:name w:val="headline-content"/>
    <w:qFormat/>
    <w:uiPriority w:val="0"/>
  </w:style>
  <w:style w:type="character" w:customStyle="1" w:styleId="360">
    <w:name w:val="op-map-singlepoint-info-right1"/>
    <w:qFormat/>
    <w:uiPriority w:val="0"/>
    <w:rPr>
      <w:szCs w:val="20"/>
    </w:rPr>
  </w:style>
  <w:style w:type="character" w:customStyle="1" w:styleId="361">
    <w:name w:val="正文首行缩进 Char1"/>
    <w:autoRedefine/>
    <w:qFormat/>
    <w:uiPriority w:val="0"/>
    <w:rPr>
      <w:rFonts w:ascii="Tahoma" w:hAnsi="Tahoma"/>
      <w:kern w:val="2"/>
      <w:sz w:val="21"/>
      <w:szCs w:val="24"/>
    </w:rPr>
  </w:style>
  <w:style w:type="character" w:customStyle="1" w:styleId="362">
    <w:name w:val="med1"/>
    <w:qFormat/>
    <w:uiPriority w:val="0"/>
  </w:style>
  <w:style w:type="character" w:customStyle="1" w:styleId="363">
    <w:name w:val="样式 宋体"/>
    <w:qFormat/>
    <w:uiPriority w:val="0"/>
    <w:rPr>
      <w:rFonts w:ascii="宋体" w:hAnsi="宋体" w:eastAsia="宋体"/>
      <w:b/>
      <w:sz w:val="24"/>
      <w:szCs w:val="24"/>
    </w:rPr>
  </w:style>
  <w:style w:type="character" w:customStyle="1" w:styleId="364">
    <w:name w:val="目录标题 Char Char"/>
    <w:qFormat/>
    <w:uiPriority w:val="0"/>
    <w:rPr>
      <w:rFonts w:eastAsia="黑体"/>
      <w:b/>
      <w:bCs/>
      <w:kern w:val="2"/>
      <w:sz w:val="44"/>
      <w:szCs w:val="44"/>
    </w:rPr>
  </w:style>
  <w:style w:type="character" w:customStyle="1" w:styleId="365">
    <w:name w:val="标题 3 Char"/>
    <w:qFormat/>
    <w:uiPriority w:val="0"/>
    <w:rPr>
      <w:rFonts w:ascii="黑体" w:hAnsi="宋体" w:eastAsia="黑体"/>
      <w:bCs/>
      <w:kern w:val="2"/>
      <w:sz w:val="28"/>
      <w:szCs w:val="28"/>
      <w:lang w:val="en-US" w:eastAsia="zh-CN" w:bidi="ar-SA"/>
    </w:rPr>
  </w:style>
  <w:style w:type="character" w:customStyle="1" w:styleId="366">
    <w:name w:val="apple-style-span"/>
    <w:qFormat/>
    <w:uiPriority w:val="0"/>
  </w:style>
  <w:style w:type="character" w:styleId="367">
    <w:name w:val="Placeholder Text"/>
    <w:semiHidden/>
    <w:qFormat/>
    <w:uiPriority w:val="99"/>
    <w:rPr>
      <w:color w:val="808080"/>
    </w:rPr>
  </w:style>
  <w:style w:type="character" w:customStyle="1" w:styleId="368">
    <w:name w:val="Char Char201"/>
    <w:qFormat/>
    <w:uiPriority w:val="0"/>
    <w:rPr>
      <w:rFonts w:ascii="Cambria" w:hAnsi="Cambria" w:eastAsia="宋体" w:cs="Times New Roman"/>
      <w:b/>
      <w:bCs/>
      <w:sz w:val="32"/>
      <w:szCs w:val="32"/>
    </w:rPr>
  </w:style>
  <w:style w:type="character" w:customStyle="1" w:styleId="369">
    <w:name w:val="Char Char111"/>
    <w:qFormat/>
    <w:uiPriority w:val="0"/>
    <w:rPr>
      <w:rFonts w:ascii="Times New Roman" w:hAnsi="Times New Roman" w:eastAsia="宋体" w:cs="Times New Roman"/>
      <w:sz w:val="18"/>
      <w:szCs w:val="18"/>
    </w:rPr>
  </w:style>
  <w:style w:type="character" w:customStyle="1" w:styleId="370">
    <w:name w:val="称呼 Char1"/>
    <w:semiHidden/>
    <w:qFormat/>
    <w:uiPriority w:val="99"/>
    <w:rPr>
      <w:kern w:val="2"/>
      <w:sz w:val="21"/>
      <w:szCs w:val="24"/>
    </w:rPr>
  </w:style>
  <w:style w:type="character" w:customStyle="1" w:styleId="371">
    <w:name w:val="heading 3 Char1"/>
    <w:qFormat/>
    <w:uiPriority w:val="0"/>
    <w:rPr>
      <w:rFonts w:ascii="仿宋_GB2312" w:eastAsia="宋体"/>
      <w:b/>
      <w:bCs/>
      <w:kern w:val="2"/>
      <w:sz w:val="32"/>
      <w:szCs w:val="32"/>
      <w:lang w:val="en-US" w:eastAsia="zh-CN" w:bidi="ar-SA"/>
    </w:rPr>
  </w:style>
  <w:style w:type="character" w:customStyle="1" w:styleId="372">
    <w:name w:val="页脚 Char1"/>
    <w:qFormat/>
    <w:uiPriority w:val="0"/>
    <w:rPr>
      <w:kern w:val="2"/>
      <w:sz w:val="18"/>
      <w:szCs w:val="18"/>
    </w:rPr>
  </w:style>
  <w:style w:type="character" w:customStyle="1" w:styleId="373">
    <w:name w:val="PI Char2"/>
    <w:qFormat/>
    <w:uiPriority w:val="0"/>
    <w:rPr>
      <w:rFonts w:ascii="仿宋_GB2312" w:eastAsia="仿宋_GB2312"/>
      <w:b/>
      <w:kern w:val="2"/>
      <w:sz w:val="24"/>
      <w:szCs w:val="24"/>
    </w:rPr>
  </w:style>
  <w:style w:type="character" w:customStyle="1" w:styleId="374">
    <w:name w:val="heading 2 Char1"/>
    <w:qFormat/>
    <w:uiPriority w:val="0"/>
    <w:rPr>
      <w:rFonts w:ascii="Cambria" w:hAnsi="Cambria" w:eastAsia="宋体"/>
      <w:b/>
      <w:bCs/>
      <w:kern w:val="2"/>
      <w:sz w:val="32"/>
      <w:szCs w:val="32"/>
      <w:lang w:val="en-US" w:eastAsia="zh-CN" w:bidi="ar-SA"/>
    </w:rPr>
  </w:style>
  <w:style w:type="character" w:customStyle="1" w:styleId="375">
    <w:name w:val="标题 3 Char1"/>
    <w:qFormat/>
    <w:uiPriority w:val="0"/>
    <w:rPr>
      <w:b/>
      <w:bCs/>
      <w:kern w:val="2"/>
      <w:sz w:val="32"/>
      <w:szCs w:val="32"/>
    </w:rPr>
  </w:style>
  <w:style w:type="character" w:customStyle="1" w:styleId="376">
    <w:name w:val="heading 9 Char1"/>
    <w:qFormat/>
    <w:uiPriority w:val="0"/>
    <w:rPr>
      <w:rFonts w:ascii="Arial" w:hAnsi="Arial" w:eastAsia="黑体"/>
      <w:b/>
      <w:sz w:val="21"/>
      <w:szCs w:val="32"/>
      <w:lang w:val="en-US" w:eastAsia="zh-CN" w:bidi="ar-SA"/>
    </w:rPr>
  </w:style>
  <w:style w:type="character" w:customStyle="1" w:styleId="377">
    <w:name w:val="doc"/>
    <w:qFormat/>
    <w:uiPriority w:val="0"/>
    <w:rPr>
      <w:szCs w:val="20"/>
    </w:rPr>
  </w:style>
  <w:style w:type="character" w:customStyle="1" w:styleId="378">
    <w:name w:val="heading 7 Char1"/>
    <w:qFormat/>
    <w:uiPriority w:val="0"/>
    <w:rPr>
      <w:rFonts w:ascii="Arial" w:hAnsi="Arial" w:eastAsia="黑体"/>
      <w:b/>
      <w:sz w:val="21"/>
      <w:szCs w:val="21"/>
      <w:lang w:val="en-US" w:eastAsia="zh-CN" w:bidi="ar-SA"/>
    </w:rPr>
  </w:style>
  <w:style w:type="character" w:customStyle="1" w:styleId="379">
    <w:name w:val="批注主题 Char1"/>
    <w:qFormat/>
    <w:uiPriority w:val="0"/>
    <w:rPr>
      <w:b/>
      <w:bCs/>
      <w:kern w:val="2"/>
      <w:sz w:val="21"/>
      <w:szCs w:val="24"/>
    </w:rPr>
  </w:style>
  <w:style w:type="character" w:customStyle="1" w:styleId="380">
    <w:name w:val="明显引用 Char1"/>
    <w:qFormat/>
    <w:uiPriority w:val="99"/>
    <w:rPr>
      <w:rFonts w:ascii="Tahoma" w:hAnsi="Tahoma"/>
      <w:b/>
      <w:bCs/>
      <w:i/>
      <w:iCs/>
      <w:color w:val="4F81BD"/>
      <w:kern w:val="2"/>
      <w:sz w:val="21"/>
      <w:szCs w:val="24"/>
    </w:rPr>
  </w:style>
  <w:style w:type="character" w:customStyle="1" w:styleId="381">
    <w:name w:val="正文文本 字符"/>
    <w:qFormat/>
    <w:uiPriority w:val="0"/>
    <w:rPr>
      <w:rFonts w:eastAsia="Cambria"/>
      <w:kern w:val="2"/>
      <w:sz w:val="21"/>
      <w:szCs w:val="24"/>
      <w:lang w:val="en-US" w:eastAsia="zh-CN" w:bidi="ar-SA"/>
    </w:rPr>
  </w:style>
  <w:style w:type="character" w:customStyle="1" w:styleId="382">
    <w:name w:val="Char Char1"/>
    <w:qFormat/>
    <w:uiPriority w:val="0"/>
    <w:rPr>
      <w:rFonts w:ascii="宋体" w:hAnsi="Courier New" w:eastAsia="宋体"/>
      <w:kern w:val="2"/>
      <w:sz w:val="21"/>
      <w:lang w:val="en-US" w:eastAsia="zh-CN" w:bidi="ar-SA"/>
    </w:rPr>
  </w:style>
  <w:style w:type="character" w:customStyle="1" w:styleId="383">
    <w:name w:val="Char Char Char1"/>
    <w:qFormat/>
    <w:uiPriority w:val="0"/>
    <w:rPr>
      <w:rFonts w:ascii="宋体" w:hAnsi="Courier New" w:eastAsia="仿宋_GB2312"/>
      <w:b/>
      <w:sz w:val="21"/>
      <w:szCs w:val="21"/>
    </w:rPr>
  </w:style>
  <w:style w:type="character" w:customStyle="1" w:styleId="384">
    <w:name w:val="正文文本 2 Char2"/>
    <w:semiHidden/>
    <w:qFormat/>
    <w:uiPriority w:val="99"/>
    <w:rPr>
      <w:kern w:val="2"/>
      <w:sz w:val="21"/>
      <w:szCs w:val="24"/>
    </w:rPr>
  </w:style>
  <w:style w:type="character" w:customStyle="1" w:styleId="385">
    <w:name w:val="正文文本缩进 2 Char2"/>
    <w:semiHidden/>
    <w:qFormat/>
    <w:uiPriority w:val="99"/>
    <w:rPr>
      <w:kern w:val="2"/>
      <w:sz w:val="21"/>
      <w:szCs w:val="24"/>
    </w:rPr>
  </w:style>
  <w:style w:type="character" w:customStyle="1" w:styleId="386">
    <w:name w:val="Texte Char Char"/>
    <w:qFormat/>
    <w:uiPriority w:val="0"/>
    <w:rPr>
      <w:rFonts w:ascii="宋体" w:hAnsi="Courier New" w:eastAsia="宋体"/>
      <w:b/>
      <w:sz w:val="21"/>
      <w:szCs w:val="21"/>
      <w:lang w:val="en-US" w:eastAsia="zh-CN" w:bidi="ar-SA"/>
    </w:rPr>
  </w:style>
  <w:style w:type="character" w:customStyle="1" w:styleId="387">
    <w:name w:val="无间隔 Char"/>
    <w:link w:val="388"/>
    <w:qFormat/>
    <w:uiPriority w:val="0"/>
    <w:rPr>
      <w:sz w:val="22"/>
      <w:szCs w:val="22"/>
      <w:lang w:val="en-US" w:eastAsia="zh-CN" w:bidi="ar-SA"/>
    </w:rPr>
  </w:style>
  <w:style w:type="paragraph" w:customStyle="1" w:styleId="388">
    <w:name w:val="无间隔1"/>
    <w:link w:val="387"/>
    <w:qFormat/>
    <w:uiPriority w:val="0"/>
    <w:rPr>
      <w:rFonts w:ascii="Times New Roman" w:hAnsi="Times New Roman" w:eastAsia="宋体" w:cs="Times New Roman"/>
      <w:sz w:val="22"/>
      <w:szCs w:val="22"/>
      <w:lang w:val="en-US" w:eastAsia="zh-CN" w:bidi="ar-SA"/>
    </w:rPr>
  </w:style>
  <w:style w:type="character" w:customStyle="1" w:styleId="389">
    <w:name w:val="明显引用 Char"/>
    <w:link w:val="390"/>
    <w:qFormat/>
    <w:uiPriority w:val="0"/>
    <w:rPr>
      <w:rFonts w:ascii="Calibri" w:hAnsi="Calibri"/>
      <w:b/>
      <w:bCs/>
      <w:i/>
      <w:iCs/>
      <w:color w:val="4F81BD"/>
      <w:sz w:val="32"/>
      <w:szCs w:val="32"/>
    </w:rPr>
  </w:style>
  <w:style w:type="paragraph" w:customStyle="1" w:styleId="390">
    <w:name w:val="明显引用1"/>
    <w:basedOn w:val="1"/>
    <w:next w:val="1"/>
    <w:link w:val="389"/>
    <w:qFormat/>
    <w:uiPriority w:val="0"/>
    <w:pPr>
      <w:pBdr>
        <w:bottom w:val="single" w:color="4F81BD" w:sz="4" w:space="4"/>
      </w:pBdr>
      <w:spacing w:before="200" w:after="280"/>
      <w:ind w:left="936" w:right="936"/>
    </w:pPr>
    <w:rPr>
      <w:rFonts w:ascii="Calibri" w:hAnsi="Calibri"/>
      <w:b/>
      <w:bCs/>
      <w:i/>
      <w:iCs/>
      <w:color w:val="4F81BD"/>
      <w:kern w:val="0"/>
      <w:sz w:val="32"/>
      <w:szCs w:val="32"/>
    </w:rPr>
  </w:style>
  <w:style w:type="character" w:customStyle="1" w:styleId="391">
    <w:name w:val="小标题 Char"/>
    <w:link w:val="392"/>
    <w:qFormat/>
    <w:uiPriority w:val="0"/>
    <w:rPr>
      <w:rFonts w:eastAsia="黑体"/>
    </w:rPr>
  </w:style>
  <w:style w:type="paragraph" w:customStyle="1" w:styleId="392">
    <w:name w:val="小标题"/>
    <w:basedOn w:val="1"/>
    <w:link w:val="391"/>
    <w:qFormat/>
    <w:uiPriority w:val="0"/>
    <w:pPr>
      <w:autoSpaceDE w:val="0"/>
      <w:autoSpaceDN w:val="0"/>
      <w:adjustRightInd w:val="0"/>
      <w:spacing w:before="120" w:line="360" w:lineRule="atLeast"/>
      <w:ind w:left="1134"/>
      <w:jc w:val="left"/>
      <w:textAlignment w:val="baseline"/>
    </w:pPr>
    <w:rPr>
      <w:rFonts w:eastAsia="黑体"/>
      <w:kern w:val="0"/>
      <w:sz w:val="20"/>
      <w:szCs w:val="20"/>
    </w:rPr>
  </w:style>
  <w:style w:type="character" w:customStyle="1" w:styleId="393">
    <w:name w:val="Style5"/>
    <w:qFormat/>
    <w:uiPriority w:val="0"/>
    <w:rPr>
      <w:rFonts w:ascii="Calibri" w:hAnsi="宋体" w:eastAsia="宋体" w:cs="Times New Roman"/>
      <w:sz w:val="22"/>
      <w:szCs w:val="22"/>
      <w:lang w:eastAsia="zh-CN"/>
    </w:rPr>
  </w:style>
  <w:style w:type="character" w:customStyle="1" w:styleId="394">
    <w:name w:val="Style3"/>
    <w:qFormat/>
    <w:uiPriority w:val="0"/>
    <w:rPr>
      <w:rFonts w:ascii="Calibri" w:hAnsi="宋体" w:eastAsia="宋体" w:cs="Times New Roman"/>
      <w:szCs w:val="22"/>
      <w:lang w:eastAsia="zh-CN"/>
    </w:rPr>
  </w:style>
  <w:style w:type="character" w:customStyle="1" w:styleId="395">
    <w:name w:val="页眉 Char"/>
    <w:qFormat/>
    <w:uiPriority w:val="99"/>
    <w:rPr>
      <w:rFonts w:eastAsia="仿宋_GB2312"/>
      <w:kern w:val="2"/>
      <w:sz w:val="18"/>
      <w:szCs w:val="18"/>
      <w:lang w:val="en-US" w:eastAsia="zh-CN" w:bidi="ar-SA"/>
    </w:rPr>
  </w:style>
  <w:style w:type="character" w:customStyle="1" w:styleId="396">
    <w:name w:val="栏目标题 Char"/>
    <w:link w:val="397"/>
    <w:qFormat/>
    <w:uiPriority w:val="0"/>
    <w:rPr>
      <w:rFonts w:ascii="黑体" w:hAnsi="黑体" w:eastAsia="黑体"/>
      <w:b/>
      <w:kern w:val="2"/>
      <w:sz w:val="21"/>
      <w:szCs w:val="24"/>
    </w:rPr>
  </w:style>
  <w:style w:type="paragraph" w:customStyle="1" w:styleId="397">
    <w:name w:val="栏目标题"/>
    <w:basedOn w:val="1"/>
    <w:link w:val="396"/>
    <w:qFormat/>
    <w:uiPriority w:val="0"/>
    <w:pPr>
      <w:jc w:val="center"/>
    </w:pPr>
    <w:rPr>
      <w:rFonts w:ascii="黑体" w:hAnsi="黑体" w:eastAsia="黑体"/>
      <w:b/>
    </w:rPr>
  </w:style>
  <w:style w:type="character" w:customStyle="1" w:styleId="398">
    <w:name w:val="Ò³Ã¼ Char Char"/>
    <w:qFormat/>
    <w:uiPriority w:val="0"/>
    <w:rPr>
      <w:rFonts w:ascii="仿宋_GB2312" w:eastAsia="仿宋_GB2312"/>
      <w:b/>
      <w:sz w:val="18"/>
      <w:szCs w:val="18"/>
    </w:rPr>
  </w:style>
  <w:style w:type="character" w:customStyle="1" w:styleId="399">
    <w:name w:val="input"/>
    <w:qFormat/>
    <w:uiPriority w:val="0"/>
    <w:rPr>
      <w:szCs w:val="20"/>
    </w:rPr>
  </w:style>
  <w:style w:type="character" w:customStyle="1" w:styleId="400">
    <w:name w:val="red1"/>
    <w:qFormat/>
    <w:uiPriority w:val="0"/>
    <w:rPr>
      <w:color w:val="FF0000"/>
      <w:szCs w:val="20"/>
    </w:rPr>
  </w:style>
  <w:style w:type="character" w:customStyle="1" w:styleId="401">
    <w:name w:val="目录标题 Char"/>
    <w:link w:val="402"/>
    <w:qFormat/>
    <w:uiPriority w:val="0"/>
    <w:rPr>
      <w:rFonts w:eastAsia="黑体"/>
      <w:b/>
      <w:bCs/>
      <w:kern w:val="2"/>
      <w:sz w:val="44"/>
      <w:szCs w:val="44"/>
    </w:rPr>
  </w:style>
  <w:style w:type="paragraph" w:customStyle="1" w:styleId="402">
    <w:name w:val="目录标题1"/>
    <w:basedOn w:val="1"/>
    <w:link w:val="401"/>
    <w:qFormat/>
    <w:uiPriority w:val="0"/>
    <w:pPr>
      <w:jc w:val="center"/>
    </w:pPr>
    <w:rPr>
      <w:rFonts w:eastAsia="黑体"/>
      <w:b/>
      <w:bCs/>
      <w:sz w:val="44"/>
      <w:szCs w:val="44"/>
    </w:rPr>
  </w:style>
  <w:style w:type="character" w:customStyle="1" w:styleId="403">
    <w:name w:val="正文缩进 Char1 Char"/>
    <w:qFormat/>
    <w:uiPriority w:val="0"/>
    <w:rPr>
      <w:rFonts w:ascii="仿宋_GB2312" w:eastAsia="宋体"/>
      <w:b/>
      <w:sz w:val="21"/>
      <w:szCs w:val="32"/>
      <w:lang w:val="en-US" w:eastAsia="zh-CN" w:bidi="ar-SA"/>
    </w:rPr>
  </w:style>
  <w:style w:type="character" w:customStyle="1" w:styleId="404">
    <w:name w:val="内容文本 Char"/>
    <w:link w:val="405"/>
    <w:qFormat/>
    <w:uiPriority w:val="0"/>
    <w:rPr>
      <w:rFonts w:ascii="宋体" w:hAnsi="宋体"/>
      <w:sz w:val="24"/>
      <w:szCs w:val="24"/>
      <w:lang w:eastAsia="en-US" w:bidi="en-US"/>
    </w:rPr>
  </w:style>
  <w:style w:type="paragraph" w:customStyle="1" w:styleId="405">
    <w:name w:val="内容文本"/>
    <w:basedOn w:val="252"/>
    <w:link w:val="404"/>
    <w:qFormat/>
    <w:uiPriority w:val="0"/>
    <w:pPr>
      <w:spacing w:line="360" w:lineRule="auto"/>
      <w:ind w:firstLine="200"/>
      <w:contextualSpacing/>
      <w:jc w:val="left"/>
    </w:pPr>
    <w:rPr>
      <w:rFonts w:ascii="宋体" w:hAnsi="宋体"/>
      <w:kern w:val="0"/>
      <w:sz w:val="24"/>
      <w:lang w:eastAsia="en-US" w:bidi="en-US"/>
    </w:rPr>
  </w:style>
  <w:style w:type="character" w:customStyle="1" w:styleId="406">
    <w:name w:val="哈哈正文 Char"/>
    <w:link w:val="407"/>
    <w:qFormat/>
    <w:uiPriority w:val="0"/>
    <w:rPr>
      <w:rFonts w:ascii="宋体" w:hAnsi="宋体" w:cs="宋体"/>
      <w:kern w:val="2"/>
      <w:sz w:val="24"/>
    </w:rPr>
  </w:style>
  <w:style w:type="paragraph" w:customStyle="1" w:styleId="407">
    <w:name w:val="哈哈正文"/>
    <w:basedOn w:val="1"/>
    <w:link w:val="406"/>
    <w:qFormat/>
    <w:uiPriority w:val="0"/>
    <w:pPr>
      <w:spacing w:line="360" w:lineRule="auto"/>
      <w:ind w:firstLine="200" w:firstLineChars="200"/>
    </w:pPr>
    <w:rPr>
      <w:rFonts w:ascii="宋体" w:hAnsi="宋体"/>
      <w:sz w:val="24"/>
      <w:szCs w:val="20"/>
    </w:rPr>
  </w:style>
  <w:style w:type="character" w:customStyle="1" w:styleId="408">
    <w:name w:val="书籍标题1"/>
    <w:qFormat/>
    <w:uiPriority w:val="0"/>
    <w:rPr>
      <w:b/>
      <w:bCs/>
      <w:smallCaps/>
      <w:spacing w:val="5"/>
    </w:rPr>
  </w:style>
  <w:style w:type="character" w:customStyle="1" w:styleId="409">
    <w:name w:val="Char Char21"/>
    <w:qFormat/>
    <w:uiPriority w:val="0"/>
    <w:rPr>
      <w:rFonts w:ascii="Times New Roman" w:hAnsi="Times New Roman" w:eastAsia="宋体" w:cs="Times New Roman"/>
      <w:b/>
      <w:bCs/>
      <w:kern w:val="44"/>
      <w:sz w:val="44"/>
      <w:szCs w:val="44"/>
    </w:rPr>
  </w:style>
  <w:style w:type="character" w:customStyle="1" w:styleId="410">
    <w:name w:val="大标题 Char Char"/>
    <w:qFormat/>
    <w:uiPriority w:val="0"/>
    <w:rPr>
      <w:rFonts w:ascii="黑体" w:hAnsi="黑体" w:eastAsia="黑体"/>
      <w:b/>
      <w:bCs/>
      <w:kern w:val="2"/>
      <w:sz w:val="72"/>
      <w:szCs w:val="72"/>
    </w:rPr>
  </w:style>
  <w:style w:type="character" w:customStyle="1" w:styleId="411">
    <w:name w:val="正文首行缩进 Char2"/>
    <w:qFormat/>
    <w:uiPriority w:val="0"/>
    <w:rPr>
      <w:rFonts w:ascii="仿宋_GB2312"/>
      <w:b/>
      <w:sz w:val="32"/>
      <w:szCs w:val="32"/>
    </w:rPr>
  </w:style>
  <w:style w:type="character" w:customStyle="1" w:styleId="412">
    <w:name w:val="blue1"/>
    <w:qFormat/>
    <w:uiPriority w:val="0"/>
    <w:rPr>
      <w:rFonts w:ascii="仿宋_GB2312" w:hAnsi="Tahoma" w:eastAsia="仿宋_GB2312"/>
      <w:b/>
      <w:sz w:val="32"/>
      <w:szCs w:val="32"/>
    </w:rPr>
  </w:style>
  <w:style w:type="character" w:customStyle="1" w:styleId="413">
    <w:name w:val="注释正文＋下划线 Char Char"/>
    <w:qFormat/>
    <w:uiPriority w:val="0"/>
    <w:rPr>
      <w:rFonts w:ascii="宋体" w:hAnsi="宋体"/>
      <w:kern w:val="2"/>
      <w:sz w:val="28"/>
      <w:szCs w:val="28"/>
      <w:u w:val="single"/>
    </w:rPr>
  </w:style>
  <w:style w:type="character" w:customStyle="1" w:styleId="414">
    <w:name w:val="Footer-Even Char1"/>
    <w:qFormat/>
    <w:uiPriority w:val="0"/>
    <w:rPr>
      <w:rFonts w:ascii="仿宋_GB2312" w:eastAsia="宋体"/>
      <w:b/>
      <w:kern w:val="2"/>
      <w:sz w:val="18"/>
      <w:szCs w:val="18"/>
      <w:lang w:val="en-US" w:eastAsia="zh-CN" w:bidi="ar-SA"/>
    </w:rPr>
  </w:style>
  <w:style w:type="character" w:customStyle="1" w:styleId="415">
    <w:name w:val="Char Char15"/>
    <w:qFormat/>
    <w:uiPriority w:val="0"/>
    <w:rPr>
      <w:rFonts w:ascii="Arial" w:hAnsi="Arial" w:eastAsia="黑体"/>
      <w:b/>
      <w:sz w:val="24"/>
      <w:szCs w:val="24"/>
    </w:rPr>
  </w:style>
  <w:style w:type="character" w:customStyle="1" w:styleId="416">
    <w:name w:val="heading 3 Char2"/>
    <w:qFormat/>
    <w:uiPriority w:val="0"/>
    <w:rPr>
      <w:rFonts w:ascii="仿宋_GB2312" w:eastAsia="仿宋_GB2312"/>
      <w:b/>
      <w:bCs/>
      <w:kern w:val="2"/>
      <w:sz w:val="32"/>
      <w:szCs w:val="32"/>
    </w:rPr>
  </w:style>
  <w:style w:type="character" w:customStyle="1" w:styleId="417">
    <w:name w:val="hui"/>
    <w:qFormat/>
    <w:uiPriority w:val="0"/>
    <w:rPr>
      <w:rFonts w:ascii="仿宋_GB2312" w:hAnsi="Tahoma" w:eastAsia="仿宋_GB2312"/>
      <w:b/>
      <w:sz w:val="32"/>
      <w:szCs w:val="32"/>
    </w:rPr>
  </w:style>
  <w:style w:type="character" w:customStyle="1" w:styleId="418">
    <w:name w:val="A3"/>
    <w:qFormat/>
    <w:uiPriority w:val="0"/>
    <w:rPr>
      <w:rFonts w:ascii="ZapfDingbatsNr2EFOP-Regular" w:eastAsia="ZapfDingbatsNr2EFOP-Regular" w:cs="ZapfDingbatsNr2EFOP-Regular"/>
      <w:color w:val="211D1E"/>
      <w:sz w:val="14"/>
      <w:szCs w:val="14"/>
    </w:rPr>
  </w:style>
  <w:style w:type="character" w:customStyle="1" w:styleId="419">
    <w:name w:val="hover30"/>
    <w:qFormat/>
    <w:uiPriority w:val="0"/>
    <w:rPr>
      <w:szCs w:val="20"/>
    </w:rPr>
  </w:style>
  <w:style w:type="character" w:customStyle="1" w:styleId="420">
    <w:name w:val="符号正文缩进 Char"/>
    <w:link w:val="421"/>
    <w:qFormat/>
    <w:uiPriority w:val="0"/>
    <w:rPr>
      <w:sz w:val="24"/>
    </w:rPr>
  </w:style>
  <w:style w:type="paragraph" w:customStyle="1" w:styleId="421">
    <w:name w:val="符号正文缩进"/>
    <w:basedOn w:val="16"/>
    <w:link w:val="420"/>
    <w:qFormat/>
    <w:uiPriority w:val="0"/>
    <w:pPr>
      <w:numPr>
        <w:ilvl w:val="0"/>
        <w:numId w:val="7"/>
      </w:numPr>
      <w:spacing w:line="400" w:lineRule="atLeast"/>
    </w:pPr>
    <w:rPr>
      <w:sz w:val="24"/>
    </w:rPr>
  </w:style>
  <w:style w:type="character" w:customStyle="1" w:styleId="422">
    <w:name w:val="num"/>
    <w:qFormat/>
    <w:uiPriority w:val="0"/>
    <w:rPr>
      <w:b/>
      <w:color w:val="FF7800"/>
      <w:szCs w:val="20"/>
    </w:rPr>
  </w:style>
  <w:style w:type="character" w:customStyle="1" w:styleId="423">
    <w:name w:val="正文首行缩进 Char"/>
    <w:qFormat/>
    <w:uiPriority w:val="0"/>
    <w:rPr>
      <w:rFonts w:ascii="仿宋_GB2312" w:eastAsia="宋体"/>
      <w:b/>
      <w:kern w:val="2"/>
      <w:sz w:val="21"/>
      <w:szCs w:val="24"/>
      <w:lang w:val="en-US" w:eastAsia="zh-CN" w:bidi="ar-SA"/>
    </w:rPr>
  </w:style>
  <w:style w:type="character" w:customStyle="1" w:styleId="424">
    <w:name w:val="Table Text Char Char"/>
    <w:link w:val="425"/>
    <w:qFormat/>
    <w:uiPriority w:val="0"/>
    <w:rPr>
      <w:sz w:val="24"/>
    </w:rPr>
  </w:style>
  <w:style w:type="paragraph" w:customStyle="1" w:styleId="425">
    <w:name w:val="Table Text"/>
    <w:basedOn w:val="1"/>
    <w:link w:val="424"/>
    <w:qFormat/>
    <w:uiPriority w:val="0"/>
    <w:pPr>
      <w:widowControl/>
      <w:autoSpaceDE w:val="0"/>
      <w:autoSpaceDN w:val="0"/>
      <w:adjustRightInd w:val="0"/>
      <w:spacing w:before="60" w:after="60"/>
      <w:jc w:val="left"/>
    </w:pPr>
    <w:rPr>
      <w:kern w:val="0"/>
      <w:sz w:val="24"/>
      <w:szCs w:val="20"/>
    </w:rPr>
  </w:style>
  <w:style w:type="character" w:customStyle="1" w:styleId="426">
    <w:name w:val="Char Char211"/>
    <w:qFormat/>
    <w:uiPriority w:val="0"/>
    <w:rPr>
      <w:rFonts w:ascii="Times New Roman" w:hAnsi="Times New Roman" w:eastAsia="宋体" w:cs="Times New Roman"/>
      <w:b/>
      <w:bCs/>
      <w:kern w:val="44"/>
      <w:sz w:val="44"/>
      <w:szCs w:val="44"/>
    </w:rPr>
  </w:style>
  <w:style w:type="character" w:customStyle="1" w:styleId="427">
    <w:name w:val="Char Char11"/>
    <w:qFormat/>
    <w:uiPriority w:val="0"/>
    <w:rPr>
      <w:rFonts w:ascii="Times New Roman" w:hAnsi="Times New Roman" w:eastAsia="宋体" w:cs="Times New Roman"/>
      <w:sz w:val="18"/>
      <w:szCs w:val="18"/>
    </w:rPr>
  </w:style>
  <w:style w:type="character" w:customStyle="1" w:styleId="428">
    <w:name w:val="表格题注 Char"/>
    <w:link w:val="429"/>
    <w:qFormat/>
    <w:uiPriority w:val="0"/>
    <w:rPr>
      <w:rFonts w:ascii="Calibri Light" w:hAnsi="Calibri Light" w:eastAsia="黑体" w:cs="黑体"/>
      <w:bCs/>
      <w:kern w:val="2"/>
      <w:sz w:val="21"/>
      <w:szCs w:val="21"/>
    </w:rPr>
  </w:style>
  <w:style w:type="paragraph" w:customStyle="1" w:styleId="429">
    <w:name w:val="表格题注"/>
    <w:basedOn w:val="17"/>
    <w:link w:val="428"/>
    <w:qFormat/>
    <w:uiPriority w:val="0"/>
    <w:pPr>
      <w:keepNext/>
      <w:autoSpaceDE/>
      <w:autoSpaceDN/>
      <w:adjustRightInd/>
      <w:spacing w:line="360" w:lineRule="auto"/>
      <w:jc w:val="center"/>
    </w:pPr>
    <w:rPr>
      <w:rFonts w:ascii="Calibri Light" w:hAnsi="Calibri Light"/>
      <w:bCs/>
      <w:kern w:val="2"/>
      <w:sz w:val="21"/>
      <w:szCs w:val="21"/>
    </w:rPr>
  </w:style>
  <w:style w:type="character" w:customStyle="1" w:styleId="430">
    <w:name w:val="明显参考1"/>
    <w:qFormat/>
    <w:uiPriority w:val="0"/>
    <w:rPr>
      <w:b/>
      <w:bCs/>
      <w:smallCaps/>
      <w:color w:val="C0504D"/>
      <w:spacing w:val="5"/>
      <w:u w:val="single"/>
    </w:rPr>
  </w:style>
  <w:style w:type="character" w:customStyle="1" w:styleId="431">
    <w:name w:val="副标题 Char1"/>
    <w:qFormat/>
    <w:uiPriority w:val="11"/>
    <w:rPr>
      <w:rFonts w:ascii="Cambria" w:hAnsi="Cambria" w:cs="Times New Roman"/>
      <w:b/>
      <w:bCs/>
      <w:kern w:val="28"/>
      <w:sz w:val="32"/>
      <w:szCs w:val="32"/>
    </w:rPr>
  </w:style>
  <w:style w:type="character" w:customStyle="1" w:styleId="432">
    <w:name w:val="称呼 Char"/>
    <w:qFormat/>
    <w:uiPriority w:val="0"/>
  </w:style>
  <w:style w:type="character" w:customStyle="1" w:styleId="433">
    <w:name w:val="heading 8 Char1"/>
    <w:qFormat/>
    <w:uiPriority w:val="0"/>
    <w:rPr>
      <w:rFonts w:ascii="Arial" w:hAnsi="Arial" w:eastAsia="黑体"/>
      <w:b/>
      <w:sz w:val="24"/>
      <w:szCs w:val="32"/>
      <w:lang w:val="en-US" w:eastAsia="zh-CN" w:bidi="ar-SA"/>
    </w:rPr>
  </w:style>
  <w:style w:type="character" w:customStyle="1" w:styleId="434">
    <w:name w:val="release-day"/>
    <w:qFormat/>
    <w:uiPriority w:val="0"/>
    <w:rPr>
      <w:szCs w:val="20"/>
      <w:bdr w:val="single" w:color="BDEBB0" w:sz="4" w:space="0"/>
      <w:shd w:val="clear" w:color="auto" w:fill="F5FFF1"/>
    </w:rPr>
  </w:style>
  <w:style w:type="character" w:customStyle="1" w:styleId="435">
    <w:name w:val="纯文本 Char1"/>
    <w:qFormat/>
    <w:uiPriority w:val="0"/>
    <w:rPr>
      <w:rFonts w:ascii="宋体" w:hAnsi="Courier New"/>
      <w:kern w:val="2"/>
      <w:sz w:val="21"/>
    </w:rPr>
  </w:style>
  <w:style w:type="character" w:customStyle="1" w:styleId="436">
    <w:name w:val="批注框文本 Char"/>
    <w:qFormat/>
    <w:uiPriority w:val="99"/>
    <w:rPr>
      <w:kern w:val="2"/>
      <w:sz w:val="18"/>
      <w:szCs w:val="18"/>
    </w:rPr>
  </w:style>
  <w:style w:type="character" w:customStyle="1" w:styleId="437">
    <w:name w:val="表格 Char Char"/>
    <w:link w:val="438"/>
    <w:qFormat/>
    <w:uiPriority w:val="0"/>
    <w:rPr>
      <w:rFonts w:ascii="宋体" w:hAnsi="宋体"/>
      <w:b/>
      <w:sz w:val="32"/>
      <w:szCs w:val="32"/>
    </w:rPr>
  </w:style>
  <w:style w:type="paragraph" w:customStyle="1" w:styleId="438">
    <w:name w:val="表格"/>
    <w:basedOn w:val="1"/>
    <w:link w:val="437"/>
    <w:qFormat/>
    <w:uiPriority w:val="0"/>
    <w:pPr>
      <w:autoSpaceDE w:val="0"/>
      <w:autoSpaceDN w:val="0"/>
      <w:adjustRightInd w:val="0"/>
      <w:snapToGrid w:val="0"/>
      <w:ind w:firstLine="42" w:firstLineChars="21"/>
      <w:jc w:val="left"/>
    </w:pPr>
    <w:rPr>
      <w:rFonts w:ascii="宋体" w:hAnsi="宋体"/>
      <w:b/>
      <w:kern w:val="0"/>
      <w:sz w:val="32"/>
      <w:szCs w:val="32"/>
    </w:rPr>
  </w:style>
  <w:style w:type="character" w:customStyle="1" w:styleId="439">
    <w:name w:val="列出段落 Char1"/>
    <w:qFormat/>
    <w:uiPriority w:val="0"/>
    <w:rPr>
      <w:kern w:val="2"/>
      <w:sz w:val="21"/>
    </w:rPr>
  </w:style>
  <w:style w:type="character" w:customStyle="1" w:styleId="440">
    <w:name w:val="标题 5 Char"/>
    <w:qFormat/>
    <w:uiPriority w:val="0"/>
    <w:rPr>
      <w:rFonts w:ascii="仿宋_GB2312" w:hAnsi="Tahoma"/>
      <w:b/>
      <w:bCs/>
      <w:kern w:val="2"/>
      <w:sz w:val="28"/>
      <w:szCs w:val="28"/>
    </w:rPr>
  </w:style>
  <w:style w:type="character" w:customStyle="1" w:styleId="441">
    <w:name w:val="A6"/>
    <w:qFormat/>
    <w:uiPriority w:val="0"/>
    <w:rPr>
      <w:rFonts w:cs="Helvetica Neue"/>
      <w:color w:val="3E667A"/>
      <w:sz w:val="14"/>
      <w:szCs w:val="14"/>
    </w:rPr>
  </w:style>
  <w:style w:type="character" w:customStyle="1" w:styleId="442">
    <w:name w:val="注释标题 Char1"/>
    <w:qFormat/>
    <w:uiPriority w:val="0"/>
    <w:rPr>
      <w:kern w:val="2"/>
      <w:sz w:val="21"/>
      <w:szCs w:val="24"/>
    </w:rPr>
  </w:style>
  <w:style w:type="paragraph" w:customStyle="1" w:styleId="443">
    <w:name w:val="Pa8"/>
    <w:basedOn w:val="1"/>
    <w:next w:val="1"/>
    <w:qFormat/>
    <w:uiPriority w:val="0"/>
    <w:pPr>
      <w:autoSpaceDE w:val="0"/>
      <w:autoSpaceDN w:val="0"/>
      <w:adjustRightInd w:val="0"/>
      <w:spacing w:after="20" w:line="141" w:lineRule="atLeast"/>
      <w:jc w:val="left"/>
    </w:pPr>
    <w:rPr>
      <w:rFonts w:ascii="Univers LT Std 47 Cn Lt" w:eastAsia="Univers LT Std 47 Cn Lt"/>
      <w:kern w:val="0"/>
      <w:sz w:val="24"/>
    </w:rPr>
  </w:style>
  <w:style w:type="paragraph" w:customStyle="1" w:styleId="444">
    <w:name w:val="xl2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445">
    <w:name w:val="样式 标题 4正文四级标题 + 宋体 小五 行距: 固定值 12 磅1"/>
    <w:basedOn w:val="1"/>
    <w:autoRedefine/>
    <w:qFormat/>
    <w:uiPriority w:val="0"/>
    <w:pPr>
      <w:tabs>
        <w:tab w:val="left" w:pos="2580"/>
      </w:tabs>
      <w:ind w:left="2580" w:hanging="420"/>
    </w:pPr>
    <w:rPr>
      <w:sz w:val="20"/>
    </w:rPr>
  </w:style>
  <w:style w:type="paragraph" w:customStyle="1" w:styleId="446">
    <w:name w:val="样式 标题 3 + (中文) 黑体 小四 非加粗 段前: 7.8 磅 段后: 0 磅 行距: 固定值 20 磅"/>
    <w:basedOn w:val="6"/>
    <w:qFormat/>
    <w:uiPriority w:val="0"/>
    <w:pPr>
      <w:spacing w:before="0" w:after="0" w:line="400" w:lineRule="exact"/>
    </w:pPr>
    <w:rPr>
      <w:rFonts w:ascii="仿宋_GB2312" w:eastAsia="黑体" w:cs="宋体"/>
      <w:b w:val="0"/>
      <w:bCs w:val="0"/>
      <w:sz w:val="24"/>
      <w:szCs w:val="20"/>
    </w:rPr>
  </w:style>
  <w:style w:type="paragraph" w:customStyle="1" w:styleId="447">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448">
    <w:name w:val="Char12"/>
    <w:basedOn w:val="1"/>
    <w:qFormat/>
    <w:uiPriority w:val="0"/>
    <w:rPr>
      <w:rFonts w:ascii="Tahoma" w:hAnsi="Tahoma"/>
      <w:sz w:val="24"/>
      <w:szCs w:val="20"/>
    </w:rPr>
  </w:style>
  <w:style w:type="paragraph" w:customStyle="1" w:styleId="449">
    <w:name w:val="Revision1"/>
    <w:qFormat/>
    <w:uiPriority w:val="99"/>
    <w:rPr>
      <w:rFonts w:ascii="Times New Roman" w:hAnsi="Times New Roman" w:eastAsia="宋体" w:cs="Times New Roman"/>
      <w:kern w:val="2"/>
      <w:sz w:val="21"/>
      <w:szCs w:val="24"/>
      <w:lang w:val="en-US" w:eastAsia="zh-CN" w:bidi="ar-SA"/>
    </w:rPr>
  </w:style>
  <w:style w:type="paragraph" w:customStyle="1" w:styleId="450">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451">
    <w:name w:val="内文"/>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paragraph" w:customStyle="1" w:styleId="45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453">
    <w:name w:val="样式_5 + 小五"/>
    <w:basedOn w:val="1"/>
    <w:qFormat/>
    <w:uiPriority w:val="0"/>
    <w:pPr>
      <w:keepNext/>
      <w:keepLines/>
      <w:tabs>
        <w:tab w:val="left" w:pos="1088"/>
      </w:tabs>
      <w:spacing w:before="280" w:after="290" w:line="376" w:lineRule="auto"/>
      <w:ind w:left="724" w:hanging="724"/>
      <w:outlineLvl w:val="4"/>
    </w:pPr>
    <w:rPr>
      <w:b/>
      <w:bCs/>
      <w:kern w:val="0"/>
      <w:sz w:val="18"/>
      <w:szCs w:val="18"/>
    </w:rPr>
  </w:style>
  <w:style w:type="paragraph" w:customStyle="1" w:styleId="454">
    <w:name w:val="Char Char Char2"/>
    <w:basedOn w:val="1"/>
    <w:next w:val="1"/>
    <w:qFormat/>
    <w:uiPriority w:val="0"/>
    <w:pPr>
      <w:shd w:val="clear" w:color="auto" w:fill="000080"/>
    </w:pPr>
    <w:rPr>
      <w:rFonts w:ascii="Tahoma" w:hAnsi="Tahoma"/>
      <w:sz w:val="24"/>
    </w:rPr>
  </w:style>
  <w:style w:type="paragraph" w:customStyle="1" w:styleId="455">
    <w:name w:val="表格正文"/>
    <w:basedOn w:val="16"/>
    <w:qFormat/>
    <w:uiPriority w:val="0"/>
    <w:pPr>
      <w:adjustRightInd/>
      <w:spacing w:beforeLines="30" w:afterLines="20" w:line="360" w:lineRule="auto"/>
      <w:ind w:firstLine="0"/>
      <w:textAlignment w:val="auto"/>
    </w:pPr>
    <w:rPr>
      <w:rFonts w:ascii="Arial" w:hAnsi="Arial"/>
      <w:kern w:val="2"/>
      <w:szCs w:val="21"/>
    </w:rPr>
  </w:style>
  <w:style w:type="paragraph" w:customStyle="1" w:styleId="456">
    <w:name w:val="Body text|25"/>
    <w:basedOn w:val="1"/>
    <w:qFormat/>
    <w:uiPriority w:val="0"/>
    <w:pPr>
      <w:shd w:val="clear" w:color="auto" w:fill="FFFFFF"/>
      <w:spacing w:before="120" w:line="341" w:lineRule="exact"/>
      <w:ind w:hanging="100"/>
      <w:jc w:val="distribute"/>
    </w:pPr>
    <w:rPr>
      <w:rFonts w:ascii="PMingLiU" w:hAnsi="PMingLiU" w:eastAsia="PMingLiU" w:cs="PMingLiU"/>
      <w:sz w:val="20"/>
      <w:szCs w:val="20"/>
    </w:rPr>
  </w:style>
  <w:style w:type="paragraph" w:customStyle="1" w:styleId="457">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458">
    <w:name w:val="标题 2P"/>
    <w:basedOn w:val="5"/>
    <w:next w:val="16"/>
    <w:qFormat/>
    <w:uiPriority w:val="0"/>
    <w:pPr>
      <w:keepNext w:val="0"/>
      <w:tabs>
        <w:tab w:val="left" w:pos="576"/>
        <w:tab w:val="left" w:pos="1800"/>
      </w:tabs>
      <w:adjustRightInd w:val="0"/>
      <w:spacing w:before="240" w:after="120" w:line="360" w:lineRule="auto"/>
      <w:ind w:left="576" w:hanging="576"/>
      <w:textAlignment w:val="baseline"/>
    </w:pPr>
    <w:rPr>
      <w:rFonts w:ascii="Times New Roman" w:hAnsi="Times New Roman" w:cs="宋体"/>
      <w:kern w:val="0"/>
      <w:szCs w:val="20"/>
    </w:rPr>
  </w:style>
  <w:style w:type="paragraph" w:customStyle="1" w:styleId="459">
    <w:name w:val="样式_5"/>
    <w:basedOn w:val="8"/>
    <w:qFormat/>
    <w:uiPriority w:val="0"/>
    <w:pPr>
      <w:keepNext w:val="0"/>
      <w:adjustRightInd w:val="0"/>
      <w:spacing w:line="376" w:lineRule="auto"/>
      <w:textAlignment w:val="baseline"/>
    </w:pPr>
    <w:rPr>
      <w:rFonts w:ascii="宋体" w:hAnsi="宋体"/>
      <w:kern w:val="0"/>
      <w:sz w:val="18"/>
      <w:szCs w:val="18"/>
    </w:rPr>
  </w:style>
  <w:style w:type="paragraph" w:customStyle="1" w:styleId="460">
    <w:name w:val="正文（首行缩进）"/>
    <w:basedOn w:val="25"/>
    <w:qFormat/>
    <w:uiPriority w:val="0"/>
    <w:pPr>
      <w:widowControl/>
      <w:overflowPunct w:val="0"/>
      <w:autoSpaceDE w:val="0"/>
      <w:autoSpaceDN w:val="0"/>
      <w:spacing w:beforeLines="50" w:after="120" w:line="400" w:lineRule="exact"/>
      <w:ind w:left="200" w:leftChars="200" w:firstLine="200" w:firstLineChars="200"/>
      <w:textAlignment w:val="baseline"/>
    </w:pPr>
    <w:rPr>
      <w:rFonts w:ascii="仿宋_GB2312" w:hAnsi="Times New Roman"/>
      <w:b/>
      <w:spacing w:val="10"/>
      <w:kern w:val="0"/>
    </w:rPr>
  </w:style>
  <w:style w:type="paragraph" w:customStyle="1" w:styleId="461">
    <w:name w:val="Body text|22"/>
    <w:basedOn w:val="1"/>
    <w:qFormat/>
    <w:uiPriority w:val="0"/>
    <w:pPr>
      <w:shd w:val="clear" w:color="auto" w:fill="FFFFFF"/>
      <w:spacing w:before="140" w:line="403" w:lineRule="exact"/>
      <w:ind w:hanging="580"/>
    </w:pPr>
    <w:rPr>
      <w:rFonts w:ascii="PMingLiU" w:hAnsi="PMingLiU" w:eastAsia="PMingLiU"/>
      <w:spacing w:val="20"/>
      <w:kern w:val="0"/>
      <w:sz w:val="20"/>
      <w:szCs w:val="20"/>
    </w:rPr>
  </w:style>
  <w:style w:type="paragraph" w:customStyle="1" w:styleId="462">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color w:val="000000"/>
      <w:kern w:val="0"/>
      <w:sz w:val="20"/>
      <w:szCs w:val="20"/>
    </w:rPr>
  </w:style>
  <w:style w:type="paragraph" w:customStyle="1" w:styleId="463">
    <w:name w:val="xl110"/>
    <w:basedOn w:val="1"/>
    <w:qFormat/>
    <w:uiPriority w:val="0"/>
    <w:pPr>
      <w:widowControl/>
      <w:pBdr>
        <w:top w:val="single" w:color="auto" w:sz="4" w:space="0"/>
        <w:left w:val="single" w:color="auto" w:sz="8"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464">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465">
    <w:name w:val="1"/>
    <w:basedOn w:val="1"/>
    <w:qFormat/>
    <w:uiPriority w:val="0"/>
  </w:style>
  <w:style w:type="paragraph" w:customStyle="1" w:styleId="466">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467">
    <w:name w:val="标题2"/>
    <w:basedOn w:val="5"/>
    <w:qFormat/>
    <w:uiPriority w:val="0"/>
    <w:pPr>
      <w:numPr>
        <w:ilvl w:val="1"/>
        <w:numId w:val="8"/>
      </w:numPr>
      <w:spacing w:before="240" w:after="240" w:line="360" w:lineRule="auto"/>
    </w:pPr>
    <w:rPr>
      <w:rFonts w:ascii="Times New Roman" w:hAnsi="Times New Roman"/>
      <w:sz w:val="36"/>
    </w:rPr>
  </w:style>
  <w:style w:type="paragraph" w:customStyle="1" w:styleId="468">
    <w:name w:val="xl95"/>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left"/>
    </w:pPr>
    <w:rPr>
      <w:rFonts w:ascii="Arial" w:hAnsi="Arial" w:cs="Arial"/>
      <w:b/>
      <w:bCs/>
      <w:kern w:val="0"/>
      <w:sz w:val="24"/>
    </w:rPr>
  </w:style>
  <w:style w:type="paragraph" w:customStyle="1" w:styleId="469">
    <w:name w:val="TOC 标题1"/>
    <w:basedOn w:val="4"/>
    <w:next w:val="1"/>
    <w:qFormat/>
    <w:uiPriority w:val="39"/>
    <w:pPr>
      <w:keepLines/>
      <w:widowControl/>
      <w:spacing w:before="480" w:line="276" w:lineRule="auto"/>
      <w:jc w:val="left"/>
      <w:outlineLvl w:val="9"/>
    </w:pPr>
    <w:rPr>
      <w:rFonts w:ascii="Cambria" w:hAnsi="Cambria" w:eastAsia="宋体"/>
      <w:color w:val="365F91"/>
      <w:kern w:val="0"/>
      <w:sz w:val="28"/>
      <w:szCs w:val="28"/>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71">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472">
    <w:name w:val="二级条标题"/>
    <w:basedOn w:val="473"/>
    <w:next w:val="1"/>
    <w:qFormat/>
    <w:uiPriority w:val="0"/>
    <w:pPr>
      <w:numPr>
        <w:ilvl w:val="3"/>
      </w:numPr>
      <w:tabs>
        <w:tab w:val="left" w:pos="360"/>
      </w:tabs>
      <w:outlineLvl w:val="3"/>
    </w:pPr>
  </w:style>
  <w:style w:type="paragraph" w:customStyle="1" w:styleId="473">
    <w:name w:val="一级条标题"/>
    <w:next w:val="1"/>
    <w:qFormat/>
    <w:uiPriority w:val="0"/>
    <w:pPr>
      <w:numPr>
        <w:ilvl w:val="2"/>
        <w:numId w:val="9"/>
      </w:numPr>
      <w:outlineLvl w:val="2"/>
    </w:pPr>
    <w:rPr>
      <w:rFonts w:ascii="Times New Roman" w:hAnsi="Times New Roman" w:eastAsia="黑体" w:cs="Times New Roman"/>
      <w:sz w:val="21"/>
      <w:lang w:val="en-US" w:eastAsia="zh-CN" w:bidi="ar-SA"/>
    </w:rPr>
  </w:style>
  <w:style w:type="paragraph" w:customStyle="1" w:styleId="474">
    <w:name w:val="subtitle 2"/>
    <w:basedOn w:val="1"/>
    <w:qFormat/>
    <w:uiPriority w:val="0"/>
    <w:pPr>
      <w:spacing w:before="240" w:after="240" w:line="312" w:lineRule="atLeast"/>
    </w:pPr>
    <w:rPr>
      <w:rFonts w:eastAsia="黑体"/>
      <w:snapToGrid w:val="0"/>
      <w:kern w:val="0"/>
      <w:sz w:val="24"/>
      <w:szCs w:val="20"/>
    </w:rPr>
  </w:style>
  <w:style w:type="paragraph" w:customStyle="1" w:styleId="475">
    <w:name w:val="Char Char1 Char"/>
    <w:basedOn w:val="1"/>
    <w:qFormat/>
    <w:uiPriority w:val="0"/>
    <w:pPr>
      <w:spacing w:line="360" w:lineRule="auto"/>
    </w:pPr>
    <w:rPr>
      <w:sz w:val="24"/>
    </w:rPr>
  </w:style>
  <w:style w:type="paragraph" w:customStyle="1" w:styleId="476">
    <w:name w:val="Char1 Char Char Char1"/>
    <w:basedOn w:val="1"/>
    <w:qFormat/>
    <w:uiPriority w:val="0"/>
    <w:pPr>
      <w:widowControl/>
      <w:spacing w:after="120"/>
      <w:jc w:val="left"/>
    </w:pPr>
    <w:rPr>
      <w:rFonts w:ascii="Verdana" w:hAnsi="Verdana" w:eastAsia="仿宋_GB2312"/>
      <w:szCs w:val="20"/>
      <w:lang w:eastAsia="en-US"/>
    </w:rPr>
  </w:style>
  <w:style w:type="paragraph" w:customStyle="1" w:styleId="477">
    <w:name w:val="Blockquote"/>
    <w:basedOn w:val="1"/>
    <w:qFormat/>
    <w:uiPriority w:val="0"/>
    <w:pPr>
      <w:autoSpaceDE w:val="0"/>
      <w:autoSpaceDN w:val="0"/>
      <w:spacing w:before="100" w:after="100"/>
      <w:ind w:left="360" w:right="360"/>
      <w:jc w:val="left"/>
    </w:pPr>
    <w:rPr>
      <w:szCs w:val="20"/>
    </w:rPr>
  </w:style>
  <w:style w:type="paragraph" w:customStyle="1" w:styleId="478">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479">
    <w:name w:val="Char Char Char Char Char Char Char Char Char Char Char Char Char"/>
    <w:basedOn w:val="1"/>
    <w:qFormat/>
    <w:uiPriority w:val="0"/>
  </w:style>
  <w:style w:type="paragraph" w:customStyle="1" w:styleId="480">
    <w:name w:val="列出段落3"/>
    <w:basedOn w:val="1"/>
    <w:qFormat/>
    <w:uiPriority w:val="0"/>
    <w:pPr>
      <w:spacing w:line="360" w:lineRule="auto"/>
      <w:ind w:firstLine="420" w:firstLineChars="200"/>
    </w:pPr>
    <w:rPr>
      <w:rFonts w:ascii="Calibri" w:hAnsi="Calibri"/>
      <w:sz w:val="24"/>
      <w:szCs w:val="22"/>
    </w:rPr>
  </w:style>
  <w:style w:type="paragraph" w:customStyle="1" w:styleId="481">
    <w:name w:val="font8"/>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482">
    <w:name w:val="正文文本缩进 31"/>
    <w:basedOn w:val="1"/>
    <w:qFormat/>
    <w:uiPriority w:val="0"/>
    <w:pPr>
      <w:tabs>
        <w:tab w:val="left" w:pos="0"/>
      </w:tabs>
      <w:spacing w:line="360" w:lineRule="auto"/>
      <w:ind w:firstLine="504" w:firstLineChars="209"/>
    </w:pPr>
    <w:rPr>
      <w:rFonts w:ascii="宋体"/>
      <w:b/>
      <w:bCs/>
      <w:sz w:val="24"/>
    </w:rPr>
  </w:style>
  <w:style w:type="paragraph" w:customStyle="1" w:styleId="483">
    <w:name w:val="表格文字"/>
    <w:basedOn w:val="1"/>
    <w:qFormat/>
    <w:uiPriority w:val="0"/>
    <w:pPr>
      <w:spacing w:line="420" w:lineRule="atLeast"/>
      <w:jc w:val="left"/>
    </w:pPr>
    <w:rPr>
      <w:szCs w:val="20"/>
    </w:rPr>
  </w:style>
  <w:style w:type="paragraph" w:customStyle="1" w:styleId="484">
    <w:name w:val="样式 (西文) Times New Roman 四号 段后: 6 磅 行距: 固定值 20 磅 首行缩进:  1.92 ..."/>
    <w:basedOn w:val="1"/>
    <w:qFormat/>
    <w:uiPriority w:val="0"/>
    <w:pPr>
      <w:spacing w:beforeLines="50" w:afterLines="50" w:line="360" w:lineRule="auto"/>
      <w:ind w:firstLine="200" w:firstLineChars="200"/>
    </w:pPr>
    <w:rPr>
      <w:rFonts w:cs="宋体"/>
      <w:sz w:val="28"/>
      <w:szCs w:val="20"/>
    </w:rPr>
  </w:style>
  <w:style w:type="paragraph" w:customStyle="1" w:styleId="485">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486">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487">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488">
    <w:name w:val="样式 标题 4正文四级标题 + 宋体 小五 行距: 固定值 12 磅"/>
    <w:basedOn w:val="7"/>
    <w:qFormat/>
    <w:uiPriority w:val="0"/>
    <w:pPr>
      <w:keepNext w:val="0"/>
      <w:tabs>
        <w:tab w:val="left" w:pos="2160"/>
      </w:tabs>
      <w:adjustRightInd w:val="0"/>
      <w:spacing w:line="240" w:lineRule="exact"/>
      <w:ind w:left="2160" w:hanging="420"/>
      <w:textAlignment w:val="baseline"/>
    </w:pPr>
    <w:rPr>
      <w:rFonts w:ascii="宋体" w:hAnsi="宋体" w:cs="宋体"/>
      <w:color w:val="000000"/>
      <w:sz w:val="18"/>
      <w:szCs w:val="32"/>
    </w:rPr>
  </w:style>
  <w:style w:type="paragraph" w:customStyle="1" w:styleId="489">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490">
    <w:name w:val="Char Char Char Char3"/>
    <w:basedOn w:val="19"/>
    <w:qFormat/>
    <w:uiPriority w:val="0"/>
    <w:rPr>
      <w:rFonts w:ascii="Cambria" w:hAnsi="Cambria" w:eastAsia="仿宋_GB2312" w:cs="新宋体"/>
      <w:sz w:val="24"/>
    </w:rPr>
  </w:style>
  <w:style w:type="paragraph" w:customStyle="1" w:styleId="491">
    <w:name w:val="默认段落字体 Para Char Char Char Char Char Char Char Char Char1 Char Char Char Char Char Char Char"/>
    <w:basedOn w:val="19"/>
    <w:qFormat/>
    <w:uiPriority w:val="0"/>
    <w:rPr>
      <w:rFonts w:ascii="Tahoma" w:hAnsi="Tahoma"/>
      <w:sz w:val="24"/>
    </w:rPr>
  </w:style>
  <w:style w:type="paragraph" w:customStyle="1" w:styleId="492">
    <w:name w:val="14"/>
    <w:basedOn w:val="1"/>
    <w:qFormat/>
    <w:uiPriority w:val="0"/>
    <w:pPr>
      <w:snapToGrid w:val="0"/>
      <w:spacing w:beforeLines="30" w:line="288" w:lineRule="auto"/>
      <w:ind w:left="852" w:leftChars="355" w:firstLine="420" w:firstLineChars="175"/>
    </w:pPr>
    <w:rPr>
      <w:rFonts w:ascii="新宋体" w:hAnsi="新宋体"/>
      <w:sz w:val="24"/>
      <w:szCs w:val="20"/>
    </w:rPr>
  </w:style>
  <w:style w:type="paragraph" w:customStyle="1" w:styleId="493">
    <w:name w:val="标准段落"/>
    <w:basedOn w:val="1"/>
    <w:qFormat/>
    <w:uiPriority w:val="0"/>
    <w:pPr>
      <w:spacing w:after="120" w:line="360" w:lineRule="auto"/>
      <w:ind w:firstLine="420"/>
    </w:pPr>
    <w:rPr>
      <w:rFonts w:ascii="黑体" w:hAnsi="宋体" w:eastAsia="黑体"/>
      <w:b/>
      <w:spacing w:val="6"/>
      <w:szCs w:val="22"/>
    </w:rPr>
  </w:style>
  <w:style w:type="paragraph" w:customStyle="1" w:styleId="49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新宋体" w:hAnsi="新宋体" w:eastAsia="新宋体" w:cs="宋体"/>
      <w:color w:val="000000"/>
      <w:kern w:val="0"/>
      <w:sz w:val="24"/>
    </w:rPr>
  </w:style>
  <w:style w:type="paragraph" w:customStyle="1" w:styleId="495">
    <w:name w:val="章标题"/>
    <w:next w:val="1"/>
    <w:qFormat/>
    <w:uiPriority w:val="0"/>
    <w:pPr>
      <w:numPr>
        <w:ilvl w:val="1"/>
        <w:numId w:val="9"/>
      </w:numPr>
      <w:spacing w:beforeLines="50" w:afterLines="50"/>
      <w:jc w:val="both"/>
      <w:outlineLvl w:val="1"/>
    </w:pPr>
    <w:rPr>
      <w:rFonts w:ascii="黑体" w:hAnsi="Times New Roman" w:eastAsia="黑体" w:cs="Times New Roman"/>
      <w:sz w:val="21"/>
      <w:lang w:val="en-US" w:eastAsia="zh-CN" w:bidi="ar-SA"/>
    </w:rPr>
  </w:style>
  <w:style w:type="paragraph" w:customStyle="1" w:styleId="496">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49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98">
    <w:name w:val="xl25"/>
    <w:basedOn w:val="1"/>
    <w:qFormat/>
    <w:uiPriority w:val="0"/>
    <w:pPr>
      <w:widowControl/>
      <w:autoSpaceDE w:val="0"/>
      <w:autoSpaceDN w:val="0"/>
      <w:adjustRightInd w:val="0"/>
      <w:spacing w:before="100" w:beforeAutospacing="1" w:after="100" w:afterAutospacing="1"/>
      <w:jc w:val="center"/>
      <w:textAlignment w:val="center"/>
    </w:pPr>
    <w:rPr>
      <w:rFonts w:hint="eastAsia" w:ascii="楷体_GB2312" w:hAnsi="宋体" w:eastAsia="楷体_GB2312"/>
      <w:kern w:val="0"/>
      <w:sz w:val="24"/>
      <w:szCs w:val="20"/>
    </w:rPr>
  </w:style>
  <w:style w:type="paragraph" w:customStyle="1" w:styleId="499">
    <w:name w:val="Table Contents"/>
    <w:basedOn w:val="1"/>
    <w:qFormat/>
    <w:uiPriority w:val="0"/>
    <w:pPr>
      <w:suppressAutoHyphens/>
      <w:autoSpaceDE w:val="0"/>
      <w:autoSpaceDN w:val="0"/>
      <w:adjustRightInd w:val="0"/>
      <w:spacing w:after="120"/>
      <w:jc w:val="left"/>
    </w:pPr>
    <w:rPr>
      <w:rFonts w:ascii="Helvetica" w:hAnsi="Helvetica"/>
      <w:kern w:val="1"/>
      <w:sz w:val="20"/>
      <w:szCs w:val="20"/>
    </w:rPr>
  </w:style>
  <w:style w:type="paragraph" w:customStyle="1" w:styleId="500">
    <w:name w:val="编号1"/>
    <w:basedOn w:val="1"/>
    <w:qFormat/>
    <w:uiPriority w:val="0"/>
    <w:pPr>
      <w:spacing w:line="360" w:lineRule="auto"/>
      <w:jc w:val="left"/>
    </w:pPr>
    <w:rPr>
      <w:sz w:val="24"/>
    </w:rPr>
  </w:style>
  <w:style w:type="paragraph" w:customStyle="1" w:styleId="501">
    <w:name w:val="列表段落1"/>
    <w:basedOn w:val="1"/>
    <w:qFormat/>
    <w:uiPriority w:val="99"/>
    <w:pPr>
      <w:spacing w:before="120" w:after="120"/>
      <w:ind w:firstLine="420"/>
    </w:pPr>
    <w:rPr>
      <w:rFonts w:ascii="宋体" w:hAnsi="宋体" w:eastAsia="仿宋"/>
      <w:sz w:val="24"/>
    </w:rPr>
  </w:style>
  <w:style w:type="paragraph" w:customStyle="1" w:styleId="502">
    <w:name w:val="Char Char Char Char11"/>
    <w:basedOn w:val="19"/>
    <w:qFormat/>
    <w:uiPriority w:val="0"/>
    <w:rPr>
      <w:rFonts w:ascii="Tahoma" w:hAnsi="Tahoma"/>
      <w:sz w:val="24"/>
    </w:rPr>
  </w:style>
  <w:style w:type="paragraph" w:customStyle="1" w:styleId="503">
    <w:name w:val="三级条标题"/>
    <w:basedOn w:val="472"/>
    <w:next w:val="1"/>
    <w:qFormat/>
    <w:uiPriority w:val="0"/>
    <w:pPr>
      <w:numPr>
        <w:ilvl w:val="4"/>
      </w:numPr>
      <w:outlineLvl w:val="4"/>
    </w:pPr>
  </w:style>
  <w:style w:type="paragraph" w:customStyle="1" w:styleId="504">
    <w:name w:val="_Style 11"/>
    <w:basedOn w:val="1"/>
    <w:qFormat/>
    <w:uiPriority w:val="0"/>
    <w:pPr>
      <w:tabs>
        <w:tab w:val="left" w:pos="360"/>
      </w:tabs>
    </w:pPr>
    <w:rPr>
      <w:szCs w:val="22"/>
    </w:rPr>
  </w:style>
  <w:style w:type="paragraph" w:customStyle="1" w:styleId="505">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506">
    <w:name w:val="xl96"/>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507">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新宋体" w:hAnsi="新宋体" w:eastAsia="新宋体" w:cs="宋体"/>
      <w:b/>
      <w:bCs/>
      <w:color w:val="FF0000"/>
      <w:kern w:val="0"/>
      <w:sz w:val="24"/>
    </w:rPr>
  </w:style>
  <w:style w:type="paragraph" w:customStyle="1" w:styleId="508">
    <w:name w:val="样式 首行缩进:  2 字符1"/>
    <w:basedOn w:val="1"/>
    <w:qFormat/>
    <w:uiPriority w:val="0"/>
    <w:pPr>
      <w:spacing w:line="360" w:lineRule="auto"/>
      <w:ind w:firstLine="540" w:firstLineChars="225"/>
    </w:pPr>
    <w:rPr>
      <w:sz w:val="24"/>
      <w:szCs w:val="20"/>
    </w:rPr>
  </w:style>
  <w:style w:type="paragraph" w:customStyle="1" w:styleId="509">
    <w:name w:val="样式 四号 行距: 1.5 倍行距"/>
    <w:basedOn w:val="1"/>
    <w:qFormat/>
    <w:uiPriority w:val="0"/>
    <w:pPr>
      <w:spacing w:line="312" w:lineRule="auto"/>
      <w:ind w:firstLine="202" w:firstLineChars="202"/>
    </w:pPr>
    <w:rPr>
      <w:rFonts w:cs="宋体"/>
      <w:sz w:val="24"/>
      <w:szCs w:val="20"/>
    </w:rPr>
  </w:style>
  <w:style w:type="paragraph" w:customStyle="1" w:styleId="510">
    <w:name w:val="样式 仿宋_GB2312 四号 黑色 行距: 1.5 倍行距"/>
    <w:basedOn w:val="1"/>
    <w:qFormat/>
    <w:uiPriority w:val="0"/>
    <w:pPr>
      <w:suppressAutoHyphens/>
      <w:spacing w:before="156" w:line="360" w:lineRule="auto"/>
      <w:ind w:firstLine="560" w:firstLineChars="200"/>
      <w:jc w:val="left"/>
    </w:pPr>
    <w:rPr>
      <w:rFonts w:ascii="仿宋_GB2312" w:eastAsia="仿宋_GB2312"/>
      <w:color w:val="000000"/>
      <w:kern w:val="1"/>
      <w:sz w:val="28"/>
      <w:szCs w:val="20"/>
      <w:lang w:eastAsia="ar-SA"/>
    </w:rPr>
  </w:style>
  <w:style w:type="paragraph" w:customStyle="1" w:styleId="511">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2">
    <w:name w:val="Char Char Char Char Char Char"/>
    <w:basedOn w:val="1"/>
    <w:qFormat/>
    <w:uiPriority w:val="0"/>
    <w:rPr>
      <w:rFonts w:ascii="Tahoma" w:hAnsi="Tahoma"/>
      <w:sz w:val="24"/>
      <w:szCs w:val="20"/>
    </w:rPr>
  </w:style>
  <w:style w:type="paragraph" w:customStyle="1" w:styleId="513">
    <w:name w:val="Normal Indent1"/>
    <w:basedOn w:val="1"/>
    <w:qFormat/>
    <w:uiPriority w:val="0"/>
    <w:pPr>
      <w:ind w:firstLine="420" w:firstLineChars="200"/>
    </w:pPr>
  </w:style>
  <w:style w:type="paragraph" w:customStyle="1" w:styleId="514">
    <w:name w:val="Char11"/>
    <w:basedOn w:val="1"/>
    <w:qFormat/>
    <w:uiPriority w:val="0"/>
    <w:rPr>
      <w:rFonts w:ascii="Tahoma" w:hAnsi="Tahoma"/>
      <w:sz w:val="24"/>
      <w:szCs w:val="20"/>
    </w:rPr>
  </w:style>
  <w:style w:type="paragraph" w:customStyle="1" w:styleId="515">
    <w:name w:val="Char"/>
    <w:basedOn w:val="1"/>
    <w:qFormat/>
    <w:uiPriority w:val="0"/>
    <w:pPr>
      <w:widowControl/>
      <w:spacing w:line="400" w:lineRule="exact"/>
      <w:jc w:val="center"/>
    </w:pPr>
    <w:rPr>
      <w:rFonts w:ascii="Verdana" w:hAnsi="Verdana"/>
      <w:kern w:val="0"/>
      <w:szCs w:val="20"/>
      <w:lang w:eastAsia="en-US"/>
    </w:rPr>
  </w:style>
  <w:style w:type="paragraph" w:customStyle="1" w:styleId="516">
    <w:name w:val="正文－恩普"/>
    <w:basedOn w:val="16"/>
    <w:qFormat/>
    <w:uiPriority w:val="0"/>
    <w:pPr>
      <w:adjustRightInd/>
      <w:spacing w:line="360" w:lineRule="auto"/>
      <w:ind w:firstLine="200" w:firstLineChars="200"/>
      <w:textAlignment w:val="auto"/>
    </w:pPr>
    <w:rPr>
      <w:rFonts w:ascii="仿宋_GB2312"/>
      <w:b/>
      <w:kern w:val="2"/>
      <w:sz w:val="24"/>
      <w:szCs w:val="24"/>
    </w:rPr>
  </w:style>
  <w:style w:type="paragraph" w:customStyle="1" w:styleId="517">
    <w:name w:val="正文 首行缩进:  2 字符 Char"/>
    <w:basedOn w:val="1"/>
    <w:qFormat/>
    <w:uiPriority w:val="0"/>
    <w:pPr>
      <w:spacing w:line="360" w:lineRule="auto"/>
      <w:ind w:firstLine="480"/>
    </w:pPr>
    <w:rPr>
      <w:rFonts w:cs="宋体"/>
      <w:sz w:val="24"/>
      <w:szCs w:val="20"/>
    </w:rPr>
  </w:style>
  <w:style w:type="paragraph" w:customStyle="1" w:styleId="51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519">
    <w:name w:val="xl108"/>
    <w:basedOn w:val="1"/>
    <w:qFormat/>
    <w:uiPriority w:val="0"/>
    <w:pPr>
      <w:widowControl/>
      <w:pBdr>
        <w:top w:val="single" w:color="auto" w:sz="4" w:space="0"/>
        <w:left w:val="single" w:color="auto" w:sz="8" w:space="0"/>
        <w:bottom w:val="single" w:color="auto" w:sz="4" w:space="0"/>
        <w:right w:val="single" w:color="auto" w:sz="4"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520">
    <w:name w:val="纯文本1"/>
    <w:basedOn w:val="1"/>
    <w:qFormat/>
    <w:uiPriority w:val="0"/>
    <w:pPr>
      <w:adjustRightInd w:val="0"/>
      <w:textAlignment w:val="baseline"/>
    </w:pPr>
    <w:rPr>
      <w:rFonts w:ascii="宋体" w:hAnsi="Courier New" w:eastAsia="楷体_GB2312"/>
      <w:sz w:val="26"/>
      <w:szCs w:val="20"/>
    </w:rPr>
  </w:style>
  <w:style w:type="paragraph" w:customStyle="1" w:styleId="521">
    <w:name w:val="1级编号"/>
    <w:basedOn w:val="1"/>
    <w:qFormat/>
    <w:uiPriority w:val="0"/>
    <w:pPr>
      <w:numPr>
        <w:ilvl w:val="0"/>
        <w:numId w:val="10"/>
      </w:numPr>
      <w:spacing w:line="276" w:lineRule="auto"/>
      <w:ind w:left="993" w:hanging="573"/>
      <w:jc w:val="left"/>
    </w:pPr>
    <w:rPr>
      <w:rFonts w:ascii="Calibri" w:hAnsi="宋体"/>
      <w:szCs w:val="21"/>
    </w:rPr>
  </w:style>
  <w:style w:type="paragraph" w:customStyle="1" w:styleId="522">
    <w:name w:val="Char Char Char Char1"/>
    <w:basedOn w:val="1"/>
    <w:qFormat/>
    <w:uiPriority w:val="0"/>
    <w:rPr>
      <w:szCs w:val="20"/>
    </w:rPr>
  </w:style>
  <w:style w:type="paragraph" w:customStyle="1" w:styleId="523">
    <w:name w:val="p0"/>
    <w:basedOn w:val="1"/>
    <w:qFormat/>
    <w:uiPriority w:val="0"/>
    <w:pPr>
      <w:widowControl/>
      <w:shd w:val="clear" w:color="auto" w:fill="FFFFFF"/>
      <w:spacing w:before="32" w:line="235" w:lineRule="atLeast"/>
      <w:ind w:left="160"/>
      <w:jc w:val="left"/>
    </w:pPr>
    <w:rPr>
      <w:rFonts w:ascii="宋体" w:hAnsi="宋体" w:cs="宋体"/>
      <w:kern w:val="0"/>
      <w:sz w:val="24"/>
    </w:rPr>
  </w:style>
  <w:style w:type="paragraph" w:customStyle="1" w:styleId="52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25">
    <w:name w:val="Pa5"/>
    <w:basedOn w:val="526"/>
    <w:next w:val="526"/>
    <w:qFormat/>
    <w:uiPriority w:val="0"/>
    <w:pPr>
      <w:spacing w:after="60" w:line="161" w:lineRule="atLeast"/>
    </w:pPr>
    <w:rPr>
      <w:rFonts w:ascii="Univers LT Std 57 Cn" w:hAnsi="Univers LT Std 57 Cn" w:cs="Times New Roman"/>
      <w:color w:val="auto"/>
    </w:rPr>
  </w:style>
  <w:style w:type="paragraph" w:customStyle="1" w:styleId="5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7">
    <w:name w:val="前言、引言标题"/>
    <w:next w:val="1"/>
    <w:qFormat/>
    <w:uiPriority w:val="0"/>
    <w:pPr>
      <w:numPr>
        <w:ilvl w:val="0"/>
        <w:numId w:val="9"/>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28">
    <w:name w:val="正文字缩2字"/>
    <w:basedOn w:val="1"/>
    <w:qFormat/>
    <w:uiPriority w:val="0"/>
    <w:pPr>
      <w:spacing w:before="60" w:after="60" w:line="360" w:lineRule="auto"/>
      <w:ind w:left="200" w:leftChars="200" w:firstLine="200" w:firstLineChars="200"/>
    </w:pPr>
    <w:rPr>
      <w:sz w:val="24"/>
    </w:rPr>
  </w:style>
  <w:style w:type="paragraph" w:customStyle="1" w:styleId="529">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530">
    <w:name w:val="项目符号（宋艳）"/>
    <w:basedOn w:val="1"/>
    <w:qFormat/>
    <w:uiPriority w:val="0"/>
    <w:pPr>
      <w:tabs>
        <w:tab w:val="left" w:pos="360"/>
        <w:tab w:val="left" w:pos="840"/>
      </w:tabs>
      <w:spacing w:line="360" w:lineRule="auto"/>
      <w:ind w:left="840" w:firstLine="480"/>
    </w:pPr>
    <w:rPr>
      <w:rFonts w:hAnsi="宋体"/>
      <w:color w:val="000000"/>
      <w:sz w:val="24"/>
      <w:szCs w:val="20"/>
    </w:rPr>
  </w:style>
  <w:style w:type="paragraph" w:customStyle="1" w:styleId="531">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32">
    <w:name w:val="图表脚注"/>
    <w:next w:val="533"/>
    <w:qFormat/>
    <w:uiPriority w:val="0"/>
    <w:pPr>
      <w:tabs>
        <w:tab w:val="left" w:pos="3080"/>
      </w:tabs>
      <w:ind w:left="300" w:leftChars="200" w:hanging="100" w:hangingChars="100"/>
      <w:jc w:val="both"/>
    </w:pPr>
    <w:rPr>
      <w:rFonts w:ascii="宋体" w:hAnsi="Times New Roman" w:eastAsia="宋体" w:cs="Times New Roman"/>
      <w:sz w:val="18"/>
      <w:lang w:val="en-US" w:eastAsia="zh-CN" w:bidi="ar-SA"/>
    </w:rPr>
  </w:style>
  <w:style w:type="paragraph" w:customStyle="1" w:styleId="53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34">
    <w:name w:val="标题五"/>
    <w:basedOn w:val="1"/>
    <w:qFormat/>
    <w:uiPriority w:val="0"/>
    <w:pPr>
      <w:tabs>
        <w:tab w:val="left" w:pos="1440"/>
      </w:tabs>
      <w:autoSpaceDE w:val="0"/>
      <w:autoSpaceDN w:val="0"/>
      <w:adjustRightInd w:val="0"/>
      <w:spacing w:beforeLines="50" w:line="360" w:lineRule="auto"/>
      <w:ind w:left="1440" w:hanging="420"/>
      <w:jc w:val="left"/>
    </w:pPr>
    <w:rPr>
      <w:b/>
      <w:kern w:val="0"/>
      <w:sz w:val="24"/>
      <w:szCs w:val="20"/>
    </w:rPr>
  </w:style>
  <w:style w:type="paragraph" w:customStyle="1" w:styleId="535">
    <w:name w:val="样式 标题 2 + 居中"/>
    <w:basedOn w:val="5"/>
    <w:qFormat/>
    <w:uiPriority w:val="0"/>
    <w:pPr>
      <w:spacing w:beforeLines="50" w:beforeAutospacing="1" w:afterLines="50" w:afterAutospacing="1" w:line="360" w:lineRule="auto"/>
      <w:jc w:val="center"/>
    </w:pPr>
    <w:rPr>
      <w:rFonts w:cs="宋体"/>
      <w:szCs w:val="20"/>
    </w:rPr>
  </w:style>
  <w:style w:type="paragraph" w:customStyle="1" w:styleId="536">
    <w:name w:val="Char Char Char Char Char Char Char"/>
    <w:basedOn w:val="1"/>
    <w:next w:val="1"/>
    <w:qFormat/>
    <w:uiPriority w:val="0"/>
    <w:pPr>
      <w:tabs>
        <w:tab w:val="left" w:pos="425"/>
      </w:tabs>
      <w:spacing w:beforeLines="50" w:afterLines="100" w:line="360" w:lineRule="auto"/>
      <w:ind w:left="1105" w:hanging="748"/>
      <w:jc w:val="center"/>
    </w:pPr>
    <w:rPr>
      <w:szCs w:val="20"/>
    </w:rPr>
  </w:style>
  <w:style w:type="paragraph" w:customStyle="1" w:styleId="537">
    <w:name w:val="1级"/>
    <w:basedOn w:val="4"/>
    <w:next w:val="57"/>
    <w:qFormat/>
    <w:uiPriority w:val="0"/>
    <w:pPr>
      <w:keepLines/>
      <w:pageBreakBefore/>
      <w:numPr>
        <w:ilvl w:val="0"/>
        <w:numId w:val="2"/>
      </w:numPr>
      <w:spacing w:before="340" w:after="330" w:line="578" w:lineRule="auto"/>
      <w:jc w:val="left"/>
    </w:pPr>
    <w:rPr>
      <w:rFonts w:ascii="Calibri" w:hAnsi="Calibri" w:eastAsia="宋体"/>
      <w:kern w:val="44"/>
      <w:sz w:val="32"/>
      <w:szCs w:val="32"/>
    </w:rPr>
  </w:style>
  <w:style w:type="paragraph" w:customStyle="1" w:styleId="538">
    <w:name w:val="Char Char1 Char Char Char Char Char Char Char Char Char Char Char Char Char Char"/>
    <w:basedOn w:val="1"/>
    <w:qFormat/>
    <w:uiPriority w:val="0"/>
    <w:pPr>
      <w:widowControl/>
      <w:autoSpaceDE w:val="0"/>
      <w:autoSpaceDN w:val="0"/>
      <w:adjustRightInd w:val="0"/>
      <w:spacing w:after="160" w:line="240" w:lineRule="exact"/>
      <w:jc w:val="left"/>
    </w:pPr>
    <w:rPr>
      <w:kern w:val="0"/>
      <w:sz w:val="20"/>
      <w:szCs w:val="20"/>
    </w:rPr>
  </w:style>
  <w:style w:type="paragraph" w:customStyle="1" w:styleId="539">
    <w:name w:val="H 4"/>
    <w:basedOn w:val="7"/>
    <w:next w:val="1"/>
    <w:qFormat/>
    <w:uiPriority w:val="0"/>
    <w:pPr>
      <w:spacing w:before="120" w:after="120" w:line="240" w:lineRule="auto"/>
    </w:pPr>
    <w:rPr>
      <w:rFonts w:ascii="宋体" w:hAnsi="宋体"/>
      <w:szCs w:val="24"/>
      <w:lang w:val="zh-CN"/>
    </w:rPr>
  </w:style>
  <w:style w:type="paragraph" w:customStyle="1" w:styleId="540">
    <w:name w:val="列出段落5"/>
    <w:basedOn w:val="1"/>
    <w:qFormat/>
    <w:uiPriority w:val="0"/>
    <w:pPr>
      <w:ind w:firstLine="420" w:firstLineChars="200"/>
    </w:pPr>
  </w:style>
  <w:style w:type="paragraph" w:customStyle="1" w:styleId="541">
    <w:name w:val="样式 标题 3正文三级标题 + 小五 左 行距: 固定值 12 磅"/>
    <w:basedOn w:val="6"/>
    <w:qFormat/>
    <w:uiPriority w:val="0"/>
    <w:pPr>
      <w:spacing w:line="240" w:lineRule="exact"/>
      <w:jc w:val="left"/>
    </w:pPr>
    <w:rPr>
      <w:rFonts w:cs="宋体"/>
      <w:sz w:val="18"/>
      <w:szCs w:val="20"/>
    </w:rPr>
  </w:style>
  <w:style w:type="paragraph" w:customStyle="1" w:styleId="542">
    <w:name w:val="技术报告正文"/>
    <w:basedOn w:val="1"/>
    <w:qFormat/>
    <w:uiPriority w:val="0"/>
    <w:pPr>
      <w:autoSpaceDE w:val="0"/>
      <w:autoSpaceDN w:val="0"/>
      <w:adjustRightInd w:val="0"/>
      <w:spacing w:beforeLines="50" w:line="440" w:lineRule="exact"/>
      <w:ind w:firstLine="538" w:firstLineChars="192"/>
      <w:jc w:val="left"/>
    </w:pPr>
    <w:rPr>
      <w:rFonts w:cs="Arial"/>
      <w:bCs/>
      <w:kern w:val="0"/>
      <w:sz w:val="28"/>
      <w:szCs w:val="20"/>
    </w:rPr>
  </w:style>
  <w:style w:type="paragraph" w:customStyle="1" w:styleId="54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44">
    <w:name w:val="样式 首行缩进:  2 字符"/>
    <w:basedOn w:val="1"/>
    <w:qFormat/>
    <w:uiPriority w:val="0"/>
    <w:pPr>
      <w:widowControl/>
      <w:numPr>
        <w:ilvl w:val="0"/>
        <w:numId w:val="11"/>
      </w:numPr>
    </w:pPr>
    <w:rPr>
      <w:rFonts w:ascii="宋体" w:hAnsi="宋体" w:cs="宋体"/>
      <w:bCs/>
      <w:color w:val="000000"/>
      <w:kern w:val="0"/>
      <w:sz w:val="24"/>
    </w:rPr>
  </w:style>
  <w:style w:type="paragraph" w:customStyle="1" w:styleId="54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46">
    <w:name w:val="Table of contents|1"/>
    <w:basedOn w:val="1"/>
    <w:qFormat/>
    <w:uiPriority w:val="0"/>
    <w:pPr>
      <w:shd w:val="clear" w:color="auto" w:fill="FFFFFF"/>
      <w:spacing w:before="500" w:after="100" w:line="200" w:lineRule="exact"/>
      <w:jc w:val="distribute"/>
    </w:pPr>
    <w:rPr>
      <w:rFonts w:ascii="PMingLiU" w:hAnsi="PMingLiU" w:eastAsia="PMingLiU"/>
      <w:spacing w:val="10"/>
      <w:kern w:val="0"/>
      <w:sz w:val="20"/>
      <w:szCs w:val="20"/>
    </w:rPr>
  </w:style>
  <w:style w:type="paragraph" w:customStyle="1" w:styleId="547">
    <w:name w:val="xl106"/>
    <w:basedOn w:val="1"/>
    <w:qFormat/>
    <w:uiPriority w:val="0"/>
    <w:pPr>
      <w:widowControl/>
      <w:pBdr>
        <w:top w:val="single" w:color="auto" w:sz="4" w:space="0"/>
        <w:left w:val="single" w:color="auto" w:sz="8" w:space="0"/>
        <w:bottom w:val="single" w:color="auto" w:sz="4" w:space="0"/>
        <w:right w:val="single" w:color="auto" w:sz="4"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548">
    <w:name w:val="默认段落字体 Para Char Char Char Char"/>
    <w:basedOn w:val="1"/>
    <w:qFormat/>
    <w:uiPriority w:val="0"/>
    <w:rPr>
      <w:sz w:val="20"/>
    </w:rPr>
  </w:style>
  <w:style w:type="paragraph" w:customStyle="1" w:styleId="549">
    <w:name w:val="xl9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550">
    <w:name w:val="样式 标题 3 + 黑体 小四 非加粗"/>
    <w:basedOn w:val="6"/>
    <w:qFormat/>
    <w:uiPriority w:val="0"/>
    <w:pPr>
      <w:spacing w:line="413" w:lineRule="auto"/>
    </w:pPr>
    <w:rPr>
      <w:rFonts w:ascii="黑体" w:hAnsi="黑体" w:eastAsia="黑体"/>
      <w:b w:val="0"/>
      <w:bCs w:val="0"/>
      <w:kern w:val="0"/>
      <w:sz w:val="24"/>
    </w:rPr>
  </w:style>
  <w:style w:type="paragraph" w:customStyle="1" w:styleId="551">
    <w:name w:val="正文缩进1"/>
    <w:basedOn w:val="1"/>
    <w:next w:val="25"/>
    <w:qFormat/>
    <w:uiPriority w:val="0"/>
    <w:pPr>
      <w:autoSpaceDE w:val="0"/>
      <w:autoSpaceDN w:val="0"/>
      <w:adjustRightInd w:val="0"/>
      <w:snapToGrid w:val="0"/>
      <w:spacing w:after="120" w:line="360" w:lineRule="auto"/>
      <w:ind w:left="420" w:leftChars="200" w:firstLine="480" w:firstLineChars="200"/>
      <w:jc w:val="left"/>
    </w:pPr>
    <w:rPr>
      <w:kern w:val="0"/>
      <w:sz w:val="24"/>
      <w:szCs w:val="21"/>
    </w:rPr>
  </w:style>
  <w:style w:type="paragraph" w:customStyle="1" w:styleId="55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53">
    <w:name w:val="表格文字加粗"/>
    <w:basedOn w:val="483"/>
    <w:qFormat/>
    <w:uiPriority w:val="0"/>
    <w:pPr>
      <w:spacing w:line="240" w:lineRule="auto"/>
    </w:pPr>
    <w:rPr>
      <w:rFonts w:ascii="宋体" w:hAnsi="宋体" w:cs="宋体"/>
      <w:b/>
      <w:bCs/>
      <w:sz w:val="18"/>
      <w:szCs w:val="18"/>
    </w:rPr>
  </w:style>
  <w:style w:type="paragraph" w:customStyle="1" w:styleId="5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555">
    <w:name w:val="正文样式 首行缩进:  0.74 厘米"/>
    <w:basedOn w:val="1"/>
    <w:qFormat/>
    <w:uiPriority w:val="0"/>
    <w:pPr>
      <w:autoSpaceDE w:val="0"/>
      <w:autoSpaceDN w:val="0"/>
      <w:adjustRightInd w:val="0"/>
      <w:spacing w:beforeLines="50" w:line="360" w:lineRule="auto"/>
      <w:ind w:firstLine="420"/>
      <w:jc w:val="left"/>
    </w:pPr>
    <w:rPr>
      <w:rFonts w:cs="宋体"/>
      <w:kern w:val="0"/>
      <w:sz w:val="24"/>
      <w:szCs w:val="20"/>
    </w:rPr>
  </w:style>
  <w:style w:type="paragraph" w:customStyle="1" w:styleId="55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557">
    <w:name w:val="Pa3"/>
    <w:basedOn w:val="1"/>
    <w:next w:val="1"/>
    <w:qFormat/>
    <w:uiPriority w:val="0"/>
    <w:pPr>
      <w:autoSpaceDE w:val="0"/>
      <w:autoSpaceDN w:val="0"/>
      <w:adjustRightInd w:val="0"/>
      <w:spacing w:line="191" w:lineRule="atLeast"/>
      <w:jc w:val="left"/>
    </w:pPr>
    <w:rPr>
      <w:rFonts w:ascii="Linotype Univers 330 Light" w:eastAsia="Linotype Univers 330 Light"/>
      <w:kern w:val="0"/>
      <w:sz w:val="24"/>
    </w:rPr>
  </w:style>
  <w:style w:type="paragraph" w:customStyle="1" w:styleId="558">
    <w:name w:val="样式 标题 4 + 非加粗"/>
    <w:basedOn w:val="7"/>
    <w:qFormat/>
    <w:uiPriority w:val="0"/>
    <w:pPr>
      <w:keepNext w:val="0"/>
      <w:tabs>
        <w:tab w:val="left" w:pos="0"/>
      </w:tabs>
      <w:adjustRightInd w:val="0"/>
      <w:textAlignment w:val="baseline"/>
    </w:pPr>
    <w:rPr>
      <w:rFonts w:ascii="Arial" w:hAnsi="Arial" w:eastAsia="黑体"/>
      <w:sz w:val="24"/>
      <w:szCs w:val="20"/>
    </w:rPr>
  </w:style>
  <w:style w:type="paragraph" w:customStyle="1" w:styleId="559">
    <w:name w:val="blockquote"/>
    <w:basedOn w:val="1"/>
    <w:qFormat/>
    <w:uiPriority w:val="0"/>
    <w:pPr>
      <w:widowControl/>
      <w:spacing w:before="100" w:beforeAutospacing="1" w:after="100" w:afterAutospacing="1"/>
      <w:jc w:val="left"/>
    </w:pPr>
    <w:rPr>
      <w:rFonts w:ascii="宋体" w:hAnsi="宋体"/>
    </w:rPr>
  </w:style>
  <w:style w:type="paragraph" w:customStyle="1" w:styleId="560">
    <w:name w:val="Char1 Char Char Char Char1"/>
    <w:basedOn w:val="19"/>
    <w:qFormat/>
    <w:uiPriority w:val="0"/>
    <w:rPr>
      <w:rFonts w:ascii="Tahoma" w:hAnsi="Tahoma" w:cs="Tahoma"/>
      <w:kern w:val="0"/>
      <w:sz w:val="18"/>
    </w:rPr>
  </w:style>
  <w:style w:type="paragraph" w:customStyle="1" w:styleId="561">
    <w:name w:val="xl107"/>
    <w:basedOn w:val="1"/>
    <w:qFormat/>
    <w:uiPriority w:val="0"/>
    <w:pPr>
      <w:widowControl/>
      <w:pBdr>
        <w:top w:val="single" w:color="auto" w:sz="4" w:space="0"/>
        <w:left w:val="single" w:color="auto" w:sz="4" w:space="0"/>
        <w:bottom w:val="single" w:color="auto" w:sz="4" w:space="0"/>
        <w:right w:val="single" w:color="auto" w:sz="8" w:space="0"/>
      </w:pBdr>
      <w:shd w:val="clear" w:color="000000" w:fill="92CDDC"/>
      <w:spacing w:before="100" w:beforeAutospacing="1" w:after="100" w:afterAutospacing="1"/>
      <w:jc w:val="center"/>
      <w:textAlignment w:val="top"/>
    </w:pPr>
    <w:rPr>
      <w:rFonts w:ascii="宋体" w:hAnsi="宋体" w:cs="宋体"/>
      <w:kern w:val="0"/>
      <w:sz w:val="24"/>
    </w:rPr>
  </w:style>
  <w:style w:type="paragraph" w:customStyle="1" w:styleId="562">
    <w:name w:val="缩正文"/>
    <w:basedOn w:val="57"/>
    <w:qFormat/>
    <w:uiPriority w:val="0"/>
    <w:pPr>
      <w:spacing w:line="240" w:lineRule="auto"/>
      <w:ind w:left="2268" w:leftChars="0" w:firstLine="0" w:firstLineChars="0"/>
    </w:pPr>
    <w:rPr>
      <w:rFonts w:ascii="Times New Roman" w:hAnsi="Times New Roman"/>
      <w:sz w:val="21"/>
      <w:szCs w:val="20"/>
    </w:rPr>
  </w:style>
  <w:style w:type="paragraph" w:customStyle="1" w:styleId="563">
    <w:name w:val="Table Paragraph"/>
    <w:basedOn w:val="1"/>
    <w:qFormat/>
    <w:uiPriority w:val="1"/>
    <w:pPr>
      <w:autoSpaceDE w:val="0"/>
      <w:autoSpaceDN w:val="0"/>
      <w:adjustRightInd w:val="0"/>
      <w:jc w:val="left"/>
    </w:pPr>
    <w:rPr>
      <w:kern w:val="0"/>
      <w:sz w:val="24"/>
    </w:rPr>
  </w:style>
  <w:style w:type="paragraph" w:customStyle="1" w:styleId="564">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565">
    <w:name w:val="实施日期"/>
    <w:basedOn w:val="1"/>
    <w:qFormat/>
    <w:uiPriority w:val="0"/>
    <w:pPr>
      <w:widowControl/>
      <w:tabs>
        <w:tab w:val="left" w:pos="2660"/>
      </w:tabs>
      <w:ind w:left="2660" w:hanging="420"/>
      <w:jc w:val="right"/>
    </w:pPr>
    <w:rPr>
      <w:rFonts w:eastAsia="黑体"/>
      <w:kern w:val="0"/>
      <w:sz w:val="28"/>
      <w:szCs w:val="20"/>
    </w:rPr>
  </w:style>
  <w:style w:type="paragraph" w:customStyle="1" w:styleId="566">
    <w:name w:val="NICMAN Body Text"/>
    <w:basedOn w:val="1"/>
    <w:next w:val="23"/>
    <w:qFormat/>
    <w:uiPriority w:val="0"/>
    <w:pPr>
      <w:autoSpaceDE w:val="0"/>
      <w:autoSpaceDN w:val="0"/>
      <w:adjustRightInd w:val="0"/>
      <w:spacing w:after="120"/>
      <w:jc w:val="left"/>
    </w:pPr>
    <w:rPr>
      <w:kern w:val="0"/>
      <w:sz w:val="20"/>
      <w:szCs w:val="20"/>
    </w:rPr>
  </w:style>
  <w:style w:type="paragraph" w:customStyle="1" w:styleId="567">
    <w:name w:val="Char Char Char Char12"/>
    <w:basedOn w:val="1"/>
    <w:qFormat/>
    <w:uiPriority w:val="0"/>
    <w:rPr>
      <w:rFonts w:ascii="Tahoma" w:hAnsi="Tahoma"/>
      <w:sz w:val="24"/>
      <w:szCs w:val="20"/>
    </w:rPr>
  </w:style>
  <w:style w:type="paragraph" w:customStyle="1" w:styleId="568">
    <w:name w:val="_Style 256"/>
    <w:next w:val="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69">
    <w:name w:val="无间隔1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70">
    <w:name w:val="纯文本11"/>
    <w:basedOn w:val="1"/>
    <w:qFormat/>
    <w:uiPriority w:val="0"/>
    <w:pPr>
      <w:adjustRightInd w:val="0"/>
      <w:textAlignment w:val="baseline"/>
    </w:pPr>
    <w:rPr>
      <w:rFonts w:ascii="宋体" w:hAnsi="Courier New" w:eastAsia="楷体_GB2312"/>
      <w:sz w:val="26"/>
      <w:szCs w:val="20"/>
    </w:rPr>
  </w:style>
  <w:style w:type="paragraph" w:customStyle="1" w:styleId="571">
    <w:name w:val="编号，小四"/>
    <w:basedOn w:val="1"/>
    <w:qFormat/>
    <w:uiPriority w:val="0"/>
    <w:pPr>
      <w:numPr>
        <w:ilvl w:val="0"/>
        <w:numId w:val="12"/>
      </w:numPr>
      <w:spacing w:line="360" w:lineRule="auto"/>
    </w:pPr>
    <w:rPr>
      <w:rFonts w:ascii="Arial" w:hAnsi="Arial" w:cs="宋体"/>
      <w:sz w:val="24"/>
      <w:szCs w:val="20"/>
    </w:rPr>
  </w:style>
  <w:style w:type="paragraph" w:customStyle="1" w:styleId="57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新宋体" w:hAnsi="新宋体" w:eastAsia="新宋体" w:cs="宋体"/>
      <w:color w:val="000000"/>
      <w:kern w:val="0"/>
      <w:sz w:val="24"/>
    </w:rPr>
  </w:style>
  <w:style w:type="paragraph" w:customStyle="1" w:styleId="573">
    <w:name w:val="font9"/>
    <w:basedOn w:val="1"/>
    <w:qFormat/>
    <w:uiPriority w:val="0"/>
    <w:pPr>
      <w:widowControl/>
      <w:spacing w:before="100" w:beforeAutospacing="1" w:after="100" w:afterAutospacing="1"/>
      <w:jc w:val="left"/>
    </w:pPr>
    <w:rPr>
      <w:rFonts w:ascii="黑体" w:hAnsi="宋体" w:eastAsia="黑体" w:cs="宋体"/>
      <w:color w:val="000000"/>
      <w:kern w:val="0"/>
      <w:sz w:val="20"/>
      <w:szCs w:val="20"/>
    </w:rPr>
  </w:style>
  <w:style w:type="paragraph" w:customStyle="1" w:styleId="574">
    <w:name w:val="单位"/>
    <w:basedOn w:val="1"/>
    <w:qFormat/>
    <w:uiPriority w:val="0"/>
    <w:pPr>
      <w:adjustRightInd w:val="0"/>
      <w:jc w:val="center"/>
      <w:textAlignment w:val="baseline"/>
    </w:pPr>
    <w:rPr>
      <w:rFonts w:ascii="宋体"/>
      <w:b/>
      <w:kern w:val="0"/>
      <w:sz w:val="32"/>
      <w:szCs w:val="20"/>
    </w:rPr>
  </w:style>
  <w:style w:type="paragraph" w:customStyle="1" w:styleId="575">
    <w:name w:val="Char Char1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76">
    <w:name w:val="表格文字（大）"/>
    <w:basedOn w:val="1"/>
    <w:qFormat/>
    <w:uiPriority w:val="0"/>
    <w:pPr>
      <w:autoSpaceDE w:val="0"/>
      <w:autoSpaceDN w:val="0"/>
      <w:adjustRightInd w:val="0"/>
      <w:spacing w:before="20" w:after="20"/>
      <w:jc w:val="left"/>
    </w:pPr>
    <w:rPr>
      <w:rFonts w:ascii="Century Gothic" w:hAnsi="Century Gothic" w:cs="Century Gothic"/>
      <w:kern w:val="0"/>
      <w:sz w:val="24"/>
      <w:szCs w:val="20"/>
    </w:rPr>
  </w:style>
  <w:style w:type="paragraph" w:customStyle="1" w:styleId="577">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578">
    <w:name w:val="样式3"/>
    <w:basedOn w:val="7"/>
    <w:qFormat/>
    <w:uiPriority w:val="0"/>
    <w:pPr>
      <w:keepNext w:val="0"/>
      <w:adjustRightInd w:val="0"/>
      <w:spacing w:before="260" w:after="260" w:line="416" w:lineRule="auto"/>
      <w:textAlignment w:val="baseline"/>
    </w:pPr>
    <w:rPr>
      <w:rFonts w:ascii="宋体" w:hAnsi="宋体"/>
      <w:color w:val="000000"/>
      <w:sz w:val="32"/>
      <w:szCs w:val="32"/>
    </w:rPr>
  </w:style>
  <w:style w:type="paragraph" w:customStyle="1" w:styleId="57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580">
    <w:name w:val="标题 4P"/>
    <w:basedOn w:val="7"/>
    <w:next w:val="16"/>
    <w:qFormat/>
    <w:uiPriority w:val="0"/>
    <w:pPr>
      <w:keepNext w:val="0"/>
      <w:keepLines w:val="0"/>
      <w:tabs>
        <w:tab w:val="left" w:pos="864"/>
        <w:tab w:val="left" w:pos="1716"/>
        <w:tab w:val="left" w:pos="1800"/>
      </w:tabs>
      <w:adjustRightInd w:val="0"/>
      <w:spacing w:before="0" w:after="0" w:line="240" w:lineRule="atLeast"/>
      <w:ind w:left="482" w:hanging="482" w:hangingChars="200"/>
      <w:textAlignment w:val="baseline"/>
    </w:pPr>
    <w:rPr>
      <w:rFonts w:ascii="Times New Roman" w:hAnsi="Times New Roman" w:cs="宋体"/>
      <w:sz w:val="24"/>
      <w:szCs w:val="24"/>
    </w:rPr>
  </w:style>
  <w:style w:type="paragraph" w:customStyle="1" w:styleId="581">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582">
    <w:name w:val="1Text"/>
    <w:basedOn w:val="1"/>
    <w:autoRedefine/>
    <w:qFormat/>
    <w:uiPriority w:val="0"/>
    <w:pPr>
      <w:spacing w:beforeLines="50" w:afterLines="50" w:line="360" w:lineRule="auto"/>
      <w:ind w:firstLine="480" w:firstLineChars="200"/>
      <w:jc w:val="left"/>
    </w:pPr>
    <w:rPr>
      <w:rFonts w:ascii="Calibri" w:hAnsi="Calibri"/>
      <w:kern w:val="0"/>
      <w:sz w:val="24"/>
    </w:rPr>
  </w:style>
  <w:style w:type="paragraph" w:customStyle="1" w:styleId="583">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58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85">
    <w:name w:val="_Style 33"/>
    <w:basedOn w:val="1"/>
    <w:qFormat/>
    <w:uiPriority w:val="0"/>
  </w:style>
  <w:style w:type="paragraph" w:customStyle="1" w:styleId="586">
    <w:name w:val="方案"/>
    <w:basedOn w:val="1"/>
    <w:qFormat/>
    <w:uiPriority w:val="0"/>
    <w:pPr>
      <w:jc w:val="right"/>
    </w:pPr>
    <w:rPr>
      <w:rFonts w:eastAsia="黑体"/>
      <w:b/>
      <w:sz w:val="52"/>
    </w:rPr>
  </w:style>
  <w:style w:type="paragraph" w:customStyle="1" w:styleId="587">
    <w:name w:val="xl320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w:hAnsi="Arial" w:cs="Arial"/>
      <w:b/>
      <w:bCs/>
      <w:kern w:val="0"/>
      <w:sz w:val="24"/>
    </w:rPr>
  </w:style>
  <w:style w:type="paragraph" w:customStyle="1" w:styleId="588">
    <w:name w:val="样式 标题 5正文四级标题 + 宋体 小五 行距: 固定值 12 磅1"/>
    <w:basedOn w:val="8"/>
    <w:qFormat/>
    <w:uiPriority w:val="0"/>
    <w:pPr>
      <w:keepNext w:val="0"/>
      <w:tabs>
        <w:tab w:val="left" w:pos="2580"/>
      </w:tabs>
      <w:adjustRightInd w:val="0"/>
      <w:spacing w:line="240" w:lineRule="exact"/>
      <w:ind w:left="2580" w:hanging="420"/>
      <w:textAlignment w:val="baseline"/>
    </w:pPr>
    <w:rPr>
      <w:rFonts w:ascii="宋体" w:hAnsi="宋体" w:cs="宋体"/>
      <w:kern w:val="0"/>
      <w:sz w:val="18"/>
      <w:szCs w:val="20"/>
    </w:rPr>
  </w:style>
  <w:style w:type="paragraph" w:customStyle="1" w:styleId="589">
    <w:name w:val="列出段落1"/>
    <w:basedOn w:val="1"/>
    <w:qFormat/>
    <w:uiPriority w:val="0"/>
    <w:pPr>
      <w:ind w:firstLine="420" w:firstLineChars="200"/>
    </w:pPr>
    <w:rPr>
      <w:szCs w:val="20"/>
    </w:rPr>
  </w:style>
  <w:style w:type="paragraph" w:customStyle="1" w:styleId="590">
    <w:name w:val="招标文件－标准正文"/>
    <w:basedOn w:val="31"/>
    <w:qFormat/>
    <w:uiPriority w:val="0"/>
    <w:pPr>
      <w:spacing w:line="360" w:lineRule="auto"/>
    </w:pPr>
    <w:rPr>
      <w:rFonts w:ascii="Times New Roman" w:hAnsi="Times New Roman" w:cs="宋体"/>
      <w:color w:val="000000"/>
      <w:sz w:val="24"/>
    </w:rPr>
  </w:style>
  <w:style w:type="paragraph" w:customStyle="1" w:styleId="591">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592">
    <w:name w:val="图表1"/>
    <w:basedOn w:val="1"/>
    <w:qFormat/>
    <w:uiPriority w:val="0"/>
    <w:pPr>
      <w:jc w:val="center"/>
    </w:pPr>
    <w:rPr>
      <w:sz w:val="20"/>
    </w:rPr>
  </w:style>
  <w:style w:type="paragraph" w:customStyle="1" w:styleId="593">
    <w:name w:val="CM106"/>
    <w:basedOn w:val="526"/>
    <w:next w:val="526"/>
    <w:qFormat/>
    <w:uiPriority w:val="0"/>
    <w:rPr>
      <w:rFonts w:cs="Times New Roman"/>
      <w:color w:val="auto"/>
    </w:rPr>
  </w:style>
  <w:style w:type="paragraph" w:customStyle="1" w:styleId="594">
    <w:name w:val="xl98"/>
    <w:basedOn w:val="1"/>
    <w:qFormat/>
    <w:uiPriority w:val="0"/>
    <w:pPr>
      <w:widowControl/>
      <w:pBdr>
        <w:top w:val="single" w:color="auto" w:sz="8" w:space="0"/>
        <w:left w:val="single" w:color="auto" w:sz="4" w:space="0"/>
        <w:bottom w:val="single" w:color="auto" w:sz="4" w:space="0"/>
        <w:right w:val="single" w:color="auto" w:sz="8" w:space="0"/>
      </w:pBdr>
      <w:shd w:val="clear" w:color="000000" w:fill="92D050"/>
      <w:spacing w:before="100" w:beforeAutospacing="1" w:after="100" w:afterAutospacing="1"/>
      <w:jc w:val="center"/>
    </w:pPr>
    <w:rPr>
      <w:rFonts w:ascii="Arial" w:hAnsi="Arial" w:cs="Arial"/>
      <w:b/>
      <w:bCs/>
      <w:kern w:val="0"/>
      <w:sz w:val="24"/>
    </w:rPr>
  </w:style>
  <w:style w:type="paragraph" w:customStyle="1" w:styleId="595">
    <w:name w:val="Char Char3"/>
    <w:basedOn w:val="1"/>
    <w:qFormat/>
    <w:uiPriority w:val="0"/>
    <w:rPr>
      <w:rFonts w:ascii="仿宋_GB2312" w:eastAsia="仿宋_GB2312"/>
      <w:b/>
      <w:sz w:val="32"/>
      <w:szCs w:val="32"/>
    </w:rPr>
  </w:style>
  <w:style w:type="paragraph" w:customStyle="1" w:styleId="596">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7">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598">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599">
    <w:name w:val="默认段落字体 Para Char Char Char Char Char Char Char"/>
    <w:basedOn w:val="1"/>
    <w:qFormat/>
    <w:uiPriority w:val="0"/>
    <w:pPr>
      <w:adjustRightInd w:val="0"/>
      <w:spacing w:line="360" w:lineRule="auto"/>
    </w:pPr>
    <w:rPr>
      <w:rFonts w:ascii="Tahoma" w:hAnsi="Tahoma"/>
      <w:kern w:val="0"/>
      <w:sz w:val="24"/>
      <w:szCs w:val="20"/>
    </w:rPr>
  </w:style>
  <w:style w:type="paragraph" w:customStyle="1" w:styleId="600">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01">
    <w:name w:val="符号2"/>
    <w:basedOn w:val="1"/>
    <w:qFormat/>
    <w:uiPriority w:val="0"/>
    <w:pPr>
      <w:widowControl/>
      <w:numPr>
        <w:ilvl w:val="0"/>
        <w:numId w:val="13"/>
      </w:numPr>
      <w:spacing w:line="360" w:lineRule="auto"/>
      <w:jc w:val="left"/>
    </w:pPr>
    <w:rPr>
      <w:rFonts w:ascii="仿宋_GB2312" w:eastAsia="仿宋_GB2312"/>
      <w:sz w:val="28"/>
    </w:rPr>
  </w:style>
  <w:style w:type="paragraph" w:customStyle="1" w:styleId="602">
    <w:name w:val="Char3"/>
    <w:basedOn w:val="1"/>
    <w:qFormat/>
    <w:uiPriority w:val="0"/>
    <w:rPr>
      <w:rFonts w:ascii="Tahoma" w:hAnsi="Tahoma"/>
      <w:sz w:val="24"/>
      <w:szCs w:val="20"/>
    </w:rPr>
  </w:style>
  <w:style w:type="paragraph" w:customStyle="1" w:styleId="603">
    <w:name w:val="编号正文"/>
    <w:basedOn w:val="23"/>
    <w:qFormat/>
    <w:uiPriority w:val="0"/>
    <w:pPr>
      <w:numPr>
        <w:ilvl w:val="0"/>
        <w:numId w:val="14"/>
      </w:numPr>
      <w:adjustRightInd w:val="0"/>
      <w:snapToGrid w:val="0"/>
      <w:spacing w:beforeLines="30" w:after="60" w:line="300" w:lineRule="auto"/>
      <w:jc w:val="left"/>
    </w:pPr>
    <w:rPr>
      <w:rFonts w:ascii="Times New Roman" w:hAnsi="Times New Roman"/>
      <w:kern w:val="0"/>
      <w:sz w:val="24"/>
      <w:szCs w:val="20"/>
    </w:rPr>
  </w:style>
  <w:style w:type="paragraph" w:customStyle="1" w:styleId="604">
    <w:name w:val="正文文字表格居中"/>
    <w:basedOn w:val="1"/>
    <w:next w:val="51"/>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605">
    <w:name w:val="xl105"/>
    <w:basedOn w:val="1"/>
    <w:qFormat/>
    <w:uiPriority w:val="0"/>
    <w:pPr>
      <w:widowControl/>
      <w:pBdr>
        <w:top w:val="single" w:color="auto" w:sz="4" w:space="0"/>
        <w:left w:val="single" w:color="auto" w:sz="4" w:space="0"/>
        <w:bottom w:val="single" w:color="auto" w:sz="4" w:space="0"/>
        <w:right w:val="single" w:color="auto" w:sz="8" w:space="0"/>
      </w:pBdr>
      <w:shd w:val="clear" w:color="000000" w:fill="FABF8F"/>
      <w:spacing w:before="100" w:beforeAutospacing="1" w:after="100" w:afterAutospacing="1"/>
      <w:jc w:val="center"/>
      <w:textAlignment w:val="top"/>
    </w:pPr>
    <w:rPr>
      <w:rFonts w:ascii="宋体" w:hAnsi="宋体" w:cs="宋体"/>
      <w:kern w:val="0"/>
      <w:sz w:val="24"/>
    </w:rPr>
  </w:style>
  <w:style w:type="paragraph" w:customStyle="1" w:styleId="606">
    <w:name w:val="Char Char1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607">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新宋体" w:hAnsi="新宋体" w:eastAsia="新宋体" w:cs="宋体"/>
      <w:b/>
      <w:bCs/>
      <w:color w:val="000000"/>
      <w:kern w:val="0"/>
      <w:sz w:val="24"/>
    </w:rPr>
  </w:style>
  <w:style w:type="paragraph" w:customStyle="1" w:styleId="609">
    <w:name w:val="列出段落4"/>
    <w:basedOn w:val="1"/>
    <w:qFormat/>
    <w:uiPriority w:val="0"/>
    <w:pPr>
      <w:ind w:firstLine="420" w:firstLineChars="200"/>
    </w:pPr>
  </w:style>
  <w:style w:type="paragraph" w:customStyle="1" w:styleId="61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11">
    <w:name w:val="修订1"/>
    <w:qFormat/>
    <w:uiPriority w:val="0"/>
    <w:rPr>
      <w:rFonts w:ascii="Times New Roman" w:hAnsi="Times New Roman" w:eastAsia="宋体" w:cs="Times New Roman"/>
      <w:kern w:val="2"/>
      <w:sz w:val="21"/>
      <w:szCs w:val="24"/>
      <w:lang w:val="en-US" w:eastAsia="zh-CN" w:bidi="ar-SA"/>
    </w:rPr>
  </w:style>
  <w:style w:type="paragraph" w:customStyle="1" w:styleId="612">
    <w:name w:val="文字"/>
    <w:basedOn w:val="1"/>
    <w:qFormat/>
    <w:uiPriority w:val="0"/>
    <w:pPr>
      <w:tabs>
        <w:tab w:val="left" w:pos="8520"/>
      </w:tabs>
      <w:spacing w:line="312" w:lineRule="auto"/>
      <w:ind w:right="-210" w:firstLine="556"/>
    </w:pPr>
    <w:rPr>
      <w:rFonts w:ascii="宋体"/>
      <w:sz w:val="28"/>
      <w:szCs w:val="20"/>
    </w:rPr>
  </w:style>
  <w:style w:type="paragraph" w:customStyle="1" w:styleId="613">
    <w:name w:val="注释"/>
    <w:basedOn w:val="1"/>
    <w:autoRedefine/>
    <w:qFormat/>
    <w:uiPriority w:val="0"/>
    <w:pPr>
      <w:adjustRightInd w:val="0"/>
      <w:snapToGrid w:val="0"/>
      <w:spacing w:before="60" w:after="60" w:line="300" w:lineRule="auto"/>
      <w:ind w:firstLine="200" w:firstLineChars="200"/>
    </w:pPr>
    <w:rPr>
      <w:bCs/>
      <w:i/>
      <w:color w:val="3366FF"/>
      <w:sz w:val="24"/>
      <w:szCs w:val="20"/>
    </w:rPr>
  </w:style>
  <w:style w:type="paragraph" w:customStyle="1" w:styleId="614">
    <w:name w:val="默认段落字体 Para Char Char Char Char Char Char Char Char Char1 Char Char Char Char"/>
    <w:basedOn w:val="1"/>
    <w:qFormat/>
    <w:uiPriority w:val="0"/>
    <w:rPr>
      <w:rFonts w:ascii="Tahoma" w:hAnsi="Tahoma"/>
      <w:sz w:val="24"/>
      <w:szCs w:val="20"/>
    </w:rPr>
  </w:style>
  <w:style w:type="paragraph" w:customStyle="1" w:styleId="615">
    <w:name w:val="Char13"/>
    <w:basedOn w:val="1"/>
    <w:qFormat/>
    <w:uiPriority w:val="0"/>
    <w:pPr>
      <w:autoSpaceDE w:val="0"/>
      <w:autoSpaceDN w:val="0"/>
      <w:adjustRightInd w:val="0"/>
      <w:jc w:val="left"/>
    </w:pPr>
    <w:rPr>
      <w:rFonts w:ascii="仿宋_GB2312" w:eastAsia="仿宋_GB2312"/>
      <w:b/>
      <w:kern w:val="0"/>
      <w:sz w:val="32"/>
      <w:szCs w:val="32"/>
    </w:rPr>
  </w:style>
  <w:style w:type="paragraph" w:customStyle="1" w:styleId="616">
    <w:name w:val="Body text|3"/>
    <w:basedOn w:val="1"/>
    <w:qFormat/>
    <w:uiPriority w:val="0"/>
    <w:pPr>
      <w:shd w:val="clear" w:color="auto" w:fill="FFFFFF"/>
      <w:spacing w:before="500" w:after="2360" w:line="280" w:lineRule="exact"/>
    </w:pPr>
    <w:rPr>
      <w:rFonts w:ascii="PMingLiU" w:hAnsi="PMingLiU" w:eastAsia="PMingLiU" w:cs="PMingLiU"/>
      <w:b/>
      <w:bCs/>
      <w:spacing w:val="20"/>
      <w:sz w:val="28"/>
      <w:szCs w:val="28"/>
    </w:rPr>
  </w:style>
  <w:style w:type="paragraph" w:customStyle="1" w:styleId="617">
    <w:name w:val="xl101"/>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w:hAnsi="Arial" w:cs="Arial"/>
      <w:kern w:val="0"/>
      <w:sz w:val="22"/>
      <w:szCs w:val="22"/>
    </w:rPr>
  </w:style>
  <w:style w:type="paragraph" w:customStyle="1" w:styleId="618">
    <w:name w:val="List Paragraph1"/>
    <w:basedOn w:val="1"/>
    <w:qFormat/>
    <w:uiPriority w:val="0"/>
    <w:pPr>
      <w:spacing w:line="360" w:lineRule="auto"/>
      <w:ind w:firstLine="420" w:firstLineChars="200"/>
    </w:pPr>
    <w:rPr>
      <w:rFonts w:ascii="Calibri" w:hAnsi="Calibri"/>
      <w:sz w:val="24"/>
      <w:szCs w:val="22"/>
    </w:rPr>
  </w:style>
  <w:style w:type="paragraph" w:customStyle="1" w:styleId="619">
    <w:name w:val="样式 宋体 首行缩进:  0.87 厘米"/>
    <w:basedOn w:val="1"/>
    <w:qFormat/>
    <w:uiPriority w:val="0"/>
    <w:pPr>
      <w:spacing w:line="480" w:lineRule="exact"/>
      <w:ind w:firstLine="493"/>
    </w:pPr>
    <w:rPr>
      <w:rFonts w:ascii="宋体" w:hAnsi="宋体" w:cs="宋体"/>
      <w:spacing w:val="6"/>
      <w:sz w:val="24"/>
    </w:rPr>
  </w:style>
  <w:style w:type="paragraph" w:customStyle="1" w:styleId="620">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621">
    <w:name w:val="百姓X"/>
    <w:basedOn w:val="1"/>
    <w:qFormat/>
    <w:uiPriority w:val="0"/>
    <w:pPr>
      <w:spacing w:before="120" w:after="120" w:line="360" w:lineRule="auto"/>
      <w:ind w:firstLine="540"/>
    </w:pPr>
    <w:rPr>
      <w:rFonts w:ascii="宋体" w:hAnsi="宋体"/>
      <w:sz w:val="24"/>
      <w:szCs w:val="28"/>
    </w:rPr>
  </w:style>
  <w:style w:type="paragraph" w:customStyle="1" w:styleId="622">
    <w:name w:val="【注意】"/>
    <w:basedOn w:val="1"/>
    <w:next w:val="1"/>
    <w:qFormat/>
    <w:uiPriority w:val="0"/>
    <w:pPr>
      <w:spacing w:before="120" w:after="120"/>
      <w:jc w:val="left"/>
    </w:pPr>
    <w:rPr>
      <w:rFonts w:ascii="宋体" w:hAnsi="Arial"/>
      <w:szCs w:val="20"/>
    </w:rPr>
  </w:style>
  <w:style w:type="paragraph" w:customStyle="1" w:styleId="623">
    <w:name w:val="_Style 25"/>
    <w:basedOn w:val="1"/>
    <w:qFormat/>
    <w:uiPriority w:val="0"/>
  </w:style>
  <w:style w:type="paragraph" w:customStyle="1" w:styleId="624">
    <w:name w:val="album-div"/>
    <w:basedOn w:val="1"/>
    <w:qFormat/>
    <w:uiPriority w:val="0"/>
    <w:pPr>
      <w:widowControl/>
      <w:spacing w:before="100" w:beforeAutospacing="1" w:after="100" w:afterAutospacing="1"/>
      <w:jc w:val="left"/>
    </w:pPr>
    <w:rPr>
      <w:rFonts w:ascii="宋体" w:hAnsi="宋体" w:cs="宋体"/>
      <w:kern w:val="0"/>
      <w:sz w:val="24"/>
    </w:rPr>
  </w:style>
  <w:style w:type="paragraph" w:customStyle="1" w:styleId="625">
    <w:name w:val="xl113"/>
    <w:basedOn w:val="1"/>
    <w:qFormat/>
    <w:uiPriority w:val="0"/>
    <w:pPr>
      <w:widowControl/>
      <w:pBdr>
        <w:top w:val="single" w:color="auto" w:sz="4" w:space="0"/>
        <w:left w:val="single" w:color="auto" w:sz="8" w:space="0"/>
        <w:bottom w:val="single" w:color="auto" w:sz="4" w:space="0"/>
        <w:right w:val="single" w:color="auto" w:sz="4"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26">
    <w:name w:val="标题 3H"/>
    <w:basedOn w:val="6"/>
    <w:next w:val="16"/>
    <w:qFormat/>
    <w:uiPriority w:val="0"/>
    <w:pPr>
      <w:keepNext w:val="0"/>
      <w:tabs>
        <w:tab w:val="left" w:pos="862"/>
      </w:tabs>
      <w:adjustRightInd w:val="0"/>
      <w:spacing w:before="120" w:after="0" w:line="360" w:lineRule="auto"/>
      <w:ind w:left="561" w:hanging="561"/>
      <w:textAlignment w:val="baseline"/>
    </w:pPr>
    <w:rPr>
      <w:rFonts w:eastAsia="黑体" w:cs="宋体"/>
      <w:kern w:val="0"/>
      <w:sz w:val="28"/>
      <w:szCs w:val="20"/>
    </w:rPr>
  </w:style>
  <w:style w:type="paragraph" w:customStyle="1" w:styleId="627">
    <w:name w:val="xl76"/>
    <w:basedOn w:val="1"/>
    <w:qFormat/>
    <w:uiPriority w:val="0"/>
    <w:pPr>
      <w:widowControl/>
      <w:pBdr>
        <w:top w:val="single" w:color="auto" w:sz="4" w:space="0"/>
        <w:bottom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28">
    <w:name w:val="内文正文"/>
    <w:basedOn w:val="31"/>
    <w:qFormat/>
    <w:uiPriority w:val="0"/>
    <w:pPr>
      <w:adjustRightInd w:val="0"/>
      <w:snapToGrid w:val="0"/>
      <w:spacing w:line="400" w:lineRule="exact"/>
      <w:ind w:firstLine="200" w:firstLineChars="200"/>
    </w:pPr>
    <w:rPr>
      <w:rFonts w:ascii="Arial" w:hAnsi="Arial" w:cs="Courier New"/>
      <w:b/>
      <w:color w:val="000000"/>
      <w:kern w:val="0"/>
      <w:szCs w:val="21"/>
    </w:rPr>
  </w:style>
  <w:style w:type="paragraph" w:customStyle="1" w:styleId="629">
    <w:name w:val="五级条标题"/>
    <w:basedOn w:val="630"/>
    <w:next w:val="1"/>
    <w:qFormat/>
    <w:uiPriority w:val="0"/>
    <w:pPr>
      <w:numPr>
        <w:ilvl w:val="6"/>
      </w:numPr>
      <w:tabs>
        <w:tab w:val="left" w:pos="360"/>
      </w:tabs>
      <w:outlineLvl w:val="6"/>
    </w:pPr>
  </w:style>
  <w:style w:type="paragraph" w:customStyle="1" w:styleId="630">
    <w:name w:val="四级条标题"/>
    <w:basedOn w:val="503"/>
    <w:next w:val="1"/>
    <w:qFormat/>
    <w:uiPriority w:val="0"/>
    <w:pPr>
      <w:numPr>
        <w:ilvl w:val="5"/>
      </w:numPr>
      <w:outlineLvl w:val="5"/>
    </w:pPr>
  </w:style>
  <w:style w:type="paragraph" w:customStyle="1" w:styleId="631">
    <w:name w:val="Char Char Char Char Char Char Char Char Char Char Char Char Char1"/>
    <w:basedOn w:val="1"/>
    <w:qFormat/>
    <w:uiPriority w:val="0"/>
    <w:rPr>
      <w:rFonts w:ascii="Tahoma" w:hAnsi="Tahoma"/>
      <w:sz w:val="24"/>
      <w:szCs w:val="20"/>
    </w:rPr>
  </w:style>
  <w:style w:type="paragraph" w:customStyle="1" w:styleId="632">
    <w:name w:val="目录"/>
    <w:basedOn w:val="41"/>
    <w:qFormat/>
    <w:uiPriority w:val="0"/>
    <w:pPr>
      <w:tabs>
        <w:tab w:val="right" w:leader="dot" w:pos="7937"/>
        <w:tab w:val="right" w:leader="dot" w:pos="9628"/>
      </w:tabs>
      <w:adjustRightInd w:val="0"/>
      <w:spacing w:before="120" w:after="120" w:line="360" w:lineRule="auto"/>
      <w:jc w:val="center"/>
      <w:textAlignment w:val="baseline"/>
    </w:pPr>
    <w:rPr>
      <w:rFonts w:ascii="宋体" w:hAnsi="Times New Roman" w:eastAsia="黑体" w:cs="Times New Roman"/>
      <w:kern w:val="0"/>
      <w:sz w:val="30"/>
      <w:szCs w:val="20"/>
    </w:rPr>
  </w:style>
  <w:style w:type="paragraph" w:customStyle="1" w:styleId="63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b/>
      <w:bCs/>
      <w:color w:val="000000"/>
      <w:kern w:val="0"/>
      <w:sz w:val="24"/>
    </w:rPr>
  </w:style>
  <w:style w:type="paragraph" w:customStyle="1" w:styleId="63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635">
    <w:name w:val="样式 四号 首行缩进:  1 厘米"/>
    <w:basedOn w:val="1"/>
    <w:qFormat/>
    <w:uiPriority w:val="0"/>
    <w:pPr>
      <w:spacing w:line="440" w:lineRule="exact"/>
      <w:ind w:firstLine="567"/>
    </w:pPr>
    <w:rPr>
      <w:rFonts w:cs="宋体"/>
      <w:sz w:val="28"/>
      <w:szCs w:val="20"/>
    </w:rPr>
  </w:style>
  <w:style w:type="paragraph" w:customStyle="1" w:styleId="636">
    <w:name w:val="xl83"/>
    <w:basedOn w:val="1"/>
    <w:qFormat/>
    <w:uiPriority w:val="0"/>
    <w:pPr>
      <w:widowControl/>
      <w:pBdr>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37">
    <w:name w:val="保留正文"/>
    <w:basedOn w:val="23"/>
    <w:qFormat/>
    <w:uiPriority w:val="0"/>
    <w:pPr>
      <w:keepNext/>
      <w:spacing w:after="160"/>
    </w:pPr>
    <w:rPr>
      <w:rFonts w:ascii="仿宋_GB2312"/>
      <w:b/>
    </w:rPr>
  </w:style>
  <w:style w:type="paragraph" w:customStyle="1" w:styleId="638">
    <w:name w:val="列出段落6"/>
    <w:basedOn w:val="1"/>
    <w:qFormat/>
    <w:uiPriority w:val="0"/>
    <w:pPr>
      <w:ind w:firstLine="420" w:firstLineChars="200"/>
    </w:pPr>
  </w:style>
  <w:style w:type="paragraph" w:customStyle="1" w:styleId="639">
    <w:name w:val="正文缩进2"/>
    <w:basedOn w:val="1"/>
    <w:qFormat/>
    <w:uiPriority w:val="0"/>
    <w:pPr>
      <w:ind w:firstLine="420"/>
    </w:pPr>
    <w:rPr>
      <w:szCs w:val="20"/>
    </w:rPr>
  </w:style>
  <w:style w:type="paragraph" w:customStyle="1" w:styleId="640">
    <w:name w:val="xl93"/>
    <w:basedOn w:val="1"/>
    <w:qFormat/>
    <w:uiPriority w:val="0"/>
    <w:pPr>
      <w:widowControl/>
      <w:pBdr>
        <w:top w:val="single" w:color="auto" w:sz="8" w:space="0"/>
        <w:left w:val="single" w:color="auto" w:sz="8"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641">
    <w:name w:val="xl94"/>
    <w:basedOn w:val="1"/>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Arial" w:hAnsi="Arial" w:cs="Arial"/>
      <w:b/>
      <w:bCs/>
      <w:kern w:val="0"/>
      <w:sz w:val="24"/>
    </w:rPr>
  </w:style>
  <w:style w:type="paragraph" w:customStyle="1" w:styleId="642">
    <w:name w:val="简单回函地址"/>
    <w:basedOn w:val="1"/>
    <w:qFormat/>
    <w:uiPriority w:val="0"/>
  </w:style>
  <w:style w:type="paragraph" w:customStyle="1" w:styleId="643">
    <w:name w:val="样式"/>
    <w:basedOn w:val="1"/>
    <w:qFormat/>
    <w:uiPriority w:val="0"/>
    <w:pPr>
      <w:autoSpaceDE w:val="0"/>
      <w:autoSpaceDN w:val="0"/>
      <w:adjustRightInd w:val="0"/>
      <w:snapToGrid w:val="0"/>
      <w:spacing w:before="120" w:after="120" w:line="360" w:lineRule="auto"/>
      <w:jc w:val="left"/>
    </w:pPr>
    <w:rPr>
      <w:rFonts w:ascii="宋体"/>
      <w:kern w:val="0"/>
      <w:sz w:val="24"/>
      <w:szCs w:val="20"/>
    </w:rPr>
  </w:style>
  <w:style w:type="paragraph" w:customStyle="1" w:styleId="644">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paragraph" w:customStyle="1" w:styleId="645">
    <w:name w:val="Char1 Char Char Char Char"/>
    <w:basedOn w:val="19"/>
    <w:qFormat/>
    <w:uiPriority w:val="0"/>
    <w:rPr>
      <w:rFonts w:ascii="Tahoma" w:hAnsi="Tahoma" w:cs="Tahoma"/>
      <w:kern w:val="0"/>
      <w:sz w:val="18"/>
    </w:rPr>
  </w:style>
  <w:style w:type="paragraph" w:customStyle="1" w:styleId="64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47">
    <w:name w:val="标题3"/>
    <w:basedOn w:val="6"/>
    <w:qFormat/>
    <w:uiPriority w:val="0"/>
    <w:pPr>
      <w:numPr>
        <w:ilvl w:val="2"/>
        <w:numId w:val="8"/>
      </w:numPr>
      <w:spacing w:line="416" w:lineRule="auto"/>
      <w:jc w:val="left"/>
    </w:pPr>
    <w:rPr>
      <w:rFonts w:eastAsia="黑体" w:cs="Arial"/>
    </w:rPr>
  </w:style>
  <w:style w:type="paragraph" w:customStyle="1" w:styleId="648">
    <w:name w:val="Char Char Char Char Char Char Char1"/>
    <w:basedOn w:val="1"/>
    <w:qFormat/>
    <w:uiPriority w:val="0"/>
    <w:pPr>
      <w:widowControl/>
      <w:spacing w:after="160" w:line="240" w:lineRule="exact"/>
      <w:jc w:val="left"/>
    </w:pPr>
    <w:rPr>
      <w:szCs w:val="20"/>
    </w:rPr>
  </w:style>
  <w:style w:type="paragraph" w:customStyle="1" w:styleId="649">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650">
    <w:name w:val="Char Char Char Char Char Char Char Char Char1 Char"/>
    <w:basedOn w:val="1"/>
    <w:qFormat/>
    <w:uiPriority w:val="0"/>
  </w:style>
  <w:style w:type="paragraph" w:customStyle="1" w:styleId="651">
    <w:name w:val="正文内容"/>
    <w:basedOn w:val="1"/>
    <w:qFormat/>
    <w:uiPriority w:val="0"/>
    <w:pPr>
      <w:spacing w:line="360" w:lineRule="auto"/>
      <w:ind w:firstLine="480"/>
    </w:pPr>
    <w:rPr>
      <w:rFonts w:ascii="宋体" w:hAnsi="宋体"/>
      <w:sz w:val="24"/>
      <w:szCs w:val="20"/>
    </w:rPr>
  </w:style>
  <w:style w:type="paragraph" w:customStyle="1" w:styleId="652">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653">
    <w:name w:val="xl2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65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55">
    <w:name w:val="xl10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w:hAnsi="Arial" w:cs="Arial"/>
      <w:kern w:val="0"/>
      <w:sz w:val="22"/>
      <w:szCs w:val="22"/>
    </w:rPr>
  </w:style>
  <w:style w:type="paragraph" w:customStyle="1" w:styleId="656">
    <w:name w:val="正文常用"/>
    <w:basedOn w:val="1"/>
    <w:qFormat/>
    <w:uiPriority w:val="0"/>
    <w:pPr>
      <w:spacing w:line="360" w:lineRule="auto"/>
      <w:ind w:firstLine="420"/>
    </w:pPr>
    <w:rPr>
      <w:rFonts w:ascii="宋体" w:hAnsi="宋体"/>
      <w:color w:val="000000"/>
      <w:sz w:val="24"/>
      <w:szCs w:val="21"/>
    </w:rPr>
  </w:style>
  <w:style w:type="paragraph" w:customStyle="1" w:styleId="657">
    <w:name w:val="默认段落字体 Para Char"/>
    <w:basedOn w:val="1"/>
    <w:qFormat/>
    <w:uiPriority w:val="0"/>
    <w:pPr>
      <w:spacing w:beforeLines="50" w:afterLines="50"/>
    </w:pPr>
    <w:rPr>
      <w:rFonts w:ascii="Tahoma" w:hAnsi="Tahoma"/>
      <w:sz w:val="24"/>
      <w:szCs w:val="20"/>
    </w:rPr>
  </w:style>
  <w:style w:type="paragraph" w:customStyle="1" w:styleId="658">
    <w:name w:val="纯文本2"/>
    <w:basedOn w:val="1"/>
    <w:qFormat/>
    <w:uiPriority w:val="0"/>
    <w:pPr>
      <w:adjustRightInd w:val="0"/>
      <w:snapToGrid w:val="0"/>
      <w:spacing w:line="288" w:lineRule="auto"/>
      <w:ind w:firstLine="200" w:firstLineChars="200"/>
    </w:pPr>
    <w:rPr>
      <w:rFonts w:ascii="宋体" w:hAnsi="Courier New"/>
    </w:rPr>
  </w:style>
  <w:style w:type="paragraph" w:customStyle="1" w:styleId="659">
    <w:name w:val="样式 标题 3 + 黑色 段前: 5 磅 段后: 5 磅 行距: 1.5 倍行距"/>
    <w:basedOn w:val="1"/>
    <w:autoRedefine/>
    <w:qFormat/>
    <w:uiPriority w:val="0"/>
    <w:pPr>
      <w:ind w:left="855" w:hanging="855"/>
    </w:pPr>
    <w:rPr>
      <w:sz w:val="24"/>
      <w:szCs w:val="20"/>
    </w:rPr>
  </w:style>
  <w:style w:type="paragraph" w:customStyle="1" w:styleId="660">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61">
    <w:name w:val="项目符1"/>
    <w:basedOn w:val="1"/>
    <w:next w:val="1"/>
    <w:autoRedefine/>
    <w:qFormat/>
    <w:uiPriority w:val="0"/>
    <w:pPr>
      <w:numPr>
        <w:ilvl w:val="0"/>
        <w:numId w:val="15"/>
      </w:numPr>
      <w:spacing w:before="60" w:line="360" w:lineRule="auto"/>
    </w:pPr>
    <w:rPr>
      <w:spacing w:val="6"/>
      <w:szCs w:val="20"/>
    </w:rPr>
  </w:style>
  <w:style w:type="paragraph" w:customStyle="1" w:styleId="662">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663">
    <w:name w:val="xl64"/>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664">
    <w:name w:val="标准小四"/>
    <w:basedOn w:val="1"/>
    <w:autoRedefine/>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665">
    <w:name w:val="样式_4"/>
    <w:basedOn w:val="7"/>
    <w:next w:val="7"/>
    <w:autoRedefine/>
    <w:qFormat/>
    <w:uiPriority w:val="0"/>
    <w:pPr>
      <w:keepNext w:val="0"/>
      <w:tabs>
        <w:tab w:val="left" w:pos="851"/>
      </w:tabs>
      <w:adjustRightInd w:val="0"/>
      <w:spacing w:line="240" w:lineRule="exact"/>
      <w:ind w:left="851" w:hanging="851"/>
      <w:textAlignment w:val="baseline"/>
    </w:pPr>
    <w:rPr>
      <w:rFonts w:ascii="宋体" w:hAnsi="宋体"/>
      <w:color w:val="000000"/>
      <w:sz w:val="24"/>
    </w:rPr>
  </w:style>
  <w:style w:type="paragraph" w:customStyle="1" w:styleId="666">
    <w:name w:val="Heading #2|1"/>
    <w:basedOn w:val="1"/>
    <w:autoRedefine/>
    <w:qFormat/>
    <w:uiPriority w:val="0"/>
    <w:pPr>
      <w:shd w:val="clear" w:color="auto" w:fill="FFFFFF"/>
      <w:spacing w:line="280" w:lineRule="exact"/>
      <w:outlineLvl w:val="1"/>
    </w:pPr>
    <w:rPr>
      <w:rFonts w:ascii="PMingLiU" w:hAnsi="PMingLiU" w:eastAsia="PMingLiU" w:cs="PMingLiU"/>
      <w:b/>
      <w:bCs/>
      <w:spacing w:val="20"/>
      <w:sz w:val="28"/>
      <w:szCs w:val="28"/>
    </w:rPr>
  </w:style>
  <w:style w:type="paragraph" w:customStyle="1" w:styleId="667">
    <w:name w:val="button"/>
    <w:basedOn w:val="1"/>
    <w:autoRedefine/>
    <w:qFormat/>
    <w:uiPriority w:val="0"/>
    <w:pPr>
      <w:widowControl/>
      <w:autoSpaceDE w:val="0"/>
      <w:autoSpaceDN w:val="0"/>
      <w:adjustRightInd w:val="0"/>
      <w:spacing w:before="100" w:beforeAutospacing="1" w:after="100" w:afterAutospacing="1"/>
      <w:jc w:val="left"/>
    </w:pPr>
    <w:rPr>
      <w:rFonts w:ascii="Arial Unicode MS" w:hAnsi="Arial Unicode MS"/>
      <w:color w:val="000000"/>
      <w:kern w:val="0"/>
      <w:sz w:val="24"/>
      <w:szCs w:val="20"/>
    </w:rPr>
  </w:style>
  <w:style w:type="paragraph" w:customStyle="1" w:styleId="668">
    <w:name w:val="列出段落2"/>
    <w:basedOn w:val="1"/>
    <w:autoRedefine/>
    <w:qFormat/>
    <w:uiPriority w:val="0"/>
    <w:pPr>
      <w:spacing w:line="360" w:lineRule="auto"/>
      <w:ind w:firstLine="420" w:firstLineChars="200"/>
    </w:pPr>
    <w:rPr>
      <w:rFonts w:ascii="Calibri" w:hAnsi="Calibri"/>
      <w:sz w:val="24"/>
      <w:szCs w:val="22"/>
    </w:rPr>
  </w:style>
  <w:style w:type="paragraph" w:customStyle="1" w:styleId="669">
    <w:name w:val="xl109"/>
    <w:basedOn w:val="1"/>
    <w:autoRedefine/>
    <w:qFormat/>
    <w:uiPriority w:val="0"/>
    <w:pPr>
      <w:widowControl/>
      <w:pBdr>
        <w:top w:val="single" w:color="auto" w:sz="4" w:space="0"/>
        <w:left w:val="single" w:color="auto" w:sz="4" w:space="0"/>
        <w:bottom w:val="single" w:color="auto" w:sz="4" w:space="0"/>
        <w:right w:val="single" w:color="auto" w:sz="8" w:space="0"/>
      </w:pBdr>
      <w:shd w:val="clear" w:color="000000" w:fill="B7DEE8"/>
      <w:spacing w:before="100" w:beforeAutospacing="1" w:after="100" w:afterAutospacing="1"/>
      <w:jc w:val="center"/>
      <w:textAlignment w:val="top"/>
    </w:pPr>
    <w:rPr>
      <w:rFonts w:ascii="宋体" w:hAnsi="宋体" w:cs="宋体"/>
      <w:kern w:val="0"/>
      <w:sz w:val="24"/>
    </w:rPr>
  </w:style>
  <w:style w:type="paragraph" w:customStyle="1" w:styleId="67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671">
    <w:name w:val="样式 标题 2 +"/>
    <w:basedOn w:val="5"/>
    <w:autoRedefine/>
    <w:qFormat/>
    <w:uiPriority w:val="0"/>
    <w:pPr>
      <w:keepNext w:val="0"/>
      <w:keepLines w:val="0"/>
      <w:widowControl/>
      <w:tabs>
        <w:tab w:val="left" w:pos="1134"/>
      </w:tabs>
      <w:spacing w:before="360" w:after="120" w:line="240" w:lineRule="auto"/>
    </w:pPr>
    <w:rPr>
      <w:rFonts w:ascii="黑体" w:hAnsi="宋体" w:eastAsia="宋体"/>
      <w:kern w:val="0"/>
      <w:sz w:val="30"/>
      <w:szCs w:val="30"/>
    </w:rPr>
  </w:style>
  <w:style w:type="paragraph" w:customStyle="1" w:styleId="672">
    <w:name w:val="pic-info"/>
    <w:basedOn w:val="1"/>
    <w:autoRedefine/>
    <w:qFormat/>
    <w:uiPriority w:val="0"/>
    <w:pPr>
      <w:widowControl/>
      <w:spacing w:before="100" w:beforeAutospacing="1" w:after="100" w:afterAutospacing="1"/>
      <w:jc w:val="left"/>
    </w:pPr>
    <w:rPr>
      <w:rFonts w:ascii="宋体" w:hAnsi="宋体" w:cs="宋体"/>
      <w:kern w:val="0"/>
      <w:sz w:val="24"/>
    </w:rPr>
  </w:style>
  <w:style w:type="paragraph" w:styleId="673">
    <w:name w:val="List Paragraph"/>
    <w:basedOn w:val="1"/>
    <w:autoRedefine/>
    <w:qFormat/>
    <w:uiPriority w:val="0"/>
    <w:pPr>
      <w:ind w:firstLine="420" w:firstLineChars="200"/>
    </w:pPr>
    <w:rPr>
      <w:rFonts w:ascii="Calibri" w:hAnsi="Calibri"/>
      <w:szCs w:val="22"/>
    </w:rPr>
  </w:style>
  <w:style w:type="paragraph" w:customStyle="1" w:styleId="674">
    <w:name w:val="1 Char"/>
    <w:basedOn w:val="16"/>
    <w:autoRedefine/>
    <w:qFormat/>
    <w:uiPriority w:val="0"/>
    <w:pPr>
      <w:adjustRightInd/>
      <w:spacing w:line="360" w:lineRule="auto"/>
      <w:ind w:firstLine="200" w:firstLineChars="200"/>
      <w:textAlignment w:val="auto"/>
    </w:pPr>
    <w:rPr>
      <w:rFonts w:ascii="仿宋_GB2312"/>
      <w:b/>
      <w:kern w:val="2"/>
      <w:szCs w:val="32"/>
    </w:rPr>
  </w:style>
  <w:style w:type="paragraph" w:customStyle="1" w:styleId="675">
    <w:name w:val="xl8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76">
    <w:name w:val="Char2"/>
    <w:basedOn w:val="1"/>
    <w:autoRedefine/>
    <w:qFormat/>
    <w:uiPriority w:val="0"/>
    <w:pPr>
      <w:autoSpaceDE w:val="0"/>
      <w:autoSpaceDN w:val="0"/>
      <w:adjustRightInd w:val="0"/>
      <w:jc w:val="left"/>
    </w:pPr>
    <w:rPr>
      <w:rFonts w:ascii="仿宋_GB2312" w:eastAsia="仿宋_GB2312"/>
      <w:b/>
      <w:kern w:val="0"/>
      <w:sz w:val="32"/>
      <w:szCs w:val="32"/>
    </w:rPr>
  </w:style>
  <w:style w:type="paragraph" w:customStyle="1" w:styleId="677">
    <w:name w:val="T4"/>
    <w:basedOn w:val="1"/>
    <w:autoRedefine/>
    <w:qFormat/>
    <w:uiPriority w:val="0"/>
    <w:pPr>
      <w:adjustRightInd w:val="0"/>
      <w:spacing w:line="360" w:lineRule="atLeast"/>
    </w:pPr>
    <w:rPr>
      <w:rFonts w:ascii="宋体"/>
      <w:kern w:val="0"/>
      <w:sz w:val="22"/>
      <w:szCs w:val="20"/>
    </w:rPr>
  </w:style>
  <w:style w:type="paragraph" w:customStyle="1" w:styleId="678">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79">
    <w:name w:val="xl97"/>
    <w:basedOn w:val="1"/>
    <w:autoRedefine/>
    <w:qFormat/>
    <w:uiPriority w:val="0"/>
    <w:pPr>
      <w:widowControl/>
      <w:pBdr>
        <w:top w:val="single" w:color="auto" w:sz="8"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Arial" w:hAnsi="Arial" w:cs="Arial"/>
      <w:b/>
      <w:bCs/>
      <w:kern w:val="0"/>
      <w:sz w:val="24"/>
    </w:rPr>
  </w:style>
  <w:style w:type="paragraph" w:customStyle="1" w:styleId="680">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681">
    <w:name w:val="Char1 Char Char Char"/>
    <w:basedOn w:val="1"/>
    <w:autoRedefine/>
    <w:qFormat/>
    <w:uiPriority w:val="0"/>
    <w:rPr>
      <w:szCs w:val="20"/>
    </w:rPr>
  </w:style>
  <w:style w:type="paragraph" w:customStyle="1" w:styleId="682">
    <w:name w:val="样式 标题 1 + 黑体 三号 非加粗 居中 段前: 6 磅 段后: 6 磅 行距: 固定值 20 磅"/>
    <w:basedOn w:val="4"/>
    <w:autoRedefine/>
    <w:qFormat/>
    <w:uiPriority w:val="0"/>
    <w:pPr>
      <w:keepLines/>
      <w:spacing w:before="120" w:after="120" w:line="400" w:lineRule="exact"/>
    </w:pPr>
    <w:rPr>
      <w:rFonts w:ascii="黑体" w:hAnsi="黑体" w:eastAsia="黑体" w:cs="宋体"/>
      <w:b w:val="0"/>
      <w:bCs w:val="0"/>
      <w:kern w:val="44"/>
      <w:sz w:val="32"/>
      <w:szCs w:val="20"/>
    </w:rPr>
  </w:style>
  <w:style w:type="paragraph" w:customStyle="1" w:styleId="68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684">
    <w:name w:val="样式 标题 1Level 1Level 11h1II+IHeading1H1-Heading 1Header 1..."/>
    <w:basedOn w:val="4"/>
    <w:autoRedefine/>
    <w:qFormat/>
    <w:uiPriority w:val="0"/>
    <w:pPr>
      <w:keepLines/>
      <w:pageBreakBefore/>
      <w:spacing w:before="100" w:after="100" w:line="360" w:lineRule="auto"/>
      <w:ind w:left="1680" w:hanging="420"/>
      <w:jc w:val="left"/>
    </w:pPr>
    <w:rPr>
      <w:rFonts w:ascii="Arial" w:hAnsi="Arial" w:eastAsia="黑体" w:cs="宋体"/>
      <w:kern w:val="44"/>
      <w:sz w:val="44"/>
      <w:szCs w:val="20"/>
    </w:rPr>
  </w:style>
  <w:style w:type="paragraph" w:customStyle="1" w:styleId="685">
    <w:name w:val="Char Char2 Char"/>
    <w:basedOn w:val="1"/>
    <w:autoRedefine/>
    <w:qFormat/>
    <w:uiPriority w:val="0"/>
    <w:pPr>
      <w:keepNext/>
      <w:keepLines/>
      <w:pageBreakBefore/>
      <w:tabs>
        <w:tab w:val="left" w:pos="390"/>
      </w:tabs>
      <w:ind w:left="390" w:hanging="390"/>
    </w:pPr>
    <w:rPr>
      <w:rFonts w:ascii="Tahoma" w:hAnsi="Tahoma"/>
      <w:sz w:val="24"/>
      <w:szCs w:val="20"/>
    </w:rPr>
  </w:style>
  <w:style w:type="paragraph" w:customStyle="1" w:styleId="686">
    <w:name w:val="features1"/>
    <w:basedOn w:val="1"/>
    <w:autoRedefine/>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687">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688">
    <w:name w:val="公文正文"/>
    <w:basedOn w:val="1"/>
    <w:qFormat/>
    <w:uiPriority w:val="0"/>
    <w:pPr>
      <w:spacing w:before="156" w:line="360" w:lineRule="auto"/>
      <w:ind w:firstLine="360" w:firstLineChars="200"/>
    </w:pPr>
    <w:rPr>
      <w:rFonts w:ascii="仿宋_GB2312" w:eastAsia="仿宋_GB2312"/>
      <w:sz w:val="24"/>
    </w:rPr>
  </w:style>
  <w:style w:type="paragraph" w:customStyle="1" w:styleId="689">
    <w:name w:val="xl103"/>
    <w:basedOn w:val="1"/>
    <w:qFormat/>
    <w:uiPriority w:val="0"/>
    <w:pPr>
      <w:widowControl/>
      <w:pBdr>
        <w:top w:val="single" w:color="auto" w:sz="4" w:space="0"/>
        <w:left w:val="single" w:color="auto" w:sz="4" w:space="0"/>
        <w:bottom w:val="single" w:color="auto" w:sz="4" w:space="0"/>
        <w:right w:val="single" w:color="auto" w:sz="8" w:space="0"/>
      </w:pBdr>
      <w:shd w:val="clear" w:color="000000" w:fill="FFC000"/>
      <w:spacing w:before="100" w:beforeAutospacing="1" w:after="100" w:afterAutospacing="1"/>
      <w:jc w:val="center"/>
      <w:textAlignment w:val="top"/>
    </w:pPr>
    <w:rPr>
      <w:rFonts w:ascii="宋体" w:hAnsi="宋体" w:cs="宋体"/>
      <w:kern w:val="0"/>
      <w:sz w:val="24"/>
    </w:rPr>
  </w:style>
  <w:style w:type="paragraph" w:customStyle="1" w:styleId="69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91">
    <w:name w:val="普通正文"/>
    <w:basedOn w:val="1"/>
    <w:qFormat/>
    <w:uiPriority w:val="0"/>
    <w:pPr>
      <w:adjustRightInd w:val="0"/>
      <w:spacing w:before="100" w:line="360" w:lineRule="auto"/>
      <w:textAlignment w:val="baseline"/>
    </w:pPr>
    <w:rPr>
      <w:rFonts w:ascii="宋体"/>
      <w:kern w:val="0"/>
      <w:sz w:val="24"/>
      <w:szCs w:val="20"/>
    </w:rPr>
  </w:style>
  <w:style w:type="paragraph" w:customStyle="1" w:styleId="692">
    <w:name w:val="样式6"/>
    <w:basedOn w:val="17"/>
    <w:qFormat/>
    <w:uiPriority w:val="0"/>
    <w:pPr>
      <w:keepNext/>
      <w:autoSpaceDE/>
      <w:autoSpaceDN/>
      <w:adjustRightInd/>
      <w:jc w:val="center"/>
    </w:pPr>
    <w:rPr>
      <w:rFonts w:ascii="宋体" w:hAnsi="宋体" w:eastAsia="宋体"/>
      <w:kern w:val="2"/>
    </w:rPr>
  </w:style>
  <w:style w:type="paragraph" w:customStyle="1" w:styleId="693">
    <w:name w:val="Test2"/>
    <w:basedOn w:val="5"/>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宋体" w:eastAsia="宋体"/>
      <w:b w:val="0"/>
      <w:bCs w:val="0"/>
      <w:snapToGrid w:val="0"/>
      <w:kern w:val="0"/>
      <w:sz w:val="28"/>
    </w:rPr>
  </w:style>
  <w:style w:type="paragraph" w:customStyle="1" w:styleId="694">
    <w:name w:val="Char Char Char Char Char Char Char Char Char Char Char Char Char Char"/>
    <w:basedOn w:val="1"/>
    <w:qFormat/>
    <w:uiPriority w:val="0"/>
    <w:pPr>
      <w:widowControl/>
      <w:spacing w:after="160" w:line="240" w:lineRule="exact"/>
      <w:jc w:val="left"/>
    </w:pPr>
    <w:rPr>
      <w:bCs/>
    </w:rPr>
  </w:style>
  <w:style w:type="paragraph" w:customStyle="1" w:styleId="695">
    <w:name w:val="Plain Text1"/>
    <w:basedOn w:val="1"/>
    <w:qFormat/>
    <w:uiPriority w:val="0"/>
    <w:pPr>
      <w:widowControl/>
      <w:overflowPunct w:val="0"/>
      <w:autoSpaceDE w:val="0"/>
      <w:autoSpaceDN w:val="0"/>
      <w:adjustRightInd w:val="0"/>
      <w:jc w:val="left"/>
      <w:textAlignment w:val="baseline"/>
    </w:pPr>
    <w:rPr>
      <w:rFonts w:ascii="仿宋_GB2312" w:hAnsi="Wingdings" w:eastAsia="仿宋_GB2312"/>
      <w:szCs w:val="21"/>
    </w:rPr>
  </w:style>
  <w:style w:type="paragraph" w:customStyle="1" w:styleId="696">
    <w:name w:val="样式 正文缩进 + 首行缩进:  2 字符"/>
    <w:basedOn w:val="16"/>
    <w:qFormat/>
    <w:uiPriority w:val="0"/>
    <w:pPr>
      <w:adjustRightInd/>
      <w:spacing w:line="360" w:lineRule="auto"/>
      <w:ind w:firstLine="200" w:firstLineChars="200"/>
      <w:textAlignment w:val="auto"/>
    </w:pPr>
    <w:rPr>
      <w:rFonts w:cs="宋体"/>
      <w:kern w:val="2"/>
      <w:sz w:val="24"/>
    </w:rPr>
  </w:style>
  <w:style w:type="paragraph" w:customStyle="1" w:styleId="697">
    <w:name w:val="方案文档"/>
    <w:basedOn w:val="1"/>
    <w:qFormat/>
    <w:uiPriority w:val="0"/>
    <w:pPr>
      <w:spacing w:before="120" w:after="120" w:line="360" w:lineRule="auto"/>
      <w:ind w:left="210" w:leftChars="100" w:right="210" w:rightChars="100" w:firstLine="567"/>
    </w:pPr>
    <w:rPr>
      <w:rFonts w:ascii="Arial" w:hAnsi="Arial"/>
      <w:sz w:val="24"/>
    </w:rPr>
  </w:style>
  <w:style w:type="paragraph" w:customStyle="1" w:styleId="698">
    <w:name w:val="Char Char Char Char2"/>
    <w:basedOn w:val="19"/>
    <w:qFormat/>
    <w:uiPriority w:val="0"/>
    <w:pPr>
      <w:spacing w:line="360" w:lineRule="auto"/>
    </w:pPr>
    <w:rPr>
      <w:rFonts w:ascii="Tahoma" w:hAnsi="Tahoma"/>
      <w:sz w:val="24"/>
    </w:rPr>
  </w:style>
  <w:style w:type="paragraph" w:customStyle="1" w:styleId="699">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700">
    <w:name w:val="_Style 341"/>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70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color w:val="000000"/>
      <w:kern w:val="0"/>
      <w:sz w:val="24"/>
    </w:rPr>
  </w:style>
  <w:style w:type="paragraph" w:customStyle="1" w:styleId="702">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703">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704">
    <w:name w:val="正文段"/>
    <w:basedOn w:val="1"/>
    <w:qFormat/>
    <w:uiPriority w:val="0"/>
    <w:pPr>
      <w:widowControl/>
      <w:snapToGrid w:val="0"/>
      <w:spacing w:afterLines="50"/>
      <w:ind w:firstLine="200" w:firstLineChars="200"/>
    </w:pPr>
    <w:rPr>
      <w:kern w:val="0"/>
      <w:sz w:val="24"/>
      <w:szCs w:val="20"/>
    </w:rPr>
  </w:style>
  <w:style w:type="paragraph" w:customStyle="1" w:styleId="705">
    <w:name w:val="Bulleted List"/>
    <w:basedOn w:val="1"/>
    <w:qFormat/>
    <w:uiPriority w:val="0"/>
    <w:pPr>
      <w:numPr>
        <w:ilvl w:val="1"/>
        <w:numId w:val="16"/>
      </w:numPr>
      <w:tabs>
        <w:tab w:val="left" w:pos="420"/>
      </w:tabs>
    </w:pPr>
  </w:style>
  <w:style w:type="paragraph" w:customStyle="1" w:styleId="706">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b/>
      <w:bCs/>
      <w:kern w:val="0"/>
      <w:sz w:val="28"/>
      <w:szCs w:val="28"/>
    </w:rPr>
  </w:style>
  <w:style w:type="paragraph" w:customStyle="1" w:styleId="707">
    <w:name w:val="示例"/>
    <w:next w:val="1"/>
    <w:qFormat/>
    <w:uiPriority w:val="0"/>
    <w:pPr>
      <w:tabs>
        <w:tab w:val="left" w:pos="425"/>
        <w:tab w:val="left" w:pos="816"/>
      </w:tabs>
      <w:ind w:left="425" w:firstLine="419" w:firstLineChars="233"/>
      <w:jc w:val="both"/>
    </w:pPr>
    <w:rPr>
      <w:rFonts w:ascii="宋体" w:hAnsi="Times New Roman" w:eastAsia="宋体" w:cs="Times New Roman"/>
      <w:sz w:val="18"/>
      <w:lang w:val="en-US" w:eastAsia="zh-CN" w:bidi="ar-SA"/>
    </w:rPr>
  </w:style>
  <w:style w:type="paragraph" w:customStyle="1" w:styleId="708">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709">
    <w:name w:val="xl29"/>
    <w:basedOn w:val="1"/>
    <w:qFormat/>
    <w:uiPriority w:val="0"/>
    <w:pPr>
      <w:widowControl/>
      <w:autoSpaceDE w:val="0"/>
      <w:autoSpaceDN w:val="0"/>
      <w:adjustRightInd w:val="0"/>
      <w:spacing w:before="100" w:beforeAutospacing="1" w:after="100" w:afterAutospacing="1"/>
      <w:jc w:val="center"/>
    </w:pPr>
    <w:rPr>
      <w:rFonts w:ascii="Arial Unicode MS" w:hAnsi="Arial Unicode MS" w:eastAsia="Arial Unicode MS"/>
      <w:kern w:val="0"/>
      <w:sz w:val="24"/>
      <w:szCs w:val="20"/>
    </w:rPr>
  </w:style>
  <w:style w:type="paragraph" w:customStyle="1" w:styleId="710">
    <w:name w:val="样式 标题 3h33rd level3Heading 3 - old + 居中 左侧:  9.8 毫米 首行缩进: ...1"/>
    <w:basedOn w:val="6"/>
    <w:qFormat/>
    <w:uiPriority w:val="0"/>
    <w:pPr>
      <w:keepLines w:val="0"/>
      <w:tabs>
        <w:tab w:val="left" w:pos="1275"/>
      </w:tabs>
      <w:spacing w:beforeLines="50" w:afterLines="50" w:line="240" w:lineRule="auto"/>
      <w:ind w:left="1275" w:hanging="720"/>
      <w:jc w:val="center"/>
    </w:pPr>
    <w:rPr>
      <w:rFonts w:ascii="宋体" w:cs="宋体"/>
      <w:sz w:val="28"/>
      <w:szCs w:val="20"/>
    </w:rPr>
  </w:style>
  <w:style w:type="paragraph" w:customStyle="1" w:styleId="711">
    <w:name w:val="哈哈表格"/>
    <w:basedOn w:val="1"/>
    <w:qFormat/>
    <w:uiPriority w:val="0"/>
    <w:pPr>
      <w:spacing w:line="360" w:lineRule="auto"/>
    </w:pPr>
    <w:rPr>
      <w:rFonts w:ascii="宋体" w:hAnsi="宋体" w:cs="宋体"/>
      <w:sz w:val="24"/>
      <w:szCs w:val="20"/>
    </w:rPr>
  </w:style>
  <w:style w:type="paragraph" w:customStyle="1" w:styleId="712">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rPr>
  </w:style>
  <w:style w:type="paragraph" w:customStyle="1" w:styleId="713">
    <w:name w:val="普通 (Web)"/>
    <w:basedOn w:val="1"/>
    <w:qFormat/>
    <w:uiPriority w:val="0"/>
    <w:pPr>
      <w:widowControl/>
      <w:spacing w:before="100" w:after="100"/>
      <w:jc w:val="left"/>
    </w:pPr>
    <w:rPr>
      <w:rFonts w:ascii="宋体" w:hAnsi="宋体"/>
      <w:kern w:val="0"/>
      <w:sz w:val="24"/>
    </w:rPr>
  </w:style>
  <w:style w:type="table" w:customStyle="1" w:styleId="714">
    <w:name w:val="网格表 5 深色 - 着色 21"/>
    <w:basedOn w:val="58"/>
    <w:qFormat/>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BE4D5"/>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ED7D31"/>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ED7D31"/>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ED7D31"/>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ED7D31"/>
      </w:tcPr>
    </w:tblStylePr>
    <w:tblStylePr w:type="band1Vert">
      <w:tcPr>
        <w:shd w:val="clear" w:color="auto" w:fill="F7CAAC"/>
      </w:tcPr>
    </w:tblStylePr>
    <w:tblStylePr w:type="band1Horz">
      <w:tcPr>
        <w:shd w:val="clear" w:color="auto" w:fill="F7CAAC"/>
      </w:tcPr>
    </w:tblStylePr>
  </w:style>
  <w:style w:type="table" w:customStyle="1" w:styleId="715">
    <w:name w:val="清单表 4 - 着色 11"/>
    <w:basedOn w:val="58"/>
    <w:qFormat/>
    <w:uiPriority w:val="49"/>
    <w:rPr>
      <w:rFonts w:ascii="Calibri" w:hAnsi="Calibri"/>
      <w:kern w:val="2"/>
      <w:sz w:val="21"/>
      <w:szCs w:val="22"/>
    </w:rPr>
    <w:tblPr>
      <w:tblBorders>
        <w:top w:val="single" w:color="9CC2E5" w:sz="4" w:space="0"/>
        <w:left w:val="single" w:color="9CC2E5" w:sz="4" w:space="0"/>
        <w:bottom w:val="single" w:color="9CC2E5" w:sz="4" w:space="0"/>
        <w:right w:val="single" w:color="9CC2E5" w:sz="4" w:space="0"/>
        <w:insideH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9CC2E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16">
    <w:name w:val="网格表 4 - 着色 51"/>
    <w:basedOn w:val="58"/>
    <w:qFormat/>
    <w:uiPriority w:val="49"/>
    <w:rPr>
      <w:rFonts w:ascii="Calibri" w:hAnsi="Calibri"/>
      <w:kern w:val="2"/>
      <w:sz w:val="21"/>
      <w:szCs w:val="22"/>
    </w:rPr>
    <w:tblPr>
      <w:tblBorders>
        <w:top w:val="single" w:color="92CDDC" w:sz="4" w:space="0"/>
        <w:left w:val="single" w:color="92CDDC" w:sz="4" w:space="0"/>
        <w:bottom w:val="single" w:color="92CDDC" w:sz="4" w:space="0"/>
        <w:right w:val="single" w:color="92CDDC" w:sz="4" w:space="0"/>
        <w:insideH w:val="single" w:color="92CDDC" w:sz="4" w:space="0"/>
        <w:insideV w:val="single" w:color="92CDDC" w:sz="4" w:space="0"/>
      </w:tblBorders>
    </w:tblPr>
    <w:tblStylePr w:type="firstRow">
      <w:rPr>
        <w:b/>
        <w:bCs/>
        <w:color w:val="FFFFFF"/>
      </w:rPr>
      <w:tcPr>
        <w:tcBorders>
          <w:top w:val="single" w:color="4BACC6" w:sz="4" w:space="0"/>
          <w:left w:val="single" w:color="4BACC6" w:sz="4" w:space="0"/>
          <w:bottom w:val="single" w:color="4BACC6" w:sz="4" w:space="0"/>
          <w:right w:val="single" w:color="4BACC6" w:sz="4" w:space="0"/>
          <w:insideH w:val="nil"/>
          <w:insideV w:val="nil"/>
          <w:tl2br w:val="nil"/>
          <w:tr2bl w:val="nil"/>
        </w:tcBorders>
        <w:shd w:val="clear" w:color="auto" w:fill="4BACC6"/>
      </w:tcPr>
    </w:tblStylePr>
    <w:tblStylePr w:type="lastRow">
      <w:rPr>
        <w:b/>
        <w:bCs/>
      </w:rPr>
      <w:tcPr>
        <w:tcBorders>
          <w:top w:val="double" w:color="4BACC6"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AEEF3"/>
      </w:tcPr>
    </w:tblStylePr>
    <w:tblStylePr w:type="band1Horz">
      <w:tcPr>
        <w:shd w:val="clear" w:color="auto" w:fill="DAEEF3"/>
      </w:tcPr>
    </w:tblStylePr>
  </w:style>
  <w:style w:type="table" w:customStyle="1" w:styleId="717">
    <w:name w:val="网格型浅色2"/>
    <w:basedOn w:val="58"/>
    <w:qFormat/>
    <w:uiPriority w:val="40"/>
    <w:rPr>
      <w:sz w:val="24"/>
      <w:szCs w:val="24"/>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8">
    <w:name w:val="网格型浅色1"/>
    <w:basedOn w:val="58"/>
    <w:qFormat/>
    <w:uiPriority w:val="40"/>
    <w:rPr>
      <w:rFonts w:ascii="Calibri" w:hAnsi="Calibri"/>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customStyle="1" w:styleId="719">
    <w:name w:val="浅色网格 - 强调文字颜色 11"/>
    <w:basedOn w:val="58"/>
    <w:qFormat/>
    <w:uiPriority w:val="62"/>
    <w:rPr>
      <w:rFonts w:ascii="Calibri" w:hAnsi="Calibri"/>
      <w:kern w:val="2"/>
      <w:sz w:val="21"/>
      <w:szCs w:val="22"/>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eastAsia="微软雅黑" w:cs="Times New Roman"/>
        <w:b/>
        <w:bCs/>
      </w:rPr>
      <w:tcPr>
        <w:tcBorders>
          <w:top w:val="single" w:color="4F81BD" w:sz="8" w:space="0"/>
          <w:left w:val="single" w:color="4F81BD" w:sz="8" w:space="0"/>
          <w:bottom w:val="single" w:color="4F81BD" w:sz="18" w:space="0"/>
          <w:right w:val="single" w:color="4F81BD" w:sz="8" w:space="0"/>
          <w:insideH w:val="nil"/>
          <w:insideV w:val="single" w:sz="8" w:space="0"/>
          <w:tl2br w:val="nil"/>
          <w:tr2bl w:val="nil"/>
        </w:tcBorders>
      </w:tcPr>
    </w:tblStylePr>
    <w:tblStylePr w:type="lastRow">
      <w:pPr>
        <w:spacing w:before="0" w:after="0" w:line="240" w:lineRule="auto"/>
      </w:pPr>
      <w:rPr>
        <w:rFonts w:eastAsia="微软雅黑"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eastAsia="微软雅黑" w:cs="Times New Roman"/>
        <w:b/>
        <w:bCs/>
      </w:rPr>
    </w:tblStylePr>
    <w:tblStylePr w:type="lastCol">
      <w:rPr>
        <w:rFonts w:eastAsia="微软雅黑"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720">
    <w:name w:val="清单表 3 - 着色 11"/>
    <w:basedOn w:val="58"/>
    <w:qFormat/>
    <w:uiPriority w:val="48"/>
    <w:rPr>
      <w:rFonts w:ascii="Calibri" w:hAnsi="Calibri"/>
      <w:kern w:val="2"/>
      <w:sz w:val="21"/>
      <w:szCs w:val="22"/>
    </w:rPr>
    <w:tblPr>
      <w:tblBorders>
        <w:top w:val="single" w:color="5B9BD5" w:sz="4" w:space="0"/>
        <w:left w:val="single" w:color="5B9BD5" w:sz="4" w:space="0"/>
        <w:bottom w:val="single" w:color="5B9BD5" w:sz="4" w:space="0"/>
        <w:right w:val="single" w:color="5B9BD5" w:sz="4" w:space="0"/>
      </w:tblBorders>
    </w:tblPr>
    <w:tblStylePr w:type="firstRow">
      <w:rPr>
        <w:b/>
        <w:bCs/>
        <w:color w:val="FFFFFF"/>
      </w:rPr>
      <w:tcPr>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5B9BD5" w:sz="4" w:space="0"/>
          <w:bottom w:val="nil"/>
          <w:right w:val="single" w:color="5B9BD5" w:sz="4" w:space="0"/>
          <w:insideH w:val="nil"/>
          <w:insideV w:val="nil"/>
          <w:tl2br w:val="nil"/>
          <w:tr2bl w:val="nil"/>
        </w:tcBorders>
      </w:tcPr>
    </w:tblStylePr>
    <w:tblStylePr w:type="band1Horz">
      <w:tcPr>
        <w:tcBorders>
          <w:top w:val="single" w:color="5B9BD5" w:sz="4" w:space="0"/>
          <w:left w:val="nil"/>
          <w:bottom w:val="single" w:color="5B9BD5"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5B9BD5" w:sz="4" w:space="0"/>
          <w:left w:val="nil"/>
          <w:bottom w:val="nil"/>
          <w:right w:val="nil"/>
          <w:insideH w:val="nil"/>
          <w:insideV w:val="nil"/>
          <w:tl2br w:val="nil"/>
          <w:tr2bl w:val="nil"/>
        </w:tcBorders>
      </w:tcPr>
    </w:tblStylePr>
    <w:tblStylePr w:type="swCell">
      <w:tcPr>
        <w:tcBorders>
          <w:top w:val="double" w:color="5B9BD5" w:sz="4" w:space="0"/>
          <w:left w:val="nil"/>
          <w:bottom w:val="nil"/>
          <w:right w:val="nil"/>
          <w:insideH w:val="nil"/>
          <w:insideV w:val="nil"/>
          <w:tl2br w:val="nil"/>
          <w:tr2bl w:val="nil"/>
        </w:tcBorders>
      </w:tcPr>
    </w:tblStylePr>
  </w:style>
  <w:style w:type="table" w:customStyle="1" w:styleId="721">
    <w:name w:val="网格表 4 - 着色 31"/>
    <w:basedOn w:val="58"/>
    <w:qFormat/>
    <w:uiPriority w:val="49"/>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l2br w:val="nil"/>
          <w:tr2bl w:val="nil"/>
        </w:tcBorders>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22">
    <w:name w:val="中等深浅底纹 2 - 强调文字颜色 11"/>
    <w:basedOn w:val="58"/>
    <w:qFormat/>
    <w:uiPriority w:val="64"/>
    <w:rPr>
      <w:rFonts w:ascii="Calibri" w:hAnsi="Calibri"/>
      <w:kern w:val="2"/>
      <w:sz w:val="21"/>
      <w:szCs w:val="22"/>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4F81BD"/>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4F81BD"/>
      </w:tcPr>
    </w:tblStylePr>
    <w:tblStylePr w:type="lastCol">
      <w:rPr>
        <w:b/>
        <w:bCs/>
        <w:color w:val="FFFFFF"/>
      </w:rPr>
      <w:tcPr>
        <w:tcBorders>
          <w:top w:val="nil"/>
          <w:left w:val="nil"/>
          <w:bottom w:val="nil"/>
          <w:right w:val="nil"/>
          <w:insideH w:val="nil"/>
          <w:insideV w:val="nil"/>
          <w:tl2br w:val="nil"/>
          <w:tr2bl w:val="nil"/>
        </w:tcBorders>
        <w:shd w:val="clear" w:color="auto" w:fill="4F81BD"/>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table" w:customStyle="1" w:styleId="723">
    <w:name w:val="网格表 4 - 着色 11"/>
    <w:basedOn w:val="58"/>
    <w:qFormat/>
    <w:uiPriority w:val="49"/>
    <w:rPr>
      <w:rFonts w:ascii="Calibri" w:hAnsi="Calibri"/>
      <w:kern w:val="2"/>
      <w:sz w:val="21"/>
      <w:szCs w:val="22"/>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l2br w:val="nil"/>
          <w:tr2bl w:val="nil"/>
        </w:tcBorders>
        <w:shd w:val="clear" w:color="auto" w:fill="5B9BD5"/>
      </w:tcPr>
    </w:tblStylePr>
    <w:tblStylePr w:type="lastRow">
      <w:rPr>
        <w:b/>
        <w:bCs/>
      </w:rPr>
      <w:tcPr>
        <w:tcBorders>
          <w:top w:val="double" w:color="5B9BD5"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724">
    <w:name w:val="清单表 3 - 着色 31"/>
    <w:basedOn w:val="58"/>
    <w:qFormat/>
    <w:uiPriority w:val="48"/>
    <w:rPr>
      <w:rFonts w:ascii="Calibri" w:hAnsi="Calibri"/>
      <w:kern w:val="2"/>
      <w:sz w:val="21"/>
      <w:szCs w:val="22"/>
    </w:rPr>
    <w:tblPr>
      <w:tblBorders>
        <w:top w:val="single" w:color="A5A5A5" w:sz="4" w:space="0"/>
        <w:left w:val="single" w:color="A5A5A5" w:sz="4" w:space="0"/>
        <w:bottom w:val="single" w:color="A5A5A5" w:sz="4" w:space="0"/>
        <w:right w:val="single" w:color="A5A5A5" w:sz="4" w:space="0"/>
      </w:tblBorders>
    </w:tblPr>
    <w:tblStylePr w:type="firstRow">
      <w:rPr>
        <w:b/>
        <w:bCs/>
        <w:color w:val="FFFFFF"/>
      </w:rPr>
      <w:tcPr>
        <w:shd w:val="clear" w:color="auto" w:fill="A5A5A5"/>
      </w:tcPr>
    </w:tblStylePr>
    <w:tblStylePr w:type="lastRow">
      <w:rPr>
        <w:b/>
        <w:bCs/>
      </w:rPr>
      <w:tcPr>
        <w:tcBorders>
          <w:top w:val="double" w:color="A5A5A5" w:sz="4" w:space="0"/>
          <w:left w:val="nil"/>
          <w:bottom w:val="nil"/>
          <w:right w:val="nil"/>
          <w:insideH w:val="nil"/>
          <w:insideV w:val="nil"/>
          <w:tl2br w:val="nil"/>
          <w:tr2bl w:val="nil"/>
        </w:tcBorders>
        <w:shd w:val="clear" w:color="auto" w:fill="FFFFFF"/>
      </w:tcPr>
    </w:tblStylePr>
    <w:tblStylePr w:type="firstCol">
      <w:rPr>
        <w:b/>
        <w:bCs/>
      </w:rPr>
      <w:tcPr>
        <w:tcBorders>
          <w:top w:val="nil"/>
          <w:left w:val="nil"/>
          <w:bottom w:val="nil"/>
          <w:right w:val="nil"/>
          <w:insideH w:val="nil"/>
          <w:insideV w:val="nil"/>
          <w:tl2br w:val="nil"/>
          <w:tr2bl w:val="nil"/>
        </w:tcBorders>
        <w:shd w:val="clear" w:color="auto" w:fill="FFFFFF"/>
      </w:tcPr>
    </w:tblStylePr>
    <w:tblStylePr w:type="lastCol">
      <w:rPr>
        <w:b/>
        <w:bCs/>
      </w:rPr>
      <w:tcPr>
        <w:tcBorders>
          <w:top w:val="nil"/>
          <w:left w:val="nil"/>
          <w:bottom w:val="nil"/>
          <w:right w:val="nil"/>
          <w:insideH w:val="nil"/>
          <w:insideV w:val="nil"/>
          <w:tl2br w:val="nil"/>
          <w:tr2bl w:val="nil"/>
        </w:tcBorders>
        <w:shd w:val="clear" w:color="auto" w:fill="FFFFFF"/>
      </w:tcPr>
    </w:tblStylePr>
    <w:tblStylePr w:type="band1Vert">
      <w:tcPr>
        <w:tcBorders>
          <w:top w:val="nil"/>
          <w:left w:val="single" w:color="A5A5A5" w:sz="4" w:space="0"/>
          <w:bottom w:val="nil"/>
          <w:right w:val="single" w:color="A5A5A5" w:sz="4" w:space="0"/>
          <w:insideH w:val="nil"/>
          <w:insideV w:val="nil"/>
          <w:tl2br w:val="nil"/>
          <w:tr2bl w:val="nil"/>
        </w:tcBorders>
      </w:tcPr>
    </w:tblStylePr>
    <w:tblStylePr w:type="band1Horz">
      <w:tcPr>
        <w:tcBorders>
          <w:top w:val="single" w:color="A5A5A5" w:sz="4" w:space="0"/>
          <w:left w:val="nil"/>
          <w:bottom w:val="single" w:color="A5A5A5" w:sz="4" w:space="0"/>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double" w:color="A5A5A5" w:sz="4" w:space="0"/>
          <w:left w:val="nil"/>
          <w:bottom w:val="nil"/>
          <w:right w:val="nil"/>
          <w:insideH w:val="nil"/>
          <w:insideV w:val="nil"/>
          <w:tl2br w:val="nil"/>
          <w:tr2bl w:val="nil"/>
        </w:tcBorders>
      </w:tcPr>
    </w:tblStylePr>
    <w:tblStylePr w:type="swCell">
      <w:tcPr>
        <w:tcBorders>
          <w:top w:val="double" w:color="A5A5A5" w:sz="4" w:space="0"/>
          <w:left w:val="nil"/>
          <w:bottom w:val="nil"/>
          <w:right w:val="nil"/>
          <w:insideH w:val="nil"/>
          <w:insideV w:val="nil"/>
          <w:tl2br w:val="nil"/>
          <w:tr2bl w:val="nil"/>
        </w:tcBorders>
      </w:tcPr>
    </w:tblStylePr>
  </w:style>
  <w:style w:type="table" w:customStyle="1" w:styleId="725">
    <w:name w:val="浅色列表 - 强调文字颜色 51"/>
    <w:basedOn w:val="58"/>
    <w:qFormat/>
    <w:uiPriority w:val="61"/>
    <w:rPr>
      <w:rFonts w:ascii="Calibri" w:hAnsi="Calibri"/>
      <w:kern w:val="2"/>
      <w:sz w:val="21"/>
      <w:szCs w:val="22"/>
    </w:rPr>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cPr>
        <w:shd w:val="clear" w:color="auto" w:fill="4BACC6"/>
      </w:tcPr>
    </w:tblStylePr>
    <w:tblStylePr w:type="lastRow">
      <w:pPr>
        <w:spacing w:before="0" w:after="0" w:line="240" w:lineRule="auto"/>
      </w:pPr>
      <w:rPr>
        <w:b/>
        <w:bCs/>
      </w:r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customStyle="1" w:styleId="726">
    <w:name w:val="浅色列表 - 强调文字颜色 11"/>
    <w:basedOn w:val="58"/>
    <w:qFormat/>
    <w:uiPriority w:val="61"/>
    <w:rPr>
      <w:rFonts w:ascii="Calibri" w:hAnsi="Calibri"/>
      <w:kern w:val="2"/>
      <w:sz w:val="21"/>
      <w:szCs w:val="22"/>
    </w:rPr>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727">
    <w:name w:val="浅色底纹1"/>
    <w:basedOn w:val="58"/>
    <w:qFormat/>
    <w:uiPriority w:val="60"/>
    <w:rPr>
      <w:rFonts w:ascii="Calibri" w:hAnsi="Calibri"/>
      <w:color w:val="000000"/>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paragraph" w:customStyle="1" w:styleId="728">
    <w:name w:val="表格1"/>
    <w:qFormat/>
    <w:uiPriority w:val="0"/>
    <w:pPr>
      <w:spacing w:line="360" w:lineRule="auto"/>
    </w:pPr>
    <w:rPr>
      <w:rFonts w:ascii="Calibri" w:hAnsi="Calibri" w:eastAsia="宋体" w:cs="Times New Roman"/>
      <w:kern w:val="2"/>
      <w:sz w:val="24"/>
      <w:lang w:val="en-US" w:eastAsia="zh-CN" w:bidi="ar-SA"/>
    </w:rPr>
  </w:style>
  <w:style w:type="paragraph" w:customStyle="1" w:styleId="729">
    <w:name w:val="UserStyle_0"/>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730">
    <w:name w:val="列出段落7"/>
    <w:basedOn w:val="1"/>
    <w:qFormat/>
    <w:uiPriority w:val="99"/>
    <w:pPr>
      <w:ind w:firstLine="420" w:firstLineChars="200"/>
    </w:pPr>
  </w:style>
  <w:style w:type="character" w:customStyle="1" w:styleId="731">
    <w:name w:val="fontstyle01"/>
    <w:qFormat/>
    <w:uiPriority w:val="0"/>
    <w:rPr>
      <w:rFonts w:hint="eastAsia" w:ascii="宋体" w:hAnsi="宋体" w:eastAsia="宋体"/>
      <w:color w:val="000000"/>
      <w:sz w:val="22"/>
      <w:szCs w:val="22"/>
    </w:rPr>
  </w:style>
  <w:style w:type="character" w:customStyle="1" w:styleId="732">
    <w:name w:val="font81"/>
    <w:qFormat/>
    <w:uiPriority w:val="0"/>
    <w:rPr>
      <w:rFonts w:hint="default" w:ascii="Times New Roman" w:hAnsi="Times New Roman" w:cs="Times New Roman"/>
      <w:b/>
      <w:bCs/>
      <w:color w:val="000000"/>
      <w:sz w:val="24"/>
      <w:szCs w:val="24"/>
      <w:u w:val="none"/>
    </w:rPr>
  </w:style>
  <w:style w:type="character" w:customStyle="1" w:styleId="733">
    <w:name w:val="font91"/>
    <w:qFormat/>
    <w:uiPriority w:val="0"/>
    <w:rPr>
      <w:rFonts w:hint="default" w:ascii="Times New Roman" w:hAnsi="Times New Roman" w:cs="Times New Roman"/>
      <w:color w:val="000000"/>
      <w:sz w:val="24"/>
      <w:szCs w:val="24"/>
      <w:u w:val="none"/>
    </w:rPr>
  </w:style>
  <w:style w:type="character" w:customStyle="1" w:styleId="734">
    <w:name w:val="font101"/>
    <w:qFormat/>
    <w:uiPriority w:val="0"/>
    <w:rPr>
      <w:rFonts w:hint="default" w:ascii="仿宋_GB2312" w:eastAsia="仿宋_GB2312" w:cs="仿宋_GB2312"/>
      <w:color w:val="000000"/>
      <w:sz w:val="24"/>
      <w:szCs w:val="24"/>
      <w:u w:val="none"/>
    </w:rPr>
  </w:style>
  <w:style w:type="paragraph" w:customStyle="1" w:styleId="735">
    <w:name w:val="Body text|1"/>
    <w:basedOn w:val="1"/>
    <w:qFormat/>
    <w:uiPriority w:val="0"/>
    <w:pPr>
      <w:spacing w:line="466" w:lineRule="auto"/>
      <w:ind w:firstLine="400"/>
    </w:pPr>
    <w:rPr>
      <w:rFonts w:ascii="宋体" w:hAnsi="宋体" w:cs="宋体"/>
      <w:sz w:val="20"/>
      <w:szCs w:val="20"/>
      <w:lang w:val="zh-TW" w:eastAsia="zh-TW" w:bidi="zh-TW"/>
    </w:rPr>
  </w:style>
  <w:style w:type="character" w:customStyle="1" w:styleId="736">
    <w:name w:val="font61"/>
    <w:qFormat/>
    <w:uiPriority w:val="0"/>
    <w:rPr>
      <w:rFonts w:hint="eastAsia" w:ascii="宋体" w:hAnsi="宋体" w:eastAsia="宋体" w:cs="宋体"/>
      <w:color w:val="000000"/>
      <w:sz w:val="22"/>
      <w:szCs w:val="22"/>
      <w:u w:val="none"/>
    </w:rPr>
  </w:style>
  <w:style w:type="paragraph" w:customStyle="1" w:styleId="73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850703-03D3-4582-9E07-908EF60CECE8}">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98</Pages>
  <Words>10920</Words>
  <Characters>62245</Characters>
  <Lines>518</Lines>
  <Paragraphs>146</Paragraphs>
  <TotalTime>64</TotalTime>
  <ScaleCrop>false</ScaleCrop>
  <LinksUpToDate>false</LinksUpToDate>
  <CharactersWithSpaces>73019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2024-02-21T07:32:00Z</dcterms:created>
  <dc:creator>can</dc:creator>
  <cp:lastModifiedBy>黄小茹</cp:lastModifiedBy>
  <cp:lastPrinted>2019-08-02T08:39:00Z</cp:lastPrinted>
  <dcterms:modified xsi:type="dcterms:W3CDTF">2024-03-22T07:58:17Z</dcterms:modified>
  <dc:title>温州市政府集中采购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E61DF26E033F4A7F93F5F07BAE1FA6C5_13</vt:lpwstr>
  </property>
</Properties>
</file>