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bCs/>
          <w:color w:val="auto"/>
          <w:spacing w:val="100"/>
          <w:sz w:val="72"/>
          <w:szCs w:val="72"/>
          <w:highlight w:val="none"/>
        </w:rPr>
      </w:pPr>
      <w:r>
        <w:rPr>
          <w:rFonts w:hint="eastAsia" w:ascii="新宋体" w:hAnsi="新宋体" w:eastAsia="新宋体" w:cs="新宋体"/>
          <w:b/>
          <w:bCs/>
          <w:color w:val="auto"/>
          <w:spacing w:val="100"/>
          <w:sz w:val="72"/>
          <w:szCs w:val="72"/>
          <w:highlight w:val="none"/>
          <w:lang w:eastAsia="zh-CN"/>
        </w:rPr>
        <w:t>温州市</w:t>
      </w:r>
      <w:r>
        <w:rPr>
          <w:rFonts w:hint="eastAsia" w:ascii="新宋体" w:hAnsi="新宋体" w:eastAsia="新宋体" w:cs="新宋体"/>
          <w:b/>
          <w:bCs/>
          <w:color w:val="auto"/>
          <w:spacing w:val="100"/>
          <w:sz w:val="72"/>
          <w:szCs w:val="72"/>
          <w:highlight w:val="none"/>
        </w:rPr>
        <w:t>政府采购</w:t>
      </w:r>
    </w:p>
    <w:p>
      <w:pPr>
        <w:jc w:val="center"/>
        <w:rPr>
          <w:rFonts w:ascii="新宋体" w:hAnsi="新宋体" w:eastAsia="新宋体"/>
          <w:b/>
          <w:bCs/>
          <w:color w:val="auto"/>
          <w:spacing w:val="26"/>
          <w:sz w:val="52"/>
          <w:highlight w:val="none"/>
        </w:rPr>
      </w:pPr>
    </w:p>
    <w:p>
      <w:pPr>
        <w:jc w:val="center"/>
        <w:rPr>
          <w:rFonts w:ascii="新宋体" w:hAnsi="新宋体" w:eastAsia="新宋体"/>
          <w:b/>
          <w:bCs/>
          <w:color w:val="auto"/>
          <w:spacing w:val="140"/>
          <w:sz w:val="72"/>
          <w:highlight w:val="none"/>
        </w:rPr>
      </w:pPr>
    </w:p>
    <w:p>
      <w:pPr>
        <w:spacing w:line="900" w:lineRule="exact"/>
        <w:jc w:val="center"/>
        <w:rPr>
          <w:rFonts w:ascii="新宋体" w:hAnsi="新宋体" w:eastAsia="新宋体"/>
          <w:b/>
          <w:bCs/>
          <w:color w:val="auto"/>
          <w:spacing w:val="140"/>
          <w:sz w:val="44"/>
          <w:szCs w:val="44"/>
          <w:highlight w:val="none"/>
        </w:rPr>
      </w:pPr>
      <w:r>
        <w:rPr>
          <w:rFonts w:hint="eastAsia" w:ascii="新宋体" w:hAnsi="新宋体" w:eastAsia="新宋体"/>
          <w:b/>
          <w:bCs/>
          <w:color w:val="auto"/>
          <w:spacing w:val="140"/>
          <w:sz w:val="44"/>
          <w:szCs w:val="44"/>
          <w:highlight w:val="none"/>
        </w:rPr>
        <w:t>竞争性磋商文件</w:t>
      </w:r>
    </w:p>
    <w:p>
      <w:pPr>
        <w:spacing w:line="600" w:lineRule="exact"/>
        <w:jc w:val="center"/>
        <w:rPr>
          <w:rFonts w:ascii="新宋体" w:hAnsi="新宋体" w:eastAsia="新宋体"/>
          <w:b/>
          <w:bCs/>
          <w:color w:val="auto"/>
          <w:spacing w:val="140"/>
          <w:sz w:val="84"/>
          <w:szCs w:val="84"/>
          <w:highlight w:val="none"/>
        </w:rPr>
      </w:pPr>
    </w:p>
    <w:p>
      <w:pPr>
        <w:spacing w:line="400" w:lineRule="exact"/>
        <w:jc w:val="center"/>
        <w:rPr>
          <w:rFonts w:ascii="新宋体" w:hAnsi="新宋体" w:eastAsia="新宋体"/>
          <w:b/>
          <w:bCs/>
          <w:color w:val="auto"/>
          <w:sz w:val="32"/>
          <w:szCs w:val="32"/>
          <w:highlight w:val="none"/>
        </w:rPr>
      </w:pPr>
    </w:p>
    <w:p>
      <w:pPr>
        <w:jc w:val="center"/>
        <w:rPr>
          <w:rFonts w:ascii="新宋体" w:hAnsi="新宋体" w:eastAsia="新宋体"/>
          <w:color w:val="auto"/>
          <w:spacing w:val="40"/>
          <w:sz w:val="30"/>
          <w:szCs w:val="30"/>
          <w:highlight w:val="none"/>
        </w:rPr>
      </w:pPr>
    </w:p>
    <w:p>
      <w:pPr>
        <w:jc w:val="center"/>
        <w:rPr>
          <w:rFonts w:ascii="新宋体" w:hAnsi="新宋体" w:eastAsia="新宋体"/>
          <w:color w:val="auto"/>
          <w:spacing w:val="40"/>
          <w:sz w:val="30"/>
          <w:szCs w:val="30"/>
          <w:highlight w:val="none"/>
        </w:rPr>
      </w:pPr>
    </w:p>
    <w:p>
      <w:pPr>
        <w:jc w:val="center"/>
        <w:rPr>
          <w:rFonts w:ascii="新宋体" w:hAnsi="新宋体" w:eastAsia="新宋体"/>
          <w:color w:val="auto"/>
          <w:spacing w:val="40"/>
          <w:sz w:val="30"/>
          <w:szCs w:val="30"/>
          <w:highlight w:val="none"/>
        </w:rPr>
      </w:pPr>
    </w:p>
    <w:tbl>
      <w:tblPr>
        <w:tblStyle w:val="53"/>
        <w:tblW w:w="4992" w:type="dxa"/>
        <w:jc w:val="center"/>
        <w:tblLayout w:type="fixed"/>
        <w:tblCellMar>
          <w:top w:w="0" w:type="dxa"/>
          <w:left w:w="108" w:type="dxa"/>
          <w:bottom w:w="0" w:type="dxa"/>
          <w:right w:w="108" w:type="dxa"/>
        </w:tblCellMar>
      </w:tblPr>
      <w:tblGrid>
        <w:gridCol w:w="1559"/>
        <w:gridCol w:w="3433"/>
      </w:tblGrid>
      <w:tr>
        <w:tblPrEx>
          <w:tblCellMar>
            <w:top w:w="0" w:type="dxa"/>
            <w:left w:w="108" w:type="dxa"/>
            <w:bottom w:w="0" w:type="dxa"/>
            <w:right w:w="108" w:type="dxa"/>
          </w:tblCellMar>
        </w:tblPrEx>
        <w:trPr>
          <w:trHeight w:val="1089" w:hRule="atLeast"/>
          <w:jc w:val="center"/>
        </w:trPr>
        <w:tc>
          <w:tcPr>
            <w:tcW w:w="1559" w:type="dxa"/>
            <w:vAlign w:val="center"/>
          </w:tcPr>
          <w:p>
            <w:pP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项目编号：</w:t>
            </w:r>
          </w:p>
        </w:tc>
        <w:tc>
          <w:tcPr>
            <w:tcW w:w="3433" w:type="dxa"/>
            <w:vAlign w:val="center"/>
          </w:tcPr>
          <w:p>
            <w:pPr>
              <w:rPr>
                <w:rFonts w:hint="eastAsia" w:ascii="新宋体" w:hAnsi="新宋体" w:eastAsia="新宋体"/>
                <w:b/>
                <w:color w:val="auto"/>
                <w:sz w:val="28"/>
                <w:szCs w:val="28"/>
                <w:highlight w:val="none"/>
                <w:lang w:eastAsia="zh-CN"/>
              </w:rPr>
            </w:pPr>
            <w:r>
              <w:rPr>
                <w:rFonts w:hint="eastAsia" w:ascii="新宋体" w:hAnsi="新宋体" w:eastAsia="新宋体"/>
                <w:b/>
                <w:color w:val="auto"/>
                <w:sz w:val="28"/>
                <w:szCs w:val="28"/>
                <w:highlight w:val="none"/>
                <w:lang w:eastAsia="zh-CN"/>
              </w:rPr>
              <w:t>ZXZB-F20230626-BZ</w:t>
            </w:r>
          </w:p>
        </w:tc>
      </w:tr>
      <w:tr>
        <w:tblPrEx>
          <w:tblCellMar>
            <w:top w:w="0" w:type="dxa"/>
            <w:left w:w="108" w:type="dxa"/>
            <w:bottom w:w="0" w:type="dxa"/>
            <w:right w:w="108" w:type="dxa"/>
          </w:tblCellMar>
        </w:tblPrEx>
        <w:trPr>
          <w:trHeight w:val="1089" w:hRule="atLeast"/>
          <w:jc w:val="center"/>
        </w:trPr>
        <w:tc>
          <w:tcPr>
            <w:tcW w:w="1559" w:type="dxa"/>
            <w:vAlign w:val="center"/>
          </w:tcPr>
          <w:p>
            <w:pP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项目名称：</w:t>
            </w:r>
          </w:p>
        </w:tc>
        <w:tc>
          <w:tcPr>
            <w:tcW w:w="3433" w:type="dxa"/>
            <w:vAlign w:val="center"/>
          </w:tcPr>
          <w:p>
            <w:pPr>
              <w:rPr>
                <w:rFonts w:hint="eastAsia" w:ascii="新宋体" w:hAnsi="新宋体" w:eastAsia="新宋体"/>
                <w:b/>
                <w:color w:val="auto"/>
                <w:sz w:val="28"/>
                <w:szCs w:val="28"/>
                <w:highlight w:val="none"/>
                <w:lang w:eastAsia="zh-CN"/>
              </w:rPr>
            </w:pPr>
            <w:r>
              <w:rPr>
                <w:rFonts w:hint="eastAsia" w:ascii="新宋体" w:hAnsi="新宋体" w:eastAsia="新宋体"/>
                <w:b/>
                <w:color w:val="auto"/>
                <w:sz w:val="28"/>
                <w:szCs w:val="28"/>
                <w:highlight w:val="none"/>
                <w:lang w:eastAsia="zh-CN"/>
              </w:rPr>
              <w:t>华侨华人新生代创新创业大会会务保障服务</w:t>
            </w:r>
          </w:p>
        </w:tc>
      </w:tr>
      <w:tr>
        <w:tblPrEx>
          <w:tblCellMar>
            <w:top w:w="0" w:type="dxa"/>
            <w:left w:w="108" w:type="dxa"/>
            <w:bottom w:w="0" w:type="dxa"/>
            <w:right w:w="108" w:type="dxa"/>
          </w:tblCellMar>
        </w:tblPrEx>
        <w:trPr>
          <w:trHeight w:val="1089" w:hRule="atLeast"/>
          <w:jc w:val="center"/>
        </w:trPr>
        <w:tc>
          <w:tcPr>
            <w:tcW w:w="1559" w:type="dxa"/>
            <w:vAlign w:val="center"/>
          </w:tcPr>
          <w:p>
            <w:pP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采购方式：</w:t>
            </w:r>
          </w:p>
        </w:tc>
        <w:tc>
          <w:tcPr>
            <w:tcW w:w="3433" w:type="dxa"/>
            <w:vAlign w:val="center"/>
          </w:tcPr>
          <w:p>
            <w:pP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竞争性磋商</w:t>
            </w:r>
          </w:p>
        </w:tc>
      </w:tr>
    </w:tbl>
    <w:p>
      <w:pPr>
        <w:spacing w:line="600" w:lineRule="exact"/>
        <w:ind w:firstLine="904" w:firstLineChars="300"/>
        <w:jc w:val="center"/>
        <w:rPr>
          <w:rFonts w:ascii="新宋体" w:hAnsi="新宋体" w:eastAsia="新宋体"/>
          <w:b/>
          <w:color w:val="auto"/>
          <w:sz w:val="30"/>
          <w:szCs w:val="30"/>
          <w:highlight w:val="none"/>
        </w:rPr>
      </w:pPr>
      <w:r>
        <w:rPr>
          <w:rFonts w:hint="eastAsia" w:ascii="新宋体" w:hAnsi="新宋体" w:eastAsia="新宋体"/>
          <w:b/>
          <w:color w:val="auto"/>
          <w:sz w:val="30"/>
          <w:szCs w:val="30"/>
          <w:highlight w:val="none"/>
        </w:rPr>
        <w:t xml:space="preserve">                 </w:t>
      </w:r>
    </w:p>
    <w:p>
      <w:pPr>
        <w:spacing w:line="480" w:lineRule="auto"/>
        <w:rPr>
          <w:rFonts w:ascii="新宋体" w:hAnsi="新宋体" w:eastAsia="新宋体"/>
          <w:b/>
          <w:color w:val="auto"/>
          <w:sz w:val="30"/>
          <w:szCs w:val="30"/>
          <w:highlight w:val="none"/>
        </w:rPr>
      </w:pPr>
    </w:p>
    <w:p>
      <w:pPr>
        <w:spacing w:line="480" w:lineRule="auto"/>
        <w:ind w:firstLine="1906" w:firstLineChars="633"/>
        <w:rPr>
          <w:rFonts w:hint="eastAsia" w:ascii="新宋体" w:hAnsi="新宋体" w:eastAsia="新宋体"/>
          <w:b/>
          <w:color w:val="auto"/>
          <w:sz w:val="30"/>
          <w:szCs w:val="30"/>
          <w:highlight w:val="none"/>
        </w:rPr>
      </w:pPr>
    </w:p>
    <w:p>
      <w:pPr>
        <w:spacing w:line="480" w:lineRule="auto"/>
        <w:ind w:firstLine="1906" w:firstLineChars="633"/>
        <w:rPr>
          <w:rFonts w:hint="eastAsia" w:ascii="新宋体" w:hAnsi="新宋体" w:eastAsia="新宋体"/>
          <w:b/>
          <w:color w:val="auto"/>
          <w:sz w:val="30"/>
          <w:szCs w:val="30"/>
          <w:highlight w:val="none"/>
        </w:rPr>
      </w:pPr>
    </w:p>
    <w:p>
      <w:pPr>
        <w:spacing w:line="480" w:lineRule="auto"/>
        <w:ind w:firstLine="1906" w:firstLineChars="633"/>
        <w:rPr>
          <w:rFonts w:hint="eastAsia" w:ascii="新宋体" w:hAnsi="新宋体" w:eastAsia="新宋体"/>
          <w:b/>
          <w:color w:val="auto"/>
          <w:sz w:val="30"/>
          <w:szCs w:val="30"/>
          <w:highlight w:val="none"/>
          <w:lang w:eastAsia="zh-CN"/>
        </w:rPr>
      </w:pPr>
      <w:r>
        <w:rPr>
          <w:rFonts w:hint="eastAsia" w:ascii="新宋体" w:hAnsi="新宋体" w:eastAsia="新宋体"/>
          <w:b/>
          <w:color w:val="auto"/>
          <w:sz w:val="30"/>
          <w:szCs w:val="30"/>
          <w:highlight w:val="none"/>
        </w:rPr>
        <w:t xml:space="preserve">采 </w:t>
      </w:r>
      <w:r>
        <w:rPr>
          <w:rFonts w:ascii="新宋体" w:hAnsi="新宋体" w:eastAsia="新宋体"/>
          <w:b/>
          <w:color w:val="auto"/>
          <w:sz w:val="30"/>
          <w:szCs w:val="30"/>
          <w:highlight w:val="none"/>
        </w:rPr>
        <w:t xml:space="preserve">  </w:t>
      </w:r>
      <w:r>
        <w:rPr>
          <w:rFonts w:hint="eastAsia" w:ascii="新宋体" w:hAnsi="新宋体" w:eastAsia="新宋体"/>
          <w:b/>
          <w:color w:val="auto"/>
          <w:sz w:val="30"/>
          <w:szCs w:val="30"/>
          <w:highlight w:val="none"/>
        </w:rPr>
        <w:t>购   人：</w:t>
      </w:r>
      <w:r>
        <w:rPr>
          <w:rFonts w:hint="eastAsia" w:ascii="新宋体" w:hAnsi="新宋体" w:eastAsia="新宋体"/>
          <w:b/>
          <w:color w:val="auto"/>
          <w:sz w:val="30"/>
          <w:szCs w:val="30"/>
          <w:highlight w:val="none"/>
          <w:lang w:eastAsia="zh-CN"/>
        </w:rPr>
        <w:t>中共温州市委统战部</w:t>
      </w:r>
    </w:p>
    <w:p>
      <w:pPr>
        <w:spacing w:line="480" w:lineRule="auto"/>
        <w:ind w:firstLine="1906" w:firstLineChars="633"/>
        <w:jc w:val="left"/>
        <w:rPr>
          <w:rFonts w:ascii="新宋体" w:hAnsi="新宋体" w:eastAsia="新宋体"/>
          <w:b/>
          <w:color w:val="auto"/>
          <w:sz w:val="30"/>
          <w:szCs w:val="30"/>
          <w:highlight w:val="none"/>
        </w:rPr>
      </w:pPr>
      <w:r>
        <w:rPr>
          <w:rFonts w:hint="eastAsia" w:ascii="新宋体" w:hAnsi="新宋体" w:eastAsia="新宋体"/>
          <w:b/>
          <w:color w:val="auto"/>
          <w:sz w:val="30"/>
          <w:szCs w:val="30"/>
          <w:highlight w:val="none"/>
        </w:rPr>
        <w:t>采购代理机构：温州市智信招标代理有限公司</w:t>
      </w:r>
    </w:p>
    <w:p>
      <w:pPr>
        <w:spacing w:line="600" w:lineRule="exact"/>
        <w:jc w:val="center"/>
        <w:rPr>
          <w:rFonts w:ascii="新宋体" w:hAnsi="新宋体" w:eastAsia="新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新宋体" w:hAnsi="新宋体" w:eastAsia="新宋体"/>
          <w:b/>
          <w:color w:val="auto"/>
          <w:sz w:val="30"/>
          <w:szCs w:val="30"/>
          <w:highlight w:val="none"/>
        </w:rPr>
        <w:t xml:space="preserve">     二○二</w:t>
      </w:r>
      <w:r>
        <w:rPr>
          <w:rFonts w:hint="eastAsia" w:ascii="新宋体" w:hAnsi="新宋体" w:eastAsia="新宋体"/>
          <w:b/>
          <w:color w:val="auto"/>
          <w:sz w:val="30"/>
          <w:szCs w:val="30"/>
          <w:highlight w:val="none"/>
          <w:lang w:val="en-US" w:eastAsia="zh-CN"/>
        </w:rPr>
        <w:t>三</w:t>
      </w:r>
      <w:r>
        <w:rPr>
          <w:rFonts w:hint="eastAsia" w:ascii="新宋体" w:hAnsi="新宋体" w:eastAsia="新宋体"/>
          <w:b/>
          <w:color w:val="auto"/>
          <w:sz w:val="30"/>
          <w:szCs w:val="30"/>
          <w:highlight w:val="none"/>
        </w:rPr>
        <w:t>年</w:t>
      </w:r>
      <w:r>
        <w:rPr>
          <w:rFonts w:hint="eastAsia" w:ascii="新宋体" w:hAnsi="新宋体" w:eastAsia="新宋体"/>
          <w:b/>
          <w:color w:val="auto"/>
          <w:sz w:val="30"/>
          <w:szCs w:val="30"/>
          <w:highlight w:val="none"/>
          <w:lang w:val="en-US" w:eastAsia="zh-CN"/>
        </w:rPr>
        <w:t>七</w:t>
      </w:r>
      <w:r>
        <w:rPr>
          <w:rFonts w:hint="eastAsia" w:ascii="新宋体" w:hAnsi="新宋体" w:eastAsia="新宋体"/>
          <w:b/>
          <w:color w:val="auto"/>
          <w:sz w:val="30"/>
          <w:szCs w:val="30"/>
          <w:highlight w:val="none"/>
        </w:rPr>
        <w:t>月</w:t>
      </w:r>
    </w:p>
    <w:p>
      <w:pPr>
        <w:rPr>
          <w:rFonts w:ascii="新宋体" w:hAnsi="新宋体" w:eastAsia="新宋体"/>
          <w:b/>
          <w:bCs/>
          <w:color w:val="auto"/>
          <w:szCs w:val="21"/>
          <w:highlight w:val="none"/>
        </w:rPr>
      </w:pPr>
    </w:p>
    <w:p>
      <w:pPr>
        <w:spacing w:line="600" w:lineRule="exact"/>
        <w:jc w:val="center"/>
        <w:rPr>
          <w:rFonts w:ascii="新宋体" w:hAnsi="新宋体" w:eastAsia="新宋体"/>
          <w:b/>
          <w:bCs/>
          <w:color w:val="auto"/>
          <w:sz w:val="32"/>
          <w:szCs w:val="32"/>
          <w:highlight w:val="none"/>
        </w:rPr>
      </w:pPr>
      <w:r>
        <w:rPr>
          <w:rFonts w:hint="eastAsia" w:ascii="新宋体" w:hAnsi="新宋体" w:eastAsia="新宋体"/>
          <w:b/>
          <w:bCs/>
          <w:color w:val="auto"/>
          <w:sz w:val="32"/>
          <w:szCs w:val="32"/>
          <w:highlight w:val="none"/>
        </w:rPr>
        <w:t>目    录</w:t>
      </w:r>
    </w:p>
    <w:p>
      <w:pPr>
        <w:spacing w:line="600" w:lineRule="exact"/>
        <w:jc w:val="center"/>
        <w:rPr>
          <w:rFonts w:ascii="新宋体" w:hAnsi="新宋体" w:eastAsia="新宋体"/>
          <w:b/>
          <w:bCs/>
          <w:color w:val="auto"/>
          <w:sz w:val="32"/>
          <w:szCs w:val="32"/>
          <w:highlight w:val="none"/>
        </w:rPr>
      </w:pPr>
    </w:p>
    <w:p>
      <w:pPr>
        <w:pStyle w:val="39"/>
        <w:tabs>
          <w:tab w:val="right" w:leader="dot" w:pos="9638"/>
        </w:tabs>
        <w:spacing w:line="480" w:lineRule="auto"/>
        <w:ind w:left="752" w:hanging="752"/>
        <w:rPr>
          <w:rFonts w:ascii="宋体" w:hAnsi="宋体" w:eastAsia="宋体" w:cs="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\z \u </w:instrText>
      </w:r>
      <w:r>
        <w:rPr>
          <w:rFonts w:hint="eastAsia" w:ascii="新宋体" w:hAnsi="新宋体" w:eastAsia="新宋体" w:cs="新宋体"/>
          <w:color w:val="auto"/>
          <w:sz w:val="22"/>
          <w:szCs w:val="22"/>
          <w:highlight w:val="none"/>
        </w:rPr>
        <w:fldChar w:fldCharType="separate"/>
      </w:r>
      <w:r>
        <w:rPr>
          <w:color w:val="auto"/>
          <w:highlight w:val="none"/>
        </w:rPr>
        <w:fldChar w:fldCharType="begin"/>
      </w:r>
      <w:r>
        <w:rPr>
          <w:color w:val="auto"/>
          <w:highlight w:val="none"/>
        </w:rPr>
        <w:instrText xml:space="preserve"> HYPERLINK \l "_Toc16477" </w:instrText>
      </w:r>
      <w:r>
        <w:rPr>
          <w:color w:val="auto"/>
          <w:highlight w:val="none"/>
        </w:rPr>
        <w:fldChar w:fldCharType="separate"/>
      </w:r>
      <w:r>
        <w:rPr>
          <w:rFonts w:hint="eastAsia" w:ascii="宋体" w:hAnsi="宋体" w:eastAsia="宋体" w:cs="宋体"/>
          <w:color w:val="auto"/>
          <w:sz w:val="22"/>
          <w:szCs w:val="22"/>
          <w:highlight w:val="none"/>
        </w:rPr>
        <w:t>供应商须知前附表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_Toc16477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39"/>
        <w:tabs>
          <w:tab w:val="right" w:leader="dot" w:pos="9638"/>
        </w:tabs>
        <w:spacing w:line="480" w:lineRule="auto"/>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"_Toc17062" </w:instrText>
      </w:r>
      <w:r>
        <w:rPr>
          <w:color w:val="auto"/>
          <w:highlight w:val="none"/>
        </w:rPr>
        <w:fldChar w:fldCharType="separate"/>
      </w:r>
      <w:r>
        <w:rPr>
          <w:rFonts w:hint="eastAsia" w:ascii="宋体" w:hAnsi="宋体" w:eastAsia="宋体" w:cs="宋体"/>
          <w:color w:val="auto"/>
          <w:sz w:val="22"/>
          <w:szCs w:val="22"/>
          <w:highlight w:val="none"/>
        </w:rPr>
        <w:t>第一部分    供应商须知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_Toc17062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45"/>
        <w:tabs>
          <w:tab w:val="right" w:leader="dot" w:pos="9638"/>
        </w:tabs>
        <w:spacing w:line="480" w:lineRule="auto"/>
        <w:rPr>
          <w:rFonts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"_Toc24607" </w:instrText>
      </w:r>
      <w:r>
        <w:rPr>
          <w:color w:val="auto"/>
          <w:highlight w:val="none"/>
        </w:rPr>
        <w:fldChar w:fldCharType="separate"/>
      </w:r>
      <w:r>
        <w:rPr>
          <w:rFonts w:hint="eastAsia" w:ascii="宋体" w:hAnsi="宋体" w:cs="宋体"/>
          <w:bCs/>
          <w:color w:val="auto"/>
          <w:sz w:val="22"/>
          <w:szCs w:val="22"/>
          <w:highlight w:val="none"/>
        </w:rPr>
        <w:t>一   说 明</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_Toc24607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6</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pPr>
        <w:pStyle w:val="45"/>
        <w:tabs>
          <w:tab w:val="right" w:leader="dot" w:pos="9638"/>
        </w:tabs>
        <w:spacing w:line="480" w:lineRule="auto"/>
        <w:rPr>
          <w:rFonts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"_Toc13286" </w:instrText>
      </w:r>
      <w:r>
        <w:rPr>
          <w:color w:val="auto"/>
          <w:highlight w:val="none"/>
        </w:rPr>
        <w:fldChar w:fldCharType="separate"/>
      </w:r>
      <w:r>
        <w:rPr>
          <w:rFonts w:hint="eastAsia" w:ascii="宋体" w:hAnsi="宋体" w:cs="宋体"/>
          <w:bCs/>
          <w:color w:val="auto"/>
          <w:sz w:val="22"/>
          <w:szCs w:val="22"/>
          <w:highlight w:val="none"/>
        </w:rPr>
        <w:t>二   竞争性磋商文件</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_Toc13286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6</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pPr>
        <w:pStyle w:val="45"/>
        <w:tabs>
          <w:tab w:val="right" w:leader="dot" w:pos="9638"/>
        </w:tabs>
        <w:spacing w:line="480" w:lineRule="auto"/>
        <w:rPr>
          <w:rFonts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"_Toc10347" </w:instrText>
      </w:r>
      <w:r>
        <w:rPr>
          <w:color w:val="auto"/>
          <w:highlight w:val="none"/>
        </w:rPr>
        <w:fldChar w:fldCharType="separate"/>
      </w:r>
      <w:r>
        <w:rPr>
          <w:rFonts w:hint="eastAsia" w:ascii="宋体" w:hAnsi="宋体" w:cs="宋体"/>
          <w:bCs/>
          <w:color w:val="auto"/>
          <w:sz w:val="22"/>
          <w:szCs w:val="22"/>
          <w:highlight w:val="none"/>
        </w:rPr>
        <w:t>三   磋商响应文件的编制</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_Toc10347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6</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pPr>
        <w:pStyle w:val="45"/>
        <w:tabs>
          <w:tab w:val="right" w:leader="dot" w:pos="9638"/>
        </w:tabs>
        <w:spacing w:line="480" w:lineRule="auto"/>
        <w:rPr>
          <w:rFonts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"_Toc24064" </w:instrText>
      </w:r>
      <w:r>
        <w:rPr>
          <w:color w:val="auto"/>
          <w:highlight w:val="none"/>
        </w:rPr>
        <w:fldChar w:fldCharType="separate"/>
      </w:r>
      <w:r>
        <w:rPr>
          <w:rFonts w:hint="eastAsia" w:ascii="宋体" w:hAnsi="宋体" w:cs="宋体"/>
          <w:bCs/>
          <w:color w:val="auto"/>
          <w:sz w:val="22"/>
          <w:szCs w:val="22"/>
          <w:highlight w:val="none"/>
        </w:rPr>
        <w:t>四   磋商响应文件的递交</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_Toc24064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10</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pPr>
        <w:pStyle w:val="45"/>
        <w:tabs>
          <w:tab w:val="right" w:leader="dot" w:pos="9638"/>
        </w:tabs>
        <w:spacing w:line="480" w:lineRule="auto"/>
        <w:rPr>
          <w:rFonts w:ascii="宋体" w:hAnsi="宋体" w:cs="宋体"/>
          <w:color w:val="auto"/>
          <w:sz w:val="22"/>
          <w:szCs w:val="22"/>
          <w:highlight w:val="none"/>
        </w:rPr>
      </w:pPr>
      <w:r>
        <w:rPr>
          <w:color w:val="auto"/>
          <w:highlight w:val="none"/>
        </w:rPr>
        <w:fldChar w:fldCharType="begin"/>
      </w:r>
      <w:r>
        <w:rPr>
          <w:color w:val="auto"/>
          <w:highlight w:val="none"/>
        </w:rPr>
        <w:instrText xml:space="preserve"> HYPERLINK \l "_Toc7107" </w:instrText>
      </w:r>
      <w:r>
        <w:rPr>
          <w:color w:val="auto"/>
          <w:highlight w:val="none"/>
        </w:rPr>
        <w:fldChar w:fldCharType="separate"/>
      </w:r>
      <w:r>
        <w:rPr>
          <w:rFonts w:hint="eastAsia" w:ascii="宋体" w:hAnsi="宋体" w:cs="宋体"/>
          <w:bCs/>
          <w:color w:val="auto"/>
          <w:sz w:val="22"/>
          <w:szCs w:val="22"/>
          <w:highlight w:val="none"/>
        </w:rPr>
        <w:t>五   开标</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_Toc7107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11</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pPr>
        <w:pStyle w:val="45"/>
        <w:tabs>
          <w:tab w:val="right" w:leader="dot" w:pos="9638"/>
        </w:tabs>
        <w:spacing w:line="480" w:lineRule="auto"/>
        <w:rPr>
          <w:rFonts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"_Toc16167" </w:instrText>
      </w:r>
      <w:r>
        <w:rPr>
          <w:color w:val="auto"/>
          <w:highlight w:val="none"/>
        </w:rPr>
        <w:fldChar w:fldCharType="separate"/>
      </w:r>
      <w:r>
        <w:rPr>
          <w:rFonts w:hint="eastAsia" w:ascii="宋体" w:hAnsi="宋体" w:cs="宋体"/>
          <w:bCs/>
          <w:color w:val="auto"/>
          <w:sz w:val="22"/>
          <w:szCs w:val="22"/>
          <w:highlight w:val="none"/>
        </w:rPr>
        <w:t>六   磋商</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_Toc16167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12</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pPr>
        <w:pStyle w:val="45"/>
        <w:tabs>
          <w:tab w:val="right" w:leader="dot" w:pos="9638"/>
        </w:tabs>
        <w:spacing w:line="480" w:lineRule="auto"/>
        <w:rPr>
          <w:rFonts w:ascii="宋体" w:hAnsi="宋体" w:cs="宋体"/>
          <w:color w:val="auto"/>
          <w:sz w:val="22"/>
          <w:szCs w:val="22"/>
          <w:highlight w:val="none"/>
        </w:rPr>
      </w:pPr>
      <w:r>
        <w:rPr>
          <w:color w:val="auto"/>
          <w:highlight w:val="none"/>
        </w:rPr>
        <w:fldChar w:fldCharType="begin"/>
      </w:r>
      <w:r>
        <w:rPr>
          <w:color w:val="auto"/>
          <w:highlight w:val="none"/>
        </w:rPr>
        <w:instrText xml:space="preserve"> HYPERLINK \l "_Toc5727" </w:instrText>
      </w:r>
      <w:r>
        <w:rPr>
          <w:color w:val="auto"/>
          <w:highlight w:val="none"/>
        </w:rPr>
        <w:fldChar w:fldCharType="separate"/>
      </w:r>
      <w:r>
        <w:rPr>
          <w:rFonts w:hint="eastAsia" w:ascii="宋体" w:hAnsi="宋体" w:cs="宋体"/>
          <w:bCs/>
          <w:color w:val="auto"/>
          <w:sz w:val="22"/>
          <w:szCs w:val="22"/>
          <w:highlight w:val="none"/>
        </w:rPr>
        <w:t>七   定标及授予合同</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_Toc5727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15</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pPr>
        <w:pStyle w:val="39"/>
        <w:tabs>
          <w:tab w:val="right" w:leader="dot" w:pos="9638"/>
        </w:tabs>
        <w:spacing w:line="480" w:lineRule="auto"/>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"_Toc1600" </w:instrText>
      </w:r>
      <w:r>
        <w:rPr>
          <w:color w:val="auto"/>
          <w:highlight w:val="none"/>
        </w:rPr>
        <w:fldChar w:fldCharType="separate"/>
      </w:r>
      <w:r>
        <w:rPr>
          <w:rFonts w:hint="eastAsia" w:ascii="宋体" w:hAnsi="宋体" w:eastAsia="宋体" w:cs="宋体"/>
          <w:color w:val="auto"/>
          <w:sz w:val="22"/>
          <w:szCs w:val="22"/>
          <w:highlight w:val="none"/>
        </w:rPr>
        <w:t>第二部分   政府采购政策功能相关说明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_Toc1600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39"/>
        <w:tabs>
          <w:tab w:val="right" w:leader="dot" w:pos="9638"/>
        </w:tabs>
        <w:spacing w:line="480" w:lineRule="auto"/>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"_Toc26867" </w:instrText>
      </w:r>
      <w:r>
        <w:rPr>
          <w:color w:val="auto"/>
          <w:highlight w:val="none"/>
        </w:rPr>
        <w:fldChar w:fldCharType="separate"/>
      </w:r>
      <w:r>
        <w:rPr>
          <w:rFonts w:hint="eastAsia" w:ascii="宋体" w:hAnsi="宋体" w:eastAsia="宋体" w:cs="宋体"/>
          <w:color w:val="auto"/>
          <w:sz w:val="22"/>
          <w:szCs w:val="22"/>
          <w:highlight w:val="none"/>
        </w:rPr>
        <w:t>第三部分   合同条款及格式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_Toc26867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39"/>
        <w:tabs>
          <w:tab w:val="right" w:leader="dot" w:pos="9638"/>
        </w:tabs>
        <w:spacing w:line="480" w:lineRule="auto"/>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"_Toc12546" </w:instrText>
      </w:r>
      <w:r>
        <w:rPr>
          <w:color w:val="auto"/>
          <w:highlight w:val="none"/>
        </w:rPr>
        <w:fldChar w:fldCharType="separate"/>
      </w:r>
      <w:r>
        <w:rPr>
          <w:rFonts w:hint="eastAsia" w:ascii="宋体" w:hAnsi="宋体" w:eastAsia="宋体" w:cs="宋体"/>
          <w:color w:val="auto"/>
          <w:sz w:val="22"/>
          <w:szCs w:val="22"/>
          <w:highlight w:val="none"/>
        </w:rPr>
        <w:t>第四部分   磋商响应文件格式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_Toc12546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39"/>
        <w:tabs>
          <w:tab w:val="right" w:leader="dot" w:pos="9638"/>
        </w:tabs>
        <w:spacing w:line="480" w:lineRule="auto"/>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"_Toc13005" </w:instrText>
      </w:r>
      <w:r>
        <w:rPr>
          <w:color w:val="auto"/>
          <w:highlight w:val="none"/>
        </w:rPr>
        <w:fldChar w:fldCharType="separate"/>
      </w:r>
      <w:r>
        <w:rPr>
          <w:rFonts w:hint="eastAsia" w:ascii="宋体" w:hAnsi="宋体" w:eastAsia="宋体" w:cs="宋体"/>
          <w:color w:val="auto"/>
          <w:sz w:val="22"/>
          <w:szCs w:val="22"/>
          <w:highlight w:val="none"/>
        </w:rPr>
        <w:t>第五部分   采购内容及要求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_Toc13005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39"/>
        <w:tabs>
          <w:tab w:val="right" w:leader="dot" w:pos="9638"/>
        </w:tabs>
        <w:spacing w:line="480" w:lineRule="auto"/>
        <w:rPr>
          <w:color w:val="auto"/>
          <w:highlight w:val="none"/>
        </w:rPr>
      </w:pPr>
      <w:r>
        <w:rPr>
          <w:color w:val="auto"/>
          <w:highlight w:val="none"/>
        </w:rPr>
        <w:fldChar w:fldCharType="begin"/>
      </w:r>
      <w:r>
        <w:rPr>
          <w:color w:val="auto"/>
          <w:highlight w:val="none"/>
        </w:rPr>
        <w:instrText xml:space="preserve"> HYPERLINK \l "_Toc24629" </w:instrText>
      </w:r>
      <w:r>
        <w:rPr>
          <w:color w:val="auto"/>
          <w:highlight w:val="none"/>
        </w:rPr>
        <w:fldChar w:fldCharType="separate"/>
      </w:r>
      <w:r>
        <w:rPr>
          <w:rFonts w:hint="eastAsia" w:ascii="宋体" w:hAnsi="宋体" w:eastAsia="宋体" w:cs="宋体"/>
          <w:color w:val="auto"/>
          <w:sz w:val="22"/>
          <w:szCs w:val="22"/>
          <w:highlight w:val="none"/>
        </w:rPr>
        <w:t>第六部分   磋商原则及方法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_Toc24629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spacing w:line="480" w:lineRule="auto"/>
        <w:rPr>
          <w:rFonts w:ascii="新宋体" w:hAnsi="新宋体" w:eastAsia="新宋体"/>
          <w:b/>
          <w:bCs/>
          <w:color w:val="auto"/>
          <w:sz w:val="24"/>
          <w:highlight w:val="none"/>
        </w:rPr>
      </w:pPr>
      <w:r>
        <w:rPr>
          <w:rFonts w:hint="eastAsia" w:ascii="新宋体" w:hAnsi="新宋体" w:eastAsia="新宋体"/>
          <w:color w:val="auto"/>
          <w:szCs w:val="22"/>
          <w:highlight w:val="none"/>
        </w:rPr>
        <w:fldChar w:fldCharType="end"/>
      </w:r>
    </w:p>
    <w:p>
      <w:pPr>
        <w:spacing w:line="560" w:lineRule="exact"/>
        <w:ind w:firstLine="843" w:firstLineChars="400"/>
        <w:rPr>
          <w:rFonts w:ascii="新宋体" w:hAnsi="新宋体" w:eastAsia="新宋体"/>
          <w:b/>
          <w:bCs/>
          <w:color w:val="auto"/>
          <w:szCs w:val="21"/>
          <w:highlight w:val="none"/>
        </w:rPr>
      </w:pPr>
    </w:p>
    <w:p>
      <w:pPr>
        <w:spacing w:line="360" w:lineRule="auto"/>
        <w:ind w:firstLine="422" w:firstLineChars="200"/>
        <w:rPr>
          <w:rFonts w:ascii="新宋体" w:hAnsi="新宋体" w:eastAsia="新宋体"/>
          <w:b/>
          <w:bCs/>
          <w:color w:val="auto"/>
          <w:szCs w:val="21"/>
          <w:highlight w:val="none"/>
          <w:u w:val="single"/>
        </w:rPr>
      </w:pPr>
      <w:r>
        <w:rPr>
          <w:rFonts w:hint="eastAsia" w:ascii="新宋体" w:hAnsi="新宋体" w:eastAsia="新宋体"/>
          <w:b/>
          <w:bCs/>
          <w:color w:val="auto"/>
          <w:szCs w:val="21"/>
          <w:highlight w:val="none"/>
          <w:u w:val="single"/>
        </w:rPr>
        <w:t>注：竞争性磋商文件中标“▲”且加下划线的为本项目的实质性要求和条件，着重提醒各供应商必须响应。各供应商必须认真阅读和理解竞争性磋商文件中的每一个条款及要求，因误读竞争性磋商文件而造成的后果，采购人概不负责。</w:t>
      </w:r>
    </w:p>
    <w:p>
      <w:pPr>
        <w:spacing w:line="240" w:lineRule="atLeast"/>
        <w:jc w:val="center"/>
        <w:rPr>
          <w:rFonts w:ascii="新宋体" w:hAnsi="新宋体" w:eastAsia="新宋体"/>
          <w:b/>
          <w:color w:val="auto"/>
          <w:szCs w:val="21"/>
          <w:highlight w:val="none"/>
        </w:rPr>
      </w:pPr>
    </w:p>
    <w:p>
      <w:pPr>
        <w:spacing w:line="240" w:lineRule="atLeast"/>
        <w:jc w:val="center"/>
        <w:rPr>
          <w:rFonts w:ascii="新宋体" w:hAnsi="新宋体" w:eastAsia="新宋体"/>
          <w:b/>
          <w:color w:val="auto"/>
          <w:szCs w:val="21"/>
          <w:highlight w:val="none"/>
        </w:rPr>
      </w:pPr>
    </w:p>
    <w:p>
      <w:pPr>
        <w:spacing w:line="240" w:lineRule="atLeast"/>
        <w:jc w:val="center"/>
        <w:rPr>
          <w:rFonts w:ascii="新宋体" w:hAnsi="新宋体" w:eastAsia="新宋体"/>
          <w:b/>
          <w:color w:val="auto"/>
          <w:szCs w:val="21"/>
          <w:highlight w:val="none"/>
        </w:rPr>
      </w:pPr>
    </w:p>
    <w:p>
      <w:pPr>
        <w:pStyle w:val="2"/>
        <w:ind w:firstLine="3054" w:firstLineChars="845"/>
        <w:jc w:val="both"/>
        <w:rPr>
          <w:rFonts w:ascii="新宋体" w:hAnsi="新宋体" w:eastAsia="新宋体"/>
          <w:bCs w:val="0"/>
          <w:color w:val="auto"/>
          <w:kern w:val="0"/>
          <w:sz w:val="22"/>
          <w:szCs w:val="22"/>
          <w:highlight w:val="none"/>
        </w:rPr>
      </w:pPr>
      <w:bookmarkStart w:id="0" w:name="_Toc26020"/>
      <w:bookmarkStart w:id="1" w:name="_Toc361035134"/>
      <w:bookmarkStart w:id="2" w:name="_Toc445914867"/>
      <w:bookmarkStart w:id="3" w:name="_Toc363576971"/>
      <w:r>
        <w:rPr>
          <w:rFonts w:hint="eastAsia" w:ascii="新宋体" w:hAnsi="新宋体" w:eastAsia="新宋体"/>
          <w:color w:val="auto"/>
          <w:sz w:val="36"/>
          <w:szCs w:val="36"/>
          <w:highlight w:val="none"/>
        </w:rPr>
        <w:br w:type="page"/>
      </w:r>
      <w:bookmarkEnd w:id="0"/>
      <w:bookmarkEnd w:id="1"/>
      <w:bookmarkEnd w:id="2"/>
      <w:bookmarkEnd w:id="3"/>
      <w:bookmarkStart w:id="4" w:name="_Toc16477"/>
      <w:r>
        <w:rPr>
          <w:rFonts w:hint="eastAsia" w:ascii="新宋体" w:hAnsi="新宋体" w:eastAsia="新宋体"/>
          <w:color w:val="auto"/>
          <w:sz w:val="36"/>
          <w:szCs w:val="36"/>
          <w:highlight w:val="none"/>
        </w:rPr>
        <w:t>供应商须知前附表</w:t>
      </w:r>
      <w:bookmarkEnd w:id="4"/>
    </w:p>
    <w:tbl>
      <w:tblPr>
        <w:tblStyle w:val="53"/>
        <w:tblW w:w="10123" w:type="dxa"/>
        <w:tblInd w:w="0" w:type="dxa"/>
        <w:tblLayout w:type="fixed"/>
        <w:tblCellMar>
          <w:top w:w="0" w:type="dxa"/>
          <w:left w:w="108" w:type="dxa"/>
          <w:bottom w:w="0" w:type="dxa"/>
          <w:right w:w="108" w:type="dxa"/>
        </w:tblCellMar>
      </w:tblPr>
      <w:tblGrid>
        <w:gridCol w:w="667"/>
        <w:gridCol w:w="2037"/>
        <w:gridCol w:w="7419"/>
      </w:tblGrid>
      <w:tr>
        <w:tblPrEx>
          <w:tblCellMar>
            <w:top w:w="0" w:type="dxa"/>
            <w:left w:w="108" w:type="dxa"/>
            <w:bottom w:w="0" w:type="dxa"/>
            <w:right w:w="108" w:type="dxa"/>
          </w:tblCellMar>
        </w:tblPrEx>
        <w:trPr>
          <w:trHeight w:val="765" w:hRule="atLeast"/>
          <w:tblHeader/>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b/>
                <w:color w:val="auto"/>
                <w:kern w:val="0"/>
                <w:sz w:val="22"/>
                <w:szCs w:val="22"/>
                <w:highlight w:val="none"/>
              </w:rPr>
            </w:pPr>
            <w:r>
              <w:rPr>
                <w:rFonts w:hint="eastAsia" w:ascii="新宋体" w:hAnsi="新宋体" w:eastAsia="新宋体"/>
                <w:b/>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b/>
                <w:color w:val="auto"/>
                <w:kern w:val="0"/>
                <w:sz w:val="22"/>
                <w:szCs w:val="22"/>
                <w:highlight w:val="none"/>
              </w:rPr>
            </w:pPr>
            <w:r>
              <w:rPr>
                <w:rFonts w:hint="eastAsia" w:ascii="新宋体" w:hAnsi="新宋体" w:eastAsia="新宋体"/>
                <w:b/>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b/>
                <w:color w:val="auto"/>
                <w:kern w:val="0"/>
                <w:sz w:val="22"/>
                <w:szCs w:val="22"/>
                <w:highlight w:val="none"/>
              </w:rPr>
            </w:pPr>
            <w:r>
              <w:rPr>
                <w:rFonts w:hint="eastAsia" w:ascii="新宋体" w:hAnsi="新宋体" w:eastAsia="新宋体"/>
                <w:b/>
                <w:color w:val="auto"/>
                <w:kern w:val="0"/>
                <w:sz w:val="22"/>
                <w:szCs w:val="22"/>
                <w:highlight w:val="none"/>
              </w:rPr>
              <w:t>编列内容</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采购人名称：</w:t>
            </w:r>
            <w:r>
              <w:rPr>
                <w:rFonts w:hint="eastAsia" w:ascii="宋体" w:hAnsi="宋体" w:eastAsia="宋体" w:cs="宋体"/>
                <w:bCs/>
                <w:color w:val="auto"/>
                <w:kern w:val="0"/>
                <w:sz w:val="22"/>
                <w:szCs w:val="22"/>
                <w:highlight w:val="none"/>
                <w:lang w:eastAsia="zh-CN"/>
              </w:rPr>
              <w:t>中共温州市委统战部</w:t>
            </w:r>
          </w:p>
          <w:p>
            <w:pPr>
              <w:spacing w:line="240" w:lineRule="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联系地址：温州市绣山路321号温州市行政中心1号楼</w:t>
            </w:r>
            <w:r>
              <w:rPr>
                <w:rFonts w:hint="eastAsia" w:ascii="宋体" w:hAnsi="宋体" w:eastAsia="宋体" w:cs="宋体"/>
                <w:bCs/>
                <w:color w:val="auto"/>
                <w:kern w:val="0"/>
                <w:sz w:val="22"/>
                <w:szCs w:val="22"/>
                <w:highlight w:val="none"/>
                <w:lang w:val="en-US" w:eastAsia="zh-CN"/>
              </w:rPr>
              <w:t>14</w:t>
            </w:r>
            <w:r>
              <w:rPr>
                <w:rFonts w:hint="eastAsia" w:ascii="宋体" w:hAnsi="宋体" w:eastAsia="宋体" w:cs="宋体"/>
                <w:bCs/>
                <w:color w:val="auto"/>
                <w:kern w:val="0"/>
                <w:sz w:val="22"/>
                <w:szCs w:val="22"/>
                <w:highlight w:val="none"/>
              </w:rPr>
              <w:t>楼</w:t>
            </w:r>
          </w:p>
          <w:p>
            <w:pPr>
              <w:spacing w:line="240" w:lineRule="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联系人：</w:t>
            </w:r>
            <w:r>
              <w:rPr>
                <w:rFonts w:hint="eastAsia" w:ascii="宋体" w:hAnsi="宋体" w:eastAsia="宋体" w:cs="宋体"/>
                <w:bCs/>
                <w:color w:val="auto"/>
                <w:kern w:val="0"/>
                <w:sz w:val="22"/>
                <w:szCs w:val="22"/>
                <w:highlight w:val="none"/>
                <w:lang w:val="en-US" w:eastAsia="zh-CN"/>
              </w:rPr>
              <w:t>徐女士</w:t>
            </w:r>
          </w:p>
          <w:p>
            <w:pPr>
              <w:spacing w:line="300" w:lineRule="exact"/>
              <w:rPr>
                <w:rFonts w:hint="eastAsia" w:ascii="新宋体" w:hAnsi="新宋体" w:eastAsia="新宋体"/>
                <w:color w:val="auto"/>
                <w:kern w:val="0"/>
                <w:sz w:val="22"/>
                <w:szCs w:val="22"/>
                <w:highlight w:val="none"/>
                <w:lang w:eastAsia="zh-CN"/>
              </w:rPr>
            </w:pPr>
            <w:r>
              <w:rPr>
                <w:rFonts w:hint="eastAsia" w:ascii="宋体" w:hAnsi="宋体" w:eastAsia="宋体" w:cs="宋体"/>
                <w:bCs/>
                <w:color w:val="auto"/>
                <w:kern w:val="0"/>
                <w:sz w:val="22"/>
                <w:szCs w:val="22"/>
                <w:highlight w:val="none"/>
              </w:rPr>
              <w:t>联系电话：</w:t>
            </w:r>
            <w:r>
              <w:rPr>
                <w:rFonts w:hint="eastAsia" w:ascii="宋体" w:hAnsi="宋体" w:eastAsia="宋体" w:cs="宋体"/>
                <w:bCs/>
                <w:color w:val="auto"/>
                <w:kern w:val="0"/>
                <w:sz w:val="22"/>
                <w:szCs w:val="22"/>
                <w:highlight w:val="none"/>
                <w:lang w:val="en-US" w:eastAsia="zh-CN"/>
              </w:rPr>
              <w:t>0577-88968917</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rPr>
              <w:t>采购代理机构名称：温州市智信招标代理有限公司</w:t>
            </w:r>
          </w:p>
          <w:p>
            <w:pPr>
              <w:spacing w:line="300" w:lineRule="exact"/>
              <w:rPr>
                <w:rFonts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rPr>
              <w:t>地 址：温州市瓯海区新桥街道高昂路1号牛山广场2号楼1409室</w:t>
            </w:r>
          </w:p>
          <w:p>
            <w:pPr>
              <w:spacing w:line="300" w:lineRule="exact"/>
              <w:rPr>
                <w:rFonts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rPr>
              <w:t>联系人：苏先生/叶先生 电话：13626506308/13958779970</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新宋体" w:hAnsi="新宋体" w:eastAsia="新宋体"/>
                <w:color w:val="auto"/>
                <w:kern w:val="0"/>
                <w:sz w:val="22"/>
                <w:szCs w:val="22"/>
                <w:highlight w:val="none"/>
                <w:lang w:val="en-US" w:eastAsia="zh-CN"/>
              </w:rPr>
            </w:pPr>
            <w:r>
              <w:rPr>
                <w:rFonts w:hint="eastAsia" w:ascii="新宋体" w:hAnsi="新宋体" w:eastAsia="新宋体"/>
                <w:color w:val="auto"/>
                <w:kern w:val="0"/>
                <w:sz w:val="22"/>
                <w:szCs w:val="22"/>
                <w:highlight w:val="none"/>
              </w:rPr>
              <w:t>项目名称</w:t>
            </w:r>
            <w:r>
              <w:rPr>
                <w:rFonts w:hint="eastAsia" w:ascii="新宋体" w:hAnsi="新宋体" w:eastAsia="新宋体"/>
                <w:color w:val="auto"/>
                <w:kern w:val="0"/>
                <w:sz w:val="22"/>
                <w:szCs w:val="22"/>
                <w:highlight w:val="none"/>
                <w:lang w:val="en-US" w:eastAsia="zh-CN"/>
              </w:rPr>
              <w:t>及编号</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bCs/>
                <w:color w:val="auto"/>
                <w:kern w:val="0"/>
                <w:sz w:val="22"/>
                <w:szCs w:val="22"/>
                <w:highlight w:val="none"/>
                <w:lang w:eastAsia="zh-CN"/>
              </w:rPr>
            </w:pPr>
            <w:r>
              <w:rPr>
                <w:rFonts w:hint="eastAsia" w:ascii="新宋体" w:hAnsi="新宋体" w:eastAsia="新宋体"/>
                <w:bCs/>
                <w:color w:val="auto"/>
                <w:kern w:val="0"/>
                <w:sz w:val="22"/>
                <w:szCs w:val="22"/>
                <w:highlight w:val="none"/>
                <w:lang w:val="en-US" w:eastAsia="zh-CN"/>
              </w:rPr>
              <w:t>项目名称：</w:t>
            </w:r>
            <w:r>
              <w:rPr>
                <w:rFonts w:hint="eastAsia" w:ascii="新宋体" w:hAnsi="新宋体" w:eastAsia="新宋体"/>
                <w:bCs/>
                <w:color w:val="auto"/>
                <w:kern w:val="0"/>
                <w:sz w:val="22"/>
                <w:szCs w:val="22"/>
                <w:highlight w:val="none"/>
                <w:lang w:eastAsia="zh-CN"/>
              </w:rPr>
              <w:t>华侨华人新生代创新创业大会会务保障服务</w:t>
            </w:r>
          </w:p>
          <w:p>
            <w:pPr>
              <w:spacing w:line="300" w:lineRule="exact"/>
              <w:rPr>
                <w:rFonts w:hint="eastAsia" w:ascii="新宋体" w:hAnsi="新宋体" w:eastAsia="新宋体"/>
                <w:bCs/>
                <w:color w:val="auto"/>
                <w:kern w:val="0"/>
                <w:sz w:val="22"/>
                <w:szCs w:val="22"/>
                <w:highlight w:val="none"/>
                <w:lang w:eastAsia="zh-CN"/>
              </w:rPr>
            </w:pPr>
            <w:r>
              <w:rPr>
                <w:rFonts w:hint="eastAsia" w:ascii="新宋体" w:hAnsi="新宋体" w:eastAsia="新宋体"/>
                <w:bCs/>
                <w:color w:val="auto"/>
                <w:kern w:val="0"/>
                <w:sz w:val="22"/>
                <w:szCs w:val="22"/>
                <w:highlight w:val="none"/>
              </w:rPr>
              <w:t>项目编号：</w:t>
            </w:r>
            <w:r>
              <w:rPr>
                <w:rFonts w:hint="eastAsia" w:ascii="新宋体" w:hAnsi="新宋体" w:eastAsia="新宋体"/>
                <w:bCs/>
                <w:color w:val="auto"/>
                <w:kern w:val="0"/>
                <w:sz w:val="22"/>
                <w:szCs w:val="22"/>
                <w:highlight w:val="none"/>
                <w:lang w:eastAsia="zh-CN"/>
              </w:rPr>
              <w:t>ZXZB-F20230626-BZ</w:t>
            </w:r>
          </w:p>
        </w:tc>
      </w:tr>
      <w:tr>
        <w:tblPrEx>
          <w:tblCellMar>
            <w:top w:w="0" w:type="dxa"/>
            <w:left w:w="108" w:type="dxa"/>
            <w:bottom w:w="0" w:type="dxa"/>
            <w:right w:w="108" w:type="dxa"/>
          </w:tblCellMar>
        </w:tblPrEx>
        <w:trPr>
          <w:trHeight w:val="826"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right="60"/>
              <w:jc w:val="left"/>
              <w:rPr>
                <w:rFonts w:ascii="新宋体" w:hAnsi="新宋体" w:eastAsia="新宋体"/>
                <w:bCs/>
                <w:color w:val="auto"/>
                <w:kern w:val="0"/>
                <w:sz w:val="22"/>
                <w:szCs w:val="22"/>
                <w:highlight w:val="none"/>
              </w:rPr>
            </w:pPr>
            <w:r>
              <w:rPr>
                <w:rFonts w:hint="eastAsia" w:ascii="宋体" w:hAnsi="宋体" w:cs="宋体"/>
                <w:color w:val="auto"/>
                <w:sz w:val="22"/>
                <w:szCs w:val="22"/>
                <w:highlight w:val="none"/>
                <w:lang w:eastAsia="zh-CN"/>
              </w:rPr>
              <w:t>华侨华人新生代创新创业大会会务保障服务</w:t>
            </w:r>
            <w:r>
              <w:rPr>
                <w:rFonts w:hint="eastAsia" w:ascii="宋体" w:hAnsi="宋体" w:eastAsia="宋体" w:cs="宋体"/>
                <w:color w:val="auto"/>
                <w:sz w:val="22"/>
                <w:szCs w:val="22"/>
                <w:highlight w:val="none"/>
                <w:lang w:val="en-US" w:eastAsia="zh-CN"/>
              </w:rPr>
              <w:t>活动</w:t>
            </w:r>
            <w:r>
              <w:rPr>
                <w:rFonts w:hint="eastAsia" w:ascii="宋体" w:hAnsi="宋体" w:eastAsia="宋体" w:cs="宋体"/>
                <w:color w:val="auto"/>
                <w:sz w:val="22"/>
                <w:szCs w:val="22"/>
                <w:highlight w:val="none"/>
              </w:rPr>
              <w:t>，详见采购文件相关部分。项目采购预算：</w:t>
            </w:r>
            <w:r>
              <w:rPr>
                <w:rFonts w:hint="eastAsia" w:ascii="宋体" w:hAnsi="宋体" w:cs="宋体"/>
                <w:color w:val="auto"/>
                <w:sz w:val="22"/>
                <w:szCs w:val="22"/>
                <w:highlight w:val="none"/>
                <w:lang w:val="en-US" w:eastAsia="zh-CN"/>
              </w:rPr>
              <w:t>352</w:t>
            </w:r>
            <w:r>
              <w:rPr>
                <w:rFonts w:hint="eastAsia" w:ascii="宋体" w:hAnsi="宋体" w:eastAsia="宋体" w:cs="宋体"/>
                <w:color w:val="auto"/>
                <w:sz w:val="22"/>
                <w:szCs w:val="22"/>
                <w:highlight w:val="none"/>
              </w:rPr>
              <w:t>万元。</w:t>
            </w:r>
          </w:p>
        </w:tc>
      </w:tr>
      <w:tr>
        <w:tblPrEx>
          <w:tblCellMar>
            <w:top w:w="0" w:type="dxa"/>
            <w:left w:w="108" w:type="dxa"/>
            <w:bottom w:w="0" w:type="dxa"/>
            <w:right w:w="108" w:type="dxa"/>
          </w:tblCellMar>
        </w:tblPrEx>
        <w:trPr>
          <w:trHeight w:val="665"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sz w:val="22"/>
                <w:szCs w:val="22"/>
                <w:highlight w:val="none"/>
              </w:rPr>
              <w:t>服务期限</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b/>
                <w:bCs/>
                <w:color w:val="auto"/>
                <w:kern w:val="0"/>
                <w:sz w:val="22"/>
                <w:szCs w:val="22"/>
                <w:highlight w:val="none"/>
              </w:rPr>
            </w:pPr>
            <w:r>
              <w:rPr>
                <w:rFonts w:hint="eastAsia" w:ascii="新宋体" w:hAnsi="新宋体" w:eastAsia="新宋体" w:cs="新宋体"/>
                <w:color w:val="auto"/>
                <w:kern w:val="0"/>
                <w:sz w:val="22"/>
                <w:szCs w:val="22"/>
                <w:highlight w:val="none"/>
              </w:rPr>
              <w:t>合同签订后至活动结束并通过验收。</w:t>
            </w:r>
          </w:p>
        </w:tc>
      </w:tr>
      <w:tr>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供应商资格要求</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1.一般资格条件：</w:t>
            </w:r>
          </w:p>
          <w:p>
            <w:pPr>
              <w:autoSpaceDE w:val="0"/>
              <w:autoSpaceDN w:val="0"/>
              <w:adjustRightInd w:val="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autoSpaceDE w:val="0"/>
              <w:autoSpaceDN w:val="0"/>
              <w:adjustRightInd w:val="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pPr>
              <w:autoSpaceDE w:val="0"/>
              <w:autoSpaceDN w:val="0"/>
              <w:adjustRightInd w:val="0"/>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 xml:space="preserve">2.落实政府采购政策需满足的资格要求: </w:t>
            </w:r>
            <w:r>
              <w:rPr>
                <w:rFonts w:hint="eastAsia" w:ascii="新宋体" w:hAnsi="新宋体" w:eastAsia="新宋体" w:cs="新宋体"/>
                <w:color w:val="auto"/>
                <w:kern w:val="0"/>
                <w:sz w:val="22"/>
                <w:szCs w:val="22"/>
                <w:highlight w:val="none"/>
                <w:lang w:val="en-US" w:eastAsia="zh-CN"/>
              </w:rPr>
              <w:t>无</w:t>
            </w:r>
          </w:p>
          <w:p>
            <w:pPr>
              <w:rPr>
                <w:rFonts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rPr>
              <w:t>3.特殊资格条件：无</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是否接受联合体磋商响应</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接受，应满足下列要求：</w:t>
            </w:r>
          </w:p>
          <w:p>
            <w:pPr>
              <w:widowControl/>
              <w:spacing w:line="24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（1）需提供联合体协议书，明确双方各自责任与义务；</w:t>
            </w:r>
          </w:p>
          <w:p>
            <w:pPr>
              <w:spacing w:line="300" w:lineRule="exact"/>
              <w:rPr>
                <w:rFonts w:ascii="新宋体" w:hAnsi="新宋体" w:eastAsia="新宋体"/>
                <w:color w:val="auto"/>
                <w:kern w:val="0"/>
                <w:sz w:val="22"/>
                <w:szCs w:val="22"/>
                <w:highlight w:val="none"/>
              </w:rPr>
            </w:pPr>
            <w:r>
              <w:rPr>
                <w:rFonts w:hint="eastAsia" w:ascii="宋体" w:hAnsi="宋体" w:eastAsia="宋体" w:cs="宋体"/>
                <w:color w:val="auto"/>
                <w:kern w:val="0"/>
                <w:sz w:val="22"/>
                <w:szCs w:val="22"/>
                <w:highlight w:val="none"/>
              </w:rPr>
              <w:t>（2）联合体成员不超过两家。</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□组织</w:t>
            </w:r>
          </w:p>
          <w:p>
            <w:pPr>
              <w:spacing w:line="300" w:lineRule="exact"/>
              <w:rPr>
                <w:rFonts w:ascii="新宋体" w:hAnsi="新宋体" w:eastAsia="新宋体"/>
                <w:color w:val="auto"/>
                <w:kern w:val="0"/>
                <w:sz w:val="22"/>
                <w:szCs w:val="22"/>
                <w:highlight w:val="none"/>
              </w:rPr>
            </w:pPr>
            <w:r>
              <w:rPr>
                <w:rFonts w:hint="eastAsia" w:ascii="新宋体" w:hAnsi="新宋体" w:eastAsia="新宋体"/>
                <w:b/>
                <w:snapToGrid w:val="0"/>
                <w:color w:val="auto"/>
                <w:sz w:val="22"/>
                <w:szCs w:val="22"/>
                <w:highlight w:val="none"/>
              </w:rPr>
              <w:sym w:font="Wingdings" w:char="F0FE"/>
            </w:r>
            <w:r>
              <w:rPr>
                <w:rFonts w:hint="eastAsia" w:ascii="新宋体" w:hAnsi="新宋体" w:eastAsia="新宋体"/>
                <w:color w:val="auto"/>
                <w:kern w:val="0"/>
                <w:sz w:val="22"/>
                <w:szCs w:val="22"/>
                <w:highlight w:val="none"/>
              </w:rPr>
              <w:t>不组织，供应商自行前往项目现场进行踏勘。</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□召开</w:t>
            </w:r>
          </w:p>
          <w:p>
            <w:pPr>
              <w:spacing w:line="300" w:lineRule="exact"/>
              <w:rPr>
                <w:rFonts w:ascii="新宋体" w:hAnsi="新宋体" w:eastAsia="新宋体"/>
                <w:color w:val="auto"/>
                <w:kern w:val="0"/>
                <w:sz w:val="22"/>
                <w:szCs w:val="22"/>
                <w:highlight w:val="none"/>
              </w:rPr>
            </w:pPr>
            <w:r>
              <w:rPr>
                <w:rFonts w:hint="eastAsia" w:ascii="新宋体" w:hAnsi="新宋体" w:eastAsia="新宋体"/>
                <w:b/>
                <w:snapToGrid w:val="0"/>
                <w:color w:val="auto"/>
                <w:sz w:val="22"/>
                <w:szCs w:val="22"/>
                <w:highlight w:val="none"/>
              </w:rPr>
              <w:sym w:font="Wingdings" w:char="F0FE"/>
            </w:r>
            <w:r>
              <w:rPr>
                <w:rFonts w:hint="eastAsia" w:ascii="新宋体" w:hAnsi="新宋体" w:eastAsia="新宋体"/>
                <w:color w:val="auto"/>
                <w:kern w:val="0"/>
                <w:sz w:val="22"/>
                <w:szCs w:val="22"/>
                <w:highlight w:val="none"/>
              </w:rPr>
              <w:t>不召开</w:t>
            </w:r>
          </w:p>
        </w:tc>
      </w:tr>
      <w:tr>
        <w:tblPrEx>
          <w:tblCellMar>
            <w:top w:w="0" w:type="dxa"/>
            <w:left w:w="108" w:type="dxa"/>
            <w:bottom w:w="0" w:type="dxa"/>
            <w:right w:w="108"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磋商响应文件递交截止时间</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olor w:val="auto"/>
                <w:kern w:val="0"/>
                <w:sz w:val="22"/>
                <w:szCs w:val="22"/>
                <w:highlight w:val="none"/>
                <w:lang w:eastAsia="zh-CN"/>
              </w:rPr>
            </w:pPr>
            <w:r>
              <w:rPr>
                <w:rFonts w:hint="eastAsia" w:ascii="新宋体" w:hAnsi="新宋体" w:eastAsia="新宋体"/>
                <w:color w:val="auto"/>
                <w:kern w:val="0"/>
                <w:sz w:val="22"/>
                <w:szCs w:val="22"/>
                <w:highlight w:val="none"/>
                <w:lang w:eastAsia="zh-CN"/>
              </w:rPr>
              <w:t>2023年</w:t>
            </w:r>
            <w:r>
              <w:rPr>
                <w:rFonts w:hint="eastAsia" w:ascii="新宋体" w:hAnsi="新宋体" w:eastAsia="新宋体"/>
                <w:color w:val="auto"/>
                <w:kern w:val="0"/>
                <w:sz w:val="22"/>
                <w:szCs w:val="22"/>
                <w:highlight w:val="none"/>
                <w:lang w:val="en-US" w:eastAsia="zh-CN"/>
              </w:rPr>
              <w:t>07</w:t>
            </w:r>
            <w:r>
              <w:rPr>
                <w:rFonts w:hint="eastAsia" w:ascii="新宋体" w:hAnsi="新宋体" w:eastAsia="新宋体"/>
                <w:color w:val="auto"/>
                <w:kern w:val="0"/>
                <w:sz w:val="22"/>
                <w:szCs w:val="22"/>
                <w:highlight w:val="none"/>
                <w:lang w:eastAsia="zh-CN"/>
              </w:rPr>
              <w:t>月</w:t>
            </w:r>
            <w:r>
              <w:rPr>
                <w:rFonts w:hint="eastAsia" w:ascii="新宋体" w:hAnsi="新宋体" w:eastAsia="新宋体"/>
                <w:color w:val="auto"/>
                <w:kern w:val="0"/>
                <w:sz w:val="22"/>
                <w:szCs w:val="22"/>
                <w:highlight w:val="none"/>
                <w:lang w:val="en-US" w:eastAsia="zh-CN"/>
              </w:rPr>
              <w:t>17</w:t>
            </w:r>
            <w:r>
              <w:rPr>
                <w:rFonts w:hint="eastAsia" w:ascii="新宋体" w:hAnsi="新宋体" w:eastAsia="新宋体"/>
                <w:color w:val="auto"/>
                <w:kern w:val="0"/>
                <w:sz w:val="22"/>
                <w:szCs w:val="22"/>
                <w:highlight w:val="none"/>
                <w:lang w:eastAsia="zh-CN"/>
              </w:rPr>
              <w:t>日14时30分</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olor w:val="auto"/>
                <w:kern w:val="0"/>
                <w:sz w:val="22"/>
                <w:szCs w:val="22"/>
                <w:highlight w:val="none"/>
              </w:rPr>
            </w:pPr>
            <w:r>
              <w:rPr>
                <w:rFonts w:hint="eastAsia" w:ascii="宋体" w:hAnsi="宋体" w:eastAsia="宋体" w:cs="宋体"/>
                <w:color w:val="auto"/>
                <w:kern w:val="0"/>
                <w:sz w:val="22"/>
                <w:szCs w:val="22"/>
                <w:highlight w:val="none"/>
              </w:rPr>
              <w:t>允许，非核心内容允许企业合理分包，若分包需在</w:t>
            </w:r>
            <w:r>
              <w:rPr>
                <w:rFonts w:hint="eastAsia" w:ascii="宋体" w:hAnsi="宋体" w:cs="宋体"/>
                <w:color w:val="auto"/>
                <w:kern w:val="0"/>
                <w:sz w:val="22"/>
                <w:szCs w:val="22"/>
                <w:highlight w:val="none"/>
                <w:lang w:eastAsia="zh-CN"/>
              </w:rPr>
              <w:t>磋商响应文件</w:t>
            </w:r>
            <w:r>
              <w:rPr>
                <w:rFonts w:hint="eastAsia" w:ascii="宋体" w:hAnsi="宋体" w:eastAsia="宋体" w:cs="宋体"/>
                <w:color w:val="auto"/>
                <w:kern w:val="0"/>
                <w:sz w:val="22"/>
                <w:szCs w:val="22"/>
                <w:highlight w:val="none"/>
              </w:rPr>
              <w:t>内提供分包意向书，明确分包内容及金额比例</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且须符合《政府采购促进中小企业发展管理办法》等相关文件的规定</w:t>
            </w:r>
            <w:r>
              <w:rPr>
                <w:rFonts w:hint="eastAsia" w:ascii="宋体" w:hAnsi="宋体" w:eastAsia="宋体" w:cs="宋体"/>
                <w:color w:val="auto"/>
                <w:kern w:val="0"/>
                <w:sz w:val="22"/>
                <w:szCs w:val="22"/>
                <w:highlight w:val="none"/>
              </w:rPr>
              <w:t>。</w:t>
            </w:r>
          </w:p>
        </w:tc>
      </w:tr>
      <w:tr>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tblPrEx>
          <w:tblCellMar>
            <w:top w:w="0" w:type="dxa"/>
            <w:left w:w="108" w:type="dxa"/>
            <w:bottom w:w="0" w:type="dxa"/>
            <w:right w:w="108" w:type="dxa"/>
          </w:tblCellMar>
        </w:tblPrEx>
        <w:trPr>
          <w:trHeight w:val="78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磋商响应文件有效期</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磋商响应文件自磋商响应文件递交截止时间起生效，有效期</w:t>
            </w:r>
            <w:r>
              <w:rPr>
                <w:rFonts w:hint="eastAsia" w:ascii="新宋体" w:hAnsi="新宋体" w:eastAsia="新宋体"/>
                <w:color w:val="auto"/>
                <w:kern w:val="0"/>
                <w:sz w:val="22"/>
                <w:szCs w:val="22"/>
                <w:highlight w:val="none"/>
                <w:u w:val="single"/>
              </w:rPr>
              <w:t>90</w:t>
            </w:r>
            <w:r>
              <w:rPr>
                <w:rFonts w:hint="eastAsia" w:ascii="新宋体" w:hAnsi="新宋体" w:eastAsia="新宋体"/>
                <w:color w:val="auto"/>
                <w:kern w:val="0"/>
                <w:sz w:val="22"/>
                <w:szCs w:val="22"/>
                <w:highlight w:val="none"/>
              </w:rPr>
              <w:t>天。</w:t>
            </w:r>
          </w:p>
        </w:tc>
      </w:tr>
      <w:tr>
        <w:tblPrEx>
          <w:tblCellMar>
            <w:top w:w="0" w:type="dxa"/>
            <w:left w:w="108" w:type="dxa"/>
            <w:bottom w:w="0" w:type="dxa"/>
            <w:right w:w="108" w:type="dxa"/>
          </w:tblCellMar>
        </w:tblPrEx>
        <w:trPr>
          <w:trHeight w:val="615"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b/>
                <w:bCs/>
                <w:color w:val="auto"/>
                <w:kern w:val="0"/>
                <w:sz w:val="22"/>
                <w:szCs w:val="22"/>
                <w:highlight w:val="none"/>
                <w:u w:val="single"/>
              </w:rPr>
            </w:pPr>
            <w:r>
              <w:rPr>
                <w:rFonts w:hint="eastAsia" w:ascii="新宋体" w:hAnsi="新宋体" w:eastAsia="新宋体"/>
                <w:b/>
                <w:bCs/>
                <w:color w:val="auto"/>
                <w:kern w:val="0"/>
                <w:sz w:val="22"/>
                <w:szCs w:val="22"/>
                <w:highlight w:val="none"/>
                <w:u w:val="single"/>
              </w:rPr>
              <w:t>不提交</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15</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磋商响应文件形式、制作及组成</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olor w:val="auto"/>
                <w:kern w:val="0"/>
                <w:sz w:val="22"/>
                <w:szCs w:val="22"/>
                <w:highlight w:val="none"/>
              </w:rPr>
            </w:pPr>
            <w:r>
              <w:rPr>
                <w:rFonts w:ascii="新宋体" w:hAnsi="新宋体" w:eastAsia="新宋体"/>
                <w:color w:val="auto"/>
                <w:kern w:val="0"/>
                <w:sz w:val="22"/>
                <w:szCs w:val="22"/>
                <w:highlight w:val="none"/>
              </w:rPr>
              <w:t>本项目实行网上</w:t>
            </w:r>
            <w:r>
              <w:rPr>
                <w:rFonts w:hint="eastAsia" w:ascii="新宋体" w:hAnsi="新宋体" w:eastAsia="新宋体"/>
                <w:color w:val="auto"/>
                <w:kern w:val="0"/>
                <w:sz w:val="22"/>
                <w:szCs w:val="22"/>
                <w:highlight w:val="none"/>
              </w:rPr>
              <w:t>投标。</w:t>
            </w:r>
          </w:p>
          <w:p>
            <w:pPr>
              <w:spacing w:line="300" w:lineRule="exact"/>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供应商应准备电子磋商响应文件、以介质存储的数据电文形式的备份磋商响应文件：</w:t>
            </w:r>
          </w:p>
          <w:p>
            <w:pPr>
              <w:spacing w:line="300" w:lineRule="exact"/>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（1）电子磋商响应文件，按政采云平台</w:t>
            </w:r>
            <w:r>
              <w:rPr>
                <w:rFonts w:ascii="新宋体" w:hAnsi="新宋体" w:eastAsia="新宋体"/>
                <w:color w:val="auto"/>
                <w:kern w:val="0"/>
                <w:sz w:val="22"/>
                <w:szCs w:val="22"/>
                <w:highlight w:val="none"/>
              </w:rPr>
              <w:t>项目采购-电子招投标操作指南</w:t>
            </w:r>
            <w:r>
              <w:rPr>
                <w:rFonts w:hint="eastAsia" w:ascii="新宋体" w:hAnsi="新宋体" w:eastAsia="新宋体"/>
                <w:color w:val="auto"/>
                <w:kern w:val="0"/>
                <w:sz w:val="22"/>
                <w:szCs w:val="22"/>
                <w:highlight w:val="none"/>
              </w:rPr>
              <w:t>及本竞争性磋商采购文件要求递交</w:t>
            </w:r>
            <w:r>
              <w:rPr>
                <w:rFonts w:ascii="新宋体" w:hAnsi="新宋体" w:eastAsia="新宋体"/>
                <w:color w:val="auto"/>
                <w:kern w:val="0"/>
                <w:sz w:val="22"/>
                <w:szCs w:val="22"/>
                <w:highlight w:val="none"/>
              </w:rPr>
              <w:t>。</w:t>
            </w:r>
          </w:p>
          <w:p>
            <w:pPr>
              <w:spacing w:line="300" w:lineRule="exact"/>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（2）以介质存储的数据电文形式的备份磋商响应文件，按政采云平台</w:t>
            </w:r>
            <w:r>
              <w:rPr>
                <w:rFonts w:ascii="新宋体" w:hAnsi="新宋体" w:eastAsia="新宋体"/>
                <w:color w:val="auto"/>
                <w:kern w:val="0"/>
                <w:sz w:val="22"/>
                <w:szCs w:val="22"/>
                <w:highlight w:val="none"/>
              </w:rPr>
              <w:t>项目采购-电子招投标操作指南</w:t>
            </w:r>
            <w:r>
              <w:rPr>
                <w:rFonts w:hint="eastAsia" w:ascii="新宋体" w:hAnsi="新宋体" w:eastAsia="新宋体"/>
                <w:color w:val="auto"/>
                <w:kern w:val="0"/>
                <w:sz w:val="22"/>
                <w:szCs w:val="22"/>
                <w:highlight w:val="none"/>
              </w:rPr>
              <w:t>中上传的电子磋商响应文件格式，以U盘形式提供。数量为1份。</w:t>
            </w:r>
          </w:p>
          <w:p>
            <w:pPr>
              <w:spacing w:line="300" w:lineRule="exact"/>
              <w:rPr>
                <w:rFonts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磋商响应文件由资格审查资料、商务技术标、报价标三部分组成。</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16</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磋商响应文件份数</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（1）“电子加密磋商响应文件”：在线上传递交、一份。</w:t>
            </w:r>
          </w:p>
          <w:p>
            <w:pPr>
              <w:autoSpaceDE w:val="0"/>
              <w:autoSpaceDN w:val="0"/>
              <w:adjustRightInd w:val="0"/>
              <w:spacing w:line="300" w:lineRule="atLeast"/>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（2）“备份磋商响应文件”：以U盘存储，密封包装后（可采用顺丰快递形式）在</w:t>
            </w:r>
            <w:r>
              <w:rPr>
                <w:rFonts w:hint="eastAsia" w:ascii="宋体" w:hAnsi="宋体"/>
                <w:color w:val="auto"/>
                <w:kern w:val="0"/>
                <w:sz w:val="22"/>
                <w:szCs w:val="22"/>
                <w:highlight w:val="none"/>
              </w:rPr>
              <w:t>磋商响应文件递交截止时间</w:t>
            </w:r>
            <w:r>
              <w:rPr>
                <w:rFonts w:hint="eastAsia" w:ascii="宋体" w:hAnsi="宋体" w:cs="新宋体"/>
                <w:color w:val="auto"/>
                <w:kern w:val="0"/>
                <w:sz w:val="22"/>
                <w:szCs w:val="22"/>
                <w:highlight w:val="none"/>
                <w:lang w:val="zh-CN"/>
              </w:rPr>
              <w:t>前递交，一份，邮寄地址：</w:t>
            </w:r>
            <w:r>
              <w:rPr>
                <w:rFonts w:hint="eastAsia" w:ascii="宋体" w:hAnsi="宋体" w:cs="新宋体"/>
                <w:color w:val="auto"/>
                <w:kern w:val="0"/>
                <w:sz w:val="22"/>
                <w:szCs w:val="22"/>
                <w:highlight w:val="none"/>
              </w:rPr>
              <w:t>温州市瓯海区新桥街道高昂路1号牛山广场2号楼1409室</w:t>
            </w:r>
            <w:r>
              <w:rPr>
                <w:rFonts w:hint="eastAsia" w:ascii="宋体" w:hAnsi="宋体" w:cs="新宋体"/>
                <w:color w:val="auto"/>
                <w:kern w:val="0"/>
                <w:sz w:val="22"/>
                <w:szCs w:val="22"/>
                <w:highlight w:val="none"/>
                <w:lang w:val="zh-CN"/>
              </w:rPr>
              <w:t>，苏先生收。</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17</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s="新宋体"/>
                <w:color w:val="auto"/>
                <w:kern w:val="0"/>
                <w:sz w:val="22"/>
                <w:szCs w:val="22"/>
                <w:highlight w:val="none"/>
              </w:rPr>
              <w:t>磋商响应文件签字或盖章要求</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color w:val="auto"/>
                <w:kern w:val="0"/>
                <w:sz w:val="22"/>
                <w:szCs w:val="22"/>
                <w:highlight w:val="none"/>
                <w:lang w:val="zh-CN"/>
              </w:rPr>
            </w:pPr>
            <w:r>
              <w:rPr>
                <w:rFonts w:hint="eastAsia" w:ascii="宋体" w:hAnsi="宋体" w:cs="宋体"/>
                <w:color w:val="auto"/>
                <w:kern w:val="0"/>
                <w:sz w:val="22"/>
                <w:szCs w:val="22"/>
                <w:highlight w:val="none"/>
                <w:lang w:val="zh-CN"/>
              </w:rPr>
              <w:t>磋商响应文件的相应位置应：由投标人代表签字并加盖有效公章（电子签章）</w:t>
            </w:r>
            <w:r>
              <w:rPr>
                <w:rFonts w:hint="eastAsia" w:ascii="宋体" w:hAnsi="宋体" w:cs="新宋体"/>
                <w:color w:val="auto"/>
                <w:kern w:val="0"/>
                <w:sz w:val="22"/>
                <w:szCs w:val="22"/>
                <w:highlight w:val="none"/>
                <w:lang w:val="zh-CN"/>
              </w:rPr>
              <w:t>。</w:t>
            </w:r>
          </w:p>
        </w:tc>
      </w:tr>
      <w:tr>
        <w:tblPrEx>
          <w:tblCellMar>
            <w:top w:w="0" w:type="dxa"/>
            <w:left w:w="108" w:type="dxa"/>
            <w:bottom w:w="0" w:type="dxa"/>
            <w:right w:w="108" w:type="dxa"/>
          </w:tblCellMar>
        </w:tblPrEx>
        <w:trPr>
          <w:trHeight w:val="725"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18</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磋商响应文件的上传和递交</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1）供应商应当在磋商响应文件递交截止时间前完成电子磋商响应文件的传输递交，并可以补充、修改或者撤回电子磋商响应文件。补充或者修改电子磋商响应文件的，应当先行撤回原文件，补充、修改后重新传输递交。</w:t>
            </w:r>
            <w:r>
              <w:rPr>
                <w:rFonts w:hint="eastAsia" w:ascii="宋体" w:hAnsi="宋体" w:cs="新宋体"/>
                <w:color w:val="auto"/>
                <w:kern w:val="0"/>
                <w:sz w:val="22"/>
                <w:szCs w:val="22"/>
                <w:highlight w:val="none"/>
                <w:lang w:eastAsia="zh-CN"/>
              </w:rPr>
              <w:t>磋商响应截止</w:t>
            </w:r>
            <w:r>
              <w:rPr>
                <w:rFonts w:hint="eastAsia" w:ascii="宋体" w:hAnsi="宋体" w:cs="新宋体"/>
                <w:color w:val="auto"/>
                <w:kern w:val="0"/>
                <w:sz w:val="22"/>
                <w:szCs w:val="22"/>
                <w:highlight w:val="none"/>
              </w:rPr>
              <w:t>时间前未完成传输的，视为撤回磋商响应文件。磋商响应文件递交截止时间后送达的磋商响应文件，将被政采云平台拒收。</w:t>
            </w:r>
          </w:p>
          <w:p>
            <w:pP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（2）供应商应当在</w:t>
            </w:r>
            <w:r>
              <w:rPr>
                <w:rFonts w:hint="eastAsia" w:ascii="宋体" w:hAnsi="宋体"/>
                <w:color w:val="auto"/>
                <w:kern w:val="0"/>
                <w:sz w:val="22"/>
                <w:szCs w:val="22"/>
                <w:highlight w:val="none"/>
              </w:rPr>
              <w:t>磋商响应文件递交截止时间</w:t>
            </w:r>
            <w:r>
              <w:rPr>
                <w:rFonts w:hint="eastAsia" w:ascii="宋体" w:hAnsi="宋体" w:cs="新宋体"/>
                <w:color w:val="auto"/>
                <w:kern w:val="0"/>
                <w:sz w:val="22"/>
                <w:szCs w:val="22"/>
                <w:highlight w:val="none"/>
              </w:rPr>
              <w:t>之前将以介质存储的数据电文形式的备份磋商响应文件密封送交到温州市瓯海区新桥街道高昂路1号牛山广场2号楼1409室，逾期送达或未密封将被拒收。</w:t>
            </w:r>
          </w:p>
          <w:p>
            <w:pP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供应商递交以介质存储的数据电文形式的备份磋商响应文件时，如出现下列情况之一的，将被拒收：</w:t>
            </w:r>
          </w:p>
          <w:p>
            <w:pP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1.未按规定密封或标记的磋商响应文件；</w:t>
            </w:r>
          </w:p>
          <w:p>
            <w:pP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2.由于包装不妥，在送交途中严重破损或失散的；</w:t>
            </w:r>
          </w:p>
          <w:p>
            <w:pP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3.未成功办理供应商报名手续的；</w:t>
            </w:r>
          </w:p>
          <w:p>
            <w:pP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4.超过磋商响应文件递交截止时间送达的。</w:t>
            </w:r>
          </w:p>
          <w:p>
            <w:pP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5.仅提供备份磋商响应文件的，投标无效。</w:t>
            </w:r>
          </w:p>
          <w:p>
            <w:pP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仅提供备份磋商响应文件，造成项目开标评审及磋商活动无法进行下去的，投标（磋商响应）无效，相关风险由供应商自行承担。</w:t>
            </w:r>
          </w:p>
        </w:tc>
      </w:tr>
      <w:tr>
        <w:tblPrEx>
          <w:tblCellMar>
            <w:top w:w="0" w:type="dxa"/>
            <w:left w:w="108" w:type="dxa"/>
            <w:bottom w:w="0" w:type="dxa"/>
            <w:right w:w="108" w:type="dxa"/>
          </w:tblCellMar>
        </w:tblPrEx>
        <w:trPr>
          <w:trHeight w:val="938"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19</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开标时间和</w:t>
            </w:r>
            <w:r>
              <w:rPr>
                <w:rFonts w:hint="eastAsia" w:ascii="宋体" w:hAnsi="宋体"/>
                <w:color w:val="auto"/>
                <w:kern w:val="0"/>
                <w:sz w:val="22"/>
                <w:szCs w:val="22"/>
                <w:highlight w:val="none"/>
                <w:lang w:val="en-US" w:eastAsia="zh-CN"/>
              </w:rPr>
              <w:t>开</w:t>
            </w:r>
            <w:r>
              <w:rPr>
                <w:rFonts w:hint="eastAsia" w:ascii="宋体" w:hAnsi="宋体"/>
                <w:color w:val="auto"/>
                <w:kern w:val="0"/>
                <w:sz w:val="22"/>
                <w:szCs w:val="22"/>
                <w:highlight w:val="none"/>
              </w:rPr>
              <w:t>评标地点</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rPr>
              <w:t>开标时间</w:t>
            </w:r>
            <w:r>
              <w:rPr>
                <w:rFonts w:hint="eastAsia" w:ascii="宋体" w:hAnsi="宋体" w:cs="新宋体"/>
                <w:color w:val="auto"/>
                <w:kern w:val="0"/>
                <w:sz w:val="22"/>
                <w:szCs w:val="22"/>
                <w:highlight w:val="none"/>
              </w:rPr>
              <w:t>：</w:t>
            </w:r>
            <w:r>
              <w:rPr>
                <w:rFonts w:hint="eastAsia" w:ascii="新宋体" w:hAnsi="新宋体" w:eastAsia="新宋体"/>
                <w:color w:val="auto"/>
                <w:kern w:val="0"/>
                <w:sz w:val="22"/>
                <w:szCs w:val="22"/>
                <w:highlight w:val="none"/>
                <w:lang w:eastAsia="zh-CN"/>
              </w:rPr>
              <w:t>2023年</w:t>
            </w:r>
            <w:r>
              <w:rPr>
                <w:rFonts w:hint="eastAsia" w:ascii="新宋体" w:hAnsi="新宋体" w:eastAsia="新宋体"/>
                <w:color w:val="auto"/>
                <w:kern w:val="0"/>
                <w:sz w:val="22"/>
                <w:szCs w:val="22"/>
                <w:highlight w:val="none"/>
                <w:lang w:val="en-US" w:eastAsia="zh-CN"/>
              </w:rPr>
              <w:t>07</w:t>
            </w:r>
            <w:r>
              <w:rPr>
                <w:rFonts w:hint="eastAsia" w:ascii="新宋体" w:hAnsi="新宋体" w:eastAsia="新宋体"/>
                <w:color w:val="auto"/>
                <w:kern w:val="0"/>
                <w:sz w:val="22"/>
                <w:szCs w:val="22"/>
                <w:highlight w:val="none"/>
                <w:lang w:eastAsia="zh-CN"/>
              </w:rPr>
              <w:t>月</w:t>
            </w:r>
            <w:r>
              <w:rPr>
                <w:rFonts w:hint="eastAsia" w:ascii="新宋体" w:hAnsi="新宋体" w:eastAsia="新宋体"/>
                <w:color w:val="auto"/>
                <w:kern w:val="0"/>
                <w:sz w:val="22"/>
                <w:szCs w:val="22"/>
                <w:highlight w:val="none"/>
                <w:lang w:val="en-US" w:eastAsia="zh-CN"/>
              </w:rPr>
              <w:t>17</w:t>
            </w:r>
            <w:r>
              <w:rPr>
                <w:rFonts w:hint="eastAsia" w:ascii="新宋体" w:hAnsi="新宋体" w:eastAsia="新宋体"/>
                <w:color w:val="auto"/>
                <w:kern w:val="0"/>
                <w:sz w:val="22"/>
                <w:szCs w:val="22"/>
                <w:highlight w:val="none"/>
                <w:lang w:eastAsia="zh-CN"/>
              </w:rPr>
              <w:t>日14时30分</w:t>
            </w:r>
          </w:p>
          <w:p>
            <w:pPr>
              <w:spacing w:line="300" w:lineRule="exact"/>
              <w:rPr>
                <w:rFonts w:hint="default"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开标地点：政采云平台（www.zcygov.cn）在线开标</w:t>
            </w:r>
          </w:p>
          <w:p>
            <w:pPr>
              <w:spacing w:line="300" w:lineRule="exact"/>
              <w:rPr>
                <w:rFonts w:ascii="宋体" w:hAnsi="宋体"/>
                <w:color w:val="auto"/>
                <w:kern w:val="0"/>
                <w:sz w:val="22"/>
                <w:szCs w:val="22"/>
                <w:highlight w:val="none"/>
              </w:rPr>
            </w:pPr>
            <w:r>
              <w:rPr>
                <w:rFonts w:hint="eastAsia" w:ascii="宋体" w:hAnsi="宋体"/>
                <w:color w:val="auto"/>
                <w:kern w:val="0"/>
                <w:sz w:val="22"/>
                <w:szCs w:val="22"/>
                <w:highlight w:val="none"/>
              </w:rPr>
              <w:t>评标地点：</w:t>
            </w:r>
            <w:r>
              <w:rPr>
                <w:rFonts w:hint="eastAsia" w:ascii="宋体" w:hAnsi="宋体" w:cs="新宋体"/>
                <w:bCs/>
                <w:color w:val="auto"/>
                <w:kern w:val="0"/>
                <w:sz w:val="22"/>
                <w:szCs w:val="22"/>
                <w:highlight w:val="none"/>
              </w:rPr>
              <w:t>温州市瓯海区新桥街道高昂路1号牛山广场2号楼140</w:t>
            </w:r>
            <w:r>
              <w:rPr>
                <w:rFonts w:hint="eastAsia" w:ascii="宋体" w:hAnsi="宋体" w:cs="新宋体"/>
                <w:bCs/>
                <w:color w:val="auto"/>
                <w:kern w:val="0"/>
                <w:sz w:val="22"/>
                <w:szCs w:val="22"/>
                <w:highlight w:val="none"/>
                <w:lang w:val="en-US" w:eastAsia="zh-CN"/>
              </w:rPr>
              <w:t>9</w:t>
            </w:r>
            <w:r>
              <w:rPr>
                <w:rFonts w:hint="eastAsia" w:ascii="宋体" w:hAnsi="宋体" w:cs="新宋体"/>
                <w:bCs/>
                <w:color w:val="auto"/>
                <w:kern w:val="0"/>
                <w:sz w:val="22"/>
                <w:szCs w:val="22"/>
                <w:highlight w:val="none"/>
              </w:rPr>
              <w:t>室</w:t>
            </w:r>
          </w:p>
        </w:tc>
      </w:tr>
      <w:tr>
        <w:tblPrEx>
          <w:tblCellMar>
            <w:top w:w="0" w:type="dxa"/>
            <w:left w:w="108" w:type="dxa"/>
            <w:bottom w:w="0" w:type="dxa"/>
            <w:right w:w="108" w:type="dxa"/>
          </w:tblCellMar>
        </w:tblPrEx>
        <w:trPr>
          <w:trHeight w:val="699"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20</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电子加密磋商响应文件的解密和异常情况处理</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（1）开标后，采购组织机构将向各供应商发出“电子加密磋商响应文件”的解密通知，各供应商代表应当在接到解密通知后30分钟内自行完成“电子加密磋商响应文件”的在线解密。</w:t>
            </w:r>
          </w:p>
          <w:p>
            <w:pPr>
              <w:autoSpaceDE w:val="0"/>
              <w:autoSpaceDN w:val="0"/>
              <w:adjustRightInd w:val="0"/>
              <w:spacing w:line="300" w:lineRule="atLeast"/>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通过“政采云平台”成功上传递交的“电子加密磋商响应文件”无法按时解密，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pPr>
              <w:autoSpaceDE w:val="0"/>
              <w:autoSpaceDN w:val="0"/>
              <w:adjustRightInd w:val="0"/>
              <w:spacing w:line="300" w:lineRule="atLeast"/>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（3）磋商响应文件递交截止时间前，供应商仅递交了“备份磋商响应文件”而未将电子加密磋商响应文件上传至“政采云平台”的，投标无效。</w:t>
            </w:r>
          </w:p>
        </w:tc>
      </w:tr>
      <w:tr>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21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磋商评审程序</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 w:val="22"/>
                <w:szCs w:val="22"/>
                <w:highlight w:val="none"/>
              </w:rPr>
            </w:pPr>
            <w:r>
              <w:rPr>
                <w:rFonts w:hint="eastAsia" w:ascii="宋体" w:hAnsi="宋体"/>
                <w:color w:val="auto"/>
                <w:kern w:val="0"/>
                <w:sz w:val="22"/>
                <w:szCs w:val="22"/>
                <w:highlight w:val="none"/>
              </w:rPr>
              <w:t>1）磋商响应文件递交截止时间后，供应商登录政采云平台，用“项目采购-开标评标”功能对电子磋商响应文件进行在线解密。在线解密电子磋商文件时间为开标时间起半个小时内；</w:t>
            </w:r>
          </w:p>
          <w:p>
            <w:pPr>
              <w:rPr>
                <w:rFonts w:ascii="宋体" w:hAnsi="宋体"/>
                <w:color w:val="auto"/>
                <w:kern w:val="0"/>
                <w:sz w:val="22"/>
                <w:szCs w:val="22"/>
                <w:highlight w:val="none"/>
              </w:rPr>
            </w:pPr>
            <w:r>
              <w:rPr>
                <w:rFonts w:hint="eastAsia" w:ascii="宋体" w:hAnsi="宋体"/>
                <w:color w:val="auto"/>
                <w:kern w:val="0"/>
                <w:sz w:val="22"/>
                <w:szCs w:val="22"/>
                <w:highlight w:val="none"/>
              </w:rPr>
              <w:t>2）采购代理机构对供应商进行资格审查；</w:t>
            </w:r>
          </w:p>
          <w:p>
            <w:pPr>
              <w:rPr>
                <w:rFonts w:ascii="宋体" w:hAnsi="宋体"/>
                <w:color w:val="auto"/>
                <w:kern w:val="0"/>
                <w:sz w:val="22"/>
                <w:szCs w:val="22"/>
                <w:highlight w:val="none"/>
              </w:rPr>
            </w:pPr>
            <w:r>
              <w:rPr>
                <w:rFonts w:hint="eastAsia" w:ascii="宋体" w:hAnsi="宋体"/>
                <w:color w:val="auto"/>
                <w:kern w:val="0"/>
                <w:sz w:val="22"/>
                <w:szCs w:val="22"/>
                <w:highlight w:val="none"/>
              </w:rPr>
              <w:t>3）磋商小组对通过资格审查的磋商响应文件进行评分；</w:t>
            </w:r>
          </w:p>
          <w:p>
            <w:pPr>
              <w:rPr>
                <w:rFonts w:ascii="宋体" w:hAnsi="宋体"/>
                <w:color w:val="auto"/>
                <w:kern w:val="0"/>
                <w:sz w:val="22"/>
                <w:szCs w:val="22"/>
                <w:highlight w:val="none"/>
              </w:rPr>
            </w:pPr>
            <w:r>
              <w:rPr>
                <w:rFonts w:hint="eastAsia" w:ascii="宋体" w:hAnsi="宋体"/>
                <w:color w:val="auto"/>
                <w:kern w:val="0"/>
                <w:sz w:val="22"/>
                <w:szCs w:val="22"/>
                <w:highlight w:val="none"/>
              </w:rPr>
              <w:t>4）如有必要，磋商小组与供应商进行线上磋商；</w:t>
            </w:r>
          </w:p>
          <w:p>
            <w:pPr>
              <w:rPr>
                <w:rFonts w:ascii="宋体" w:hAnsi="宋体"/>
                <w:color w:val="auto"/>
                <w:kern w:val="0"/>
                <w:sz w:val="22"/>
                <w:szCs w:val="22"/>
                <w:highlight w:val="none"/>
              </w:rPr>
            </w:pPr>
            <w:r>
              <w:rPr>
                <w:rFonts w:hint="eastAsia" w:ascii="宋体" w:hAnsi="宋体"/>
                <w:color w:val="auto"/>
                <w:kern w:val="0"/>
                <w:sz w:val="22"/>
                <w:szCs w:val="22"/>
                <w:highlight w:val="none"/>
              </w:rPr>
              <w:t>5）磋商小组要求供应商在规定的时间内在政采云平台提交二次（最终）报价；</w:t>
            </w:r>
          </w:p>
          <w:p>
            <w:pPr>
              <w:rPr>
                <w:rFonts w:ascii="宋体" w:hAnsi="宋体"/>
                <w:color w:val="auto"/>
                <w:kern w:val="0"/>
                <w:sz w:val="22"/>
                <w:szCs w:val="22"/>
                <w:highlight w:val="none"/>
              </w:rPr>
            </w:pPr>
            <w:r>
              <w:rPr>
                <w:rFonts w:hint="eastAsia" w:ascii="宋体" w:hAnsi="宋体"/>
                <w:color w:val="auto"/>
                <w:kern w:val="0"/>
                <w:sz w:val="22"/>
                <w:szCs w:val="22"/>
                <w:highlight w:val="none"/>
              </w:rPr>
              <w:t>6）在系统上公开资格审查、商务技术文件及报价文件评分结果；</w:t>
            </w:r>
          </w:p>
          <w:p>
            <w:pPr>
              <w:rPr>
                <w:rFonts w:ascii="宋体" w:hAnsi="宋体"/>
                <w:color w:val="auto"/>
                <w:kern w:val="0"/>
                <w:sz w:val="22"/>
                <w:szCs w:val="22"/>
                <w:highlight w:val="none"/>
              </w:rPr>
            </w:pPr>
            <w:r>
              <w:rPr>
                <w:rFonts w:hint="eastAsia" w:ascii="宋体" w:hAnsi="宋体"/>
                <w:color w:val="auto"/>
                <w:kern w:val="0"/>
                <w:sz w:val="22"/>
                <w:szCs w:val="22"/>
                <w:highlight w:val="none"/>
              </w:rPr>
              <w:t>7）磋商小组编写磋商评审报告。</w:t>
            </w:r>
          </w:p>
          <w:p>
            <w:pPr>
              <w:rPr>
                <w:rFonts w:ascii="宋体" w:hAnsi="宋体"/>
                <w:color w:val="auto"/>
                <w:sz w:val="22"/>
                <w:szCs w:val="22"/>
                <w:highlight w:val="none"/>
              </w:rPr>
            </w:pPr>
            <w:r>
              <w:rPr>
                <w:rFonts w:hint="eastAsia" w:ascii="宋体" w:hAnsi="宋体"/>
                <w:color w:val="auto"/>
                <w:sz w:val="22"/>
                <w:szCs w:val="22"/>
                <w:highlight w:val="none"/>
              </w:rPr>
              <w:t>说明：政采云公司如对电子化开标及评审程序有调整的，按调整后的程序操作。</w:t>
            </w:r>
          </w:p>
        </w:tc>
      </w:tr>
      <w:tr>
        <w:tblPrEx>
          <w:tblCellMar>
            <w:top w:w="0" w:type="dxa"/>
            <w:left w:w="108" w:type="dxa"/>
            <w:bottom w:w="0" w:type="dxa"/>
            <w:right w:w="108" w:type="dxa"/>
          </w:tblCellMar>
        </w:tblPrEx>
        <w:trPr>
          <w:trHeight w:val="7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22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磋商小组的组建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kern w:val="0"/>
                <w:sz w:val="22"/>
                <w:szCs w:val="22"/>
                <w:highlight w:val="none"/>
              </w:rPr>
            </w:pPr>
            <w:r>
              <w:rPr>
                <w:rFonts w:hint="eastAsia" w:ascii="宋体" w:hAnsi="宋体"/>
                <w:color w:val="auto"/>
                <w:kern w:val="0"/>
                <w:sz w:val="22"/>
                <w:szCs w:val="22"/>
                <w:highlight w:val="none"/>
              </w:rPr>
              <w:t>磋商小组成员由采购人代表和有关技术、经济等方面的专家组成，采购人代表、有关技术、经济等方面的专家成员人数为3人及以上单数，</w:t>
            </w:r>
            <w:r>
              <w:rPr>
                <w:rFonts w:hint="eastAsia" w:ascii="宋体" w:hAnsi="宋体"/>
                <w:bCs/>
                <w:color w:val="auto"/>
                <w:sz w:val="22"/>
                <w:szCs w:val="22"/>
                <w:highlight w:val="none"/>
              </w:rPr>
              <w:t>除采购人代表外的专家将在评标专家库中随机抽取产生。</w:t>
            </w:r>
          </w:p>
        </w:tc>
      </w:tr>
      <w:tr>
        <w:tblPrEx>
          <w:tblCellMar>
            <w:top w:w="0" w:type="dxa"/>
            <w:left w:w="108" w:type="dxa"/>
            <w:bottom w:w="0" w:type="dxa"/>
            <w:right w:w="108" w:type="dxa"/>
          </w:tblCellMar>
        </w:tblPrEx>
        <w:trPr>
          <w:trHeight w:val="72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23</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原 件</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kern w:val="0"/>
                <w:sz w:val="22"/>
                <w:szCs w:val="22"/>
                <w:highlight w:val="none"/>
              </w:rPr>
            </w:pPr>
            <w:r>
              <w:rPr>
                <w:rFonts w:hint="eastAsia" w:ascii="宋体" w:hAnsi="宋体"/>
                <w:color w:val="auto"/>
                <w:kern w:val="0"/>
                <w:sz w:val="22"/>
                <w:szCs w:val="22"/>
                <w:highlight w:val="none"/>
              </w:rPr>
              <w:t>□提交，具体要求见供应商须知</w:t>
            </w:r>
          </w:p>
          <w:p>
            <w:pPr>
              <w:spacing w:line="300" w:lineRule="exact"/>
              <w:rPr>
                <w:rFonts w:ascii="宋体" w:hAnsi="宋体"/>
                <w:color w:val="auto"/>
                <w:kern w:val="0"/>
                <w:sz w:val="22"/>
                <w:szCs w:val="22"/>
                <w:highlight w:val="none"/>
              </w:rPr>
            </w:pPr>
            <w:r>
              <w:rPr>
                <w:rFonts w:ascii="宋体" w:hAnsi="宋体"/>
                <w:b/>
                <w:snapToGrid w:val="0"/>
                <w:color w:val="auto"/>
                <w:sz w:val="22"/>
                <w:szCs w:val="22"/>
                <w:highlight w:val="none"/>
              </w:rPr>
              <w:sym w:font="Wingdings" w:char="00FE"/>
            </w:r>
            <w:r>
              <w:rPr>
                <w:rFonts w:hint="eastAsia" w:ascii="宋体" w:hAnsi="宋体"/>
                <w:color w:val="auto"/>
                <w:kern w:val="0"/>
                <w:sz w:val="22"/>
                <w:szCs w:val="22"/>
                <w:highlight w:val="none"/>
              </w:rPr>
              <w:t>不提交</w:t>
            </w:r>
          </w:p>
        </w:tc>
      </w:tr>
      <w:tr>
        <w:tblPrEx>
          <w:tblCellMar>
            <w:top w:w="0" w:type="dxa"/>
            <w:left w:w="108" w:type="dxa"/>
            <w:bottom w:w="0" w:type="dxa"/>
            <w:right w:w="108" w:type="dxa"/>
          </w:tblCellMar>
        </w:tblPrEx>
        <w:trPr>
          <w:trHeight w:val="611"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履约保证金</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snapToGrid w:val="0"/>
                <w:color w:val="auto"/>
                <w:sz w:val="22"/>
                <w:szCs w:val="22"/>
                <w:highlight w:val="none"/>
              </w:rPr>
            </w:pPr>
            <w:r>
              <w:rPr>
                <w:rFonts w:hint="eastAsia" w:ascii="宋体" w:hAnsi="宋体" w:cs="新宋体"/>
                <w:color w:val="auto"/>
                <w:kern w:val="0"/>
                <w:sz w:val="22"/>
                <w:szCs w:val="22"/>
                <w:highlight w:val="none"/>
              </w:rPr>
              <w:t>不提交</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Cs/>
                <w:color w:val="auto"/>
                <w:kern w:val="0"/>
                <w:sz w:val="22"/>
                <w:szCs w:val="22"/>
                <w:highlight w:val="none"/>
              </w:rPr>
            </w:pPr>
            <w:r>
              <w:rPr>
                <w:rFonts w:hint="eastAsia" w:ascii="宋体" w:hAnsi="宋体" w:cs="新宋体"/>
                <w:bCs/>
                <w:color w:val="auto"/>
                <w:sz w:val="22"/>
                <w:szCs w:val="22"/>
                <w:highlight w:val="none"/>
              </w:rPr>
              <w:t>政府采购扶持政策</w:t>
            </w:r>
          </w:p>
        </w:tc>
        <w:tc>
          <w:tcPr>
            <w:tcW w:w="741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1.本项目对符合财政扶持政策的中小企业（小型、微型）、监狱企业、残疾人福利性单位给予价格优惠扶持，价格优惠扶持见《第六部分 评标原则及方法》。</w:t>
            </w:r>
          </w:p>
          <w:p>
            <w:pPr>
              <w:spacing w:line="24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2.满足《政府采购促进中小企业发展管理办法》（财库[2020]46号）的规定的中小企业可享受优惠扶持。</w:t>
            </w:r>
          </w:p>
          <w:p>
            <w:pPr>
              <w:spacing w:line="24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3.满足关于政府采购支持监狱企业发展有关问题的通知（财库[2014]68号）的规定的供应商可享受优惠扶持。</w:t>
            </w:r>
          </w:p>
          <w:p>
            <w:pPr>
              <w:spacing w:line="24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4.满足关于促进残疾人就业政府采购政策的通知（财库[2017]141号）的规定的供应商可享受优惠扶持。</w:t>
            </w:r>
          </w:p>
          <w:p>
            <w:pPr>
              <w:rPr>
                <w:rFonts w:hint="eastAsia" w:ascii="宋体" w:hAnsi="宋体" w:eastAsia="宋体" w:cs="新宋体"/>
                <w:bCs/>
                <w:color w:val="auto"/>
                <w:sz w:val="22"/>
                <w:szCs w:val="22"/>
                <w:highlight w:val="none"/>
                <w:lang w:eastAsia="zh-CN"/>
              </w:rPr>
            </w:pPr>
            <w:r>
              <w:rPr>
                <w:rFonts w:hint="eastAsia" w:ascii="宋体" w:hAnsi="宋体" w:eastAsia="宋体" w:cs="宋体"/>
                <w:bCs/>
                <w:color w:val="auto"/>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r>
              <w:rPr>
                <w:rFonts w:hint="eastAsia" w:ascii="宋体" w:hAnsi="宋体" w:cs="宋体"/>
                <w:bCs/>
                <w:color w:val="auto"/>
                <w:sz w:val="22"/>
                <w:szCs w:val="22"/>
                <w:highlight w:val="none"/>
                <w:lang w:eastAsia="zh-CN"/>
              </w:rPr>
              <w:t>。</w:t>
            </w:r>
          </w:p>
        </w:tc>
      </w:tr>
      <w:tr>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s="新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2"/>
                <w:szCs w:val="22"/>
                <w:highlight w:val="none"/>
              </w:rPr>
            </w:pPr>
            <w:r>
              <w:rPr>
                <w:rFonts w:hint="eastAsia" w:ascii="宋体" w:hAnsi="宋体" w:cs="新宋体"/>
                <w:color w:val="auto"/>
                <w:sz w:val="22"/>
                <w:szCs w:val="22"/>
                <w:highlight w:val="none"/>
              </w:rPr>
              <w:t>供应商信用查询</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新宋体"/>
                <w:color w:val="auto"/>
                <w:sz w:val="22"/>
                <w:szCs w:val="22"/>
                <w:highlight w:val="none"/>
              </w:rPr>
            </w:pPr>
            <w:r>
              <w:rPr>
                <w:rFonts w:hint="eastAsia" w:ascii="宋体" w:hAnsi="宋体" w:cs="新宋体"/>
                <w:color w:val="auto"/>
                <w:sz w:val="22"/>
                <w:szCs w:val="22"/>
                <w:highlight w:val="none"/>
              </w:rPr>
              <w:t>（1）供应商信用信息查询的查询渠道：“信用中国”(</w:t>
            </w:r>
            <w:r>
              <w:rPr>
                <w:color w:val="auto"/>
                <w:sz w:val="22"/>
                <w:szCs w:val="22"/>
                <w:highlight w:val="none"/>
              </w:rPr>
              <w:fldChar w:fldCharType="begin"/>
            </w:r>
            <w:r>
              <w:rPr>
                <w:color w:val="auto"/>
                <w:sz w:val="22"/>
                <w:szCs w:val="22"/>
                <w:highlight w:val="none"/>
              </w:rPr>
              <w:instrText xml:space="preserve"> HYPERLINK "http://www.creditchina.gov.cn" </w:instrText>
            </w:r>
            <w:r>
              <w:rPr>
                <w:color w:val="auto"/>
                <w:sz w:val="22"/>
                <w:szCs w:val="22"/>
                <w:highlight w:val="none"/>
              </w:rPr>
              <w:fldChar w:fldCharType="separate"/>
            </w:r>
            <w:r>
              <w:rPr>
                <w:rStyle w:val="64"/>
                <w:rFonts w:hint="eastAsia" w:ascii="宋体" w:hAnsi="宋体" w:cs="新宋体"/>
                <w:color w:val="auto"/>
                <w:sz w:val="22"/>
                <w:szCs w:val="22"/>
                <w:highlight w:val="none"/>
              </w:rPr>
              <w:t>www.creditchina.gov.cn</w:t>
            </w:r>
            <w:r>
              <w:rPr>
                <w:rStyle w:val="64"/>
                <w:rFonts w:hint="eastAsia" w:ascii="宋体" w:hAnsi="宋体" w:cs="新宋体"/>
                <w:color w:val="auto"/>
                <w:sz w:val="22"/>
                <w:szCs w:val="22"/>
                <w:highlight w:val="none"/>
              </w:rPr>
              <w:fldChar w:fldCharType="end"/>
            </w:r>
            <w:r>
              <w:rPr>
                <w:rFonts w:hint="eastAsia" w:ascii="宋体" w:hAnsi="宋体" w:cs="新宋体"/>
                <w:color w:val="auto"/>
                <w:sz w:val="22"/>
                <w:szCs w:val="22"/>
                <w:highlight w:val="none"/>
              </w:rPr>
              <w:t>)；“中国政府采购网”（http://www.ccgp.gov.cn/）；</w:t>
            </w:r>
          </w:p>
          <w:p>
            <w:pPr>
              <w:jc w:val="left"/>
              <w:rPr>
                <w:rFonts w:ascii="宋体" w:hAnsi="宋体" w:cs="新宋体"/>
                <w:color w:val="auto"/>
                <w:sz w:val="22"/>
                <w:szCs w:val="22"/>
                <w:highlight w:val="none"/>
              </w:rPr>
            </w:pPr>
            <w:r>
              <w:rPr>
                <w:rFonts w:hint="eastAsia" w:ascii="宋体" w:hAnsi="宋体" w:cs="新宋体"/>
                <w:color w:val="auto"/>
                <w:sz w:val="22"/>
                <w:szCs w:val="22"/>
                <w:highlight w:val="none"/>
              </w:rPr>
              <w:t>（2）供应商信用信息查询截止时点：本项目磋商响应文件递交截止时间。</w:t>
            </w:r>
          </w:p>
          <w:p>
            <w:pPr>
              <w:jc w:val="left"/>
              <w:rPr>
                <w:rFonts w:ascii="宋体" w:hAnsi="宋体" w:cs="新宋体"/>
                <w:color w:val="auto"/>
                <w:sz w:val="22"/>
                <w:szCs w:val="22"/>
                <w:highlight w:val="none"/>
              </w:rPr>
            </w:pPr>
            <w:r>
              <w:rPr>
                <w:rFonts w:hint="eastAsia" w:ascii="宋体" w:hAnsi="宋体" w:cs="新宋体"/>
                <w:color w:val="auto"/>
                <w:sz w:val="22"/>
                <w:szCs w:val="22"/>
                <w:highlight w:val="none"/>
              </w:rPr>
              <w:t>（3）供应商信用信息查询记录和证据留存的具体方式：网页截图打印；</w:t>
            </w:r>
          </w:p>
          <w:p>
            <w:pPr>
              <w:jc w:val="left"/>
              <w:rPr>
                <w:rFonts w:ascii="宋体" w:hAnsi="宋体" w:cs="新宋体"/>
                <w:color w:val="auto"/>
                <w:sz w:val="22"/>
                <w:szCs w:val="22"/>
                <w:highlight w:val="none"/>
              </w:rPr>
            </w:pPr>
            <w:r>
              <w:rPr>
                <w:rFonts w:hint="eastAsia" w:ascii="宋体" w:hAnsi="宋体" w:cs="新宋体"/>
                <w:color w:val="auto"/>
                <w:sz w:val="22"/>
                <w:szCs w:val="22"/>
                <w:highlight w:val="none"/>
              </w:rPr>
              <w:t>（4）信用信息的使用规则：</w:t>
            </w:r>
          </w:p>
          <w:p>
            <w:pPr>
              <w:jc w:val="left"/>
              <w:rPr>
                <w:rFonts w:ascii="宋体" w:hAnsi="宋体" w:cs="新宋体"/>
                <w:color w:val="auto"/>
                <w:sz w:val="22"/>
                <w:szCs w:val="22"/>
                <w:highlight w:val="none"/>
              </w:rPr>
            </w:pPr>
            <w:r>
              <w:rPr>
                <w:rFonts w:hint="eastAsia" w:ascii="宋体" w:hAnsi="宋体" w:cs="新宋体"/>
                <w:color w:val="auto"/>
                <w:sz w:val="22"/>
                <w:szCs w:val="22"/>
                <w:highlight w:val="none"/>
              </w:rPr>
              <w:t>①在“信用中国”具有负面记录：列入失信被执行人、重大税收违法案件当事人名单、政府采购严重违法失信行为名单；</w:t>
            </w:r>
          </w:p>
          <w:p>
            <w:pPr>
              <w:jc w:val="left"/>
              <w:rPr>
                <w:rFonts w:ascii="宋体" w:hAnsi="宋体" w:cs="新宋体"/>
                <w:color w:val="auto"/>
                <w:sz w:val="22"/>
                <w:szCs w:val="22"/>
                <w:highlight w:val="none"/>
              </w:rPr>
            </w:pPr>
            <w:r>
              <w:rPr>
                <w:rFonts w:hint="eastAsia" w:ascii="宋体" w:hAnsi="宋体" w:cs="新宋体"/>
                <w:color w:val="auto"/>
                <w:sz w:val="22"/>
                <w:szCs w:val="22"/>
                <w:highlight w:val="none"/>
              </w:rPr>
              <w:t>②被“中国政府采购网”(www.ccgp.gov.cn)列入政府采购严重违法失信行为记录名单。</w:t>
            </w:r>
          </w:p>
          <w:p>
            <w:pPr>
              <w:rPr>
                <w:rFonts w:ascii="宋体" w:hAnsi="宋体" w:cs="新宋体"/>
                <w:color w:val="auto"/>
                <w:sz w:val="22"/>
                <w:szCs w:val="22"/>
                <w:highlight w:val="none"/>
              </w:rPr>
            </w:pPr>
            <w:r>
              <w:rPr>
                <w:rFonts w:hint="eastAsia" w:ascii="宋体" w:hAnsi="宋体" w:cs="新宋体"/>
                <w:b/>
                <w:bCs/>
                <w:color w:val="auto"/>
                <w:sz w:val="22"/>
                <w:szCs w:val="22"/>
                <w:highlight w:val="none"/>
                <w:u w:val="single"/>
              </w:rPr>
              <w:t>（6）▲</w:t>
            </w:r>
            <w:r>
              <w:rPr>
                <w:rFonts w:hint="eastAsia" w:ascii="宋体" w:hAnsi="宋体" w:cs="新宋体"/>
                <w:b/>
                <w:color w:val="auto"/>
                <w:sz w:val="22"/>
                <w:szCs w:val="22"/>
                <w:highlight w:val="none"/>
                <w:u w:val="single"/>
              </w:rPr>
              <w:t>关于</w:t>
            </w:r>
            <w:r>
              <w:rPr>
                <w:rFonts w:hint="eastAsia" w:ascii="宋体" w:hAnsi="宋体" w:cs="新宋体"/>
                <w:b/>
                <w:bCs/>
                <w:color w:val="auto"/>
                <w:sz w:val="22"/>
                <w:szCs w:val="22"/>
                <w:highlight w:val="none"/>
                <w:u w:val="single"/>
              </w:rPr>
              <w:t>“信用中国”(www.creditchina.gov.cn) 信用记录网页截图相关说明</w:t>
            </w:r>
            <w:r>
              <w:rPr>
                <w:rFonts w:hint="eastAsia" w:ascii="宋体" w:hAnsi="宋体" w:cs="新宋体"/>
                <w:bCs/>
                <w:color w:val="auto"/>
                <w:sz w:val="22"/>
                <w:szCs w:val="22"/>
                <w:highlight w:val="none"/>
              </w:rPr>
              <w:t>：</w:t>
            </w:r>
          </w:p>
          <w:p>
            <w:pPr>
              <w:rPr>
                <w:rFonts w:ascii="宋体" w:hAnsi="宋体" w:cs="新宋体"/>
                <w:bCs/>
                <w:color w:val="auto"/>
                <w:sz w:val="22"/>
                <w:szCs w:val="22"/>
                <w:highlight w:val="none"/>
              </w:rPr>
            </w:pPr>
            <w:r>
              <w:rPr>
                <w:rFonts w:hint="eastAsia" w:ascii="宋体" w:hAnsi="宋体" w:cs="新宋体"/>
                <w:bCs/>
                <w:color w:val="auto"/>
                <w:sz w:val="22"/>
                <w:szCs w:val="22"/>
                <w:highlight w:val="none"/>
              </w:rPr>
              <w:t>①若供应商查询页面“行政处罚”栏显示有行政处罚事项，须将所有行政处罚事项在“信用中国”网页上列出的明细一并打印，并附说明，是否属于“</w:t>
            </w:r>
            <w:r>
              <w:rPr>
                <w:rFonts w:hint="eastAsia" w:ascii="宋体" w:hAnsi="宋体" w:cs="新宋体"/>
                <w:color w:val="auto"/>
                <w:sz w:val="22"/>
                <w:szCs w:val="22"/>
                <w:highlight w:val="none"/>
              </w:rPr>
              <w:t>经营活动中的重大违法记录</w:t>
            </w:r>
            <w:r>
              <w:rPr>
                <w:rFonts w:hint="eastAsia" w:ascii="宋体" w:hAnsi="宋体" w:cs="新宋体"/>
                <w:bCs/>
                <w:color w:val="auto"/>
                <w:sz w:val="22"/>
                <w:szCs w:val="22"/>
                <w:highlight w:val="none"/>
              </w:rPr>
              <w:t>”。</w:t>
            </w:r>
          </w:p>
          <w:p>
            <w:pPr>
              <w:rPr>
                <w:rFonts w:ascii="宋体" w:hAnsi="宋体" w:cs="新宋体"/>
                <w:color w:val="auto"/>
                <w:kern w:val="0"/>
                <w:sz w:val="22"/>
                <w:szCs w:val="22"/>
                <w:highlight w:val="none"/>
              </w:rPr>
            </w:pPr>
            <w:r>
              <w:rPr>
                <w:rFonts w:hint="eastAsia" w:ascii="宋体" w:hAnsi="宋体" w:cs="新宋体"/>
                <w:bCs/>
                <w:color w:val="auto"/>
                <w:sz w:val="22"/>
                <w:szCs w:val="22"/>
                <w:highlight w:val="none"/>
              </w:rPr>
              <w:t>②若供应商在“信用中国”无数据，亦须将搜索结果页面打印，并附说明。</w:t>
            </w:r>
          </w:p>
        </w:tc>
      </w:tr>
      <w:tr>
        <w:tblPrEx>
          <w:tblCellMar>
            <w:top w:w="0" w:type="dxa"/>
            <w:left w:w="108" w:type="dxa"/>
            <w:bottom w:w="0" w:type="dxa"/>
            <w:right w:w="108" w:type="dxa"/>
          </w:tblCellMar>
        </w:tblPrEx>
        <w:trPr>
          <w:trHeight w:val="1195"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 w:val="22"/>
                <w:szCs w:val="22"/>
                <w:highlight w:val="none"/>
              </w:rPr>
            </w:pPr>
            <w:r>
              <w:rPr>
                <w:rFonts w:hint="eastAsia" w:ascii="宋体" w:hAnsi="宋体" w:cs="新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2"/>
                <w:szCs w:val="22"/>
                <w:highlight w:val="none"/>
              </w:rPr>
            </w:pPr>
            <w:r>
              <w:rPr>
                <w:rFonts w:hint="eastAsia" w:ascii="宋体" w:hAnsi="宋体" w:cs="新宋体"/>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新宋体"/>
                <w:color w:val="auto"/>
                <w:sz w:val="22"/>
                <w:szCs w:val="22"/>
                <w:highlight w:val="none"/>
              </w:rPr>
            </w:pPr>
            <w:r>
              <w:rPr>
                <w:rFonts w:hint="eastAsia" w:ascii="宋体" w:hAnsi="宋体" w:cs="新宋体"/>
                <w:color w:val="auto"/>
                <w:sz w:val="22"/>
                <w:szCs w:val="22"/>
                <w:highlight w:val="none"/>
              </w:rPr>
              <w:t>（1）成交供应商须在成交通知书发出之日起30日历天内与采购人签订合同。</w:t>
            </w:r>
          </w:p>
          <w:p>
            <w:pPr>
              <w:jc w:val="left"/>
              <w:rPr>
                <w:rFonts w:ascii="宋体" w:hAnsi="宋体"/>
                <w:color w:val="auto"/>
                <w:kern w:val="0"/>
                <w:sz w:val="22"/>
                <w:szCs w:val="22"/>
                <w:highlight w:val="none"/>
              </w:rPr>
            </w:pPr>
            <w:r>
              <w:rPr>
                <w:rFonts w:hint="eastAsia" w:ascii="宋体" w:hAnsi="宋体" w:cs="新宋体"/>
                <w:color w:val="auto"/>
                <w:sz w:val="22"/>
                <w:szCs w:val="22"/>
                <w:highlight w:val="none"/>
              </w:rPr>
              <w:t>（2）成交供应商与采购人签订合同后，2日历天内将合同扫描件电子版发给采购代理机构：邮箱：</w:t>
            </w:r>
            <w:r>
              <w:rPr>
                <w:rFonts w:hint="eastAsia" w:ascii="宋体" w:hAnsi="宋体" w:cs="新宋体"/>
                <w:b/>
                <w:color w:val="auto"/>
                <w:sz w:val="22"/>
                <w:szCs w:val="22"/>
                <w:highlight w:val="none"/>
                <w:u w:val="single"/>
              </w:rPr>
              <w:t>ye462978466@qq.com</w:t>
            </w:r>
            <w:r>
              <w:rPr>
                <w:rFonts w:hint="eastAsia" w:ascii="宋体" w:hAnsi="宋体" w:cs="新宋体"/>
                <w:color w:val="auto"/>
                <w:sz w:val="22"/>
                <w:szCs w:val="22"/>
                <w:highlight w:val="none"/>
              </w:rPr>
              <w:t>。</w:t>
            </w:r>
          </w:p>
        </w:tc>
      </w:tr>
      <w:tr>
        <w:tblPrEx>
          <w:tblCellMar>
            <w:top w:w="0" w:type="dxa"/>
            <w:left w:w="108" w:type="dxa"/>
            <w:bottom w:w="0" w:type="dxa"/>
            <w:right w:w="108" w:type="dxa"/>
          </w:tblCellMar>
        </w:tblPrEx>
        <w:trPr>
          <w:trHeight w:val="966"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2"/>
                <w:szCs w:val="22"/>
                <w:highlight w:val="none"/>
              </w:rPr>
            </w:pPr>
            <w:r>
              <w:rPr>
                <w:rFonts w:hint="eastAsia" w:ascii="宋体" w:hAnsi="宋体" w:cs="新宋体"/>
                <w:color w:val="auto"/>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2"/>
                <w:szCs w:val="22"/>
                <w:highlight w:val="none"/>
              </w:rPr>
            </w:pPr>
            <w:r>
              <w:rPr>
                <w:rFonts w:hint="eastAsia" w:ascii="宋体" w:hAnsi="宋体" w:cs="新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2"/>
                <w:szCs w:val="22"/>
                <w:highlight w:val="none"/>
              </w:rPr>
            </w:pPr>
            <w:r>
              <w:rPr>
                <w:rFonts w:hint="eastAsia" w:ascii="宋体" w:hAnsi="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138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2"/>
                <w:szCs w:val="22"/>
                <w:highlight w:val="none"/>
              </w:rPr>
            </w:pPr>
            <w:r>
              <w:rPr>
                <w:rFonts w:hint="eastAsia" w:ascii="宋体" w:hAnsi="宋体" w:cs="新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2"/>
                <w:szCs w:val="22"/>
                <w:highlight w:val="none"/>
              </w:rPr>
            </w:pPr>
            <w:r>
              <w:rPr>
                <w:rFonts w:hint="eastAsia" w:ascii="宋体" w:hAnsi="宋体" w:cs="新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 w:val="22"/>
                <w:szCs w:val="22"/>
                <w:highlight w:val="none"/>
              </w:rPr>
            </w:pPr>
            <w:r>
              <w:rPr>
                <w:rFonts w:hint="eastAsia" w:ascii="宋体" w:hAnsi="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138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新宋体"/>
                <w:color w:val="auto"/>
                <w:sz w:val="22"/>
                <w:szCs w:val="22"/>
                <w:highlight w:val="none"/>
              </w:rPr>
            </w:pPr>
            <w:r>
              <w:rPr>
                <w:rFonts w:hint="eastAsia" w:ascii="宋体" w:hAnsi="宋体" w:eastAsia="宋体" w:cs="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本项目招标代理服务费按《招标代理服务收费管理暂行办法》服务类项目</w:t>
            </w:r>
            <w:r>
              <w:rPr>
                <w:rFonts w:hint="eastAsia" w:ascii="宋体" w:hAnsi="宋体" w:eastAsia="宋体" w:cs="宋体"/>
                <w:color w:val="auto"/>
                <w:sz w:val="22"/>
                <w:szCs w:val="22"/>
                <w:highlight w:val="none"/>
                <w:lang w:val="en-US" w:eastAsia="zh-CN"/>
              </w:rPr>
              <w:t>标准的20%</w:t>
            </w:r>
            <w:r>
              <w:rPr>
                <w:rFonts w:hint="eastAsia" w:ascii="宋体" w:hAnsi="宋体" w:eastAsia="宋体" w:cs="宋体"/>
                <w:color w:val="auto"/>
                <w:sz w:val="22"/>
                <w:szCs w:val="22"/>
                <w:highlight w:val="none"/>
              </w:rPr>
              <w:t>计取</w:t>
            </w:r>
            <w:r>
              <w:rPr>
                <w:rStyle w:val="418"/>
                <w:rFonts w:hint="eastAsia" w:ascii="宋体" w:hAnsi="宋体" w:eastAsia="宋体" w:cs="宋体"/>
                <w:color w:val="auto"/>
                <w:sz w:val="22"/>
                <w:szCs w:val="22"/>
                <w:highlight w:val="none"/>
              </w:rPr>
              <w:t>，由中标人在领取中标通知书时向采购代理机构进行支付，该服务费须计入</w:t>
            </w:r>
            <w:r>
              <w:rPr>
                <w:rStyle w:val="418"/>
                <w:rFonts w:hint="eastAsia" w:ascii="宋体" w:hAnsi="宋体" w:cs="宋体"/>
                <w:color w:val="auto"/>
                <w:sz w:val="22"/>
                <w:szCs w:val="22"/>
                <w:highlight w:val="none"/>
                <w:lang w:eastAsia="zh-CN"/>
              </w:rPr>
              <w:t>磋商报价</w:t>
            </w:r>
            <w:r>
              <w:rPr>
                <w:rFonts w:hint="eastAsia" w:ascii="宋体" w:hAnsi="宋体" w:eastAsia="宋体" w:cs="宋体"/>
                <w:color w:val="auto"/>
                <w:sz w:val="22"/>
                <w:szCs w:val="22"/>
                <w:highlight w:val="none"/>
              </w:rPr>
              <w:t>。</w:t>
            </w:r>
          </w:p>
          <w:p>
            <w:pPr>
              <w:numPr>
                <w:ilvl w:val="0"/>
                <w:numId w:val="6"/>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采购代理服务费可以是现金、支票或汇票。</w:t>
            </w:r>
            <w:r>
              <w:rPr>
                <w:rFonts w:hint="eastAsia" w:ascii="宋体" w:hAnsi="宋体" w:eastAsia="宋体" w:cs="宋体"/>
                <w:color w:val="auto"/>
                <w:kern w:val="0"/>
                <w:sz w:val="22"/>
                <w:szCs w:val="22"/>
                <w:highlight w:val="none"/>
              </w:rPr>
              <w:t>代理机构仅提供增值税普通发票</w:t>
            </w:r>
            <w:r>
              <w:rPr>
                <w:rFonts w:hint="eastAsia" w:ascii="宋体" w:hAnsi="宋体" w:eastAsia="宋体" w:cs="宋体"/>
                <w:color w:val="auto"/>
                <w:sz w:val="22"/>
                <w:szCs w:val="22"/>
                <w:highlight w:val="none"/>
              </w:rPr>
              <w:t>。</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（3）收款账户户名：温州市智信招标代理有限公司</w:t>
            </w:r>
          </w:p>
          <w:p>
            <w:pPr>
              <w:spacing w:line="24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收款账号：333504140018800009390</w:t>
            </w:r>
          </w:p>
          <w:p>
            <w:pPr>
              <w:spacing w:line="240" w:lineRule="auto"/>
              <w:ind w:firstLine="550" w:firstLineChars="250"/>
              <w:rPr>
                <w:rFonts w:ascii="宋体" w:hAnsi="宋体"/>
                <w:color w:val="auto"/>
                <w:sz w:val="22"/>
                <w:szCs w:val="22"/>
                <w:highlight w:val="none"/>
              </w:rPr>
            </w:pPr>
            <w:r>
              <w:rPr>
                <w:rFonts w:hint="eastAsia" w:ascii="宋体" w:hAnsi="宋体" w:eastAsia="宋体" w:cs="宋体"/>
                <w:color w:val="auto"/>
                <w:sz w:val="22"/>
                <w:szCs w:val="22"/>
                <w:highlight w:val="none"/>
              </w:rPr>
              <w:t>开户行：交通银行温州分行瓯海支行</w:t>
            </w:r>
          </w:p>
        </w:tc>
      </w:tr>
      <w:tr>
        <w:tblPrEx>
          <w:tblCellMar>
            <w:top w:w="0" w:type="dxa"/>
            <w:left w:w="108" w:type="dxa"/>
            <w:bottom w:w="0" w:type="dxa"/>
            <w:right w:w="108" w:type="dxa"/>
          </w:tblCellMar>
        </w:tblPrEx>
        <w:trPr>
          <w:trHeight w:val="663"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color w:val="auto"/>
                <w:sz w:val="22"/>
                <w:szCs w:val="22"/>
                <w:highlight w:val="none"/>
              </w:rPr>
            </w:pPr>
            <w:r>
              <w:rPr>
                <w:rFonts w:hint="eastAsia"/>
                <w:color w:val="auto"/>
                <w:sz w:val="22"/>
                <w:szCs w:val="22"/>
                <w:highlight w:val="none"/>
              </w:rPr>
              <w:t>本项目所属于行业</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szCs w:val="22"/>
                <w:highlight w:val="none"/>
              </w:rPr>
            </w:pPr>
            <w:r>
              <w:rPr>
                <w:rFonts w:hint="eastAsia" w:ascii="宋体" w:hAnsi="宋体" w:eastAsia="宋体" w:cs="宋体"/>
                <w:color w:val="auto"/>
                <w:sz w:val="22"/>
                <w:szCs w:val="22"/>
                <w:highlight w:val="none"/>
              </w:rPr>
              <w:t>服务类  所属行业：</w:t>
            </w:r>
            <w:r>
              <w:rPr>
                <w:rFonts w:hint="eastAsia" w:ascii="宋体" w:hAnsi="宋体" w:eastAsia="宋体" w:cs="宋体"/>
                <w:color w:val="auto"/>
                <w:sz w:val="22"/>
                <w:szCs w:val="22"/>
                <w:highlight w:val="none"/>
                <w:lang w:val="en-US" w:eastAsia="zh-CN"/>
              </w:rPr>
              <w:t>其他未列明行业</w:t>
            </w:r>
          </w:p>
        </w:tc>
      </w:tr>
      <w:tr>
        <w:tblPrEx>
          <w:tblCellMar>
            <w:top w:w="0" w:type="dxa"/>
            <w:left w:w="108" w:type="dxa"/>
            <w:bottom w:w="0" w:type="dxa"/>
            <w:right w:w="108" w:type="dxa"/>
          </w:tblCellMar>
        </w:tblPrEx>
        <w:trPr>
          <w:trHeight w:val="663"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新宋体"/>
                <w:color w:val="auto"/>
                <w:kern w:val="0"/>
                <w:sz w:val="22"/>
                <w:szCs w:val="22"/>
                <w:highlight w:val="none"/>
                <w:lang w:val="en-US" w:eastAsia="zh-CN"/>
              </w:rPr>
            </w:pPr>
            <w:r>
              <w:rPr>
                <w:rFonts w:hint="eastAsia" w:ascii="宋体" w:hAnsi="宋体" w:cs="新宋体"/>
                <w:color w:val="auto"/>
                <w:kern w:val="0"/>
                <w:sz w:val="22"/>
                <w:szCs w:val="22"/>
                <w:highlight w:val="none"/>
                <w:lang w:val="en-US" w:eastAsia="zh-CN"/>
              </w:rPr>
              <w:t>32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olor w:val="auto"/>
                <w:sz w:val="22"/>
                <w:szCs w:val="22"/>
                <w:highlight w:val="none"/>
              </w:rPr>
            </w:pPr>
            <w:r>
              <w:rPr>
                <w:rFonts w:hint="eastAsia" w:ascii="宋体" w:hAnsi="宋体" w:eastAsia="宋体" w:cs="宋体"/>
                <w:color w:val="auto"/>
                <w:kern w:val="0"/>
                <w:sz w:val="22"/>
                <w:szCs w:val="22"/>
                <w:highlight w:val="none"/>
              </w:rPr>
              <w:t>联合体投标相关说明</w:t>
            </w:r>
          </w:p>
        </w:tc>
        <w:tc>
          <w:tcPr>
            <w:tcW w:w="741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（1）供应商如为联合体，必须提供双方签章的联合体协议书，明确联合体牵头人和各方权利义务，并承诺就成交项目向采购人承担连带责任。</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（2）供应商如为联合体，联合体成员各方资格审查资料、企业证书、人员证书、业绩证明材料等复印件应由联合体成员各自盖章。</w:t>
            </w:r>
          </w:p>
          <w:p>
            <w:pPr>
              <w:pStyle w:val="21"/>
              <w:spacing w:after="0" w:line="24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（3）由同一专业的单位组成的联合体，按照资质等级较低的单位确定资质等级。</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（4）其他文件可由联合体牵头方盖章。</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（5）供应商若为联合体，电子投标工作由联合体牵头方的账号制作电子</w:t>
            </w:r>
            <w:r>
              <w:rPr>
                <w:rFonts w:hint="eastAsia" w:ascii="宋体" w:hAnsi="宋体" w:cs="宋体"/>
                <w:color w:val="auto"/>
                <w:sz w:val="22"/>
                <w:szCs w:val="22"/>
                <w:highlight w:val="none"/>
                <w:lang w:eastAsia="zh-CN"/>
              </w:rPr>
              <w:t>磋商响应文件</w:t>
            </w:r>
            <w:r>
              <w:rPr>
                <w:rFonts w:hint="eastAsia" w:ascii="宋体" w:hAnsi="宋体" w:eastAsia="宋体" w:cs="宋体"/>
                <w:color w:val="auto"/>
                <w:sz w:val="22"/>
                <w:szCs w:val="22"/>
                <w:highlight w:val="none"/>
              </w:rPr>
              <w:t>并提交。</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（6）联合体各方不得再以自己名义单独或参加其他联合体在本项目中投标，否则各相关投标均无效。</w:t>
            </w:r>
          </w:p>
          <w:p>
            <w:pPr>
              <w:spacing w:line="240" w:lineRule="auto"/>
              <w:rPr>
                <w:rFonts w:hint="eastAsia" w:ascii="宋体" w:hAnsi="宋体"/>
                <w:color w:val="auto"/>
                <w:sz w:val="22"/>
                <w:szCs w:val="22"/>
                <w:highlight w:val="none"/>
              </w:rPr>
            </w:pPr>
            <w:r>
              <w:rPr>
                <w:rFonts w:hint="eastAsia" w:ascii="宋体" w:hAnsi="宋体" w:eastAsia="宋体" w:cs="宋体"/>
                <w:color w:val="auto"/>
                <w:sz w:val="22"/>
                <w:szCs w:val="22"/>
                <w:highlight w:val="none"/>
              </w:rPr>
              <w:t>（7）中标后，联合体各方根据联合体协议约定承担的项目采购内容与项目采购人签订政府采购合同。</w:t>
            </w:r>
          </w:p>
        </w:tc>
      </w:tr>
    </w:tbl>
    <w:p>
      <w:pPr>
        <w:pStyle w:val="2"/>
        <w:rPr>
          <w:rFonts w:ascii="新宋体" w:hAnsi="新宋体" w:eastAsia="新宋体"/>
          <w:color w:val="auto"/>
          <w:sz w:val="36"/>
          <w:szCs w:val="36"/>
          <w:highlight w:val="none"/>
        </w:rPr>
      </w:pPr>
      <w:r>
        <w:rPr>
          <w:rFonts w:hint="eastAsia" w:ascii="新宋体" w:hAnsi="新宋体" w:eastAsia="新宋体"/>
          <w:color w:val="auto"/>
          <w:sz w:val="36"/>
          <w:szCs w:val="36"/>
          <w:highlight w:val="none"/>
        </w:rPr>
        <w:br w:type="page"/>
      </w:r>
      <w:bookmarkStart w:id="5" w:name="_Toc17062"/>
      <w:r>
        <w:rPr>
          <w:rFonts w:hint="eastAsia" w:ascii="新宋体" w:hAnsi="新宋体" w:eastAsia="新宋体"/>
          <w:color w:val="auto"/>
          <w:sz w:val="36"/>
          <w:szCs w:val="36"/>
          <w:highlight w:val="none"/>
        </w:rPr>
        <w:t>第一部分    供应商须知</w:t>
      </w:r>
      <w:bookmarkEnd w:id="5"/>
    </w:p>
    <w:p>
      <w:pPr>
        <w:spacing w:before="100" w:beforeAutospacing="1" w:after="100" w:afterAutospacing="1" w:line="440" w:lineRule="exact"/>
        <w:jc w:val="center"/>
        <w:outlineLvl w:val="1"/>
        <w:rPr>
          <w:rFonts w:ascii="新宋体" w:hAnsi="新宋体" w:eastAsia="新宋体"/>
          <w:b/>
          <w:bCs/>
          <w:color w:val="auto"/>
          <w:sz w:val="22"/>
          <w:szCs w:val="22"/>
          <w:highlight w:val="none"/>
        </w:rPr>
      </w:pPr>
      <w:bookmarkStart w:id="6" w:name="_Toc24607"/>
      <w:bookmarkStart w:id="7" w:name="_Toc22689"/>
      <w:bookmarkStart w:id="8" w:name="_Toc393699549"/>
      <w:r>
        <w:rPr>
          <w:rFonts w:hint="eastAsia" w:ascii="新宋体" w:hAnsi="新宋体" w:eastAsia="新宋体"/>
          <w:b/>
          <w:bCs/>
          <w:color w:val="auto"/>
          <w:sz w:val="22"/>
          <w:szCs w:val="22"/>
          <w:highlight w:val="none"/>
        </w:rPr>
        <w:t>一   说 明</w:t>
      </w:r>
      <w:bookmarkEnd w:id="6"/>
      <w:bookmarkEnd w:id="7"/>
    </w:p>
    <w:p>
      <w:pPr>
        <w:numPr>
          <w:ilvl w:val="0"/>
          <w:numId w:val="7"/>
        </w:numPr>
        <w:tabs>
          <w:tab w:val="left" w:pos="360"/>
        </w:tabs>
        <w:spacing w:line="36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本次采购是按照</w:t>
      </w:r>
      <w:r>
        <w:rPr>
          <w:rFonts w:hint="eastAsia" w:ascii="新宋体" w:hAnsi="新宋体" w:eastAsia="新宋体"/>
          <w:color w:val="auto"/>
          <w:kern w:val="0"/>
          <w:sz w:val="22"/>
          <w:szCs w:val="22"/>
          <w:highlight w:val="none"/>
        </w:rPr>
        <w:t>《中华人民共和国政府采购法》、</w:t>
      </w:r>
      <w:r>
        <w:rPr>
          <w:rFonts w:hint="eastAsia" w:ascii="新宋体" w:hAnsi="新宋体" w:eastAsia="新宋体"/>
          <w:color w:val="auto"/>
          <w:sz w:val="22"/>
          <w:szCs w:val="22"/>
          <w:highlight w:val="none"/>
        </w:rPr>
        <w:t>《政府采购竞争性磋商采购方式管理暂行办法》、《财政部关于政府采购竞争性磋商采购方式管理暂行办法有关问题的补充通知》等法律法规及有关规范性文件组织和实施的。欢迎国内合格的供应商前来磋商，现将有关事项公告如下：</w:t>
      </w:r>
    </w:p>
    <w:p>
      <w:pPr>
        <w:numPr>
          <w:ilvl w:val="0"/>
          <w:numId w:val="7"/>
        </w:numPr>
        <w:tabs>
          <w:tab w:val="left" w:pos="360"/>
        </w:tabs>
        <w:spacing w:line="360" w:lineRule="auto"/>
        <w:rPr>
          <w:rFonts w:ascii="新宋体" w:hAnsi="新宋体" w:eastAsia="新宋体"/>
          <w:bCs/>
          <w:color w:val="auto"/>
          <w:sz w:val="22"/>
          <w:szCs w:val="22"/>
          <w:highlight w:val="none"/>
        </w:rPr>
      </w:pPr>
      <w:r>
        <w:rPr>
          <w:rFonts w:hint="eastAsia" w:ascii="新宋体" w:hAnsi="新宋体" w:eastAsia="新宋体"/>
          <w:b/>
          <w:bCs/>
          <w:color w:val="auto"/>
          <w:sz w:val="22"/>
          <w:szCs w:val="22"/>
          <w:highlight w:val="none"/>
        </w:rPr>
        <w:t>合格供应商要求以本项目公告及供应商须知前附表表述为准。</w:t>
      </w:r>
    </w:p>
    <w:p>
      <w:pPr>
        <w:numPr>
          <w:ilvl w:val="0"/>
          <w:numId w:val="7"/>
        </w:numPr>
        <w:spacing w:line="36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供应商代表</w:t>
      </w:r>
    </w:p>
    <w:p>
      <w:pPr>
        <w:spacing w:line="360" w:lineRule="auto"/>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指全权代表供应商参加投标活动并签署磋商响应文件的人。如果供应商代表不是法定代表人，须持有《法定代表人授权书》见附件五。</w:t>
      </w:r>
    </w:p>
    <w:p>
      <w:pPr>
        <w:numPr>
          <w:ilvl w:val="0"/>
          <w:numId w:val="7"/>
        </w:numPr>
        <w:spacing w:line="36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磋商响应费用</w:t>
      </w:r>
    </w:p>
    <w:p>
      <w:pPr>
        <w:spacing w:line="360" w:lineRule="auto"/>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供应商应承担所有与准备和参加投标有关费用，不论投标的结果如何，采购人及采购代理机构均无义务和责任承担这些费用。</w:t>
      </w:r>
    </w:p>
    <w:p>
      <w:pPr>
        <w:spacing w:before="100" w:beforeAutospacing="1" w:after="100" w:afterAutospacing="1" w:line="440" w:lineRule="exact"/>
        <w:jc w:val="center"/>
        <w:outlineLvl w:val="1"/>
        <w:rPr>
          <w:rFonts w:ascii="新宋体" w:hAnsi="新宋体" w:eastAsia="新宋体"/>
          <w:b/>
          <w:bCs/>
          <w:color w:val="auto"/>
          <w:sz w:val="22"/>
          <w:szCs w:val="22"/>
          <w:highlight w:val="none"/>
        </w:rPr>
      </w:pPr>
      <w:bookmarkStart w:id="9" w:name="_Toc25973"/>
      <w:bookmarkStart w:id="10" w:name="_Toc13286"/>
      <w:r>
        <w:rPr>
          <w:rFonts w:hint="eastAsia" w:ascii="新宋体" w:hAnsi="新宋体" w:eastAsia="新宋体"/>
          <w:b/>
          <w:bCs/>
          <w:color w:val="auto"/>
          <w:sz w:val="22"/>
          <w:szCs w:val="22"/>
          <w:highlight w:val="none"/>
        </w:rPr>
        <w:t>二   竞争性磋商文件</w:t>
      </w:r>
      <w:bookmarkEnd w:id="9"/>
      <w:bookmarkEnd w:id="10"/>
    </w:p>
    <w:p>
      <w:pPr>
        <w:numPr>
          <w:ilvl w:val="0"/>
          <w:numId w:val="7"/>
        </w:numPr>
        <w:spacing w:line="36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竞争性磋商文件由竞争性磋商文件目录所列内容及相关资料组成。</w:t>
      </w:r>
    </w:p>
    <w:p>
      <w:pPr>
        <w:numPr>
          <w:ilvl w:val="0"/>
          <w:numId w:val="7"/>
        </w:numPr>
        <w:spacing w:line="36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竞争性磋商文件的澄清</w:t>
      </w:r>
    </w:p>
    <w:p>
      <w:pPr>
        <w:spacing w:line="360" w:lineRule="auto"/>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对竞争性磋商文件如有疑点要求澄清或质疑，或认为有必要与用户进行技术交流，须在磋商通知(邀请)函规定的质疑时间前用书面形式（包括信函、传真，下同）通知采购机构，采购机构将用书面形式予以答复。</w:t>
      </w:r>
    </w:p>
    <w:p>
      <w:pPr>
        <w:numPr>
          <w:ilvl w:val="0"/>
          <w:numId w:val="7"/>
        </w:numPr>
        <w:spacing w:line="360" w:lineRule="auto"/>
        <w:rPr>
          <w:rFonts w:ascii="新宋体" w:hAnsi="新宋体" w:eastAsia="新宋体"/>
          <w:bCs/>
          <w:color w:val="auto"/>
          <w:sz w:val="22"/>
          <w:szCs w:val="22"/>
          <w:highlight w:val="none"/>
        </w:rPr>
      </w:pPr>
      <w:r>
        <w:rPr>
          <w:rFonts w:hint="eastAsia" w:ascii="新宋体" w:hAnsi="新宋体" w:eastAsia="新宋体"/>
          <w:color w:val="auto"/>
          <w:sz w:val="22"/>
          <w:szCs w:val="22"/>
          <w:highlight w:val="none"/>
        </w:rPr>
        <w:t>竞争性磋商文件</w:t>
      </w:r>
      <w:r>
        <w:rPr>
          <w:rFonts w:hint="eastAsia" w:ascii="新宋体" w:hAnsi="新宋体" w:eastAsia="新宋体"/>
          <w:bCs/>
          <w:color w:val="auto"/>
          <w:sz w:val="22"/>
          <w:szCs w:val="22"/>
          <w:highlight w:val="none"/>
        </w:rPr>
        <w:t>的修改</w:t>
      </w:r>
    </w:p>
    <w:p>
      <w:pPr>
        <w:spacing w:line="36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7.1 在</w:t>
      </w:r>
      <w:r>
        <w:rPr>
          <w:rFonts w:hint="eastAsia" w:ascii="新宋体" w:hAnsi="新宋体" w:eastAsia="新宋体"/>
          <w:color w:val="auto"/>
          <w:sz w:val="22"/>
          <w:szCs w:val="22"/>
          <w:highlight w:val="none"/>
          <w:lang w:eastAsia="zh-CN"/>
        </w:rPr>
        <w:t>磋商响应截止期</w:t>
      </w:r>
      <w:r>
        <w:rPr>
          <w:rFonts w:hint="eastAsia" w:ascii="新宋体" w:hAnsi="新宋体" w:eastAsia="新宋体"/>
          <w:color w:val="auto"/>
          <w:sz w:val="22"/>
          <w:szCs w:val="22"/>
          <w:highlight w:val="none"/>
        </w:rPr>
        <w:t>5天前，采购人无论是出于何种原因，均可对竞争性磋商文件用补充文件的方式进行澄清和修改，并发布澄清和修改公告。该澄清和修改的内容为竞争性磋商文件的组成部分。采购人可以视采购具体情况在竞争性磋商文件要求提交截止时间3天前，做出延长递交磋商响应文件截止时间和开标时间的决定，并发布变更公告。</w:t>
      </w:r>
    </w:p>
    <w:p>
      <w:pPr>
        <w:spacing w:line="36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7.2竞争性磋商文件如有补充更正均见“政采云”（http://www.zcygov.cn）。供应商须在开标前一日自行查看是否有补充更正文件，并按补充更正文件要求磋商响应，否则责任自负。</w:t>
      </w:r>
    </w:p>
    <w:p>
      <w:pPr>
        <w:spacing w:before="100" w:beforeAutospacing="1" w:after="100" w:afterAutospacing="1" w:line="440" w:lineRule="exact"/>
        <w:jc w:val="center"/>
        <w:outlineLvl w:val="1"/>
        <w:rPr>
          <w:rFonts w:ascii="新宋体" w:hAnsi="新宋体" w:eastAsia="新宋体"/>
          <w:b/>
          <w:bCs/>
          <w:color w:val="auto"/>
          <w:sz w:val="22"/>
          <w:szCs w:val="22"/>
          <w:highlight w:val="none"/>
        </w:rPr>
      </w:pPr>
      <w:bookmarkStart w:id="11" w:name="_Toc4093"/>
      <w:bookmarkStart w:id="12" w:name="_Toc10347"/>
      <w:r>
        <w:rPr>
          <w:rFonts w:hint="eastAsia" w:ascii="新宋体" w:hAnsi="新宋体" w:eastAsia="新宋体"/>
          <w:b/>
          <w:bCs/>
          <w:color w:val="auto"/>
          <w:sz w:val="22"/>
          <w:szCs w:val="22"/>
          <w:highlight w:val="none"/>
        </w:rPr>
        <w:t>三   磋商响应文件的编制</w:t>
      </w:r>
      <w:bookmarkEnd w:id="11"/>
      <w:bookmarkEnd w:id="12"/>
    </w:p>
    <w:p>
      <w:pPr>
        <w:numPr>
          <w:ilvl w:val="0"/>
          <w:numId w:val="7"/>
        </w:numPr>
        <w:spacing w:line="440" w:lineRule="exact"/>
        <w:contextualSpacing/>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磋商响应文件的形式和效力</w:t>
      </w:r>
    </w:p>
    <w:p>
      <w:pPr>
        <w:tabs>
          <w:tab w:val="left" w:pos="360"/>
        </w:tabs>
        <w:spacing w:line="440" w:lineRule="exact"/>
        <w:contextualSpacing/>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8.1磋商响应文件分为电子磋商响应文件以及备份磋商响应文件，备份文件分为以介质存储的数据电文形式的备份磋商响应文件。</w:t>
      </w:r>
    </w:p>
    <w:p>
      <w:pPr>
        <w:tabs>
          <w:tab w:val="left" w:pos="360"/>
        </w:tabs>
        <w:spacing w:line="440" w:lineRule="exact"/>
        <w:contextualSpacing/>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8.2电子磋商响应文件，按“政采云供应商项目采购-电子招投标操作指南”及本采购文件要求制作、加密并递交。</w:t>
      </w:r>
    </w:p>
    <w:p>
      <w:pPr>
        <w:tabs>
          <w:tab w:val="left" w:pos="360"/>
        </w:tabs>
        <w:spacing w:line="440" w:lineRule="exact"/>
        <w:contextualSpacing/>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8.3以介质存储的数据电文形式的备份磋商响应文件，即电子磋商响应文件按“政采云供应商项目采购-电子招投标操作指南”制作的备份文件。</w:t>
      </w:r>
    </w:p>
    <w:p>
      <w:pPr>
        <w:tabs>
          <w:tab w:val="left" w:pos="360"/>
        </w:tabs>
        <w:spacing w:line="440" w:lineRule="exact"/>
        <w:contextualSpacing/>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8.4磋商响应文件的效力</w:t>
      </w:r>
    </w:p>
    <w:p>
      <w:pPr>
        <w:tabs>
          <w:tab w:val="left" w:pos="360"/>
        </w:tabs>
        <w:spacing w:line="440" w:lineRule="exact"/>
        <w:ind w:firstLine="440" w:firstLineChars="200"/>
        <w:contextualSpacing/>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磋商响应文件的启用，按先后顺位分别为电子磋商响应文件、以介质存储的数据电文形式的备份磋商响应文件。在下一顺位的磋商响应文件启用时，前一顺位的磋商响应文件自动失效。</w:t>
      </w:r>
    </w:p>
    <w:p>
      <w:pPr>
        <w:numPr>
          <w:ilvl w:val="0"/>
          <w:numId w:val="7"/>
        </w:numPr>
        <w:spacing w:line="440" w:lineRule="exact"/>
        <w:contextualSpacing/>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供应商应认真阅读竞争性磋商文件中所有事项格式、条款和技术规范等。</w:t>
      </w:r>
      <w:r>
        <w:rPr>
          <w:rFonts w:hint="eastAsia" w:ascii="新宋体" w:hAnsi="新宋体" w:eastAsia="新宋体"/>
          <w:bCs/>
          <w:color w:val="auto"/>
          <w:sz w:val="22"/>
          <w:szCs w:val="22"/>
          <w:highlight w:val="none"/>
          <w:u w:val="single"/>
        </w:rPr>
        <w:t>▲</w:t>
      </w:r>
      <w:r>
        <w:rPr>
          <w:rFonts w:hint="eastAsia" w:ascii="新宋体" w:hAnsi="新宋体" w:eastAsia="新宋体"/>
          <w:color w:val="auto"/>
          <w:sz w:val="22"/>
          <w:szCs w:val="22"/>
          <w:highlight w:val="none"/>
          <w:u w:val="single"/>
        </w:rPr>
        <w:t>供应商没有按照竞争性磋商文件要求提交全部资料，或者没有对竞争性磋商文件各个方面做出实质性响应，导致投标被拒绝的风险由供应商自行承担。</w:t>
      </w:r>
    </w:p>
    <w:p>
      <w:pPr>
        <w:numPr>
          <w:ilvl w:val="0"/>
          <w:numId w:val="7"/>
        </w:numPr>
        <w:tabs>
          <w:tab w:val="left" w:pos="540"/>
        </w:tabs>
        <w:spacing w:line="440" w:lineRule="exact"/>
        <w:contextualSpacing/>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磋商响应文件的构成：</w:t>
      </w:r>
    </w:p>
    <w:p>
      <w:pPr>
        <w:tabs>
          <w:tab w:val="left" w:pos="360"/>
        </w:tabs>
        <w:spacing w:line="440" w:lineRule="exact"/>
        <w:contextualSpacing/>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rPr>
        <w:t>10.1 磋商响应文件包括资格审查资料、商务技术标、报价标三部分。</w:t>
      </w:r>
    </w:p>
    <w:p>
      <w:pPr>
        <w:spacing w:line="440" w:lineRule="exact"/>
        <w:contextualSpacing/>
        <w:rPr>
          <w:rFonts w:ascii="新宋体" w:hAnsi="新宋体" w:eastAsia="新宋体"/>
          <w:b/>
          <w:bCs/>
          <w:color w:val="auto"/>
          <w:sz w:val="22"/>
          <w:szCs w:val="22"/>
          <w:highlight w:val="none"/>
        </w:rPr>
      </w:pPr>
      <w:bookmarkStart w:id="13" w:name="_Toc221356886"/>
      <w:r>
        <w:rPr>
          <w:rFonts w:hint="eastAsia" w:ascii="新宋体" w:hAnsi="新宋体" w:eastAsia="新宋体"/>
          <w:b/>
          <w:bCs/>
          <w:color w:val="auto"/>
          <w:sz w:val="22"/>
          <w:szCs w:val="22"/>
          <w:highlight w:val="none"/>
        </w:rPr>
        <w:t>10.1.1 磋商响应文件资格审查资料须包括下列部分：</w:t>
      </w:r>
    </w:p>
    <w:tbl>
      <w:tblPr>
        <w:tblStyle w:val="5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noWrap/>
            <w:vAlign w:val="center"/>
          </w:tcPr>
          <w:p>
            <w:pPr>
              <w:overflowPunct w:val="0"/>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noWrap/>
            <w:vAlign w:val="center"/>
          </w:tcPr>
          <w:p>
            <w:pPr>
              <w:overflowPunct w:val="0"/>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overflowPunct w:val="0"/>
              <w:spacing w:line="430" w:lineRule="exact"/>
              <w:jc w:val="center"/>
              <w:rPr>
                <w:rFonts w:ascii="宋体" w:hAnsi="宋体" w:cs="宋体"/>
                <w:bCs/>
                <w:color w:val="auto"/>
                <w:sz w:val="22"/>
                <w:szCs w:val="22"/>
                <w:highlight w:val="none"/>
              </w:rPr>
            </w:pPr>
            <w:bookmarkStart w:id="14" w:name="_Hlk16667472"/>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rPr>
              <w:t>联合体协议书（非联合体无需提供）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kern w:val="0"/>
                <w:sz w:val="22"/>
                <w:szCs w:val="22"/>
                <w:highlight w:val="none"/>
              </w:rPr>
            </w:pPr>
            <w:r>
              <w:rPr>
                <w:rFonts w:hint="eastAsia" w:ascii="新宋体" w:hAnsi="新宋体" w:eastAsia="新宋体" w:cs="宋体"/>
                <w:color w:val="auto"/>
                <w:kern w:val="0"/>
                <w:sz w:val="22"/>
                <w:szCs w:val="22"/>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kern w:val="0"/>
                <w:sz w:val="22"/>
                <w:szCs w:val="22"/>
                <w:highlight w:val="none"/>
              </w:rPr>
            </w:pPr>
            <w:r>
              <w:rPr>
                <w:rFonts w:hint="eastAsia" w:ascii="新宋体" w:hAnsi="新宋体" w:eastAsia="新宋体" w:cs="新宋体"/>
                <w:bCs/>
                <w:color w:val="auto"/>
                <w:sz w:val="22"/>
                <w:szCs w:val="22"/>
                <w:highlight w:val="none"/>
              </w:rPr>
              <w:t>申请材料真实性声明</w:t>
            </w:r>
          </w:p>
        </w:tc>
      </w:tr>
      <w:bookmarkEnd w:id="14"/>
    </w:tbl>
    <w:p>
      <w:pPr>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b/>
          <w:bCs/>
          <w:color w:val="auto"/>
          <w:highlight w:val="none"/>
        </w:rPr>
        <w:t>如为联合体，则3-5项资格审查材料联合体双方均须提供。</w:t>
      </w:r>
    </w:p>
    <w:p>
      <w:pPr>
        <w:numPr>
          <w:ilvl w:val="0"/>
          <w:numId w:val="8"/>
        </w:numPr>
        <w:spacing w:line="430" w:lineRule="exac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采购活动，由单位负责人签署相关文件材料。</w:t>
      </w:r>
    </w:p>
    <w:p>
      <w:pPr>
        <w:numPr>
          <w:ilvl w:val="0"/>
          <w:numId w:val="8"/>
        </w:numPr>
        <w:spacing w:line="430" w:lineRule="exac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以上所需的各种证书、证件、证明、执照若系复印件，须在复印件上加盖供应商有效的公章。</w:t>
      </w:r>
    </w:p>
    <w:p>
      <w:pPr>
        <w:spacing w:line="43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10.1.2 磋商响应文件商务技术标应包括下列部分：</w:t>
      </w:r>
    </w:p>
    <w:tbl>
      <w:tblPr>
        <w:tblStyle w:val="5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序号</w:t>
            </w:r>
          </w:p>
        </w:tc>
        <w:tc>
          <w:tcPr>
            <w:tcW w:w="9109"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1</w:t>
            </w:r>
          </w:p>
        </w:tc>
        <w:tc>
          <w:tcPr>
            <w:tcW w:w="9109" w:type="dxa"/>
            <w:vAlign w:val="center"/>
          </w:tcPr>
          <w:p>
            <w:pPr>
              <w:rPr>
                <w:rFonts w:ascii="宋体" w:hAnsi="宋体" w:cs="等线"/>
                <w:color w:val="auto"/>
                <w:sz w:val="22"/>
                <w:szCs w:val="22"/>
                <w:highlight w:val="none"/>
              </w:rPr>
            </w:pPr>
            <w:r>
              <w:rPr>
                <w:rFonts w:hint="eastAsia" w:ascii="宋体" w:hAnsi="宋体" w:cs="等线"/>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2</w:t>
            </w:r>
          </w:p>
        </w:tc>
        <w:tc>
          <w:tcPr>
            <w:tcW w:w="9109" w:type="dxa"/>
            <w:vAlign w:val="center"/>
          </w:tcPr>
          <w:p>
            <w:pPr>
              <w:rPr>
                <w:rFonts w:ascii="宋体" w:hAnsi="宋体" w:cs="等线"/>
                <w:color w:val="auto"/>
                <w:sz w:val="22"/>
                <w:szCs w:val="22"/>
                <w:highlight w:val="none"/>
              </w:rPr>
            </w:pPr>
            <w:r>
              <w:rPr>
                <w:rFonts w:hint="eastAsia" w:ascii="宋体" w:hAnsi="宋体" w:cs="等线"/>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3</w:t>
            </w:r>
          </w:p>
        </w:tc>
        <w:tc>
          <w:tcPr>
            <w:tcW w:w="9109" w:type="dxa"/>
            <w:vAlign w:val="center"/>
          </w:tcPr>
          <w:p>
            <w:pPr>
              <w:tabs>
                <w:tab w:val="left" w:pos="5355"/>
              </w:tabs>
              <w:rPr>
                <w:rFonts w:ascii="宋体" w:hAnsi="宋体" w:cs="等线"/>
                <w:bCs/>
                <w:color w:val="auto"/>
                <w:sz w:val="22"/>
                <w:szCs w:val="22"/>
                <w:highlight w:val="none"/>
              </w:rPr>
            </w:pPr>
            <w:r>
              <w:rPr>
                <w:rFonts w:hint="eastAsia" w:ascii="宋体" w:hAnsi="宋体" w:cs="等线"/>
                <w:bCs/>
                <w:color w:val="auto"/>
                <w:sz w:val="22"/>
                <w:szCs w:val="22"/>
                <w:highlight w:val="none"/>
              </w:rPr>
              <w:t>供应商综合实力（如资质证书、所获荣誉等）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4</w:t>
            </w:r>
          </w:p>
        </w:tc>
        <w:tc>
          <w:tcPr>
            <w:tcW w:w="9109" w:type="dxa"/>
            <w:vAlign w:val="center"/>
          </w:tcPr>
          <w:p>
            <w:pPr>
              <w:tabs>
                <w:tab w:val="left" w:pos="5355"/>
              </w:tabs>
              <w:rPr>
                <w:rFonts w:ascii="宋体" w:hAnsi="宋体" w:cs="等线"/>
                <w:bCs/>
                <w:color w:val="auto"/>
                <w:sz w:val="22"/>
                <w:szCs w:val="22"/>
                <w:highlight w:val="none"/>
              </w:rPr>
            </w:pPr>
            <w:r>
              <w:rPr>
                <w:rFonts w:hint="eastAsia" w:ascii="宋体" w:hAnsi="宋体" w:cs="等线"/>
                <w:bCs/>
                <w:color w:val="auto"/>
                <w:sz w:val="22"/>
                <w:szCs w:val="22"/>
                <w:highlight w:val="none"/>
              </w:rPr>
              <w:t>同类项目业绩情况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5</w:t>
            </w:r>
          </w:p>
        </w:tc>
        <w:tc>
          <w:tcPr>
            <w:tcW w:w="9109" w:type="dxa"/>
            <w:vAlign w:val="center"/>
          </w:tcPr>
          <w:p>
            <w:pPr>
              <w:tabs>
                <w:tab w:val="left" w:pos="5355"/>
              </w:tabs>
              <w:rPr>
                <w:rFonts w:hint="default" w:ascii="宋体" w:hAnsi="宋体" w:eastAsia="宋体" w:cs="等线"/>
                <w:bCs/>
                <w:color w:val="auto"/>
                <w:sz w:val="22"/>
                <w:szCs w:val="22"/>
                <w:highlight w:val="none"/>
                <w:lang w:val="en-US" w:eastAsia="zh-CN"/>
              </w:rPr>
            </w:pPr>
            <w:r>
              <w:rPr>
                <w:rFonts w:hint="eastAsia" w:ascii="宋体" w:hAnsi="宋体" w:cs="等线"/>
                <w:bCs/>
                <w:color w:val="auto"/>
                <w:sz w:val="22"/>
                <w:szCs w:val="22"/>
                <w:highlight w:val="none"/>
              </w:rPr>
              <w:t>针对本项目所配置服务团队情况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6</w:t>
            </w:r>
          </w:p>
        </w:tc>
        <w:tc>
          <w:tcPr>
            <w:tcW w:w="9109" w:type="dxa"/>
            <w:vAlign w:val="center"/>
          </w:tcPr>
          <w:p>
            <w:pPr>
              <w:rPr>
                <w:rFonts w:hint="default" w:ascii="宋体" w:hAnsi="宋体" w:cs="等线"/>
                <w:bCs/>
                <w:color w:val="auto"/>
                <w:sz w:val="22"/>
                <w:szCs w:val="22"/>
                <w:highlight w:val="none"/>
                <w:lang w:val="en-US"/>
              </w:rPr>
            </w:pPr>
            <w:r>
              <w:rPr>
                <w:rFonts w:hint="eastAsia" w:ascii="宋体" w:hAnsi="宋体" w:cs="等线"/>
                <w:bCs/>
                <w:color w:val="auto"/>
                <w:sz w:val="22"/>
                <w:szCs w:val="22"/>
                <w:highlight w:val="none"/>
                <w:lang w:val="en-US" w:eastAsia="zh-CN"/>
              </w:rPr>
              <w:t>针对本项目拟投入的车辆、住宿酒店及其他设备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7</w:t>
            </w:r>
          </w:p>
        </w:tc>
        <w:tc>
          <w:tcPr>
            <w:tcW w:w="9109" w:type="dxa"/>
            <w:vAlign w:val="center"/>
          </w:tcPr>
          <w:p>
            <w:pPr>
              <w:rPr>
                <w:rFonts w:hint="default" w:ascii="宋体" w:hAnsi="宋体" w:cs="等线"/>
                <w:bCs/>
                <w:color w:val="auto"/>
                <w:sz w:val="22"/>
                <w:szCs w:val="22"/>
                <w:highlight w:val="none"/>
                <w:lang w:val="en-US"/>
              </w:rPr>
            </w:pPr>
            <w:r>
              <w:rPr>
                <w:rFonts w:hint="eastAsia" w:ascii="宋体" w:hAnsi="宋体" w:cs="等线"/>
                <w:bCs/>
                <w:color w:val="auto"/>
                <w:sz w:val="22"/>
                <w:szCs w:val="22"/>
                <w:highlight w:val="none"/>
              </w:rPr>
              <w:t>针对本项目</w:t>
            </w:r>
            <w:r>
              <w:rPr>
                <w:rFonts w:hint="eastAsia" w:ascii="宋体" w:hAnsi="宋体" w:cs="等线"/>
                <w:bCs/>
                <w:color w:val="auto"/>
                <w:sz w:val="22"/>
                <w:szCs w:val="22"/>
                <w:highlight w:val="none"/>
                <w:lang w:val="en-US" w:eastAsia="zh-CN"/>
              </w:rPr>
              <w:t>整体实施方案，包括不仅限于接待、交通、住宿、餐饮等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hint="eastAsia" w:ascii="宋体" w:hAnsi="宋体" w:eastAsia="宋体" w:cs="等线"/>
                <w:color w:val="auto"/>
                <w:sz w:val="22"/>
                <w:szCs w:val="22"/>
                <w:highlight w:val="none"/>
                <w:lang w:eastAsia="zh-CN"/>
              </w:rPr>
            </w:pPr>
            <w:r>
              <w:rPr>
                <w:rFonts w:hint="eastAsia" w:ascii="宋体" w:hAnsi="宋体" w:cs="等线"/>
                <w:color w:val="auto"/>
                <w:sz w:val="22"/>
                <w:szCs w:val="22"/>
                <w:highlight w:val="none"/>
                <w:lang w:val="en-US" w:eastAsia="zh-CN"/>
              </w:rPr>
              <w:t>8</w:t>
            </w:r>
          </w:p>
        </w:tc>
        <w:tc>
          <w:tcPr>
            <w:tcW w:w="9109" w:type="dxa"/>
            <w:vAlign w:val="center"/>
          </w:tcPr>
          <w:p>
            <w:pPr>
              <w:rPr>
                <w:rFonts w:ascii="宋体" w:hAnsi="宋体" w:cs="等线"/>
                <w:color w:val="auto"/>
                <w:sz w:val="22"/>
                <w:szCs w:val="22"/>
                <w:highlight w:val="none"/>
              </w:rPr>
            </w:pPr>
            <w:r>
              <w:rPr>
                <w:rFonts w:hint="eastAsia" w:ascii="宋体" w:hAnsi="宋体" w:cs="等线"/>
                <w:bCs/>
                <w:color w:val="auto"/>
                <w:sz w:val="22"/>
                <w:szCs w:val="22"/>
                <w:highlight w:val="none"/>
              </w:rPr>
              <w:t>针对评分细则，编制目录索引，注明评标细则项目所在磋商响应文件页码，格式自拟</w:t>
            </w:r>
          </w:p>
        </w:tc>
      </w:tr>
    </w:tbl>
    <w:p>
      <w:pPr>
        <w:spacing w:line="430" w:lineRule="exac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备注：</w:t>
      </w:r>
    </w:p>
    <w:p>
      <w:pPr>
        <w:numPr>
          <w:ilvl w:val="0"/>
          <w:numId w:val="9"/>
        </w:numPr>
        <w:spacing w:line="430" w:lineRule="exact"/>
        <w:rPr>
          <w:rFonts w:ascii="新宋体" w:hAnsi="新宋体" w:eastAsia="新宋体"/>
          <w:color w:val="auto"/>
          <w:highlight w:val="none"/>
        </w:rPr>
      </w:pPr>
      <w:r>
        <w:rPr>
          <w:rFonts w:hint="eastAsia" w:ascii="新宋体" w:hAnsi="新宋体" w:eastAsia="新宋体" w:cs="新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pPr>
        <w:numPr>
          <w:ilvl w:val="0"/>
          <w:numId w:val="9"/>
        </w:numPr>
        <w:spacing w:line="43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以上所需的各种证书、证件、证明等若系复印件，须在复印件上加盖供应商有效的公章。</w:t>
      </w:r>
    </w:p>
    <w:p>
      <w:pPr>
        <w:tabs>
          <w:tab w:val="left" w:pos="5355"/>
        </w:tabs>
        <w:spacing w:line="43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10.1.3 磋商响应文件报价标应包括下列部分：</w:t>
      </w:r>
    </w:p>
    <w:bookmarkEnd w:id="13"/>
    <w:tbl>
      <w:tblPr>
        <w:tblStyle w:val="53"/>
        <w:tblW w:w="9854" w:type="dxa"/>
        <w:tblInd w:w="0" w:type="dxa"/>
        <w:tblLayout w:type="fixed"/>
        <w:tblCellMar>
          <w:top w:w="0" w:type="dxa"/>
          <w:left w:w="108" w:type="dxa"/>
          <w:bottom w:w="0" w:type="dxa"/>
          <w:right w:w="108" w:type="dxa"/>
        </w:tblCellMar>
      </w:tblPr>
      <w:tblGrid>
        <w:gridCol w:w="733"/>
        <w:gridCol w:w="9121"/>
      </w:tblGrid>
      <w:tr>
        <w:tblPrEx>
          <w:tblCellMar>
            <w:top w:w="0" w:type="dxa"/>
            <w:left w:w="108" w:type="dxa"/>
            <w:bottom w:w="0" w:type="dxa"/>
            <w:right w:w="108" w:type="dxa"/>
          </w:tblCellMar>
        </w:tblPrEx>
        <w:trPr>
          <w:trHeight w:val="567" w:hRule="atLeast"/>
        </w:trPr>
        <w:tc>
          <w:tcPr>
            <w:tcW w:w="733"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jc w:val="center"/>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9121"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jc w:val="center"/>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r>
      <w:tr>
        <w:tblPrEx>
          <w:tblCellMar>
            <w:top w:w="0" w:type="dxa"/>
            <w:left w:w="108" w:type="dxa"/>
            <w:bottom w:w="0" w:type="dxa"/>
            <w:right w:w="108" w:type="dxa"/>
          </w:tblCellMar>
        </w:tblPrEx>
        <w:trPr>
          <w:trHeight w:val="567" w:hRule="atLeast"/>
        </w:trPr>
        <w:tc>
          <w:tcPr>
            <w:tcW w:w="733"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9121"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开标一览表</w:t>
            </w:r>
          </w:p>
        </w:tc>
      </w:tr>
      <w:tr>
        <w:tblPrEx>
          <w:tblCellMar>
            <w:top w:w="0" w:type="dxa"/>
            <w:left w:w="108" w:type="dxa"/>
            <w:bottom w:w="0" w:type="dxa"/>
            <w:right w:w="108" w:type="dxa"/>
          </w:tblCellMar>
        </w:tblPrEx>
        <w:trPr>
          <w:trHeight w:val="588" w:hRule="atLeast"/>
        </w:trPr>
        <w:tc>
          <w:tcPr>
            <w:tcW w:w="733"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9121"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分项报价表</w:t>
            </w:r>
          </w:p>
        </w:tc>
      </w:tr>
      <w:tr>
        <w:tblPrEx>
          <w:tblCellMar>
            <w:top w:w="0" w:type="dxa"/>
            <w:left w:w="108" w:type="dxa"/>
            <w:bottom w:w="0" w:type="dxa"/>
            <w:right w:w="108" w:type="dxa"/>
          </w:tblCellMar>
        </w:tblPrEx>
        <w:trPr>
          <w:trHeight w:val="848" w:hRule="atLeast"/>
        </w:trPr>
        <w:tc>
          <w:tcPr>
            <w:tcW w:w="733"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3</w:t>
            </w:r>
          </w:p>
        </w:tc>
        <w:tc>
          <w:tcPr>
            <w:tcW w:w="9121"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中小企业声明函（或监狱企业声明函、残疾人福利性单位声明函）（采购文件第二部分相关附件）</w:t>
            </w:r>
          </w:p>
        </w:tc>
      </w:tr>
    </w:tbl>
    <w:p>
      <w:pPr>
        <w:spacing w:line="440" w:lineRule="exact"/>
        <w:ind w:left="331" w:hanging="331" w:hangingChars="150"/>
        <w:rPr>
          <w:rFonts w:ascii="宋体" w:hAnsi="宋体"/>
          <w:b/>
          <w:bCs/>
          <w:color w:val="auto"/>
          <w:sz w:val="22"/>
          <w:szCs w:val="22"/>
          <w:highlight w:val="none"/>
        </w:rPr>
      </w:pPr>
      <w:r>
        <w:rPr>
          <w:rFonts w:hint="eastAsia" w:ascii="宋体" w:hAnsi="宋体"/>
          <w:b/>
          <w:bCs/>
          <w:color w:val="auto"/>
          <w:sz w:val="22"/>
          <w:szCs w:val="22"/>
          <w:highlight w:val="none"/>
        </w:rPr>
        <w:t>11.磋商响应文件编制</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11.1本项目通过“政采云平台（www.zcygov.cn）”实行在线投标响应（电子投标）。供应商应通过“政采云电子交易客户端”，并按照本采购文件和“政采云平台”的要求编制并加密磋商响应文件。</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11.2供应商应当按照本章节 “磋商响应文件组成”规定的内容及顺序在“政采云电子交易客户端”编制磋商响应文件。其中“资格审查资料”和“商务技术文件”中不得出现本项目</w:t>
      </w:r>
      <w:r>
        <w:rPr>
          <w:rFonts w:hint="eastAsia" w:ascii="宋体" w:hAnsi="宋体" w:cs="新宋体"/>
          <w:color w:val="auto"/>
          <w:sz w:val="22"/>
          <w:szCs w:val="22"/>
          <w:highlight w:val="none"/>
          <w:lang w:eastAsia="zh-CN"/>
        </w:rPr>
        <w:t>磋商报价</w:t>
      </w:r>
      <w:r>
        <w:rPr>
          <w:rFonts w:hint="eastAsia" w:ascii="宋体" w:hAnsi="宋体" w:cs="新宋体"/>
          <w:color w:val="auto"/>
          <w:sz w:val="22"/>
          <w:szCs w:val="22"/>
          <w:highlight w:val="none"/>
        </w:rPr>
        <w:t>，如因供应商原因提前泄露</w:t>
      </w:r>
      <w:r>
        <w:rPr>
          <w:rFonts w:hint="eastAsia" w:ascii="宋体" w:hAnsi="宋体" w:cs="新宋体"/>
          <w:color w:val="auto"/>
          <w:sz w:val="22"/>
          <w:szCs w:val="22"/>
          <w:highlight w:val="none"/>
          <w:lang w:eastAsia="zh-CN"/>
        </w:rPr>
        <w:t>磋商报价</w:t>
      </w:r>
      <w:r>
        <w:rPr>
          <w:rFonts w:hint="eastAsia" w:ascii="宋体" w:hAnsi="宋体" w:cs="新宋体"/>
          <w:color w:val="auto"/>
          <w:sz w:val="22"/>
          <w:szCs w:val="22"/>
          <w:highlight w:val="none"/>
        </w:rPr>
        <w:t>，是供应商的责任。</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11.3本采购文件“第四部分 磋商响应文件格式”中有提供格式的，供应商须参照格式进行编制（格式中要求提供相关证明材料的还需后附相关证明材料），并按格式要求在指定位置根据要求进行签章，否则视为未提供；本文件“第四部分 磋商响应文件格式”未提供格式的，请各投标单位自行拟定格式，并加盖单位公章并由法定代表人或其授权代表签署（签字或盖章），否则视为未提供。</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11.4磋商响应文件内容不完整、编排混乱导致磋商响应文件被误读、漏读或者查找不到相关内容的，是供应商的责任。</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11.5磋商响应文件因字迹潦草或表达不清所引起的后果由供应商负责。</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11.6 供应商没有按照本章节 “磋商响应文件组成”要求提供全部资料，或者没有仔细阅读采购文件，或者没有对采购文件在各方面的要求作出实质性响应是供应商的风险，由此造成的一切后果由供应商自行承担。</w:t>
      </w:r>
    </w:p>
    <w:p>
      <w:pPr>
        <w:spacing w:line="440" w:lineRule="exact"/>
        <w:ind w:left="331" w:hanging="331" w:hangingChars="150"/>
        <w:rPr>
          <w:rFonts w:ascii="宋体" w:hAnsi="宋体"/>
          <w:b/>
          <w:bCs/>
          <w:color w:val="auto"/>
          <w:sz w:val="22"/>
          <w:szCs w:val="22"/>
          <w:highlight w:val="none"/>
        </w:rPr>
      </w:pPr>
      <w:r>
        <w:rPr>
          <w:rFonts w:hint="eastAsia" w:ascii="宋体" w:hAnsi="宋体"/>
          <w:b/>
          <w:bCs/>
          <w:color w:val="auto"/>
          <w:sz w:val="22"/>
          <w:szCs w:val="22"/>
          <w:highlight w:val="none"/>
        </w:rPr>
        <w:t>12.磋商响应文件的签章</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12.1磋商响应文件的签章要求：供应商须知前附表第17款；</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12.2磋商响应文件应由供应商法定代表人或其授权代表签章（电子签章），并时加盖供应商公章（电子签章）。</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12.3电子签章操作指南详见采购公告附件《供应商项目采购-电子招投标操作指南》。</w:t>
      </w:r>
    </w:p>
    <w:p>
      <w:pPr>
        <w:spacing w:line="440" w:lineRule="exact"/>
        <w:ind w:left="331" w:hanging="331" w:hangingChars="150"/>
        <w:rPr>
          <w:rFonts w:ascii="宋体" w:hAnsi="宋体"/>
          <w:b/>
          <w:bCs/>
          <w:color w:val="auto"/>
          <w:sz w:val="22"/>
          <w:szCs w:val="22"/>
          <w:highlight w:val="none"/>
        </w:rPr>
      </w:pPr>
      <w:r>
        <w:rPr>
          <w:rFonts w:hint="eastAsia" w:ascii="宋体" w:hAnsi="宋体"/>
          <w:b/>
          <w:bCs/>
          <w:color w:val="auto"/>
          <w:sz w:val="22"/>
          <w:szCs w:val="22"/>
          <w:highlight w:val="none"/>
        </w:rPr>
        <w:t>13.磋商响应文件的形式</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13.1磋商响应文件的形式：见供应商须知前附表第18款；</w:t>
      </w:r>
    </w:p>
    <w:p>
      <w:pPr>
        <w:tabs>
          <w:tab w:val="left" w:pos="36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13.2“电子加密磋商响应文件”：“电子加密磋商响应文件”是指通过“政采云电子交易客户端”完成磋商响应文件编制后生成并加密的数据电文形式的磋商响应文件。</w:t>
      </w:r>
    </w:p>
    <w:p>
      <w:pPr>
        <w:tabs>
          <w:tab w:val="left" w:pos="360"/>
        </w:tabs>
        <w:spacing w:line="460" w:lineRule="exact"/>
        <w:rPr>
          <w:rFonts w:ascii="宋体" w:hAnsi="宋体" w:cs="Arial"/>
          <w:b/>
          <w:color w:val="auto"/>
          <w:sz w:val="24"/>
          <w:highlight w:val="none"/>
        </w:rPr>
      </w:pPr>
      <w:r>
        <w:rPr>
          <w:rFonts w:hint="eastAsia" w:ascii="宋体" w:hAnsi="宋体" w:cs="新宋体"/>
          <w:color w:val="auto"/>
          <w:sz w:val="22"/>
          <w:szCs w:val="22"/>
          <w:highlight w:val="none"/>
        </w:rPr>
        <w:t>13.3“备份磋商响应文件”：“备份磋商响应文件”是指与“电子加密磋商响应文件”同时生成的数据电文形式的电子文件（备份标书），其他方式编制的“备份磋商响应文件”视为无效的“备份磋商响应文件”。</w:t>
      </w:r>
    </w:p>
    <w:p>
      <w:pPr>
        <w:spacing w:line="440" w:lineRule="exact"/>
        <w:ind w:left="331" w:hanging="331" w:hangingChars="150"/>
        <w:rPr>
          <w:rFonts w:ascii="宋体" w:hAnsi="宋体"/>
          <w:b/>
          <w:bCs/>
          <w:color w:val="auto"/>
          <w:sz w:val="22"/>
          <w:szCs w:val="22"/>
          <w:highlight w:val="none"/>
        </w:rPr>
      </w:pPr>
      <w:r>
        <w:rPr>
          <w:rFonts w:hint="eastAsia" w:ascii="宋体" w:hAnsi="宋体"/>
          <w:b/>
          <w:bCs/>
          <w:color w:val="auto"/>
          <w:sz w:val="22"/>
          <w:szCs w:val="22"/>
          <w:highlight w:val="none"/>
        </w:rPr>
        <w:t>14.磋商响应文件的份数</w:t>
      </w:r>
    </w:p>
    <w:p>
      <w:pPr>
        <w:tabs>
          <w:tab w:val="left" w:pos="5355"/>
        </w:tabs>
        <w:spacing w:line="430" w:lineRule="exact"/>
        <w:rPr>
          <w:rFonts w:ascii="宋体" w:hAnsi="宋体" w:cs="新宋体"/>
          <w:color w:val="auto"/>
          <w:sz w:val="22"/>
          <w:szCs w:val="22"/>
          <w:highlight w:val="none"/>
        </w:rPr>
      </w:pPr>
      <w:r>
        <w:rPr>
          <w:rFonts w:hint="eastAsia" w:ascii="宋体" w:hAnsi="宋体" w:cs="新宋体"/>
          <w:color w:val="auto"/>
          <w:sz w:val="22"/>
          <w:szCs w:val="22"/>
          <w:highlight w:val="none"/>
        </w:rPr>
        <w:t>14.1磋商响应文件的份数：见供应商须知前附表第19款。</w:t>
      </w:r>
    </w:p>
    <w:p>
      <w:pPr>
        <w:tabs>
          <w:tab w:val="left" w:pos="540"/>
        </w:tabs>
        <w:spacing w:line="460" w:lineRule="exact"/>
        <w:rPr>
          <w:rFonts w:hint="eastAsia" w:ascii="宋体" w:hAnsi="宋体" w:eastAsia="宋体" w:cs="新宋体"/>
          <w:color w:val="auto"/>
          <w:sz w:val="22"/>
          <w:szCs w:val="22"/>
          <w:highlight w:val="none"/>
          <w:lang w:eastAsia="zh-CN"/>
        </w:rPr>
      </w:pPr>
      <w:r>
        <w:rPr>
          <w:rFonts w:hint="eastAsia" w:ascii="宋体" w:hAnsi="宋体" w:cs="新宋体"/>
          <w:bCs/>
          <w:color w:val="auto"/>
          <w:sz w:val="22"/>
          <w:szCs w:val="22"/>
          <w:highlight w:val="none"/>
        </w:rPr>
        <w:t>15.</w:t>
      </w:r>
      <w:r>
        <w:rPr>
          <w:rFonts w:hint="eastAsia" w:ascii="宋体" w:hAnsi="宋体" w:cs="新宋体"/>
          <w:bCs/>
          <w:color w:val="auto"/>
          <w:sz w:val="22"/>
          <w:szCs w:val="22"/>
          <w:highlight w:val="none"/>
          <w:lang w:eastAsia="zh-CN"/>
        </w:rPr>
        <w:t>磋商报价</w:t>
      </w:r>
    </w:p>
    <w:p>
      <w:pPr>
        <w:tabs>
          <w:tab w:val="left" w:pos="54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15.1 供应商应报出本项目采购内容所包含的所有单价和总价，并且报出价格组成表，对于供应商价格组成表中未列出的项目或没有填写单价和总价的项目,在合同执行时采购人将不予支付,并认为这些项目费用已包括在</w:t>
      </w:r>
      <w:r>
        <w:rPr>
          <w:rFonts w:hint="eastAsia" w:ascii="宋体" w:hAnsi="宋体" w:cs="新宋体"/>
          <w:color w:val="auto"/>
          <w:sz w:val="22"/>
          <w:szCs w:val="22"/>
          <w:highlight w:val="none"/>
          <w:lang w:eastAsia="zh-CN"/>
        </w:rPr>
        <w:t>磋商报价</w:t>
      </w:r>
      <w:r>
        <w:rPr>
          <w:rFonts w:hint="eastAsia" w:ascii="宋体" w:hAnsi="宋体" w:cs="新宋体"/>
          <w:color w:val="auto"/>
          <w:sz w:val="22"/>
          <w:szCs w:val="22"/>
          <w:highlight w:val="none"/>
        </w:rPr>
        <w:t>内。</w:t>
      </w:r>
    </w:p>
    <w:p>
      <w:pPr>
        <w:tabs>
          <w:tab w:val="left" w:pos="54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 xml:space="preserve">15.2 </w:t>
      </w:r>
      <w:r>
        <w:rPr>
          <w:rFonts w:hint="eastAsia" w:ascii="宋体" w:hAnsi="宋体" w:cs="宋体"/>
          <w:bCs/>
          <w:color w:val="auto"/>
          <w:sz w:val="22"/>
          <w:szCs w:val="22"/>
          <w:highlight w:val="none"/>
        </w:rPr>
        <w:t>本项目</w:t>
      </w:r>
      <w:r>
        <w:rPr>
          <w:rFonts w:hint="eastAsia" w:ascii="宋体" w:hAnsi="宋体" w:cs="宋体"/>
          <w:bCs/>
          <w:color w:val="auto"/>
          <w:kern w:val="0"/>
          <w:sz w:val="22"/>
          <w:szCs w:val="22"/>
          <w:highlight w:val="none"/>
          <w:lang w:val="zh-CN"/>
        </w:rPr>
        <w:t>磋商报价是</w:t>
      </w:r>
      <w:r>
        <w:rPr>
          <w:rFonts w:hint="eastAsia" w:ascii="新宋体" w:hAnsi="新宋体" w:eastAsia="新宋体" w:cs="宋体"/>
          <w:bCs/>
          <w:color w:val="auto"/>
          <w:kern w:val="0"/>
          <w:sz w:val="22"/>
          <w:szCs w:val="22"/>
          <w:highlight w:val="none"/>
          <w:lang w:val="zh-CN"/>
        </w:rPr>
        <w:t>采购文件所确定的采购范围内全部工作内容的价格表现，包括</w:t>
      </w:r>
      <w:r>
        <w:rPr>
          <w:rFonts w:hint="eastAsia" w:ascii="宋体" w:hAnsi="宋体" w:cs="宋体"/>
          <w:bCs/>
          <w:color w:val="auto"/>
          <w:sz w:val="22"/>
          <w:szCs w:val="22"/>
          <w:highlight w:val="none"/>
        </w:rPr>
        <w:t>承担所有邀请嘉宾在活动期间的食宿费、交通费、</w:t>
      </w:r>
      <w:r>
        <w:rPr>
          <w:rFonts w:hint="eastAsia" w:ascii="宋体" w:hAnsi="宋体" w:cs="宋体"/>
          <w:bCs/>
          <w:color w:val="auto"/>
          <w:sz w:val="22"/>
          <w:szCs w:val="22"/>
          <w:highlight w:val="none"/>
          <w:lang w:val="en-US" w:eastAsia="zh-CN"/>
        </w:rPr>
        <w:t>专家费、现场执行人员的食宿费及交通费、酒店</w:t>
      </w:r>
      <w:r>
        <w:rPr>
          <w:rFonts w:hint="eastAsia" w:ascii="宋体" w:hAnsi="宋体" w:cs="宋体"/>
          <w:bCs/>
          <w:color w:val="auto"/>
          <w:sz w:val="22"/>
          <w:szCs w:val="22"/>
          <w:highlight w:val="none"/>
        </w:rPr>
        <w:t>后勤杂费，志愿者培训（礼仪、急救、会务业务），会务服务策划、</w:t>
      </w:r>
      <w:r>
        <w:rPr>
          <w:rFonts w:hint="eastAsia" w:ascii="宋体" w:hAnsi="宋体" w:cs="宋体"/>
          <w:bCs/>
          <w:color w:val="auto"/>
          <w:sz w:val="22"/>
          <w:szCs w:val="22"/>
          <w:highlight w:val="none"/>
          <w:lang w:val="en-US" w:eastAsia="zh-CN"/>
        </w:rPr>
        <w:t>场地租赁费</w:t>
      </w:r>
      <w:r>
        <w:rPr>
          <w:rFonts w:hint="eastAsia" w:ascii="宋体" w:hAnsi="宋体" w:cs="宋体"/>
          <w:bCs/>
          <w:color w:val="auto"/>
          <w:sz w:val="22"/>
          <w:szCs w:val="22"/>
          <w:highlight w:val="none"/>
          <w:lang w:val="en-US" w:eastAsia="zh-CN"/>
        </w:rPr>
        <w:t>、酒店内氛围布置</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其他</w:t>
      </w:r>
      <w:r>
        <w:rPr>
          <w:rFonts w:hint="eastAsia" w:ascii="宋体" w:hAnsi="宋体" w:cs="宋体"/>
          <w:bCs/>
          <w:color w:val="auto"/>
          <w:sz w:val="22"/>
          <w:szCs w:val="22"/>
          <w:highlight w:val="none"/>
        </w:rPr>
        <w:t>人力物力成本、差旅费、物料费、管理费、利润、税金、验收费等所有工作</w:t>
      </w:r>
      <w:r>
        <w:rPr>
          <w:rFonts w:hint="eastAsia" w:ascii="宋体" w:hAnsi="宋体" w:cs="宋体"/>
          <w:bCs/>
          <w:color w:val="auto"/>
          <w:sz w:val="22"/>
          <w:szCs w:val="22"/>
          <w:highlight w:val="none"/>
          <w:lang w:val="en-US" w:eastAsia="zh-CN"/>
        </w:rPr>
        <w:t>的</w:t>
      </w:r>
      <w:r>
        <w:rPr>
          <w:rFonts w:hint="eastAsia" w:ascii="宋体" w:hAnsi="宋体" w:cs="宋体"/>
          <w:bCs/>
          <w:color w:val="auto"/>
          <w:sz w:val="22"/>
          <w:szCs w:val="22"/>
          <w:highlight w:val="none"/>
        </w:rPr>
        <w:t>全部费用（含税）</w:t>
      </w:r>
      <w:r>
        <w:rPr>
          <w:rFonts w:hint="eastAsia" w:ascii="宋体" w:hAnsi="宋体" w:cs="宋体"/>
          <w:bCs/>
          <w:color w:val="auto"/>
          <w:kern w:val="0"/>
          <w:sz w:val="22"/>
          <w:szCs w:val="22"/>
          <w:highlight w:val="none"/>
          <w:lang w:val="zh-CN"/>
        </w:rPr>
        <w:t>。招标范围包含的所有内容的价格一次性包干（采购人提出的设计变更除外）</w:t>
      </w:r>
      <w:r>
        <w:rPr>
          <w:rFonts w:hint="eastAsia" w:ascii="宋体" w:hAnsi="宋体" w:cs="新宋体"/>
          <w:color w:val="auto"/>
          <w:sz w:val="22"/>
          <w:szCs w:val="22"/>
          <w:highlight w:val="none"/>
        </w:rPr>
        <w:t>。</w:t>
      </w:r>
    </w:p>
    <w:p>
      <w:pPr>
        <w:tabs>
          <w:tab w:val="left" w:pos="54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15.3 供应商须认真阅读、充分理解采购文件，如有疑问可在询疑截止时间前送达（或传真）采购代理机构，采购代理机构将会统一解答。任何因对本项目采购文件理解不清、产生歧义等由此产生的费用，视作以含在投标总价中。</w:t>
      </w:r>
    </w:p>
    <w:p>
      <w:pPr>
        <w:tabs>
          <w:tab w:val="left" w:pos="54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15.4 供应商必须按第三部分附件的开标一览表（统一格式）、分项报价表（统一格式）的内容填写单价、合价及其他事项，并由法定代表人或授权代表签署。</w:t>
      </w:r>
    </w:p>
    <w:p>
      <w:pPr>
        <w:tabs>
          <w:tab w:val="left" w:pos="540"/>
        </w:tabs>
        <w:spacing w:line="460" w:lineRule="exact"/>
        <w:rPr>
          <w:rFonts w:ascii="宋体" w:hAnsi="宋体" w:cs="新宋体"/>
          <w:b/>
          <w:color w:val="auto"/>
          <w:sz w:val="22"/>
          <w:szCs w:val="22"/>
          <w:highlight w:val="none"/>
        </w:rPr>
      </w:pPr>
      <w:r>
        <w:rPr>
          <w:rFonts w:hint="eastAsia" w:ascii="宋体" w:hAnsi="宋体" w:cs="新宋体"/>
          <w:color w:val="auto"/>
          <w:sz w:val="22"/>
          <w:szCs w:val="22"/>
          <w:highlight w:val="none"/>
        </w:rPr>
        <w:t>15.5 所有</w:t>
      </w:r>
      <w:r>
        <w:rPr>
          <w:rFonts w:hint="eastAsia" w:ascii="宋体" w:hAnsi="宋体" w:cs="新宋体"/>
          <w:color w:val="auto"/>
          <w:sz w:val="22"/>
          <w:szCs w:val="22"/>
          <w:highlight w:val="none"/>
          <w:lang w:eastAsia="zh-CN"/>
        </w:rPr>
        <w:t>磋商报价</w:t>
      </w:r>
      <w:r>
        <w:rPr>
          <w:rFonts w:hint="eastAsia" w:ascii="宋体" w:hAnsi="宋体" w:cs="新宋体"/>
          <w:color w:val="auto"/>
          <w:sz w:val="22"/>
          <w:szCs w:val="22"/>
          <w:highlight w:val="none"/>
        </w:rPr>
        <w:t>均以人民币报价。</w:t>
      </w:r>
    </w:p>
    <w:p>
      <w:pPr>
        <w:tabs>
          <w:tab w:val="left" w:pos="54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15.6 采购人不接受任何选择报价，对每一项货物/服务只允许一个报价。</w:t>
      </w:r>
    </w:p>
    <w:p>
      <w:pPr>
        <w:tabs>
          <w:tab w:val="left" w:pos="540"/>
        </w:tabs>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15.7 采购人要求分类报价是为了方便评标，但在任何情况下不限制采购人以其认为最合适的条款、条件签订合同的权利。</w:t>
      </w:r>
    </w:p>
    <w:p>
      <w:pPr>
        <w:tabs>
          <w:tab w:val="left" w:pos="540"/>
        </w:tabs>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15.8 报价是成交的一个重要因素，但最低报价不是成交的唯一依据。</w:t>
      </w:r>
    </w:p>
    <w:p>
      <w:pPr>
        <w:tabs>
          <w:tab w:val="left" w:pos="-180"/>
          <w:tab w:val="left" w:pos="180"/>
          <w:tab w:val="left" w:pos="360"/>
        </w:tabs>
        <w:spacing w:line="440" w:lineRule="exact"/>
        <w:ind w:left="660" w:hanging="660" w:hangingChars="300"/>
        <w:rPr>
          <w:rFonts w:ascii="宋体" w:hAnsi="宋体"/>
          <w:b/>
          <w:bCs/>
          <w:color w:val="auto"/>
          <w:sz w:val="22"/>
          <w:szCs w:val="22"/>
          <w:highlight w:val="none"/>
        </w:rPr>
      </w:pPr>
      <w:r>
        <w:rPr>
          <w:rFonts w:hint="eastAsia" w:ascii="宋体" w:hAnsi="宋体" w:cs="新宋体"/>
          <w:bCs/>
          <w:color w:val="auto"/>
          <w:sz w:val="22"/>
          <w:szCs w:val="22"/>
          <w:highlight w:val="none"/>
        </w:rPr>
        <w:t xml:space="preserve">16. </w:t>
      </w:r>
      <w:r>
        <w:rPr>
          <w:rFonts w:hint="eastAsia" w:ascii="宋体" w:hAnsi="宋体"/>
          <w:b/>
          <w:bCs/>
          <w:color w:val="auto"/>
          <w:sz w:val="22"/>
          <w:szCs w:val="22"/>
          <w:highlight w:val="none"/>
        </w:rPr>
        <w:t>供应商如发生下列情况之一，将上报同级政府采购监督管理部门，追究其责任：</w:t>
      </w:r>
    </w:p>
    <w:p>
      <w:pPr>
        <w:numPr>
          <w:ilvl w:val="0"/>
          <w:numId w:val="10"/>
        </w:numPr>
        <w:tabs>
          <w:tab w:val="left" w:pos="360"/>
        </w:tabs>
        <w:spacing w:line="440" w:lineRule="exact"/>
        <w:ind w:left="720" w:hanging="720"/>
        <w:rPr>
          <w:rFonts w:ascii="宋体" w:hAnsi="宋体" w:cs="新宋体"/>
          <w:color w:val="auto"/>
          <w:sz w:val="22"/>
          <w:szCs w:val="22"/>
          <w:highlight w:val="none"/>
        </w:rPr>
      </w:pPr>
      <w:r>
        <w:rPr>
          <w:rFonts w:hint="eastAsia" w:ascii="宋体" w:hAnsi="宋体" w:cs="新宋体"/>
          <w:color w:val="auto"/>
          <w:sz w:val="22"/>
          <w:szCs w:val="22"/>
          <w:highlight w:val="none"/>
        </w:rPr>
        <w:t>供应商在采购文件规定的磋商响应文件有效期内撤回投标；</w:t>
      </w:r>
    </w:p>
    <w:p>
      <w:pPr>
        <w:numPr>
          <w:ilvl w:val="0"/>
          <w:numId w:val="10"/>
        </w:numPr>
        <w:tabs>
          <w:tab w:val="left" w:pos="360"/>
        </w:tabs>
        <w:spacing w:line="440" w:lineRule="exact"/>
        <w:ind w:left="720" w:hanging="720"/>
        <w:rPr>
          <w:rFonts w:ascii="宋体" w:hAnsi="宋体" w:cs="新宋体"/>
          <w:color w:val="auto"/>
          <w:sz w:val="22"/>
          <w:szCs w:val="22"/>
          <w:highlight w:val="none"/>
        </w:rPr>
      </w:pPr>
      <w:r>
        <w:rPr>
          <w:rFonts w:hint="eastAsia" w:ascii="宋体" w:hAnsi="宋体" w:cs="新宋体"/>
          <w:color w:val="auto"/>
          <w:sz w:val="22"/>
          <w:szCs w:val="22"/>
          <w:highlight w:val="none"/>
        </w:rPr>
        <w:t>成交供应商未按成交通知书中规定的时间与采购人签订合同；</w:t>
      </w:r>
    </w:p>
    <w:p>
      <w:pPr>
        <w:numPr>
          <w:ilvl w:val="0"/>
          <w:numId w:val="10"/>
        </w:numPr>
        <w:tabs>
          <w:tab w:val="left" w:pos="360"/>
        </w:tabs>
        <w:spacing w:line="440" w:lineRule="exact"/>
        <w:ind w:left="720" w:hanging="720"/>
        <w:rPr>
          <w:rFonts w:ascii="宋体" w:hAnsi="宋体" w:cs="新宋体"/>
          <w:color w:val="auto"/>
          <w:sz w:val="22"/>
          <w:szCs w:val="22"/>
          <w:highlight w:val="none"/>
        </w:rPr>
      </w:pPr>
      <w:r>
        <w:rPr>
          <w:rFonts w:hint="eastAsia" w:ascii="宋体" w:hAnsi="宋体" w:cs="新宋体"/>
          <w:color w:val="auto"/>
          <w:sz w:val="22"/>
          <w:szCs w:val="22"/>
          <w:highlight w:val="none"/>
        </w:rPr>
        <w:t>供应商在采购文件中提供虚假技术指标及参数，经磋商小组确认属实的。</w:t>
      </w:r>
    </w:p>
    <w:p>
      <w:pPr>
        <w:numPr>
          <w:ilvl w:val="0"/>
          <w:numId w:val="10"/>
        </w:numPr>
        <w:tabs>
          <w:tab w:val="left" w:pos="360"/>
        </w:tabs>
        <w:spacing w:line="440" w:lineRule="exact"/>
        <w:ind w:left="720" w:hanging="720"/>
        <w:rPr>
          <w:rFonts w:ascii="宋体" w:hAnsi="宋体" w:cs="新宋体"/>
          <w:color w:val="auto"/>
          <w:sz w:val="22"/>
          <w:szCs w:val="22"/>
          <w:highlight w:val="none"/>
        </w:rPr>
      </w:pPr>
      <w:r>
        <w:rPr>
          <w:rFonts w:hint="eastAsia" w:ascii="宋体" w:hAnsi="宋体" w:cs="新宋体"/>
          <w:color w:val="auto"/>
          <w:sz w:val="22"/>
          <w:szCs w:val="22"/>
          <w:highlight w:val="none"/>
        </w:rPr>
        <w:t>经同级政府采购监督管理部门审查认定供应商有违反《中华人民共和国政府采购法》等有关法律法规的行为。</w:t>
      </w:r>
    </w:p>
    <w:p>
      <w:pPr>
        <w:tabs>
          <w:tab w:val="left" w:pos="-180"/>
          <w:tab w:val="left" w:pos="180"/>
          <w:tab w:val="left" w:pos="360"/>
        </w:tabs>
        <w:spacing w:line="440" w:lineRule="exact"/>
        <w:rPr>
          <w:rFonts w:ascii="宋体" w:hAnsi="宋体"/>
          <w:b/>
          <w:bCs/>
          <w:color w:val="auto"/>
          <w:sz w:val="22"/>
          <w:szCs w:val="22"/>
          <w:highlight w:val="none"/>
        </w:rPr>
      </w:pPr>
      <w:r>
        <w:rPr>
          <w:rFonts w:hint="eastAsia" w:ascii="宋体" w:hAnsi="宋体"/>
          <w:b/>
          <w:bCs/>
          <w:color w:val="auto"/>
          <w:sz w:val="22"/>
          <w:szCs w:val="22"/>
          <w:highlight w:val="none"/>
        </w:rPr>
        <w:t>17. 磋商响应文件有效期</w:t>
      </w:r>
    </w:p>
    <w:p>
      <w:pPr>
        <w:tabs>
          <w:tab w:val="left" w:pos="540"/>
          <w:tab w:val="left" w:pos="992"/>
        </w:tabs>
        <w:autoSpaceDE w:val="0"/>
        <w:autoSpaceDN w:val="0"/>
        <w:adjustRightInd w:val="0"/>
        <w:spacing w:line="460" w:lineRule="atLeas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17.1 自开标之日起 90天内投标应保持有效。磋商响应文件有效期短于这个规定期限的投标将视为非响应性投标而予以拒绝。</w:t>
      </w:r>
    </w:p>
    <w:p>
      <w:pPr>
        <w:spacing w:line="440" w:lineRule="exact"/>
        <w:ind w:left="2"/>
        <w:rPr>
          <w:rFonts w:ascii="宋体" w:hAnsi="宋体"/>
          <w:color w:val="auto"/>
          <w:sz w:val="22"/>
          <w:szCs w:val="22"/>
          <w:highlight w:val="none"/>
        </w:rPr>
      </w:pPr>
      <w:r>
        <w:rPr>
          <w:rFonts w:hint="eastAsia" w:ascii="宋体" w:hAnsi="宋体" w:cs="新宋体"/>
          <w:color w:val="auto"/>
          <w:kern w:val="0"/>
          <w:sz w:val="22"/>
          <w:szCs w:val="22"/>
          <w:highlight w:val="none"/>
        </w:rPr>
        <w:t>17.2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pPr>
        <w:spacing w:before="100" w:beforeAutospacing="1" w:after="100" w:afterAutospacing="1" w:line="440" w:lineRule="exact"/>
        <w:jc w:val="center"/>
        <w:outlineLvl w:val="1"/>
        <w:rPr>
          <w:rFonts w:ascii="新宋体" w:hAnsi="新宋体" w:eastAsia="新宋体"/>
          <w:b/>
          <w:bCs/>
          <w:color w:val="auto"/>
          <w:sz w:val="22"/>
          <w:szCs w:val="22"/>
          <w:highlight w:val="none"/>
        </w:rPr>
      </w:pPr>
      <w:bookmarkStart w:id="15" w:name="_Toc57626727"/>
      <w:bookmarkStart w:id="16" w:name="_Toc24064"/>
      <w:bookmarkStart w:id="17" w:name="_Toc38618585"/>
      <w:bookmarkStart w:id="18" w:name="_Toc18954"/>
      <w:r>
        <w:rPr>
          <w:rFonts w:hint="eastAsia" w:ascii="新宋体" w:hAnsi="新宋体" w:eastAsia="新宋体"/>
          <w:b/>
          <w:bCs/>
          <w:color w:val="auto"/>
          <w:sz w:val="22"/>
          <w:szCs w:val="22"/>
          <w:highlight w:val="none"/>
        </w:rPr>
        <w:t>四   磋商响应文件的递交</w:t>
      </w:r>
      <w:bookmarkEnd w:id="15"/>
      <w:bookmarkEnd w:id="16"/>
      <w:bookmarkEnd w:id="17"/>
      <w:bookmarkEnd w:id="18"/>
    </w:p>
    <w:p>
      <w:pPr>
        <w:tabs>
          <w:tab w:val="left" w:pos="540"/>
        </w:tabs>
        <w:spacing w:line="460" w:lineRule="exact"/>
        <w:rPr>
          <w:rFonts w:ascii="宋体" w:hAnsi="宋体" w:cs="新宋体"/>
          <w:b/>
          <w:bCs/>
          <w:color w:val="auto"/>
          <w:kern w:val="0"/>
          <w:sz w:val="22"/>
          <w:szCs w:val="22"/>
          <w:highlight w:val="none"/>
        </w:rPr>
      </w:pPr>
      <w:bookmarkStart w:id="19" w:name="_Toc10467"/>
      <w:r>
        <w:rPr>
          <w:rFonts w:hint="eastAsia" w:ascii="宋体" w:hAnsi="宋体" w:cs="新宋体"/>
          <w:b/>
          <w:bCs/>
          <w:color w:val="auto"/>
          <w:kern w:val="0"/>
          <w:sz w:val="22"/>
          <w:szCs w:val="22"/>
          <w:highlight w:val="none"/>
        </w:rPr>
        <w:t>18. 磋商响应文件的递交</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18.1磋商响应文件的上传、递交：见供应商须知前附表。</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19. “电子加密磋商响应文件”解密和异常情况处理。</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19.1“电子加密磋商响应文件”解密：见供应商须知前附表。</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20. 磋商响应文件的补充、修改或撤回</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20.1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采云平台”将予以拒收。</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20.2磋商响应文件递交截止时间后，供应商不得撤回、修改磋商响应文件。</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
          <w:bCs/>
          <w:color w:val="auto"/>
          <w:kern w:val="0"/>
          <w:sz w:val="22"/>
          <w:szCs w:val="22"/>
          <w:highlight w:val="none"/>
        </w:rPr>
        <w:t>21. 磋商响应文件的备选方案</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21.1供应商不得递交任何的投标备选（替代）方案，否则其磋商响应文件将作无效标处理。与“电子加密磋商响应文件”同时生成的“备份磋商响应文件”不是投标备选（替代）方案。</w:t>
      </w:r>
    </w:p>
    <w:p>
      <w:pPr>
        <w:spacing w:before="100" w:beforeAutospacing="1" w:after="100" w:afterAutospacing="1" w:line="440" w:lineRule="exact"/>
        <w:jc w:val="center"/>
        <w:outlineLvl w:val="1"/>
        <w:rPr>
          <w:rFonts w:ascii="新宋体" w:hAnsi="新宋体" w:eastAsia="新宋体"/>
          <w:b/>
          <w:bCs/>
          <w:color w:val="auto"/>
          <w:sz w:val="22"/>
          <w:szCs w:val="22"/>
          <w:highlight w:val="none"/>
        </w:rPr>
      </w:pPr>
      <w:bookmarkStart w:id="20" w:name="_Toc239145355"/>
      <w:bookmarkStart w:id="21" w:name="_Toc265529384"/>
      <w:bookmarkStart w:id="22" w:name="_Toc57626728"/>
      <w:bookmarkStart w:id="23" w:name="_Toc221423620"/>
      <w:bookmarkStart w:id="24" w:name="_Toc223715999"/>
      <w:bookmarkStart w:id="25" w:name="_Toc222114880"/>
      <w:bookmarkStart w:id="26" w:name="_Toc221356952"/>
      <w:bookmarkStart w:id="27" w:name="_Toc221374627"/>
      <w:bookmarkStart w:id="28" w:name="_Toc38203957"/>
      <w:bookmarkStart w:id="29" w:name="_Toc7107"/>
      <w:bookmarkStart w:id="30" w:name="_Toc221356888"/>
      <w:bookmarkStart w:id="31" w:name="_Toc38618586"/>
      <w:bookmarkStart w:id="32" w:name="_Toc241404203"/>
      <w:r>
        <w:rPr>
          <w:rFonts w:hint="eastAsia" w:ascii="新宋体" w:hAnsi="新宋体" w:eastAsia="新宋体"/>
          <w:b/>
          <w:bCs/>
          <w:color w:val="auto"/>
          <w:sz w:val="22"/>
          <w:szCs w:val="22"/>
          <w:highlight w:val="none"/>
        </w:rPr>
        <w:t>五   开标</w:t>
      </w:r>
      <w:bookmarkEnd w:id="20"/>
      <w:bookmarkEnd w:id="21"/>
      <w:bookmarkEnd w:id="22"/>
      <w:bookmarkEnd w:id="23"/>
      <w:bookmarkEnd w:id="24"/>
      <w:bookmarkEnd w:id="25"/>
      <w:bookmarkEnd w:id="26"/>
      <w:bookmarkEnd w:id="27"/>
      <w:bookmarkEnd w:id="28"/>
      <w:bookmarkEnd w:id="29"/>
      <w:bookmarkEnd w:id="30"/>
      <w:bookmarkEnd w:id="31"/>
      <w:bookmarkEnd w:id="32"/>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22. 开标形式</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22.1 采购组织机构将按照采购文件规定的时间通过“政采云平台”组织开标、开启磋商响应文件，所有供应商均应当准时在线参加。</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23. 开标准备</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23.1开标的准备工作由采购组织机构负责落实。</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23.2采购组织机构将按照采购文件规定的时间通过“政采云平台”组织开标、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24.开标流程（三阶段）</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24.1开标第一阶段</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1）向各供应商发出电子加密磋商响应文件【开始解密】通知，由供应商按采购文件规定的时间内自行进行磋商响应文件解密。供应商在规定的时间内（开标时间起半个小时内）无法完成已递交的“电子加密磋商响应文件”解密的，如已按规定递交了备份磋商响应文件的，将由采购组织机构按“政采云平台”操作规范将备份磋商响应文件上传至“政采云平台”，上传成功后，“电子加密磋商响应文件”自动失效；</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（2）磋商响应文件解密结束，各供应商签署《政府采购活动现场确认声明书》（见附件）后将扫描件发送至采购代理机构邮箱：</w:t>
      </w:r>
      <w:r>
        <w:rPr>
          <w:rFonts w:hint="eastAsia" w:ascii="宋体" w:hAnsi="宋体" w:cs="新宋体"/>
          <w:b/>
          <w:color w:val="auto"/>
          <w:sz w:val="22"/>
          <w:szCs w:val="22"/>
          <w:highlight w:val="none"/>
          <w:u w:val="single"/>
        </w:rPr>
        <w:t>ye462978466@qq.com</w:t>
      </w:r>
      <w:r>
        <w:rPr>
          <w:rFonts w:hint="eastAsia" w:ascii="宋体" w:hAnsi="宋体" w:cs="新宋体"/>
          <w:b/>
          <w:bCs/>
          <w:color w:val="auto"/>
          <w:kern w:val="0"/>
          <w:sz w:val="22"/>
          <w:szCs w:val="22"/>
          <w:highlight w:val="none"/>
        </w:rPr>
        <w:t>；</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（3）开启磋商响应文件，进入资格审查；</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（4）开启资格审查通过的供应商的商务技术文件进入符合性审查、商务技术评审；</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（5）第一阶段开标结束。</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备注：开标大会的第一阶段结束后，采购人或采购代理机构将对依法对供应商的资格进行审查，资格审查结束后进入符合性审查和商务技术文件的评审工作，具体见本章节“供应商资格审查”相关规定。</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24.2开标大会第二阶段</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1）符合性审查、商务技术文件的评审结束后，举行开标大会第二阶段会议。首先在“政采云平台”系统平台上公布符合性审查、商务技术评审无效供应商名称及理由；公布经商务技术评审后有效供应商的名单。</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开启通过符合性审查、商务技术文件评审有效供应商的报价文件，在“政采云平台”系统平台上公布开标一览表有关内容，同时当场制作开标记录，供应商在线进行确认。开标结束后，由磋商小组对报价的合理性、准确性等进行审查核实。</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24.3开标第三阶段</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（1）供应商在规定的时间内在政采云平台提交二次（最终）报价；</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（2）开启供应商的二次（最终）报价文件，公布二次（最终）报价有关内容，同时当场制作开标记录，供应商在线进行确认。开标结束后，由磋商小组对报价的合理性、准确性等进行审查核实。</w:t>
      </w:r>
    </w:p>
    <w:p>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▲特别说明：如遇“政采云平台”电子化开标或评审程序调整的，按调整后程序执行。</w:t>
      </w:r>
    </w:p>
    <w:p>
      <w:pPr>
        <w:tabs>
          <w:tab w:val="left" w:pos="540"/>
        </w:tabs>
        <w:spacing w:line="460" w:lineRule="exact"/>
        <w:rPr>
          <w:rFonts w:ascii="宋体" w:hAnsi="宋体" w:cs="新宋体"/>
          <w:b/>
          <w:bCs/>
          <w:color w:val="auto"/>
          <w:kern w:val="0"/>
          <w:sz w:val="22"/>
          <w:szCs w:val="22"/>
          <w:highlight w:val="none"/>
        </w:rPr>
      </w:pPr>
      <w:bookmarkStart w:id="33" w:name="_Toc24550037"/>
      <w:bookmarkStart w:id="34" w:name="_Toc33194393"/>
      <w:r>
        <w:rPr>
          <w:rFonts w:hint="eastAsia" w:ascii="宋体" w:hAnsi="宋体" w:cs="新宋体"/>
          <w:b/>
          <w:bCs/>
          <w:color w:val="auto"/>
          <w:kern w:val="0"/>
          <w:sz w:val="22"/>
          <w:szCs w:val="22"/>
          <w:highlight w:val="none"/>
        </w:rPr>
        <w:t>25. 供应商资格审查</w:t>
      </w:r>
      <w:bookmarkEnd w:id="33"/>
      <w:bookmarkEnd w:id="34"/>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25.1开标大会第一阶段结束后，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成交资格并追究供应商的法律责任。</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25.2供应商提交的资格审查材料无法证明其符合采购文件规定的“供应商资格要求”的，采购人或采购代理机构将对其作资格审查不通过处理（无效投标），并不再将其投标提交磋商小组进行后续评审。</w:t>
      </w:r>
    </w:p>
    <w:p>
      <w:pPr>
        <w:tabs>
          <w:tab w:val="left" w:pos="540"/>
        </w:tabs>
        <w:spacing w:line="46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25.3单位负责人为同一人或者存在直接控股、管理关系的不同供应商参加同一合同项下的政府采购活动的，相关供应商均作资格无效处理。</w:t>
      </w:r>
    </w:p>
    <w:p>
      <w:pPr>
        <w:spacing w:before="100" w:beforeAutospacing="1" w:after="100" w:afterAutospacing="1" w:line="440" w:lineRule="exact"/>
        <w:jc w:val="center"/>
        <w:outlineLvl w:val="1"/>
        <w:rPr>
          <w:rFonts w:ascii="新宋体" w:hAnsi="新宋体" w:eastAsia="新宋体"/>
          <w:b/>
          <w:bCs/>
          <w:color w:val="auto"/>
          <w:sz w:val="22"/>
          <w:szCs w:val="22"/>
          <w:highlight w:val="none"/>
        </w:rPr>
      </w:pPr>
      <w:bookmarkStart w:id="35" w:name="_Toc57626729"/>
      <w:bookmarkStart w:id="36" w:name="_Toc38618587"/>
      <w:bookmarkStart w:id="37" w:name="_Toc16167"/>
      <w:r>
        <w:rPr>
          <w:rFonts w:hint="eastAsia" w:ascii="新宋体" w:hAnsi="新宋体" w:eastAsia="新宋体"/>
          <w:b/>
          <w:bCs/>
          <w:color w:val="auto"/>
          <w:sz w:val="22"/>
          <w:szCs w:val="22"/>
          <w:highlight w:val="none"/>
        </w:rPr>
        <w:t>六   磋商</w:t>
      </w:r>
      <w:bookmarkEnd w:id="19"/>
      <w:bookmarkEnd w:id="35"/>
      <w:bookmarkEnd w:id="36"/>
      <w:bookmarkEnd w:id="37"/>
    </w:p>
    <w:p>
      <w:pPr>
        <w:spacing w:line="460" w:lineRule="exact"/>
        <w:rPr>
          <w:rFonts w:ascii="宋体" w:hAnsi="宋体"/>
          <w:color w:val="auto"/>
          <w:sz w:val="22"/>
          <w:szCs w:val="22"/>
          <w:highlight w:val="none"/>
        </w:rPr>
      </w:pPr>
      <w:r>
        <w:rPr>
          <w:rFonts w:hint="eastAsia" w:ascii="宋体" w:hAnsi="宋体"/>
          <w:color w:val="auto"/>
          <w:sz w:val="22"/>
          <w:szCs w:val="22"/>
          <w:highlight w:val="none"/>
        </w:rPr>
        <w:t>26.磋商小组</w:t>
      </w:r>
    </w:p>
    <w:p>
      <w:pPr>
        <w:spacing w:line="460" w:lineRule="exact"/>
        <w:ind w:firstLine="440" w:firstLineChars="200"/>
        <w:rPr>
          <w:rFonts w:ascii="宋体" w:hAnsi="宋体"/>
          <w:color w:val="auto"/>
          <w:sz w:val="22"/>
          <w:szCs w:val="22"/>
          <w:highlight w:val="none"/>
        </w:rPr>
      </w:pPr>
      <w:r>
        <w:rPr>
          <w:rFonts w:hint="eastAsia" w:ascii="宋体" w:hAnsi="宋体" w:cs="新宋体"/>
          <w:color w:val="auto"/>
          <w:kern w:val="0"/>
          <w:sz w:val="22"/>
          <w:szCs w:val="22"/>
          <w:highlight w:val="none"/>
        </w:rPr>
        <w:t>采购人按照《中华人民共和国政府采购法》等有关法律、法规的规定组建磋商小组，磋商小组成员由采购人代表和有关技术、经济等方面的专家组成，成员人数为3人</w:t>
      </w:r>
      <w:r>
        <w:rPr>
          <w:rFonts w:hint="eastAsia" w:ascii="宋体" w:hAnsi="宋体" w:cs="新宋体"/>
          <w:color w:val="auto"/>
          <w:kern w:val="0"/>
          <w:sz w:val="22"/>
          <w:szCs w:val="22"/>
          <w:highlight w:val="none"/>
          <w:lang w:val="en-US" w:eastAsia="zh-CN"/>
        </w:rPr>
        <w:t>及以上单数</w:t>
      </w:r>
      <w:r>
        <w:rPr>
          <w:rFonts w:hint="eastAsia" w:ascii="宋体" w:hAnsi="宋体" w:cs="新宋体"/>
          <w:color w:val="auto"/>
          <w:kern w:val="0"/>
          <w:sz w:val="22"/>
          <w:szCs w:val="22"/>
          <w:highlight w:val="none"/>
        </w:rPr>
        <w:t>，除采购人代表外的专家将在评标专家库中随机抽取产生。</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27.磋商评审过程的保密性</w:t>
      </w:r>
    </w:p>
    <w:p>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开标后直至向成交供应商授予合同时止，凡与磋商评审有关的资料均不得向供应商及与磋商评审无关人员透露。如果供应商在磋商评审过程中试图向采购人和采购代理机构施加影响，其磋商响应文件将被否决。</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28.磋商和评审</w:t>
      </w:r>
    </w:p>
    <w:p>
      <w:pPr>
        <w:spacing w:line="460" w:lineRule="exact"/>
        <w:rPr>
          <w:rFonts w:ascii="宋体" w:hAnsi="宋体"/>
          <w:color w:val="auto"/>
          <w:kern w:val="0"/>
          <w:sz w:val="22"/>
          <w:szCs w:val="22"/>
          <w:highlight w:val="none"/>
        </w:rPr>
      </w:pPr>
      <w:r>
        <w:rPr>
          <w:rFonts w:hint="eastAsia" w:ascii="宋体" w:hAnsi="宋体"/>
          <w:color w:val="auto"/>
          <w:kern w:val="0"/>
          <w:sz w:val="22"/>
          <w:szCs w:val="22"/>
          <w:highlight w:val="none"/>
        </w:rPr>
        <w:t>28.1 磋商小组根据磋商文件的规定，对磋商响应文件的有效性、完整性和对磋商文件的响应程度进行审查，以确定其是否对磋商文件作出了实质性响应。实质上没有响应磋商文件要求的磋商响应文件将被否决。</w:t>
      </w:r>
    </w:p>
    <w:p>
      <w:pPr>
        <w:spacing w:line="460" w:lineRule="exact"/>
        <w:rPr>
          <w:rFonts w:ascii="宋体" w:hAnsi="宋体"/>
          <w:color w:val="auto"/>
          <w:sz w:val="22"/>
          <w:szCs w:val="22"/>
          <w:highlight w:val="none"/>
        </w:rPr>
      </w:pPr>
      <w:r>
        <w:rPr>
          <w:rFonts w:hint="eastAsia" w:ascii="宋体" w:hAnsi="宋体"/>
          <w:color w:val="auto"/>
          <w:kern w:val="0"/>
          <w:sz w:val="22"/>
          <w:szCs w:val="22"/>
          <w:highlight w:val="none"/>
        </w:rPr>
        <w:t>28.2评审过程中磋商供应商有义务对磋商小组提出就磋商响应文件中含义不明确、同类问题表述不</w:t>
      </w:r>
      <w:r>
        <w:rPr>
          <w:rFonts w:hint="eastAsia" w:ascii="宋体" w:hAnsi="宋体"/>
          <w:color w:val="auto"/>
          <w:sz w:val="22"/>
          <w:szCs w:val="22"/>
          <w:highlight w:val="none"/>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28.3</w:t>
      </w:r>
      <w:r>
        <w:rPr>
          <w:rFonts w:hint="eastAsia" w:ascii="宋体" w:hAnsi="宋体"/>
          <w:color w:val="auto"/>
          <w:sz w:val="22"/>
          <w:szCs w:val="22"/>
          <w:highlight w:val="none"/>
          <w:u w:val="single"/>
        </w:rPr>
        <w:t>▲</w:t>
      </w:r>
      <w:r>
        <w:rPr>
          <w:rFonts w:hint="eastAsia" w:ascii="宋体" w:hAnsi="宋体"/>
          <w:b/>
          <w:bCs/>
          <w:color w:val="auto"/>
          <w:sz w:val="22"/>
          <w:szCs w:val="22"/>
          <w:highlight w:val="none"/>
          <w:u w:val="single"/>
        </w:rPr>
        <w:t>经澄清后，若偏差仍存在，且不可接受，磋商供应商则被认为是“没有实质性响应采购文件要求”，其磋商不进入下一步评审</w:t>
      </w:r>
      <w:r>
        <w:rPr>
          <w:rFonts w:hint="eastAsia" w:ascii="宋体" w:hAnsi="宋体"/>
          <w:color w:val="auto"/>
          <w:sz w:val="22"/>
          <w:szCs w:val="22"/>
          <w:highlight w:val="none"/>
        </w:rPr>
        <w:t>。</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28.4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28.6在磋商过程中，磋商供应商不得向磋商小组成员询问磋商情况，不得进行旨在影响磋商结果的活动，否则将取消其磋商资格。</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28.7在磋商过程中，磋商小组成员不得与磋商供应商私下交换意见，在竞争性磋商结束后，凡与磋商情况有接触的人不得将磋商情况扩散出磋商小组成员外。</w:t>
      </w:r>
    </w:p>
    <w:p>
      <w:pPr>
        <w:spacing w:line="460" w:lineRule="exact"/>
        <w:rPr>
          <w:rFonts w:ascii="宋体" w:hAnsi="宋体"/>
          <w:color w:val="auto"/>
          <w:sz w:val="22"/>
          <w:szCs w:val="22"/>
          <w:highlight w:val="none"/>
        </w:rPr>
      </w:pPr>
      <w:r>
        <w:rPr>
          <w:rFonts w:hint="eastAsia" w:ascii="宋体" w:hAnsi="宋体"/>
          <w:b/>
          <w:bCs/>
          <w:color w:val="auto"/>
          <w:sz w:val="22"/>
          <w:szCs w:val="22"/>
          <w:highlight w:val="none"/>
        </w:rPr>
        <w:t>28.8磋商结束后，磋商小组将要求磋商供应商在规定的时间内，统一进行最后报价，最后报价不得高于一次报价（磋商小组另有决议的除外）。</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 xml:space="preserve">29.▲ </w:t>
      </w:r>
      <w:r>
        <w:rPr>
          <w:rFonts w:hint="eastAsia" w:ascii="宋体" w:hAnsi="宋体"/>
          <w:b/>
          <w:bCs/>
          <w:color w:val="auto"/>
          <w:sz w:val="22"/>
          <w:szCs w:val="22"/>
          <w:highlight w:val="none"/>
          <w:u w:val="single"/>
        </w:rPr>
        <w:t>在磋商响应文件的评审过程中，有下列情况之一的，经磋商小组认定后按无效标处理</w:t>
      </w:r>
      <w:r>
        <w:rPr>
          <w:rFonts w:hint="eastAsia" w:ascii="宋体" w:hAnsi="宋体"/>
          <w:color w:val="auto"/>
          <w:sz w:val="22"/>
          <w:szCs w:val="22"/>
          <w:highlight w:val="none"/>
        </w:rPr>
        <w:t>：</w:t>
      </w:r>
    </w:p>
    <w:p>
      <w:pPr>
        <w:numPr>
          <w:ilvl w:val="0"/>
          <w:numId w:val="11"/>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磋商响应文件未按采购文件的要求签章的；</w:t>
      </w:r>
    </w:p>
    <w:p>
      <w:pPr>
        <w:numPr>
          <w:ilvl w:val="0"/>
          <w:numId w:val="11"/>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授权代表没有法定代表人合法、有效委托的；</w:t>
      </w:r>
    </w:p>
    <w:p>
      <w:pPr>
        <w:numPr>
          <w:ilvl w:val="0"/>
          <w:numId w:val="11"/>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未按采购文件要求提供资格审查资料的；</w:t>
      </w:r>
    </w:p>
    <w:p>
      <w:pPr>
        <w:numPr>
          <w:ilvl w:val="0"/>
          <w:numId w:val="11"/>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电子磋商响应文件解密失败的，且未在规定时间内提交备份磋商响应文件的；</w:t>
      </w:r>
    </w:p>
    <w:p>
      <w:pPr>
        <w:numPr>
          <w:ilvl w:val="0"/>
          <w:numId w:val="11"/>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磋商响应文件内容不全或关键字迹模糊无法辨认的。</w:t>
      </w:r>
    </w:p>
    <w:p>
      <w:pPr>
        <w:numPr>
          <w:ilvl w:val="0"/>
          <w:numId w:val="11"/>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供应商递交两份或多份内容不同的磋商响应文件,或在一份磋商响应文件中对同一项目报价有两个或多个报价,且未声明哪一个有效（大小写不一致的除外）。</w:t>
      </w:r>
    </w:p>
    <w:p>
      <w:pPr>
        <w:numPr>
          <w:ilvl w:val="0"/>
          <w:numId w:val="11"/>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磋商响应文件附有采购人不能接受的条件；</w:t>
      </w:r>
    </w:p>
    <w:p>
      <w:pPr>
        <w:numPr>
          <w:ilvl w:val="0"/>
          <w:numId w:val="11"/>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磋商响应文件采用总价让利或百分比让利等让利方式报价；</w:t>
      </w:r>
    </w:p>
    <w:p>
      <w:pPr>
        <w:numPr>
          <w:ilvl w:val="0"/>
          <w:numId w:val="11"/>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供应商报价超过项目预算金额的；</w:t>
      </w:r>
    </w:p>
    <w:p>
      <w:pPr>
        <w:numPr>
          <w:ilvl w:val="0"/>
          <w:numId w:val="11"/>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磋商小组认定不符合法律、法规和采购文件中规定的其他实质性要求的。</w:t>
      </w:r>
    </w:p>
    <w:p>
      <w:pPr>
        <w:spacing w:line="460" w:lineRule="exact"/>
        <w:rPr>
          <w:rFonts w:ascii="宋体" w:hAnsi="宋体"/>
          <w:color w:val="auto"/>
          <w:sz w:val="22"/>
          <w:szCs w:val="22"/>
          <w:highlight w:val="none"/>
        </w:rPr>
      </w:pPr>
      <w:r>
        <w:rPr>
          <w:rFonts w:hint="eastAsia" w:ascii="宋体" w:hAnsi="宋体"/>
          <w:b/>
          <w:bCs/>
          <w:color w:val="auto"/>
          <w:kern w:val="0"/>
          <w:sz w:val="22"/>
          <w:szCs w:val="22"/>
          <w:highlight w:val="none"/>
          <w:u w:val="single"/>
        </w:rPr>
        <w:t>30.有下列情形之一的，视为供应商串通投标，其磋商响应文件无效</w:t>
      </w:r>
      <w:r>
        <w:rPr>
          <w:rFonts w:hint="eastAsia" w:ascii="宋体" w:hAnsi="宋体"/>
          <w:color w:val="auto"/>
          <w:kern w:val="0"/>
          <w:sz w:val="22"/>
          <w:szCs w:val="22"/>
          <w:highlight w:val="none"/>
        </w:rPr>
        <w:t>：</w:t>
      </w:r>
    </w:p>
    <w:p>
      <w:pPr>
        <w:numPr>
          <w:ilvl w:val="0"/>
          <w:numId w:val="12"/>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不同供应商的磋商响应文件由同一单位或者个人编制；</w:t>
      </w:r>
    </w:p>
    <w:p>
      <w:pPr>
        <w:numPr>
          <w:ilvl w:val="0"/>
          <w:numId w:val="12"/>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不同供应商委托同一单位或者个人办理投标事宜；</w:t>
      </w:r>
    </w:p>
    <w:p>
      <w:pPr>
        <w:numPr>
          <w:ilvl w:val="0"/>
          <w:numId w:val="12"/>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不同供应商的磋商响应文件载明的项目管理成员或者联系人员为同一人；</w:t>
      </w:r>
    </w:p>
    <w:p>
      <w:pPr>
        <w:numPr>
          <w:ilvl w:val="0"/>
          <w:numId w:val="12"/>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不同供应商的磋商响应文件异常一致或者</w:t>
      </w:r>
      <w:r>
        <w:rPr>
          <w:rFonts w:hint="eastAsia" w:ascii="宋体" w:hAnsi="宋体"/>
          <w:bCs/>
          <w:color w:val="auto"/>
          <w:sz w:val="22"/>
          <w:szCs w:val="22"/>
          <w:highlight w:val="none"/>
          <w:lang w:eastAsia="zh-CN"/>
        </w:rPr>
        <w:t>磋商报价</w:t>
      </w:r>
      <w:r>
        <w:rPr>
          <w:rFonts w:hint="eastAsia" w:ascii="宋体" w:hAnsi="宋体"/>
          <w:bCs/>
          <w:color w:val="auto"/>
          <w:sz w:val="22"/>
          <w:szCs w:val="22"/>
          <w:highlight w:val="none"/>
        </w:rPr>
        <w:t>呈规律性差异；</w:t>
      </w:r>
    </w:p>
    <w:p>
      <w:pPr>
        <w:numPr>
          <w:ilvl w:val="0"/>
          <w:numId w:val="12"/>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rPr>
        <w:t>不同供应商的磋商响应文件相互混装。</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31.推荐成交候选供应商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31.1 本项目采购由磋商小组向采购人推荐成交候选供应商。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31.2 磋商小组根据综合评审情况，按照评审得分由高到低顺序,推荐综合得分前两名的供应商为成交候选供应商及成交备选供应商（</w:t>
      </w:r>
      <w:r>
        <w:rPr>
          <w:rFonts w:hint="eastAsia" w:ascii="宋体" w:hAnsi="宋体" w:cs="新宋体"/>
          <w:color w:val="auto"/>
          <w:sz w:val="22"/>
          <w:szCs w:val="22"/>
          <w:highlight w:val="none"/>
        </w:rPr>
        <w:t>得分相同</w:t>
      </w:r>
      <w:r>
        <w:rPr>
          <w:rFonts w:hint="eastAsia" w:ascii="宋体" w:hAnsi="宋体" w:cs="新宋体"/>
          <w:color w:val="auto"/>
          <w:sz w:val="22"/>
          <w:szCs w:val="22"/>
          <w:highlight w:val="none"/>
          <w:lang w:eastAsia="zh-CN"/>
        </w:rPr>
        <w:t>磋商报价</w:t>
      </w:r>
      <w:r>
        <w:rPr>
          <w:rFonts w:hint="eastAsia" w:ascii="宋体" w:hAnsi="宋体" w:cs="新宋体"/>
          <w:color w:val="auto"/>
          <w:sz w:val="22"/>
          <w:szCs w:val="22"/>
          <w:highlight w:val="none"/>
        </w:rPr>
        <w:t>低的排序前位；得分且</w:t>
      </w:r>
      <w:r>
        <w:rPr>
          <w:rFonts w:hint="eastAsia" w:ascii="宋体" w:hAnsi="宋体" w:cs="新宋体"/>
          <w:color w:val="auto"/>
          <w:sz w:val="22"/>
          <w:szCs w:val="22"/>
          <w:highlight w:val="none"/>
          <w:lang w:eastAsia="zh-CN"/>
        </w:rPr>
        <w:t>磋商报价</w:t>
      </w:r>
      <w:r>
        <w:rPr>
          <w:rFonts w:hint="eastAsia" w:ascii="宋体" w:hAnsi="宋体" w:cs="新宋体"/>
          <w:color w:val="auto"/>
          <w:sz w:val="22"/>
          <w:szCs w:val="22"/>
          <w:highlight w:val="none"/>
        </w:rPr>
        <w:t>相同的并列，磋商响应文件满足采购文件全部实质性要求，且按照评审因素的量化指标评审得分最高的供应商为中标候选人</w:t>
      </w:r>
      <w:r>
        <w:rPr>
          <w:rFonts w:hint="eastAsia" w:ascii="宋体" w:hAnsi="宋体"/>
          <w:color w:val="auto"/>
          <w:sz w:val="22"/>
          <w:szCs w:val="22"/>
          <w:highlight w:val="none"/>
        </w:rPr>
        <w:t>）。</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32.在磋商过程中符合竞争要求的供应商或者最终报价未超过采购预算的供应商不足3家：</w:t>
      </w:r>
    </w:p>
    <w:p>
      <w:pPr>
        <w:numPr>
          <w:ilvl w:val="0"/>
          <w:numId w:val="13"/>
        </w:numPr>
        <w:spacing w:line="440" w:lineRule="exact"/>
        <w:ind w:firstLine="418" w:firstLineChars="190"/>
        <w:rPr>
          <w:rFonts w:ascii="宋体" w:hAnsi="宋体"/>
          <w:color w:val="auto"/>
          <w:sz w:val="22"/>
          <w:szCs w:val="22"/>
          <w:highlight w:val="none"/>
        </w:rPr>
      </w:pPr>
      <w:r>
        <w:rPr>
          <w:rFonts w:hint="eastAsia" w:ascii="宋体" w:hAnsi="宋体"/>
          <w:color w:val="auto"/>
          <w:sz w:val="22"/>
          <w:szCs w:val="22"/>
          <w:highlight w:val="none"/>
        </w:rPr>
        <w:t>磋商过程中符合竞争要求的供应商或者最终报价未超过采购预算的供应商为2家，则按照《财政部关于政府采购竞争性磋商采购方式管理暂行办法有关问题的补充通知》相关规定继续评审磋商程序，按照两名供应商的综合得分排名推荐为成交候选供应商及成交备选供应商。</w:t>
      </w:r>
    </w:p>
    <w:p>
      <w:pPr>
        <w:numPr>
          <w:ilvl w:val="0"/>
          <w:numId w:val="13"/>
        </w:numPr>
        <w:spacing w:line="440" w:lineRule="exact"/>
        <w:ind w:firstLine="418" w:firstLineChars="190"/>
        <w:rPr>
          <w:rFonts w:ascii="宋体" w:hAnsi="宋体"/>
          <w:color w:val="auto"/>
          <w:sz w:val="22"/>
          <w:szCs w:val="22"/>
          <w:highlight w:val="none"/>
        </w:rPr>
      </w:pPr>
      <w:r>
        <w:rPr>
          <w:rFonts w:hint="eastAsia" w:ascii="宋体" w:hAnsi="宋体"/>
          <w:color w:val="auto"/>
          <w:sz w:val="22"/>
          <w:szCs w:val="22"/>
          <w:highlight w:val="none"/>
        </w:rPr>
        <w:t>磋商过程中符合竞争要求的供应商或者最终报价未超过采购预算的供应商仅有1家，本项目流标，应重新组织采购流程。</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33.采购人、采购代理机构及磋商小组不向落选的供应商解释落选原因，也不公布评审磋商过程中的相关细节，不退还磋商响应文件。</w:t>
      </w:r>
    </w:p>
    <w:p>
      <w:pPr>
        <w:tabs>
          <w:tab w:val="left" w:pos="1365"/>
        </w:tabs>
        <w:spacing w:line="460" w:lineRule="exact"/>
        <w:ind w:left="550" w:hanging="550" w:hangingChars="250"/>
        <w:rPr>
          <w:rFonts w:ascii="宋体" w:hAnsi="宋体" w:cs="新宋体"/>
          <w:bCs/>
          <w:color w:val="auto"/>
          <w:sz w:val="22"/>
          <w:szCs w:val="22"/>
          <w:highlight w:val="none"/>
        </w:rPr>
      </w:pPr>
      <w:r>
        <w:rPr>
          <w:rFonts w:hint="eastAsia" w:ascii="宋体" w:hAnsi="宋体" w:cs="新宋体"/>
          <w:color w:val="auto"/>
          <w:kern w:val="0"/>
          <w:sz w:val="22"/>
          <w:szCs w:val="22"/>
          <w:highlight w:val="none"/>
        </w:rPr>
        <w:t>34. 评标细则详见“磋商原则及方法”</w:t>
      </w:r>
      <w:r>
        <w:rPr>
          <w:rFonts w:hint="eastAsia" w:ascii="宋体" w:hAnsi="宋体" w:cs="新宋体"/>
          <w:bCs/>
          <w:color w:val="auto"/>
          <w:sz w:val="22"/>
          <w:szCs w:val="22"/>
          <w:highlight w:val="none"/>
        </w:rPr>
        <w:t>。</w:t>
      </w:r>
    </w:p>
    <w:p>
      <w:pPr>
        <w:spacing w:line="460" w:lineRule="exact"/>
        <w:rPr>
          <w:rFonts w:ascii="宋体" w:hAnsi="宋体" w:cs="新宋体"/>
          <w:b/>
          <w:color w:val="auto"/>
          <w:kern w:val="0"/>
          <w:sz w:val="22"/>
          <w:szCs w:val="22"/>
          <w:highlight w:val="none"/>
        </w:rPr>
      </w:pPr>
      <w:r>
        <w:rPr>
          <w:rFonts w:hint="eastAsia" w:ascii="宋体" w:hAnsi="宋体" w:cs="新宋体"/>
          <w:b/>
          <w:color w:val="auto"/>
          <w:kern w:val="0"/>
          <w:sz w:val="22"/>
          <w:szCs w:val="22"/>
          <w:highlight w:val="none"/>
        </w:rPr>
        <w:t>35. 可中止电子交易活动的情形</w:t>
      </w:r>
    </w:p>
    <w:p>
      <w:pPr>
        <w:spacing w:line="460" w:lineRule="exac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pPr>
        <w:numPr>
          <w:ilvl w:val="2"/>
          <w:numId w:val="14"/>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电子交易平台发生故障而无法登录访问的；</w:t>
      </w:r>
    </w:p>
    <w:p>
      <w:pPr>
        <w:numPr>
          <w:ilvl w:val="2"/>
          <w:numId w:val="14"/>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电子交易平台应用或数据库出现错误，不能进行正常操作的；</w:t>
      </w:r>
    </w:p>
    <w:p>
      <w:pPr>
        <w:numPr>
          <w:ilvl w:val="2"/>
          <w:numId w:val="14"/>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电子交易平台发现严重安全漏洞，有潜在泄密危险的；</w:t>
      </w:r>
    </w:p>
    <w:p>
      <w:pPr>
        <w:numPr>
          <w:ilvl w:val="2"/>
          <w:numId w:val="14"/>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病毒发作导致不能进行正常操作的；</w:t>
      </w:r>
    </w:p>
    <w:p>
      <w:pPr>
        <w:numPr>
          <w:ilvl w:val="2"/>
          <w:numId w:val="14"/>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其他无法保证电子交易的公平、公正和安全的情况。</w:t>
      </w:r>
    </w:p>
    <w:p>
      <w:pPr>
        <w:spacing w:line="460" w:lineRule="exact"/>
        <w:rPr>
          <w:rFonts w:ascii="宋体" w:hAnsi="宋体"/>
          <w:color w:val="auto"/>
          <w:sz w:val="22"/>
          <w:szCs w:val="22"/>
          <w:highlight w:val="none"/>
        </w:rPr>
      </w:pPr>
      <w:r>
        <w:rPr>
          <w:rFonts w:hint="eastAsia" w:ascii="宋体" w:hAnsi="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pPr>
        <w:spacing w:before="100" w:beforeAutospacing="1" w:after="100" w:afterAutospacing="1" w:line="440" w:lineRule="exact"/>
        <w:jc w:val="center"/>
        <w:outlineLvl w:val="1"/>
        <w:rPr>
          <w:rFonts w:ascii="宋体" w:hAnsi="宋体"/>
          <w:b/>
          <w:bCs/>
          <w:color w:val="auto"/>
          <w:sz w:val="22"/>
          <w:szCs w:val="22"/>
          <w:highlight w:val="none"/>
        </w:rPr>
      </w:pPr>
      <w:bookmarkStart w:id="38" w:name="_Toc57626730"/>
      <w:bookmarkStart w:id="39" w:name="_Toc38618588"/>
      <w:bookmarkStart w:id="40" w:name="_Toc30604"/>
      <w:bookmarkStart w:id="41" w:name="_Toc5727"/>
      <w:r>
        <w:rPr>
          <w:rFonts w:hint="eastAsia" w:ascii="宋体" w:hAnsi="宋体"/>
          <w:b/>
          <w:bCs/>
          <w:color w:val="auto"/>
          <w:sz w:val="22"/>
          <w:szCs w:val="22"/>
          <w:highlight w:val="none"/>
        </w:rPr>
        <w:t>七   定标及授予合同</w:t>
      </w:r>
      <w:bookmarkEnd w:id="38"/>
      <w:bookmarkEnd w:id="39"/>
      <w:bookmarkEnd w:id="40"/>
      <w:bookmarkEnd w:id="41"/>
    </w:p>
    <w:p>
      <w:pPr>
        <w:tabs>
          <w:tab w:val="left" w:pos="540"/>
        </w:tabs>
        <w:spacing w:line="440" w:lineRule="exact"/>
        <w:rPr>
          <w:rFonts w:ascii="宋体" w:hAnsi="宋体" w:cs="新宋体"/>
          <w:b/>
          <w:color w:val="auto"/>
          <w:sz w:val="22"/>
          <w:szCs w:val="22"/>
          <w:highlight w:val="none"/>
        </w:rPr>
      </w:pPr>
      <w:r>
        <w:rPr>
          <w:rFonts w:hint="eastAsia" w:ascii="宋体" w:hAnsi="宋体" w:cs="新宋体"/>
          <w:b/>
          <w:color w:val="auto"/>
          <w:sz w:val="22"/>
          <w:szCs w:val="22"/>
          <w:highlight w:val="none"/>
        </w:rPr>
        <w:t>36. 确定成交供应商</w:t>
      </w:r>
    </w:p>
    <w:p>
      <w:pPr>
        <w:tabs>
          <w:tab w:val="left" w:pos="540"/>
        </w:tabs>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36.1采购人自收到评标报告之日起5个工作日内，在评标报告确定的成交候选供应商名单中按顺序确定成交供应商。</w:t>
      </w:r>
    </w:p>
    <w:p>
      <w:pPr>
        <w:tabs>
          <w:tab w:val="left" w:pos="540"/>
        </w:tabs>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36.2成交供应商确定之日起2个工作日内，在“政采云”平台上公示成交结果，采购结果公示期限为1个工作日。</w:t>
      </w:r>
    </w:p>
    <w:p>
      <w:pPr>
        <w:tabs>
          <w:tab w:val="left" w:pos="540"/>
        </w:tabs>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36.3在公告成交结果的同时，采购人向成交供应商发出成交通知书。</w:t>
      </w:r>
    </w:p>
    <w:p>
      <w:pPr>
        <w:tabs>
          <w:tab w:val="left" w:pos="540"/>
        </w:tabs>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36.4各供应商对评标结果如有异议，可在成交结果公示之日起7个工作日内以书面形式向采购人进行署名投诉或提出质疑，但需对投诉或质疑内容的真实性承担法律责任。</w:t>
      </w:r>
    </w:p>
    <w:p>
      <w:pPr>
        <w:tabs>
          <w:tab w:val="left" w:pos="540"/>
        </w:tabs>
        <w:spacing w:line="440" w:lineRule="exact"/>
        <w:rPr>
          <w:rFonts w:ascii="宋体" w:hAnsi="宋体" w:cs="新宋体"/>
          <w:b/>
          <w:color w:val="auto"/>
          <w:sz w:val="22"/>
          <w:szCs w:val="22"/>
          <w:highlight w:val="none"/>
        </w:rPr>
      </w:pPr>
      <w:r>
        <w:rPr>
          <w:rFonts w:hint="eastAsia" w:ascii="宋体" w:hAnsi="宋体" w:cs="新宋体"/>
          <w:b/>
          <w:color w:val="auto"/>
          <w:sz w:val="22"/>
          <w:szCs w:val="22"/>
          <w:highlight w:val="none"/>
        </w:rPr>
        <w:t>37. 签订合同</w:t>
      </w:r>
    </w:p>
    <w:p>
      <w:pPr>
        <w:tabs>
          <w:tab w:val="left" w:pos="540"/>
        </w:tabs>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37.1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pPr>
        <w:tabs>
          <w:tab w:val="left" w:pos="540"/>
        </w:tabs>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37.2采购文件、成交供应商的磋商响应文件及投标修改文件、评标过程中有关澄清文件及经双方签字的询标纪要（承诺）和成交通知书均作为合同附件。</w:t>
      </w:r>
    </w:p>
    <w:p>
      <w:pPr>
        <w:tabs>
          <w:tab w:val="left" w:pos="540"/>
        </w:tabs>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37.3拒签合同的责任</w:t>
      </w:r>
    </w:p>
    <w:p>
      <w:pPr>
        <w:tabs>
          <w:tab w:val="left" w:pos="540"/>
        </w:tabs>
        <w:spacing w:line="440" w:lineRule="exact"/>
        <w:rPr>
          <w:rFonts w:ascii="宋体" w:hAnsi="宋体"/>
          <w:color w:val="auto"/>
          <w:sz w:val="22"/>
          <w:szCs w:val="22"/>
          <w:highlight w:val="none"/>
        </w:rPr>
      </w:pPr>
      <w:r>
        <w:rPr>
          <w:rFonts w:hint="eastAsia" w:ascii="宋体" w:hAnsi="宋体" w:cs="新宋体"/>
          <w:color w:val="auto"/>
          <w:sz w:val="22"/>
          <w:szCs w:val="22"/>
          <w:highlight w:val="none"/>
        </w:rPr>
        <w:t>37.4成交供应商在规定时间内（30日历天）借故否认已经承诺的条件、拒签合同，以投标违约处理，并赔偿采购人由此造成的直接经济损失；采购人重新组织采购的，所需费用由原成交供应商承担。</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38.成交供应商有以下情况的，则采购人有权决定是否将其成交资格转交成交备选供应商或重新组织项目采购流程：</w:t>
      </w:r>
    </w:p>
    <w:p>
      <w:pPr>
        <w:numPr>
          <w:ilvl w:val="0"/>
          <w:numId w:val="15"/>
        </w:numPr>
        <w:spacing w:line="440" w:lineRule="exact"/>
        <w:ind w:firstLine="418" w:firstLineChars="190"/>
        <w:rPr>
          <w:rFonts w:ascii="宋体" w:hAnsi="宋体"/>
          <w:bCs/>
          <w:color w:val="auto"/>
          <w:sz w:val="22"/>
          <w:szCs w:val="22"/>
          <w:highlight w:val="none"/>
          <w:lang w:val="zh-CN"/>
        </w:rPr>
      </w:pPr>
      <w:r>
        <w:rPr>
          <w:rFonts w:hint="eastAsia" w:ascii="宋体" w:hAnsi="宋体"/>
          <w:bCs/>
          <w:color w:val="auto"/>
          <w:sz w:val="22"/>
          <w:szCs w:val="22"/>
          <w:highlight w:val="none"/>
          <w:lang w:val="zh-CN"/>
        </w:rPr>
        <w:t>成交供应商主动放弃成交资格；</w:t>
      </w:r>
    </w:p>
    <w:p>
      <w:pPr>
        <w:numPr>
          <w:ilvl w:val="0"/>
          <w:numId w:val="15"/>
        </w:numPr>
        <w:spacing w:line="440" w:lineRule="exact"/>
        <w:ind w:firstLine="418" w:firstLineChars="190"/>
        <w:rPr>
          <w:rFonts w:ascii="宋体" w:hAnsi="宋体"/>
          <w:bCs/>
          <w:color w:val="auto"/>
          <w:sz w:val="22"/>
          <w:szCs w:val="22"/>
          <w:highlight w:val="none"/>
          <w:lang w:val="zh-CN"/>
        </w:rPr>
      </w:pPr>
      <w:r>
        <w:rPr>
          <w:rFonts w:hint="eastAsia" w:ascii="宋体" w:hAnsi="宋体"/>
          <w:bCs/>
          <w:color w:val="auto"/>
          <w:sz w:val="22"/>
          <w:szCs w:val="22"/>
          <w:highlight w:val="none"/>
          <w:lang w:val="zh-CN"/>
        </w:rPr>
        <w:t>成交供应商因不可抗力提出不能履行合同；</w:t>
      </w:r>
    </w:p>
    <w:p>
      <w:pPr>
        <w:numPr>
          <w:ilvl w:val="0"/>
          <w:numId w:val="15"/>
        </w:numPr>
        <w:spacing w:line="440" w:lineRule="exact"/>
        <w:ind w:firstLine="418" w:firstLineChars="190"/>
        <w:rPr>
          <w:rFonts w:ascii="宋体" w:hAnsi="宋体"/>
          <w:bCs/>
          <w:color w:val="auto"/>
          <w:sz w:val="22"/>
          <w:szCs w:val="22"/>
          <w:highlight w:val="none"/>
          <w:lang w:val="zh-CN"/>
        </w:rPr>
      </w:pPr>
      <w:r>
        <w:rPr>
          <w:rFonts w:hint="eastAsia" w:ascii="宋体" w:hAnsi="宋体"/>
          <w:bCs/>
          <w:color w:val="auto"/>
          <w:sz w:val="22"/>
          <w:szCs w:val="22"/>
          <w:highlight w:val="none"/>
          <w:lang w:val="zh-CN"/>
        </w:rPr>
        <w:t>成交供应商未能在规定时间内与采购人签订合同；</w:t>
      </w:r>
    </w:p>
    <w:p>
      <w:pPr>
        <w:numPr>
          <w:ilvl w:val="0"/>
          <w:numId w:val="15"/>
        </w:numPr>
        <w:spacing w:line="440" w:lineRule="exact"/>
        <w:ind w:firstLine="418" w:firstLineChars="190"/>
        <w:rPr>
          <w:rFonts w:ascii="宋体" w:hAnsi="宋体"/>
          <w:bCs/>
          <w:color w:val="auto"/>
          <w:sz w:val="22"/>
          <w:szCs w:val="22"/>
          <w:highlight w:val="none"/>
        </w:rPr>
      </w:pPr>
      <w:r>
        <w:rPr>
          <w:rFonts w:hint="eastAsia" w:ascii="宋体" w:hAnsi="宋体"/>
          <w:bCs/>
          <w:color w:val="auto"/>
          <w:sz w:val="22"/>
          <w:szCs w:val="22"/>
          <w:highlight w:val="none"/>
          <w:lang w:val="zh-CN"/>
        </w:rPr>
        <w:t>经质疑，采购人审查后，成交供应商确实在本次采购活动中存在违法违规行为或其他原因使质疑成立的。</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39.未详尽事宜，遵照有关法律法规及规范性文件的规定执行。</w:t>
      </w:r>
    </w:p>
    <w:p>
      <w:pPr>
        <w:rPr>
          <w:rFonts w:ascii="新宋体" w:hAnsi="新宋体" w:eastAsia="新宋体"/>
          <w:color w:val="auto"/>
          <w:sz w:val="22"/>
          <w:szCs w:val="22"/>
          <w:highlight w:val="none"/>
        </w:rPr>
      </w:pPr>
    </w:p>
    <w:p>
      <w:pPr>
        <w:pStyle w:val="21"/>
        <w:rPr>
          <w:color w:val="auto"/>
          <w:highlight w:val="none"/>
        </w:rPr>
      </w:pPr>
    </w:p>
    <w:p>
      <w:pPr>
        <w:pStyle w:val="22"/>
        <w:ind w:firstLine="0" w:firstLineChars="0"/>
        <w:rPr>
          <w:color w:val="auto"/>
          <w:highlight w:val="none"/>
        </w:rPr>
      </w:pPr>
    </w:p>
    <w:p>
      <w:pPr>
        <w:rPr>
          <w:rFonts w:ascii="新宋体" w:hAnsi="新宋体" w:eastAsia="新宋体" w:cs="宋体"/>
          <w:b/>
          <w:color w:val="auto"/>
          <w:sz w:val="24"/>
          <w:highlight w:val="none"/>
        </w:rPr>
      </w:pPr>
      <w:r>
        <w:rPr>
          <w:rFonts w:hint="eastAsia" w:ascii="新宋体" w:hAnsi="新宋体" w:eastAsia="新宋体" w:cs="宋体"/>
          <w:b/>
          <w:color w:val="auto"/>
          <w:sz w:val="24"/>
          <w:highlight w:val="none"/>
        </w:rPr>
        <w:br w:type="page"/>
      </w:r>
    </w:p>
    <w:p>
      <w:pPr>
        <w:pStyle w:val="405"/>
        <w:spacing w:line="500" w:lineRule="exact"/>
        <w:ind w:firstLine="482"/>
        <w:jc w:val="center"/>
        <w:rPr>
          <w:rFonts w:ascii="新宋体" w:hAnsi="新宋体" w:eastAsia="新宋体" w:cs="宋体"/>
          <w:b/>
          <w:color w:val="auto"/>
          <w:sz w:val="24"/>
          <w:szCs w:val="24"/>
          <w:highlight w:val="none"/>
        </w:rPr>
      </w:pPr>
      <w:r>
        <w:rPr>
          <w:rFonts w:hint="eastAsia" w:ascii="新宋体" w:hAnsi="新宋体" w:eastAsia="新宋体" w:cs="宋体"/>
          <w:b/>
          <w:color w:val="auto"/>
          <w:sz w:val="24"/>
          <w:szCs w:val="24"/>
          <w:highlight w:val="none"/>
        </w:rPr>
        <w:t>政府采购活动现场确认声明书</w:t>
      </w:r>
    </w:p>
    <w:p>
      <w:pPr>
        <w:pStyle w:val="405"/>
        <w:spacing w:line="500" w:lineRule="exact"/>
        <w:ind w:firstLine="442"/>
        <w:rPr>
          <w:rFonts w:ascii="新宋体" w:hAnsi="新宋体" w:eastAsia="新宋体" w:cs="宋体"/>
          <w:b/>
          <w:color w:val="auto"/>
          <w:sz w:val="22"/>
          <w:szCs w:val="22"/>
          <w:highlight w:val="none"/>
        </w:rPr>
      </w:pPr>
      <w:r>
        <w:rPr>
          <w:rFonts w:hint="eastAsia" w:ascii="新宋体" w:hAnsi="新宋体" w:eastAsia="新宋体" w:cs="宋体"/>
          <w:b/>
          <w:bCs/>
          <w:color w:val="auto"/>
          <w:sz w:val="22"/>
          <w:szCs w:val="22"/>
          <w:highlight w:val="none"/>
        </w:rPr>
        <w:t>温州市智信招标代理有限公司</w:t>
      </w:r>
      <w:r>
        <w:rPr>
          <w:rFonts w:hint="eastAsia" w:ascii="新宋体" w:hAnsi="新宋体" w:eastAsia="新宋体" w:cs="宋体"/>
          <w:b/>
          <w:color w:val="auto"/>
          <w:kern w:val="0"/>
          <w:sz w:val="22"/>
          <w:szCs w:val="22"/>
          <w:highlight w:val="none"/>
        </w:rPr>
        <w:t>：</w:t>
      </w:r>
    </w:p>
    <w:p>
      <w:pPr>
        <w:pStyle w:val="405"/>
        <w:spacing w:line="480" w:lineRule="exact"/>
        <w:ind w:firstLine="464"/>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本人经由</w:t>
      </w:r>
      <w:r>
        <w:rPr>
          <w:rFonts w:hint="eastAsia" w:ascii="新宋体" w:hAnsi="新宋体" w:eastAsia="新宋体" w:cs="宋体"/>
          <w:color w:val="auto"/>
          <w:spacing w:val="6"/>
          <w:sz w:val="22"/>
          <w:szCs w:val="22"/>
          <w:highlight w:val="none"/>
          <w:u w:val="single"/>
        </w:rPr>
        <w:t xml:space="preserve">                  （单位）</w:t>
      </w:r>
      <w:r>
        <w:rPr>
          <w:rFonts w:hint="eastAsia" w:ascii="新宋体" w:hAnsi="新宋体" w:eastAsia="新宋体" w:cs="宋体"/>
          <w:color w:val="auto"/>
          <w:spacing w:val="6"/>
          <w:sz w:val="22"/>
          <w:szCs w:val="22"/>
          <w:highlight w:val="none"/>
        </w:rPr>
        <w:t>负责人</w:t>
      </w:r>
      <w:r>
        <w:rPr>
          <w:rFonts w:hint="eastAsia" w:ascii="新宋体" w:hAnsi="新宋体" w:eastAsia="新宋体" w:cs="宋体"/>
          <w:color w:val="auto"/>
          <w:spacing w:val="6"/>
          <w:sz w:val="22"/>
          <w:szCs w:val="22"/>
          <w:highlight w:val="none"/>
          <w:u w:val="single"/>
        </w:rPr>
        <w:t xml:space="preserve">        （姓名）</w:t>
      </w:r>
      <w:r>
        <w:rPr>
          <w:rFonts w:hint="eastAsia" w:ascii="新宋体" w:hAnsi="新宋体" w:eastAsia="新宋体" w:cs="宋体"/>
          <w:color w:val="auto"/>
          <w:spacing w:val="6"/>
          <w:sz w:val="22"/>
          <w:szCs w:val="22"/>
          <w:highlight w:val="none"/>
        </w:rPr>
        <w:t>合法授权参加项目</w:t>
      </w:r>
      <w:r>
        <w:rPr>
          <w:rFonts w:hint="eastAsia" w:ascii="新宋体" w:hAnsi="新宋体" w:eastAsia="新宋体" w:cs="宋体"/>
          <w:color w:val="auto"/>
          <w:spacing w:val="6"/>
          <w:sz w:val="22"/>
          <w:szCs w:val="22"/>
          <w:highlight w:val="none"/>
          <w:u w:val="single"/>
        </w:rPr>
        <w:t xml:space="preserve">                    </w:t>
      </w:r>
      <w:r>
        <w:rPr>
          <w:rFonts w:hint="eastAsia" w:ascii="新宋体" w:hAnsi="新宋体" w:eastAsia="新宋体" w:cs="宋体"/>
          <w:color w:val="auto"/>
          <w:spacing w:val="6"/>
          <w:sz w:val="22"/>
          <w:szCs w:val="22"/>
          <w:highlight w:val="none"/>
        </w:rPr>
        <w:t>）（编号：</w:t>
      </w:r>
      <w:r>
        <w:rPr>
          <w:rFonts w:hint="eastAsia" w:ascii="新宋体" w:hAnsi="新宋体" w:eastAsia="新宋体" w:cs="宋体"/>
          <w:color w:val="auto"/>
          <w:spacing w:val="6"/>
          <w:sz w:val="22"/>
          <w:szCs w:val="22"/>
          <w:highlight w:val="none"/>
          <w:u w:val="single"/>
        </w:rPr>
        <w:t xml:space="preserve">             </w:t>
      </w:r>
      <w:r>
        <w:rPr>
          <w:rFonts w:hint="eastAsia" w:ascii="新宋体" w:hAnsi="新宋体" w:eastAsia="新宋体" w:cs="宋体"/>
          <w:color w:val="auto"/>
          <w:spacing w:val="6"/>
          <w:sz w:val="22"/>
          <w:szCs w:val="22"/>
          <w:highlight w:val="none"/>
        </w:rPr>
        <w:t xml:space="preserve">）政府采购活动，经与本单位法人代表（负责人）联系确认，现就有关公平竞争事项郑重声明如下： </w:t>
      </w:r>
    </w:p>
    <w:p>
      <w:pPr>
        <w:pStyle w:val="404"/>
        <w:widowControl/>
        <w:numPr>
          <w:ilvl w:val="0"/>
          <w:numId w:val="16"/>
        </w:numPr>
        <w:snapToGrid w:val="0"/>
        <w:spacing w:line="480" w:lineRule="exact"/>
        <w:ind w:firstLine="415" w:firstLineChars="189"/>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本单位与采购人之间 □不存在利害关系 □存在下列利害关系：</w:t>
      </w:r>
    </w:p>
    <w:p>
      <w:pPr>
        <w:pStyle w:val="404"/>
        <w:widowControl/>
        <w:snapToGrid w:val="0"/>
        <w:spacing w:line="48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A.投资关系    B.行政隶属关系    C.业务指导关系</w:t>
      </w:r>
    </w:p>
    <w:p>
      <w:pPr>
        <w:pStyle w:val="404"/>
        <w:widowControl/>
        <w:snapToGrid w:val="0"/>
        <w:spacing w:line="48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D.其他可能</w:t>
      </w:r>
      <w:r>
        <w:rPr>
          <w:rFonts w:hint="eastAsia" w:ascii="新宋体" w:hAnsi="新宋体" w:eastAsia="新宋体" w:cs="宋体"/>
          <w:color w:val="auto"/>
          <w:sz w:val="22"/>
          <w:szCs w:val="22"/>
          <w:highlight w:val="none"/>
        </w:rPr>
        <w:t>影响采购公正的</w:t>
      </w:r>
      <w:r>
        <w:rPr>
          <w:rFonts w:hint="eastAsia" w:ascii="新宋体" w:hAnsi="新宋体" w:eastAsia="新宋体" w:cs="宋体"/>
          <w:color w:val="auto"/>
          <w:kern w:val="0"/>
          <w:sz w:val="22"/>
          <w:szCs w:val="22"/>
          <w:highlight w:val="none"/>
        </w:rPr>
        <w:t>利害关系</w:t>
      </w:r>
      <w:r>
        <w:rPr>
          <w:rFonts w:hint="eastAsia" w:ascii="新宋体" w:hAnsi="新宋体" w:eastAsia="新宋体" w:cs="宋体"/>
          <w:color w:val="auto"/>
          <w:kern w:val="0"/>
          <w:sz w:val="22"/>
          <w:szCs w:val="22"/>
          <w:highlight w:val="none"/>
          <w:u w:val="single"/>
        </w:rPr>
        <w:t xml:space="preserve">（如有，请如实说明）                 </w:t>
      </w:r>
      <w:r>
        <w:rPr>
          <w:rFonts w:hint="eastAsia" w:ascii="新宋体" w:hAnsi="新宋体" w:eastAsia="新宋体" w:cs="宋体"/>
          <w:color w:val="auto"/>
          <w:kern w:val="0"/>
          <w:sz w:val="22"/>
          <w:szCs w:val="22"/>
          <w:highlight w:val="none"/>
        </w:rPr>
        <w:t>。</w:t>
      </w:r>
    </w:p>
    <w:p>
      <w:pPr>
        <w:pStyle w:val="404"/>
        <w:widowControl/>
        <w:snapToGrid w:val="0"/>
        <w:spacing w:line="48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spacing w:val="6"/>
          <w:sz w:val="22"/>
          <w:szCs w:val="22"/>
          <w:highlight w:val="none"/>
        </w:rPr>
        <w:t xml:space="preserve">  二、</w:t>
      </w:r>
      <w:r>
        <w:rPr>
          <w:rFonts w:hint="eastAsia" w:ascii="新宋体" w:hAnsi="新宋体" w:eastAsia="新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新宋体" w:hAnsi="新宋体" w:eastAsia="新宋体" w:cs="宋体"/>
          <w:color w:val="auto"/>
          <w:kern w:val="0"/>
          <w:sz w:val="22"/>
          <w:szCs w:val="22"/>
          <w:highlight w:val="none"/>
          <w:u w:val="single"/>
        </w:rPr>
        <w:t xml:space="preserve">           （供应商名称）</w:t>
      </w:r>
      <w:r>
        <w:rPr>
          <w:rFonts w:hint="eastAsia" w:ascii="新宋体" w:hAnsi="新宋体" w:eastAsia="新宋体" w:cs="宋体"/>
          <w:color w:val="auto"/>
          <w:kern w:val="0"/>
          <w:sz w:val="22"/>
          <w:szCs w:val="22"/>
          <w:highlight w:val="none"/>
        </w:rPr>
        <w:t>之间存在下列利害关系：</w:t>
      </w:r>
    </w:p>
    <w:p>
      <w:pPr>
        <w:pStyle w:val="405"/>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A.法定代表人或负责人或实际控制人是同一人</w:t>
      </w:r>
    </w:p>
    <w:p>
      <w:pPr>
        <w:pStyle w:val="405"/>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kern w:val="0"/>
          <w:sz w:val="22"/>
          <w:szCs w:val="22"/>
          <w:highlight w:val="none"/>
        </w:rPr>
        <w:t xml:space="preserve">  B.法定代表人或负责人或实际控制人是夫妻关系</w:t>
      </w:r>
    </w:p>
    <w:p>
      <w:pPr>
        <w:pStyle w:val="405"/>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kern w:val="0"/>
          <w:sz w:val="22"/>
          <w:szCs w:val="22"/>
          <w:highlight w:val="none"/>
        </w:rPr>
        <w:t xml:space="preserve">  C.法定代表人或负责人或实际控制人是直系血亲关系</w:t>
      </w:r>
    </w:p>
    <w:p>
      <w:pPr>
        <w:pStyle w:val="405"/>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kern w:val="0"/>
          <w:sz w:val="22"/>
          <w:szCs w:val="22"/>
          <w:highlight w:val="none"/>
        </w:rPr>
        <w:t xml:space="preserve">  D.法定代表人或负责人或实际控制人存在三代以内旁系血亲关系</w:t>
      </w:r>
    </w:p>
    <w:p>
      <w:pPr>
        <w:pStyle w:val="405"/>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E.法定代表人或负责人或实际控制人存在近姻亲关系</w:t>
      </w:r>
    </w:p>
    <w:p>
      <w:pPr>
        <w:pStyle w:val="405"/>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F.法定代表人或负责人或实际控制人存在股份控制或实际控制关系</w:t>
      </w:r>
    </w:p>
    <w:p>
      <w:pPr>
        <w:pStyle w:val="405"/>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G.存在共同直接或间接投资设立子公司、联营企业和合营企业情况</w:t>
      </w:r>
    </w:p>
    <w:p>
      <w:pPr>
        <w:pStyle w:val="405"/>
        <w:spacing w:line="480" w:lineRule="exact"/>
        <w:ind w:firstLine="440"/>
        <w:rPr>
          <w:rFonts w:ascii="新宋体" w:hAnsi="新宋体" w:eastAsia="新宋体" w:cs="宋体"/>
          <w:color w:val="auto"/>
          <w:sz w:val="22"/>
          <w:szCs w:val="22"/>
          <w:highlight w:val="none"/>
        </w:rPr>
      </w:pPr>
      <w:r>
        <w:rPr>
          <w:rFonts w:hint="eastAsia" w:ascii="新宋体" w:hAnsi="新宋体" w:eastAsia="新宋体" w:cs="宋体"/>
          <w:color w:val="auto"/>
          <w:kern w:val="0"/>
          <w:sz w:val="22"/>
          <w:szCs w:val="22"/>
          <w:highlight w:val="none"/>
        </w:rPr>
        <w:t xml:space="preserve">  H.存在分级代理或代销关系、同一生产制造商关系、</w:t>
      </w:r>
      <w:r>
        <w:rPr>
          <w:rFonts w:hint="eastAsia" w:ascii="新宋体" w:hAnsi="新宋体" w:eastAsia="新宋体" w:cs="宋体"/>
          <w:color w:val="auto"/>
          <w:sz w:val="22"/>
          <w:szCs w:val="22"/>
          <w:highlight w:val="none"/>
        </w:rPr>
        <w:t>管理关系、重要业务（占主营业务收入50%以上）或重要财务往来关系（如融资）等其他实质性控制关系</w:t>
      </w:r>
    </w:p>
    <w:p>
      <w:pPr>
        <w:pStyle w:val="405"/>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sz w:val="22"/>
          <w:szCs w:val="22"/>
          <w:highlight w:val="none"/>
        </w:rPr>
        <w:t xml:space="preserve">    I</w:t>
      </w:r>
      <w:r>
        <w:rPr>
          <w:rFonts w:hint="eastAsia" w:ascii="新宋体" w:hAnsi="新宋体" w:eastAsia="新宋体" w:cs="宋体"/>
          <w:color w:val="auto"/>
          <w:kern w:val="0"/>
          <w:sz w:val="22"/>
          <w:szCs w:val="22"/>
          <w:highlight w:val="none"/>
        </w:rPr>
        <w:t>.</w:t>
      </w:r>
      <w:r>
        <w:rPr>
          <w:rFonts w:hint="eastAsia" w:ascii="新宋体" w:hAnsi="新宋体" w:eastAsia="新宋体" w:cs="宋体"/>
          <w:color w:val="auto"/>
          <w:sz w:val="22"/>
          <w:szCs w:val="22"/>
          <w:highlight w:val="none"/>
        </w:rPr>
        <w:t>其他利害关系情况</w:t>
      </w:r>
      <w:r>
        <w:rPr>
          <w:rFonts w:hint="eastAsia" w:ascii="新宋体" w:hAnsi="新宋体" w:eastAsia="新宋体" w:cs="宋体"/>
          <w:color w:val="auto"/>
          <w:kern w:val="0"/>
          <w:sz w:val="22"/>
          <w:szCs w:val="22"/>
          <w:highlight w:val="none"/>
        </w:rPr>
        <w:t>。</w:t>
      </w:r>
    </w:p>
    <w:p>
      <w:pPr>
        <w:pStyle w:val="404"/>
        <w:widowControl/>
        <w:numPr>
          <w:ilvl w:val="0"/>
          <w:numId w:val="17"/>
        </w:numPr>
        <w:snapToGrid w:val="0"/>
        <w:spacing w:line="480" w:lineRule="exact"/>
        <w:ind w:firstLine="415" w:firstLineChars="189"/>
        <w:rPr>
          <w:rFonts w:ascii="新宋体" w:hAnsi="新宋体" w:eastAsia="新宋体" w:cs="宋体"/>
          <w:color w:val="auto"/>
          <w:kern w:val="0"/>
          <w:sz w:val="22"/>
          <w:szCs w:val="22"/>
          <w:highlight w:val="none"/>
        </w:rPr>
      </w:pPr>
      <w:r>
        <w:rPr>
          <w:rFonts w:hint="eastAsia" w:ascii="新宋体" w:hAnsi="新宋体" w:eastAsia="新宋体" w:cs="宋体"/>
          <w:color w:val="auto"/>
          <w:sz w:val="22"/>
          <w:szCs w:val="22"/>
          <w:highlight w:val="none"/>
        </w:rPr>
        <w:t>现已清楚知道并</w:t>
      </w:r>
      <w:r>
        <w:rPr>
          <w:rFonts w:hint="eastAsia" w:ascii="新宋体" w:hAnsi="新宋体" w:eastAsia="新宋体" w:cs="宋体"/>
          <w:color w:val="auto"/>
          <w:kern w:val="0"/>
          <w:sz w:val="22"/>
          <w:szCs w:val="22"/>
          <w:highlight w:val="none"/>
        </w:rPr>
        <w:t>严格遵守政府采购法律法规和现场纪律。</w:t>
      </w:r>
    </w:p>
    <w:p>
      <w:pPr>
        <w:pStyle w:val="404"/>
        <w:widowControl/>
        <w:numPr>
          <w:ilvl w:val="0"/>
          <w:numId w:val="17"/>
        </w:numPr>
        <w:snapToGrid w:val="0"/>
        <w:spacing w:line="480" w:lineRule="exact"/>
        <w:ind w:firstLine="415" w:firstLineChars="189"/>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我发现供应商</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之间存在或可能存在上述第二条第</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项利害关系。</w:t>
      </w:r>
    </w:p>
    <w:p>
      <w:pPr>
        <w:pStyle w:val="405"/>
        <w:spacing w:line="500" w:lineRule="exact"/>
        <w:ind w:firstLine="440"/>
        <w:rPr>
          <w:rFonts w:ascii="新宋体" w:hAnsi="新宋体" w:eastAsia="新宋体" w:cs="宋体"/>
          <w:color w:val="auto"/>
          <w:sz w:val="22"/>
          <w:szCs w:val="22"/>
          <w:highlight w:val="none"/>
        </w:rPr>
      </w:pPr>
    </w:p>
    <w:p>
      <w:pPr>
        <w:pStyle w:val="405"/>
        <w:spacing w:line="500" w:lineRule="exact"/>
        <w:ind w:firstLine="440"/>
        <w:rPr>
          <w:rFonts w:ascii="新宋体" w:hAnsi="新宋体" w:eastAsia="新宋体" w:cs="宋体"/>
          <w:color w:val="auto"/>
          <w:sz w:val="22"/>
          <w:szCs w:val="22"/>
          <w:highlight w:val="none"/>
          <w:u w:val="single"/>
        </w:rPr>
      </w:pPr>
      <w:r>
        <w:rPr>
          <w:rFonts w:hint="eastAsia" w:ascii="新宋体" w:hAnsi="新宋体" w:eastAsia="新宋体" w:cs="宋体"/>
          <w:color w:val="auto"/>
          <w:sz w:val="22"/>
          <w:szCs w:val="22"/>
          <w:highlight w:val="none"/>
        </w:rPr>
        <w:t>供应商代表签字：</w:t>
      </w:r>
    </w:p>
    <w:p>
      <w:pPr>
        <w:spacing w:line="440" w:lineRule="exact"/>
        <w:jc w:val="righ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ab/>
      </w:r>
      <w:r>
        <w:rPr>
          <w:rFonts w:hint="eastAsia" w:ascii="新宋体" w:hAnsi="新宋体" w:eastAsia="新宋体" w:cs="宋体"/>
          <w:color w:val="auto"/>
          <w:sz w:val="22"/>
          <w:szCs w:val="22"/>
          <w:highlight w:val="none"/>
        </w:rPr>
        <w:tab/>
      </w:r>
      <w:r>
        <w:rPr>
          <w:rFonts w:hint="eastAsia" w:ascii="新宋体" w:hAnsi="新宋体" w:eastAsia="新宋体" w:cs="宋体"/>
          <w:color w:val="auto"/>
          <w:sz w:val="22"/>
          <w:szCs w:val="22"/>
          <w:highlight w:val="none"/>
        </w:rPr>
        <w:tab/>
      </w:r>
    </w:p>
    <w:p>
      <w:pPr>
        <w:spacing w:line="440" w:lineRule="exact"/>
        <w:jc w:val="right"/>
        <w:rPr>
          <w:rFonts w:ascii="新宋体" w:hAnsi="新宋体" w:eastAsia="新宋体" w:cs="宋体"/>
          <w:color w:val="auto"/>
          <w:sz w:val="22"/>
          <w:szCs w:val="22"/>
          <w:highlight w:val="none"/>
        </w:rPr>
      </w:pPr>
    </w:p>
    <w:p>
      <w:pPr>
        <w:spacing w:line="440" w:lineRule="exact"/>
        <w:jc w:val="right"/>
        <w:rPr>
          <w:rFonts w:ascii="新宋体" w:hAnsi="新宋体" w:eastAsia="新宋体" w:cs="新宋体"/>
          <w:b/>
          <w:bCs/>
          <w:color w:val="auto"/>
          <w:sz w:val="22"/>
          <w:szCs w:val="22"/>
          <w:highlight w:val="none"/>
        </w:rPr>
      </w:pPr>
      <w:r>
        <w:rPr>
          <w:rFonts w:hint="eastAsia" w:ascii="新宋体" w:hAnsi="新宋体" w:eastAsia="新宋体" w:cs="宋体"/>
          <w:color w:val="auto"/>
          <w:sz w:val="22"/>
          <w:szCs w:val="22"/>
          <w:highlight w:val="none"/>
        </w:rPr>
        <w:t xml:space="preserve"> 年  月  日</w:t>
      </w:r>
    </w:p>
    <w:p>
      <w:pPr>
        <w:pStyle w:val="51"/>
        <w:ind w:firstLine="1732" w:firstLineChars="784"/>
        <w:jc w:val="both"/>
        <w:rPr>
          <w:rFonts w:ascii="新宋体" w:hAnsi="新宋体" w:eastAsia="新宋体"/>
          <w:color w:val="auto"/>
          <w:kern w:val="2"/>
          <w:sz w:val="36"/>
          <w:szCs w:val="36"/>
          <w:highlight w:val="none"/>
        </w:rPr>
      </w:pPr>
      <w:r>
        <w:rPr>
          <w:rFonts w:hint="eastAsia" w:ascii="新宋体" w:hAnsi="新宋体" w:eastAsia="新宋体"/>
          <w:color w:val="auto"/>
          <w:sz w:val="22"/>
          <w:szCs w:val="22"/>
          <w:highlight w:val="none"/>
        </w:rPr>
        <w:br w:type="page"/>
      </w:r>
      <w:bookmarkStart w:id="42" w:name="_Toc497985017"/>
      <w:bookmarkStart w:id="43" w:name="_Toc8508"/>
      <w:bookmarkStart w:id="44" w:name="_Toc495955195"/>
      <w:r>
        <w:rPr>
          <w:rFonts w:hint="eastAsia" w:ascii="新宋体" w:hAnsi="新宋体" w:eastAsia="新宋体"/>
          <w:color w:val="auto"/>
          <w:kern w:val="2"/>
          <w:sz w:val="36"/>
          <w:szCs w:val="36"/>
          <w:highlight w:val="none"/>
        </w:rPr>
        <w:t xml:space="preserve">  </w:t>
      </w:r>
      <w:bookmarkStart w:id="45" w:name="_Toc21348"/>
      <w:bookmarkStart w:id="46" w:name="_Toc1600"/>
      <w:r>
        <w:rPr>
          <w:rFonts w:hint="eastAsia" w:ascii="新宋体" w:hAnsi="新宋体" w:eastAsia="新宋体"/>
          <w:color w:val="auto"/>
          <w:sz w:val="36"/>
          <w:szCs w:val="36"/>
          <w:highlight w:val="none"/>
        </w:rPr>
        <w:t xml:space="preserve">第二部分   </w:t>
      </w:r>
      <w:r>
        <w:rPr>
          <w:rFonts w:hint="eastAsia" w:ascii="新宋体" w:hAnsi="新宋体" w:eastAsia="新宋体"/>
          <w:color w:val="auto"/>
          <w:kern w:val="2"/>
          <w:sz w:val="36"/>
          <w:szCs w:val="36"/>
          <w:highlight w:val="none"/>
        </w:rPr>
        <w:t>政府采购政策功能相关说明</w:t>
      </w:r>
      <w:bookmarkEnd w:id="42"/>
      <w:bookmarkEnd w:id="43"/>
      <w:bookmarkEnd w:id="44"/>
      <w:bookmarkEnd w:id="45"/>
      <w:bookmarkEnd w:id="46"/>
    </w:p>
    <w:p>
      <w:pPr>
        <w:jc w:val="left"/>
        <w:rPr>
          <w:rFonts w:ascii="新宋体" w:hAnsi="新宋体" w:eastAsia="新宋体"/>
          <w:b/>
          <w:color w:val="auto"/>
          <w:sz w:val="22"/>
          <w:highlight w:val="none"/>
        </w:rPr>
      </w:pPr>
    </w:p>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1.文件依据</w:t>
      </w:r>
    </w:p>
    <w:p>
      <w:pPr>
        <w:spacing w:line="440" w:lineRule="atLeast"/>
        <w:ind w:firstLine="440" w:firstLineChars="200"/>
        <w:jc w:val="left"/>
        <w:rPr>
          <w:rFonts w:hint="default" w:ascii="宋体" w:hAnsi="宋体" w:cs="宋体"/>
          <w:bCs/>
          <w:color w:val="auto"/>
          <w:sz w:val="22"/>
          <w:highlight w:val="none"/>
          <w:lang w:val="en-US"/>
        </w:rPr>
      </w:pPr>
      <w:r>
        <w:rPr>
          <w:rFonts w:hint="eastAsia" w:ascii="宋体" w:hAnsi="宋体" w:cs="宋体"/>
          <w:bCs/>
          <w:color w:val="auto"/>
          <w:sz w:val="22"/>
          <w:highlight w:val="none"/>
        </w:rPr>
        <w:t>（1）关于印发《政府采购促进中小企业发展管理办法》的通知（财库[2020]46号）</w:t>
      </w:r>
      <w:r>
        <w:rPr>
          <w:rFonts w:hint="eastAsia" w:ascii="宋体" w:hAnsi="宋体" w:cs="宋体"/>
          <w:bCs/>
          <w:color w:val="auto"/>
          <w:sz w:val="22"/>
          <w:highlight w:val="none"/>
          <w:lang w:val="en-US" w:eastAsia="zh-CN"/>
        </w:rPr>
        <w:t>及财政部关于进一步加大政府采购支持中小企业力度的通知（财库〔2022〕19号）文件。</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（2）浙江省省财政厅《关于开展政府采购投标人网上注册登记和诚信管理工作的通知》（浙财采监〔2010〕8号)</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pPr>
        <w:spacing w:line="440" w:lineRule="atLeast"/>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（7）《浙江省财政厅关于进一步发挥政府采购政策功能全力推动经济稳进提质的通知》（浙财采监〔2022〕3号）</w:t>
      </w:r>
    </w:p>
    <w:p>
      <w:pPr>
        <w:spacing w:line="440" w:lineRule="atLeast"/>
        <w:ind w:firstLine="440" w:firstLineChars="200"/>
        <w:jc w:val="left"/>
        <w:rPr>
          <w:rFonts w:hint="eastAsia" w:ascii="宋体" w:hAnsi="宋体" w:cs="宋体"/>
          <w:bCs/>
          <w:color w:val="auto"/>
          <w:sz w:val="22"/>
          <w:highlight w:val="none"/>
        </w:rPr>
      </w:pPr>
      <w:r>
        <w:rPr>
          <w:rFonts w:hint="eastAsia" w:ascii="新宋体" w:hAnsi="新宋体" w:eastAsia="新宋体" w:cs="新宋体"/>
          <w:bCs/>
          <w:color w:val="auto"/>
          <w:sz w:val="22"/>
          <w:highlight w:val="none"/>
          <w:lang w:eastAsia="zh-CN"/>
        </w:rPr>
        <w:t>（</w:t>
      </w:r>
      <w:r>
        <w:rPr>
          <w:rFonts w:hint="eastAsia" w:ascii="新宋体" w:hAnsi="新宋体" w:eastAsia="新宋体" w:cs="新宋体"/>
          <w:bCs/>
          <w:color w:val="auto"/>
          <w:sz w:val="22"/>
          <w:highlight w:val="none"/>
          <w:lang w:val="en-US" w:eastAsia="zh-CN"/>
        </w:rPr>
        <w:t>8</w:t>
      </w:r>
      <w:r>
        <w:rPr>
          <w:rFonts w:hint="eastAsia" w:ascii="新宋体" w:hAnsi="新宋体" w:eastAsia="新宋体" w:cs="新宋体"/>
          <w:bCs/>
          <w:color w:val="auto"/>
          <w:sz w:val="22"/>
          <w:highlight w:val="none"/>
          <w:lang w:eastAsia="zh-CN"/>
        </w:rPr>
        <w:t>）《浙江省财政厅关于进一步加大政府采购支持中小企业力度</w:t>
      </w:r>
      <w:r>
        <w:rPr>
          <w:rFonts w:hint="eastAsia" w:ascii="新宋体" w:hAnsi="新宋体" w:eastAsia="新宋体" w:cs="新宋体"/>
          <w:bCs/>
          <w:color w:val="auto"/>
          <w:sz w:val="22"/>
          <w:highlight w:val="none"/>
          <w:lang w:val="en-US" w:eastAsia="zh-CN"/>
        </w:rPr>
        <w:t xml:space="preserve"> 助力扎实稳住经济的通知</w:t>
      </w:r>
      <w:r>
        <w:rPr>
          <w:rFonts w:hint="eastAsia" w:ascii="新宋体" w:hAnsi="新宋体" w:eastAsia="新宋体" w:cs="新宋体"/>
          <w:bCs/>
          <w:color w:val="auto"/>
          <w:sz w:val="22"/>
          <w:highlight w:val="none"/>
          <w:lang w:eastAsia="zh-CN"/>
        </w:rPr>
        <w:t>》（浙财采监</w:t>
      </w:r>
      <w:r>
        <w:rPr>
          <w:rFonts w:hint="eastAsia" w:ascii="新宋体" w:hAnsi="新宋体" w:eastAsia="新宋体" w:cs="新宋体"/>
          <w:bCs/>
          <w:color w:val="auto"/>
          <w:sz w:val="22"/>
          <w:highlight w:val="none"/>
        </w:rPr>
        <w:t>〔2022〕</w:t>
      </w:r>
      <w:r>
        <w:rPr>
          <w:rFonts w:hint="eastAsia" w:ascii="新宋体" w:hAnsi="新宋体" w:eastAsia="新宋体" w:cs="新宋体"/>
          <w:bCs/>
          <w:color w:val="auto"/>
          <w:sz w:val="22"/>
          <w:highlight w:val="none"/>
          <w:lang w:val="en-US" w:eastAsia="zh-CN"/>
        </w:rPr>
        <w:t>8</w:t>
      </w:r>
      <w:r>
        <w:rPr>
          <w:rFonts w:hint="eastAsia" w:ascii="新宋体" w:hAnsi="新宋体" w:eastAsia="新宋体" w:cs="新宋体"/>
          <w:bCs/>
          <w:color w:val="auto"/>
          <w:sz w:val="22"/>
          <w:highlight w:val="none"/>
        </w:rPr>
        <w:t>号</w:t>
      </w:r>
      <w:r>
        <w:rPr>
          <w:rFonts w:hint="eastAsia" w:ascii="新宋体" w:hAnsi="新宋体" w:eastAsia="新宋体" w:cs="新宋体"/>
          <w:bCs/>
          <w:color w:val="auto"/>
          <w:sz w:val="22"/>
          <w:highlight w:val="none"/>
          <w:lang w:eastAsia="zh-CN"/>
        </w:rPr>
        <w:t>）</w:t>
      </w:r>
    </w:p>
    <w:p>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w:t>
      </w:r>
      <w:r>
        <w:rPr>
          <w:rFonts w:hint="eastAsia" w:ascii="宋体" w:hAnsi="宋体" w:cs="宋体"/>
          <w:bCs/>
          <w:color w:val="auto"/>
          <w:sz w:val="22"/>
          <w:highlight w:val="none"/>
          <w:lang w:eastAsia="zh-CN"/>
        </w:rPr>
        <w:t>磋商报价</w:t>
      </w:r>
      <w:r>
        <w:rPr>
          <w:rFonts w:hint="eastAsia" w:ascii="宋体" w:hAnsi="宋体" w:cs="宋体"/>
          <w:bCs/>
          <w:color w:val="auto"/>
          <w:sz w:val="22"/>
          <w:highlight w:val="none"/>
        </w:rPr>
        <w:t>给予</w:t>
      </w:r>
      <w:r>
        <w:rPr>
          <w:rFonts w:hint="eastAsia" w:ascii="宋体" w:hAnsi="宋体" w:cs="宋体"/>
          <w:bCs/>
          <w:color w:val="auto"/>
          <w:sz w:val="22"/>
          <w:highlight w:val="none"/>
          <w:lang w:val="en-US" w:eastAsia="zh-CN"/>
        </w:rPr>
        <w:t>1</w:t>
      </w:r>
      <w:r>
        <w:rPr>
          <w:rFonts w:hint="eastAsia" w:ascii="宋体" w:hAnsi="宋体" w:cs="宋体"/>
          <w:bCs/>
          <w:color w:val="auto"/>
          <w:sz w:val="22"/>
          <w:highlight w:val="none"/>
        </w:rPr>
        <w:t>0%的扣除，用扣除后的价格参与评审。</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（4）对于联合体协议或者分包意向协议约定小微企业合同份额占到合同总金额30%以上的，对其</w:t>
      </w:r>
      <w:r>
        <w:rPr>
          <w:rFonts w:hint="eastAsia" w:ascii="宋体" w:hAnsi="宋体" w:cs="宋体"/>
          <w:bCs/>
          <w:color w:val="auto"/>
          <w:sz w:val="22"/>
          <w:highlight w:val="none"/>
          <w:lang w:eastAsia="zh-CN"/>
        </w:rPr>
        <w:t>磋商报价</w:t>
      </w:r>
      <w:r>
        <w:rPr>
          <w:rFonts w:hint="eastAsia" w:ascii="宋体" w:hAnsi="宋体" w:cs="宋体"/>
          <w:bCs/>
          <w:color w:val="auto"/>
          <w:sz w:val="22"/>
          <w:highlight w:val="none"/>
        </w:rPr>
        <w:t>给予</w:t>
      </w:r>
      <w:r>
        <w:rPr>
          <w:rFonts w:hint="eastAsia" w:ascii="宋体" w:hAnsi="宋体" w:cs="宋体"/>
          <w:bCs/>
          <w:color w:val="auto"/>
          <w:sz w:val="22"/>
          <w:highlight w:val="none"/>
          <w:lang w:val="en-US" w:eastAsia="zh-CN"/>
        </w:rPr>
        <w:t>4</w:t>
      </w:r>
      <w:r>
        <w:rPr>
          <w:rFonts w:hint="eastAsia" w:ascii="宋体" w:hAnsi="宋体" w:cs="宋体"/>
          <w:bCs/>
          <w:color w:val="auto"/>
          <w:sz w:val="22"/>
          <w:highlight w:val="none"/>
        </w:rPr>
        <w:t>%的扣除，用扣除后的价格参与评审。</w:t>
      </w:r>
    </w:p>
    <w:p>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w:t>
      </w:r>
      <w:r>
        <w:rPr>
          <w:rFonts w:hint="eastAsia" w:ascii="宋体" w:hAnsi="宋体" w:cs="宋体"/>
          <w:b/>
          <w:bCs/>
          <w:color w:val="auto"/>
          <w:sz w:val="22"/>
          <w:highlight w:val="none"/>
          <w:u w:val="single"/>
          <w:lang w:eastAsia="zh-CN"/>
        </w:rPr>
        <w:t>磋商响应文件</w:t>
      </w:r>
      <w:r>
        <w:rPr>
          <w:rFonts w:hint="eastAsia" w:ascii="宋体" w:hAnsi="宋体" w:cs="宋体"/>
          <w:b/>
          <w:bCs/>
          <w:color w:val="auto"/>
          <w:sz w:val="22"/>
          <w:highlight w:val="none"/>
          <w:u w:val="single"/>
        </w:rPr>
        <w:t>报价文件中，不提供的不享受价格扣除）</w:t>
      </w:r>
      <w:r>
        <w:rPr>
          <w:rFonts w:hint="eastAsia" w:ascii="宋体" w:hAnsi="宋体" w:cs="宋体"/>
          <w:b/>
          <w:bCs/>
          <w:color w:val="auto"/>
          <w:sz w:val="22"/>
          <w:highlight w:val="none"/>
        </w:rPr>
        <w:t>：</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（1）《中小企业声明函》（原件，加盖投标人公章，格式见附件1）</w:t>
      </w:r>
    </w:p>
    <w:p>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w:t>
      </w:r>
      <w:r>
        <w:rPr>
          <w:rFonts w:hint="eastAsia" w:ascii="宋体" w:hAnsi="宋体" w:cs="宋体"/>
          <w:b/>
          <w:bCs/>
          <w:color w:val="auto"/>
          <w:sz w:val="22"/>
          <w:highlight w:val="none"/>
          <w:u w:val="single"/>
          <w:lang w:eastAsia="zh-CN"/>
        </w:rPr>
        <w:t>磋商响应文件</w:t>
      </w:r>
      <w:r>
        <w:rPr>
          <w:rFonts w:hint="eastAsia" w:ascii="宋体" w:hAnsi="宋体" w:cs="宋体"/>
          <w:b/>
          <w:bCs/>
          <w:color w:val="auto"/>
          <w:sz w:val="22"/>
          <w:highlight w:val="none"/>
          <w:u w:val="single"/>
        </w:rPr>
        <w:t>报价文件中，不提供的不享受价格扣除）</w:t>
      </w:r>
      <w:r>
        <w:rPr>
          <w:rFonts w:hint="eastAsia" w:ascii="宋体" w:hAnsi="宋体" w:cs="宋体"/>
          <w:bCs/>
          <w:color w:val="auto"/>
          <w:sz w:val="22"/>
          <w:highlight w:val="none"/>
        </w:rPr>
        <w:t>：</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享受残疾人福利性单位格扣除应提供以下证明材料（</w:t>
      </w:r>
      <w:r>
        <w:rPr>
          <w:rFonts w:hint="eastAsia" w:ascii="宋体" w:hAnsi="宋体" w:cs="宋体"/>
          <w:b/>
          <w:bCs/>
          <w:color w:val="auto"/>
          <w:sz w:val="22"/>
          <w:highlight w:val="none"/>
          <w:u w:val="single"/>
          <w:lang w:eastAsia="zh-CN"/>
        </w:rPr>
        <w:t>磋商响应文件</w:t>
      </w:r>
      <w:r>
        <w:rPr>
          <w:rFonts w:hint="eastAsia" w:ascii="宋体" w:hAnsi="宋体" w:cs="宋体"/>
          <w:b/>
          <w:bCs/>
          <w:color w:val="auto"/>
          <w:sz w:val="22"/>
          <w:highlight w:val="none"/>
          <w:u w:val="single"/>
        </w:rPr>
        <w:t>报价文件中，不提供的不享受价格扣除）</w:t>
      </w:r>
      <w:r>
        <w:rPr>
          <w:rFonts w:hint="eastAsia" w:ascii="宋体" w:hAnsi="宋体" w:cs="宋体"/>
          <w:bCs/>
          <w:color w:val="auto"/>
          <w:sz w:val="22"/>
          <w:highlight w:val="none"/>
        </w:rPr>
        <w:t>：</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（1）残疾人福利性单位声明函（附件2）；</w:t>
      </w:r>
    </w:p>
    <w:p>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7.非单一产品采购，无法核实（按</w:t>
      </w:r>
      <w:r>
        <w:rPr>
          <w:rFonts w:hint="eastAsia" w:ascii="宋体" w:hAnsi="宋体" w:cs="宋体"/>
          <w:bCs/>
          <w:color w:val="auto"/>
          <w:sz w:val="22"/>
          <w:highlight w:val="none"/>
          <w:lang w:eastAsia="zh-CN"/>
        </w:rPr>
        <w:t>磋商响应文件</w:t>
      </w:r>
      <w:r>
        <w:rPr>
          <w:rFonts w:hint="eastAsia" w:ascii="宋体" w:hAnsi="宋体" w:cs="宋体"/>
          <w:bCs/>
          <w:color w:val="auto"/>
          <w:sz w:val="22"/>
          <w:highlight w:val="none"/>
        </w:rPr>
        <w:t>资料）全部货物均为小微企业（含监狱企业、残疾人福利性单位）制造；或小微企业（含监狱企业、残疾人福利性单位）提供其他制造商制造的货物且无法核实（按</w:t>
      </w:r>
      <w:r>
        <w:rPr>
          <w:rFonts w:hint="eastAsia" w:ascii="宋体" w:hAnsi="宋体" w:cs="宋体"/>
          <w:bCs/>
          <w:color w:val="auto"/>
          <w:sz w:val="22"/>
          <w:highlight w:val="none"/>
          <w:lang w:eastAsia="zh-CN"/>
        </w:rPr>
        <w:t>磋商响应文件</w:t>
      </w:r>
      <w:r>
        <w:rPr>
          <w:rFonts w:hint="eastAsia" w:ascii="宋体" w:hAnsi="宋体" w:cs="宋体"/>
          <w:bCs/>
          <w:color w:val="auto"/>
          <w:sz w:val="22"/>
          <w:highlight w:val="none"/>
        </w:rPr>
        <w:t>资料）制造商是否为小微企业（含监狱企业、残疾人福利性单位）的，不享受价格扣除。</w:t>
      </w:r>
    </w:p>
    <w:p>
      <w:pPr>
        <w:spacing w:line="440" w:lineRule="atLeast"/>
        <w:jc w:val="left"/>
        <w:rPr>
          <w:rFonts w:hint="eastAsia" w:ascii="宋体" w:hAnsi="宋体" w:cs="宋体"/>
          <w:b/>
          <w:color w:val="auto"/>
          <w:sz w:val="22"/>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widowControl/>
        <w:spacing w:before="100" w:beforeAutospacing="1" w:after="100" w:afterAutospacing="1" w:line="440" w:lineRule="atLeast"/>
        <w:ind w:firstLine="241" w:firstLineChars="100"/>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附件1：</w:t>
      </w:r>
    </w:p>
    <w:p>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bCs/>
          <w:color w:val="auto"/>
          <w:sz w:val="24"/>
          <w:highlight w:val="none"/>
        </w:rPr>
        <w:t>中小企业声明函（货物）</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中小企业声明函（工程、服务）</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pPr>
        <w:widowControl/>
        <w:spacing w:before="100" w:beforeAutospacing="1" w:after="100" w:afterAutospacing="1" w:line="440" w:lineRule="atLeast"/>
        <w:jc w:val="center"/>
        <w:rPr>
          <w:rFonts w:hint="eastAsia" w:ascii="宋体" w:hAnsi="宋体" w:cs="宋体"/>
          <w:b/>
          <w:bCs/>
          <w:color w:val="auto"/>
          <w:sz w:val="24"/>
          <w:highlight w:val="none"/>
        </w:rPr>
      </w:pPr>
      <w:bookmarkStart w:id="47" w:name="OLE_LINK14"/>
      <w:bookmarkStart w:id="48" w:name="OLE_LINK13"/>
      <w:r>
        <w:rPr>
          <w:rFonts w:hint="eastAsia" w:ascii="宋体" w:hAnsi="宋体" w:cs="宋体"/>
          <w:b/>
          <w:bCs/>
          <w:color w:val="auto"/>
          <w:sz w:val="24"/>
          <w:highlight w:val="none"/>
        </w:rPr>
        <w:t>残疾人福利性单位声明函</w:t>
      </w:r>
    </w:p>
    <w:bookmarkEnd w:id="47"/>
    <w:bookmarkEnd w:id="48"/>
    <w:p>
      <w:pPr>
        <w:spacing w:line="588" w:lineRule="exact"/>
        <w:rPr>
          <w:rFonts w:hint="eastAsia" w:ascii="宋体" w:hAnsi="宋体" w:cs="宋体"/>
          <w:b/>
          <w:color w:val="auto"/>
          <w:spacing w:val="6"/>
          <w:sz w:val="30"/>
          <w:szCs w:val="30"/>
          <w:highlight w:val="none"/>
        </w:rPr>
      </w:pPr>
    </w:p>
    <w:p>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宋体" w:hAnsi="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pPr>
        <w:tabs>
          <w:tab w:val="left" w:pos="4860"/>
        </w:tabs>
        <w:spacing w:line="588" w:lineRule="exact"/>
        <w:ind w:right="156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备注说明：</w:t>
      </w:r>
    </w:p>
    <w:p>
      <w:pPr>
        <w:numPr>
          <w:ilvl w:val="2"/>
          <w:numId w:val="18"/>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pPr>
        <w:numPr>
          <w:ilvl w:val="2"/>
          <w:numId w:val="18"/>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pPr>
        <w:spacing w:line="440" w:lineRule="atLeast"/>
        <w:rPr>
          <w:rFonts w:ascii="新宋体" w:hAnsi="新宋体" w:eastAsia="新宋体"/>
          <w:b/>
          <w:color w:val="auto"/>
          <w:sz w:val="24"/>
          <w:highlight w:val="none"/>
        </w:rPr>
      </w:pPr>
    </w:p>
    <w:p>
      <w:pPr>
        <w:pStyle w:val="2"/>
        <w:keepLines w:val="0"/>
        <w:pageBreakBefore w:val="0"/>
        <w:kinsoku/>
        <w:wordWrap/>
        <w:overflowPunct/>
        <w:topLinePunct w:val="0"/>
        <w:bidi w:val="0"/>
        <w:spacing w:line="348" w:lineRule="auto"/>
        <w:textAlignment w:val="auto"/>
        <w:rPr>
          <w:rFonts w:ascii="新宋体" w:hAnsi="新宋体" w:eastAsia="新宋体"/>
          <w:color w:val="auto"/>
          <w:sz w:val="36"/>
          <w:szCs w:val="36"/>
          <w:highlight w:val="none"/>
        </w:rPr>
      </w:pPr>
      <w:r>
        <w:rPr>
          <w:rFonts w:hint="eastAsia" w:ascii="新宋体" w:hAnsi="新宋体" w:eastAsia="新宋体"/>
          <w:color w:val="auto"/>
          <w:sz w:val="36"/>
          <w:szCs w:val="36"/>
          <w:highlight w:val="none"/>
        </w:rPr>
        <w:br w:type="page"/>
      </w:r>
      <w:bookmarkStart w:id="49" w:name="_Toc26867"/>
      <w:r>
        <w:rPr>
          <w:rFonts w:hint="eastAsia" w:ascii="新宋体" w:hAnsi="新宋体" w:eastAsia="新宋体"/>
          <w:color w:val="auto"/>
          <w:sz w:val="36"/>
          <w:szCs w:val="36"/>
          <w:highlight w:val="none"/>
        </w:rPr>
        <w:t>第三部分   合同条款及格式</w:t>
      </w:r>
      <w:bookmarkEnd w:id="49"/>
    </w:p>
    <w:p>
      <w:pPr>
        <w:keepLines w:val="0"/>
        <w:pageBreakBefore w:val="0"/>
        <w:kinsoku/>
        <w:wordWrap/>
        <w:overflowPunct/>
        <w:topLinePunct w:val="0"/>
        <w:bidi w:val="0"/>
        <w:spacing w:line="348" w:lineRule="auto"/>
        <w:ind w:firstLine="440" w:firstLineChars="200"/>
        <w:textAlignment w:val="auto"/>
        <w:rPr>
          <w:rFonts w:ascii="新宋体" w:hAnsi="新宋体" w:eastAsia="新宋体" w:cs="新宋体"/>
          <w:color w:val="auto"/>
          <w:sz w:val="22"/>
          <w:szCs w:val="22"/>
          <w:highlight w:val="none"/>
        </w:rPr>
      </w:pPr>
      <w:bookmarkStart w:id="50" w:name="_Toc152045610"/>
      <w:bookmarkStart w:id="51" w:name="_Toc222114883"/>
      <w:bookmarkStart w:id="52" w:name="_Toc239145358"/>
      <w:bookmarkStart w:id="53" w:name="_Toc241404206"/>
      <w:bookmarkStart w:id="54" w:name="_Toc152042388"/>
      <w:bookmarkStart w:id="55" w:name="_Toc179632628"/>
      <w:bookmarkStart w:id="56" w:name="_Toc221356955"/>
      <w:bookmarkStart w:id="57" w:name="_Toc246996253"/>
      <w:bookmarkStart w:id="58" w:name="_Toc247085768"/>
      <w:bookmarkStart w:id="59" w:name="_Toc144974578"/>
      <w:bookmarkStart w:id="60" w:name="_Toc246996996"/>
      <w:bookmarkStart w:id="61" w:name="_Toc221356891"/>
      <w:bookmarkStart w:id="62" w:name="_Toc221423623"/>
      <w:bookmarkStart w:id="63" w:name="_Toc223716002"/>
      <w:bookmarkStart w:id="64" w:name="_Toc221374630"/>
      <w:bookmarkStart w:id="65" w:name="_Toc265529387"/>
      <w:bookmarkStart w:id="66" w:name="_Toc296602498"/>
      <w:r>
        <w:rPr>
          <w:rFonts w:hint="eastAsia" w:ascii="新宋体" w:hAnsi="新宋体" w:eastAsia="新宋体" w:cs="新宋体"/>
          <w:color w:val="auto"/>
          <w:sz w:val="22"/>
          <w:szCs w:val="22"/>
          <w:highlight w:val="none"/>
        </w:rPr>
        <w:t>说明：</w:t>
      </w:r>
      <w:r>
        <w:rPr>
          <w:rFonts w:hint="eastAsia" w:ascii="宋体" w:hAnsi="宋体" w:cs="宋体"/>
          <w:color w:val="auto"/>
          <w:kern w:val="0"/>
          <w:sz w:val="22"/>
          <w:szCs w:val="22"/>
          <w:highlight w:val="none"/>
          <w:lang w:val="zh-CN"/>
        </w:rPr>
        <w:t>本合同作为示范文本，</w:t>
      </w:r>
      <w:r>
        <w:rPr>
          <w:rFonts w:hint="eastAsia" w:ascii="新宋体" w:hAnsi="新宋体" w:eastAsia="新宋体" w:cs="新宋体"/>
          <w:color w:val="auto"/>
          <w:sz w:val="22"/>
          <w:szCs w:val="22"/>
          <w:highlight w:val="none"/>
        </w:rPr>
        <w:t>如甲、乙双方同意，合同格式也可以按照其他形式</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但合同主要条款的相关内容应与本章节要求的内容相符</w:t>
      </w:r>
      <w:r>
        <w:rPr>
          <w:rFonts w:hint="eastAsia" w:ascii="新宋体" w:hAnsi="新宋体" w:eastAsia="新宋体" w:cs="新宋体"/>
          <w:color w:val="auto"/>
          <w:sz w:val="22"/>
          <w:szCs w:val="22"/>
          <w:highlight w:val="none"/>
          <w:lang w:eastAsia="zh-CN"/>
        </w:rPr>
        <w:t>，</w:t>
      </w:r>
      <w:r>
        <w:rPr>
          <w:rFonts w:hint="eastAsia" w:ascii="宋体" w:hAnsi="宋体" w:cs="宋体"/>
          <w:color w:val="auto"/>
          <w:kern w:val="0"/>
          <w:sz w:val="22"/>
          <w:szCs w:val="22"/>
          <w:highlight w:val="none"/>
          <w:lang w:val="zh-CN"/>
        </w:rPr>
        <w:t>具体以成交人与采购人所签定正式合同为准</w:t>
      </w:r>
    </w:p>
    <w:p>
      <w:pPr>
        <w:pStyle w:val="419"/>
        <w:keepLines w:val="0"/>
        <w:pageBreakBefore w:val="0"/>
        <w:kinsoku/>
        <w:wordWrap/>
        <w:overflowPunct/>
        <w:topLinePunct w:val="0"/>
        <w:bidi w:val="0"/>
        <w:spacing w:line="348" w:lineRule="auto"/>
        <w:ind w:firstLine="210"/>
        <w:textAlignment w:val="auto"/>
        <w:rPr>
          <w:color w:val="auto"/>
          <w:highlight w:val="none"/>
        </w:rPr>
      </w:pPr>
    </w:p>
    <w:p>
      <w:pPr>
        <w:keepLines w:val="0"/>
        <w:pageBreakBefore w:val="0"/>
        <w:kinsoku/>
        <w:wordWrap/>
        <w:overflowPunct/>
        <w:topLinePunct w:val="0"/>
        <w:bidi w:val="0"/>
        <w:snapToGrid w:val="0"/>
        <w:spacing w:line="348" w:lineRule="auto"/>
        <w:jc w:val="center"/>
        <w:textAlignment w:val="auto"/>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华侨华人新生代创新创业大会会务保障服务</w:t>
      </w:r>
      <w:r>
        <w:rPr>
          <w:rFonts w:hint="eastAsia" w:ascii="宋体" w:hAnsi="宋体" w:eastAsia="宋体" w:cs="宋体"/>
          <w:b/>
          <w:bCs/>
          <w:color w:val="auto"/>
          <w:sz w:val="30"/>
          <w:szCs w:val="30"/>
          <w:highlight w:val="none"/>
          <w:lang w:eastAsia="zh-CN"/>
        </w:rPr>
        <w:t>项目合同</w:t>
      </w:r>
    </w:p>
    <w:p>
      <w:pPr>
        <w:keepNext w:val="0"/>
        <w:keepLines w:val="0"/>
        <w:pageBreakBefore w:val="0"/>
        <w:widowControl w:val="0"/>
        <w:kinsoku/>
        <w:wordWrap/>
        <w:overflowPunct/>
        <w:topLinePunct w:val="0"/>
        <w:bidi w:val="0"/>
        <w:spacing w:line="348" w:lineRule="auto"/>
        <w:ind w:firstLine="1870" w:firstLineChars="850"/>
        <w:jc w:val="left"/>
        <w:textAlignment w:val="auto"/>
        <w:rPr>
          <w:rFonts w:hint="eastAsia" w:ascii="宋体" w:hAnsi="宋体" w:eastAsia="宋体" w:cs="宋体"/>
          <w:sz w:val="22"/>
          <w:szCs w:val="22"/>
          <w:highlight w:val="none"/>
          <w:u w:val="singl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lang w:eastAsia="zh-CN"/>
        </w:rPr>
        <w:t>项目编号</w:t>
      </w:r>
      <w:r>
        <w:rPr>
          <w:rFonts w:hint="eastAsia" w:ascii="宋体" w:hAnsi="宋体" w:eastAsia="宋体" w:cs="宋体"/>
          <w:sz w:val="22"/>
          <w:szCs w:val="22"/>
          <w:highlight w:val="none"/>
        </w:rPr>
        <w:t>：</w:t>
      </w:r>
      <w:r>
        <w:rPr>
          <w:rFonts w:hint="eastAsia" w:ascii="宋体" w:hAnsi="宋体" w:eastAsia="宋体" w:cs="宋体"/>
          <w:sz w:val="22"/>
          <w:szCs w:val="22"/>
          <w:highlight w:val="none"/>
          <w:u w:val="single"/>
        </w:rPr>
        <w:t xml:space="preserve">             </w:t>
      </w:r>
    </w:p>
    <w:p>
      <w:pPr>
        <w:keepNext w:val="0"/>
        <w:keepLines w:val="0"/>
        <w:pageBreakBefore w:val="0"/>
        <w:widowControl w:val="0"/>
        <w:kinsoku/>
        <w:wordWrap/>
        <w:overflowPunct/>
        <w:topLinePunct w:val="0"/>
        <w:bidi w:val="0"/>
        <w:spacing w:line="348" w:lineRule="auto"/>
        <w:ind w:firstLine="440" w:firstLineChars="20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sz w:val="22"/>
          <w:szCs w:val="22"/>
          <w:highlight w:val="none"/>
          <w:u w:val="single"/>
        </w:rPr>
        <w:t xml:space="preserve">          </w:t>
      </w:r>
      <w:r>
        <w:rPr>
          <w:rFonts w:hint="eastAsia" w:ascii="宋体" w:hAnsi="宋体" w:eastAsia="宋体" w:cs="宋体"/>
          <w:color w:val="0000FF"/>
          <w:sz w:val="22"/>
          <w:szCs w:val="22"/>
          <w:highlight w:val="none"/>
        </w:rPr>
        <w:t xml:space="preserve">                                      </w:t>
      </w:r>
    </w:p>
    <w:p>
      <w:pPr>
        <w:keepNext w:val="0"/>
        <w:keepLines w:val="0"/>
        <w:pageBreakBefore w:val="0"/>
        <w:widowControl w:val="0"/>
        <w:kinsoku/>
        <w:wordWrap/>
        <w:overflowPunct/>
        <w:topLinePunct w:val="0"/>
        <w:bidi w:val="0"/>
        <w:spacing w:line="348" w:lineRule="auto"/>
        <w:ind w:firstLine="0" w:firstLineChars="0"/>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color w:val="auto"/>
          <w:kern w:val="0"/>
          <w:sz w:val="22"/>
          <w:szCs w:val="22"/>
          <w:highlight w:val="none"/>
        </w:rPr>
        <w:t>甲方（采购人）：</w:t>
      </w:r>
    </w:p>
    <w:p>
      <w:pPr>
        <w:pStyle w:val="30"/>
        <w:keepNext w:val="0"/>
        <w:keepLines w:val="0"/>
        <w:pageBreakBefore w:val="0"/>
        <w:widowControl w:val="0"/>
        <w:kinsoku/>
        <w:wordWrap/>
        <w:overflowPunct/>
        <w:topLinePunct w:val="0"/>
        <w:bidi w:val="0"/>
        <w:spacing w:line="348" w:lineRule="auto"/>
        <w:textAlignment w:val="auto"/>
        <w:outlineLvl w:val="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乙方</w:t>
      </w:r>
      <w:r>
        <w:rPr>
          <w:rFonts w:hint="eastAsia" w:ascii="宋体" w:hAnsi="宋体" w:eastAsia="宋体" w:cs="宋体"/>
          <w:color w:val="auto"/>
          <w:kern w:val="0"/>
          <w:sz w:val="22"/>
          <w:szCs w:val="22"/>
          <w:highlight w:val="none"/>
          <w:lang w:eastAsia="zh-Hans"/>
        </w:rPr>
        <w:t>（供应商）</w:t>
      </w:r>
      <w:r>
        <w:rPr>
          <w:rFonts w:hint="eastAsia" w:ascii="宋体" w:hAnsi="宋体" w:eastAsia="宋体" w:cs="宋体"/>
          <w:color w:val="auto"/>
          <w:kern w:val="0"/>
          <w:sz w:val="22"/>
          <w:szCs w:val="22"/>
          <w:highlight w:val="none"/>
        </w:rPr>
        <w:t>：</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根据《中华人民共和国政府采购法》、《中华人民共和国</w:t>
      </w:r>
      <w:r>
        <w:rPr>
          <w:rFonts w:hint="eastAsia" w:ascii="宋体" w:hAnsi="宋体" w:eastAsia="宋体" w:cs="宋体"/>
          <w:color w:val="auto"/>
          <w:kern w:val="0"/>
          <w:sz w:val="22"/>
          <w:szCs w:val="22"/>
          <w:highlight w:val="none"/>
          <w:lang w:eastAsia="zh-CN"/>
        </w:rPr>
        <w:t>民法典</w:t>
      </w:r>
      <w:r>
        <w:rPr>
          <w:rFonts w:hint="eastAsia" w:ascii="宋体" w:hAnsi="宋体" w:eastAsia="宋体" w:cs="宋体"/>
          <w:color w:val="auto"/>
          <w:kern w:val="0"/>
          <w:sz w:val="22"/>
          <w:szCs w:val="22"/>
          <w:highlight w:val="none"/>
        </w:rPr>
        <w:t>》等有关法律法规的规定，(甲方)经公开招标，确定</w:t>
      </w:r>
      <w:r>
        <w:rPr>
          <w:rFonts w:hint="eastAsia" w:hAnsi="宋体" w:cs="宋体"/>
          <w:color w:val="auto"/>
          <w:kern w:val="0"/>
          <w:sz w:val="22"/>
          <w:szCs w:val="22"/>
          <w:highlight w:val="none"/>
          <w:lang w:eastAsia="zh-CN"/>
        </w:rPr>
        <w:t>华侨华人新生代创新创业大会会务保障服务</w:t>
      </w:r>
      <w:r>
        <w:rPr>
          <w:rFonts w:hint="eastAsia" w:ascii="宋体" w:hAnsi="宋体" w:eastAsia="宋体" w:cs="宋体"/>
          <w:color w:val="auto"/>
          <w:kern w:val="0"/>
          <w:sz w:val="22"/>
          <w:szCs w:val="22"/>
          <w:highlight w:val="none"/>
        </w:rPr>
        <w:t>项目中标单位为</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（乙方）。经协商双方达成以下条款：</w:t>
      </w:r>
    </w:p>
    <w:p>
      <w:pPr>
        <w:pStyle w:val="30"/>
        <w:keepNext w:val="0"/>
        <w:keepLines w:val="0"/>
        <w:pageBreakBefore w:val="0"/>
        <w:widowControl w:val="0"/>
        <w:kinsoku/>
        <w:wordWrap/>
        <w:overflowPunct/>
        <w:topLinePunct w:val="0"/>
        <w:bidi w:val="0"/>
        <w:spacing w:line="348" w:lineRule="auto"/>
        <w:textAlignment w:val="auto"/>
        <w:outlineLvl w:val="1"/>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一、服务内容</w:t>
      </w:r>
    </w:p>
    <w:p>
      <w:pPr>
        <w:keepLines w:val="0"/>
        <w:pageBreakBefore w:val="0"/>
        <w:kinsoku/>
        <w:wordWrap/>
        <w:overflowPunct/>
        <w:topLinePunct w:val="0"/>
        <w:bidi w:val="0"/>
        <w:spacing w:line="348" w:lineRule="auto"/>
        <w:ind w:firstLine="440" w:firstLineChars="2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（1）总体服务要求：根据侨创会总体定位及目标，策划制定侨创会会务服务总体方案及各细项方案。做好</w:t>
      </w:r>
      <w:r>
        <w:rPr>
          <w:rFonts w:hint="eastAsia" w:ascii="宋体" w:hAnsi="宋体" w:cs="宋体"/>
          <w:sz w:val="22"/>
          <w:szCs w:val="22"/>
          <w:highlight w:val="none"/>
          <w:lang w:val="en-US" w:eastAsia="zh-CN"/>
        </w:rPr>
        <w:t>场地租赁与规划</w:t>
      </w:r>
      <w:r>
        <w:rPr>
          <w:rFonts w:hint="eastAsia" w:ascii="宋体" w:hAnsi="宋体" w:cs="宋体"/>
          <w:sz w:val="22"/>
          <w:szCs w:val="22"/>
          <w:highlight w:val="none"/>
          <w:lang w:val="en-US" w:eastAsia="zh-CN"/>
        </w:rPr>
        <w:t>、安全保障、活动接待、会务服务、综合保障等各项工作，做好现场管理、会务执行工作，确保活动顺利圆满举办。本项目涉及的所有方案必须经采购人确认后方可执行。</w:t>
      </w:r>
    </w:p>
    <w:p>
      <w:pPr>
        <w:keepNext w:val="0"/>
        <w:keepLines w:val="0"/>
        <w:pageBreakBefore w:val="0"/>
        <w:kinsoku/>
        <w:wordWrap/>
        <w:overflowPunct/>
        <w:topLinePunct w:val="0"/>
        <w:autoSpaceDE/>
        <w:autoSpaceDN/>
        <w:bidi w:val="0"/>
        <w:spacing w:line="348" w:lineRule="auto"/>
        <w:ind w:firstLine="440" w:firstLineChars="2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（2）活动接待要求：嘉宾的联络、迎送、住宿、餐饮和报到注册等服务</w:t>
      </w:r>
    </w:p>
    <w:p>
      <w:pPr>
        <w:keepNext w:val="0"/>
        <w:keepLines w:val="0"/>
        <w:pageBreakBefore w:val="0"/>
        <w:kinsoku/>
        <w:wordWrap/>
        <w:overflowPunct/>
        <w:topLinePunct w:val="0"/>
        <w:autoSpaceDE/>
        <w:autoSpaceDN/>
        <w:bidi w:val="0"/>
        <w:spacing w:line="348"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1）大会筹备前期协助主办方开展嘉宾邀请、联络联系等工作；</w:t>
      </w:r>
    </w:p>
    <w:p>
      <w:pPr>
        <w:keepNext w:val="0"/>
        <w:keepLines w:val="0"/>
        <w:pageBreakBefore w:val="0"/>
        <w:kinsoku/>
        <w:wordWrap/>
        <w:overflowPunct/>
        <w:topLinePunct w:val="0"/>
        <w:autoSpaceDE/>
        <w:autoSpaceDN/>
        <w:bidi w:val="0"/>
        <w:spacing w:line="348"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w:t>
      </w:r>
      <w:r>
        <w:rPr>
          <w:rFonts w:hint="eastAsia" w:ascii="宋体" w:hAnsi="宋体" w:cs="宋体"/>
          <w:sz w:val="22"/>
          <w:szCs w:val="22"/>
          <w:highlight w:val="none"/>
          <w:lang w:val="en-US" w:eastAsia="zh-CN"/>
        </w:rPr>
        <w:t>特邀嘉宾的票务服务工作，航班、车次的预定、更改、出票等；</w:t>
      </w:r>
    </w:p>
    <w:p>
      <w:pPr>
        <w:keepNext w:val="0"/>
        <w:keepLines w:val="0"/>
        <w:pageBreakBefore w:val="0"/>
        <w:kinsoku/>
        <w:wordWrap/>
        <w:overflowPunct/>
        <w:topLinePunct w:val="0"/>
        <w:autoSpaceDE/>
        <w:autoSpaceDN/>
        <w:bidi w:val="0"/>
        <w:spacing w:line="348"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w:t>
      </w:r>
      <w:r>
        <w:rPr>
          <w:rFonts w:hint="eastAsia" w:ascii="宋体" w:hAnsi="宋体" w:cs="宋体"/>
          <w:sz w:val="22"/>
          <w:szCs w:val="22"/>
          <w:highlight w:val="none"/>
          <w:lang w:val="en-US" w:eastAsia="zh-CN"/>
        </w:rPr>
        <w:t>嘉宾迎送安</w:t>
      </w:r>
      <w:r>
        <w:rPr>
          <w:rFonts w:hint="eastAsia" w:ascii="宋体" w:hAnsi="宋体" w:cs="宋体"/>
          <w:sz w:val="22"/>
          <w:szCs w:val="22"/>
          <w:highlight w:val="none"/>
          <w:lang w:val="en-US" w:eastAsia="zh-CN"/>
        </w:rPr>
        <w:t>排（迎送服务站点：温州机场、温州南高铁站等）；</w:t>
      </w:r>
    </w:p>
    <w:p>
      <w:pPr>
        <w:keepNext w:val="0"/>
        <w:keepLines w:val="0"/>
        <w:pageBreakBefore w:val="0"/>
        <w:kinsoku/>
        <w:wordWrap/>
        <w:overflowPunct/>
        <w:topLinePunct w:val="0"/>
        <w:autoSpaceDE/>
        <w:autoSpaceDN/>
        <w:bidi w:val="0"/>
        <w:spacing w:line="348"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4）大会期间用车；</w:t>
      </w:r>
    </w:p>
    <w:p>
      <w:pPr>
        <w:keepNext w:val="0"/>
        <w:keepLines w:val="0"/>
        <w:pageBreakBefore w:val="0"/>
        <w:kinsoku/>
        <w:wordWrap/>
        <w:overflowPunct/>
        <w:topLinePunct w:val="0"/>
        <w:autoSpaceDE/>
        <w:autoSpaceDN/>
        <w:bidi w:val="0"/>
        <w:spacing w:line="348"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5）会务工作用车；</w:t>
      </w:r>
    </w:p>
    <w:p>
      <w:pPr>
        <w:keepNext w:val="0"/>
        <w:keepLines w:val="0"/>
        <w:pageBreakBefore w:val="0"/>
        <w:kinsoku/>
        <w:wordWrap/>
        <w:overflowPunct/>
        <w:topLinePunct w:val="0"/>
        <w:autoSpaceDE/>
        <w:autoSpaceDN/>
        <w:bidi w:val="0"/>
        <w:spacing w:line="348"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6）嘉宾住宿安排及酒店签到工作；</w:t>
      </w:r>
    </w:p>
    <w:p>
      <w:pPr>
        <w:keepNext w:val="0"/>
        <w:keepLines w:val="0"/>
        <w:pageBreakBefore w:val="0"/>
        <w:kinsoku/>
        <w:wordWrap/>
        <w:overflowPunct/>
        <w:topLinePunct w:val="0"/>
        <w:autoSpaceDE/>
        <w:autoSpaceDN/>
        <w:bidi w:val="0"/>
        <w:spacing w:line="348"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7）嘉宾的餐饮安排落实工作；</w:t>
      </w:r>
    </w:p>
    <w:p>
      <w:pPr>
        <w:keepNext w:val="0"/>
        <w:keepLines w:val="0"/>
        <w:pageBreakBefore w:val="0"/>
        <w:kinsoku/>
        <w:wordWrap/>
        <w:overflowPunct/>
        <w:topLinePunct w:val="0"/>
        <w:autoSpaceDE/>
        <w:autoSpaceDN/>
        <w:bidi w:val="0"/>
        <w:spacing w:line="348"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8）</w:t>
      </w:r>
      <w:r>
        <w:rPr>
          <w:rFonts w:hint="eastAsia" w:ascii="宋体" w:hAnsi="宋体" w:cs="宋体"/>
          <w:sz w:val="22"/>
          <w:szCs w:val="22"/>
          <w:highlight w:val="none"/>
          <w:lang w:val="en-US" w:eastAsia="zh-CN"/>
        </w:rPr>
        <w:t>会务接待志愿者招募、培训及实施，各类相关工作人员培训及实施。</w:t>
      </w:r>
    </w:p>
    <w:p>
      <w:pPr>
        <w:keepNext w:val="0"/>
        <w:keepLines w:val="0"/>
        <w:pageBreakBefore w:val="0"/>
        <w:kinsoku/>
        <w:wordWrap/>
        <w:overflowPunct/>
        <w:topLinePunct w:val="0"/>
        <w:autoSpaceDE/>
        <w:autoSpaceDN/>
        <w:bidi w:val="0"/>
        <w:spacing w:line="348" w:lineRule="auto"/>
        <w:ind w:firstLine="440" w:firstLineChars="2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（3）会议具体服务与组织实施要求：</w:t>
      </w:r>
    </w:p>
    <w:p>
      <w:pPr>
        <w:keepNext w:val="0"/>
        <w:keepLines w:val="0"/>
        <w:pageBreakBefore w:val="0"/>
        <w:widowControl/>
        <w:kinsoku/>
        <w:wordWrap/>
        <w:overflowPunct/>
        <w:topLinePunct w:val="0"/>
        <w:autoSpaceDE/>
        <w:autoSpaceDN/>
        <w:bidi w:val="0"/>
        <w:snapToGrid w:val="0"/>
        <w:spacing w:line="348" w:lineRule="auto"/>
        <w:ind w:firstLine="660" w:firstLineChars="300"/>
        <w:jc w:val="left"/>
        <w:textAlignment w:val="auto"/>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rPr>
        <w:t>运用信息化实现会议管理及服务的现代化，会前准备</w:t>
      </w:r>
      <w:r>
        <w:rPr>
          <w:rFonts w:hint="eastAsia" w:ascii="宋体" w:hAnsi="宋体"/>
          <w:color w:val="auto"/>
          <w:sz w:val="22"/>
          <w:szCs w:val="22"/>
          <w:highlight w:val="none"/>
          <w:lang w:eastAsia="zh-CN"/>
        </w:rPr>
        <w:t>、</w:t>
      </w:r>
      <w:r>
        <w:rPr>
          <w:rFonts w:hint="eastAsia" w:ascii="宋体" w:hAnsi="宋体"/>
          <w:color w:val="auto"/>
          <w:sz w:val="22"/>
          <w:szCs w:val="22"/>
          <w:highlight w:val="none"/>
        </w:rPr>
        <w:t>会中实施及会后质量反馈的信息化运用及管理等；</w:t>
      </w:r>
    </w:p>
    <w:p>
      <w:pPr>
        <w:keepNext w:val="0"/>
        <w:keepLines w:val="0"/>
        <w:pageBreakBefore w:val="0"/>
        <w:widowControl/>
        <w:kinsoku/>
        <w:wordWrap/>
        <w:overflowPunct/>
        <w:topLinePunct w:val="0"/>
        <w:autoSpaceDE/>
        <w:autoSpaceDN/>
        <w:bidi w:val="0"/>
        <w:snapToGrid w:val="0"/>
        <w:spacing w:line="348" w:lineRule="auto"/>
        <w:ind w:firstLine="660" w:firstLineChars="300"/>
        <w:jc w:val="left"/>
        <w:textAlignment w:val="auto"/>
        <w:rPr>
          <w:rFonts w:ascii="宋体" w:hAnsi="宋体"/>
          <w:color w:val="auto"/>
          <w:sz w:val="22"/>
          <w:szCs w:val="22"/>
          <w:highlight w:val="none"/>
        </w:rPr>
      </w:pPr>
      <w:r>
        <w:rPr>
          <w:rFonts w:hint="eastAsia" w:ascii="宋体" w:hAnsi="宋体"/>
          <w:color w:val="auto"/>
          <w:sz w:val="22"/>
          <w:szCs w:val="22"/>
          <w:highlight w:val="none"/>
        </w:rPr>
        <w:t>2）会务服务保障方案：</w:t>
      </w:r>
    </w:p>
    <w:p>
      <w:pPr>
        <w:keepNext w:val="0"/>
        <w:keepLines w:val="0"/>
        <w:pageBreakBefore w:val="0"/>
        <w:widowControl/>
        <w:kinsoku/>
        <w:wordWrap/>
        <w:overflowPunct/>
        <w:topLinePunct w:val="0"/>
        <w:autoSpaceDE/>
        <w:autoSpaceDN/>
        <w:bidi w:val="0"/>
        <w:snapToGrid w:val="0"/>
        <w:spacing w:line="348" w:lineRule="auto"/>
        <w:ind w:firstLine="550" w:firstLineChars="250"/>
        <w:jc w:val="left"/>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rPr>
        <w:t xml:space="preserve"> </w:t>
      </w:r>
      <w:r>
        <w:rPr>
          <w:rFonts w:hint="eastAsia" w:ascii="宋体" w:hAnsi="宋体"/>
          <w:color w:val="auto"/>
          <w:sz w:val="22"/>
          <w:szCs w:val="22"/>
          <w:highlight w:val="none"/>
          <w:lang w:val="en-US" w:eastAsia="zh-CN"/>
        </w:rPr>
        <w:t xml:space="preserve"> 根据侨创会服务标准，详细制定接待保障方案（包括迎送保障方案、交通保障方案、住宿保障方案、餐饮保障方案、人员服务保障方案等），要求接待标准明确，分类明晰，负责跟进嘉宾的邀请及接待工作，全方位保障受邀嘉宾的“吃、住、行”，联络并对接受邀嘉宾及团组，做好24小时在线会务咨询服务工作并根据人员航班信息和住宿需求，安排负责接送机车辆，保障车辆行驶通畅，做好车辆应急调度并为其安排酒店入住房间，享受“宾至如归”的礼宾服务，</w:t>
      </w:r>
      <w:r>
        <w:rPr>
          <w:rFonts w:hint="eastAsia" w:ascii="宋体" w:hAnsi="宋体"/>
          <w:color w:val="auto"/>
          <w:sz w:val="22"/>
          <w:szCs w:val="22"/>
          <w:highlight w:val="none"/>
          <w:lang w:val="en-US" w:eastAsia="zh-CN"/>
        </w:rPr>
        <w:t>同时做好参会嘉宾会议期间/非会议期间的用餐保障。</w:t>
      </w:r>
    </w:p>
    <w:p>
      <w:pPr>
        <w:keepNext w:val="0"/>
        <w:keepLines w:val="0"/>
        <w:pageBreakBefore w:val="0"/>
        <w:widowControl/>
        <w:kinsoku/>
        <w:wordWrap/>
        <w:overflowPunct/>
        <w:topLinePunct w:val="0"/>
        <w:autoSpaceDE/>
        <w:autoSpaceDN/>
        <w:bidi w:val="0"/>
        <w:snapToGrid w:val="0"/>
        <w:spacing w:line="348" w:lineRule="auto"/>
        <w:ind w:firstLine="440" w:firstLineChars="200"/>
        <w:jc w:val="left"/>
        <w:textAlignment w:val="auto"/>
        <w:rPr>
          <w:rFonts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）会议期间用车安排：</w:t>
      </w:r>
    </w:p>
    <w:p>
      <w:pPr>
        <w:keepNext w:val="0"/>
        <w:keepLines w:val="0"/>
        <w:pageBreakBefore w:val="0"/>
        <w:widowControl/>
        <w:kinsoku/>
        <w:wordWrap/>
        <w:overflowPunct/>
        <w:topLinePunct w:val="0"/>
        <w:autoSpaceDE/>
        <w:autoSpaceDN/>
        <w:bidi w:val="0"/>
        <w:snapToGrid w:val="0"/>
        <w:spacing w:line="348" w:lineRule="auto"/>
        <w:ind w:firstLine="480"/>
        <w:jc w:val="left"/>
        <w:textAlignment w:val="auto"/>
        <w:rPr>
          <w:rFonts w:hint="eastAsia" w:ascii="宋体" w:hAnsi="宋体"/>
          <w:color w:val="auto"/>
          <w:sz w:val="22"/>
          <w:szCs w:val="22"/>
          <w:highlight w:val="none"/>
        </w:rPr>
      </w:pPr>
      <w:r>
        <w:rPr>
          <w:rFonts w:hint="eastAsia" w:ascii="宋体" w:hAnsi="宋体"/>
          <w:color w:val="auto"/>
          <w:sz w:val="22"/>
          <w:szCs w:val="22"/>
          <w:highlight w:val="none"/>
        </w:rPr>
        <w:t>响应人应根据采购人要求，负责做好车辆的供应、调度、协调工作，并配备额外车辆备用，以保证车辆在</w:t>
      </w:r>
      <w:r>
        <w:rPr>
          <w:rFonts w:hint="eastAsia" w:ascii="宋体" w:hAnsi="宋体"/>
          <w:color w:val="auto"/>
          <w:sz w:val="22"/>
          <w:szCs w:val="22"/>
          <w:highlight w:val="none"/>
          <w:lang w:eastAsia="zh-CN"/>
        </w:rPr>
        <w:t>大会</w:t>
      </w:r>
      <w:r>
        <w:rPr>
          <w:rFonts w:hint="eastAsia" w:ascii="宋体" w:hAnsi="宋体"/>
          <w:color w:val="auto"/>
          <w:sz w:val="22"/>
          <w:szCs w:val="22"/>
          <w:highlight w:val="none"/>
        </w:rPr>
        <w:t>前期筹备及举行期间的正常、顺畅、安全使用，避免临时突发任务车辆不够的情形发生。负责协助交警，报备车辆、驾驶员、交通线路，安排车辆，提供车辆管理及跟车服务。本次</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保障用车车型须覆盖轿车、商务车（别克GL8同等档次）、考斯特、中巴及大巴。有突发情况下，采购人允许供应商以社会化用车平台（曹操、</w:t>
      </w:r>
      <w:r>
        <w:rPr>
          <w:rFonts w:hint="eastAsia" w:ascii="宋体" w:hAnsi="宋体"/>
          <w:color w:val="auto"/>
          <w:sz w:val="22"/>
          <w:szCs w:val="22"/>
          <w:highlight w:val="none"/>
          <w:lang w:val="en-US" w:eastAsia="zh-CN"/>
        </w:rPr>
        <w:t>滴滴</w:t>
      </w:r>
      <w:r>
        <w:rPr>
          <w:rFonts w:hint="eastAsia" w:ascii="宋体" w:hAnsi="宋体"/>
          <w:color w:val="auto"/>
          <w:sz w:val="22"/>
          <w:szCs w:val="22"/>
          <w:highlight w:val="none"/>
        </w:rPr>
        <w:t>同等档次）予以辅助，相关费用按实结算。应标文件中车辆保障方案须明确车辆品牌、座位数、服务车辆数量、车辆情况、停放安排以及驾驶员情况。</w:t>
      </w:r>
    </w:p>
    <w:p>
      <w:pPr>
        <w:keepNext w:val="0"/>
        <w:keepLines w:val="0"/>
        <w:pageBreakBefore w:val="0"/>
        <w:widowControl/>
        <w:kinsoku/>
        <w:wordWrap/>
        <w:overflowPunct/>
        <w:topLinePunct w:val="0"/>
        <w:autoSpaceDE/>
        <w:autoSpaceDN/>
        <w:bidi w:val="0"/>
        <w:snapToGrid w:val="0"/>
        <w:spacing w:line="348" w:lineRule="auto"/>
        <w:ind w:firstLine="480"/>
        <w:jc w:val="left"/>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）响应人负责做好与酒店的协调工作，提供</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期间嘉宾、工作人员等就餐服务，保证酒店在</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期间嘉宾就餐区域的舒适性、卫生及菜品数量和质量。</w:t>
      </w:r>
    </w:p>
    <w:p>
      <w:pPr>
        <w:keepNext w:val="0"/>
        <w:keepLines w:val="0"/>
        <w:pageBreakBefore w:val="0"/>
        <w:widowControl/>
        <w:kinsoku/>
        <w:wordWrap/>
        <w:overflowPunct/>
        <w:topLinePunct w:val="0"/>
        <w:autoSpaceDE/>
        <w:autoSpaceDN/>
        <w:bidi w:val="0"/>
        <w:snapToGrid w:val="0"/>
        <w:spacing w:line="348" w:lineRule="auto"/>
        <w:ind w:firstLine="480"/>
        <w:jc w:val="left"/>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w:t>
      </w:r>
      <w:r>
        <w:rPr>
          <w:rFonts w:hint="eastAsia" w:ascii="宋体" w:hAnsi="宋体"/>
          <w:color w:val="auto"/>
          <w:sz w:val="22"/>
          <w:szCs w:val="22"/>
          <w:highlight w:val="none"/>
        </w:rPr>
        <w:t>会务服务物料保障方案，含</w:t>
      </w:r>
      <w:r>
        <w:rPr>
          <w:rFonts w:hint="eastAsia" w:ascii="宋体" w:hAnsi="宋体"/>
          <w:color w:val="auto"/>
          <w:sz w:val="22"/>
          <w:szCs w:val="22"/>
          <w:highlight w:val="none"/>
          <w:lang w:val="en-US" w:eastAsia="zh-CN"/>
        </w:rPr>
        <w:t>部分</w:t>
      </w:r>
      <w:r>
        <w:rPr>
          <w:rFonts w:hint="eastAsia" w:ascii="宋体" w:hAnsi="宋体"/>
          <w:color w:val="auto"/>
          <w:sz w:val="22"/>
          <w:szCs w:val="22"/>
          <w:highlight w:val="none"/>
        </w:rPr>
        <w:t>会务资料</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如证件、</w:t>
      </w:r>
      <w:r>
        <w:rPr>
          <w:rFonts w:hint="eastAsia" w:ascii="宋体" w:hAnsi="宋体"/>
          <w:color w:val="auto"/>
          <w:sz w:val="22"/>
          <w:szCs w:val="22"/>
          <w:highlight w:val="none"/>
        </w:rPr>
        <w:t>标识牌、餐券、</w:t>
      </w:r>
      <w:r>
        <w:rPr>
          <w:rFonts w:hint="eastAsia" w:ascii="宋体" w:hAnsi="宋体"/>
          <w:color w:val="auto"/>
          <w:sz w:val="22"/>
          <w:szCs w:val="22"/>
          <w:highlight w:val="none"/>
          <w:lang w:val="en-US" w:eastAsia="zh-CN"/>
        </w:rPr>
        <w:t>车身布置</w:t>
      </w:r>
      <w:r>
        <w:rPr>
          <w:rFonts w:hint="eastAsia" w:ascii="宋体" w:hAnsi="宋体"/>
          <w:color w:val="auto"/>
          <w:sz w:val="22"/>
          <w:szCs w:val="22"/>
          <w:highlight w:val="none"/>
        </w:rPr>
        <w:t>及其他相关物料</w:t>
      </w:r>
      <w:r>
        <w:rPr>
          <w:rFonts w:hint="eastAsia" w:ascii="宋体" w:hAnsi="宋体"/>
          <w:color w:val="auto"/>
          <w:sz w:val="22"/>
          <w:szCs w:val="22"/>
          <w:highlight w:val="none"/>
          <w:lang w:val="en-US" w:eastAsia="zh-CN"/>
        </w:rPr>
        <w:t>制作、分发、回收</w:t>
      </w:r>
      <w:r>
        <w:rPr>
          <w:rFonts w:hint="eastAsia" w:ascii="宋体" w:hAnsi="宋体"/>
          <w:color w:val="auto"/>
          <w:sz w:val="22"/>
          <w:szCs w:val="22"/>
          <w:highlight w:val="none"/>
          <w:lang w:eastAsia="zh-CN"/>
        </w:rPr>
        <w:t>）</w:t>
      </w:r>
      <w:r>
        <w:rPr>
          <w:rFonts w:hint="eastAsia" w:ascii="宋体" w:hAnsi="宋体"/>
          <w:color w:val="auto"/>
          <w:sz w:val="22"/>
          <w:szCs w:val="22"/>
          <w:highlight w:val="none"/>
        </w:rPr>
        <w:t>。</w:t>
      </w:r>
    </w:p>
    <w:p>
      <w:pPr>
        <w:keepNext w:val="0"/>
        <w:keepLines w:val="0"/>
        <w:pageBreakBefore w:val="0"/>
        <w:widowControl/>
        <w:kinsoku/>
        <w:wordWrap/>
        <w:overflowPunct/>
        <w:topLinePunct w:val="0"/>
        <w:autoSpaceDE/>
        <w:autoSpaceDN/>
        <w:bidi w:val="0"/>
        <w:snapToGrid w:val="0"/>
        <w:spacing w:line="348" w:lineRule="auto"/>
        <w:ind w:firstLine="480"/>
        <w:jc w:val="left"/>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6</w:t>
      </w:r>
      <w:r>
        <w:rPr>
          <w:rFonts w:hint="eastAsia" w:ascii="宋体" w:hAnsi="宋体"/>
          <w:color w:val="auto"/>
          <w:sz w:val="22"/>
          <w:szCs w:val="22"/>
          <w:highlight w:val="none"/>
        </w:rPr>
        <w:t>）项目组应合理分工，协调配合各有关部门，做好消防安全、交通疏导、医疗卫生、食品安全等各方面的保障工作，确保</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安全、成功举办。</w:t>
      </w:r>
    </w:p>
    <w:p>
      <w:pPr>
        <w:keepNext w:val="0"/>
        <w:keepLines w:val="0"/>
        <w:pageBreakBefore w:val="0"/>
        <w:widowControl/>
        <w:kinsoku/>
        <w:wordWrap/>
        <w:overflowPunct/>
        <w:topLinePunct w:val="0"/>
        <w:autoSpaceDE/>
        <w:autoSpaceDN/>
        <w:bidi w:val="0"/>
        <w:snapToGrid w:val="0"/>
        <w:spacing w:line="348" w:lineRule="auto"/>
        <w:ind w:firstLine="480"/>
        <w:jc w:val="left"/>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7）负责综合保障工作：根据综合保障方案，做好网络保障、临时人员（含志愿者）招募、培训与管理等综合保障工作。</w:t>
      </w:r>
    </w:p>
    <w:p>
      <w:pPr>
        <w:keepNext w:val="0"/>
        <w:keepLines w:val="0"/>
        <w:pageBreakBefore w:val="0"/>
        <w:widowControl/>
        <w:kinsoku/>
        <w:wordWrap/>
        <w:overflowPunct/>
        <w:topLinePunct w:val="0"/>
        <w:autoSpaceDE/>
        <w:autoSpaceDN/>
        <w:bidi w:val="0"/>
        <w:snapToGrid w:val="0"/>
        <w:spacing w:line="348" w:lineRule="auto"/>
        <w:ind w:firstLine="480"/>
        <w:jc w:val="left"/>
        <w:textAlignment w:val="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）配合采购人进行消防、安保、医护等工作的实施</w:t>
      </w:r>
      <w:r>
        <w:rPr>
          <w:rFonts w:hint="eastAsia" w:ascii="宋体" w:hAnsi="宋体"/>
          <w:color w:val="auto"/>
          <w:sz w:val="22"/>
          <w:szCs w:val="22"/>
          <w:highlight w:val="none"/>
          <w:lang w:eastAsia="zh-CN"/>
        </w:rPr>
        <w:t>。</w:t>
      </w:r>
    </w:p>
    <w:p>
      <w:pPr>
        <w:keepNext w:val="0"/>
        <w:keepLines w:val="0"/>
        <w:pageBreakBefore w:val="0"/>
        <w:widowControl/>
        <w:kinsoku/>
        <w:wordWrap/>
        <w:overflowPunct/>
        <w:topLinePunct w:val="0"/>
        <w:autoSpaceDE/>
        <w:autoSpaceDN/>
        <w:bidi w:val="0"/>
        <w:snapToGrid w:val="0"/>
        <w:spacing w:line="348" w:lineRule="auto"/>
        <w:ind w:firstLine="480"/>
        <w:jc w:val="left"/>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酒店内部氛围营造（包括并不仅限大厅、过道、电梯间氛围布置等）。</w:t>
      </w:r>
    </w:p>
    <w:p>
      <w:pPr>
        <w:keepNext w:val="0"/>
        <w:keepLines w:val="0"/>
        <w:pageBreakBefore w:val="0"/>
        <w:widowControl/>
        <w:kinsoku/>
        <w:wordWrap/>
        <w:overflowPunct/>
        <w:topLinePunct w:val="0"/>
        <w:autoSpaceDE/>
        <w:autoSpaceDN/>
        <w:bidi w:val="0"/>
        <w:snapToGrid w:val="0"/>
        <w:spacing w:line="348" w:lineRule="auto"/>
        <w:ind w:firstLine="480"/>
        <w:jc w:val="left"/>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10）须确保大会嘉宾及相关信息的保密工作。</w:t>
      </w:r>
    </w:p>
    <w:p>
      <w:pPr>
        <w:keepNext w:val="0"/>
        <w:keepLines w:val="0"/>
        <w:pageBreakBefore w:val="0"/>
        <w:widowControl/>
        <w:kinsoku/>
        <w:wordWrap/>
        <w:overflowPunct/>
        <w:topLinePunct w:val="0"/>
        <w:autoSpaceDE/>
        <w:autoSpaceDN/>
        <w:bidi w:val="0"/>
        <w:snapToGrid w:val="0"/>
        <w:spacing w:line="348" w:lineRule="auto"/>
        <w:ind w:firstLine="480"/>
        <w:jc w:val="left"/>
        <w:textAlignment w:val="auto"/>
        <w:rPr>
          <w:highlight w:val="none"/>
        </w:rPr>
      </w:pPr>
      <w:r>
        <w:rPr>
          <w:rFonts w:hint="eastAsia" w:ascii="宋体" w:hAnsi="宋体"/>
          <w:color w:val="auto"/>
          <w:sz w:val="22"/>
          <w:szCs w:val="22"/>
          <w:highlight w:val="none"/>
          <w:lang w:val="en-US" w:eastAsia="zh-CN"/>
        </w:rPr>
        <w:t>11)</w:t>
      </w:r>
      <w:r>
        <w:rPr>
          <w:rFonts w:hint="eastAsia" w:ascii="宋体" w:hAnsi="宋体"/>
          <w:color w:val="auto"/>
          <w:sz w:val="22"/>
          <w:szCs w:val="22"/>
          <w:highlight w:val="none"/>
        </w:rPr>
        <w:t>采购人要求的与</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项目有关的其他工作。</w:t>
      </w:r>
    </w:p>
    <w:p>
      <w:pPr>
        <w:pStyle w:val="30"/>
        <w:keepNext w:val="0"/>
        <w:keepLines w:val="0"/>
        <w:pageBreakBefore w:val="0"/>
        <w:widowControl w:val="0"/>
        <w:kinsoku/>
        <w:wordWrap/>
        <w:overflowPunct/>
        <w:topLinePunct w:val="0"/>
        <w:bidi w:val="0"/>
        <w:spacing w:line="348" w:lineRule="auto"/>
        <w:textAlignment w:val="auto"/>
        <w:outlineLvl w:val="1"/>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二、合同金额</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本合同金额为（大写）</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元）人民币。</w:t>
      </w:r>
    </w:p>
    <w:p>
      <w:pPr>
        <w:pStyle w:val="30"/>
        <w:keepNext w:val="0"/>
        <w:keepLines w:val="0"/>
        <w:pageBreakBefore w:val="0"/>
        <w:widowControl w:val="0"/>
        <w:kinsoku/>
        <w:wordWrap/>
        <w:overflowPunct/>
        <w:topLinePunct w:val="0"/>
        <w:bidi w:val="0"/>
        <w:spacing w:line="348" w:lineRule="auto"/>
        <w:textAlignment w:val="auto"/>
        <w:outlineLvl w:val="1"/>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三、付款方式</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甲方在合同签订后7个工作日内支付乙方合同金额的50%；甲方在本项目最终验收合格，交付并经项目结算后7个工作日内支付剩余费用。备注：因本项目资金涉及多部门财政资金（省级与市级），所有款项须财政资金到位后予以支付，因资金下达时间问题造成甲方付款延误，不视为甲方违约、甲方不承担违约责任。</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default"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2）甲方支付相关费用前，乙方应向甲方开具合法的增值税发票，项目结算时提供项目清单</w:t>
      </w:r>
      <w:r>
        <w:rPr>
          <w:rFonts w:hint="eastAsia" w:hAnsi="宋体" w:cs="宋体"/>
          <w:color w:val="auto"/>
          <w:kern w:val="0"/>
          <w:sz w:val="22"/>
          <w:szCs w:val="22"/>
          <w:highlight w:val="none"/>
          <w:lang w:eastAsia="zh-CN"/>
        </w:rPr>
        <w:t>，</w:t>
      </w:r>
      <w:r>
        <w:rPr>
          <w:rFonts w:hint="eastAsia" w:hAnsi="宋体" w:cs="宋体"/>
          <w:color w:val="auto"/>
          <w:kern w:val="0"/>
          <w:sz w:val="22"/>
          <w:szCs w:val="22"/>
          <w:highlight w:val="none"/>
          <w:lang w:val="en-US" w:eastAsia="zh-CN"/>
        </w:rPr>
        <w:t>按实际清单进行结算。</w:t>
      </w:r>
    </w:p>
    <w:p>
      <w:pPr>
        <w:pStyle w:val="30"/>
        <w:keepNext w:val="0"/>
        <w:keepLines w:val="0"/>
        <w:pageBreakBefore w:val="0"/>
        <w:widowControl w:val="0"/>
        <w:kinsoku/>
        <w:wordWrap/>
        <w:overflowPunct/>
        <w:topLinePunct w:val="0"/>
        <w:bidi w:val="0"/>
        <w:spacing w:line="348" w:lineRule="auto"/>
        <w:textAlignment w:val="auto"/>
        <w:outlineLvl w:val="1"/>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四、税费</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rPr>
        <w:t>本合同执行中相关的一切税费均由乙方负担。</w:t>
      </w:r>
    </w:p>
    <w:p>
      <w:pPr>
        <w:pStyle w:val="30"/>
        <w:keepNext w:val="0"/>
        <w:keepLines w:val="0"/>
        <w:pageBreakBefore w:val="0"/>
        <w:widowControl w:val="0"/>
        <w:kinsoku/>
        <w:wordWrap/>
        <w:overflowPunct/>
        <w:topLinePunct w:val="0"/>
        <w:bidi w:val="0"/>
        <w:spacing w:line="348" w:lineRule="auto"/>
        <w:textAlignment w:val="auto"/>
        <w:outlineLvl w:val="1"/>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五、合同履行时间及履行地点</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服务时间：</w:t>
      </w:r>
      <w:r>
        <w:rPr>
          <w:rFonts w:hint="eastAsia" w:ascii="宋体" w:hAnsi="宋体" w:eastAsia="宋体" w:cs="宋体"/>
          <w:color w:val="auto"/>
          <w:kern w:val="0"/>
          <w:sz w:val="22"/>
          <w:szCs w:val="22"/>
          <w:highlight w:val="none"/>
        </w:rPr>
        <w:t>计划于202</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月</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服务地点：中国温州</w:t>
      </w:r>
      <w:r>
        <w:rPr>
          <w:rFonts w:hint="eastAsia" w:ascii="宋体" w:hAnsi="宋体" w:eastAsia="宋体" w:cs="宋体"/>
          <w:color w:val="auto"/>
          <w:kern w:val="0"/>
          <w:sz w:val="22"/>
          <w:szCs w:val="22"/>
          <w:highlight w:val="none"/>
        </w:rPr>
        <w:t>。</w:t>
      </w:r>
    </w:p>
    <w:p>
      <w:pPr>
        <w:pStyle w:val="30"/>
        <w:keepNext w:val="0"/>
        <w:keepLines w:val="0"/>
        <w:pageBreakBefore w:val="0"/>
        <w:widowControl w:val="0"/>
        <w:kinsoku/>
        <w:wordWrap/>
        <w:overflowPunct/>
        <w:topLinePunct w:val="0"/>
        <w:bidi w:val="0"/>
        <w:spacing w:line="348" w:lineRule="auto"/>
        <w:textAlignment w:val="auto"/>
        <w:outlineLvl w:val="1"/>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六、质量保证</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1、乙方应按</w:t>
      </w:r>
      <w:r>
        <w:rPr>
          <w:rFonts w:hint="eastAsia" w:hAnsi="宋体" w:cs="宋体"/>
          <w:color w:val="auto"/>
          <w:kern w:val="0"/>
          <w:sz w:val="22"/>
          <w:szCs w:val="22"/>
          <w:highlight w:val="none"/>
          <w:lang w:eastAsia="zh-CN"/>
        </w:rPr>
        <w:t>采购文件</w:t>
      </w:r>
      <w:r>
        <w:rPr>
          <w:rFonts w:hint="eastAsia" w:ascii="宋体" w:hAnsi="宋体" w:eastAsia="宋体" w:cs="宋体"/>
          <w:color w:val="auto"/>
          <w:kern w:val="0"/>
          <w:sz w:val="22"/>
          <w:szCs w:val="22"/>
          <w:highlight w:val="none"/>
        </w:rPr>
        <w:t>规定向甲方提供服务。</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2、履行本合同的过程中，确因在现有水平和条件下难以克服的技术困难，导致部分或全部失败所造成的损失，风险责任由乙方全部承担。</w:t>
      </w:r>
    </w:p>
    <w:p>
      <w:pPr>
        <w:pStyle w:val="30"/>
        <w:keepNext w:val="0"/>
        <w:keepLines w:val="0"/>
        <w:pageBreakBefore w:val="0"/>
        <w:widowControl w:val="0"/>
        <w:kinsoku/>
        <w:wordWrap/>
        <w:overflowPunct/>
        <w:topLinePunct w:val="0"/>
        <w:bidi w:val="0"/>
        <w:spacing w:line="348" w:lineRule="auto"/>
        <w:textAlignment w:val="auto"/>
        <w:outlineLvl w:val="1"/>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七、知识产权</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乙方应保证提供服务过程中不会侵犯任何第三方的知识产权。</w:t>
      </w:r>
    </w:p>
    <w:p>
      <w:pPr>
        <w:pStyle w:val="30"/>
        <w:keepNext w:val="0"/>
        <w:keepLines w:val="0"/>
        <w:pageBreakBefore w:val="0"/>
        <w:widowControl w:val="0"/>
        <w:kinsoku/>
        <w:wordWrap/>
        <w:overflowPunct/>
        <w:topLinePunct w:val="0"/>
        <w:bidi w:val="0"/>
        <w:spacing w:line="348" w:lineRule="auto"/>
        <w:textAlignment w:val="auto"/>
        <w:outlineLvl w:val="1"/>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八、转包或分包</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1</w:t>
      </w:r>
      <w:r>
        <w:rPr>
          <w:rFonts w:hint="eastAsia" w:ascii="宋体" w:hAnsi="宋体" w:eastAsia="宋体" w:cs="宋体"/>
          <w:snapToGrid/>
          <w:color w:val="auto"/>
          <w:sz w:val="22"/>
          <w:szCs w:val="22"/>
          <w:highlight w:val="none"/>
          <w:lang w:eastAsia="zh-CN"/>
        </w:rPr>
        <w:t>、</w:t>
      </w:r>
      <w:r>
        <w:rPr>
          <w:rFonts w:hint="eastAsia" w:ascii="宋体" w:hAnsi="宋体" w:eastAsia="宋体" w:cs="宋体"/>
          <w:snapToGrid/>
          <w:color w:val="auto"/>
          <w:sz w:val="22"/>
          <w:szCs w:val="22"/>
          <w:highlight w:val="none"/>
        </w:rPr>
        <w:t>本合同范围的服务，应由乙方直接供应，不得转让他人供应；</w:t>
      </w:r>
    </w:p>
    <w:p>
      <w:pPr>
        <w:pStyle w:val="30"/>
        <w:keepNext w:val="0"/>
        <w:keepLines w:val="0"/>
        <w:pageBreakBefore w:val="0"/>
        <w:widowControl w:val="0"/>
        <w:kinsoku/>
        <w:wordWrap/>
        <w:overflowPunct/>
        <w:topLinePunct w:val="0"/>
        <w:bidi w:val="0"/>
        <w:spacing w:line="348" w:lineRule="auto"/>
        <w:ind w:firstLine="440" w:firstLineChars="200"/>
        <w:textAlignment w:val="auto"/>
        <w:outlineLvl w:val="1"/>
        <w:rPr>
          <w:rFonts w:hint="eastAsia" w:ascii="宋体" w:hAnsi="宋体" w:eastAsia="宋体" w:cs="宋体"/>
          <w:snapToGrid/>
          <w:color w:val="auto"/>
          <w:sz w:val="22"/>
          <w:szCs w:val="22"/>
          <w:highlight w:val="none"/>
          <w:lang w:val="en-US" w:eastAsia="zh-CN"/>
        </w:rPr>
      </w:pPr>
      <w:r>
        <w:rPr>
          <w:rFonts w:hint="eastAsia" w:ascii="宋体" w:hAnsi="宋体" w:eastAsia="宋体" w:cs="宋体"/>
          <w:snapToGrid/>
          <w:color w:val="auto"/>
          <w:sz w:val="22"/>
          <w:szCs w:val="22"/>
          <w:highlight w:val="none"/>
        </w:rPr>
        <w:t>2、如有转让和未经甲方同意的分包行为，甲方有权解除合同</w:t>
      </w:r>
      <w:r>
        <w:rPr>
          <w:rFonts w:hint="eastAsia" w:ascii="宋体" w:hAnsi="宋体" w:eastAsia="宋体" w:cs="宋体"/>
          <w:snapToGrid/>
          <w:color w:val="auto"/>
          <w:sz w:val="22"/>
          <w:szCs w:val="22"/>
          <w:highlight w:val="none"/>
          <w:lang w:val="en-US" w:eastAsia="zh-CN"/>
        </w:rPr>
        <w:t>并</w:t>
      </w:r>
      <w:r>
        <w:rPr>
          <w:rFonts w:hint="eastAsia" w:ascii="宋体" w:hAnsi="宋体" w:eastAsia="宋体" w:cs="宋体"/>
          <w:snapToGrid/>
          <w:color w:val="auto"/>
          <w:sz w:val="22"/>
          <w:szCs w:val="22"/>
          <w:highlight w:val="none"/>
        </w:rPr>
        <w:t>追究乙方的违约责任。</w:t>
      </w:r>
    </w:p>
    <w:p>
      <w:pPr>
        <w:keepNext w:val="0"/>
        <w:keepLines w:val="0"/>
        <w:pageBreakBefore w:val="0"/>
        <w:widowControl w:val="0"/>
        <w:kinsoku/>
        <w:wordWrap/>
        <w:overflowPunct/>
        <w:topLinePunct w:val="0"/>
        <w:bidi w:val="0"/>
        <w:spacing w:line="348" w:lineRule="auto"/>
        <w:textAlignment w:val="auto"/>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九、验收</w:t>
      </w:r>
    </w:p>
    <w:p>
      <w:pPr>
        <w:keepNext w:val="0"/>
        <w:keepLines w:val="0"/>
        <w:pageBreakBefore w:val="0"/>
        <w:widowControl w:val="0"/>
        <w:kinsoku/>
        <w:wordWrap/>
        <w:overflowPunct/>
        <w:topLinePunct w:val="0"/>
        <w:bidi w:val="0"/>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甲方按照</w:t>
      </w:r>
      <w:r>
        <w:rPr>
          <w:rFonts w:hint="eastAsia" w:ascii="宋体" w:hAnsi="宋体" w:cs="宋体"/>
          <w:color w:val="auto"/>
          <w:sz w:val="22"/>
          <w:szCs w:val="22"/>
          <w:highlight w:val="none"/>
          <w:lang w:eastAsia="zh-CN"/>
        </w:rPr>
        <w:t>采购文件</w:t>
      </w:r>
      <w:r>
        <w:rPr>
          <w:rFonts w:hint="eastAsia" w:ascii="宋体" w:hAnsi="宋体" w:eastAsia="宋体" w:cs="宋体"/>
          <w:color w:val="auto"/>
          <w:sz w:val="22"/>
          <w:szCs w:val="22"/>
          <w:highlight w:val="none"/>
        </w:rPr>
        <w:t>和合同进行验收。根据《</w:t>
      </w:r>
      <w:r>
        <w:rPr>
          <w:rFonts w:hint="eastAsia" w:ascii="宋体" w:hAnsi="宋体" w:eastAsia="宋体" w:cs="宋体"/>
          <w:color w:val="auto"/>
          <w:sz w:val="22"/>
          <w:szCs w:val="22"/>
          <w:highlight w:val="none"/>
          <w:lang w:eastAsia="zh-CN"/>
        </w:rPr>
        <w:t>温州市</w:t>
      </w:r>
      <w:r>
        <w:rPr>
          <w:rFonts w:hint="eastAsia" w:ascii="宋体" w:hAnsi="宋体" w:eastAsia="宋体" w:cs="宋体"/>
          <w:color w:val="auto"/>
          <w:sz w:val="22"/>
          <w:szCs w:val="22"/>
          <w:highlight w:val="none"/>
        </w:rPr>
        <w:t>政府采购履约验收暂行办法》进行履约验收，验收合格报告作为项目支付的依据。</w:t>
      </w:r>
      <w:r>
        <w:rPr>
          <w:rFonts w:hint="eastAsia" w:ascii="宋体" w:hAnsi="宋体" w:cs="宋体"/>
          <w:color w:val="auto"/>
          <w:sz w:val="22"/>
          <w:szCs w:val="22"/>
          <w:highlight w:val="none"/>
          <w:lang w:val="en-US" w:eastAsia="zh-CN"/>
        </w:rPr>
        <w:t>验收费用由乙方承担，包含在投标报价服务费内</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bidi w:val="0"/>
        <w:spacing w:line="348" w:lineRule="auto"/>
        <w:textAlignment w:val="auto"/>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十、保密条款</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乙方可仅为本合同目的向其确有知悉必要的员工披露甲方提供的保密资料，但同时须指示其员工遵守本条规定的保密及不披露义务。乙方应仅为本合同目的而复制和使用保密资料。</w:t>
      </w:r>
    </w:p>
    <w:p>
      <w:pPr>
        <w:keepNext w:val="0"/>
        <w:keepLines w:val="0"/>
        <w:pageBreakBefore w:val="0"/>
        <w:widowControl w:val="0"/>
        <w:kinsoku/>
        <w:wordWrap/>
        <w:overflowPunct/>
        <w:topLinePunct w:val="0"/>
        <w:bidi w:val="0"/>
        <w:spacing w:line="348" w:lineRule="auto"/>
        <w:textAlignment w:val="auto"/>
        <w:rPr>
          <w:rFonts w:hint="eastAsia" w:ascii="宋体" w:hAnsi="宋体" w:eastAsia="宋体" w:cs="宋体"/>
          <w:b/>
          <w:snapToGrid w:val="0"/>
          <w:color w:val="auto"/>
          <w:kern w:val="0"/>
          <w:sz w:val="22"/>
          <w:szCs w:val="22"/>
          <w:highlight w:val="none"/>
          <w:lang w:val="en-US" w:eastAsia="zh-CN"/>
        </w:rPr>
      </w:pPr>
      <w:r>
        <w:rPr>
          <w:rFonts w:hint="eastAsia" w:ascii="宋体" w:hAnsi="宋体" w:eastAsia="宋体" w:cs="宋体"/>
          <w:b/>
          <w:snapToGrid w:val="0"/>
          <w:color w:val="auto"/>
          <w:kern w:val="0"/>
          <w:sz w:val="22"/>
          <w:szCs w:val="22"/>
          <w:highlight w:val="none"/>
          <w:lang w:val="en-US" w:eastAsia="zh-CN"/>
        </w:rPr>
        <w:t>十一、双方权利和义务</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1、甲方权利和义务</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(1)向乙方提供有关的基础资料。</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(2)项目进度全程跟踪及质量的把握。</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(3)甲方应根据项目进度及时支付合同款项。</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2、乙方权利和义务</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(1)根据投标响应文件的承诺组建项目组人员，并确定项目负责人与甲方保持联系、沟通。</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(2)在履行本合同义务的期间，应运用合理的技能，认真、勤奋地工作。</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(3)乙方有义务按照甲方的要求，协助甲方就与本项目有关的各项事宜向政府有关部门进行汇报。</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(4)负责处理好与项目相关实施单位的协调工作。</w:t>
      </w:r>
    </w:p>
    <w:p>
      <w:pPr>
        <w:keepNext w:val="0"/>
        <w:keepLines w:val="0"/>
        <w:pageBreakBefore w:val="0"/>
        <w:widowControl w:val="0"/>
        <w:kinsoku/>
        <w:wordWrap/>
        <w:overflowPunct/>
        <w:topLinePunct w:val="0"/>
        <w:bidi w:val="0"/>
        <w:spacing w:line="348" w:lineRule="auto"/>
        <w:textAlignment w:val="auto"/>
        <w:rPr>
          <w:rFonts w:hint="eastAsia" w:ascii="宋体" w:hAnsi="宋体" w:eastAsia="宋体" w:cs="宋体"/>
          <w:b/>
          <w:snapToGrid w:val="0"/>
          <w:color w:val="auto"/>
          <w:kern w:val="0"/>
          <w:sz w:val="22"/>
          <w:szCs w:val="22"/>
          <w:highlight w:val="none"/>
          <w:lang w:val="en-US" w:eastAsia="zh-CN"/>
        </w:rPr>
      </w:pPr>
      <w:r>
        <w:rPr>
          <w:rFonts w:hint="eastAsia" w:ascii="宋体" w:hAnsi="宋体" w:eastAsia="宋体" w:cs="宋体"/>
          <w:b/>
          <w:snapToGrid w:val="0"/>
          <w:color w:val="auto"/>
          <w:kern w:val="0"/>
          <w:sz w:val="22"/>
          <w:szCs w:val="22"/>
          <w:highlight w:val="none"/>
          <w:lang w:val="en-US" w:eastAsia="zh-CN"/>
        </w:rPr>
        <w:t>十二、违约责任</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1、甲方无正当理由拒收接受服务的，甲方向乙方偿付合同款项5%作为违约金</w:t>
      </w:r>
      <w:r>
        <w:rPr>
          <w:rFonts w:hint="eastAsia" w:ascii="宋体" w:hAnsi="宋体" w:eastAsia="宋体" w:cs="宋体"/>
          <w:color w:val="auto"/>
          <w:sz w:val="22"/>
          <w:szCs w:val="22"/>
          <w:highlight w:val="none"/>
          <w:lang w:val="en-US" w:eastAsia="zh-Hans"/>
        </w:rPr>
        <w:t>并按照乙方实际已投入的工程量结算费用</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2、甲方延迟支付乙方款项应当支付逾期利息，按照每日利率万分之五支付逾期利息。</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3、如因乙方原因造成项目不能如期实施，乙方应向甲方支付合同款项5%的违约金，且甲方有权选择解除本合同。</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pPr>
        <w:keepNext w:val="0"/>
        <w:keepLines w:val="0"/>
        <w:pageBreakBefore w:val="0"/>
        <w:widowControl w:val="0"/>
        <w:kinsoku/>
        <w:wordWrap/>
        <w:overflowPunct/>
        <w:topLinePunct w:val="0"/>
        <w:bidi w:val="0"/>
        <w:spacing w:line="348" w:lineRule="auto"/>
        <w:textAlignment w:val="auto"/>
        <w:rPr>
          <w:rFonts w:hint="eastAsia" w:ascii="宋体" w:hAnsi="宋体" w:eastAsia="宋体" w:cs="宋体"/>
          <w:b/>
          <w:snapToGrid w:val="0"/>
          <w:color w:val="auto"/>
          <w:kern w:val="0"/>
          <w:sz w:val="22"/>
          <w:szCs w:val="22"/>
          <w:highlight w:val="none"/>
          <w:lang w:val="en-US" w:eastAsia="zh-CN"/>
        </w:rPr>
      </w:pPr>
      <w:r>
        <w:rPr>
          <w:rFonts w:hint="eastAsia" w:ascii="宋体" w:hAnsi="宋体" w:eastAsia="宋体" w:cs="宋体"/>
          <w:b/>
          <w:snapToGrid w:val="0"/>
          <w:color w:val="auto"/>
          <w:kern w:val="0"/>
          <w:sz w:val="22"/>
          <w:szCs w:val="22"/>
          <w:highlight w:val="none"/>
          <w:lang w:val="en-US" w:eastAsia="zh-CN"/>
        </w:rPr>
        <w:t>十三、不可抗力事件处理</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2、不可抗力事件延续120天以上，双方应通过友好协商，确定是否继续履行合同。</w:t>
      </w:r>
    </w:p>
    <w:p>
      <w:pPr>
        <w:keepNext w:val="0"/>
        <w:keepLines w:val="0"/>
        <w:pageBreakBefore w:val="0"/>
        <w:widowControl w:val="0"/>
        <w:kinsoku/>
        <w:wordWrap/>
        <w:overflowPunct/>
        <w:topLinePunct w:val="0"/>
        <w:bidi w:val="0"/>
        <w:spacing w:line="348" w:lineRule="auto"/>
        <w:textAlignment w:val="auto"/>
        <w:rPr>
          <w:rFonts w:hint="eastAsia" w:ascii="宋体" w:hAnsi="宋体" w:eastAsia="宋体" w:cs="宋体"/>
          <w:b/>
          <w:snapToGrid w:val="0"/>
          <w:color w:val="auto"/>
          <w:kern w:val="0"/>
          <w:sz w:val="22"/>
          <w:szCs w:val="22"/>
          <w:highlight w:val="none"/>
          <w:lang w:val="en-US" w:eastAsia="zh-CN"/>
        </w:rPr>
      </w:pPr>
      <w:r>
        <w:rPr>
          <w:rFonts w:hint="eastAsia" w:ascii="宋体" w:hAnsi="宋体" w:eastAsia="宋体" w:cs="宋体"/>
          <w:b/>
          <w:snapToGrid w:val="0"/>
          <w:color w:val="auto"/>
          <w:kern w:val="0"/>
          <w:sz w:val="22"/>
          <w:szCs w:val="22"/>
          <w:highlight w:val="none"/>
          <w:lang w:val="en-US" w:eastAsia="zh-CN"/>
        </w:rPr>
        <w:t>十四、争议解决</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若在执行过程中出现纠纷，则由双方友好协商解决，若不能解决，可向甲方所在地人民法院诉讼。</w:t>
      </w:r>
    </w:p>
    <w:p>
      <w:pPr>
        <w:keepNext w:val="0"/>
        <w:keepLines w:val="0"/>
        <w:pageBreakBefore w:val="0"/>
        <w:widowControl w:val="0"/>
        <w:kinsoku/>
        <w:wordWrap/>
        <w:overflowPunct/>
        <w:topLinePunct w:val="0"/>
        <w:bidi w:val="0"/>
        <w:spacing w:line="348" w:lineRule="auto"/>
        <w:textAlignment w:val="auto"/>
        <w:rPr>
          <w:rFonts w:hint="eastAsia" w:ascii="宋体" w:hAnsi="宋体" w:eastAsia="宋体" w:cs="宋体"/>
          <w:b/>
          <w:snapToGrid w:val="0"/>
          <w:color w:val="auto"/>
          <w:kern w:val="0"/>
          <w:sz w:val="22"/>
          <w:szCs w:val="22"/>
          <w:highlight w:val="none"/>
          <w:lang w:val="en-US" w:eastAsia="zh-CN"/>
        </w:rPr>
      </w:pPr>
      <w:r>
        <w:rPr>
          <w:rFonts w:hint="eastAsia" w:ascii="宋体" w:hAnsi="宋体" w:eastAsia="宋体" w:cs="宋体"/>
          <w:b/>
          <w:snapToGrid w:val="0"/>
          <w:color w:val="auto"/>
          <w:kern w:val="0"/>
          <w:sz w:val="22"/>
          <w:szCs w:val="22"/>
          <w:highlight w:val="none"/>
          <w:lang w:val="en-US" w:eastAsia="zh-CN"/>
        </w:rPr>
        <w:t>十五、合同生效及其它</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r>
        <w:rPr>
          <w:rFonts w:hint="eastAsia" w:ascii="宋体" w:hAnsi="宋体" w:eastAsia="宋体" w:cs="宋体"/>
          <w:color w:val="auto"/>
          <w:sz w:val="22"/>
          <w:szCs w:val="22"/>
          <w:highlight w:val="none"/>
          <w:lang w:eastAsia="zh-CN"/>
        </w:rPr>
        <w:t>项目</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）、投标文件及评标过程中形成的文字资料、询标纪要均作为本合同的组成部分，具有同等效力。</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2、本合同经甲乙双方法定代表人或其委托人签字并加盖</w:t>
      </w:r>
      <w:r>
        <w:rPr>
          <w:rFonts w:hint="eastAsia" w:ascii="宋体" w:hAnsi="宋体" w:eastAsia="宋体" w:cs="宋体"/>
          <w:color w:val="auto"/>
          <w:sz w:val="22"/>
          <w:szCs w:val="22"/>
          <w:highlight w:val="none"/>
          <w:lang w:val="en-US" w:eastAsia="zh-CN"/>
        </w:rPr>
        <w:t>公章，并经浙江政府采购网备案公示后生效</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本合同未尽事宜，遵照《中华人民共和国民法典》有关条文执行。</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4、本合同壹式</w:t>
      </w:r>
      <w:r>
        <w:rPr>
          <w:rFonts w:hint="eastAsia" w:ascii="宋体" w:hAnsi="宋体" w:eastAsia="宋体" w:cs="宋体"/>
          <w:color w:val="auto"/>
          <w:sz w:val="22"/>
          <w:szCs w:val="22"/>
          <w:highlight w:val="none"/>
          <w:lang w:val="en-US" w:eastAsia="zh-CN"/>
        </w:rPr>
        <w:t>陆</w:t>
      </w:r>
      <w:r>
        <w:rPr>
          <w:rFonts w:hint="eastAsia" w:ascii="宋体" w:hAnsi="宋体" w:eastAsia="宋体" w:cs="宋体"/>
          <w:color w:val="auto"/>
          <w:sz w:val="22"/>
          <w:szCs w:val="22"/>
          <w:highlight w:val="none"/>
        </w:rPr>
        <w:t>份，甲方执叁份,乙方执叁份</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5、适用法律：本合同应按照中华人民共和国的法律进行解释。</w:t>
      </w:r>
    </w:p>
    <w:p>
      <w:pPr>
        <w:keepNext w:val="0"/>
        <w:keepLines w:val="0"/>
        <w:pageBreakBefore w:val="0"/>
        <w:widowControl w:val="0"/>
        <w:kinsoku/>
        <w:wordWrap/>
        <w:overflowPunct/>
        <w:topLinePunct w:val="0"/>
        <w:bidi w:val="0"/>
        <w:adjustRightInd/>
        <w:spacing w:line="34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（以下无正文）</w:t>
      </w:r>
    </w:p>
    <w:p>
      <w:pPr>
        <w:pStyle w:val="22"/>
        <w:keepNext w:val="0"/>
        <w:keepLines w:val="0"/>
        <w:pageBreakBefore w:val="0"/>
        <w:widowControl w:val="0"/>
        <w:kinsoku/>
        <w:wordWrap/>
        <w:overflowPunct/>
        <w:topLinePunct w:val="0"/>
        <w:bidi w:val="0"/>
        <w:spacing w:line="348" w:lineRule="auto"/>
        <w:textAlignment w:val="auto"/>
        <w:rPr>
          <w:rFonts w:hint="eastAsia" w:ascii="宋体" w:hAnsi="宋体" w:eastAsia="宋体" w:cs="宋体"/>
          <w:color w:val="auto"/>
          <w:sz w:val="22"/>
          <w:szCs w:val="22"/>
          <w:highlight w:val="none"/>
        </w:rPr>
      </w:pPr>
    </w:p>
    <w:p>
      <w:pPr>
        <w:keepLines w:val="0"/>
        <w:pageBreakBefore w:val="0"/>
        <w:kinsoku/>
        <w:wordWrap/>
        <w:overflowPunct/>
        <w:topLinePunct w:val="0"/>
        <w:bidi w:val="0"/>
        <w:adjustRightInd w:val="0"/>
        <w:snapToGrid w:val="0"/>
        <w:spacing w:line="348"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 xml:space="preserve">                       乙方（盖章）</w:t>
      </w:r>
      <w:r>
        <w:rPr>
          <w:rFonts w:hint="eastAsia" w:ascii="宋体" w:hAnsi="宋体" w:eastAsia="宋体" w:cs="宋体"/>
          <w:color w:val="auto"/>
          <w:sz w:val="22"/>
          <w:szCs w:val="22"/>
          <w:highlight w:val="none"/>
        </w:rPr>
        <w:t xml:space="preserve">： </w:t>
      </w:r>
    </w:p>
    <w:p>
      <w:pPr>
        <w:keepLines w:val="0"/>
        <w:pageBreakBefore w:val="0"/>
        <w:kinsoku/>
        <w:wordWrap/>
        <w:overflowPunct/>
        <w:topLinePunct w:val="0"/>
        <w:bidi w:val="0"/>
        <w:adjustRightInd w:val="0"/>
        <w:snapToGrid w:val="0"/>
        <w:spacing w:line="348"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法定代表人或受委托人（签字）：</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法定代表人或受委托人（签字）：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pPr>
        <w:keepLines w:val="0"/>
        <w:pageBreakBefore w:val="0"/>
        <w:kinsoku/>
        <w:wordWrap/>
        <w:overflowPunct/>
        <w:topLinePunct w:val="0"/>
        <w:bidi w:val="0"/>
        <w:adjustRightInd w:val="0"/>
        <w:snapToGrid w:val="0"/>
        <w:spacing w:line="348"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联系人：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联系人：</w:t>
      </w:r>
    </w:p>
    <w:p>
      <w:pPr>
        <w:keepLines w:val="0"/>
        <w:pageBreakBefore w:val="0"/>
        <w:kinsoku/>
        <w:wordWrap/>
        <w:overflowPunct/>
        <w:topLinePunct w:val="0"/>
        <w:bidi w:val="0"/>
        <w:adjustRightInd w:val="0"/>
        <w:snapToGrid w:val="0"/>
        <w:spacing w:line="348" w:lineRule="auto"/>
        <w:textAlignment w:val="auto"/>
        <w:rPr>
          <w:rFonts w:hint="eastAsia" w:ascii="宋体" w:hAnsi="宋体" w:eastAsia="宋体" w:cs="宋体"/>
          <w:color w:val="auto"/>
          <w:sz w:val="22"/>
          <w:szCs w:val="22"/>
          <w:highlight w:val="none"/>
          <w:lang w:val="en-US" w:eastAsia="zh-Hans"/>
        </w:rPr>
      </w:pPr>
      <w:r>
        <w:rPr>
          <w:rFonts w:hint="eastAsia" w:ascii="宋体" w:hAnsi="宋体" w:eastAsia="宋体" w:cs="宋体"/>
          <w:color w:val="auto"/>
          <w:sz w:val="22"/>
          <w:szCs w:val="22"/>
          <w:highlight w:val="none"/>
        </w:rPr>
        <w:t xml:space="preserve">地址：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p>
    <w:p>
      <w:pPr>
        <w:keepLines w:val="0"/>
        <w:pageBreakBefore w:val="0"/>
        <w:kinsoku/>
        <w:wordWrap/>
        <w:overflowPunct/>
        <w:topLinePunct w:val="0"/>
        <w:bidi w:val="0"/>
        <w:adjustRightInd w:val="0"/>
        <w:snapToGrid w:val="0"/>
        <w:spacing w:line="348"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电话：</w:t>
      </w:r>
    </w:p>
    <w:p>
      <w:pPr>
        <w:keepLines w:val="0"/>
        <w:pageBreakBefore w:val="0"/>
        <w:kinsoku/>
        <w:wordWrap/>
        <w:overflowPunct/>
        <w:topLinePunct w:val="0"/>
        <w:bidi w:val="0"/>
        <w:adjustRightInd w:val="0"/>
        <w:snapToGrid w:val="0"/>
        <w:spacing w:line="348"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传真：</w:t>
      </w:r>
    </w:p>
    <w:p>
      <w:pPr>
        <w:keepLines w:val="0"/>
        <w:pageBreakBefore w:val="0"/>
        <w:kinsoku/>
        <w:wordWrap/>
        <w:overflowPunct/>
        <w:topLinePunct w:val="0"/>
        <w:bidi w:val="0"/>
        <w:adjustRightInd w:val="0"/>
        <w:snapToGrid w:val="0"/>
        <w:spacing w:line="348"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开户银行：</w:t>
      </w:r>
    </w:p>
    <w:p>
      <w:pPr>
        <w:keepNext w:val="0"/>
        <w:keepLines w:val="0"/>
        <w:pageBreakBefore w:val="0"/>
        <w:kinsoku/>
        <w:wordWrap/>
        <w:overflowPunct/>
        <w:topLinePunct w:val="0"/>
        <w:autoSpaceDE/>
        <w:autoSpaceDN/>
        <w:bidi w:val="0"/>
        <w:adjustRightInd/>
        <w:snapToGrid/>
        <w:spacing w:line="348" w:lineRule="auto"/>
        <w:textAlignment w:val="auto"/>
        <w:rPr>
          <w:color w:val="auto"/>
          <w:highlight w:val="none"/>
        </w:rPr>
      </w:pPr>
      <w:r>
        <w:rPr>
          <w:rFonts w:hint="eastAsia" w:ascii="宋体" w:hAnsi="宋体" w:eastAsia="宋体" w:cs="宋体"/>
          <w:color w:val="auto"/>
          <w:sz w:val="22"/>
          <w:szCs w:val="22"/>
          <w:highlight w:val="none"/>
        </w:rPr>
        <w:t xml:space="preserve">帐号：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帐号</w:t>
      </w:r>
      <w:bookmarkStart w:id="67" w:name="_Toc5314"/>
      <w:bookmarkStart w:id="68" w:name="_Toc21106"/>
      <w:bookmarkStart w:id="69" w:name="_Toc12546"/>
    </w:p>
    <w:p>
      <w:pPr>
        <w:rPr>
          <w:color w:val="auto"/>
          <w:highlight w:val="none"/>
        </w:rPr>
      </w:pPr>
    </w:p>
    <w:p>
      <w:pPr>
        <w:pStyle w:val="2"/>
        <w:rPr>
          <w:color w:val="auto"/>
          <w:highlight w:val="none"/>
        </w:rPr>
      </w:pPr>
    </w:p>
    <w:p>
      <w:pPr>
        <w:rPr>
          <w:highlight w:val="none"/>
        </w:rPr>
      </w:pPr>
    </w:p>
    <w:p>
      <w:pPr>
        <w:pStyle w:val="2"/>
        <w:rPr>
          <w:rFonts w:ascii="新宋体" w:hAnsi="新宋体" w:eastAsia="新宋体"/>
          <w:color w:val="auto"/>
          <w:sz w:val="36"/>
          <w:szCs w:val="36"/>
          <w:highlight w:val="none"/>
        </w:rPr>
      </w:pPr>
      <w:r>
        <w:rPr>
          <w:rFonts w:hint="eastAsia" w:ascii="新宋体" w:hAnsi="新宋体" w:eastAsia="新宋体"/>
          <w:color w:val="auto"/>
          <w:sz w:val="36"/>
          <w:szCs w:val="36"/>
          <w:highlight w:val="none"/>
        </w:rPr>
        <w:t>第四部分   磋商响应文件格式</w:t>
      </w:r>
      <w:bookmarkEnd w:id="67"/>
      <w:bookmarkEnd w:id="68"/>
      <w:bookmarkEnd w:id="69"/>
    </w:p>
    <w:p>
      <w:pPr>
        <w:spacing w:before="120" w:beforeLines="50" w:after="120" w:afterLines="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（资格审查资料封面，供参考）</w:t>
      </w:r>
    </w:p>
    <w:p>
      <w:pPr>
        <w:rPr>
          <w:rFonts w:ascii="新宋体" w:hAnsi="新宋体" w:eastAsia="新宋体"/>
          <w:color w:val="auto"/>
          <w:highlight w:val="none"/>
        </w:rPr>
      </w:pPr>
    </w:p>
    <w:p>
      <w:pPr>
        <w:rPr>
          <w:rFonts w:ascii="新宋体" w:hAnsi="新宋体" w:eastAsia="新宋体"/>
          <w:color w:val="auto"/>
          <w:highlight w:val="none"/>
        </w:rPr>
      </w:pPr>
    </w:p>
    <w:p>
      <w:pPr>
        <w:rPr>
          <w:rFonts w:ascii="新宋体" w:hAnsi="新宋体" w:eastAsia="新宋体"/>
          <w:color w:val="auto"/>
          <w:highlight w:val="none"/>
        </w:rPr>
      </w:pPr>
    </w:p>
    <w:p>
      <w:pPr>
        <w:jc w:val="center"/>
        <w:rPr>
          <w:rFonts w:ascii="新宋体" w:hAnsi="新宋体" w:eastAsia="新宋体"/>
          <w:color w:val="auto"/>
          <w:sz w:val="28"/>
          <w:szCs w:val="28"/>
          <w:highlight w:val="none"/>
        </w:rPr>
      </w:pPr>
      <w:r>
        <w:rPr>
          <w:rFonts w:hint="eastAsia" w:ascii="新宋体" w:hAnsi="新宋体" w:eastAsia="新宋体"/>
          <w:color w:val="auto"/>
          <w:sz w:val="28"/>
          <w:szCs w:val="28"/>
          <w:highlight w:val="none"/>
          <w:u w:val="single"/>
        </w:rPr>
        <w:t xml:space="preserve">                 （项目名称）              </w:t>
      </w:r>
      <w:r>
        <w:rPr>
          <w:rFonts w:hint="eastAsia" w:ascii="新宋体" w:hAnsi="新宋体" w:eastAsia="新宋体"/>
          <w:color w:val="auto"/>
          <w:sz w:val="28"/>
          <w:szCs w:val="28"/>
          <w:highlight w:val="none"/>
        </w:rPr>
        <w:t>磋商响应文件</w:t>
      </w:r>
    </w:p>
    <w:p>
      <w:pPr>
        <w:rPr>
          <w:rFonts w:ascii="新宋体" w:hAnsi="新宋体" w:eastAsia="新宋体"/>
          <w:color w:val="auto"/>
          <w:sz w:val="28"/>
          <w:szCs w:val="28"/>
          <w:highlight w:val="none"/>
        </w:rPr>
      </w:pPr>
    </w:p>
    <w:p>
      <w:pPr>
        <w:rPr>
          <w:rFonts w:ascii="新宋体" w:hAnsi="新宋体" w:eastAsia="新宋体"/>
          <w:color w:val="auto"/>
          <w:sz w:val="28"/>
          <w:szCs w:val="28"/>
          <w:highlight w:val="none"/>
        </w:rPr>
      </w:pPr>
    </w:p>
    <w:p>
      <w:pPr>
        <w:pStyle w:val="22"/>
        <w:ind w:firstLine="281"/>
        <w:rPr>
          <w:rFonts w:ascii="新宋体" w:hAnsi="新宋体" w:eastAsia="新宋体"/>
          <w:color w:val="auto"/>
          <w:sz w:val="28"/>
          <w:szCs w:val="28"/>
          <w:highlight w:val="none"/>
        </w:rPr>
      </w:pPr>
    </w:p>
    <w:p>
      <w:pPr>
        <w:pStyle w:val="22"/>
        <w:ind w:firstLine="281"/>
        <w:rPr>
          <w:rFonts w:ascii="新宋体" w:hAnsi="新宋体" w:eastAsia="新宋体"/>
          <w:color w:val="auto"/>
          <w:sz w:val="28"/>
          <w:szCs w:val="28"/>
          <w:highlight w:val="none"/>
        </w:rPr>
      </w:pPr>
    </w:p>
    <w:p>
      <w:pPr>
        <w:rPr>
          <w:rFonts w:ascii="新宋体" w:hAnsi="新宋体" w:eastAsia="新宋体"/>
          <w:color w:val="auto"/>
          <w:sz w:val="28"/>
          <w:szCs w:val="28"/>
          <w:highlight w:val="none"/>
        </w:rPr>
      </w:pPr>
    </w:p>
    <w:p>
      <w:pPr>
        <w:rPr>
          <w:rFonts w:ascii="新宋体" w:hAnsi="新宋体" w:eastAsia="新宋体"/>
          <w:color w:val="auto"/>
          <w:sz w:val="28"/>
          <w:szCs w:val="28"/>
          <w:highlight w:val="none"/>
        </w:rPr>
      </w:pPr>
    </w:p>
    <w:p>
      <w:pPr>
        <w:jc w:val="center"/>
        <w:rPr>
          <w:rFonts w:ascii="新宋体" w:hAnsi="新宋体" w:eastAsia="新宋体"/>
          <w:color w:val="auto"/>
          <w:sz w:val="52"/>
          <w:szCs w:val="52"/>
          <w:highlight w:val="none"/>
        </w:rPr>
      </w:pPr>
      <w:r>
        <w:rPr>
          <w:rFonts w:hint="eastAsia" w:ascii="新宋体" w:hAnsi="新宋体" w:eastAsia="新宋体"/>
          <w:color w:val="auto"/>
          <w:sz w:val="52"/>
          <w:szCs w:val="52"/>
          <w:highlight w:val="none"/>
        </w:rPr>
        <w:t>资格审查资料</w:t>
      </w: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jc w:val="center"/>
        <w:rPr>
          <w:rFonts w:ascii="新宋体" w:hAnsi="新宋体" w:eastAsia="新宋体"/>
          <w:color w:val="auto"/>
          <w:sz w:val="28"/>
          <w:szCs w:val="28"/>
          <w:highlight w:val="none"/>
        </w:rPr>
      </w:pPr>
      <w:r>
        <w:rPr>
          <w:rFonts w:hint="eastAsia" w:ascii="新宋体" w:hAnsi="新宋体" w:eastAsia="新宋体"/>
          <w:color w:val="auto"/>
          <w:sz w:val="28"/>
          <w:szCs w:val="28"/>
          <w:highlight w:val="none"/>
        </w:rPr>
        <w:t>供应商：</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（盖单位章）</w:t>
      </w:r>
    </w:p>
    <w:p>
      <w:pPr>
        <w:rPr>
          <w:rFonts w:ascii="新宋体" w:hAnsi="新宋体" w:eastAsia="新宋体"/>
          <w:color w:val="auto"/>
          <w:sz w:val="28"/>
          <w:szCs w:val="28"/>
          <w:highlight w:val="none"/>
          <w:u w:val="single"/>
        </w:rPr>
      </w:pPr>
    </w:p>
    <w:p>
      <w:pPr>
        <w:jc w:val="center"/>
        <w:rPr>
          <w:rFonts w:ascii="新宋体" w:hAnsi="新宋体" w:eastAsia="新宋体"/>
          <w:color w:val="auto"/>
          <w:sz w:val="28"/>
          <w:szCs w:val="28"/>
          <w:highlight w:val="none"/>
        </w:rPr>
      </w:pPr>
      <w:r>
        <w:rPr>
          <w:rFonts w:hint="eastAsia" w:ascii="新宋体" w:hAnsi="新宋体" w:eastAsia="新宋体"/>
          <w:color w:val="auto"/>
          <w:sz w:val="28"/>
          <w:szCs w:val="28"/>
          <w:highlight w:val="none"/>
        </w:rPr>
        <w:t>法定代表人或其委托代理人：</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（签字或盖章）</w:t>
      </w:r>
    </w:p>
    <w:p>
      <w:pPr>
        <w:rPr>
          <w:rFonts w:ascii="新宋体" w:hAnsi="新宋体" w:eastAsia="新宋体"/>
          <w:color w:val="auto"/>
          <w:sz w:val="28"/>
          <w:szCs w:val="28"/>
          <w:highlight w:val="none"/>
        </w:rPr>
      </w:pPr>
    </w:p>
    <w:p>
      <w:pPr>
        <w:overflowPunct w:val="0"/>
        <w:spacing w:line="380" w:lineRule="exact"/>
        <w:ind w:firstLine="2738" w:firstLineChars="978"/>
        <w:rPr>
          <w:rFonts w:ascii="新宋体" w:hAnsi="新宋体" w:eastAsia="新宋体"/>
          <w:color w:val="auto"/>
          <w:sz w:val="28"/>
          <w:szCs w:val="28"/>
          <w:highlight w:val="none"/>
        </w:rPr>
      </w:pP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年</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月</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日</w:t>
      </w:r>
    </w:p>
    <w:p>
      <w:pPr>
        <w:spacing w:line="4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br w:type="page"/>
      </w:r>
    </w:p>
    <w:p>
      <w:pPr>
        <w:jc w:val="center"/>
        <w:rPr>
          <w:rFonts w:ascii="新宋体" w:hAnsi="新宋体" w:eastAsia="新宋体" w:cs="新宋体"/>
          <w:b/>
          <w:bCs/>
          <w:color w:val="auto"/>
          <w:sz w:val="52"/>
          <w:szCs w:val="52"/>
          <w:highlight w:val="none"/>
        </w:rPr>
      </w:pPr>
      <w:bookmarkStart w:id="70" w:name="_Toc504034734"/>
      <w:bookmarkStart w:id="71" w:name="_Toc465107614"/>
      <w:r>
        <w:rPr>
          <w:rFonts w:hint="eastAsia" w:ascii="新宋体" w:hAnsi="新宋体" w:eastAsia="新宋体" w:cs="新宋体"/>
          <w:b/>
          <w:bCs/>
          <w:color w:val="auto"/>
          <w:sz w:val="52"/>
          <w:szCs w:val="52"/>
          <w:highlight w:val="none"/>
        </w:rPr>
        <w:t>目    录</w:t>
      </w:r>
    </w:p>
    <w:p>
      <w:pPr>
        <w:pStyle w:val="22"/>
        <w:ind w:firstLine="321"/>
        <w:rPr>
          <w:color w:val="auto"/>
          <w:highlight w:val="none"/>
        </w:rPr>
      </w:pPr>
    </w:p>
    <w:p>
      <w:pPr>
        <w:pStyle w:val="14"/>
        <w:spacing w:line="480" w:lineRule="auto"/>
        <w:rPr>
          <w:color w:val="auto"/>
          <w:highlight w:val="none"/>
        </w:rPr>
      </w:pPr>
      <w:r>
        <w:rPr>
          <w:rFonts w:hint="eastAsia"/>
          <w:color w:val="auto"/>
          <w:highlight w:val="none"/>
        </w:rPr>
        <w:t>一、法定代表人（单位负责人）授权书和被授权人有效身份证明。</w:t>
      </w:r>
    </w:p>
    <w:p>
      <w:pPr>
        <w:pStyle w:val="14"/>
        <w:spacing w:line="480" w:lineRule="auto"/>
        <w:rPr>
          <w:color w:val="auto"/>
          <w:highlight w:val="none"/>
        </w:rPr>
      </w:pPr>
      <w:r>
        <w:rPr>
          <w:rFonts w:hint="eastAsia"/>
          <w:color w:val="auto"/>
          <w:highlight w:val="none"/>
        </w:rPr>
        <w:t>二、联合体协议书（非联合体无需提供）</w:t>
      </w:r>
    </w:p>
    <w:p>
      <w:pPr>
        <w:pStyle w:val="14"/>
        <w:spacing w:line="480" w:lineRule="auto"/>
        <w:rPr>
          <w:color w:val="auto"/>
          <w:highlight w:val="none"/>
        </w:rPr>
      </w:pPr>
      <w:r>
        <w:rPr>
          <w:rFonts w:hint="eastAsia"/>
          <w:color w:val="auto"/>
          <w:highlight w:val="none"/>
        </w:rPr>
        <w:t>三、营业执照(或事业法人登记证书或其它工商等登记证明材料)。</w:t>
      </w:r>
    </w:p>
    <w:p>
      <w:pPr>
        <w:pStyle w:val="14"/>
        <w:spacing w:line="480" w:lineRule="auto"/>
        <w:rPr>
          <w:color w:val="auto"/>
          <w:highlight w:val="none"/>
        </w:rPr>
      </w:pPr>
      <w:r>
        <w:rPr>
          <w:rFonts w:hint="eastAsia"/>
          <w:color w:val="auto"/>
          <w:highlight w:val="none"/>
        </w:rPr>
        <w:t>四、资格条件承诺函</w:t>
      </w:r>
    </w:p>
    <w:p>
      <w:pPr>
        <w:pStyle w:val="14"/>
        <w:spacing w:line="480" w:lineRule="auto"/>
        <w:rPr>
          <w:color w:val="auto"/>
          <w:highlight w:val="none"/>
        </w:rPr>
      </w:pPr>
      <w:r>
        <w:rPr>
          <w:rFonts w:hint="eastAsia"/>
          <w:color w:val="auto"/>
          <w:highlight w:val="none"/>
        </w:rPr>
        <w:t>五、申请材料真实性声明</w:t>
      </w:r>
    </w:p>
    <w:p>
      <w:pPr>
        <w:pStyle w:val="14"/>
        <w:spacing w:line="480" w:lineRule="auto"/>
        <w:rPr>
          <w:color w:val="auto"/>
          <w:highlight w:val="none"/>
        </w:rPr>
      </w:pPr>
    </w:p>
    <w:p>
      <w:pPr>
        <w:pStyle w:val="14"/>
        <w:spacing w:line="480" w:lineRule="auto"/>
        <w:rPr>
          <w:color w:val="auto"/>
          <w:highlight w:val="none"/>
        </w:rPr>
      </w:pPr>
    </w:p>
    <w:p>
      <w:pPr>
        <w:pStyle w:val="14"/>
        <w:spacing w:line="480" w:lineRule="auto"/>
        <w:rPr>
          <w:b/>
          <w:bCs/>
          <w:color w:val="auto"/>
          <w:highlight w:val="none"/>
        </w:rPr>
      </w:pPr>
      <w:r>
        <w:rPr>
          <w:rFonts w:hint="eastAsia"/>
          <w:b/>
          <w:bCs/>
          <w:color w:val="auto"/>
          <w:highlight w:val="none"/>
        </w:rPr>
        <w:t>注：如为联合体，则3-5项资格审查材料联合体双方均须提供。</w:t>
      </w:r>
    </w:p>
    <w:p>
      <w:pPr>
        <w:pStyle w:val="2"/>
        <w:spacing w:line="360" w:lineRule="auto"/>
        <w:ind w:left="420"/>
        <w:jc w:val="left"/>
        <w:rPr>
          <w:rFonts w:ascii="新宋体" w:hAnsi="新宋体" w:eastAsia="新宋体" w:cs="新宋体"/>
          <w:b w:val="0"/>
          <w:color w:val="auto"/>
          <w:sz w:val="22"/>
          <w:szCs w:val="22"/>
          <w:highlight w:val="none"/>
        </w:rPr>
      </w:pPr>
    </w:p>
    <w:p>
      <w:pPr>
        <w:pStyle w:val="2"/>
        <w:spacing w:line="360" w:lineRule="auto"/>
        <w:ind w:left="420"/>
        <w:jc w:val="left"/>
        <w:rPr>
          <w:rFonts w:ascii="新宋体" w:hAnsi="新宋体" w:eastAsia="新宋体" w:cs="新宋体"/>
          <w:b w:val="0"/>
          <w:color w:val="auto"/>
          <w:sz w:val="22"/>
          <w:szCs w:val="22"/>
          <w:highlight w:val="none"/>
        </w:rPr>
      </w:pPr>
    </w:p>
    <w:p>
      <w:pPr>
        <w:pStyle w:val="2"/>
        <w:spacing w:line="360" w:lineRule="auto"/>
        <w:ind w:left="420"/>
        <w:jc w:val="left"/>
        <w:rPr>
          <w:rFonts w:ascii="新宋体" w:hAnsi="新宋体" w:eastAsia="新宋体" w:cs="新宋体"/>
          <w:b w:val="0"/>
          <w:color w:val="auto"/>
          <w:sz w:val="22"/>
          <w:szCs w:val="22"/>
          <w:highlight w:val="none"/>
        </w:rPr>
      </w:pPr>
    </w:p>
    <w:p>
      <w:pPr>
        <w:pStyle w:val="2"/>
        <w:spacing w:line="360" w:lineRule="auto"/>
        <w:ind w:left="420"/>
        <w:rPr>
          <w:rFonts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rPr>
        <w:br w:type="page"/>
      </w: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法定代表人授权书</w:t>
      </w:r>
    </w:p>
    <w:p>
      <w:pPr>
        <w:spacing w:line="420" w:lineRule="exact"/>
        <w:rPr>
          <w:rFonts w:ascii="新宋体" w:hAnsi="新宋体" w:eastAsia="新宋体"/>
          <w:b/>
          <w:color w:val="auto"/>
          <w:sz w:val="22"/>
          <w:szCs w:val="22"/>
          <w:highlight w:val="none"/>
        </w:rPr>
      </w:pP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中共温州市委统战部</w:t>
      </w:r>
      <w:r>
        <w:rPr>
          <w:rFonts w:hint="eastAsia" w:ascii="新宋体" w:hAnsi="新宋体" w:eastAsia="新宋体"/>
          <w:color w:val="auto"/>
          <w:sz w:val="22"/>
          <w:szCs w:val="22"/>
          <w:highlight w:val="none"/>
        </w:rPr>
        <w:t>:</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pPr>
        <w:spacing w:line="460" w:lineRule="exact"/>
        <w:rPr>
          <w:rFonts w:ascii="新宋体" w:hAnsi="新宋体" w:eastAsia="新宋体"/>
          <w:color w:val="auto"/>
          <w:sz w:val="22"/>
          <w:szCs w:val="22"/>
          <w:highlight w:val="none"/>
          <w:u w:val="single"/>
        </w:rPr>
      </w:pPr>
    </w:p>
    <w:p>
      <w:pPr>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（供应商全称）法定代表人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（全权代表姓名）为全权代表，参加贵处组织的</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（采购项目名称、编号）的采购活动，全权代表我方处理采购活动中的一切事宜。</w:t>
      </w:r>
    </w:p>
    <w:p>
      <w:pPr>
        <w:spacing w:line="460" w:lineRule="exact"/>
        <w:ind w:firstLine="2955"/>
        <w:rPr>
          <w:rFonts w:ascii="新宋体" w:hAnsi="新宋体" w:eastAsia="新宋体"/>
          <w:color w:val="auto"/>
          <w:sz w:val="22"/>
          <w:szCs w:val="22"/>
          <w:highlight w:val="none"/>
        </w:rPr>
      </w:pPr>
    </w:p>
    <w:p>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60" w:lineRule="exact"/>
        <w:ind w:firstLine="3971" w:firstLineChars="180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 (签字或盖章)：</w:t>
      </w:r>
    </w:p>
    <w:p>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供应商全称（公章）：</w:t>
      </w:r>
    </w:p>
    <w:p>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日期：     年    月   日</w:t>
      </w:r>
    </w:p>
    <w:p>
      <w:pPr>
        <w:spacing w:line="460" w:lineRule="exact"/>
        <w:rPr>
          <w:rFonts w:ascii="新宋体" w:hAnsi="新宋体" w:eastAsia="新宋体"/>
          <w:color w:val="auto"/>
          <w:sz w:val="22"/>
          <w:szCs w:val="22"/>
          <w:highlight w:val="none"/>
        </w:rPr>
      </w:pPr>
    </w:p>
    <w:p>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附：</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授权代表姓名：</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详细通讯地址：</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邮政编码:</w:t>
      </w:r>
    </w:p>
    <w:tbl>
      <w:tblPr>
        <w:tblStyle w:val="53"/>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供应商代表身份证复印件</w:t>
            </w:r>
          </w:p>
          <w:p>
            <w:pPr>
              <w:spacing w:line="380" w:lineRule="exact"/>
              <w:jc w:val="center"/>
              <w:rPr>
                <w:rFonts w:ascii="新宋体" w:hAnsi="新宋体" w:eastAsia="新宋体"/>
                <w:b/>
                <w:bCs/>
                <w:color w:val="auto"/>
                <w:sz w:val="28"/>
                <w:highlight w:val="none"/>
              </w:rPr>
            </w:pPr>
          </w:p>
        </w:tc>
      </w:tr>
    </w:tbl>
    <w:p>
      <w:pPr>
        <w:pStyle w:val="2"/>
        <w:rPr>
          <w:rFonts w:ascii="新宋体" w:hAnsi="新宋体" w:eastAsia="新宋体" w:cs="新宋体"/>
          <w:color w:val="auto"/>
          <w:kern w:val="0"/>
          <w:sz w:val="28"/>
          <w:szCs w:val="28"/>
          <w:highlight w:val="none"/>
        </w:rPr>
      </w:pPr>
      <w:r>
        <w:rPr>
          <w:rFonts w:hint="eastAsia" w:ascii="新宋体" w:hAnsi="新宋体" w:eastAsia="新宋体"/>
          <w:color w:val="auto"/>
          <w:sz w:val="22"/>
          <w:szCs w:val="22"/>
          <w:highlight w:val="none"/>
        </w:rPr>
        <w:br w:type="page"/>
      </w:r>
      <w:bookmarkStart w:id="72" w:name="_Toc7025"/>
      <w:r>
        <w:rPr>
          <w:rFonts w:hint="eastAsia" w:ascii="新宋体" w:hAnsi="新宋体" w:eastAsia="新宋体" w:cs="新宋体"/>
          <w:color w:val="auto"/>
          <w:kern w:val="0"/>
          <w:sz w:val="28"/>
          <w:szCs w:val="28"/>
          <w:highlight w:val="none"/>
        </w:rPr>
        <w:t>资格条件承诺函</w:t>
      </w:r>
      <w:bookmarkEnd w:id="72"/>
    </w:p>
    <w:p>
      <w:pPr>
        <w:spacing w:line="440" w:lineRule="exact"/>
        <w:ind w:right="-153" w:rightChars="-73"/>
        <w:rPr>
          <w:rFonts w:ascii="宋体" w:hAnsi="宋体" w:cs="宋体"/>
          <w:color w:val="auto"/>
          <w:sz w:val="22"/>
          <w:szCs w:val="22"/>
          <w:highlight w:val="none"/>
        </w:rPr>
      </w:pPr>
    </w:p>
    <w:p>
      <w:pPr>
        <w:spacing w:line="42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中共温州市委统战部</w:t>
      </w:r>
    </w:p>
    <w:p>
      <w:pPr>
        <w:spacing w:line="42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pPr>
        <w:shd w:val="clear" w:color="auto" w:fill="FFFFFF"/>
        <w:snapToGrid w:val="0"/>
        <w:spacing w:line="440" w:lineRule="exact"/>
        <w:rPr>
          <w:rFonts w:ascii="宋体" w:hAnsi="宋体" w:cs="宋体"/>
          <w:color w:val="auto"/>
          <w:sz w:val="22"/>
          <w:szCs w:val="22"/>
          <w:highlight w:val="none"/>
        </w:rPr>
      </w:pP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（采购项目名称、编号）磋商响应，现郑重承诺：</w:t>
      </w: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pPr>
        <w:widowControl/>
        <w:snapToGrid w:val="0"/>
        <w:spacing w:line="440" w:lineRule="exact"/>
        <w:ind w:left="970" w:leftChars="200" w:hanging="550" w:hanging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w:t>
      </w:r>
      <w:r>
        <w:rPr>
          <w:rFonts w:hint="eastAsia" w:ascii="宋体" w:hAnsi="宋体" w:cs="宋体"/>
          <w:color w:val="auto"/>
          <w:kern w:val="0"/>
          <w:sz w:val="22"/>
          <w:szCs w:val="22"/>
          <w:highlight w:val="none"/>
          <w:lang w:eastAsia="zh-CN"/>
        </w:rPr>
        <w:t>磋商响应截止</w:t>
      </w:r>
      <w:r>
        <w:rPr>
          <w:rFonts w:hint="eastAsia" w:ascii="宋体" w:hAnsi="宋体" w:cs="宋体"/>
          <w:color w:val="auto"/>
          <w:kern w:val="0"/>
          <w:sz w:val="22"/>
          <w:szCs w:val="22"/>
          <w:highlight w:val="none"/>
        </w:rPr>
        <w:t>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4"/>
          <w:rFonts w:hint="eastAsia" w:ascii="宋体" w:hAnsi="宋体" w:cs="宋体"/>
          <w:color w:val="auto"/>
          <w:kern w:val="0"/>
          <w:sz w:val="22"/>
          <w:szCs w:val="22"/>
          <w:highlight w:val="none"/>
        </w:rPr>
        <w:t>www.creditchina.gov.cn）、</w:t>
      </w:r>
      <w:r>
        <w:rPr>
          <w:rStyle w:val="64"/>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eastAsia="新宋体" w:cs="宋体"/>
          <w:color w:val="auto"/>
          <w:kern w:val="0"/>
          <w:sz w:val="22"/>
          <w:szCs w:val="22"/>
          <w:highlight w:val="none"/>
        </w:rPr>
        <w:t>3.</w:t>
      </w:r>
      <w:r>
        <w:rPr>
          <w:rFonts w:hint="eastAsia" w:ascii="新宋体" w:hAnsi="新宋体" w:eastAsia="新宋体"/>
          <w:color w:val="auto"/>
          <w:kern w:val="0"/>
          <w:sz w:val="22"/>
          <w:szCs w:val="22"/>
          <w:highlight w:val="none"/>
          <w:lang w:val="zh-CN"/>
        </w:rPr>
        <w:t>单位、法定代表人、本项目授权代表及本项目负责人在参加本项目前三年内（以法院判决书生效日期为准）均无行贿犯罪记录。</w:t>
      </w:r>
    </w:p>
    <w:p>
      <w:pPr>
        <w:widowControl/>
        <w:snapToGrid w:val="0"/>
        <w:spacing w:line="440" w:lineRule="exact"/>
        <w:ind w:firstLine="440" w:firstLineChars="200"/>
        <w:jc w:val="left"/>
        <w:rPr>
          <w:rFonts w:ascii="宋体" w:hAnsi="宋体" w:cs="宋体"/>
          <w:color w:val="auto"/>
          <w:kern w:val="0"/>
          <w:sz w:val="22"/>
          <w:szCs w:val="22"/>
          <w:highlight w:val="none"/>
        </w:rPr>
      </w:pPr>
    </w:p>
    <w:p>
      <w:pPr>
        <w:widowControl/>
        <w:snapToGrid w:val="0"/>
        <w:spacing w:line="440" w:lineRule="exact"/>
        <w:ind w:left="210" w:left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pPr>
        <w:pStyle w:val="30"/>
        <w:spacing w:line="600" w:lineRule="exact"/>
        <w:ind w:firstLine="4840" w:firstLineChars="2200"/>
        <w:rPr>
          <w:rFonts w:hAnsi="宋体" w:cs="宋体"/>
          <w:color w:val="auto"/>
          <w:sz w:val="22"/>
          <w:szCs w:val="22"/>
          <w:highlight w:val="none"/>
        </w:rPr>
      </w:pP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供应商名称（盖章）                  </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供应商代表（签字）                   </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pPr>
        <w:spacing w:line="380" w:lineRule="exact"/>
        <w:rPr>
          <w:rFonts w:ascii="宋体" w:hAnsi="宋体" w:cs="宋体"/>
          <w:bCs/>
          <w:color w:val="auto"/>
          <w:sz w:val="22"/>
          <w:szCs w:val="22"/>
          <w:highlight w:val="none"/>
        </w:rPr>
      </w:pPr>
    </w:p>
    <w:p>
      <w:pPr>
        <w:spacing w:line="380" w:lineRule="exact"/>
        <w:ind w:left="-358" w:leftChars="-171" w:hanging="1"/>
        <w:jc w:val="center"/>
        <w:rPr>
          <w:rFonts w:ascii="宋体" w:hAnsi="宋体" w:cs="宋体"/>
          <w:bCs/>
          <w:color w:val="auto"/>
          <w:sz w:val="22"/>
          <w:szCs w:val="22"/>
          <w:highlight w:val="none"/>
        </w:rPr>
      </w:pPr>
    </w:p>
    <w:p>
      <w:pPr>
        <w:spacing w:line="380" w:lineRule="exact"/>
        <w:ind w:left="-359" w:leftChars="-171"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p>
    <w:p>
      <w:pPr>
        <w:spacing w:line="42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中共温州市委统战部</w:t>
      </w:r>
    </w:p>
    <w:p>
      <w:pPr>
        <w:spacing w:line="46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pPr>
        <w:widowControl/>
        <w:adjustRightInd w:val="0"/>
        <w:snapToGrid w:val="0"/>
        <w:spacing w:line="360" w:lineRule="auto"/>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（采购项目名称、编号）竞争性磋商活动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供应商名称（盖章）                  </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供应商代表（签字）                   </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日    期   </w:t>
      </w:r>
    </w:p>
    <w:p>
      <w:pPr>
        <w:spacing w:line="440" w:lineRule="exact"/>
        <w:rPr>
          <w:rFonts w:ascii="宋体" w:hAnsi="宋体"/>
          <w:color w:val="auto"/>
          <w:sz w:val="22"/>
          <w:szCs w:val="22"/>
          <w:highlight w:val="none"/>
          <w:u w:val="single"/>
        </w:rPr>
      </w:pPr>
      <w:r>
        <w:rPr>
          <w:rFonts w:hint="eastAsia" w:ascii="宋体" w:hAnsi="宋体"/>
          <w:color w:val="auto"/>
          <w:sz w:val="22"/>
          <w:szCs w:val="22"/>
          <w:highlight w:val="none"/>
          <w:u w:val="single"/>
        </w:rPr>
        <w:t xml:space="preserve">                    </w:t>
      </w:r>
    </w:p>
    <w:p>
      <w:pPr>
        <w:pStyle w:val="22"/>
        <w:ind w:firstLine="221"/>
        <w:rPr>
          <w:rFonts w:ascii="宋体" w:hAnsi="宋体"/>
          <w:color w:val="auto"/>
          <w:sz w:val="22"/>
          <w:szCs w:val="22"/>
          <w:highlight w:val="none"/>
          <w:u w:val="single"/>
        </w:rPr>
      </w:pPr>
    </w:p>
    <w:p>
      <w:pPr>
        <w:spacing w:line="360" w:lineRule="auto"/>
        <w:rPr>
          <w:rFonts w:ascii="宋体" w:hAnsi="宋体"/>
          <w:color w:val="auto"/>
          <w:sz w:val="22"/>
          <w:szCs w:val="22"/>
          <w:highlight w:val="none"/>
        </w:rPr>
      </w:pPr>
    </w:p>
    <w:p>
      <w:pPr>
        <w:pStyle w:val="22"/>
        <w:ind w:firstLine="321"/>
        <w:rPr>
          <w:rFonts w:ascii="宋体" w:hAnsi="宋体"/>
          <w:color w:val="auto"/>
          <w:highlight w:val="none"/>
        </w:rPr>
      </w:pPr>
    </w:p>
    <w:p>
      <w:pPr>
        <w:widowControl/>
        <w:adjustRightInd w:val="0"/>
        <w:snapToGrid w:val="0"/>
        <w:spacing w:line="360" w:lineRule="auto"/>
        <w:ind w:firstLine="440" w:firstLineChars="200"/>
        <w:jc w:val="left"/>
        <w:rPr>
          <w:rFonts w:ascii="宋体" w:hAnsi="宋体"/>
          <w:color w:val="auto"/>
          <w:kern w:val="0"/>
          <w:sz w:val="22"/>
          <w:szCs w:val="22"/>
          <w:highlight w:val="none"/>
        </w:rPr>
      </w:pPr>
    </w:p>
    <w:p>
      <w:pPr>
        <w:spacing w:line="380" w:lineRule="exact"/>
        <w:ind w:left="-359" w:leftChars="-171"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pPr>
        <w:widowControl/>
        <w:adjustRightInd w:val="0"/>
        <w:snapToGrid w:val="0"/>
        <w:spacing w:line="360" w:lineRule="auto"/>
        <w:ind w:firstLine="440" w:firstLineChars="200"/>
        <w:jc w:val="left"/>
        <w:rPr>
          <w:rFonts w:ascii="新宋体" w:hAnsi="新宋体" w:eastAsia="新宋体"/>
          <w:color w:val="auto"/>
          <w:kern w:val="0"/>
          <w:sz w:val="22"/>
          <w:szCs w:val="22"/>
          <w:highlight w:val="none"/>
        </w:rPr>
      </w:pPr>
      <w:r>
        <w:rPr>
          <w:rFonts w:hint="eastAsia" w:ascii="新宋体" w:hAnsi="新宋体" w:eastAsia="新宋体"/>
          <w:color w:val="auto"/>
          <w:sz w:val="22"/>
          <w:szCs w:val="22"/>
          <w:highlight w:val="none"/>
          <w:u w:val="single"/>
        </w:rPr>
        <w:t xml:space="preserve">               </w:t>
      </w:r>
    </w:p>
    <w:p>
      <w:pPr>
        <w:pStyle w:val="2"/>
        <w:jc w:val="left"/>
        <w:rPr>
          <w:rFonts w:ascii="新宋体" w:hAnsi="新宋体" w:eastAsia="新宋体"/>
          <w:b w:val="0"/>
          <w:color w:val="auto"/>
          <w:szCs w:val="21"/>
          <w:highlight w:val="none"/>
        </w:rPr>
      </w:pPr>
      <w:r>
        <w:rPr>
          <w:rFonts w:hint="eastAsia" w:ascii="新宋体" w:hAnsi="新宋体" w:eastAsia="新宋体"/>
          <w:b w:val="0"/>
          <w:color w:val="auto"/>
          <w:szCs w:val="21"/>
          <w:highlight w:val="none"/>
        </w:rPr>
        <w:br w:type="page"/>
      </w:r>
    </w:p>
    <w:p>
      <w:pPr>
        <w:spacing w:before="120" w:beforeLines="50" w:after="120" w:afterLines="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（商务技术标封面，供参考）</w:t>
      </w:r>
      <w:bookmarkEnd w:id="70"/>
      <w:bookmarkEnd w:id="71"/>
    </w:p>
    <w:p>
      <w:pPr>
        <w:rPr>
          <w:rFonts w:ascii="新宋体" w:hAnsi="新宋体" w:eastAsia="新宋体"/>
          <w:color w:val="auto"/>
          <w:highlight w:val="none"/>
        </w:rPr>
      </w:pPr>
    </w:p>
    <w:p>
      <w:pPr>
        <w:rPr>
          <w:rFonts w:ascii="新宋体" w:hAnsi="新宋体" w:eastAsia="新宋体"/>
          <w:color w:val="auto"/>
          <w:highlight w:val="none"/>
        </w:rPr>
      </w:pPr>
    </w:p>
    <w:p>
      <w:pPr>
        <w:rPr>
          <w:rFonts w:ascii="新宋体" w:hAnsi="新宋体" w:eastAsia="新宋体"/>
          <w:color w:val="auto"/>
          <w:highlight w:val="none"/>
        </w:rPr>
      </w:pPr>
    </w:p>
    <w:p>
      <w:pPr>
        <w:jc w:val="center"/>
        <w:rPr>
          <w:rFonts w:ascii="新宋体" w:hAnsi="新宋体" w:eastAsia="新宋体"/>
          <w:color w:val="auto"/>
          <w:sz w:val="28"/>
          <w:szCs w:val="28"/>
          <w:highlight w:val="none"/>
        </w:rPr>
      </w:pPr>
      <w:r>
        <w:rPr>
          <w:rFonts w:hint="eastAsia" w:ascii="新宋体" w:hAnsi="新宋体" w:eastAsia="新宋体"/>
          <w:color w:val="auto"/>
          <w:sz w:val="28"/>
          <w:szCs w:val="28"/>
          <w:highlight w:val="none"/>
          <w:u w:val="single"/>
        </w:rPr>
        <w:t xml:space="preserve">                 （项目名称）              </w:t>
      </w:r>
      <w:r>
        <w:rPr>
          <w:rFonts w:hint="eastAsia" w:ascii="新宋体" w:hAnsi="新宋体" w:eastAsia="新宋体"/>
          <w:color w:val="auto"/>
          <w:sz w:val="28"/>
          <w:szCs w:val="28"/>
          <w:highlight w:val="none"/>
        </w:rPr>
        <w:t>磋商响应文件</w:t>
      </w:r>
    </w:p>
    <w:p>
      <w:pPr>
        <w:rPr>
          <w:rFonts w:ascii="新宋体" w:hAnsi="新宋体" w:eastAsia="新宋体"/>
          <w:color w:val="auto"/>
          <w:sz w:val="28"/>
          <w:szCs w:val="28"/>
          <w:highlight w:val="none"/>
        </w:rPr>
      </w:pPr>
    </w:p>
    <w:p>
      <w:pPr>
        <w:rPr>
          <w:rFonts w:ascii="新宋体" w:hAnsi="新宋体" w:eastAsia="新宋体"/>
          <w:color w:val="auto"/>
          <w:sz w:val="28"/>
          <w:szCs w:val="28"/>
          <w:highlight w:val="none"/>
        </w:rPr>
      </w:pPr>
    </w:p>
    <w:p>
      <w:pPr>
        <w:pStyle w:val="22"/>
        <w:ind w:firstLine="281"/>
        <w:rPr>
          <w:rFonts w:ascii="新宋体" w:hAnsi="新宋体" w:eastAsia="新宋体"/>
          <w:color w:val="auto"/>
          <w:sz w:val="28"/>
          <w:szCs w:val="28"/>
          <w:highlight w:val="none"/>
        </w:rPr>
      </w:pPr>
    </w:p>
    <w:p>
      <w:pPr>
        <w:pStyle w:val="22"/>
        <w:ind w:firstLine="281"/>
        <w:rPr>
          <w:rFonts w:ascii="新宋体" w:hAnsi="新宋体" w:eastAsia="新宋体"/>
          <w:color w:val="auto"/>
          <w:sz w:val="28"/>
          <w:szCs w:val="28"/>
          <w:highlight w:val="none"/>
        </w:rPr>
      </w:pPr>
    </w:p>
    <w:p>
      <w:pPr>
        <w:rPr>
          <w:rFonts w:ascii="新宋体" w:hAnsi="新宋体" w:eastAsia="新宋体"/>
          <w:color w:val="auto"/>
          <w:sz w:val="28"/>
          <w:szCs w:val="28"/>
          <w:highlight w:val="none"/>
        </w:rPr>
      </w:pPr>
    </w:p>
    <w:p>
      <w:pPr>
        <w:rPr>
          <w:rFonts w:ascii="新宋体" w:hAnsi="新宋体" w:eastAsia="新宋体"/>
          <w:color w:val="auto"/>
          <w:sz w:val="28"/>
          <w:szCs w:val="28"/>
          <w:highlight w:val="none"/>
        </w:rPr>
      </w:pPr>
    </w:p>
    <w:p>
      <w:pPr>
        <w:jc w:val="center"/>
        <w:rPr>
          <w:rFonts w:ascii="新宋体" w:hAnsi="新宋体" w:eastAsia="新宋体"/>
          <w:color w:val="auto"/>
          <w:sz w:val="52"/>
          <w:szCs w:val="52"/>
          <w:highlight w:val="none"/>
        </w:rPr>
      </w:pPr>
      <w:r>
        <w:rPr>
          <w:rFonts w:hint="eastAsia" w:ascii="新宋体" w:hAnsi="新宋体" w:eastAsia="新宋体"/>
          <w:color w:val="auto"/>
          <w:sz w:val="52"/>
          <w:szCs w:val="52"/>
          <w:highlight w:val="none"/>
        </w:rPr>
        <w:t>商 务 技 术 标</w:t>
      </w: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pStyle w:val="22"/>
        <w:ind w:firstLine="321"/>
        <w:rPr>
          <w:rFonts w:ascii="新宋体" w:hAnsi="新宋体" w:eastAsia="新宋体"/>
          <w:color w:val="auto"/>
          <w:highlight w:val="none"/>
        </w:rPr>
      </w:pPr>
    </w:p>
    <w:p>
      <w:pPr>
        <w:spacing w:line="360" w:lineRule="auto"/>
        <w:rPr>
          <w:rFonts w:ascii="新宋体" w:hAnsi="新宋体" w:eastAsia="新宋体"/>
          <w:color w:val="auto"/>
          <w:szCs w:val="21"/>
          <w:highlight w:val="none"/>
        </w:rPr>
      </w:pPr>
    </w:p>
    <w:p>
      <w:pPr>
        <w:jc w:val="center"/>
        <w:rPr>
          <w:rFonts w:ascii="新宋体" w:hAnsi="新宋体" w:eastAsia="新宋体"/>
          <w:color w:val="auto"/>
          <w:sz w:val="28"/>
          <w:szCs w:val="28"/>
          <w:highlight w:val="none"/>
        </w:rPr>
      </w:pPr>
      <w:r>
        <w:rPr>
          <w:rFonts w:hint="eastAsia" w:ascii="新宋体" w:hAnsi="新宋体" w:eastAsia="新宋体"/>
          <w:color w:val="auto"/>
          <w:sz w:val="28"/>
          <w:szCs w:val="28"/>
          <w:highlight w:val="none"/>
        </w:rPr>
        <w:t>供应商：</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（盖单位章）</w:t>
      </w:r>
    </w:p>
    <w:p>
      <w:pPr>
        <w:rPr>
          <w:rFonts w:ascii="新宋体" w:hAnsi="新宋体" w:eastAsia="新宋体"/>
          <w:color w:val="auto"/>
          <w:sz w:val="28"/>
          <w:szCs w:val="28"/>
          <w:highlight w:val="none"/>
          <w:u w:val="single"/>
        </w:rPr>
      </w:pPr>
    </w:p>
    <w:p>
      <w:pPr>
        <w:jc w:val="center"/>
        <w:rPr>
          <w:rFonts w:ascii="新宋体" w:hAnsi="新宋体" w:eastAsia="新宋体"/>
          <w:color w:val="auto"/>
          <w:sz w:val="28"/>
          <w:szCs w:val="28"/>
          <w:highlight w:val="none"/>
        </w:rPr>
      </w:pPr>
      <w:r>
        <w:rPr>
          <w:rFonts w:hint="eastAsia" w:ascii="新宋体" w:hAnsi="新宋体" w:eastAsia="新宋体"/>
          <w:color w:val="auto"/>
          <w:sz w:val="28"/>
          <w:szCs w:val="28"/>
          <w:highlight w:val="none"/>
        </w:rPr>
        <w:t>法定代表人或其委托代理人：</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（签字或盖章）</w:t>
      </w:r>
    </w:p>
    <w:p>
      <w:pPr>
        <w:rPr>
          <w:rFonts w:ascii="新宋体" w:hAnsi="新宋体" w:eastAsia="新宋体"/>
          <w:color w:val="auto"/>
          <w:sz w:val="28"/>
          <w:szCs w:val="28"/>
          <w:highlight w:val="none"/>
        </w:rPr>
      </w:pPr>
    </w:p>
    <w:p>
      <w:pPr>
        <w:jc w:val="center"/>
        <w:rPr>
          <w:rFonts w:ascii="新宋体" w:hAnsi="新宋体" w:eastAsia="新宋体"/>
          <w:color w:val="auto"/>
          <w:sz w:val="28"/>
          <w:szCs w:val="28"/>
          <w:highlight w:val="none"/>
        </w:rPr>
      </w:pP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年</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月</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日</w:t>
      </w:r>
    </w:p>
    <w:p>
      <w:pPr>
        <w:pStyle w:val="22"/>
        <w:ind w:firstLine="0" w:firstLineChars="0"/>
        <w:rPr>
          <w:rFonts w:ascii="新宋体" w:hAnsi="新宋体" w:eastAsia="新宋体"/>
          <w:color w:val="auto"/>
          <w:sz w:val="22"/>
          <w:szCs w:val="22"/>
          <w:highlight w:val="none"/>
        </w:rPr>
      </w:pPr>
      <w:r>
        <w:rPr>
          <w:rFonts w:hint="eastAsia" w:ascii="新宋体" w:hAnsi="新宋体" w:eastAsia="新宋体"/>
          <w:color w:val="auto"/>
          <w:highlight w:val="none"/>
        </w:rPr>
        <w:br w:type="page"/>
      </w:r>
    </w:p>
    <w:p>
      <w:pPr>
        <w:jc w:val="center"/>
        <w:rPr>
          <w:rFonts w:ascii="新宋体" w:hAnsi="新宋体" w:eastAsia="新宋体"/>
          <w:b/>
          <w:bCs/>
          <w:color w:val="auto"/>
          <w:sz w:val="52"/>
          <w:szCs w:val="52"/>
          <w:highlight w:val="none"/>
        </w:rPr>
      </w:pPr>
      <w:bookmarkStart w:id="73" w:name="_Toc144974856"/>
      <w:bookmarkStart w:id="74" w:name="_Toc465107615"/>
      <w:bookmarkStart w:id="75" w:name="_Toc152045787"/>
      <w:bookmarkStart w:id="76" w:name="_Toc247514246"/>
      <w:bookmarkStart w:id="77" w:name="_Toc247527827"/>
      <w:bookmarkStart w:id="78" w:name="_Toc152042576"/>
      <w:r>
        <w:rPr>
          <w:rFonts w:hint="eastAsia" w:ascii="新宋体" w:hAnsi="新宋体" w:eastAsia="新宋体"/>
          <w:b/>
          <w:bCs/>
          <w:color w:val="auto"/>
          <w:sz w:val="52"/>
          <w:szCs w:val="52"/>
          <w:highlight w:val="none"/>
        </w:rPr>
        <w:t>目    录</w:t>
      </w:r>
      <w:bookmarkEnd w:id="73"/>
      <w:bookmarkEnd w:id="74"/>
      <w:bookmarkEnd w:id="75"/>
      <w:bookmarkEnd w:id="76"/>
      <w:bookmarkEnd w:id="77"/>
      <w:bookmarkEnd w:id="78"/>
    </w:p>
    <w:p>
      <w:pPr>
        <w:pStyle w:val="21"/>
        <w:rPr>
          <w:color w:val="auto"/>
          <w:highlight w:val="none"/>
        </w:rPr>
      </w:pPr>
    </w:p>
    <w:tbl>
      <w:tblPr>
        <w:tblStyle w:val="5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序号</w:t>
            </w:r>
          </w:p>
        </w:tc>
        <w:tc>
          <w:tcPr>
            <w:tcW w:w="9109"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1</w:t>
            </w:r>
          </w:p>
        </w:tc>
        <w:tc>
          <w:tcPr>
            <w:tcW w:w="9109" w:type="dxa"/>
            <w:vAlign w:val="center"/>
          </w:tcPr>
          <w:p>
            <w:pPr>
              <w:rPr>
                <w:rFonts w:ascii="宋体" w:hAnsi="宋体" w:cs="等线"/>
                <w:color w:val="auto"/>
                <w:sz w:val="22"/>
                <w:szCs w:val="22"/>
                <w:highlight w:val="none"/>
              </w:rPr>
            </w:pPr>
            <w:r>
              <w:rPr>
                <w:rFonts w:hint="eastAsia" w:ascii="宋体" w:hAnsi="宋体" w:cs="等线"/>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2</w:t>
            </w:r>
          </w:p>
        </w:tc>
        <w:tc>
          <w:tcPr>
            <w:tcW w:w="9109" w:type="dxa"/>
            <w:vAlign w:val="center"/>
          </w:tcPr>
          <w:p>
            <w:pPr>
              <w:rPr>
                <w:rFonts w:ascii="宋体" w:hAnsi="宋体" w:cs="等线"/>
                <w:color w:val="auto"/>
                <w:sz w:val="22"/>
                <w:szCs w:val="22"/>
                <w:highlight w:val="none"/>
              </w:rPr>
            </w:pPr>
            <w:r>
              <w:rPr>
                <w:rFonts w:hint="eastAsia" w:ascii="宋体" w:hAnsi="宋体" w:cs="等线"/>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3</w:t>
            </w:r>
          </w:p>
        </w:tc>
        <w:tc>
          <w:tcPr>
            <w:tcW w:w="9109" w:type="dxa"/>
            <w:vAlign w:val="center"/>
          </w:tcPr>
          <w:p>
            <w:pPr>
              <w:tabs>
                <w:tab w:val="left" w:pos="5355"/>
              </w:tabs>
              <w:rPr>
                <w:rFonts w:ascii="宋体" w:hAnsi="宋体" w:cs="等线"/>
                <w:bCs/>
                <w:color w:val="auto"/>
                <w:sz w:val="22"/>
                <w:szCs w:val="22"/>
                <w:highlight w:val="none"/>
              </w:rPr>
            </w:pPr>
            <w:r>
              <w:rPr>
                <w:rFonts w:hint="eastAsia" w:ascii="宋体" w:hAnsi="宋体" w:cs="等线"/>
                <w:bCs/>
                <w:color w:val="auto"/>
                <w:sz w:val="22"/>
                <w:szCs w:val="22"/>
                <w:highlight w:val="none"/>
              </w:rPr>
              <w:t>供应商综合实力（如资质证书、所获荣誉等）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4</w:t>
            </w:r>
          </w:p>
        </w:tc>
        <w:tc>
          <w:tcPr>
            <w:tcW w:w="9109" w:type="dxa"/>
            <w:vAlign w:val="center"/>
          </w:tcPr>
          <w:p>
            <w:pPr>
              <w:tabs>
                <w:tab w:val="left" w:pos="5355"/>
              </w:tabs>
              <w:rPr>
                <w:rFonts w:ascii="宋体" w:hAnsi="宋体" w:cs="等线"/>
                <w:bCs/>
                <w:color w:val="auto"/>
                <w:sz w:val="22"/>
                <w:szCs w:val="22"/>
                <w:highlight w:val="none"/>
              </w:rPr>
            </w:pPr>
            <w:r>
              <w:rPr>
                <w:rFonts w:hint="eastAsia" w:ascii="宋体" w:hAnsi="宋体" w:cs="等线"/>
                <w:bCs/>
                <w:color w:val="auto"/>
                <w:sz w:val="22"/>
                <w:szCs w:val="22"/>
                <w:highlight w:val="none"/>
              </w:rPr>
              <w:t>同类项目业绩情况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5</w:t>
            </w:r>
          </w:p>
        </w:tc>
        <w:tc>
          <w:tcPr>
            <w:tcW w:w="9109" w:type="dxa"/>
            <w:vAlign w:val="center"/>
          </w:tcPr>
          <w:p>
            <w:pPr>
              <w:tabs>
                <w:tab w:val="left" w:pos="5355"/>
              </w:tabs>
              <w:rPr>
                <w:rFonts w:hint="default" w:ascii="宋体" w:hAnsi="宋体" w:eastAsia="宋体" w:cs="等线"/>
                <w:bCs/>
                <w:color w:val="auto"/>
                <w:sz w:val="22"/>
                <w:szCs w:val="22"/>
                <w:highlight w:val="none"/>
                <w:lang w:val="en-US" w:eastAsia="zh-CN"/>
              </w:rPr>
            </w:pPr>
            <w:r>
              <w:rPr>
                <w:rFonts w:hint="eastAsia" w:ascii="宋体" w:hAnsi="宋体" w:cs="等线"/>
                <w:bCs/>
                <w:color w:val="auto"/>
                <w:sz w:val="22"/>
                <w:szCs w:val="22"/>
                <w:highlight w:val="none"/>
              </w:rPr>
              <w:t>针对本项目所配置服务团队情况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6</w:t>
            </w:r>
          </w:p>
        </w:tc>
        <w:tc>
          <w:tcPr>
            <w:tcW w:w="9109" w:type="dxa"/>
            <w:vAlign w:val="center"/>
          </w:tcPr>
          <w:p>
            <w:pPr>
              <w:rPr>
                <w:rFonts w:hint="default" w:ascii="宋体" w:hAnsi="宋体" w:cs="等线"/>
                <w:bCs/>
                <w:color w:val="auto"/>
                <w:sz w:val="22"/>
                <w:szCs w:val="22"/>
                <w:highlight w:val="none"/>
                <w:lang w:val="en-US"/>
              </w:rPr>
            </w:pPr>
            <w:r>
              <w:rPr>
                <w:rFonts w:hint="eastAsia" w:ascii="宋体" w:hAnsi="宋体" w:cs="等线"/>
                <w:bCs/>
                <w:color w:val="auto"/>
                <w:sz w:val="22"/>
                <w:szCs w:val="22"/>
                <w:highlight w:val="none"/>
                <w:lang w:val="en-US" w:eastAsia="zh-CN"/>
              </w:rPr>
              <w:t>针对本项目拟投入的车辆、住宿酒店及其他设备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7</w:t>
            </w:r>
          </w:p>
        </w:tc>
        <w:tc>
          <w:tcPr>
            <w:tcW w:w="9109" w:type="dxa"/>
            <w:vAlign w:val="center"/>
          </w:tcPr>
          <w:p>
            <w:pPr>
              <w:rPr>
                <w:rFonts w:hint="default" w:ascii="宋体" w:hAnsi="宋体" w:cs="等线"/>
                <w:bCs/>
                <w:color w:val="auto"/>
                <w:sz w:val="22"/>
                <w:szCs w:val="22"/>
                <w:highlight w:val="none"/>
                <w:lang w:val="en-US"/>
              </w:rPr>
            </w:pPr>
            <w:r>
              <w:rPr>
                <w:rFonts w:hint="eastAsia" w:ascii="宋体" w:hAnsi="宋体" w:cs="等线"/>
                <w:bCs/>
                <w:color w:val="auto"/>
                <w:sz w:val="22"/>
                <w:szCs w:val="22"/>
                <w:highlight w:val="none"/>
              </w:rPr>
              <w:t>针对本项目</w:t>
            </w:r>
            <w:r>
              <w:rPr>
                <w:rFonts w:hint="eastAsia" w:ascii="宋体" w:hAnsi="宋体" w:cs="等线"/>
                <w:bCs/>
                <w:color w:val="auto"/>
                <w:sz w:val="22"/>
                <w:szCs w:val="22"/>
                <w:highlight w:val="none"/>
                <w:lang w:val="en-US" w:eastAsia="zh-CN"/>
              </w:rPr>
              <w:t>整体实施方案，包括不仅限于接待、交通、住宿、餐饮等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hint="eastAsia" w:ascii="宋体" w:hAnsi="宋体" w:eastAsia="宋体" w:cs="等线"/>
                <w:color w:val="auto"/>
                <w:sz w:val="22"/>
                <w:szCs w:val="22"/>
                <w:highlight w:val="none"/>
                <w:lang w:eastAsia="zh-CN"/>
              </w:rPr>
            </w:pPr>
            <w:r>
              <w:rPr>
                <w:rFonts w:hint="eastAsia" w:ascii="宋体" w:hAnsi="宋体" w:cs="等线"/>
                <w:color w:val="auto"/>
                <w:sz w:val="22"/>
                <w:szCs w:val="22"/>
                <w:highlight w:val="none"/>
                <w:lang w:val="en-US" w:eastAsia="zh-CN"/>
              </w:rPr>
              <w:t>8</w:t>
            </w:r>
          </w:p>
        </w:tc>
        <w:tc>
          <w:tcPr>
            <w:tcW w:w="9109" w:type="dxa"/>
            <w:vAlign w:val="center"/>
          </w:tcPr>
          <w:p>
            <w:pPr>
              <w:rPr>
                <w:rFonts w:ascii="宋体" w:hAnsi="宋体" w:cs="等线"/>
                <w:color w:val="auto"/>
                <w:sz w:val="22"/>
                <w:szCs w:val="22"/>
                <w:highlight w:val="none"/>
              </w:rPr>
            </w:pPr>
            <w:r>
              <w:rPr>
                <w:rFonts w:hint="eastAsia" w:ascii="宋体" w:hAnsi="宋体" w:cs="等线"/>
                <w:bCs/>
                <w:color w:val="auto"/>
                <w:sz w:val="22"/>
                <w:szCs w:val="22"/>
                <w:highlight w:val="none"/>
              </w:rPr>
              <w:t>针对评分细则，编制目录索引，注明评标细则项目所在磋商响应文件页码，格式自拟</w:t>
            </w:r>
          </w:p>
        </w:tc>
      </w:tr>
    </w:tbl>
    <w:p>
      <w:pPr>
        <w:spacing w:line="540" w:lineRule="exact"/>
        <w:rPr>
          <w:rFonts w:ascii="新宋体" w:hAnsi="新宋体" w:eastAsia="新宋体"/>
          <w:b/>
          <w:bCs/>
          <w:color w:val="auto"/>
          <w:sz w:val="22"/>
          <w:szCs w:val="22"/>
          <w:highlight w:val="none"/>
        </w:rPr>
      </w:pPr>
    </w:p>
    <w:p>
      <w:pPr>
        <w:spacing w:line="540" w:lineRule="exact"/>
        <w:rPr>
          <w:rFonts w:ascii="新宋体" w:hAnsi="新宋体" w:eastAsia="新宋体"/>
          <w:b/>
          <w:bCs/>
          <w:color w:val="auto"/>
          <w:sz w:val="22"/>
          <w:szCs w:val="22"/>
          <w:highlight w:val="none"/>
        </w:rPr>
      </w:pPr>
    </w:p>
    <w:p>
      <w:pPr>
        <w:spacing w:line="540" w:lineRule="exact"/>
        <w:rPr>
          <w:rFonts w:ascii="新宋体" w:hAnsi="新宋体" w:eastAsia="新宋体"/>
          <w:b/>
          <w:bCs/>
          <w:color w:val="auto"/>
          <w:sz w:val="22"/>
          <w:szCs w:val="22"/>
          <w:highlight w:val="none"/>
        </w:rPr>
      </w:pPr>
    </w:p>
    <w:p>
      <w:pPr>
        <w:spacing w:line="540" w:lineRule="exact"/>
        <w:rPr>
          <w:rFonts w:ascii="新宋体" w:hAnsi="新宋体" w:eastAsia="新宋体"/>
          <w:b/>
          <w:bCs/>
          <w:color w:val="auto"/>
          <w:sz w:val="22"/>
          <w:szCs w:val="22"/>
          <w:highlight w:val="none"/>
        </w:rPr>
      </w:pPr>
    </w:p>
    <w:p>
      <w:pPr>
        <w:spacing w:line="540" w:lineRule="exact"/>
        <w:rPr>
          <w:rFonts w:ascii="新宋体" w:hAnsi="新宋体" w:eastAsia="新宋体"/>
          <w:b/>
          <w:bCs/>
          <w:color w:val="auto"/>
          <w:sz w:val="22"/>
          <w:szCs w:val="22"/>
          <w:highlight w:val="none"/>
        </w:rPr>
      </w:pPr>
    </w:p>
    <w:p>
      <w:pPr>
        <w:spacing w:line="540" w:lineRule="exact"/>
        <w:rPr>
          <w:rFonts w:ascii="新宋体" w:hAnsi="新宋体" w:eastAsia="新宋体"/>
          <w:b/>
          <w:bCs/>
          <w:color w:val="auto"/>
          <w:sz w:val="22"/>
          <w:szCs w:val="22"/>
          <w:highlight w:val="none"/>
        </w:rPr>
      </w:pPr>
    </w:p>
    <w:p>
      <w:pPr>
        <w:spacing w:line="540" w:lineRule="exact"/>
        <w:rPr>
          <w:rFonts w:ascii="新宋体" w:hAnsi="新宋体" w:eastAsia="新宋体"/>
          <w:b/>
          <w:bCs/>
          <w:color w:val="auto"/>
          <w:sz w:val="22"/>
          <w:szCs w:val="22"/>
          <w:highlight w:val="none"/>
        </w:rPr>
      </w:pPr>
    </w:p>
    <w:p>
      <w:pPr>
        <w:pStyle w:val="21"/>
        <w:rPr>
          <w:color w:val="auto"/>
          <w:highlight w:val="none"/>
        </w:rPr>
      </w:pPr>
    </w:p>
    <w:p>
      <w:pPr>
        <w:pStyle w:val="22"/>
        <w:ind w:firstLine="321"/>
        <w:rPr>
          <w:color w:val="auto"/>
          <w:highlight w:val="none"/>
        </w:rPr>
      </w:pPr>
    </w:p>
    <w:p>
      <w:pPr>
        <w:pStyle w:val="22"/>
        <w:ind w:firstLine="0" w:firstLineChars="0"/>
        <w:rPr>
          <w:color w:val="auto"/>
          <w:highlight w:val="none"/>
        </w:rPr>
      </w:pPr>
    </w:p>
    <w:p>
      <w:pP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br w:type="page"/>
      </w:r>
    </w:p>
    <w:p>
      <w:pPr>
        <w:spacing w:line="54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附件一</w:t>
      </w:r>
    </w:p>
    <w:p>
      <w:pPr>
        <w:spacing w:line="460" w:lineRule="exact"/>
        <w:ind w:left="22" w:hanging="22" w:hangingChars="8"/>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 标 函</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中共温州市委统战部</w:t>
      </w:r>
      <w:r>
        <w:rPr>
          <w:rFonts w:hint="eastAsia" w:ascii="新宋体" w:hAnsi="新宋体" w:eastAsia="新宋体"/>
          <w:color w:val="auto"/>
          <w:sz w:val="22"/>
          <w:szCs w:val="22"/>
          <w:highlight w:val="none"/>
        </w:rPr>
        <w:t>：</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pPr>
        <w:spacing w:line="42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项目（项目编号：</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（供应商名称）作为供应商正式授权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（授权代表全名，职务）代表我方处理有关本项目投标的一切事宜。</w:t>
      </w:r>
    </w:p>
    <w:p>
      <w:pPr>
        <w:autoSpaceDE w:val="0"/>
        <w:autoSpaceDN w:val="0"/>
        <w:adjustRightInd w:val="0"/>
        <w:spacing w:line="420" w:lineRule="atLeast"/>
        <w:ind w:firstLine="440" w:firstLineChars="20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在此提交的磋商响应文件中，包括如下内容：</w:t>
      </w:r>
    </w:p>
    <w:p>
      <w:pPr>
        <w:numPr>
          <w:ilvl w:val="0"/>
          <w:numId w:val="19"/>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电子磋商响应文件，按政采云平台</w:t>
      </w:r>
      <w:r>
        <w:rPr>
          <w:rFonts w:ascii="新宋体" w:hAnsi="新宋体" w:eastAsia="新宋体"/>
          <w:color w:val="auto"/>
          <w:kern w:val="0"/>
          <w:sz w:val="22"/>
          <w:szCs w:val="22"/>
          <w:highlight w:val="none"/>
          <w:lang w:val="zh-CN"/>
        </w:rPr>
        <w:t>项目采购-电子招投标操作指南</w:t>
      </w:r>
      <w:r>
        <w:rPr>
          <w:rFonts w:hint="eastAsia" w:ascii="新宋体" w:hAnsi="新宋体" w:eastAsia="新宋体"/>
          <w:color w:val="auto"/>
          <w:kern w:val="0"/>
          <w:sz w:val="22"/>
          <w:szCs w:val="22"/>
          <w:highlight w:val="none"/>
          <w:lang w:val="zh-CN"/>
        </w:rPr>
        <w:t>及本竞争性磋商采购文件要求制作</w:t>
      </w:r>
      <w:r>
        <w:rPr>
          <w:rFonts w:ascii="新宋体" w:hAnsi="新宋体" w:eastAsia="新宋体"/>
          <w:color w:val="auto"/>
          <w:kern w:val="0"/>
          <w:sz w:val="22"/>
          <w:szCs w:val="22"/>
          <w:highlight w:val="none"/>
          <w:lang w:val="zh-CN"/>
        </w:rPr>
        <w:t>。</w:t>
      </w:r>
    </w:p>
    <w:p>
      <w:pPr>
        <w:numPr>
          <w:ilvl w:val="0"/>
          <w:numId w:val="19"/>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以介质存储的数据电文形式的备份磋商响应文件，按政采云平台</w:t>
      </w:r>
      <w:r>
        <w:rPr>
          <w:rFonts w:ascii="新宋体" w:hAnsi="新宋体" w:eastAsia="新宋体"/>
          <w:color w:val="auto"/>
          <w:kern w:val="0"/>
          <w:sz w:val="22"/>
          <w:szCs w:val="22"/>
          <w:highlight w:val="none"/>
          <w:lang w:val="zh-CN"/>
        </w:rPr>
        <w:t>项目采购-电子招投标操作指南</w:t>
      </w:r>
      <w:r>
        <w:rPr>
          <w:rFonts w:hint="eastAsia" w:ascii="新宋体" w:hAnsi="新宋体" w:eastAsia="新宋体"/>
          <w:color w:val="auto"/>
          <w:kern w:val="0"/>
          <w:sz w:val="22"/>
          <w:szCs w:val="22"/>
          <w:highlight w:val="none"/>
          <w:lang w:val="zh-CN"/>
        </w:rPr>
        <w:t>中上传的电子磋商响应文件格式，以U盘形式提供。数量为1份。</w:t>
      </w:r>
    </w:p>
    <w:p>
      <w:pPr>
        <w:autoSpaceDE w:val="0"/>
        <w:autoSpaceDN w:val="0"/>
        <w:adjustRightInd w:val="0"/>
        <w:spacing w:line="420" w:lineRule="atLeast"/>
        <w:ind w:firstLine="440" w:firstLineChars="20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我方己完全明白竞争性磋商文件的所有条款要求，并重申以下几点：</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已详细阅读全部竞争性磋商文件，包括竞争性磋商文件补充文件（如果有，包括相关的补充、更正、澄清公告和文件）、参考资料及有关附件，确认无误。我方完全理解并接受竞争性磋商文件的各项规定和要求。</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同意提供按照贵方可能要求的与投标有关的一切数据或资料等。若贵方需要，我方愿意提供我方作出的一切承诺的证明材料。</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如中标，保证按照竞争性磋商文件要求及磋商响应文件的承诺与采购人签订合同，保证履行合同条款。</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同意在竞争性磋商文件中供应商须知规定的开标日期起遵守本投标书中的承诺且在投标有效期满之前均具有约束力。</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同意在开标后规定的投标有效期内不得撤回投标。</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完全理解贵方不一定要接受最低价的投标。</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在参加本项目前三年内（被通报或者处罚的违法行为有：</w:t>
      </w:r>
      <w:r>
        <w:rPr>
          <w:rFonts w:hint="eastAsia" w:ascii="新宋体" w:hAnsi="新宋体" w:eastAsia="新宋体"/>
          <w:color w:val="auto"/>
          <w:kern w:val="0"/>
          <w:sz w:val="22"/>
          <w:szCs w:val="22"/>
          <w:highlight w:val="none"/>
          <w:u w:val="single"/>
          <w:lang w:val="zh-CN"/>
        </w:rPr>
        <w:t xml:space="preserve">                  </w:t>
      </w:r>
      <w:r>
        <w:rPr>
          <w:rFonts w:hint="eastAsia" w:ascii="新宋体" w:hAnsi="新宋体" w:eastAsia="新宋体"/>
          <w:color w:val="auto"/>
          <w:kern w:val="0"/>
          <w:sz w:val="22"/>
          <w:szCs w:val="22"/>
          <w:highlight w:val="none"/>
          <w:lang w:val="zh-CN"/>
        </w:rPr>
        <w:t>）或（没有因违法经营受到刑事处罚或者责令停产停业、吊销许可证或者执照、较大数额罚款等行政处罚或处罚）或（在</w:t>
      </w:r>
      <w:r>
        <w:rPr>
          <w:rFonts w:hint="eastAsia" w:ascii="新宋体" w:hAnsi="新宋体" w:eastAsia="新宋体"/>
          <w:color w:val="auto"/>
          <w:kern w:val="0"/>
          <w:sz w:val="22"/>
          <w:szCs w:val="22"/>
          <w:highlight w:val="none"/>
          <w:u w:val="single"/>
          <w:lang w:val="zh-CN"/>
        </w:rPr>
        <w:t xml:space="preserve">  </w:t>
      </w:r>
      <w:r>
        <w:rPr>
          <w:rFonts w:hint="eastAsia" w:ascii="新宋体" w:hAnsi="新宋体" w:eastAsia="新宋体"/>
          <w:color w:val="auto"/>
          <w:kern w:val="0"/>
          <w:sz w:val="22"/>
          <w:szCs w:val="22"/>
          <w:highlight w:val="none"/>
          <w:lang w:val="zh-CN"/>
        </w:rPr>
        <w:t>至</w:t>
      </w:r>
      <w:r>
        <w:rPr>
          <w:rFonts w:hint="eastAsia" w:ascii="新宋体" w:hAnsi="新宋体" w:eastAsia="新宋体"/>
          <w:color w:val="auto"/>
          <w:kern w:val="0"/>
          <w:sz w:val="22"/>
          <w:szCs w:val="22"/>
          <w:highlight w:val="none"/>
          <w:u w:val="single"/>
          <w:lang w:val="zh-CN"/>
        </w:rPr>
        <w:t xml:space="preserve">  </w:t>
      </w:r>
      <w:r>
        <w:rPr>
          <w:rFonts w:hint="eastAsia" w:ascii="新宋体" w:hAnsi="新宋体" w:eastAsia="新宋体"/>
          <w:color w:val="auto"/>
          <w:kern w:val="0"/>
          <w:sz w:val="22"/>
          <w:szCs w:val="22"/>
          <w:highlight w:val="none"/>
          <w:lang w:val="zh-CN"/>
        </w:rPr>
        <w:t>期间禁止参加政府采购活动但是期限届满，须附相关证明文件）</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在磋商响应截止前（未被“信用中国”网站(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olor w:val="auto"/>
          <w:kern w:val="0"/>
          <w:sz w:val="22"/>
          <w:szCs w:val="22"/>
          <w:highlight w:val="none"/>
          <w:lang w:val="zh-CN"/>
        </w:rPr>
        <w:t>www.creditchina.gov.cn</w:t>
      </w:r>
      <w:r>
        <w:rPr>
          <w:rFonts w:hint="eastAsia" w:ascii="新宋体" w:hAnsi="新宋体" w:eastAsia="新宋体"/>
          <w:color w:val="auto"/>
          <w:kern w:val="0"/>
          <w:sz w:val="22"/>
          <w:szCs w:val="22"/>
          <w:highlight w:val="none"/>
          <w:lang w:val="zh-CN"/>
        </w:rPr>
        <w:fldChar w:fldCharType="end"/>
      </w:r>
      <w:r>
        <w:rPr>
          <w:rFonts w:hint="eastAsia" w:ascii="新宋体" w:hAnsi="新宋体" w:eastAsia="新宋体"/>
          <w:color w:val="auto"/>
          <w:kern w:val="0"/>
          <w:sz w:val="22"/>
          <w:szCs w:val="22"/>
          <w:highlight w:val="none"/>
          <w:lang w:val="zh-CN"/>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新宋体" w:hAnsi="新宋体" w:eastAsia="新宋体"/>
          <w:color w:val="auto"/>
          <w:kern w:val="0"/>
          <w:sz w:val="22"/>
          <w:szCs w:val="22"/>
          <w:highlight w:val="none"/>
          <w:lang w:val="zh-CN"/>
        </w:rPr>
        <w:t>www.ccgp.gov.cn</w:t>
      </w:r>
      <w:r>
        <w:rPr>
          <w:rFonts w:hint="eastAsia" w:ascii="新宋体" w:hAnsi="新宋体" w:eastAsia="新宋体"/>
          <w:color w:val="auto"/>
          <w:kern w:val="0"/>
          <w:sz w:val="22"/>
          <w:szCs w:val="22"/>
          <w:highlight w:val="none"/>
          <w:lang w:val="zh-CN"/>
        </w:rPr>
        <w:fldChar w:fldCharType="end"/>
      </w:r>
      <w:r>
        <w:rPr>
          <w:rFonts w:hint="eastAsia" w:ascii="新宋体" w:hAnsi="新宋体" w:eastAsia="新宋体"/>
          <w:color w:val="auto"/>
          <w:kern w:val="0"/>
          <w:sz w:val="22"/>
          <w:szCs w:val="22"/>
          <w:highlight w:val="none"/>
          <w:lang w:val="zh-CN"/>
        </w:rPr>
        <w:t>)列入政府采购严重违法失信行为记录名单。）或（被“信用中国”或“中国政府采购网”列入……名单。）</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单位、法定代表人、本项目授权代表及本项目负责人在参加本项目前三年内（以法院判决书生效日期为准）均无行贿犯罪记录。</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有列情形之一的，我方愿意被取消中标资格（如中标），继续承担其他一切法律后果，并不再寻求任何旨在减轻或免除法律责任的解释：</w:t>
      </w:r>
    </w:p>
    <w:p>
      <w:pPr>
        <w:spacing w:line="42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(1)提供虚假材料（承诺）谋取中标、成交的；</w:t>
      </w:r>
    </w:p>
    <w:p>
      <w:pPr>
        <w:spacing w:line="42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(2)采取不正当手段诋毁、排挤其他供应商的；</w:t>
      </w:r>
    </w:p>
    <w:p>
      <w:pPr>
        <w:spacing w:line="42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(3)与采购人、其它供应商或者招标代理机构恶意串通的；</w:t>
      </w:r>
    </w:p>
    <w:p>
      <w:pPr>
        <w:spacing w:line="42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(4)向采购人、招标代理机构行贿或者提供其他不正当利益的；</w:t>
      </w:r>
    </w:p>
    <w:p>
      <w:pPr>
        <w:spacing w:line="42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(5)在招标采购过程中与采购人进行协商谈判的；</w:t>
      </w:r>
    </w:p>
    <w:p>
      <w:pPr>
        <w:spacing w:line="42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(6)拒绝有关部门监督检查或提供虚假情况的。</w:t>
      </w:r>
    </w:p>
    <w:p>
      <w:pPr>
        <w:numPr>
          <w:ilvl w:val="0"/>
          <w:numId w:val="20"/>
        </w:numPr>
        <w:autoSpaceDE w:val="0"/>
        <w:autoSpaceDN w:val="0"/>
        <w:adjustRightInd w:val="0"/>
        <w:spacing w:line="420" w:lineRule="atLeast"/>
        <w:ind w:left="0" w:firstLine="440"/>
        <w:rPr>
          <w:rFonts w:ascii="新宋体" w:hAnsi="新宋体" w:eastAsia="新宋体"/>
          <w:color w:val="auto"/>
          <w:kern w:val="0"/>
          <w:sz w:val="22"/>
          <w:szCs w:val="22"/>
          <w:highlight w:val="none"/>
          <w:lang w:val="zh-CN"/>
        </w:rPr>
      </w:pPr>
      <w:r>
        <w:rPr>
          <w:rFonts w:hint="eastAsia" w:ascii="新宋体" w:hAnsi="新宋体" w:eastAsia="新宋体"/>
          <w:color w:val="auto"/>
          <w:kern w:val="0"/>
          <w:sz w:val="22"/>
          <w:szCs w:val="22"/>
          <w:highlight w:val="none"/>
          <w:lang w:val="zh-CN"/>
        </w:rPr>
        <w:t>所有与本投标有关的函件请发往下列地址：</w:t>
      </w:r>
    </w:p>
    <w:p>
      <w:pPr>
        <w:spacing w:line="420" w:lineRule="exact"/>
        <w:ind w:firstLine="4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地址</w:t>
      </w:r>
      <w:r>
        <w:rPr>
          <w:rFonts w:hint="eastAsia" w:ascii="新宋体" w:hAnsi="新宋体" w:eastAsia="新宋体"/>
          <w:color w:val="auto"/>
          <w:sz w:val="22"/>
          <w:szCs w:val="22"/>
          <w:highlight w:val="none"/>
          <w:u w:val="single"/>
        </w:rPr>
        <w:t xml:space="preserve">                           </w:t>
      </w:r>
    </w:p>
    <w:p>
      <w:pPr>
        <w:spacing w:line="420" w:lineRule="exact"/>
        <w:ind w:firstLine="4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电话</w:t>
      </w:r>
      <w:r>
        <w:rPr>
          <w:rFonts w:hint="eastAsia" w:ascii="新宋体" w:hAnsi="新宋体" w:eastAsia="新宋体"/>
          <w:color w:val="auto"/>
          <w:sz w:val="22"/>
          <w:szCs w:val="22"/>
          <w:highlight w:val="none"/>
          <w:u w:val="single"/>
        </w:rPr>
        <w:t xml:space="preserve">                           </w:t>
      </w:r>
    </w:p>
    <w:p>
      <w:pPr>
        <w:spacing w:line="420" w:lineRule="exact"/>
        <w:ind w:firstLine="435"/>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 xml:space="preserve">   传真</w:t>
      </w:r>
      <w:r>
        <w:rPr>
          <w:rFonts w:hint="eastAsia" w:ascii="新宋体" w:hAnsi="新宋体" w:eastAsia="新宋体"/>
          <w:color w:val="auto"/>
          <w:sz w:val="22"/>
          <w:szCs w:val="22"/>
          <w:highlight w:val="none"/>
          <w:u w:val="single"/>
        </w:rPr>
        <w:t xml:space="preserve">                           </w:t>
      </w:r>
    </w:p>
    <w:p>
      <w:pPr>
        <w:spacing w:line="420" w:lineRule="exact"/>
        <w:ind w:firstLine="770" w:firstLineChars="3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电子邮件</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 xml:space="preserve">                       </w:t>
      </w:r>
    </w:p>
    <w:p>
      <w:pPr>
        <w:spacing w:line="420" w:lineRule="exact"/>
        <w:ind w:firstLine="435"/>
        <w:rPr>
          <w:rFonts w:ascii="新宋体" w:hAnsi="新宋体" w:eastAsia="新宋体"/>
          <w:color w:val="auto"/>
          <w:sz w:val="22"/>
          <w:szCs w:val="22"/>
          <w:highlight w:val="none"/>
        </w:rPr>
      </w:pPr>
    </w:p>
    <w:p>
      <w:pPr>
        <w:spacing w:line="420" w:lineRule="exact"/>
        <w:ind w:firstLine="46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供应商名称（盖章）</w:t>
      </w:r>
      <w:r>
        <w:rPr>
          <w:rFonts w:hint="eastAsia" w:ascii="新宋体" w:hAnsi="新宋体" w:eastAsia="新宋体"/>
          <w:color w:val="auto"/>
          <w:sz w:val="22"/>
          <w:szCs w:val="22"/>
          <w:highlight w:val="none"/>
          <w:u w:val="single"/>
        </w:rPr>
        <w:t xml:space="preserve">                  </w:t>
      </w:r>
    </w:p>
    <w:p>
      <w:pPr>
        <w:spacing w:line="420" w:lineRule="exact"/>
        <w:ind w:firstLine="46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供应商代表（签字）</w:t>
      </w:r>
      <w:r>
        <w:rPr>
          <w:rFonts w:hint="eastAsia" w:ascii="新宋体" w:hAnsi="新宋体" w:eastAsia="新宋体"/>
          <w:color w:val="auto"/>
          <w:sz w:val="22"/>
          <w:szCs w:val="22"/>
          <w:highlight w:val="none"/>
          <w:u w:val="single"/>
        </w:rPr>
        <w:t xml:space="preserve">                   </w:t>
      </w:r>
    </w:p>
    <w:p>
      <w:pPr>
        <w:spacing w:line="460" w:lineRule="exact"/>
        <w:ind w:firstLine="4620"/>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pPr>
        <w:spacing w:line="460" w:lineRule="exact"/>
        <w:ind w:firstLine="4620"/>
        <w:rPr>
          <w:rFonts w:ascii="新宋体" w:hAnsi="新宋体" w:eastAsia="新宋体"/>
          <w:color w:val="auto"/>
          <w:sz w:val="22"/>
          <w:szCs w:val="22"/>
          <w:highlight w:val="none"/>
          <w:u w:val="single"/>
        </w:rPr>
      </w:pPr>
    </w:p>
    <w:p>
      <w:pPr>
        <w:spacing w:line="460" w:lineRule="exact"/>
        <w:rPr>
          <w:rFonts w:ascii="新宋体" w:hAnsi="新宋体" w:eastAsia="新宋体"/>
          <w:b/>
          <w:color w:val="auto"/>
          <w:sz w:val="22"/>
          <w:szCs w:val="22"/>
          <w:highlight w:val="none"/>
          <w:u w:val="single"/>
        </w:rPr>
      </w:pPr>
      <w:r>
        <w:rPr>
          <w:rFonts w:hint="eastAsia" w:ascii="新宋体" w:hAnsi="新宋体" w:eastAsia="新宋体"/>
          <w:b/>
          <w:color w:val="auto"/>
          <w:sz w:val="22"/>
          <w:szCs w:val="22"/>
          <w:highlight w:val="none"/>
          <w:u w:val="single"/>
        </w:rPr>
        <w:t>▲不提供投标函的磋商响应文件将被视为未实质性响应竞争性磋商文件。</w:t>
      </w:r>
    </w:p>
    <w:p>
      <w:pPr>
        <w:spacing w:line="460" w:lineRule="exact"/>
        <w:ind w:firstLine="435"/>
        <w:rPr>
          <w:rFonts w:ascii="新宋体" w:hAnsi="新宋体" w:eastAsia="新宋体"/>
          <w:b/>
          <w:color w:val="auto"/>
          <w:sz w:val="22"/>
          <w:szCs w:val="22"/>
          <w:highlight w:val="none"/>
          <w:u w:val="single"/>
        </w:rPr>
      </w:pPr>
    </w:p>
    <w:p>
      <w:pPr>
        <w:spacing w:line="460" w:lineRule="exact"/>
        <w:rPr>
          <w:rFonts w:ascii="新宋体" w:hAnsi="新宋体" w:eastAsia="新宋体"/>
          <w:b/>
          <w:bCs/>
          <w:color w:val="auto"/>
          <w:sz w:val="22"/>
          <w:szCs w:val="22"/>
          <w:highlight w:val="none"/>
        </w:rPr>
      </w:pPr>
      <w:r>
        <w:rPr>
          <w:rFonts w:hint="eastAsia" w:ascii="新宋体" w:hAnsi="新宋体" w:eastAsia="新宋体"/>
          <w:b/>
          <w:color w:val="auto"/>
          <w:sz w:val="22"/>
          <w:szCs w:val="22"/>
          <w:highlight w:val="none"/>
          <w:u w:val="single"/>
        </w:rPr>
        <w:br w:type="page"/>
      </w:r>
      <w:r>
        <w:rPr>
          <w:rFonts w:hint="eastAsia" w:ascii="新宋体" w:hAnsi="新宋体" w:eastAsia="新宋体"/>
          <w:b/>
          <w:bCs/>
          <w:color w:val="auto"/>
          <w:sz w:val="22"/>
          <w:szCs w:val="22"/>
          <w:highlight w:val="none"/>
        </w:rPr>
        <w:t>附件二</w:t>
      </w:r>
    </w:p>
    <w:p>
      <w:pPr>
        <w:spacing w:line="460" w:lineRule="exact"/>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 xml:space="preserve"> (1)技术要求应答表</w:t>
      </w:r>
    </w:p>
    <w:p>
      <w:pPr>
        <w:ind w:firstLine="435"/>
        <w:jc w:val="center"/>
        <w:rPr>
          <w:rFonts w:ascii="新宋体" w:hAnsi="新宋体" w:eastAsia="新宋体"/>
          <w:b/>
          <w:color w:val="auto"/>
          <w:sz w:val="44"/>
          <w:highlight w:val="none"/>
        </w:rPr>
      </w:pPr>
    </w:p>
    <w:p>
      <w:pPr>
        <w:overflowPunct w:val="0"/>
        <w:spacing w:line="380" w:lineRule="exact"/>
        <w:rPr>
          <w:rFonts w:ascii="新宋体" w:hAnsi="新宋体" w:eastAsia="新宋体"/>
          <w:bCs/>
          <w:color w:val="auto"/>
          <w:sz w:val="22"/>
          <w:szCs w:val="22"/>
          <w:highlight w:val="none"/>
        </w:rPr>
      </w:pPr>
      <w:r>
        <w:rPr>
          <w:rFonts w:hint="eastAsia" w:ascii="新宋体" w:hAnsi="新宋体" w:eastAsia="新宋体"/>
          <w:b/>
          <w:color w:val="auto"/>
          <w:sz w:val="24"/>
          <w:highlight w:val="none"/>
        </w:rPr>
        <w:t xml:space="preserve">   </w:t>
      </w:r>
      <w:r>
        <w:rPr>
          <w:rFonts w:hint="eastAsia" w:ascii="新宋体" w:hAnsi="新宋体" w:eastAsia="新宋体"/>
          <w:bCs/>
          <w:color w:val="auto"/>
          <w:sz w:val="22"/>
          <w:szCs w:val="22"/>
          <w:highlight w:val="none"/>
        </w:rPr>
        <w:t>项目名称：                                      项目编号：</w:t>
      </w:r>
    </w:p>
    <w:p>
      <w:pPr>
        <w:ind w:firstLine="361" w:firstLineChars="150"/>
        <w:rPr>
          <w:rFonts w:ascii="新宋体" w:hAnsi="新宋体" w:eastAsia="新宋体"/>
          <w:b/>
          <w:color w:val="auto"/>
          <w:sz w:val="24"/>
          <w:highlight w:val="none"/>
        </w:rPr>
      </w:pPr>
    </w:p>
    <w:tbl>
      <w:tblPr>
        <w:tblStyle w:val="53"/>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2538"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采购文件技术要求</w:t>
            </w:r>
          </w:p>
        </w:tc>
        <w:tc>
          <w:tcPr>
            <w:tcW w:w="2326"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投标供应商技术响应</w:t>
            </w:r>
          </w:p>
        </w:tc>
        <w:tc>
          <w:tcPr>
            <w:tcW w:w="2115"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902"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pPr>
              <w:jc w:val="center"/>
              <w:rPr>
                <w:rFonts w:ascii="新宋体" w:hAnsi="新宋体" w:eastAsia="新宋体"/>
                <w:color w:val="auto"/>
                <w:sz w:val="22"/>
                <w:szCs w:val="22"/>
                <w:highlight w:val="none"/>
              </w:rPr>
            </w:pPr>
          </w:p>
        </w:tc>
        <w:tc>
          <w:tcPr>
            <w:tcW w:w="2538" w:type="dxa"/>
            <w:vAlign w:val="center"/>
          </w:tcPr>
          <w:p>
            <w:pPr>
              <w:jc w:val="center"/>
              <w:rPr>
                <w:rFonts w:ascii="新宋体" w:hAnsi="新宋体" w:eastAsia="新宋体"/>
                <w:color w:val="auto"/>
                <w:sz w:val="22"/>
                <w:szCs w:val="22"/>
                <w:highlight w:val="none"/>
              </w:rPr>
            </w:pPr>
          </w:p>
        </w:tc>
        <w:tc>
          <w:tcPr>
            <w:tcW w:w="2326" w:type="dxa"/>
            <w:vAlign w:val="center"/>
          </w:tcPr>
          <w:p>
            <w:pPr>
              <w:jc w:val="center"/>
              <w:rPr>
                <w:rFonts w:ascii="新宋体" w:hAnsi="新宋体" w:eastAsia="新宋体"/>
                <w:color w:val="auto"/>
                <w:sz w:val="22"/>
                <w:szCs w:val="22"/>
                <w:highlight w:val="none"/>
              </w:rPr>
            </w:pPr>
          </w:p>
        </w:tc>
        <w:tc>
          <w:tcPr>
            <w:tcW w:w="2115" w:type="dxa"/>
            <w:vAlign w:val="center"/>
          </w:tcPr>
          <w:p>
            <w:pPr>
              <w:jc w:val="center"/>
              <w:rPr>
                <w:rFonts w:ascii="新宋体" w:hAnsi="新宋体" w:eastAsia="新宋体"/>
                <w:color w:val="auto"/>
                <w:sz w:val="22"/>
                <w:szCs w:val="22"/>
                <w:highlight w:val="none"/>
              </w:rPr>
            </w:pPr>
          </w:p>
        </w:tc>
        <w:tc>
          <w:tcPr>
            <w:tcW w:w="1902"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olor w:val="auto"/>
                <w:sz w:val="22"/>
                <w:szCs w:val="22"/>
                <w:highlight w:val="none"/>
              </w:rPr>
            </w:pPr>
          </w:p>
        </w:tc>
        <w:tc>
          <w:tcPr>
            <w:tcW w:w="2538" w:type="dxa"/>
            <w:vAlign w:val="center"/>
          </w:tcPr>
          <w:p>
            <w:pPr>
              <w:jc w:val="center"/>
              <w:rPr>
                <w:rFonts w:ascii="新宋体" w:hAnsi="新宋体" w:eastAsia="新宋体"/>
                <w:color w:val="auto"/>
                <w:sz w:val="22"/>
                <w:szCs w:val="22"/>
                <w:highlight w:val="none"/>
              </w:rPr>
            </w:pPr>
          </w:p>
        </w:tc>
        <w:tc>
          <w:tcPr>
            <w:tcW w:w="2326" w:type="dxa"/>
            <w:vAlign w:val="center"/>
          </w:tcPr>
          <w:p>
            <w:pPr>
              <w:jc w:val="center"/>
              <w:rPr>
                <w:rFonts w:ascii="新宋体" w:hAnsi="新宋体" w:eastAsia="新宋体"/>
                <w:color w:val="auto"/>
                <w:sz w:val="22"/>
                <w:szCs w:val="22"/>
                <w:highlight w:val="none"/>
              </w:rPr>
            </w:pPr>
          </w:p>
        </w:tc>
        <w:tc>
          <w:tcPr>
            <w:tcW w:w="2115" w:type="dxa"/>
            <w:vAlign w:val="center"/>
          </w:tcPr>
          <w:p>
            <w:pPr>
              <w:jc w:val="center"/>
              <w:rPr>
                <w:rFonts w:ascii="新宋体" w:hAnsi="新宋体" w:eastAsia="新宋体"/>
                <w:color w:val="auto"/>
                <w:sz w:val="22"/>
                <w:szCs w:val="22"/>
                <w:highlight w:val="none"/>
              </w:rPr>
            </w:pPr>
          </w:p>
        </w:tc>
        <w:tc>
          <w:tcPr>
            <w:tcW w:w="1902"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olor w:val="auto"/>
                <w:sz w:val="22"/>
                <w:szCs w:val="22"/>
                <w:highlight w:val="none"/>
              </w:rPr>
            </w:pPr>
          </w:p>
        </w:tc>
        <w:tc>
          <w:tcPr>
            <w:tcW w:w="2538" w:type="dxa"/>
            <w:vAlign w:val="center"/>
          </w:tcPr>
          <w:p>
            <w:pPr>
              <w:jc w:val="center"/>
              <w:rPr>
                <w:rFonts w:ascii="新宋体" w:hAnsi="新宋体" w:eastAsia="新宋体"/>
                <w:color w:val="auto"/>
                <w:sz w:val="22"/>
                <w:szCs w:val="22"/>
                <w:highlight w:val="none"/>
              </w:rPr>
            </w:pPr>
          </w:p>
        </w:tc>
        <w:tc>
          <w:tcPr>
            <w:tcW w:w="2326" w:type="dxa"/>
            <w:vAlign w:val="center"/>
          </w:tcPr>
          <w:p>
            <w:pPr>
              <w:jc w:val="center"/>
              <w:rPr>
                <w:rFonts w:ascii="新宋体" w:hAnsi="新宋体" w:eastAsia="新宋体"/>
                <w:color w:val="auto"/>
                <w:sz w:val="22"/>
                <w:szCs w:val="22"/>
                <w:highlight w:val="none"/>
              </w:rPr>
            </w:pPr>
          </w:p>
        </w:tc>
        <w:tc>
          <w:tcPr>
            <w:tcW w:w="2115" w:type="dxa"/>
            <w:vAlign w:val="center"/>
          </w:tcPr>
          <w:p>
            <w:pPr>
              <w:jc w:val="center"/>
              <w:rPr>
                <w:rFonts w:ascii="新宋体" w:hAnsi="新宋体" w:eastAsia="新宋体"/>
                <w:color w:val="auto"/>
                <w:sz w:val="22"/>
                <w:szCs w:val="22"/>
                <w:highlight w:val="none"/>
              </w:rPr>
            </w:pPr>
          </w:p>
        </w:tc>
        <w:tc>
          <w:tcPr>
            <w:tcW w:w="1902"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71" w:hRule="atLeast"/>
          <w:jc w:val="center"/>
        </w:trPr>
        <w:tc>
          <w:tcPr>
            <w:tcW w:w="973" w:type="dxa"/>
            <w:vAlign w:val="center"/>
          </w:tcPr>
          <w:p>
            <w:pPr>
              <w:jc w:val="center"/>
              <w:rPr>
                <w:rFonts w:ascii="新宋体" w:hAnsi="新宋体" w:eastAsia="新宋体"/>
                <w:color w:val="auto"/>
                <w:sz w:val="22"/>
                <w:szCs w:val="22"/>
                <w:highlight w:val="none"/>
              </w:rPr>
            </w:pPr>
          </w:p>
        </w:tc>
        <w:tc>
          <w:tcPr>
            <w:tcW w:w="2538" w:type="dxa"/>
            <w:vAlign w:val="center"/>
          </w:tcPr>
          <w:p>
            <w:pPr>
              <w:jc w:val="center"/>
              <w:rPr>
                <w:rFonts w:ascii="新宋体" w:hAnsi="新宋体" w:eastAsia="新宋体"/>
                <w:color w:val="auto"/>
                <w:sz w:val="22"/>
                <w:szCs w:val="22"/>
                <w:highlight w:val="none"/>
              </w:rPr>
            </w:pPr>
          </w:p>
        </w:tc>
        <w:tc>
          <w:tcPr>
            <w:tcW w:w="2326" w:type="dxa"/>
            <w:vAlign w:val="center"/>
          </w:tcPr>
          <w:p>
            <w:pPr>
              <w:jc w:val="center"/>
              <w:rPr>
                <w:rFonts w:ascii="新宋体" w:hAnsi="新宋体" w:eastAsia="新宋体"/>
                <w:color w:val="auto"/>
                <w:sz w:val="22"/>
                <w:szCs w:val="22"/>
                <w:highlight w:val="none"/>
              </w:rPr>
            </w:pPr>
          </w:p>
        </w:tc>
        <w:tc>
          <w:tcPr>
            <w:tcW w:w="2115" w:type="dxa"/>
            <w:vAlign w:val="center"/>
          </w:tcPr>
          <w:p>
            <w:pPr>
              <w:jc w:val="center"/>
              <w:rPr>
                <w:rFonts w:ascii="新宋体" w:hAnsi="新宋体" w:eastAsia="新宋体"/>
                <w:color w:val="auto"/>
                <w:sz w:val="22"/>
                <w:szCs w:val="22"/>
                <w:highlight w:val="none"/>
              </w:rPr>
            </w:pPr>
          </w:p>
        </w:tc>
        <w:tc>
          <w:tcPr>
            <w:tcW w:w="1902"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olor w:val="auto"/>
                <w:sz w:val="22"/>
                <w:szCs w:val="22"/>
                <w:highlight w:val="none"/>
              </w:rPr>
            </w:pPr>
          </w:p>
        </w:tc>
        <w:tc>
          <w:tcPr>
            <w:tcW w:w="2538" w:type="dxa"/>
            <w:vAlign w:val="center"/>
          </w:tcPr>
          <w:p>
            <w:pPr>
              <w:jc w:val="center"/>
              <w:rPr>
                <w:rFonts w:ascii="新宋体" w:hAnsi="新宋体" w:eastAsia="新宋体"/>
                <w:color w:val="auto"/>
                <w:sz w:val="22"/>
                <w:szCs w:val="22"/>
                <w:highlight w:val="none"/>
              </w:rPr>
            </w:pPr>
          </w:p>
        </w:tc>
        <w:tc>
          <w:tcPr>
            <w:tcW w:w="2326" w:type="dxa"/>
            <w:vAlign w:val="center"/>
          </w:tcPr>
          <w:p>
            <w:pPr>
              <w:jc w:val="center"/>
              <w:rPr>
                <w:rFonts w:ascii="新宋体" w:hAnsi="新宋体" w:eastAsia="新宋体"/>
                <w:color w:val="auto"/>
                <w:sz w:val="22"/>
                <w:szCs w:val="22"/>
                <w:highlight w:val="none"/>
              </w:rPr>
            </w:pPr>
          </w:p>
        </w:tc>
        <w:tc>
          <w:tcPr>
            <w:tcW w:w="2115" w:type="dxa"/>
            <w:vAlign w:val="center"/>
          </w:tcPr>
          <w:p>
            <w:pPr>
              <w:jc w:val="center"/>
              <w:rPr>
                <w:rFonts w:ascii="新宋体" w:hAnsi="新宋体" w:eastAsia="新宋体"/>
                <w:color w:val="auto"/>
                <w:sz w:val="22"/>
                <w:szCs w:val="22"/>
                <w:highlight w:val="none"/>
              </w:rPr>
            </w:pPr>
          </w:p>
        </w:tc>
        <w:tc>
          <w:tcPr>
            <w:tcW w:w="1902" w:type="dxa"/>
            <w:vAlign w:val="center"/>
          </w:tcPr>
          <w:p>
            <w:pPr>
              <w:jc w:val="center"/>
              <w:rPr>
                <w:rFonts w:ascii="新宋体" w:hAnsi="新宋体" w:eastAsia="新宋体"/>
                <w:color w:val="auto"/>
                <w:sz w:val="22"/>
                <w:szCs w:val="22"/>
                <w:highlight w:val="none"/>
              </w:rPr>
            </w:pPr>
          </w:p>
        </w:tc>
      </w:tr>
    </w:tbl>
    <w:p>
      <w:pPr>
        <w:spacing w:line="500" w:lineRule="exact"/>
        <w:rPr>
          <w:rFonts w:ascii="新宋体" w:hAnsi="新宋体" w:eastAsia="新宋体"/>
          <w:color w:val="auto"/>
          <w:sz w:val="24"/>
          <w:highlight w:val="none"/>
        </w:rPr>
      </w:pPr>
      <w:r>
        <w:rPr>
          <w:rFonts w:hint="eastAsia" w:ascii="新宋体" w:hAnsi="新宋体" w:eastAsia="新宋体"/>
          <w:color w:val="auto"/>
          <w:sz w:val="24"/>
          <w:highlight w:val="none"/>
        </w:rPr>
        <w:t>说明：</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不填写此表视作完全响应采购文件要求。</w:t>
      </w:r>
    </w:p>
    <w:p>
      <w:pPr>
        <w:spacing w:line="400" w:lineRule="exact"/>
        <w:rPr>
          <w:rFonts w:ascii="新宋体" w:hAnsi="新宋体" w:eastAsia="新宋体"/>
          <w:color w:val="auto"/>
          <w:sz w:val="22"/>
          <w:szCs w:val="22"/>
          <w:highlight w:val="none"/>
        </w:rPr>
      </w:pPr>
    </w:p>
    <w:p>
      <w:pPr>
        <w:spacing w:line="400" w:lineRule="exact"/>
        <w:rPr>
          <w:rFonts w:ascii="新宋体" w:hAnsi="新宋体" w:eastAsia="新宋体"/>
          <w:color w:val="auto"/>
          <w:sz w:val="22"/>
          <w:szCs w:val="22"/>
          <w:highlight w:val="none"/>
        </w:rPr>
      </w:pPr>
    </w:p>
    <w:p>
      <w:pPr>
        <w:spacing w:line="400" w:lineRule="exact"/>
        <w:rPr>
          <w:rFonts w:ascii="新宋体" w:hAnsi="新宋体" w:eastAsia="新宋体"/>
          <w:color w:val="auto"/>
          <w:sz w:val="22"/>
          <w:szCs w:val="22"/>
          <w:highlight w:val="none"/>
        </w:rPr>
      </w:pPr>
    </w:p>
    <w:p>
      <w:pPr>
        <w:spacing w:line="400" w:lineRule="exact"/>
        <w:rPr>
          <w:rFonts w:ascii="新宋体" w:hAnsi="新宋体" w:eastAsia="新宋体"/>
          <w:color w:val="auto"/>
          <w:sz w:val="22"/>
          <w:szCs w:val="22"/>
          <w:highlight w:val="none"/>
        </w:rPr>
      </w:pPr>
    </w:p>
    <w:p>
      <w:pPr>
        <w:spacing w:line="400" w:lineRule="exact"/>
        <w:ind w:firstLine="770" w:firstLineChars="3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投标供应商全称（盖章）：</w:t>
      </w:r>
    </w:p>
    <w:p>
      <w:pPr>
        <w:spacing w:line="400" w:lineRule="exact"/>
        <w:ind w:firstLine="770" w:firstLineChars="3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投标供应商代表（签名或盖章）：</w:t>
      </w:r>
    </w:p>
    <w:p>
      <w:pPr>
        <w:spacing w:line="400" w:lineRule="exact"/>
        <w:ind w:firstLine="770" w:firstLineChars="3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pPr>
        <w:spacing w:line="400" w:lineRule="exact"/>
        <w:rPr>
          <w:rFonts w:ascii="新宋体" w:hAnsi="新宋体" w:eastAsia="新宋体"/>
          <w:color w:val="auto"/>
          <w:sz w:val="22"/>
          <w:szCs w:val="22"/>
          <w:highlight w:val="none"/>
        </w:rPr>
      </w:pPr>
    </w:p>
    <w:p>
      <w:pPr>
        <w:spacing w:line="500" w:lineRule="exact"/>
        <w:jc w:val="center"/>
        <w:rPr>
          <w:rFonts w:ascii="新宋体" w:hAnsi="新宋体" w:eastAsia="新宋体"/>
          <w:b/>
          <w:bCs/>
          <w:color w:val="auto"/>
          <w:sz w:val="28"/>
          <w:szCs w:val="28"/>
          <w:highlight w:val="none"/>
        </w:rPr>
      </w:pPr>
      <w:r>
        <w:rPr>
          <w:rFonts w:hint="eastAsia" w:ascii="新宋体" w:hAnsi="新宋体" w:eastAsia="新宋体"/>
          <w:color w:val="auto"/>
          <w:sz w:val="24"/>
          <w:highlight w:val="none"/>
        </w:rPr>
        <w:br w:type="page"/>
      </w:r>
      <w:r>
        <w:rPr>
          <w:rFonts w:hint="eastAsia" w:ascii="新宋体" w:hAnsi="新宋体" w:eastAsia="新宋体"/>
          <w:b/>
          <w:bCs/>
          <w:color w:val="auto"/>
          <w:sz w:val="28"/>
          <w:szCs w:val="28"/>
          <w:highlight w:val="none"/>
        </w:rPr>
        <w:t>(2)商务条款偏离表</w:t>
      </w:r>
    </w:p>
    <w:p>
      <w:pPr>
        <w:ind w:firstLine="435"/>
        <w:jc w:val="center"/>
        <w:rPr>
          <w:rFonts w:ascii="新宋体" w:hAnsi="新宋体" w:eastAsia="新宋体"/>
          <w:b/>
          <w:color w:val="auto"/>
          <w:sz w:val="44"/>
          <w:highlight w:val="none"/>
        </w:rPr>
      </w:pPr>
    </w:p>
    <w:p>
      <w:pPr>
        <w:overflowPunct w:val="0"/>
        <w:spacing w:line="380" w:lineRule="exact"/>
        <w:rPr>
          <w:rFonts w:ascii="新宋体" w:hAnsi="新宋体" w:eastAsia="新宋体"/>
          <w:bCs/>
          <w:color w:val="auto"/>
          <w:sz w:val="22"/>
          <w:szCs w:val="22"/>
          <w:highlight w:val="none"/>
        </w:rPr>
      </w:pPr>
      <w:r>
        <w:rPr>
          <w:rFonts w:hint="eastAsia" w:ascii="新宋体" w:hAnsi="新宋体" w:eastAsia="新宋体"/>
          <w:b/>
          <w:color w:val="auto"/>
          <w:sz w:val="22"/>
          <w:szCs w:val="22"/>
          <w:highlight w:val="none"/>
        </w:rPr>
        <w:t xml:space="preserve">  </w:t>
      </w:r>
      <w:r>
        <w:rPr>
          <w:rFonts w:hint="eastAsia" w:ascii="新宋体" w:hAnsi="新宋体" w:eastAsia="新宋体"/>
          <w:bCs/>
          <w:color w:val="auto"/>
          <w:sz w:val="22"/>
          <w:szCs w:val="22"/>
          <w:highlight w:val="none"/>
        </w:rPr>
        <w:t>项目名称：                                      项目编号：</w:t>
      </w:r>
    </w:p>
    <w:p>
      <w:pPr>
        <w:ind w:firstLine="221" w:firstLineChars="100"/>
        <w:rPr>
          <w:rFonts w:ascii="新宋体" w:hAnsi="新宋体" w:eastAsia="新宋体"/>
          <w:b/>
          <w:color w:val="auto"/>
          <w:sz w:val="22"/>
          <w:szCs w:val="22"/>
          <w:highlight w:val="none"/>
        </w:rPr>
      </w:pPr>
    </w:p>
    <w:tbl>
      <w:tblPr>
        <w:tblStyle w:val="53"/>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1559"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条款内容</w:t>
            </w:r>
          </w:p>
        </w:tc>
        <w:tc>
          <w:tcPr>
            <w:tcW w:w="2184"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采购文件商务条款描述</w:t>
            </w:r>
          </w:p>
        </w:tc>
        <w:tc>
          <w:tcPr>
            <w:tcW w:w="2402"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磋商响应文件商务条款</w:t>
            </w:r>
          </w:p>
        </w:tc>
        <w:tc>
          <w:tcPr>
            <w:tcW w:w="1200"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588"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p>
        </w:tc>
        <w:tc>
          <w:tcPr>
            <w:tcW w:w="1559"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付款方式</w:t>
            </w: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w:t>
            </w:r>
          </w:p>
        </w:tc>
        <w:tc>
          <w:tcPr>
            <w:tcW w:w="1559"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服务期限</w:t>
            </w: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p>
        </w:tc>
        <w:tc>
          <w:tcPr>
            <w:tcW w:w="1559" w:type="dxa"/>
            <w:vAlign w:val="center"/>
          </w:tcPr>
          <w:p>
            <w:pPr>
              <w:jc w:val="center"/>
              <w:rPr>
                <w:rFonts w:ascii="新宋体" w:hAnsi="新宋体" w:eastAsia="新宋体"/>
                <w:color w:val="auto"/>
                <w:sz w:val="22"/>
                <w:szCs w:val="22"/>
                <w:highlight w:val="none"/>
              </w:rPr>
            </w:pP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w:t>
            </w:r>
          </w:p>
        </w:tc>
        <w:tc>
          <w:tcPr>
            <w:tcW w:w="1559" w:type="dxa"/>
            <w:vAlign w:val="center"/>
          </w:tcPr>
          <w:p>
            <w:pPr>
              <w:jc w:val="center"/>
              <w:rPr>
                <w:rFonts w:ascii="新宋体" w:hAnsi="新宋体" w:eastAsia="新宋体"/>
                <w:color w:val="auto"/>
                <w:sz w:val="22"/>
                <w:szCs w:val="22"/>
                <w:highlight w:val="none"/>
              </w:rPr>
            </w:pP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w:t>
            </w:r>
          </w:p>
        </w:tc>
        <w:tc>
          <w:tcPr>
            <w:tcW w:w="1559" w:type="dxa"/>
            <w:vAlign w:val="center"/>
          </w:tcPr>
          <w:p>
            <w:pPr>
              <w:jc w:val="center"/>
              <w:rPr>
                <w:rFonts w:ascii="新宋体" w:hAnsi="新宋体" w:eastAsia="新宋体"/>
                <w:color w:val="auto"/>
                <w:sz w:val="22"/>
                <w:szCs w:val="22"/>
                <w:highlight w:val="none"/>
              </w:rPr>
            </w:pP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w:t>
            </w:r>
          </w:p>
        </w:tc>
        <w:tc>
          <w:tcPr>
            <w:tcW w:w="1559"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w:t>
            </w: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bl>
    <w:p>
      <w:pPr>
        <w:spacing w:line="500" w:lineRule="exact"/>
        <w:rPr>
          <w:rFonts w:ascii="新宋体" w:hAnsi="新宋体" w:eastAsia="新宋体"/>
          <w:color w:val="auto"/>
          <w:sz w:val="24"/>
          <w:highlight w:val="none"/>
        </w:rPr>
      </w:pPr>
      <w:r>
        <w:rPr>
          <w:rFonts w:hint="eastAsia" w:ascii="新宋体" w:hAnsi="新宋体" w:eastAsia="新宋体"/>
          <w:color w:val="auto"/>
          <w:sz w:val="24"/>
          <w:highlight w:val="none"/>
        </w:rPr>
        <w:t>说明：</w:t>
      </w:r>
    </w:p>
    <w:p>
      <w:pPr>
        <w:spacing w:line="5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不填写此表视作完全响应采购文件要求。</w:t>
      </w:r>
    </w:p>
    <w:p>
      <w:pPr>
        <w:spacing w:line="500" w:lineRule="exact"/>
        <w:ind w:firstLine="4400" w:firstLineChars="2000"/>
        <w:rPr>
          <w:rFonts w:ascii="新宋体" w:hAnsi="新宋体" w:eastAsia="新宋体"/>
          <w:color w:val="auto"/>
          <w:sz w:val="22"/>
          <w:szCs w:val="22"/>
          <w:highlight w:val="none"/>
        </w:rPr>
      </w:pPr>
    </w:p>
    <w:p>
      <w:pPr>
        <w:spacing w:line="500" w:lineRule="exact"/>
        <w:ind w:firstLine="4400" w:firstLineChars="2000"/>
        <w:rPr>
          <w:rFonts w:ascii="新宋体" w:hAnsi="新宋体" w:eastAsia="新宋体"/>
          <w:color w:val="auto"/>
          <w:sz w:val="22"/>
          <w:szCs w:val="22"/>
          <w:highlight w:val="none"/>
        </w:rPr>
      </w:pPr>
    </w:p>
    <w:p>
      <w:pPr>
        <w:spacing w:line="500" w:lineRule="exact"/>
        <w:ind w:firstLine="4400" w:firstLineChars="2000"/>
        <w:rPr>
          <w:rFonts w:ascii="新宋体" w:hAnsi="新宋体" w:eastAsia="新宋体"/>
          <w:color w:val="auto"/>
          <w:sz w:val="22"/>
          <w:szCs w:val="22"/>
          <w:highlight w:val="none"/>
        </w:rPr>
      </w:pP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投标供应商全称（盖章）：</w:t>
      </w: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投标供应商代表（签名或盖章）：</w:t>
      </w: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p>
    <w:p>
      <w:pPr>
        <w:tabs>
          <w:tab w:val="left" w:pos="840"/>
        </w:tabs>
        <w:adjustRightInd w:val="0"/>
        <w:snapToGrid w:val="0"/>
        <w:spacing w:line="360" w:lineRule="auto"/>
        <w:rPr>
          <w:rFonts w:ascii="新宋体" w:hAnsi="新宋体" w:eastAsia="新宋体" w:cs="ˎ̥"/>
          <w:b/>
          <w:bCs/>
          <w:color w:val="auto"/>
          <w:sz w:val="22"/>
          <w:szCs w:val="22"/>
          <w:highlight w:val="none"/>
        </w:rPr>
      </w:pPr>
      <w:r>
        <w:rPr>
          <w:rFonts w:hint="eastAsia" w:ascii="新宋体" w:hAnsi="新宋体" w:eastAsia="新宋体"/>
          <w:color w:val="auto"/>
          <w:sz w:val="22"/>
          <w:szCs w:val="22"/>
          <w:highlight w:val="none"/>
        </w:rPr>
        <w:br w:type="page"/>
      </w:r>
      <w:r>
        <w:rPr>
          <w:rFonts w:hint="eastAsia" w:ascii="新宋体" w:hAnsi="新宋体" w:eastAsia="新宋体" w:cs="ˎ̥"/>
          <w:b/>
          <w:bCs/>
          <w:color w:val="auto"/>
          <w:sz w:val="22"/>
          <w:szCs w:val="22"/>
          <w:highlight w:val="none"/>
        </w:rPr>
        <w:t xml:space="preserve">附件三                </w:t>
      </w:r>
    </w:p>
    <w:p>
      <w:pPr>
        <w:tabs>
          <w:tab w:val="left" w:pos="780"/>
        </w:tabs>
        <w:spacing w:line="40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供应商同类项目案例情况</w:t>
      </w:r>
    </w:p>
    <w:tbl>
      <w:tblPr>
        <w:tblStyle w:val="53"/>
        <w:tblW w:w="98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1538"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项目名称</w:t>
            </w:r>
          </w:p>
        </w:tc>
        <w:tc>
          <w:tcPr>
            <w:tcW w:w="1583"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项目单位</w:t>
            </w:r>
          </w:p>
        </w:tc>
        <w:tc>
          <w:tcPr>
            <w:tcW w:w="2036"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项目金额</w:t>
            </w:r>
          </w:p>
        </w:tc>
        <w:tc>
          <w:tcPr>
            <w:tcW w:w="1471"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合同日期</w:t>
            </w:r>
          </w:p>
        </w:tc>
        <w:tc>
          <w:tcPr>
            <w:tcW w:w="1007"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联系人</w:t>
            </w:r>
          </w:p>
        </w:tc>
        <w:tc>
          <w:tcPr>
            <w:tcW w:w="1351"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bl>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1.此表仅提供了表格形式，供应商应根据需要准备足够数量的表格来填写。</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 xml:space="preserve">2.每项业绩须根据商务技术文件评分细则的要求提供证明材料； </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3.供应商不按此要求填写此项内容或未按要求提供业绩证明材料将视为无业绩，不纳入评分范围。</w:t>
      </w:r>
    </w:p>
    <w:p>
      <w:pPr>
        <w:spacing w:line="400" w:lineRule="exact"/>
        <w:ind w:left="180"/>
        <w:rPr>
          <w:rFonts w:ascii="新宋体" w:hAnsi="新宋体" w:eastAsia="新宋体"/>
          <w:b/>
          <w:color w:val="auto"/>
          <w:sz w:val="22"/>
          <w:szCs w:val="22"/>
          <w:highlight w:val="none"/>
        </w:rPr>
      </w:pPr>
    </w:p>
    <w:p>
      <w:pPr>
        <w:tabs>
          <w:tab w:val="left" w:pos="840"/>
          <w:tab w:val="left" w:pos="5400"/>
        </w:tabs>
        <w:adjustRightInd w:val="0"/>
        <w:snapToGrid w:val="0"/>
        <w:spacing w:line="400" w:lineRule="exact"/>
        <w:ind w:left="42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p>
    <w:p>
      <w:pPr>
        <w:tabs>
          <w:tab w:val="left" w:pos="840"/>
          <w:tab w:val="left" w:pos="5400"/>
        </w:tabs>
        <w:adjustRightInd w:val="0"/>
        <w:snapToGrid w:val="0"/>
        <w:spacing w:line="400" w:lineRule="exact"/>
        <w:ind w:left="42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供应商代表（签字或盖章）：</w:t>
      </w:r>
    </w:p>
    <w:p>
      <w:pPr>
        <w:tabs>
          <w:tab w:val="left" w:pos="840"/>
          <w:tab w:val="left" w:pos="5400"/>
        </w:tabs>
        <w:adjustRightInd w:val="0"/>
        <w:snapToGrid w:val="0"/>
        <w:spacing w:line="400" w:lineRule="exact"/>
        <w:ind w:left="42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pPr>
        <w:tabs>
          <w:tab w:val="left" w:pos="780"/>
        </w:tabs>
        <w:spacing w:line="400" w:lineRule="exact"/>
        <w:ind w:left="180"/>
        <w:rPr>
          <w:rFonts w:ascii="新宋体" w:hAnsi="新宋体" w:eastAsia="新宋体"/>
          <w:b/>
          <w:bCs/>
          <w:color w:val="auto"/>
          <w:sz w:val="22"/>
          <w:szCs w:val="22"/>
          <w:highlight w:val="none"/>
        </w:rPr>
      </w:pPr>
      <w:r>
        <w:rPr>
          <w:rFonts w:ascii="新宋体" w:hAnsi="新宋体" w:eastAsia="新宋体"/>
          <w:color w:val="auto"/>
          <w:sz w:val="22"/>
          <w:szCs w:val="22"/>
          <w:highlight w:val="none"/>
        </w:rPr>
        <w:br w:type="page"/>
      </w:r>
      <w:r>
        <w:rPr>
          <w:rFonts w:hint="eastAsia" w:ascii="新宋体" w:hAnsi="新宋体" w:eastAsia="新宋体"/>
          <w:b/>
          <w:bCs/>
          <w:color w:val="auto"/>
          <w:sz w:val="22"/>
          <w:szCs w:val="22"/>
          <w:highlight w:val="none"/>
        </w:rPr>
        <w:t>附件四</w:t>
      </w:r>
    </w:p>
    <w:p>
      <w:pPr>
        <w:tabs>
          <w:tab w:val="left" w:pos="780"/>
        </w:tabs>
        <w:spacing w:line="400" w:lineRule="exact"/>
        <w:ind w:left="18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项目负责人资格情况表</w:t>
      </w:r>
    </w:p>
    <w:tbl>
      <w:tblPr>
        <w:tblStyle w:val="53"/>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姓   名</w:t>
            </w:r>
          </w:p>
        </w:tc>
        <w:tc>
          <w:tcPr>
            <w:tcW w:w="1799"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1567" w:type="dxa"/>
            <w:gridSpan w:val="2"/>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年  龄</w:t>
            </w:r>
          </w:p>
        </w:tc>
        <w:tc>
          <w:tcPr>
            <w:tcW w:w="1062"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2074"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学  历</w:t>
            </w:r>
          </w:p>
        </w:tc>
        <w:tc>
          <w:tcPr>
            <w:tcW w:w="1568"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毕业学校</w:t>
            </w:r>
          </w:p>
        </w:tc>
        <w:tc>
          <w:tcPr>
            <w:tcW w:w="1799" w:type="dxa"/>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1567" w:type="dxa"/>
            <w:gridSpan w:val="2"/>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专  业</w:t>
            </w:r>
          </w:p>
        </w:tc>
        <w:tc>
          <w:tcPr>
            <w:tcW w:w="1062"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2074"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  务</w:t>
            </w:r>
          </w:p>
        </w:tc>
        <w:tc>
          <w:tcPr>
            <w:tcW w:w="1568"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  称</w:t>
            </w:r>
          </w:p>
        </w:tc>
        <w:tc>
          <w:tcPr>
            <w:tcW w:w="1799" w:type="dxa"/>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1567" w:type="dxa"/>
            <w:gridSpan w:val="2"/>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拟任何职</w:t>
            </w:r>
          </w:p>
        </w:tc>
        <w:tc>
          <w:tcPr>
            <w:tcW w:w="1062"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2074"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参加工作</w:t>
            </w:r>
          </w:p>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时间</w:t>
            </w:r>
          </w:p>
        </w:tc>
        <w:tc>
          <w:tcPr>
            <w:tcW w:w="1568"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时  间</w:t>
            </w:r>
          </w:p>
        </w:tc>
        <w:tc>
          <w:tcPr>
            <w:tcW w:w="8070" w:type="dxa"/>
            <w:gridSpan w:val="6"/>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8070" w:type="dxa"/>
            <w:gridSpan w:val="6"/>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8070" w:type="dxa"/>
            <w:gridSpan w:val="6"/>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hint="eastAsia" w:ascii="新宋体" w:hAnsi="新宋体" w:eastAsia="新宋体" w:cs="Arial"/>
                <w:color w:val="auto"/>
                <w:sz w:val="22"/>
                <w:szCs w:val="22"/>
                <w:highlight w:val="none"/>
              </w:rPr>
              <w:t>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3427" w:type="dxa"/>
            <w:gridSpan w:val="3"/>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3427" w:type="dxa"/>
            <w:gridSpan w:val="3"/>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1440" w:type="dxa"/>
            <w:gridSpan w:val="2"/>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3642" w:type="dxa"/>
            <w:gridSpan w:val="2"/>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3427" w:type="dxa"/>
            <w:gridSpan w:val="3"/>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1440" w:type="dxa"/>
            <w:gridSpan w:val="2"/>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3642" w:type="dxa"/>
            <w:gridSpan w:val="2"/>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3427" w:type="dxa"/>
            <w:gridSpan w:val="3"/>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1440" w:type="dxa"/>
            <w:gridSpan w:val="2"/>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c>
          <w:tcPr>
            <w:tcW w:w="3642" w:type="dxa"/>
            <w:gridSpan w:val="2"/>
            <w:tcBorders>
              <w:top w:val="single" w:color="auto" w:sz="4" w:space="0"/>
              <w:bottom w:val="single" w:color="auto" w:sz="4" w:space="0"/>
            </w:tcBorders>
            <w:vAlign w:val="center"/>
          </w:tcPr>
          <w:p>
            <w:pPr>
              <w:spacing w:line="360" w:lineRule="exact"/>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pPr>
              <w:spacing w:line="360" w:lineRule="exact"/>
              <w:rPr>
                <w:rFonts w:ascii="新宋体" w:hAnsi="新宋体" w:eastAsia="新宋体"/>
                <w:color w:val="auto"/>
                <w:sz w:val="22"/>
                <w:szCs w:val="22"/>
                <w:highlight w:val="none"/>
              </w:rPr>
            </w:pPr>
          </w:p>
        </w:tc>
        <w:tc>
          <w:tcPr>
            <w:tcW w:w="3427" w:type="dxa"/>
            <w:gridSpan w:val="3"/>
            <w:tcBorders>
              <w:top w:val="single" w:color="auto" w:sz="4" w:space="0"/>
              <w:bottom w:val="single" w:color="auto" w:sz="12" w:space="0"/>
            </w:tcBorders>
            <w:vAlign w:val="center"/>
          </w:tcPr>
          <w:p>
            <w:pPr>
              <w:spacing w:line="360" w:lineRule="exact"/>
              <w:rPr>
                <w:rFonts w:ascii="新宋体" w:hAnsi="新宋体" w:eastAsia="新宋体"/>
                <w:color w:val="auto"/>
                <w:sz w:val="22"/>
                <w:szCs w:val="22"/>
                <w:highlight w:val="none"/>
              </w:rPr>
            </w:pPr>
          </w:p>
        </w:tc>
        <w:tc>
          <w:tcPr>
            <w:tcW w:w="1440" w:type="dxa"/>
            <w:gridSpan w:val="2"/>
            <w:tcBorders>
              <w:top w:val="single" w:color="auto" w:sz="4" w:space="0"/>
              <w:bottom w:val="single" w:color="auto" w:sz="12" w:space="0"/>
            </w:tcBorders>
            <w:vAlign w:val="center"/>
          </w:tcPr>
          <w:p>
            <w:pPr>
              <w:spacing w:line="360" w:lineRule="exact"/>
              <w:rPr>
                <w:rFonts w:ascii="新宋体" w:hAnsi="新宋体" w:eastAsia="新宋体"/>
                <w:color w:val="auto"/>
                <w:sz w:val="22"/>
                <w:szCs w:val="22"/>
                <w:highlight w:val="none"/>
              </w:rPr>
            </w:pPr>
          </w:p>
        </w:tc>
        <w:tc>
          <w:tcPr>
            <w:tcW w:w="3642" w:type="dxa"/>
            <w:gridSpan w:val="2"/>
            <w:tcBorders>
              <w:top w:val="single" w:color="auto" w:sz="4" w:space="0"/>
              <w:bottom w:val="single" w:color="auto" w:sz="12" w:space="0"/>
            </w:tcBorders>
            <w:vAlign w:val="center"/>
          </w:tcPr>
          <w:p>
            <w:pPr>
              <w:spacing w:line="360" w:lineRule="exact"/>
              <w:rPr>
                <w:rFonts w:ascii="新宋体" w:hAnsi="新宋体" w:eastAsia="新宋体"/>
                <w:color w:val="auto"/>
                <w:sz w:val="22"/>
                <w:szCs w:val="22"/>
                <w:highlight w:val="none"/>
              </w:rPr>
            </w:pPr>
          </w:p>
        </w:tc>
      </w:tr>
    </w:tbl>
    <w:p>
      <w:pPr>
        <w:tabs>
          <w:tab w:val="left" w:pos="780"/>
        </w:tabs>
        <w:spacing w:line="400" w:lineRule="exact"/>
        <w:ind w:left="180"/>
        <w:rPr>
          <w:rFonts w:ascii="新宋体" w:hAnsi="新宋体" w:eastAsia="新宋体"/>
          <w:b/>
          <w:color w:val="auto"/>
          <w:sz w:val="22"/>
          <w:szCs w:val="22"/>
          <w:highlight w:val="none"/>
        </w:rPr>
      </w:pPr>
    </w:p>
    <w:p>
      <w:pPr>
        <w:pStyle w:val="22"/>
        <w:ind w:firstLine="321"/>
        <w:rPr>
          <w:rFonts w:ascii="新宋体" w:hAnsi="新宋体" w:eastAsia="新宋体"/>
          <w:color w:val="auto"/>
          <w:highlight w:val="none"/>
        </w:rPr>
      </w:pP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供应商代表（签字）：</w:t>
      </w:r>
    </w:p>
    <w:p>
      <w:pPr>
        <w:spacing w:line="380" w:lineRule="exact"/>
        <w:ind w:firstLine="4400" w:firstLineChars="2000"/>
        <w:rPr>
          <w:rFonts w:ascii="新宋体" w:hAnsi="新宋体" w:eastAsia="新宋体"/>
          <w:b/>
          <w:color w:val="auto"/>
          <w:sz w:val="22"/>
          <w:highlight w:val="none"/>
        </w:rPr>
      </w:pPr>
      <w:r>
        <w:rPr>
          <w:rFonts w:hint="eastAsia" w:ascii="新宋体" w:hAnsi="新宋体" w:eastAsia="新宋体"/>
          <w:color w:val="auto"/>
          <w:sz w:val="22"/>
          <w:szCs w:val="22"/>
          <w:highlight w:val="none"/>
        </w:rPr>
        <w:t xml:space="preserve">日期：  年   月  日 </w:t>
      </w:r>
      <w:r>
        <w:rPr>
          <w:rFonts w:hint="eastAsia" w:ascii="新宋体" w:hAnsi="新宋体" w:eastAsia="新宋体"/>
          <w:color w:val="auto"/>
          <w:sz w:val="24"/>
          <w:highlight w:val="none"/>
        </w:rPr>
        <w:t xml:space="preserve"> </w:t>
      </w:r>
    </w:p>
    <w:p>
      <w:pPr>
        <w:tabs>
          <w:tab w:val="left" w:pos="840"/>
        </w:tabs>
        <w:adjustRightInd w:val="0"/>
        <w:snapToGrid w:val="0"/>
        <w:spacing w:line="400" w:lineRule="exac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br w:type="page"/>
      </w:r>
      <w:r>
        <w:rPr>
          <w:rFonts w:hint="eastAsia" w:ascii="新宋体" w:hAnsi="新宋体" w:eastAsia="新宋体"/>
          <w:b/>
          <w:color w:val="auto"/>
          <w:sz w:val="22"/>
          <w:szCs w:val="22"/>
          <w:highlight w:val="none"/>
        </w:rPr>
        <w:t>附件五</w:t>
      </w:r>
    </w:p>
    <w:p>
      <w:pPr>
        <w:tabs>
          <w:tab w:val="left" w:pos="840"/>
        </w:tabs>
        <w:adjustRightInd w:val="0"/>
        <w:snapToGrid w:val="0"/>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项目服务人员汇总表</w:t>
      </w:r>
    </w:p>
    <w:tbl>
      <w:tblPr>
        <w:tblStyle w:val="5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新宋体" w:hAnsi="新宋体" w:eastAsia="新宋体"/>
                <w:color w:val="auto"/>
                <w:sz w:val="22"/>
                <w:highlight w:val="none"/>
              </w:rPr>
            </w:pPr>
            <w:r>
              <w:rPr>
                <w:rFonts w:hint="eastAsia" w:ascii="新宋体" w:hAnsi="新宋体" w:eastAsia="新宋体"/>
                <w:color w:val="auto"/>
                <w:sz w:val="22"/>
                <w:highlight w:val="none"/>
              </w:rPr>
              <w:t>序号</w:t>
            </w:r>
          </w:p>
        </w:tc>
        <w:tc>
          <w:tcPr>
            <w:tcW w:w="958" w:type="dxa"/>
            <w:vAlign w:val="center"/>
          </w:tcPr>
          <w:p>
            <w:pPr>
              <w:spacing w:line="360" w:lineRule="auto"/>
              <w:jc w:val="center"/>
              <w:rPr>
                <w:rFonts w:ascii="新宋体" w:hAnsi="新宋体" w:eastAsia="新宋体"/>
                <w:color w:val="auto"/>
                <w:sz w:val="22"/>
                <w:highlight w:val="none"/>
              </w:rPr>
            </w:pPr>
            <w:r>
              <w:rPr>
                <w:rFonts w:hint="eastAsia" w:ascii="新宋体" w:hAnsi="新宋体" w:eastAsia="新宋体"/>
                <w:color w:val="auto"/>
                <w:sz w:val="22"/>
                <w:highlight w:val="none"/>
              </w:rPr>
              <w:t>姓名</w:t>
            </w:r>
          </w:p>
        </w:tc>
        <w:tc>
          <w:tcPr>
            <w:tcW w:w="958" w:type="dxa"/>
            <w:vAlign w:val="center"/>
          </w:tcPr>
          <w:p>
            <w:pPr>
              <w:spacing w:line="360" w:lineRule="auto"/>
              <w:jc w:val="center"/>
              <w:rPr>
                <w:rFonts w:ascii="新宋体" w:hAnsi="新宋体" w:eastAsia="新宋体"/>
                <w:color w:val="auto"/>
                <w:sz w:val="22"/>
                <w:highlight w:val="none"/>
              </w:rPr>
            </w:pPr>
            <w:r>
              <w:rPr>
                <w:rFonts w:hint="eastAsia" w:ascii="新宋体" w:hAnsi="新宋体" w:eastAsia="新宋体"/>
                <w:color w:val="auto"/>
                <w:sz w:val="22"/>
                <w:highlight w:val="none"/>
              </w:rPr>
              <w:t>性别</w:t>
            </w:r>
          </w:p>
        </w:tc>
        <w:tc>
          <w:tcPr>
            <w:tcW w:w="767" w:type="dxa"/>
            <w:vAlign w:val="center"/>
          </w:tcPr>
          <w:p>
            <w:pPr>
              <w:spacing w:line="360" w:lineRule="auto"/>
              <w:jc w:val="center"/>
              <w:rPr>
                <w:rFonts w:ascii="新宋体" w:hAnsi="新宋体" w:eastAsia="新宋体"/>
                <w:color w:val="auto"/>
                <w:sz w:val="22"/>
                <w:highlight w:val="none"/>
              </w:rPr>
            </w:pPr>
            <w:r>
              <w:rPr>
                <w:rFonts w:hint="eastAsia" w:ascii="新宋体" w:hAnsi="新宋体" w:eastAsia="新宋体"/>
                <w:color w:val="auto"/>
                <w:sz w:val="22"/>
                <w:highlight w:val="none"/>
              </w:rPr>
              <w:t>年龄</w:t>
            </w:r>
          </w:p>
        </w:tc>
        <w:tc>
          <w:tcPr>
            <w:tcW w:w="767" w:type="dxa"/>
            <w:vAlign w:val="center"/>
          </w:tcPr>
          <w:p>
            <w:pPr>
              <w:spacing w:line="360" w:lineRule="auto"/>
              <w:jc w:val="center"/>
              <w:rPr>
                <w:rFonts w:ascii="新宋体" w:hAnsi="新宋体" w:eastAsia="新宋体"/>
                <w:color w:val="auto"/>
                <w:sz w:val="22"/>
                <w:highlight w:val="none"/>
              </w:rPr>
            </w:pPr>
            <w:r>
              <w:rPr>
                <w:rFonts w:hint="eastAsia" w:ascii="新宋体" w:hAnsi="新宋体" w:eastAsia="新宋体"/>
                <w:color w:val="auto"/>
                <w:sz w:val="22"/>
                <w:highlight w:val="none"/>
              </w:rPr>
              <w:t>学历</w:t>
            </w:r>
          </w:p>
        </w:tc>
        <w:tc>
          <w:tcPr>
            <w:tcW w:w="1340" w:type="dxa"/>
            <w:vAlign w:val="center"/>
          </w:tcPr>
          <w:p>
            <w:pPr>
              <w:spacing w:line="28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职称/职务</w:t>
            </w:r>
          </w:p>
        </w:tc>
        <w:tc>
          <w:tcPr>
            <w:tcW w:w="1326" w:type="dxa"/>
            <w:vAlign w:val="center"/>
          </w:tcPr>
          <w:p>
            <w:pPr>
              <w:spacing w:line="280" w:lineRule="exact"/>
              <w:jc w:val="center"/>
              <w:rPr>
                <w:rFonts w:ascii="新宋体" w:hAnsi="新宋体" w:eastAsia="新宋体"/>
                <w:color w:val="auto"/>
                <w:sz w:val="22"/>
                <w:highlight w:val="none"/>
              </w:rPr>
            </w:pPr>
            <w:r>
              <w:rPr>
                <w:rFonts w:hint="eastAsia" w:ascii="新宋体" w:hAnsi="新宋体" w:eastAsia="新宋体"/>
                <w:color w:val="auto"/>
                <w:highlight w:val="none"/>
              </w:rPr>
              <w:t>本工程中的岗位</w:t>
            </w:r>
          </w:p>
        </w:tc>
        <w:tc>
          <w:tcPr>
            <w:tcW w:w="1825" w:type="dxa"/>
            <w:vAlign w:val="center"/>
          </w:tcPr>
          <w:p>
            <w:pPr>
              <w:spacing w:line="360" w:lineRule="auto"/>
              <w:jc w:val="center"/>
              <w:rPr>
                <w:rFonts w:ascii="新宋体" w:hAnsi="新宋体" w:eastAsia="新宋体"/>
                <w:color w:val="auto"/>
                <w:sz w:val="22"/>
                <w:highlight w:val="none"/>
              </w:rPr>
            </w:pPr>
            <w:r>
              <w:rPr>
                <w:rFonts w:hint="eastAsia" w:ascii="新宋体" w:hAnsi="新宋体" w:eastAsia="新宋体"/>
                <w:color w:val="auto"/>
                <w:sz w:val="22"/>
                <w:highlight w:val="none"/>
              </w:rPr>
              <w:t>从事专业年限</w:t>
            </w:r>
          </w:p>
        </w:tc>
        <w:tc>
          <w:tcPr>
            <w:tcW w:w="1147" w:type="dxa"/>
            <w:vAlign w:val="center"/>
          </w:tcPr>
          <w:p>
            <w:pPr>
              <w:spacing w:line="360" w:lineRule="auto"/>
              <w:jc w:val="center"/>
              <w:rPr>
                <w:rFonts w:ascii="新宋体" w:hAnsi="新宋体" w:eastAsia="新宋体"/>
                <w:color w:val="auto"/>
                <w:sz w:val="22"/>
                <w:highlight w:val="none"/>
              </w:rPr>
            </w:pPr>
            <w:r>
              <w:rPr>
                <w:rFonts w:hint="eastAsia" w:ascii="新宋体" w:hAnsi="新宋体" w:eastAsia="新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958"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767" w:type="dxa"/>
            <w:vAlign w:val="center"/>
          </w:tcPr>
          <w:p>
            <w:pPr>
              <w:spacing w:line="360" w:lineRule="auto"/>
              <w:jc w:val="center"/>
              <w:rPr>
                <w:rFonts w:ascii="新宋体" w:hAnsi="新宋体" w:eastAsia="新宋体"/>
                <w:color w:val="auto"/>
                <w:sz w:val="22"/>
                <w:highlight w:val="none"/>
              </w:rPr>
            </w:pPr>
          </w:p>
        </w:tc>
        <w:tc>
          <w:tcPr>
            <w:tcW w:w="1340" w:type="dxa"/>
            <w:vAlign w:val="center"/>
          </w:tcPr>
          <w:p>
            <w:pPr>
              <w:spacing w:line="360" w:lineRule="auto"/>
              <w:jc w:val="center"/>
              <w:rPr>
                <w:rFonts w:ascii="新宋体" w:hAnsi="新宋体" w:eastAsia="新宋体"/>
                <w:color w:val="auto"/>
                <w:sz w:val="22"/>
                <w:highlight w:val="none"/>
              </w:rPr>
            </w:pPr>
          </w:p>
        </w:tc>
        <w:tc>
          <w:tcPr>
            <w:tcW w:w="1326" w:type="dxa"/>
            <w:vAlign w:val="center"/>
          </w:tcPr>
          <w:p>
            <w:pPr>
              <w:spacing w:line="360" w:lineRule="auto"/>
              <w:jc w:val="center"/>
              <w:rPr>
                <w:rFonts w:ascii="新宋体" w:hAnsi="新宋体" w:eastAsia="新宋体"/>
                <w:color w:val="auto"/>
                <w:sz w:val="22"/>
                <w:highlight w:val="none"/>
              </w:rPr>
            </w:pPr>
          </w:p>
        </w:tc>
        <w:tc>
          <w:tcPr>
            <w:tcW w:w="1825" w:type="dxa"/>
          </w:tcPr>
          <w:p>
            <w:pPr>
              <w:spacing w:line="360" w:lineRule="auto"/>
              <w:jc w:val="center"/>
              <w:rPr>
                <w:rFonts w:ascii="新宋体" w:hAnsi="新宋体" w:eastAsia="新宋体"/>
                <w:color w:val="auto"/>
                <w:sz w:val="22"/>
                <w:highlight w:val="none"/>
              </w:rPr>
            </w:pPr>
          </w:p>
        </w:tc>
        <w:tc>
          <w:tcPr>
            <w:tcW w:w="1147" w:type="dxa"/>
            <w:vAlign w:val="center"/>
          </w:tcPr>
          <w:p>
            <w:pPr>
              <w:spacing w:line="360" w:lineRule="auto"/>
              <w:jc w:val="center"/>
              <w:rPr>
                <w:rFonts w:ascii="新宋体" w:hAnsi="新宋体" w:eastAsia="新宋体"/>
                <w:color w:val="auto"/>
                <w:sz w:val="22"/>
                <w:highlight w:val="none"/>
              </w:rPr>
            </w:pPr>
          </w:p>
        </w:tc>
      </w:tr>
    </w:tbl>
    <w:p>
      <w:pPr>
        <w:pStyle w:val="30"/>
        <w:spacing w:line="400" w:lineRule="atLeast"/>
        <w:ind w:left="660" w:hanging="660" w:hangingChars="300"/>
        <w:rPr>
          <w:rFonts w:ascii="新宋体" w:hAnsi="新宋体" w:eastAsia="新宋体"/>
          <w:color w:val="auto"/>
          <w:sz w:val="22"/>
          <w:highlight w:val="none"/>
        </w:rPr>
      </w:pPr>
      <w:r>
        <w:rPr>
          <w:rFonts w:hint="eastAsia" w:ascii="新宋体" w:hAnsi="新宋体" w:eastAsia="新宋体"/>
          <w:color w:val="auto"/>
          <w:sz w:val="22"/>
          <w:highlight w:val="none"/>
        </w:rPr>
        <w:t>注：此表仅提供了表格形式，供应商可按此表格复制。</w:t>
      </w:r>
    </w:p>
    <w:p>
      <w:pPr>
        <w:pStyle w:val="30"/>
        <w:spacing w:line="400" w:lineRule="atLeast"/>
        <w:ind w:left="660" w:hanging="660" w:hangingChars="300"/>
        <w:rPr>
          <w:rFonts w:ascii="新宋体" w:hAnsi="新宋体" w:eastAsia="新宋体"/>
          <w:color w:val="auto"/>
          <w:sz w:val="22"/>
          <w:highlight w:val="none"/>
        </w:rPr>
      </w:pP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供应商代表（签字）：</w:t>
      </w:r>
    </w:p>
    <w:p>
      <w:pPr>
        <w:spacing w:line="380" w:lineRule="exact"/>
        <w:ind w:firstLine="4400" w:firstLineChars="2000"/>
        <w:rPr>
          <w:rFonts w:ascii="新宋体" w:hAnsi="新宋体" w:eastAsia="新宋体"/>
          <w:b/>
          <w:color w:val="auto"/>
          <w:sz w:val="22"/>
          <w:highlight w:val="none"/>
        </w:rPr>
      </w:pPr>
      <w:r>
        <w:rPr>
          <w:rFonts w:hint="eastAsia" w:ascii="新宋体" w:hAnsi="新宋体" w:eastAsia="新宋体"/>
          <w:color w:val="auto"/>
          <w:sz w:val="22"/>
          <w:szCs w:val="22"/>
          <w:highlight w:val="none"/>
        </w:rPr>
        <w:t xml:space="preserve">日期：  年   月  日 </w:t>
      </w:r>
      <w:r>
        <w:rPr>
          <w:rFonts w:hint="eastAsia" w:ascii="新宋体" w:hAnsi="新宋体" w:eastAsia="新宋体"/>
          <w:color w:val="auto"/>
          <w:sz w:val="24"/>
          <w:highlight w:val="none"/>
        </w:rPr>
        <w:t xml:space="preserve"> </w:t>
      </w:r>
    </w:p>
    <w:p>
      <w:pPr>
        <w:tabs>
          <w:tab w:val="left" w:pos="840"/>
        </w:tabs>
        <w:adjustRightInd w:val="0"/>
        <w:snapToGrid w:val="0"/>
        <w:spacing w:line="360" w:lineRule="auto"/>
        <w:jc w:val="left"/>
        <w:rPr>
          <w:rFonts w:ascii="宋体" w:hAnsi="宋体" w:cs="宋体"/>
          <w:b/>
          <w:color w:val="auto"/>
          <w:sz w:val="24"/>
          <w:highlight w:val="none"/>
        </w:rPr>
      </w:pP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br w:type="page"/>
      </w:r>
    </w:p>
    <w:p>
      <w:pPr>
        <w:spacing w:before="120" w:beforeLines="50" w:after="120" w:afterLines="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（报价标封面，供参考）</w:t>
      </w:r>
    </w:p>
    <w:p>
      <w:pPr>
        <w:rPr>
          <w:rFonts w:ascii="新宋体" w:hAnsi="新宋体" w:eastAsia="新宋体"/>
          <w:color w:val="auto"/>
          <w:highlight w:val="none"/>
        </w:rPr>
      </w:pPr>
    </w:p>
    <w:p>
      <w:pPr>
        <w:rPr>
          <w:rFonts w:ascii="新宋体" w:hAnsi="新宋体" w:eastAsia="新宋体"/>
          <w:color w:val="auto"/>
          <w:highlight w:val="none"/>
        </w:rPr>
      </w:pPr>
    </w:p>
    <w:p>
      <w:pPr>
        <w:rPr>
          <w:rFonts w:ascii="新宋体" w:hAnsi="新宋体" w:eastAsia="新宋体"/>
          <w:color w:val="auto"/>
          <w:highlight w:val="none"/>
        </w:rPr>
      </w:pPr>
    </w:p>
    <w:p>
      <w:pPr>
        <w:jc w:val="center"/>
        <w:rPr>
          <w:rFonts w:ascii="新宋体" w:hAnsi="新宋体" w:eastAsia="新宋体"/>
          <w:color w:val="auto"/>
          <w:sz w:val="28"/>
          <w:szCs w:val="28"/>
          <w:highlight w:val="none"/>
        </w:rPr>
      </w:pPr>
      <w:r>
        <w:rPr>
          <w:rFonts w:hint="eastAsia" w:ascii="新宋体" w:hAnsi="新宋体" w:eastAsia="新宋体"/>
          <w:color w:val="auto"/>
          <w:sz w:val="28"/>
          <w:szCs w:val="28"/>
          <w:highlight w:val="none"/>
          <w:u w:val="single"/>
        </w:rPr>
        <w:t xml:space="preserve">                 （项目名称）              </w:t>
      </w:r>
      <w:r>
        <w:rPr>
          <w:rFonts w:hint="eastAsia" w:ascii="新宋体" w:hAnsi="新宋体" w:eastAsia="新宋体"/>
          <w:color w:val="auto"/>
          <w:sz w:val="28"/>
          <w:szCs w:val="28"/>
          <w:highlight w:val="none"/>
        </w:rPr>
        <w:t>磋商响应文件</w:t>
      </w:r>
    </w:p>
    <w:p>
      <w:pPr>
        <w:rPr>
          <w:rFonts w:ascii="新宋体" w:hAnsi="新宋体" w:eastAsia="新宋体"/>
          <w:color w:val="auto"/>
          <w:sz w:val="28"/>
          <w:szCs w:val="28"/>
          <w:highlight w:val="none"/>
        </w:rPr>
      </w:pPr>
    </w:p>
    <w:p>
      <w:pPr>
        <w:rPr>
          <w:rFonts w:ascii="新宋体" w:hAnsi="新宋体" w:eastAsia="新宋体"/>
          <w:color w:val="auto"/>
          <w:sz w:val="28"/>
          <w:szCs w:val="28"/>
          <w:highlight w:val="none"/>
        </w:rPr>
      </w:pPr>
    </w:p>
    <w:p>
      <w:pPr>
        <w:pStyle w:val="22"/>
        <w:ind w:firstLine="281"/>
        <w:rPr>
          <w:rFonts w:ascii="新宋体" w:hAnsi="新宋体" w:eastAsia="新宋体"/>
          <w:color w:val="auto"/>
          <w:sz w:val="28"/>
          <w:szCs w:val="28"/>
          <w:highlight w:val="none"/>
        </w:rPr>
      </w:pPr>
    </w:p>
    <w:p>
      <w:pPr>
        <w:pStyle w:val="22"/>
        <w:ind w:firstLine="281"/>
        <w:rPr>
          <w:rFonts w:ascii="新宋体" w:hAnsi="新宋体" w:eastAsia="新宋体"/>
          <w:color w:val="auto"/>
          <w:sz w:val="28"/>
          <w:szCs w:val="28"/>
          <w:highlight w:val="none"/>
        </w:rPr>
      </w:pPr>
    </w:p>
    <w:p>
      <w:pPr>
        <w:rPr>
          <w:rFonts w:ascii="新宋体" w:hAnsi="新宋体" w:eastAsia="新宋体"/>
          <w:color w:val="auto"/>
          <w:sz w:val="28"/>
          <w:szCs w:val="28"/>
          <w:highlight w:val="none"/>
        </w:rPr>
      </w:pPr>
    </w:p>
    <w:p>
      <w:pPr>
        <w:rPr>
          <w:rFonts w:ascii="新宋体" w:hAnsi="新宋体" w:eastAsia="新宋体"/>
          <w:color w:val="auto"/>
          <w:sz w:val="28"/>
          <w:szCs w:val="28"/>
          <w:highlight w:val="none"/>
        </w:rPr>
      </w:pPr>
    </w:p>
    <w:p>
      <w:pPr>
        <w:jc w:val="center"/>
        <w:rPr>
          <w:rFonts w:ascii="新宋体" w:hAnsi="新宋体" w:eastAsia="新宋体"/>
          <w:color w:val="auto"/>
          <w:sz w:val="52"/>
          <w:szCs w:val="52"/>
          <w:highlight w:val="none"/>
        </w:rPr>
      </w:pPr>
      <w:r>
        <w:rPr>
          <w:rFonts w:hint="eastAsia" w:ascii="新宋体" w:hAnsi="新宋体" w:eastAsia="新宋体"/>
          <w:color w:val="auto"/>
          <w:sz w:val="52"/>
          <w:szCs w:val="52"/>
          <w:highlight w:val="none"/>
        </w:rPr>
        <w:t>报  价  标</w:t>
      </w: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spacing w:line="360" w:lineRule="auto"/>
        <w:rPr>
          <w:rFonts w:ascii="新宋体" w:hAnsi="新宋体" w:eastAsia="新宋体"/>
          <w:color w:val="auto"/>
          <w:szCs w:val="21"/>
          <w:highlight w:val="none"/>
        </w:rPr>
      </w:pPr>
    </w:p>
    <w:p>
      <w:pPr>
        <w:jc w:val="center"/>
        <w:rPr>
          <w:rFonts w:ascii="新宋体" w:hAnsi="新宋体" w:eastAsia="新宋体"/>
          <w:color w:val="auto"/>
          <w:sz w:val="28"/>
          <w:szCs w:val="28"/>
          <w:highlight w:val="none"/>
        </w:rPr>
      </w:pPr>
      <w:r>
        <w:rPr>
          <w:rFonts w:hint="eastAsia" w:ascii="新宋体" w:hAnsi="新宋体" w:eastAsia="新宋体"/>
          <w:color w:val="auto"/>
          <w:sz w:val="28"/>
          <w:szCs w:val="28"/>
          <w:highlight w:val="none"/>
        </w:rPr>
        <w:t>供应商：</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（盖单位章）</w:t>
      </w:r>
    </w:p>
    <w:p>
      <w:pPr>
        <w:rPr>
          <w:rFonts w:ascii="新宋体" w:hAnsi="新宋体" w:eastAsia="新宋体"/>
          <w:color w:val="auto"/>
          <w:sz w:val="28"/>
          <w:szCs w:val="28"/>
          <w:highlight w:val="none"/>
          <w:u w:val="single"/>
        </w:rPr>
      </w:pPr>
    </w:p>
    <w:p>
      <w:pPr>
        <w:jc w:val="center"/>
        <w:rPr>
          <w:rFonts w:ascii="新宋体" w:hAnsi="新宋体" w:eastAsia="新宋体"/>
          <w:color w:val="auto"/>
          <w:sz w:val="28"/>
          <w:szCs w:val="28"/>
          <w:highlight w:val="none"/>
        </w:rPr>
      </w:pPr>
      <w:r>
        <w:rPr>
          <w:rFonts w:hint="eastAsia" w:ascii="新宋体" w:hAnsi="新宋体" w:eastAsia="新宋体"/>
          <w:color w:val="auto"/>
          <w:sz w:val="28"/>
          <w:szCs w:val="28"/>
          <w:highlight w:val="none"/>
        </w:rPr>
        <w:t>法定代表人或其委托代理人：</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（签字或盖章）</w:t>
      </w:r>
    </w:p>
    <w:p>
      <w:pPr>
        <w:rPr>
          <w:rFonts w:ascii="新宋体" w:hAnsi="新宋体" w:eastAsia="新宋体"/>
          <w:color w:val="auto"/>
          <w:sz w:val="28"/>
          <w:szCs w:val="28"/>
          <w:highlight w:val="none"/>
        </w:rPr>
      </w:pPr>
    </w:p>
    <w:p>
      <w:pPr>
        <w:overflowPunct w:val="0"/>
        <w:spacing w:line="380" w:lineRule="exact"/>
        <w:ind w:firstLine="2738" w:firstLineChars="978"/>
        <w:rPr>
          <w:rFonts w:ascii="新宋体" w:hAnsi="新宋体" w:eastAsia="新宋体"/>
          <w:color w:val="auto"/>
          <w:sz w:val="28"/>
          <w:szCs w:val="28"/>
          <w:highlight w:val="none"/>
        </w:rPr>
      </w:pP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年</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月</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日</w:t>
      </w:r>
    </w:p>
    <w:p>
      <w:pPr>
        <w:overflowPunct w:val="0"/>
        <w:spacing w:line="380" w:lineRule="exact"/>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br w:type="page"/>
      </w:r>
      <w:r>
        <w:rPr>
          <w:rFonts w:hint="eastAsia" w:ascii="新宋体" w:hAnsi="新宋体" w:eastAsia="新宋体"/>
          <w:b/>
          <w:bCs/>
          <w:color w:val="auto"/>
          <w:sz w:val="22"/>
          <w:szCs w:val="22"/>
          <w:highlight w:val="none"/>
        </w:rPr>
        <w:t>附件一</w:t>
      </w:r>
    </w:p>
    <w:p>
      <w:pPr>
        <w:autoSpaceDE w:val="0"/>
        <w:autoSpaceDN w:val="0"/>
        <w:adjustRightInd w:val="0"/>
        <w:spacing w:line="460" w:lineRule="atLeast"/>
        <w:jc w:val="center"/>
        <w:rPr>
          <w:rFonts w:ascii="新宋体" w:hAnsi="新宋体" w:eastAsia="新宋体"/>
          <w:b/>
          <w:bCs/>
          <w:color w:val="auto"/>
          <w:kern w:val="0"/>
          <w:sz w:val="28"/>
          <w:szCs w:val="28"/>
          <w:highlight w:val="none"/>
          <w:lang w:val="zh-CN"/>
        </w:rPr>
      </w:pPr>
    </w:p>
    <w:p>
      <w:pPr>
        <w:autoSpaceDE w:val="0"/>
        <w:autoSpaceDN w:val="0"/>
        <w:adjustRightInd w:val="0"/>
        <w:spacing w:line="460" w:lineRule="atLeast"/>
        <w:jc w:val="center"/>
        <w:rPr>
          <w:rFonts w:ascii="新宋体" w:hAnsi="新宋体" w:eastAsia="新宋体"/>
          <w:b/>
          <w:bCs/>
          <w:color w:val="auto"/>
          <w:kern w:val="0"/>
          <w:sz w:val="28"/>
          <w:szCs w:val="28"/>
          <w:highlight w:val="none"/>
          <w:lang w:val="zh-CN"/>
        </w:rPr>
      </w:pPr>
      <w:r>
        <w:rPr>
          <w:rFonts w:hint="eastAsia" w:ascii="新宋体" w:hAnsi="新宋体" w:eastAsia="新宋体"/>
          <w:b/>
          <w:bCs/>
          <w:color w:val="auto"/>
          <w:kern w:val="0"/>
          <w:sz w:val="28"/>
          <w:szCs w:val="28"/>
          <w:highlight w:val="none"/>
          <w:lang w:val="zh-CN"/>
        </w:rPr>
        <w:t>开标一览表</w:t>
      </w:r>
    </w:p>
    <w:p>
      <w:pPr>
        <w:overflowPunct w:val="0"/>
        <w:spacing w:line="380" w:lineRule="exact"/>
        <w:jc w:val="both"/>
        <w:rPr>
          <w:rFonts w:ascii="宋体" w:hAnsi="宋体" w:cs="宋体"/>
          <w:b/>
          <w:bCs/>
          <w:color w:val="auto"/>
          <w:sz w:val="28"/>
          <w:highlight w:val="none"/>
        </w:rPr>
      </w:pPr>
    </w:p>
    <w:p>
      <w:pPr>
        <w:overflowPunct w:val="0"/>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noWrap/>
            <w:vAlign w:val="center"/>
          </w:tcPr>
          <w:p>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投标报价</w:t>
            </w:r>
            <w:r>
              <w:rPr>
                <w:rFonts w:hint="eastAsia" w:ascii="宋体" w:hAnsi="宋体" w:cs="宋体"/>
                <w:b/>
                <w:bCs/>
                <w:color w:val="auto"/>
                <w:kern w:val="0"/>
                <w:sz w:val="22"/>
                <w:szCs w:val="22"/>
                <w:highlight w:val="none"/>
              </w:rPr>
              <w:t>（大写）：</w:t>
            </w:r>
          </w:p>
          <w:p>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p>
          <w:p>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（小写）¥</w:t>
            </w:r>
          </w:p>
        </w:tc>
      </w:tr>
    </w:tbl>
    <w:p>
      <w:pPr>
        <w:overflowPunct w:val="0"/>
        <w:spacing w:line="380" w:lineRule="exact"/>
        <w:rPr>
          <w:rFonts w:ascii="宋体" w:hAnsi="宋体" w:cs="宋体"/>
          <w:bCs/>
          <w:color w:val="auto"/>
          <w:sz w:val="22"/>
          <w:szCs w:val="22"/>
          <w:highlight w:val="none"/>
        </w:rPr>
      </w:pPr>
    </w:p>
    <w:p>
      <w:pPr>
        <w:overflowPunct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说明：</w:t>
      </w:r>
    </w:p>
    <w:p>
      <w:pPr>
        <w:overflowPunct w:val="0"/>
        <w:spacing w:line="460" w:lineRule="exact"/>
        <w:rPr>
          <w:rFonts w:ascii="宋体" w:hAnsi="宋体" w:cs="仿宋_GB2312"/>
          <w:bCs/>
          <w:color w:val="auto"/>
          <w:sz w:val="22"/>
          <w:highlight w:val="none"/>
        </w:rPr>
      </w:pPr>
      <w:r>
        <w:rPr>
          <w:rFonts w:hint="eastAsia" w:ascii="宋体" w:hAnsi="宋体" w:cs="宋体"/>
          <w:color w:val="auto"/>
          <w:sz w:val="22"/>
          <w:szCs w:val="22"/>
          <w:highlight w:val="none"/>
          <w:lang w:val="en-US" w:eastAsia="zh-CN"/>
        </w:rPr>
        <w:t>1.</w:t>
      </w:r>
      <w:r>
        <w:rPr>
          <w:rFonts w:hint="eastAsia" w:ascii="宋体" w:hAnsi="宋体" w:cs="仿宋_GB2312"/>
          <w:bCs/>
          <w:color w:val="auto"/>
          <w:sz w:val="22"/>
          <w:highlight w:val="none"/>
          <w:lang w:val="en-US" w:eastAsia="zh-CN"/>
        </w:rPr>
        <w:t>投标</w:t>
      </w:r>
      <w:r>
        <w:rPr>
          <w:rFonts w:ascii="宋体" w:hAnsi="宋体" w:cs="仿宋_GB2312"/>
          <w:bCs/>
          <w:color w:val="auto"/>
          <w:sz w:val="22"/>
          <w:highlight w:val="none"/>
        </w:rPr>
        <w:t>报价应与《</w:t>
      </w:r>
      <w:r>
        <w:rPr>
          <w:rFonts w:hint="eastAsia" w:ascii="宋体" w:hAnsi="宋体" w:cs="仿宋_GB2312"/>
          <w:bCs/>
          <w:color w:val="auto"/>
          <w:sz w:val="22"/>
          <w:highlight w:val="none"/>
          <w:lang w:val="en-US" w:eastAsia="zh-CN"/>
        </w:rPr>
        <w:t>分项报价表</w:t>
      </w:r>
      <w:r>
        <w:rPr>
          <w:rFonts w:ascii="宋体" w:hAnsi="宋体" w:cs="仿宋_GB2312"/>
          <w:bCs/>
          <w:color w:val="auto"/>
          <w:sz w:val="22"/>
          <w:highlight w:val="none"/>
        </w:rPr>
        <w:t>》中</w:t>
      </w:r>
      <w:r>
        <w:rPr>
          <w:rFonts w:hint="eastAsia" w:ascii="宋体" w:hAnsi="宋体" w:cs="仿宋_GB2312"/>
          <w:bCs/>
          <w:color w:val="auto"/>
          <w:sz w:val="22"/>
          <w:highlight w:val="none"/>
          <w:lang w:val="en-US" w:eastAsia="zh-CN"/>
        </w:rPr>
        <w:t>合计报价</w:t>
      </w:r>
      <w:r>
        <w:rPr>
          <w:rFonts w:ascii="宋体" w:hAnsi="宋体" w:cs="仿宋_GB2312"/>
          <w:bCs/>
          <w:color w:val="auto"/>
          <w:sz w:val="22"/>
          <w:highlight w:val="none"/>
        </w:rPr>
        <w:t>相一致。</w:t>
      </w:r>
    </w:p>
    <w:p>
      <w:pPr>
        <w:autoSpaceDE w:val="0"/>
        <w:autoSpaceDN w:val="0"/>
        <w:adjustRightInd w:val="0"/>
        <w:spacing w:line="400" w:lineRule="atLeast"/>
        <w:rPr>
          <w:rFonts w:ascii="新宋体" w:hAnsi="新宋体" w:eastAsia="新宋体"/>
          <w:b/>
          <w:bCs/>
          <w:color w:val="auto"/>
          <w:kern w:val="0"/>
          <w:sz w:val="22"/>
          <w:szCs w:val="22"/>
          <w:highlight w:val="none"/>
          <w:u w:val="wave"/>
          <w:lang w:val="zh-CN"/>
        </w:rPr>
      </w:pPr>
      <w:r>
        <w:rPr>
          <w:rFonts w:hint="eastAsia" w:ascii="新宋体" w:hAnsi="新宋体" w:eastAsia="新宋体"/>
          <w:b/>
          <w:bCs/>
          <w:color w:val="auto"/>
          <w:kern w:val="0"/>
          <w:sz w:val="22"/>
          <w:szCs w:val="22"/>
          <w:highlight w:val="none"/>
          <w:lang w:val="zh-CN"/>
        </w:rPr>
        <w:t>2.</w:t>
      </w:r>
      <w:r>
        <w:rPr>
          <w:rFonts w:hint="eastAsia" w:ascii="新宋体" w:hAnsi="新宋体" w:eastAsia="新宋体"/>
          <w:b/>
          <w:bCs/>
          <w:color w:val="auto"/>
          <w:kern w:val="0"/>
          <w:sz w:val="22"/>
          <w:szCs w:val="22"/>
          <w:highlight w:val="none"/>
          <w:u w:val="single"/>
          <w:lang w:val="zh-CN"/>
        </w:rPr>
        <w:t>不提供此表格</w:t>
      </w:r>
      <w:r>
        <w:rPr>
          <w:rFonts w:hint="eastAsia" w:ascii="新宋体" w:hAnsi="新宋体" w:eastAsia="新宋体"/>
          <w:b/>
          <w:color w:val="auto"/>
          <w:sz w:val="22"/>
          <w:szCs w:val="22"/>
          <w:highlight w:val="none"/>
          <w:u w:val="single"/>
        </w:rPr>
        <w:t>的</w:t>
      </w:r>
      <w:r>
        <w:rPr>
          <w:rFonts w:hint="eastAsia" w:ascii="新宋体" w:hAnsi="新宋体" w:eastAsia="新宋体"/>
          <w:b/>
          <w:color w:val="auto"/>
          <w:sz w:val="22"/>
          <w:szCs w:val="22"/>
          <w:highlight w:val="none"/>
          <w:u w:val="single"/>
          <w:lang w:val="en-US" w:eastAsia="zh-CN"/>
        </w:rPr>
        <w:t>投标</w:t>
      </w:r>
      <w:r>
        <w:rPr>
          <w:rFonts w:hint="eastAsia" w:ascii="新宋体" w:hAnsi="新宋体" w:eastAsia="新宋体"/>
          <w:b/>
          <w:color w:val="auto"/>
          <w:sz w:val="22"/>
          <w:szCs w:val="22"/>
          <w:highlight w:val="none"/>
          <w:u w:val="single"/>
        </w:rPr>
        <w:t>响应文件将被视为未实质性响应</w:t>
      </w:r>
      <w:r>
        <w:rPr>
          <w:rFonts w:hint="eastAsia" w:ascii="新宋体" w:hAnsi="新宋体" w:eastAsia="新宋体"/>
          <w:b/>
          <w:color w:val="auto"/>
          <w:sz w:val="22"/>
          <w:szCs w:val="22"/>
          <w:highlight w:val="none"/>
          <w:u w:val="single"/>
          <w:lang w:val="en-US" w:eastAsia="zh-CN"/>
        </w:rPr>
        <w:t>采购</w:t>
      </w:r>
      <w:r>
        <w:rPr>
          <w:rFonts w:hint="eastAsia" w:ascii="新宋体" w:hAnsi="新宋体" w:eastAsia="新宋体"/>
          <w:b/>
          <w:color w:val="auto"/>
          <w:sz w:val="22"/>
          <w:szCs w:val="22"/>
          <w:highlight w:val="none"/>
          <w:u w:val="single"/>
        </w:rPr>
        <w:t>文件。</w:t>
      </w:r>
    </w:p>
    <w:p>
      <w:pPr>
        <w:pStyle w:val="22"/>
        <w:rPr>
          <w:highlight w:val="none"/>
        </w:rPr>
      </w:pPr>
    </w:p>
    <w:p>
      <w:pPr>
        <w:overflowPunct w:val="0"/>
        <w:spacing w:line="460" w:lineRule="exact"/>
        <w:rPr>
          <w:rFonts w:ascii="宋体" w:hAnsi="宋体" w:cs="宋体"/>
          <w:color w:val="auto"/>
          <w:sz w:val="22"/>
          <w:szCs w:val="22"/>
          <w:highlight w:val="none"/>
        </w:rPr>
      </w:pP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pPr>
        <w:overflowPunct w:val="0"/>
        <w:spacing w:line="460" w:lineRule="exact"/>
        <w:rPr>
          <w:rFonts w:ascii="宋体" w:hAnsi="宋体" w:cs="宋体"/>
          <w:color w:val="auto"/>
          <w:sz w:val="22"/>
          <w:szCs w:val="22"/>
          <w:highlight w:val="none"/>
        </w:rPr>
      </w:pPr>
    </w:p>
    <w:p>
      <w:pPr>
        <w:overflowPunct w:val="0"/>
        <w:spacing w:line="380" w:lineRule="exact"/>
        <w:ind w:firstLine="9460" w:firstLineChars="4300"/>
        <w:rPr>
          <w:rFonts w:ascii="宋体" w:hAnsi="宋体" w:cs="宋体"/>
          <w:color w:val="auto"/>
          <w:sz w:val="22"/>
          <w:szCs w:val="22"/>
          <w:highlight w:val="none"/>
        </w:rPr>
      </w:pPr>
    </w:p>
    <w:p>
      <w:pPr>
        <w:pStyle w:val="22"/>
        <w:rPr>
          <w:rFonts w:ascii="宋体" w:hAnsi="宋体" w:cs="宋体"/>
          <w:color w:val="auto"/>
          <w:sz w:val="22"/>
          <w:szCs w:val="22"/>
          <w:highlight w:val="none"/>
        </w:rPr>
      </w:pPr>
    </w:p>
    <w:p>
      <w:pPr>
        <w:pStyle w:val="23"/>
        <w:rPr>
          <w:rFonts w:ascii="宋体" w:hAnsi="宋体" w:cs="宋体"/>
          <w:color w:val="auto"/>
          <w:sz w:val="22"/>
          <w:szCs w:val="22"/>
          <w:highlight w:val="none"/>
        </w:rPr>
      </w:pPr>
    </w:p>
    <w:p>
      <w:pPr>
        <w:rPr>
          <w:rFonts w:ascii="宋体" w:hAnsi="宋体" w:cs="宋体"/>
          <w:color w:val="auto"/>
          <w:sz w:val="22"/>
          <w:szCs w:val="22"/>
          <w:highlight w:val="none"/>
        </w:rPr>
      </w:pPr>
    </w:p>
    <w:p>
      <w:pPr>
        <w:pStyle w:val="22"/>
        <w:rPr>
          <w:rFonts w:ascii="宋体" w:hAnsi="宋体" w:cs="宋体"/>
          <w:color w:val="auto"/>
          <w:sz w:val="22"/>
          <w:szCs w:val="22"/>
          <w:highlight w:val="none"/>
        </w:rPr>
      </w:pPr>
    </w:p>
    <w:p>
      <w:pPr>
        <w:pStyle w:val="23"/>
        <w:rPr>
          <w:rFonts w:ascii="宋体" w:hAnsi="宋体" w:cs="宋体"/>
          <w:color w:val="auto"/>
          <w:sz w:val="22"/>
          <w:szCs w:val="22"/>
          <w:highlight w:val="none"/>
        </w:rPr>
      </w:pPr>
    </w:p>
    <w:p>
      <w:pPr>
        <w:rPr>
          <w:rFonts w:ascii="宋体" w:hAnsi="宋体" w:cs="宋体"/>
          <w:color w:val="auto"/>
          <w:sz w:val="22"/>
          <w:szCs w:val="22"/>
          <w:highlight w:val="none"/>
        </w:rPr>
      </w:pPr>
    </w:p>
    <w:p>
      <w:pPr>
        <w:pStyle w:val="22"/>
        <w:rPr>
          <w:rFonts w:ascii="宋体" w:hAnsi="宋体" w:cs="宋体"/>
          <w:color w:val="auto"/>
          <w:sz w:val="22"/>
          <w:szCs w:val="22"/>
          <w:highlight w:val="none"/>
        </w:rPr>
      </w:pPr>
    </w:p>
    <w:p>
      <w:pPr>
        <w:pStyle w:val="23"/>
        <w:rPr>
          <w:rFonts w:ascii="宋体" w:hAnsi="宋体" w:cs="宋体"/>
          <w:color w:val="auto"/>
          <w:sz w:val="22"/>
          <w:szCs w:val="22"/>
          <w:highlight w:val="none"/>
        </w:rPr>
      </w:pPr>
    </w:p>
    <w:p>
      <w:pPr>
        <w:rPr>
          <w:rFonts w:ascii="宋体" w:hAnsi="宋体" w:cs="宋体"/>
          <w:color w:val="auto"/>
          <w:sz w:val="22"/>
          <w:szCs w:val="22"/>
          <w:highlight w:val="none"/>
        </w:rPr>
      </w:pPr>
    </w:p>
    <w:p>
      <w:pPr>
        <w:pStyle w:val="22"/>
        <w:rPr>
          <w:rFonts w:ascii="宋体" w:hAnsi="宋体" w:cs="宋体"/>
          <w:color w:val="auto"/>
          <w:sz w:val="22"/>
          <w:szCs w:val="22"/>
          <w:highlight w:val="none"/>
        </w:rPr>
      </w:pPr>
    </w:p>
    <w:p>
      <w:pPr>
        <w:pStyle w:val="23"/>
        <w:rPr>
          <w:rFonts w:ascii="宋体" w:hAnsi="宋体" w:cs="宋体"/>
          <w:color w:val="auto"/>
          <w:sz w:val="22"/>
          <w:szCs w:val="22"/>
          <w:highlight w:val="none"/>
        </w:rPr>
      </w:pPr>
    </w:p>
    <w:p>
      <w:pPr>
        <w:rPr>
          <w:rFonts w:ascii="宋体" w:hAnsi="宋体" w:cs="宋体"/>
          <w:color w:val="auto"/>
          <w:sz w:val="22"/>
          <w:szCs w:val="22"/>
          <w:highlight w:val="none"/>
        </w:rPr>
      </w:pPr>
    </w:p>
    <w:p>
      <w:pPr>
        <w:pStyle w:val="22"/>
        <w:rPr>
          <w:rFonts w:ascii="宋体" w:hAnsi="宋体" w:cs="宋体"/>
          <w:color w:val="auto"/>
          <w:sz w:val="22"/>
          <w:szCs w:val="22"/>
          <w:highlight w:val="none"/>
        </w:rPr>
      </w:pPr>
    </w:p>
    <w:p>
      <w:pPr>
        <w:pStyle w:val="23"/>
        <w:rPr>
          <w:rFonts w:ascii="宋体" w:hAnsi="宋体" w:cs="宋体"/>
          <w:color w:val="auto"/>
          <w:sz w:val="22"/>
          <w:szCs w:val="22"/>
          <w:highlight w:val="none"/>
        </w:rPr>
      </w:pPr>
    </w:p>
    <w:p>
      <w:pPr>
        <w:rPr>
          <w:rFonts w:ascii="宋体" w:hAnsi="宋体" w:cs="宋体"/>
          <w:color w:val="auto"/>
          <w:sz w:val="22"/>
          <w:szCs w:val="22"/>
          <w:highlight w:val="none"/>
        </w:rPr>
      </w:pPr>
    </w:p>
    <w:p>
      <w:pPr>
        <w:pStyle w:val="23"/>
        <w:ind w:left="0" w:leftChars="0" w:firstLine="0" w:firstLineChars="0"/>
        <w:rPr>
          <w:rFonts w:ascii="宋体" w:hAnsi="宋体" w:cs="宋体"/>
          <w:color w:val="auto"/>
          <w:sz w:val="22"/>
          <w:szCs w:val="22"/>
          <w:highlight w:val="none"/>
        </w:rPr>
      </w:pPr>
    </w:p>
    <w:p>
      <w:pPr>
        <w:rPr>
          <w:highlight w:val="none"/>
        </w:rPr>
      </w:pPr>
    </w:p>
    <w:p>
      <w:pPr>
        <w:spacing w:line="460" w:lineRule="atLeast"/>
        <w:jc w:val="center"/>
        <w:rPr>
          <w:rFonts w:hint="eastAsia" w:ascii="宋体"/>
          <w:b/>
          <w:color w:val="auto"/>
          <w:sz w:val="36"/>
          <w:szCs w:val="36"/>
          <w:highlight w:val="none"/>
          <w:lang w:val="zh-CN"/>
        </w:rPr>
      </w:pPr>
      <w:r>
        <w:rPr>
          <w:rFonts w:hint="eastAsia" w:ascii="宋体"/>
          <w:b/>
          <w:color w:val="auto"/>
          <w:sz w:val="36"/>
          <w:szCs w:val="36"/>
          <w:highlight w:val="none"/>
          <w:lang w:val="zh-CN"/>
        </w:rPr>
        <w:t>分项报价表</w:t>
      </w:r>
    </w:p>
    <w:p>
      <w:pPr>
        <w:spacing w:line="460" w:lineRule="atLeast"/>
        <w:jc w:val="right"/>
        <w:rPr>
          <w:rFonts w:hint="eastAsia" w:ascii="宋体"/>
          <w:color w:val="auto"/>
          <w:sz w:val="32"/>
          <w:highlight w:val="none"/>
        </w:rPr>
      </w:pPr>
      <w:r>
        <w:rPr>
          <w:rFonts w:hint="eastAsia" w:ascii="宋体"/>
          <w:color w:val="auto"/>
          <w:sz w:val="22"/>
          <w:szCs w:val="22"/>
          <w:highlight w:val="none"/>
          <w:lang w:val="zh-CN"/>
        </w:rPr>
        <w:t>项目名称：</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项目编号：</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w:t>
      </w:r>
      <w:r>
        <w:rPr>
          <w:rFonts w:hint="eastAsia" w:ascii="宋体"/>
          <w:color w:val="auto"/>
          <w:sz w:val="22"/>
          <w:szCs w:val="22"/>
          <w:highlight w:val="none"/>
        </w:rPr>
        <w:t>（价格单位：元）</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217"/>
        <w:gridCol w:w="1938"/>
        <w:gridCol w:w="231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609" w:type="dxa"/>
            <w:noWrap w:val="0"/>
            <w:vAlign w:val="center"/>
          </w:tcPr>
          <w:p>
            <w:pPr>
              <w:pStyle w:val="24"/>
              <w:spacing w:line="340" w:lineRule="exact"/>
              <w:ind w:firstLine="0"/>
              <w:rPr>
                <w:rFonts w:ascii="宋体" w:hAnsi="宋体" w:eastAsia="宋体" w:cs="仿宋_GB2312"/>
                <w:b w:val="0"/>
                <w:color w:val="auto"/>
                <w:sz w:val="22"/>
                <w:highlight w:val="none"/>
              </w:rPr>
            </w:pPr>
            <w:r>
              <w:rPr>
                <w:rFonts w:hint="eastAsia" w:ascii="宋体" w:hAnsi="宋体" w:eastAsia="宋体" w:cs="仿宋_GB2312"/>
                <w:b w:val="0"/>
                <w:color w:val="auto"/>
                <w:sz w:val="22"/>
                <w:highlight w:val="none"/>
              </w:rPr>
              <w:t>序号</w:t>
            </w:r>
          </w:p>
        </w:tc>
        <w:tc>
          <w:tcPr>
            <w:tcW w:w="2217" w:type="dxa"/>
            <w:noWrap w:val="0"/>
            <w:vAlign w:val="center"/>
          </w:tcPr>
          <w:p>
            <w:pPr>
              <w:widowControl/>
              <w:spacing w:line="460" w:lineRule="exact"/>
              <w:jc w:val="center"/>
              <w:textAlignment w:val="center"/>
              <w:rPr>
                <w:rFonts w:ascii="宋体" w:hAnsi="宋体" w:cs="仿宋_GB2312"/>
                <w:bCs/>
                <w:color w:val="auto"/>
                <w:sz w:val="22"/>
                <w:highlight w:val="none"/>
              </w:rPr>
            </w:pPr>
            <w:r>
              <w:rPr>
                <w:rFonts w:hint="eastAsia" w:ascii="宋体" w:hAnsi="宋体" w:cs="仿宋_GB2312"/>
                <w:bCs/>
                <w:color w:val="auto"/>
                <w:sz w:val="22"/>
                <w:highlight w:val="none"/>
              </w:rPr>
              <w:t>工作内容</w:t>
            </w:r>
          </w:p>
        </w:tc>
        <w:tc>
          <w:tcPr>
            <w:tcW w:w="1938" w:type="dxa"/>
            <w:noWrap w:val="0"/>
            <w:vAlign w:val="center"/>
          </w:tcPr>
          <w:p>
            <w:pPr>
              <w:widowControl/>
              <w:spacing w:line="460" w:lineRule="exact"/>
              <w:jc w:val="center"/>
              <w:textAlignment w:val="center"/>
              <w:rPr>
                <w:rFonts w:hint="eastAsia" w:ascii="宋体" w:hAnsi="宋体" w:eastAsia="宋体" w:cs="仿宋_GB2312"/>
                <w:bCs/>
                <w:color w:val="auto"/>
                <w:sz w:val="22"/>
                <w:highlight w:val="none"/>
                <w:lang w:eastAsia="zh-CN"/>
              </w:rPr>
            </w:pPr>
            <w:r>
              <w:rPr>
                <w:rFonts w:hint="eastAsia" w:ascii="宋体" w:hAnsi="宋体" w:cs="仿宋_GB2312"/>
                <w:bCs/>
                <w:color w:val="auto"/>
                <w:sz w:val="22"/>
                <w:highlight w:val="none"/>
                <w:lang w:val="en-US" w:eastAsia="zh-CN"/>
              </w:rPr>
              <w:t>数量</w:t>
            </w:r>
          </w:p>
        </w:tc>
        <w:tc>
          <w:tcPr>
            <w:tcW w:w="2310" w:type="dxa"/>
            <w:noWrap w:val="0"/>
            <w:vAlign w:val="center"/>
          </w:tcPr>
          <w:p>
            <w:pPr>
              <w:pStyle w:val="24"/>
              <w:spacing w:line="340" w:lineRule="exact"/>
              <w:ind w:firstLine="0"/>
              <w:jc w:val="center"/>
              <w:rPr>
                <w:rFonts w:hint="eastAsia" w:ascii="宋体" w:hAnsi="宋体" w:eastAsia="宋体" w:cs="仿宋_GB2312"/>
                <w:b w:val="0"/>
                <w:color w:val="auto"/>
                <w:sz w:val="22"/>
                <w:highlight w:val="none"/>
                <w:lang w:eastAsia="zh-CN"/>
              </w:rPr>
            </w:pPr>
            <w:r>
              <w:rPr>
                <w:rFonts w:hint="eastAsia" w:cs="仿宋_GB2312"/>
                <w:b w:val="0"/>
                <w:color w:val="auto"/>
                <w:sz w:val="22"/>
                <w:highlight w:val="none"/>
                <w:lang w:val="en-US" w:eastAsia="zh-CN"/>
              </w:rPr>
              <w:t>报价（元）</w:t>
            </w:r>
          </w:p>
        </w:tc>
        <w:tc>
          <w:tcPr>
            <w:tcW w:w="2542" w:type="dxa"/>
            <w:noWrap w:val="0"/>
            <w:vAlign w:val="center"/>
          </w:tcPr>
          <w:p>
            <w:pPr>
              <w:pStyle w:val="24"/>
              <w:spacing w:line="340" w:lineRule="exact"/>
              <w:ind w:firstLine="0"/>
              <w:rPr>
                <w:rFonts w:hint="eastAsia" w:ascii="宋体" w:hAnsi="宋体" w:eastAsia="宋体" w:cs="仿宋_GB2312"/>
                <w:b w:val="0"/>
                <w:color w:val="auto"/>
                <w:sz w:val="22"/>
                <w:highlight w:val="none"/>
              </w:rPr>
            </w:pPr>
            <w:r>
              <w:rPr>
                <w:rFonts w:hint="eastAsia" w:ascii="宋体" w:hAnsi="宋体" w:eastAsia="宋体" w:cs="仿宋_GB2312"/>
                <w:b w:val="0"/>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exact"/>
          <w:jc w:val="center"/>
        </w:trPr>
        <w:tc>
          <w:tcPr>
            <w:tcW w:w="609" w:type="dxa"/>
            <w:noWrap w:val="0"/>
            <w:vAlign w:val="center"/>
          </w:tcPr>
          <w:p>
            <w:pPr>
              <w:pStyle w:val="24"/>
              <w:spacing w:line="340" w:lineRule="exact"/>
              <w:ind w:firstLine="0"/>
              <w:rPr>
                <w:rFonts w:ascii="宋体" w:hAnsi="宋体" w:eastAsia="宋体" w:cs="仿宋_GB2312"/>
                <w:b w:val="0"/>
                <w:color w:val="auto"/>
                <w:sz w:val="22"/>
                <w:highlight w:val="none"/>
              </w:rPr>
            </w:pPr>
            <w:r>
              <w:rPr>
                <w:rFonts w:hint="eastAsia" w:ascii="宋体" w:hAnsi="宋体" w:eastAsia="宋体" w:cs="仿宋_GB2312"/>
                <w:b w:val="0"/>
                <w:color w:val="auto"/>
                <w:sz w:val="22"/>
                <w:highlight w:val="none"/>
              </w:rPr>
              <w:t>1</w:t>
            </w:r>
          </w:p>
        </w:tc>
        <w:tc>
          <w:tcPr>
            <w:tcW w:w="2217" w:type="dxa"/>
            <w:noWrap w:val="0"/>
            <w:vAlign w:val="center"/>
          </w:tcPr>
          <w:p>
            <w:pPr>
              <w:spacing w:line="460" w:lineRule="exact"/>
              <w:jc w:val="center"/>
              <w:rPr>
                <w:rFonts w:hint="eastAsia" w:ascii="宋体" w:hAnsi="宋体" w:eastAsia="宋体" w:cs="仿宋_GB2312"/>
                <w:bCs/>
                <w:color w:val="auto"/>
                <w:sz w:val="22"/>
                <w:highlight w:val="none"/>
                <w:lang w:eastAsia="zh-CN"/>
              </w:rPr>
            </w:pPr>
            <w:r>
              <w:rPr>
                <w:rFonts w:hint="eastAsia" w:ascii="宋体" w:hAnsi="宋体" w:cs="仿宋_GB2312"/>
                <w:bCs/>
                <w:color w:val="auto"/>
                <w:sz w:val="22"/>
                <w:highlight w:val="none"/>
                <w:lang w:eastAsia="zh-CN"/>
              </w:rPr>
              <w:t>嘉宾专家费</w:t>
            </w:r>
          </w:p>
        </w:tc>
        <w:tc>
          <w:tcPr>
            <w:tcW w:w="1938" w:type="dxa"/>
            <w:noWrap w:val="0"/>
            <w:vAlign w:val="center"/>
          </w:tcPr>
          <w:p>
            <w:pPr>
              <w:spacing w:line="460" w:lineRule="exact"/>
              <w:jc w:val="center"/>
              <w:rPr>
                <w:rFonts w:ascii="宋体" w:hAnsi="宋体" w:cs="仿宋_GB2312"/>
                <w:bCs/>
                <w:color w:val="auto"/>
                <w:sz w:val="22"/>
                <w:highlight w:val="none"/>
              </w:rPr>
            </w:pPr>
            <w:r>
              <w:rPr>
                <w:rFonts w:hint="eastAsia" w:ascii="宋体" w:hAnsi="宋体" w:cs="仿宋_GB2312"/>
                <w:bCs/>
                <w:color w:val="auto"/>
                <w:sz w:val="22"/>
                <w:highlight w:val="none"/>
              </w:rPr>
              <w:t>1项</w:t>
            </w:r>
          </w:p>
        </w:tc>
        <w:tc>
          <w:tcPr>
            <w:tcW w:w="2310" w:type="dxa"/>
            <w:noWrap w:val="0"/>
            <w:vAlign w:val="center"/>
          </w:tcPr>
          <w:p>
            <w:pPr>
              <w:pStyle w:val="24"/>
              <w:spacing w:line="340" w:lineRule="exact"/>
              <w:ind w:left="0" w:leftChars="0" w:right="263" w:rightChars="125" w:firstLine="0" w:firstLineChars="0"/>
              <w:jc w:val="center"/>
              <w:rPr>
                <w:rFonts w:hint="default" w:ascii="宋体" w:hAnsi="宋体" w:eastAsia="宋体" w:cs="仿宋_GB2312"/>
                <w:b w:val="0"/>
                <w:color w:val="auto"/>
                <w:sz w:val="22"/>
                <w:highlight w:val="none"/>
                <w:lang w:val="en-US" w:eastAsia="zh-CN"/>
              </w:rPr>
            </w:pPr>
            <w:r>
              <w:rPr>
                <w:rFonts w:hint="eastAsia" w:cs="仿宋_GB2312"/>
                <w:b w:val="0"/>
                <w:color w:val="auto"/>
                <w:sz w:val="22"/>
                <w:highlight w:val="none"/>
                <w:lang w:val="en-US" w:eastAsia="zh-CN"/>
              </w:rPr>
              <w:t>450000.00</w:t>
            </w:r>
          </w:p>
        </w:tc>
        <w:tc>
          <w:tcPr>
            <w:tcW w:w="2542" w:type="dxa"/>
            <w:noWrap w:val="0"/>
            <w:vAlign w:val="center"/>
          </w:tcPr>
          <w:p>
            <w:pPr>
              <w:pStyle w:val="24"/>
              <w:spacing w:line="340" w:lineRule="exact"/>
              <w:ind w:left="0" w:leftChars="0" w:right="263" w:rightChars="125" w:firstLine="0" w:firstLineChars="0"/>
              <w:jc w:val="both"/>
              <w:rPr>
                <w:rFonts w:hint="default" w:ascii="宋体" w:hAnsi="宋体" w:eastAsia="宋体" w:cs="仿宋_GB2312"/>
                <w:b w:val="0"/>
                <w:color w:val="auto"/>
                <w:sz w:val="22"/>
                <w:highlight w:val="none"/>
                <w:lang w:val="en-US" w:eastAsia="zh-CN"/>
              </w:rPr>
            </w:pPr>
            <w:r>
              <w:rPr>
                <w:rFonts w:hint="eastAsia" w:cs="仿宋_GB2312"/>
                <w:b w:val="0"/>
                <w:color w:val="auto"/>
                <w:sz w:val="22"/>
                <w:highlight w:val="none"/>
                <w:lang w:val="en-US" w:eastAsia="zh-CN"/>
              </w:rPr>
              <w:t>最终按实际结算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exact"/>
          <w:jc w:val="center"/>
        </w:trPr>
        <w:tc>
          <w:tcPr>
            <w:tcW w:w="609" w:type="dxa"/>
            <w:noWrap w:val="0"/>
            <w:vAlign w:val="center"/>
          </w:tcPr>
          <w:p>
            <w:pPr>
              <w:pStyle w:val="24"/>
              <w:spacing w:line="340" w:lineRule="exact"/>
              <w:ind w:firstLine="0"/>
              <w:rPr>
                <w:rFonts w:ascii="宋体" w:hAnsi="宋体" w:eastAsia="宋体" w:cs="仿宋_GB2312"/>
                <w:b w:val="0"/>
                <w:color w:val="auto"/>
                <w:sz w:val="22"/>
                <w:highlight w:val="none"/>
              </w:rPr>
            </w:pPr>
            <w:r>
              <w:rPr>
                <w:rFonts w:hint="eastAsia" w:ascii="宋体" w:hAnsi="宋体" w:eastAsia="宋体" w:cs="仿宋_GB2312"/>
                <w:b w:val="0"/>
                <w:color w:val="auto"/>
                <w:sz w:val="22"/>
                <w:highlight w:val="none"/>
              </w:rPr>
              <w:t>2</w:t>
            </w:r>
          </w:p>
        </w:tc>
        <w:tc>
          <w:tcPr>
            <w:tcW w:w="2217" w:type="dxa"/>
            <w:noWrap w:val="0"/>
            <w:vAlign w:val="center"/>
          </w:tcPr>
          <w:p>
            <w:pPr>
              <w:spacing w:line="460" w:lineRule="exact"/>
              <w:ind w:left="110" w:hanging="110" w:hangingChars="50"/>
              <w:jc w:val="center"/>
              <w:rPr>
                <w:rFonts w:hint="default" w:ascii="宋体" w:hAnsi="宋体" w:eastAsia="宋体" w:cs="仿宋_GB2312"/>
                <w:bCs/>
                <w:color w:val="auto"/>
                <w:sz w:val="22"/>
                <w:highlight w:val="none"/>
                <w:lang w:val="en-US" w:eastAsia="zh-CN"/>
              </w:rPr>
            </w:pPr>
            <w:r>
              <w:rPr>
                <w:rFonts w:hint="eastAsia" w:ascii="宋体" w:hAnsi="宋体" w:cs="仿宋_GB2312"/>
                <w:bCs/>
                <w:color w:val="auto"/>
                <w:sz w:val="22"/>
                <w:highlight w:val="none"/>
                <w:lang w:val="en-US" w:eastAsia="zh-CN"/>
              </w:rPr>
              <w:t>场地租赁费</w:t>
            </w:r>
          </w:p>
        </w:tc>
        <w:tc>
          <w:tcPr>
            <w:tcW w:w="1938" w:type="dxa"/>
            <w:noWrap w:val="0"/>
            <w:vAlign w:val="center"/>
          </w:tcPr>
          <w:p>
            <w:pPr>
              <w:spacing w:line="460" w:lineRule="exact"/>
              <w:ind w:left="110" w:hanging="110" w:hangingChars="50"/>
              <w:jc w:val="center"/>
              <w:rPr>
                <w:rFonts w:hint="default" w:ascii="宋体" w:hAnsi="宋体" w:eastAsia="宋体" w:cs="仿宋_GB2312"/>
                <w:bCs/>
                <w:color w:val="auto"/>
                <w:sz w:val="22"/>
                <w:highlight w:val="none"/>
                <w:lang w:val="en-US" w:eastAsia="zh-CN"/>
              </w:rPr>
            </w:pPr>
            <w:r>
              <w:rPr>
                <w:rFonts w:hint="eastAsia" w:ascii="宋体" w:hAnsi="宋体" w:cs="仿宋_GB2312"/>
                <w:bCs/>
                <w:color w:val="auto"/>
                <w:sz w:val="22"/>
                <w:highlight w:val="none"/>
                <w:lang w:val="en-US" w:eastAsia="zh-CN"/>
              </w:rPr>
              <w:t>1项</w:t>
            </w:r>
          </w:p>
        </w:tc>
        <w:tc>
          <w:tcPr>
            <w:tcW w:w="2310" w:type="dxa"/>
            <w:noWrap w:val="0"/>
            <w:vAlign w:val="center"/>
          </w:tcPr>
          <w:p>
            <w:pPr>
              <w:pStyle w:val="24"/>
              <w:spacing w:line="340" w:lineRule="exact"/>
              <w:ind w:left="0" w:leftChars="0" w:right="263" w:rightChars="125" w:firstLine="0" w:firstLineChars="0"/>
              <w:jc w:val="center"/>
              <w:rPr>
                <w:rFonts w:hint="default" w:ascii="宋体" w:hAnsi="宋体" w:eastAsia="宋体" w:cs="仿宋_GB2312"/>
                <w:b w:val="0"/>
                <w:color w:val="auto"/>
                <w:sz w:val="22"/>
                <w:highlight w:val="none"/>
                <w:lang w:val="en-US" w:eastAsia="zh-CN"/>
              </w:rPr>
            </w:pPr>
            <w:r>
              <w:rPr>
                <w:rFonts w:hint="eastAsia" w:cs="仿宋_GB2312"/>
                <w:b w:val="0"/>
                <w:color w:val="auto"/>
                <w:sz w:val="22"/>
                <w:highlight w:val="none"/>
                <w:lang w:val="en-US" w:eastAsia="zh-CN"/>
              </w:rPr>
              <w:t>150000.00</w:t>
            </w:r>
          </w:p>
        </w:tc>
        <w:tc>
          <w:tcPr>
            <w:tcW w:w="2542" w:type="dxa"/>
            <w:noWrap w:val="0"/>
            <w:vAlign w:val="center"/>
          </w:tcPr>
          <w:p>
            <w:pPr>
              <w:pStyle w:val="24"/>
              <w:spacing w:line="340" w:lineRule="exact"/>
              <w:ind w:left="0" w:leftChars="0" w:right="263" w:rightChars="125" w:firstLine="0" w:firstLineChars="0"/>
              <w:jc w:val="both"/>
              <w:rPr>
                <w:rFonts w:hint="eastAsia" w:cs="仿宋_GB2312"/>
                <w:b w:val="0"/>
                <w:color w:val="auto"/>
                <w:sz w:val="22"/>
                <w:highlight w:val="none"/>
                <w:lang w:val="en-US" w:eastAsia="zh-CN"/>
              </w:rPr>
            </w:pPr>
            <w:r>
              <w:rPr>
                <w:rFonts w:hint="eastAsia" w:cs="仿宋_GB2312"/>
                <w:b w:val="0"/>
                <w:color w:val="auto"/>
                <w:sz w:val="22"/>
                <w:highlight w:val="none"/>
                <w:lang w:val="en-US" w:eastAsia="zh-CN"/>
              </w:rPr>
              <w:t>最终按实际结算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exact"/>
          <w:jc w:val="center"/>
        </w:trPr>
        <w:tc>
          <w:tcPr>
            <w:tcW w:w="609" w:type="dxa"/>
            <w:noWrap w:val="0"/>
            <w:vAlign w:val="center"/>
          </w:tcPr>
          <w:p>
            <w:pPr>
              <w:pStyle w:val="24"/>
              <w:spacing w:line="340" w:lineRule="exact"/>
              <w:ind w:firstLine="0" w:firstLineChars="0"/>
              <w:rPr>
                <w:rFonts w:hint="eastAsia" w:ascii="宋体" w:hAnsi="宋体" w:eastAsia="宋体" w:cs="仿宋_GB2312"/>
                <w:b w:val="0"/>
                <w:color w:val="auto"/>
                <w:kern w:val="2"/>
                <w:sz w:val="22"/>
                <w:szCs w:val="20"/>
                <w:highlight w:val="none"/>
                <w:lang w:val="en-US" w:eastAsia="zh-CN" w:bidi="ar-SA"/>
              </w:rPr>
            </w:pPr>
            <w:r>
              <w:rPr>
                <w:rFonts w:hint="eastAsia" w:ascii="宋体" w:hAnsi="宋体" w:eastAsia="宋体" w:cs="仿宋_GB2312"/>
                <w:b w:val="0"/>
                <w:color w:val="auto"/>
                <w:sz w:val="22"/>
                <w:highlight w:val="none"/>
              </w:rPr>
              <w:t>3</w:t>
            </w:r>
          </w:p>
        </w:tc>
        <w:tc>
          <w:tcPr>
            <w:tcW w:w="2217" w:type="dxa"/>
            <w:noWrap w:val="0"/>
            <w:vAlign w:val="center"/>
          </w:tcPr>
          <w:p>
            <w:pPr>
              <w:spacing w:line="460" w:lineRule="exact"/>
              <w:ind w:left="110" w:leftChars="0" w:hanging="110" w:hangingChars="50"/>
              <w:jc w:val="center"/>
              <w:rPr>
                <w:rFonts w:hint="eastAsia" w:ascii="宋体" w:hAnsi="宋体" w:eastAsia="宋体" w:cs="仿宋_GB2312"/>
                <w:bCs/>
                <w:color w:val="auto"/>
                <w:kern w:val="2"/>
                <w:sz w:val="22"/>
                <w:szCs w:val="24"/>
                <w:highlight w:val="none"/>
                <w:lang w:val="en-US" w:eastAsia="zh-CN" w:bidi="ar-SA"/>
              </w:rPr>
            </w:pPr>
            <w:r>
              <w:rPr>
                <w:rFonts w:hint="eastAsia" w:ascii="宋体" w:hAnsi="宋体" w:cs="仿宋_GB2312"/>
                <w:bCs/>
                <w:color w:val="auto"/>
                <w:sz w:val="22"/>
                <w:highlight w:val="none"/>
              </w:rPr>
              <w:t>嘉宾食宿费</w:t>
            </w:r>
          </w:p>
        </w:tc>
        <w:tc>
          <w:tcPr>
            <w:tcW w:w="1938" w:type="dxa"/>
            <w:noWrap w:val="0"/>
            <w:vAlign w:val="center"/>
          </w:tcPr>
          <w:p>
            <w:pPr>
              <w:spacing w:line="460" w:lineRule="exact"/>
              <w:ind w:left="110" w:leftChars="0" w:hanging="110" w:hangingChars="50"/>
              <w:jc w:val="center"/>
              <w:rPr>
                <w:rFonts w:hint="eastAsia" w:ascii="宋体" w:hAnsi="宋体" w:eastAsia="宋体" w:cs="仿宋_GB2312"/>
                <w:bCs/>
                <w:color w:val="auto"/>
                <w:kern w:val="2"/>
                <w:sz w:val="22"/>
                <w:szCs w:val="24"/>
                <w:highlight w:val="none"/>
                <w:lang w:val="en-US" w:eastAsia="zh-CN" w:bidi="ar-SA"/>
              </w:rPr>
            </w:pPr>
            <w:r>
              <w:rPr>
                <w:rFonts w:hint="eastAsia" w:ascii="宋体" w:hAnsi="宋体" w:cs="仿宋_GB2312"/>
                <w:bCs/>
                <w:color w:val="auto"/>
                <w:sz w:val="22"/>
                <w:highlight w:val="none"/>
                <w:lang w:val="en-US" w:eastAsia="zh-CN"/>
              </w:rPr>
              <w:t>1000人</w:t>
            </w:r>
          </w:p>
        </w:tc>
        <w:tc>
          <w:tcPr>
            <w:tcW w:w="2310" w:type="dxa"/>
            <w:noWrap w:val="0"/>
            <w:vAlign w:val="center"/>
          </w:tcPr>
          <w:p>
            <w:pPr>
              <w:pStyle w:val="24"/>
              <w:spacing w:line="340" w:lineRule="exact"/>
              <w:ind w:right="263" w:rightChars="125" w:firstLine="490" w:firstLineChars="0"/>
              <w:jc w:val="center"/>
              <w:rPr>
                <w:rFonts w:ascii="宋体" w:hAnsi="宋体" w:eastAsia="宋体" w:cs="仿宋_GB2312"/>
                <w:b w:val="0"/>
                <w:color w:val="auto"/>
                <w:kern w:val="2"/>
                <w:sz w:val="22"/>
                <w:szCs w:val="20"/>
                <w:highlight w:val="none"/>
                <w:lang w:val="en-US" w:eastAsia="zh-CN" w:bidi="ar-SA"/>
              </w:rPr>
            </w:pPr>
          </w:p>
        </w:tc>
        <w:tc>
          <w:tcPr>
            <w:tcW w:w="2542" w:type="dxa"/>
            <w:noWrap w:val="0"/>
            <w:vAlign w:val="center"/>
          </w:tcPr>
          <w:p>
            <w:pPr>
              <w:pStyle w:val="24"/>
              <w:spacing w:line="340" w:lineRule="exact"/>
              <w:ind w:left="0" w:leftChars="0" w:right="263" w:rightChars="125" w:firstLine="0" w:firstLineChars="0"/>
              <w:jc w:val="both"/>
              <w:rPr>
                <w:rFonts w:hint="eastAsia" w:ascii="宋体" w:hAnsi="宋体" w:eastAsia="宋体" w:cs="仿宋_GB2312"/>
                <w:b w:val="0"/>
                <w:color w:val="auto"/>
                <w:kern w:val="2"/>
                <w:sz w:val="22"/>
                <w:szCs w:val="20"/>
                <w:highlight w:val="none"/>
                <w:lang w:val="en-US" w:eastAsia="zh-CN" w:bidi="ar-SA"/>
              </w:rPr>
            </w:pPr>
            <w:r>
              <w:rPr>
                <w:rFonts w:hint="eastAsia" w:cs="仿宋_GB2312"/>
                <w:b w:val="0"/>
                <w:color w:val="auto"/>
                <w:sz w:val="22"/>
                <w:highlight w:val="none"/>
                <w:lang w:val="en-US" w:eastAsia="zh-CN"/>
              </w:rPr>
              <w:t>暂定1000人，会期三天，最终按实际数量结算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jc w:val="center"/>
        </w:trPr>
        <w:tc>
          <w:tcPr>
            <w:tcW w:w="609" w:type="dxa"/>
            <w:noWrap w:val="0"/>
            <w:vAlign w:val="center"/>
          </w:tcPr>
          <w:p>
            <w:pPr>
              <w:pStyle w:val="24"/>
              <w:spacing w:line="340" w:lineRule="exact"/>
              <w:ind w:firstLine="0" w:firstLineChars="0"/>
              <w:rPr>
                <w:rFonts w:ascii="宋体" w:hAnsi="宋体" w:eastAsia="宋体" w:cs="仿宋_GB2312"/>
                <w:b w:val="0"/>
                <w:color w:val="auto"/>
                <w:kern w:val="2"/>
                <w:sz w:val="22"/>
                <w:szCs w:val="20"/>
                <w:highlight w:val="none"/>
                <w:lang w:val="en-US" w:eastAsia="zh-CN" w:bidi="ar-SA"/>
              </w:rPr>
            </w:pPr>
            <w:r>
              <w:rPr>
                <w:rFonts w:hint="eastAsia" w:ascii="宋体" w:hAnsi="宋体" w:eastAsia="宋体" w:cs="仿宋_GB2312"/>
                <w:b w:val="0"/>
                <w:color w:val="auto"/>
                <w:sz w:val="22"/>
                <w:highlight w:val="none"/>
              </w:rPr>
              <w:t>4</w:t>
            </w:r>
          </w:p>
        </w:tc>
        <w:tc>
          <w:tcPr>
            <w:tcW w:w="2217" w:type="dxa"/>
            <w:noWrap w:val="0"/>
            <w:vAlign w:val="center"/>
          </w:tcPr>
          <w:p>
            <w:pPr>
              <w:spacing w:line="460" w:lineRule="exact"/>
              <w:ind w:left="110" w:hanging="110" w:hangingChars="50"/>
              <w:jc w:val="center"/>
              <w:rPr>
                <w:rFonts w:hint="eastAsia" w:ascii="宋体" w:hAnsi="宋体" w:cs="仿宋_GB2312"/>
                <w:bCs/>
                <w:color w:val="auto"/>
                <w:sz w:val="22"/>
                <w:highlight w:val="none"/>
              </w:rPr>
            </w:pPr>
            <w:r>
              <w:rPr>
                <w:rFonts w:hint="eastAsia" w:ascii="宋体" w:hAnsi="宋体" w:cs="仿宋_GB2312"/>
                <w:bCs/>
                <w:color w:val="auto"/>
                <w:sz w:val="22"/>
                <w:highlight w:val="none"/>
                <w:lang w:val="en-US" w:eastAsia="zh-CN"/>
              </w:rPr>
              <w:t>嘉宾</w:t>
            </w:r>
            <w:r>
              <w:rPr>
                <w:rFonts w:hint="eastAsia" w:ascii="宋体" w:hAnsi="宋体" w:cs="仿宋_GB2312"/>
                <w:bCs/>
                <w:color w:val="auto"/>
                <w:sz w:val="22"/>
                <w:highlight w:val="none"/>
              </w:rPr>
              <w:t>交通费</w:t>
            </w:r>
          </w:p>
        </w:tc>
        <w:tc>
          <w:tcPr>
            <w:tcW w:w="1938" w:type="dxa"/>
            <w:noWrap w:val="0"/>
            <w:vAlign w:val="center"/>
          </w:tcPr>
          <w:p>
            <w:pPr>
              <w:spacing w:line="460" w:lineRule="exact"/>
              <w:ind w:left="110" w:hanging="110" w:hangingChars="50"/>
              <w:jc w:val="center"/>
              <w:rPr>
                <w:rFonts w:ascii="宋体" w:hAnsi="宋体" w:cs="仿宋_GB2312"/>
                <w:bCs/>
                <w:color w:val="auto"/>
                <w:sz w:val="22"/>
                <w:highlight w:val="none"/>
              </w:rPr>
            </w:pPr>
            <w:r>
              <w:rPr>
                <w:rFonts w:hint="eastAsia" w:ascii="宋体" w:hAnsi="宋体" w:cs="仿宋_GB2312"/>
                <w:bCs/>
                <w:color w:val="auto"/>
                <w:sz w:val="22"/>
                <w:highlight w:val="none"/>
              </w:rPr>
              <w:t>1项</w:t>
            </w:r>
          </w:p>
        </w:tc>
        <w:tc>
          <w:tcPr>
            <w:tcW w:w="2310" w:type="dxa"/>
            <w:noWrap w:val="0"/>
            <w:vAlign w:val="center"/>
          </w:tcPr>
          <w:p>
            <w:pPr>
              <w:pStyle w:val="24"/>
              <w:spacing w:line="340" w:lineRule="exact"/>
              <w:jc w:val="center"/>
              <w:rPr>
                <w:rFonts w:ascii="宋体" w:hAnsi="宋体" w:eastAsia="宋体" w:cs="仿宋_GB2312"/>
                <w:b w:val="0"/>
                <w:color w:val="auto"/>
                <w:sz w:val="22"/>
                <w:highlight w:val="none"/>
              </w:rPr>
            </w:pPr>
          </w:p>
        </w:tc>
        <w:tc>
          <w:tcPr>
            <w:tcW w:w="2542" w:type="dxa"/>
            <w:noWrap w:val="0"/>
            <w:vAlign w:val="center"/>
          </w:tcPr>
          <w:p>
            <w:pPr>
              <w:pStyle w:val="24"/>
              <w:spacing w:line="340" w:lineRule="exact"/>
              <w:ind w:left="0" w:leftChars="0" w:right="263" w:rightChars="125" w:firstLine="0" w:firstLineChars="0"/>
              <w:jc w:val="both"/>
              <w:rPr>
                <w:rFonts w:hint="eastAsia" w:cs="仿宋_GB2312"/>
                <w:b w:val="0"/>
                <w:color w:val="auto"/>
                <w:sz w:val="22"/>
                <w:highlight w:val="none"/>
                <w:lang w:val="en-US" w:eastAsia="zh-CN"/>
              </w:rPr>
            </w:pPr>
            <w:r>
              <w:rPr>
                <w:rFonts w:hint="eastAsia" w:cs="仿宋_GB2312"/>
                <w:b w:val="0"/>
                <w:color w:val="auto"/>
                <w:sz w:val="22"/>
                <w:highlight w:val="none"/>
                <w:lang w:val="en-US" w:eastAsia="zh-CN"/>
              </w:rPr>
              <w:t>最终按实际结算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609" w:type="dxa"/>
            <w:noWrap w:val="0"/>
            <w:vAlign w:val="center"/>
          </w:tcPr>
          <w:p>
            <w:pPr>
              <w:pStyle w:val="24"/>
              <w:tabs>
                <w:tab w:val="center" w:pos="197"/>
              </w:tabs>
              <w:spacing w:line="340" w:lineRule="exact"/>
              <w:ind w:firstLine="0" w:firstLineChars="0"/>
              <w:rPr>
                <w:rFonts w:ascii="宋体" w:hAnsi="宋体" w:eastAsia="宋体" w:cs="仿宋_GB2312"/>
                <w:b w:val="0"/>
                <w:color w:val="auto"/>
                <w:kern w:val="2"/>
                <w:sz w:val="22"/>
                <w:szCs w:val="20"/>
                <w:highlight w:val="none"/>
                <w:lang w:val="en-US" w:eastAsia="zh-CN" w:bidi="ar-SA"/>
              </w:rPr>
            </w:pPr>
            <w:r>
              <w:rPr>
                <w:rFonts w:hint="eastAsia" w:ascii="宋体" w:hAnsi="宋体" w:eastAsia="宋体" w:cs="仿宋_GB2312"/>
                <w:b w:val="0"/>
                <w:color w:val="auto"/>
                <w:sz w:val="22"/>
                <w:highlight w:val="none"/>
              </w:rPr>
              <w:t>5</w:t>
            </w:r>
          </w:p>
        </w:tc>
        <w:tc>
          <w:tcPr>
            <w:tcW w:w="2217" w:type="dxa"/>
            <w:noWrap w:val="0"/>
            <w:vAlign w:val="center"/>
          </w:tcPr>
          <w:p>
            <w:pPr>
              <w:spacing w:line="460" w:lineRule="exact"/>
              <w:ind w:left="110" w:hanging="110" w:hangingChars="50"/>
              <w:jc w:val="center"/>
              <w:rPr>
                <w:rFonts w:hint="default" w:ascii="宋体" w:hAnsi="宋体" w:eastAsia="宋体" w:cs="仿宋_GB2312"/>
                <w:bCs/>
                <w:color w:val="auto"/>
                <w:sz w:val="22"/>
                <w:highlight w:val="none"/>
                <w:lang w:val="en-US" w:eastAsia="zh-CN"/>
              </w:rPr>
            </w:pPr>
            <w:r>
              <w:rPr>
                <w:rFonts w:hint="eastAsia" w:ascii="宋体" w:hAnsi="宋体" w:cs="仿宋_GB2312"/>
                <w:bCs/>
                <w:color w:val="auto"/>
                <w:sz w:val="22"/>
                <w:highlight w:val="none"/>
                <w:lang w:val="en-US" w:eastAsia="zh-CN"/>
              </w:rPr>
              <w:t>酒店内氛围布置</w:t>
            </w:r>
          </w:p>
        </w:tc>
        <w:tc>
          <w:tcPr>
            <w:tcW w:w="1938" w:type="dxa"/>
            <w:noWrap w:val="0"/>
            <w:vAlign w:val="center"/>
          </w:tcPr>
          <w:p>
            <w:pPr>
              <w:spacing w:line="460" w:lineRule="exact"/>
              <w:ind w:left="110" w:hanging="110" w:hangingChars="50"/>
              <w:jc w:val="center"/>
              <w:rPr>
                <w:rFonts w:hint="eastAsia" w:ascii="宋体" w:hAnsi="宋体" w:cs="仿宋_GB2312"/>
                <w:bCs/>
                <w:color w:val="auto"/>
                <w:sz w:val="22"/>
                <w:highlight w:val="none"/>
              </w:rPr>
            </w:pPr>
            <w:r>
              <w:rPr>
                <w:rFonts w:hint="eastAsia" w:ascii="宋体" w:hAnsi="宋体" w:cs="仿宋_GB2312"/>
                <w:bCs/>
                <w:color w:val="auto"/>
                <w:sz w:val="22"/>
                <w:highlight w:val="none"/>
              </w:rPr>
              <w:t>1项</w:t>
            </w:r>
          </w:p>
        </w:tc>
        <w:tc>
          <w:tcPr>
            <w:tcW w:w="2310" w:type="dxa"/>
            <w:noWrap w:val="0"/>
            <w:vAlign w:val="center"/>
          </w:tcPr>
          <w:p>
            <w:pPr>
              <w:pStyle w:val="24"/>
              <w:spacing w:line="340" w:lineRule="exact"/>
              <w:jc w:val="center"/>
              <w:rPr>
                <w:rFonts w:ascii="宋体" w:hAnsi="宋体" w:eastAsia="宋体" w:cs="仿宋_GB2312"/>
                <w:b w:val="0"/>
                <w:color w:val="auto"/>
                <w:sz w:val="22"/>
                <w:highlight w:val="none"/>
              </w:rPr>
            </w:pPr>
          </w:p>
        </w:tc>
        <w:tc>
          <w:tcPr>
            <w:tcW w:w="2542" w:type="dxa"/>
            <w:noWrap w:val="0"/>
            <w:vAlign w:val="center"/>
          </w:tcPr>
          <w:p>
            <w:pPr>
              <w:pStyle w:val="24"/>
              <w:spacing w:line="340" w:lineRule="exact"/>
              <w:jc w:val="center"/>
              <w:rPr>
                <w:rFonts w:ascii="宋体" w:hAnsi="宋体" w:eastAsia="宋体" w:cs="仿宋_GB2312"/>
                <w:b w:val="0"/>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jc w:val="center"/>
        </w:trPr>
        <w:tc>
          <w:tcPr>
            <w:tcW w:w="609" w:type="dxa"/>
            <w:noWrap w:val="0"/>
            <w:vAlign w:val="center"/>
          </w:tcPr>
          <w:p>
            <w:pPr>
              <w:pStyle w:val="24"/>
              <w:spacing w:line="340" w:lineRule="exact"/>
              <w:ind w:firstLine="0" w:firstLineChars="0"/>
              <w:rPr>
                <w:rFonts w:ascii="宋体" w:hAnsi="宋体" w:eastAsia="宋体" w:cs="仿宋_GB2312"/>
                <w:b w:val="0"/>
                <w:color w:val="auto"/>
                <w:kern w:val="2"/>
                <w:sz w:val="22"/>
                <w:szCs w:val="20"/>
                <w:highlight w:val="none"/>
                <w:lang w:val="en-US" w:eastAsia="zh-CN" w:bidi="ar-SA"/>
              </w:rPr>
            </w:pPr>
            <w:r>
              <w:rPr>
                <w:rFonts w:hint="eastAsia" w:ascii="宋体" w:hAnsi="宋体" w:eastAsia="宋体" w:cs="仿宋_GB2312"/>
                <w:b w:val="0"/>
                <w:color w:val="auto"/>
                <w:sz w:val="22"/>
                <w:highlight w:val="none"/>
              </w:rPr>
              <w:t>6</w:t>
            </w:r>
          </w:p>
        </w:tc>
        <w:tc>
          <w:tcPr>
            <w:tcW w:w="2217" w:type="dxa"/>
            <w:noWrap w:val="0"/>
            <w:vAlign w:val="center"/>
          </w:tcPr>
          <w:p>
            <w:pPr>
              <w:spacing w:line="460" w:lineRule="exact"/>
              <w:ind w:left="110" w:hanging="110" w:hangingChars="50"/>
              <w:jc w:val="center"/>
              <w:rPr>
                <w:rFonts w:hint="default" w:ascii="宋体" w:hAnsi="宋体" w:eastAsia="宋体" w:cs="仿宋_GB2312"/>
                <w:bCs/>
                <w:color w:val="auto"/>
                <w:sz w:val="22"/>
                <w:highlight w:val="none"/>
                <w:lang w:val="en-US" w:eastAsia="zh-CN"/>
              </w:rPr>
            </w:pPr>
            <w:r>
              <w:rPr>
                <w:rFonts w:hint="eastAsia" w:ascii="宋体" w:hAnsi="宋体" w:cs="仿宋_GB2312"/>
                <w:bCs/>
                <w:color w:val="auto"/>
                <w:sz w:val="22"/>
                <w:highlight w:val="none"/>
                <w:lang w:val="en-US" w:eastAsia="zh-CN"/>
              </w:rPr>
              <w:t>会务服务部分物料</w:t>
            </w:r>
          </w:p>
        </w:tc>
        <w:tc>
          <w:tcPr>
            <w:tcW w:w="1938" w:type="dxa"/>
            <w:noWrap w:val="0"/>
            <w:vAlign w:val="center"/>
          </w:tcPr>
          <w:p>
            <w:pPr>
              <w:spacing w:line="460" w:lineRule="exact"/>
              <w:ind w:left="110" w:hanging="110" w:hangingChars="50"/>
              <w:jc w:val="center"/>
              <w:rPr>
                <w:rFonts w:hint="eastAsia" w:ascii="宋体" w:hAnsi="宋体" w:cs="仿宋_GB2312"/>
                <w:bCs/>
                <w:color w:val="auto"/>
                <w:sz w:val="22"/>
                <w:highlight w:val="none"/>
              </w:rPr>
            </w:pPr>
            <w:r>
              <w:rPr>
                <w:rFonts w:hint="eastAsia" w:ascii="宋体" w:hAnsi="宋体" w:cs="仿宋_GB2312"/>
                <w:bCs/>
                <w:color w:val="auto"/>
                <w:sz w:val="22"/>
                <w:highlight w:val="none"/>
              </w:rPr>
              <w:t>1项</w:t>
            </w:r>
          </w:p>
        </w:tc>
        <w:tc>
          <w:tcPr>
            <w:tcW w:w="2310" w:type="dxa"/>
            <w:noWrap w:val="0"/>
            <w:vAlign w:val="center"/>
          </w:tcPr>
          <w:p>
            <w:pPr>
              <w:pStyle w:val="24"/>
              <w:spacing w:line="340" w:lineRule="exact"/>
              <w:jc w:val="center"/>
              <w:rPr>
                <w:rFonts w:ascii="宋体" w:hAnsi="宋体" w:eastAsia="宋体" w:cs="仿宋_GB2312"/>
                <w:b w:val="0"/>
                <w:color w:val="auto"/>
                <w:sz w:val="22"/>
                <w:highlight w:val="none"/>
              </w:rPr>
            </w:pPr>
          </w:p>
        </w:tc>
        <w:tc>
          <w:tcPr>
            <w:tcW w:w="2542" w:type="dxa"/>
            <w:noWrap w:val="0"/>
            <w:vAlign w:val="center"/>
          </w:tcPr>
          <w:p>
            <w:pPr>
              <w:pStyle w:val="24"/>
              <w:spacing w:line="340" w:lineRule="exact"/>
              <w:ind w:firstLine="0"/>
              <w:rPr>
                <w:rFonts w:ascii="宋体" w:hAnsi="宋体" w:eastAsia="宋体" w:cs="仿宋_GB2312"/>
                <w:bCs w:val="0"/>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jc w:val="center"/>
        </w:trPr>
        <w:tc>
          <w:tcPr>
            <w:tcW w:w="609" w:type="dxa"/>
            <w:noWrap w:val="0"/>
            <w:vAlign w:val="center"/>
          </w:tcPr>
          <w:p>
            <w:pPr>
              <w:pStyle w:val="24"/>
              <w:spacing w:line="340" w:lineRule="exact"/>
              <w:ind w:firstLine="0" w:firstLineChars="0"/>
              <w:rPr>
                <w:rFonts w:hint="eastAsia" w:ascii="宋体" w:hAnsi="宋体" w:eastAsia="宋体" w:cs="仿宋_GB2312"/>
                <w:b w:val="0"/>
                <w:color w:val="auto"/>
                <w:kern w:val="2"/>
                <w:sz w:val="22"/>
                <w:szCs w:val="20"/>
                <w:highlight w:val="none"/>
                <w:lang w:val="en-US" w:eastAsia="zh-CN" w:bidi="ar-SA"/>
              </w:rPr>
            </w:pPr>
            <w:r>
              <w:rPr>
                <w:rFonts w:hint="eastAsia" w:cs="仿宋_GB2312"/>
                <w:b w:val="0"/>
                <w:color w:val="auto"/>
                <w:sz w:val="22"/>
                <w:highlight w:val="none"/>
                <w:lang w:val="en-US" w:eastAsia="zh-CN"/>
              </w:rPr>
              <w:t>7</w:t>
            </w:r>
          </w:p>
        </w:tc>
        <w:tc>
          <w:tcPr>
            <w:tcW w:w="2217" w:type="dxa"/>
            <w:noWrap w:val="0"/>
            <w:vAlign w:val="center"/>
          </w:tcPr>
          <w:p>
            <w:pPr>
              <w:spacing w:line="460" w:lineRule="exact"/>
              <w:jc w:val="center"/>
              <w:rPr>
                <w:rFonts w:hint="default" w:ascii="宋体" w:hAnsi="宋体" w:eastAsia="宋体" w:cs="仿宋_GB2312"/>
                <w:bCs/>
                <w:color w:val="auto"/>
                <w:sz w:val="22"/>
                <w:highlight w:val="none"/>
                <w:lang w:val="en-US" w:eastAsia="zh-CN"/>
              </w:rPr>
            </w:pPr>
            <w:r>
              <w:rPr>
                <w:rFonts w:hint="eastAsia" w:ascii="宋体" w:hAnsi="宋体" w:cs="仿宋_GB2312"/>
                <w:bCs/>
                <w:color w:val="auto"/>
                <w:sz w:val="22"/>
                <w:highlight w:val="none"/>
                <w:lang w:val="en-US" w:eastAsia="zh-CN"/>
              </w:rPr>
              <w:t>志愿者招募培训</w:t>
            </w:r>
          </w:p>
        </w:tc>
        <w:tc>
          <w:tcPr>
            <w:tcW w:w="1938" w:type="dxa"/>
            <w:noWrap w:val="0"/>
            <w:vAlign w:val="center"/>
          </w:tcPr>
          <w:p>
            <w:pPr>
              <w:spacing w:line="460" w:lineRule="exact"/>
              <w:jc w:val="center"/>
              <w:rPr>
                <w:rFonts w:hint="eastAsia" w:ascii="宋体" w:hAnsi="宋体" w:cs="仿宋_GB2312"/>
                <w:bCs/>
                <w:color w:val="auto"/>
                <w:sz w:val="22"/>
                <w:highlight w:val="none"/>
              </w:rPr>
            </w:pPr>
            <w:r>
              <w:rPr>
                <w:rFonts w:hint="eastAsia" w:ascii="宋体" w:hAnsi="宋体" w:cs="仿宋_GB2312"/>
                <w:bCs/>
                <w:color w:val="auto"/>
                <w:sz w:val="22"/>
                <w:highlight w:val="none"/>
              </w:rPr>
              <w:t>1项</w:t>
            </w:r>
          </w:p>
        </w:tc>
        <w:tc>
          <w:tcPr>
            <w:tcW w:w="2310" w:type="dxa"/>
            <w:noWrap w:val="0"/>
            <w:vAlign w:val="center"/>
          </w:tcPr>
          <w:p>
            <w:pPr>
              <w:pStyle w:val="24"/>
              <w:spacing w:line="340" w:lineRule="exact"/>
              <w:jc w:val="center"/>
              <w:rPr>
                <w:rFonts w:ascii="宋体" w:hAnsi="宋体" w:eastAsia="宋体" w:cs="仿宋_GB2312"/>
                <w:b w:val="0"/>
                <w:color w:val="auto"/>
                <w:sz w:val="22"/>
                <w:highlight w:val="none"/>
              </w:rPr>
            </w:pPr>
          </w:p>
        </w:tc>
        <w:tc>
          <w:tcPr>
            <w:tcW w:w="2542" w:type="dxa"/>
            <w:noWrap w:val="0"/>
            <w:vAlign w:val="center"/>
          </w:tcPr>
          <w:p>
            <w:pPr>
              <w:pStyle w:val="24"/>
              <w:spacing w:line="340" w:lineRule="exact"/>
              <w:ind w:firstLine="0"/>
              <w:rPr>
                <w:rFonts w:ascii="宋体" w:hAnsi="宋体" w:eastAsia="宋体" w:cs="仿宋_GB2312"/>
                <w:b w:val="0"/>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609" w:type="dxa"/>
            <w:noWrap w:val="0"/>
            <w:vAlign w:val="center"/>
          </w:tcPr>
          <w:p>
            <w:pPr>
              <w:pStyle w:val="24"/>
              <w:spacing w:line="340" w:lineRule="exact"/>
              <w:ind w:firstLine="0" w:firstLineChars="0"/>
              <w:rPr>
                <w:rFonts w:hint="eastAsia" w:ascii="宋体" w:hAnsi="宋体" w:eastAsia="宋体" w:cs="仿宋_GB2312"/>
                <w:b w:val="0"/>
                <w:color w:val="auto"/>
                <w:kern w:val="2"/>
                <w:sz w:val="22"/>
                <w:szCs w:val="20"/>
                <w:highlight w:val="none"/>
                <w:lang w:val="en-US" w:eastAsia="zh-CN" w:bidi="ar-SA"/>
              </w:rPr>
            </w:pPr>
            <w:r>
              <w:rPr>
                <w:rFonts w:hint="eastAsia" w:cs="仿宋_GB2312"/>
                <w:b w:val="0"/>
                <w:color w:val="auto"/>
                <w:sz w:val="22"/>
                <w:highlight w:val="none"/>
                <w:lang w:val="en-US" w:eastAsia="zh-CN"/>
              </w:rPr>
              <w:t>8</w:t>
            </w:r>
          </w:p>
        </w:tc>
        <w:tc>
          <w:tcPr>
            <w:tcW w:w="2217" w:type="dxa"/>
            <w:noWrap w:val="0"/>
            <w:vAlign w:val="center"/>
          </w:tcPr>
          <w:p>
            <w:pPr>
              <w:spacing w:line="460" w:lineRule="exact"/>
              <w:jc w:val="center"/>
              <w:rPr>
                <w:rFonts w:hint="default" w:ascii="宋体" w:hAnsi="宋体" w:cs="仿宋_GB2312"/>
                <w:bCs/>
                <w:color w:val="auto"/>
                <w:sz w:val="22"/>
                <w:highlight w:val="none"/>
                <w:lang w:val="en-US" w:eastAsia="zh-CN"/>
              </w:rPr>
            </w:pPr>
            <w:r>
              <w:rPr>
                <w:rFonts w:hint="eastAsia" w:ascii="宋体" w:hAnsi="宋体" w:cs="仿宋_GB2312"/>
                <w:bCs/>
                <w:color w:val="auto"/>
                <w:sz w:val="22"/>
                <w:highlight w:val="none"/>
                <w:lang w:val="en-US" w:eastAsia="zh-CN"/>
              </w:rPr>
              <w:t>信息化会务管理</w:t>
            </w:r>
          </w:p>
        </w:tc>
        <w:tc>
          <w:tcPr>
            <w:tcW w:w="1938" w:type="dxa"/>
            <w:noWrap w:val="0"/>
            <w:vAlign w:val="center"/>
          </w:tcPr>
          <w:p>
            <w:pPr>
              <w:spacing w:line="460" w:lineRule="exact"/>
              <w:jc w:val="center"/>
              <w:rPr>
                <w:rFonts w:hint="default" w:ascii="宋体" w:hAnsi="宋体" w:eastAsia="宋体" w:cs="仿宋_GB2312"/>
                <w:bCs/>
                <w:color w:val="auto"/>
                <w:sz w:val="22"/>
                <w:highlight w:val="none"/>
                <w:lang w:val="en-US" w:eastAsia="zh-CN"/>
              </w:rPr>
            </w:pPr>
            <w:r>
              <w:rPr>
                <w:rFonts w:hint="eastAsia" w:ascii="宋体" w:hAnsi="宋体" w:cs="仿宋_GB2312"/>
                <w:bCs/>
                <w:color w:val="auto"/>
                <w:sz w:val="22"/>
                <w:highlight w:val="none"/>
                <w:lang w:val="en-US" w:eastAsia="zh-CN"/>
              </w:rPr>
              <w:t>1项</w:t>
            </w:r>
          </w:p>
        </w:tc>
        <w:tc>
          <w:tcPr>
            <w:tcW w:w="2310" w:type="dxa"/>
            <w:noWrap w:val="0"/>
            <w:vAlign w:val="center"/>
          </w:tcPr>
          <w:p>
            <w:pPr>
              <w:pStyle w:val="24"/>
              <w:spacing w:line="340" w:lineRule="exact"/>
              <w:jc w:val="center"/>
              <w:rPr>
                <w:rFonts w:ascii="宋体" w:hAnsi="宋体" w:eastAsia="宋体" w:cs="仿宋_GB2312"/>
                <w:b w:val="0"/>
                <w:color w:val="auto"/>
                <w:sz w:val="22"/>
                <w:highlight w:val="none"/>
              </w:rPr>
            </w:pPr>
          </w:p>
        </w:tc>
        <w:tc>
          <w:tcPr>
            <w:tcW w:w="2542" w:type="dxa"/>
            <w:noWrap w:val="0"/>
            <w:vAlign w:val="center"/>
          </w:tcPr>
          <w:p>
            <w:pPr>
              <w:pStyle w:val="24"/>
              <w:spacing w:line="340" w:lineRule="exact"/>
              <w:ind w:firstLine="0"/>
              <w:rPr>
                <w:rFonts w:hint="eastAsia" w:ascii="宋体" w:hAnsi="宋体" w:eastAsia="宋体" w:cs="仿宋_GB2312"/>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jc w:val="center"/>
        </w:trPr>
        <w:tc>
          <w:tcPr>
            <w:tcW w:w="609" w:type="dxa"/>
            <w:noWrap w:val="0"/>
            <w:vAlign w:val="center"/>
          </w:tcPr>
          <w:p>
            <w:pPr>
              <w:pStyle w:val="24"/>
              <w:spacing w:line="340" w:lineRule="exact"/>
              <w:ind w:firstLine="0" w:firstLineChars="0"/>
              <w:rPr>
                <w:rFonts w:hint="eastAsia" w:ascii="宋体" w:hAnsi="宋体" w:eastAsia="宋体" w:cs="仿宋_GB2312"/>
                <w:b w:val="0"/>
                <w:color w:val="auto"/>
                <w:kern w:val="2"/>
                <w:sz w:val="22"/>
                <w:szCs w:val="20"/>
                <w:highlight w:val="none"/>
                <w:lang w:val="en-US" w:eastAsia="zh-CN" w:bidi="ar-SA"/>
              </w:rPr>
            </w:pPr>
            <w:r>
              <w:rPr>
                <w:rFonts w:hint="eastAsia" w:cs="仿宋_GB2312"/>
                <w:b w:val="0"/>
                <w:color w:val="auto"/>
                <w:sz w:val="22"/>
                <w:highlight w:val="none"/>
                <w:lang w:val="en-US" w:eastAsia="zh-CN"/>
              </w:rPr>
              <w:t>9</w:t>
            </w:r>
          </w:p>
        </w:tc>
        <w:tc>
          <w:tcPr>
            <w:tcW w:w="2217" w:type="dxa"/>
            <w:noWrap w:val="0"/>
            <w:vAlign w:val="center"/>
          </w:tcPr>
          <w:p>
            <w:pPr>
              <w:spacing w:line="460" w:lineRule="exact"/>
              <w:ind w:left="110" w:hanging="110" w:hangingChars="50"/>
              <w:jc w:val="center"/>
              <w:rPr>
                <w:rFonts w:hint="eastAsia" w:ascii="宋体" w:hAnsi="宋体" w:cs="仿宋_GB2312"/>
                <w:bCs/>
                <w:color w:val="auto"/>
                <w:sz w:val="22"/>
                <w:highlight w:val="none"/>
              </w:rPr>
            </w:pPr>
            <w:r>
              <w:rPr>
                <w:rFonts w:hint="eastAsia" w:ascii="宋体" w:hAnsi="宋体" w:cs="仿宋_GB2312"/>
                <w:bCs/>
                <w:color w:val="auto"/>
                <w:sz w:val="22"/>
                <w:highlight w:val="none"/>
              </w:rPr>
              <w:t>税费</w:t>
            </w:r>
          </w:p>
        </w:tc>
        <w:tc>
          <w:tcPr>
            <w:tcW w:w="1938" w:type="dxa"/>
            <w:noWrap w:val="0"/>
            <w:vAlign w:val="center"/>
          </w:tcPr>
          <w:p>
            <w:pPr>
              <w:spacing w:line="460" w:lineRule="exact"/>
              <w:ind w:left="110" w:hanging="110" w:hangingChars="50"/>
              <w:jc w:val="center"/>
              <w:rPr>
                <w:rFonts w:hint="eastAsia" w:ascii="宋体" w:hAnsi="宋体" w:cs="仿宋_GB2312"/>
                <w:bCs/>
                <w:color w:val="auto"/>
                <w:sz w:val="22"/>
                <w:highlight w:val="none"/>
              </w:rPr>
            </w:pPr>
            <w:r>
              <w:rPr>
                <w:rFonts w:hint="eastAsia" w:ascii="宋体" w:hAnsi="宋体" w:cs="仿宋_GB2312"/>
                <w:bCs/>
                <w:color w:val="auto"/>
                <w:sz w:val="22"/>
                <w:highlight w:val="none"/>
              </w:rPr>
              <w:t>1项</w:t>
            </w:r>
          </w:p>
        </w:tc>
        <w:tc>
          <w:tcPr>
            <w:tcW w:w="2310" w:type="dxa"/>
            <w:noWrap w:val="0"/>
            <w:vAlign w:val="center"/>
          </w:tcPr>
          <w:p>
            <w:pPr>
              <w:pStyle w:val="24"/>
              <w:spacing w:line="340" w:lineRule="exact"/>
              <w:jc w:val="center"/>
              <w:rPr>
                <w:rFonts w:ascii="宋体" w:hAnsi="宋体" w:eastAsia="宋体" w:cs="仿宋_GB2312"/>
                <w:b w:val="0"/>
                <w:color w:val="auto"/>
                <w:sz w:val="22"/>
                <w:highlight w:val="none"/>
              </w:rPr>
            </w:pPr>
          </w:p>
        </w:tc>
        <w:tc>
          <w:tcPr>
            <w:tcW w:w="2542" w:type="dxa"/>
            <w:noWrap w:val="0"/>
            <w:vAlign w:val="center"/>
          </w:tcPr>
          <w:p>
            <w:pPr>
              <w:pStyle w:val="24"/>
              <w:spacing w:line="340" w:lineRule="exact"/>
              <w:ind w:firstLine="0"/>
              <w:rPr>
                <w:rFonts w:ascii="宋体" w:hAnsi="宋体" w:eastAsia="宋体" w:cs="仿宋_GB2312"/>
                <w:b w:val="0"/>
                <w:color w:val="auto"/>
                <w:sz w:val="22"/>
                <w:highlight w:val="none"/>
              </w:rPr>
            </w:pPr>
            <w:r>
              <w:rPr>
                <w:rFonts w:hint="eastAsia" w:ascii="宋体" w:hAnsi="宋体" w:eastAsia="宋体" w:cs="仿宋_GB2312"/>
                <w:bCs w:val="0"/>
                <w:color w:val="auto"/>
                <w:sz w:val="22"/>
                <w:highlight w:val="none"/>
              </w:rPr>
              <w:t>税率暂定6%计入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exact"/>
          <w:jc w:val="center"/>
        </w:trPr>
        <w:tc>
          <w:tcPr>
            <w:tcW w:w="609" w:type="dxa"/>
            <w:noWrap w:val="0"/>
            <w:vAlign w:val="center"/>
          </w:tcPr>
          <w:p>
            <w:pPr>
              <w:pStyle w:val="24"/>
              <w:spacing w:line="340" w:lineRule="exact"/>
              <w:ind w:firstLine="0"/>
              <w:rPr>
                <w:rFonts w:hint="default" w:ascii="宋体" w:hAnsi="宋体" w:eastAsia="宋体" w:cs="仿宋_GB2312"/>
                <w:b w:val="0"/>
                <w:color w:val="auto"/>
                <w:sz w:val="22"/>
                <w:highlight w:val="none"/>
                <w:lang w:val="en-US" w:eastAsia="zh-CN"/>
              </w:rPr>
            </w:pPr>
            <w:r>
              <w:rPr>
                <w:rFonts w:hint="eastAsia" w:cs="仿宋_GB2312"/>
                <w:b w:val="0"/>
                <w:color w:val="auto"/>
                <w:sz w:val="22"/>
                <w:highlight w:val="none"/>
                <w:lang w:val="en-US" w:eastAsia="zh-CN"/>
              </w:rPr>
              <w:t>10</w:t>
            </w:r>
          </w:p>
        </w:tc>
        <w:tc>
          <w:tcPr>
            <w:tcW w:w="2217" w:type="dxa"/>
            <w:noWrap w:val="0"/>
            <w:vAlign w:val="center"/>
          </w:tcPr>
          <w:p>
            <w:pPr>
              <w:spacing w:line="460" w:lineRule="exact"/>
              <w:jc w:val="center"/>
              <w:rPr>
                <w:rFonts w:hint="eastAsia" w:ascii="宋体" w:hAnsi="宋体" w:cs="仿宋_GB2312"/>
                <w:bCs/>
                <w:color w:val="auto"/>
                <w:sz w:val="22"/>
                <w:highlight w:val="none"/>
              </w:rPr>
            </w:pPr>
            <w:r>
              <w:rPr>
                <w:rFonts w:hint="eastAsia" w:ascii="宋体" w:hAnsi="宋体" w:cs="仿宋_GB2312"/>
                <w:bCs/>
                <w:color w:val="auto"/>
                <w:sz w:val="22"/>
                <w:highlight w:val="none"/>
              </w:rPr>
              <w:t>服务费</w:t>
            </w:r>
          </w:p>
        </w:tc>
        <w:tc>
          <w:tcPr>
            <w:tcW w:w="1938" w:type="dxa"/>
            <w:noWrap w:val="0"/>
            <w:vAlign w:val="center"/>
          </w:tcPr>
          <w:p>
            <w:pPr>
              <w:spacing w:line="460" w:lineRule="exact"/>
              <w:jc w:val="center"/>
              <w:rPr>
                <w:rFonts w:hint="eastAsia" w:ascii="宋体" w:hAnsi="宋体" w:cs="仿宋_GB2312"/>
                <w:bCs/>
                <w:color w:val="auto"/>
                <w:sz w:val="22"/>
                <w:highlight w:val="none"/>
              </w:rPr>
            </w:pPr>
            <w:r>
              <w:rPr>
                <w:rFonts w:hint="eastAsia" w:ascii="宋体" w:hAnsi="宋体" w:cs="仿宋_GB2312"/>
                <w:bCs/>
                <w:color w:val="auto"/>
                <w:sz w:val="22"/>
                <w:highlight w:val="none"/>
              </w:rPr>
              <w:t>1项</w:t>
            </w:r>
          </w:p>
        </w:tc>
        <w:tc>
          <w:tcPr>
            <w:tcW w:w="2310" w:type="dxa"/>
            <w:noWrap w:val="0"/>
            <w:vAlign w:val="center"/>
          </w:tcPr>
          <w:p>
            <w:pPr>
              <w:pStyle w:val="24"/>
              <w:spacing w:line="340" w:lineRule="exact"/>
              <w:jc w:val="center"/>
              <w:rPr>
                <w:rFonts w:ascii="宋体" w:hAnsi="宋体" w:eastAsia="宋体" w:cs="仿宋_GB2312"/>
                <w:b w:val="0"/>
                <w:color w:val="auto"/>
                <w:sz w:val="22"/>
                <w:highlight w:val="none"/>
              </w:rPr>
            </w:pPr>
          </w:p>
        </w:tc>
        <w:tc>
          <w:tcPr>
            <w:tcW w:w="2542" w:type="dxa"/>
            <w:noWrap w:val="0"/>
            <w:vAlign w:val="center"/>
          </w:tcPr>
          <w:p>
            <w:pPr>
              <w:pStyle w:val="24"/>
              <w:spacing w:line="340" w:lineRule="exact"/>
              <w:ind w:firstLine="0"/>
              <w:rPr>
                <w:rFonts w:hint="default" w:ascii="宋体" w:hAnsi="宋体" w:eastAsia="宋体" w:cs="仿宋_GB2312"/>
                <w:b w:val="0"/>
                <w:color w:val="auto"/>
                <w:sz w:val="22"/>
                <w:highlight w:val="none"/>
                <w:lang w:val="en-US" w:eastAsia="zh-CN"/>
              </w:rPr>
            </w:pPr>
            <w:r>
              <w:rPr>
                <w:rFonts w:hint="eastAsia" w:ascii="宋体" w:hAnsi="宋体" w:eastAsia="宋体" w:cs="仿宋_GB2312"/>
                <w:color w:val="auto"/>
                <w:sz w:val="22"/>
                <w:highlight w:val="none"/>
              </w:rPr>
              <w:t>服务费率</w:t>
            </w:r>
            <w:r>
              <w:rPr>
                <w:rFonts w:hint="eastAsia" w:ascii="宋体" w:hAnsi="宋体" w:eastAsia="宋体" w:cs="仿宋_GB2312"/>
                <w:color w:val="auto"/>
                <w:sz w:val="22"/>
                <w:highlight w:val="none"/>
                <w:u w:val="single"/>
              </w:rPr>
              <w:t xml:space="preserve">  </w:t>
            </w:r>
            <w:r>
              <w:rPr>
                <w:rFonts w:hint="eastAsia" w:ascii="宋体" w:hAnsi="宋体" w:eastAsia="宋体" w:cs="仿宋_GB2312"/>
                <w:color w:val="auto"/>
                <w:sz w:val="22"/>
                <w:highlight w:val="none"/>
              </w:rPr>
              <w:t>%</w:t>
            </w:r>
            <w:r>
              <w:rPr>
                <w:rFonts w:hint="eastAsia" w:cs="仿宋_GB2312"/>
                <w:color w:val="auto"/>
                <w:sz w:val="22"/>
                <w:highlight w:val="none"/>
                <w:lang w:eastAsia="zh-CN"/>
              </w:rPr>
              <w:t>（</w:t>
            </w:r>
            <w:r>
              <w:rPr>
                <w:rFonts w:hint="eastAsia" w:cs="仿宋_GB2312"/>
                <w:color w:val="auto"/>
                <w:sz w:val="22"/>
                <w:highlight w:val="none"/>
                <w:lang w:val="en-US" w:eastAsia="zh-CN"/>
              </w:rPr>
              <w:t>含税</w:t>
            </w:r>
            <w:r>
              <w:rPr>
                <w:rFonts w:hint="eastAsia" w:cs="仿宋_GB2312"/>
                <w:color w:val="auto"/>
                <w:sz w:val="22"/>
                <w:highlight w:val="none"/>
                <w:lang w:eastAsia="zh-CN"/>
              </w:rPr>
              <w:t>），</w:t>
            </w:r>
            <w:r>
              <w:rPr>
                <w:rFonts w:hint="eastAsia" w:cs="仿宋_GB2312"/>
                <w:color w:val="auto"/>
                <w:sz w:val="22"/>
                <w:highlight w:val="none"/>
                <w:lang w:val="en-US" w:eastAsia="zh-CN"/>
              </w:rPr>
              <w:t>不得超出15%，否则按无效标处理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609" w:type="dxa"/>
            <w:noWrap w:val="0"/>
            <w:vAlign w:val="center"/>
          </w:tcPr>
          <w:p>
            <w:pPr>
              <w:pStyle w:val="24"/>
              <w:spacing w:line="340" w:lineRule="exact"/>
              <w:ind w:left="422"/>
              <w:rPr>
                <w:rFonts w:ascii="宋体" w:hAnsi="宋体" w:eastAsia="宋体" w:cs="仿宋_GB2312"/>
                <w:b w:val="0"/>
                <w:color w:val="auto"/>
                <w:sz w:val="22"/>
                <w:highlight w:val="none"/>
              </w:rPr>
            </w:pPr>
          </w:p>
        </w:tc>
        <w:tc>
          <w:tcPr>
            <w:tcW w:w="4155" w:type="dxa"/>
            <w:gridSpan w:val="2"/>
            <w:noWrap w:val="0"/>
            <w:vAlign w:val="center"/>
          </w:tcPr>
          <w:p>
            <w:pPr>
              <w:pStyle w:val="24"/>
              <w:spacing w:line="340" w:lineRule="exact"/>
              <w:jc w:val="center"/>
              <w:rPr>
                <w:rFonts w:ascii="宋体" w:hAnsi="宋体" w:eastAsia="宋体" w:cs="仿宋_GB2312"/>
                <w:b w:val="0"/>
                <w:color w:val="auto"/>
                <w:sz w:val="22"/>
                <w:highlight w:val="none"/>
              </w:rPr>
            </w:pPr>
            <w:r>
              <w:rPr>
                <w:rFonts w:hint="eastAsia" w:ascii="宋体" w:hAnsi="宋体" w:eastAsia="宋体" w:cs="仿宋_GB2312"/>
                <w:b w:val="0"/>
                <w:color w:val="auto"/>
                <w:sz w:val="22"/>
                <w:highlight w:val="none"/>
              </w:rPr>
              <w:t>合计报价</w:t>
            </w:r>
          </w:p>
        </w:tc>
        <w:tc>
          <w:tcPr>
            <w:tcW w:w="4852" w:type="dxa"/>
            <w:gridSpan w:val="2"/>
            <w:noWrap w:val="0"/>
            <w:vAlign w:val="center"/>
          </w:tcPr>
          <w:p>
            <w:pPr>
              <w:pStyle w:val="24"/>
              <w:spacing w:line="340" w:lineRule="exact"/>
              <w:jc w:val="center"/>
              <w:rPr>
                <w:rFonts w:ascii="宋体" w:hAnsi="宋体" w:eastAsia="宋体" w:cs="仿宋_GB2312"/>
                <w:b w:val="0"/>
                <w:color w:val="auto"/>
                <w:sz w:val="22"/>
                <w:highlight w:val="none"/>
              </w:rPr>
            </w:pPr>
          </w:p>
        </w:tc>
      </w:tr>
    </w:tbl>
    <w:p>
      <w:pPr>
        <w:snapToGrid w:val="0"/>
        <w:spacing w:line="500" w:lineRule="atLeast"/>
        <w:ind w:firstLine="220" w:firstLineChars="100"/>
        <w:rPr>
          <w:rFonts w:hint="default" w:ascii="宋体" w:hAnsi="宋体" w:eastAsia="宋体" w:cs="仿宋_GB2312"/>
          <w:bCs/>
          <w:color w:val="auto"/>
          <w:sz w:val="22"/>
          <w:highlight w:val="none"/>
          <w:lang w:val="en-US" w:eastAsia="zh-CN"/>
        </w:rPr>
      </w:pPr>
      <w:r>
        <w:rPr>
          <w:rFonts w:hint="eastAsia" w:ascii="宋体" w:hAnsi="宋体" w:cs="仿宋_GB2312"/>
          <w:bCs/>
          <w:color w:val="auto"/>
          <w:sz w:val="22"/>
          <w:highlight w:val="none"/>
        </w:rPr>
        <w:t>注：</w:t>
      </w:r>
      <w:r>
        <w:rPr>
          <w:rFonts w:ascii="宋体" w:hAnsi="宋体" w:cs="仿宋_GB2312"/>
          <w:bCs/>
          <w:color w:val="auto"/>
          <w:sz w:val="22"/>
          <w:highlight w:val="none"/>
        </w:rPr>
        <w:t>1、合计报价为符合</w:t>
      </w:r>
      <w:r>
        <w:rPr>
          <w:rFonts w:hint="eastAsia" w:ascii="宋体" w:hAnsi="宋体" w:cs="仿宋_GB2312"/>
          <w:bCs/>
          <w:color w:val="auto"/>
          <w:sz w:val="22"/>
          <w:highlight w:val="none"/>
          <w:lang w:val="en-US" w:eastAsia="zh-CN"/>
        </w:rPr>
        <w:t>采购</w:t>
      </w:r>
      <w:r>
        <w:rPr>
          <w:rFonts w:ascii="宋体" w:hAnsi="宋体" w:cs="仿宋_GB2312"/>
          <w:bCs/>
          <w:color w:val="auto"/>
          <w:sz w:val="22"/>
          <w:highlight w:val="none"/>
        </w:rPr>
        <w:t>文件要求的所有费用</w:t>
      </w:r>
      <w:r>
        <w:rPr>
          <w:rFonts w:hint="eastAsia" w:ascii="宋体" w:hAnsi="宋体" w:cs="仿宋_GB2312"/>
          <w:bCs/>
          <w:color w:val="auto"/>
          <w:sz w:val="22"/>
          <w:highlight w:val="none"/>
          <w:lang w:eastAsia="zh-CN"/>
        </w:rPr>
        <w:t>，</w:t>
      </w:r>
      <w:r>
        <w:rPr>
          <w:rFonts w:hint="eastAsia" w:ascii="宋体" w:hAnsi="宋体" w:cs="仿宋_GB2312"/>
          <w:bCs/>
          <w:color w:val="auto"/>
          <w:sz w:val="22"/>
          <w:highlight w:val="none"/>
          <w:lang w:val="en-US" w:eastAsia="zh-CN"/>
        </w:rPr>
        <w:t>预算金额352万元整，超出预算按无效标处理。</w:t>
      </w:r>
    </w:p>
    <w:p>
      <w:pPr>
        <w:snapToGrid w:val="0"/>
        <w:spacing w:line="500" w:lineRule="atLeast"/>
        <w:ind w:firstLine="660" w:firstLineChars="300"/>
        <w:rPr>
          <w:rFonts w:hint="default" w:ascii="宋体" w:hAnsi="宋体" w:eastAsia="宋体" w:cs="仿宋_GB2312"/>
          <w:bCs/>
          <w:color w:val="auto"/>
          <w:sz w:val="22"/>
          <w:highlight w:val="none"/>
          <w:lang w:val="en-US" w:eastAsia="zh-CN"/>
        </w:rPr>
      </w:pPr>
      <w:r>
        <w:rPr>
          <w:rFonts w:ascii="宋体" w:hAnsi="宋体" w:cs="仿宋_GB2312"/>
          <w:bCs/>
          <w:color w:val="auto"/>
          <w:sz w:val="22"/>
          <w:highlight w:val="none"/>
        </w:rPr>
        <w:t>2、合计报价应与《</w:t>
      </w:r>
      <w:r>
        <w:rPr>
          <w:rFonts w:hint="eastAsia" w:ascii="宋体" w:hAnsi="宋体" w:cs="仿宋_GB2312"/>
          <w:bCs/>
          <w:color w:val="auto"/>
          <w:sz w:val="22"/>
          <w:highlight w:val="none"/>
          <w:lang w:eastAsia="zh-CN"/>
        </w:rPr>
        <w:t>报价一览表</w:t>
      </w:r>
      <w:r>
        <w:rPr>
          <w:rFonts w:ascii="宋体" w:hAnsi="宋体" w:cs="仿宋_GB2312"/>
          <w:bCs/>
          <w:color w:val="auto"/>
          <w:sz w:val="22"/>
          <w:highlight w:val="none"/>
        </w:rPr>
        <w:t>》中报价相一致</w:t>
      </w:r>
      <w:r>
        <w:rPr>
          <w:rFonts w:hint="eastAsia" w:ascii="宋体" w:hAnsi="宋体" w:cs="仿宋_GB2312"/>
          <w:bCs/>
          <w:color w:val="auto"/>
          <w:sz w:val="22"/>
          <w:highlight w:val="none"/>
          <w:lang w:eastAsia="zh-CN"/>
        </w:rPr>
        <w:t>，</w:t>
      </w:r>
      <w:r>
        <w:rPr>
          <w:rFonts w:hint="eastAsia" w:ascii="宋体" w:hAnsi="宋体" w:cs="仿宋_GB2312"/>
          <w:bCs/>
          <w:color w:val="auto"/>
          <w:sz w:val="22"/>
          <w:highlight w:val="none"/>
          <w:lang w:eastAsia="zh-CN"/>
        </w:rPr>
        <w:t>嘉宾专家费</w:t>
      </w:r>
      <w:r>
        <w:rPr>
          <w:rFonts w:hint="eastAsia" w:ascii="宋体" w:hAnsi="宋体" w:cs="仿宋_GB2312"/>
          <w:bCs/>
          <w:color w:val="auto"/>
          <w:sz w:val="22"/>
          <w:highlight w:val="none"/>
          <w:lang w:val="en-US" w:eastAsia="zh-CN"/>
        </w:rPr>
        <w:t>及场地租赁费作为不可竞争报价。</w:t>
      </w:r>
    </w:p>
    <w:p>
      <w:pPr>
        <w:snapToGrid w:val="0"/>
        <w:spacing w:line="500" w:lineRule="atLeast"/>
        <w:ind w:firstLine="220" w:firstLineChars="100"/>
        <w:rPr>
          <w:rFonts w:ascii="宋体" w:hAnsi="宋体" w:cs="仿宋_GB2312"/>
          <w:bCs/>
          <w:color w:val="auto"/>
          <w:sz w:val="22"/>
          <w:highlight w:val="none"/>
        </w:rPr>
      </w:pPr>
      <w:r>
        <w:rPr>
          <w:rFonts w:ascii="宋体" w:hAnsi="宋体" w:cs="仿宋_GB2312"/>
          <w:bCs/>
          <w:color w:val="auto"/>
          <w:sz w:val="22"/>
          <w:highlight w:val="none"/>
        </w:rPr>
        <w:t xml:space="preserve">   </w:t>
      </w:r>
      <w:r>
        <w:rPr>
          <w:rFonts w:ascii="宋体" w:hAnsi="宋体" w:cs="仿宋_GB2312"/>
          <w:bCs/>
          <w:color w:val="auto"/>
          <w:sz w:val="22"/>
          <w:highlight w:val="none"/>
        </w:rPr>
        <w:t xml:space="preserve"> </w:t>
      </w:r>
      <w:r>
        <w:rPr>
          <w:rFonts w:hint="eastAsia" w:ascii="宋体" w:hAnsi="宋体" w:cs="仿宋_GB2312"/>
          <w:bCs/>
          <w:color w:val="auto"/>
          <w:sz w:val="22"/>
          <w:highlight w:val="none"/>
        </w:rPr>
        <w:t>3</w:t>
      </w:r>
      <w:r>
        <w:rPr>
          <w:rFonts w:ascii="宋体" w:hAnsi="宋体" w:cs="仿宋_GB2312"/>
          <w:bCs/>
          <w:color w:val="auto"/>
          <w:sz w:val="22"/>
          <w:highlight w:val="none"/>
        </w:rPr>
        <w:t>、税费=（序号1+2+3+4+5+6+7</w:t>
      </w:r>
      <w:r>
        <w:rPr>
          <w:rFonts w:hint="eastAsia" w:ascii="宋体" w:hAnsi="宋体" w:cs="仿宋_GB2312"/>
          <w:bCs/>
          <w:color w:val="auto"/>
          <w:sz w:val="22"/>
          <w:highlight w:val="none"/>
          <w:lang w:val="en-US" w:eastAsia="zh-CN"/>
        </w:rPr>
        <w:t>+8</w:t>
      </w:r>
      <w:r>
        <w:rPr>
          <w:rFonts w:ascii="宋体" w:hAnsi="宋体" w:cs="仿宋_GB2312"/>
          <w:bCs/>
          <w:color w:val="auto"/>
          <w:sz w:val="22"/>
          <w:highlight w:val="none"/>
        </w:rPr>
        <w:t>）*6%</w:t>
      </w:r>
      <w:r>
        <w:rPr>
          <w:rFonts w:hint="eastAsia" w:ascii="宋体" w:hAnsi="宋体" w:cs="仿宋_GB2312"/>
          <w:bCs/>
          <w:color w:val="auto"/>
          <w:sz w:val="22"/>
          <w:highlight w:val="none"/>
          <w:lang w:eastAsia="zh-CN"/>
        </w:rPr>
        <w:t>，</w:t>
      </w:r>
      <w:r>
        <w:rPr>
          <w:rFonts w:ascii="宋体" w:hAnsi="宋体" w:cs="仿宋_GB2312"/>
          <w:bCs/>
          <w:color w:val="auto"/>
          <w:sz w:val="22"/>
          <w:highlight w:val="none"/>
        </w:rPr>
        <w:t>服务费=（序号1+2+3+4+5+6</w:t>
      </w:r>
      <w:r>
        <w:rPr>
          <w:rFonts w:hint="eastAsia" w:ascii="宋体" w:hAnsi="宋体" w:cs="仿宋_GB2312"/>
          <w:bCs/>
          <w:color w:val="auto"/>
          <w:sz w:val="22"/>
          <w:highlight w:val="none"/>
          <w:lang w:val="en-US" w:eastAsia="zh-CN"/>
        </w:rPr>
        <w:t>+7+8+9</w:t>
      </w:r>
      <w:r>
        <w:rPr>
          <w:rFonts w:ascii="宋体" w:hAnsi="宋体" w:cs="仿宋_GB2312"/>
          <w:bCs/>
          <w:color w:val="auto"/>
          <w:sz w:val="22"/>
          <w:highlight w:val="none"/>
        </w:rPr>
        <w:t>）*服务费率。</w:t>
      </w:r>
    </w:p>
    <w:p>
      <w:pPr>
        <w:snapToGrid w:val="0"/>
        <w:spacing w:line="500" w:lineRule="atLeast"/>
        <w:ind w:firstLine="660" w:firstLineChars="300"/>
        <w:rPr>
          <w:rFonts w:hint="default" w:ascii="宋体" w:hAnsi="宋体" w:eastAsia="宋体" w:cs="仿宋_GB2312"/>
          <w:bCs/>
          <w:color w:val="auto"/>
          <w:sz w:val="22"/>
          <w:highlight w:val="none"/>
          <w:lang w:val="en-US" w:eastAsia="zh-CN"/>
        </w:rPr>
      </w:pPr>
      <w:r>
        <w:rPr>
          <w:rFonts w:hint="eastAsia" w:ascii="宋体" w:hAnsi="宋体" w:cs="仿宋_GB2312"/>
          <w:bCs/>
          <w:color w:val="auto"/>
          <w:sz w:val="22"/>
          <w:highlight w:val="none"/>
          <w:lang w:val="en-US" w:eastAsia="zh-CN"/>
        </w:rPr>
        <w:t>4</w:t>
      </w:r>
      <w:r>
        <w:rPr>
          <w:rFonts w:ascii="宋体" w:hAnsi="宋体" w:cs="仿宋_GB2312"/>
          <w:bCs/>
          <w:color w:val="auto"/>
          <w:sz w:val="22"/>
          <w:highlight w:val="none"/>
        </w:rPr>
        <w:t>、合计报价=序号1+2+3+4+5+6+7+8</w:t>
      </w:r>
      <w:r>
        <w:rPr>
          <w:rFonts w:hint="eastAsia" w:ascii="宋体" w:hAnsi="宋体" w:cs="仿宋_GB2312"/>
          <w:bCs/>
          <w:color w:val="auto"/>
          <w:sz w:val="22"/>
          <w:highlight w:val="none"/>
          <w:lang w:val="en-US" w:eastAsia="zh-CN"/>
        </w:rPr>
        <w:t>+9+10</w:t>
      </w:r>
    </w:p>
    <w:p>
      <w:pPr>
        <w:snapToGrid w:val="0"/>
        <w:spacing w:line="500" w:lineRule="atLeast"/>
        <w:ind w:firstLine="660" w:firstLineChars="300"/>
        <w:rPr>
          <w:rFonts w:ascii="宋体" w:hAnsi="宋体" w:cs="仿宋_GB2312"/>
          <w:bCs/>
          <w:color w:val="auto"/>
          <w:sz w:val="22"/>
          <w:highlight w:val="none"/>
        </w:rPr>
      </w:pPr>
      <w:r>
        <w:rPr>
          <w:rFonts w:ascii="宋体" w:hAnsi="宋体" w:cs="仿宋_GB2312"/>
          <w:bCs/>
          <w:color w:val="auto"/>
          <w:sz w:val="22"/>
          <w:highlight w:val="none"/>
        </w:rPr>
        <w:t>供应商名称（盖章）：</w:t>
      </w:r>
    </w:p>
    <w:p>
      <w:pPr>
        <w:snapToGrid w:val="0"/>
        <w:spacing w:line="500" w:lineRule="atLeast"/>
        <w:ind w:firstLine="550" w:firstLineChars="250"/>
        <w:rPr>
          <w:rFonts w:hint="eastAsia" w:ascii="宋体" w:hAnsi="宋体" w:cs="仿宋_GB2312"/>
          <w:bCs/>
          <w:color w:val="auto"/>
          <w:sz w:val="22"/>
          <w:highlight w:val="none"/>
        </w:rPr>
      </w:pPr>
      <w:r>
        <w:rPr>
          <w:rFonts w:hint="eastAsia" w:ascii="宋体" w:hAnsi="宋体" w:cs="仿宋_GB2312"/>
          <w:bCs/>
          <w:color w:val="auto"/>
          <w:sz w:val="22"/>
          <w:highlight w:val="none"/>
        </w:rPr>
        <w:t xml:space="preserve">法定代表人或授权代表（签字或盖章）：                       </w:t>
      </w:r>
    </w:p>
    <w:p>
      <w:pPr>
        <w:snapToGrid w:val="0"/>
        <w:spacing w:line="500" w:lineRule="atLeast"/>
        <w:ind w:firstLine="550" w:firstLineChars="250"/>
        <w:rPr>
          <w:rFonts w:hint="eastAsia" w:hAnsi="宋体"/>
          <w:color w:val="auto"/>
          <w:sz w:val="22"/>
          <w:szCs w:val="22"/>
          <w:highlight w:val="none"/>
        </w:rPr>
        <w:sectPr>
          <w:headerReference r:id="rId10" w:type="first"/>
          <w:footerReference r:id="rId13" w:type="first"/>
          <w:headerReference r:id="rId9" w:type="default"/>
          <w:footerReference r:id="rId11" w:type="default"/>
          <w:footerReference r:id="rId12" w:type="even"/>
          <w:type w:val="nextColumn"/>
          <w:pgSz w:w="11907" w:h="16840"/>
          <w:pgMar w:top="1440" w:right="924" w:bottom="1440" w:left="1157" w:header="720" w:footer="720" w:gutter="0"/>
          <w:pgNumType w:start="0"/>
          <w:cols w:space="720" w:num="1"/>
          <w:titlePg/>
          <w:docGrid w:linePitch="286" w:charSpace="-3831"/>
        </w:sectPr>
      </w:pPr>
      <w:r>
        <w:rPr>
          <w:rFonts w:hint="eastAsia" w:ascii="宋体" w:hAnsi="宋体" w:cs="仿宋_GB2312"/>
          <w:bCs/>
          <w:color w:val="auto"/>
          <w:sz w:val="22"/>
          <w:highlight w:val="none"/>
        </w:rPr>
        <w:t>日期</w:t>
      </w:r>
    </w:p>
    <w:p>
      <w:pPr>
        <w:pStyle w:val="2"/>
        <w:keepLines w:val="0"/>
        <w:pageBreakBefore w:val="0"/>
        <w:kinsoku/>
        <w:wordWrap/>
        <w:overflowPunct/>
        <w:topLinePunct w:val="0"/>
        <w:bidi w:val="0"/>
        <w:spacing w:line="356" w:lineRule="auto"/>
        <w:jc w:val="center"/>
        <w:rPr>
          <w:rFonts w:ascii="新宋体" w:hAnsi="新宋体" w:eastAsia="新宋体"/>
          <w:color w:val="auto"/>
          <w:sz w:val="22"/>
          <w:szCs w:val="22"/>
          <w:highlight w:val="none"/>
        </w:rPr>
      </w:pPr>
      <w:bookmarkStart w:id="79" w:name="_Toc13005"/>
      <w:r>
        <w:rPr>
          <w:rFonts w:hint="eastAsia" w:ascii="新宋体" w:hAnsi="新宋体" w:eastAsia="新宋体"/>
          <w:bCs w:val="0"/>
          <w:color w:val="auto"/>
          <w:sz w:val="36"/>
          <w:szCs w:val="36"/>
          <w:highlight w:val="none"/>
        </w:rPr>
        <w:t>第五部分   采购内容及要求</w:t>
      </w:r>
      <w:bookmarkEnd w:id="79"/>
    </w:p>
    <w:bookmarkEnd w:id="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Pr>
        <w:keepNext w:val="0"/>
        <w:keepLines w:val="0"/>
        <w:pageBreakBefore w:val="0"/>
        <w:widowControl/>
        <w:numPr>
          <w:ilvl w:val="0"/>
          <w:numId w:val="21"/>
        </w:numPr>
        <w:kinsoku/>
        <w:wordWrap/>
        <w:overflowPunct/>
        <w:topLinePunct w:val="0"/>
        <w:autoSpaceDE/>
        <w:autoSpaceDN/>
        <w:bidi w:val="0"/>
        <w:adjustRightInd/>
        <w:spacing w:line="356" w:lineRule="auto"/>
        <w:ind w:firstLine="442" w:firstLineChars="200"/>
        <w:jc w:val="left"/>
        <w:textAlignment w:val="auto"/>
        <w:rPr>
          <w:rFonts w:hint="eastAsia" w:ascii="宋体" w:hAnsi="宋体" w:eastAsia="宋体" w:cs="宋体"/>
          <w:b w:val="0"/>
          <w:bCs w:val="0"/>
          <w:sz w:val="22"/>
          <w:szCs w:val="22"/>
          <w:highlight w:val="none"/>
          <w:lang w:val="en-US" w:eastAsia="zh-CN"/>
        </w:rPr>
      </w:pPr>
      <w:r>
        <w:rPr>
          <w:rFonts w:hint="eastAsia" w:ascii="宋体" w:hAnsi="宋体" w:cs="宋体"/>
          <w:b/>
          <w:color w:val="auto"/>
          <w:sz w:val="22"/>
          <w:szCs w:val="22"/>
          <w:highlight w:val="none"/>
        </w:rPr>
        <w:t>项目概况简述</w:t>
      </w:r>
    </w:p>
    <w:p>
      <w:pPr>
        <w:keepLines w:val="0"/>
        <w:pageBreakBefore w:val="0"/>
        <w:kinsoku/>
        <w:wordWrap/>
        <w:overflowPunct/>
        <w:topLinePunct w:val="0"/>
        <w:bidi w:val="0"/>
        <w:spacing w:line="356" w:lineRule="auto"/>
        <w:ind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华侨华人新生代是推动经济社会发展、促进创新创业的重要力量。国务院侨办、中国侨联和浙江省人民政府将共同主办华侨华人新生代创新创业大会（以下简称“侨创会”），旨在发挥华侨华人新生代智慧和力量，积极搭建新时代侨务工作和华侨华人创新创业新平台，助力祖国和家乡经济社会发展。</w:t>
      </w:r>
      <w:r>
        <w:rPr>
          <w:rFonts w:hint="eastAsia" w:ascii="宋体" w:hAnsi="宋体"/>
          <w:color w:val="auto"/>
          <w:sz w:val="22"/>
          <w:szCs w:val="22"/>
          <w:highlight w:val="none"/>
        </w:rPr>
        <w:t>本项目为</w:t>
      </w:r>
      <w:r>
        <w:rPr>
          <w:rFonts w:hint="eastAsia" w:ascii="宋体" w:hAnsi="宋体"/>
          <w:color w:val="auto"/>
          <w:sz w:val="22"/>
          <w:szCs w:val="22"/>
          <w:highlight w:val="none"/>
          <w:lang w:eastAsia="zh-CN"/>
        </w:rPr>
        <w:t>侨创会</w:t>
      </w:r>
      <w:r>
        <w:rPr>
          <w:rFonts w:ascii="宋体" w:hAnsi="宋体"/>
          <w:color w:val="auto"/>
          <w:sz w:val="22"/>
          <w:szCs w:val="22"/>
          <w:highlight w:val="none"/>
        </w:rPr>
        <w:t>会务接待服务采购项目</w:t>
      </w:r>
      <w:r>
        <w:rPr>
          <w:rFonts w:hint="eastAsia" w:ascii="宋体" w:hAnsi="宋体"/>
          <w:color w:val="auto"/>
          <w:sz w:val="22"/>
          <w:szCs w:val="22"/>
          <w:highlight w:val="none"/>
        </w:rPr>
        <w:t>，</w:t>
      </w:r>
      <w:r>
        <w:rPr>
          <w:rFonts w:hint="eastAsia" w:ascii="宋体" w:hAnsi="宋体"/>
          <w:color w:val="auto"/>
          <w:sz w:val="22"/>
          <w:szCs w:val="22"/>
          <w:highlight w:val="none"/>
        </w:rPr>
        <w:t>会议预计线下参会人员规模约</w:t>
      </w:r>
      <w:r>
        <w:rPr>
          <w:rFonts w:hint="eastAsia" w:ascii="宋体" w:hAnsi="宋体"/>
          <w:color w:val="auto"/>
          <w:sz w:val="22"/>
          <w:szCs w:val="22"/>
          <w:highlight w:val="none"/>
          <w:lang w:val="en-US" w:eastAsia="zh-CN"/>
        </w:rPr>
        <w:t>800</w:t>
      </w:r>
      <w:r>
        <w:rPr>
          <w:rFonts w:hint="eastAsia" w:ascii="宋体" w:hAnsi="宋体"/>
          <w:color w:val="auto"/>
          <w:sz w:val="22"/>
          <w:szCs w:val="22"/>
          <w:highlight w:val="none"/>
        </w:rPr>
        <w:t>人</w:t>
      </w:r>
      <w:r>
        <w:rPr>
          <w:rFonts w:hint="eastAsia" w:ascii="宋体" w:hAnsi="宋体"/>
          <w:color w:val="auto"/>
          <w:sz w:val="22"/>
          <w:szCs w:val="22"/>
          <w:highlight w:val="none"/>
          <w:lang w:eastAsia="zh-CN"/>
        </w:rPr>
        <w:t>，侨创会预计</w:t>
      </w:r>
      <w:r>
        <w:rPr>
          <w:rFonts w:hint="eastAsia" w:ascii="宋体" w:hAnsi="宋体"/>
          <w:color w:val="auto"/>
          <w:sz w:val="22"/>
          <w:szCs w:val="22"/>
          <w:highlight w:val="none"/>
          <w:lang w:val="en-US" w:eastAsia="zh-CN"/>
        </w:rPr>
        <w:t xml:space="preserve">3天。   </w:t>
      </w:r>
      <w:r>
        <w:rPr>
          <w:rFonts w:hint="eastAsia" w:ascii="宋体" w:hAnsi="宋体" w:cs="宋体"/>
          <w:sz w:val="22"/>
          <w:szCs w:val="22"/>
          <w:highlight w:val="none"/>
          <w:lang w:val="en-US" w:eastAsia="zh-CN"/>
        </w:rPr>
        <w:br w:type="textWrapping"/>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主办单位：国务院侨办、中国侨联、浙江省人民政府</w:t>
      </w:r>
      <w:r>
        <w:rPr>
          <w:rFonts w:hint="eastAsia" w:ascii="宋体" w:hAnsi="宋体" w:cs="宋体"/>
          <w:sz w:val="22"/>
          <w:szCs w:val="22"/>
          <w:highlight w:val="none"/>
          <w:lang w:val="en-US" w:eastAsia="zh-CN"/>
        </w:rPr>
        <w:br w:type="textWrapping"/>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承办单位：浙江省侨办、浙江省侨联、浙江省科协、温州市人民政府</w:t>
      </w:r>
    </w:p>
    <w:p>
      <w:pPr>
        <w:keepLines w:val="0"/>
        <w:pageBreakBefore w:val="0"/>
        <w:kinsoku/>
        <w:wordWrap/>
        <w:overflowPunct/>
        <w:topLinePunct w:val="0"/>
        <w:bidi w:val="0"/>
        <w:spacing w:line="356" w:lineRule="auto"/>
        <w:ind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协办单位：上海市侨办、江苏省侨办、安徽省侨办、福建省侨办、广东省侨办</w:t>
      </w:r>
    </w:p>
    <w:p>
      <w:pPr>
        <w:keepLines w:val="0"/>
        <w:pageBreakBefore w:val="0"/>
        <w:kinsoku/>
        <w:wordWrap/>
        <w:overflowPunct/>
        <w:topLinePunct w:val="0"/>
        <w:bidi w:val="0"/>
        <w:spacing w:line="356" w:lineRule="auto"/>
        <w:ind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时间：2023年8月</w:t>
      </w:r>
    </w:p>
    <w:p>
      <w:pPr>
        <w:keepLines w:val="0"/>
        <w:pageBreakBefore w:val="0"/>
        <w:numPr>
          <w:ilvl w:val="0"/>
          <w:numId w:val="0"/>
        </w:numPr>
        <w:kinsoku/>
        <w:wordWrap/>
        <w:overflowPunct/>
        <w:topLinePunct w:val="0"/>
        <w:autoSpaceDE w:val="0"/>
        <w:autoSpaceDN w:val="0"/>
        <w:bidi w:val="0"/>
        <w:adjustRightInd w:val="0"/>
        <w:snapToGrid w:val="0"/>
        <w:spacing w:line="356" w:lineRule="auto"/>
        <w:ind w:leftChars="0" w:firstLine="440" w:firstLineChars="200"/>
        <w:textAlignment w:val="bottom"/>
        <w:outlineLvl w:val="0"/>
        <w:rPr>
          <w:rFonts w:hint="eastAsia" w:ascii="宋体" w:hAnsi="宋体" w:cs="宋体"/>
          <w:b/>
          <w:color w:val="auto"/>
          <w:sz w:val="22"/>
          <w:szCs w:val="22"/>
          <w:highlight w:val="none"/>
        </w:rPr>
      </w:pPr>
      <w:r>
        <w:rPr>
          <w:rFonts w:hint="eastAsia" w:ascii="宋体" w:hAnsi="宋体" w:cs="宋体"/>
          <w:sz w:val="22"/>
          <w:szCs w:val="22"/>
          <w:highlight w:val="none"/>
          <w:lang w:val="en-US" w:eastAsia="zh-CN"/>
        </w:rPr>
        <w:t>地点：浙江省温州市</w:t>
      </w:r>
    </w:p>
    <w:p>
      <w:pPr>
        <w:keepNext w:val="0"/>
        <w:keepLines w:val="0"/>
        <w:pageBreakBefore w:val="0"/>
        <w:widowControl/>
        <w:numPr>
          <w:ilvl w:val="0"/>
          <w:numId w:val="21"/>
        </w:numPr>
        <w:kinsoku/>
        <w:wordWrap/>
        <w:overflowPunct/>
        <w:topLinePunct w:val="0"/>
        <w:autoSpaceDE/>
        <w:autoSpaceDN/>
        <w:bidi w:val="0"/>
        <w:adjustRightInd/>
        <w:snapToGrid/>
        <w:spacing w:line="356" w:lineRule="auto"/>
        <w:ind w:left="0" w:leftChars="0" w:firstLine="442" w:firstLineChars="200"/>
        <w:jc w:val="left"/>
        <w:textAlignment w:val="auto"/>
        <w:rPr>
          <w:rFonts w:hint="eastAsia" w:ascii="宋体" w:hAnsi="宋体" w:eastAsia="宋体" w:cs="宋体"/>
          <w:color w:val="auto"/>
          <w:sz w:val="22"/>
          <w:szCs w:val="22"/>
          <w:highlight w:val="none"/>
          <w:lang w:eastAsia="zh-CN"/>
        </w:rPr>
      </w:pPr>
      <w:bookmarkStart w:id="80" w:name="_Hlk78199966"/>
      <w:r>
        <w:rPr>
          <w:rFonts w:hint="eastAsia" w:ascii="新宋体" w:hAnsi="新宋体" w:eastAsia="新宋体"/>
          <w:b/>
          <w:sz w:val="22"/>
          <w:highlight w:val="none"/>
        </w:rPr>
        <w:t>项目内容及范围</w:t>
      </w:r>
      <w:r>
        <w:rPr>
          <w:rFonts w:hint="eastAsia" w:ascii="新宋体" w:hAnsi="新宋体" w:eastAsia="新宋体"/>
          <w:b/>
          <w:sz w:val="22"/>
          <w:highlight w:val="none"/>
          <w:lang w:eastAsia="zh-CN"/>
        </w:rPr>
        <w:t>要求</w:t>
      </w:r>
    </w:p>
    <w:p>
      <w:pPr>
        <w:keepLines w:val="0"/>
        <w:pageBreakBefore w:val="0"/>
        <w:kinsoku/>
        <w:wordWrap/>
        <w:overflowPunct/>
        <w:topLinePunct w:val="0"/>
        <w:bidi w:val="0"/>
        <w:spacing w:line="356" w:lineRule="auto"/>
        <w:ind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（1）总体服务要求：根据侨创会总体定位及目标，策划制定侨创会会务服务总体方案及各细项方案。做好</w:t>
      </w:r>
      <w:r>
        <w:rPr>
          <w:rFonts w:hint="eastAsia" w:ascii="宋体" w:hAnsi="宋体" w:cs="宋体"/>
          <w:sz w:val="22"/>
          <w:szCs w:val="22"/>
          <w:highlight w:val="none"/>
          <w:lang w:val="en-US" w:eastAsia="zh-CN"/>
        </w:rPr>
        <w:t>场地租赁与规划</w:t>
      </w:r>
      <w:r>
        <w:rPr>
          <w:rFonts w:hint="eastAsia" w:ascii="宋体" w:hAnsi="宋体" w:cs="宋体"/>
          <w:sz w:val="22"/>
          <w:szCs w:val="22"/>
          <w:highlight w:val="none"/>
          <w:lang w:val="en-US" w:eastAsia="zh-CN"/>
        </w:rPr>
        <w:t>、安全保障、活动接待、会务服务、综合保障等各项工作，做好现场管理、会务执行工作，确保活动顺利圆满举办。本项目涉及的所有方案必须经采购人确认后方可执行。</w:t>
      </w:r>
    </w:p>
    <w:bookmarkEnd w:id="80"/>
    <w:p>
      <w:pPr>
        <w:keepNext w:val="0"/>
        <w:keepLines w:val="0"/>
        <w:pageBreakBefore w:val="0"/>
        <w:kinsoku/>
        <w:wordWrap/>
        <w:overflowPunct/>
        <w:topLinePunct w:val="0"/>
        <w:autoSpaceDE/>
        <w:autoSpaceDN/>
        <w:bidi w:val="0"/>
        <w:spacing w:line="356" w:lineRule="auto"/>
        <w:ind w:firstLine="440" w:firstLineChars="2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（2）活动接待要求：嘉宾的联络、迎送、住宿、餐饮和报到注册等服务</w:t>
      </w:r>
    </w:p>
    <w:p>
      <w:pPr>
        <w:keepNext w:val="0"/>
        <w:keepLines w:val="0"/>
        <w:pageBreakBefore w:val="0"/>
        <w:kinsoku/>
        <w:wordWrap/>
        <w:overflowPunct/>
        <w:topLinePunct w:val="0"/>
        <w:autoSpaceDE/>
        <w:autoSpaceDN/>
        <w:bidi w:val="0"/>
        <w:spacing w:line="356"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1）大会筹备前期协助主办方开展嘉宾邀请、联络联系等工作；</w:t>
      </w:r>
    </w:p>
    <w:p>
      <w:pPr>
        <w:keepNext w:val="0"/>
        <w:keepLines w:val="0"/>
        <w:pageBreakBefore w:val="0"/>
        <w:kinsoku/>
        <w:wordWrap/>
        <w:overflowPunct/>
        <w:topLinePunct w:val="0"/>
        <w:autoSpaceDE/>
        <w:autoSpaceDN/>
        <w:bidi w:val="0"/>
        <w:spacing w:line="356"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w:t>
      </w:r>
      <w:r>
        <w:rPr>
          <w:rFonts w:hint="eastAsia" w:ascii="宋体" w:hAnsi="宋体" w:cs="宋体"/>
          <w:sz w:val="22"/>
          <w:szCs w:val="22"/>
          <w:highlight w:val="none"/>
          <w:lang w:val="en-US" w:eastAsia="zh-CN"/>
        </w:rPr>
        <w:t>特邀嘉宾的票务服务工作，航班、车次的预定、更改、出票等；</w:t>
      </w:r>
    </w:p>
    <w:p>
      <w:pPr>
        <w:keepNext w:val="0"/>
        <w:keepLines w:val="0"/>
        <w:pageBreakBefore w:val="0"/>
        <w:kinsoku/>
        <w:wordWrap/>
        <w:overflowPunct/>
        <w:topLinePunct w:val="0"/>
        <w:autoSpaceDE/>
        <w:autoSpaceDN/>
        <w:bidi w:val="0"/>
        <w:spacing w:line="356"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w:t>
      </w:r>
      <w:r>
        <w:rPr>
          <w:rFonts w:hint="eastAsia" w:ascii="宋体" w:hAnsi="宋体" w:cs="宋体"/>
          <w:sz w:val="22"/>
          <w:szCs w:val="22"/>
          <w:highlight w:val="none"/>
          <w:lang w:val="en-US" w:eastAsia="zh-CN"/>
        </w:rPr>
        <w:t>嘉宾迎送安</w:t>
      </w:r>
      <w:r>
        <w:rPr>
          <w:rFonts w:hint="eastAsia" w:ascii="宋体" w:hAnsi="宋体" w:cs="宋体"/>
          <w:sz w:val="22"/>
          <w:szCs w:val="22"/>
          <w:highlight w:val="none"/>
          <w:lang w:val="en-US" w:eastAsia="zh-CN"/>
        </w:rPr>
        <w:t>排（迎送服务站点：温州机场、温州南高铁站等）；</w:t>
      </w:r>
    </w:p>
    <w:p>
      <w:pPr>
        <w:keepNext w:val="0"/>
        <w:keepLines w:val="0"/>
        <w:pageBreakBefore w:val="0"/>
        <w:kinsoku/>
        <w:wordWrap/>
        <w:overflowPunct/>
        <w:topLinePunct w:val="0"/>
        <w:autoSpaceDE/>
        <w:autoSpaceDN/>
        <w:bidi w:val="0"/>
        <w:spacing w:line="356"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4）大会期间用车；</w:t>
      </w:r>
    </w:p>
    <w:p>
      <w:pPr>
        <w:keepNext w:val="0"/>
        <w:keepLines w:val="0"/>
        <w:pageBreakBefore w:val="0"/>
        <w:kinsoku/>
        <w:wordWrap/>
        <w:overflowPunct/>
        <w:topLinePunct w:val="0"/>
        <w:autoSpaceDE/>
        <w:autoSpaceDN/>
        <w:bidi w:val="0"/>
        <w:spacing w:line="356"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5）会务工作用车；</w:t>
      </w:r>
    </w:p>
    <w:p>
      <w:pPr>
        <w:keepNext w:val="0"/>
        <w:keepLines w:val="0"/>
        <w:pageBreakBefore w:val="0"/>
        <w:kinsoku/>
        <w:wordWrap/>
        <w:overflowPunct/>
        <w:topLinePunct w:val="0"/>
        <w:autoSpaceDE/>
        <w:autoSpaceDN/>
        <w:bidi w:val="0"/>
        <w:spacing w:line="356"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6）嘉宾住宿安排及酒店签到工作；</w:t>
      </w:r>
    </w:p>
    <w:p>
      <w:pPr>
        <w:keepNext w:val="0"/>
        <w:keepLines w:val="0"/>
        <w:pageBreakBefore w:val="0"/>
        <w:kinsoku/>
        <w:wordWrap/>
        <w:overflowPunct/>
        <w:topLinePunct w:val="0"/>
        <w:autoSpaceDE/>
        <w:autoSpaceDN/>
        <w:bidi w:val="0"/>
        <w:spacing w:line="356"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7）嘉宾的餐饮安排落实工作；</w:t>
      </w:r>
    </w:p>
    <w:p>
      <w:pPr>
        <w:keepNext w:val="0"/>
        <w:keepLines w:val="0"/>
        <w:pageBreakBefore w:val="0"/>
        <w:kinsoku/>
        <w:wordWrap/>
        <w:overflowPunct/>
        <w:topLinePunct w:val="0"/>
        <w:autoSpaceDE/>
        <w:autoSpaceDN/>
        <w:bidi w:val="0"/>
        <w:spacing w:line="356" w:lineRule="auto"/>
        <w:ind w:firstLine="660" w:firstLineChars="3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8）</w:t>
      </w:r>
      <w:r>
        <w:rPr>
          <w:rFonts w:hint="eastAsia" w:ascii="宋体" w:hAnsi="宋体" w:cs="宋体"/>
          <w:sz w:val="22"/>
          <w:szCs w:val="22"/>
          <w:highlight w:val="none"/>
          <w:lang w:val="en-US" w:eastAsia="zh-CN"/>
        </w:rPr>
        <w:t>会务接待志愿者招募、培训及实施，各类相关工作人员培训及实施。</w:t>
      </w:r>
    </w:p>
    <w:p>
      <w:pPr>
        <w:keepNext w:val="0"/>
        <w:keepLines w:val="0"/>
        <w:pageBreakBefore w:val="0"/>
        <w:kinsoku/>
        <w:wordWrap/>
        <w:overflowPunct/>
        <w:topLinePunct w:val="0"/>
        <w:autoSpaceDE/>
        <w:autoSpaceDN/>
        <w:bidi w:val="0"/>
        <w:spacing w:line="356" w:lineRule="auto"/>
        <w:ind w:firstLine="440" w:firstLineChars="2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（3）会议具体服务与组织实施要求：</w:t>
      </w:r>
    </w:p>
    <w:p>
      <w:pPr>
        <w:keepNext w:val="0"/>
        <w:keepLines w:val="0"/>
        <w:pageBreakBefore w:val="0"/>
        <w:widowControl/>
        <w:kinsoku/>
        <w:wordWrap/>
        <w:overflowPunct/>
        <w:topLinePunct w:val="0"/>
        <w:autoSpaceDE/>
        <w:autoSpaceDN/>
        <w:bidi w:val="0"/>
        <w:snapToGrid w:val="0"/>
        <w:spacing w:line="356" w:lineRule="auto"/>
        <w:ind w:firstLine="660" w:firstLineChars="300"/>
        <w:jc w:val="left"/>
        <w:textAlignment w:val="auto"/>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rPr>
        <w:t>运用信息化实现会议管理及服务的现代化，会前准备</w:t>
      </w:r>
      <w:r>
        <w:rPr>
          <w:rFonts w:hint="eastAsia" w:ascii="宋体" w:hAnsi="宋体"/>
          <w:color w:val="auto"/>
          <w:sz w:val="22"/>
          <w:szCs w:val="22"/>
          <w:highlight w:val="none"/>
          <w:lang w:eastAsia="zh-CN"/>
        </w:rPr>
        <w:t>、</w:t>
      </w:r>
      <w:r>
        <w:rPr>
          <w:rFonts w:hint="eastAsia" w:ascii="宋体" w:hAnsi="宋体"/>
          <w:color w:val="auto"/>
          <w:sz w:val="22"/>
          <w:szCs w:val="22"/>
          <w:highlight w:val="none"/>
        </w:rPr>
        <w:t>会中实施及会后质量反馈的信息化运用及管理等；</w:t>
      </w:r>
    </w:p>
    <w:p>
      <w:pPr>
        <w:keepNext w:val="0"/>
        <w:keepLines w:val="0"/>
        <w:pageBreakBefore w:val="0"/>
        <w:widowControl/>
        <w:kinsoku/>
        <w:wordWrap/>
        <w:overflowPunct/>
        <w:topLinePunct w:val="0"/>
        <w:autoSpaceDE/>
        <w:autoSpaceDN/>
        <w:bidi w:val="0"/>
        <w:snapToGrid w:val="0"/>
        <w:spacing w:line="356" w:lineRule="auto"/>
        <w:ind w:firstLine="660" w:firstLineChars="300"/>
        <w:jc w:val="left"/>
        <w:textAlignment w:val="auto"/>
        <w:rPr>
          <w:rFonts w:ascii="宋体" w:hAnsi="宋体"/>
          <w:color w:val="auto"/>
          <w:sz w:val="22"/>
          <w:szCs w:val="22"/>
          <w:highlight w:val="none"/>
        </w:rPr>
      </w:pPr>
      <w:r>
        <w:rPr>
          <w:rFonts w:hint="eastAsia" w:ascii="宋体" w:hAnsi="宋体"/>
          <w:color w:val="auto"/>
          <w:sz w:val="22"/>
          <w:szCs w:val="22"/>
          <w:highlight w:val="none"/>
        </w:rPr>
        <w:t>2）会务服务保障方案：</w:t>
      </w:r>
    </w:p>
    <w:p>
      <w:pPr>
        <w:keepNext w:val="0"/>
        <w:keepLines w:val="0"/>
        <w:pageBreakBefore w:val="0"/>
        <w:widowControl/>
        <w:kinsoku/>
        <w:wordWrap/>
        <w:overflowPunct/>
        <w:topLinePunct w:val="0"/>
        <w:autoSpaceDE/>
        <w:autoSpaceDN/>
        <w:bidi w:val="0"/>
        <w:snapToGrid w:val="0"/>
        <w:spacing w:line="356" w:lineRule="auto"/>
        <w:ind w:firstLine="550" w:firstLineChars="250"/>
        <w:jc w:val="left"/>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rPr>
        <w:t xml:space="preserve"> </w:t>
      </w:r>
      <w:r>
        <w:rPr>
          <w:rFonts w:hint="eastAsia" w:ascii="宋体" w:hAnsi="宋体"/>
          <w:color w:val="auto"/>
          <w:sz w:val="22"/>
          <w:szCs w:val="22"/>
          <w:highlight w:val="none"/>
          <w:lang w:val="en-US" w:eastAsia="zh-CN"/>
        </w:rPr>
        <w:t xml:space="preserve"> 根据侨创会服务标准，详细制定接待保障方案（包括迎送保障方案、交通保障方案、住宿保障方案、餐饮保障方案、人员服务保障方案等），要求接待标准明确，分类明晰，负责跟进嘉宾的邀请及接待工作，全方位保障受邀嘉宾的“吃、住、行”，联络并对接受邀嘉宾及团组，做好24小时在线会务咨询服务工作并根据人员航班信息和住宿需求，安排负责接送机车辆，保障车辆行驶通畅，做好车辆应急调度并为其安排酒店入住房间，享受“宾至如归”的礼宾服务，</w:t>
      </w:r>
      <w:r>
        <w:rPr>
          <w:rFonts w:hint="eastAsia" w:ascii="宋体" w:hAnsi="宋体"/>
          <w:color w:val="auto"/>
          <w:sz w:val="22"/>
          <w:szCs w:val="22"/>
          <w:highlight w:val="none"/>
          <w:lang w:val="en-US" w:eastAsia="zh-CN"/>
        </w:rPr>
        <w:t>同时做好参会嘉宾会议期间/非会议期间的用餐保障。</w:t>
      </w:r>
    </w:p>
    <w:p>
      <w:pPr>
        <w:keepNext w:val="0"/>
        <w:keepLines w:val="0"/>
        <w:pageBreakBefore w:val="0"/>
        <w:widowControl/>
        <w:kinsoku/>
        <w:wordWrap/>
        <w:overflowPunct/>
        <w:topLinePunct w:val="0"/>
        <w:autoSpaceDE/>
        <w:autoSpaceDN/>
        <w:bidi w:val="0"/>
        <w:snapToGrid w:val="0"/>
        <w:spacing w:line="356" w:lineRule="auto"/>
        <w:ind w:firstLine="440" w:firstLineChars="200"/>
        <w:jc w:val="left"/>
        <w:textAlignment w:val="auto"/>
        <w:rPr>
          <w:rFonts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）会议期间用车安排：</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hint="eastAsia" w:ascii="宋体" w:hAnsi="宋体"/>
          <w:color w:val="auto"/>
          <w:sz w:val="22"/>
          <w:szCs w:val="22"/>
          <w:highlight w:val="none"/>
        </w:rPr>
      </w:pPr>
      <w:r>
        <w:rPr>
          <w:rFonts w:hint="eastAsia" w:ascii="宋体" w:hAnsi="宋体"/>
          <w:color w:val="auto"/>
          <w:sz w:val="22"/>
          <w:szCs w:val="22"/>
          <w:highlight w:val="none"/>
        </w:rPr>
        <w:t>响应人应根据采购人要求，负责做好车辆的供应、调度、协调工作，并配备额外车辆备用，以保证车辆在</w:t>
      </w:r>
      <w:r>
        <w:rPr>
          <w:rFonts w:hint="eastAsia" w:ascii="宋体" w:hAnsi="宋体"/>
          <w:color w:val="auto"/>
          <w:sz w:val="22"/>
          <w:szCs w:val="22"/>
          <w:highlight w:val="none"/>
          <w:lang w:eastAsia="zh-CN"/>
        </w:rPr>
        <w:t>大会</w:t>
      </w:r>
      <w:r>
        <w:rPr>
          <w:rFonts w:hint="eastAsia" w:ascii="宋体" w:hAnsi="宋体"/>
          <w:color w:val="auto"/>
          <w:sz w:val="22"/>
          <w:szCs w:val="22"/>
          <w:highlight w:val="none"/>
        </w:rPr>
        <w:t>前期筹备及举行期间的正常、顺畅、安全使用，避免临时突发任务车辆不够的情形发生。负责协助交警，报备车辆、驾驶员、交通线路，安排车辆，提供车辆管理及跟车服务。本次</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保障用车车型须覆盖轿车、商务车（别克GL8同等档次）、考斯特、中巴及大巴。有突发情况下，采购人允许供应商以社会化用车平台</w:t>
      </w:r>
      <w:r>
        <w:rPr>
          <w:rFonts w:hint="eastAsia" w:ascii="宋体" w:hAnsi="宋体"/>
          <w:color w:val="auto"/>
          <w:sz w:val="22"/>
          <w:szCs w:val="22"/>
          <w:highlight w:val="none"/>
        </w:rPr>
        <w:t>（曹操、</w:t>
      </w:r>
      <w:r>
        <w:rPr>
          <w:rFonts w:hint="eastAsia" w:ascii="宋体" w:hAnsi="宋体"/>
          <w:color w:val="auto"/>
          <w:sz w:val="22"/>
          <w:szCs w:val="22"/>
          <w:highlight w:val="none"/>
          <w:lang w:val="en-US" w:eastAsia="zh-CN"/>
        </w:rPr>
        <w:t>滴滴</w:t>
      </w:r>
      <w:r>
        <w:rPr>
          <w:rFonts w:hint="eastAsia" w:ascii="宋体" w:hAnsi="宋体"/>
          <w:color w:val="auto"/>
          <w:sz w:val="22"/>
          <w:szCs w:val="22"/>
          <w:highlight w:val="none"/>
        </w:rPr>
        <w:t>同等档次</w:t>
      </w:r>
      <w:r>
        <w:rPr>
          <w:rFonts w:hint="eastAsia" w:ascii="宋体" w:hAnsi="宋体"/>
          <w:color w:val="auto"/>
          <w:sz w:val="22"/>
          <w:szCs w:val="22"/>
          <w:highlight w:val="none"/>
        </w:rPr>
        <w:t>）予以辅助，相关费用按实结算。应标文件中车辆保障方案须明确车辆品牌、座位数、服务车辆数量、车辆情况、停放安排以及驾驶员情况。</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）响应人负责做好与酒店的协调工作，提供</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期间嘉宾、工作人员等就餐服务，保证酒店在</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期间嘉宾就餐区域的舒适性、卫生及菜品数量和质量。</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w:t>
      </w:r>
      <w:r>
        <w:rPr>
          <w:rFonts w:hint="eastAsia" w:ascii="宋体" w:hAnsi="宋体"/>
          <w:color w:val="auto"/>
          <w:sz w:val="22"/>
          <w:szCs w:val="22"/>
          <w:highlight w:val="none"/>
        </w:rPr>
        <w:t>会务服务物料保障方案，含</w:t>
      </w:r>
      <w:r>
        <w:rPr>
          <w:rFonts w:hint="eastAsia" w:ascii="宋体" w:hAnsi="宋体"/>
          <w:color w:val="auto"/>
          <w:sz w:val="22"/>
          <w:szCs w:val="22"/>
          <w:highlight w:val="none"/>
          <w:lang w:val="en-US" w:eastAsia="zh-CN"/>
        </w:rPr>
        <w:t>部分</w:t>
      </w:r>
      <w:r>
        <w:rPr>
          <w:rFonts w:hint="eastAsia" w:ascii="宋体" w:hAnsi="宋体"/>
          <w:color w:val="auto"/>
          <w:sz w:val="22"/>
          <w:szCs w:val="22"/>
          <w:highlight w:val="none"/>
        </w:rPr>
        <w:t>会务资料</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如证件、</w:t>
      </w:r>
      <w:r>
        <w:rPr>
          <w:rFonts w:hint="eastAsia" w:ascii="宋体" w:hAnsi="宋体"/>
          <w:color w:val="auto"/>
          <w:sz w:val="22"/>
          <w:szCs w:val="22"/>
          <w:highlight w:val="none"/>
        </w:rPr>
        <w:t>标识牌、餐券、</w:t>
      </w:r>
      <w:r>
        <w:rPr>
          <w:rFonts w:hint="eastAsia" w:ascii="宋体" w:hAnsi="宋体"/>
          <w:color w:val="auto"/>
          <w:sz w:val="22"/>
          <w:szCs w:val="22"/>
          <w:highlight w:val="none"/>
          <w:lang w:val="en-US" w:eastAsia="zh-CN"/>
        </w:rPr>
        <w:t>车身布置</w:t>
      </w:r>
      <w:r>
        <w:rPr>
          <w:rFonts w:hint="eastAsia" w:ascii="宋体" w:hAnsi="宋体"/>
          <w:color w:val="auto"/>
          <w:sz w:val="22"/>
          <w:szCs w:val="22"/>
          <w:highlight w:val="none"/>
        </w:rPr>
        <w:t>及其他相关物料</w:t>
      </w:r>
      <w:r>
        <w:rPr>
          <w:rFonts w:hint="eastAsia" w:ascii="宋体" w:hAnsi="宋体"/>
          <w:color w:val="auto"/>
          <w:sz w:val="22"/>
          <w:szCs w:val="22"/>
          <w:highlight w:val="none"/>
          <w:lang w:val="en-US" w:eastAsia="zh-CN"/>
        </w:rPr>
        <w:t>制作、分发、回收</w:t>
      </w:r>
      <w:r>
        <w:rPr>
          <w:rFonts w:hint="eastAsia" w:ascii="宋体" w:hAnsi="宋体"/>
          <w:color w:val="auto"/>
          <w:sz w:val="22"/>
          <w:szCs w:val="22"/>
          <w:highlight w:val="none"/>
          <w:lang w:eastAsia="zh-CN"/>
        </w:rPr>
        <w:t>）</w:t>
      </w:r>
      <w:r>
        <w:rPr>
          <w:rFonts w:hint="eastAsia" w:ascii="宋体" w:hAnsi="宋体"/>
          <w:color w:val="auto"/>
          <w:sz w:val="22"/>
          <w:szCs w:val="22"/>
          <w:highlight w:val="none"/>
        </w:rPr>
        <w:t>。</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6</w:t>
      </w:r>
      <w:r>
        <w:rPr>
          <w:rFonts w:hint="eastAsia" w:ascii="宋体" w:hAnsi="宋体"/>
          <w:color w:val="auto"/>
          <w:sz w:val="22"/>
          <w:szCs w:val="22"/>
          <w:highlight w:val="none"/>
        </w:rPr>
        <w:t>）项目组应合理分工，协调配合各有关部门，做好消防安全、交通疏导、医疗卫生、食品安全等各方面的保障工作，确保</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安全、成功举办。</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7）负责综合保障工作：根据综合保障方案，做好网络保障、临时人员（含志愿者）招募、培训与管理等综合保障工作。</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）配合采购人进行消防、安保、医护等工作的实施</w:t>
      </w:r>
      <w:r>
        <w:rPr>
          <w:rFonts w:hint="eastAsia" w:ascii="宋体" w:hAnsi="宋体"/>
          <w:color w:val="auto"/>
          <w:sz w:val="22"/>
          <w:szCs w:val="22"/>
          <w:highlight w:val="none"/>
          <w:lang w:eastAsia="zh-CN"/>
        </w:rPr>
        <w:t>。</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酒店内部氛围营造（包括并不仅限大厅、过道、电梯间氛围布置等）。</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10）须确保大会嘉宾及相关信息的保密工作。</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highlight w:val="none"/>
        </w:rPr>
      </w:pPr>
      <w:r>
        <w:rPr>
          <w:rFonts w:hint="eastAsia" w:ascii="宋体" w:hAnsi="宋体"/>
          <w:color w:val="auto"/>
          <w:sz w:val="22"/>
          <w:szCs w:val="22"/>
          <w:highlight w:val="none"/>
          <w:lang w:val="en-US" w:eastAsia="zh-CN"/>
        </w:rPr>
        <w:t>11)</w:t>
      </w:r>
      <w:r>
        <w:rPr>
          <w:rFonts w:hint="eastAsia" w:ascii="宋体" w:hAnsi="宋体"/>
          <w:color w:val="auto"/>
          <w:sz w:val="22"/>
          <w:szCs w:val="22"/>
          <w:highlight w:val="none"/>
        </w:rPr>
        <w:t>采购人要求的与</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项目有关的其他工作。</w:t>
      </w:r>
    </w:p>
    <w:p>
      <w:pPr>
        <w:keepLines w:val="0"/>
        <w:pageBreakBefore w:val="0"/>
        <w:kinsoku/>
        <w:wordWrap/>
        <w:overflowPunct/>
        <w:topLinePunct w:val="0"/>
        <w:bidi w:val="0"/>
        <w:spacing w:line="356" w:lineRule="auto"/>
        <w:outlineLvl w:val="1"/>
        <w:rPr>
          <w:rFonts w:hint="eastAsia" w:ascii="新宋体" w:hAnsi="新宋体" w:eastAsia="新宋体"/>
          <w:b/>
          <w:color w:val="000000"/>
          <w:sz w:val="22"/>
          <w:highlight w:val="none"/>
          <w:lang w:eastAsia="zh-CN"/>
        </w:rPr>
      </w:pPr>
      <w:r>
        <w:rPr>
          <w:rFonts w:hint="eastAsia" w:ascii="宋体" w:hAnsi="宋体" w:cs="宋体"/>
          <w:b/>
          <w:color w:val="000000"/>
          <w:sz w:val="22"/>
          <w:szCs w:val="22"/>
          <w:highlight w:val="none"/>
          <w:lang w:eastAsia="zh-CN"/>
        </w:rPr>
        <w:t>三、</w:t>
      </w:r>
      <w:r>
        <w:rPr>
          <w:rFonts w:hint="eastAsia" w:ascii="新宋体" w:hAnsi="新宋体" w:eastAsia="新宋体"/>
          <w:b/>
          <w:color w:val="000000"/>
          <w:sz w:val="22"/>
          <w:highlight w:val="none"/>
        </w:rPr>
        <w:t>项目</w:t>
      </w:r>
      <w:r>
        <w:rPr>
          <w:rFonts w:hint="eastAsia" w:ascii="新宋体" w:hAnsi="新宋体" w:eastAsia="新宋体"/>
          <w:b/>
          <w:color w:val="000000"/>
          <w:sz w:val="22"/>
          <w:highlight w:val="none"/>
          <w:lang w:eastAsia="zh-CN"/>
        </w:rPr>
        <w:t>团队人员配置要求</w:t>
      </w:r>
    </w:p>
    <w:p>
      <w:pPr>
        <w:keepLines w:val="0"/>
        <w:pageBreakBefore w:val="0"/>
        <w:kinsoku/>
        <w:wordWrap/>
        <w:overflowPunct/>
        <w:topLinePunct w:val="0"/>
        <w:bidi w:val="0"/>
        <w:spacing w:line="356" w:lineRule="auto"/>
        <w:outlineLvl w:val="1"/>
        <w:rPr>
          <w:rFonts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）人员配置</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hint="eastAsia"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）供应商须构建由足够数量的各类专业服务人员组成的项目服务团队为本项目服务，团队负责人应有较强的组织领导能力和综合协调能力，具有专业的</w:t>
      </w:r>
      <w:r>
        <w:rPr>
          <w:rFonts w:hint="eastAsia" w:ascii="宋体" w:hAnsi="宋体"/>
          <w:color w:val="auto"/>
          <w:sz w:val="22"/>
          <w:szCs w:val="22"/>
          <w:highlight w:val="none"/>
          <w:lang w:eastAsia="zh-CN"/>
        </w:rPr>
        <w:t>活动</w:t>
      </w:r>
      <w:r>
        <w:rPr>
          <w:rFonts w:hint="eastAsia" w:ascii="宋体" w:hAnsi="宋体"/>
          <w:color w:val="auto"/>
          <w:sz w:val="22"/>
          <w:szCs w:val="22"/>
          <w:highlight w:val="none"/>
        </w:rPr>
        <w:t>组织</w:t>
      </w:r>
      <w:r>
        <w:rPr>
          <w:rFonts w:hint="eastAsia" w:ascii="宋体" w:hAnsi="宋体"/>
          <w:color w:val="auto"/>
          <w:sz w:val="22"/>
          <w:szCs w:val="22"/>
          <w:highlight w:val="none"/>
          <w:lang w:eastAsia="zh-CN"/>
        </w:rPr>
        <w:t>接待</w:t>
      </w:r>
      <w:r>
        <w:rPr>
          <w:rFonts w:hint="eastAsia" w:ascii="宋体" w:hAnsi="宋体"/>
          <w:color w:val="auto"/>
          <w:sz w:val="22"/>
          <w:szCs w:val="22"/>
          <w:highlight w:val="none"/>
        </w:rPr>
        <w:t>、</w:t>
      </w:r>
      <w:r>
        <w:rPr>
          <w:rFonts w:hint="eastAsia" w:ascii="宋体" w:hAnsi="宋体"/>
          <w:color w:val="auto"/>
          <w:sz w:val="22"/>
          <w:szCs w:val="22"/>
          <w:highlight w:val="none"/>
          <w:lang w:eastAsia="zh-CN"/>
        </w:rPr>
        <w:t>协调</w:t>
      </w:r>
      <w:r>
        <w:rPr>
          <w:rFonts w:hint="eastAsia" w:ascii="宋体" w:hAnsi="宋体"/>
          <w:color w:val="auto"/>
          <w:sz w:val="22"/>
          <w:szCs w:val="22"/>
          <w:highlight w:val="none"/>
        </w:rPr>
        <w:t>与管理能力；具有承担相类似大会组织</w:t>
      </w:r>
      <w:r>
        <w:rPr>
          <w:rFonts w:hint="eastAsia" w:ascii="宋体" w:hAnsi="宋体"/>
          <w:color w:val="auto"/>
          <w:sz w:val="22"/>
          <w:szCs w:val="22"/>
          <w:highlight w:val="none"/>
          <w:lang w:eastAsia="zh-CN"/>
        </w:rPr>
        <w:t>保障</w:t>
      </w:r>
      <w:r>
        <w:rPr>
          <w:rFonts w:hint="eastAsia" w:ascii="宋体" w:hAnsi="宋体"/>
          <w:color w:val="auto"/>
          <w:sz w:val="22"/>
          <w:szCs w:val="22"/>
          <w:highlight w:val="none"/>
        </w:rPr>
        <w:t>等经验。供应商须在响应文件中提供详细团队人员组成清单。中标后，团队负责人和主要成员未经招标人书面同意不得更换。</w:t>
      </w:r>
    </w:p>
    <w:p>
      <w:pPr>
        <w:keepNext w:val="0"/>
        <w:keepLines w:val="0"/>
        <w:pageBreakBefore w:val="0"/>
        <w:widowControl/>
        <w:kinsoku/>
        <w:wordWrap/>
        <w:overflowPunct/>
        <w:topLinePunct w:val="0"/>
        <w:autoSpaceDE/>
        <w:autoSpaceDN/>
        <w:bidi w:val="0"/>
        <w:spacing w:line="356" w:lineRule="auto"/>
        <w:ind w:firstLine="630" w:firstLineChars="300"/>
        <w:jc w:val="left"/>
        <w:textAlignment w:val="auto"/>
        <w:rPr>
          <w:highlight w:val="none"/>
        </w:rPr>
      </w:pPr>
      <w:r>
        <w:rPr>
          <w:rFonts w:hint="eastAsia" w:ascii="宋体" w:hAnsi="宋体" w:cs="宋体"/>
          <w:szCs w:val="21"/>
          <w:highlight w:val="none"/>
          <w:lang w:val="en-US" w:eastAsia="zh-CN"/>
        </w:rPr>
        <w:t>本项目要求</w:t>
      </w:r>
      <w:r>
        <w:rPr>
          <w:rFonts w:hint="eastAsia" w:ascii="宋体" w:hAnsi="宋体" w:cs="宋体"/>
          <w:szCs w:val="21"/>
          <w:highlight w:val="none"/>
          <w:lang w:eastAsia="zh-CN"/>
        </w:rPr>
        <w:t>总负责人</w:t>
      </w:r>
      <w:r>
        <w:rPr>
          <w:rFonts w:hint="eastAsia" w:ascii="宋体" w:hAnsi="宋体" w:cs="宋体"/>
          <w:szCs w:val="21"/>
          <w:highlight w:val="none"/>
          <w:lang w:val="en-US" w:eastAsia="zh-CN"/>
        </w:rPr>
        <w:t>1人，整个团队不少于20人</w:t>
      </w:r>
      <w:r>
        <w:rPr>
          <w:rFonts w:hint="eastAsia" w:ascii="宋体" w:hAnsi="宋体" w:cs="宋体"/>
          <w:szCs w:val="21"/>
          <w:highlight w:val="none"/>
          <w:lang w:eastAsia="zh-CN"/>
        </w:rPr>
        <w:t>，</w:t>
      </w:r>
      <w:r>
        <w:rPr>
          <w:rFonts w:hint="eastAsia" w:ascii="宋体" w:hAnsi="宋体" w:eastAsia="宋体" w:cs="宋体"/>
          <w:color w:val="auto"/>
          <w:sz w:val="22"/>
          <w:szCs w:val="22"/>
          <w:highlight w:val="none"/>
        </w:rPr>
        <w:t>专班下设4个专项工作小组</w:t>
      </w:r>
      <w:r>
        <w:rPr>
          <w:rFonts w:hint="eastAsia" w:ascii="宋体" w:hAnsi="宋体" w:eastAsia="宋体" w:cs="宋体"/>
          <w:color w:val="auto"/>
          <w:sz w:val="22"/>
          <w:szCs w:val="22"/>
          <w:highlight w:val="none"/>
          <w:lang w:eastAsia="zh-CN"/>
        </w:rPr>
        <w:t>，嘉宾联络组</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接送报</w:t>
      </w:r>
      <w:r>
        <w:rPr>
          <w:rFonts w:hint="eastAsia" w:ascii="宋体" w:hAnsi="宋体" w:cs="宋体"/>
          <w:color w:val="auto"/>
          <w:sz w:val="22"/>
          <w:szCs w:val="22"/>
          <w:highlight w:val="none"/>
          <w:lang w:val="en-US" w:eastAsia="zh-CN"/>
        </w:rPr>
        <w:t>到</w:t>
      </w:r>
      <w:r>
        <w:rPr>
          <w:rFonts w:hint="eastAsia" w:ascii="宋体" w:hAnsi="宋体" w:eastAsia="宋体" w:cs="宋体"/>
          <w:color w:val="auto"/>
          <w:sz w:val="22"/>
          <w:szCs w:val="22"/>
          <w:highlight w:val="none"/>
          <w:lang w:eastAsia="zh-CN"/>
        </w:rPr>
        <w:t>组、</w:t>
      </w:r>
      <w:r>
        <w:rPr>
          <w:rFonts w:hint="eastAsia" w:ascii="宋体" w:hAnsi="宋体"/>
          <w:color w:val="auto"/>
          <w:sz w:val="22"/>
          <w:szCs w:val="22"/>
          <w:highlight w:val="none"/>
        </w:rPr>
        <w:t>会务服务</w:t>
      </w:r>
      <w:r>
        <w:rPr>
          <w:rFonts w:hint="eastAsia" w:ascii="宋体" w:hAnsi="宋体"/>
          <w:color w:val="auto"/>
          <w:sz w:val="22"/>
          <w:szCs w:val="22"/>
          <w:highlight w:val="none"/>
          <w:lang w:eastAsia="zh-CN"/>
        </w:rPr>
        <w:t>组、</w:t>
      </w:r>
      <w:r>
        <w:rPr>
          <w:rFonts w:hint="eastAsia" w:ascii="宋体" w:hAnsi="宋体" w:eastAsia="宋体" w:cs="宋体"/>
          <w:color w:val="auto"/>
          <w:sz w:val="22"/>
          <w:szCs w:val="22"/>
          <w:highlight w:val="none"/>
          <w:lang w:eastAsia="zh-CN"/>
        </w:rPr>
        <w:t>后勤保障组</w:t>
      </w:r>
      <w:r>
        <w:rPr>
          <w:rFonts w:hint="eastAsia" w:ascii="宋体" w:hAnsi="宋体"/>
          <w:color w:val="auto"/>
          <w:sz w:val="22"/>
          <w:szCs w:val="22"/>
          <w:highlight w:val="none"/>
        </w:rPr>
        <w:t>。</w:t>
      </w:r>
      <w:r>
        <w:rPr>
          <w:rFonts w:hint="eastAsia" w:ascii="宋体" w:hAnsi="宋体" w:cs="宋体"/>
          <w:szCs w:val="21"/>
          <w:highlight w:val="none"/>
        </w:rPr>
        <w:t>本项目各服务内容具体工作人员</w:t>
      </w:r>
      <w:r>
        <w:rPr>
          <w:rFonts w:hint="eastAsia" w:ascii="宋体" w:hAnsi="宋体" w:cs="宋体"/>
          <w:szCs w:val="21"/>
          <w:highlight w:val="none"/>
          <w:lang w:val="en-US" w:eastAsia="zh-CN"/>
        </w:rPr>
        <w:t>数量</w:t>
      </w:r>
      <w:r>
        <w:rPr>
          <w:rFonts w:hint="eastAsia" w:ascii="宋体" w:hAnsi="宋体" w:cs="宋体"/>
          <w:szCs w:val="21"/>
          <w:highlight w:val="none"/>
        </w:rPr>
        <w:t>按需配备。</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ascii="宋体" w:hAnsi="宋体"/>
          <w:color w:val="auto"/>
          <w:sz w:val="22"/>
          <w:szCs w:val="22"/>
          <w:highlight w:val="none"/>
        </w:rPr>
      </w:pPr>
      <w:r>
        <w:rPr>
          <w:rFonts w:hint="eastAsia" w:ascii="宋体" w:hAnsi="宋体"/>
          <w:color w:val="auto"/>
          <w:sz w:val="22"/>
          <w:szCs w:val="22"/>
          <w:highlight w:val="none"/>
        </w:rPr>
        <w:t>2）专班人员要求：活动筹备前（具体时间由采购人确定）：供应商需指派项目团队成员参与专班办公前期筹备（该期间派遣项目人员直至</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开幕式前10天有关薪酬、补贴、食宿、交通、保险和办公等费用已包含在供应商服务费里，另有特殊约定除外）；</w:t>
      </w:r>
    </w:p>
    <w:p>
      <w:pPr>
        <w:keepNext w:val="0"/>
        <w:keepLines w:val="0"/>
        <w:pageBreakBefore w:val="0"/>
        <w:widowControl/>
        <w:kinsoku/>
        <w:wordWrap/>
        <w:overflowPunct/>
        <w:topLinePunct w:val="0"/>
        <w:autoSpaceDE/>
        <w:autoSpaceDN/>
        <w:bidi w:val="0"/>
        <w:snapToGrid w:val="0"/>
        <w:spacing w:line="356" w:lineRule="auto"/>
        <w:ind w:firstLine="480"/>
        <w:jc w:val="left"/>
        <w:textAlignment w:val="auto"/>
        <w:rPr>
          <w:rFonts w:ascii="宋体" w:hAnsi="宋体"/>
          <w:color w:val="auto"/>
          <w:sz w:val="22"/>
          <w:szCs w:val="22"/>
          <w:highlight w:val="none"/>
        </w:rPr>
      </w:pPr>
      <w:r>
        <w:rPr>
          <w:rFonts w:hint="eastAsia" w:ascii="宋体" w:hAnsi="宋体"/>
          <w:color w:val="auto"/>
          <w:sz w:val="22"/>
          <w:szCs w:val="22"/>
          <w:highlight w:val="none"/>
        </w:rPr>
        <w:t>3）现场执行人员要求：</w:t>
      </w:r>
      <w:r>
        <w:rPr>
          <w:rFonts w:hint="eastAsia" w:ascii="宋体" w:hAnsi="宋体"/>
          <w:color w:val="auto"/>
          <w:sz w:val="22"/>
          <w:szCs w:val="22"/>
          <w:highlight w:val="none"/>
        </w:rPr>
        <w:t>在</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开幕式前10天，</w:t>
      </w:r>
      <w:r>
        <w:rPr>
          <w:rFonts w:hint="eastAsia" w:ascii="宋体" w:hAnsi="宋体" w:cs="宋体"/>
          <w:color w:val="auto"/>
          <w:sz w:val="22"/>
          <w:szCs w:val="22"/>
          <w:highlight w:val="none"/>
        </w:rPr>
        <w:t>不少于</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名</w:t>
      </w:r>
      <w:r>
        <w:rPr>
          <w:rFonts w:hint="eastAsia" w:ascii="宋体" w:hAnsi="宋体"/>
          <w:color w:val="auto"/>
          <w:sz w:val="22"/>
          <w:szCs w:val="22"/>
          <w:highlight w:val="none"/>
        </w:rPr>
        <w:t>项目现场执行人员入驻</w:t>
      </w:r>
      <w:r>
        <w:rPr>
          <w:rFonts w:hint="eastAsia" w:ascii="宋体" w:hAnsi="宋体"/>
          <w:color w:val="auto"/>
          <w:sz w:val="22"/>
          <w:szCs w:val="22"/>
          <w:highlight w:val="none"/>
          <w:lang w:eastAsia="zh-CN"/>
        </w:rPr>
        <w:t>温州市委统战部</w:t>
      </w:r>
      <w:r>
        <w:rPr>
          <w:rFonts w:hint="eastAsia" w:ascii="宋体" w:hAnsi="宋体"/>
          <w:color w:val="auto"/>
          <w:sz w:val="22"/>
          <w:szCs w:val="22"/>
          <w:highlight w:val="none"/>
        </w:rPr>
        <w:t>指定区域办公，协调、服务相关会务工作；</w:t>
      </w:r>
      <w:r>
        <w:rPr>
          <w:rFonts w:hint="eastAsia" w:ascii="宋体" w:hAnsi="宋体"/>
          <w:color w:val="auto"/>
          <w:sz w:val="22"/>
          <w:szCs w:val="22"/>
          <w:highlight w:val="none"/>
          <w:lang w:eastAsia="zh-CN"/>
        </w:rPr>
        <w:t>侨创会</w:t>
      </w:r>
      <w:r>
        <w:rPr>
          <w:rFonts w:hint="eastAsia" w:ascii="宋体" w:hAnsi="宋体"/>
          <w:color w:val="auto"/>
          <w:sz w:val="22"/>
          <w:szCs w:val="22"/>
          <w:highlight w:val="none"/>
        </w:rPr>
        <w:t>开幕式前后每位嘉宾入住酒店、机场、火车站</w:t>
      </w:r>
      <w:r>
        <w:rPr>
          <w:rFonts w:hint="eastAsia" w:ascii="宋体" w:hAnsi="宋体"/>
          <w:color w:val="auto"/>
          <w:sz w:val="22"/>
          <w:szCs w:val="22"/>
          <w:highlight w:val="none"/>
          <w:lang w:eastAsia="zh-CN"/>
        </w:rPr>
        <w:t>等</w:t>
      </w:r>
      <w:r>
        <w:rPr>
          <w:rFonts w:hint="eastAsia" w:ascii="宋体" w:hAnsi="宋体"/>
          <w:color w:val="auto"/>
          <w:sz w:val="22"/>
          <w:szCs w:val="22"/>
          <w:highlight w:val="none"/>
        </w:rPr>
        <w:t>安排驻点工作人员负责嘉宾报到、登记协调、餐饮协调、交通安排、志愿者管理、会务综合协调服务等工作。</w:t>
      </w:r>
    </w:p>
    <w:p>
      <w:pPr>
        <w:keepNext w:val="0"/>
        <w:keepLines w:val="0"/>
        <w:pageBreakBefore w:val="0"/>
        <w:kinsoku/>
        <w:wordWrap/>
        <w:overflowPunct/>
        <w:topLinePunct w:val="0"/>
        <w:autoSpaceDE/>
        <w:autoSpaceDN/>
        <w:bidi w:val="0"/>
        <w:spacing w:line="356" w:lineRule="auto"/>
        <w:textAlignment w:val="auto"/>
        <w:outlineLvl w:val="1"/>
        <w:rPr>
          <w:rFonts w:hint="eastAsia" w:ascii="宋体" w:hAnsi="宋体" w:eastAsia="新宋体" w:cs="宋体"/>
          <w:color w:val="auto"/>
          <w:sz w:val="22"/>
          <w:szCs w:val="22"/>
          <w:highlight w:val="none"/>
          <w:lang w:eastAsia="zh-CN"/>
        </w:rPr>
      </w:pPr>
      <w:r>
        <w:rPr>
          <w:rFonts w:hint="eastAsia" w:ascii="宋体" w:hAnsi="宋体" w:cs="宋体"/>
          <w:b/>
          <w:color w:val="auto"/>
          <w:sz w:val="22"/>
          <w:szCs w:val="22"/>
          <w:highlight w:val="none"/>
          <w:lang w:eastAsia="zh-CN"/>
        </w:rPr>
        <w:t>四、</w:t>
      </w:r>
      <w:r>
        <w:rPr>
          <w:rFonts w:hint="eastAsia" w:ascii="新宋体" w:hAnsi="新宋体" w:eastAsia="新宋体"/>
          <w:b/>
          <w:color w:val="000000"/>
          <w:sz w:val="22"/>
          <w:highlight w:val="none"/>
        </w:rPr>
        <w:t>项目</w:t>
      </w:r>
      <w:r>
        <w:rPr>
          <w:rFonts w:hint="eastAsia" w:ascii="宋体" w:hAnsi="宋体" w:cs="宋体"/>
          <w:b/>
          <w:color w:val="000000"/>
          <w:sz w:val="22"/>
          <w:szCs w:val="22"/>
          <w:highlight w:val="none"/>
          <w:lang w:eastAsia="zh-CN"/>
        </w:rPr>
        <w:t>组织和服务要求</w:t>
      </w:r>
    </w:p>
    <w:p>
      <w:pPr>
        <w:keepNext w:val="0"/>
        <w:keepLines w:val="0"/>
        <w:pageBreakBefore w:val="0"/>
        <w:widowControl/>
        <w:kinsoku/>
        <w:wordWrap/>
        <w:overflowPunct/>
        <w:topLinePunct w:val="0"/>
        <w:autoSpaceDE/>
        <w:autoSpaceDN/>
        <w:bidi w:val="0"/>
        <w:spacing w:line="356" w:lineRule="auto"/>
        <w:ind w:firstLine="431" w:firstLineChars="196"/>
        <w:textAlignment w:val="auto"/>
        <w:rPr>
          <w:rFonts w:hint="eastAsia" w:ascii="宋体" w:hAnsi="宋体" w:cs="宋体"/>
          <w:bCs/>
          <w:color w:val="auto"/>
          <w:spacing w:val="-4"/>
          <w:sz w:val="22"/>
          <w:szCs w:val="22"/>
          <w:highlight w:val="none"/>
        </w:rPr>
      </w:pP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配合会务服务项目进度管理，配合项目进度汇报、中期检查、总结、验收、结算、绩效考评、审计等。</w:t>
      </w:r>
    </w:p>
    <w:p>
      <w:pPr>
        <w:keepNext w:val="0"/>
        <w:keepLines w:val="0"/>
        <w:pageBreakBefore w:val="0"/>
        <w:kinsoku/>
        <w:wordWrap/>
        <w:overflowPunct/>
        <w:topLinePunct w:val="0"/>
        <w:autoSpaceDE/>
        <w:autoSpaceDN/>
        <w:bidi w:val="0"/>
        <w:snapToGrid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）服务要求</w:t>
      </w:r>
    </w:p>
    <w:p>
      <w:pPr>
        <w:keepNext w:val="0"/>
        <w:keepLines w:val="0"/>
        <w:pageBreakBefore w:val="0"/>
        <w:kinsoku/>
        <w:wordWrap/>
        <w:overflowPunct/>
        <w:topLinePunct w:val="0"/>
        <w:autoSpaceDE/>
        <w:autoSpaceDN/>
        <w:bidi w:val="0"/>
        <w:snapToGrid w:val="0"/>
        <w:spacing w:line="356" w:lineRule="auto"/>
        <w:ind w:firstLine="510"/>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供应商必须根据本次采购文件所制定的目标和范围，提出相应的活动方案，并作为响应文件的一部分提交。</w:t>
      </w:r>
    </w:p>
    <w:p>
      <w:pPr>
        <w:keepNext w:val="0"/>
        <w:keepLines w:val="0"/>
        <w:pageBreakBefore w:val="0"/>
        <w:kinsoku/>
        <w:wordWrap/>
        <w:overflowPunct/>
        <w:topLinePunct w:val="0"/>
        <w:autoSpaceDE/>
        <w:autoSpaceDN/>
        <w:bidi w:val="0"/>
        <w:snapToGrid w:val="0"/>
        <w:spacing w:line="356" w:lineRule="auto"/>
        <w:ind w:firstLine="51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供应商应在响应文件中明确承诺对用户的服务响应时间情况。</w:t>
      </w:r>
    </w:p>
    <w:p>
      <w:pPr>
        <w:keepNext w:val="0"/>
        <w:keepLines w:val="0"/>
        <w:pageBreakBefore w:val="0"/>
        <w:kinsoku/>
        <w:wordWrap/>
        <w:overflowPunct/>
        <w:topLinePunct w:val="0"/>
        <w:autoSpaceDE/>
        <w:autoSpaceDN/>
        <w:bidi w:val="0"/>
        <w:snapToGrid w:val="0"/>
        <w:spacing w:line="356" w:lineRule="auto"/>
        <w:ind w:firstLine="51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供应商须在</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rPr>
        <w:t>时明确项目组成员及各阶段驻现场人员，承诺项目在实施期间常驻人员情况。</w:t>
      </w:r>
    </w:p>
    <w:p>
      <w:pPr>
        <w:keepNext w:val="0"/>
        <w:keepLines w:val="0"/>
        <w:pageBreakBefore w:val="0"/>
        <w:kinsoku/>
        <w:wordWrap/>
        <w:overflowPunct/>
        <w:topLinePunct w:val="0"/>
        <w:autoSpaceDE/>
        <w:autoSpaceDN/>
        <w:bidi w:val="0"/>
        <w:snapToGrid w:val="0"/>
        <w:spacing w:line="356" w:lineRule="auto"/>
        <w:ind w:firstLine="51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成交人不得在未经采购人允许的情况下更改响应文件中投入的人员，否则视作成交人违约处理，采购人有权解除合同。</w:t>
      </w:r>
    </w:p>
    <w:p>
      <w:pPr>
        <w:keepNext w:val="0"/>
        <w:keepLines w:val="0"/>
        <w:pageBreakBefore w:val="0"/>
        <w:kinsoku/>
        <w:wordWrap/>
        <w:overflowPunct/>
        <w:topLinePunct w:val="0"/>
        <w:autoSpaceDE/>
        <w:autoSpaceDN/>
        <w:bidi w:val="0"/>
        <w:snapToGrid w:val="0"/>
        <w:spacing w:line="356" w:lineRule="auto"/>
        <w:ind w:firstLine="51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供应商具有完善的实施响应方案、进度安排、保证项目质量、人员到位服务承诺。</w:t>
      </w:r>
    </w:p>
    <w:p>
      <w:pPr>
        <w:keepNext w:val="0"/>
        <w:keepLines w:val="0"/>
        <w:pageBreakBefore w:val="0"/>
        <w:kinsoku/>
        <w:wordWrap/>
        <w:overflowPunct/>
        <w:topLinePunct w:val="0"/>
        <w:autoSpaceDE/>
        <w:autoSpaceDN/>
        <w:bidi w:val="0"/>
        <w:spacing w:line="356" w:lineRule="auto"/>
        <w:textAlignment w:val="auto"/>
        <w:outlineLvl w:val="1"/>
        <w:rPr>
          <w:rFonts w:hint="eastAsia" w:ascii="宋体" w:hAnsi="宋体" w:eastAsia="宋体" w:cs="宋体"/>
          <w:color w:val="auto"/>
          <w:sz w:val="22"/>
          <w:szCs w:val="22"/>
          <w:highlight w:val="none"/>
          <w:lang w:eastAsia="zh-CN"/>
        </w:rPr>
      </w:pPr>
      <w:r>
        <w:rPr>
          <w:rFonts w:hint="eastAsia" w:ascii="宋体" w:hAnsi="宋体" w:cs="宋体"/>
          <w:b/>
          <w:color w:val="auto"/>
          <w:sz w:val="22"/>
          <w:szCs w:val="22"/>
          <w:highlight w:val="none"/>
          <w:lang w:eastAsia="zh-CN"/>
        </w:rPr>
        <w:t>五、</w:t>
      </w:r>
      <w:r>
        <w:rPr>
          <w:rFonts w:hint="eastAsia" w:ascii="新宋体" w:hAnsi="新宋体" w:eastAsia="新宋体"/>
          <w:b/>
          <w:sz w:val="22"/>
          <w:highlight w:val="none"/>
          <w:lang w:eastAsia="zh-CN"/>
        </w:rPr>
        <w:t>报价要求</w:t>
      </w:r>
    </w:p>
    <w:p>
      <w:pPr>
        <w:keepNext w:val="0"/>
        <w:keepLines w:val="0"/>
        <w:pageBreakBefore w:val="0"/>
        <w:kinsoku/>
        <w:wordWrap/>
        <w:overflowPunct/>
        <w:topLinePunct w:val="0"/>
        <w:autoSpaceDE/>
        <w:autoSpaceDN/>
        <w:bidi w:val="0"/>
        <w:snapToGrid w:val="0"/>
        <w:spacing w:line="356" w:lineRule="auto"/>
        <w:ind w:firstLine="431" w:firstLineChars="19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服务时间：</w:t>
      </w:r>
      <w:r>
        <w:rPr>
          <w:rFonts w:hint="eastAsia" w:ascii="宋体" w:hAnsi="宋体" w:eastAsia="宋体" w:cs="宋体"/>
          <w:bCs/>
          <w:color w:val="auto"/>
          <w:sz w:val="22"/>
          <w:szCs w:val="22"/>
          <w:highlight w:val="none"/>
        </w:rPr>
        <w:t>计划于202</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年</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rPr>
        <w:t>月</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服务地点：中国温州</w:t>
      </w:r>
      <w:r>
        <w:rPr>
          <w:rFonts w:hint="eastAsia" w:ascii="宋体" w:hAnsi="宋体" w:eastAsia="宋体" w:cs="宋体"/>
          <w:bCs/>
          <w:color w:val="auto"/>
          <w:sz w:val="22"/>
          <w:szCs w:val="22"/>
          <w:highlight w:val="none"/>
        </w:rPr>
        <w:t>。</w:t>
      </w:r>
    </w:p>
    <w:p>
      <w:pPr>
        <w:keepNext w:val="0"/>
        <w:keepLines w:val="0"/>
        <w:pageBreakBefore w:val="0"/>
        <w:kinsoku/>
        <w:wordWrap/>
        <w:overflowPunct/>
        <w:topLinePunct w:val="0"/>
        <w:autoSpaceDE/>
        <w:autoSpaceDN/>
        <w:bidi w:val="0"/>
        <w:snapToGrid w:val="0"/>
        <w:spacing w:line="356" w:lineRule="auto"/>
        <w:ind w:firstLine="431" w:firstLineChars="196"/>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 xml:space="preserve">）报价要求 </w:t>
      </w:r>
    </w:p>
    <w:p>
      <w:pPr>
        <w:keepNext w:val="0"/>
        <w:keepLines w:val="0"/>
        <w:pageBreakBefore w:val="0"/>
        <w:kinsoku/>
        <w:wordWrap/>
        <w:overflowPunct/>
        <w:topLinePunct w:val="0"/>
        <w:autoSpaceDE/>
        <w:autoSpaceDN/>
        <w:bidi w:val="0"/>
        <w:snapToGrid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报价必须综合考虑包含完成采购范围内全部工作及提交成果资料所需的一切费用，承担所有邀请嘉宾在活动期间的食宿费、交通费、</w:t>
      </w:r>
      <w:r>
        <w:rPr>
          <w:rFonts w:hint="eastAsia" w:ascii="宋体" w:hAnsi="宋体" w:cs="宋体"/>
          <w:bCs/>
          <w:color w:val="auto"/>
          <w:sz w:val="22"/>
          <w:szCs w:val="22"/>
          <w:highlight w:val="none"/>
          <w:lang w:val="en-US" w:eastAsia="zh-CN"/>
        </w:rPr>
        <w:t>专家费、现</w:t>
      </w:r>
      <w:bookmarkStart w:id="88" w:name="_GoBack"/>
      <w:r>
        <w:rPr>
          <w:rFonts w:hint="eastAsia" w:ascii="宋体" w:hAnsi="宋体" w:cs="宋体"/>
          <w:bCs/>
          <w:color w:val="auto"/>
          <w:sz w:val="22"/>
          <w:szCs w:val="22"/>
          <w:highlight w:val="none"/>
          <w:lang w:val="en-US" w:eastAsia="zh-CN"/>
        </w:rPr>
        <w:t>场执行人员的食宿费及交通费、酒店</w:t>
      </w:r>
      <w:r>
        <w:rPr>
          <w:rFonts w:hint="eastAsia" w:ascii="宋体" w:hAnsi="宋体" w:cs="宋体"/>
          <w:bCs/>
          <w:color w:val="auto"/>
          <w:sz w:val="22"/>
          <w:szCs w:val="22"/>
          <w:highlight w:val="none"/>
        </w:rPr>
        <w:t>后勤杂费，志愿者培训（礼仪、急救、会务业务），会务服务策划、</w:t>
      </w:r>
      <w:r>
        <w:rPr>
          <w:rFonts w:hint="eastAsia" w:ascii="宋体" w:hAnsi="宋体" w:cs="宋体"/>
          <w:bCs/>
          <w:color w:val="auto"/>
          <w:sz w:val="22"/>
          <w:szCs w:val="22"/>
          <w:highlight w:val="none"/>
          <w:lang w:val="en-US" w:eastAsia="zh-CN"/>
        </w:rPr>
        <w:t>场地租赁费</w:t>
      </w:r>
      <w:r>
        <w:rPr>
          <w:rFonts w:hint="eastAsia" w:ascii="宋体" w:hAnsi="宋体" w:cs="宋体"/>
          <w:bCs/>
          <w:color w:val="auto"/>
          <w:sz w:val="22"/>
          <w:szCs w:val="22"/>
          <w:highlight w:val="none"/>
          <w:lang w:val="en-US" w:eastAsia="zh-CN"/>
        </w:rPr>
        <w:t>、酒店内氛围布置</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其他</w:t>
      </w:r>
      <w:r>
        <w:rPr>
          <w:rFonts w:hint="eastAsia" w:ascii="宋体" w:hAnsi="宋体" w:cs="宋体"/>
          <w:bCs/>
          <w:color w:val="auto"/>
          <w:sz w:val="22"/>
          <w:szCs w:val="22"/>
          <w:highlight w:val="none"/>
        </w:rPr>
        <w:t>人力物力成本、差旅费、物料费、管理费、利润、税金、验收费等所有工作</w:t>
      </w:r>
      <w:r>
        <w:rPr>
          <w:rFonts w:hint="eastAsia" w:ascii="宋体" w:hAnsi="宋体" w:cs="宋体"/>
          <w:bCs/>
          <w:color w:val="auto"/>
          <w:sz w:val="22"/>
          <w:szCs w:val="22"/>
          <w:highlight w:val="none"/>
          <w:lang w:val="en-US" w:eastAsia="zh-CN"/>
        </w:rPr>
        <w:t>的</w:t>
      </w:r>
      <w:r>
        <w:rPr>
          <w:rFonts w:hint="eastAsia" w:ascii="宋体" w:hAnsi="宋体" w:cs="宋体"/>
          <w:bCs/>
          <w:color w:val="auto"/>
          <w:sz w:val="22"/>
          <w:szCs w:val="22"/>
          <w:highlight w:val="none"/>
        </w:rPr>
        <w:t>全部费用。</w:t>
      </w:r>
    </w:p>
    <w:p>
      <w:pPr>
        <w:keepNext w:val="0"/>
        <w:keepLines w:val="0"/>
        <w:pageBreakBefore w:val="0"/>
        <w:widowControl/>
        <w:numPr>
          <w:ilvl w:val="0"/>
          <w:numId w:val="0"/>
        </w:numPr>
        <w:kinsoku/>
        <w:wordWrap/>
        <w:overflowPunct/>
        <w:topLinePunct w:val="0"/>
        <w:autoSpaceDE/>
        <w:autoSpaceDN/>
        <w:bidi w:val="0"/>
        <w:snapToGrid w:val="0"/>
        <w:spacing w:line="356" w:lineRule="auto"/>
        <w:ind w:left="541" w:leftChars="0"/>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报价及结算说明：</w:t>
      </w:r>
    </w:p>
    <w:p>
      <w:pPr>
        <w:keepNext w:val="0"/>
        <w:keepLines w:val="0"/>
        <w:pageBreakBefore w:val="0"/>
        <w:widowControl/>
        <w:kinsoku/>
        <w:wordWrap/>
        <w:overflowPunct/>
        <w:topLinePunct w:val="0"/>
        <w:autoSpaceDE/>
        <w:autoSpaceDN/>
        <w:bidi w:val="0"/>
        <w:snapToGrid w:val="0"/>
        <w:spacing w:line="356" w:lineRule="auto"/>
        <w:ind w:left="54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采购人通过本次</w:t>
      </w:r>
      <w:r>
        <w:rPr>
          <w:rFonts w:hint="eastAsia" w:ascii="宋体" w:hAnsi="宋体" w:cs="宋体"/>
          <w:bCs/>
          <w:color w:val="auto"/>
          <w:sz w:val="22"/>
          <w:szCs w:val="22"/>
          <w:highlight w:val="none"/>
          <w:lang w:val="en-US" w:eastAsia="zh-CN"/>
        </w:rPr>
        <w:t>竞争性磋商</w:t>
      </w:r>
      <w:r>
        <w:rPr>
          <w:rFonts w:hint="eastAsia" w:ascii="宋体" w:hAnsi="宋体" w:cs="宋体"/>
          <w:bCs/>
          <w:color w:val="auto"/>
          <w:sz w:val="22"/>
          <w:szCs w:val="22"/>
          <w:highlight w:val="none"/>
        </w:rPr>
        <w:t>购买会务服务，经费原则上用</w:t>
      </w:r>
      <w:bookmarkEnd w:id="88"/>
      <w:r>
        <w:rPr>
          <w:rFonts w:hint="eastAsia" w:ascii="宋体" w:hAnsi="宋体" w:cs="宋体"/>
          <w:bCs/>
          <w:color w:val="auto"/>
          <w:sz w:val="22"/>
          <w:szCs w:val="22"/>
          <w:highlight w:val="none"/>
        </w:rPr>
        <w:t>于以下项目：</w:t>
      </w:r>
    </w:p>
    <w:p>
      <w:pPr>
        <w:keepNext w:val="0"/>
        <w:keepLines w:val="0"/>
        <w:pageBreakBefore w:val="0"/>
        <w:widowControl/>
        <w:kinsoku/>
        <w:wordWrap/>
        <w:overflowPunct/>
        <w:topLinePunct w:val="0"/>
        <w:autoSpaceDE/>
        <w:autoSpaceDN/>
        <w:bidi w:val="0"/>
        <w:snapToGrid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1.住宿、餐饮、交通服务</w:t>
      </w:r>
      <w:r>
        <w:rPr>
          <w:rFonts w:hint="eastAsia" w:ascii="宋体" w:hAnsi="宋体" w:cs="宋体"/>
          <w:bCs/>
          <w:color w:val="auto"/>
          <w:sz w:val="22"/>
          <w:szCs w:val="22"/>
          <w:highlight w:val="none"/>
          <w:lang w:val="en-US" w:eastAsia="zh-CN"/>
        </w:rPr>
        <w:t>等</w:t>
      </w:r>
      <w:r>
        <w:rPr>
          <w:rFonts w:hint="eastAsia" w:ascii="宋体" w:hAnsi="宋体" w:cs="宋体"/>
          <w:bCs/>
          <w:color w:val="auto"/>
          <w:sz w:val="22"/>
          <w:szCs w:val="22"/>
          <w:highlight w:val="none"/>
        </w:rPr>
        <w:t>项目</w:t>
      </w:r>
    </w:p>
    <w:p>
      <w:pPr>
        <w:keepNext w:val="0"/>
        <w:keepLines w:val="0"/>
        <w:pageBreakBefore w:val="0"/>
        <w:widowControl/>
        <w:kinsoku/>
        <w:wordWrap/>
        <w:overflowPunct/>
        <w:topLinePunct w:val="0"/>
        <w:autoSpaceDE/>
        <w:autoSpaceDN/>
        <w:bidi w:val="0"/>
        <w:snapToGrid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1.1</w:t>
      </w:r>
      <w:r>
        <w:rPr>
          <w:rFonts w:hint="eastAsia" w:ascii="宋体" w:hAnsi="宋体" w:cs="宋体"/>
          <w:bCs/>
          <w:color w:val="auto"/>
          <w:sz w:val="22"/>
          <w:szCs w:val="22"/>
          <w:highlight w:val="none"/>
        </w:rPr>
        <w:t>酒店住宿费用：</w:t>
      </w:r>
      <w:r>
        <w:rPr>
          <w:rFonts w:hint="eastAsia" w:ascii="宋体" w:hAnsi="宋体" w:cs="宋体"/>
          <w:bCs/>
          <w:color w:val="auto"/>
          <w:sz w:val="22"/>
          <w:szCs w:val="22"/>
          <w:highlight w:val="none"/>
        </w:rPr>
        <w:t>最终根据实际用房数量</w:t>
      </w:r>
      <w:r>
        <w:rPr>
          <w:rFonts w:hint="eastAsia" w:ascii="宋体" w:hAnsi="宋体" w:cs="宋体"/>
          <w:bCs/>
          <w:color w:val="auto"/>
          <w:sz w:val="22"/>
          <w:szCs w:val="22"/>
          <w:highlight w:val="none"/>
          <w:lang w:val="en-US" w:eastAsia="zh-CN"/>
        </w:rPr>
        <w:t>优先</w:t>
      </w:r>
      <w:r>
        <w:rPr>
          <w:rFonts w:hint="eastAsia" w:ascii="宋体" w:hAnsi="宋体" w:cs="宋体"/>
          <w:bCs/>
          <w:color w:val="auto"/>
          <w:sz w:val="22"/>
          <w:szCs w:val="22"/>
          <w:highlight w:val="none"/>
        </w:rPr>
        <w:t>以</w:t>
      </w:r>
      <w:r>
        <w:rPr>
          <w:rFonts w:hint="eastAsia" w:ascii="宋体" w:hAnsi="宋体" w:cs="宋体"/>
          <w:bCs/>
          <w:color w:val="auto"/>
          <w:sz w:val="22"/>
          <w:szCs w:val="22"/>
          <w:highlight w:val="none"/>
          <w:lang w:val="en-US" w:eastAsia="zh-CN"/>
        </w:rPr>
        <w:t>酒店与</w:t>
      </w:r>
      <w:r>
        <w:rPr>
          <w:rFonts w:hint="eastAsia" w:ascii="宋体" w:hAnsi="宋体" w:cs="宋体"/>
          <w:bCs/>
          <w:color w:val="auto"/>
          <w:sz w:val="22"/>
          <w:szCs w:val="22"/>
          <w:highlight w:val="none"/>
        </w:rPr>
        <w:t>温州市政府机关协议价进行结算，</w:t>
      </w:r>
      <w:r>
        <w:rPr>
          <w:rFonts w:hint="eastAsia" w:ascii="宋体" w:hAnsi="宋体" w:cs="宋体"/>
          <w:bCs/>
          <w:color w:val="auto"/>
          <w:sz w:val="22"/>
          <w:szCs w:val="22"/>
          <w:highlight w:val="none"/>
          <w:lang w:val="en-US" w:eastAsia="zh-CN"/>
        </w:rPr>
        <w:t>超出协议数量部分按</w:t>
      </w:r>
      <w:r>
        <w:rPr>
          <w:rFonts w:hint="eastAsia" w:ascii="宋体" w:hAnsi="宋体" w:cs="宋体"/>
          <w:bCs/>
          <w:color w:val="auto"/>
          <w:sz w:val="22"/>
          <w:szCs w:val="22"/>
          <w:highlight w:val="none"/>
        </w:rPr>
        <w:t>酒店非协议价</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中标供应商与酒店商定市场价</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结算。</w:t>
      </w:r>
    </w:p>
    <w:p>
      <w:pPr>
        <w:keepNext w:val="0"/>
        <w:keepLines w:val="0"/>
        <w:pageBreakBefore w:val="0"/>
        <w:kinsoku/>
        <w:wordWrap/>
        <w:overflowPunct/>
        <w:topLinePunct w:val="0"/>
        <w:autoSpaceDE/>
        <w:autoSpaceDN/>
        <w:bidi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供应商须随时跟踪会务住宿需求，灵活调整预定数量，确保总体综合空置率不超过6%，超过空置率的相关房费采购人不予支付或从供应商服务费中扣除。</w:t>
      </w:r>
    </w:p>
    <w:p>
      <w:pPr>
        <w:keepNext w:val="0"/>
        <w:keepLines w:val="0"/>
        <w:pageBreakBefore w:val="0"/>
        <w:widowControl/>
        <w:kinsoku/>
        <w:wordWrap/>
        <w:overflowPunct/>
        <w:topLinePunct w:val="0"/>
        <w:autoSpaceDE/>
        <w:autoSpaceDN/>
        <w:bidi w:val="0"/>
        <w:snapToGrid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1.2</w:t>
      </w:r>
      <w:r>
        <w:rPr>
          <w:rFonts w:hint="eastAsia" w:ascii="宋体" w:hAnsi="宋体" w:cs="宋体"/>
          <w:bCs/>
          <w:color w:val="auto"/>
          <w:sz w:val="22"/>
          <w:szCs w:val="22"/>
          <w:highlight w:val="none"/>
        </w:rPr>
        <w:t>酒店餐饮费用：嘉宾中晚餐以</w:t>
      </w:r>
      <w:r>
        <w:rPr>
          <w:rFonts w:hint="eastAsia" w:ascii="宋体" w:hAnsi="宋体" w:cs="宋体"/>
          <w:bCs/>
          <w:color w:val="auto"/>
          <w:sz w:val="22"/>
          <w:szCs w:val="22"/>
          <w:highlight w:val="none"/>
          <w:lang w:val="en-US" w:eastAsia="zh-CN"/>
        </w:rPr>
        <w:t>相关接待标准为准</w:t>
      </w:r>
      <w:r>
        <w:rPr>
          <w:rFonts w:hint="eastAsia" w:ascii="宋体" w:hAnsi="宋体" w:cs="宋体"/>
          <w:bCs/>
          <w:color w:val="auto"/>
          <w:sz w:val="22"/>
          <w:szCs w:val="22"/>
          <w:highlight w:val="none"/>
        </w:rPr>
        <w:t>，最终根据实际用餐数量按上述餐费标准进行结算。</w:t>
      </w:r>
    </w:p>
    <w:p>
      <w:pPr>
        <w:keepNext w:val="0"/>
        <w:keepLines w:val="0"/>
        <w:pageBreakBefore w:val="0"/>
        <w:widowControl/>
        <w:kinsoku/>
        <w:wordWrap/>
        <w:overflowPunct/>
        <w:topLinePunct w:val="0"/>
        <w:autoSpaceDE/>
        <w:autoSpaceDN/>
        <w:bidi w:val="0"/>
        <w:snapToGrid w:val="0"/>
        <w:spacing w:line="356" w:lineRule="auto"/>
        <w:ind w:firstLine="431" w:firstLineChars="196"/>
        <w:textAlignment w:val="auto"/>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1.3</w:t>
      </w:r>
      <w:r>
        <w:rPr>
          <w:rFonts w:hint="eastAsia" w:ascii="宋体" w:hAnsi="宋体" w:cs="宋体"/>
          <w:bCs/>
          <w:color w:val="auto"/>
          <w:sz w:val="22"/>
          <w:szCs w:val="22"/>
          <w:highlight w:val="none"/>
        </w:rPr>
        <w:t>交通费用：</w:t>
      </w:r>
      <w:r>
        <w:rPr>
          <w:rFonts w:hint="eastAsia" w:ascii="宋体" w:hAnsi="宋体" w:cs="宋体"/>
          <w:bCs/>
          <w:color w:val="auto"/>
          <w:sz w:val="22"/>
          <w:szCs w:val="22"/>
          <w:highlight w:val="none"/>
          <w:lang w:eastAsia="zh-CN"/>
        </w:rPr>
        <w:t>侨创会</w:t>
      </w:r>
      <w:r>
        <w:rPr>
          <w:rFonts w:hint="eastAsia" w:ascii="宋体" w:hAnsi="宋体" w:cs="宋体"/>
          <w:bCs/>
          <w:color w:val="auto"/>
          <w:sz w:val="22"/>
          <w:szCs w:val="22"/>
          <w:highlight w:val="none"/>
        </w:rPr>
        <w:t>期间合理安排所需接送车辆的相关费用（含</w:t>
      </w:r>
      <w:r>
        <w:rPr>
          <w:rFonts w:hint="eastAsia" w:ascii="宋体" w:hAnsi="宋体" w:cs="宋体"/>
          <w:bCs/>
          <w:color w:val="auto"/>
          <w:sz w:val="22"/>
          <w:szCs w:val="22"/>
          <w:highlight w:val="none"/>
          <w:lang w:eastAsia="zh-CN"/>
        </w:rPr>
        <w:t>侨创会</w:t>
      </w:r>
      <w:r>
        <w:rPr>
          <w:rFonts w:hint="eastAsia" w:ascii="宋体" w:hAnsi="宋体" w:cs="宋体"/>
          <w:bCs/>
          <w:color w:val="auto"/>
          <w:sz w:val="22"/>
          <w:szCs w:val="22"/>
          <w:highlight w:val="none"/>
        </w:rPr>
        <w:t>专项安全检查费用、使用费、油费、停车费、过路费、保险费、司机人工薪酬及餐费），最终根据实际用车数量</w:t>
      </w:r>
      <w:r>
        <w:rPr>
          <w:rFonts w:hint="eastAsia" w:ascii="宋体" w:hAnsi="宋体" w:cs="宋体"/>
          <w:bCs/>
          <w:color w:val="auto"/>
          <w:sz w:val="22"/>
          <w:szCs w:val="22"/>
          <w:highlight w:val="none"/>
          <w:lang w:val="en-US" w:eastAsia="zh-CN"/>
        </w:rPr>
        <w:t>以</w:t>
      </w:r>
      <w:r>
        <w:rPr>
          <w:rFonts w:hint="eastAsia" w:ascii="宋体" w:hAnsi="宋体" w:cs="宋体"/>
          <w:bCs/>
          <w:color w:val="auto"/>
          <w:sz w:val="22"/>
          <w:szCs w:val="22"/>
          <w:highlight w:val="none"/>
        </w:rPr>
        <w:t>政府机关公务车协议价格按实结算</w:t>
      </w:r>
      <w:r>
        <w:rPr>
          <w:rFonts w:hint="eastAsia" w:ascii="宋体" w:hAnsi="宋体" w:cs="宋体"/>
          <w:bCs/>
          <w:color w:val="auto"/>
          <w:sz w:val="22"/>
          <w:szCs w:val="22"/>
          <w:highlight w:val="none"/>
          <w:lang w:eastAsia="zh-CN"/>
        </w:rPr>
        <w:t>。</w:t>
      </w:r>
    </w:p>
    <w:p>
      <w:pPr>
        <w:keepNext w:val="0"/>
        <w:keepLines w:val="0"/>
        <w:pageBreakBefore w:val="0"/>
        <w:widowControl/>
        <w:kinsoku/>
        <w:wordWrap/>
        <w:overflowPunct/>
        <w:topLinePunct w:val="0"/>
        <w:autoSpaceDE/>
        <w:autoSpaceDN/>
        <w:bidi w:val="0"/>
        <w:snapToGrid w:val="0"/>
        <w:spacing w:line="356" w:lineRule="auto"/>
        <w:ind w:firstLine="431" w:firstLineChars="196"/>
        <w:textAlignment w:val="auto"/>
        <w:rPr>
          <w:rFonts w:hint="default" w:eastAsia="宋体"/>
          <w:highlight w:val="none"/>
          <w:lang w:val="en-US" w:eastAsia="zh-CN"/>
        </w:rPr>
      </w:pPr>
      <w:r>
        <w:rPr>
          <w:rFonts w:hint="eastAsia" w:ascii="宋体" w:hAnsi="宋体" w:cs="宋体"/>
          <w:bCs/>
          <w:color w:val="auto"/>
          <w:sz w:val="22"/>
          <w:szCs w:val="22"/>
          <w:highlight w:val="none"/>
          <w:lang w:val="en-US" w:eastAsia="zh-CN"/>
        </w:rPr>
        <w:t>1.4场地租赁、酒店内氛围布置、会务服务部分物料志愿者招募培训、信息化会务管理等</w:t>
      </w:r>
    </w:p>
    <w:p>
      <w:pPr>
        <w:keepNext w:val="0"/>
        <w:keepLines w:val="0"/>
        <w:pageBreakBefore w:val="0"/>
        <w:kinsoku/>
        <w:wordWrap/>
        <w:overflowPunct/>
        <w:topLinePunct w:val="0"/>
        <w:autoSpaceDE/>
        <w:autoSpaceDN/>
        <w:bidi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lang w:eastAsia="zh-CN"/>
        </w:rPr>
        <w:t>侨创会</w:t>
      </w:r>
      <w:r>
        <w:rPr>
          <w:rFonts w:hint="eastAsia" w:ascii="宋体" w:hAnsi="宋体" w:cs="宋体"/>
          <w:bCs/>
          <w:color w:val="auto"/>
          <w:sz w:val="22"/>
          <w:szCs w:val="22"/>
          <w:highlight w:val="none"/>
        </w:rPr>
        <w:t>同意额外增加的临时委派工作任务、人工等费用。</w:t>
      </w:r>
    </w:p>
    <w:p>
      <w:pPr>
        <w:keepNext w:val="0"/>
        <w:keepLines w:val="0"/>
        <w:pageBreakBefore w:val="0"/>
        <w:widowControl/>
        <w:kinsoku/>
        <w:wordWrap/>
        <w:overflowPunct/>
        <w:topLinePunct w:val="0"/>
        <w:autoSpaceDE/>
        <w:autoSpaceDN/>
        <w:bidi w:val="0"/>
        <w:snapToGrid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3.税费</w:t>
      </w:r>
    </w:p>
    <w:p>
      <w:pPr>
        <w:keepNext w:val="0"/>
        <w:keepLines w:val="0"/>
        <w:pageBreakBefore w:val="0"/>
        <w:kinsoku/>
        <w:wordWrap/>
        <w:overflowPunct/>
        <w:topLinePunct w:val="0"/>
        <w:autoSpaceDE/>
        <w:autoSpaceDN/>
        <w:bidi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本项目涉及所有税费含在投标报价内，由供应商承担</w:t>
      </w:r>
      <w:r>
        <w:rPr>
          <w:rFonts w:hint="eastAsia" w:ascii="宋体" w:hAnsi="宋体" w:cs="宋体"/>
          <w:bCs/>
          <w:color w:val="auto"/>
          <w:sz w:val="22"/>
          <w:szCs w:val="22"/>
          <w:highlight w:val="none"/>
        </w:rPr>
        <w:t>。</w:t>
      </w:r>
    </w:p>
    <w:p>
      <w:pPr>
        <w:keepNext w:val="0"/>
        <w:keepLines w:val="0"/>
        <w:pageBreakBefore w:val="0"/>
        <w:widowControl/>
        <w:kinsoku/>
        <w:wordWrap/>
        <w:overflowPunct/>
        <w:topLinePunct w:val="0"/>
        <w:autoSpaceDE/>
        <w:autoSpaceDN/>
        <w:bidi w:val="0"/>
        <w:snapToGrid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4.供应商服务费</w:t>
      </w:r>
    </w:p>
    <w:p>
      <w:pPr>
        <w:keepNext w:val="0"/>
        <w:keepLines w:val="0"/>
        <w:pageBreakBefore w:val="0"/>
        <w:widowControl/>
        <w:kinsoku/>
        <w:wordWrap/>
        <w:overflowPunct/>
        <w:topLinePunct w:val="0"/>
        <w:autoSpaceDE/>
        <w:autoSpaceDN/>
        <w:bidi w:val="0"/>
        <w:snapToGrid w:val="0"/>
        <w:spacing w:line="356" w:lineRule="auto"/>
        <w:ind w:firstLine="433" w:firstLineChars="196"/>
        <w:textAlignment w:val="auto"/>
        <w:rPr>
          <w:color w:val="auto"/>
          <w:highlight w:val="none"/>
        </w:rPr>
      </w:pPr>
      <w:r>
        <w:rPr>
          <w:rFonts w:hint="eastAsia" w:ascii="宋体" w:hAnsi="宋体" w:cs="宋体"/>
          <w:b/>
          <w:color w:val="auto"/>
          <w:sz w:val="22"/>
          <w:szCs w:val="22"/>
          <w:highlight w:val="none"/>
          <w:u w:val="single"/>
        </w:rPr>
        <w:t>▲供应商服务费结算价格最高不得超过本项目总实际结算费用金额的15%，最终结算的供应商服务费为以本项目总实际结算费用邀请嘉宾在活动期间的</w:t>
      </w:r>
      <w:r>
        <w:rPr>
          <w:rFonts w:hint="eastAsia" w:ascii="宋体" w:hAnsi="宋体" w:cs="宋体"/>
          <w:b/>
          <w:color w:val="auto"/>
          <w:sz w:val="22"/>
          <w:szCs w:val="22"/>
          <w:highlight w:val="none"/>
          <w:u w:val="single"/>
          <w:lang w:eastAsia="zh-CN"/>
        </w:rPr>
        <w:t>专家费、</w:t>
      </w:r>
      <w:r>
        <w:rPr>
          <w:rFonts w:hint="eastAsia" w:ascii="宋体" w:hAnsi="宋体" w:cs="宋体"/>
          <w:b/>
          <w:color w:val="auto"/>
          <w:sz w:val="22"/>
          <w:szCs w:val="22"/>
          <w:highlight w:val="none"/>
          <w:u w:val="single"/>
        </w:rPr>
        <w:t>食宿费</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交通费</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场地租赁费、</w:t>
      </w:r>
      <w:r>
        <w:rPr>
          <w:rFonts w:hint="eastAsia" w:ascii="宋体" w:hAnsi="宋体" w:cs="宋体"/>
          <w:b/>
          <w:color w:val="auto"/>
          <w:sz w:val="22"/>
          <w:szCs w:val="22"/>
          <w:highlight w:val="none"/>
          <w:u w:val="single"/>
        </w:rPr>
        <w:t>酒店内氛围布置</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会务服务部分物料</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志愿者招募培训</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信息化会务管理</w:t>
      </w:r>
      <w:r>
        <w:rPr>
          <w:rFonts w:hint="eastAsia" w:ascii="宋体" w:hAnsi="宋体" w:cs="宋体"/>
          <w:b/>
          <w:color w:val="auto"/>
          <w:sz w:val="22"/>
          <w:szCs w:val="22"/>
          <w:highlight w:val="none"/>
          <w:u w:val="single"/>
          <w:lang w:val="en-US" w:eastAsia="zh-CN"/>
        </w:rPr>
        <w:t>及税费</w:t>
      </w:r>
      <w:r>
        <w:rPr>
          <w:rFonts w:hint="eastAsia" w:ascii="宋体" w:hAnsi="宋体" w:cs="宋体"/>
          <w:b/>
          <w:color w:val="auto"/>
          <w:sz w:val="22"/>
          <w:szCs w:val="22"/>
          <w:highlight w:val="none"/>
          <w:u w:val="single"/>
        </w:rPr>
        <w:t>为基数×</w:t>
      </w:r>
      <w:r>
        <w:rPr>
          <w:rFonts w:hint="eastAsia" w:ascii="宋体" w:hAnsi="宋体" w:cs="宋体"/>
          <w:b/>
          <w:color w:val="auto"/>
          <w:sz w:val="22"/>
          <w:szCs w:val="22"/>
          <w:highlight w:val="none"/>
          <w:u w:val="single"/>
          <w:lang w:val="en-US" w:eastAsia="zh-CN"/>
        </w:rPr>
        <w:t>服务</w:t>
      </w:r>
      <w:r>
        <w:rPr>
          <w:rFonts w:hint="eastAsia" w:ascii="宋体" w:hAnsi="宋体" w:cs="宋体"/>
          <w:b/>
          <w:color w:val="auto"/>
          <w:sz w:val="22"/>
          <w:szCs w:val="22"/>
          <w:highlight w:val="none"/>
          <w:u w:val="single"/>
        </w:rPr>
        <w:t>费率。</w:t>
      </w:r>
      <w:r>
        <w:rPr>
          <w:rFonts w:hint="eastAsia" w:ascii="宋体" w:hAnsi="宋体" w:cs="宋体"/>
          <w:bCs/>
          <w:color w:val="auto"/>
          <w:sz w:val="22"/>
          <w:szCs w:val="22"/>
          <w:highlight w:val="none"/>
          <w:lang w:val="en-US" w:eastAsia="zh-CN"/>
        </w:rPr>
        <w:t>.</w:t>
      </w:r>
      <w:r>
        <w:rPr>
          <w:rFonts w:hint="eastAsia" w:ascii="宋体" w:hAnsi="宋体" w:cs="宋体"/>
          <w:bCs/>
          <w:color w:val="auto"/>
          <w:sz w:val="22"/>
          <w:szCs w:val="22"/>
          <w:highlight w:val="none"/>
        </w:rPr>
        <w:t>因财政性资金结算有一定周期，所导致资金垫付所产生的本金、违约金及利息供应商自行负责。</w:t>
      </w:r>
    </w:p>
    <w:p>
      <w:pPr>
        <w:keepNext w:val="0"/>
        <w:keepLines w:val="0"/>
        <w:pageBreakBefore w:val="0"/>
        <w:kinsoku/>
        <w:wordWrap/>
        <w:overflowPunct/>
        <w:topLinePunct w:val="0"/>
        <w:autoSpaceDE/>
        <w:autoSpaceDN/>
        <w:bidi w:val="0"/>
        <w:snapToGrid w:val="0"/>
        <w:spacing w:line="356" w:lineRule="auto"/>
        <w:textAlignment w:val="auto"/>
        <w:rPr>
          <w:rFonts w:hint="eastAsia" w:ascii="新宋体" w:hAnsi="新宋体" w:eastAsia="新宋体" w:cs="新宋体"/>
          <w:b/>
          <w:bCs w:val="0"/>
          <w:color w:val="000000"/>
          <w:sz w:val="22"/>
          <w:szCs w:val="22"/>
          <w:highlight w:val="none"/>
          <w:lang w:val="en-US" w:eastAsia="zh-CN"/>
        </w:rPr>
      </w:pPr>
      <w:r>
        <w:rPr>
          <w:rFonts w:hint="eastAsia" w:cs="宋体"/>
          <w:b/>
          <w:bCs w:val="0"/>
          <w:color w:val="auto"/>
          <w:sz w:val="22"/>
          <w:szCs w:val="22"/>
          <w:highlight w:val="none"/>
          <w:lang w:val="en-US" w:eastAsia="zh-CN"/>
        </w:rPr>
        <w:t>六、</w:t>
      </w:r>
      <w:r>
        <w:rPr>
          <w:rFonts w:hint="eastAsia" w:cs="宋体"/>
          <w:b/>
          <w:bCs w:val="0"/>
          <w:color w:val="auto"/>
          <w:sz w:val="22"/>
          <w:szCs w:val="22"/>
          <w:highlight w:val="none"/>
        </w:rPr>
        <w:t>付款条件 ：</w:t>
      </w:r>
    </w:p>
    <w:p>
      <w:pPr>
        <w:pStyle w:val="49"/>
        <w:keepNext w:val="0"/>
        <w:keepLines w:val="0"/>
        <w:pageBreakBefore w:val="0"/>
        <w:kinsoku/>
        <w:wordWrap/>
        <w:overflowPunct/>
        <w:topLinePunct w:val="0"/>
        <w:autoSpaceDE/>
        <w:autoSpaceDN/>
        <w:bidi w:val="0"/>
        <w:spacing w:before="0" w:beforeAutospacing="0" w:after="0" w:afterAutospacing="0" w:line="356" w:lineRule="auto"/>
        <w:ind w:firstLine="416" w:firstLineChars="200"/>
        <w:jc w:val="both"/>
        <w:textAlignment w:val="auto"/>
        <w:rPr>
          <w:rFonts w:hint="eastAsia" w:ascii="新宋体" w:hAnsi="新宋体" w:eastAsia="新宋体" w:cs="新宋体"/>
          <w:color w:val="000000"/>
          <w:spacing w:val="-6"/>
          <w:kern w:val="2"/>
          <w:sz w:val="22"/>
          <w:szCs w:val="22"/>
          <w:highlight w:val="none"/>
          <w:lang w:val="en-US" w:eastAsia="zh-CN"/>
        </w:rPr>
      </w:pPr>
      <w:r>
        <w:rPr>
          <w:rFonts w:hint="eastAsia" w:ascii="新宋体" w:hAnsi="新宋体" w:eastAsia="新宋体" w:cs="新宋体"/>
          <w:color w:val="000000"/>
          <w:spacing w:val="-6"/>
          <w:kern w:val="2"/>
          <w:sz w:val="22"/>
          <w:szCs w:val="22"/>
          <w:highlight w:val="none"/>
          <w:lang w:val="en-US" w:eastAsia="zh-CN"/>
        </w:rPr>
        <w:t>1）甲方在合同签订后7个工作日内支付乙方合同金额的50%；甲方在本项目最终验收合格，交付并经项目结算后7个工作日内支付剩余费用。备注：因本项目资金涉及多部门财政资金（省级与市级），所有款项须财政资金到位后予以支付，因资金下达时间问题造成甲方付款延误，不视为甲方违约、甲方不承担违约责任。</w:t>
      </w:r>
    </w:p>
    <w:p>
      <w:pPr>
        <w:pStyle w:val="30"/>
        <w:keepNext w:val="0"/>
        <w:keepLines w:val="0"/>
        <w:pageBreakBefore w:val="0"/>
        <w:widowControl w:val="0"/>
        <w:kinsoku/>
        <w:wordWrap/>
        <w:overflowPunct/>
        <w:topLinePunct w:val="0"/>
        <w:bidi w:val="0"/>
        <w:spacing w:line="356" w:lineRule="auto"/>
        <w:ind w:firstLine="416" w:firstLineChars="200"/>
        <w:textAlignment w:val="auto"/>
        <w:outlineLvl w:val="1"/>
        <w:rPr>
          <w:rFonts w:hint="eastAsia" w:ascii="新宋体" w:hAnsi="新宋体" w:eastAsia="新宋体" w:cs="新宋体"/>
          <w:color w:val="000000"/>
          <w:spacing w:val="-6"/>
          <w:kern w:val="2"/>
          <w:sz w:val="22"/>
          <w:szCs w:val="22"/>
          <w:highlight w:val="none"/>
          <w:lang w:val="en-US" w:eastAsia="zh-CN"/>
        </w:rPr>
      </w:pPr>
      <w:r>
        <w:rPr>
          <w:rFonts w:hint="eastAsia" w:ascii="新宋体" w:hAnsi="新宋体" w:eastAsia="新宋体" w:cs="新宋体"/>
          <w:color w:val="000000"/>
          <w:spacing w:val="-6"/>
          <w:kern w:val="2"/>
          <w:sz w:val="22"/>
          <w:szCs w:val="22"/>
          <w:highlight w:val="none"/>
          <w:lang w:val="en-US" w:eastAsia="zh-CN"/>
        </w:rPr>
        <w:t>2）甲方支付相关费用前，乙方应向甲方开具合法的增值税发票，项目结算时提供项目清单，按实际清单结算</w:t>
      </w:r>
      <w:r>
        <w:rPr>
          <w:rFonts w:hint="eastAsia" w:hAnsi="宋体" w:cs="宋体"/>
          <w:color w:val="auto"/>
          <w:kern w:val="0"/>
          <w:sz w:val="22"/>
          <w:szCs w:val="22"/>
          <w:highlight w:val="none"/>
          <w:lang w:val="en-US" w:eastAsia="zh-CN"/>
        </w:rPr>
        <w:t>。</w:t>
      </w:r>
    </w:p>
    <w:p>
      <w:pPr>
        <w:keepNext w:val="0"/>
        <w:keepLines w:val="0"/>
        <w:pageBreakBefore w:val="0"/>
        <w:kinsoku/>
        <w:wordWrap/>
        <w:overflowPunct/>
        <w:topLinePunct w:val="0"/>
        <w:autoSpaceDE/>
        <w:autoSpaceDN/>
        <w:bidi w:val="0"/>
        <w:snapToGrid w:val="0"/>
        <w:spacing w:line="356" w:lineRule="auto"/>
        <w:textAlignment w:val="auto"/>
        <w:rPr>
          <w:rFonts w:hint="eastAsia" w:ascii="新宋体" w:hAnsi="新宋体" w:eastAsia="新宋体" w:cs="新宋体"/>
          <w:b/>
          <w:bCs w:val="0"/>
          <w:color w:val="000000"/>
          <w:sz w:val="22"/>
          <w:szCs w:val="22"/>
          <w:highlight w:val="none"/>
        </w:rPr>
      </w:pPr>
      <w:r>
        <w:rPr>
          <w:rFonts w:hint="eastAsia" w:ascii="新宋体" w:hAnsi="新宋体" w:eastAsia="新宋体" w:cs="新宋体"/>
          <w:b/>
          <w:bCs w:val="0"/>
          <w:color w:val="000000"/>
          <w:sz w:val="22"/>
          <w:szCs w:val="22"/>
          <w:highlight w:val="none"/>
          <w:lang w:val="en-US" w:eastAsia="zh-CN"/>
        </w:rPr>
        <w:t xml:space="preserve">七、转包或分包 </w:t>
      </w:r>
    </w:p>
    <w:p>
      <w:pPr>
        <w:keepNext w:val="0"/>
        <w:keepLines w:val="0"/>
        <w:pageBreakBefore w:val="0"/>
        <w:kinsoku/>
        <w:wordWrap/>
        <w:overflowPunct/>
        <w:topLinePunct w:val="0"/>
        <w:autoSpaceDE/>
        <w:autoSpaceDN/>
        <w:bidi w:val="0"/>
        <w:snapToGrid w:val="0"/>
        <w:spacing w:line="356" w:lineRule="auto"/>
        <w:ind w:firstLine="407" w:firstLineChars="196"/>
        <w:textAlignment w:val="auto"/>
        <w:rPr>
          <w:rFonts w:hint="eastAsia" w:ascii="新宋体" w:hAnsi="新宋体" w:eastAsia="新宋体" w:cs="新宋体"/>
          <w:color w:val="000000"/>
          <w:spacing w:val="-6"/>
          <w:kern w:val="2"/>
          <w:sz w:val="22"/>
          <w:szCs w:val="22"/>
          <w:highlight w:val="none"/>
          <w:lang w:val="en-US" w:eastAsia="zh-CN" w:bidi="ar-SA"/>
        </w:rPr>
      </w:pPr>
      <w:r>
        <w:rPr>
          <w:rFonts w:hint="eastAsia" w:ascii="新宋体" w:hAnsi="新宋体" w:eastAsia="新宋体" w:cs="新宋体"/>
          <w:color w:val="000000"/>
          <w:spacing w:val="-6"/>
          <w:kern w:val="2"/>
          <w:sz w:val="22"/>
          <w:szCs w:val="22"/>
          <w:highlight w:val="none"/>
          <w:lang w:val="en-US" w:eastAsia="zh-CN" w:bidi="ar-SA"/>
        </w:rPr>
        <w:t xml:space="preserve">本合同范围的工作，主体部分应由供应商直接承担，但不得整体转包由其他单位承担；将本合同范围的非主体工作部分分包给其他单位承担须符合《政府采购促进中小企业发展管理办法》等相关文件的规定并将分包方案提交采购人确认。如有违反以上情形，采购人有权解除合同，并追究中标供应商的违约责任。 </w:t>
      </w:r>
    </w:p>
    <w:p>
      <w:pPr>
        <w:keepNext w:val="0"/>
        <w:keepLines w:val="0"/>
        <w:pageBreakBefore w:val="0"/>
        <w:kinsoku/>
        <w:wordWrap/>
        <w:overflowPunct/>
        <w:topLinePunct w:val="0"/>
        <w:autoSpaceDE/>
        <w:autoSpaceDN/>
        <w:bidi w:val="0"/>
        <w:snapToGrid w:val="0"/>
        <w:spacing w:line="356" w:lineRule="auto"/>
        <w:textAlignment w:val="auto"/>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八、</w:t>
      </w:r>
      <w:r>
        <w:rPr>
          <w:rFonts w:hint="eastAsia" w:ascii="宋体" w:hAnsi="宋体" w:cs="宋体"/>
          <w:b/>
          <w:bCs w:val="0"/>
          <w:color w:val="auto"/>
          <w:sz w:val="22"/>
          <w:szCs w:val="22"/>
          <w:highlight w:val="none"/>
        </w:rPr>
        <w:t>验收要求</w:t>
      </w:r>
    </w:p>
    <w:p>
      <w:pPr>
        <w:keepNext w:val="0"/>
        <w:keepLines w:val="0"/>
        <w:pageBreakBefore w:val="0"/>
        <w:kinsoku/>
        <w:wordWrap/>
        <w:overflowPunct/>
        <w:topLinePunct w:val="0"/>
        <w:autoSpaceDE/>
        <w:autoSpaceDN/>
        <w:bidi w:val="0"/>
        <w:snapToGrid w:val="0"/>
        <w:spacing w:line="356" w:lineRule="auto"/>
        <w:ind w:firstLine="431" w:firstLineChars="196"/>
        <w:textAlignment w:val="auto"/>
        <w:rPr>
          <w:rFonts w:hint="eastAsia" w:ascii="宋体" w:hAnsi="宋体" w:cs="Calibri"/>
          <w:color w:val="auto"/>
          <w:sz w:val="24"/>
          <w:highlight w:val="none"/>
        </w:rPr>
      </w:pPr>
      <w:r>
        <w:rPr>
          <w:rFonts w:hint="eastAsia" w:ascii="宋体" w:hAnsi="宋体" w:cs="宋体"/>
          <w:bCs/>
          <w:color w:val="auto"/>
          <w:sz w:val="22"/>
          <w:szCs w:val="22"/>
          <w:highlight w:val="none"/>
        </w:rPr>
        <w:t>1.在服务成果满足采购人要求后经采购人确认，采购人按照《温州市政府采购履约验收办法》相关要求进行项目验收。</w:t>
      </w:r>
    </w:p>
    <w:p>
      <w:pPr>
        <w:keepNext w:val="0"/>
        <w:keepLines w:val="0"/>
        <w:pageBreakBefore w:val="0"/>
        <w:kinsoku/>
        <w:wordWrap/>
        <w:overflowPunct/>
        <w:topLinePunct w:val="0"/>
        <w:autoSpaceDE/>
        <w:autoSpaceDN/>
        <w:bidi w:val="0"/>
        <w:snapToGrid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3. 验收依据：</w:t>
      </w:r>
      <w:r>
        <w:rPr>
          <w:rFonts w:hint="eastAsia" w:ascii="宋体" w:hAnsi="宋体" w:cs="宋体"/>
          <w:bCs/>
          <w:color w:val="auto"/>
          <w:sz w:val="22"/>
          <w:szCs w:val="22"/>
          <w:highlight w:val="none"/>
          <w:lang w:val="en-US" w:eastAsia="zh-CN"/>
        </w:rPr>
        <w:t>投标</w:t>
      </w:r>
      <w:r>
        <w:rPr>
          <w:rFonts w:hint="eastAsia" w:ascii="宋体" w:hAnsi="宋体" w:cs="宋体"/>
          <w:bCs/>
          <w:color w:val="auto"/>
          <w:sz w:val="22"/>
          <w:szCs w:val="22"/>
          <w:highlight w:val="none"/>
        </w:rPr>
        <w:t xml:space="preserve">响应文件、合同、国家有关的质量标准规定，均为验收依据。验收标准依次序对照适用标准为：①均应符合中华人民共和国相关标准的有关规定；符合采购人相关要求及竞争性磋商文件的规定要求、国家和行业的相关标准；②竞争性磋商文件、磋商响应文件、澄清文件和成交通知书的各项要求； </w:t>
      </w:r>
    </w:p>
    <w:p>
      <w:pPr>
        <w:keepNext w:val="0"/>
        <w:keepLines w:val="0"/>
        <w:pageBreakBefore w:val="0"/>
        <w:kinsoku/>
        <w:wordWrap/>
        <w:overflowPunct/>
        <w:topLinePunct w:val="0"/>
        <w:autoSpaceDE/>
        <w:autoSpaceDN/>
        <w:bidi w:val="0"/>
        <w:snapToGrid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4.如果成交供应商不能按时间、按要求完成服务，或提供的报告不符，则视为违约，采购人有权终止合同。 </w:t>
      </w:r>
    </w:p>
    <w:p>
      <w:pPr>
        <w:keepNext w:val="0"/>
        <w:keepLines w:val="0"/>
        <w:pageBreakBefore w:val="0"/>
        <w:kinsoku/>
        <w:wordWrap/>
        <w:overflowPunct/>
        <w:topLinePunct w:val="0"/>
        <w:autoSpaceDE/>
        <w:autoSpaceDN/>
        <w:bidi w:val="0"/>
        <w:snapToGrid w:val="0"/>
        <w:spacing w:line="356" w:lineRule="auto"/>
        <w:ind w:firstLine="431" w:firstLineChars="196"/>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5.验收时成交供应商必须派代表参加，验收完毕由采购人代表和成交供应商代表在验收报告上签名确认。 </w:t>
      </w:r>
    </w:p>
    <w:p>
      <w:pPr>
        <w:keepNext w:val="0"/>
        <w:keepLines w:val="0"/>
        <w:pageBreakBefore w:val="0"/>
        <w:kinsoku/>
        <w:wordWrap/>
        <w:overflowPunct/>
        <w:topLinePunct w:val="0"/>
        <w:autoSpaceDE/>
        <w:autoSpaceDN/>
        <w:bidi w:val="0"/>
        <w:spacing w:line="356" w:lineRule="auto"/>
        <w:ind w:firstLine="431" w:firstLineChars="196"/>
        <w:textAlignment w:val="auto"/>
        <w:rPr>
          <w:rFonts w:hint="eastAsia" w:ascii="宋体" w:hAnsi="宋体" w:eastAsia="宋体"/>
          <w:color w:val="auto"/>
          <w:sz w:val="36"/>
          <w:szCs w:val="20"/>
          <w:highlight w:val="none"/>
        </w:rPr>
      </w:pPr>
      <w:r>
        <w:rPr>
          <w:rFonts w:hint="eastAsia" w:ascii="宋体" w:hAnsi="宋体" w:cs="宋体"/>
          <w:bCs/>
          <w:color w:val="auto"/>
          <w:sz w:val="22"/>
          <w:szCs w:val="22"/>
          <w:highlight w:val="none"/>
        </w:rPr>
        <w:t>6.验收过程所发生的一切费用由成交供应商承担。</w:t>
      </w:r>
    </w:p>
    <w:p>
      <w:pPr>
        <w:pStyle w:val="2"/>
        <w:rPr>
          <w:rFonts w:ascii="新宋体" w:hAnsi="新宋体" w:eastAsia="新宋体"/>
          <w:bCs w:val="0"/>
          <w:color w:val="auto"/>
          <w:sz w:val="36"/>
          <w:szCs w:val="36"/>
          <w:highlight w:val="none"/>
        </w:rPr>
      </w:pPr>
      <w:r>
        <w:rPr>
          <w:b w:val="0"/>
          <w:color w:val="auto"/>
          <w:highlight w:val="none"/>
        </w:rPr>
        <w:br w:type="page"/>
      </w:r>
      <w:bookmarkStart w:id="81" w:name="_Toc24629"/>
      <w:r>
        <w:rPr>
          <w:rFonts w:hint="eastAsia" w:ascii="新宋体" w:hAnsi="新宋体" w:eastAsia="新宋体"/>
          <w:bCs w:val="0"/>
          <w:color w:val="auto"/>
          <w:sz w:val="36"/>
          <w:szCs w:val="36"/>
          <w:highlight w:val="none"/>
        </w:rPr>
        <w:t>第六部分</w:t>
      </w:r>
      <w:r>
        <w:rPr>
          <w:rFonts w:ascii="新宋体" w:hAnsi="新宋体" w:eastAsia="新宋体"/>
          <w:bCs w:val="0"/>
          <w:color w:val="auto"/>
          <w:sz w:val="36"/>
          <w:szCs w:val="36"/>
          <w:highlight w:val="none"/>
        </w:rPr>
        <w:t xml:space="preserve">   </w:t>
      </w:r>
      <w:r>
        <w:rPr>
          <w:rFonts w:hint="eastAsia" w:ascii="新宋体" w:hAnsi="新宋体" w:eastAsia="新宋体"/>
          <w:bCs w:val="0"/>
          <w:color w:val="auto"/>
          <w:sz w:val="36"/>
          <w:szCs w:val="36"/>
          <w:highlight w:val="none"/>
        </w:rPr>
        <w:t>磋商原则及方法</w:t>
      </w:r>
      <w:bookmarkEnd w:id="81"/>
    </w:p>
    <w:p>
      <w:pPr>
        <w:tabs>
          <w:tab w:val="left" w:pos="6358"/>
        </w:tabs>
        <w:snapToGrid w:val="0"/>
        <w:spacing w:line="400" w:lineRule="exact"/>
        <w:jc w:val="left"/>
        <w:rPr>
          <w:rFonts w:ascii="新宋体" w:hAnsi="新宋体" w:eastAsia="新宋体"/>
          <w:b/>
          <w:bCs/>
          <w:color w:val="auto"/>
          <w:sz w:val="22"/>
          <w:szCs w:val="22"/>
          <w:highlight w:val="none"/>
        </w:rPr>
      </w:pPr>
      <w:bookmarkStart w:id="82" w:name="_Toc221356961"/>
      <w:bookmarkStart w:id="83" w:name="_Toc221356898"/>
      <w:r>
        <w:rPr>
          <w:rFonts w:hint="eastAsia" w:ascii="新宋体" w:hAnsi="新宋体" w:eastAsia="新宋体" w:cs="新宋体"/>
          <w:b/>
          <w:bCs/>
          <w:color w:val="auto"/>
          <w:sz w:val="22"/>
          <w:szCs w:val="22"/>
          <w:highlight w:val="none"/>
        </w:rPr>
        <w:t>一、总则</w:t>
      </w:r>
    </w:p>
    <w:p>
      <w:pPr>
        <w:spacing w:line="420" w:lineRule="exact"/>
        <w:ind w:firstLine="440" w:firstLineChars="200"/>
        <w:rPr>
          <w:rFonts w:ascii="新宋体" w:hAnsi="新宋体" w:eastAsia="新宋体"/>
          <w:color w:val="auto"/>
          <w:sz w:val="22"/>
          <w:szCs w:val="22"/>
          <w:highlight w:val="none"/>
        </w:rPr>
      </w:pPr>
      <w:bookmarkStart w:id="84" w:name="_Toc416695955"/>
      <w:bookmarkStart w:id="85" w:name="_Toc413771022"/>
      <w:r>
        <w:rPr>
          <w:rFonts w:hint="eastAsia" w:ascii="新宋体" w:hAnsi="新宋体" w:eastAsia="新宋体" w:cs="新宋体"/>
          <w:color w:val="auto"/>
          <w:sz w:val="22"/>
          <w:szCs w:val="22"/>
          <w:highlight w:val="none"/>
        </w:rPr>
        <w:t>评审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pPr>
        <w:tabs>
          <w:tab w:val="left" w:pos="6358"/>
        </w:tabs>
        <w:snapToGrid w:val="0"/>
        <w:spacing w:line="400" w:lineRule="exact"/>
        <w:ind w:left="773" w:hanging="773" w:hangingChars="350"/>
        <w:rPr>
          <w:rFonts w:ascii="新宋体" w:hAnsi="新宋体" w:eastAsia="新宋体"/>
          <w:b/>
          <w:bCs/>
          <w:color w:val="auto"/>
          <w:sz w:val="22"/>
          <w:szCs w:val="22"/>
          <w:highlight w:val="none"/>
        </w:rPr>
      </w:pPr>
      <w:r>
        <w:rPr>
          <w:rFonts w:hint="eastAsia" w:ascii="新宋体" w:hAnsi="新宋体" w:eastAsia="新宋体" w:cs="新宋体"/>
          <w:b/>
          <w:bCs/>
          <w:color w:val="auto"/>
          <w:sz w:val="22"/>
          <w:szCs w:val="22"/>
          <w:highlight w:val="none"/>
        </w:rPr>
        <w:t>二、</w:t>
      </w:r>
      <w:bookmarkEnd w:id="84"/>
      <w:bookmarkEnd w:id="85"/>
      <w:r>
        <w:rPr>
          <w:rFonts w:hint="eastAsia" w:ascii="新宋体" w:hAnsi="新宋体" w:eastAsia="新宋体" w:cs="新宋体"/>
          <w:b/>
          <w:bCs/>
          <w:color w:val="auto"/>
          <w:sz w:val="22"/>
          <w:szCs w:val="22"/>
          <w:highlight w:val="none"/>
        </w:rPr>
        <w:t>评审组织</w:t>
      </w:r>
    </w:p>
    <w:p>
      <w:pPr>
        <w:tabs>
          <w:tab w:val="left" w:pos="6358"/>
        </w:tabs>
        <w:snapToGrid w:val="0"/>
        <w:spacing w:line="400" w:lineRule="exact"/>
        <w:ind w:firstLine="440" w:firstLineChars="200"/>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评审及磋商工作由采购人依法组建的磋商小组负责，评审及磋商全过程由有关部门指导监督。</w:t>
      </w:r>
    </w:p>
    <w:p>
      <w:pPr>
        <w:tabs>
          <w:tab w:val="left" w:pos="6358"/>
        </w:tabs>
        <w:snapToGrid w:val="0"/>
        <w:spacing w:line="400" w:lineRule="exact"/>
        <w:ind w:left="773" w:hanging="773" w:hangingChars="350"/>
        <w:rPr>
          <w:rFonts w:ascii="新宋体" w:hAnsi="新宋体" w:eastAsia="新宋体"/>
          <w:b/>
          <w:bCs/>
          <w:color w:val="auto"/>
          <w:sz w:val="22"/>
          <w:szCs w:val="22"/>
          <w:highlight w:val="none"/>
        </w:rPr>
      </w:pPr>
      <w:bookmarkStart w:id="86" w:name="_Toc416695957"/>
      <w:bookmarkStart w:id="87" w:name="_Toc413771024"/>
      <w:r>
        <w:rPr>
          <w:rFonts w:hint="eastAsia" w:ascii="新宋体" w:hAnsi="新宋体" w:eastAsia="新宋体" w:cs="新宋体"/>
          <w:b/>
          <w:bCs/>
          <w:color w:val="auto"/>
          <w:sz w:val="22"/>
          <w:szCs w:val="22"/>
          <w:highlight w:val="none"/>
        </w:rPr>
        <w:t>三、评审及磋商的程序</w:t>
      </w:r>
      <w:bookmarkEnd w:id="86"/>
      <w:bookmarkEnd w:id="87"/>
    </w:p>
    <w:p>
      <w:pPr>
        <w:numPr>
          <w:ilvl w:val="0"/>
          <w:numId w:val="22"/>
        </w:numPr>
        <w:tabs>
          <w:tab w:val="left" w:pos="851"/>
        </w:tabs>
        <w:snapToGrid w:val="0"/>
        <w:spacing w:line="400" w:lineRule="exact"/>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熟悉竞争性磋商文件和评审磋商办法；</w:t>
      </w:r>
    </w:p>
    <w:p>
      <w:pPr>
        <w:numPr>
          <w:ilvl w:val="0"/>
          <w:numId w:val="22"/>
        </w:numPr>
        <w:tabs>
          <w:tab w:val="left" w:pos="851"/>
        </w:tabs>
        <w:snapToGrid w:val="0"/>
        <w:spacing w:line="400" w:lineRule="exact"/>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开启磋商响应文件（一次报价不公布）；</w:t>
      </w:r>
    </w:p>
    <w:p>
      <w:pPr>
        <w:numPr>
          <w:ilvl w:val="0"/>
          <w:numId w:val="22"/>
        </w:numPr>
        <w:tabs>
          <w:tab w:val="left" w:pos="851"/>
        </w:tabs>
        <w:snapToGrid w:val="0"/>
        <w:spacing w:line="400" w:lineRule="exact"/>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资格审查；</w:t>
      </w:r>
    </w:p>
    <w:p>
      <w:pPr>
        <w:numPr>
          <w:ilvl w:val="0"/>
          <w:numId w:val="22"/>
        </w:numPr>
        <w:tabs>
          <w:tab w:val="left" w:pos="851"/>
        </w:tabs>
        <w:snapToGrid w:val="0"/>
        <w:spacing w:line="400" w:lineRule="exact"/>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磋商、询标（需要时）；</w:t>
      </w:r>
    </w:p>
    <w:p>
      <w:pPr>
        <w:numPr>
          <w:ilvl w:val="0"/>
          <w:numId w:val="22"/>
        </w:numPr>
        <w:tabs>
          <w:tab w:val="left" w:pos="851"/>
        </w:tabs>
        <w:snapToGrid w:val="0"/>
        <w:spacing w:line="400" w:lineRule="exact"/>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磋商响应文件商务技术标评分；</w:t>
      </w:r>
    </w:p>
    <w:p>
      <w:pPr>
        <w:numPr>
          <w:ilvl w:val="0"/>
          <w:numId w:val="22"/>
        </w:numPr>
        <w:tabs>
          <w:tab w:val="left" w:pos="851"/>
        </w:tabs>
        <w:snapToGrid w:val="0"/>
        <w:spacing w:line="400" w:lineRule="exact"/>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磋商二次报价或最终报价；</w:t>
      </w:r>
    </w:p>
    <w:p>
      <w:pPr>
        <w:numPr>
          <w:ilvl w:val="0"/>
          <w:numId w:val="22"/>
        </w:numPr>
        <w:tabs>
          <w:tab w:val="left" w:pos="851"/>
        </w:tabs>
        <w:snapToGrid w:val="0"/>
        <w:spacing w:line="400" w:lineRule="exact"/>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磋商小组根据评审结果，提交评审报告。</w:t>
      </w:r>
    </w:p>
    <w:p>
      <w:pPr>
        <w:tabs>
          <w:tab w:val="left" w:pos="6358"/>
        </w:tabs>
        <w:snapToGrid w:val="0"/>
        <w:spacing w:line="400" w:lineRule="exact"/>
        <w:ind w:left="773" w:hanging="773" w:hangingChars="350"/>
        <w:rPr>
          <w:rFonts w:ascii="新宋体" w:hAnsi="新宋体" w:eastAsia="新宋体"/>
          <w:b/>
          <w:bCs/>
          <w:color w:val="auto"/>
          <w:sz w:val="22"/>
          <w:szCs w:val="22"/>
          <w:highlight w:val="none"/>
        </w:rPr>
      </w:pPr>
      <w:r>
        <w:rPr>
          <w:rFonts w:hint="eastAsia" w:ascii="新宋体" w:hAnsi="新宋体" w:eastAsia="新宋体" w:cs="新宋体"/>
          <w:b/>
          <w:bCs/>
          <w:color w:val="auto"/>
          <w:sz w:val="22"/>
          <w:szCs w:val="22"/>
          <w:highlight w:val="none"/>
        </w:rPr>
        <w:t>四、评审细则</w:t>
      </w:r>
    </w:p>
    <w:p>
      <w:pPr>
        <w:numPr>
          <w:ilvl w:val="0"/>
          <w:numId w:val="23"/>
        </w:numPr>
        <w:tabs>
          <w:tab w:val="left" w:pos="6358"/>
        </w:tabs>
        <w:snapToGrid w:val="0"/>
        <w:spacing w:line="400" w:lineRule="exact"/>
        <w:rPr>
          <w:rFonts w:ascii="新宋体" w:hAnsi="新宋体" w:eastAsia="新宋体"/>
          <w:b/>
          <w:bCs/>
          <w:color w:val="auto"/>
          <w:sz w:val="22"/>
          <w:szCs w:val="22"/>
          <w:highlight w:val="none"/>
        </w:rPr>
      </w:pPr>
      <w:r>
        <w:rPr>
          <w:rFonts w:hint="eastAsia" w:ascii="新宋体" w:hAnsi="新宋体" w:eastAsia="新宋体" w:cs="新宋体"/>
          <w:b/>
          <w:bCs/>
          <w:color w:val="auto"/>
          <w:sz w:val="22"/>
          <w:szCs w:val="22"/>
          <w:highlight w:val="none"/>
        </w:rPr>
        <w:t>磋商响应文件的商务技术评分（</w:t>
      </w:r>
      <w:r>
        <w:rPr>
          <w:rFonts w:hint="eastAsia" w:ascii="新宋体" w:hAnsi="新宋体" w:eastAsia="新宋体"/>
          <w:b/>
          <w:bCs/>
          <w:color w:val="auto"/>
          <w:sz w:val="22"/>
          <w:szCs w:val="22"/>
          <w:highlight w:val="none"/>
          <w:lang w:val="en-US" w:eastAsia="zh-CN"/>
        </w:rPr>
        <w:t>9</w:t>
      </w:r>
      <w:r>
        <w:rPr>
          <w:rFonts w:hint="eastAsia" w:ascii="新宋体" w:hAnsi="新宋体" w:eastAsia="新宋体"/>
          <w:b/>
          <w:bCs/>
          <w:color w:val="auto"/>
          <w:sz w:val="22"/>
          <w:szCs w:val="22"/>
          <w:highlight w:val="none"/>
        </w:rPr>
        <w:t>0</w:t>
      </w:r>
      <w:r>
        <w:rPr>
          <w:rFonts w:hint="eastAsia" w:ascii="新宋体" w:hAnsi="新宋体" w:eastAsia="新宋体" w:cs="新宋体"/>
          <w:b/>
          <w:bCs/>
          <w:color w:val="auto"/>
          <w:sz w:val="22"/>
          <w:szCs w:val="22"/>
          <w:highlight w:val="none"/>
        </w:rPr>
        <w:t>分）</w:t>
      </w:r>
    </w:p>
    <w:p>
      <w:pPr>
        <w:tabs>
          <w:tab w:val="left" w:pos="6358"/>
        </w:tabs>
        <w:snapToGrid w:val="0"/>
        <w:spacing w:line="3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商务技术部分的最终得分（四舍五入，保留小数点后二位）。</w:t>
      </w:r>
    </w:p>
    <w:tbl>
      <w:tblPr>
        <w:tblStyle w:val="5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059"/>
        <w:gridCol w:w="6092"/>
        <w:gridCol w:w="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29" w:type="pct"/>
            <w:noWrap w:val="0"/>
            <w:vAlign w:val="center"/>
          </w:tcPr>
          <w:p>
            <w:pPr>
              <w:spacing w:line="240" w:lineRule="auto"/>
              <w:jc w:val="center"/>
              <w:rPr>
                <w:rFonts w:hint="eastAsia" w:ascii="宋体" w:hAnsi="宋体" w:eastAsia="宋体" w:cs="宋体"/>
                <w:b/>
                <w:bCs/>
                <w:i w:val="0"/>
                <w:iCs w:val="0"/>
                <w:color w:val="auto"/>
                <w:szCs w:val="21"/>
                <w:highlight w:val="none"/>
                <w:lang w:val="en-US" w:eastAsia="zh-CN"/>
              </w:rPr>
            </w:pPr>
            <w:r>
              <w:rPr>
                <w:rFonts w:hint="eastAsia" w:ascii="宋体" w:hAnsi="宋体" w:cs="宋体"/>
                <w:b/>
                <w:bCs/>
                <w:i w:val="0"/>
                <w:iCs w:val="0"/>
                <w:color w:val="auto"/>
                <w:szCs w:val="21"/>
                <w:highlight w:val="none"/>
                <w:lang w:val="en-US" w:eastAsia="zh-CN"/>
              </w:rPr>
              <w:t>序号</w:t>
            </w:r>
          </w:p>
        </w:tc>
        <w:tc>
          <w:tcPr>
            <w:tcW w:w="1045" w:type="pct"/>
            <w:noWrap w:val="0"/>
            <w:vAlign w:val="center"/>
          </w:tcPr>
          <w:p>
            <w:pPr>
              <w:spacing w:line="240" w:lineRule="auto"/>
              <w:jc w:val="center"/>
              <w:rPr>
                <w:rFonts w:hint="default" w:ascii="宋体" w:hAnsi="宋体" w:eastAsia="宋体" w:cs="宋体"/>
                <w:b/>
                <w:bCs/>
                <w:i w:val="0"/>
                <w:iCs w:val="0"/>
                <w:color w:val="auto"/>
                <w:szCs w:val="21"/>
                <w:highlight w:val="none"/>
                <w:lang w:val="en-US" w:eastAsia="zh-CN"/>
              </w:rPr>
            </w:pPr>
            <w:r>
              <w:rPr>
                <w:rFonts w:hint="eastAsia" w:ascii="宋体" w:hAnsi="宋体" w:cs="宋体"/>
                <w:b/>
                <w:bCs/>
                <w:i w:val="0"/>
                <w:iCs w:val="0"/>
                <w:color w:val="auto"/>
                <w:szCs w:val="21"/>
                <w:highlight w:val="none"/>
                <w:lang w:val="en-US" w:eastAsia="zh-CN"/>
              </w:rPr>
              <w:t>评分项</w:t>
            </w:r>
          </w:p>
        </w:tc>
        <w:tc>
          <w:tcPr>
            <w:tcW w:w="3091" w:type="pct"/>
            <w:noWrap w:val="0"/>
            <w:vAlign w:val="center"/>
          </w:tcPr>
          <w:p>
            <w:pPr>
              <w:spacing w:line="240" w:lineRule="auto"/>
              <w:jc w:val="center"/>
              <w:rPr>
                <w:rFonts w:hint="default" w:ascii="宋体" w:hAnsi="宋体" w:eastAsia="宋体" w:cs="宋体"/>
                <w:b/>
                <w:bCs/>
                <w:i w:val="0"/>
                <w:iCs w:val="0"/>
                <w:color w:val="auto"/>
                <w:szCs w:val="21"/>
                <w:highlight w:val="none"/>
                <w:lang w:val="en-US" w:eastAsia="zh-CN"/>
              </w:rPr>
            </w:pPr>
            <w:r>
              <w:rPr>
                <w:rFonts w:hint="eastAsia" w:ascii="宋体" w:hAnsi="宋体" w:cs="宋体"/>
                <w:b/>
                <w:bCs/>
                <w:i w:val="0"/>
                <w:iCs w:val="0"/>
                <w:color w:val="auto"/>
                <w:szCs w:val="21"/>
                <w:highlight w:val="none"/>
                <w:lang w:val="en-US" w:eastAsia="zh-CN"/>
              </w:rPr>
              <w:t>评分细则</w:t>
            </w:r>
          </w:p>
        </w:tc>
        <w:tc>
          <w:tcPr>
            <w:tcW w:w="433" w:type="pct"/>
            <w:noWrap w:val="0"/>
            <w:vAlign w:val="center"/>
          </w:tcPr>
          <w:p>
            <w:pPr>
              <w:spacing w:line="240" w:lineRule="auto"/>
              <w:jc w:val="center"/>
              <w:rPr>
                <w:rFonts w:hint="default" w:ascii="宋体" w:hAnsi="宋体" w:eastAsia="宋体" w:cs="宋体"/>
                <w:b/>
                <w:bCs/>
                <w:i w:val="0"/>
                <w:iCs w:val="0"/>
                <w:color w:val="auto"/>
                <w:szCs w:val="21"/>
                <w:highlight w:val="none"/>
                <w:lang w:val="en-US" w:eastAsia="zh-CN"/>
              </w:rPr>
            </w:pPr>
            <w:r>
              <w:rPr>
                <w:rFonts w:hint="eastAsia" w:ascii="宋体" w:hAnsi="宋体" w:cs="宋体"/>
                <w:b/>
                <w:bCs/>
                <w:i w:val="0"/>
                <w:iCs w:val="0"/>
                <w:color w:val="auto"/>
                <w:szCs w:val="21"/>
                <w:highlight w:val="none"/>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9" w:type="pct"/>
            <w:noWrap w:val="0"/>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045"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供应商综合实力</w:t>
            </w:r>
          </w:p>
        </w:tc>
        <w:tc>
          <w:tcPr>
            <w:tcW w:w="3091" w:type="pct"/>
            <w:noWrap w:val="0"/>
            <w:vAlign w:val="center"/>
          </w:tcPr>
          <w:p>
            <w:pPr>
              <w:spacing w:line="24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根据供应商各项综合</w:t>
            </w:r>
            <w:r>
              <w:rPr>
                <w:rFonts w:hint="eastAsia"/>
                <w:sz w:val="22"/>
                <w:szCs w:val="21"/>
                <w:highlight w:val="none"/>
                <w:lang w:val="en-US" w:eastAsia="zh-CN"/>
              </w:rPr>
              <w:t>资质、行业影响力、社会荣誉、业主认可度等综合量化评分。</w:t>
            </w:r>
            <w:r>
              <w:rPr>
                <w:rFonts w:hint="eastAsia" w:ascii="宋体" w:hAnsi="宋体" w:cs="宋体"/>
                <w:color w:val="auto"/>
                <w:szCs w:val="21"/>
                <w:highlight w:val="none"/>
                <w:lang w:val="en-US" w:eastAsia="zh-CN"/>
              </w:rPr>
              <w:t>A档6-4分，B档4-2分，C档2-0分</w:t>
            </w:r>
            <w:r>
              <w:rPr>
                <w:rFonts w:hint="eastAsia" w:ascii="宋体" w:hAnsi="宋体" w:cs="宋体"/>
                <w:color w:val="auto"/>
                <w:szCs w:val="21"/>
                <w:highlight w:val="none"/>
              </w:rPr>
              <w:t>。</w:t>
            </w:r>
          </w:p>
        </w:tc>
        <w:tc>
          <w:tcPr>
            <w:tcW w:w="433"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p>
        </w:tc>
        <w:tc>
          <w:tcPr>
            <w:tcW w:w="1045" w:type="pc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类似案例</w:t>
            </w:r>
          </w:p>
        </w:tc>
        <w:tc>
          <w:tcPr>
            <w:tcW w:w="3091" w:type="pct"/>
            <w:noWrap w:val="0"/>
            <w:vAlign w:val="center"/>
          </w:tcPr>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供应商201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年1月1日以来承担过类似项目的案例，每提供1个项目案例及其证明材料，得0.5分，本项累计最多得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b/>
                <w:bCs/>
                <w:color w:val="auto"/>
                <w:szCs w:val="21"/>
                <w:highlight w:val="none"/>
                <w:lang w:val="en-US" w:eastAsia="zh-CN"/>
              </w:rPr>
              <w:t>同时</w:t>
            </w:r>
            <w:r>
              <w:rPr>
                <w:rFonts w:hint="eastAsia" w:ascii="宋体" w:hAnsi="宋体" w:cs="宋体"/>
                <w:b/>
                <w:bCs/>
                <w:color w:val="auto"/>
                <w:szCs w:val="21"/>
                <w:highlight w:val="none"/>
              </w:rPr>
              <w:t>提供合同</w:t>
            </w:r>
            <w:r>
              <w:rPr>
                <w:rFonts w:hint="eastAsia" w:ascii="宋体" w:hAnsi="宋体" w:cs="宋体"/>
                <w:b/>
                <w:bCs/>
                <w:color w:val="auto"/>
                <w:szCs w:val="21"/>
                <w:highlight w:val="none"/>
                <w:lang w:val="en-US" w:eastAsia="zh-CN"/>
              </w:rPr>
              <w:t>和中标通知书</w:t>
            </w:r>
            <w:r>
              <w:rPr>
                <w:rFonts w:hint="eastAsia" w:ascii="宋体" w:hAnsi="宋体" w:cs="宋体"/>
                <w:b/>
                <w:bCs/>
                <w:color w:val="auto"/>
                <w:szCs w:val="21"/>
                <w:highlight w:val="none"/>
              </w:rPr>
              <w:t>扫描件</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时间以合同签订的时间为准，否则不得分。</w:t>
            </w:r>
          </w:p>
        </w:tc>
        <w:tc>
          <w:tcPr>
            <w:tcW w:w="433" w:type="pct"/>
            <w:noWrap w:val="0"/>
            <w:vAlign w:val="center"/>
          </w:tcPr>
          <w:p>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29" w:type="pct"/>
            <w:noWrap w:val="0"/>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045"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项目负责人</w:t>
            </w:r>
          </w:p>
        </w:tc>
        <w:tc>
          <w:tcPr>
            <w:tcW w:w="3091" w:type="pct"/>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bCs/>
                <w:sz w:val="21"/>
                <w:szCs w:val="21"/>
                <w:highlight w:val="none"/>
                <w:lang w:val="en-US" w:eastAsia="zh-CN"/>
              </w:rPr>
              <w:t>根据</w:t>
            </w:r>
            <w:r>
              <w:rPr>
                <w:rFonts w:hint="eastAsia" w:ascii="宋体" w:hAnsi="宋体"/>
                <w:bCs/>
                <w:sz w:val="21"/>
                <w:szCs w:val="21"/>
                <w:highlight w:val="none"/>
              </w:rPr>
              <w:t>项目负责人的专业素质、技术能力、资历资格、从业经验</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荣誉</w:t>
            </w:r>
            <w:r>
              <w:rPr>
                <w:rFonts w:hint="eastAsia" w:ascii="宋体" w:hAnsi="宋体"/>
                <w:bCs/>
                <w:sz w:val="21"/>
                <w:szCs w:val="21"/>
                <w:highlight w:val="none"/>
              </w:rPr>
              <w:t>等</w:t>
            </w:r>
            <w:r>
              <w:rPr>
                <w:rFonts w:hint="eastAsia" w:ascii="宋体" w:hAnsi="宋体"/>
                <w:bCs/>
                <w:sz w:val="21"/>
                <w:szCs w:val="21"/>
                <w:highlight w:val="none"/>
                <w:lang w:eastAsia="zh-CN"/>
              </w:rPr>
              <w:t>。</w:t>
            </w:r>
            <w:r>
              <w:rPr>
                <w:rFonts w:hint="eastAsia" w:ascii="宋体" w:hAnsi="宋体"/>
                <w:bCs/>
                <w:sz w:val="21"/>
                <w:szCs w:val="21"/>
                <w:highlight w:val="none"/>
                <w:lang w:val="zh-CN"/>
              </w:rPr>
              <w:t>是否具有类似项目经验，是否具有调动各项资源的能力</w:t>
            </w:r>
            <w:r>
              <w:rPr>
                <w:rFonts w:hint="eastAsia" w:ascii="宋体" w:hAnsi="宋体"/>
                <w:bCs/>
                <w:sz w:val="21"/>
                <w:szCs w:val="21"/>
                <w:highlight w:val="none"/>
              </w:rPr>
              <w:t>综合</w:t>
            </w:r>
            <w:r>
              <w:rPr>
                <w:rFonts w:hint="eastAsia" w:ascii="宋体" w:hAnsi="宋体"/>
                <w:bCs/>
                <w:sz w:val="21"/>
                <w:szCs w:val="21"/>
                <w:highlight w:val="none"/>
                <w:lang w:val="en-US" w:eastAsia="zh-CN"/>
              </w:rPr>
              <w:t>评审</w:t>
            </w:r>
            <w:r>
              <w:rPr>
                <w:rFonts w:hint="eastAsia" w:ascii="宋体" w:hAnsi="宋体"/>
                <w:bCs/>
                <w:sz w:val="21"/>
                <w:szCs w:val="21"/>
                <w:highlight w:val="none"/>
              </w:rPr>
              <w:t>。</w:t>
            </w:r>
            <w:r>
              <w:rPr>
                <w:rFonts w:hint="eastAsia" w:ascii="宋体" w:hAnsi="宋体"/>
                <w:bCs/>
                <w:sz w:val="21"/>
                <w:szCs w:val="21"/>
                <w:highlight w:val="none"/>
              </w:rPr>
              <w:t>（提供本单位</w:t>
            </w:r>
            <w:r>
              <w:rPr>
                <w:rFonts w:hint="eastAsia" w:ascii="宋体" w:hAnsi="宋体"/>
                <w:bCs/>
                <w:sz w:val="21"/>
                <w:szCs w:val="21"/>
                <w:highlight w:val="none"/>
                <w:lang w:val="en-US" w:eastAsia="zh-CN"/>
              </w:rPr>
              <w:t>近三个月内任一月</w:t>
            </w:r>
            <w:r>
              <w:rPr>
                <w:rFonts w:hint="eastAsia" w:ascii="宋体" w:hAnsi="宋体"/>
                <w:bCs/>
                <w:sz w:val="21"/>
                <w:szCs w:val="21"/>
                <w:highlight w:val="none"/>
              </w:rPr>
              <w:t>社保证明</w:t>
            </w:r>
            <w:r>
              <w:rPr>
                <w:rFonts w:hint="eastAsia" w:ascii="宋体" w:hAnsi="宋体"/>
                <w:bCs/>
                <w:sz w:val="21"/>
                <w:szCs w:val="21"/>
                <w:highlight w:val="none"/>
                <w:lang w:eastAsia="zh-CN"/>
              </w:rPr>
              <w:t>，</w:t>
            </w:r>
            <w:r>
              <w:rPr>
                <w:rFonts w:hint="eastAsia" w:ascii="宋体" w:hAnsi="宋体" w:cs="宋体"/>
                <w:bCs/>
                <w:spacing w:val="-6"/>
                <w:sz w:val="21"/>
                <w:szCs w:val="21"/>
                <w:highlight w:val="none"/>
                <w:lang w:val="en-US" w:eastAsia="zh-CN"/>
              </w:rPr>
              <w:t>否则不得分</w:t>
            </w:r>
            <w:r>
              <w:rPr>
                <w:rFonts w:hint="eastAsia" w:ascii="宋体" w:hAnsi="宋体" w:eastAsia="宋体" w:cs="宋体"/>
                <w:bCs/>
                <w:spacing w:val="-6"/>
                <w:sz w:val="21"/>
                <w:szCs w:val="21"/>
                <w:highlight w:val="none"/>
                <w:lang w:val="zh-CN"/>
              </w:rPr>
              <w:t>。</w:t>
            </w:r>
            <w:r>
              <w:rPr>
                <w:rFonts w:hint="eastAsia" w:ascii="宋体" w:hAnsi="宋体"/>
                <w:bCs/>
                <w:sz w:val="21"/>
                <w:szCs w:val="21"/>
                <w:highlight w:val="none"/>
              </w:rPr>
              <w:t>）</w:t>
            </w:r>
            <w:r>
              <w:rPr>
                <w:rFonts w:hint="eastAsia" w:ascii="宋体" w:hAnsi="宋体" w:cs="宋体"/>
                <w:color w:val="auto"/>
                <w:szCs w:val="21"/>
                <w:highlight w:val="none"/>
                <w:lang w:val="en-US" w:eastAsia="zh-CN"/>
              </w:rPr>
              <w:t>A档6-4分，B档4-2分，C档2-0分</w:t>
            </w:r>
            <w:r>
              <w:rPr>
                <w:rFonts w:hint="eastAsia" w:ascii="宋体" w:hAnsi="宋体" w:cs="宋体"/>
                <w:color w:val="auto"/>
                <w:szCs w:val="21"/>
                <w:highlight w:val="none"/>
              </w:rPr>
              <w:t>。</w:t>
            </w:r>
          </w:p>
        </w:tc>
        <w:tc>
          <w:tcPr>
            <w:tcW w:w="433"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045"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项目组成员</w:t>
            </w:r>
          </w:p>
        </w:tc>
        <w:tc>
          <w:tcPr>
            <w:tcW w:w="3091" w:type="pct"/>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color w:val="auto"/>
                <w:szCs w:val="21"/>
                <w:highlight w:val="none"/>
              </w:rPr>
            </w:pPr>
            <w:r>
              <w:rPr>
                <w:rFonts w:hint="eastAsia" w:ascii="宋体" w:hAnsi="宋体"/>
                <w:bCs/>
                <w:sz w:val="21"/>
                <w:szCs w:val="21"/>
                <w:highlight w:val="none"/>
              </w:rPr>
              <w:t>根据供应商拟投入本项目组成员</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除项目负责人外</w:t>
            </w:r>
            <w:r>
              <w:rPr>
                <w:rFonts w:hint="eastAsia" w:ascii="宋体" w:hAnsi="宋体"/>
                <w:bCs/>
                <w:sz w:val="21"/>
                <w:szCs w:val="21"/>
                <w:highlight w:val="none"/>
                <w:lang w:eastAsia="zh-CN"/>
              </w:rPr>
              <w:t>）</w:t>
            </w:r>
            <w:r>
              <w:rPr>
                <w:rFonts w:hint="eastAsia" w:ascii="宋体" w:hAnsi="宋体"/>
                <w:bCs/>
                <w:sz w:val="21"/>
                <w:szCs w:val="21"/>
                <w:highlight w:val="none"/>
              </w:rPr>
              <w:t>涵盖的专业领域</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人员数量资质等</w:t>
            </w:r>
            <w:r>
              <w:rPr>
                <w:rFonts w:hint="eastAsia" w:ascii="宋体" w:hAnsi="宋体"/>
                <w:bCs/>
                <w:sz w:val="21"/>
                <w:szCs w:val="21"/>
                <w:highlight w:val="none"/>
              </w:rPr>
              <w:t>综合水平以及团队配置合理性、科学性评审。</w:t>
            </w:r>
            <w:r>
              <w:rPr>
                <w:rFonts w:hint="eastAsia" w:ascii="宋体" w:hAnsi="宋体"/>
                <w:bCs/>
                <w:sz w:val="21"/>
                <w:szCs w:val="21"/>
                <w:highlight w:val="none"/>
              </w:rPr>
              <w:t>（提供本单位</w:t>
            </w:r>
            <w:r>
              <w:rPr>
                <w:rFonts w:hint="eastAsia" w:ascii="宋体" w:hAnsi="宋体"/>
                <w:bCs/>
                <w:sz w:val="21"/>
                <w:szCs w:val="21"/>
                <w:highlight w:val="none"/>
                <w:lang w:val="en-US" w:eastAsia="zh-CN"/>
              </w:rPr>
              <w:t>近三个月内任一月</w:t>
            </w:r>
            <w:r>
              <w:rPr>
                <w:rFonts w:hint="eastAsia" w:ascii="宋体" w:hAnsi="宋体"/>
                <w:bCs/>
                <w:sz w:val="21"/>
                <w:szCs w:val="21"/>
                <w:highlight w:val="none"/>
              </w:rPr>
              <w:t>社保证明</w:t>
            </w:r>
            <w:r>
              <w:rPr>
                <w:rFonts w:hint="eastAsia" w:ascii="宋体" w:hAnsi="宋体"/>
                <w:bCs/>
                <w:sz w:val="21"/>
                <w:szCs w:val="21"/>
                <w:highlight w:val="none"/>
                <w:lang w:eastAsia="zh-CN"/>
              </w:rPr>
              <w:t>，</w:t>
            </w:r>
            <w:r>
              <w:rPr>
                <w:rFonts w:hint="eastAsia" w:ascii="宋体" w:hAnsi="宋体" w:cs="宋体"/>
                <w:bCs/>
                <w:spacing w:val="-6"/>
                <w:sz w:val="21"/>
                <w:szCs w:val="21"/>
                <w:highlight w:val="none"/>
                <w:lang w:val="en-US" w:eastAsia="zh-CN"/>
              </w:rPr>
              <w:t>否则不得分</w:t>
            </w:r>
            <w:r>
              <w:rPr>
                <w:rFonts w:hint="eastAsia" w:ascii="宋体" w:hAnsi="宋体" w:eastAsia="宋体" w:cs="宋体"/>
                <w:bCs/>
                <w:spacing w:val="-6"/>
                <w:sz w:val="21"/>
                <w:szCs w:val="21"/>
                <w:highlight w:val="none"/>
                <w:lang w:val="zh-CN"/>
              </w:rPr>
              <w:t>。</w:t>
            </w:r>
            <w:r>
              <w:rPr>
                <w:rFonts w:hint="eastAsia" w:ascii="宋体" w:hAnsi="宋体"/>
                <w:bCs/>
                <w:sz w:val="21"/>
                <w:szCs w:val="21"/>
                <w:highlight w:val="none"/>
              </w:rPr>
              <w:t>）</w:t>
            </w:r>
            <w:r>
              <w:rPr>
                <w:rFonts w:hint="eastAsia" w:ascii="宋体" w:hAnsi="宋体" w:cs="宋体"/>
                <w:color w:val="auto"/>
                <w:szCs w:val="21"/>
                <w:highlight w:val="none"/>
                <w:lang w:val="en-US" w:eastAsia="zh-CN"/>
              </w:rPr>
              <w:t>A档9-6分，B档6-3分，C档3-0分</w:t>
            </w:r>
            <w:r>
              <w:rPr>
                <w:rFonts w:hint="eastAsia" w:ascii="宋体" w:hAnsi="宋体" w:cs="宋体"/>
                <w:color w:val="auto"/>
                <w:szCs w:val="21"/>
                <w:highlight w:val="none"/>
              </w:rPr>
              <w:t>。</w:t>
            </w:r>
          </w:p>
        </w:tc>
        <w:tc>
          <w:tcPr>
            <w:tcW w:w="433"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45"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项目现状、</w:t>
            </w:r>
            <w:r>
              <w:rPr>
                <w:rFonts w:hint="eastAsia" w:ascii="宋体" w:hAnsi="宋体" w:cs="宋体"/>
                <w:color w:val="auto"/>
                <w:szCs w:val="21"/>
                <w:highlight w:val="none"/>
              </w:rPr>
              <w:t>需求分析</w:t>
            </w:r>
            <w:r>
              <w:rPr>
                <w:rFonts w:hint="eastAsia" w:ascii="宋体" w:hAnsi="宋体" w:cs="宋体"/>
                <w:color w:val="auto"/>
                <w:szCs w:val="21"/>
                <w:highlight w:val="none"/>
                <w:lang w:val="en-US" w:eastAsia="zh-CN"/>
              </w:rPr>
              <w:t>及总体服务方案</w:t>
            </w:r>
          </w:p>
        </w:tc>
        <w:tc>
          <w:tcPr>
            <w:tcW w:w="3091" w:type="pct"/>
            <w:noWrap w:val="0"/>
            <w:vAlign w:val="center"/>
          </w:tcPr>
          <w:p>
            <w:pPr>
              <w:spacing w:line="240" w:lineRule="auto"/>
              <w:rPr>
                <w:rFonts w:hint="eastAsia" w:ascii="宋体" w:hAnsi="宋体" w:eastAsia="宋体"/>
                <w:color w:val="auto"/>
                <w:szCs w:val="21"/>
                <w:highlight w:val="none"/>
                <w:lang w:eastAsia="zh-CN"/>
              </w:rPr>
            </w:pPr>
            <w:r>
              <w:rPr>
                <w:rFonts w:hint="eastAsia" w:ascii="宋体" w:hAnsi="宋体" w:cs="宋体"/>
                <w:color w:val="auto"/>
                <w:szCs w:val="21"/>
                <w:highlight w:val="none"/>
              </w:rPr>
              <w:t>项目现状及采购需求分析及对项目情况理解程度</w:t>
            </w:r>
            <w:r>
              <w:rPr>
                <w:rFonts w:hint="eastAsia" w:ascii="宋体" w:hAnsi="宋体" w:cs="宋体"/>
                <w:color w:val="auto"/>
                <w:szCs w:val="21"/>
                <w:highlight w:val="none"/>
                <w:lang w:eastAsia="zh-CN"/>
              </w:rPr>
              <w:t>，</w:t>
            </w:r>
            <w:r>
              <w:rPr>
                <w:rFonts w:hint="eastAsia" w:hAnsi="宋体"/>
                <w:color w:val="auto"/>
                <w:szCs w:val="21"/>
                <w:highlight w:val="none"/>
              </w:rPr>
              <w:t>服务方案内容全面、条理清晰，涵盖本次</w:t>
            </w:r>
            <w:r>
              <w:rPr>
                <w:rFonts w:hint="eastAsia" w:hAnsi="宋体"/>
                <w:color w:val="auto"/>
                <w:szCs w:val="21"/>
                <w:highlight w:val="none"/>
                <w:lang w:val="en-US" w:eastAsia="zh-CN"/>
              </w:rPr>
              <w:t>采购</w:t>
            </w:r>
            <w:r>
              <w:rPr>
                <w:rFonts w:hint="eastAsia" w:hAnsi="宋体"/>
                <w:color w:val="auto"/>
                <w:szCs w:val="21"/>
                <w:highlight w:val="none"/>
              </w:rPr>
              <w:t>的所有内容，项目实施目标明确并符合采购需求，且具有针对性</w:t>
            </w:r>
            <w:r>
              <w:rPr>
                <w:rFonts w:hint="eastAsia" w:hAnsi="宋体"/>
                <w:color w:val="auto"/>
                <w:szCs w:val="21"/>
                <w:highlight w:val="none"/>
                <w:lang w:eastAsia="zh-CN"/>
              </w:rPr>
              <w:t>。</w:t>
            </w:r>
            <w:r>
              <w:rPr>
                <w:rFonts w:hint="eastAsia" w:ascii="宋体" w:hAnsi="宋体" w:cs="宋体"/>
                <w:color w:val="auto"/>
                <w:szCs w:val="21"/>
                <w:highlight w:val="none"/>
                <w:lang w:val="en-US" w:eastAsia="zh-CN"/>
              </w:rPr>
              <w:t>A档10-7分，B档7-4分，C档4-0分。</w:t>
            </w:r>
          </w:p>
        </w:tc>
        <w:tc>
          <w:tcPr>
            <w:tcW w:w="433"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9" w:type="pc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45"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酒店响应情况</w:t>
            </w:r>
          </w:p>
        </w:tc>
        <w:tc>
          <w:tcPr>
            <w:tcW w:w="3091" w:type="pct"/>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bCs/>
                <w:spacing w:val="-6"/>
                <w:sz w:val="21"/>
                <w:szCs w:val="21"/>
                <w:highlight w:val="none"/>
                <w:lang w:val="zh-CN"/>
              </w:rPr>
            </w:pPr>
            <w:r>
              <w:rPr>
                <w:rFonts w:hint="eastAsia" w:ascii="宋体" w:hAnsi="宋体"/>
                <w:bCs/>
                <w:spacing w:val="-6"/>
                <w:sz w:val="21"/>
                <w:szCs w:val="21"/>
                <w:highlight w:val="none"/>
                <w:lang w:val="zh-CN"/>
              </w:rPr>
              <w:t>对本次接待酒店资源的了解深度及熟悉情况</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bCs/>
                <w:spacing w:val="-6"/>
                <w:sz w:val="21"/>
                <w:szCs w:val="21"/>
                <w:highlight w:val="none"/>
                <w:lang w:val="zh-CN"/>
              </w:rPr>
            </w:pPr>
            <w:r>
              <w:rPr>
                <w:rFonts w:hint="eastAsia" w:ascii="宋体" w:hAnsi="宋体"/>
                <w:bCs/>
                <w:spacing w:val="-6"/>
                <w:sz w:val="21"/>
                <w:szCs w:val="21"/>
                <w:highlight w:val="none"/>
                <w:lang w:val="zh-CN"/>
              </w:rPr>
              <w:t>入住酒店安排的合理性，交通便利程度；</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bCs/>
                <w:spacing w:val="-6"/>
                <w:sz w:val="21"/>
                <w:szCs w:val="21"/>
                <w:highlight w:val="none"/>
                <w:lang w:val="zh-CN"/>
              </w:rPr>
            </w:pPr>
            <w:r>
              <w:rPr>
                <w:rFonts w:hint="eastAsia" w:ascii="宋体" w:hAnsi="宋体"/>
                <w:bCs/>
                <w:spacing w:val="-6"/>
                <w:sz w:val="21"/>
                <w:szCs w:val="21"/>
                <w:highlight w:val="none"/>
                <w:lang w:val="zh-CN"/>
              </w:rPr>
              <w:t>入住酒店星级情况及房间安排的数量及房间房型的合理性；</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olor w:val="auto"/>
                <w:szCs w:val="21"/>
                <w:highlight w:val="none"/>
              </w:rPr>
            </w:pPr>
            <w:r>
              <w:rPr>
                <w:rFonts w:hint="eastAsia" w:ascii="宋体" w:hAnsi="宋体" w:cs="宋体"/>
                <w:color w:val="auto"/>
                <w:szCs w:val="21"/>
                <w:highlight w:val="none"/>
                <w:lang w:val="en-US" w:eastAsia="zh-CN"/>
              </w:rPr>
              <w:t>A档9-6分，B档6-3分，C档3-0分</w:t>
            </w:r>
            <w:r>
              <w:rPr>
                <w:rFonts w:hint="eastAsia" w:ascii="宋体" w:hAnsi="宋体" w:cs="宋体"/>
                <w:color w:val="auto"/>
                <w:szCs w:val="21"/>
                <w:highlight w:val="none"/>
              </w:rPr>
              <w:t>。</w:t>
            </w:r>
          </w:p>
        </w:tc>
        <w:tc>
          <w:tcPr>
            <w:tcW w:w="433" w:type="pc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45"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餐饮服务方案</w:t>
            </w:r>
          </w:p>
        </w:tc>
        <w:tc>
          <w:tcPr>
            <w:tcW w:w="3091" w:type="pct"/>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bCs/>
                <w:sz w:val="21"/>
                <w:szCs w:val="21"/>
                <w:highlight w:val="none"/>
              </w:rPr>
            </w:pPr>
            <w:r>
              <w:rPr>
                <w:rFonts w:hint="eastAsia" w:ascii="宋体" w:hAnsi="宋体"/>
                <w:bCs/>
                <w:sz w:val="21"/>
                <w:szCs w:val="21"/>
                <w:highlight w:val="none"/>
              </w:rPr>
              <w:t>所有人员（包括嘉宾、工作人员、志愿者等）在</w:t>
            </w:r>
            <w:r>
              <w:rPr>
                <w:rFonts w:hint="eastAsia" w:ascii="宋体" w:hAnsi="宋体"/>
                <w:bCs/>
                <w:sz w:val="21"/>
                <w:szCs w:val="21"/>
                <w:highlight w:val="none"/>
                <w:lang w:val="en-US" w:eastAsia="zh-CN"/>
              </w:rPr>
              <w:t>会务</w:t>
            </w:r>
            <w:r>
              <w:rPr>
                <w:rFonts w:hint="eastAsia" w:ascii="宋体" w:hAnsi="宋体"/>
                <w:bCs/>
                <w:sz w:val="21"/>
                <w:szCs w:val="21"/>
                <w:highlight w:val="none"/>
              </w:rPr>
              <w:t>期间用餐方案、餐饮标准、用餐形式合理性等</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olor w:val="auto"/>
                <w:szCs w:val="21"/>
                <w:highlight w:val="none"/>
              </w:rPr>
            </w:pPr>
            <w:r>
              <w:rPr>
                <w:rFonts w:hint="eastAsia" w:ascii="宋体" w:hAnsi="宋体" w:cs="宋体"/>
                <w:color w:val="auto"/>
                <w:szCs w:val="21"/>
                <w:highlight w:val="none"/>
                <w:lang w:val="en-US" w:eastAsia="zh-CN"/>
              </w:rPr>
              <w:t>A档9-6分，B档6-3分，C档3-0分</w:t>
            </w:r>
            <w:r>
              <w:rPr>
                <w:rFonts w:hint="eastAsia" w:ascii="宋体" w:hAnsi="宋体" w:cs="宋体"/>
                <w:color w:val="auto"/>
                <w:szCs w:val="21"/>
                <w:highlight w:val="none"/>
              </w:rPr>
              <w:t>。</w:t>
            </w:r>
          </w:p>
        </w:tc>
        <w:tc>
          <w:tcPr>
            <w:tcW w:w="433" w:type="pc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045"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车辆响应情况</w:t>
            </w:r>
          </w:p>
        </w:tc>
        <w:tc>
          <w:tcPr>
            <w:tcW w:w="3091" w:type="pct"/>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bCs/>
                <w:sz w:val="21"/>
                <w:szCs w:val="21"/>
                <w:highlight w:val="none"/>
              </w:rPr>
            </w:pPr>
            <w:r>
              <w:rPr>
                <w:rFonts w:hint="eastAsia" w:ascii="宋体" w:hAnsi="宋体"/>
                <w:bCs/>
                <w:sz w:val="21"/>
                <w:szCs w:val="21"/>
                <w:highlight w:val="none"/>
              </w:rPr>
              <w:t>用车配置方案合理性；</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bCs/>
                <w:sz w:val="21"/>
                <w:szCs w:val="21"/>
                <w:highlight w:val="none"/>
              </w:rPr>
            </w:pPr>
            <w:r>
              <w:rPr>
                <w:rFonts w:hint="eastAsia" w:ascii="宋体" w:hAnsi="宋体"/>
                <w:bCs/>
                <w:sz w:val="21"/>
                <w:szCs w:val="21"/>
                <w:highlight w:val="none"/>
              </w:rPr>
              <w:t>用车车辆品牌、车辆年限情况</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车身布置等</w:t>
            </w:r>
            <w:r>
              <w:rPr>
                <w:rFonts w:hint="eastAsia" w:ascii="宋体" w:hAnsi="宋体"/>
                <w:bCs/>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bCs/>
                <w:sz w:val="21"/>
                <w:szCs w:val="21"/>
                <w:highlight w:val="none"/>
              </w:rPr>
            </w:pPr>
            <w:r>
              <w:rPr>
                <w:rFonts w:hint="eastAsia" w:ascii="宋体" w:hAnsi="宋体"/>
                <w:bCs/>
                <w:sz w:val="21"/>
                <w:szCs w:val="21"/>
                <w:highlight w:val="none"/>
              </w:rPr>
              <w:t>服务用车驾驶员的工作经验及安全出车记录情况；</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olor w:val="auto"/>
                <w:szCs w:val="21"/>
                <w:highlight w:val="none"/>
              </w:rPr>
            </w:pPr>
            <w:r>
              <w:rPr>
                <w:rFonts w:hint="eastAsia" w:ascii="宋体" w:hAnsi="宋体" w:cs="宋体"/>
                <w:color w:val="auto"/>
                <w:szCs w:val="21"/>
                <w:highlight w:val="none"/>
                <w:lang w:val="en-US" w:eastAsia="zh-CN"/>
              </w:rPr>
              <w:t>A档9-6分，B档6-3分，C档3-0分</w:t>
            </w:r>
            <w:r>
              <w:rPr>
                <w:rFonts w:hint="eastAsia" w:ascii="宋体" w:hAnsi="宋体" w:cs="宋体"/>
                <w:color w:val="auto"/>
                <w:szCs w:val="21"/>
                <w:highlight w:val="none"/>
              </w:rPr>
              <w:t>。</w:t>
            </w:r>
          </w:p>
        </w:tc>
        <w:tc>
          <w:tcPr>
            <w:tcW w:w="433"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29" w:type="pc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45"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各类工作人员培训方案</w:t>
            </w:r>
          </w:p>
        </w:tc>
        <w:tc>
          <w:tcPr>
            <w:tcW w:w="3091" w:type="pct"/>
            <w:noWrap w:val="0"/>
            <w:vAlign w:val="center"/>
          </w:tcPr>
          <w:p>
            <w:pPr>
              <w:spacing w:line="240" w:lineRule="auto"/>
              <w:ind w:right="-21" w:rightChars="-10"/>
              <w:jc w:val="left"/>
              <w:rPr>
                <w:rFonts w:hint="eastAsia" w:ascii="宋体" w:hAnsi="宋体"/>
                <w:color w:val="auto"/>
                <w:szCs w:val="21"/>
                <w:highlight w:val="none"/>
              </w:rPr>
            </w:pPr>
            <w:r>
              <w:rPr>
                <w:rFonts w:hint="eastAsia" w:ascii="宋体" w:hAnsi="宋体"/>
                <w:bCs/>
                <w:sz w:val="21"/>
                <w:szCs w:val="21"/>
                <w:highlight w:val="none"/>
                <w:lang w:val="en-US" w:eastAsia="zh-CN"/>
              </w:rPr>
              <w:t>会务接待各类相关工作人员及志愿者培训</w:t>
            </w:r>
            <w:r>
              <w:rPr>
                <w:rFonts w:hint="eastAsia" w:ascii="宋体" w:hAnsi="宋体"/>
                <w:bCs/>
                <w:sz w:val="21"/>
                <w:szCs w:val="21"/>
                <w:highlight w:val="none"/>
              </w:rPr>
              <w:t>方案</w:t>
            </w:r>
            <w:r>
              <w:rPr>
                <w:rFonts w:hint="eastAsia" w:ascii="宋体" w:hAnsi="宋体"/>
                <w:bCs/>
                <w:sz w:val="21"/>
                <w:szCs w:val="21"/>
                <w:highlight w:val="none"/>
                <w:lang w:val="en-US" w:eastAsia="zh-CN"/>
              </w:rPr>
              <w:t>及实施合理、有效机培训方案到位情况</w:t>
            </w:r>
            <w:r>
              <w:rPr>
                <w:rFonts w:hint="eastAsia" w:ascii="宋体" w:hAnsi="宋体" w:cs="宋体"/>
                <w:color w:val="auto"/>
                <w:szCs w:val="21"/>
                <w:highlight w:val="none"/>
                <w:lang w:val="en-US" w:eastAsia="zh-CN"/>
              </w:rPr>
              <w:t>A档6-4分，B档4-2分，C档2-0分。</w:t>
            </w:r>
          </w:p>
        </w:tc>
        <w:tc>
          <w:tcPr>
            <w:tcW w:w="433" w:type="pct"/>
            <w:noWrap w:val="0"/>
            <w:vAlign w:val="center"/>
          </w:tcPr>
          <w:p>
            <w:pPr>
              <w:spacing w:line="240" w:lineRule="auto"/>
              <w:ind w:right="-21" w:rightChars="-1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29" w:type="pc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45"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信息化会务管理</w:t>
            </w:r>
            <w:r>
              <w:rPr>
                <w:rFonts w:hint="eastAsia" w:ascii="宋体" w:hAnsi="宋体" w:cs="宋体"/>
                <w:color w:val="auto"/>
                <w:szCs w:val="21"/>
                <w:highlight w:val="none"/>
                <w:lang w:val="en-US" w:eastAsia="zh-CN"/>
              </w:rPr>
              <w:t>服务方案</w:t>
            </w:r>
          </w:p>
        </w:tc>
        <w:tc>
          <w:tcPr>
            <w:tcW w:w="3091" w:type="pct"/>
            <w:noWrap w:val="0"/>
            <w:vAlign w:val="center"/>
          </w:tcPr>
          <w:p>
            <w:pPr>
              <w:spacing w:line="24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运用信息化实现会议管理及服务的现代化，会前准备，会中实施及会后质量反馈的信息化运用及管理等；具有</w:t>
            </w:r>
            <w:r>
              <w:rPr>
                <w:rFonts w:hint="eastAsia" w:ascii="宋体" w:hAnsi="宋体"/>
                <w:color w:val="auto"/>
                <w:szCs w:val="21"/>
                <w:highlight w:val="none"/>
              </w:rPr>
              <w:t>针对性</w:t>
            </w:r>
            <w:r>
              <w:rPr>
                <w:rFonts w:hint="eastAsia" w:ascii="宋体" w:hAnsi="宋体"/>
                <w:color w:val="auto"/>
                <w:szCs w:val="21"/>
                <w:highlight w:val="none"/>
                <w:lang w:eastAsia="zh-CN"/>
              </w:rPr>
              <w:t>、</w:t>
            </w:r>
            <w:r>
              <w:rPr>
                <w:rFonts w:ascii="宋体" w:hAnsi="宋体"/>
                <w:color w:val="auto"/>
                <w:szCs w:val="21"/>
                <w:highlight w:val="none"/>
              </w:rPr>
              <w:t>创新性</w:t>
            </w:r>
            <w:r>
              <w:rPr>
                <w:rFonts w:hint="eastAsia" w:ascii="宋体" w:hAnsi="宋体"/>
                <w:color w:val="auto"/>
                <w:szCs w:val="21"/>
                <w:highlight w:val="none"/>
                <w:lang w:eastAsia="zh-CN"/>
              </w:rPr>
              <w:t>、</w:t>
            </w:r>
            <w:r>
              <w:rPr>
                <w:rFonts w:ascii="宋体" w:hAnsi="宋体"/>
                <w:color w:val="auto"/>
                <w:szCs w:val="21"/>
                <w:highlight w:val="none"/>
              </w:rPr>
              <w:t>便利性</w:t>
            </w:r>
            <w:r>
              <w:rPr>
                <w:rFonts w:hint="eastAsia" w:ascii="宋体" w:hAnsi="宋体"/>
                <w:color w:val="auto"/>
                <w:szCs w:val="21"/>
                <w:highlight w:val="none"/>
                <w:lang w:val="en-US" w:eastAsia="zh-CN"/>
              </w:rPr>
              <w:t>综合评审打分</w:t>
            </w:r>
            <w:r>
              <w:rPr>
                <w:rFonts w:ascii="宋体" w:hAnsi="宋体"/>
                <w:color w:val="auto"/>
                <w:szCs w:val="21"/>
                <w:highlight w:val="none"/>
              </w:rPr>
              <w:t>，</w:t>
            </w:r>
            <w:r>
              <w:rPr>
                <w:rFonts w:hint="eastAsia" w:ascii="宋体" w:hAnsi="宋体" w:cs="宋体"/>
                <w:color w:val="auto"/>
                <w:szCs w:val="21"/>
                <w:highlight w:val="none"/>
                <w:lang w:val="en-US" w:eastAsia="zh-CN"/>
              </w:rPr>
              <w:t>A档6-4分，B档4-2分，C档2-0分。</w:t>
            </w:r>
          </w:p>
        </w:tc>
        <w:tc>
          <w:tcPr>
            <w:tcW w:w="433" w:type="pct"/>
            <w:noWrap w:val="0"/>
            <w:vAlign w:val="center"/>
          </w:tcPr>
          <w:p>
            <w:pPr>
              <w:spacing w:line="240" w:lineRule="auto"/>
              <w:ind w:right="-21" w:rightChars="-1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45" w:type="pct"/>
            <w:noWrap w:val="0"/>
            <w:vAlign w:val="center"/>
          </w:tcPr>
          <w:p>
            <w:pPr>
              <w:spacing w:line="240" w:lineRule="auto"/>
              <w:ind w:right="-21" w:rightChars="-1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服务质量保障及现场安全保障</w:t>
            </w:r>
          </w:p>
        </w:tc>
        <w:tc>
          <w:tcPr>
            <w:tcW w:w="3091" w:type="pct"/>
            <w:noWrap w:val="0"/>
            <w:vAlign w:val="center"/>
          </w:tcPr>
          <w:p>
            <w:pPr>
              <w:spacing w:line="240" w:lineRule="auto"/>
              <w:ind w:right="-21" w:rightChars="-10"/>
              <w:jc w:val="left"/>
              <w:rPr>
                <w:rFonts w:hint="eastAsia" w:ascii="宋体" w:hAnsi="宋体"/>
                <w:color w:val="auto"/>
                <w:szCs w:val="21"/>
                <w:highlight w:val="none"/>
              </w:rPr>
            </w:pPr>
            <w:r>
              <w:rPr>
                <w:rFonts w:hint="eastAsia" w:hAnsi="宋体"/>
                <w:color w:val="auto"/>
                <w:szCs w:val="21"/>
                <w:highlight w:val="none"/>
                <w:lang w:val="en-US" w:eastAsia="zh-CN"/>
              </w:rPr>
              <w:t>整体服务质量</w:t>
            </w:r>
            <w:r>
              <w:rPr>
                <w:rFonts w:hint="eastAsia" w:hAnsi="宋体"/>
                <w:color w:val="auto"/>
                <w:szCs w:val="21"/>
                <w:highlight w:val="none"/>
              </w:rPr>
              <w:t>保障</w:t>
            </w:r>
            <w:r>
              <w:rPr>
                <w:rFonts w:hint="eastAsia" w:hAnsi="宋体"/>
                <w:color w:val="auto"/>
                <w:szCs w:val="21"/>
                <w:highlight w:val="none"/>
                <w:lang w:eastAsia="zh-CN"/>
              </w:rPr>
              <w:t>、</w:t>
            </w:r>
            <w:r>
              <w:rPr>
                <w:rFonts w:hint="eastAsia" w:hAnsi="宋体"/>
                <w:color w:val="auto"/>
                <w:szCs w:val="21"/>
                <w:highlight w:val="none"/>
                <w:lang w:val="en-US" w:eastAsia="zh-CN"/>
              </w:rPr>
              <w:t>服务响应时间及现场服务过程安全保障</w:t>
            </w:r>
            <w:r>
              <w:rPr>
                <w:rFonts w:hint="eastAsia" w:hAnsi="宋体"/>
                <w:color w:val="auto"/>
                <w:szCs w:val="21"/>
                <w:highlight w:val="none"/>
              </w:rPr>
              <w:t>方案</w:t>
            </w:r>
            <w:r>
              <w:rPr>
                <w:rFonts w:hint="eastAsia" w:ascii="宋体" w:hAnsi="宋体"/>
                <w:bCs/>
                <w:sz w:val="21"/>
                <w:szCs w:val="21"/>
                <w:highlight w:val="none"/>
              </w:rPr>
              <w:t>是否</w:t>
            </w:r>
            <w:r>
              <w:rPr>
                <w:rFonts w:hint="eastAsia" w:ascii="宋体" w:hAnsi="宋体"/>
                <w:bCs/>
                <w:sz w:val="21"/>
                <w:szCs w:val="21"/>
                <w:highlight w:val="none"/>
                <w:lang w:val="en-US" w:eastAsia="zh-CN"/>
              </w:rPr>
              <w:t>完整、</w:t>
            </w:r>
            <w:r>
              <w:rPr>
                <w:rFonts w:hint="eastAsia" w:ascii="宋体" w:hAnsi="宋体"/>
                <w:bCs/>
                <w:sz w:val="21"/>
                <w:szCs w:val="21"/>
                <w:highlight w:val="none"/>
              </w:rPr>
              <w:t>科学、可行、合理性</w:t>
            </w:r>
            <w:r>
              <w:rPr>
                <w:rFonts w:hint="eastAsia" w:hAnsi="宋体"/>
                <w:color w:val="auto"/>
                <w:spacing w:val="-4"/>
                <w:szCs w:val="21"/>
                <w:highlight w:val="none"/>
                <w:lang w:eastAsia="zh-CN"/>
              </w:rPr>
              <w:t>，</w:t>
            </w:r>
            <w:r>
              <w:rPr>
                <w:rFonts w:hint="eastAsia" w:ascii="宋体" w:hAnsi="宋体" w:cs="宋体"/>
                <w:color w:val="auto"/>
                <w:szCs w:val="21"/>
                <w:highlight w:val="none"/>
                <w:lang w:val="en-US" w:eastAsia="zh-CN"/>
              </w:rPr>
              <w:t>A档6-4分，B档4-2分，C档2-0分</w:t>
            </w:r>
            <w:r>
              <w:rPr>
                <w:rFonts w:hint="eastAsia" w:ascii="宋体" w:hAnsi="宋体" w:cs="宋体"/>
                <w:color w:val="auto"/>
                <w:szCs w:val="21"/>
                <w:highlight w:val="none"/>
              </w:rPr>
              <w:t>。</w:t>
            </w:r>
          </w:p>
        </w:tc>
        <w:tc>
          <w:tcPr>
            <w:tcW w:w="433" w:type="pct"/>
            <w:noWrap w:val="0"/>
            <w:vAlign w:val="center"/>
          </w:tcPr>
          <w:p>
            <w:pPr>
              <w:spacing w:line="240" w:lineRule="auto"/>
              <w:ind w:right="-21" w:rightChars="-1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45" w:type="pct"/>
            <w:noWrap w:val="0"/>
            <w:vAlign w:val="center"/>
          </w:tcPr>
          <w:p>
            <w:pPr>
              <w:spacing w:line="240" w:lineRule="auto"/>
              <w:jc w:val="center"/>
              <w:rPr>
                <w:rFonts w:hint="eastAsia" w:ascii="宋体" w:hAnsi="宋体" w:cs="宋体"/>
                <w:color w:val="auto"/>
                <w:szCs w:val="21"/>
                <w:highlight w:val="none"/>
              </w:rPr>
            </w:pPr>
            <w:r>
              <w:rPr>
                <w:rFonts w:hint="eastAsia" w:ascii="宋体" w:hAnsi="宋体"/>
                <w:bCs/>
                <w:kern w:val="0"/>
                <w:sz w:val="21"/>
                <w:szCs w:val="21"/>
                <w:highlight w:val="none"/>
              </w:rPr>
              <w:t>应急突发事件处理及承诺</w:t>
            </w:r>
          </w:p>
        </w:tc>
        <w:tc>
          <w:tcPr>
            <w:tcW w:w="3091" w:type="pct"/>
            <w:noWrap w:val="0"/>
            <w:vAlign w:val="center"/>
          </w:tcPr>
          <w:p>
            <w:pPr>
              <w:numPr>
                <w:ilvl w:val="0"/>
                <w:numId w:val="0"/>
              </w:numPr>
              <w:spacing w:line="240" w:lineRule="auto"/>
              <w:ind w:left="0" w:firstLine="0"/>
              <w:rPr>
                <w:rFonts w:hint="default" w:ascii="宋体" w:hAnsi="宋体" w:eastAsia="宋体" w:cs="宋体"/>
                <w:color w:val="auto"/>
                <w:szCs w:val="21"/>
                <w:highlight w:val="none"/>
                <w:lang w:val="en-US" w:eastAsia="zh-CN"/>
              </w:rPr>
            </w:pPr>
            <w:r>
              <w:rPr>
                <w:rFonts w:hint="eastAsia" w:ascii="宋体" w:hAnsi="宋体"/>
                <w:bCs/>
                <w:sz w:val="21"/>
                <w:szCs w:val="21"/>
                <w:highlight w:val="none"/>
              </w:rPr>
              <w:t>现场突发事件分析到位、供应商处理突发事件能力及现场把控能力</w:t>
            </w:r>
            <w:r>
              <w:rPr>
                <w:rFonts w:hint="eastAsia" w:ascii="宋体" w:hAnsi="宋体" w:cs="宋体"/>
                <w:color w:val="auto"/>
                <w:szCs w:val="21"/>
                <w:highlight w:val="none"/>
                <w:lang w:val="en-US" w:eastAsia="zh-CN"/>
              </w:rPr>
              <w:t>A档6-4分，B档4-2分，C档2-0分</w:t>
            </w:r>
            <w:r>
              <w:rPr>
                <w:rFonts w:hint="eastAsia" w:ascii="宋体" w:hAnsi="宋体" w:cs="宋体"/>
                <w:color w:val="auto"/>
                <w:szCs w:val="21"/>
                <w:highlight w:val="none"/>
              </w:rPr>
              <w:t>。</w:t>
            </w:r>
          </w:p>
        </w:tc>
        <w:tc>
          <w:tcPr>
            <w:tcW w:w="433"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045" w:type="pct"/>
            <w:noWrap w:val="0"/>
            <w:vAlign w:val="center"/>
          </w:tcPr>
          <w:p>
            <w:pPr>
              <w:spacing w:line="240" w:lineRule="auto"/>
              <w:jc w:val="center"/>
              <w:rPr>
                <w:rFonts w:hint="default" w:ascii="宋体" w:hAnsi="宋体" w:eastAsia="宋体"/>
                <w:bCs/>
                <w:kern w:val="0"/>
                <w:sz w:val="21"/>
                <w:szCs w:val="21"/>
                <w:highlight w:val="none"/>
                <w:lang w:val="en-US" w:eastAsia="zh-CN"/>
              </w:rPr>
            </w:pPr>
            <w:r>
              <w:rPr>
                <w:rFonts w:hint="eastAsia" w:ascii="宋体" w:hAnsi="宋体"/>
                <w:bCs/>
                <w:kern w:val="0"/>
                <w:sz w:val="21"/>
                <w:szCs w:val="21"/>
                <w:highlight w:val="none"/>
                <w:lang w:val="en-US" w:eastAsia="zh-CN"/>
              </w:rPr>
              <w:t>保险方案情况</w:t>
            </w:r>
          </w:p>
        </w:tc>
        <w:tc>
          <w:tcPr>
            <w:tcW w:w="3091" w:type="pct"/>
            <w:noWrap w:val="0"/>
            <w:vAlign w:val="center"/>
          </w:tcPr>
          <w:p>
            <w:pPr>
              <w:numPr>
                <w:ilvl w:val="0"/>
                <w:numId w:val="0"/>
              </w:numPr>
              <w:spacing w:line="240" w:lineRule="auto"/>
              <w:ind w:left="0" w:firstLine="0"/>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根据服务方案涉及各类人员、车辆、意外事故等各项风险进行保险方案分析及承诺</w:t>
            </w:r>
            <w:r>
              <w:rPr>
                <w:rFonts w:hint="eastAsia" w:ascii="宋体" w:hAnsi="宋体" w:cs="宋体"/>
                <w:color w:val="auto"/>
                <w:szCs w:val="21"/>
                <w:highlight w:val="none"/>
                <w:lang w:val="en-US" w:eastAsia="zh-CN"/>
              </w:rPr>
              <w:t>A档7-4分，B档4-2分，C档2-0分</w:t>
            </w:r>
            <w:r>
              <w:rPr>
                <w:rFonts w:hint="eastAsia" w:ascii="宋体" w:hAnsi="宋体" w:cs="宋体"/>
                <w:color w:val="auto"/>
                <w:szCs w:val="21"/>
                <w:highlight w:val="none"/>
              </w:rPr>
              <w:t>。</w:t>
            </w:r>
          </w:p>
        </w:tc>
        <w:tc>
          <w:tcPr>
            <w:tcW w:w="433" w:type="pct"/>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0-7</w:t>
            </w:r>
          </w:p>
        </w:tc>
      </w:tr>
    </w:tbl>
    <w:p>
      <w:pPr>
        <w:spacing w:line="46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pPr>
        <w:numPr>
          <w:ilvl w:val="0"/>
          <w:numId w:val="24"/>
        </w:numPr>
        <w:spacing w:line="46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评标依据以供应商商务技术文件中加盖有效公章的证书/证明文件复印件为准；</w:t>
      </w:r>
    </w:p>
    <w:p>
      <w:pPr>
        <w:numPr>
          <w:ilvl w:val="0"/>
          <w:numId w:val="24"/>
        </w:numPr>
        <w:spacing w:line="440" w:lineRule="exact"/>
        <w:ind w:firstLine="330" w:firstLineChars="1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评分项，供应商须提供证明材料，证明材料以评标标准要求为准。评标委员会、采购机构在项目评审直至合同签订、履约期间，有权要求供应商出具磋商响应文件中的合同文本原件，予以确认其的真实性和有效性，如出现与事实不符等情况，将根据有关规定以“提供虚假材料谋取中标”予以处理；</w:t>
      </w:r>
    </w:p>
    <w:p>
      <w:pPr>
        <w:numPr>
          <w:ilvl w:val="0"/>
          <w:numId w:val="24"/>
        </w:numPr>
        <w:spacing w:line="440" w:lineRule="exact"/>
        <w:ind w:firstLine="330" w:firstLineChars="1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技术评分标准中，“A”档以该分项方案/措施的表述详尽、科学、操作性强、可信度高等为划分标准；“B”档以该分项方案/措施的表述细致度、可操作性、科学性等方面满足采购需求基本要求为划分标准；“C”档以该分项方案/措施的表述细致度、可操作性、科学性等方面较差为划分标准；</w:t>
      </w:r>
    </w:p>
    <w:p>
      <w:pPr>
        <w:numPr>
          <w:ilvl w:val="0"/>
          <w:numId w:val="23"/>
        </w:numPr>
        <w:tabs>
          <w:tab w:val="left" w:pos="6358"/>
        </w:tabs>
        <w:snapToGrid w:val="0"/>
        <w:spacing w:line="440" w:lineRule="exact"/>
        <w:rPr>
          <w:rFonts w:ascii="新宋体" w:hAnsi="新宋体" w:eastAsia="新宋体"/>
          <w:b/>
          <w:bCs/>
          <w:color w:val="auto"/>
          <w:sz w:val="22"/>
          <w:szCs w:val="22"/>
          <w:highlight w:val="none"/>
        </w:rPr>
      </w:pPr>
      <w:r>
        <w:rPr>
          <w:rFonts w:hint="eastAsia" w:ascii="新宋体" w:hAnsi="新宋体" w:eastAsia="新宋体" w:cs="新宋体"/>
          <w:b/>
          <w:bCs/>
          <w:color w:val="auto"/>
          <w:sz w:val="22"/>
          <w:szCs w:val="22"/>
          <w:highlight w:val="none"/>
        </w:rPr>
        <w:t>报价评分（</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b/>
          <w:bCs/>
          <w:color w:val="auto"/>
          <w:sz w:val="22"/>
          <w:szCs w:val="22"/>
          <w:highlight w:val="none"/>
        </w:rPr>
        <w:t>0</w:t>
      </w:r>
      <w:r>
        <w:rPr>
          <w:rFonts w:hint="eastAsia" w:ascii="新宋体" w:hAnsi="新宋体" w:eastAsia="新宋体" w:cs="新宋体"/>
          <w:b/>
          <w:bCs/>
          <w:color w:val="auto"/>
          <w:sz w:val="22"/>
          <w:szCs w:val="22"/>
          <w:highlight w:val="none"/>
        </w:rPr>
        <w:t>分）</w:t>
      </w:r>
    </w:p>
    <w:p>
      <w:pPr>
        <w:spacing w:line="440" w:lineRule="exact"/>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2.1满足竞争性磋商文件要求且最终报价的最低价作为评标基准价</w:t>
      </w:r>
    </w:p>
    <w:p>
      <w:pPr>
        <w:spacing w:line="440" w:lineRule="exact"/>
        <w:ind w:firstLine="330" w:firstLineChars="150"/>
        <w:rPr>
          <w:rFonts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s="新宋体"/>
          <w:color w:val="auto"/>
          <w:sz w:val="22"/>
          <w:szCs w:val="22"/>
          <w:highlight w:val="none"/>
        </w:rPr>
        <w:t>）有效供应商的最终报价等于评标基准价时，其最终报价评分值为满分</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olor w:val="auto"/>
          <w:sz w:val="22"/>
          <w:szCs w:val="22"/>
          <w:highlight w:val="none"/>
        </w:rPr>
        <w:t>0</w:t>
      </w:r>
      <w:r>
        <w:rPr>
          <w:rFonts w:hint="eastAsia" w:ascii="新宋体" w:hAnsi="新宋体" w:eastAsia="新宋体" w:cs="新宋体"/>
          <w:color w:val="auto"/>
          <w:sz w:val="22"/>
          <w:szCs w:val="22"/>
          <w:highlight w:val="none"/>
        </w:rPr>
        <w:t>分；</w:t>
      </w:r>
    </w:p>
    <w:p>
      <w:pPr>
        <w:spacing w:line="440" w:lineRule="exact"/>
        <w:ind w:left="330"/>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报价得分</w:t>
      </w:r>
      <w:r>
        <w:rPr>
          <w:rFonts w:hint="eastAsia" w:ascii="宋体" w:hAnsi="宋体" w:cs="宋体"/>
          <w:color w:val="auto"/>
          <w:kern w:val="0"/>
          <w:sz w:val="22"/>
          <w:szCs w:val="22"/>
          <w:highlight w:val="none"/>
        </w:rPr>
        <w:t>=（评标基准价/供应商最终报价）×</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0</w:t>
      </w:r>
      <w:r>
        <w:rPr>
          <w:rFonts w:hint="eastAsia" w:ascii="宋体" w:hAnsi="宋体" w:cs="宋体"/>
          <w:color w:val="auto"/>
          <w:sz w:val="22"/>
          <w:szCs w:val="22"/>
          <w:highlight w:val="none"/>
        </w:rPr>
        <w:t>（四舍五入，保留小数点后2位）；</w:t>
      </w:r>
    </w:p>
    <w:p>
      <w:pPr>
        <w:spacing w:line="440" w:lineRule="exact"/>
        <w:ind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hint="eastAsia" w:ascii="新宋体" w:hAnsi="新宋体" w:eastAsia="新宋体" w:cs="新宋体"/>
          <w:color w:val="auto"/>
          <w:sz w:val="22"/>
          <w:szCs w:val="22"/>
          <w:highlight w:val="none"/>
        </w:rPr>
        <w:t>）如供应商报价超过项目采购预算金额，其磋商响应文件作无效标处理；</w:t>
      </w:r>
    </w:p>
    <w:p>
      <w:pPr>
        <w:topLinePunct/>
        <w:spacing w:line="44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olor w:val="auto"/>
          <w:sz w:val="22"/>
          <w:szCs w:val="22"/>
          <w:highlight w:val="none"/>
        </w:rPr>
        <w:t>4</w:t>
      </w:r>
      <w:r>
        <w:rPr>
          <w:rFonts w:hint="eastAsia" w:ascii="新宋体" w:hAnsi="新宋体" w:eastAsia="新宋体" w:cs="新宋体"/>
          <w:color w:val="auto"/>
          <w:sz w:val="22"/>
          <w:szCs w:val="22"/>
          <w:highlight w:val="none"/>
        </w:rPr>
        <w:t>）所有供应商</w:t>
      </w:r>
      <w:r>
        <w:rPr>
          <w:rFonts w:hint="eastAsia" w:ascii="新宋体" w:hAnsi="新宋体" w:eastAsia="新宋体" w:cs="新宋体"/>
          <w:color w:val="auto"/>
          <w:sz w:val="22"/>
          <w:szCs w:val="22"/>
          <w:highlight w:val="none"/>
          <w:lang w:eastAsia="zh-CN"/>
        </w:rPr>
        <w:t>磋商报价</w:t>
      </w:r>
      <w:r>
        <w:rPr>
          <w:rFonts w:hint="eastAsia" w:ascii="新宋体" w:hAnsi="新宋体" w:eastAsia="新宋体" w:cs="新宋体"/>
          <w:color w:val="auto"/>
          <w:sz w:val="22"/>
          <w:szCs w:val="22"/>
          <w:highlight w:val="none"/>
        </w:rPr>
        <w:t>均超过项目采购预算金额，项目按流（废）标处理，重新组织采购程序。2.2政府采购政策说明</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①根据《政府采购促进中小企业发展管理办法》的通知（财库[2020]46号）及财政部关于进一步加大政府采购支持中小企业力度的通知（财库〔2022〕19号）文件的规定，投标人为小型或微型企业并提交中小企业声明函，其小型或微型企业部分</w:t>
      </w:r>
      <w:r>
        <w:rPr>
          <w:rFonts w:hint="eastAsia" w:ascii="宋体" w:hAnsi="宋体" w:cs="宋体"/>
          <w:bCs/>
          <w:color w:val="auto"/>
          <w:sz w:val="22"/>
          <w:highlight w:val="none"/>
          <w:lang w:eastAsia="zh-CN"/>
        </w:rPr>
        <w:t>磋商报价</w:t>
      </w:r>
      <w:r>
        <w:rPr>
          <w:rFonts w:hint="eastAsia" w:ascii="宋体" w:hAnsi="宋体" w:cs="宋体"/>
          <w:bCs/>
          <w:color w:val="auto"/>
          <w:sz w:val="22"/>
          <w:highlight w:val="none"/>
        </w:rPr>
        <w:t>扣除10%后参与评审。</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②根据《关于政府采购支持监狱企业发展有关问题的通知》（财库[2014]68号）的规定，投标人如为监狱企业并提交相关证明材料，在政府采购活动中，监狱企业视同小型、微型企业，其小型或微型企业部分</w:t>
      </w:r>
      <w:r>
        <w:rPr>
          <w:rFonts w:hint="eastAsia" w:ascii="宋体" w:hAnsi="宋体" w:cs="宋体"/>
          <w:bCs/>
          <w:color w:val="auto"/>
          <w:sz w:val="22"/>
          <w:highlight w:val="none"/>
          <w:lang w:eastAsia="zh-CN"/>
        </w:rPr>
        <w:t>磋商报价</w:t>
      </w:r>
      <w:r>
        <w:rPr>
          <w:rFonts w:hint="eastAsia" w:ascii="宋体" w:hAnsi="宋体" w:cs="宋体"/>
          <w:bCs/>
          <w:color w:val="auto"/>
          <w:sz w:val="22"/>
          <w:highlight w:val="none"/>
        </w:rPr>
        <w:t>扣除10%后参与评审。</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③根据《财政部、民政部、中国残疾人联合会关于促进残疾人就业政府采购政策的通知》（财库〔2017〕141号）的规定，投标人如为残疾人福利性单位并提交相关证明材料，在政府采购活动中，残疾人福利性单位视同小型、微型企业，其小型或微型企业部分</w:t>
      </w:r>
      <w:r>
        <w:rPr>
          <w:rFonts w:hint="eastAsia" w:ascii="宋体" w:hAnsi="宋体" w:cs="宋体"/>
          <w:bCs/>
          <w:color w:val="auto"/>
          <w:sz w:val="22"/>
          <w:highlight w:val="none"/>
          <w:lang w:eastAsia="zh-CN"/>
        </w:rPr>
        <w:t>磋商报价</w:t>
      </w:r>
      <w:r>
        <w:rPr>
          <w:rFonts w:hint="eastAsia" w:ascii="宋体" w:hAnsi="宋体" w:cs="宋体"/>
          <w:bCs/>
          <w:color w:val="auto"/>
          <w:sz w:val="22"/>
          <w:highlight w:val="none"/>
        </w:rPr>
        <w:t>扣除10%后参与评审。</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④以上小型、微型企业的，不重复享受政策。未提供完整证明材料的，</w:t>
      </w:r>
      <w:r>
        <w:rPr>
          <w:rFonts w:hint="eastAsia" w:ascii="宋体" w:hAnsi="宋体" w:cs="宋体"/>
          <w:bCs/>
          <w:color w:val="auto"/>
          <w:sz w:val="22"/>
          <w:highlight w:val="none"/>
          <w:lang w:eastAsia="zh-CN"/>
        </w:rPr>
        <w:t>磋商报价</w:t>
      </w:r>
      <w:r>
        <w:rPr>
          <w:rFonts w:hint="eastAsia" w:ascii="宋体" w:hAnsi="宋体" w:cs="宋体"/>
          <w:bCs/>
          <w:color w:val="auto"/>
          <w:sz w:val="22"/>
          <w:highlight w:val="none"/>
        </w:rPr>
        <w:t>不予扣减。对于联合体协议或者分包意向协议约定小微企业合同份额占到合同总金额30%以上的，对其</w:t>
      </w:r>
      <w:r>
        <w:rPr>
          <w:rFonts w:hint="eastAsia" w:ascii="宋体" w:hAnsi="宋体" w:cs="宋体"/>
          <w:bCs/>
          <w:color w:val="auto"/>
          <w:sz w:val="22"/>
          <w:highlight w:val="none"/>
          <w:lang w:eastAsia="zh-CN"/>
        </w:rPr>
        <w:t>磋商报价</w:t>
      </w:r>
      <w:r>
        <w:rPr>
          <w:rFonts w:hint="eastAsia" w:ascii="宋体" w:hAnsi="宋体" w:cs="宋体"/>
          <w:bCs/>
          <w:color w:val="auto"/>
          <w:sz w:val="22"/>
          <w:highlight w:val="none"/>
        </w:rPr>
        <w:t>给予4%的扣除，用扣除后的价格参与评审。证明材料详见采购文件第二部分。</w:t>
      </w:r>
    </w:p>
    <w:p>
      <w:pPr>
        <w:spacing w:line="440" w:lineRule="exact"/>
        <w:ind w:firstLine="440" w:firstLineChars="200"/>
        <w:rPr>
          <w:rFonts w:ascii="新宋体" w:hAnsi="新宋体" w:eastAsia="新宋体" w:cs="新宋体"/>
          <w:color w:val="auto"/>
          <w:sz w:val="22"/>
          <w:szCs w:val="22"/>
          <w:highlight w:val="none"/>
        </w:rPr>
      </w:pPr>
      <w:r>
        <w:rPr>
          <w:rFonts w:hint="eastAsia" w:ascii="宋体" w:hAnsi="宋体" w:cs="宋体"/>
          <w:bCs/>
          <w:color w:val="auto"/>
          <w:sz w:val="22"/>
          <w:highlight w:val="none"/>
        </w:rPr>
        <w:t>⑤投标如缺少须提供的一种功能或配置或服务，评标价将在其投标价的基础上加上其他投标人相应分项价格的最高价。如若中标，该缺漏项费用将由中标人自行承担</w:t>
      </w:r>
      <w:r>
        <w:rPr>
          <w:rFonts w:hint="eastAsia" w:ascii="新宋体" w:hAnsi="新宋体" w:eastAsia="新宋体" w:cs="新宋体"/>
          <w:color w:val="auto"/>
          <w:sz w:val="22"/>
          <w:szCs w:val="22"/>
          <w:highlight w:val="none"/>
        </w:rPr>
        <w:t>。</w:t>
      </w:r>
    </w:p>
    <w:p>
      <w:pPr>
        <w:topLinePunct/>
        <w:spacing w:line="44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有效供应商的综合得分为商务技术分和报价分的总和；</w:t>
      </w:r>
    </w:p>
    <w:p>
      <w:pPr>
        <w:topLinePunct/>
        <w:spacing w:line="44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磋商小组按综合得分高低顺序排列，综合得分前两名供应商依次作为成交候选供应商和成交备选供应商向采购人推荐，并提交评审报告。得分相同的，按</w:t>
      </w:r>
      <w:r>
        <w:rPr>
          <w:rFonts w:hint="eastAsia" w:ascii="新宋体" w:hAnsi="新宋体" w:eastAsia="新宋体" w:cs="新宋体"/>
          <w:color w:val="auto"/>
          <w:sz w:val="22"/>
          <w:szCs w:val="22"/>
          <w:highlight w:val="none"/>
          <w:lang w:eastAsia="zh-CN"/>
        </w:rPr>
        <w:t>磋商报价</w:t>
      </w:r>
      <w:r>
        <w:rPr>
          <w:rFonts w:hint="eastAsia" w:ascii="新宋体" w:hAnsi="新宋体" w:eastAsia="新宋体" w:cs="新宋体"/>
          <w:color w:val="auto"/>
          <w:sz w:val="22"/>
          <w:szCs w:val="22"/>
          <w:highlight w:val="none"/>
        </w:rPr>
        <w:t>由低到高顺序排列。</w:t>
      </w:r>
      <w:bookmarkEnd w:id="82"/>
      <w:bookmarkEnd w:id="83"/>
    </w:p>
    <w:sectPr>
      <w:footerReference r:id="rId16" w:type="first"/>
      <w:headerReference r:id="rId14" w:type="default"/>
      <w:footerReference r:id="rId15" w:type="default"/>
      <w:type w:val="nextColumn"/>
      <w:pgSz w:w="11906" w:h="16838"/>
      <w:pgMar w:top="1134" w:right="1134" w:bottom="1402"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宋体"/>
    <w:panose1 w:val="00000000000000000000"/>
    <w:charset w:val="86"/>
    <w:family w:val="auto"/>
    <w:pitch w:val="default"/>
    <w:sig w:usb0="00000000" w:usb1="00000000" w:usb2="00000010" w:usb3="00000000" w:csb0="00040001" w:csb1="00000000"/>
  </w:font>
  <w:font w:name="Helvetica Neue">
    <w:altName w:val="Times New Roman"/>
    <w:panose1 w:val="02000503000000020004"/>
    <w:charset w:val="00"/>
    <w:family w:val="auto"/>
    <w:pitch w:val="default"/>
    <w:sig w:usb0="00000000" w:usb1="00000000" w:usb2="00000000" w:usb3="00000000" w:csb0="00000000" w:csb1="00000000"/>
  </w:font>
  <w:font w:name="Linotype Univers 330 Ligh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default"/>
    <w:sig w:usb0="A00006FF" w:usb1="4000205B" w:usb2="00000010" w:usb3="00000000" w:csb0="2000019F"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00000000" w:csb1="00000000"/>
  </w:font>
  <w:font w:name="Univers LT Std 57 Cn">
    <w:altName w:val="Segoe Print"/>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Times">
    <w:altName w:val="Times New Roman"/>
    <w:panose1 w:val="0000050000000002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2</w:t>
    </w:r>
    <w:r>
      <w:fldChar w:fldCharType="end"/>
    </w:r>
  </w:p>
  <w:p>
    <w:pPr>
      <w:pStyle w:val="36"/>
      <w:jc w:val="both"/>
      <w:rPr>
        <w:rFonts w:hint="eastAsia" w:ascii="仿宋_GB2312" w:eastAsia="仿宋_GB2312"/>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4" name="直接连接符 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mHNT1QAAAAgBAAAPAAAAAAAAAAEAIAAAACIAAABkcnMvZG93bnJldi54&#10;bWxQSwECFAAUAAAACACHTuJA7UKKWf0BAADuAwAADgAAAAAAAAABACAAAAAkAQAAZHJzL2Uyb0Rv&#10;Yy54bWxQSwUGAAAAAAYABgBZAQAAkwUAAAAA&#10;">
              <v:fill on="f" focussize="0,0"/>
              <v:stroke color="#000000" joinstyle="round"/>
              <v:imagedata o:title=""/>
              <o:lock v:ext="edit" aspectratio="f"/>
            </v:lin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end"/>
    </w:r>
  </w:p>
  <w:p>
    <w:pPr>
      <w:pStyle w:val="3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top w:val="single" w:color="auto" w:sz="4" w:space="1"/>
      </w:pBdr>
      <w:ind w:right="-82" w:rightChars="-39" w:firstLine="4410" w:firstLineChars="2450"/>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posOffset>2994660</wp:posOffset>
              </wp:positionH>
              <wp:positionV relativeFrom="paragraph">
                <wp:posOffset>0</wp:posOffset>
              </wp:positionV>
              <wp:extent cx="197485" cy="1828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97485" cy="182880"/>
                      </a:xfrm>
                      <a:prstGeom prst="rect">
                        <a:avLst/>
                      </a:prstGeom>
                      <a:noFill/>
                      <a:ln w="15875">
                        <a:noFill/>
                      </a:ln>
                      <a:effectLst/>
                    </wps:spPr>
                    <wps:txbx>
                      <w:txbxContent>
                        <w:p>
                          <w:pPr>
                            <w:pStyle w:val="36"/>
                            <w:rPr>
                              <w:rStyle w:val="57"/>
                              <w:rFonts w:hAnsi="黑体"/>
                              <w:b/>
                            </w:rPr>
                          </w:pPr>
                          <w:r>
                            <w:rPr>
                              <w:rFonts w:ascii="黑体" w:hAnsi="黑体" w:eastAsia="黑体"/>
                              <w:b/>
                            </w:rPr>
                            <w:fldChar w:fldCharType="begin"/>
                          </w:r>
                          <w:r>
                            <w:rPr>
                              <w:rStyle w:val="57"/>
                              <w:rFonts w:hAnsi="黑体"/>
                              <w:b/>
                            </w:rPr>
                            <w:instrText xml:space="preserve">PAGE  </w:instrText>
                          </w:r>
                          <w:r>
                            <w:rPr>
                              <w:rFonts w:ascii="黑体" w:hAnsi="黑体" w:eastAsia="黑体"/>
                              <w:b/>
                            </w:rPr>
                            <w:fldChar w:fldCharType="separate"/>
                          </w:r>
                          <w:r>
                            <w:rPr>
                              <w:rStyle w:val="57"/>
                              <w:rFonts w:hAnsi="黑体"/>
                              <w:b/>
                            </w:rPr>
                            <w:t>51</w:t>
                          </w:r>
                          <w:r>
                            <w:rPr>
                              <w:rFonts w:ascii="黑体" w:hAnsi="黑体" w:eastAsia="黑体"/>
                              <w:b/>
                            </w:rPr>
                            <w:fldChar w:fldCharType="end"/>
                          </w:r>
                        </w:p>
                      </w:txbxContent>
                    </wps:txbx>
                    <wps:bodyPr wrap="square" lIns="0" tIns="0" rIns="0" bIns="0" upright="1">
                      <a:noAutofit/>
                    </wps:bodyPr>
                  </wps:wsp>
                </a:graphicData>
              </a:graphic>
            </wp:anchor>
          </w:drawing>
        </mc:Choice>
        <mc:Fallback>
          <w:pict>
            <v:shape id="文本框 6" o:spid="_x0000_s1026" o:spt="202" type="#_x0000_t202" style="position:absolute;left:0pt;margin-left:235.8pt;margin-top:0pt;height:14.4pt;width:15.55pt;mso-position-horizontal-relative:margin;z-index:251660288;mso-width-relative:page;mso-height-relative:page;" filled="f" stroked="f" coordsize="21600,21600" o:gfxdata="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o4UEI1wAAAAcBAAAPAAAA&#10;AAAAAAEAIAAAACIAAABkcnMvZG93bnJldi54bWxQSwECFAAUAAAACACHTuJApMLtCd0BAACxAwAA&#10;DgAAAAAAAAABACAAAAAmAQAAZHJzL2Uyb0RvYy54bWxQSwUGAAAAAAYABgBZAQAAdQUAAAAA&#10;">
              <v:fill on="f" focussize="0,0"/>
              <v:stroke on="f" weight="1.25pt"/>
              <v:imagedata o:title=""/>
              <o:lock v:ext="edit" aspectratio="f"/>
              <v:textbox inset="0mm,0mm,0mm,0mm">
                <w:txbxContent>
                  <w:p>
                    <w:pPr>
                      <w:pStyle w:val="36"/>
                      <w:rPr>
                        <w:rStyle w:val="57"/>
                        <w:rFonts w:hAnsi="黑体"/>
                        <w:b/>
                      </w:rPr>
                    </w:pPr>
                    <w:r>
                      <w:rPr>
                        <w:rFonts w:ascii="黑体" w:hAnsi="黑体" w:eastAsia="黑体"/>
                        <w:b/>
                      </w:rPr>
                      <w:fldChar w:fldCharType="begin"/>
                    </w:r>
                    <w:r>
                      <w:rPr>
                        <w:rStyle w:val="57"/>
                        <w:rFonts w:hAnsi="黑体"/>
                        <w:b/>
                      </w:rPr>
                      <w:instrText xml:space="preserve">PAGE  </w:instrText>
                    </w:r>
                    <w:r>
                      <w:rPr>
                        <w:rFonts w:ascii="黑体" w:hAnsi="黑体" w:eastAsia="黑体"/>
                        <w:b/>
                      </w:rPr>
                      <w:fldChar w:fldCharType="separate"/>
                    </w:r>
                    <w:r>
                      <w:rPr>
                        <w:rStyle w:val="57"/>
                        <w:rFonts w:hAnsi="黑体"/>
                        <w:b/>
                      </w:rPr>
                      <w:t>51</w:t>
                    </w:r>
                    <w:r>
                      <w:rPr>
                        <w:rFonts w:ascii="黑体" w:hAnsi="黑体" w:eastAsia="黑体"/>
                        <w:b/>
                      </w:rPr>
                      <w:fldChar w:fldCharType="end"/>
                    </w:r>
                  </w:p>
                </w:txbxContent>
              </v:textbox>
            </v:shape>
          </w:pict>
        </mc:Fallback>
      </mc:AlternateContent>
    </w:r>
    <w:r>
      <w:rPr>
        <w:rFonts w:hint="eastAsia" w:ascii="宋体" w:hAnsi="宋体" w:cs="宋体"/>
      </w:rPr>
      <w:t>温州市智信招标代理有限公司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N5wwtMAAAACAQAADwAAAAAAAAAB&#10;ACAAAAAiAAAAZHJzL2Rvd25yZXYueG1sUEsBAhQAFAAAAAgAh07iQLSaHBbcAQAArgMAAA4AAAAA&#10;AAAAAQAgAAAAIgEAAGRycy9lMm9Eb2MueG1sUEsFBgAAAAAGAAYAWQEAAHA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0" b="0"/>
              <wp:wrapNone/>
              <wp:docPr id="3" name="文本框6"/>
              <wp:cNvGraphicFramePr/>
              <a:graphic xmlns:a="http://schemas.openxmlformats.org/drawingml/2006/main">
                <a:graphicData uri="http://schemas.microsoft.com/office/word/2010/wordprocessingShape">
                  <wps:wsp>
                    <wps:cNvSpPr/>
                    <wps:spPr>
                      <a:xfrm>
                        <a:off x="0" y="0"/>
                        <a:ext cx="103505" cy="139700"/>
                      </a:xfrm>
                      <a:prstGeom prst="rect">
                        <a:avLst/>
                      </a:prstGeom>
                      <a:noFill/>
                      <a:ln w="9525">
                        <a:noFill/>
                      </a:ln>
                      <a:effectLst/>
                    </wps:spPr>
                    <wps:txbx>
                      <w:txbxContent>
                        <w:p>
                          <w:pPr>
                            <w:snapToGrid w:val="0"/>
                            <w:rPr>
                              <w:sz w:val="18"/>
                            </w:rPr>
                          </w:pPr>
                        </w:p>
                      </w:txbxContent>
                    </wps:txbx>
                    <wps:bodyPr wrap="none" lIns="0" tIns="0" rIns="0" bIns="0" upright="1">
                      <a:spAutoFit/>
                    </wps:bodyPr>
                  </wps:wsp>
                </a:graphicData>
              </a:graphic>
            </wp:anchor>
          </w:drawing>
        </mc:Choice>
        <mc:Fallback>
          <w:pict>
            <v:rect id="文本框6" o:spid="_x0000_s1026" o:spt="1" style="position:absolute;left:0pt;margin-top:0pt;height:11pt;width:8.15pt;mso-position-horizontal:center;mso-position-horizontal-relative:margin;mso-wrap-style:none;z-index:251660288;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eSKZfRAAAAAwEAAA8AAAAAAAAAAQAgAAAAIgAA&#10;AGRycy9kb3ducmV2LnhtbFBLAQIUABQAAAAIAIdO4kBWyLmx1gEAAKMDAAAOAAAAAAAAAAEAIAAA&#10;ACABAABkcnMvZTJvRG9jLnhtbFBLBQYAAAAABgAGAFkBAABo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left"/>
    </w:pPr>
    <w:r>
      <w:rPr>
        <w:rFonts w:hint="eastAsia"/>
      </w:rPr>
      <w:t xml:space="preserve">温州市政府采购竞争性磋商文件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default"/>
        <w:b/>
        <w:lang w:val="en-US"/>
      </w:rPr>
    </w:pPr>
    <w:r>
      <w:rPr>
        <w:rFonts w:hint="eastAsia"/>
        <w:b/>
        <w:lang w:val="en-US" w:eastAsia="zh-CN"/>
      </w:rPr>
      <w:t>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eastAsia="新宋体"/>
      </w:rPr>
      <w:t>温州市政府分散采购竞争性磋商文件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9B176"/>
    <w:multiLevelType w:val="singleLevel"/>
    <w:tmpl w:val="A4F9B176"/>
    <w:lvl w:ilvl="0" w:tentative="0">
      <w:start w:val="1"/>
      <w:numFmt w:val="decimal"/>
      <w:suff w:val="nothing"/>
      <w:lvlText w:val="%1）"/>
      <w:lvlJc w:val="left"/>
    </w:lvl>
  </w:abstractNum>
  <w:abstractNum w:abstractNumId="1">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415"/>
      <w:suff w:val="nothing"/>
      <w:lvlText w:val="(%3)"/>
      <w:lvlJc w:val="left"/>
      <w:pPr>
        <w:tabs>
          <w:tab w:val="left" w:pos="0"/>
        </w:tabs>
        <w:ind w:left="0" w:firstLine="0"/>
      </w:pPr>
      <w:rPr>
        <w:rFonts w:hint="eastAsia" w:ascii="宋体" w:hAnsi="宋体" w:eastAsia="宋体" w:cs="宋体"/>
      </w:rPr>
    </w:lvl>
    <w:lvl w:ilvl="3" w:tentative="0">
      <w:start w:val="1"/>
      <w:numFmt w:val="decimal"/>
      <w:pStyle w:val="413"/>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pStyle w:val="417"/>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BB6172C2"/>
    <w:multiLevelType w:val="singleLevel"/>
    <w:tmpl w:val="BB6172C2"/>
    <w:lvl w:ilvl="0" w:tentative="0">
      <w:start w:val="1"/>
      <w:numFmt w:val="decimal"/>
      <w:suff w:val="nothing"/>
      <w:lvlText w:val="%1）"/>
      <w:lvlJc w:val="left"/>
    </w:lvl>
  </w:abstractNum>
  <w:abstractNum w:abstractNumId="4">
    <w:nsid w:val="C6E82396"/>
    <w:multiLevelType w:val="singleLevel"/>
    <w:tmpl w:val="C6E82396"/>
    <w:lvl w:ilvl="0" w:tentative="0">
      <w:start w:val="1"/>
      <w:numFmt w:val="decimal"/>
      <w:suff w:val="nothing"/>
      <w:lvlText w:val="%1）"/>
      <w:lvlJc w:val="left"/>
    </w:lvl>
  </w:abstractNum>
  <w:abstractNum w:abstractNumId="5">
    <w:nsid w:val="EAC07E0E"/>
    <w:multiLevelType w:val="singleLevel"/>
    <w:tmpl w:val="EAC07E0E"/>
    <w:lvl w:ilvl="0" w:tentative="0">
      <w:start w:val="1"/>
      <w:numFmt w:val="decimal"/>
      <w:suff w:val="nothing"/>
      <w:lvlText w:val="%1．"/>
      <w:lvlJc w:val="left"/>
      <w:pPr>
        <w:ind w:left="0" w:firstLine="400"/>
      </w:pPr>
      <w:rPr>
        <w:rFonts w:hint="default"/>
      </w:rPr>
    </w:lvl>
  </w:abstractNum>
  <w:abstractNum w:abstractNumId="6">
    <w:nsid w:val="EFDF6623"/>
    <w:multiLevelType w:val="singleLevel"/>
    <w:tmpl w:val="EFDF6623"/>
    <w:lvl w:ilvl="0" w:tentative="0">
      <w:start w:val="1"/>
      <w:numFmt w:val="chineseCounting"/>
      <w:suff w:val="nothing"/>
      <w:lvlText w:val="%1、"/>
      <w:lvlJc w:val="left"/>
      <w:rPr>
        <w:rFonts w:hint="eastAsia"/>
      </w:rPr>
    </w:lvl>
  </w:abstractNum>
  <w:abstractNum w:abstractNumId="7">
    <w:nsid w:val="00000006"/>
    <w:multiLevelType w:val="multilevel"/>
    <w:tmpl w:val="00000006"/>
    <w:lvl w:ilvl="0" w:tentative="0">
      <w:start w:val="1"/>
      <w:numFmt w:val="decimal"/>
      <w:pStyle w:val="16"/>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7"/>
    <w:multiLevelType w:val="multilevel"/>
    <w:tmpl w:val="00000007"/>
    <w:lvl w:ilvl="0" w:tentative="0">
      <w:start w:val="5"/>
      <w:numFmt w:val="decimal"/>
      <w:pStyle w:val="264"/>
      <w:lvlText w:val="%1."/>
      <w:lvlJc w:val="left"/>
      <w:pPr>
        <w:tabs>
          <w:tab w:val="left" w:pos="360"/>
        </w:tabs>
        <w:ind w:left="360" w:hanging="360"/>
      </w:pPr>
      <w:rPr>
        <w:rFonts w:hint="default"/>
      </w:rPr>
    </w:lvl>
    <w:lvl w:ilvl="1" w:tentative="0">
      <w:start w:val="0"/>
      <w:numFmt w:val="none"/>
      <w:pStyle w:val="316"/>
      <w:lvlText w:val=""/>
      <w:lvlJc w:val="left"/>
      <w:pPr>
        <w:tabs>
          <w:tab w:val="left" w:pos="360"/>
        </w:tabs>
      </w:pPr>
    </w:lvl>
    <w:lvl w:ilvl="2" w:tentative="0">
      <w:start w:val="0"/>
      <w:numFmt w:val="none"/>
      <w:pStyle w:val="255"/>
      <w:lvlText w:val=""/>
      <w:lvlJc w:val="left"/>
      <w:pPr>
        <w:tabs>
          <w:tab w:val="left" w:pos="360"/>
        </w:tabs>
      </w:pPr>
    </w:lvl>
    <w:lvl w:ilvl="3" w:tentative="0">
      <w:start w:val="0"/>
      <w:numFmt w:val="none"/>
      <w:pStyle w:val="254"/>
      <w:lvlText w:val=""/>
      <w:lvlJc w:val="left"/>
      <w:pPr>
        <w:tabs>
          <w:tab w:val="left" w:pos="360"/>
        </w:tabs>
      </w:pPr>
    </w:lvl>
    <w:lvl w:ilvl="4" w:tentative="0">
      <w:start w:val="0"/>
      <w:numFmt w:val="none"/>
      <w:pStyle w:val="253"/>
      <w:lvlText w:val=""/>
      <w:lvlJc w:val="left"/>
      <w:pPr>
        <w:tabs>
          <w:tab w:val="left" w:pos="360"/>
        </w:tabs>
      </w:pPr>
    </w:lvl>
    <w:lvl w:ilvl="5" w:tentative="0">
      <w:start w:val="0"/>
      <w:numFmt w:val="none"/>
      <w:pStyle w:val="304"/>
      <w:lvlText w:val=""/>
      <w:lvlJc w:val="left"/>
      <w:pPr>
        <w:tabs>
          <w:tab w:val="left" w:pos="360"/>
        </w:tabs>
      </w:pPr>
    </w:lvl>
    <w:lvl w:ilvl="6" w:tentative="0">
      <w:start w:val="0"/>
      <w:numFmt w:val="none"/>
      <w:pStyle w:val="384"/>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9">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1875C4"/>
    <w:multiLevelType w:val="multilevel"/>
    <w:tmpl w:val="0D1875C4"/>
    <w:lvl w:ilvl="0" w:tentative="0">
      <w:start w:val="1"/>
      <w:numFmt w:val="decimalEnclosedCircleChinese"/>
      <w:lvlText w:val="%1　"/>
      <w:lvlJc w:val="left"/>
      <w:pPr>
        <w:ind w:left="420" w:hanging="420"/>
      </w:p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DB309F"/>
    <w:multiLevelType w:val="multilevel"/>
    <w:tmpl w:val="11DB309F"/>
    <w:lvl w:ilvl="0" w:tentative="0">
      <w:start w:val="1"/>
      <w:numFmt w:val="chineseCountingThousand"/>
      <w:pStyle w:val="400"/>
      <w:lvlText w:val="%1、"/>
      <w:lvlJc w:val="left"/>
      <w:pPr>
        <w:ind w:left="987" w:hanging="420"/>
      </w:pPr>
      <w:rPr>
        <w:rFonts w:hint="eastAsia"/>
        <w:b/>
        <w:bCs w:val="0"/>
        <w:i w:val="0"/>
        <w:iCs w:val="0"/>
        <w:caps w:val="0"/>
        <w:smallCaps w:val="0"/>
        <w:strike w:val="0"/>
        <w:dstrike w:val="0"/>
        <w:color w:val="000000"/>
        <w:spacing w:val="0"/>
        <w:position w:val="0"/>
        <w:u w:val="none"/>
      </w:rPr>
    </w:lvl>
    <w:lvl w:ilvl="1" w:tentative="0">
      <w:start w:val="1"/>
      <w:numFmt w:val="decimal"/>
      <w:pStyle w:val="402"/>
      <w:isLgl/>
      <w:lvlText w:val="%1.%2."/>
      <w:lvlJc w:val="left"/>
      <w:pPr>
        <w:tabs>
          <w:tab w:val="left" w:pos="431"/>
        </w:tabs>
        <w:ind w:left="0" w:firstLine="0"/>
      </w:pPr>
      <w:rPr>
        <w:rFonts w:hint="eastAsia"/>
        <w:b/>
        <w:i w:val="0"/>
        <w:sz w:val="28"/>
        <w:szCs w:val="28"/>
      </w:rPr>
    </w:lvl>
    <w:lvl w:ilvl="2" w:tentative="0">
      <w:start w:val="1"/>
      <w:numFmt w:val="decimal"/>
      <w:pStyle w:val="403"/>
      <w:isLgl/>
      <w:lvlText w:val="%1.%2.%3."/>
      <w:lvlJc w:val="left"/>
      <w:pPr>
        <w:tabs>
          <w:tab w:val="left" w:pos="1565"/>
        </w:tabs>
        <w:ind w:left="1134" w:firstLine="0"/>
      </w:pPr>
      <w:rPr>
        <w:rFonts w:hint="eastAsia"/>
        <w:b/>
        <w:i w:val="0"/>
        <w:sz w:val="28"/>
        <w:szCs w:val="28"/>
      </w:rPr>
    </w:lvl>
    <w:lvl w:ilvl="3" w:tentative="0">
      <w:start w:val="1"/>
      <w:numFmt w:val="decimal"/>
      <w:isLgl/>
      <w:lvlText w:val="%1.%2.%3.%4."/>
      <w:lvlJc w:val="left"/>
      <w:pPr>
        <w:tabs>
          <w:tab w:val="left" w:pos="431"/>
        </w:tabs>
        <w:ind w:left="0" w:firstLine="0"/>
      </w:pPr>
      <w:rPr>
        <w:rFonts w:hint="eastAsia"/>
        <w:b/>
        <w:i w:val="0"/>
        <w:sz w:val="28"/>
      </w:rPr>
    </w:lvl>
    <w:lvl w:ilvl="4" w:tentative="0">
      <w:start w:val="1"/>
      <w:numFmt w:val="decimal"/>
      <w:isLgl/>
      <w:lvlText w:val="%1.%2.%3.%4.%5."/>
      <w:lvlJc w:val="left"/>
      <w:pPr>
        <w:tabs>
          <w:tab w:val="left" w:pos="431"/>
        </w:tabs>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13FE18C8"/>
    <w:multiLevelType w:val="multilevel"/>
    <w:tmpl w:val="13FE18C8"/>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3">
    <w:nsid w:val="16410696"/>
    <w:multiLevelType w:val="singleLevel"/>
    <w:tmpl w:val="16410696"/>
    <w:lvl w:ilvl="0" w:tentative="0">
      <w:start w:val="1"/>
      <w:numFmt w:val="decimal"/>
      <w:suff w:val="nothing"/>
      <w:lvlText w:val="%1）"/>
      <w:lvlJc w:val="left"/>
    </w:lvl>
  </w:abstractNum>
  <w:abstractNum w:abstractNumId="14">
    <w:nsid w:val="177D77AF"/>
    <w:multiLevelType w:val="singleLevel"/>
    <w:tmpl w:val="177D77AF"/>
    <w:lvl w:ilvl="0" w:tentative="0">
      <w:start w:val="1"/>
      <w:numFmt w:val="decimal"/>
      <w:suff w:val="nothing"/>
      <w:lvlText w:val="%1．"/>
      <w:lvlJc w:val="left"/>
      <w:pPr>
        <w:ind w:left="0" w:firstLine="400"/>
      </w:pPr>
      <w:rPr>
        <w:rFonts w:hint="default"/>
      </w:rPr>
    </w:lvl>
  </w:abstractNum>
  <w:abstractNum w:abstractNumId="15">
    <w:nsid w:val="1AFD0C82"/>
    <w:multiLevelType w:val="multilevel"/>
    <w:tmpl w:val="1AFD0C8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6">
    <w:nsid w:val="30C31466"/>
    <w:multiLevelType w:val="singleLevel"/>
    <w:tmpl w:val="30C31466"/>
    <w:lvl w:ilvl="0" w:tentative="0">
      <w:start w:val="1"/>
      <w:numFmt w:val="decimal"/>
      <w:suff w:val="space"/>
      <w:lvlText w:val="%1."/>
      <w:lvlJc w:val="left"/>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54F403B5"/>
    <w:multiLevelType w:val="singleLevel"/>
    <w:tmpl w:val="54F403B5"/>
    <w:lvl w:ilvl="0" w:tentative="0">
      <w:start w:val="1"/>
      <w:numFmt w:val="chineseCounting"/>
      <w:suff w:val="nothing"/>
      <w:lvlText w:val="%1、"/>
      <w:lvlJc w:val="left"/>
      <w:pPr>
        <w:ind w:left="0" w:firstLine="0"/>
      </w:pPr>
    </w:lvl>
  </w:abstractNum>
  <w:abstractNum w:abstractNumId="19">
    <w:nsid w:val="557FD3DA"/>
    <w:multiLevelType w:val="singleLevel"/>
    <w:tmpl w:val="557FD3DA"/>
    <w:lvl w:ilvl="0" w:tentative="0">
      <w:start w:val="3"/>
      <w:numFmt w:val="chineseCounting"/>
      <w:suff w:val="nothing"/>
      <w:lvlText w:val="%1、"/>
      <w:lvlJc w:val="left"/>
      <w:pPr>
        <w:ind w:left="0" w:firstLine="0"/>
      </w:pPr>
    </w:lvl>
  </w:abstractNum>
  <w:abstractNum w:abstractNumId="20">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61F27CA"/>
    <w:multiLevelType w:val="singleLevel"/>
    <w:tmpl w:val="661F27CA"/>
    <w:lvl w:ilvl="0" w:tentative="0">
      <w:start w:val="1"/>
      <w:numFmt w:val="decimal"/>
      <w:suff w:val="nothing"/>
      <w:lvlText w:val="（%1）"/>
      <w:lvlJc w:val="left"/>
    </w:lvl>
  </w:abstractNum>
  <w:abstractNum w:abstractNumId="22">
    <w:nsid w:val="6C07C839"/>
    <w:multiLevelType w:val="singleLevel"/>
    <w:tmpl w:val="6C07C839"/>
    <w:lvl w:ilvl="0" w:tentative="0">
      <w:start w:val="1"/>
      <w:numFmt w:val="decimal"/>
      <w:suff w:val="nothing"/>
      <w:lvlText w:val="（%1）"/>
      <w:lvlJc w:val="left"/>
    </w:lvl>
  </w:abstractNum>
  <w:abstractNum w:abstractNumId="23">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17"/>
  </w:num>
  <w:num w:numId="3">
    <w:abstractNumId w:val="8"/>
  </w:num>
  <w:num w:numId="4">
    <w:abstractNumId w:val="11"/>
  </w:num>
  <w:num w:numId="5">
    <w:abstractNumId w:val="1"/>
  </w:num>
  <w:num w:numId="6">
    <w:abstractNumId w:val="21"/>
  </w:num>
  <w:num w:numId="7">
    <w:abstractNumId w:val="16"/>
  </w:num>
  <w:num w:numId="8">
    <w:abstractNumId w:val="23"/>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0"/>
    <w:lvlOverride w:ilvl="0">
      <w:startOverride w:val="1"/>
    </w:lvlOverride>
  </w:num>
  <w:num w:numId="13">
    <w:abstractNumId w:val="3"/>
    <w:lvlOverride w:ilvl="0">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 w:numId="16">
    <w:abstractNumId w:val="18"/>
    <w:lvlOverride w:ilvl="0">
      <w:startOverride w:val="1"/>
    </w:lvlOverride>
  </w:num>
  <w:num w:numId="17">
    <w:abstractNumId w:val="19"/>
    <w:lvlOverride w:ilvl="0">
      <w:startOverride w:val="3"/>
    </w:lvlOverride>
  </w:num>
  <w:num w:numId="18">
    <w:abstractNumId w:val="20"/>
  </w:num>
  <w:num w:numId="19">
    <w:abstractNumId w:val="12"/>
  </w:num>
  <w:num w:numId="20">
    <w:abstractNumId w:val="15"/>
  </w:num>
  <w:num w:numId="21">
    <w:abstractNumId w:val="6"/>
  </w:num>
  <w:num w:numId="22">
    <w:abstractNumId w:val="14"/>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2FiM2Y2MWU2MDVmMTUxYjFkMDg4YjU4NmRhYmEifQ=="/>
  </w:docVars>
  <w:rsids>
    <w:rsidRoot w:val="00172A27"/>
    <w:rsid w:val="00001AD6"/>
    <w:rsid w:val="000020D1"/>
    <w:rsid w:val="0000469E"/>
    <w:rsid w:val="00004960"/>
    <w:rsid w:val="00013ACC"/>
    <w:rsid w:val="0001503C"/>
    <w:rsid w:val="00025364"/>
    <w:rsid w:val="00034534"/>
    <w:rsid w:val="00041F17"/>
    <w:rsid w:val="000429CF"/>
    <w:rsid w:val="000526A1"/>
    <w:rsid w:val="000528C6"/>
    <w:rsid w:val="00052D17"/>
    <w:rsid w:val="0006026B"/>
    <w:rsid w:val="00066192"/>
    <w:rsid w:val="00071105"/>
    <w:rsid w:val="000765F2"/>
    <w:rsid w:val="000772F6"/>
    <w:rsid w:val="000773D1"/>
    <w:rsid w:val="00080B28"/>
    <w:rsid w:val="00096BB9"/>
    <w:rsid w:val="000A0281"/>
    <w:rsid w:val="000A10A2"/>
    <w:rsid w:val="000A4F9A"/>
    <w:rsid w:val="000A5CCD"/>
    <w:rsid w:val="000A5CE7"/>
    <w:rsid w:val="000A7566"/>
    <w:rsid w:val="000B4E1F"/>
    <w:rsid w:val="000B668A"/>
    <w:rsid w:val="000B75CB"/>
    <w:rsid w:val="000C0DAD"/>
    <w:rsid w:val="000C1E25"/>
    <w:rsid w:val="000C1FCD"/>
    <w:rsid w:val="000C36B8"/>
    <w:rsid w:val="000C58F2"/>
    <w:rsid w:val="000D0679"/>
    <w:rsid w:val="000D3765"/>
    <w:rsid w:val="000D6DF2"/>
    <w:rsid w:val="000E37E0"/>
    <w:rsid w:val="000E3DDC"/>
    <w:rsid w:val="000E44B1"/>
    <w:rsid w:val="000E5247"/>
    <w:rsid w:val="000E6387"/>
    <w:rsid w:val="000E74F4"/>
    <w:rsid w:val="000F31F1"/>
    <w:rsid w:val="000F3394"/>
    <w:rsid w:val="000F6E07"/>
    <w:rsid w:val="000F7B5B"/>
    <w:rsid w:val="001005EE"/>
    <w:rsid w:val="00113898"/>
    <w:rsid w:val="0011598D"/>
    <w:rsid w:val="0011601B"/>
    <w:rsid w:val="001203C5"/>
    <w:rsid w:val="00120AE6"/>
    <w:rsid w:val="00120C4F"/>
    <w:rsid w:val="00124AC8"/>
    <w:rsid w:val="00132584"/>
    <w:rsid w:val="0013313F"/>
    <w:rsid w:val="00134359"/>
    <w:rsid w:val="00137AC1"/>
    <w:rsid w:val="001402DA"/>
    <w:rsid w:val="00152090"/>
    <w:rsid w:val="00152232"/>
    <w:rsid w:val="0015757C"/>
    <w:rsid w:val="00157A35"/>
    <w:rsid w:val="00157D81"/>
    <w:rsid w:val="00162E03"/>
    <w:rsid w:val="001652BE"/>
    <w:rsid w:val="00165AEE"/>
    <w:rsid w:val="00166956"/>
    <w:rsid w:val="00170DAE"/>
    <w:rsid w:val="00170F24"/>
    <w:rsid w:val="0017256F"/>
    <w:rsid w:val="00172A27"/>
    <w:rsid w:val="00173998"/>
    <w:rsid w:val="00184E8E"/>
    <w:rsid w:val="00185ECE"/>
    <w:rsid w:val="001907CE"/>
    <w:rsid w:val="00190FB5"/>
    <w:rsid w:val="001952CC"/>
    <w:rsid w:val="001A0A65"/>
    <w:rsid w:val="001A3735"/>
    <w:rsid w:val="001A5D6D"/>
    <w:rsid w:val="001A6E7D"/>
    <w:rsid w:val="001B192B"/>
    <w:rsid w:val="001B281E"/>
    <w:rsid w:val="001B4D71"/>
    <w:rsid w:val="001B5C4B"/>
    <w:rsid w:val="001B5DFA"/>
    <w:rsid w:val="001C18E4"/>
    <w:rsid w:val="001C6714"/>
    <w:rsid w:val="001D000C"/>
    <w:rsid w:val="001D14D6"/>
    <w:rsid w:val="001D1BF1"/>
    <w:rsid w:val="001D32C3"/>
    <w:rsid w:val="001E3203"/>
    <w:rsid w:val="001E37A9"/>
    <w:rsid w:val="001E5266"/>
    <w:rsid w:val="001E6123"/>
    <w:rsid w:val="001F04E0"/>
    <w:rsid w:val="001F10CC"/>
    <w:rsid w:val="001F23AA"/>
    <w:rsid w:val="001F55A7"/>
    <w:rsid w:val="00201066"/>
    <w:rsid w:val="00205090"/>
    <w:rsid w:val="00205A5C"/>
    <w:rsid w:val="002071D0"/>
    <w:rsid w:val="002135E8"/>
    <w:rsid w:val="00215129"/>
    <w:rsid w:val="00220A51"/>
    <w:rsid w:val="00222783"/>
    <w:rsid w:val="00225414"/>
    <w:rsid w:val="00225FB0"/>
    <w:rsid w:val="00231743"/>
    <w:rsid w:val="0023190C"/>
    <w:rsid w:val="00234100"/>
    <w:rsid w:val="00234C5A"/>
    <w:rsid w:val="00237F32"/>
    <w:rsid w:val="00240F97"/>
    <w:rsid w:val="002449E5"/>
    <w:rsid w:val="002452A3"/>
    <w:rsid w:val="002453F2"/>
    <w:rsid w:val="00245754"/>
    <w:rsid w:val="00245E73"/>
    <w:rsid w:val="00246487"/>
    <w:rsid w:val="0024764A"/>
    <w:rsid w:val="00247DAB"/>
    <w:rsid w:val="00252D92"/>
    <w:rsid w:val="002576FB"/>
    <w:rsid w:val="002612C9"/>
    <w:rsid w:val="002641BB"/>
    <w:rsid w:val="00264EB6"/>
    <w:rsid w:val="00264FE0"/>
    <w:rsid w:val="0026681B"/>
    <w:rsid w:val="002709D9"/>
    <w:rsid w:val="00277AE9"/>
    <w:rsid w:val="002808A3"/>
    <w:rsid w:val="00281371"/>
    <w:rsid w:val="0028173C"/>
    <w:rsid w:val="00282DEB"/>
    <w:rsid w:val="00283764"/>
    <w:rsid w:val="0028639F"/>
    <w:rsid w:val="0028749D"/>
    <w:rsid w:val="002A3701"/>
    <w:rsid w:val="002A6CD2"/>
    <w:rsid w:val="002B03FD"/>
    <w:rsid w:val="002B0EFA"/>
    <w:rsid w:val="002B20CC"/>
    <w:rsid w:val="002B7EA6"/>
    <w:rsid w:val="002C0713"/>
    <w:rsid w:val="002C0D0F"/>
    <w:rsid w:val="002C133A"/>
    <w:rsid w:val="002C1F7A"/>
    <w:rsid w:val="002C5FA2"/>
    <w:rsid w:val="002C6213"/>
    <w:rsid w:val="002D0620"/>
    <w:rsid w:val="002D1508"/>
    <w:rsid w:val="002D1925"/>
    <w:rsid w:val="002D2738"/>
    <w:rsid w:val="002D36F0"/>
    <w:rsid w:val="002D62CF"/>
    <w:rsid w:val="002D634E"/>
    <w:rsid w:val="002D6D42"/>
    <w:rsid w:val="002E3ED6"/>
    <w:rsid w:val="002E44AF"/>
    <w:rsid w:val="002E4E17"/>
    <w:rsid w:val="002F0B32"/>
    <w:rsid w:val="002F1A31"/>
    <w:rsid w:val="002F3DD5"/>
    <w:rsid w:val="002F4510"/>
    <w:rsid w:val="002F5652"/>
    <w:rsid w:val="002F5E0B"/>
    <w:rsid w:val="002F7683"/>
    <w:rsid w:val="003140D4"/>
    <w:rsid w:val="00317168"/>
    <w:rsid w:val="00320364"/>
    <w:rsid w:val="00320B5F"/>
    <w:rsid w:val="00322FA0"/>
    <w:rsid w:val="00323F2D"/>
    <w:rsid w:val="00324F57"/>
    <w:rsid w:val="00330F68"/>
    <w:rsid w:val="003317B4"/>
    <w:rsid w:val="003331F4"/>
    <w:rsid w:val="003334E2"/>
    <w:rsid w:val="00334582"/>
    <w:rsid w:val="00334CA0"/>
    <w:rsid w:val="00341A59"/>
    <w:rsid w:val="00346936"/>
    <w:rsid w:val="0035123F"/>
    <w:rsid w:val="0035369C"/>
    <w:rsid w:val="0035432D"/>
    <w:rsid w:val="00363654"/>
    <w:rsid w:val="003636A3"/>
    <w:rsid w:val="003666B1"/>
    <w:rsid w:val="00370103"/>
    <w:rsid w:val="0037030E"/>
    <w:rsid w:val="0037045B"/>
    <w:rsid w:val="00374BBC"/>
    <w:rsid w:val="00375698"/>
    <w:rsid w:val="003857DC"/>
    <w:rsid w:val="00390EFE"/>
    <w:rsid w:val="00392D90"/>
    <w:rsid w:val="00396FBE"/>
    <w:rsid w:val="003A1A9C"/>
    <w:rsid w:val="003A460D"/>
    <w:rsid w:val="003A5C49"/>
    <w:rsid w:val="003B4250"/>
    <w:rsid w:val="003B646F"/>
    <w:rsid w:val="003B6D7D"/>
    <w:rsid w:val="003C42C7"/>
    <w:rsid w:val="003D2933"/>
    <w:rsid w:val="003D3E56"/>
    <w:rsid w:val="003D43D9"/>
    <w:rsid w:val="003E1909"/>
    <w:rsid w:val="003E29FF"/>
    <w:rsid w:val="003F05A5"/>
    <w:rsid w:val="003F1255"/>
    <w:rsid w:val="003F47BE"/>
    <w:rsid w:val="0040337C"/>
    <w:rsid w:val="00405799"/>
    <w:rsid w:val="0040676D"/>
    <w:rsid w:val="00407C6C"/>
    <w:rsid w:val="004100A0"/>
    <w:rsid w:val="0042049E"/>
    <w:rsid w:val="00420711"/>
    <w:rsid w:val="0042311D"/>
    <w:rsid w:val="0042621A"/>
    <w:rsid w:val="00430108"/>
    <w:rsid w:val="0044037B"/>
    <w:rsid w:val="004412DE"/>
    <w:rsid w:val="004426E2"/>
    <w:rsid w:val="004456B0"/>
    <w:rsid w:val="00450B0B"/>
    <w:rsid w:val="004551E9"/>
    <w:rsid w:val="004574C5"/>
    <w:rsid w:val="00461365"/>
    <w:rsid w:val="00465153"/>
    <w:rsid w:val="0047158F"/>
    <w:rsid w:val="0047177A"/>
    <w:rsid w:val="004751C7"/>
    <w:rsid w:val="00475493"/>
    <w:rsid w:val="0047729E"/>
    <w:rsid w:val="0048063D"/>
    <w:rsid w:val="0048110A"/>
    <w:rsid w:val="00481F74"/>
    <w:rsid w:val="004821A8"/>
    <w:rsid w:val="00485DA9"/>
    <w:rsid w:val="004875E8"/>
    <w:rsid w:val="00491079"/>
    <w:rsid w:val="00492300"/>
    <w:rsid w:val="004956DF"/>
    <w:rsid w:val="004A1225"/>
    <w:rsid w:val="004A3332"/>
    <w:rsid w:val="004A66B6"/>
    <w:rsid w:val="004B02EF"/>
    <w:rsid w:val="004B3428"/>
    <w:rsid w:val="004B617F"/>
    <w:rsid w:val="004B7929"/>
    <w:rsid w:val="004C2CBB"/>
    <w:rsid w:val="004C3B37"/>
    <w:rsid w:val="004D36A4"/>
    <w:rsid w:val="004D50EE"/>
    <w:rsid w:val="004D7594"/>
    <w:rsid w:val="004E20EF"/>
    <w:rsid w:val="004E5358"/>
    <w:rsid w:val="004E5D4B"/>
    <w:rsid w:val="004F059F"/>
    <w:rsid w:val="004F246B"/>
    <w:rsid w:val="004F4042"/>
    <w:rsid w:val="004F5A73"/>
    <w:rsid w:val="004F63E8"/>
    <w:rsid w:val="004F6CC0"/>
    <w:rsid w:val="00502922"/>
    <w:rsid w:val="00503750"/>
    <w:rsid w:val="00504D6A"/>
    <w:rsid w:val="005055C9"/>
    <w:rsid w:val="005068B7"/>
    <w:rsid w:val="00506DDC"/>
    <w:rsid w:val="00510350"/>
    <w:rsid w:val="00511B93"/>
    <w:rsid w:val="00514650"/>
    <w:rsid w:val="00516E84"/>
    <w:rsid w:val="00520376"/>
    <w:rsid w:val="00525563"/>
    <w:rsid w:val="00526F98"/>
    <w:rsid w:val="00540F0D"/>
    <w:rsid w:val="00543D9A"/>
    <w:rsid w:val="00543E8A"/>
    <w:rsid w:val="00551F4A"/>
    <w:rsid w:val="00555D85"/>
    <w:rsid w:val="00564B33"/>
    <w:rsid w:val="005657AE"/>
    <w:rsid w:val="00565E06"/>
    <w:rsid w:val="00567CB7"/>
    <w:rsid w:val="005723EE"/>
    <w:rsid w:val="00572BE1"/>
    <w:rsid w:val="00573CEF"/>
    <w:rsid w:val="0057536A"/>
    <w:rsid w:val="005754DB"/>
    <w:rsid w:val="005756AB"/>
    <w:rsid w:val="00582C22"/>
    <w:rsid w:val="005830B3"/>
    <w:rsid w:val="00584716"/>
    <w:rsid w:val="00584782"/>
    <w:rsid w:val="00590DE4"/>
    <w:rsid w:val="005A43B4"/>
    <w:rsid w:val="005A6404"/>
    <w:rsid w:val="005B1363"/>
    <w:rsid w:val="005B3E6E"/>
    <w:rsid w:val="005C39EB"/>
    <w:rsid w:val="005C4976"/>
    <w:rsid w:val="005C5AA5"/>
    <w:rsid w:val="005D2F4F"/>
    <w:rsid w:val="005E1B91"/>
    <w:rsid w:val="005E4DB2"/>
    <w:rsid w:val="005F0D7E"/>
    <w:rsid w:val="005F178D"/>
    <w:rsid w:val="005F240B"/>
    <w:rsid w:val="005F2CA1"/>
    <w:rsid w:val="005F5C78"/>
    <w:rsid w:val="006015D9"/>
    <w:rsid w:val="0060182B"/>
    <w:rsid w:val="00603FC8"/>
    <w:rsid w:val="0060726C"/>
    <w:rsid w:val="0061049E"/>
    <w:rsid w:val="00610FBE"/>
    <w:rsid w:val="0061145C"/>
    <w:rsid w:val="00611E6C"/>
    <w:rsid w:val="00621A47"/>
    <w:rsid w:val="00623821"/>
    <w:rsid w:val="006241C3"/>
    <w:rsid w:val="0063428C"/>
    <w:rsid w:val="00636312"/>
    <w:rsid w:val="00636ED0"/>
    <w:rsid w:val="006419C3"/>
    <w:rsid w:val="00642E64"/>
    <w:rsid w:val="00643D21"/>
    <w:rsid w:val="006443C7"/>
    <w:rsid w:val="006459F0"/>
    <w:rsid w:val="00647E53"/>
    <w:rsid w:val="006513A6"/>
    <w:rsid w:val="00653BB6"/>
    <w:rsid w:val="00655A70"/>
    <w:rsid w:val="00664594"/>
    <w:rsid w:val="00664993"/>
    <w:rsid w:val="00665183"/>
    <w:rsid w:val="00667386"/>
    <w:rsid w:val="00667927"/>
    <w:rsid w:val="00670A21"/>
    <w:rsid w:val="00673E29"/>
    <w:rsid w:val="0067734C"/>
    <w:rsid w:val="0068035C"/>
    <w:rsid w:val="00682CF5"/>
    <w:rsid w:val="0068353C"/>
    <w:rsid w:val="00683600"/>
    <w:rsid w:val="0068688C"/>
    <w:rsid w:val="0069593E"/>
    <w:rsid w:val="006978FF"/>
    <w:rsid w:val="006A343B"/>
    <w:rsid w:val="006A5A69"/>
    <w:rsid w:val="006B22FC"/>
    <w:rsid w:val="006B4C92"/>
    <w:rsid w:val="006B50E2"/>
    <w:rsid w:val="006C1B2B"/>
    <w:rsid w:val="006C5B24"/>
    <w:rsid w:val="006C6FC8"/>
    <w:rsid w:val="006C7F73"/>
    <w:rsid w:val="006D0AD1"/>
    <w:rsid w:val="006D16A6"/>
    <w:rsid w:val="006D42FE"/>
    <w:rsid w:val="006D55EB"/>
    <w:rsid w:val="006D612A"/>
    <w:rsid w:val="006E2B22"/>
    <w:rsid w:val="006F000D"/>
    <w:rsid w:val="006F49BD"/>
    <w:rsid w:val="006F4AD3"/>
    <w:rsid w:val="00700C74"/>
    <w:rsid w:val="00705650"/>
    <w:rsid w:val="007105B1"/>
    <w:rsid w:val="00711DAF"/>
    <w:rsid w:val="007123A7"/>
    <w:rsid w:val="00712711"/>
    <w:rsid w:val="00712E65"/>
    <w:rsid w:val="00714E62"/>
    <w:rsid w:val="007173B9"/>
    <w:rsid w:val="00717483"/>
    <w:rsid w:val="007205BE"/>
    <w:rsid w:val="00722FCD"/>
    <w:rsid w:val="00723169"/>
    <w:rsid w:val="00723F9D"/>
    <w:rsid w:val="00730CD7"/>
    <w:rsid w:val="00733B00"/>
    <w:rsid w:val="007406E2"/>
    <w:rsid w:val="00740A4D"/>
    <w:rsid w:val="00742FBC"/>
    <w:rsid w:val="00744010"/>
    <w:rsid w:val="00745864"/>
    <w:rsid w:val="00745BB9"/>
    <w:rsid w:val="00747DF4"/>
    <w:rsid w:val="007527BF"/>
    <w:rsid w:val="00753F3F"/>
    <w:rsid w:val="0075741F"/>
    <w:rsid w:val="0076216B"/>
    <w:rsid w:val="007725D0"/>
    <w:rsid w:val="00774309"/>
    <w:rsid w:val="00774BAD"/>
    <w:rsid w:val="007778EB"/>
    <w:rsid w:val="00784419"/>
    <w:rsid w:val="00790A06"/>
    <w:rsid w:val="00791336"/>
    <w:rsid w:val="007916D7"/>
    <w:rsid w:val="00791EA1"/>
    <w:rsid w:val="00792948"/>
    <w:rsid w:val="00792CDE"/>
    <w:rsid w:val="007954D8"/>
    <w:rsid w:val="007A1A90"/>
    <w:rsid w:val="007A210A"/>
    <w:rsid w:val="007A22A3"/>
    <w:rsid w:val="007A464A"/>
    <w:rsid w:val="007B1683"/>
    <w:rsid w:val="007B1AB0"/>
    <w:rsid w:val="007B2CFE"/>
    <w:rsid w:val="007B338F"/>
    <w:rsid w:val="007B5423"/>
    <w:rsid w:val="007B6C9E"/>
    <w:rsid w:val="007B7415"/>
    <w:rsid w:val="007B7552"/>
    <w:rsid w:val="007C116E"/>
    <w:rsid w:val="007C26F8"/>
    <w:rsid w:val="007C3405"/>
    <w:rsid w:val="007D0799"/>
    <w:rsid w:val="007D10AB"/>
    <w:rsid w:val="007D3DCD"/>
    <w:rsid w:val="007D593F"/>
    <w:rsid w:val="007D6026"/>
    <w:rsid w:val="007E1DC4"/>
    <w:rsid w:val="00803D04"/>
    <w:rsid w:val="00807618"/>
    <w:rsid w:val="00807DB0"/>
    <w:rsid w:val="00811C8B"/>
    <w:rsid w:val="00814119"/>
    <w:rsid w:val="00814AB4"/>
    <w:rsid w:val="00815C67"/>
    <w:rsid w:val="00820228"/>
    <w:rsid w:val="0082536B"/>
    <w:rsid w:val="008318F6"/>
    <w:rsid w:val="00831A2F"/>
    <w:rsid w:val="00833C4E"/>
    <w:rsid w:val="008375FF"/>
    <w:rsid w:val="00843CA7"/>
    <w:rsid w:val="008442F6"/>
    <w:rsid w:val="00851013"/>
    <w:rsid w:val="00851143"/>
    <w:rsid w:val="008539D7"/>
    <w:rsid w:val="00860E97"/>
    <w:rsid w:val="0086117C"/>
    <w:rsid w:val="00864169"/>
    <w:rsid w:val="008653D9"/>
    <w:rsid w:val="00870DAA"/>
    <w:rsid w:val="008717EC"/>
    <w:rsid w:val="00872BA5"/>
    <w:rsid w:val="00874BD1"/>
    <w:rsid w:val="00876E97"/>
    <w:rsid w:val="00881A2F"/>
    <w:rsid w:val="008822EF"/>
    <w:rsid w:val="00882566"/>
    <w:rsid w:val="008866D8"/>
    <w:rsid w:val="00890575"/>
    <w:rsid w:val="008923AF"/>
    <w:rsid w:val="00893B7B"/>
    <w:rsid w:val="00896FA1"/>
    <w:rsid w:val="008A2005"/>
    <w:rsid w:val="008A348E"/>
    <w:rsid w:val="008A3D60"/>
    <w:rsid w:val="008A4BBE"/>
    <w:rsid w:val="008A7E00"/>
    <w:rsid w:val="008B114E"/>
    <w:rsid w:val="008B33C4"/>
    <w:rsid w:val="008C36F6"/>
    <w:rsid w:val="008C56BE"/>
    <w:rsid w:val="008C602C"/>
    <w:rsid w:val="008D0799"/>
    <w:rsid w:val="008D1E60"/>
    <w:rsid w:val="008D45E5"/>
    <w:rsid w:val="008D572F"/>
    <w:rsid w:val="008D6204"/>
    <w:rsid w:val="008D6B3F"/>
    <w:rsid w:val="008E3C58"/>
    <w:rsid w:val="008E5336"/>
    <w:rsid w:val="008E61B7"/>
    <w:rsid w:val="008E7F0A"/>
    <w:rsid w:val="008F267D"/>
    <w:rsid w:val="008F26E7"/>
    <w:rsid w:val="0090021D"/>
    <w:rsid w:val="00900D62"/>
    <w:rsid w:val="00904D66"/>
    <w:rsid w:val="0091292B"/>
    <w:rsid w:val="00921EBB"/>
    <w:rsid w:val="00921F47"/>
    <w:rsid w:val="0092578D"/>
    <w:rsid w:val="00930C30"/>
    <w:rsid w:val="009319D5"/>
    <w:rsid w:val="00932626"/>
    <w:rsid w:val="00933655"/>
    <w:rsid w:val="0093637C"/>
    <w:rsid w:val="00936A7D"/>
    <w:rsid w:val="00937D7D"/>
    <w:rsid w:val="00940B3D"/>
    <w:rsid w:val="00942007"/>
    <w:rsid w:val="0094329C"/>
    <w:rsid w:val="009443A3"/>
    <w:rsid w:val="0094534C"/>
    <w:rsid w:val="0094770C"/>
    <w:rsid w:val="009514CE"/>
    <w:rsid w:val="00967043"/>
    <w:rsid w:val="00967DE1"/>
    <w:rsid w:val="00977F88"/>
    <w:rsid w:val="0098645F"/>
    <w:rsid w:val="009913F0"/>
    <w:rsid w:val="009934FC"/>
    <w:rsid w:val="009937D6"/>
    <w:rsid w:val="00996A02"/>
    <w:rsid w:val="009A0264"/>
    <w:rsid w:val="009A0BB7"/>
    <w:rsid w:val="009A11E4"/>
    <w:rsid w:val="009A1613"/>
    <w:rsid w:val="009A25CC"/>
    <w:rsid w:val="009A289A"/>
    <w:rsid w:val="009A5AD0"/>
    <w:rsid w:val="009A6441"/>
    <w:rsid w:val="009A6530"/>
    <w:rsid w:val="009A6AB6"/>
    <w:rsid w:val="009A7560"/>
    <w:rsid w:val="009B1709"/>
    <w:rsid w:val="009B45BE"/>
    <w:rsid w:val="009B6778"/>
    <w:rsid w:val="009B6ABF"/>
    <w:rsid w:val="009B6F7A"/>
    <w:rsid w:val="009C21CC"/>
    <w:rsid w:val="009C4BEB"/>
    <w:rsid w:val="009C5451"/>
    <w:rsid w:val="009C6A10"/>
    <w:rsid w:val="009C6DEE"/>
    <w:rsid w:val="009D1055"/>
    <w:rsid w:val="009D3C50"/>
    <w:rsid w:val="009D6637"/>
    <w:rsid w:val="009D6B48"/>
    <w:rsid w:val="009D7984"/>
    <w:rsid w:val="009E4D2A"/>
    <w:rsid w:val="009F23DE"/>
    <w:rsid w:val="009F3B69"/>
    <w:rsid w:val="009F535E"/>
    <w:rsid w:val="009F7F82"/>
    <w:rsid w:val="00A00231"/>
    <w:rsid w:val="00A01D8A"/>
    <w:rsid w:val="00A039B7"/>
    <w:rsid w:val="00A03CB3"/>
    <w:rsid w:val="00A04039"/>
    <w:rsid w:val="00A05C4D"/>
    <w:rsid w:val="00A06171"/>
    <w:rsid w:val="00A069E6"/>
    <w:rsid w:val="00A06F22"/>
    <w:rsid w:val="00A074F6"/>
    <w:rsid w:val="00A1122E"/>
    <w:rsid w:val="00A11A46"/>
    <w:rsid w:val="00A15557"/>
    <w:rsid w:val="00A24318"/>
    <w:rsid w:val="00A24BF8"/>
    <w:rsid w:val="00A25327"/>
    <w:rsid w:val="00A27ECE"/>
    <w:rsid w:val="00A322A2"/>
    <w:rsid w:val="00A336F6"/>
    <w:rsid w:val="00A40E62"/>
    <w:rsid w:val="00A41277"/>
    <w:rsid w:val="00A45EBF"/>
    <w:rsid w:val="00A5256B"/>
    <w:rsid w:val="00A57B31"/>
    <w:rsid w:val="00A61F6C"/>
    <w:rsid w:val="00A62EB9"/>
    <w:rsid w:val="00A6485D"/>
    <w:rsid w:val="00A67510"/>
    <w:rsid w:val="00A7049C"/>
    <w:rsid w:val="00A7683E"/>
    <w:rsid w:val="00A80971"/>
    <w:rsid w:val="00A87A6E"/>
    <w:rsid w:val="00A91FBF"/>
    <w:rsid w:val="00A92AFD"/>
    <w:rsid w:val="00A94C0F"/>
    <w:rsid w:val="00AA137F"/>
    <w:rsid w:val="00AB0A9F"/>
    <w:rsid w:val="00AB1BAF"/>
    <w:rsid w:val="00AB2D72"/>
    <w:rsid w:val="00AB4423"/>
    <w:rsid w:val="00AB51E5"/>
    <w:rsid w:val="00AB5391"/>
    <w:rsid w:val="00AC0197"/>
    <w:rsid w:val="00AC368D"/>
    <w:rsid w:val="00AC4072"/>
    <w:rsid w:val="00AC4746"/>
    <w:rsid w:val="00AC5687"/>
    <w:rsid w:val="00AC77B7"/>
    <w:rsid w:val="00AD1E77"/>
    <w:rsid w:val="00AD3036"/>
    <w:rsid w:val="00AD4B49"/>
    <w:rsid w:val="00AE4A56"/>
    <w:rsid w:val="00AE4B5A"/>
    <w:rsid w:val="00AF7C86"/>
    <w:rsid w:val="00B035C0"/>
    <w:rsid w:val="00B04FA7"/>
    <w:rsid w:val="00B06C23"/>
    <w:rsid w:val="00B0754D"/>
    <w:rsid w:val="00B078E0"/>
    <w:rsid w:val="00B14FE4"/>
    <w:rsid w:val="00B159A8"/>
    <w:rsid w:val="00B20B2D"/>
    <w:rsid w:val="00B21EED"/>
    <w:rsid w:val="00B22E12"/>
    <w:rsid w:val="00B23A3B"/>
    <w:rsid w:val="00B2635D"/>
    <w:rsid w:val="00B26C5E"/>
    <w:rsid w:val="00B30887"/>
    <w:rsid w:val="00B33ED8"/>
    <w:rsid w:val="00B35FA3"/>
    <w:rsid w:val="00B41F38"/>
    <w:rsid w:val="00B45565"/>
    <w:rsid w:val="00B4577E"/>
    <w:rsid w:val="00B5194A"/>
    <w:rsid w:val="00B5707A"/>
    <w:rsid w:val="00B5793D"/>
    <w:rsid w:val="00B62FCB"/>
    <w:rsid w:val="00B65D90"/>
    <w:rsid w:val="00B67782"/>
    <w:rsid w:val="00B74335"/>
    <w:rsid w:val="00B754C4"/>
    <w:rsid w:val="00B75BC7"/>
    <w:rsid w:val="00B84069"/>
    <w:rsid w:val="00B84B79"/>
    <w:rsid w:val="00B939D8"/>
    <w:rsid w:val="00B9507C"/>
    <w:rsid w:val="00B95ECF"/>
    <w:rsid w:val="00BA16C6"/>
    <w:rsid w:val="00BA328E"/>
    <w:rsid w:val="00BA6683"/>
    <w:rsid w:val="00BB1A96"/>
    <w:rsid w:val="00BB3C54"/>
    <w:rsid w:val="00BB64C1"/>
    <w:rsid w:val="00BB73C4"/>
    <w:rsid w:val="00BC0D8B"/>
    <w:rsid w:val="00BC12BC"/>
    <w:rsid w:val="00BC543D"/>
    <w:rsid w:val="00BC65A3"/>
    <w:rsid w:val="00BC6892"/>
    <w:rsid w:val="00BD21F7"/>
    <w:rsid w:val="00BD6BA5"/>
    <w:rsid w:val="00BD6FC9"/>
    <w:rsid w:val="00BD7FF9"/>
    <w:rsid w:val="00BE4D4D"/>
    <w:rsid w:val="00BE4FDB"/>
    <w:rsid w:val="00BE5C2C"/>
    <w:rsid w:val="00BE6441"/>
    <w:rsid w:val="00BF05CF"/>
    <w:rsid w:val="00BF1E9B"/>
    <w:rsid w:val="00BF4ED2"/>
    <w:rsid w:val="00BF525E"/>
    <w:rsid w:val="00BF7AAB"/>
    <w:rsid w:val="00C0682B"/>
    <w:rsid w:val="00C06910"/>
    <w:rsid w:val="00C077A8"/>
    <w:rsid w:val="00C12586"/>
    <w:rsid w:val="00C13916"/>
    <w:rsid w:val="00C1467F"/>
    <w:rsid w:val="00C1508F"/>
    <w:rsid w:val="00C2178D"/>
    <w:rsid w:val="00C22710"/>
    <w:rsid w:val="00C24AA2"/>
    <w:rsid w:val="00C31A8F"/>
    <w:rsid w:val="00C37C6E"/>
    <w:rsid w:val="00C42F9E"/>
    <w:rsid w:val="00C43DD2"/>
    <w:rsid w:val="00C458ED"/>
    <w:rsid w:val="00C54D62"/>
    <w:rsid w:val="00C61CBD"/>
    <w:rsid w:val="00C652B8"/>
    <w:rsid w:val="00C66952"/>
    <w:rsid w:val="00C71351"/>
    <w:rsid w:val="00C7207C"/>
    <w:rsid w:val="00C72D05"/>
    <w:rsid w:val="00C731D8"/>
    <w:rsid w:val="00C77FB0"/>
    <w:rsid w:val="00C84CD5"/>
    <w:rsid w:val="00C850BE"/>
    <w:rsid w:val="00C86F88"/>
    <w:rsid w:val="00C90266"/>
    <w:rsid w:val="00C95B9B"/>
    <w:rsid w:val="00CA4352"/>
    <w:rsid w:val="00CA6D78"/>
    <w:rsid w:val="00CA7BB9"/>
    <w:rsid w:val="00CB2459"/>
    <w:rsid w:val="00CB24BB"/>
    <w:rsid w:val="00CB3536"/>
    <w:rsid w:val="00CB4265"/>
    <w:rsid w:val="00CB4992"/>
    <w:rsid w:val="00CC2550"/>
    <w:rsid w:val="00CC46CE"/>
    <w:rsid w:val="00CD15BF"/>
    <w:rsid w:val="00CD4069"/>
    <w:rsid w:val="00CD4742"/>
    <w:rsid w:val="00CD5845"/>
    <w:rsid w:val="00CD6F2E"/>
    <w:rsid w:val="00CE2EE3"/>
    <w:rsid w:val="00CE3202"/>
    <w:rsid w:val="00CF060E"/>
    <w:rsid w:val="00CF389B"/>
    <w:rsid w:val="00CF463C"/>
    <w:rsid w:val="00D01268"/>
    <w:rsid w:val="00D014C4"/>
    <w:rsid w:val="00D0767B"/>
    <w:rsid w:val="00D10E31"/>
    <w:rsid w:val="00D13922"/>
    <w:rsid w:val="00D13E0F"/>
    <w:rsid w:val="00D17007"/>
    <w:rsid w:val="00D20055"/>
    <w:rsid w:val="00D21CF6"/>
    <w:rsid w:val="00D23BC3"/>
    <w:rsid w:val="00D32B36"/>
    <w:rsid w:val="00D33026"/>
    <w:rsid w:val="00D34258"/>
    <w:rsid w:val="00D35CC6"/>
    <w:rsid w:val="00D35E50"/>
    <w:rsid w:val="00D35FE3"/>
    <w:rsid w:val="00D41307"/>
    <w:rsid w:val="00D4293A"/>
    <w:rsid w:val="00D46F99"/>
    <w:rsid w:val="00D4755E"/>
    <w:rsid w:val="00D55822"/>
    <w:rsid w:val="00D57394"/>
    <w:rsid w:val="00D615CA"/>
    <w:rsid w:val="00D6713E"/>
    <w:rsid w:val="00D671AC"/>
    <w:rsid w:val="00D7139C"/>
    <w:rsid w:val="00D74FA8"/>
    <w:rsid w:val="00D7691F"/>
    <w:rsid w:val="00D76BEB"/>
    <w:rsid w:val="00D82FD5"/>
    <w:rsid w:val="00D91FBD"/>
    <w:rsid w:val="00D929FD"/>
    <w:rsid w:val="00D95DCC"/>
    <w:rsid w:val="00D96DE7"/>
    <w:rsid w:val="00DA06AE"/>
    <w:rsid w:val="00DA0DE9"/>
    <w:rsid w:val="00DA7401"/>
    <w:rsid w:val="00DA741D"/>
    <w:rsid w:val="00DB09D1"/>
    <w:rsid w:val="00DB1366"/>
    <w:rsid w:val="00DB1C0A"/>
    <w:rsid w:val="00DC017B"/>
    <w:rsid w:val="00DC2E7E"/>
    <w:rsid w:val="00DC2FD7"/>
    <w:rsid w:val="00DC30FE"/>
    <w:rsid w:val="00DC6E00"/>
    <w:rsid w:val="00DD14D9"/>
    <w:rsid w:val="00DD1CE5"/>
    <w:rsid w:val="00DD4444"/>
    <w:rsid w:val="00DF014F"/>
    <w:rsid w:val="00DF3B73"/>
    <w:rsid w:val="00DF57E6"/>
    <w:rsid w:val="00E0204C"/>
    <w:rsid w:val="00E030C9"/>
    <w:rsid w:val="00E10C6F"/>
    <w:rsid w:val="00E15B0F"/>
    <w:rsid w:val="00E15FF8"/>
    <w:rsid w:val="00E171F7"/>
    <w:rsid w:val="00E172E7"/>
    <w:rsid w:val="00E202C6"/>
    <w:rsid w:val="00E20409"/>
    <w:rsid w:val="00E20494"/>
    <w:rsid w:val="00E23410"/>
    <w:rsid w:val="00E25B77"/>
    <w:rsid w:val="00E25CB9"/>
    <w:rsid w:val="00E26DBA"/>
    <w:rsid w:val="00E33246"/>
    <w:rsid w:val="00E34CCD"/>
    <w:rsid w:val="00E34CF2"/>
    <w:rsid w:val="00E34E3C"/>
    <w:rsid w:val="00E37F50"/>
    <w:rsid w:val="00E4108C"/>
    <w:rsid w:val="00E41128"/>
    <w:rsid w:val="00E41227"/>
    <w:rsid w:val="00E414B4"/>
    <w:rsid w:val="00E42E9C"/>
    <w:rsid w:val="00E42F32"/>
    <w:rsid w:val="00E4402E"/>
    <w:rsid w:val="00E45AFA"/>
    <w:rsid w:val="00E46540"/>
    <w:rsid w:val="00E46994"/>
    <w:rsid w:val="00E46E63"/>
    <w:rsid w:val="00E53E0C"/>
    <w:rsid w:val="00E550A3"/>
    <w:rsid w:val="00E5527F"/>
    <w:rsid w:val="00E64671"/>
    <w:rsid w:val="00E6517A"/>
    <w:rsid w:val="00E65CDA"/>
    <w:rsid w:val="00E65FC2"/>
    <w:rsid w:val="00E66729"/>
    <w:rsid w:val="00E66F77"/>
    <w:rsid w:val="00E70A19"/>
    <w:rsid w:val="00E7133D"/>
    <w:rsid w:val="00E72FC3"/>
    <w:rsid w:val="00E7428D"/>
    <w:rsid w:val="00E74B44"/>
    <w:rsid w:val="00E756D4"/>
    <w:rsid w:val="00E75C0C"/>
    <w:rsid w:val="00E81B5B"/>
    <w:rsid w:val="00E8358F"/>
    <w:rsid w:val="00E842F5"/>
    <w:rsid w:val="00E91E5B"/>
    <w:rsid w:val="00E949B9"/>
    <w:rsid w:val="00EA55D3"/>
    <w:rsid w:val="00EA64CC"/>
    <w:rsid w:val="00EB3213"/>
    <w:rsid w:val="00EB35A4"/>
    <w:rsid w:val="00EB4DC1"/>
    <w:rsid w:val="00EB7FC5"/>
    <w:rsid w:val="00EC1014"/>
    <w:rsid w:val="00EC3841"/>
    <w:rsid w:val="00EC44A8"/>
    <w:rsid w:val="00EC5B74"/>
    <w:rsid w:val="00EC61A3"/>
    <w:rsid w:val="00ED2F44"/>
    <w:rsid w:val="00ED59D5"/>
    <w:rsid w:val="00EE17BE"/>
    <w:rsid w:val="00EE4D4A"/>
    <w:rsid w:val="00EE5E1C"/>
    <w:rsid w:val="00EE6590"/>
    <w:rsid w:val="00EE65B0"/>
    <w:rsid w:val="00EE66B1"/>
    <w:rsid w:val="00EF77E0"/>
    <w:rsid w:val="00F00D23"/>
    <w:rsid w:val="00F02922"/>
    <w:rsid w:val="00F032A0"/>
    <w:rsid w:val="00F0539C"/>
    <w:rsid w:val="00F054C4"/>
    <w:rsid w:val="00F06DE3"/>
    <w:rsid w:val="00F0786C"/>
    <w:rsid w:val="00F1088D"/>
    <w:rsid w:val="00F127F0"/>
    <w:rsid w:val="00F1680D"/>
    <w:rsid w:val="00F17807"/>
    <w:rsid w:val="00F17ECE"/>
    <w:rsid w:val="00F2202D"/>
    <w:rsid w:val="00F23399"/>
    <w:rsid w:val="00F27AF4"/>
    <w:rsid w:val="00F320F9"/>
    <w:rsid w:val="00F366DD"/>
    <w:rsid w:val="00F37EC9"/>
    <w:rsid w:val="00F37F56"/>
    <w:rsid w:val="00F41FB4"/>
    <w:rsid w:val="00F433AF"/>
    <w:rsid w:val="00F50830"/>
    <w:rsid w:val="00F642DD"/>
    <w:rsid w:val="00F65910"/>
    <w:rsid w:val="00F6734A"/>
    <w:rsid w:val="00F67754"/>
    <w:rsid w:val="00F701AF"/>
    <w:rsid w:val="00F71FEA"/>
    <w:rsid w:val="00F726E3"/>
    <w:rsid w:val="00F72D91"/>
    <w:rsid w:val="00F7396B"/>
    <w:rsid w:val="00F75B38"/>
    <w:rsid w:val="00F75D02"/>
    <w:rsid w:val="00F76E40"/>
    <w:rsid w:val="00F815A1"/>
    <w:rsid w:val="00F8287B"/>
    <w:rsid w:val="00F85C36"/>
    <w:rsid w:val="00F866C3"/>
    <w:rsid w:val="00F9119F"/>
    <w:rsid w:val="00F93B86"/>
    <w:rsid w:val="00FA2EAD"/>
    <w:rsid w:val="00FA3209"/>
    <w:rsid w:val="00FA4398"/>
    <w:rsid w:val="00FA52BA"/>
    <w:rsid w:val="00FA60AA"/>
    <w:rsid w:val="00FA74B5"/>
    <w:rsid w:val="00FA75BD"/>
    <w:rsid w:val="00FA7FE1"/>
    <w:rsid w:val="00FB01E9"/>
    <w:rsid w:val="00FB0F30"/>
    <w:rsid w:val="00FB42A5"/>
    <w:rsid w:val="00FC10E2"/>
    <w:rsid w:val="00FC2430"/>
    <w:rsid w:val="00FC3BD6"/>
    <w:rsid w:val="00FC471F"/>
    <w:rsid w:val="00FC47B4"/>
    <w:rsid w:val="00FC553F"/>
    <w:rsid w:val="00FD4636"/>
    <w:rsid w:val="00FD4C7B"/>
    <w:rsid w:val="00FD5CCD"/>
    <w:rsid w:val="00FD6264"/>
    <w:rsid w:val="00FD67BD"/>
    <w:rsid w:val="00FE0AF8"/>
    <w:rsid w:val="00FE3141"/>
    <w:rsid w:val="00FE5B28"/>
    <w:rsid w:val="00FE6290"/>
    <w:rsid w:val="00FE69FA"/>
    <w:rsid w:val="00FF0768"/>
    <w:rsid w:val="00FF09CE"/>
    <w:rsid w:val="00FF2966"/>
    <w:rsid w:val="00FF2A9B"/>
    <w:rsid w:val="010C299E"/>
    <w:rsid w:val="01B45B7C"/>
    <w:rsid w:val="01B47E04"/>
    <w:rsid w:val="01C24651"/>
    <w:rsid w:val="01F2424D"/>
    <w:rsid w:val="01F87633"/>
    <w:rsid w:val="021E018C"/>
    <w:rsid w:val="02C32E72"/>
    <w:rsid w:val="02D620B1"/>
    <w:rsid w:val="02DB0EDF"/>
    <w:rsid w:val="03096EC1"/>
    <w:rsid w:val="031713E0"/>
    <w:rsid w:val="032834C4"/>
    <w:rsid w:val="033A7F35"/>
    <w:rsid w:val="03450FE6"/>
    <w:rsid w:val="034A70C0"/>
    <w:rsid w:val="03782633"/>
    <w:rsid w:val="037B3BA0"/>
    <w:rsid w:val="037E70EF"/>
    <w:rsid w:val="03AD29B9"/>
    <w:rsid w:val="03FC4F5A"/>
    <w:rsid w:val="03FD6D49"/>
    <w:rsid w:val="040670E3"/>
    <w:rsid w:val="041F20B5"/>
    <w:rsid w:val="042F5D1F"/>
    <w:rsid w:val="043E5BE8"/>
    <w:rsid w:val="04637138"/>
    <w:rsid w:val="048C1F56"/>
    <w:rsid w:val="05471F71"/>
    <w:rsid w:val="05A56CF5"/>
    <w:rsid w:val="05B76009"/>
    <w:rsid w:val="05C6167D"/>
    <w:rsid w:val="05ED6D79"/>
    <w:rsid w:val="05EE2C8F"/>
    <w:rsid w:val="061D39F6"/>
    <w:rsid w:val="061F7618"/>
    <w:rsid w:val="063D254D"/>
    <w:rsid w:val="066B44FC"/>
    <w:rsid w:val="06E420C0"/>
    <w:rsid w:val="07497FDB"/>
    <w:rsid w:val="077433C6"/>
    <w:rsid w:val="07EC76C7"/>
    <w:rsid w:val="07EE4D0C"/>
    <w:rsid w:val="082E3533"/>
    <w:rsid w:val="0849216A"/>
    <w:rsid w:val="08680A79"/>
    <w:rsid w:val="08680FC0"/>
    <w:rsid w:val="086A0CF9"/>
    <w:rsid w:val="08941636"/>
    <w:rsid w:val="08BB7EF3"/>
    <w:rsid w:val="08C7561E"/>
    <w:rsid w:val="090303BC"/>
    <w:rsid w:val="093E6CBB"/>
    <w:rsid w:val="095061A9"/>
    <w:rsid w:val="097932C0"/>
    <w:rsid w:val="097A3FC6"/>
    <w:rsid w:val="09872764"/>
    <w:rsid w:val="09C636C7"/>
    <w:rsid w:val="0A586FA5"/>
    <w:rsid w:val="0A674E03"/>
    <w:rsid w:val="0A8355EC"/>
    <w:rsid w:val="0A8869D0"/>
    <w:rsid w:val="0ABC555C"/>
    <w:rsid w:val="0AC330E3"/>
    <w:rsid w:val="0AC41B74"/>
    <w:rsid w:val="0B540EAA"/>
    <w:rsid w:val="0B683CCA"/>
    <w:rsid w:val="0B72274B"/>
    <w:rsid w:val="0B7F7CDB"/>
    <w:rsid w:val="0B9C12BB"/>
    <w:rsid w:val="0BA01E81"/>
    <w:rsid w:val="0BE12B86"/>
    <w:rsid w:val="0BFD6957"/>
    <w:rsid w:val="0C0263BE"/>
    <w:rsid w:val="0C3F5977"/>
    <w:rsid w:val="0C466FEC"/>
    <w:rsid w:val="0C6F3ECB"/>
    <w:rsid w:val="0C76732F"/>
    <w:rsid w:val="0C872D00"/>
    <w:rsid w:val="0CB755D9"/>
    <w:rsid w:val="0CC45B7A"/>
    <w:rsid w:val="0CC472BF"/>
    <w:rsid w:val="0CC72A85"/>
    <w:rsid w:val="0D1A352B"/>
    <w:rsid w:val="0D2014B3"/>
    <w:rsid w:val="0D5A4DF7"/>
    <w:rsid w:val="0D831805"/>
    <w:rsid w:val="0DAE1B6A"/>
    <w:rsid w:val="0DB57E54"/>
    <w:rsid w:val="0DCF41A4"/>
    <w:rsid w:val="0E0D3A67"/>
    <w:rsid w:val="0E2A1C4C"/>
    <w:rsid w:val="0E617999"/>
    <w:rsid w:val="0EC54667"/>
    <w:rsid w:val="0ED56536"/>
    <w:rsid w:val="0EDF2614"/>
    <w:rsid w:val="0EEB6487"/>
    <w:rsid w:val="0F32477C"/>
    <w:rsid w:val="0FE47865"/>
    <w:rsid w:val="0FFB2DDB"/>
    <w:rsid w:val="0FFC029B"/>
    <w:rsid w:val="10246B23"/>
    <w:rsid w:val="10321319"/>
    <w:rsid w:val="104E5241"/>
    <w:rsid w:val="10DB1A50"/>
    <w:rsid w:val="10DF5386"/>
    <w:rsid w:val="10E92771"/>
    <w:rsid w:val="11445B88"/>
    <w:rsid w:val="11554E4A"/>
    <w:rsid w:val="117311E0"/>
    <w:rsid w:val="11754949"/>
    <w:rsid w:val="118C25D2"/>
    <w:rsid w:val="11AA1D9C"/>
    <w:rsid w:val="11ED1C8A"/>
    <w:rsid w:val="1207521D"/>
    <w:rsid w:val="12434E14"/>
    <w:rsid w:val="12711568"/>
    <w:rsid w:val="129A1939"/>
    <w:rsid w:val="12DF03B0"/>
    <w:rsid w:val="1331710B"/>
    <w:rsid w:val="134E68E8"/>
    <w:rsid w:val="13527F75"/>
    <w:rsid w:val="137B13C9"/>
    <w:rsid w:val="1424395D"/>
    <w:rsid w:val="1434754B"/>
    <w:rsid w:val="144D4FFE"/>
    <w:rsid w:val="14530B1D"/>
    <w:rsid w:val="14684F04"/>
    <w:rsid w:val="146D5F7F"/>
    <w:rsid w:val="14785DA1"/>
    <w:rsid w:val="148F289E"/>
    <w:rsid w:val="14DC2DA6"/>
    <w:rsid w:val="14E41A0F"/>
    <w:rsid w:val="14F01823"/>
    <w:rsid w:val="14F17392"/>
    <w:rsid w:val="1524253E"/>
    <w:rsid w:val="152F5B8A"/>
    <w:rsid w:val="155764B8"/>
    <w:rsid w:val="16283355"/>
    <w:rsid w:val="162954CA"/>
    <w:rsid w:val="16786187"/>
    <w:rsid w:val="16D44DE6"/>
    <w:rsid w:val="16D53262"/>
    <w:rsid w:val="16DB4F0E"/>
    <w:rsid w:val="172A3985"/>
    <w:rsid w:val="17372BA0"/>
    <w:rsid w:val="176A2BA8"/>
    <w:rsid w:val="17A26C7E"/>
    <w:rsid w:val="17C8687A"/>
    <w:rsid w:val="17F7539F"/>
    <w:rsid w:val="17FA6B75"/>
    <w:rsid w:val="180551D2"/>
    <w:rsid w:val="183F5A03"/>
    <w:rsid w:val="186967FA"/>
    <w:rsid w:val="18860743"/>
    <w:rsid w:val="1889564E"/>
    <w:rsid w:val="18960F6A"/>
    <w:rsid w:val="18A70358"/>
    <w:rsid w:val="18B02EF0"/>
    <w:rsid w:val="18F56002"/>
    <w:rsid w:val="18F66F2C"/>
    <w:rsid w:val="19004393"/>
    <w:rsid w:val="197B093F"/>
    <w:rsid w:val="19940570"/>
    <w:rsid w:val="19D324A6"/>
    <w:rsid w:val="19DB4496"/>
    <w:rsid w:val="19E415C3"/>
    <w:rsid w:val="1A143B2C"/>
    <w:rsid w:val="1A2B02BF"/>
    <w:rsid w:val="1A4873DF"/>
    <w:rsid w:val="1A5F3BE3"/>
    <w:rsid w:val="1AD24133"/>
    <w:rsid w:val="1B451064"/>
    <w:rsid w:val="1B5A1DB3"/>
    <w:rsid w:val="1B6F38C7"/>
    <w:rsid w:val="1B9E21F7"/>
    <w:rsid w:val="1BA841A6"/>
    <w:rsid w:val="1BBA200E"/>
    <w:rsid w:val="1BBF5CF1"/>
    <w:rsid w:val="1BE9633E"/>
    <w:rsid w:val="1BF77953"/>
    <w:rsid w:val="1C212113"/>
    <w:rsid w:val="1C303CB5"/>
    <w:rsid w:val="1C584C52"/>
    <w:rsid w:val="1C8A614F"/>
    <w:rsid w:val="1CA8246A"/>
    <w:rsid w:val="1CBC2927"/>
    <w:rsid w:val="1CD113E7"/>
    <w:rsid w:val="1CE43C8A"/>
    <w:rsid w:val="1D1357AF"/>
    <w:rsid w:val="1D747847"/>
    <w:rsid w:val="1DAF24EA"/>
    <w:rsid w:val="1E8E2DB0"/>
    <w:rsid w:val="1EB525EF"/>
    <w:rsid w:val="1EB6109D"/>
    <w:rsid w:val="1F571EF6"/>
    <w:rsid w:val="1FA369F9"/>
    <w:rsid w:val="1FBD220D"/>
    <w:rsid w:val="1FDD44EC"/>
    <w:rsid w:val="1FE315A6"/>
    <w:rsid w:val="1FE972BD"/>
    <w:rsid w:val="200810C6"/>
    <w:rsid w:val="202A422D"/>
    <w:rsid w:val="213F0E29"/>
    <w:rsid w:val="21461EB5"/>
    <w:rsid w:val="21584AE0"/>
    <w:rsid w:val="215F06A9"/>
    <w:rsid w:val="218472E2"/>
    <w:rsid w:val="219B2BCD"/>
    <w:rsid w:val="21A46708"/>
    <w:rsid w:val="21BB5A00"/>
    <w:rsid w:val="21E005E5"/>
    <w:rsid w:val="220B649F"/>
    <w:rsid w:val="22146A1A"/>
    <w:rsid w:val="22430565"/>
    <w:rsid w:val="22C44C41"/>
    <w:rsid w:val="22DB181A"/>
    <w:rsid w:val="22E56CDD"/>
    <w:rsid w:val="22F11B81"/>
    <w:rsid w:val="23065A9C"/>
    <w:rsid w:val="23071217"/>
    <w:rsid w:val="232C412B"/>
    <w:rsid w:val="234E4FBC"/>
    <w:rsid w:val="235533B2"/>
    <w:rsid w:val="23AA48AE"/>
    <w:rsid w:val="23B86D20"/>
    <w:rsid w:val="23EF6308"/>
    <w:rsid w:val="24596D0B"/>
    <w:rsid w:val="24627C84"/>
    <w:rsid w:val="24661428"/>
    <w:rsid w:val="247054DD"/>
    <w:rsid w:val="24776664"/>
    <w:rsid w:val="249A4DCC"/>
    <w:rsid w:val="24B94B05"/>
    <w:rsid w:val="252869A4"/>
    <w:rsid w:val="253C7016"/>
    <w:rsid w:val="253D2474"/>
    <w:rsid w:val="25457FB6"/>
    <w:rsid w:val="25552778"/>
    <w:rsid w:val="25870A1F"/>
    <w:rsid w:val="259049AF"/>
    <w:rsid w:val="259A7A73"/>
    <w:rsid w:val="25AE615B"/>
    <w:rsid w:val="25B44F23"/>
    <w:rsid w:val="25EF7AF6"/>
    <w:rsid w:val="261B5B20"/>
    <w:rsid w:val="262F2132"/>
    <w:rsid w:val="263C7118"/>
    <w:rsid w:val="265922A8"/>
    <w:rsid w:val="2663629C"/>
    <w:rsid w:val="2673376C"/>
    <w:rsid w:val="268372E1"/>
    <w:rsid w:val="26B36C9D"/>
    <w:rsid w:val="26BE18AD"/>
    <w:rsid w:val="26BF0BCC"/>
    <w:rsid w:val="26D854EC"/>
    <w:rsid w:val="2702009F"/>
    <w:rsid w:val="271371B9"/>
    <w:rsid w:val="27466F6A"/>
    <w:rsid w:val="277B1307"/>
    <w:rsid w:val="279E0C22"/>
    <w:rsid w:val="27AF1622"/>
    <w:rsid w:val="27CE221E"/>
    <w:rsid w:val="27E360FC"/>
    <w:rsid w:val="281D37D1"/>
    <w:rsid w:val="283D2DCC"/>
    <w:rsid w:val="283E5AA6"/>
    <w:rsid w:val="28476CD8"/>
    <w:rsid w:val="28582A1F"/>
    <w:rsid w:val="286A2C97"/>
    <w:rsid w:val="28753064"/>
    <w:rsid w:val="287C1549"/>
    <w:rsid w:val="28CC28F0"/>
    <w:rsid w:val="2904650E"/>
    <w:rsid w:val="2916166F"/>
    <w:rsid w:val="291C39BD"/>
    <w:rsid w:val="292C29B1"/>
    <w:rsid w:val="29431FF9"/>
    <w:rsid w:val="29500600"/>
    <w:rsid w:val="29E47C3C"/>
    <w:rsid w:val="29F50F47"/>
    <w:rsid w:val="2A0D3519"/>
    <w:rsid w:val="2A1D495C"/>
    <w:rsid w:val="2A4944AA"/>
    <w:rsid w:val="2A540B7F"/>
    <w:rsid w:val="2A5F7A43"/>
    <w:rsid w:val="2AA607D0"/>
    <w:rsid w:val="2AC15198"/>
    <w:rsid w:val="2AC667BC"/>
    <w:rsid w:val="2B23575A"/>
    <w:rsid w:val="2B632C0D"/>
    <w:rsid w:val="2BAA609E"/>
    <w:rsid w:val="2BD64CE6"/>
    <w:rsid w:val="2BFD0DE3"/>
    <w:rsid w:val="2C1670E7"/>
    <w:rsid w:val="2CB16390"/>
    <w:rsid w:val="2CE12781"/>
    <w:rsid w:val="2CFB5BBB"/>
    <w:rsid w:val="2D1452EE"/>
    <w:rsid w:val="2D81205D"/>
    <w:rsid w:val="2D8F74B8"/>
    <w:rsid w:val="2DE40EE1"/>
    <w:rsid w:val="2DFA0EFD"/>
    <w:rsid w:val="2E086661"/>
    <w:rsid w:val="2E3C1960"/>
    <w:rsid w:val="2E406ECC"/>
    <w:rsid w:val="2E4B7C48"/>
    <w:rsid w:val="2E6E1098"/>
    <w:rsid w:val="2E704C40"/>
    <w:rsid w:val="2E765D8F"/>
    <w:rsid w:val="2EB201EE"/>
    <w:rsid w:val="2ED40002"/>
    <w:rsid w:val="2EF20488"/>
    <w:rsid w:val="2EF22236"/>
    <w:rsid w:val="2F2409B5"/>
    <w:rsid w:val="2F403B19"/>
    <w:rsid w:val="2F7913CB"/>
    <w:rsid w:val="2F8777EF"/>
    <w:rsid w:val="2FAA3B85"/>
    <w:rsid w:val="2FBD6387"/>
    <w:rsid w:val="2FD11702"/>
    <w:rsid w:val="30542B3D"/>
    <w:rsid w:val="307B44AD"/>
    <w:rsid w:val="30B0159E"/>
    <w:rsid w:val="30CB0233"/>
    <w:rsid w:val="30D5114E"/>
    <w:rsid w:val="3103135B"/>
    <w:rsid w:val="311E37B6"/>
    <w:rsid w:val="31280B14"/>
    <w:rsid w:val="315F068C"/>
    <w:rsid w:val="31611AC7"/>
    <w:rsid w:val="316A2D28"/>
    <w:rsid w:val="317D3ACC"/>
    <w:rsid w:val="31BA68EA"/>
    <w:rsid w:val="31C46067"/>
    <w:rsid w:val="31D806DB"/>
    <w:rsid w:val="31DD7C00"/>
    <w:rsid w:val="31ED2299"/>
    <w:rsid w:val="31F20FA8"/>
    <w:rsid w:val="3206424D"/>
    <w:rsid w:val="32444FE9"/>
    <w:rsid w:val="32614B36"/>
    <w:rsid w:val="32C4540B"/>
    <w:rsid w:val="32E26E31"/>
    <w:rsid w:val="330B079A"/>
    <w:rsid w:val="33447C99"/>
    <w:rsid w:val="33511509"/>
    <w:rsid w:val="335B677D"/>
    <w:rsid w:val="33D33712"/>
    <w:rsid w:val="33E50C36"/>
    <w:rsid w:val="34026E2F"/>
    <w:rsid w:val="34310CB0"/>
    <w:rsid w:val="347F2FC4"/>
    <w:rsid w:val="34850D34"/>
    <w:rsid w:val="34C9495B"/>
    <w:rsid w:val="34CF6B96"/>
    <w:rsid w:val="35061884"/>
    <w:rsid w:val="351C7B52"/>
    <w:rsid w:val="356F38AA"/>
    <w:rsid w:val="358D7508"/>
    <w:rsid w:val="360260B2"/>
    <w:rsid w:val="36044504"/>
    <w:rsid w:val="361E6861"/>
    <w:rsid w:val="366B11D8"/>
    <w:rsid w:val="36BD13A1"/>
    <w:rsid w:val="36C37688"/>
    <w:rsid w:val="36D2744A"/>
    <w:rsid w:val="36E20DE2"/>
    <w:rsid w:val="36F6488E"/>
    <w:rsid w:val="36FD63F6"/>
    <w:rsid w:val="37107445"/>
    <w:rsid w:val="3713113F"/>
    <w:rsid w:val="37136916"/>
    <w:rsid w:val="373E684E"/>
    <w:rsid w:val="37415D81"/>
    <w:rsid w:val="37521A1A"/>
    <w:rsid w:val="375F35F1"/>
    <w:rsid w:val="378D7190"/>
    <w:rsid w:val="378E3872"/>
    <w:rsid w:val="37905BD8"/>
    <w:rsid w:val="379D4CDE"/>
    <w:rsid w:val="37AE4605"/>
    <w:rsid w:val="37C624B2"/>
    <w:rsid w:val="37D801E8"/>
    <w:rsid w:val="37E672C4"/>
    <w:rsid w:val="37EC177B"/>
    <w:rsid w:val="37F3288B"/>
    <w:rsid w:val="37FC08EC"/>
    <w:rsid w:val="3826061D"/>
    <w:rsid w:val="3827033C"/>
    <w:rsid w:val="384D1CD2"/>
    <w:rsid w:val="3876347B"/>
    <w:rsid w:val="389354C2"/>
    <w:rsid w:val="38AE0106"/>
    <w:rsid w:val="38C177CD"/>
    <w:rsid w:val="39380170"/>
    <w:rsid w:val="3950297B"/>
    <w:rsid w:val="396A50BF"/>
    <w:rsid w:val="39A5146A"/>
    <w:rsid w:val="39E70823"/>
    <w:rsid w:val="3A405D74"/>
    <w:rsid w:val="3A43302F"/>
    <w:rsid w:val="3A9453A9"/>
    <w:rsid w:val="3A9D3075"/>
    <w:rsid w:val="3AC20ED6"/>
    <w:rsid w:val="3AE74009"/>
    <w:rsid w:val="3B1139DC"/>
    <w:rsid w:val="3B2A4119"/>
    <w:rsid w:val="3B346891"/>
    <w:rsid w:val="3B3E5763"/>
    <w:rsid w:val="3B3F51A6"/>
    <w:rsid w:val="3B551A93"/>
    <w:rsid w:val="3B693ABE"/>
    <w:rsid w:val="3B930F30"/>
    <w:rsid w:val="3BA57DD8"/>
    <w:rsid w:val="3BCC6D26"/>
    <w:rsid w:val="3BCD6DCC"/>
    <w:rsid w:val="3BF06774"/>
    <w:rsid w:val="3BF07AFD"/>
    <w:rsid w:val="3BFF1AFF"/>
    <w:rsid w:val="3C05794C"/>
    <w:rsid w:val="3C4C0F79"/>
    <w:rsid w:val="3C885FDB"/>
    <w:rsid w:val="3C9C0EE0"/>
    <w:rsid w:val="3CA86AC2"/>
    <w:rsid w:val="3CAA50D7"/>
    <w:rsid w:val="3CB916BE"/>
    <w:rsid w:val="3CC23CE7"/>
    <w:rsid w:val="3CE021B0"/>
    <w:rsid w:val="3D685D41"/>
    <w:rsid w:val="3D734BA5"/>
    <w:rsid w:val="3D8216C0"/>
    <w:rsid w:val="3D963801"/>
    <w:rsid w:val="3DDCA28A"/>
    <w:rsid w:val="3DE716A8"/>
    <w:rsid w:val="3E242CFD"/>
    <w:rsid w:val="3E590463"/>
    <w:rsid w:val="3EBA7D64"/>
    <w:rsid w:val="3EFC62CD"/>
    <w:rsid w:val="3EFE20B2"/>
    <w:rsid w:val="3F147026"/>
    <w:rsid w:val="3F165ACD"/>
    <w:rsid w:val="3F5A279E"/>
    <w:rsid w:val="3F963F17"/>
    <w:rsid w:val="3F9A5F9A"/>
    <w:rsid w:val="3FA36D96"/>
    <w:rsid w:val="3FA815A2"/>
    <w:rsid w:val="3FAC0CAB"/>
    <w:rsid w:val="3FF47EA1"/>
    <w:rsid w:val="3FFA045E"/>
    <w:rsid w:val="402F74FD"/>
    <w:rsid w:val="4093481F"/>
    <w:rsid w:val="40B92BAB"/>
    <w:rsid w:val="40E04169"/>
    <w:rsid w:val="411E0975"/>
    <w:rsid w:val="41230A69"/>
    <w:rsid w:val="415D2552"/>
    <w:rsid w:val="41640607"/>
    <w:rsid w:val="4168105E"/>
    <w:rsid w:val="4197455C"/>
    <w:rsid w:val="419A47A3"/>
    <w:rsid w:val="41A47CB7"/>
    <w:rsid w:val="41A567BE"/>
    <w:rsid w:val="41DB4DAC"/>
    <w:rsid w:val="420B3F64"/>
    <w:rsid w:val="422A509B"/>
    <w:rsid w:val="42613D77"/>
    <w:rsid w:val="42621029"/>
    <w:rsid w:val="426A1A01"/>
    <w:rsid w:val="4270044C"/>
    <w:rsid w:val="429C5AC6"/>
    <w:rsid w:val="42A660BB"/>
    <w:rsid w:val="42D41156"/>
    <w:rsid w:val="4300495F"/>
    <w:rsid w:val="435C0D6B"/>
    <w:rsid w:val="437370B7"/>
    <w:rsid w:val="43870ECD"/>
    <w:rsid w:val="43897891"/>
    <w:rsid w:val="439509AF"/>
    <w:rsid w:val="43EE51A5"/>
    <w:rsid w:val="4426495C"/>
    <w:rsid w:val="44281E7B"/>
    <w:rsid w:val="44305883"/>
    <w:rsid w:val="44837B56"/>
    <w:rsid w:val="449E7822"/>
    <w:rsid w:val="44C424A5"/>
    <w:rsid w:val="44DD3E91"/>
    <w:rsid w:val="44FE6A97"/>
    <w:rsid w:val="45015D08"/>
    <w:rsid w:val="45090FCD"/>
    <w:rsid w:val="450B5961"/>
    <w:rsid w:val="4523136D"/>
    <w:rsid w:val="45280009"/>
    <w:rsid w:val="45314E32"/>
    <w:rsid w:val="45620AA2"/>
    <w:rsid w:val="459F22EB"/>
    <w:rsid w:val="45C115B5"/>
    <w:rsid w:val="46175DAE"/>
    <w:rsid w:val="461D2637"/>
    <w:rsid w:val="46206B1E"/>
    <w:rsid w:val="46B158D7"/>
    <w:rsid w:val="46C5184E"/>
    <w:rsid w:val="46E416BF"/>
    <w:rsid w:val="46F91E7C"/>
    <w:rsid w:val="472209A5"/>
    <w:rsid w:val="47256983"/>
    <w:rsid w:val="473E1472"/>
    <w:rsid w:val="4747479A"/>
    <w:rsid w:val="47996798"/>
    <w:rsid w:val="47FC1AAA"/>
    <w:rsid w:val="480513AE"/>
    <w:rsid w:val="48F873C3"/>
    <w:rsid w:val="490A09D4"/>
    <w:rsid w:val="492C296D"/>
    <w:rsid w:val="499824A6"/>
    <w:rsid w:val="49A67FC6"/>
    <w:rsid w:val="49DE2E13"/>
    <w:rsid w:val="4A4C39AD"/>
    <w:rsid w:val="4A4D6D6B"/>
    <w:rsid w:val="4AA05A14"/>
    <w:rsid w:val="4AB65EAF"/>
    <w:rsid w:val="4AE22767"/>
    <w:rsid w:val="4B0D69F0"/>
    <w:rsid w:val="4B6E0825"/>
    <w:rsid w:val="4BD66AD1"/>
    <w:rsid w:val="4BE64169"/>
    <w:rsid w:val="4C5E0D5A"/>
    <w:rsid w:val="4CBF4276"/>
    <w:rsid w:val="4CD03BF9"/>
    <w:rsid w:val="4CD541BE"/>
    <w:rsid w:val="4CD8358B"/>
    <w:rsid w:val="4CDF6E4A"/>
    <w:rsid w:val="4CF505B7"/>
    <w:rsid w:val="4D0C5693"/>
    <w:rsid w:val="4D422183"/>
    <w:rsid w:val="4D5B0EA9"/>
    <w:rsid w:val="4D626455"/>
    <w:rsid w:val="4D750476"/>
    <w:rsid w:val="4DA519D1"/>
    <w:rsid w:val="4DB01BB7"/>
    <w:rsid w:val="4E1622A9"/>
    <w:rsid w:val="4E2E279D"/>
    <w:rsid w:val="4E371DD3"/>
    <w:rsid w:val="4E47495A"/>
    <w:rsid w:val="4E4769C9"/>
    <w:rsid w:val="4E4D6B5E"/>
    <w:rsid w:val="4EA61CCE"/>
    <w:rsid w:val="4ED440E4"/>
    <w:rsid w:val="4F073CFD"/>
    <w:rsid w:val="4F271B02"/>
    <w:rsid w:val="4F3B09F2"/>
    <w:rsid w:val="4F440234"/>
    <w:rsid w:val="4F9324C7"/>
    <w:rsid w:val="4FBA7526"/>
    <w:rsid w:val="4FC60261"/>
    <w:rsid w:val="4FEE5293"/>
    <w:rsid w:val="4FF67AFB"/>
    <w:rsid w:val="502901B8"/>
    <w:rsid w:val="50564473"/>
    <w:rsid w:val="50A57394"/>
    <w:rsid w:val="50A86781"/>
    <w:rsid w:val="50C85680"/>
    <w:rsid w:val="50F2034F"/>
    <w:rsid w:val="51271DBC"/>
    <w:rsid w:val="51B122AB"/>
    <w:rsid w:val="51EB168C"/>
    <w:rsid w:val="51FC2209"/>
    <w:rsid w:val="52086F9A"/>
    <w:rsid w:val="52582329"/>
    <w:rsid w:val="52602D4A"/>
    <w:rsid w:val="5294310F"/>
    <w:rsid w:val="52AE72AB"/>
    <w:rsid w:val="52FB5040"/>
    <w:rsid w:val="53013A3B"/>
    <w:rsid w:val="530421BA"/>
    <w:rsid w:val="53307F3E"/>
    <w:rsid w:val="534D60B9"/>
    <w:rsid w:val="535A067F"/>
    <w:rsid w:val="536129B5"/>
    <w:rsid w:val="53947B89"/>
    <w:rsid w:val="539C13A0"/>
    <w:rsid w:val="53D45274"/>
    <w:rsid w:val="540E20D1"/>
    <w:rsid w:val="54134D92"/>
    <w:rsid w:val="541E53A4"/>
    <w:rsid w:val="543638C0"/>
    <w:rsid w:val="54461AD3"/>
    <w:rsid w:val="545D6C28"/>
    <w:rsid w:val="549035DF"/>
    <w:rsid w:val="54932181"/>
    <w:rsid w:val="54E64588"/>
    <w:rsid w:val="551F080C"/>
    <w:rsid w:val="5568105C"/>
    <w:rsid w:val="557C08CC"/>
    <w:rsid w:val="557C6727"/>
    <w:rsid w:val="558B4D6C"/>
    <w:rsid w:val="55945546"/>
    <w:rsid w:val="55A21A11"/>
    <w:rsid w:val="55B26843"/>
    <w:rsid w:val="56241A12"/>
    <w:rsid w:val="5633291A"/>
    <w:rsid w:val="56A209B3"/>
    <w:rsid w:val="56C105B6"/>
    <w:rsid w:val="570F757A"/>
    <w:rsid w:val="57396B1E"/>
    <w:rsid w:val="57457F69"/>
    <w:rsid w:val="576A0140"/>
    <w:rsid w:val="57B70A7D"/>
    <w:rsid w:val="57BB1330"/>
    <w:rsid w:val="57F73759"/>
    <w:rsid w:val="5805436F"/>
    <w:rsid w:val="586955B3"/>
    <w:rsid w:val="5881600E"/>
    <w:rsid w:val="58845D9B"/>
    <w:rsid w:val="58CD7840"/>
    <w:rsid w:val="58D720DE"/>
    <w:rsid w:val="58D94CD9"/>
    <w:rsid w:val="59095948"/>
    <w:rsid w:val="591B58C0"/>
    <w:rsid w:val="59204F48"/>
    <w:rsid w:val="59234ECA"/>
    <w:rsid w:val="5943677E"/>
    <w:rsid w:val="595D3DAB"/>
    <w:rsid w:val="5966475D"/>
    <w:rsid w:val="59840B1E"/>
    <w:rsid w:val="59C15F6D"/>
    <w:rsid w:val="59CE3803"/>
    <w:rsid w:val="59E204C4"/>
    <w:rsid w:val="5A05630E"/>
    <w:rsid w:val="5A1C6D14"/>
    <w:rsid w:val="5A1F3CE5"/>
    <w:rsid w:val="5A6D3BE8"/>
    <w:rsid w:val="5A8123CD"/>
    <w:rsid w:val="5A822399"/>
    <w:rsid w:val="5AF3000A"/>
    <w:rsid w:val="5AFB5EB9"/>
    <w:rsid w:val="5B2A44B1"/>
    <w:rsid w:val="5B2E3EE9"/>
    <w:rsid w:val="5B8B1196"/>
    <w:rsid w:val="5B98036D"/>
    <w:rsid w:val="5C166B76"/>
    <w:rsid w:val="5C2D4D8A"/>
    <w:rsid w:val="5C3D2CF7"/>
    <w:rsid w:val="5C49575C"/>
    <w:rsid w:val="5C4E59E6"/>
    <w:rsid w:val="5C556B56"/>
    <w:rsid w:val="5C781EDF"/>
    <w:rsid w:val="5C9108EC"/>
    <w:rsid w:val="5CA02688"/>
    <w:rsid w:val="5CBE30B7"/>
    <w:rsid w:val="5CD54233"/>
    <w:rsid w:val="5D215608"/>
    <w:rsid w:val="5D316B4B"/>
    <w:rsid w:val="5D6C71EA"/>
    <w:rsid w:val="5DD040EF"/>
    <w:rsid w:val="5DDE5ADB"/>
    <w:rsid w:val="5DE93F98"/>
    <w:rsid w:val="5E087E8B"/>
    <w:rsid w:val="5E7537A3"/>
    <w:rsid w:val="5E7B72A3"/>
    <w:rsid w:val="5E9107E9"/>
    <w:rsid w:val="5EA51C4A"/>
    <w:rsid w:val="5F0D61FF"/>
    <w:rsid w:val="5F1132C6"/>
    <w:rsid w:val="5F247AFE"/>
    <w:rsid w:val="5F2E144B"/>
    <w:rsid w:val="5F857143"/>
    <w:rsid w:val="5FA40A7B"/>
    <w:rsid w:val="5FB844D4"/>
    <w:rsid w:val="5FC44F0A"/>
    <w:rsid w:val="5FF52005"/>
    <w:rsid w:val="60024EDF"/>
    <w:rsid w:val="60172C8E"/>
    <w:rsid w:val="602C4435"/>
    <w:rsid w:val="60510E15"/>
    <w:rsid w:val="60826C80"/>
    <w:rsid w:val="60985E9A"/>
    <w:rsid w:val="60D842A5"/>
    <w:rsid w:val="60DD31FA"/>
    <w:rsid w:val="60E97A5C"/>
    <w:rsid w:val="60EB3387"/>
    <w:rsid w:val="60EE746C"/>
    <w:rsid w:val="61005930"/>
    <w:rsid w:val="6155202D"/>
    <w:rsid w:val="6161292D"/>
    <w:rsid w:val="61970A79"/>
    <w:rsid w:val="61980331"/>
    <w:rsid w:val="619F4436"/>
    <w:rsid w:val="61B62255"/>
    <w:rsid w:val="61E34130"/>
    <w:rsid w:val="61EC768B"/>
    <w:rsid w:val="62061074"/>
    <w:rsid w:val="62215E87"/>
    <w:rsid w:val="624971CC"/>
    <w:rsid w:val="625C3F01"/>
    <w:rsid w:val="62D9728D"/>
    <w:rsid w:val="62FF09F6"/>
    <w:rsid w:val="63583876"/>
    <w:rsid w:val="63E776F7"/>
    <w:rsid w:val="640E5131"/>
    <w:rsid w:val="64150239"/>
    <w:rsid w:val="641F343C"/>
    <w:rsid w:val="643E63F1"/>
    <w:rsid w:val="645C048C"/>
    <w:rsid w:val="646959A3"/>
    <w:rsid w:val="646F6CB0"/>
    <w:rsid w:val="647F2228"/>
    <w:rsid w:val="64D2529B"/>
    <w:rsid w:val="651D7774"/>
    <w:rsid w:val="65216FBD"/>
    <w:rsid w:val="6537227D"/>
    <w:rsid w:val="65465867"/>
    <w:rsid w:val="65DF6900"/>
    <w:rsid w:val="660D3C09"/>
    <w:rsid w:val="662950F8"/>
    <w:rsid w:val="667F344D"/>
    <w:rsid w:val="667F3EA9"/>
    <w:rsid w:val="668E4E0D"/>
    <w:rsid w:val="66BD4D07"/>
    <w:rsid w:val="66DD6F3D"/>
    <w:rsid w:val="670904C3"/>
    <w:rsid w:val="6737274E"/>
    <w:rsid w:val="67680A17"/>
    <w:rsid w:val="676C3A08"/>
    <w:rsid w:val="67912388"/>
    <w:rsid w:val="67BD413A"/>
    <w:rsid w:val="67EA3ADE"/>
    <w:rsid w:val="67EE6E63"/>
    <w:rsid w:val="68175200"/>
    <w:rsid w:val="681E541D"/>
    <w:rsid w:val="686F04C8"/>
    <w:rsid w:val="6876296E"/>
    <w:rsid w:val="688A571C"/>
    <w:rsid w:val="689D1AB8"/>
    <w:rsid w:val="68A80483"/>
    <w:rsid w:val="68A86E2D"/>
    <w:rsid w:val="68D56D0F"/>
    <w:rsid w:val="691A2D16"/>
    <w:rsid w:val="693C494D"/>
    <w:rsid w:val="695426C5"/>
    <w:rsid w:val="69752D81"/>
    <w:rsid w:val="6989676C"/>
    <w:rsid w:val="69A433E0"/>
    <w:rsid w:val="69B35661"/>
    <w:rsid w:val="69C22C62"/>
    <w:rsid w:val="69DF4292"/>
    <w:rsid w:val="69E057C4"/>
    <w:rsid w:val="69E97D5A"/>
    <w:rsid w:val="69EE5696"/>
    <w:rsid w:val="6A0E175C"/>
    <w:rsid w:val="6A121576"/>
    <w:rsid w:val="6A332318"/>
    <w:rsid w:val="6A4C65A5"/>
    <w:rsid w:val="6A6427AF"/>
    <w:rsid w:val="6A651E9E"/>
    <w:rsid w:val="6A885221"/>
    <w:rsid w:val="6B171F35"/>
    <w:rsid w:val="6B7C62E5"/>
    <w:rsid w:val="6BB06970"/>
    <w:rsid w:val="6BB9504A"/>
    <w:rsid w:val="6BCB6C2F"/>
    <w:rsid w:val="6BEB47B5"/>
    <w:rsid w:val="6BEB4F4D"/>
    <w:rsid w:val="6BEF1E36"/>
    <w:rsid w:val="6BFD48F1"/>
    <w:rsid w:val="6C440309"/>
    <w:rsid w:val="6C781A09"/>
    <w:rsid w:val="6C7E1F41"/>
    <w:rsid w:val="6C8769E4"/>
    <w:rsid w:val="6CE60C18"/>
    <w:rsid w:val="6D265E01"/>
    <w:rsid w:val="6D73410A"/>
    <w:rsid w:val="6DF64253"/>
    <w:rsid w:val="6DFF70B6"/>
    <w:rsid w:val="6E2447D5"/>
    <w:rsid w:val="6E3C0843"/>
    <w:rsid w:val="6E4C31E3"/>
    <w:rsid w:val="6E8F5D5C"/>
    <w:rsid w:val="6EC00BE2"/>
    <w:rsid w:val="6EC66036"/>
    <w:rsid w:val="6ED84BE7"/>
    <w:rsid w:val="6EF94F01"/>
    <w:rsid w:val="6F003774"/>
    <w:rsid w:val="6F8919DB"/>
    <w:rsid w:val="6FA86872"/>
    <w:rsid w:val="6FAE6EA9"/>
    <w:rsid w:val="6FC036A4"/>
    <w:rsid w:val="6FC443D5"/>
    <w:rsid w:val="702063D4"/>
    <w:rsid w:val="702F7280"/>
    <w:rsid w:val="70546BBA"/>
    <w:rsid w:val="709A7AC2"/>
    <w:rsid w:val="70A82C64"/>
    <w:rsid w:val="70D8212E"/>
    <w:rsid w:val="70DC62B8"/>
    <w:rsid w:val="70E4170B"/>
    <w:rsid w:val="71036320"/>
    <w:rsid w:val="7146408D"/>
    <w:rsid w:val="715A132F"/>
    <w:rsid w:val="71775FF0"/>
    <w:rsid w:val="7178789F"/>
    <w:rsid w:val="718450C3"/>
    <w:rsid w:val="7186593A"/>
    <w:rsid w:val="71956476"/>
    <w:rsid w:val="71B27028"/>
    <w:rsid w:val="71F5138A"/>
    <w:rsid w:val="720307B4"/>
    <w:rsid w:val="723E589A"/>
    <w:rsid w:val="724C54C4"/>
    <w:rsid w:val="72AB441F"/>
    <w:rsid w:val="72B1794F"/>
    <w:rsid w:val="72CA2102"/>
    <w:rsid w:val="72E37031"/>
    <w:rsid w:val="73154211"/>
    <w:rsid w:val="73563369"/>
    <w:rsid w:val="73853D85"/>
    <w:rsid w:val="739A7DBC"/>
    <w:rsid w:val="73C37B3A"/>
    <w:rsid w:val="73CB7F89"/>
    <w:rsid w:val="73D210BE"/>
    <w:rsid w:val="73D9089C"/>
    <w:rsid w:val="73DD79E2"/>
    <w:rsid w:val="740021F6"/>
    <w:rsid w:val="748C25D3"/>
    <w:rsid w:val="74907697"/>
    <w:rsid w:val="74B41022"/>
    <w:rsid w:val="74FA4B59"/>
    <w:rsid w:val="75696511"/>
    <w:rsid w:val="75787FC9"/>
    <w:rsid w:val="7579027F"/>
    <w:rsid w:val="758A7EF5"/>
    <w:rsid w:val="75A31161"/>
    <w:rsid w:val="75A6462A"/>
    <w:rsid w:val="75DC0B17"/>
    <w:rsid w:val="760337AF"/>
    <w:rsid w:val="76183A4D"/>
    <w:rsid w:val="76293A1D"/>
    <w:rsid w:val="763E0C8B"/>
    <w:rsid w:val="7668604C"/>
    <w:rsid w:val="76844875"/>
    <w:rsid w:val="769A2FB0"/>
    <w:rsid w:val="76E61D7C"/>
    <w:rsid w:val="76ED1D03"/>
    <w:rsid w:val="771B10B2"/>
    <w:rsid w:val="77264BE9"/>
    <w:rsid w:val="77347394"/>
    <w:rsid w:val="77405BD7"/>
    <w:rsid w:val="77417335"/>
    <w:rsid w:val="779C230C"/>
    <w:rsid w:val="77B45926"/>
    <w:rsid w:val="77BF50F8"/>
    <w:rsid w:val="77C94015"/>
    <w:rsid w:val="77DA29A3"/>
    <w:rsid w:val="7807661F"/>
    <w:rsid w:val="783F4B9C"/>
    <w:rsid w:val="78572DE9"/>
    <w:rsid w:val="78677C2F"/>
    <w:rsid w:val="789F1E5F"/>
    <w:rsid w:val="78AC2EA9"/>
    <w:rsid w:val="78E818E5"/>
    <w:rsid w:val="78F97AEA"/>
    <w:rsid w:val="791549A4"/>
    <w:rsid w:val="794A09E1"/>
    <w:rsid w:val="797F60D5"/>
    <w:rsid w:val="7A084370"/>
    <w:rsid w:val="7A3424EF"/>
    <w:rsid w:val="7A434E36"/>
    <w:rsid w:val="7A560F7D"/>
    <w:rsid w:val="7A574874"/>
    <w:rsid w:val="7A9E62BF"/>
    <w:rsid w:val="7AB71F1E"/>
    <w:rsid w:val="7B15411D"/>
    <w:rsid w:val="7B267E4C"/>
    <w:rsid w:val="7B394FE5"/>
    <w:rsid w:val="7B396895"/>
    <w:rsid w:val="7B603460"/>
    <w:rsid w:val="7B65510B"/>
    <w:rsid w:val="7BAA5E37"/>
    <w:rsid w:val="7BD24E35"/>
    <w:rsid w:val="7BE23A26"/>
    <w:rsid w:val="7BF21188"/>
    <w:rsid w:val="7BFB74D3"/>
    <w:rsid w:val="7C190EA3"/>
    <w:rsid w:val="7C2735F3"/>
    <w:rsid w:val="7C2D09C7"/>
    <w:rsid w:val="7C3764C4"/>
    <w:rsid w:val="7C9942BF"/>
    <w:rsid w:val="7CA52ABC"/>
    <w:rsid w:val="7CD41461"/>
    <w:rsid w:val="7CE140F5"/>
    <w:rsid w:val="7CEE1713"/>
    <w:rsid w:val="7D075F0E"/>
    <w:rsid w:val="7D3846C5"/>
    <w:rsid w:val="7D457807"/>
    <w:rsid w:val="7D6B16D3"/>
    <w:rsid w:val="7D790677"/>
    <w:rsid w:val="7D791EC4"/>
    <w:rsid w:val="7DA104EE"/>
    <w:rsid w:val="7DAC6A53"/>
    <w:rsid w:val="7DBA67F5"/>
    <w:rsid w:val="7DEC3D81"/>
    <w:rsid w:val="7DFBD975"/>
    <w:rsid w:val="7DFD3EDF"/>
    <w:rsid w:val="7E117030"/>
    <w:rsid w:val="7E135469"/>
    <w:rsid w:val="7E192908"/>
    <w:rsid w:val="7E375C98"/>
    <w:rsid w:val="7E843559"/>
    <w:rsid w:val="7EE21250"/>
    <w:rsid w:val="7F4851E0"/>
    <w:rsid w:val="7F4A61FB"/>
    <w:rsid w:val="7F852E04"/>
    <w:rsid w:val="7F86181D"/>
    <w:rsid w:val="7F941E61"/>
    <w:rsid w:val="7FC61E74"/>
    <w:rsid w:val="7FC95C68"/>
    <w:rsid w:val="7FD41268"/>
    <w:rsid w:val="7FE531A4"/>
    <w:rsid w:val="7FEEB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99"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7"/>
    <w:qFormat/>
    <w:uiPriority w:val="0"/>
    <w:pPr>
      <w:keepNext/>
      <w:jc w:val="center"/>
      <w:outlineLvl w:val="0"/>
    </w:pPr>
    <w:rPr>
      <w:rFonts w:ascii="楷体_GB2312" w:hAnsi="Tahoma" w:eastAsia="楷体_GB2312"/>
      <w:b/>
      <w:bCs/>
    </w:rPr>
  </w:style>
  <w:style w:type="paragraph" w:styleId="4">
    <w:name w:val="heading 2"/>
    <w:basedOn w:val="1"/>
    <w:next w:val="1"/>
    <w:link w:val="8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19"/>
    <w:qFormat/>
    <w:uiPriority w:val="0"/>
    <w:pPr>
      <w:keepNext/>
      <w:keepLines/>
      <w:spacing w:before="260" w:after="260" w:line="415" w:lineRule="auto"/>
      <w:outlineLvl w:val="2"/>
    </w:pPr>
    <w:rPr>
      <w:b/>
      <w:bCs/>
      <w:sz w:val="32"/>
      <w:szCs w:val="32"/>
    </w:rPr>
  </w:style>
  <w:style w:type="paragraph" w:styleId="6">
    <w:name w:val="heading 4"/>
    <w:basedOn w:val="1"/>
    <w:next w:val="1"/>
    <w:link w:val="222"/>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237"/>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196"/>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226"/>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191"/>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129"/>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macro"/>
    <w:link w:val="188"/>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39"/>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next w:val="1"/>
    <w:link w:val="131"/>
    <w:qFormat/>
    <w:uiPriority w:val="0"/>
    <w:pPr>
      <w:adjustRightInd w:val="0"/>
      <w:spacing w:line="312" w:lineRule="atLeast"/>
      <w:ind w:firstLine="420"/>
      <w:textAlignment w:val="baseline"/>
    </w:pPr>
    <w:rPr>
      <w:kern w:val="0"/>
      <w:szCs w:val="20"/>
    </w:r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numPr>
        <w:ilvl w:val="0"/>
        <w:numId w:val="1"/>
      </w:numPr>
      <w:tabs>
        <w:tab w:val="left" w:pos="360"/>
        <w:tab w:val="clear" w:pos="1080"/>
      </w:tabs>
    </w:pPr>
    <w:rPr>
      <w:szCs w:val="22"/>
    </w:rPr>
  </w:style>
  <w:style w:type="paragraph" w:styleId="17">
    <w:name w:val="Document Map"/>
    <w:basedOn w:val="1"/>
    <w:link w:val="112"/>
    <w:qFormat/>
    <w:uiPriority w:val="0"/>
    <w:pPr>
      <w:shd w:val="clear" w:color="auto" w:fill="000080"/>
    </w:pPr>
  </w:style>
  <w:style w:type="paragraph" w:styleId="18">
    <w:name w:val="annotation text"/>
    <w:basedOn w:val="1"/>
    <w:link w:val="208"/>
    <w:qFormat/>
    <w:uiPriority w:val="0"/>
    <w:pPr>
      <w:jc w:val="left"/>
    </w:pPr>
  </w:style>
  <w:style w:type="paragraph" w:styleId="19">
    <w:name w:val="Salutation"/>
    <w:basedOn w:val="1"/>
    <w:next w:val="1"/>
    <w:link w:val="221"/>
    <w:qFormat/>
    <w:uiPriority w:val="0"/>
    <w:pPr>
      <w:tabs>
        <w:tab w:val="left" w:pos="840"/>
      </w:tabs>
      <w:autoSpaceDE w:val="0"/>
      <w:autoSpaceDN w:val="0"/>
      <w:adjustRightInd w:val="0"/>
      <w:jc w:val="left"/>
    </w:pPr>
    <w:rPr>
      <w:kern w:val="0"/>
      <w:sz w:val="24"/>
      <w:szCs w:val="20"/>
    </w:rPr>
  </w:style>
  <w:style w:type="paragraph" w:styleId="20">
    <w:name w:val="Body Text 3"/>
    <w:basedOn w:val="1"/>
    <w:link w:val="178"/>
    <w:qFormat/>
    <w:uiPriority w:val="0"/>
    <w:pPr>
      <w:autoSpaceDE w:val="0"/>
      <w:autoSpaceDN w:val="0"/>
      <w:adjustRightInd w:val="0"/>
      <w:jc w:val="center"/>
    </w:pPr>
    <w:rPr>
      <w:kern w:val="0"/>
      <w:sz w:val="20"/>
      <w:szCs w:val="20"/>
    </w:rPr>
  </w:style>
  <w:style w:type="paragraph" w:styleId="21">
    <w:name w:val="Body Text"/>
    <w:basedOn w:val="1"/>
    <w:next w:val="22"/>
    <w:link w:val="100"/>
    <w:qFormat/>
    <w:uiPriority w:val="0"/>
    <w:pPr>
      <w:spacing w:after="120"/>
    </w:pPr>
    <w:rPr>
      <w:rFonts w:ascii="Tahoma" w:hAnsi="Tahoma"/>
    </w:rPr>
  </w:style>
  <w:style w:type="paragraph" w:styleId="22">
    <w:name w:val="Body Text First Indent"/>
    <w:basedOn w:val="21"/>
    <w:next w:val="23"/>
    <w:link w:val="225"/>
    <w:qFormat/>
    <w:uiPriority w:val="0"/>
    <w:pPr>
      <w:autoSpaceDE w:val="0"/>
      <w:autoSpaceDN w:val="0"/>
      <w:adjustRightInd w:val="0"/>
      <w:ind w:firstLine="420" w:firstLineChars="100"/>
      <w:jc w:val="left"/>
    </w:pPr>
    <w:rPr>
      <w:rFonts w:ascii="仿宋_GB2312" w:hAnsi="Calibri"/>
      <w:b/>
      <w:kern w:val="0"/>
      <w:sz w:val="32"/>
      <w:szCs w:val="32"/>
    </w:rPr>
  </w:style>
  <w:style w:type="paragraph" w:styleId="23">
    <w:name w:val="toc 6"/>
    <w:basedOn w:val="1"/>
    <w:next w:val="1"/>
    <w:qFormat/>
    <w:uiPriority w:val="39"/>
    <w:pPr>
      <w:autoSpaceDE w:val="0"/>
      <w:autoSpaceDN w:val="0"/>
      <w:adjustRightInd w:val="0"/>
      <w:ind w:left="2100" w:leftChars="1000"/>
      <w:jc w:val="left"/>
    </w:pPr>
    <w:rPr>
      <w:kern w:val="0"/>
      <w:sz w:val="20"/>
      <w:szCs w:val="20"/>
    </w:rPr>
  </w:style>
  <w:style w:type="paragraph" w:styleId="24">
    <w:name w:val="Body Text Indent"/>
    <w:basedOn w:val="1"/>
    <w:link w:val="238"/>
    <w:qFormat/>
    <w:uiPriority w:val="0"/>
    <w:pPr>
      <w:adjustRightInd w:val="0"/>
      <w:spacing w:line="360" w:lineRule="auto"/>
      <w:ind w:firstLine="490"/>
      <w:jc w:val="left"/>
    </w:pPr>
    <w:rPr>
      <w:rFonts w:ascii="宋体" w:hAnsi="宋体"/>
      <w:sz w:val="24"/>
      <w:szCs w:val="20"/>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Plain Text"/>
    <w:basedOn w:val="1"/>
    <w:next w:val="1"/>
    <w:link w:val="176"/>
    <w:qFormat/>
    <w:uiPriority w:val="0"/>
    <w:rPr>
      <w:rFonts w:ascii="宋体" w:hAnsi="Courier New"/>
      <w:szCs w:val="20"/>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39"/>
    <w:pPr>
      <w:autoSpaceDE w:val="0"/>
      <w:autoSpaceDN w:val="0"/>
      <w:adjustRightInd w:val="0"/>
      <w:ind w:left="2940" w:leftChars="1400"/>
      <w:jc w:val="left"/>
    </w:pPr>
    <w:rPr>
      <w:kern w:val="0"/>
      <w:sz w:val="20"/>
      <w:szCs w:val="20"/>
    </w:rPr>
  </w:style>
  <w:style w:type="paragraph" w:styleId="33">
    <w:name w:val="Date"/>
    <w:basedOn w:val="1"/>
    <w:next w:val="1"/>
    <w:link w:val="138"/>
    <w:qFormat/>
    <w:uiPriority w:val="0"/>
    <w:pPr>
      <w:spacing w:line="440" w:lineRule="exact"/>
    </w:pPr>
    <w:rPr>
      <w:spacing w:val="12"/>
      <w:sz w:val="24"/>
      <w:szCs w:val="20"/>
    </w:rPr>
  </w:style>
  <w:style w:type="paragraph" w:styleId="34">
    <w:name w:val="Body Text Indent 2"/>
    <w:basedOn w:val="1"/>
    <w:link w:val="218"/>
    <w:qFormat/>
    <w:uiPriority w:val="0"/>
    <w:pPr>
      <w:spacing w:after="120" w:line="480" w:lineRule="auto"/>
      <w:ind w:left="420" w:leftChars="200"/>
    </w:pPr>
  </w:style>
  <w:style w:type="paragraph" w:styleId="35">
    <w:name w:val="Balloon Text"/>
    <w:basedOn w:val="1"/>
    <w:link w:val="79"/>
    <w:qFormat/>
    <w:uiPriority w:val="0"/>
    <w:rPr>
      <w:sz w:val="18"/>
      <w:szCs w:val="18"/>
    </w:rPr>
  </w:style>
  <w:style w:type="paragraph" w:styleId="36">
    <w:name w:val="footer"/>
    <w:basedOn w:val="1"/>
    <w:link w:val="91"/>
    <w:qFormat/>
    <w:uiPriority w:val="0"/>
    <w:pPr>
      <w:tabs>
        <w:tab w:val="center" w:pos="4153"/>
        <w:tab w:val="right" w:pos="8306"/>
      </w:tabs>
      <w:snapToGrid w:val="0"/>
      <w:jc w:val="left"/>
    </w:pPr>
    <w:rPr>
      <w:sz w:val="18"/>
      <w:szCs w:val="18"/>
    </w:rPr>
  </w:style>
  <w:style w:type="paragraph" w:styleId="37">
    <w:name w:val="header"/>
    <w:basedOn w:val="1"/>
    <w:link w:val="204"/>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66"/>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9">
    <w:name w:val="toc 1"/>
    <w:basedOn w:val="1"/>
    <w:next w:val="1"/>
    <w:qFormat/>
    <w:uiPriority w:val="39"/>
    <w:pPr>
      <w:spacing w:line="360" w:lineRule="exact"/>
      <w:ind w:left="718" w:hanging="718" w:hangingChars="342"/>
    </w:pPr>
    <w:rPr>
      <w:rFonts w:ascii="Arial" w:hAnsi="Arial" w:eastAsia="楷体_GB2312" w:cs="Arial"/>
    </w:rPr>
  </w:style>
  <w:style w:type="paragraph" w:styleId="40">
    <w:name w:val="toc 4"/>
    <w:basedOn w:val="1"/>
    <w:next w:val="1"/>
    <w:qFormat/>
    <w:uiPriority w:val="39"/>
    <w:pPr>
      <w:autoSpaceDE w:val="0"/>
      <w:autoSpaceDN w:val="0"/>
      <w:adjustRightInd w:val="0"/>
      <w:ind w:left="1260" w:leftChars="600"/>
      <w:jc w:val="left"/>
    </w:pPr>
    <w:rPr>
      <w:kern w:val="0"/>
      <w:sz w:val="20"/>
      <w:szCs w:val="20"/>
    </w:rPr>
  </w:style>
  <w:style w:type="paragraph" w:styleId="41">
    <w:name w:val="Subtitle"/>
    <w:basedOn w:val="1"/>
    <w:next w:val="1"/>
    <w:link w:val="198"/>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sz w:val="28"/>
    </w:rPr>
  </w:style>
  <w:style w:type="paragraph" w:styleId="44">
    <w:name w:val="Body Text Indent 3"/>
    <w:basedOn w:val="1"/>
    <w:link w:val="167"/>
    <w:qFormat/>
    <w:uiPriority w:val="0"/>
    <w:pPr>
      <w:spacing w:after="120"/>
      <w:ind w:left="420" w:leftChars="200"/>
    </w:pPr>
    <w:rPr>
      <w:sz w:val="16"/>
      <w:szCs w:val="16"/>
    </w:rPr>
  </w:style>
  <w:style w:type="paragraph" w:styleId="45">
    <w:name w:val="toc 2"/>
    <w:basedOn w:val="1"/>
    <w:next w:val="1"/>
    <w:qFormat/>
    <w:uiPriority w:val="39"/>
    <w:pPr>
      <w:ind w:left="420" w:leftChars="200"/>
    </w:pPr>
  </w:style>
  <w:style w:type="paragraph" w:styleId="46">
    <w:name w:val="toc 9"/>
    <w:basedOn w:val="1"/>
    <w:next w:val="1"/>
    <w:qFormat/>
    <w:uiPriority w:val="39"/>
    <w:pPr>
      <w:autoSpaceDE w:val="0"/>
      <w:autoSpaceDN w:val="0"/>
      <w:adjustRightInd w:val="0"/>
      <w:ind w:left="3360" w:leftChars="1600"/>
      <w:jc w:val="left"/>
    </w:pPr>
    <w:rPr>
      <w:kern w:val="0"/>
      <w:sz w:val="20"/>
      <w:szCs w:val="20"/>
    </w:rPr>
  </w:style>
  <w:style w:type="paragraph" w:styleId="47">
    <w:name w:val="Body Text 2"/>
    <w:basedOn w:val="1"/>
    <w:link w:val="160"/>
    <w:qFormat/>
    <w:uiPriority w:val="0"/>
    <w:pPr>
      <w:autoSpaceDE w:val="0"/>
      <w:autoSpaceDN w:val="0"/>
      <w:adjustRightInd w:val="0"/>
      <w:spacing w:after="120" w:line="480" w:lineRule="auto"/>
      <w:jc w:val="left"/>
    </w:pPr>
    <w:rPr>
      <w:kern w:val="0"/>
      <w:sz w:val="20"/>
      <w:szCs w:val="20"/>
    </w:rPr>
  </w:style>
  <w:style w:type="paragraph" w:styleId="4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49">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50">
    <w:name w:val="index 1"/>
    <w:basedOn w:val="1"/>
    <w:next w:val="1"/>
    <w:qFormat/>
    <w:uiPriority w:val="0"/>
    <w:pPr>
      <w:spacing w:line="220" w:lineRule="exact"/>
      <w:jc w:val="center"/>
    </w:pPr>
    <w:rPr>
      <w:rFonts w:ascii="仿宋_GB2312" w:eastAsia="仿宋_GB2312"/>
      <w:szCs w:val="21"/>
    </w:rPr>
  </w:style>
  <w:style w:type="paragraph" w:styleId="51">
    <w:name w:val="Title"/>
    <w:basedOn w:val="1"/>
    <w:link w:val="170"/>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2">
    <w:name w:val="annotation subject"/>
    <w:basedOn w:val="18"/>
    <w:next w:val="18"/>
    <w:link w:val="108"/>
    <w:qFormat/>
    <w:uiPriority w:val="0"/>
    <w:rPr>
      <w:b/>
      <w:bCs/>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single"/>
    </w:rPr>
  </w:style>
  <w:style w:type="character" w:styleId="59">
    <w:name w:val="Emphasis"/>
    <w:qFormat/>
    <w:uiPriority w:val="0"/>
    <w:rPr>
      <w:i/>
      <w:iCs/>
    </w:rPr>
  </w:style>
  <w:style w:type="character" w:styleId="60">
    <w:name w:val="line number"/>
    <w:qFormat/>
    <w:uiPriority w:val="0"/>
    <w:rPr>
      <w:rFonts w:ascii="仿宋_GB2312" w:hAnsi="Tahoma" w:eastAsia="仿宋_GB2312"/>
      <w:b/>
      <w:sz w:val="32"/>
      <w:szCs w:val="32"/>
    </w:rPr>
  </w:style>
  <w:style w:type="character" w:styleId="61">
    <w:name w:val="HTML Definition"/>
    <w:unhideWhenUsed/>
    <w:qFormat/>
    <w:uiPriority w:val="99"/>
    <w:rPr>
      <w:szCs w:val="20"/>
    </w:rPr>
  </w:style>
  <w:style w:type="character" w:styleId="62">
    <w:name w:val="HTML Acronym"/>
    <w:basedOn w:val="55"/>
    <w:unhideWhenUsed/>
    <w:qFormat/>
    <w:uiPriority w:val="99"/>
  </w:style>
  <w:style w:type="character" w:styleId="63">
    <w:name w:val="HTML Variable"/>
    <w:unhideWhenUsed/>
    <w:qFormat/>
    <w:uiPriority w:val="99"/>
    <w:rPr>
      <w:szCs w:val="20"/>
    </w:rPr>
  </w:style>
  <w:style w:type="character" w:styleId="64">
    <w:name w:val="Hyperlink"/>
    <w:qFormat/>
    <w:uiPriority w:val="99"/>
    <w:rPr>
      <w:rFonts w:ascii="仿宋_GB2312" w:eastAsia="仿宋_GB2312"/>
      <w:color w:val="000000"/>
      <w:sz w:val="20"/>
      <w:szCs w:val="20"/>
      <w:u w:val="none"/>
    </w:rPr>
  </w:style>
  <w:style w:type="character" w:styleId="65">
    <w:name w:val="HTML Code"/>
    <w:unhideWhenUsed/>
    <w:qFormat/>
    <w:uiPriority w:val="99"/>
    <w:rPr>
      <w:rFonts w:hint="eastAsia" w:ascii="微软雅黑" w:hAnsi="微软雅黑" w:eastAsia="微软雅黑" w:cs="微软雅黑"/>
      <w:sz w:val="20"/>
      <w:szCs w:val="20"/>
    </w:rPr>
  </w:style>
  <w:style w:type="character" w:styleId="66">
    <w:name w:val="annotation reference"/>
    <w:qFormat/>
    <w:uiPriority w:val="99"/>
    <w:rPr>
      <w:sz w:val="21"/>
      <w:szCs w:val="21"/>
    </w:rPr>
  </w:style>
  <w:style w:type="character" w:styleId="67">
    <w:name w:val="HTML Cite"/>
    <w:qFormat/>
    <w:uiPriority w:val="0"/>
    <w:rPr>
      <w:color w:val="008000"/>
    </w:rPr>
  </w:style>
  <w:style w:type="character" w:styleId="68">
    <w:name w:val="footnote reference"/>
    <w:qFormat/>
    <w:uiPriority w:val="0"/>
    <w:rPr>
      <w:vertAlign w:val="superscript"/>
    </w:rPr>
  </w:style>
  <w:style w:type="character" w:styleId="69">
    <w:name w:val="HTML Keyboard"/>
    <w:unhideWhenUsed/>
    <w:qFormat/>
    <w:uiPriority w:val="99"/>
    <w:rPr>
      <w:rFonts w:hint="eastAsia" w:ascii="微软雅黑" w:hAnsi="微软雅黑" w:eastAsia="微软雅黑" w:cs="微软雅黑"/>
      <w:sz w:val="20"/>
      <w:szCs w:val="20"/>
    </w:rPr>
  </w:style>
  <w:style w:type="character" w:styleId="70">
    <w:name w:val="HTML Sample"/>
    <w:unhideWhenUsed/>
    <w:qFormat/>
    <w:uiPriority w:val="99"/>
    <w:rPr>
      <w:rFonts w:hint="eastAsia" w:ascii="微软雅黑" w:hAnsi="微软雅黑" w:eastAsia="微软雅黑" w:cs="微软雅黑"/>
      <w:szCs w:val="20"/>
    </w:rPr>
  </w:style>
  <w:style w:type="paragraph" w:customStyle="1" w:styleId="71">
    <w:name w:val="标题 5（有编号）（绿盟科技）"/>
    <w:basedOn w:val="1"/>
    <w:next w:val="72"/>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7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73">
    <w:name w:val="文档正文"/>
    <w:basedOn w:val="1"/>
    <w:qFormat/>
    <w:uiPriority w:val="0"/>
    <w:pPr>
      <w:adjustRightInd w:val="0"/>
      <w:spacing w:line="300" w:lineRule="auto"/>
      <w:ind w:firstLine="567"/>
      <w:textAlignment w:val="baseline"/>
    </w:pPr>
    <w:rPr>
      <w:kern w:val="0"/>
      <w:sz w:val="24"/>
      <w:szCs w:val="20"/>
    </w:rPr>
  </w:style>
  <w:style w:type="paragraph" w:customStyle="1" w:styleId="74">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75">
    <w:name w:val="PI Char1"/>
    <w:qFormat/>
    <w:uiPriority w:val="0"/>
    <w:rPr>
      <w:rFonts w:ascii="仿宋_GB2312" w:eastAsia="宋体"/>
      <w:b/>
      <w:kern w:val="2"/>
      <w:sz w:val="24"/>
      <w:szCs w:val="24"/>
      <w:lang w:val="en-US" w:eastAsia="zh-CN" w:bidi="ar-SA"/>
    </w:rPr>
  </w:style>
  <w:style w:type="character" w:customStyle="1" w:styleId="76">
    <w:name w:val="不明显强调1"/>
    <w:qFormat/>
    <w:uiPriority w:val="0"/>
    <w:rPr>
      <w:i/>
      <w:iCs/>
      <w:color w:val="808080"/>
    </w:rPr>
  </w:style>
  <w:style w:type="character" w:customStyle="1" w:styleId="77">
    <w:name w:val="文档结构图 Char"/>
    <w:qFormat/>
    <w:uiPriority w:val="0"/>
    <w:rPr>
      <w:rFonts w:eastAsia="宋体"/>
      <w:kern w:val="2"/>
      <w:sz w:val="21"/>
      <w:szCs w:val="24"/>
      <w:lang w:val="en-US" w:eastAsia="zh-CN" w:bidi="ar-SA"/>
    </w:rPr>
  </w:style>
  <w:style w:type="character" w:customStyle="1" w:styleId="78">
    <w:name w:val="red1"/>
    <w:qFormat/>
    <w:uiPriority w:val="0"/>
    <w:rPr>
      <w:color w:val="FF0000"/>
      <w:szCs w:val="20"/>
    </w:rPr>
  </w:style>
  <w:style w:type="character" w:customStyle="1" w:styleId="79">
    <w:name w:val="批注框文本 字符"/>
    <w:link w:val="35"/>
    <w:qFormat/>
    <w:uiPriority w:val="0"/>
    <w:rPr>
      <w:kern w:val="2"/>
      <w:sz w:val="18"/>
      <w:szCs w:val="18"/>
    </w:rPr>
  </w:style>
  <w:style w:type="character" w:customStyle="1" w:styleId="80">
    <w:name w:val="正文缩进 Char1 Char"/>
    <w:qFormat/>
    <w:uiPriority w:val="0"/>
    <w:rPr>
      <w:rFonts w:ascii="仿宋_GB2312" w:eastAsia="宋体"/>
      <w:b/>
      <w:sz w:val="21"/>
      <w:szCs w:val="32"/>
      <w:lang w:val="en-US" w:eastAsia="zh-CN" w:bidi="ar-SA"/>
    </w:rPr>
  </w:style>
  <w:style w:type="character" w:customStyle="1" w:styleId="81">
    <w:name w:val="heading 6 Char1"/>
    <w:qFormat/>
    <w:uiPriority w:val="0"/>
    <w:rPr>
      <w:rFonts w:ascii="Arial" w:hAnsi="Arial" w:eastAsia="黑体"/>
      <w:b/>
      <w:kern w:val="2"/>
      <w:sz w:val="24"/>
      <w:szCs w:val="24"/>
      <w:lang w:val="en-US" w:eastAsia="zh-CN" w:bidi="ar-SA"/>
    </w:rPr>
  </w:style>
  <w:style w:type="character" w:customStyle="1" w:styleId="82">
    <w:name w:val="标题 2 字符"/>
    <w:link w:val="4"/>
    <w:qFormat/>
    <w:uiPriority w:val="0"/>
    <w:rPr>
      <w:rFonts w:ascii="Arial" w:hAnsi="Arial" w:eastAsia="黑体"/>
      <w:b/>
      <w:bCs/>
      <w:kern w:val="2"/>
      <w:sz w:val="32"/>
      <w:szCs w:val="32"/>
    </w:rPr>
  </w:style>
  <w:style w:type="character" w:customStyle="1" w:styleId="83">
    <w:name w:val="zbggmain style9"/>
    <w:basedOn w:val="55"/>
    <w:qFormat/>
    <w:uiPriority w:val="0"/>
  </w:style>
  <w:style w:type="character" w:customStyle="1" w:styleId="84">
    <w:name w:val="pages"/>
    <w:qFormat/>
    <w:uiPriority w:val="0"/>
    <w:rPr>
      <w:color w:val="999999"/>
      <w:szCs w:val="20"/>
    </w:rPr>
  </w:style>
  <w:style w:type="character" w:customStyle="1" w:styleId="85">
    <w:name w:val="heading 3 Char2"/>
    <w:qFormat/>
    <w:uiPriority w:val="0"/>
    <w:rPr>
      <w:rFonts w:ascii="仿宋_GB2312" w:eastAsia="仿宋_GB2312"/>
      <w:b/>
      <w:bCs/>
      <w:kern w:val="2"/>
      <w:sz w:val="32"/>
      <w:szCs w:val="32"/>
    </w:rPr>
  </w:style>
  <w:style w:type="character" w:customStyle="1" w:styleId="86">
    <w:name w:val="Char Char"/>
    <w:qFormat/>
    <w:uiPriority w:val="0"/>
    <w:rPr>
      <w:rFonts w:ascii="宋体" w:hAnsi="Courier New" w:eastAsia="宋体"/>
      <w:kern w:val="2"/>
      <w:sz w:val="21"/>
      <w:lang w:val="en-US" w:eastAsia="zh-CN" w:bidi="ar-SA"/>
    </w:rPr>
  </w:style>
  <w:style w:type="character" w:customStyle="1" w:styleId="87">
    <w:name w:val="Char Char11"/>
    <w:qFormat/>
    <w:uiPriority w:val="0"/>
    <w:rPr>
      <w:rFonts w:ascii="Times New Roman" w:hAnsi="Times New Roman" w:eastAsia="宋体" w:cs="Times New Roman"/>
      <w:sz w:val="18"/>
      <w:szCs w:val="18"/>
    </w:rPr>
  </w:style>
  <w:style w:type="character" w:customStyle="1" w:styleId="88">
    <w:name w:val="heading 2 Char1"/>
    <w:qFormat/>
    <w:uiPriority w:val="0"/>
    <w:rPr>
      <w:rFonts w:ascii="Cambria" w:hAnsi="Cambria" w:eastAsia="宋体"/>
      <w:b/>
      <w:bCs/>
      <w:kern w:val="2"/>
      <w:sz w:val="32"/>
      <w:szCs w:val="32"/>
      <w:lang w:val="en-US" w:eastAsia="zh-CN" w:bidi="ar-SA"/>
    </w:rPr>
  </w:style>
  <w:style w:type="character" w:customStyle="1" w:styleId="89">
    <w:name w:val="标题 4 Char"/>
    <w:qFormat/>
    <w:uiPriority w:val="0"/>
    <w:rPr>
      <w:rFonts w:ascii="Arial" w:hAnsi="Arial" w:eastAsia="黑体"/>
      <w:b/>
      <w:bCs/>
      <w:kern w:val="2"/>
      <w:sz w:val="28"/>
      <w:szCs w:val="28"/>
      <w:lang w:val="en-US" w:eastAsia="zh-CN" w:bidi="ar-SA"/>
    </w:rPr>
  </w:style>
  <w:style w:type="character" w:customStyle="1" w:styleId="90">
    <w:name w:val="hover15"/>
    <w:qFormat/>
    <w:uiPriority w:val="0"/>
    <w:rPr>
      <w:szCs w:val="20"/>
      <w:u w:val="single"/>
    </w:rPr>
  </w:style>
  <w:style w:type="character" w:customStyle="1" w:styleId="91">
    <w:name w:val="页脚 字符"/>
    <w:link w:val="36"/>
    <w:qFormat/>
    <w:uiPriority w:val="0"/>
    <w:rPr>
      <w:kern w:val="2"/>
      <w:sz w:val="18"/>
      <w:szCs w:val="18"/>
    </w:rPr>
  </w:style>
  <w:style w:type="character" w:customStyle="1" w:styleId="92">
    <w:name w:val="smalltxt1"/>
    <w:qFormat/>
    <w:uiPriority w:val="0"/>
    <w:rPr>
      <w:rFonts w:hint="default" w:ascii="ˎ̥" w:hAnsi="ˎ̥" w:eastAsia="仿宋_GB2312"/>
      <w:b/>
      <w:sz w:val="24"/>
      <w:szCs w:val="24"/>
    </w:rPr>
  </w:style>
  <w:style w:type="character" w:customStyle="1" w:styleId="93">
    <w:name w:val="宏文本 Char1"/>
    <w:semiHidden/>
    <w:qFormat/>
    <w:uiPriority w:val="99"/>
    <w:rPr>
      <w:rFonts w:ascii="Courier New" w:hAnsi="Courier New" w:cs="Courier New"/>
      <w:kern w:val="2"/>
      <w:sz w:val="24"/>
      <w:szCs w:val="24"/>
    </w:rPr>
  </w:style>
  <w:style w:type="character" w:customStyle="1" w:styleId="94">
    <w:name w:val="heading 5 Char2"/>
    <w:qFormat/>
    <w:uiPriority w:val="0"/>
    <w:rPr>
      <w:rFonts w:ascii="仿宋_GB2312" w:eastAsia="仿宋_GB2312"/>
      <w:b/>
      <w:bCs/>
      <w:kern w:val="2"/>
      <w:sz w:val="28"/>
      <w:szCs w:val="28"/>
    </w:rPr>
  </w:style>
  <w:style w:type="character" w:customStyle="1" w:styleId="95">
    <w:name w:val="heading 4 Char1"/>
    <w:qFormat/>
    <w:uiPriority w:val="0"/>
    <w:rPr>
      <w:rFonts w:ascii="Cambria" w:hAnsi="Cambria" w:eastAsia="宋体"/>
      <w:b/>
      <w:bCs/>
      <w:kern w:val="2"/>
      <w:sz w:val="28"/>
      <w:szCs w:val="28"/>
      <w:lang w:val="en-US" w:eastAsia="zh-CN" w:bidi="ar-SA"/>
    </w:rPr>
  </w:style>
  <w:style w:type="character" w:customStyle="1" w:styleId="96">
    <w:name w:val="Char Char1"/>
    <w:qFormat/>
    <w:uiPriority w:val="0"/>
    <w:rPr>
      <w:rFonts w:ascii="宋体" w:hAnsi="Courier New" w:eastAsia="宋体"/>
      <w:kern w:val="2"/>
      <w:sz w:val="21"/>
      <w:lang w:val="en-US" w:eastAsia="zh-CN" w:bidi="ar-SA"/>
    </w:rPr>
  </w:style>
  <w:style w:type="character" w:customStyle="1" w:styleId="97">
    <w:name w:val="heading 5 Char1"/>
    <w:qFormat/>
    <w:uiPriority w:val="0"/>
    <w:rPr>
      <w:rFonts w:ascii="仿宋_GB2312" w:eastAsia="宋体"/>
      <w:b/>
      <w:bCs/>
      <w:kern w:val="2"/>
      <w:sz w:val="28"/>
      <w:szCs w:val="28"/>
      <w:lang w:val="en-US" w:eastAsia="zh-CN" w:bidi="ar-SA"/>
    </w:rPr>
  </w:style>
  <w:style w:type="character" w:customStyle="1" w:styleId="98">
    <w:name w:val="明显引用 字符"/>
    <w:link w:val="99"/>
    <w:qFormat/>
    <w:uiPriority w:val="0"/>
    <w:rPr>
      <w:rFonts w:ascii="Calibri" w:hAnsi="Calibri"/>
      <w:b/>
      <w:bCs/>
      <w:i/>
      <w:iCs/>
      <w:color w:val="4F81BD"/>
      <w:sz w:val="32"/>
      <w:szCs w:val="32"/>
    </w:rPr>
  </w:style>
  <w:style w:type="paragraph" w:styleId="99">
    <w:name w:val="Intense Quote"/>
    <w:basedOn w:val="1"/>
    <w:next w:val="1"/>
    <w:link w:val="98"/>
    <w:qFormat/>
    <w:uiPriority w:val="0"/>
    <w:pPr>
      <w:pBdr>
        <w:bottom w:val="single" w:color="4F81BD" w:sz="4" w:space="4"/>
      </w:pBdr>
      <w:spacing w:before="200" w:after="280"/>
      <w:ind w:left="936" w:right="936"/>
    </w:pPr>
    <w:rPr>
      <w:b/>
      <w:bCs/>
      <w:i/>
      <w:iCs/>
      <w:color w:val="4F81BD"/>
      <w:kern w:val="0"/>
      <w:sz w:val="32"/>
      <w:szCs w:val="32"/>
    </w:rPr>
  </w:style>
  <w:style w:type="character" w:customStyle="1" w:styleId="100">
    <w:name w:val="正文文本 字符"/>
    <w:link w:val="21"/>
    <w:qFormat/>
    <w:uiPriority w:val="0"/>
    <w:rPr>
      <w:rFonts w:ascii="Tahoma" w:hAnsi="Tahoma"/>
      <w:kern w:val="2"/>
      <w:sz w:val="21"/>
      <w:szCs w:val="24"/>
    </w:rPr>
  </w:style>
  <w:style w:type="character" w:customStyle="1" w:styleId="101">
    <w:name w:val="无间隔 字符"/>
    <w:link w:val="102"/>
    <w:qFormat/>
    <w:uiPriority w:val="0"/>
    <w:rPr>
      <w:sz w:val="22"/>
      <w:szCs w:val="22"/>
      <w:lang w:val="en-US" w:eastAsia="zh-CN" w:bidi="ar-SA"/>
    </w:rPr>
  </w:style>
  <w:style w:type="paragraph" w:styleId="102">
    <w:name w:val="No Spacing"/>
    <w:link w:val="101"/>
    <w:qFormat/>
    <w:uiPriority w:val="0"/>
    <w:rPr>
      <w:rFonts w:ascii="Calibri" w:hAnsi="Calibri" w:eastAsia="宋体" w:cs="Times New Roman"/>
      <w:sz w:val="22"/>
      <w:szCs w:val="22"/>
      <w:lang w:val="en-US" w:eastAsia="zh-CN" w:bidi="ar-SA"/>
    </w:rPr>
  </w:style>
  <w:style w:type="character" w:customStyle="1" w:styleId="103">
    <w:name w:val="标题 1 Char"/>
    <w:qFormat/>
    <w:uiPriority w:val="0"/>
    <w:rPr>
      <w:rFonts w:eastAsia="宋体"/>
      <w:b/>
      <w:bCs/>
      <w:kern w:val="44"/>
      <w:sz w:val="44"/>
      <w:szCs w:val="44"/>
      <w:lang w:val="en-US" w:eastAsia="zh-CN" w:bidi="ar-SA"/>
    </w:rPr>
  </w:style>
  <w:style w:type="character" w:customStyle="1" w:styleId="104">
    <w:name w:val="heading 7 Char1"/>
    <w:qFormat/>
    <w:uiPriority w:val="0"/>
    <w:rPr>
      <w:rFonts w:ascii="Arial" w:hAnsi="Arial" w:eastAsia="黑体"/>
      <w:b/>
      <w:sz w:val="21"/>
      <w:szCs w:val="21"/>
      <w:lang w:val="en-US" w:eastAsia="zh-CN" w:bidi="ar-SA"/>
    </w:rPr>
  </w:style>
  <w:style w:type="character" w:customStyle="1" w:styleId="105">
    <w:name w:val="pt141"/>
    <w:qFormat/>
    <w:uiPriority w:val="0"/>
    <w:rPr>
      <w:rFonts w:ascii="仿宋_GB2312" w:eastAsia="仿宋_GB2312"/>
      <w:b/>
      <w:color w:val="330066"/>
      <w:spacing w:val="450"/>
      <w:sz w:val="22"/>
      <w:szCs w:val="22"/>
    </w:rPr>
  </w:style>
  <w:style w:type="character" w:customStyle="1" w:styleId="106">
    <w:name w:val="明显参考1"/>
    <w:qFormat/>
    <w:uiPriority w:val="0"/>
    <w:rPr>
      <w:b/>
      <w:bCs/>
      <w:smallCaps/>
      <w:color w:val="C0504D"/>
      <w:spacing w:val="5"/>
      <w:u w:val="single"/>
    </w:rPr>
  </w:style>
  <w:style w:type="character" w:customStyle="1" w:styleId="107">
    <w:name w:val="num"/>
    <w:qFormat/>
    <w:uiPriority w:val="0"/>
    <w:rPr>
      <w:b/>
      <w:color w:val="FF7800"/>
      <w:szCs w:val="20"/>
    </w:rPr>
  </w:style>
  <w:style w:type="character" w:customStyle="1" w:styleId="108">
    <w:name w:val="批注主题 字符"/>
    <w:link w:val="52"/>
    <w:qFormat/>
    <w:uiPriority w:val="0"/>
    <w:rPr>
      <w:b/>
      <w:bCs/>
      <w:kern w:val="2"/>
      <w:sz w:val="21"/>
      <w:szCs w:val="24"/>
    </w:rPr>
  </w:style>
  <w:style w:type="character" w:customStyle="1" w:styleId="109">
    <w:name w:val="标题 2 Char"/>
    <w:qFormat/>
    <w:uiPriority w:val="0"/>
    <w:rPr>
      <w:rFonts w:ascii="Arial" w:hAnsi="Arial" w:eastAsia="黑体"/>
      <w:b/>
      <w:bCs/>
      <w:kern w:val="2"/>
      <w:sz w:val="32"/>
      <w:szCs w:val="32"/>
      <w:lang w:val="en-US" w:eastAsia="zh-CN" w:bidi="ar-SA"/>
    </w:rPr>
  </w:style>
  <w:style w:type="character" w:customStyle="1" w:styleId="110">
    <w:name w:val="副标题 Char1"/>
    <w:qFormat/>
    <w:uiPriority w:val="11"/>
    <w:rPr>
      <w:rFonts w:ascii="Cambria" w:hAnsi="Cambria" w:cs="Times New Roman"/>
      <w:b/>
      <w:bCs/>
      <w:kern w:val="28"/>
      <w:sz w:val="32"/>
      <w:szCs w:val="32"/>
    </w:rPr>
  </w:style>
  <w:style w:type="character" w:customStyle="1" w:styleId="111">
    <w:name w:val="Plain Text Char"/>
    <w:qFormat/>
    <w:uiPriority w:val="0"/>
    <w:rPr>
      <w:rFonts w:ascii="宋体" w:hAnsi="Courier New" w:eastAsia="宋体" w:cs="Times New Roman"/>
      <w:sz w:val="21"/>
      <w:szCs w:val="21"/>
    </w:rPr>
  </w:style>
  <w:style w:type="character" w:customStyle="1" w:styleId="112">
    <w:name w:val="文档结构图 字符"/>
    <w:link w:val="17"/>
    <w:qFormat/>
    <w:uiPriority w:val="0"/>
    <w:rPr>
      <w:kern w:val="2"/>
      <w:sz w:val="21"/>
      <w:szCs w:val="24"/>
      <w:shd w:val="clear" w:color="auto" w:fill="000080"/>
    </w:rPr>
  </w:style>
  <w:style w:type="character" w:customStyle="1" w:styleId="113">
    <w:name w:val="heading 4 Char"/>
    <w:qFormat/>
    <w:uiPriority w:val="0"/>
    <w:rPr>
      <w:rFonts w:ascii="Arial" w:hAnsi="Arial" w:eastAsia="黑体" w:cs="Times New Roman"/>
      <w:b/>
      <w:sz w:val="21"/>
      <w:szCs w:val="21"/>
    </w:rPr>
  </w:style>
  <w:style w:type="character" w:customStyle="1" w:styleId="114">
    <w:name w:val="Char Char211"/>
    <w:qFormat/>
    <w:uiPriority w:val="0"/>
    <w:rPr>
      <w:rFonts w:ascii="Times New Roman" w:hAnsi="Times New Roman" w:eastAsia="宋体" w:cs="Times New Roman"/>
      <w:b/>
      <w:bCs/>
      <w:kern w:val="44"/>
      <w:sz w:val="44"/>
      <w:szCs w:val="44"/>
    </w:rPr>
  </w:style>
  <w:style w:type="character" w:customStyle="1" w:styleId="115">
    <w:name w:val="Char Char19"/>
    <w:qFormat/>
    <w:uiPriority w:val="0"/>
    <w:rPr>
      <w:rFonts w:ascii="Cambria" w:hAnsi="Cambria" w:eastAsia="仿宋_GB2312"/>
      <w:b/>
      <w:bCs/>
      <w:kern w:val="2"/>
      <w:sz w:val="32"/>
      <w:szCs w:val="32"/>
    </w:rPr>
  </w:style>
  <w:style w:type="character" w:customStyle="1" w:styleId="116">
    <w:name w:val="input"/>
    <w:basedOn w:val="55"/>
    <w:qFormat/>
    <w:uiPriority w:val="0"/>
  </w:style>
  <w:style w:type="character" w:customStyle="1" w:styleId="117">
    <w:name w:val="Footer-Even Char1"/>
    <w:qFormat/>
    <w:uiPriority w:val="0"/>
    <w:rPr>
      <w:rFonts w:ascii="仿宋_GB2312" w:eastAsia="宋体"/>
      <w:b/>
      <w:kern w:val="2"/>
      <w:sz w:val="18"/>
      <w:szCs w:val="18"/>
      <w:lang w:val="en-US" w:eastAsia="zh-CN" w:bidi="ar-SA"/>
    </w:rPr>
  </w:style>
  <w:style w:type="character" w:customStyle="1" w:styleId="118">
    <w:name w:val="Char Char22"/>
    <w:qFormat/>
    <w:uiPriority w:val="0"/>
    <w:rPr>
      <w:rFonts w:ascii="Arial" w:hAnsi="Arial" w:eastAsia="黑体"/>
      <w:b/>
      <w:bCs/>
      <w:kern w:val="44"/>
      <w:sz w:val="30"/>
      <w:szCs w:val="44"/>
      <w:lang w:val="en-US" w:eastAsia="zh-CN" w:bidi="ar-SA"/>
    </w:rPr>
  </w:style>
  <w:style w:type="character" w:customStyle="1" w:styleId="119">
    <w:name w:val="标题 3 字符"/>
    <w:link w:val="5"/>
    <w:qFormat/>
    <w:uiPriority w:val="0"/>
    <w:rPr>
      <w:b/>
      <w:bCs/>
      <w:kern w:val="2"/>
      <w:sz w:val="32"/>
      <w:szCs w:val="32"/>
    </w:rPr>
  </w:style>
  <w:style w:type="character" w:customStyle="1" w:styleId="120">
    <w:name w:val="Style3"/>
    <w:qFormat/>
    <w:uiPriority w:val="0"/>
    <w:rPr>
      <w:rFonts w:ascii="Calibri" w:hAnsi="宋体" w:eastAsia="宋体" w:cs="Times New Roman"/>
      <w:szCs w:val="22"/>
      <w:lang w:eastAsia="zh-CN"/>
    </w:rPr>
  </w:style>
  <w:style w:type="character" w:customStyle="1" w:styleId="121">
    <w:name w:val="Char Char20"/>
    <w:qFormat/>
    <w:uiPriority w:val="0"/>
    <w:rPr>
      <w:rFonts w:ascii="仿宋_GB2312" w:eastAsia="仿宋_GB2312"/>
      <w:b/>
      <w:bCs/>
      <w:kern w:val="44"/>
      <w:sz w:val="44"/>
      <w:szCs w:val="44"/>
    </w:rPr>
  </w:style>
  <w:style w:type="character" w:customStyle="1" w:styleId="122">
    <w:name w:val="表正文 Char2"/>
    <w:qFormat/>
    <w:uiPriority w:val="0"/>
    <w:rPr>
      <w:rFonts w:ascii="Times New Roman" w:hAnsi="Times New Roman" w:eastAsia="宋体" w:cs="Times New Roman"/>
      <w:szCs w:val="24"/>
    </w:rPr>
  </w:style>
  <w:style w:type="character" w:customStyle="1" w:styleId="123">
    <w:name w:val="批注文字 Char"/>
    <w:qFormat/>
    <w:uiPriority w:val="99"/>
    <w:rPr>
      <w:rFonts w:eastAsia="宋体"/>
      <w:kern w:val="2"/>
      <w:sz w:val="21"/>
      <w:szCs w:val="24"/>
      <w:lang w:val="en-US" w:eastAsia="zh-CN" w:bidi="ar-SA"/>
    </w:rPr>
  </w:style>
  <w:style w:type="character" w:customStyle="1" w:styleId="124">
    <w:name w:val="heading 1 Char"/>
    <w:qFormat/>
    <w:uiPriority w:val="0"/>
    <w:rPr>
      <w:rFonts w:ascii="Arial" w:hAnsi="Arial" w:eastAsia="黑体"/>
      <w:b/>
      <w:sz w:val="36"/>
      <w:szCs w:val="36"/>
    </w:rPr>
  </w:style>
  <w:style w:type="character" w:customStyle="1" w:styleId="125">
    <w:name w:val="Ò³Ã¼ Char Char1"/>
    <w:qFormat/>
    <w:uiPriority w:val="0"/>
    <w:rPr>
      <w:rFonts w:ascii="仿宋_GB2312" w:eastAsia="宋体"/>
      <w:b/>
      <w:kern w:val="2"/>
      <w:sz w:val="18"/>
      <w:szCs w:val="18"/>
      <w:lang w:val="en-US" w:eastAsia="zh-CN" w:bidi="ar-SA"/>
    </w:rPr>
  </w:style>
  <w:style w:type="character" w:customStyle="1" w:styleId="126">
    <w:name w:val="引用 字符"/>
    <w:link w:val="127"/>
    <w:qFormat/>
    <w:uiPriority w:val="0"/>
    <w:rPr>
      <w:rFonts w:ascii="Calibri" w:hAnsi="Calibri"/>
      <w:b/>
      <w:i/>
      <w:iCs/>
      <w:color w:val="000000"/>
      <w:sz w:val="32"/>
      <w:szCs w:val="32"/>
    </w:rPr>
  </w:style>
  <w:style w:type="paragraph" w:styleId="127">
    <w:name w:val="Quote"/>
    <w:basedOn w:val="1"/>
    <w:next w:val="1"/>
    <w:link w:val="126"/>
    <w:qFormat/>
    <w:uiPriority w:val="0"/>
    <w:rPr>
      <w:b/>
      <w:i/>
      <w:iCs/>
      <w:color w:val="000000"/>
      <w:kern w:val="0"/>
      <w:sz w:val="32"/>
      <w:szCs w:val="32"/>
    </w:rPr>
  </w:style>
  <w:style w:type="character" w:customStyle="1" w:styleId="128">
    <w:name w:val="heading 4 Char2"/>
    <w:qFormat/>
    <w:uiPriority w:val="0"/>
    <w:rPr>
      <w:rFonts w:ascii="Cambria" w:hAnsi="Cambria" w:eastAsia="仿宋_GB2312"/>
      <w:b/>
      <w:bCs/>
      <w:kern w:val="2"/>
      <w:sz w:val="28"/>
      <w:szCs w:val="28"/>
    </w:rPr>
  </w:style>
  <w:style w:type="character" w:customStyle="1" w:styleId="129">
    <w:name w:val="标题 9 字符"/>
    <w:link w:val="11"/>
    <w:qFormat/>
    <w:uiPriority w:val="0"/>
    <w:rPr>
      <w:rFonts w:ascii="Arial" w:hAnsi="Arial" w:eastAsia="黑体"/>
      <w:b/>
      <w:sz w:val="21"/>
      <w:szCs w:val="32"/>
    </w:rPr>
  </w:style>
  <w:style w:type="character" w:customStyle="1" w:styleId="130">
    <w:name w:val="纯文本 Char"/>
    <w:qFormat/>
    <w:uiPriority w:val="0"/>
    <w:rPr>
      <w:rFonts w:ascii="仿宋_GB2312" w:hAnsi="Wingdings" w:eastAsia="仿宋_GB2312"/>
      <w:sz w:val="21"/>
      <w:szCs w:val="21"/>
      <w:lang w:val="en-US" w:eastAsia="zh-CN" w:bidi="ar-SA"/>
    </w:rPr>
  </w:style>
  <w:style w:type="character" w:customStyle="1" w:styleId="131">
    <w:name w:val="正文缩进 字符"/>
    <w:link w:val="14"/>
    <w:qFormat/>
    <w:uiPriority w:val="0"/>
    <w:rPr>
      <w:rFonts w:eastAsia="宋体"/>
      <w:sz w:val="21"/>
      <w:lang w:val="en-US" w:eastAsia="zh-CN" w:bidi="ar-SA"/>
    </w:rPr>
  </w:style>
  <w:style w:type="character" w:customStyle="1" w:styleId="132">
    <w:name w:val="heading 2 Char"/>
    <w:qFormat/>
    <w:uiPriority w:val="0"/>
    <w:rPr>
      <w:rFonts w:ascii="Arial" w:hAnsi="Arial" w:eastAsia="黑体" w:cs="Times New Roman"/>
      <w:b/>
      <w:sz w:val="30"/>
      <w:szCs w:val="24"/>
    </w:rPr>
  </w:style>
  <w:style w:type="character" w:customStyle="1" w:styleId="133">
    <w:name w:val="Table Text Char Char"/>
    <w:link w:val="134"/>
    <w:qFormat/>
    <w:uiPriority w:val="0"/>
    <w:rPr>
      <w:sz w:val="24"/>
    </w:rPr>
  </w:style>
  <w:style w:type="paragraph" w:customStyle="1" w:styleId="134">
    <w:name w:val="Table Text"/>
    <w:basedOn w:val="1"/>
    <w:link w:val="133"/>
    <w:qFormat/>
    <w:uiPriority w:val="0"/>
    <w:pPr>
      <w:widowControl/>
      <w:autoSpaceDE w:val="0"/>
      <w:autoSpaceDN w:val="0"/>
      <w:adjustRightInd w:val="0"/>
      <w:spacing w:before="60" w:after="60"/>
      <w:jc w:val="left"/>
    </w:pPr>
    <w:rPr>
      <w:kern w:val="0"/>
      <w:sz w:val="24"/>
      <w:szCs w:val="20"/>
    </w:rPr>
  </w:style>
  <w:style w:type="character" w:customStyle="1" w:styleId="135">
    <w:name w:val="heading 3 Char1"/>
    <w:qFormat/>
    <w:uiPriority w:val="0"/>
    <w:rPr>
      <w:rFonts w:ascii="仿宋_GB2312" w:eastAsia="宋体"/>
      <w:b/>
      <w:bCs/>
      <w:kern w:val="2"/>
      <w:sz w:val="32"/>
      <w:szCs w:val="32"/>
      <w:lang w:val="en-US" w:eastAsia="zh-CN" w:bidi="ar-SA"/>
    </w:rPr>
  </w:style>
  <w:style w:type="character" w:customStyle="1" w:styleId="136">
    <w:name w:val="font31"/>
    <w:qFormat/>
    <w:uiPriority w:val="0"/>
    <w:rPr>
      <w:rFonts w:hint="eastAsia" w:ascii="宋体" w:hAnsi="宋体" w:eastAsia="宋体" w:cs="宋体"/>
      <w:color w:val="000000"/>
      <w:sz w:val="20"/>
      <w:szCs w:val="20"/>
      <w:u w:val="none"/>
    </w:rPr>
  </w:style>
  <w:style w:type="character" w:customStyle="1" w:styleId="137">
    <w:name w:val="Char Char17"/>
    <w:qFormat/>
    <w:uiPriority w:val="0"/>
    <w:rPr>
      <w:rFonts w:ascii="Cambria" w:hAnsi="Cambria" w:eastAsia="仿宋_GB2312"/>
      <w:b/>
      <w:bCs/>
      <w:kern w:val="2"/>
      <w:sz w:val="28"/>
      <w:szCs w:val="28"/>
    </w:rPr>
  </w:style>
  <w:style w:type="character" w:customStyle="1" w:styleId="138">
    <w:name w:val="日期 字符"/>
    <w:link w:val="33"/>
    <w:qFormat/>
    <w:uiPriority w:val="0"/>
    <w:rPr>
      <w:spacing w:val="12"/>
      <w:kern w:val="2"/>
      <w:sz w:val="24"/>
    </w:rPr>
  </w:style>
  <w:style w:type="character" w:customStyle="1" w:styleId="139">
    <w:name w:val="Char Char16"/>
    <w:qFormat/>
    <w:uiPriority w:val="0"/>
    <w:rPr>
      <w:rFonts w:ascii="仿宋_GB2312" w:eastAsia="仿宋_GB2312"/>
      <w:b/>
      <w:bCs/>
      <w:kern w:val="2"/>
      <w:sz w:val="28"/>
      <w:szCs w:val="28"/>
    </w:rPr>
  </w:style>
  <w:style w:type="character" w:customStyle="1" w:styleId="140">
    <w:name w:val="me04"/>
    <w:qFormat/>
    <w:uiPriority w:val="0"/>
    <w:rPr>
      <w:rFonts w:ascii="仿宋_GB2312" w:hAnsi="Tahoma" w:eastAsia="仿宋_GB2312"/>
      <w:b/>
      <w:sz w:val="32"/>
      <w:szCs w:val="32"/>
    </w:rPr>
  </w:style>
  <w:style w:type="character" w:customStyle="1" w:styleId="141">
    <w:name w:val="明显引用 Char1"/>
    <w:qFormat/>
    <w:uiPriority w:val="99"/>
    <w:rPr>
      <w:rFonts w:ascii="Tahoma" w:hAnsi="Tahoma"/>
      <w:b/>
      <w:bCs/>
      <w:i/>
      <w:iCs/>
      <w:color w:val="4F81BD"/>
      <w:kern w:val="2"/>
      <w:sz w:val="21"/>
      <w:szCs w:val="24"/>
    </w:rPr>
  </w:style>
  <w:style w:type="character" w:customStyle="1" w:styleId="142">
    <w:name w:val="页眉 Char"/>
    <w:qFormat/>
    <w:uiPriority w:val="0"/>
    <w:rPr>
      <w:rFonts w:eastAsia="仿宋_GB2312"/>
      <w:kern w:val="2"/>
      <w:sz w:val="18"/>
      <w:szCs w:val="18"/>
      <w:lang w:val="en-US" w:eastAsia="zh-CN" w:bidi="ar-SA"/>
    </w:rPr>
  </w:style>
  <w:style w:type="character" w:customStyle="1" w:styleId="143">
    <w:name w:val="red"/>
    <w:qFormat/>
    <w:uiPriority w:val="0"/>
    <w:rPr>
      <w:color w:val="FF0000"/>
      <w:szCs w:val="20"/>
    </w:rPr>
  </w:style>
  <w:style w:type="character" w:customStyle="1" w:styleId="144">
    <w:name w:val="正文1 Char Char"/>
    <w:link w:val="145"/>
    <w:qFormat/>
    <w:uiPriority w:val="0"/>
    <w:rPr>
      <w:rFonts w:ascii="宋体" w:hAnsi="宋体" w:cs="宋体"/>
      <w:b/>
      <w:sz w:val="21"/>
      <w:szCs w:val="32"/>
    </w:rPr>
  </w:style>
  <w:style w:type="paragraph" w:customStyle="1" w:styleId="145">
    <w:name w:val="正文1"/>
    <w:basedOn w:val="1"/>
    <w:link w:val="144"/>
    <w:qFormat/>
    <w:uiPriority w:val="0"/>
    <w:pPr>
      <w:widowControl/>
      <w:spacing w:line="360" w:lineRule="auto"/>
      <w:ind w:left="360" w:firstLine="420"/>
      <w:jc w:val="left"/>
    </w:pPr>
    <w:rPr>
      <w:rFonts w:ascii="宋体" w:hAnsi="宋体"/>
      <w:b/>
      <w:kern w:val="0"/>
      <w:szCs w:val="32"/>
    </w:rPr>
  </w:style>
  <w:style w:type="character" w:customStyle="1" w:styleId="146">
    <w:name w:val="heading 1 Char2"/>
    <w:qFormat/>
    <w:uiPriority w:val="0"/>
    <w:rPr>
      <w:rFonts w:ascii="仿宋_GB2312" w:eastAsia="仿宋_GB2312"/>
      <w:b/>
      <w:bCs/>
      <w:kern w:val="44"/>
      <w:sz w:val="44"/>
      <w:szCs w:val="44"/>
    </w:rPr>
  </w:style>
  <w:style w:type="character" w:customStyle="1" w:styleId="147">
    <w:name w:val="font21"/>
    <w:qFormat/>
    <w:uiPriority w:val="0"/>
    <w:rPr>
      <w:rFonts w:hint="default" w:ascii="Times New Roman" w:hAnsi="Times New Roman" w:cs="Times New Roman"/>
      <w:color w:val="000000"/>
      <w:sz w:val="20"/>
      <w:szCs w:val="20"/>
      <w:u w:val="none"/>
    </w:rPr>
  </w:style>
  <w:style w:type="character" w:customStyle="1" w:styleId="148">
    <w:name w:val="Char Char Char1"/>
    <w:qFormat/>
    <w:uiPriority w:val="0"/>
    <w:rPr>
      <w:rFonts w:ascii="宋体" w:hAnsi="Courier New" w:eastAsia="仿宋_GB2312"/>
      <w:b/>
      <w:sz w:val="21"/>
      <w:szCs w:val="21"/>
    </w:rPr>
  </w:style>
  <w:style w:type="character" w:customStyle="1" w:styleId="149">
    <w:name w:val="页脚 Char"/>
    <w:qFormat/>
    <w:uiPriority w:val="0"/>
    <w:rPr>
      <w:rFonts w:eastAsia="仿宋_GB2312"/>
      <w:kern w:val="2"/>
      <w:sz w:val="18"/>
      <w:szCs w:val="18"/>
      <w:lang w:val="en-US" w:eastAsia="zh-CN" w:bidi="ar-SA"/>
    </w:rPr>
  </w:style>
  <w:style w:type="character" w:customStyle="1" w:styleId="150">
    <w:name w:val="正文首行缩进 Char"/>
    <w:qFormat/>
    <w:uiPriority w:val="0"/>
    <w:rPr>
      <w:rFonts w:ascii="仿宋_GB2312" w:eastAsia="宋体"/>
      <w:kern w:val="2"/>
      <w:sz w:val="21"/>
      <w:szCs w:val="24"/>
      <w:lang w:val="en-US" w:eastAsia="zh-CN" w:bidi="ar-SA"/>
    </w:rPr>
  </w:style>
  <w:style w:type="character" w:customStyle="1" w:styleId="151">
    <w:name w:val="正文文本 Char"/>
    <w:qFormat/>
    <w:uiPriority w:val="0"/>
    <w:rPr>
      <w:rFonts w:ascii="仿宋_GB2312" w:eastAsia="宋体"/>
      <w:b/>
      <w:kern w:val="2"/>
      <w:sz w:val="21"/>
      <w:szCs w:val="24"/>
      <w:lang w:val="en-US" w:eastAsia="zh-CN" w:bidi="ar-SA"/>
    </w:rPr>
  </w:style>
  <w:style w:type="character" w:customStyle="1" w:styleId="152">
    <w:name w:val="Char Char201"/>
    <w:qFormat/>
    <w:uiPriority w:val="0"/>
    <w:rPr>
      <w:rFonts w:ascii="Cambria" w:hAnsi="Cambria" w:eastAsia="宋体" w:cs="Times New Roman"/>
      <w:b/>
      <w:bCs/>
      <w:sz w:val="32"/>
      <w:szCs w:val="32"/>
    </w:rPr>
  </w:style>
  <w:style w:type="character" w:customStyle="1" w:styleId="153">
    <w:name w:val="font01"/>
    <w:qFormat/>
    <w:uiPriority w:val="0"/>
    <w:rPr>
      <w:rFonts w:hint="eastAsia" w:ascii="宋体" w:hAnsi="宋体" w:eastAsia="宋体" w:cs="宋体"/>
      <w:color w:val="000000"/>
      <w:sz w:val="22"/>
      <w:szCs w:val="22"/>
      <w:u w:val="none"/>
    </w:rPr>
  </w:style>
  <w:style w:type="character" w:customStyle="1" w:styleId="154">
    <w:name w:val="样式2 Char Char"/>
    <w:link w:val="155"/>
    <w:qFormat/>
    <w:uiPriority w:val="0"/>
    <w:rPr>
      <w:rFonts w:ascii="宋体" w:hAnsi="宋体"/>
      <w:b/>
      <w:bCs/>
      <w:kern w:val="2"/>
      <w:sz w:val="28"/>
      <w:szCs w:val="28"/>
    </w:rPr>
  </w:style>
  <w:style w:type="paragraph" w:customStyle="1" w:styleId="155">
    <w:name w:val="样式2"/>
    <w:basedOn w:val="4"/>
    <w:link w:val="154"/>
    <w:qFormat/>
    <w:uiPriority w:val="0"/>
    <w:pPr>
      <w:snapToGrid w:val="0"/>
      <w:spacing w:afterLines="50" w:line="480" w:lineRule="exact"/>
      <w:ind w:firstLine="556"/>
    </w:pPr>
    <w:rPr>
      <w:rFonts w:ascii="宋体" w:hAnsi="宋体" w:eastAsia="宋体"/>
      <w:sz w:val="28"/>
      <w:szCs w:val="28"/>
    </w:rPr>
  </w:style>
  <w:style w:type="character" w:customStyle="1" w:styleId="156">
    <w:name w:val="heading 2 Char2"/>
    <w:qFormat/>
    <w:uiPriority w:val="0"/>
    <w:rPr>
      <w:rFonts w:ascii="Cambria" w:hAnsi="Cambria" w:eastAsia="仿宋_GB2312"/>
      <w:b/>
      <w:bCs/>
      <w:kern w:val="2"/>
      <w:sz w:val="32"/>
      <w:szCs w:val="32"/>
    </w:rPr>
  </w:style>
  <w:style w:type="character" w:customStyle="1" w:styleId="157">
    <w:name w:val="Texte Char Char"/>
    <w:qFormat/>
    <w:uiPriority w:val="0"/>
    <w:rPr>
      <w:rFonts w:ascii="宋体" w:hAnsi="Courier New" w:eastAsia="宋体"/>
      <w:b/>
      <w:sz w:val="21"/>
      <w:szCs w:val="21"/>
      <w:lang w:val="en-US" w:eastAsia="zh-CN" w:bidi="ar-SA"/>
    </w:rPr>
  </w:style>
  <w:style w:type="character" w:customStyle="1" w:styleId="158">
    <w:name w:val="引用 Char1"/>
    <w:qFormat/>
    <w:uiPriority w:val="99"/>
    <w:rPr>
      <w:rFonts w:ascii="Tahoma" w:hAnsi="Tahoma"/>
      <w:i/>
      <w:iCs/>
      <w:color w:val="000000"/>
      <w:kern w:val="2"/>
      <w:sz w:val="21"/>
      <w:szCs w:val="24"/>
    </w:rPr>
  </w:style>
  <w:style w:type="character" w:customStyle="1" w:styleId="159">
    <w:name w:val="authcode"/>
    <w:basedOn w:val="55"/>
    <w:qFormat/>
    <w:uiPriority w:val="0"/>
  </w:style>
  <w:style w:type="character" w:customStyle="1" w:styleId="160">
    <w:name w:val="正文文本 2 字符"/>
    <w:basedOn w:val="55"/>
    <w:link w:val="47"/>
    <w:qFormat/>
    <w:uiPriority w:val="0"/>
  </w:style>
  <w:style w:type="character" w:customStyle="1" w:styleId="161">
    <w:name w:val="fr"/>
    <w:basedOn w:val="55"/>
    <w:qFormat/>
    <w:uiPriority w:val="0"/>
  </w:style>
  <w:style w:type="character" w:customStyle="1" w:styleId="162">
    <w:name w:val="gray6"/>
    <w:qFormat/>
    <w:uiPriority w:val="0"/>
    <w:rPr>
      <w:rFonts w:ascii="仿宋_GB2312" w:hAnsi="Tahoma" w:eastAsia="仿宋_GB2312"/>
      <w:b/>
      <w:sz w:val="32"/>
      <w:szCs w:val="32"/>
    </w:rPr>
  </w:style>
  <w:style w:type="character" w:customStyle="1" w:styleId="163">
    <w:name w:val="heading 3 Char"/>
    <w:qFormat/>
    <w:uiPriority w:val="0"/>
    <w:rPr>
      <w:rFonts w:ascii="Arial" w:hAnsi="Arial" w:eastAsia="黑体"/>
      <w:b/>
      <w:sz w:val="28"/>
      <w:szCs w:val="24"/>
    </w:rPr>
  </w:style>
  <w:style w:type="character" w:customStyle="1" w:styleId="164">
    <w:name w:val="不明显参考1"/>
    <w:qFormat/>
    <w:uiPriority w:val="0"/>
    <w:rPr>
      <w:smallCaps/>
      <w:color w:val="C0504D"/>
      <w:u w:val="single"/>
    </w:rPr>
  </w:style>
  <w:style w:type="character" w:customStyle="1" w:styleId="165">
    <w:name w:val="正文缩进 Char"/>
    <w:qFormat/>
    <w:uiPriority w:val="0"/>
    <w:rPr>
      <w:rFonts w:eastAsia="仿宋_GB2312"/>
      <w:sz w:val="21"/>
      <w:lang w:val="en-US" w:eastAsia="zh-CN" w:bidi="ar-SA"/>
    </w:rPr>
  </w:style>
  <w:style w:type="character" w:customStyle="1" w:styleId="166">
    <w:name w:val="签名 字符"/>
    <w:link w:val="38"/>
    <w:qFormat/>
    <w:uiPriority w:val="0"/>
    <w:rPr>
      <w:rFonts w:ascii="Tahoma" w:hAnsi="Tahoma" w:eastAsia="仿宋_GB2312"/>
      <w:sz w:val="24"/>
      <w:szCs w:val="20"/>
    </w:rPr>
  </w:style>
  <w:style w:type="character" w:customStyle="1" w:styleId="167">
    <w:name w:val="正文文本缩进 3 字符"/>
    <w:link w:val="44"/>
    <w:qFormat/>
    <w:uiPriority w:val="0"/>
    <w:rPr>
      <w:kern w:val="2"/>
      <w:sz w:val="16"/>
      <w:szCs w:val="16"/>
    </w:rPr>
  </w:style>
  <w:style w:type="character" w:customStyle="1" w:styleId="168">
    <w:name w:val="style41"/>
    <w:qFormat/>
    <w:uiPriority w:val="0"/>
    <w:rPr>
      <w:rFonts w:ascii="仿宋_GB2312" w:eastAsia="仿宋_GB2312"/>
      <w:b/>
      <w:color w:val="auto"/>
      <w:sz w:val="32"/>
      <w:szCs w:val="32"/>
    </w:rPr>
  </w:style>
  <w:style w:type="character" w:customStyle="1" w:styleId="169">
    <w:name w:val="dandyren_title1"/>
    <w:qFormat/>
    <w:uiPriority w:val="0"/>
    <w:rPr>
      <w:rFonts w:ascii="仿宋_GB2312" w:eastAsia="仿宋_GB2312"/>
      <w:b/>
      <w:bCs/>
      <w:color w:val="FF6633"/>
      <w:sz w:val="18"/>
      <w:szCs w:val="18"/>
    </w:rPr>
  </w:style>
  <w:style w:type="character" w:customStyle="1" w:styleId="170">
    <w:name w:val="标题 字符"/>
    <w:link w:val="51"/>
    <w:qFormat/>
    <w:uiPriority w:val="0"/>
    <w:rPr>
      <w:rFonts w:ascii="Cambria" w:hAnsi="Cambria"/>
      <w:b/>
      <w:bCs/>
      <w:sz w:val="32"/>
      <w:szCs w:val="32"/>
    </w:rPr>
  </w:style>
  <w:style w:type="character" w:customStyle="1" w:styleId="171">
    <w:name w:val="Char Char18"/>
    <w:qFormat/>
    <w:uiPriority w:val="0"/>
    <w:rPr>
      <w:rFonts w:ascii="仿宋_GB2312" w:eastAsia="仿宋_GB2312"/>
      <w:b/>
      <w:bCs/>
      <w:kern w:val="2"/>
      <w:sz w:val="32"/>
      <w:szCs w:val="32"/>
    </w:rPr>
  </w:style>
  <w:style w:type="character" w:customStyle="1" w:styleId="172">
    <w:name w:val="样式 正文文本 Char Char Char"/>
    <w:qFormat/>
    <w:uiPriority w:val="0"/>
    <w:rPr>
      <w:rFonts w:ascii="Arial" w:hAnsi="Arial" w:eastAsia="宋体"/>
      <w:color w:val="000000"/>
      <w:kern w:val="2"/>
      <w:sz w:val="21"/>
      <w:lang w:val="en-US" w:eastAsia="zh-CN" w:bidi="ar-SA"/>
    </w:rPr>
  </w:style>
  <w:style w:type="character" w:customStyle="1" w:styleId="173">
    <w:name w:val="Char Char2"/>
    <w:qFormat/>
    <w:uiPriority w:val="0"/>
    <w:rPr>
      <w:rFonts w:ascii="Arial" w:hAnsi="Arial" w:eastAsia="黑体"/>
      <w:b/>
      <w:bCs/>
      <w:kern w:val="44"/>
      <w:sz w:val="30"/>
      <w:szCs w:val="44"/>
      <w:lang w:val="en-US" w:eastAsia="zh-CN" w:bidi="ar-SA"/>
    </w:rPr>
  </w:style>
  <w:style w:type="character" w:customStyle="1" w:styleId="174">
    <w:name w:val="PI Char2"/>
    <w:qFormat/>
    <w:uiPriority w:val="0"/>
    <w:rPr>
      <w:rFonts w:ascii="仿宋_GB2312" w:eastAsia="仿宋_GB2312"/>
      <w:b/>
      <w:kern w:val="2"/>
      <w:sz w:val="24"/>
      <w:szCs w:val="24"/>
    </w:rPr>
  </w:style>
  <w:style w:type="character" w:customStyle="1" w:styleId="175">
    <w:name w:val="Ò³Ã¼ Char Char2"/>
    <w:qFormat/>
    <w:uiPriority w:val="0"/>
    <w:rPr>
      <w:rFonts w:ascii="仿宋_GB2312" w:eastAsia="仿宋_GB2312"/>
      <w:b/>
      <w:kern w:val="2"/>
      <w:sz w:val="18"/>
      <w:szCs w:val="18"/>
    </w:rPr>
  </w:style>
  <w:style w:type="character" w:customStyle="1" w:styleId="176">
    <w:name w:val="纯文本 字符"/>
    <w:link w:val="30"/>
    <w:qFormat/>
    <w:uiPriority w:val="0"/>
    <w:rPr>
      <w:rFonts w:ascii="宋体" w:hAnsi="Courier New" w:eastAsia="宋体"/>
      <w:kern w:val="2"/>
      <w:sz w:val="21"/>
      <w:lang w:val="en-US" w:eastAsia="zh-CN" w:bidi="ar-SA"/>
    </w:rPr>
  </w:style>
  <w:style w:type="character" w:customStyle="1" w:styleId="177">
    <w:name w:val="标题 1 字符"/>
    <w:link w:val="2"/>
    <w:qFormat/>
    <w:uiPriority w:val="0"/>
    <w:rPr>
      <w:rFonts w:ascii="楷体_GB2312" w:hAnsi="Tahoma" w:eastAsia="楷体_GB2312"/>
      <w:b/>
      <w:bCs/>
      <w:kern w:val="2"/>
      <w:sz w:val="21"/>
      <w:szCs w:val="24"/>
    </w:rPr>
  </w:style>
  <w:style w:type="character" w:customStyle="1" w:styleId="178">
    <w:name w:val="正文文本 3 字符"/>
    <w:basedOn w:val="55"/>
    <w:link w:val="20"/>
    <w:qFormat/>
    <w:uiPriority w:val="0"/>
  </w:style>
  <w:style w:type="character" w:customStyle="1" w:styleId="179">
    <w:name w:val="样式 正文文本 Char Char"/>
    <w:link w:val="180"/>
    <w:qFormat/>
    <w:uiPriority w:val="0"/>
    <w:rPr>
      <w:rFonts w:ascii="Arial" w:hAnsi="Arial" w:cs="宋体"/>
      <w:color w:val="000000"/>
      <w:kern w:val="2"/>
      <w:sz w:val="21"/>
    </w:rPr>
  </w:style>
  <w:style w:type="paragraph" w:customStyle="1" w:styleId="180">
    <w:name w:val="样式 正文文本"/>
    <w:basedOn w:val="1"/>
    <w:link w:val="179"/>
    <w:qFormat/>
    <w:uiPriority w:val="0"/>
    <w:pPr>
      <w:adjustRightInd w:val="0"/>
      <w:snapToGrid w:val="0"/>
      <w:spacing w:line="400" w:lineRule="exact"/>
      <w:ind w:firstLine="200" w:firstLineChars="200"/>
    </w:pPr>
    <w:rPr>
      <w:rFonts w:ascii="Arial" w:hAnsi="Arial"/>
      <w:color w:val="000000"/>
      <w:szCs w:val="20"/>
    </w:rPr>
  </w:style>
  <w:style w:type="character" w:customStyle="1" w:styleId="181">
    <w:name w:val="Char1"/>
    <w:qFormat/>
    <w:uiPriority w:val="0"/>
    <w:rPr>
      <w:rFonts w:ascii="宋体" w:hAnsi="宋体" w:eastAsia="宋体"/>
      <w:b/>
      <w:kern w:val="2"/>
      <w:sz w:val="24"/>
      <w:szCs w:val="24"/>
      <w:lang w:val="en-US" w:eastAsia="zh-CN" w:bidi="ar-SA"/>
    </w:rPr>
  </w:style>
  <w:style w:type="character" w:customStyle="1" w:styleId="182">
    <w:name w:val="Char Char6"/>
    <w:qFormat/>
    <w:uiPriority w:val="0"/>
    <w:rPr>
      <w:rFonts w:ascii="Times New Roman" w:hAnsi="Times New Roman" w:eastAsia="宋体" w:cs="Times New Roman"/>
      <w:szCs w:val="24"/>
    </w:rPr>
  </w:style>
  <w:style w:type="character" w:customStyle="1" w:styleId="183">
    <w:name w:val="Footer-Even Char"/>
    <w:qFormat/>
    <w:uiPriority w:val="0"/>
    <w:rPr>
      <w:rFonts w:ascii="仿宋_GB2312" w:eastAsia="仿宋_GB2312"/>
      <w:b/>
      <w:sz w:val="18"/>
      <w:szCs w:val="18"/>
    </w:rPr>
  </w:style>
  <w:style w:type="character" w:customStyle="1" w:styleId="184">
    <w:name w:val="heading 8 Char1"/>
    <w:qFormat/>
    <w:uiPriority w:val="0"/>
    <w:rPr>
      <w:rFonts w:ascii="Arial" w:hAnsi="Arial" w:eastAsia="黑体"/>
      <w:b/>
      <w:sz w:val="24"/>
      <w:szCs w:val="32"/>
      <w:lang w:val="en-US" w:eastAsia="zh-CN" w:bidi="ar-SA"/>
    </w:rPr>
  </w:style>
  <w:style w:type="character" w:customStyle="1" w:styleId="185">
    <w:name w:val="Char Char21"/>
    <w:qFormat/>
    <w:uiPriority w:val="0"/>
    <w:rPr>
      <w:rFonts w:ascii="Times New Roman" w:hAnsi="Times New Roman" w:eastAsia="宋体" w:cs="Times New Roman"/>
      <w:b/>
      <w:bCs/>
      <w:kern w:val="44"/>
      <w:sz w:val="44"/>
      <w:szCs w:val="44"/>
    </w:rPr>
  </w:style>
  <w:style w:type="character" w:customStyle="1" w:styleId="186">
    <w:name w:val="doc"/>
    <w:basedOn w:val="55"/>
    <w:qFormat/>
    <w:uiPriority w:val="0"/>
  </w:style>
  <w:style w:type="character" w:customStyle="1" w:styleId="187">
    <w:name w:val="标题 3 Char"/>
    <w:qFormat/>
    <w:uiPriority w:val="0"/>
    <w:rPr>
      <w:rFonts w:ascii="黑体" w:hAnsi="宋体" w:eastAsia="黑体"/>
      <w:bCs/>
      <w:kern w:val="2"/>
      <w:sz w:val="28"/>
      <w:szCs w:val="28"/>
      <w:lang w:val="en-US" w:eastAsia="zh-CN" w:bidi="ar-SA"/>
    </w:rPr>
  </w:style>
  <w:style w:type="character" w:customStyle="1" w:styleId="188">
    <w:name w:val="宏文本 字符"/>
    <w:link w:val="3"/>
    <w:qFormat/>
    <w:uiPriority w:val="99"/>
    <w:rPr>
      <w:rFonts w:ascii="Courier New" w:hAnsi="Courier New"/>
      <w:kern w:val="2"/>
      <w:sz w:val="24"/>
      <w:szCs w:val="24"/>
      <w:lang w:val="en-US" w:eastAsia="zh-CN" w:bidi="ar-SA"/>
    </w:rPr>
  </w:style>
  <w:style w:type="character" w:customStyle="1" w:styleId="189">
    <w:name w:val="A3"/>
    <w:qFormat/>
    <w:uiPriority w:val="0"/>
    <w:rPr>
      <w:rFonts w:ascii="ZapfDingbatsNr2EFOP-Regular" w:eastAsia="ZapfDingbatsNr2EFOP-Regular" w:cs="ZapfDingbatsNr2EFOP-Regular"/>
      <w:color w:val="211D1E"/>
      <w:sz w:val="14"/>
      <w:szCs w:val="14"/>
    </w:rPr>
  </w:style>
  <w:style w:type="character" w:customStyle="1" w:styleId="190">
    <w:name w:val="Char Char111"/>
    <w:qFormat/>
    <w:uiPriority w:val="0"/>
    <w:rPr>
      <w:rFonts w:ascii="Times New Roman" w:hAnsi="Times New Roman" w:eastAsia="宋体" w:cs="Times New Roman"/>
      <w:sz w:val="18"/>
      <w:szCs w:val="18"/>
    </w:rPr>
  </w:style>
  <w:style w:type="character" w:customStyle="1" w:styleId="191">
    <w:name w:val="标题 8 字符"/>
    <w:link w:val="10"/>
    <w:qFormat/>
    <w:uiPriority w:val="0"/>
    <w:rPr>
      <w:rFonts w:ascii="Arial" w:hAnsi="Arial" w:eastAsia="黑体"/>
      <w:b/>
      <w:sz w:val="24"/>
      <w:szCs w:val="32"/>
    </w:rPr>
  </w:style>
  <w:style w:type="character" w:customStyle="1" w:styleId="192">
    <w:name w:val="标书标题 3 Char Char Char"/>
    <w:link w:val="193"/>
    <w:qFormat/>
    <w:uiPriority w:val="0"/>
    <w:rPr>
      <w:rFonts w:ascii="Arial" w:hAnsi="Arial" w:eastAsia="仿宋_GB2312"/>
      <w:b/>
      <w:kern w:val="2"/>
      <w:sz w:val="24"/>
      <w:szCs w:val="32"/>
    </w:rPr>
  </w:style>
  <w:style w:type="paragraph" w:customStyle="1" w:styleId="193">
    <w:name w:val="标书标题 3 Char"/>
    <w:basedOn w:val="1"/>
    <w:link w:val="192"/>
    <w:qFormat/>
    <w:uiPriority w:val="0"/>
    <w:pPr>
      <w:tabs>
        <w:tab w:val="left" w:pos="720"/>
      </w:tabs>
      <w:spacing w:line="360" w:lineRule="auto"/>
      <w:outlineLvl w:val="2"/>
    </w:pPr>
    <w:rPr>
      <w:rFonts w:ascii="Arial" w:hAnsi="Arial" w:eastAsia="仿宋_GB2312"/>
      <w:b/>
      <w:sz w:val="24"/>
      <w:szCs w:val="32"/>
    </w:rPr>
  </w:style>
  <w:style w:type="character" w:customStyle="1" w:styleId="194">
    <w:name w:val="param_td1"/>
    <w:qFormat/>
    <w:uiPriority w:val="0"/>
    <w:rPr>
      <w:rFonts w:ascii="仿宋_GB2312" w:hAnsi="Tahoma" w:eastAsia="仿宋_GB2312"/>
      <w:b/>
      <w:sz w:val="32"/>
      <w:szCs w:val="32"/>
    </w:rPr>
  </w:style>
  <w:style w:type="character" w:customStyle="1" w:styleId="195">
    <w:name w:val="font161"/>
    <w:qFormat/>
    <w:uiPriority w:val="0"/>
    <w:rPr>
      <w:b/>
      <w:bCs/>
      <w:sz w:val="32"/>
      <w:szCs w:val="32"/>
    </w:rPr>
  </w:style>
  <w:style w:type="character" w:customStyle="1" w:styleId="196">
    <w:name w:val="标题 6 字符"/>
    <w:link w:val="8"/>
    <w:qFormat/>
    <w:uiPriority w:val="0"/>
    <w:rPr>
      <w:rFonts w:ascii="Arial" w:hAnsi="Arial" w:eastAsia="黑体"/>
      <w:b/>
      <w:bCs/>
      <w:kern w:val="2"/>
      <w:sz w:val="24"/>
      <w:szCs w:val="24"/>
    </w:rPr>
  </w:style>
  <w:style w:type="character" w:customStyle="1" w:styleId="197">
    <w:name w:val="font11"/>
    <w:qFormat/>
    <w:uiPriority w:val="0"/>
    <w:rPr>
      <w:rFonts w:hint="eastAsia" w:ascii="宋体" w:hAnsi="宋体" w:eastAsia="宋体" w:cs="宋体"/>
      <w:color w:val="000000"/>
      <w:sz w:val="20"/>
      <w:szCs w:val="20"/>
      <w:u w:val="none"/>
      <w:vertAlign w:val="superscript"/>
    </w:rPr>
  </w:style>
  <w:style w:type="character" w:customStyle="1" w:styleId="198">
    <w:name w:val="副标题 字符"/>
    <w:link w:val="41"/>
    <w:qFormat/>
    <w:uiPriority w:val="0"/>
    <w:rPr>
      <w:rFonts w:ascii="Cambria" w:hAnsi="Cambria"/>
      <w:b/>
      <w:bCs/>
      <w:kern w:val="28"/>
      <w:sz w:val="32"/>
      <w:szCs w:val="32"/>
    </w:rPr>
  </w:style>
  <w:style w:type="character" w:customStyle="1" w:styleId="199">
    <w:name w:val="表格 Char Char"/>
    <w:link w:val="200"/>
    <w:qFormat/>
    <w:uiPriority w:val="0"/>
    <w:rPr>
      <w:rFonts w:ascii="宋体" w:hAnsi="宋体"/>
      <w:b/>
      <w:sz w:val="32"/>
      <w:szCs w:val="32"/>
    </w:rPr>
  </w:style>
  <w:style w:type="paragraph" w:customStyle="1" w:styleId="200">
    <w:name w:val="表格"/>
    <w:basedOn w:val="1"/>
    <w:link w:val="199"/>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201">
    <w:name w:val="doc1"/>
    <w:basedOn w:val="55"/>
    <w:qFormat/>
    <w:uiPriority w:val="0"/>
  </w:style>
  <w:style w:type="character" w:customStyle="1" w:styleId="202">
    <w:name w:val="heading 1 Char1"/>
    <w:qFormat/>
    <w:uiPriority w:val="0"/>
    <w:rPr>
      <w:rFonts w:ascii="仿宋_GB2312" w:eastAsia="宋体"/>
      <w:b/>
      <w:bCs/>
      <w:kern w:val="44"/>
      <w:sz w:val="44"/>
      <w:szCs w:val="44"/>
      <w:lang w:val="en-US" w:eastAsia="zh-CN" w:bidi="ar-SA"/>
    </w:rPr>
  </w:style>
  <w:style w:type="character" w:customStyle="1" w:styleId="203">
    <w:name w:val="Char Char Char Char Char Char Char Char Char"/>
    <w:qFormat/>
    <w:uiPriority w:val="0"/>
    <w:rPr>
      <w:rFonts w:ascii="宋体" w:hAnsi="Courier New" w:eastAsia="宋体"/>
      <w:b/>
      <w:sz w:val="21"/>
      <w:szCs w:val="21"/>
      <w:lang w:val="en-US" w:eastAsia="zh-CN" w:bidi="ar-SA"/>
    </w:rPr>
  </w:style>
  <w:style w:type="character" w:customStyle="1" w:styleId="204">
    <w:name w:val="页眉 字符"/>
    <w:link w:val="37"/>
    <w:qFormat/>
    <w:uiPriority w:val="0"/>
    <w:rPr>
      <w:kern w:val="2"/>
      <w:sz w:val="18"/>
      <w:szCs w:val="18"/>
    </w:rPr>
  </w:style>
  <w:style w:type="character" w:customStyle="1" w:styleId="205">
    <w:name w:val="正文首行缩进 Char1"/>
    <w:qFormat/>
    <w:uiPriority w:val="0"/>
    <w:rPr>
      <w:rFonts w:ascii="Tahoma" w:hAnsi="Tahoma"/>
      <w:kern w:val="2"/>
      <w:sz w:val="21"/>
      <w:szCs w:val="24"/>
    </w:rPr>
  </w:style>
  <w:style w:type="character" w:customStyle="1" w:styleId="206">
    <w:name w:val="op-map-singlepoint-info-right1"/>
    <w:basedOn w:val="55"/>
    <w:qFormat/>
    <w:uiPriority w:val="0"/>
  </w:style>
  <w:style w:type="character" w:customStyle="1" w:styleId="207">
    <w:name w:val="A6"/>
    <w:qFormat/>
    <w:uiPriority w:val="0"/>
    <w:rPr>
      <w:rFonts w:cs="Helvetica Neue"/>
      <w:color w:val="3E667A"/>
      <w:sz w:val="14"/>
      <w:szCs w:val="14"/>
    </w:rPr>
  </w:style>
  <w:style w:type="character" w:customStyle="1" w:styleId="208">
    <w:name w:val="批注文字 字符"/>
    <w:link w:val="18"/>
    <w:qFormat/>
    <w:uiPriority w:val="0"/>
    <w:rPr>
      <w:kern w:val="2"/>
      <w:sz w:val="21"/>
      <w:szCs w:val="24"/>
    </w:rPr>
  </w:style>
  <w:style w:type="character" w:customStyle="1" w:styleId="209">
    <w:name w:val="书籍标题1"/>
    <w:qFormat/>
    <w:uiPriority w:val="0"/>
    <w:rPr>
      <w:b/>
      <w:bCs/>
      <w:smallCaps/>
      <w:spacing w:val="5"/>
    </w:rPr>
  </w:style>
  <w:style w:type="character" w:customStyle="1" w:styleId="210">
    <w:name w:val="ändrad Char"/>
    <w:qFormat/>
    <w:uiPriority w:val="0"/>
    <w:rPr>
      <w:rFonts w:ascii="仿宋_GB2312" w:eastAsia="宋体"/>
      <w:b/>
      <w:kern w:val="2"/>
      <w:sz w:val="21"/>
      <w:szCs w:val="24"/>
      <w:lang w:val="en-US" w:eastAsia="zh-CN" w:bidi="ar-SA"/>
    </w:rPr>
  </w:style>
  <w:style w:type="character" w:customStyle="1" w:styleId="211">
    <w:name w:val="正文文本缩进 2 Char"/>
    <w:qFormat/>
    <w:uiPriority w:val="0"/>
    <w:rPr>
      <w:kern w:val="2"/>
      <w:sz w:val="21"/>
      <w:szCs w:val="24"/>
    </w:rPr>
  </w:style>
  <w:style w:type="character" w:customStyle="1" w:styleId="212">
    <w:name w:val="Char Char61"/>
    <w:qFormat/>
    <w:uiPriority w:val="0"/>
    <w:rPr>
      <w:rFonts w:ascii="Times New Roman" w:hAnsi="Times New Roman" w:eastAsia="宋体" w:cs="Times New Roman"/>
      <w:szCs w:val="24"/>
    </w:rPr>
  </w:style>
  <w:style w:type="character" w:customStyle="1" w:styleId="213">
    <w:name w:val="Char Char15"/>
    <w:qFormat/>
    <w:uiPriority w:val="0"/>
    <w:rPr>
      <w:rFonts w:ascii="Arial" w:hAnsi="Arial" w:eastAsia="黑体"/>
      <w:b/>
      <w:sz w:val="24"/>
      <w:szCs w:val="24"/>
    </w:rPr>
  </w:style>
  <w:style w:type="character" w:customStyle="1" w:styleId="214">
    <w:name w:val="普通文字1 Char"/>
    <w:qFormat/>
    <w:uiPriority w:val="0"/>
    <w:rPr>
      <w:rFonts w:ascii="宋体" w:hAnsi="Courier New" w:eastAsia="宋体" w:cs="Courier New"/>
      <w:kern w:val="2"/>
      <w:sz w:val="21"/>
      <w:szCs w:val="21"/>
      <w:lang w:val="en-US" w:eastAsia="zh-CN" w:bidi="ar-SA"/>
    </w:rPr>
  </w:style>
  <w:style w:type="character" w:customStyle="1" w:styleId="215">
    <w:name w:val="Style1"/>
    <w:qFormat/>
    <w:uiPriority w:val="0"/>
    <w:rPr>
      <w:rFonts w:ascii="Calibri" w:hAnsi="宋体" w:eastAsia="宋体" w:cs="Times New Roman"/>
      <w:sz w:val="22"/>
      <w:szCs w:val="22"/>
      <w:lang w:eastAsia="zh-CN"/>
    </w:rPr>
  </w:style>
  <w:style w:type="character" w:customStyle="1" w:styleId="216">
    <w:name w:val="PI Char"/>
    <w:qFormat/>
    <w:uiPriority w:val="0"/>
    <w:rPr>
      <w:rFonts w:ascii="宋体" w:hAnsi="宋体" w:eastAsia="仿宋_GB2312"/>
      <w:b/>
      <w:sz w:val="24"/>
      <w:szCs w:val="32"/>
    </w:rPr>
  </w:style>
  <w:style w:type="character" w:customStyle="1" w:styleId="217">
    <w:name w:val="password"/>
    <w:basedOn w:val="55"/>
    <w:qFormat/>
    <w:uiPriority w:val="0"/>
  </w:style>
  <w:style w:type="character" w:customStyle="1" w:styleId="218">
    <w:name w:val="正文文本缩进 2 字符"/>
    <w:link w:val="34"/>
    <w:qFormat/>
    <w:uiPriority w:val="0"/>
    <w:rPr>
      <w:kern w:val="2"/>
      <w:sz w:val="21"/>
      <w:szCs w:val="24"/>
    </w:rPr>
  </w:style>
  <w:style w:type="character" w:customStyle="1" w:styleId="219">
    <w:name w:val="Style2"/>
    <w:qFormat/>
    <w:uiPriority w:val="0"/>
    <w:rPr>
      <w:rFonts w:ascii="Calibri" w:hAnsi="宋体" w:eastAsia="宋体" w:cs="Times New Roman"/>
      <w:sz w:val="22"/>
      <w:szCs w:val="22"/>
      <w:lang w:eastAsia="zh-CN"/>
    </w:rPr>
  </w:style>
  <w:style w:type="character" w:customStyle="1" w:styleId="220">
    <w:name w:val="明显强调1"/>
    <w:qFormat/>
    <w:uiPriority w:val="0"/>
    <w:rPr>
      <w:b/>
      <w:bCs/>
      <w:i/>
      <w:iCs/>
      <w:color w:val="4F81BD"/>
    </w:rPr>
  </w:style>
  <w:style w:type="character" w:customStyle="1" w:styleId="221">
    <w:name w:val="称呼 字符"/>
    <w:basedOn w:val="55"/>
    <w:link w:val="19"/>
    <w:qFormat/>
    <w:uiPriority w:val="0"/>
  </w:style>
  <w:style w:type="character" w:customStyle="1" w:styleId="222">
    <w:name w:val="标题 4 字符"/>
    <w:link w:val="6"/>
    <w:qFormat/>
    <w:uiPriority w:val="0"/>
    <w:rPr>
      <w:rFonts w:ascii="Cambria" w:hAnsi="Cambria"/>
      <w:b/>
      <w:bCs/>
      <w:kern w:val="2"/>
      <w:sz w:val="28"/>
      <w:szCs w:val="28"/>
    </w:rPr>
  </w:style>
  <w:style w:type="character" w:customStyle="1" w:styleId="223">
    <w:name w:val="标题 Char1"/>
    <w:qFormat/>
    <w:uiPriority w:val="10"/>
    <w:rPr>
      <w:rFonts w:ascii="Cambria" w:hAnsi="Cambria" w:cs="Times New Roman"/>
      <w:b/>
      <w:bCs/>
      <w:kern w:val="2"/>
      <w:sz w:val="32"/>
      <w:szCs w:val="32"/>
    </w:rPr>
  </w:style>
  <w:style w:type="character" w:customStyle="1" w:styleId="224">
    <w:name w:val="heading 9 Char1"/>
    <w:qFormat/>
    <w:uiPriority w:val="0"/>
    <w:rPr>
      <w:rFonts w:ascii="Arial" w:hAnsi="Arial" w:eastAsia="黑体"/>
      <w:b/>
      <w:sz w:val="21"/>
      <w:szCs w:val="32"/>
      <w:lang w:val="en-US" w:eastAsia="zh-CN" w:bidi="ar-SA"/>
    </w:rPr>
  </w:style>
  <w:style w:type="character" w:customStyle="1" w:styleId="225">
    <w:name w:val="正文文本首行缩进 字符"/>
    <w:link w:val="22"/>
    <w:qFormat/>
    <w:uiPriority w:val="0"/>
    <w:rPr>
      <w:rFonts w:ascii="仿宋_GB2312"/>
      <w:b/>
      <w:sz w:val="32"/>
      <w:szCs w:val="32"/>
    </w:rPr>
  </w:style>
  <w:style w:type="character" w:customStyle="1" w:styleId="226">
    <w:name w:val="标题 7 字符"/>
    <w:link w:val="9"/>
    <w:qFormat/>
    <w:uiPriority w:val="0"/>
    <w:rPr>
      <w:rFonts w:ascii="Arial" w:hAnsi="Arial" w:eastAsia="黑体"/>
      <w:b/>
      <w:sz w:val="21"/>
      <w:szCs w:val="21"/>
    </w:rPr>
  </w:style>
  <w:style w:type="character" w:customStyle="1" w:styleId="227">
    <w:name w:val="style111"/>
    <w:qFormat/>
    <w:uiPriority w:val="0"/>
    <w:rPr>
      <w:sz w:val="27"/>
      <w:szCs w:val="27"/>
    </w:rPr>
  </w:style>
  <w:style w:type="character" w:customStyle="1" w:styleId="228">
    <w:name w:val="hui"/>
    <w:qFormat/>
    <w:uiPriority w:val="0"/>
    <w:rPr>
      <w:rFonts w:ascii="仿宋_GB2312" w:hAnsi="Tahoma" w:eastAsia="仿宋_GB2312"/>
      <w:b/>
      <w:sz w:val="32"/>
      <w:szCs w:val="32"/>
    </w:rPr>
  </w:style>
  <w:style w:type="character" w:customStyle="1" w:styleId="229">
    <w:name w:val="release-day"/>
    <w:qFormat/>
    <w:uiPriority w:val="0"/>
    <w:rPr>
      <w:szCs w:val="20"/>
      <w:bdr w:val="single" w:color="BDEBB0" w:sz="4" w:space="0"/>
      <w:shd w:val="clear" w:color="auto" w:fill="F5FFF1"/>
    </w:rPr>
  </w:style>
  <w:style w:type="character" w:customStyle="1" w:styleId="230">
    <w:name w:val="Ò³Ã¼ Char Char"/>
    <w:qFormat/>
    <w:uiPriority w:val="0"/>
    <w:rPr>
      <w:rFonts w:ascii="仿宋_GB2312" w:eastAsia="仿宋_GB2312"/>
      <w:b/>
      <w:sz w:val="18"/>
      <w:szCs w:val="18"/>
    </w:rPr>
  </w:style>
  <w:style w:type="character" w:customStyle="1" w:styleId="231">
    <w:name w:val="批注主题 Char"/>
    <w:qFormat/>
    <w:uiPriority w:val="0"/>
    <w:rPr>
      <w:rFonts w:eastAsia="宋体"/>
      <w:b/>
      <w:bCs/>
      <w:kern w:val="2"/>
      <w:sz w:val="21"/>
      <w:szCs w:val="24"/>
      <w:lang w:val="en-US" w:eastAsia="zh-CN" w:bidi="ar-SA"/>
    </w:rPr>
  </w:style>
  <w:style w:type="character" w:customStyle="1" w:styleId="232">
    <w:name w:val="heading 5 Char"/>
    <w:qFormat/>
    <w:uiPriority w:val="0"/>
    <w:rPr>
      <w:rFonts w:ascii="Arial" w:hAnsi="Arial" w:eastAsia="黑体"/>
      <w:b/>
      <w:sz w:val="21"/>
      <w:szCs w:val="21"/>
    </w:rPr>
  </w:style>
  <w:style w:type="character" w:customStyle="1" w:styleId="233">
    <w:name w:val="Style5"/>
    <w:qFormat/>
    <w:uiPriority w:val="0"/>
    <w:rPr>
      <w:rFonts w:ascii="Calibri" w:hAnsi="宋体" w:eastAsia="宋体" w:cs="Times New Roman"/>
      <w:sz w:val="22"/>
      <w:szCs w:val="22"/>
      <w:lang w:eastAsia="zh-CN"/>
    </w:rPr>
  </w:style>
  <w:style w:type="character" w:customStyle="1" w:styleId="234">
    <w:name w:val="样式 标题 3 + 黑体 小四 Char Char"/>
    <w:link w:val="235"/>
    <w:qFormat/>
    <w:uiPriority w:val="0"/>
    <w:rPr>
      <w:rFonts w:ascii="黑体" w:hAnsi="Arial" w:eastAsia="黑体"/>
      <w:bCs/>
      <w:sz w:val="24"/>
      <w:szCs w:val="24"/>
    </w:rPr>
  </w:style>
  <w:style w:type="paragraph" w:customStyle="1" w:styleId="235">
    <w:name w:val="样式 标题 3 + 黑体 小四"/>
    <w:basedOn w:val="5"/>
    <w:link w:val="234"/>
    <w:qFormat/>
    <w:uiPriority w:val="0"/>
    <w:pPr>
      <w:spacing w:line="413" w:lineRule="auto"/>
    </w:pPr>
    <w:rPr>
      <w:rFonts w:ascii="黑体" w:hAnsi="Arial" w:eastAsia="黑体"/>
      <w:b w:val="0"/>
      <w:kern w:val="0"/>
      <w:sz w:val="24"/>
      <w:szCs w:val="24"/>
    </w:rPr>
  </w:style>
  <w:style w:type="character" w:customStyle="1" w:styleId="236">
    <w:name w:val="style21"/>
    <w:qFormat/>
    <w:uiPriority w:val="0"/>
    <w:rPr>
      <w:rFonts w:ascii="仿宋_GB2312" w:eastAsia="仿宋_GB2312"/>
      <w:b/>
      <w:sz w:val="15"/>
      <w:szCs w:val="15"/>
    </w:rPr>
  </w:style>
  <w:style w:type="character" w:customStyle="1" w:styleId="237">
    <w:name w:val="标题 5 字符"/>
    <w:link w:val="7"/>
    <w:qFormat/>
    <w:uiPriority w:val="0"/>
    <w:rPr>
      <w:rFonts w:ascii="仿宋_GB2312" w:hAnsi="Tahoma"/>
      <w:b/>
      <w:bCs/>
      <w:kern w:val="2"/>
      <w:sz w:val="28"/>
      <w:szCs w:val="28"/>
    </w:rPr>
  </w:style>
  <w:style w:type="character" w:customStyle="1" w:styleId="238">
    <w:name w:val="正文文本缩进 字符"/>
    <w:link w:val="24"/>
    <w:qFormat/>
    <w:uiPriority w:val="0"/>
    <w:rPr>
      <w:rFonts w:ascii="宋体" w:hAnsi="宋体"/>
      <w:kern w:val="2"/>
      <w:sz w:val="24"/>
    </w:rPr>
  </w:style>
  <w:style w:type="character" w:customStyle="1" w:styleId="239">
    <w:name w:val="Heading 2 Hidden Char1 Char"/>
    <w:qFormat/>
    <w:uiPriority w:val="0"/>
    <w:rPr>
      <w:rFonts w:ascii="宋体" w:hAnsi="Times New Roman" w:eastAsia="宋体" w:cs="Times New Roman"/>
      <w:kern w:val="0"/>
      <w:sz w:val="24"/>
      <w:szCs w:val="24"/>
    </w:rPr>
  </w:style>
  <w:style w:type="character" w:customStyle="1" w:styleId="240">
    <w:name w:val="Footer-Even Char2"/>
    <w:qFormat/>
    <w:uiPriority w:val="0"/>
    <w:rPr>
      <w:rFonts w:ascii="仿宋_GB2312" w:eastAsia="仿宋_GB2312"/>
      <w:b/>
      <w:kern w:val="2"/>
      <w:sz w:val="18"/>
      <w:szCs w:val="18"/>
    </w:rPr>
  </w:style>
  <w:style w:type="character" w:customStyle="1" w:styleId="241">
    <w:name w:val="upload"/>
    <w:basedOn w:val="55"/>
    <w:qFormat/>
    <w:uiPriority w:val="0"/>
  </w:style>
  <w:style w:type="character" w:customStyle="1" w:styleId="242">
    <w:name w:val="update"/>
    <w:basedOn w:val="55"/>
    <w:qFormat/>
    <w:uiPriority w:val="0"/>
  </w:style>
  <w:style w:type="character" w:customStyle="1" w:styleId="243">
    <w:name w:val="legend"/>
    <w:qFormat/>
    <w:uiPriority w:val="0"/>
    <w:rPr>
      <w:rFonts w:ascii="Arial" w:hAnsi="Arial" w:cs="Arial"/>
      <w:b/>
      <w:color w:val="73B304"/>
      <w:sz w:val="16"/>
      <w:szCs w:val="16"/>
      <w:shd w:val="clear" w:color="auto" w:fill="FFFFFF"/>
    </w:rPr>
  </w:style>
  <w:style w:type="character" w:customStyle="1" w:styleId="244">
    <w:name w:val="hover30"/>
    <w:basedOn w:val="55"/>
    <w:qFormat/>
    <w:uiPriority w:val="0"/>
  </w:style>
  <w:style w:type="character" w:customStyle="1" w:styleId="245">
    <w:name w:val="Style4"/>
    <w:qFormat/>
    <w:uiPriority w:val="0"/>
    <w:rPr>
      <w:rFonts w:ascii="Calibri" w:hAnsi="宋体" w:eastAsia="宋体" w:cs="Times New Roman"/>
      <w:szCs w:val="22"/>
      <w:lang w:eastAsia="zh-CN"/>
    </w:rPr>
  </w:style>
  <w:style w:type="character" w:customStyle="1" w:styleId="246">
    <w:name w:val="blue1"/>
    <w:qFormat/>
    <w:uiPriority w:val="0"/>
    <w:rPr>
      <w:rFonts w:ascii="仿宋_GB2312" w:hAnsi="Tahoma" w:eastAsia="仿宋_GB2312"/>
      <w:b/>
      <w:sz w:val="32"/>
      <w:szCs w:val="32"/>
    </w:rPr>
  </w:style>
  <w:style w:type="character" w:customStyle="1" w:styleId="247">
    <w:name w:val="样式 宋体"/>
    <w:qFormat/>
    <w:uiPriority w:val="0"/>
    <w:rPr>
      <w:rFonts w:ascii="宋体" w:hAnsi="宋体" w:eastAsia="宋体"/>
      <w:b/>
      <w:sz w:val="24"/>
      <w:szCs w:val="24"/>
    </w:rPr>
  </w:style>
  <w:style w:type="paragraph" w:customStyle="1" w:styleId="248">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49">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250">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251">
    <w:name w:val="TOC 标题1"/>
    <w:basedOn w:val="2"/>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252">
    <w:name w:val="Table Paragraph"/>
    <w:basedOn w:val="1"/>
    <w:qFormat/>
    <w:uiPriority w:val="1"/>
    <w:pPr>
      <w:autoSpaceDE w:val="0"/>
      <w:autoSpaceDN w:val="0"/>
      <w:adjustRightInd w:val="0"/>
      <w:jc w:val="left"/>
    </w:pPr>
    <w:rPr>
      <w:kern w:val="0"/>
      <w:sz w:val="24"/>
    </w:rPr>
  </w:style>
  <w:style w:type="paragraph" w:customStyle="1" w:styleId="253">
    <w:name w:val="三级条标题"/>
    <w:basedOn w:val="254"/>
    <w:next w:val="1"/>
    <w:qFormat/>
    <w:uiPriority w:val="0"/>
    <w:pPr>
      <w:numPr>
        <w:ilvl w:val="4"/>
      </w:numPr>
      <w:tabs>
        <w:tab w:val="left" w:pos="360"/>
      </w:tabs>
      <w:outlineLvl w:val="4"/>
    </w:pPr>
  </w:style>
  <w:style w:type="paragraph" w:customStyle="1" w:styleId="254">
    <w:name w:val="二级条标题"/>
    <w:basedOn w:val="255"/>
    <w:next w:val="1"/>
    <w:qFormat/>
    <w:uiPriority w:val="0"/>
    <w:pPr>
      <w:numPr>
        <w:ilvl w:val="3"/>
      </w:numPr>
      <w:tabs>
        <w:tab w:val="left" w:pos="360"/>
      </w:tabs>
      <w:outlineLvl w:val="3"/>
    </w:pPr>
  </w:style>
  <w:style w:type="paragraph" w:customStyle="1" w:styleId="255">
    <w:name w:val="一级条标题"/>
    <w:next w:val="1"/>
    <w:qFormat/>
    <w:uiPriority w:val="0"/>
    <w:pPr>
      <w:numPr>
        <w:ilvl w:val="2"/>
        <w:numId w:val="3"/>
      </w:numPr>
      <w:outlineLvl w:val="2"/>
    </w:pPr>
    <w:rPr>
      <w:rFonts w:ascii="Calibri" w:hAnsi="Calibri" w:eastAsia="黑体" w:cs="Times New Roman"/>
      <w:sz w:val="21"/>
      <w:lang w:val="en-US" w:eastAsia="zh-CN" w:bidi="ar-SA"/>
    </w:rPr>
  </w:style>
  <w:style w:type="paragraph" w:customStyle="1" w:styleId="25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57">
    <w:name w:val="正文 首行缩进:  2 字符 Char"/>
    <w:basedOn w:val="1"/>
    <w:qFormat/>
    <w:uiPriority w:val="0"/>
    <w:pPr>
      <w:spacing w:line="360" w:lineRule="auto"/>
      <w:ind w:firstLine="480"/>
    </w:pPr>
    <w:rPr>
      <w:rFonts w:cs="宋体"/>
      <w:sz w:val="24"/>
      <w:szCs w:val="20"/>
    </w:rPr>
  </w:style>
  <w:style w:type="paragraph" w:customStyle="1" w:styleId="258">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259">
    <w:name w:val="样式 标题 2 + 居中"/>
    <w:basedOn w:val="4"/>
    <w:qFormat/>
    <w:uiPriority w:val="0"/>
    <w:pPr>
      <w:spacing w:beforeLines="50" w:beforeAutospacing="1" w:afterLines="50" w:afterAutospacing="1" w:line="360" w:lineRule="auto"/>
      <w:jc w:val="center"/>
    </w:pPr>
    <w:rPr>
      <w:rFonts w:cs="宋体"/>
      <w:szCs w:val="20"/>
    </w:rPr>
  </w:style>
  <w:style w:type="paragraph" w:customStyle="1" w:styleId="26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61">
    <w:name w:val="Blockquote"/>
    <w:basedOn w:val="1"/>
    <w:qFormat/>
    <w:uiPriority w:val="0"/>
    <w:pPr>
      <w:autoSpaceDE w:val="0"/>
      <w:autoSpaceDN w:val="0"/>
      <w:spacing w:before="100" w:after="100"/>
      <w:ind w:left="360" w:right="360"/>
      <w:jc w:val="left"/>
    </w:pPr>
    <w:rPr>
      <w:szCs w:val="20"/>
    </w:rPr>
  </w:style>
  <w:style w:type="paragraph" w:customStyle="1" w:styleId="26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63">
    <w:name w:val="_Style 25"/>
    <w:basedOn w:val="1"/>
    <w:qFormat/>
    <w:uiPriority w:val="0"/>
  </w:style>
  <w:style w:type="paragraph" w:customStyle="1" w:styleId="264">
    <w:name w:val="前言、引言标题"/>
    <w:next w:val="1"/>
    <w:qFormat/>
    <w:uiPriority w:val="0"/>
    <w:pPr>
      <w:numPr>
        <w:ilvl w:val="0"/>
        <w:numId w:val="3"/>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65">
    <w:name w:val="样式1"/>
    <w:basedOn w:val="1"/>
    <w:next w:val="6"/>
    <w:qFormat/>
    <w:uiPriority w:val="0"/>
    <w:pPr>
      <w:spacing w:line="360" w:lineRule="auto"/>
      <w:ind w:firstLine="420" w:firstLineChars="200"/>
    </w:pPr>
    <w:rPr>
      <w:rFonts w:ascii="宋体" w:hAnsi="宋体"/>
      <w:szCs w:val="21"/>
    </w:rPr>
  </w:style>
  <w:style w:type="paragraph" w:customStyle="1" w:styleId="26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68">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69">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71">
    <w:name w:val="保留正文"/>
    <w:basedOn w:val="21"/>
    <w:qFormat/>
    <w:uiPriority w:val="0"/>
    <w:pPr>
      <w:keepNext/>
      <w:spacing w:after="160"/>
    </w:pPr>
    <w:rPr>
      <w:rFonts w:ascii="仿宋_GB2312"/>
      <w:b/>
    </w:rPr>
  </w:style>
  <w:style w:type="paragraph" w:customStyle="1" w:styleId="27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7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4">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275">
    <w:name w:val="修订1"/>
    <w:qFormat/>
    <w:uiPriority w:val="0"/>
    <w:rPr>
      <w:rFonts w:ascii="Calibri" w:hAnsi="Calibri" w:eastAsia="宋体" w:cs="Times New Roman"/>
      <w:kern w:val="2"/>
      <w:sz w:val="21"/>
      <w:szCs w:val="24"/>
      <w:lang w:val="en-US" w:eastAsia="zh-CN" w:bidi="ar-SA"/>
    </w:rPr>
  </w:style>
  <w:style w:type="paragraph" w:customStyle="1" w:styleId="276">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77">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 w:type="paragraph" w:customStyle="1" w:styleId="27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79">
    <w:name w:val="Char Char Char Char Char Char Char Char Char Char Char Char Char"/>
    <w:basedOn w:val="1"/>
    <w:qFormat/>
    <w:uiPriority w:val="0"/>
    <w:rPr>
      <w:rFonts w:ascii="Tahoma" w:hAnsi="Tahoma"/>
      <w:sz w:val="24"/>
      <w:szCs w:val="20"/>
    </w:rPr>
  </w:style>
  <w:style w:type="paragraph" w:customStyle="1" w:styleId="280">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281">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83">
    <w:name w:val="Char1 Char Char Char Char"/>
    <w:basedOn w:val="17"/>
    <w:qFormat/>
    <w:uiPriority w:val="0"/>
    <w:rPr>
      <w:rFonts w:ascii="Tahoma" w:hAnsi="Tahoma" w:cs="Tahoma"/>
      <w:kern w:val="0"/>
      <w:sz w:val="18"/>
    </w:rPr>
  </w:style>
  <w:style w:type="paragraph" w:customStyle="1" w:styleId="284">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85">
    <w:name w:val="正文缩进1"/>
    <w:basedOn w:val="1"/>
    <w:qFormat/>
    <w:uiPriority w:val="0"/>
    <w:pPr>
      <w:ind w:firstLine="420"/>
    </w:pPr>
    <w:rPr>
      <w:szCs w:val="20"/>
    </w:rPr>
  </w:style>
  <w:style w:type="paragraph" w:customStyle="1" w:styleId="286">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287">
    <w:name w:val="Char Char Char"/>
    <w:basedOn w:val="1"/>
    <w:next w:val="1"/>
    <w:qFormat/>
    <w:uiPriority w:val="0"/>
    <w:pPr>
      <w:shd w:val="clear" w:color="auto" w:fill="000080"/>
    </w:pPr>
    <w:rPr>
      <w:rFonts w:ascii="Tahoma" w:hAnsi="Tahoma"/>
      <w:sz w:val="24"/>
    </w:rPr>
  </w:style>
  <w:style w:type="paragraph" w:customStyle="1" w:styleId="288">
    <w:name w:val="正文缩进1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0">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91">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92">
    <w:name w:val="Char1 Char Char Char"/>
    <w:basedOn w:val="1"/>
    <w:qFormat/>
    <w:uiPriority w:val="0"/>
    <w:rPr>
      <w:szCs w:val="20"/>
    </w:rPr>
  </w:style>
  <w:style w:type="paragraph" w:customStyle="1" w:styleId="293">
    <w:name w:val="文字"/>
    <w:basedOn w:val="1"/>
    <w:qFormat/>
    <w:uiPriority w:val="0"/>
    <w:pPr>
      <w:tabs>
        <w:tab w:val="left" w:pos="8520"/>
      </w:tabs>
      <w:spacing w:line="312" w:lineRule="auto"/>
      <w:ind w:right="-210" w:firstLine="556"/>
    </w:pPr>
    <w:rPr>
      <w:rFonts w:ascii="宋体"/>
      <w:sz w:val="28"/>
      <w:szCs w:val="20"/>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5">
    <w:name w:val="列出段落1"/>
    <w:basedOn w:val="1"/>
    <w:qFormat/>
    <w:uiPriority w:val="99"/>
    <w:pPr>
      <w:ind w:firstLine="420" w:firstLineChars="200"/>
    </w:pPr>
    <w:rPr>
      <w:szCs w:val="20"/>
    </w:rPr>
  </w:style>
  <w:style w:type="paragraph" w:customStyle="1" w:styleId="296">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97">
    <w:name w:val="Char"/>
    <w:basedOn w:val="1"/>
    <w:qFormat/>
    <w:uiPriority w:val="0"/>
    <w:pPr>
      <w:widowControl/>
      <w:spacing w:line="400" w:lineRule="exact"/>
      <w:jc w:val="center"/>
    </w:pPr>
    <w:rPr>
      <w:rFonts w:ascii="Verdana" w:hAnsi="Verdana"/>
      <w:kern w:val="0"/>
      <w:szCs w:val="20"/>
      <w:lang w:eastAsia="en-US"/>
    </w:rPr>
  </w:style>
  <w:style w:type="paragraph" w:customStyle="1" w:styleId="298">
    <w:name w:val="Char Char Char Char Char Char Char1"/>
    <w:basedOn w:val="1"/>
    <w:qFormat/>
    <w:uiPriority w:val="0"/>
    <w:pPr>
      <w:widowControl/>
      <w:spacing w:after="160" w:line="240" w:lineRule="exact"/>
      <w:jc w:val="left"/>
    </w:pPr>
    <w:rPr>
      <w:szCs w:val="20"/>
    </w:rPr>
  </w:style>
  <w:style w:type="paragraph" w:customStyle="1" w:styleId="29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00">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301">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02">
    <w:name w:val="样式5"/>
    <w:basedOn w:val="14"/>
    <w:qFormat/>
    <w:uiPriority w:val="0"/>
    <w:pPr>
      <w:adjustRightInd/>
      <w:spacing w:line="360" w:lineRule="auto"/>
      <w:ind w:firstLine="200" w:firstLineChars="200"/>
      <w:textAlignment w:val="auto"/>
    </w:pPr>
    <w:rPr>
      <w:rFonts w:ascii="仿宋_GB2312"/>
      <w:b/>
      <w:kern w:val="2"/>
      <w:sz w:val="28"/>
      <w:szCs w:val="21"/>
    </w:rPr>
  </w:style>
  <w:style w:type="paragraph" w:customStyle="1" w:styleId="303">
    <w:name w:val="Char1 Char Char Char Char1"/>
    <w:basedOn w:val="17"/>
    <w:qFormat/>
    <w:uiPriority w:val="0"/>
    <w:rPr>
      <w:rFonts w:ascii="Tahoma" w:hAnsi="Tahoma" w:cs="Tahoma"/>
      <w:kern w:val="0"/>
      <w:sz w:val="18"/>
    </w:rPr>
  </w:style>
  <w:style w:type="paragraph" w:customStyle="1" w:styleId="304">
    <w:name w:val="四级条标题"/>
    <w:basedOn w:val="253"/>
    <w:next w:val="1"/>
    <w:qFormat/>
    <w:uiPriority w:val="0"/>
    <w:pPr>
      <w:numPr>
        <w:ilvl w:val="5"/>
      </w:numPr>
      <w:outlineLvl w:val="5"/>
    </w:pPr>
  </w:style>
  <w:style w:type="paragraph" w:customStyle="1" w:styleId="305">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06">
    <w:name w:val="Char Char Char Char Char Char Char Char Char Char Char Char Char1"/>
    <w:basedOn w:val="1"/>
    <w:qFormat/>
    <w:uiPriority w:val="0"/>
  </w:style>
  <w:style w:type="paragraph" w:customStyle="1" w:styleId="30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08">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09">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10">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1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12">
    <w:name w:val="简单回函地址"/>
    <w:basedOn w:val="1"/>
    <w:qFormat/>
    <w:uiPriority w:val="0"/>
  </w:style>
  <w:style w:type="paragraph" w:customStyle="1" w:styleId="313">
    <w:name w:val="Char Char Char Char1"/>
    <w:basedOn w:val="1"/>
    <w:qFormat/>
    <w:uiPriority w:val="0"/>
    <w:rPr>
      <w:rFonts w:ascii="Tahoma" w:hAnsi="Tahoma"/>
      <w:sz w:val="24"/>
      <w:szCs w:val="20"/>
    </w:rPr>
  </w:style>
  <w:style w:type="paragraph" w:styleId="314">
    <w:name w:val="List Paragraph"/>
    <w:basedOn w:val="1"/>
    <w:link w:val="398"/>
    <w:qFormat/>
    <w:uiPriority w:val="0"/>
    <w:pPr>
      <w:ind w:firstLine="420" w:firstLineChars="200"/>
    </w:pPr>
  </w:style>
  <w:style w:type="paragraph" w:customStyle="1" w:styleId="31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316">
    <w:name w:val="章标题"/>
    <w:next w:val="1"/>
    <w:qFormat/>
    <w:uiPriority w:val="0"/>
    <w:pPr>
      <w:numPr>
        <w:ilvl w:val="1"/>
        <w:numId w:val="3"/>
      </w:numPr>
      <w:spacing w:beforeLines="50" w:afterLines="50"/>
      <w:jc w:val="both"/>
      <w:outlineLvl w:val="1"/>
    </w:pPr>
    <w:rPr>
      <w:rFonts w:ascii="黑体" w:hAnsi="Calibri" w:eastAsia="黑体" w:cs="Times New Roman"/>
      <w:sz w:val="21"/>
      <w:lang w:val="en-US" w:eastAsia="zh-CN" w:bidi="ar-SA"/>
    </w:rPr>
  </w:style>
  <w:style w:type="paragraph" w:customStyle="1" w:styleId="317">
    <w:name w:val="样式 标题 3h33rd level3Heading 3 - old + 居中 左侧:  9.8 毫米 首行缩进: ...1"/>
    <w:basedOn w:val="5"/>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3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19">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320">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2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2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23">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32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5">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326">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27">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28">
    <w:name w:val="CM106"/>
    <w:basedOn w:val="329"/>
    <w:next w:val="329"/>
    <w:qFormat/>
    <w:uiPriority w:val="0"/>
    <w:rPr>
      <w:rFonts w:cs="Times New Roman"/>
      <w:color w:val="auto"/>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3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33">
    <w:name w:val="Char Char Char Char Char Char Char Char Char Char Char Char Char Char"/>
    <w:basedOn w:val="1"/>
    <w:qFormat/>
    <w:uiPriority w:val="0"/>
    <w:pPr>
      <w:widowControl/>
      <w:spacing w:after="160" w:line="240" w:lineRule="exact"/>
      <w:jc w:val="left"/>
    </w:pPr>
    <w:rPr>
      <w:bCs/>
    </w:rPr>
  </w:style>
  <w:style w:type="paragraph" w:customStyle="1" w:styleId="33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35">
    <w:name w:val="_Style 33"/>
    <w:basedOn w:val="1"/>
    <w:qFormat/>
    <w:uiPriority w:val="0"/>
  </w:style>
  <w:style w:type="paragraph" w:customStyle="1" w:styleId="33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38">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0">
    <w:name w:val="样式 四号 首行缩进:  1 厘米"/>
    <w:basedOn w:val="1"/>
    <w:qFormat/>
    <w:uiPriority w:val="0"/>
    <w:pPr>
      <w:spacing w:line="440" w:lineRule="exact"/>
      <w:ind w:firstLine="567"/>
    </w:pPr>
    <w:rPr>
      <w:rFonts w:cs="宋体"/>
      <w:sz w:val="28"/>
      <w:szCs w:val="20"/>
    </w:rPr>
  </w:style>
  <w:style w:type="paragraph" w:customStyle="1" w:styleId="34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2">
    <w:name w:val="修订11"/>
    <w:qFormat/>
    <w:uiPriority w:val="0"/>
    <w:rPr>
      <w:rFonts w:ascii="Calibri" w:hAnsi="Calibri" w:eastAsia="宋体" w:cs="Times New Roman"/>
      <w:kern w:val="2"/>
      <w:sz w:val="21"/>
      <w:szCs w:val="24"/>
      <w:lang w:val="en-US" w:eastAsia="zh-CN" w:bidi="ar-SA"/>
    </w:rPr>
  </w:style>
  <w:style w:type="paragraph" w:customStyle="1" w:styleId="343">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45">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6">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347">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8">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349">
    <w:name w:val="Char3"/>
    <w:basedOn w:val="1"/>
    <w:qFormat/>
    <w:uiPriority w:val="0"/>
    <w:rPr>
      <w:rFonts w:ascii="Tahoma" w:hAnsi="Tahoma"/>
      <w:sz w:val="24"/>
      <w:szCs w:val="20"/>
    </w:rPr>
  </w:style>
  <w:style w:type="paragraph" w:customStyle="1" w:styleId="3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5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5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5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54">
    <w:name w:val="1Text"/>
    <w:basedOn w:val="1"/>
    <w:qFormat/>
    <w:uiPriority w:val="0"/>
    <w:pPr>
      <w:spacing w:beforeLines="50" w:afterLines="50" w:line="360" w:lineRule="auto"/>
      <w:ind w:firstLine="480" w:firstLineChars="200"/>
      <w:jc w:val="left"/>
    </w:pPr>
    <w:rPr>
      <w:kern w:val="0"/>
      <w:sz w:val="24"/>
    </w:rPr>
  </w:style>
  <w:style w:type="paragraph" w:customStyle="1" w:styleId="35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56">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357">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58">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359">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60">
    <w:name w:val="正文段"/>
    <w:basedOn w:val="1"/>
    <w:qFormat/>
    <w:uiPriority w:val="0"/>
    <w:pPr>
      <w:widowControl/>
      <w:snapToGrid w:val="0"/>
      <w:spacing w:afterLines="50"/>
      <w:ind w:firstLine="200" w:firstLineChars="200"/>
    </w:pPr>
    <w:rPr>
      <w:kern w:val="0"/>
      <w:sz w:val="24"/>
      <w:szCs w:val="20"/>
    </w:rPr>
  </w:style>
  <w:style w:type="paragraph" w:customStyle="1" w:styleId="36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62">
    <w:name w:val="1 Char"/>
    <w:basedOn w:val="14"/>
    <w:qFormat/>
    <w:uiPriority w:val="0"/>
    <w:pPr>
      <w:adjustRightInd/>
      <w:spacing w:line="360" w:lineRule="auto"/>
      <w:ind w:firstLine="200" w:firstLineChars="200"/>
      <w:textAlignment w:val="auto"/>
    </w:pPr>
    <w:rPr>
      <w:rFonts w:ascii="仿宋_GB2312"/>
      <w:b/>
      <w:kern w:val="2"/>
      <w:szCs w:val="32"/>
    </w:rPr>
  </w:style>
  <w:style w:type="paragraph" w:customStyle="1" w:styleId="363">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64">
    <w:name w:val="1"/>
    <w:basedOn w:val="1"/>
    <w:qFormat/>
    <w:uiPriority w:val="0"/>
  </w:style>
  <w:style w:type="paragraph" w:customStyle="1" w:styleId="365">
    <w:name w:val="Pa5"/>
    <w:basedOn w:val="329"/>
    <w:next w:val="329"/>
    <w:qFormat/>
    <w:uiPriority w:val="0"/>
    <w:pPr>
      <w:spacing w:after="60" w:line="161" w:lineRule="atLeast"/>
    </w:pPr>
    <w:rPr>
      <w:rFonts w:ascii="Univers LT Std 57 Cn" w:hAnsi="Univers LT Std 57 Cn" w:cs="Times New Roman"/>
      <w:color w:val="auto"/>
    </w:rPr>
  </w:style>
  <w:style w:type="paragraph" w:customStyle="1" w:styleId="36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6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8">
    <w:name w:val="招标文件－标准正文"/>
    <w:basedOn w:val="30"/>
    <w:qFormat/>
    <w:uiPriority w:val="0"/>
    <w:pPr>
      <w:spacing w:line="360" w:lineRule="auto"/>
    </w:pPr>
    <w:rPr>
      <w:rFonts w:ascii="Times New Roman" w:hAnsi="Times New Roman" w:cs="宋体"/>
      <w:color w:val="000000"/>
      <w:sz w:val="24"/>
    </w:rPr>
  </w:style>
  <w:style w:type="paragraph" w:customStyle="1" w:styleId="36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70">
    <w:name w:val="样式 标题 3 + 黑色 段前: 5 磅 段后: 5 磅 行距: 1.5 倍行距"/>
    <w:basedOn w:val="1"/>
    <w:qFormat/>
    <w:uiPriority w:val="0"/>
    <w:pPr>
      <w:ind w:left="855" w:hanging="855"/>
    </w:pPr>
    <w:rPr>
      <w:sz w:val="24"/>
      <w:szCs w:val="20"/>
    </w:rPr>
  </w:style>
  <w:style w:type="paragraph" w:customStyle="1" w:styleId="371">
    <w:name w:val="正文字缩2字"/>
    <w:basedOn w:val="1"/>
    <w:qFormat/>
    <w:uiPriority w:val="0"/>
    <w:pPr>
      <w:spacing w:before="60" w:after="60" w:line="360" w:lineRule="auto"/>
      <w:ind w:left="200" w:leftChars="200" w:firstLine="200" w:firstLineChars="200"/>
    </w:pPr>
    <w:rPr>
      <w:sz w:val="24"/>
    </w:rPr>
  </w:style>
  <w:style w:type="paragraph" w:customStyle="1" w:styleId="37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3">
    <w:name w:val="Char Char Char Char11"/>
    <w:basedOn w:val="1"/>
    <w:qFormat/>
    <w:uiPriority w:val="0"/>
    <w:rPr>
      <w:szCs w:val="20"/>
    </w:rPr>
  </w:style>
  <w:style w:type="paragraph" w:customStyle="1" w:styleId="37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75">
    <w:name w:val="Char Char Char Char Char Char"/>
    <w:basedOn w:val="1"/>
    <w:qFormat/>
    <w:uiPriority w:val="0"/>
    <w:rPr>
      <w:rFonts w:ascii="Tahoma" w:hAnsi="Tahoma"/>
      <w:sz w:val="24"/>
      <w:szCs w:val="20"/>
    </w:rPr>
  </w:style>
  <w:style w:type="paragraph" w:customStyle="1" w:styleId="37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7">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37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0">
    <w:name w:val="表格文字"/>
    <w:basedOn w:val="1"/>
    <w:qFormat/>
    <w:uiPriority w:val="0"/>
    <w:pPr>
      <w:spacing w:line="420" w:lineRule="atLeast"/>
      <w:jc w:val="left"/>
    </w:pPr>
    <w:rPr>
      <w:szCs w:val="20"/>
    </w:rPr>
  </w:style>
  <w:style w:type="paragraph" w:customStyle="1" w:styleId="381">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38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83">
    <w:name w:val="blockquote"/>
    <w:basedOn w:val="1"/>
    <w:qFormat/>
    <w:uiPriority w:val="0"/>
    <w:pPr>
      <w:widowControl/>
      <w:spacing w:before="100" w:beforeAutospacing="1" w:after="100" w:afterAutospacing="1"/>
      <w:jc w:val="left"/>
    </w:pPr>
    <w:rPr>
      <w:rFonts w:ascii="宋体" w:hAnsi="宋体"/>
    </w:rPr>
  </w:style>
  <w:style w:type="paragraph" w:customStyle="1" w:styleId="384">
    <w:name w:val="五级条标题"/>
    <w:basedOn w:val="304"/>
    <w:next w:val="1"/>
    <w:qFormat/>
    <w:uiPriority w:val="0"/>
    <w:pPr>
      <w:numPr>
        <w:ilvl w:val="6"/>
      </w:numPr>
      <w:outlineLvl w:val="6"/>
    </w:pPr>
  </w:style>
  <w:style w:type="paragraph" w:customStyle="1" w:styleId="385">
    <w:name w:val="Char Char3"/>
    <w:basedOn w:val="1"/>
    <w:qFormat/>
    <w:uiPriority w:val="0"/>
    <w:rPr>
      <w:rFonts w:ascii="仿宋_GB2312" w:eastAsia="仿宋_GB2312"/>
      <w:b/>
      <w:sz w:val="32"/>
      <w:szCs w:val="32"/>
    </w:rPr>
  </w:style>
  <w:style w:type="paragraph" w:customStyle="1" w:styleId="386">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8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88">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8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90">
    <w:name w:val="普通 (Web)"/>
    <w:basedOn w:val="1"/>
    <w:qFormat/>
    <w:uiPriority w:val="0"/>
    <w:pPr>
      <w:widowControl/>
      <w:spacing w:before="100" w:after="100"/>
      <w:jc w:val="left"/>
    </w:pPr>
    <w:rPr>
      <w:rFonts w:ascii="宋体" w:hAnsi="宋体"/>
      <w:kern w:val="0"/>
      <w:sz w:val="24"/>
    </w:rPr>
  </w:style>
  <w:style w:type="paragraph" w:customStyle="1" w:styleId="39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92">
    <w:name w:val="正文－恩普"/>
    <w:basedOn w:val="14"/>
    <w:qFormat/>
    <w:uiPriority w:val="0"/>
    <w:pPr>
      <w:adjustRightInd/>
      <w:spacing w:line="360" w:lineRule="auto"/>
      <w:ind w:firstLine="200" w:firstLineChars="200"/>
      <w:textAlignment w:val="auto"/>
    </w:pPr>
    <w:rPr>
      <w:rFonts w:ascii="仿宋_GB2312"/>
      <w:b/>
      <w:kern w:val="2"/>
      <w:sz w:val="24"/>
      <w:szCs w:val="24"/>
    </w:rPr>
  </w:style>
  <w:style w:type="paragraph" w:customStyle="1" w:styleId="3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5">
    <w:name w:val="Char Char Char Char Char Char Char Char Char1 Char"/>
    <w:basedOn w:val="1"/>
    <w:qFormat/>
    <w:uiPriority w:val="0"/>
  </w:style>
  <w:style w:type="paragraph" w:customStyle="1" w:styleId="396">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397">
    <w:name w:val="列出段落2"/>
    <w:basedOn w:val="1"/>
    <w:qFormat/>
    <w:uiPriority w:val="0"/>
    <w:pPr>
      <w:ind w:firstLine="420" w:firstLineChars="200"/>
    </w:pPr>
  </w:style>
  <w:style w:type="character" w:customStyle="1" w:styleId="398">
    <w:name w:val="列表段落 字符"/>
    <w:link w:val="314"/>
    <w:qFormat/>
    <w:uiPriority w:val="0"/>
    <w:rPr>
      <w:rFonts w:ascii="Calibri" w:hAnsi="Calibri"/>
      <w:kern w:val="2"/>
      <w:sz w:val="21"/>
      <w:szCs w:val="24"/>
    </w:rPr>
  </w:style>
  <w:style w:type="paragraph" w:customStyle="1" w:styleId="399">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00">
    <w:name w:val="怡1"/>
    <w:basedOn w:val="2"/>
    <w:qFormat/>
    <w:uiPriority w:val="0"/>
    <w:pPr>
      <w:keepLines/>
      <w:numPr>
        <w:ilvl w:val="0"/>
        <w:numId w:val="4"/>
      </w:numPr>
      <w:spacing w:before="480" w:after="480"/>
      <w:jc w:val="left"/>
    </w:pPr>
    <w:rPr>
      <w:rFonts w:ascii="Calibri" w:hAnsi="Calibri" w:eastAsia="宋体"/>
      <w:kern w:val="0"/>
      <w:sz w:val="32"/>
      <w:szCs w:val="44"/>
      <w:lang w:val="zh-CN"/>
    </w:rPr>
  </w:style>
  <w:style w:type="paragraph" w:customStyle="1" w:styleId="401">
    <w:name w:val="*正文"/>
    <w:basedOn w:val="1"/>
    <w:qFormat/>
    <w:uiPriority w:val="0"/>
    <w:pPr>
      <w:widowControl/>
      <w:spacing w:line="360" w:lineRule="auto"/>
      <w:ind w:firstLine="200" w:firstLineChars="200"/>
      <w:jc w:val="left"/>
    </w:pPr>
    <w:rPr>
      <w:rFonts w:ascii="仿宋_GB2312" w:eastAsia="仿宋_GB2312"/>
      <w:sz w:val="24"/>
      <w:szCs w:val="28"/>
      <w:lang w:val="zh-CN"/>
    </w:rPr>
  </w:style>
  <w:style w:type="paragraph" w:customStyle="1" w:styleId="402">
    <w:name w:val="怡2"/>
    <w:basedOn w:val="4"/>
    <w:next w:val="5"/>
    <w:qFormat/>
    <w:uiPriority w:val="0"/>
    <w:pPr>
      <w:numPr>
        <w:ilvl w:val="1"/>
        <w:numId w:val="4"/>
      </w:numPr>
      <w:spacing w:before="360" w:after="360" w:line="480" w:lineRule="auto"/>
      <w:jc w:val="left"/>
    </w:pPr>
    <w:rPr>
      <w:rFonts w:ascii="Cambria" w:hAnsi="Cambria" w:eastAsia="宋体"/>
      <w:kern w:val="0"/>
      <w:sz w:val="36"/>
    </w:rPr>
  </w:style>
  <w:style w:type="paragraph" w:customStyle="1" w:styleId="403">
    <w:name w:val="怡3"/>
    <w:basedOn w:val="5"/>
    <w:qFormat/>
    <w:uiPriority w:val="0"/>
    <w:pPr>
      <w:numPr>
        <w:ilvl w:val="2"/>
        <w:numId w:val="4"/>
      </w:numPr>
      <w:tabs>
        <w:tab w:val="left" w:pos="857"/>
      </w:tabs>
      <w:spacing w:before="240" w:after="240" w:line="480" w:lineRule="auto"/>
      <w:jc w:val="left"/>
    </w:pPr>
    <w:rPr>
      <w:rFonts w:ascii="宋体" w:hAnsi="宋体"/>
    </w:rPr>
  </w:style>
  <w:style w:type="paragraph" w:customStyle="1" w:styleId="40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5">
    <w:name w:val="纯文本2"/>
    <w:basedOn w:val="404"/>
    <w:qFormat/>
    <w:uiPriority w:val="0"/>
    <w:pPr>
      <w:adjustRightInd w:val="0"/>
      <w:snapToGrid w:val="0"/>
      <w:spacing w:line="288" w:lineRule="auto"/>
      <w:ind w:firstLine="200" w:firstLineChars="200"/>
    </w:pPr>
    <w:rPr>
      <w:rFonts w:ascii="宋体" w:hAnsi="Courier New"/>
    </w:rPr>
  </w:style>
  <w:style w:type="paragraph" w:customStyle="1" w:styleId="406">
    <w:name w:val="列出段落3"/>
    <w:basedOn w:val="1"/>
    <w:qFormat/>
    <w:uiPriority w:val="99"/>
    <w:pPr>
      <w:widowControl/>
      <w:ind w:firstLine="420" w:firstLineChars="200"/>
      <w:jc w:val="left"/>
    </w:pPr>
    <w:rPr>
      <w:rFonts w:ascii="宋体" w:hAnsi="宋体" w:cs="宋体"/>
      <w:kern w:val="0"/>
      <w:sz w:val="24"/>
    </w:rPr>
  </w:style>
  <w:style w:type="paragraph" w:customStyle="1" w:styleId="407">
    <w:name w:val="List Paragraph1"/>
    <w:basedOn w:val="1"/>
    <w:qFormat/>
    <w:uiPriority w:val="34"/>
    <w:pPr>
      <w:ind w:firstLine="420" w:firstLineChars="200"/>
    </w:pPr>
    <w:rPr>
      <w:rFonts w:ascii="等线" w:hAnsi="等线"/>
    </w:rPr>
  </w:style>
  <w:style w:type="paragraph" w:customStyle="1" w:styleId="408">
    <w:name w:val="_Style 4"/>
    <w:basedOn w:val="1"/>
    <w:qFormat/>
    <w:uiPriority w:val="0"/>
    <w:pPr>
      <w:ind w:firstLine="420" w:firstLineChars="200"/>
    </w:pPr>
    <w:rPr>
      <w:rFonts w:ascii="Times New Roman" w:hAnsi="Times New Roman"/>
      <w:szCs w:val="20"/>
    </w:rPr>
  </w:style>
  <w:style w:type="character" w:customStyle="1" w:styleId="409">
    <w:name w:val="无"/>
    <w:qFormat/>
    <w:uiPriority w:val="0"/>
  </w:style>
  <w:style w:type="paragraph" w:customStyle="1" w:styleId="410">
    <w:name w:val="正文 A"/>
    <w:qFormat/>
    <w:uiPriority w:val="0"/>
    <w:pPr>
      <w:framePr w:wrap="around" w:vAnchor="margin" w:hAnchor="text" w:y="1"/>
      <w:widowControl w:val="0"/>
      <w:jc w:val="both"/>
    </w:pPr>
    <w:rPr>
      <w:rFonts w:ascii="等线" w:hAnsi="等线" w:eastAsia="等线 Light" w:cs="等线 Light"/>
      <w:color w:val="000000"/>
      <w:kern w:val="2"/>
      <w:sz w:val="21"/>
      <w:szCs w:val="21"/>
      <w:u w:color="000000"/>
      <w:lang w:val="en-US" w:eastAsia="zh-CN" w:bidi="ar-SA"/>
    </w:rPr>
  </w:style>
  <w:style w:type="paragraph" w:customStyle="1" w:styleId="411">
    <w:name w:val="修订2"/>
    <w:hidden/>
    <w:semiHidden/>
    <w:qFormat/>
    <w:uiPriority w:val="99"/>
    <w:rPr>
      <w:rFonts w:ascii="Calibri" w:hAnsi="Calibri" w:eastAsia="宋体" w:cs="Times New Roman"/>
      <w:kern w:val="2"/>
      <w:sz w:val="21"/>
      <w:szCs w:val="24"/>
      <w:lang w:val="en-US" w:eastAsia="zh-CN" w:bidi="ar-SA"/>
    </w:rPr>
  </w:style>
  <w:style w:type="paragraph" w:customStyle="1" w:styleId="412">
    <w:name w:val="Revision"/>
    <w:hidden/>
    <w:semiHidden/>
    <w:qFormat/>
    <w:uiPriority w:val="99"/>
    <w:rPr>
      <w:rFonts w:ascii="Calibri" w:hAnsi="Calibri" w:eastAsia="宋体" w:cs="Times New Roman"/>
      <w:kern w:val="2"/>
      <w:sz w:val="21"/>
      <w:szCs w:val="24"/>
      <w:lang w:val="en-US" w:eastAsia="zh-CN" w:bidi="ar-SA"/>
    </w:rPr>
  </w:style>
  <w:style w:type="paragraph" w:customStyle="1" w:styleId="413">
    <w:name w:val="17“1.”四级标题"/>
    <w:basedOn w:val="414"/>
    <w:qFormat/>
    <w:uiPriority w:val="0"/>
    <w:pPr>
      <w:numPr>
        <w:ilvl w:val="3"/>
        <w:numId w:val="5"/>
      </w:numPr>
      <w:ind w:firstLine="803" w:firstLineChars="200"/>
    </w:pPr>
    <w:rPr>
      <w:rFonts w:ascii="宋体" w:hAnsi="宋体" w:eastAsia="宋体"/>
    </w:rPr>
  </w:style>
  <w:style w:type="paragraph" w:customStyle="1" w:styleId="414">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15">
    <w:name w:val="16、“(一)”三级标题"/>
    <w:basedOn w:val="416"/>
    <w:qFormat/>
    <w:uiPriority w:val="0"/>
    <w:pPr>
      <w:numPr>
        <w:ilvl w:val="2"/>
        <w:numId w:val="5"/>
      </w:numPr>
      <w:ind w:firstLine="803" w:firstLineChars="200"/>
      <w:outlineLvl w:val="2"/>
    </w:pPr>
    <w:rPr>
      <w:rFonts w:ascii="宋体" w:hAnsi="宋体" w:eastAsia="宋体"/>
      <w:b/>
    </w:rPr>
  </w:style>
  <w:style w:type="paragraph" w:customStyle="1" w:styleId="416">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417">
    <w:name w:val="19、“(1)”六级标题"/>
    <w:basedOn w:val="413"/>
    <w:qFormat/>
    <w:uiPriority w:val="0"/>
    <w:pPr>
      <w:numPr>
        <w:ilvl w:val="5"/>
        <w:numId w:val="5"/>
      </w:numPr>
      <w:ind w:firstLine="803" w:firstLineChars="200"/>
    </w:pPr>
  </w:style>
  <w:style w:type="character" w:customStyle="1" w:styleId="418">
    <w:name w:val="NormalCharacter"/>
    <w:qFormat/>
    <w:uiPriority w:val="0"/>
  </w:style>
  <w:style w:type="paragraph" w:customStyle="1" w:styleId="419">
    <w:name w:val="Body Text First Indent1"/>
    <w:basedOn w:val="21"/>
    <w:next w:val="23"/>
    <w:qFormat/>
    <w:uiPriority w:val="0"/>
    <w:pPr>
      <w:ind w:firstLine="420" w:firstLineChars="100"/>
    </w:pPr>
    <w:rPr>
      <w:rFonts w:ascii="Calibri" w:hAnsi="Calibri" w:cs="Calibri"/>
      <w:szCs w:val="21"/>
    </w:rPr>
  </w:style>
  <w:style w:type="paragraph" w:customStyle="1" w:styleId="420">
    <w:name w:val="Plain Text"/>
    <w:basedOn w:val="1"/>
    <w:qFormat/>
    <w:uiPriority w:val="0"/>
    <w:rPr>
      <w:rFonts w:ascii="宋体" w:hAnsi="Courier New"/>
      <w:szCs w:val="20"/>
    </w:rPr>
  </w:style>
  <w:style w:type="paragraph" w:customStyle="1" w:styleId="421">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29253</Words>
  <Characters>30435</Characters>
  <Lines>222</Lines>
  <Paragraphs>62</Paragraphs>
  <TotalTime>14</TotalTime>
  <ScaleCrop>false</ScaleCrop>
  <LinksUpToDate>false</LinksUpToDate>
  <CharactersWithSpaces>32428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2021-06-23T10:06:00Z</dcterms:created>
  <dc:creator>can</dc:creator>
  <cp:lastModifiedBy>黄小茹</cp:lastModifiedBy>
  <cp:lastPrinted>2021-09-25T06:33:00Z</cp:lastPrinted>
  <dcterms:modified xsi:type="dcterms:W3CDTF">2023-07-06T03:57:22Z</dcterms:modified>
  <dc:title>温州市政府集中采购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CF5566388CA54AFB80531FEC4B4A1D6A_13</vt:lpwstr>
  </property>
</Properties>
</file>