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b/>
          <w:bCs/>
          <w:spacing w:val="100"/>
          <w:sz w:val="84"/>
          <w:szCs w:val="84"/>
        </w:rPr>
      </w:pPr>
      <w:r>
        <w:rPr>
          <w:rFonts w:hint="eastAsia" w:ascii="宋体" w:hAnsi="宋体" w:cs="宋体"/>
          <w:b/>
          <w:bCs/>
          <w:spacing w:val="100"/>
          <w:sz w:val="84"/>
          <w:szCs w:val="84"/>
        </w:rPr>
        <w:t>温州市政府采购</w:t>
      </w:r>
    </w:p>
    <w:p>
      <w:pPr>
        <w:jc w:val="center"/>
        <w:rPr>
          <w:rFonts w:ascii="宋体" w:hAnsi="宋体" w:cs="宋体"/>
          <w:b/>
          <w:bCs/>
          <w:spacing w:val="26"/>
          <w:sz w:val="52"/>
        </w:rPr>
      </w:pPr>
    </w:p>
    <w:p>
      <w:pPr>
        <w:jc w:val="center"/>
        <w:rPr>
          <w:rFonts w:ascii="宋体" w:hAnsi="宋体" w:cs="宋体"/>
          <w:b/>
          <w:bCs/>
          <w:spacing w:val="26"/>
          <w:sz w:val="52"/>
        </w:rPr>
      </w:pPr>
    </w:p>
    <w:p>
      <w:pPr>
        <w:jc w:val="center"/>
        <w:rPr>
          <w:rFonts w:ascii="宋体" w:hAnsi="宋体" w:cs="宋体"/>
          <w:b/>
          <w:bCs/>
          <w:spacing w:val="26"/>
          <w:sz w:val="52"/>
        </w:rPr>
      </w:pPr>
    </w:p>
    <w:p>
      <w:pPr>
        <w:jc w:val="center"/>
        <w:rPr>
          <w:rFonts w:ascii="宋体" w:hAnsi="宋体" w:cs="宋体"/>
          <w:b/>
          <w:bCs/>
          <w:spacing w:val="140"/>
          <w:sz w:val="84"/>
          <w:szCs w:val="84"/>
        </w:rPr>
      </w:pPr>
      <w:r>
        <w:rPr>
          <w:rFonts w:hint="eastAsia" w:ascii="宋体" w:hAnsi="宋体" w:cs="宋体"/>
          <w:b/>
          <w:bCs/>
          <w:spacing w:val="140"/>
          <w:sz w:val="84"/>
          <w:szCs w:val="84"/>
        </w:rPr>
        <w:t>采购文件</w:t>
      </w:r>
    </w:p>
    <w:p>
      <w:pPr>
        <w:spacing w:line="600" w:lineRule="exact"/>
        <w:jc w:val="center"/>
        <w:rPr>
          <w:rFonts w:ascii="宋体" w:hAnsi="宋体" w:cs="宋体"/>
          <w:b/>
          <w:bCs/>
          <w:spacing w:val="140"/>
          <w:sz w:val="84"/>
          <w:szCs w:val="84"/>
        </w:rPr>
      </w:pPr>
    </w:p>
    <w:p>
      <w:pPr>
        <w:spacing w:line="400" w:lineRule="exact"/>
        <w:jc w:val="center"/>
        <w:rPr>
          <w:rFonts w:ascii="宋体" w:hAnsi="宋体" w:cs="宋体"/>
          <w:b/>
          <w:bCs/>
          <w:sz w:val="32"/>
          <w:szCs w:val="32"/>
        </w:rPr>
      </w:pPr>
    </w:p>
    <w:p>
      <w:pPr>
        <w:pStyle w:val="3"/>
        <w:rPr>
          <w:rFonts w:ascii="宋体" w:hAnsi="宋体" w:cs="宋体"/>
        </w:rPr>
      </w:pPr>
    </w:p>
    <w:p>
      <w:pPr>
        <w:jc w:val="center"/>
        <w:rPr>
          <w:rFonts w:ascii="宋体" w:hAnsi="宋体" w:cs="宋体"/>
          <w:spacing w:val="40"/>
          <w:sz w:val="30"/>
          <w:szCs w:val="30"/>
        </w:rPr>
      </w:pPr>
    </w:p>
    <w:p>
      <w:pPr>
        <w:jc w:val="center"/>
        <w:rPr>
          <w:rFonts w:ascii="宋体" w:hAnsi="宋体" w:cs="宋体"/>
          <w:spacing w:val="40"/>
          <w:sz w:val="30"/>
          <w:szCs w:val="30"/>
        </w:rPr>
      </w:pPr>
    </w:p>
    <w:p>
      <w:pPr>
        <w:jc w:val="center"/>
        <w:rPr>
          <w:rFonts w:ascii="宋体" w:hAnsi="宋体" w:cs="宋体"/>
          <w:spacing w:val="40"/>
          <w:sz w:val="30"/>
          <w:szCs w:val="30"/>
        </w:rPr>
      </w:pPr>
    </w:p>
    <w:tbl>
      <w:tblPr>
        <w:tblStyle w:val="56"/>
        <w:tblW w:w="0" w:type="auto"/>
        <w:jc w:val="center"/>
        <w:tblLayout w:type="fixed"/>
        <w:tblCellMar>
          <w:top w:w="0" w:type="dxa"/>
          <w:left w:w="108" w:type="dxa"/>
          <w:bottom w:w="0" w:type="dxa"/>
          <w:right w:w="108" w:type="dxa"/>
        </w:tblCellMar>
      </w:tblPr>
      <w:tblGrid>
        <w:gridCol w:w="1483"/>
        <w:gridCol w:w="2694"/>
      </w:tblGrid>
      <w:tr>
        <w:tblPrEx>
          <w:tblCellMar>
            <w:top w:w="0" w:type="dxa"/>
            <w:left w:w="108" w:type="dxa"/>
            <w:bottom w:w="0" w:type="dxa"/>
            <w:right w:w="108" w:type="dxa"/>
          </w:tblCellMar>
        </w:tblPrEx>
        <w:trPr>
          <w:trHeight w:val="707" w:hRule="atLeast"/>
          <w:jc w:val="center"/>
        </w:trPr>
        <w:tc>
          <w:tcPr>
            <w:tcW w:w="1483" w:type="dxa"/>
            <w:vAlign w:val="center"/>
          </w:tcPr>
          <w:p>
            <w:pPr>
              <w:rPr>
                <w:rFonts w:ascii="宋体" w:hAnsi="宋体" w:cs="宋体"/>
                <w:b/>
                <w:sz w:val="28"/>
                <w:szCs w:val="28"/>
              </w:rPr>
            </w:pPr>
            <w:r>
              <w:rPr>
                <w:rFonts w:hint="eastAsia" w:ascii="宋体" w:hAnsi="宋体" w:cs="宋体"/>
                <w:b/>
                <w:sz w:val="28"/>
                <w:szCs w:val="28"/>
              </w:rPr>
              <w:t>项目编号：</w:t>
            </w:r>
          </w:p>
        </w:tc>
        <w:tc>
          <w:tcPr>
            <w:tcW w:w="2694" w:type="dxa"/>
            <w:vAlign w:val="center"/>
          </w:tcPr>
          <w:p>
            <w:pPr>
              <w:rPr>
                <w:rFonts w:ascii="宋体" w:hAnsi="宋体" w:cs="宋体"/>
                <w:b/>
                <w:color w:val="auto"/>
                <w:sz w:val="28"/>
                <w:szCs w:val="28"/>
              </w:rPr>
            </w:pPr>
            <w:r>
              <w:rPr>
                <w:rFonts w:hint="eastAsia" w:ascii="宋体" w:hAnsi="宋体" w:cs="宋体"/>
                <w:b/>
                <w:color w:val="auto"/>
                <w:sz w:val="28"/>
                <w:szCs w:val="28"/>
              </w:rPr>
              <w:t>ZXZB-H20220620-JG</w:t>
            </w:r>
          </w:p>
        </w:tc>
      </w:tr>
      <w:tr>
        <w:tblPrEx>
          <w:tblCellMar>
            <w:top w:w="0" w:type="dxa"/>
            <w:left w:w="108" w:type="dxa"/>
            <w:bottom w:w="0" w:type="dxa"/>
            <w:right w:w="108" w:type="dxa"/>
          </w:tblCellMar>
        </w:tblPrEx>
        <w:trPr>
          <w:trHeight w:val="942" w:hRule="atLeast"/>
          <w:jc w:val="center"/>
        </w:trPr>
        <w:tc>
          <w:tcPr>
            <w:tcW w:w="1483" w:type="dxa"/>
            <w:vAlign w:val="center"/>
          </w:tcPr>
          <w:p>
            <w:pPr>
              <w:rPr>
                <w:rFonts w:ascii="宋体" w:hAnsi="宋体" w:cs="宋体"/>
                <w:b/>
                <w:sz w:val="28"/>
                <w:szCs w:val="28"/>
              </w:rPr>
            </w:pPr>
            <w:r>
              <w:rPr>
                <w:rFonts w:hint="eastAsia" w:ascii="宋体" w:hAnsi="宋体" w:cs="宋体"/>
                <w:b/>
                <w:sz w:val="28"/>
                <w:szCs w:val="28"/>
              </w:rPr>
              <w:t>项目名称：</w:t>
            </w:r>
          </w:p>
        </w:tc>
        <w:tc>
          <w:tcPr>
            <w:tcW w:w="2694" w:type="dxa"/>
            <w:vAlign w:val="center"/>
          </w:tcPr>
          <w:p>
            <w:pPr>
              <w:rPr>
                <w:rFonts w:hint="eastAsia" w:ascii="宋体" w:hAnsi="宋体" w:eastAsia="宋体" w:cs="宋体"/>
                <w:b/>
                <w:color w:val="auto"/>
                <w:sz w:val="28"/>
                <w:szCs w:val="28"/>
                <w:lang w:eastAsia="zh-CN"/>
              </w:rPr>
            </w:pPr>
            <w:r>
              <w:rPr>
                <w:rFonts w:hint="eastAsia" w:ascii="宋体" w:hAnsi="宋体" w:cs="宋体"/>
                <w:b/>
                <w:color w:val="auto"/>
                <w:sz w:val="28"/>
                <w:szCs w:val="28"/>
                <w:lang w:eastAsia="zh-CN"/>
              </w:rPr>
              <w:t>温州市执法局网络安全加固项目</w:t>
            </w:r>
          </w:p>
        </w:tc>
      </w:tr>
      <w:tr>
        <w:tblPrEx>
          <w:tblCellMar>
            <w:top w:w="0" w:type="dxa"/>
            <w:left w:w="108" w:type="dxa"/>
            <w:bottom w:w="0" w:type="dxa"/>
            <w:right w:w="108" w:type="dxa"/>
          </w:tblCellMar>
        </w:tblPrEx>
        <w:trPr>
          <w:trHeight w:val="707" w:hRule="atLeast"/>
          <w:jc w:val="center"/>
        </w:trPr>
        <w:tc>
          <w:tcPr>
            <w:tcW w:w="1483" w:type="dxa"/>
            <w:vAlign w:val="center"/>
          </w:tcPr>
          <w:p>
            <w:pPr>
              <w:rPr>
                <w:rFonts w:ascii="宋体" w:hAnsi="宋体" w:cs="宋体"/>
                <w:b/>
                <w:sz w:val="28"/>
                <w:szCs w:val="28"/>
              </w:rPr>
            </w:pPr>
            <w:r>
              <w:rPr>
                <w:rFonts w:hint="eastAsia" w:ascii="宋体" w:hAnsi="宋体" w:cs="宋体"/>
                <w:b/>
                <w:sz w:val="28"/>
                <w:szCs w:val="28"/>
              </w:rPr>
              <w:t>采购方式：</w:t>
            </w:r>
          </w:p>
        </w:tc>
        <w:tc>
          <w:tcPr>
            <w:tcW w:w="2694" w:type="dxa"/>
            <w:vAlign w:val="center"/>
          </w:tcPr>
          <w:p>
            <w:pPr>
              <w:rPr>
                <w:rFonts w:ascii="宋体" w:hAnsi="宋体" w:cs="宋体"/>
                <w:b/>
                <w:sz w:val="28"/>
                <w:szCs w:val="28"/>
              </w:rPr>
            </w:pPr>
            <w:r>
              <w:rPr>
                <w:rFonts w:hint="eastAsia" w:ascii="宋体" w:hAnsi="宋体" w:cs="宋体"/>
                <w:b/>
                <w:sz w:val="28"/>
                <w:szCs w:val="28"/>
              </w:rPr>
              <w:t>公开招标</w:t>
            </w:r>
          </w:p>
        </w:tc>
      </w:tr>
    </w:tbl>
    <w:p>
      <w:pPr>
        <w:spacing w:line="600" w:lineRule="exact"/>
        <w:jc w:val="center"/>
        <w:rPr>
          <w:rFonts w:ascii="宋体" w:hAnsi="宋体" w:cs="宋体"/>
          <w:b/>
          <w:sz w:val="30"/>
          <w:szCs w:val="30"/>
        </w:rPr>
      </w:pPr>
    </w:p>
    <w:p>
      <w:pPr>
        <w:spacing w:line="600" w:lineRule="exact"/>
        <w:jc w:val="center"/>
        <w:rPr>
          <w:rFonts w:ascii="宋体" w:hAnsi="宋体" w:cs="宋体"/>
          <w:b/>
          <w:sz w:val="30"/>
          <w:szCs w:val="30"/>
        </w:rPr>
      </w:pPr>
    </w:p>
    <w:p>
      <w:pPr>
        <w:spacing w:line="600" w:lineRule="exact"/>
        <w:jc w:val="center"/>
        <w:rPr>
          <w:rFonts w:ascii="宋体" w:hAnsi="宋体" w:cs="宋体"/>
          <w:b/>
          <w:sz w:val="30"/>
          <w:szCs w:val="30"/>
        </w:rPr>
      </w:pPr>
    </w:p>
    <w:p>
      <w:pPr>
        <w:spacing w:line="600" w:lineRule="exact"/>
        <w:jc w:val="center"/>
        <w:rPr>
          <w:rFonts w:ascii="宋体" w:hAnsi="宋体" w:cs="宋体"/>
          <w:b/>
          <w:sz w:val="30"/>
          <w:szCs w:val="30"/>
        </w:rPr>
      </w:pPr>
    </w:p>
    <w:p>
      <w:pPr>
        <w:rPr>
          <w:rFonts w:ascii="宋体" w:hAnsi="宋体" w:cs="宋体"/>
        </w:rPr>
      </w:pPr>
    </w:p>
    <w:p>
      <w:pPr>
        <w:pStyle w:val="18"/>
        <w:rPr>
          <w:rFonts w:ascii="宋体" w:hAnsi="宋体" w:cs="宋体"/>
        </w:rPr>
      </w:pPr>
    </w:p>
    <w:tbl>
      <w:tblPr>
        <w:tblStyle w:val="56"/>
        <w:tblW w:w="0" w:type="auto"/>
        <w:jc w:val="center"/>
        <w:tblLayout w:type="fixed"/>
        <w:tblCellMar>
          <w:top w:w="0" w:type="dxa"/>
          <w:left w:w="108" w:type="dxa"/>
          <w:bottom w:w="0" w:type="dxa"/>
          <w:right w:w="108" w:type="dxa"/>
        </w:tblCellMar>
      </w:tblPr>
      <w:tblGrid>
        <w:gridCol w:w="1342"/>
        <w:gridCol w:w="236"/>
        <w:gridCol w:w="4374"/>
      </w:tblGrid>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宋体" w:hAnsi="宋体" w:cs="宋体"/>
                <w:b/>
                <w:sz w:val="28"/>
                <w:szCs w:val="28"/>
              </w:rPr>
            </w:pPr>
            <w:r>
              <w:rPr>
                <w:rFonts w:hint="eastAsia" w:ascii="宋体" w:hAnsi="宋体" w:cs="宋体"/>
                <w:b/>
                <w:sz w:val="28"/>
                <w:szCs w:val="28"/>
              </w:rPr>
              <w:t>采购人</w:t>
            </w:r>
          </w:p>
        </w:tc>
        <w:tc>
          <w:tcPr>
            <w:tcW w:w="236" w:type="dxa"/>
            <w:vAlign w:val="center"/>
          </w:tcPr>
          <w:p>
            <w:pPr>
              <w:jc w:val="distribute"/>
              <w:rPr>
                <w:rFonts w:ascii="宋体" w:hAnsi="宋体" w:cs="宋体"/>
                <w:b/>
                <w:sz w:val="28"/>
                <w:szCs w:val="28"/>
              </w:rPr>
            </w:pPr>
            <w:r>
              <w:rPr>
                <w:rFonts w:hint="eastAsia" w:ascii="宋体" w:hAnsi="宋体" w:cs="宋体"/>
                <w:b/>
                <w:sz w:val="28"/>
                <w:szCs w:val="28"/>
              </w:rPr>
              <w:t>：</w:t>
            </w:r>
          </w:p>
        </w:tc>
        <w:tc>
          <w:tcPr>
            <w:tcW w:w="4374" w:type="dxa"/>
            <w:vAlign w:val="center"/>
          </w:tcPr>
          <w:p>
            <w:pPr>
              <w:jc w:val="distribute"/>
              <w:rPr>
                <w:rFonts w:ascii="宋体" w:hAnsi="宋体" w:cs="宋体"/>
                <w:b/>
                <w:sz w:val="28"/>
                <w:szCs w:val="28"/>
              </w:rPr>
            </w:pPr>
            <w:r>
              <w:rPr>
                <w:rFonts w:hint="eastAsia" w:ascii="宋体" w:hAnsi="宋体" w:cs="宋体"/>
                <w:b/>
                <w:sz w:val="28"/>
                <w:szCs w:val="28"/>
              </w:rPr>
              <w:t>温州市综合行政执法局</w:t>
            </w:r>
          </w:p>
        </w:tc>
      </w:tr>
      <w:tr>
        <w:tblPrEx>
          <w:tblCellMar>
            <w:top w:w="0" w:type="dxa"/>
            <w:left w:w="108" w:type="dxa"/>
            <w:bottom w:w="0" w:type="dxa"/>
            <w:right w:w="108" w:type="dxa"/>
          </w:tblCellMar>
        </w:tblPrEx>
        <w:trPr>
          <w:trHeight w:val="707" w:hRule="atLeast"/>
          <w:jc w:val="center"/>
        </w:trPr>
        <w:tc>
          <w:tcPr>
            <w:tcW w:w="1342" w:type="dxa"/>
            <w:vAlign w:val="center"/>
          </w:tcPr>
          <w:p>
            <w:pPr>
              <w:jc w:val="distribute"/>
              <w:rPr>
                <w:rFonts w:ascii="宋体" w:hAnsi="宋体" w:cs="宋体"/>
                <w:b/>
                <w:sz w:val="28"/>
                <w:szCs w:val="28"/>
              </w:rPr>
            </w:pPr>
            <w:r>
              <w:rPr>
                <w:rFonts w:hint="eastAsia" w:ascii="宋体" w:hAnsi="宋体" w:cs="宋体"/>
                <w:b/>
                <w:sz w:val="28"/>
                <w:szCs w:val="28"/>
              </w:rPr>
              <w:t>代理机构</w:t>
            </w:r>
          </w:p>
        </w:tc>
        <w:tc>
          <w:tcPr>
            <w:tcW w:w="236" w:type="dxa"/>
            <w:vAlign w:val="center"/>
          </w:tcPr>
          <w:p>
            <w:pPr>
              <w:jc w:val="distribute"/>
              <w:rPr>
                <w:rFonts w:ascii="宋体" w:hAnsi="宋体" w:cs="宋体"/>
                <w:b/>
                <w:sz w:val="28"/>
                <w:szCs w:val="28"/>
              </w:rPr>
            </w:pPr>
            <w:r>
              <w:rPr>
                <w:rFonts w:hint="eastAsia" w:ascii="宋体" w:hAnsi="宋体" w:cs="宋体"/>
                <w:b/>
                <w:sz w:val="28"/>
                <w:szCs w:val="28"/>
              </w:rPr>
              <w:t>：</w:t>
            </w:r>
          </w:p>
        </w:tc>
        <w:tc>
          <w:tcPr>
            <w:tcW w:w="4374" w:type="dxa"/>
            <w:vAlign w:val="center"/>
          </w:tcPr>
          <w:p>
            <w:pPr>
              <w:jc w:val="distribute"/>
              <w:rPr>
                <w:rFonts w:ascii="宋体" w:hAnsi="宋体" w:cs="宋体"/>
                <w:b/>
                <w:sz w:val="28"/>
                <w:szCs w:val="28"/>
              </w:rPr>
            </w:pPr>
            <w:r>
              <w:rPr>
                <w:rFonts w:hint="eastAsia" w:ascii="宋体" w:hAnsi="宋体" w:cs="宋体"/>
                <w:b/>
                <w:sz w:val="28"/>
                <w:szCs w:val="28"/>
              </w:rPr>
              <w:t>温州市智信招标代理有限公司</w:t>
            </w:r>
          </w:p>
        </w:tc>
      </w:tr>
    </w:tbl>
    <w:p>
      <w:pPr>
        <w:spacing w:line="600" w:lineRule="exact"/>
        <w:jc w:val="center"/>
        <w:rPr>
          <w:rFonts w:ascii="宋体" w:hAnsi="宋体" w:cs="宋体"/>
          <w:b/>
          <w:sz w:val="30"/>
          <w:szCs w:val="30"/>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pgNumType w:start="0"/>
          <w:cols w:space="720" w:num="1"/>
          <w:titlePg/>
          <w:docGrid w:linePitch="312" w:charSpace="0"/>
        </w:sectPr>
      </w:pPr>
      <w:r>
        <w:rPr>
          <w:rFonts w:hint="eastAsia" w:ascii="宋体" w:hAnsi="宋体" w:cs="宋体"/>
          <w:b/>
          <w:sz w:val="30"/>
          <w:szCs w:val="30"/>
        </w:rPr>
        <w:t xml:space="preserve">     二○二二年</w:t>
      </w:r>
      <w:r>
        <w:rPr>
          <w:rFonts w:hint="eastAsia" w:ascii="宋体" w:hAnsi="宋体" w:cs="宋体"/>
          <w:b/>
          <w:sz w:val="30"/>
          <w:szCs w:val="30"/>
          <w:lang w:val="en-US" w:eastAsia="zh-CN"/>
        </w:rPr>
        <w:t>七</w:t>
      </w:r>
      <w:r>
        <w:rPr>
          <w:rFonts w:hint="eastAsia" w:ascii="宋体" w:hAnsi="宋体" w:cs="宋体"/>
          <w:b/>
          <w:sz w:val="30"/>
          <w:szCs w:val="30"/>
        </w:rPr>
        <w:t>月</w:t>
      </w:r>
    </w:p>
    <w:p>
      <w:pPr>
        <w:pStyle w:val="41"/>
        <w:tabs>
          <w:tab w:val="right" w:leader="dot" w:pos="9638"/>
        </w:tabs>
        <w:ind w:left="1030" w:hanging="1030"/>
        <w:jc w:val="center"/>
        <w:rPr>
          <w:rFonts w:ascii="宋体" w:hAnsi="宋体" w:eastAsia="宋体" w:cs="宋体"/>
          <w:b/>
          <w:bCs/>
          <w:sz w:val="30"/>
          <w:szCs w:val="30"/>
        </w:rPr>
      </w:pPr>
      <w:r>
        <w:rPr>
          <w:rFonts w:hint="eastAsia" w:ascii="宋体" w:hAnsi="宋体" w:eastAsia="宋体" w:cs="宋体"/>
          <w:b/>
          <w:bCs/>
          <w:sz w:val="30"/>
          <w:szCs w:val="30"/>
        </w:rPr>
        <w:t>目 录</w:t>
      </w:r>
    </w:p>
    <w:p>
      <w:pPr>
        <w:rPr>
          <w:rFonts w:ascii="宋体" w:hAnsi="宋体" w:cs="宋体"/>
        </w:rPr>
      </w:pPr>
    </w:p>
    <w:p>
      <w:pPr>
        <w:pStyle w:val="41"/>
        <w:tabs>
          <w:tab w:val="right" w:leader="dot" w:pos="9628"/>
        </w:tabs>
        <w:spacing w:line="480" w:lineRule="auto"/>
        <w:ind w:left="824" w:hanging="824"/>
        <w:rPr>
          <w:rFonts w:ascii="宋体" w:hAnsi="宋体" w:eastAsia="宋体" w:cs="宋体"/>
          <w:b/>
          <w:bCs/>
          <w:sz w:val="24"/>
        </w:rPr>
      </w:pPr>
    </w:p>
    <w:p>
      <w:pPr>
        <w:pStyle w:val="41"/>
        <w:tabs>
          <w:tab w:val="right" w:leader="dot" w:pos="9628"/>
        </w:tabs>
        <w:spacing w:line="480" w:lineRule="auto"/>
        <w:ind w:left="824" w:hanging="824"/>
        <w:rPr>
          <w:rFonts w:ascii="宋体" w:hAnsi="宋体" w:eastAsia="宋体" w:cs="宋体"/>
          <w:sz w:val="24"/>
        </w:rPr>
      </w:pPr>
      <w:r>
        <w:rPr>
          <w:rFonts w:hint="eastAsia" w:ascii="宋体" w:hAnsi="宋体" w:eastAsia="宋体" w:cs="宋体"/>
          <w:b/>
          <w:bCs/>
          <w:sz w:val="24"/>
        </w:rPr>
        <w:fldChar w:fldCharType="begin"/>
      </w:r>
      <w:r>
        <w:rPr>
          <w:rFonts w:hint="eastAsia" w:ascii="宋体" w:hAnsi="宋体" w:eastAsia="宋体" w:cs="宋体"/>
          <w:b/>
          <w:bCs/>
          <w:sz w:val="24"/>
        </w:rPr>
        <w:instrText xml:space="preserve">TOC \o "1-3" \h \u </w:instrText>
      </w:r>
      <w:r>
        <w:rPr>
          <w:rFonts w:hint="eastAsia" w:ascii="宋体" w:hAnsi="宋体" w:eastAsia="宋体" w:cs="宋体"/>
          <w:b/>
          <w:bCs/>
          <w:sz w:val="24"/>
        </w:rPr>
        <w:fldChar w:fldCharType="separate"/>
      </w:r>
      <w:r>
        <w:fldChar w:fldCharType="begin"/>
      </w:r>
      <w:r>
        <w:instrText xml:space="preserve"> HYPERLINK \l "_Toc58406681" </w:instrText>
      </w:r>
      <w:r>
        <w:fldChar w:fldCharType="separate"/>
      </w:r>
      <w:r>
        <w:rPr>
          <w:rStyle w:val="68"/>
          <w:rFonts w:hint="eastAsia" w:ascii="宋体" w:hAnsi="宋体" w:eastAsia="宋体" w:cs="宋体"/>
          <w:color w:val="auto"/>
          <w:sz w:val="24"/>
          <w:szCs w:val="24"/>
        </w:rPr>
        <w:t>第一部分  投标人须知</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_Toc58406681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"_Toc58406682" </w:instrText>
      </w:r>
      <w:r>
        <w:fldChar w:fldCharType="separate"/>
      </w:r>
      <w:r>
        <w:rPr>
          <w:rStyle w:val="68"/>
          <w:rFonts w:hint="eastAsia" w:ascii="宋体" w:hAnsi="宋体" w:eastAsia="宋体" w:cs="宋体"/>
          <w:color w:val="auto"/>
          <w:sz w:val="24"/>
          <w:szCs w:val="24"/>
        </w:rPr>
        <w:t>投标人须知前附表</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_Toc58406682 \h </w:instrText>
      </w:r>
      <w:r>
        <w:rPr>
          <w:rFonts w:hint="eastAsia" w:ascii="宋体" w:hAnsi="宋体" w:eastAsia="宋体" w:cs="宋体"/>
          <w:sz w:val="24"/>
        </w:rPr>
        <w:fldChar w:fldCharType="separate"/>
      </w:r>
      <w:r>
        <w:rPr>
          <w:rFonts w:hint="eastAsia" w:ascii="宋体" w:hAnsi="宋体" w:eastAsia="宋体" w:cs="宋体"/>
          <w:sz w:val="24"/>
        </w:rPr>
        <w:t>2</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"_Toc58406683" </w:instrText>
      </w:r>
      <w:r>
        <w:fldChar w:fldCharType="separate"/>
      </w:r>
      <w:r>
        <w:rPr>
          <w:rStyle w:val="68"/>
          <w:rFonts w:hint="eastAsia" w:ascii="宋体" w:hAnsi="宋体" w:eastAsia="宋体" w:cs="宋体"/>
          <w:color w:val="auto"/>
          <w:sz w:val="24"/>
          <w:szCs w:val="24"/>
        </w:rPr>
        <w:t>一、  说明</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_Toc58406683 \h </w:instrText>
      </w:r>
      <w:r>
        <w:rPr>
          <w:rFonts w:hint="eastAsia" w:ascii="宋体" w:hAnsi="宋体" w:cs="宋体"/>
          <w:sz w:val="24"/>
        </w:rPr>
        <w:fldChar w:fldCharType="separate"/>
      </w:r>
      <w:r>
        <w:rPr>
          <w:rFonts w:hint="eastAsia" w:ascii="宋体" w:hAnsi="宋体" w:cs="宋体"/>
          <w:sz w:val="24"/>
        </w:rPr>
        <w:t>7</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"_Toc58406684" </w:instrText>
      </w:r>
      <w:r>
        <w:fldChar w:fldCharType="separate"/>
      </w:r>
      <w:r>
        <w:rPr>
          <w:rStyle w:val="68"/>
          <w:rFonts w:hint="eastAsia" w:ascii="宋体" w:hAnsi="宋体" w:eastAsia="宋体" w:cs="宋体"/>
          <w:color w:val="auto"/>
          <w:sz w:val="24"/>
          <w:szCs w:val="24"/>
        </w:rPr>
        <w:t>二、 采购文件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_Toc58406684 \h </w:instrText>
      </w:r>
      <w:r>
        <w:rPr>
          <w:rFonts w:hint="eastAsia" w:ascii="宋体" w:hAnsi="宋体" w:cs="宋体"/>
          <w:sz w:val="24"/>
        </w:rPr>
        <w:fldChar w:fldCharType="separate"/>
      </w:r>
      <w:r>
        <w:rPr>
          <w:rFonts w:hint="eastAsia" w:ascii="宋体" w:hAnsi="宋体" w:cs="宋体"/>
          <w:sz w:val="24"/>
        </w:rPr>
        <w:t>8</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"_Toc58406685" </w:instrText>
      </w:r>
      <w:r>
        <w:fldChar w:fldCharType="separate"/>
      </w:r>
      <w:r>
        <w:rPr>
          <w:rStyle w:val="68"/>
          <w:rFonts w:hint="eastAsia" w:ascii="宋体" w:hAnsi="宋体" w:eastAsia="宋体" w:cs="宋体"/>
          <w:color w:val="auto"/>
          <w:sz w:val="24"/>
          <w:szCs w:val="24"/>
        </w:rPr>
        <w:t>三、 投标文件的编制</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_Toc58406685 \h </w:instrText>
      </w:r>
      <w:r>
        <w:rPr>
          <w:rFonts w:hint="eastAsia" w:ascii="宋体" w:hAnsi="宋体" w:cs="宋体"/>
          <w:sz w:val="24"/>
        </w:rPr>
        <w:fldChar w:fldCharType="separate"/>
      </w:r>
      <w:r>
        <w:rPr>
          <w:rFonts w:hint="eastAsia" w:ascii="宋体" w:hAnsi="宋体" w:cs="宋体"/>
          <w:sz w:val="24"/>
        </w:rPr>
        <w:t>9</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"_Toc58406686" </w:instrText>
      </w:r>
      <w:r>
        <w:fldChar w:fldCharType="separate"/>
      </w:r>
      <w:r>
        <w:rPr>
          <w:rStyle w:val="68"/>
          <w:rFonts w:hint="eastAsia" w:ascii="宋体" w:hAnsi="宋体" w:eastAsia="宋体" w:cs="宋体"/>
          <w:color w:val="auto"/>
          <w:sz w:val="24"/>
          <w:szCs w:val="24"/>
        </w:rPr>
        <w:t>四、 投标文件的递交</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_Toc58406686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"_Toc58406687" </w:instrText>
      </w:r>
      <w:r>
        <w:fldChar w:fldCharType="separate"/>
      </w:r>
      <w:r>
        <w:rPr>
          <w:rStyle w:val="68"/>
          <w:rFonts w:hint="eastAsia" w:ascii="宋体" w:hAnsi="宋体" w:eastAsia="宋体" w:cs="宋体"/>
          <w:color w:val="auto"/>
          <w:sz w:val="24"/>
          <w:szCs w:val="24"/>
        </w:rPr>
        <w:t>五、 开标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_Toc58406687 \h </w:instrText>
      </w:r>
      <w:r>
        <w:rPr>
          <w:rFonts w:hint="eastAsia" w:ascii="宋体" w:hAnsi="宋体" w:cs="宋体"/>
          <w:sz w:val="24"/>
        </w:rPr>
        <w:fldChar w:fldCharType="separate"/>
      </w:r>
      <w:r>
        <w:rPr>
          <w:rFonts w:hint="eastAsia" w:ascii="宋体" w:hAnsi="宋体" w:cs="宋体"/>
          <w:sz w:val="24"/>
        </w:rPr>
        <w:t>13</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"_Toc58406688" </w:instrText>
      </w:r>
      <w:r>
        <w:fldChar w:fldCharType="separate"/>
      </w:r>
      <w:r>
        <w:rPr>
          <w:rStyle w:val="68"/>
          <w:rFonts w:hint="eastAsia" w:ascii="宋体" w:hAnsi="宋体" w:eastAsia="宋体" w:cs="宋体"/>
          <w:color w:val="auto"/>
          <w:sz w:val="24"/>
          <w:szCs w:val="24"/>
        </w:rPr>
        <w:t>六、 评  标</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_Toc58406688 \h </w:instrText>
      </w:r>
      <w:r>
        <w:rPr>
          <w:rFonts w:hint="eastAsia" w:ascii="宋体" w:hAnsi="宋体" w:cs="宋体"/>
          <w:sz w:val="24"/>
        </w:rPr>
        <w:fldChar w:fldCharType="separate"/>
      </w:r>
      <w:r>
        <w:rPr>
          <w:rFonts w:hint="eastAsia" w:ascii="宋体" w:hAnsi="宋体" w:cs="宋体"/>
          <w:sz w:val="24"/>
        </w:rPr>
        <w:t>15</w:t>
      </w:r>
      <w:r>
        <w:rPr>
          <w:rFonts w:hint="eastAsia" w:ascii="宋体" w:hAnsi="宋体" w:cs="宋体"/>
          <w:sz w:val="24"/>
        </w:rPr>
        <w:fldChar w:fldCharType="end"/>
      </w:r>
      <w:r>
        <w:rPr>
          <w:rFonts w:hint="eastAsia" w:ascii="宋体" w:hAnsi="宋体" w:cs="宋体"/>
          <w:sz w:val="24"/>
        </w:rPr>
        <w:fldChar w:fldCharType="end"/>
      </w:r>
    </w:p>
    <w:p>
      <w:pPr>
        <w:pStyle w:val="48"/>
        <w:tabs>
          <w:tab w:val="right" w:leader="dot" w:pos="9628"/>
        </w:tabs>
        <w:spacing w:line="480" w:lineRule="auto"/>
        <w:rPr>
          <w:rFonts w:ascii="宋体" w:hAnsi="宋体" w:cs="宋体"/>
          <w:sz w:val="24"/>
        </w:rPr>
      </w:pPr>
      <w:r>
        <w:fldChar w:fldCharType="begin"/>
      </w:r>
      <w:r>
        <w:instrText xml:space="preserve"> HYPERLINK \l "_Toc58406689" </w:instrText>
      </w:r>
      <w:r>
        <w:fldChar w:fldCharType="separate"/>
      </w:r>
      <w:r>
        <w:rPr>
          <w:rStyle w:val="68"/>
          <w:rFonts w:hint="eastAsia" w:ascii="宋体" w:hAnsi="宋体" w:eastAsia="宋体" w:cs="宋体"/>
          <w:color w:val="auto"/>
          <w:sz w:val="24"/>
          <w:szCs w:val="24"/>
        </w:rPr>
        <w:t>七、 授予合同</w:t>
      </w:r>
      <w:r>
        <w:rPr>
          <w:rFonts w:hint="eastAsia" w:ascii="宋体" w:hAnsi="宋体" w:cs="宋体"/>
          <w:sz w:val="24"/>
        </w:rPr>
        <w:tab/>
      </w:r>
      <w:r>
        <w:rPr>
          <w:rFonts w:hint="eastAsia" w:ascii="宋体" w:hAnsi="宋体" w:cs="宋体"/>
          <w:sz w:val="24"/>
        </w:rPr>
        <w:fldChar w:fldCharType="begin"/>
      </w:r>
      <w:r>
        <w:rPr>
          <w:rFonts w:hint="eastAsia" w:ascii="宋体" w:hAnsi="宋体" w:cs="宋体"/>
          <w:sz w:val="24"/>
        </w:rPr>
        <w:instrText xml:space="preserve"> PAGEREF _Toc58406689 \h </w:instrText>
      </w:r>
      <w:r>
        <w:rPr>
          <w:rFonts w:hint="eastAsia" w:ascii="宋体" w:hAnsi="宋体" w:cs="宋体"/>
          <w:sz w:val="24"/>
        </w:rPr>
        <w:fldChar w:fldCharType="separate"/>
      </w:r>
      <w:r>
        <w:rPr>
          <w:rFonts w:hint="eastAsia" w:ascii="宋体" w:hAnsi="宋体" w:cs="宋体"/>
          <w:sz w:val="24"/>
        </w:rPr>
        <w:t>18</w:t>
      </w:r>
      <w:r>
        <w:rPr>
          <w:rFonts w:hint="eastAsia" w:ascii="宋体" w:hAnsi="宋体" w:cs="宋体"/>
          <w:sz w:val="24"/>
        </w:rPr>
        <w:fldChar w:fldCharType="end"/>
      </w:r>
      <w:r>
        <w:rPr>
          <w:rFonts w:hint="eastAsia" w:ascii="宋体" w:hAnsi="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"_Toc58406690" </w:instrText>
      </w:r>
      <w:r>
        <w:fldChar w:fldCharType="separate"/>
      </w:r>
      <w:r>
        <w:rPr>
          <w:rStyle w:val="68"/>
          <w:rFonts w:hint="eastAsia" w:ascii="宋体" w:hAnsi="宋体" w:eastAsia="宋体" w:cs="宋体"/>
          <w:color w:val="auto"/>
          <w:sz w:val="24"/>
          <w:szCs w:val="24"/>
        </w:rPr>
        <w:t>第二部分   政府采购政策功能相关说明</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_Toc58406690 \h </w:instrText>
      </w:r>
      <w:r>
        <w:rPr>
          <w:rFonts w:hint="eastAsia" w:ascii="宋体" w:hAnsi="宋体" w:eastAsia="宋体" w:cs="宋体"/>
          <w:sz w:val="24"/>
        </w:rPr>
        <w:fldChar w:fldCharType="separate"/>
      </w:r>
      <w:r>
        <w:rPr>
          <w:rFonts w:hint="eastAsia" w:ascii="宋体" w:hAnsi="宋体" w:eastAsia="宋体" w:cs="宋体"/>
          <w:sz w:val="24"/>
        </w:rPr>
        <w:t>20</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"_Toc58406691" </w:instrText>
      </w:r>
      <w:r>
        <w:fldChar w:fldCharType="separate"/>
      </w:r>
      <w:r>
        <w:rPr>
          <w:rStyle w:val="68"/>
          <w:rFonts w:hint="eastAsia" w:ascii="宋体" w:hAnsi="宋体" w:eastAsia="宋体" w:cs="宋体"/>
          <w:color w:val="auto"/>
          <w:sz w:val="24"/>
          <w:szCs w:val="24"/>
        </w:rPr>
        <w:t>第三部分   合同条款及格式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_Toc58406691 \h </w:instrText>
      </w:r>
      <w:r>
        <w:rPr>
          <w:rFonts w:hint="eastAsia" w:ascii="宋体" w:hAnsi="宋体" w:eastAsia="宋体" w:cs="宋体"/>
          <w:sz w:val="24"/>
        </w:rPr>
        <w:fldChar w:fldCharType="separate"/>
      </w:r>
      <w:r>
        <w:rPr>
          <w:rFonts w:hint="eastAsia" w:ascii="宋体" w:hAnsi="宋体" w:eastAsia="宋体" w:cs="宋体"/>
          <w:sz w:val="24"/>
        </w:rPr>
        <w:t>20</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"_Toc58406692" </w:instrText>
      </w:r>
      <w:r>
        <w:fldChar w:fldCharType="separate"/>
      </w:r>
      <w:r>
        <w:rPr>
          <w:rStyle w:val="68"/>
          <w:rFonts w:hint="eastAsia" w:ascii="宋体" w:hAnsi="宋体" w:eastAsia="宋体" w:cs="宋体"/>
          <w:color w:val="auto"/>
          <w:sz w:val="24"/>
          <w:szCs w:val="24"/>
        </w:rPr>
        <w:t>第四部分   投标文件格式</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_Toc58406692 \h </w:instrText>
      </w:r>
      <w:r>
        <w:rPr>
          <w:rFonts w:hint="eastAsia" w:ascii="宋体" w:hAnsi="宋体" w:eastAsia="宋体" w:cs="宋体"/>
          <w:sz w:val="24"/>
        </w:rPr>
        <w:fldChar w:fldCharType="separate"/>
      </w:r>
      <w:r>
        <w:rPr>
          <w:rFonts w:hint="eastAsia" w:ascii="宋体" w:hAnsi="宋体" w:eastAsia="宋体" w:cs="宋体"/>
          <w:sz w:val="24"/>
        </w:rPr>
        <w:t>24</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"_Toc58406693" </w:instrText>
      </w:r>
      <w:r>
        <w:fldChar w:fldCharType="separate"/>
      </w:r>
      <w:r>
        <w:rPr>
          <w:rStyle w:val="68"/>
          <w:rFonts w:hint="eastAsia" w:ascii="宋体" w:hAnsi="宋体" w:eastAsia="宋体" w:cs="宋体"/>
          <w:color w:val="auto"/>
          <w:sz w:val="24"/>
          <w:szCs w:val="24"/>
        </w:rPr>
        <w:t>第五部分   采购内容及要求</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_Toc58406693 \h </w:instrText>
      </w:r>
      <w:r>
        <w:rPr>
          <w:rFonts w:hint="eastAsia" w:ascii="宋体" w:hAnsi="宋体" w:eastAsia="宋体" w:cs="宋体"/>
          <w:sz w:val="24"/>
        </w:rPr>
        <w:fldChar w:fldCharType="separate"/>
      </w:r>
      <w:r>
        <w:rPr>
          <w:rFonts w:hint="eastAsia" w:ascii="宋体" w:hAnsi="宋体" w:eastAsia="宋体" w:cs="宋体"/>
          <w:sz w:val="24"/>
        </w:rPr>
        <w:t>53</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41"/>
        <w:tabs>
          <w:tab w:val="right" w:leader="dot" w:pos="9628"/>
        </w:tabs>
        <w:spacing w:line="480" w:lineRule="auto"/>
        <w:rPr>
          <w:rFonts w:ascii="宋体" w:hAnsi="宋体" w:eastAsia="宋体" w:cs="宋体"/>
          <w:sz w:val="24"/>
        </w:rPr>
      </w:pPr>
      <w:r>
        <w:fldChar w:fldCharType="begin"/>
      </w:r>
      <w:r>
        <w:instrText xml:space="preserve"> HYPERLINK \l "_Toc58406694" </w:instrText>
      </w:r>
      <w:r>
        <w:fldChar w:fldCharType="separate"/>
      </w:r>
      <w:r>
        <w:rPr>
          <w:rStyle w:val="68"/>
          <w:rFonts w:hint="eastAsia" w:ascii="宋体" w:hAnsi="宋体" w:eastAsia="宋体" w:cs="宋体"/>
          <w:color w:val="auto"/>
          <w:sz w:val="24"/>
          <w:szCs w:val="24"/>
        </w:rPr>
        <w:t>第六部分   评标原则及方法</w:t>
      </w:r>
      <w:r>
        <w:rPr>
          <w:rFonts w:hint="eastAsia" w:ascii="宋体" w:hAnsi="宋体" w:eastAsia="宋体" w:cs="宋体"/>
          <w:sz w:val="24"/>
        </w:rPr>
        <w:tab/>
      </w:r>
      <w:r>
        <w:rPr>
          <w:rFonts w:hint="eastAsia" w:ascii="宋体" w:hAnsi="宋体" w:eastAsia="宋体" w:cs="宋体"/>
          <w:sz w:val="24"/>
        </w:rPr>
        <w:fldChar w:fldCharType="begin"/>
      </w:r>
      <w:r>
        <w:rPr>
          <w:rFonts w:hint="eastAsia" w:ascii="宋体" w:hAnsi="宋体" w:eastAsia="宋体" w:cs="宋体"/>
          <w:sz w:val="24"/>
        </w:rPr>
        <w:instrText xml:space="preserve"> PAGEREF _Toc58406694 \h </w:instrText>
      </w:r>
      <w:r>
        <w:rPr>
          <w:rFonts w:hint="eastAsia" w:ascii="宋体" w:hAnsi="宋体" w:eastAsia="宋体" w:cs="宋体"/>
          <w:sz w:val="24"/>
        </w:rPr>
        <w:fldChar w:fldCharType="separate"/>
      </w:r>
      <w:r>
        <w:rPr>
          <w:rFonts w:hint="eastAsia" w:ascii="宋体" w:hAnsi="宋体" w:eastAsia="宋体" w:cs="宋体"/>
          <w:sz w:val="24"/>
        </w:rPr>
        <w:t>75</w:t>
      </w:r>
      <w:r>
        <w:rPr>
          <w:rFonts w:hint="eastAsia" w:ascii="宋体" w:hAnsi="宋体" w:eastAsia="宋体" w:cs="宋体"/>
          <w:sz w:val="24"/>
        </w:rPr>
        <w:fldChar w:fldCharType="end"/>
      </w:r>
      <w:r>
        <w:rPr>
          <w:rFonts w:hint="eastAsia" w:ascii="宋体" w:hAnsi="宋体" w:eastAsia="宋体" w:cs="宋体"/>
          <w:sz w:val="24"/>
        </w:rPr>
        <w:fldChar w:fldCharType="end"/>
      </w:r>
    </w:p>
    <w:p>
      <w:pPr>
        <w:pStyle w:val="3"/>
        <w:spacing w:line="480" w:lineRule="auto"/>
        <w:ind w:left="-720"/>
        <w:rPr>
          <w:rFonts w:ascii="宋体" w:hAnsi="宋体" w:cs="宋体"/>
          <w:b/>
          <w:bCs/>
          <w:szCs w:val="21"/>
        </w:rPr>
      </w:pPr>
      <w:r>
        <w:rPr>
          <w:rFonts w:hint="eastAsia" w:ascii="宋体" w:hAnsi="宋体" w:cs="宋体"/>
          <w:bCs/>
          <w:sz w:val="24"/>
        </w:rPr>
        <w:fldChar w:fldCharType="end"/>
      </w:r>
    </w:p>
    <w:p>
      <w:pPr>
        <w:pStyle w:val="2"/>
        <w:ind w:firstLine="320"/>
        <w:rPr>
          <w:rFonts w:ascii="宋体" w:hAnsi="宋体" w:cs="宋体"/>
          <w:b w:val="0"/>
          <w:bCs/>
          <w:szCs w:val="21"/>
        </w:rPr>
      </w:pPr>
    </w:p>
    <w:p>
      <w:pPr>
        <w:pStyle w:val="2"/>
        <w:ind w:firstLine="320"/>
        <w:rPr>
          <w:rFonts w:ascii="宋体" w:hAnsi="宋体" w:cs="宋体"/>
          <w:b w:val="0"/>
          <w:bCs/>
          <w:szCs w:val="21"/>
        </w:rPr>
      </w:pPr>
    </w:p>
    <w:p>
      <w:pPr>
        <w:pStyle w:val="2"/>
        <w:ind w:firstLine="0" w:firstLineChars="0"/>
        <w:rPr>
          <w:rFonts w:ascii="宋体" w:hAnsi="宋体" w:cs="宋体"/>
          <w:b w:val="0"/>
          <w:bCs/>
          <w:szCs w:val="21"/>
        </w:rPr>
      </w:pPr>
    </w:p>
    <w:p>
      <w:pPr>
        <w:spacing w:line="560" w:lineRule="exact"/>
        <w:rPr>
          <w:rFonts w:ascii="宋体" w:hAnsi="宋体" w:cs="宋体"/>
          <w:b/>
          <w:bCs/>
          <w:sz w:val="22"/>
          <w:szCs w:val="22"/>
        </w:rPr>
      </w:pPr>
      <w:r>
        <w:rPr>
          <w:rFonts w:hint="eastAsia" w:ascii="宋体" w:hAnsi="宋体" w:cs="宋体"/>
          <w:b/>
          <w:bCs/>
          <w:sz w:val="22"/>
          <w:szCs w:val="22"/>
        </w:rPr>
        <w:t>注：采购文件中加“▲”且加下划线的条款，为招标的实质性要求和条件，着重提醒各投标人注意，并认真查看采购文件中的每一个条款及要求，因误读采购文件而造成的后果，采购人概不负责。</w:t>
      </w:r>
    </w:p>
    <w:p>
      <w:pPr>
        <w:pStyle w:val="2"/>
        <w:ind w:firstLine="320"/>
        <w:rPr>
          <w:rFonts w:ascii="宋体" w:hAnsi="宋体" w:cs="宋体"/>
          <w:b w:val="0"/>
          <w:bCs/>
          <w:szCs w:val="21"/>
        </w:rPr>
      </w:pPr>
    </w:p>
    <w:p>
      <w:pPr>
        <w:pStyle w:val="6"/>
        <w:rPr>
          <w:rFonts w:ascii="宋体" w:hAnsi="宋体" w:eastAsia="宋体" w:cs="宋体"/>
          <w:sz w:val="36"/>
          <w:szCs w:val="36"/>
        </w:rPr>
      </w:pPr>
      <w:bookmarkStart w:id="0" w:name="_Toc32301"/>
      <w:r>
        <w:rPr>
          <w:rFonts w:hint="eastAsia" w:ascii="宋体" w:hAnsi="宋体" w:eastAsia="宋体" w:cs="宋体"/>
          <w:sz w:val="36"/>
          <w:szCs w:val="36"/>
        </w:rPr>
        <w:br w:type="page"/>
      </w:r>
      <w:bookmarkStart w:id="1" w:name="_Toc58406681"/>
      <w:r>
        <w:rPr>
          <w:rFonts w:hint="eastAsia" w:ascii="宋体" w:hAnsi="宋体" w:eastAsia="宋体" w:cs="宋体"/>
          <w:sz w:val="36"/>
          <w:szCs w:val="36"/>
        </w:rPr>
        <w:t>第一部分  投标人须知</w:t>
      </w:r>
      <w:bookmarkEnd w:id="1"/>
    </w:p>
    <w:p>
      <w:pPr>
        <w:pStyle w:val="6"/>
        <w:rPr>
          <w:rFonts w:ascii="宋体" w:hAnsi="宋体" w:eastAsia="宋体" w:cs="宋体"/>
          <w:sz w:val="36"/>
          <w:szCs w:val="36"/>
        </w:rPr>
      </w:pPr>
      <w:bookmarkStart w:id="2" w:name="_Toc58406682"/>
      <w:r>
        <w:rPr>
          <w:rFonts w:hint="eastAsia" w:ascii="宋体" w:hAnsi="宋体" w:eastAsia="宋体" w:cs="宋体"/>
          <w:sz w:val="36"/>
          <w:szCs w:val="36"/>
        </w:rPr>
        <w:t>投标人须知前附表</w:t>
      </w:r>
      <w:bookmarkEnd w:id="0"/>
      <w:bookmarkEnd w:id="2"/>
    </w:p>
    <w:tbl>
      <w:tblPr>
        <w:tblStyle w:val="56"/>
        <w:tblW w:w="10123" w:type="dxa"/>
        <w:jc w:val="center"/>
        <w:tblLayout w:type="fixed"/>
        <w:tblCellMar>
          <w:top w:w="0" w:type="dxa"/>
          <w:left w:w="108" w:type="dxa"/>
          <w:bottom w:w="0" w:type="dxa"/>
          <w:right w:w="108" w:type="dxa"/>
        </w:tblCellMar>
      </w:tblPr>
      <w:tblGrid>
        <w:gridCol w:w="667"/>
        <w:gridCol w:w="2037"/>
        <w:gridCol w:w="7419"/>
      </w:tblGrid>
      <w:tr>
        <w:tblPrEx>
          <w:tblCellMar>
            <w:top w:w="0" w:type="dxa"/>
            <w:left w:w="108" w:type="dxa"/>
            <w:bottom w:w="0" w:type="dxa"/>
            <w:right w:w="108" w:type="dxa"/>
          </w:tblCellMar>
        </w:tblPrEx>
        <w:trPr>
          <w:trHeight w:val="585" w:hRule="atLeast"/>
          <w:tblHeader/>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序号</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条款名称</w:t>
            </w:r>
          </w:p>
        </w:tc>
        <w:tc>
          <w:tcPr>
            <w:tcW w:w="741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color w:val="auto"/>
                <w:kern w:val="0"/>
                <w:sz w:val="22"/>
                <w:szCs w:val="22"/>
                <w:highlight w:val="none"/>
              </w:rPr>
            </w:pPr>
            <w:r>
              <w:rPr>
                <w:rFonts w:hint="eastAsia" w:ascii="宋体" w:hAnsi="宋体" w:cs="宋体"/>
                <w:b/>
                <w:color w:val="auto"/>
                <w:kern w:val="0"/>
                <w:sz w:val="22"/>
                <w:szCs w:val="22"/>
                <w:highlight w:val="none"/>
              </w:rPr>
              <w:t>编列内容</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采购人名称：温州市综合行政执法局</w:t>
            </w:r>
          </w:p>
          <w:p>
            <w:pPr>
              <w:rPr>
                <w:rFonts w:hint="default" w:ascii="宋体" w:hAnsi="宋体" w:eastAsia="宋体" w:cs="宋体"/>
                <w:bCs/>
                <w:color w:val="auto"/>
                <w:kern w:val="0"/>
                <w:sz w:val="22"/>
                <w:szCs w:val="22"/>
                <w:highlight w:val="none"/>
                <w:lang w:val="en-US" w:eastAsia="zh-CN"/>
              </w:rPr>
            </w:pPr>
            <w:r>
              <w:rPr>
                <w:rFonts w:hint="eastAsia" w:ascii="宋体" w:hAnsi="宋体" w:cs="宋体"/>
                <w:bCs/>
                <w:color w:val="auto"/>
                <w:kern w:val="0"/>
                <w:sz w:val="22"/>
                <w:szCs w:val="22"/>
                <w:highlight w:val="none"/>
              </w:rPr>
              <w:t>联系地址：</w:t>
            </w:r>
            <w:r>
              <w:rPr>
                <w:rFonts w:hint="eastAsia" w:ascii="宋体" w:hAnsi="宋体" w:cs="宋体"/>
                <w:bCs/>
                <w:color w:val="auto"/>
                <w:kern w:val="0"/>
                <w:sz w:val="22"/>
                <w:szCs w:val="22"/>
                <w:highlight w:val="none"/>
                <w:lang w:val="en-US" w:eastAsia="zh-CN"/>
              </w:rPr>
              <w:t>温州市惠民路858号</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w:t>
            </w:r>
            <w:r>
              <w:rPr>
                <w:rFonts w:hint="eastAsia" w:ascii="宋体" w:hAnsi="宋体" w:cs="宋体"/>
                <w:bCs/>
                <w:color w:val="auto"/>
                <w:kern w:val="0"/>
                <w:sz w:val="22"/>
                <w:szCs w:val="22"/>
                <w:highlight w:val="none"/>
                <w:lang w:val="en-US" w:eastAsia="zh-CN"/>
              </w:rPr>
              <w:t>麻先生</w:t>
            </w:r>
            <w:r>
              <w:rPr>
                <w:rFonts w:hint="eastAsia" w:ascii="宋体" w:hAnsi="宋体" w:cs="宋体"/>
                <w:bCs/>
                <w:color w:val="auto"/>
                <w:kern w:val="0"/>
                <w:sz w:val="22"/>
                <w:szCs w:val="22"/>
                <w:highlight w:val="none"/>
              </w:rPr>
              <w:t xml:space="preserve">      联系电话： </w:t>
            </w:r>
            <w:r>
              <w:rPr>
                <w:rFonts w:hint="eastAsia" w:ascii="宋体" w:hAnsi="宋体" w:cs="宋体"/>
                <w:bCs/>
                <w:color w:val="auto"/>
                <w:kern w:val="0"/>
                <w:sz w:val="22"/>
                <w:szCs w:val="22"/>
                <w:highlight w:val="none"/>
                <w:lang w:val="en-US" w:eastAsia="zh-CN"/>
              </w:rPr>
              <w:t>0577-</w:t>
            </w:r>
            <w:r>
              <w:rPr>
                <w:rFonts w:hint="eastAsia" w:ascii="宋体" w:hAnsi="宋体" w:cs="宋体"/>
                <w:bCs/>
                <w:color w:val="auto"/>
                <w:kern w:val="0"/>
                <w:sz w:val="22"/>
                <w:szCs w:val="22"/>
                <w:highlight w:val="none"/>
              </w:rPr>
              <w:t xml:space="preserve">88967960 </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采购代理机构</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采购代理机构名称：温州市智信招标代理有限公司</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地 址：温州市牛山北路13号牛山商务大厦6楼605室。</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联系人：苏先生 、叶先生</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联系电话：13626506308，13958779970</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项目名称及编号</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bCs/>
                <w:color w:val="auto"/>
                <w:kern w:val="0"/>
                <w:sz w:val="22"/>
                <w:szCs w:val="22"/>
                <w:highlight w:val="none"/>
                <w:lang w:eastAsia="zh-CN"/>
              </w:rPr>
            </w:pPr>
            <w:r>
              <w:rPr>
                <w:rFonts w:hint="eastAsia" w:ascii="宋体" w:hAnsi="宋体" w:cs="宋体"/>
                <w:bCs/>
                <w:color w:val="auto"/>
                <w:kern w:val="0"/>
                <w:sz w:val="22"/>
                <w:szCs w:val="22"/>
                <w:highlight w:val="none"/>
                <w:lang w:eastAsia="zh-CN"/>
              </w:rPr>
              <w:t>温州市执法局网络安全加固项目</w:t>
            </w:r>
          </w:p>
          <w:p>
            <w:pPr>
              <w:rPr>
                <w:rFonts w:ascii="宋体" w:hAnsi="宋体" w:cs="宋体"/>
                <w:bCs/>
                <w:color w:val="auto"/>
                <w:kern w:val="0"/>
                <w:sz w:val="22"/>
                <w:szCs w:val="22"/>
                <w:highlight w:val="none"/>
              </w:rPr>
            </w:pPr>
            <w:r>
              <w:rPr>
                <w:rFonts w:hint="eastAsia" w:ascii="宋体" w:hAnsi="宋体" w:cs="宋体"/>
                <w:bCs/>
                <w:color w:val="auto"/>
                <w:kern w:val="0"/>
                <w:sz w:val="22"/>
                <w:szCs w:val="22"/>
                <w:highlight w:val="none"/>
              </w:rPr>
              <w:t>项目编号：ZXZB-H20220620-JG</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采购内容</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lang w:eastAsia="zh-CN"/>
              </w:rPr>
              <w:t>温州市执法局网络安全加固项目</w:t>
            </w:r>
            <w:r>
              <w:rPr>
                <w:rFonts w:hint="eastAsia" w:ascii="宋体" w:hAnsi="宋体" w:cs="宋体"/>
                <w:color w:val="auto"/>
                <w:kern w:val="0"/>
                <w:sz w:val="22"/>
                <w:szCs w:val="22"/>
                <w:highlight w:val="none"/>
              </w:rPr>
              <w:t>，具体采购内容及详细技术要求以采购文件第五部分为准。</w:t>
            </w:r>
          </w:p>
          <w:p>
            <w:pPr>
              <w:widowControl/>
              <w:ind w:right="60"/>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预算金额10</w:t>
            </w:r>
            <w:r>
              <w:rPr>
                <w:rFonts w:hint="eastAsia" w:ascii="宋体" w:hAnsi="宋体" w:cs="宋体"/>
                <w:color w:val="auto"/>
                <w:kern w:val="0"/>
                <w:sz w:val="22"/>
                <w:szCs w:val="22"/>
                <w:highlight w:val="none"/>
                <w:lang w:val="en-US" w:eastAsia="zh-CN"/>
              </w:rPr>
              <w:t>4</w:t>
            </w:r>
            <w:r>
              <w:rPr>
                <w:rFonts w:hint="eastAsia" w:ascii="宋体" w:hAnsi="宋体" w:cs="宋体"/>
                <w:color w:val="auto"/>
                <w:kern w:val="0"/>
                <w:sz w:val="22"/>
                <w:szCs w:val="22"/>
                <w:highlight w:val="none"/>
              </w:rPr>
              <w:t>.4万元</w:t>
            </w:r>
            <w:r>
              <w:rPr>
                <w:rFonts w:hint="eastAsia" w:ascii="宋体" w:hAnsi="宋体" w:cs="宋体"/>
                <w:color w:val="auto"/>
                <w:sz w:val="22"/>
                <w:szCs w:val="22"/>
                <w:highlight w:val="none"/>
              </w:rPr>
              <w:t>。</w:t>
            </w:r>
          </w:p>
        </w:tc>
      </w:tr>
      <w:tr>
        <w:tblPrEx>
          <w:tblCellMar>
            <w:top w:w="0" w:type="dxa"/>
            <w:left w:w="108" w:type="dxa"/>
            <w:bottom w:w="0" w:type="dxa"/>
            <w:right w:w="108" w:type="dxa"/>
          </w:tblCellMar>
        </w:tblPrEx>
        <w:trPr>
          <w:trHeight w:val="752"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5</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供货期</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ind w:right="60"/>
              <w:jc w:val="left"/>
              <w:rPr>
                <w:rFonts w:ascii="宋体" w:hAnsi="宋体" w:eastAsia="新宋体" w:cs="宋体"/>
                <w:color w:val="auto"/>
                <w:sz w:val="22"/>
                <w:szCs w:val="22"/>
                <w:highlight w:val="none"/>
              </w:rPr>
            </w:pPr>
            <w:r>
              <w:rPr>
                <w:rFonts w:hint="eastAsia" w:ascii="新宋体" w:hAnsi="新宋体" w:eastAsia="新宋体"/>
                <w:bCs/>
                <w:color w:val="auto"/>
                <w:kern w:val="0"/>
                <w:sz w:val="22"/>
                <w:highlight w:val="none"/>
                <w:u w:val="single"/>
              </w:rPr>
              <w:t>在合同签订之日起60个日历日内完成产品的供货、安装调试并通过采购人组织的验收。</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6</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投标人资格要求</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1.一般资格条件：</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1）具有独立承担民事责任的能力，具有良好的商业信誉和健全的财务会计制度，具有履行合同所必需的设备和专业技术能力，有依法缴纳税收和社会保障资金的良好记录，参加采购活动前三年内，在经营活动中没有重大违法记录，法律、行政法规规定的其他条件。</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（2）供应商未被列入失信被执行人名单、重大税收违法案件当事人名单、政府采购严重违法失信行为记录名单，信用信息以信用中国网站（www.creditchina.gov.cn）、中国政府采购网（www.ccgp.gov.cn）公布为准。</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2.落实政府采购政策需满足的资格要求: 无。</w:t>
            </w:r>
          </w:p>
          <w:p>
            <w:pPr>
              <w:widowControl/>
              <w:jc w:val="left"/>
              <w:rPr>
                <w:rFonts w:ascii="宋体" w:hAnsi="宋体" w:cs="宋体"/>
                <w:color w:val="auto"/>
                <w:kern w:val="0"/>
                <w:sz w:val="22"/>
                <w:szCs w:val="22"/>
                <w:highlight w:val="none"/>
              </w:rPr>
            </w:pPr>
            <w:r>
              <w:rPr>
                <w:rFonts w:hint="eastAsia" w:ascii="宋体" w:hAnsi="宋体" w:cs="宋体"/>
                <w:color w:val="auto"/>
                <w:kern w:val="0"/>
                <w:sz w:val="22"/>
                <w:szCs w:val="22"/>
                <w:highlight w:val="none"/>
              </w:rPr>
              <w:t>3.特殊资格条件：无</w:t>
            </w:r>
          </w:p>
        </w:tc>
      </w:tr>
      <w:tr>
        <w:tblPrEx>
          <w:tblCellMar>
            <w:top w:w="0" w:type="dxa"/>
            <w:left w:w="108" w:type="dxa"/>
            <w:bottom w:w="0" w:type="dxa"/>
            <w:right w:w="108" w:type="dxa"/>
          </w:tblCellMar>
        </w:tblPrEx>
        <w:trPr>
          <w:trHeight w:val="7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是否接受</w:t>
            </w:r>
          </w:p>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联合体投标</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hint="eastAsia" w:ascii="宋体" w:hAnsi="宋体" w:eastAsia="宋体" w:cs="宋体"/>
                <w:color w:val="auto"/>
                <w:kern w:val="0"/>
                <w:sz w:val="22"/>
                <w:szCs w:val="22"/>
                <w:highlight w:val="none"/>
              </w:rPr>
            </w:pPr>
            <w:r>
              <w:rPr>
                <w:rFonts w:hint="eastAsia" w:ascii="宋体" w:hAnsi="宋体" w:eastAsia="宋体" w:cs="宋体"/>
                <w:color w:val="auto"/>
                <w:kern w:val="0"/>
                <w:sz w:val="22"/>
                <w:szCs w:val="22"/>
                <w:highlight w:val="none"/>
              </w:rPr>
              <w:t>接受，应满足下列要求：</w:t>
            </w:r>
          </w:p>
          <w:p>
            <w:pPr>
              <w:spacing w:line="300" w:lineRule="exac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（1）允许大中型企业与小微企业组成联合体参与投标；</w:t>
            </w:r>
          </w:p>
          <w:p>
            <w:pPr>
              <w:spacing w:line="300" w:lineRule="exact"/>
              <w:rPr>
                <w:rFonts w:hint="eastAsia" w:ascii="宋体" w:hAnsi="宋体" w:eastAsia="宋体" w:cs="宋体"/>
                <w:color w:val="auto"/>
                <w:kern w:val="0"/>
                <w:sz w:val="22"/>
                <w:szCs w:val="22"/>
                <w:highlight w:val="none"/>
                <w:lang w:val="en-US" w:eastAsia="zh-CN"/>
              </w:rPr>
            </w:pPr>
            <w:r>
              <w:rPr>
                <w:rFonts w:hint="eastAsia" w:ascii="宋体" w:hAnsi="宋体" w:eastAsia="宋体" w:cs="宋体"/>
                <w:color w:val="auto"/>
                <w:kern w:val="0"/>
                <w:sz w:val="22"/>
                <w:szCs w:val="22"/>
                <w:highlight w:val="none"/>
                <w:lang w:val="en-US" w:eastAsia="zh-CN"/>
              </w:rPr>
              <w:t>（2）需提供联合体协议书，明确双方各自责任与义务；</w:t>
            </w:r>
          </w:p>
          <w:p>
            <w:pPr>
              <w:spacing w:line="300" w:lineRule="exact"/>
              <w:rPr>
                <w:rFonts w:ascii="宋体" w:hAnsi="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（3）联合体成员不超过两家。</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踏勘现场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□组织</w:t>
            </w:r>
          </w:p>
          <w:p>
            <w:pPr>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不组织，供应商自行前往项目现场进行踏勘。</w:t>
            </w:r>
          </w:p>
        </w:tc>
      </w:tr>
      <w:tr>
        <w:tblPrEx>
          <w:tblCellMar>
            <w:top w:w="0" w:type="dxa"/>
            <w:left w:w="108" w:type="dxa"/>
            <w:bottom w:w="0" w:type="dxa"/>
            <w:right w:w="108" w:type="dxa"/>
          </w:tblCellMar>
        </w:tblPrEx>
        <w:trPr>
          <w:trHeight w:val="76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投标预备会</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□召开</w:t>
            </w:r>
          </w:p>
          <w:p>
            <w:pPr>
              <w:rPr>
                <w:rFonts w:ascii="宋体" w:hAnsi="宋体" w:cs="宋体"/>
                <w:color w:val="auto"/>
                <w:kern w:val="0"/>
                <w:sz w:val="22"/>
                <w:szCs w:val="22"/>
                <w:highlight w:val="none"/>
              </w:rPr>
            </w:pPr>
            <w:r>
              <w:rPr>
                <w:rFonts w:hint="eastAsia" w:ascii="宋体" w:hAnsi="宋体" w:cs="宋体"/>
                <w:b/>
                <w:snapToGrid w:val="0"/>
                <w:color w:val="auto"/>
                <w:sz w:val="22"/>
                <w:szCs w:val="22"/>
                <w:highlight w:val="none"/>
              </w:rPr>
              <w:sym w:font="Wingdings" w:char="F0FE"/>
            </w:r>
            <w:r>
              <w:rPr>
                <w:rFonts w:hint="eastAsia" w:ascii="宋体" w:hAnsi="宋体" w:cs="宋体"/>
                <w:color w:val="auto"/>
                <w:kern w:val="0"/>
                <w:sz w:val="22"/>
                <w:szCs w:val="22"/>
                <w:highlight w:val="none"/>
              </w:rPr>
              <w:t>不召开</w:t>
            </w:r>
          </w:p>
        </w:tc>
      </w:tr>
      <w:tr>
        <w:tblPrEx>
          <w:tblCellMar>
            <w:top w:w="0" w:type="dxa"/>
            <w:left w:w="108" w:type="dxa"/>
            <w:bottom w:w="0" w:type="dxa"/>
            <w:right w:w="108" w:type="dxa"/>
          </w:tblCellMar>
        </w:tblPrEx>
        <w:trPr>
          <w:trHeight w:val="6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投标截止时间</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szCs w:val="22"/>
                <w:highlight w:val="none"/>
                <w:lang w:eastAsia="zh-CN"/>
              </w:rPr>
            </w:pPr>
            <w:r>
              <w:rPr>
                <w:rFonts w:hint="eastAsia" w:ascii="宋体" w:hAnsi="宋体" w:cs="宋体"/>
                <w:bCs/>
                <w:color w:val="auto"/>
                <w:kern w:val="0"/>
                <w:sz w:val="22"/>
                <w:szCs w:val="22"/>
                <w:highlight w:val="none"/>
                <w:lang w:eastAsia="zh-CN"/>
              </w:rPr>
              <w:t>2022年07月25日09时00分</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分包</w:t>
            </w:r>
          </w:p>
        </w:tc>
        <w:tc>
          <w:tcPr>
            <w:tcW w:w="7419"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color w:val="auto"/>
                <w:kern w:val="0"/>
                <w:sz w:val="22"/>
                <w:szCs w:val="22"/>
                <w:highlight w:val="none"/>
              </w:rPr>
            </w:pPr>
            <w:r>
              <w:rPr>
                <w:rFonts w:hint="eastAsia" w:ascii="宋体" w:hAnsi="宋体" w:eastAsia="宋体" w:cs="宋体"/>
                <w:color w:val="auto"/>
                <w:kern w:val="0"/>
                <w:sz w:val="22"/>
                <w:szCs w:val="22"/>
                <w:highlight w:val="none"/>
                <w:lang w:val="en-US" w:eastAsia="zh-CN"/>
              </w:rPr>
              <w:t>允许，非核心内容允许大中型企业向小微企业合理分包，若分包需在投标文件内提供分包意向书，明确分包内容及金额比例。</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12</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偏离</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偏差允许幅度及其处理方法：允许细微偏差，不允许重大偏差。由评标委员会判断，细微偏差要求供应商在评审结束前予以澄清、说明或补正，不接受要求进行的，评标委员会有权做无效标处理，详见评标办法。</w:t>
            </w:r>
          </w:p>
        </w:tc>
      </w:tr>
      <w:tr>
        <w:tblPrEx>
          <w:tblCellMar>
            <w:top w:w="0" w:type="dxa"/>
            <w:left w:w="108" w:type="dxa"/>
            <w:bottom w:w="0" w:type="dxa"/>
            <w:right w:w="108" w:type="dxa"/>
          </w:tblCellMar>
        </w:tblPrEx>
        <w:trPr>
          <w:trHeight w:val="678"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投标文件有效期</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投标文件自投标截止时间起生效，有效期</w:t>
            </w:r>
            <w:r>
              <w:rPr>
                <w:rFonts w:hint="eastAsia" w:ascii="宋体" w:hAnsi="宋体" w:cs="宋体"/>
                <w:color w:val="auto"/>
                <w:kern w:val="0"/>
                <w:sz w:val="22"/>
                <w:szCs w:val="22"/>
                <w:highlight w:val="none"/>
                <w:u w:val="single"/>
              </w:rPr>
              <w:t>90</w:t>
            </w:r>
            <w:r>
              <w:rPr>
                <w:rFonts w:hint="eastAsia" w:ascii="宋体" w:hAnsi="宋体" w:cs="宋体"/>
                <w:color w:val="auto"/>
                <w:kern w:val="0"/>
                <w:sz w:val="22"/>
                <w:szCs w:val="22"/>
                <w:highlight w:val="none"/>
              </w:rPr>
              <w:t>天。</w:t>
            </w:r>
          </w:p>
        </w:tc>
      </w:tr>
      <w:tr>
        <w:tblPrEx>
          <w:tblCellMar>
            <w:top w:w="0" w:type="dxa"/>
            <w:left w:w="108" w:type="dxa"/>
            <w:bottom w:w="0" w:type="dxa"/>
            <w:right w:w="108" w:type="dxa"/>
          </w:tblCellMar>
        </w:tblPrEx>
        <w:trPr>
          <w:trHeight w:val="73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14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投标保证金</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无须提交。</w:t>
            </w:r>
          </w:p>
        </w:tc>
      </w:tr>
      <w:tr>
        <w:tblPrEx>
          <w:tblCellMar>
            <w:top w:w="0" w:type="dxa"/>
            <w:left w:w="108" w:type="dxa"/>
            <w:bottom w:w="0" w:type="dxa"/>
            <w:right w:w="108" w:type="dxa"/>
          </w:tblCellMar>
        </w:tblPrEx>
        <w:trPr>
          <w:trHeight w:val="77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15</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完整的投标文件由资格审查资料、商务技术文件、报价文件三个部分组成。</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16</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投标文件的编制</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供应商应先安装“政采云电子交易客户端”，并按照本采购文件和“政采云平台”的要求，通过“政采云电子交易客户端”编制并加密投标文件。</w:t>
            </w:r>
          </w:p>
        </w:tc>
      </w:tr>
      <w:tr>
        <w:tblPrEx>
          <w:tblCellMar>
            <w:top w:w="0" w:type="dxa"/>
            <w:left w:w="108" w:type="dxa"/>
            <w:bottom w:w="0" w:type="dxa"/>
            <w:right w:w="108" w:type="dxa"/>
          </w:tblCellMar>
        </w:tblPrEx>
        <w:trPr>
          <w:trHeight w:val="79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17</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签字或盖章要求</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highlight w:val="none"/>
                <w:lang w:val="zh-CN"/>
              </w:rPr>
              <w:t>投标文件的相应位置应：</w:t>
            </w:r>
            <w:r>
              <w:rPr>
                <w:rFonts w:hint="eastAsia" w:ascii="宋体" w:hAnsi="宋体" w:cs="宋体"/>
                <w:color w:val="auto"/>
                <w:kern w:val="0"/>
                <w:sz w:val="22"/>
                <w:szCs w:val="22"/>
                <w:highlight w:val="none"/>
                <w:lang w:val="zh-CN"/>
              </w:rPr>
              <w:t>由投标人代表签字并加盖有效公章（电子签章）。</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18</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投标文件的形式、制作及组成</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1.</w:t>
            </w:r>
            <w:r>
              <w:rPr>
                <w:rFonts w:hint="eastAsia" w:ascii="宋体" w:hAnsi="宋体" w:cs="宋体"/>
                <w:color w:val="auto"/>
                <w:kern w:val="0"/>
                <w:sz w:val="22"/>
                <w:szCs w:val="22"/>
                <w:highlight w:val="none"/>
                <w:lang w:val="zh-CN"/>
              </w:rPr>
              <w:t>本项目实行在线投标响应（电子投标）。</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w:t>
            </w:r>
            <w:r>
              <w:rPr>
                <w:rFonts w:hint="eastAsia" w:ascii="宋体" w:hAnsi="宋体" w:cs="宋体"/>
                <w:color w:val="auto"/>
                <w:kern w:val="0"/>
                <w:sz w:val="22"/>
                <w:szCs w:val="22"/>
                <w:highlight w:val="none"/>
                <w:lang w:val="zh-CN"/>
              </w:rPr>
              <w:t>投标人须准备电子投标文件（包括“电子加密投标文件”和“备份投标文件”两类，在投标文件编制完成后同时生成）。</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（1）“电子加密投标文件”是指通过“政采云电子交易客户端”完成投标文件编制后生成并加密的数据电文形式的投标文件。</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（2）“备份投标文件”是指与“电子加密投标文件”同时生成的数据电文形式的电子文件（备份标书），其他方式编制的备份投标文件视为无效备份投标文件。</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w:t>
            </w:r>
            <w:r>
              <w:rPr>
                <w:rFonts w:hint="eastAsia" w:ascii="宋体" w:hAnsi="宋体" w:cs="宋体"/>
                <w:color w:val="auto"/>
                <w:kern w:val="0"/>
                <w:sz w:val="22"/>
                <w:szCs w:val="22"/>
                <w:highlight w:val="none"/>
                <w:lang w:val="zh-CN"/>
              </w:rPr>
              <w:t>以上两类投标文件均由资格审查资料、商务技术文件、报价文件三部分组成。</w:t>
            </w:r>
          </w:p>
        </w:tc>
      </w:tr>
      <w:tr>
        <w:tblPrEx>
          <w:tblCellMar>
            <w:top w:w="0" w:type="dxa"/>
            <w:left w:w="108" w:type="dxa"/>
            <w:bottom w:w="0" w:type="dxa"/>
            <w:right w:w="108" w:type="dxa"/>
          </w:tblCellMar>
        </w:tblPrEx>
        <w:trPr>
          <w:trHeight w:val="52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19</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投标文件份数</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00" w:lineRule="atLeast"/>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（1）“电子加密投标文件”：在线上传递交、一份。</w:t>
            </w:r>
          </w:p>
          <w:p>
            <w:pPr>
              <w:autoSpaceDE w:val="0"/>
              <w:autoSpaceDN w:val="0"/>
              <w:adjustRightInd w:val="0"/>
              <w:rPr>
                <w:rFonts w:ascii="宋体" w:hAnsi="宋体" w:cs="宋体"/>
                <w:color w:val="auto"/>
                <w:highlight w:val="none"/>
                <w:lang w:val="zh-CN"/>
              </w:rPr>
            </w:pPr>
            <w:r>
              <w:rPr>
                <w:rFonts w:hint="eastAsia" w:ascii="宋体" w:hAnsi="宋体" w:cs="宋体"/>
                <w:color w:val="auto"/>
                <w:kern w:val="0"/>
                <w:sz w:val="22"/>
                <w:szCs w:val="22"/>
                <w:highlight w:val="none"/>
                <w:lang w:val="zh-CN"/>
              </w:rPr>
              <w:t>（2）“备份投标文件”：以U盘存储，密封包装后（顺丰快递形式）在</w:t>
            </w:r>
            <w:r>
              <w:rPr>
                <w:rFonts w:hint="eastAsia" w:ascii="宋体" w:hAnsi="宋体" w:cs="宋体"/>
                <w:bCs/>
                <w:color w:val="auto"/>
                <w:kern w:val="0"/>
                <w:sz w:val="22"/>
                <w:szCs w:val="22"/>
                <w:highlight w:val="none"/>
                <w:lang w:eastAsia="zh-CN"/>
              </w:rPr>
              <w:t>2022年07月25日09时00分</w:t>
            </w:r>
            <w:r>
              <w:rPr>
                <w:rFonts w:hint="eastAsia" w:ascii="宋体" w:hAnsi="宋体" w:cs="宋体"/>
                <w:color w:val="auto"/>
                <w:kern w:val="0"/>
                <w:sz w:val="22"/>
                <w:szCs w:val="22"/>
                <w:highlight w:val="none"/>
                <w:lang w:val="zh-CN"/>
              </w:rPr>
              <w:t>前递交，一份，邮寄地址：</w:t>
            </w:r>
            <w:r>
              <w:rPr>
                <w:rFonts w:hint="eastAsia" w:ascii="宋体" w:hAnsi="宋体" w:cs="宋体"/>
                <w:color w:val="auto"/>
                <w:kern w:val="0"/>
                <w:sz w:val="22"/>
                <w:szCs w:val="22"/>
                <w:highlight w:val="none"/>
              </w:rPr>
              <w:t>温州市牛山北路13号牛山商务大厦6楼605室</w:t>
            </w:r>
            <w:r>
              <w:rPr>
                <w:rFonts w:hint="eastAsia" w:ascii="宋体" w:hAnsi="宋体" w:cs="宋体"/>
                <w:color w:val="auto"/>
                <w:kern w:val="0"/>
                <w:sz w:val="22"/>
                <w:szCs w:val="22"/>
                <w:highlight w:val="none"/>
                <w:lang w:val="zh-CN"/>
              </w:rPr>
              <w:t>，叶先生收。</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20</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投标文件的上传和递交</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（1）“电子加密投标文件”的上传、递交：</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a.投标人应在投标文件递交截止时间前将“电子加密投标文件”成功上传递交至“政采云平台”，否则投标无效。</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b.“电子加密投标文件”成功上传递交后，供应商可自行打印投标文件接收回执。</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（2）“备份投标文件”的密封包装、递交：</w:t>
            </w:r>
          </w:p>
          <w:p>
            <w:pPr>
              <w:rPr>
                <w:rFonts w:ascii="宋体" w:hAnsi="宋体" w:cs="宋体"/>
                <w:color w:val="auto"/>
                <w:kern w:val="0"/>
                <w:sz w:val="22"/>
                <w:szCs w:val="22"/>
                <w:highlight w:val="none"/>
              </w:rPr>
            </w:pPr>
            <w:r>
              <w:rPr>
                <w:rFonts w:hint="eastAsia" w:ascii="宋体" w:hAnsi="宋体" w:cs="宋体"/>
                <w:color w:val="auto"/>
                <w:kern w:val="0"/>
                <w:sz w:val="22"/>
                <w:szCs w:val="22"/>
                <w:highlight w:val="none"/>
              </w:rPr>
              <w:t>a.投标人在“政采云平台”完成“电子加密投标文件”的上传递交后，还可以（建议顺丰快递寄形式）在</w:t>
            </w:r>
            <w:r>
              <w:rPr>
                <w:rFonts w:hint="eastAsia" w:ascii="宋体" w:hAnsi="宋体" w:cs="宋体"/>
                <w:bCs/>
                <w:color w:val="auto"/>
                <w:kern w:val="0"/>
                <w:sz w:val="22"/>
                <w:szCs w:val="22"/>
                <w:highlight w:val="none"/>
                <w:lang w:eastAsia="zh-CN"/>
              </w:rPr>
              <w:t>2022年07月25日09时00分</w:t>
            </w:r>
            <w:r>
              <w:rPr>
                <w:rFonts w:hint="eastAsia" w:ascii="宋体" w:hAnsi="宋体" w:cs="宋体"/>
                <w:color w:val="auto"/>
                <w:kern w:val="0"/>
                <w:sz w:val="22"/>
                <w:szCs w:val="22"/>
                <w:highlight w:val="none"/>
              </w:rPr>
              <w:t>前递交以介质（U盘）存储的 “备份投标文件”（一份）；顺丰快递邮寄形式快递至采购代理机构地址（地址详见招标采购文件，防疫期间不建议供应商本代表抵达开评标地点）；解密CA必须是上传并制作电子投标文件CA锁。</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b.“备份投标文件”应当密封包装，并在包装上标注投标项目名称、投标单位名称并加盖公章。没有密封包装或者逾期邮寄送达至投标地点的“备份投标文件”将不予接收。</w:t>
            </w:r>
          </w:p>
          <w:p>
            <w:pPr>
              <w:widowControl/>
              <w:rPr>
                <w:rFonts w:ascii="宋体" w:hAnsi="宋体" w:cs="宋体"/>
                <w:color w:val="auto"/>
                <w:kern w:val="0"/>
                <w:sz w:val="22"/>
                <w:szCs w:val="22"/>
                <w:highlight w:val="none"/>
              </w:rPr>
            </w:pPr>
            <w:r>
              <w:rPr>
                <w:rFonts w:hint="eastAsia" w:ascii="宋体" w:hAnsi="宋体" w:cs="宋体"/>
                <w:color w:val="auto"/>
                <w:kern w:val="0"/>
                <w:sz w:val="22"/>
                <w:szCs w:val="22"/>
                <w:highlight w:val="none"/>
              </w:rPr>
              <w:t>c.通过“政采云平台”成功上传递交的“电子加密投标文件”已按时解密的，“备份投标文件”自动失效。投标文件递交截止时间前，投标人仅递交了“备份投标文件”而未将“电子加密投标文件”成功上传至“政采云平台”的，投标无效。</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d.投标人应加强U盘的包装与保护，因包装不当而造成“备份投标文件”损坏或不能在开评标现场设备上正确读取的责任由投标人自负。</w:t>
            </w:r>
          </w:p>
        </w:tc>
      </w:tr>
      <w:tr>
        <w:tblPrEx>
          <w:tblCellMar>
            <w:top w:w="0" w:type="dxa"/>
            <w:left w:w="108" w:type="dxa"/>
            <w:bottom w:w="0" w:type="dxa"/>
            <w:right w:w="108" w:type="dxa"/>
          </w:tblCellMar>
        </w:tblPrEx>
        <w:trPr>
          <w:trHeight w:val="5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21</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电子加密投标文件的解密和异常情况处理</w:t>
            </w:r>
          </w:p>
        </w:tc>
        <w:tc>
          <w:tcPr>
            <w:tcW w:w="741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（1）开标后，采购组织机构将向各投标人发出“电子加密投标文件”的解密通知，各投标人代表应当在接到解密通知后30分钟内自行完成“电子加密投标文件”的在线解密。</w:t>
            </w:r>
            <w:r>
              <w:rPr>
                <w:rFonts w:hint="eastAsia" w:ascii="宋体" w:hAnsi="宋体" w:cs="宋体"/>
                <w:color w:val="auto"/>
                <w:sz w:val="22"/>
                <w:highlight w:val="none"/>
              </w:rPr>
              <w:t>解密CA必须是上传并制作电子投标文件CA锁。</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通过“政采云平台”成功上传递交的“电子加密投标文件”无法按时解密，投标人如按规定递交了“备份投标文件”的，以“备份投标文件”为依据（由采购组织机构按“政采云平台”操作规范将“备份投标文件”上传至“政采云平台”，上传成功后，“电子加密投标文件”自动失效），否则视为投标文件撤回。</w:t>
            </w:r>
          </w:p>
          <w:p>
            <w:pPr>
              <w:autoSpaceDE w:val="0"/>
              <w:autoSpaceDN w:val="0"/>
              <w:adjustRightInd w:val="0"/>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（3）投标文件递交截止时间前，投标人仅递交了“备份投标文件”而未将电子加密投标文件上传至“政采云平台”的，投标无效。</w:t>
            </w:r>
          </w:p>
        </w:tc>
      </w:tr>
      <w:tr>
        <w:tblPrEx>
          <w:tblCellMar>
            <w:top w:w="0" w:type="dxa"/>
            <w:left w:w="108" w:type="dxa"/>
            <w:bottom w:w="0" w:type="dxa"/>
            <w:right w:w="108" w:type="dxa"/>
          </w:tblCellMar>
        </w:tblPrEx>
        <w:trPr>
          <w:trHeight w:val="705"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22</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递交投标</w:t>
            </w:r>
          </w:p>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文件地点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bCs/>
                <w:color w:val="auto"/>
                <w:kern w:val="0"/>
                <w:sz w:val="22"/>
                <w:szCs w:val="22"/>
                <w:highlight w:val="none"/>
              </w:rPr>
              <w:t>政采云平台(www.zcygov.cn)</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23</w:t>
            </w:r>
          </w:p>
        </w:tc>
        <w:tc>
          <w:tcPr>
            <w:tcW w:w="2037"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开标时间</w:t>
            </w:r>
          </w:p>
          <w:p>
            <w:pPr>
              <w:autoSpaceDE w:val="0"/>
              <w:autoSpaceDN w:val="0"/>
              <w:adjustRightInd w:val="0"/>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和评标地点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auto"/>
                <w:kern w:val="0"/>
                <w:sz w:val="22"/>
                <w:szCs w:val="22"/>
                <w:highlight w:val="none"/>
                <w:lang w:val="zh-CN" w:eastAsia="zh-CN"/>
              </w:rPr>
            </w:pPr>
            <w:r>
              <w:rPr>
                <w:rFonts w:hint="eastAsia" w:ascii="宋体" w:hAnsi="宋体" w:cs="宋体"/>
                <w:color w:val="auto"/>
                <w:kern w:val="0"/>
                <w:sz w:val="22"/>
                <w:szCs w:val="22"/>
                <w:highlight w:val="none"/>
                <w:lang w:val="zh-CN"/>
              </w:rPr>
              <w:t>开标时间：</w:t>
            </w:r>
            <w:r>
              <w:rPr>
                <w:rFonts w:hint="eastAsia" w:ascii="宋体" w:hAnsi="宋体" w:cs="宋体"/>
                <w:bCs/>
                <w:color w:val="auto"/>
                <w:kern w:val="0"/>
                <w:sz w:val="22"/>
                <w:szCs w:val="22"/>
                <w:highlight w:val="none"/>
                <w:lang w:eastAsia="zh-CN"/>
              </w:rPr>
              <w:t>2022年07月25日09时00分</w:t>
            </w:r>
          </w:p>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开标地点：政采云平台(www.zcygov.cn)在线开标</w:t>
            </w:r>
          </w:p>
          <w:p>
            <w:pP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lang w:val="zh-CN"/>
              </w:rPr>
              <w:t>评标地点：</w:t>
            </w:r>
            <w:r>
              <w:rPr>
                <w:rFonts w:hint="eastAsia" w:ascii="宋体" w:hAnsi="宋体" w:cs="宋体"/>
                <w:bCs/>
                <w:color w:val="auto"/>
                <w:kern w:val="0"/>
                <w:sz w:val="22"/>
                <w:szCs w:val="22"/>
                <w:highlight w:val="none"/>
              </w:rPr>
              <w:t>温州市牛山北路13号牛山商务大厦6楼605室</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24</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rPr>
            </w:pPr>
            <w:r>
              <w:rPr>
                <w:rFonts w:hint="eastAsia" w:ascii="宋体" w:hAnsi="宋体" w:cs="宋体"/>
                <w:color w:val="auto"/>
                <w:kern w:val="0"/>
                <w:sz w:val="22"/>
                <w:szCs w:val="22"/>
                <w:highlight w:val="none"/>
              </w:rPr>
              <w:t>评标委员会</w:t>
            </w:r>
          </w:p>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的组建</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bCs/>
                <w:color w:val="auto"/>
                <w:sz w:val="22"/>
                <w:szCs w:val="22"/>
                <w:highlight w:val="none"/>
              </w:rPr>
              <w:t>采购人按照有关法律、法规的规定组建评标委员会，评标委员会成员由采购人代表和有关技术、经济等方面的专家组成，成员人数为5人（含）以上单数，除采购人代表外的专家将在评标专家库中随机抽取产生。</w:t>
            </w:r>
          </w:p>
        </w:tc>
      </w:tr>
      <w:tr>
        <w:tblPrEx>
          <w:tblCellMar>
            <w:top w:w="0" w:type="dxa"/>
            <w:left w:w="108" w:type="dxa"/>
            <w:bottom w:w="0" w:type="dxa"/>
            <w:right w:w="108" w:type="dxa"/>
          </w:tblCellMar>
        </w:tblPrEx>
        <w:trPr>
          <w:trHeight w:val="72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25</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履约担保</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lang w:eastAsia="zh-CN"/>
              </w:rPr>
              <w:t>☑</w:t>
            </w:r>
            <w:r>
              <w:rPr>
                <w:rFonts w:hint="eastAsia" w:ascii="新宋体" w:hAnsi="新宋体" w:eastAsia="新宋体" w:cs="新宋体"/>
                <w:color w:val="auto"/>
                <w:kern w:val="0"/>
                <w:sz w:val="22"/>
                <w:szCs w:val="22"/>
                <w:highlight w:val="none"/>
                <w:lang w:val="en-US" w:eastAsia="zh-CN"/>
              </w:rPr>
              <w:t xml:space="preserve"> </w:t>
            </w:r>
            <w:r>
              <w:rPr>
                <w:rFonts w:hint="eastAsia" w:ascii="新宋体" w:hAnsi="新宋体" w:eastAsia="新宋体" w:cs="新宋体"/>
                <w:color w:val="auto"/>
                <w:kern w:val="0"/>
                <w:sz w:val="22"/>
                <w:szCs w:val="22"/>
                <w:highlight w:val="none"/>
              </w:rPr>
              <w:t>不需要</w:t>
            </w:r>
          </w:p>
          <w:p>
            <w:pPr>
              <w:rPr>
                <w:rFonts w:ascii="宋体" w:hAnsi="宋体" w:eastAsia="新宋体" w:cs="宋体"/>
                <w:color w:val="auto"/>
                <w:kern w:val="0"/>
                <w:sz w:val="22"/>
                <w:szCs w:val="22"/>
                <w:highlight w:val="none"/>
              </w:rPr>
            </w:pPr>
            <w:r>
              <w:rPr>
                <w:rFonts w:hint="eastAsia" w:ascii="新宋体" w:hAnsi="新宋体" w:eastAsia="新宋体" w:cs="新宋体"/>
                <w:color w:val="auto"/>
                <w:kern w:val="0"/>
                <w:sz w:val="22"/>
                <w:szCs w:val="22"/>
                <w:highlight w:val="none"/>
              </w:rPr>
              <w:sym w:font="Wingdings" w:char="00A8"/>
            </w:r>
            <w:r>
              <w:rPr>
                <w:rFonts w:hint="eastAsia" w:ascii="新宋体" w:hAnsi="新宋体" w:eastAsia="新宋体" w:cs="新宋体"/>
                <w:color w:val="auto"/>
                <w:kern w:val="0"/>
                <w:sz w:val="22"/>
                <w:szCs w:val="22"/>
                <w:highlight w:val="none"/>
              </w:rPr>
              <w:t>需要</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26</w:t>
            </w:r>
          </w:p>
        </w:tc>
        <w:tc>
          <w:tcPr>
            <w:tcW w:w="2037" w:type="dxa"/>
            <w:tcBorders>
              <w:top w:val="single" w:color="auto" w:sz="4" w:space="0"/>
              <w:left w:val="single" w:color="auto" w:sz="4" w:space="0"/>
              <w:bottom w:val="single" w:color="auto" w:sz="4" w:space="0"/>
              <w:right w:val="single" w:color="auto" w:sz="4" w:space="0"/>
            </w:tcBorders>
            <w:vAlign w:val="center"/>
          </w:tcPr>
          <w:p>
            <w:pPr>
              <w:adjustRightInd w:val="0"/>
              <w:jc w:val="center"/>
              <w:rPr>
                <w:rFonts w:ascii="宋体" w:hAnsi="宋体" w:cs="宋体"/>
                <w:color w:val="auto"/>
                <w:sz w:val="22"/>
                <w:szCs w:val="22"/>
                <w:highlight w:val="none"/>
              </w:rPr>
            </w:pPr>
            <w:r>
              <w:rPr>
                <w:rFonts w:hint="eastAsia" w:ascii="宋体" w:hAnsi="宋体" w:cs="宋体"/>
                <w:color w:val="auto"/>
                <w:sz w:val="22"/>
                <w:szCs w:val="22"/>
                <w:highlight w:val="none"/>
              </w:rPr>
              <w:t>政府采购</w:t>
            </w:r>
          </w:p>
          <w:p>
            <w:pPr>
              <w:adjustRightInd w:val="0"/>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扶持政策</w:t>
            </w:r>
          </w:p>
        </w:tc>
        <w:tc>
          <w:tcPr>
            <w:tcW w:w="7419" w:type="dxa"/>
            <w:tcBorders>
              <w:top w:val="single" w:color="auto" w:sz="4" w:space="0"/>
              <w:left w:val="single" w:color="auto" w:sz="4" w:space="0"/>
              <w:bottom w:val="single" w:color="auto" w:sz="4" w:space="0"/>
              <w:right w:val="single" w:color="auto" w:sz="4" w:space="0"/>
            </w:tcBorders>
            <w:vAlign w:val="center"/>
          </w:tcPr>
          <w:p>
            <w:pPr>
              <w:widowControl/>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1.本项目对符合财政扶持政策的中小企业（小型、微型）、监狱企业、残疾人福利性单位给予价格优惠扶持（价格优惠扶持见第六部分：评标原则及方法）。</w:t>
            </w:r>
          </w:p>
          <w:p>
            <w:pPr>
              <w:widowControl/>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2. 满足转发财政部 工业和信息化部关于印发《政府采购促进中小企业发展管理办法》（财库﹝2020﹞46 号）的规定的中小企业可享受优惠扶持。</w:t>
            </w:r>
          </w:p>
          <w:p>
            <w:pPr>
              <w:widowControl/>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3.满足关于政府采购支持监狱企业发展有关问题的通知（财库[2014]68号）的规定的供应商可享受优惠扶持。</w:t>
            </w:r>
          </w:p>
          <w:p>
            <w:pPr>
              <w:widowControl/>
              <w:rPr>
                <w:rFonts w:hint="eastAsia" w:ascii="新宋体" w:hAnsi="新宋体" w:eastAsia="新宋体" w:cs="新宋体"/>
                <w:color w:val="auto"/>
                <w:kern w:val="0"/>
                <w:sz w:val="22"/>
                <w:szCs w:val="22"/>
                <w:highlight w:val="none"/>
              </w:rPr>
            </w:pPr>
            <w:r>
              <w:rPr>
                <w:rFonts w:hint="eastAsia" w:ascii="新宋体" w:hAnsi="新宋体" w:eastAsia="新宋体" w:cs="新宋体"/>
                <w:color w:val="auto"/>
                <w:kern w:val="0"/>
                <w:sz w:val="22"/>
                <w:szCs w:val="22"/>
                <w:highlight w:val="none"/>
              </w:rPr>
              <w:t>4.满足关于促进残疾人就业政府采购政策的通知（财库[2017]141号）的规定的供应商可享受优惠扶持。</w:t>
            </w:r>
          </w:p>
          <w:p>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color w:val="auto"/>
                <w:kern w:val="0"/>
                <w:sz w:val="22"/>
                <w:szCs w:val="22"/>
                <w:highlight w:val="none"/>
              </w:rPr>
              <w:t>5.为支持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p>
          <w:p>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6</w:t>
            </w:r>
            <w:r>
              <w:rPr>
                <w:rFonts w:hint="eastAsia" w:ascii="新宋体" w:hAnsi="新宋体" w:eastAsia="新宋体" w:cs="新宋体"/>
                <w:bCs/>
                <w:color w:val="auto"/>
                <w:sz w:val="22"/>
                <w:szCs w:val="22"/>
                <w:highlight w:val="none"/>
              </w:rPr>
              <w:t>.节能产品、环境标志产品的强制采购政策</w:t>
            </w:r>
          </w:p>
          <w:p>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强制采购品目的，供应商提供的产品应具有国家确定的认证机构出具的、处于有效期之内的节能产品、环境标志产品认证证书，并在响应文件中提供该产品节能产品、环境标志产品认证证书，否则无效。（注：本项目执行最新政府采购节能产品、环境标志产品品目清单。）</w:t>
            </w:r>
          </w:p>
          <w:p>
            <w:pPr>
              <w:spacing w:line="360" w:lineRule="exact"/>
              <w:rPr>
                <w:rFonts w:ascii="新宋体" w:hAnsi="新宋体" w:eastAsia="新宋体" w:cs="新宋体"/>
                <w:bCs/>
                <w:color w:val="auto"/>
                <w:sz w:val="22"/>
                <w:szCs w:val="22"/>
                <w:highlight w:val="none"/>
              </w:rPr>
            </w:pPr>
            <w:r>
              <w:rPr>
                <w:rFonts w:hint="eastAsia" w:ascii="新宋体" w:hAnsi="新宋体" w:eastAsia="新宋体" w:cs="新宋体"/>
                <w:bCs/>
                <w:color w:val="auto"/>
                <w:sz w:val="22"/>
                <w:szCs w:val="22"/>
                <w:highlight w:val="none"/>
                <w:lang w:val="en-US" w:eastAsia="zh-CN"/>
              </w:rPr>
              <w:t>7</w:t>
            </w:r>
            <w:r>
              <w:rPr>
                <w:rFonts w:hint="eastAsia" w:ascii="新宋体" w:hAnsi="新宋体" w:eastAsia="新宋体" w:cs="新宋体"/>
                <w:bCs/>
                <w:color w:val="auto"/>
                <w:sz w:val="22"/>
                <w:szCs w:val="22"/>
                <w:highlight w:val="none"/>
              </w:rPr>
              <w:t>.节能产品、环境标志产品的优先采购政策</w:t>
            </w:r>
          </w:p>
          <w:p>
            <w:pPr>
              <w:widowControl/>
              <w:rPr>
                <w:rFonts w:ascii="宋体" w:hAnsi="宋体" w:eastAsia="新宋体" w:cs="宋体"/>
                <w:b/>
                <w:bCs/>
                <w:color w:val="auto"/>
                <w:sz w:val="22"/>
                <w:szCs w:val="22"/>
                <w:highlight w:val="none"/>
              </w:rPr>
            </w:pPr>
            <w:r>
              <w:rPr>
                <w:rFonts w:hint="eastAsia" w:ascii="新宋体" w:hAnsi="新宋体" w:eastAsia="新宋体" w:cs="新宋体"/>
                <w:bCs/>
                <w:color w:val="auto"/>
                <w:sz w:val="22"/>
                <w:szCs w:val="22"/>
                <w:highlight w:val="none"/>
              </w:rPr>
              <w:t>根据财政部、国家发展和改革委员会、生态环境部等部门公布的政府采购节能产品、环境标志产品品目清单的规定、依据品目清单和认证证书实施政府优先采购和强制采购。采购人拟采购的产品属于品目清单范围内的优先采购品目的，供应商提供的产品应具有国家确定的认证机构出具的、处于有效期之内的节能产品、环境标志产品认证证书，并在响应文件中提供该产品节能产品、环境标志产品认证证书，（注：本项目执行最新政府采购节能产品、环境标志产品品目清单。）。</w:t>
            </w:r>
          </w:p>
        </w:tc>
      </w:tr>
      <w:tr>
        <w:tblPrEx>
          <w:tblCellMar>
            <w:top w:w="0" w:type="dxa"/>
            <w:left w:w="108" w:type="dxa"/>
            <w:bottom w:w="0" w:type="dxa"/>
            <w:right w:w="108" w:type="dxa"/>
          </w:tblCellMar>
        </w:tblPrEx>
        <w:trPr>
          <w:trHeight w:val="537"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27</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投标人信用</w:t>
            </w:r>
          </w:p>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查询</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（1）供应商信用信息查询的查询渠道：“信用中国”(</w:t>
            </w:r>
            <w:r>
              <w:rPr>
                <w:color w:val="auto"/>
                <w:highlight w:val="none"/>
              </w:rPr>
              <w:fldChar w:fldCharType="begin"/>
            </w:r>
            <w:r>
              <w:rPr>
                <w:color w:val="auto"/>
                <w:highlight w:val="none"/>
              </w:rPr>
              <w:instrText xml:space="preserve"> HYPERLINK "http://www.creditchina.gov.cn" </w:instrText>
            </w:r>
            <w:r>
              <w:rPr>
                <w:color w:val="auto"/>
                <w:highlight w:val="none"/>
              </w:rPr>
              <w:fldChar w:fldCharType="separate"/>
            </w:r>
            <w:r>
              <w:rPr>
                <w:rFonts w:hint="eastAsia" w:ascii="宋体" w:hAnsi="宋体" w:cs="宋体"/>
                <w:color w:val="auto"/>
                <w:sz w:val="22"/>
                <w:szCs w:val="22"/>
                <w:highlight w:val="none"/>
              </w:rPr>
              <w:t>www.creditchina.gov.cn</w:t>
            </w:r>
            <w:r>
              <w:rPr>
                <w:rFonts w:hint="eastAsia" w:ascii="宋体" w:hAnsi="宋体" w:cs="宋体"/>
                <w:color w:val="auto"/>
                <w:sz w:val="22"/>
                <w:szCs w:val="22"/>
                <w:highlight w:val="none"/>
              </w:rPr>
              <w:fldChar w:fldCharType="end"/>
            </w:r>
            <w:r>
              <w:rPr>
                <w:rFonts w:hint="eastAsia" w:ascii="宋体" w:hAnsi="宋体" w:cs="宋体"/>
                <w:color w:val="auto"/>
                <w:sz w:val="22"/>
                <w:szCs w:val="22"/>
                <w:highlight w:val="none"/>
              </w:rPr>
              <w:t>)；“中国政府采购网”（http://www.ccgp.gov.cn/）；</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（2）供应商信用信息查询截止时点：本项目投标文件递交截止时间。</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（3）供应商信用信息查询记录和证据留存的具体方式：网页截图打印；</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（4）信用信息的使用规则：</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①在“信用中国”具有负面记录：列入失信被执行人、重大税收违法案件当事人名单、政府采购严重违法失信行为名单；</w:t>
            </w:r>
          </w:p>
          <w:p>
            <w:pPr>
              <w:jc w:val="left"/>
              <w:rPr>
                <w:rFonts w:ascii="宋体" w:hAnsi="宋体" w:cs="宋体"/>
                <w:color w:val="auto"/>
                <w:sz w:val="22"/>
                <w:szCs w:val="22"/>
                <w:highlight w:val="none"/>
              </w:rPr>
            </w:pPr>
            <w:r>
              <w:rPr>
                <w:rFonts w:hint="eastAsia" w:ascii="宋体" w:hAnsi="宋体" w:cs="宋体"/>
                <w:color w:val="auto"/>
                <w:sz w:val="22"/>
                <w:szCs w:val="22"/>
                <w:highlight w:val="none"/>
              </w:rPr>
              <w:t>②被“中国政府采购网”(www.ccgp.gov.cn)列入政府采购严重违法失信行为记录名单。</w:t>
            </w:r>
          </w:p>
          <w:p>
            <w:pPr>
              <w:jc w:val="left"/>
              <w:rPr>
                <w:rFonts w:ascii="宋体" w:hAnsi="宋体" w:cs="宋体"/>
                <w:color w:val="auto"/>
                <w:sz w:val="22"/>
                <w:szCs w:val="22"/>
                <w:highlight w:val="none"/>
              </w:rPr>
            </w:pPr>
            <w:r>
              <w:rPr>
                <w:rFonts w:hint="eastAsia" w:ascii="宋体" w:hAnsi="宋体" w:cs="宋体"/>
                <w:bCs/>
                <w:color w:val="auto"/>
                <w:sz w:val="22"/>
                <w:szCs w:val="22"/>
                <w:highlight w:val="none"/>
              </w:rPr>
              <w:t>（5）具有以上（4）所述信息记录的供应商，其投标做无效投标处理</w:t>
            </w:r>
          </w:p>
          <w:p>
            <w:pPr>
              <w:rPr>
                <w:rFonts w:ascii="宋体" w:hAnsi="宋体" w:cs="宋体"/>
                <w:color w:val="auto"/>
                <w:highlight w:val="none"/>
              </w:rPr>
            </w:pPr>
            <w:r>
              <w:rPr>
                <w:rFonts w:hint="eastAsia" w:ascii="宋体" w:hAnsi="宋体" w:cs="宋体"/>
                <w:b/>
                <w:bCs/>
                <w:color w:val="auto"/>
                <w:szCs w:val="21"/>
                <w:highlight w:val="none"/>
                <w:u w:val="single"/>
              </w:rPr>
              <w:t>（6）▲</w:t>
            </w:r>
            <w:r>
              <w:rPr>
                <w:rFonts w:hint="eastAsia" w:ascii="宋体" w:hAnsi="宋体" w:cs="宋体"/>
                <w:b/>
                <w:color w:val="auto"/>
                <w:sz w:val="22"/>
                <w:szCs w:val="22"/>
                <w:highlight w:val="none"/>
                <w:u w:val="single"/>
              </w:rPr>
              <w:t>关于</w:t>
            </w:r>
            <w:r>
              <w:rPr>
                <w:rFonts w:hint="eastAsia" w:ascii="宋体" w:hAnsi="宋体" w:cs="宋体"/>
                <w:b/>
                <w:bCs/>
                <w:color w:val="auto"/>
                <w:sz w:val="22"/>
                <w:szCs w:val="22"/>
                <w:highlight w:val="none"/>
                <w:u w:val="single"/>
              </w:rPr>
              <w:t>“信用中国”(www.creditchina.gov.cn) 信用记录网页截图相关说明</w:t>
            </w:r>
            <w:r>
              <w:rPr>
                <w:rFonts w:hint="eastAsia" w:ascii="宋体" w:hAnsi="宋体" w:cs="宋体"/>
                <w:bCs/>
                <w:color w:val="auto"/>
                <w:sz w:val="22"/>
                <w:szCs w:val="22"/>
                <w:highlight w:val="none"/>
              </w:rPr>
              <w:t>：</w:t>
            </w:r>
          </w:p>
          <w:p>
            <w:pPr>
              <w:rPr>
                <w:rFonts w:ascii="宋体" w:hAnsi="宋体" w:cs="宋体"/>
                <w:bCs/>
                <w:color w:val="auto"/>
                <w:sz w:val="22"/>
                <w:szCs w:val="22"/>
                <w:highlight w:val="none"/>
              </w:rPr>
            </w:pPr>
            <w:r>
              <w:rPr>
                <w:rFonts w:hint="eastAsia" w:ascii="宋体" w:hAnsi="宋体" w:cs="宋体"/>
                <w:bCs/>
                <w:color w:val="auto"/>
                <w:sz w:val="22"/>
                <w:szCs w:val="22"/>
                <w:highlight w:val="none"/>
              </w:rPr>
              <w:t>①若供应商查询页面“行政处罚”栏显示有行政处罚事项，须将所有行政处罚事项在“信用中国”网页上列出的明细一并打印，并附说明，是否属于“经营活动中的重大违法记录”。</w:t>
            </w:r>
          </w:p>
          <w:p>
            <w:pPr>
              <w:rPr>
                <w:rFonts w:ascii="宋体" w:hAnsi="宋体" w:cs="宋体"/>
                <w:bCs/>
                <w:color w:val="auto"/>
                <w:sz w:val="22"/>
                <w:szCs w:val="22"/>
                <w:highlight w:val="none"/>
              </w:rPr>
            </w:pPr>
            <w:r>
              <w:rPr>
                <w:rFonts w:hint="eastAsia" w:ascii="宋体" w:hAnsi="宋体" w:cs="宋体"/>
                <w:bCs/>
                <w:color w:val="auto"/>
                <w:sz w:val="22"/>
                <w:szCs w:val="22"/>
                <w:highlight w:val="none"/>
              </w:rPr>
              <w:t>②若供应商在“信用中国”无数据，亦须将搜索结果页面打印，并附说明。</w:t>
            </w:r>
          </w:p>
          <w:p>
            <w:pPr>
              <w:rPr>
                <w:rFonts w:ascii="宋体" w:hAnsi="宋体" w:cs="宋体"/>
                <w:color w:val="auto"/>
                <w:highlight w:val="none"/>
              </w:rPr>
            </w:pPr>
            <w:r>
              <w:rPr>
                <w:rFonts w:hint="eastAsia" w:ascii="宋体" w:hAnsi="宋体" w:cs="宋体"/>
                <w:bCs/>
                <w:color w:val="auto"/>
                <w:sz w:val="22"/>
                <w:szCs w:val="22"/>
                <w:highlight w:val="none"/>
              </w:rPr>
              <w:t>（7）具体结果以开标当日采购人或采购代理机构对</w:t>
            </w:r>
            <w:r>
              <w:rPr>
                <w:rFonts w:hint="eastAsia" w:ascii="宋体" w:hAnsi="宋体" w:cs="宋体"/>
                <w:color w:val="auto"/>
                <w:kern w:val="0"/>
                <w:sz w:val="22"/>
                <w:szCs w:val="22"/>
                <w:highlight w:val="none"/>
              </w:rPr>
              <w:t>投标人信用查询网页的</w:t>
            </w:r>
            <w:r>
              <w:rPr>
                <w:rFonts w:hint="eastAsia" w:ascii="宋体" w:hAnsi="宋体" w:cs="宋体"/>
                <w:bCs/>
                <w:color w:val="auto"/>
                <w:sz w:val="22"/>
                <w:szCs w:val="22"/>
                <w:highlight w:val="none"/>
              </w:rPr>
              <w:t>查询结果为准。</w:t>
            </w:r>
          </w:p>
        </w:tc>
      </w:tr>
      <w:tr>
        <w:tblPrEx>
          <w:tblCellMar>
            <w:top w:w="0" w:type="dxa"/>
            <w:left w:w="108" w:type="dxa"/>
            <w:bottom w:w="0" w:type="dxa"/>
            <w:right w:w="108" w:type="dxa"/>
          </w:tblCellMar>
        </w:tblPrEx>
        <w:trPr>
          <w:trHeight w:val="27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28</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合同备案</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sz w:val="22"/>
                <w:szCs w:val="22"/>
                <w:highlight w:val="none"/>
              </w:rPr>
            </w:pPr>
            <w:r>
              <w:rPr>
                <w:rFonts w:hint="eastAsia" w:ascii="宋体" w:hAnsi="宋体" w:cs="宋体"/>
                <w:color w:val="auto"/>
                <w:sz w:val="22"/>
                <w:szCs w:val="22"/>
                <w:highlight w:val="none"/>
              </w:rPr>
              <w:t>（1）中标投标人须在中标通知书发出之日起30日历天内与采购人签订合同。</w:t>
            </w:r>
          </w:p>
          <w:p>
            <w:pPr>
              <w:jc w:val="left"/>
              <w:rPr>
                <w:rFonts w:ascii="宋体" w:hAnsi="宋体" w:cs="宋体"/>
                <w:color w:val="auto"/>
                <w:kern w:val="0"/>
                <w:sz w:val="22"/>
                <w:szCs w:val="22"/>
                <w:highlight w:val="none"/>
              </w:rPr>
            </w:pPr>
            <w:r>
              <w:rPr>
                <w:rFonts w:hint="eastAsia" w:ascii="宋体" w:hAnsi="宋体" w:cs="宋体"/>
                <w:color w:val="auto"/>
                <w:sz w:val="22"/>
                <w:szCs w:val="22"/>
                <w:highlight w:val="none"/>
              </w:rPr>
              <w:t>（2）中标投标人与采购人签订合同后，2日历天内将合同扫描件电子版发给招标代理机构邮箱：</w:t>
            </w:r>
            <w:r>
              <w:rPr>
                <w:rFonts w:hint="eastAsia" w:ascii="宋体" w:hAnsi="宋体" w:cs="宋体"/>
                <w:b/>
                <w:color w:val="auto"/>
                <w:sz w:val="22"/>
                <w:szCs w:val="22"/>
                <w:highlight w:val="none"/>
                <w:u w:val="single"/>
              </w:rPr>
              <w:t>ye462978466@qq.com</w:t>
            </w:r>
            <w:r>
              <w:rPr>
                <w:rFonts w:hint="eastAsia" w:ascii="宋体" w:hAnsi="宋体" w:cs="宋体"/>
                <w:color w:val="auto"/>
                <w:sz w:val="22"/>
                <w:szCs w:val="22"/>
                <w:highlight w:val="none"/>
              </w:rPr>
              <w:t>。</w:t>
            </w:r>
          </w:p>
        </w:tc>
      </w:tr>
      <w:tr>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29</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合同履约管理</w:t>
            </w:r>
          </w:p>
        </w:tc>
        <w:tc>
          <w:tcPr>
            <w:tcW w:w="7419"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合同签订后，采购人依法加强对合同履约进行管理，并在中标单位服务、项目验收等重要关节，如实填写《合同验收报告》（或考核资料），并及时向同级财政部门报告验收过程中遇到的问题。</w:t>
            </w:r>
          </w:p>
        </w:tc>
      </w:tr>
      <w:tr>
        <w:tblPrEx>
          <w:tblCellMar>
            <w:top w:w="0" w:type="dxa"/>
            <w:left w:w="108" w:type="dxa"/>
            <w:bottom w:w="0" w:type="dxa"/>
            <w:right w:w="108" w:type="dxa"/>
          </w:tblCellMar>
        </w:tblPrEx>
        <w:trPr>
          <w:trHeight w:val="9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kern w:val="0"/>
                <w:sz w:val="22"/>
                <w:szCs w:val="22"/>
                <w:highlight w:val="none"/>
              </w:rPr>
              <w:t>30</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解释权</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kern w:val="0"/>
                <w:sz w:val="22"/>
                <w:szCs w:val="22"/>
                <w:highlight w:val="none"/>
                <w:lang w:val="zh-CN"/>
              </w:rPr>
            </w:pPr>
            <w:r>
              <w:rPr>
                <w:rFonts w:hint="eastAsia" w:ascii="宋体" w:hAnsi="宋体" w:cs="宋体"/>
                <w:color w:val="auto"/>
                <w:sz w:val="22"/>
                <w:szCs w:val="22"/>
                <w:highlight w:val="none"/>
              </w:rPr>
              <w:t>构成本采购文件的各个组成文件应互为解释，互为说明；如有不明确或不一致，构成合同文件组成内容的，以合同文件约定内容为准，且以专用合同条款约定的合同文件优先顺序解释；仅适用于采购投标阶段的约定，按采购公告、投标人须知、评标办法、投标文件格式的先后顺序解释；同一文件中就同一事项的约定不一致的，以逻辑顺序在后者为准；同一文件不同版本之间有不一致的，以形成时间在后者为准。按本款前述约定仍不能形成结论的，由采购人负责解释。</w:t>
            </w:r>
          </w:p>
        </w:tc>
      </w:tr>
      <w:tr>
        <w:tblPrEx>
          <w:tblCellMar>
            <w:top w:w="0" w:type="dxa"/>
            <w:left w:w="108" w:type="dxa"/>
            <w:bottom w:w="0" w:type="dxa"/>
            <w:right w:w="108" w:type="dxa"/>
          </w:tblCellMar>
        </w:tblPrEx>
        <w:trPr>
          <w:trHeight w:val="994"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31</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采购代理服务费</w:t>
            </w:r>
          </w:p>
        </w:tc>
        <w:tc>
          <w:tcPr>
            <w:tcW w:w="7419" w:type="dxa"/>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auto"/>
                <w:sz w:val="22"/>
                <w:szCs w:val="22"/>
                <w:highlight w:val="none"/>
              </w:rPr>
            </w:pPr>
            <w:r>
              <w:rPr>
                <w:rFonts w:hint="eastAsia" w:ascii="宋体" w:hAnsi="宋体" w:cs="宋体"/>
                <w:color w:val="auto"/>
                <w:sz w:val="22"/>
                <w:szCs w:val="22"/>
                <w:highlight w:val="none"/>
              </w:rPr>
              <w:t>（1）本项目采购代理服务费按《招标代理服务收费管理暂行办法》货物类项目计取，取费标准为项目预算金额。由中标供应商在领取成交通知书时向采购代理机构进行支付，该服务费须计入投标报价，不单项列出</w:t>
            </w:r>
            <w:r>
              <w:rPr>
                <w:rFonts w:hint="eastAsia" w:ascii="宋体" w:hAnsi="宋体" w:cs="宋体"/>
                <w:b/>
                <w:bCs/>
                <w:color w:val="auto"/>
                <w:sz w:val="22"/>
                <w:szCs w:val="22"/>
                <w:highlight w:val="none"/>
              </w:rPr>
              <w:t>。</w:t>
            </w:r>
          </w:p>
          <w:p>
            <w:pPr>
              <w:rPr>
                <w:rFonts w:ascii="宋体" w:hAnsi="宋体" w:cs="宋体"/>
                <w:color w:val="auto"/>
                <w:sz w:val="22"/>
                <w:szCs w:val="22"/>
                <w:highlight w:val="none"/>
              </w:rPr>
            </w:pPr>
            <w:r>
              <w:rPr>
                <w:rFonts w:hint="eastAsia" w:ascii="宋体" w:hAnsi="宋体" w:cs="宋体"/>
                <w:color w:val="auto"/>
                <w:sz w:val="22"/>
                <w:szCs w:val="22"/>
                <w:highlight w:val="none"/>
              </w:rPr>
              <w:t>（2）采购代理服务费可以是现金、支票或汇票。</w:t>
            </w:r>
          </w:p>
          <w:p>
            <w:pPr>
              <w:rPr>
                <w:rFonts w:ascii="宋体" w:hAnsi="宋体" w:cs="宋体"/>
                <w:color w:val="auto"/>
                <w:sz w:val="22"/>
                <w:szCs w:val="22"/>
                <w:highlight w:val="none"/>
              </w:rPr>
            </w:pPr>
            <w:r>
              <w:rPr>
                <w:rFonts w:hint="eastAsia" w:ascii="宋体" w:hAnsi="宋体" w:cs="宋体"/>
                <w:color w:val="auto"/>
                <w:sz w:val="22"/>
                <w:szCs w:val="22"/>
                <w:highlight w:val="none"/>
              </w:rPr>
              <w:t>（3）收款账户户名：温州市智信招标代理有限公司</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收款账号：333504140018800009390</w:t>
            </w:r>
          </w:p>
          <w:p>
            <w:pPr>
              <w:ind w:firstLine="660" w:firstLineChars="300"/>
              <w:rPr>
                <w:rFonts w:ascii="宋体" w:hAnsi="宋体" w:cs="宋体"/>
                <w:color w:val="auto"/>
                <w:sz w:val="22"/>
                <w:szCs w:val="22"/>
                <w:highlight w:val="none"/>
              </w:rPr>
            </w:pPr>
            <w:r>
              <w:rPr>
                <w:rFonts w:hint="eastAsia" w:ascii="宋体" w:hAnsi="宋体" w:cs="宋体"/>
                <w:color w:val="auto"/>
                <w:sz w:val="22"/>
                <w:szCs w:val="22"/>
                <w:highlight w:val="none"/>
              </w:rPr>
              <w:t>开户行：交通银行温州分行瓯海支行</w:t>
            </w:r>
          </w:p>
          <w:p>
            <w:pPr>
              <w:rPr>
                <w:rFonts w:ascii="宋体" w:hAnsi="宋体" w:cs="宋体"/>
                <w:color w:val="auto"/>
                <w:sz w:val="22"/>
                <w:szCs w:val="22"/>
                <w:highlight w:val="none"/>
              </w:rPr>
            </w:pPr>
            <w:r>
              <w:rPr>
                <w:rFonts w:hint="eastAsia" w:ascii="宋体" w:hAnsi="宋体" w:cs="宋体"/>
                <w:color w:val="auto"/>
                <w:sz w:val="22"/>
                <w:szCs w:val="22"/>
                <w:highlight w:val="none"/>
              </w:rPr>
              <w:t>（4）代理机构只对收到的采购代理服务费开具增值税普通发票。</w:t>
            </w:r>
          </w:p>
        </w:tc>
      </w:tr>
      <w:tr>
        <w:tblPrEx>
          <w:tblCellMar>
            <w:top w:w="0" w:type="dxa"/>
            <w:left w:w="108" w:type="dxa"/>
            <w:bottom w:w="0" w:type="dxa"/>
            <w:right w:w="108" w:type="dxa"/>
          </w:tblCellMar>
        </w:tblPrEx>
        <w:trPr>
          <w:trHeight w:val="850" w:hRule="atLeast"/>
          <w:jc w:val="center"/>
        </w:trPr>
        <w:tc>
          <w:tcPr>
            <w:tcW w:w="66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33</w:t>
            </w:r>
          </w:p>
        </w:tc>
        <w:tc>
          <w:tcPr>
            <w:tcW w:w="203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sz w:val="22"/>
                <w:szCs w:val="22"/>
                <w:highlight w:val="none"/>
              </w:rPr>
            </w:pPr>
            <w:r>
              <w:rPr>
                <w:rFonts w:hint="eastAsia" w:ascii="宋体" w:hAnsi="宋体" w:cs="宋体"/>
                <w:color w:val="auto"/>
                <w:sz w:val="22"/>
                <w:szCs w:val="22"/>
                <w:highlight w:val="none"/>
              </w:rPr>
              <w:t>项目类型</w:t>
            </w:r>
          </w:p>
        </w:tc>
        <w:tc>
          <w:tcPr>
            <w:tcW w:w="7419" w:type="dxa"/>
            <w:tcBorders>
              <w:top w:val="single" w:color="auto" w:sz="4" w:space="0"/>
              <w:left w:val="single" w:color="auto" w:sz="4" w:space="0"/>
              <w:bottom w:val="single" w:color="auto" w:sz="4" w:space="0"/>
              <w:right w:val="single" w:color="auto" w:sz="4" w:space="0"/>
            </w:tcBorders>
            <w:vAlign w:val="center"/>
          </w:tcPr>
          <w:p>
            <w:pPr>
              <w:rPr>
                <w:rFonts w:hint="default" w:ascii="宋体" w:hAnsi="宋体" w:eastAsia="宋体" w:cs="宋体"/>
                <w:color w:val="auto"/>
                <w:szCs w:val="21"/>
                <w:highlight w:val="none"/>
                <w:lang w:val="en-US" w:eastAsia="zh-CN"/>
              </w:rPr>
            </w:pPr>
            <w:r>
              <w:rPr>
                <w:rFonts w:hint="eastAsia" w:ascii="宋体" w:hAnsi="宋体" w:cs="宋体"/>
                <w:color w:val="auto"/>
                <w:sz w:val="22"/>
                <w:szCs w:val="22"/>
                <w:highlight w:val="none"/>
              </w:rPr>
              <w:t>货物类</w:t>
            </w:r>
            <w:r>
              <w:rPr>
                <w:rFonts w:hint="eastAsia" w:ascii="宋体" w:hAnsi="宋体" w:cs="宋体"/>
                <w:color w:val="auto"/>
                <w:sz w:val="22"/>
                <w:szCs w:val="22"/>
                <w:highlight w:val="none"/>
                <w:lang w:eastAsia="zh-CN"/>
              </w:rPr>
              <w:t>：</w:t>
            </w:r>
            <w:r>
              <w:rPr>
                <w:rFonts w:hint="eastAsia" w:ascii="宋体" w:hAnsi="宋体" w:cs="宋体"/>
                <w:color w:val="auto"/>
                <w:sz w:val="22"/>
                <w:szCs w:val="22"/>
                <w:highlight w:val="none"/>
                <w:lang w:val="en-US" w:eastAsia="zh-CN"/>
              </w:rPr>
              <w:t>其他未列明行业</w:t>
            </w:r>
          </w:p>
        </w:tc>
      </w:tr>
    </w:tbl>
    <w:p>
      <w:pPr>
        <w:pStyle w:val="7"/>
        <w:spacing w:line="500" w:lineRule="exact"/>
        <w:jc w:val="center"/>
        <w:rPr>
          <w:rFonts w:ascii="宋体" w:hAnsi="宋体" w:eastAsia="宋体" w:cs="宋体"/>
          <w:sz w:val="24"/>
          <w:szCs w:val="24"/>
        </w:rPr>
      </w:pPr>
      <w:r>
        <w:rPr>
          <w:rFonts w:hint="eastAsia" w:ascii="宋体" w:hAnsi="宋体" w:eastAsia="宋体" w:cs="宋体"/>
          <w:sz w:val="36"/>
          <w:szCs w:val="36"/>
        </w:rPr>
        <w:br w:type="page"/>
      </w:r>
      <w:bookmarkStart w:id="3" w:name="_Toc241404199"/>
      <w:bookmarkStart w:id="4" w:name="_Toc58406683"/>
      <w:bookmarkStart w:id="5" w:name="_Toc221423616"/>
      <w:bookmarkStart w:id="6" w:name="_Toc221356948"/>
      <w:bookmarkStart w:id="7" w:name="_Toc265529380"/>
      <w:bookmarkStart w:id="8" w:name="_Toc221356883"/>
      <w:bookmarkStart w:id="9" w:name="_Toc222114876"/>
      <w:bookmarkStart w:id="10" w:name="_Toc239145351"/>
      <w:bookmarkStart w:id="11" w:name="_Toc221374623"/>
      <w:bookmarkStart w:id="12" w:name="_Toc223715995"/>
      <w:bookmarkStart w:id="13" w:name="_Toc34508130"/>
      <w:bookmarkStart w:id="14" w:name="_Toc393699549"/>
      <w:r>
        <w:rPr>
          <w:rFonts w:hint="eastAsia" w:ascii="宋体" w:hAnsi="宋体" w:eastAsia="宋体" w:cs="宋体"/>
          <w:sz w:val="24"/>
          <w:szCs w:val="24"/>
        </w:rPr>
        <w:t>一、  说明</w:t>
      </w:r>
      <w:bookmarkEnd w:id="3"/>
      <w:bookmarkEnd w:id="4"/>
      <w:bookmarkEnd w:id="5"/>
      <w:bookmarkEnd w:id="6"/>
      <w:bookmarkEnd w:id="7"/>
      <w:bookmarkEnd w:id="8"/>
      <w:bookmarkEnd w:id="9"/>
      <w:bookmarkEnd w:id="10"/>
      <w:bookmarkEnd w:id="11"/>
      <w:bookmarkEnd w:id="12"/>
      <w:bookmarkEnd w:id="13"/>
    </w:p>
    <w:p>
      <w:pPr>
        <w:tabs>
          <w:tab w:val="left" w:pos="540"/>
          <w:tab w:val="left" w:pos="900"/>
        </w:tabs>
        <w:spacing w:line="460" w:lineRule="exact"/>
        <w:rPr>
          <w:rFonts w:ascii="宋体" w:hAnsi="宋体" w:cs="宋体"/>
          <w:sz w:val="22"/>
          <w:szCs w:val="22"/>
        </w:rPr>
      </w:pPr>
      <w:r>
        <w:rPr>
          <w:rFonts w:hint="eastAsia" w:ascii="宋体" w:hAnsi="宋体" w:cs="宋体"/>
          <w:sz w:val="22"/>
          <w:szCs w:val="22"/>
        </w:rPr>
        <w:t>1.本次采购是按照《中华人民共和国政府采购法》、《中华人民共和国政府采购法实施条例》、《政府采购货物和服务招标投标管理办法》和《关于进一步规范政府采购活动的若干意见》等法律及有关法规组织和实施的。</w:t>
      </w:r>
    </w:p>
    <w:p>
      <w:pPr>
        <w:tabs>
          <w:tab w:val="left" w:pos="540"/>
          <w:tab w:val="left" w:pos="900"/>
        </w:tabs>
        <w:spacing w:line="460" w:lineRule="exact"/>
        <w:rPr>
          <w:rFonts w:ascii="宋体" w:hAnsi="宋体" w:cs="宋体"/>
          <w:b/>
          <w:sz w:val="22"/>
          <w:szCs w:val="22"/>
        </w:rPr>
      </w:pPr>
      <w:r>
        <w:rPr>
          <w:rFonts w:hint="eastAsia" w:ascii="宋体" w:hAnsi="宋体" w:cs="宋体"/>
          <w:b/>
          <w:sz w:val="22"/>
          <w:szCs w:val="22"/>
        </w:rPr>
        <w:t>2.合格投标人要求以采购公告对投标人资格条件要求的表述为准。</w:t>
      </w:r>
    </w:p>
    <w:p>
      <w:pPr>
        <w:tabs>
          <w:tab w:val="left" w:pos="540"/>
          <w:tab w:val="left" w:pos="900"/>
        </w:tabs>
        <w:spacing w:line="460" w:lineRule="exact"/>
        <w:rPr>
          <w:rFonts w:ascii="宋体" w:hAnsi="宋体" w:cs="宋体"/>
          <w:sz w:val="22"/>
          <w:szCs w:val="22"/>
        </w:rPr>
      </w:pPr>
      <w:r>
        <w:rPr>
          <w:rFonts w:hint="eastAsia" w:ascii="宋体" w:hAnsi="宋体" w:cs="宋体"/>
          <w:sz w:val="22"/>
          <w:szCs w:val="22"/>
        </w:rPr>
        <w:t>3.投标人代表</w:t>
      </w:r>
    </w:p>
    <w:p>
      <w:pPr>
        <w:spacing w:line="460" w:lineRule="exact"/>
        <w:ind w:firstLine="440" w:firstLineChars="200"/>
        <w:rPr>
          <w:rFonts w:ascii="宋体" w:hAnsi="宋体" w:cs="宋体"/>
          <w:sz w:val="22"/>
          <w:szCs w:val="22"/>
        </w:rPr>
      </w:pPr>
      <w:r>
        <w:rPr>
          <w:rFonts w:hint="eastAsia" w:ascii="宋体" w:hAnsi="宋体" w:cs="宋体"/>
          <w:sz w:val="22"/>
          <w:szCs w:val="22"/>
        </w:rPr>
        <w:t>指全权代表投标人参加投标活动并签署投标文件的人。如果投标人代表不是法定代表人，须持有《法定代表人授权书》。</w:t>
      </w:r>
    </w:p>
    <w:p>
      <w:pPr>
        <w:tabs>
          <w:tab w:val="left" w:pos="540"/>
          <w:tab w:val="left" w:pos="900"/>
        </w:tabs>
        <w:spacing w:line="460" w:lineRule="exact"/>
        <w:rPr>
          <w:rFonts w:ascii="宋体" w:hAnsi="宋体" w:cs="宋体"/>
          <w:sz w:val="22"/>
          <w:szCs w:val="22"/>
        </w:rPr>
      </w:pPr>
      <w:r>
        <w:rPr>
          <w:rFonts w:hint="eastAsia" w:ascii="宋体" w:hAnsi="宋体" w:cs="宋体"/>
          <w:sz w:val="22"/>
          <w:szCs w:val="22"/>
        </w:rPr>
        <w:t>4.投标费用</w:t>
      </w:r>
    </w:p>
    <w:p>
      <w:pPr>
        <w:spacing w:line="440" w:lineRule="exact"/>
        <w:rPr>
          <w:rFonts w:ascii="宋体" w:hAnsi="宋体" w:cs="宋体"/>
          <w:sz w:val="22"/>
          <w:szCs w:val="22"/>
        </w:rPr>
      </w:pPr>
      <w:r>
        <w:rPr>
          <w:rFonts w:hint="eastAsia" w:ascii="宋体" w:hAnsi="宋体" w:cs="宋体"/>
          <w:sz w:val="22"/>
          <w:szCs w:val="22"/>
        </w:rPr>
        <w:t>4.1投标人应承担所有与准备和参加投标有关费用，不论投标的结果如何，采购人和招标代理机构均无义务和责任承担这些费用。</w:t>
      </w:r>
    </w:p>
    <w:p>
      <w:pPr>
        <w:spacing w:line="400" w:lineRule="exact"/>
        <w:rPr>
          <w:rFonts w:ascii="宋体" w:hAnsi="宋体" w:cs="宋体"/>
          <w:bCs/>
          <w:spacing w:val="6"/>
          <w:sz w:val="22"/>
        </w:rPr>
      </w:pPr>
      <w:r>
        <w:rPr>
          <w:rFonts w:hint="eastAsia" w:ascii="宋体" w:hAnsi="宋体" w:cs="宋体"/>
          <w:bCs/>
          <w:spacing w:val="6"/>
          <w:sz w:val="22"/>
          <w:szCs w:val="22"/>
        </w:rPr>
        <w:t>5.优化政府采购金融服务</w:t>
      </w:r>
    </w:p>
    <w:p>
      <w:pPr>
        <w:spacing w:line="400" w:lineRule="exact"/>
        <w:rPr>
          <w:rFonts w:ascii="宋体" w:hAnsi="宋体" w:cs="宋体"/>
          <w:bCs/>
          <w:spacing w:val="6"/>
          <w:sz w:val="22"/>
        </w:rPr>
      </w:pPr>
      <w:r>
        <w:rPr>
          <w:rFonts w:hint="eastAsia" w:ascii="宋体" w:hAnsi="宋体" w:cs="宋体"/>
          <w:bCs/>
          <w:spacing w:val="6"/>
          <w:sz w:val="22"/>
          <w:szCs w:val="22"/>
        </w:rPr>
        <w:t>5.1各级财政部门要深入实施政府采购支持融资畅通工程，积极协同相关部门加快推广政采贷、履约保函等政府采购金融服务，创新优化金融服务模式，引入更多金融机构参与，做到线上与线下并举，实现全省全覆盖；各地搭建的政府采购相关金融服务平台应逐步与政采云金融服务平台进行整合，做到金融机构统一接入，供应商统一入口，数据统一标准，构建政府采购金融服务全省互联互通共享机制，实现全省一盘棋，切实缓解供应商资金难题。</w:t>
      </w:r>
    </w:p>
    <w:p>
      <w:pPr>
        <w:spacing w:line="400" w:lineRule="exact"/>
        <w:rPr>
          <w:rFonts w:ascii="宋体" w:hAnsi="宋体" w:cs="宋体"/>
          <w:bCs/>
          <w:spacing w:val="6"/>
          <w:sz w:val="22"/>
        </w:rPr>
      </w:pPr>
      <w:r>
        <w:rPr>
          <w:rFonts w:hint="eastAsia" w:ascii="宋体" w:hAnsi="宋体" w:cs="宋体"/>
          <w:bCs/>
          <w:spacing w:val="6"/>
          <w:sz w:val="22"/>
          <w:szCs w:val="22"/>
        </w:rPr>
        <w:t>5.2鼓励各金融机构与政采云平台合作，利用平台的业务协同和数据集合优势，积极开展政采贷、履约保函等金融服务。政采云平台应向金融机构提供有效增值服务，赋能金融机构推进线上普惠金融服务工作。鼓励金融机构推出有针对性的政府采购金融服务产品和优惠举措，满足供应商个性化金融服务需求。鼓励财政部门在进行财政专户资金竞争性存放和采购单位在进行公款竞争性存放中，将银行推进政采贷工作成效纳入综合评分指标体系。供应商申请政采贷，需要将采购合同收款变更开户行的，财政部门和采购单位应予以支持。供应商以银行、保险公司出具保函形式提交履约保证金的，采购单位不得拒收。疫情期间，鼓励金融机构按照相关要求，优化政采贷服务条件，有效满足企业流动性需求。</w:t>
      </w:r>
    </w:p>
    <w:p>
      <w:pPr>
        <w:spacing w:line="400" w:lineRule="exact"/>
        <w:rPr>
          <w:rFonts w:ascii="宋体" w:hAnsi="宋体" w:cs="宋体"/>
          <w:bCs/>
          <w:spacing w:val="6"/>
          <w:sz w:val="22"/>
        </w:rPr>
      </w:pPr>
      <w:r>
        <w:rPr>
          <w:rFonts w:hint="eastAsia" w:ascii="宋体" w:hAnsi="宋体" w:cs="宋体"/>
          <w:bCs/>
          <w:spacing w:val="6"/>
          <w:sz w:val="22"/>
          <w:szCs w:val="22"/>
        </w:rPr>
        <w:t>6.特别说明：</w:t>
      </w:r>
    </w:p>
    <w:p>
      <w:pPr>
        <w:spacing w:line="400" w:lineRule="exact"/>
        <w:rPr>
          <w:rFonts w:ascii="宋体" w:hAnsi="宋体" w:cs="宋体"/>
          <w:bCs/>
          <w:spacing w:val="6"/>
          <w:sz w:val="22"/>
        </w:rPr>
      </w:pPr>
      <w:r>
        <w:rPr>
          <w:rFonts w:hint="eastAsia" w:ascii="宋体" w:hAnsi="宋体" w:cs="宋体"/>
          <w:bCs/>
          <w:spacing w:val="6"/>
          <w:sz w:val="22"/>
          <w:szCs w:val="22"/>
        </w:rPr>
        <w:t>6.1投标人应仔细阅读采购文件的所有内容，按照采购文件的要求提交投标文件，并对所提供的全部资料的真实性承担法律责任。</w:t>
      </w:r>
    </w:p>
    <w:p>
      <w:pPr>
        <w:spacing w:line="400" w:lineRule="exact"/>
        <w:rPr>
          <w:rFonts w:ascii="宋体" w:hAnsi="宋体" w:cs="宋体"/>
          <w:bCs/>
          <w:spacing w:val="6"/>
          <w:sz w:val="22"/>
        </w:rPr>
      </w:pPr>
      <w:r>
        <w:rPr>
          <w:rFonts w:hint="eastAsia" w:ascii="宋体" w:hAnsi="宋体" w:cs="宋体"/>
          <w:bCs/>
          <w:spacing w:val="6"/>
          <w:sz w:val="22"/>
          <w:szCs w:val="22"/>
        </w:rPr>
        <w:t>6.2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采购文件规定的方式确定一个投标人获得中标人推荐资格，采购文件未规定的采取随机抽取方式确定，其他同品牌投标人不作为中标候选人。</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非单一产品采购项目，采购人应当根据采购项目技术构成、产品价格比重等合理确定核心产品，并在采购文件中载明。多家投标人提供的核心产品品牌相同的，按前两款规定处理。</w:t>
      </w:r>
    </w:p>
    <w:p>
      <w:pPr>
        <w:spacing w:line="400" w:lineRule="exact"/>
        <w:ind w:firstLine="464" w:firstLineChars="200"/>
        <w:rPr>
          <w:rFonts w:ascii="宋体" w:hAnsi="宋体" w:cs="宋体"/>
          <w:bCs/>
          <w:spacing w:val="6"/>
          <w:sz w:val="22"/>
        </w:rPr>
      </w:pPr>
      <w:r>
        <w:rPr>
          <w:rFonts w:hint="eastAsia" w:ascii="宋体" w:hAnsi="宋体" w:cs="宋体"/>
          <w:bCs/>
          <w:spacing w:val="6"/>
          <w:sz w:val="22"/>
          <w:szCs w:val="22"/>
        </w:rPr>
        <w:t>注：所有核心产品品牌均相同按同品牌投标人计算。</w:t>
      </w:r>
    </w:p>
    <w:p>
      <w:pPr>
        <w:spacing w:line="400" w:lineRule="exact"/>
        <w:rPr>
          <w:rFonts w:ascii="宋体" w:hAnsi="宋体" w:cs="宋体"/>
          <w:bCs/>
          <w:spacing w:val="6"/>
          <w:sz w:val="22"/>
        </w:rPr>
      </w:pPr>
      <w:r>
        <w:rPr>
          <w:rFonts w:hint="eastAsia" w:ascii="宋体" w:hAnsi="宋体" w:cs="宋体"/>
          <w:bCs/>
          <w:spacing w:val="6"/>
          <w:sz w:val="22"/>
          <w:szCs w:val="22"/>
        </w:rPr>
        <w:t>6.3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pPr>
        <w:spacing w:line="400" w:lineRule="exact"/>
        <w:rPr>
          <w:rFonts w:ascii="宋体" w:hAnsi="宋体" w:cs="宋体"/>
          <w:bCs/>
          <w:spacing w:val="6"/>
          <w:sz w:val="22"/>
        </w:rPr>
      </w:pPr>
      <w:r>
        <w:rPr>
          <w:rFonts w:hint="eastAsia" w:ascii="宋体" w:hAnsi="宋体" w:cs="宋体"/>
          <w:bCs/>
          <w:spacing w:val="6"/>
          <w:sz w:val="22"/>
          <w:szCs w:val="22"/>
        </w:rPr>
        <w:t>6.4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60" w:lineRule="exact"/>
        <w:rPr>
          <w:rFonts w:ascii="宋体" w:hAnsi="宋体" w:cs="宋体"/>
          <w:sz w:val="22"/>
          <w:szCs w:val="22"/>
        </w:rPr>
      </w:pPr>
      <w:r>
        <w:rPr>
          <w:rFonts w:hint="eastAsia" w:ascii="宋体" w:hAnsi="宋体" w:cs="宋体"/>
          <w:bCs/>
          <w:spacing w:val="6"/>
          <w:sz w:val="22"/>
          <w:szCs w:val="22"/>
        </w:rPr>
        <w:t>6.5</w:t>
      </w:r>
      <w:r>
        <w:rPr>
          <w:rFonts w:hint="eastAsia" w:ascii="宋体" w:hAnsi="宋体" w:cs="宋体"/>
          <w:bCs/>
          <w:kern w:val="0"/>
          <w:sz w:val="22"/>
          <w:szCs w:val="22"/>
          <w:lang w:val="zh-CN"/>
        </w:rPr>
        <w:t>非浙江政府采购网注册的供应商或发生变更且未及时更新的供应商，应当在规定时间内按照《浙江省政府采购投标人注册及诚信管理暂行办法》（浙财采监字［2009］28号）的相关规定及时办理更新或供应商注册事项。一旦被确定为中标人的，在合同签订前按本办法的规定完成注册并成为正式注册供应商。</w:t>
      </w:r>
    </w:p>
    <w:p>
      <w:pPr>
        <w:pStyle w:val="7"/>
        <w:spacing w:line="500" w:lineRule="exact"/>
        <w:jc w:val="center"/>
        <w:rPr>
          <w:rFonts w:ascii="宋体" w:hAnsi="宋体" w:eastAsia="宋体" w:cs="宋体"/>
          <w:sz w:val="24"/>
          <w:szCs w:val="24"/>
        </w:rPr>
      </w:pPr>
      <w:bookmarkStart w:id="15" w:name="_Toc239145352"/>
      <w:bookmarkStart w:id="16" w:name="_Toc221374624"/>
      <w:bookmarkStart w:id="17" w:name="_Toc222114877"/>
      <w:bookmarkStart w:id="18" w:name="_Toc223715996"/>
      <w:bookmarkStart w:id="19" w:name="_Toc221356949"/>
      <w:bookmarkStart w:id="20" w:name="_Toc34508131"/>
      <w:bookmarkStart w:id="21" w:name="_Toc265529381"/>
      <w:bookmarkStart w:id="22" w:name="_Toc58406684"/>
      <w:bookmarkStart w:id="23" w:name="_Toc241404200"/>
      <w:bookmarkStart w:id="24" w:name="_Toc221423617"/>
      <w:bookmarkStart w:id="25" w:name="_Toc221356884"/>
      <w:r>
        <w:rPr>
          <w:rFonts w:hint="eastAsia" w:ascii="宋体" w:hAnsi="宋体" w:eastAsia="宋体" w:cs="宋体"/>
          <w:sz w:val="24"/>
          <w:szCs w:val="24"/>
        </w:rPr>
        <w:t>二、 采购文件</w:t>
      </w:r>
      <w:bookmarkEnd w:id="15"/>
      <w:bookmarkEnd w:id="16"/>
      <w:bookmarkEnd w:id="17"/>
      <w:bookmarkEnd w:id="18"/>
      <w:bookmarkEnd w:id="19"/>
      <w:bookmarkEnd w:id="20"/>
      <w:bookmarkEnd w:id="21"/>
      <w:bookmarkEnd w:id="22"/>
      <w:bookmarkEnd w:id="23"/>
      <w:bookmarkEnd w:id="24"/>
      <w:bookmarkEnd w:id="25"/>
    </w:p>
    <w:p>
      <w:pPr>
        <w:tabs>
          <w:tab w:val="left" w:pos="540"/>
        </w:tabs>
        <w:spacing w:line="460" w:lineRule="exact"/>
        <w:rPr>
          <w:rFonts w:ascii="宋体" w:hAnsi="宋体" w:cs="宋体"/>
          <w:sz w:val="22"/>
          <w:szCs w:val="22"/>
        </w:rPr>
      </w:pPr>
      <w:r>
        <w:rPr>
          <w:rFonts w:hint="eastAsia" w:ascii="宋体" w:hAnsi="宋体" w:cs="宋体"/>
          <w:sz w:val="22"/>
          <w:szCs w:val="22"/>
        </w:rPr>
        <w:t>7.采购文件由采购文件目录所列内容及相关资料组成。</w:t>
      </w:r>
    </w:p>
    <w:p>
      <w:pPr>
        <w:tabs>
          <w:tab w:val="left" w:pos="540"/>
        </w:tabs>
        <w:spacing w:line="460" w:lineRule="exact"/>
        <w:rPr>
          <w:rFonts w:ascii="宋体" w:hAnsi="宋体" w:cs="宋体"/>
          <w:sz w:val="22"/>
          <w:szCs w:val="22"/>
        </w:rPr>
      </w:pPr>
      <w:r>
        <w:rPr>
          <w:rFonts w:hint="eastAsia" w:ascii="宋体" w:hAnsi="宋体" w:cs="宋体"/>
          <w:sz w:val="22"/>
          <w:szCs w:val="22"/>
        </w:rPr>
        <w:t>8.质疑</w:t>
      </w:r>
    </w:p>
    <w:p>
      <w:pPr>
        <w:tabs>
          <w:tab w:val="left" w:pos="540"/>
        </w:tabs>
        <w:spacing w:line="460" w:lineRule="exact"/>
        <w:rPr>
          <w:rFonts w:ascii="宋体" w:hAnsi="宋体" w:cs="宋体"/>
          <w:spacing w:val="6"/>
          <w:sz w:val="22"/>
        </w:rPr>
      </w:pPr>
      <w:r>
        <w:rPr>
          <w:rFonts w:hint="eastAsia" w:ascii="宋体" w:hAnsi="宋体" w:cs="宋体"/>
          <w:sz w:val="22"/>
          <w:szCs w:val="22"/>
        </w:rPr>
        <w:t>8.1</w:t>
      </w:r>
      <w:r>
        <w:rPr>
          <w:rFonts w:hint="eastAsia" w:ascii="宋体" w:hAnsi="宋体" w:cs="宋体"/>
          <w:spacing w:val="6"/>
          <w:sz w:val="22"/>
        </w:rPr>
        <w:t>投标人认为采购文件、采购过程、中标或者成交结果使自己的权益受到损害的，可以在知道或者应知其权益受到损害之日起7个工作日内，以书面形式向采购人、采购代理机构提出质疑。逾期提出的，采购组织机构将不予受理、答复。</w:t>
      </w:r>
    </w:p>
    <w:p>
      <w:pPr>
        <w:tabs>
          <w:tab w:val="left" w:pos="540"/>
        </w:tabs>
        <w:spacing w:line="460" w:lineRule="exact"/>
        <w:rPr>
          <w:rFonts w:ascii="宋体" w:hAnsi="宋体" w:cs="宋体"/>
          <w:spacing w:val="6"/>
          <w:sz w:val="22"/>
        </w:rPr>
      </w:pPr>
      <w:r>
        <w:rPr>
          <w:rFonts w:hint="eastAsia" w:ascii="宋体" w:hAnsi="宋体" w:cs="宋体"/>
          <w:spacing w:val="6"/>
          <w:sz w:val="22"/>
        </w:rPr>
        <w:t>8.2投标人提出质疑应当提交质疑函和必要的证明材料，质疑函范本请到“浙江政府采购网下载专区”下载，质疑函内容及签署等相关要求请参看《政府采购质疑和投诉办法》相关规定。</w:t>
      </w:r>
    </w:p>
    <w:p>
      <w:pPr>
        <w:tabs>
          <w:tab w:val="left" w:pos="540"/>
        </w:tabs>
        <w:spacing w:line="460" w:lineRule="exact"/>
        <w:rPr>
          <w:rFonts w:ascii="宋体" w:hAnsi="宋体" w:cs="宋体"/>
          <w:bCs/>
          <w:spacing w:val="6"/>
          <w:sz w:val="22"/>
        </w:rPr>
      </w:pPr>
      <w:r>
        <w:rPr>
          <w:rFonts w:hint="eastAsia" w:ascii="宋体" w:hAnsi="宋体" w:cs="宋体"/>
          <w:spacing w:val="6"/>
          <w:sz w:val="22"/>
        </w:rPr>
        <w:t>8.3提出质疑的投标人应当是参与本项目采购活动的投标人。</w:t>
      </w:r>
      <w:r>
        <w:rPr>
          <w:rFonts w:hint="eastAsia" w:ascii="宋体" w:hAnsi="宋体" w:cs="宋体"/>
          <w:bCs/>
          <w:spacing w:val="6"/>
          <w:sz w:val="22"/>
        </w:rPr>
        <w:t>投标人在法定质疑期内一次性提出针对同一采购程序环节的质疑。</w:t>
      </w:r>
    </w:p>
    <w:p>
      <w:pPr>
        <w:tabs>
          <w:tab w:val="left" w:pos="540"/>
        </w:tabs>
        <w:spacing w:line="460" w:lineRule="exact"/>
        <w:rPr>
          <w:rFonts w:ascii="宋体" w:hAnsi="宋体" w:cs="宋体"/>
          <w:spacing w:val="6"/>
          <w:sz w:val="22"/>
        </w:rPr>
      </w:pPr>
      <w:r>
        <w:rPr>
          <w:rFonts w:hint="eastAsia" w:ascii="宋体" w:hAnsi="宋体" w:cs="宋体"/>
          <w:bCs/>
          <w:spacing w:val="6"/>
          <w:sz w:val="22"/>
        </w:rPr>
        <w:t>8.4</w:t>
      </w:r>
      <w:r>
        <w:rPr>
          <w:rFonts w:hint="eastAsia" w:ascii="宋体" w:hAnsi="宋体" w:cs="宋体"/>
          <w:spacing w:val="6"/>
          <w:sz w:val="22"/>
        </w:rPr>
        <w:t>根据《政府采购质疑和投诉办法》第三十七条的规定，投诉人在全国范围12个月内三次以上投诉查无实据的，由财政部门列入不良行为记录名单。</w:t>
      </w:r>
    </w:p>
    <w:p>
      <w:pPr>
        <w:tabs>
          <w:tab w:val="left" w:pos="540"/>
        </w:tabs>
        <w:spacing w:line="460" w:lineRule="exact"/>
        <w:rPr>
          <w:rFonts w:ascii="宋体" w:hAnsi="宋体" w:cs="宋体"/>
          <w:spacing w:val="6"/>
          <w:sz w:val="22"/>
        </w:rPr>
      </w:pPr>
      <w:r>
        <w:rPr>
          <w:rFonts w:hint="eastAsia" w:ascii="宋体" w:hAnsi="宋体" w:cs="宋体"/>
          <w:spacing w:val="6"/>
          <w:sz w:val="22"/>
        </w:rPr>
        <w:t>9.投诉</w:t>
      </w:r>
    </w:p>
    <w:p>
      <w:pPr>
        <w:tabs>
          <w:tab w:val="left" w:pos="540"/>
        </w:tabs>
        <w:spacing w:line="460" w:lineRule="exact"/>
        <w:rPr>
          <w:rFonts w:ascii="宋体" w:hAnsi="宋体" w:cs="宋体"/>
          <w:sz w:val="22"/>
          <w:szCs w:val="22"/>
        </w:rPr>
      </w:pPr>
      <w:r>
        <w:rPr>
          <w:rFonts w:hint="eastAsia" w:ascii="宋体" w:hAnsi="宋体" w:cs="宋体"/>
          <w:spacing w:val="6"/>
          <w:sz w:val="22"/>
        </w:rPr>
        <w:t>9.1质疑投标人对采购人、采购代理机构的答复不满意或者采购人、采购代理机构未在规定的时间内作出答复的，可以在答复期满后十五个工作日内向同级采购监督部门投诉。投诉书范本请到“浙江政府采购网下载专区”下载。</w:t>
      </w:r>
    </w:p>
    <w:p>
      <w:pPr>
        <w:tabs>
          <w:tab w:val="left" w:pos="540"/>
        </w:tabs>
        <w:spacing w:line="460" w:lineRule="exact"/>
        <w:rPr>
          <w:rFonts w:ascii="宋体" w:hAnsi="宋体" w:cs="宋体"/>
          <w:sz w:val="22"/>
          <w:szCs w:val="22"/>
        </w:rPr>
      </w:pPr>
      <w:r>
        <w:rPr>
          <w:rFonts w:hint="eastAsia" w:ascii="宋体" w:hAnsi="宋体" w:cs="宋体"/>
          <w:sz w:val="22"/>
          <w:szCs w:val="22"/>
        </w:rPr>
        <w:t>10.采购文件的澄清或修改</w:t>
      </w:r>
    </w:p>
    <w:p>
      <w:pPr>
        <w:spacing w:line="400" w:lineRule="exact"/>
        <w:rPr>
          <w:rFonts w:ascii="宋体" w:hAnsi="宋体" w:cs="宋体"/>
          <w:spacing w:val="6"/>
          <w:sz w:val="22"/>
        </w:rPr>
      </w:pPr>
      <w:r>
        <w:rPr>
          <w:rFonts w:hint="eastAsia" w:ascii="宋体" w:hAnsi="宋体" w:cs="宋体"/>
          <w:spacing w:val="6"/>
          <w:sz w:val="22"/>
        </w:rPr>
        <w:t>10.1采购人或者采购代理机构可以对已发出的采购文件进行必要的澄清或者修改。澄清或者修改在浙江政府采购网上发布公告，同时政采云系统会向所有已按采购文件规定方式获取采购文件的潜在投标人发送更正提醒信息，潜在投标人请自行到浙江省政府采购网上下载公告附件，潜在投标人在收到该公告附件后应于1日内，以书面或传真形式（签署意见并加盖公章）向采购代理机构回函给予确认。过期未回复的，视为默认接受。澄清或者修改的内容为采购文件的组成部分。</w:t>
      </w:r>
    </w:p>
    <w:p>
      <w:pPr>
        <w:spacing w:line="400" w:lineRule="exact"/>
        <w:rPr>
          <w:rFonts w:ascii="宋体" w:hAnsi="宋体" w:cs="宋体"/>
          <w:spacing w:val="6"/>
          <w:sz w:val="22"/>
        </w:rPr>
      </w:pPr>
      <w:r>
        <w:rPr>
          <w:rFonts w:hint="eastAsia" w:ascii="宋体" w:hAnsi="宋体" w:cs="宋体"/>
          <w:spacing w:val="6"/>
          <w:sz w:val="22"/>
        </w:rPr>
        <w:t>10.2澄清或者修改的内容可能影响投标文件编制的，采购人或者采购代理机构应当在投标截止时间至少15日前，以书面形式（</w:t>
      </w:r>
      <w:r>
        <w:rPr>
          <w:rFonts w:hint="eastAsia" w:ascii="宋体" w:hAnsi="宋体" w:cs="宋体"/>
          <w:bCs/>
          <w:spacing w:val="6"/>
        </w:rPr>
        <w:t>在浙江政府采购网上发布公告</w:t>
      </w:r>
      <w:r>
        <w:rPr>
          <w:rFonts w:hint="eastAsia" w:ascii="宋体" w:hAnsi="宋体" w:cs="宋体"/>
          <w:spacing w:val="6"/>
          <w:sz w:val="22"/>
        </w:rPr>
        <w:t>）通知所有获取采购文件的潜在投标人；不足15日的，采购人或者采购代理机构应当顺延提交投标文件的截止时间。</w:t>
      </w:r>
    </w:p>
    <w:p>
      <w:pPr>
        <w:tabs>
          <w:tab w:val="left" w:pos="540"/>
        </w:tabs>
        <w:spacing w:line="460" w:lineRule="exact"/>
        <w:rPr>
          <w:rFonts w:ascii="宋体" w:hAnsi="宋体" w:cs="宋体"/>
          <w:sz w:val="22"/>
          <w:szCs w:val="22"/>
        </w:rPr>
      </w:pPr>
      <w:r>
        <w:rPr>
          <w:rFonts w:hint="eastAsia" w:ascii="宋体" w:hAnsi="宋体" w:cs="宋体"/>
          <w:spacing w:val="6"/>
          <w:sz w:val="22"/>
        </w:rPr>
        <w:t>10.3采购文件如有补充更正均见“政采云”（http://www.zcygov.cn）。投标人须在开标前一日自行查看是否有补充更正文件，并按补充更正文件要求投标，否则责任自负。</w:t>
      </w:r>
    </w:p>
    <w:p>
      <w:pPr>
        <w:pStyle w:val="7"/>
        <w:spacing w:line="500" w:lineRule="exact"/>
        <w:jc w:val="center"/>
        <w:rPr>
          <w:rFonts w:ascii="宋体" w:hAnsi="宋体" w:eastAsia="宋体" w:cs="宋体"/>
          <w:sz w:val="24"/>
          <w:szCs w:val="24"/>
        </w:rPr>
      </w:pPr>
      <w:bookmarkStart w:id="26" w:name="_Toc265529382"/>
      <w:bookmarkStart w:id="27" w:name="_Toc221423618"/>
      <w:bookmarkStart w:id="28" w:name="_Toc223715997"/>
      <w:bookmarkStart w:id="29" w:name="_Toc58406685"/>
      <w:bookmarkStart w:id="30" w:name="_Toc221356885"/>
      <w:bookmarkStart w:id="31" w:name="_Toc239145353"/>
      <w:bookmarkStart w:id="32" w:name="_Toc34508132"/>
      <w:bookmarkStart w:id="33" w:name="_Toc221356950"/>
      <w:bookmarkStart w:id="34" w:name="_Toc241404201"/>
      <w:bookmarkStart w:id="35" w:name="_Toc221374625"/>
      <w:bookmarkStart w:id="36" w:name="_Toc222114878"/>
      <w:r>
        <w:rPr>
          <w:rFonts w:hint="eastAsia" w:ascii="宋体" w:hAnsi="宋体" w:eastAsia="宋体" w:cs="宋体"/>
          <w:sz w:val="24"/>
          <w:szCs w:val="24"/>
        </w:rPr>
        <w:t>三、 投标文件的编制</w:t>
      </w:r>
      <w:bookmarkEnd w:id="26"/>
      <w:bookmarkEnd w:id="27"/>
      <w:bookmarkEnd w:id="28"/>
      <w:bookmarkEnd w:id="29"/>
      <w:bookmarkEnd w:id="30"/>
      <w:bookmarkEnd w:id="31"/>
      <w:bookmarkEnd w:id="32"/>
      <w:bookmarkEnd w:id="33"/>
      <w:bookmarkEnd w:id="34"/>
      <w:bookmarkEnd w:id="35"/>
      <w:bookmarkEnd w:id="36"/>
    </w:p>
    <w:p>
      <w:pPr>
        <w:spacing w:line="440" w:lineRule="exact"/>
        <w:rPr>
          <w:rFonts w:ascii="宋体" w:hAnsi="宋体" w:cs="宋体"/>
          <w:snapToGrid w:val="0"/>
          <w:sz w:val="22"/>
          <w:szCs w:val="22"/>
        </w:rPr>
      </w:pPr>
      <w:bookmarkStart w:id="37" w:name="_Toc221356886"/>
      <w:r>
        <w:rPr>
          <w:rFonts w:hint="eastAsia" w:ascii="宋体" w:hAnsi="宋体" w:cs="宋体"/>
          <w:snapToGrid w:val="0"/>
          <w:sz w:val="22"/>
          <w:szCs w:val="22"/>
        </w:rPr>
        <w:t>11. 投标文件的形式和效力</w:t>
      </w:r>
    </w:p>
    <w:p>
      <w:pPr>
        <w:spacing w:line="440" w:lineRule="exact"/>
        <w:rPr>
          <w:rFonts w:ascii="宋体" w:hAnsi="宋体" w:cs="宋体"/>
          <w:snapToGrid w:val="0"/>
          <w:sz w:val="22"/>
          <w:szCs w:val="22"/>
        </w:rPr>
      </w:pPr>
      <w:r>
        <w:rPr>
          <w:rFonts w:hint="eastAsia" w:ascii="宋体" w:hAnsi="宋体" w:cs="宋体"/>
          <w:snapToGrid w:val="0"/>
          <w:sz w:val="22"/>
          <w:szCs w:val="22"/>
        </w:rPr>
        <w:t>11.1电子投标文件分为 “电子加密投标文件”和“备份投标文件”两类，在投标文件编制完成后同时生成。</w:t>
      </w:r>
    </w:p>
    <w:p>
      <w:pPr>
        <w:spacing w:line="440" w:lineRule="exact"/>
        <w:rPr>
          <w:rFonts w:ascii="宋体" w:hAnsi="宋体" w:cs="宋体"/>
          <w:snapToGrid w:val="0"/>
          <w:sz w:val="22"/>
          <w:szCs w:val="22"/>
        </w:rPr>
      </w:pPr>
      <w:r>
        <w:rPr>
          <w:rFonts w:hint="eastAsia" w:ascii="宋体" w:hAnsi="宋体" w:cs="宋体"/>
          <w:snapToGrid w:val="0"/>
          <w:sz w:val="22"/>
          <w:szCs w:val="22"/>
        </w:rPr>
        <w:t>11.2“电子加密投标文件”是指通过“政采云电子交易客户端”完成投标文件编制后生成并加密的数据电文形式的投标文件。</w:t>
      </w:r>
    </w:p>
    <w:p>
      <w:pPr>
        <w:spacing w:line="440" w:lineRule="exact"/>
        <w:rPr>
          <w:rFonts w:ascii="宋体" w:hAnsi="宋体" w:cs="宋体"/>
          <w:snapToGrid w:val="0"/>
          <w:sz w:val="22"/>
          <w:szCs w:val="22"/>
        </w:rPr>
      </w:pPr>
      <w:r>
        <w:rPr>
          <w:rFonts w:hint="eastAsia" w:ascii="宋体" w:hAnsi="宋体" w:cs="宋体"/>
          <w:snapToGrid w:val="0"/>
          <w:sz w:val="22"/>
          <w:szCs w:val="22"/>
        </w:rPr>
        <w:t>11.3“备份投标文件”是指与“电子加密投标文件”同时生成的数据电文形式的电子文件（备份标书），其他方式编制的备份投标文件视为无效备份投标文件。</w:t>
      </w:r>
    </w:p>
    <w:p>
      <w:pPr>
        <w:spacing w:line="440" w:lineRule="exact"/>
        <w:rPr>
          <w:rFonts w:ascii="宋体" w:hAnsi="宋体" w:cs="宋体"/>
          <w:snapToGrid w:val="0"/>
          <w:sz w:val="22"/>
          <w:szCs w:val="22"/>
        </w:rPr>
      </w:pPr>
      <w:r>
        <w:rPr>
          <w:rFonts w:hint="eastAsia" w:ascii="宋体" w:hAnsi="宋体" w:cs="宋体"/>
          <w:snapToGrid w:val="0"/>
          <w:sz w:val="22"/>
          <w:szCs w:val="22"/>
        </w:rPr>
        <w:t>11.4投标文件的启用，按先后顺位分别为“电子加密投标文件”、 “备份投标文件”。在下一顺位的投标文件启用时，前一顺位的投标文件自动失效。</w:t>
      </w:r>
    </w:p>
    <w:p>
      <w:pPr>
        <w:spacing w:line="440" w:lineRule="exact"/>
        <w:rPr>
          <w:rFonts w:ascii="宋体" w:hAnsi="宋体" w:cs="宋体"/>
          <w:snapToGrid w:val="0"/>
          <w:sz w:val="22"/>
          <w:szCs w:val="22"/>
        </w:rPr>
      </w:pPr>
      <w:r>
        <w:rPr>
          <w:rFonts w:hint="eastAsia" w:ascii="宋体" w:hAnsi="宋体" w:cs="宋体"/>
          <w:snapToGrid w:val="0"/>
          <w:sz w:val="22"/>
          <w:szCs w:val="22"/>
        </w:rPr>
        <w:t>12. 投标文件的构成</w:t>
      </w:r>
    </w:p>
    <w:p>
      <w:pPr>
        <w:tabs>
          <w:tab w:val="left" w:pos="360"/>
        </w:tabs>
        <w:spacing w:line="460" w:lineRule="exact"/>
        <w:rPr>
          <w:rFonts w:ascii="宋体" w:hAnsi="宋体" w:cs="宋体"/>
          <w:sz w:val="22"/>
          <w:szCs w:val="22"/>
        </w:rPr>
      </w:pPr>
      <w:r>
        <w:rPr>
          <w:rFonts w:hint="eastAsia" w:ascii="宋体" w:hAnsi="宋体" w:cs="宋体"/>
          <w:b/>
          <w:bCs/>
          <w:sz w:val="22"/>
          <w:szCs w:val="22"/>
        </w:rPr>
        <w:t>12.1 投标文件包括资格审查资料、商务技术文件、报价文件三部分。</w:t>
      </w:r>
    </w:p>
    <w:p>
      <w:pPr>
        <w:spacing w:line="430" w:lineRule="exact"/>
        <w:rPr>
          <w:rFonts w:ascii="宋体" w:hAnsi="宋体" w:cs="宋体"/>
          <w:b/>
          <w:bCs/>
          <w:sz w:val="22"/>
          <w:szCs w:val="22"/>
        </w:rPr>
      </w:pPr>
      <w:r>
        <w:rPr>
          <w:rFonts w:hint="eastAsia" w:ascii="宋体" w:hAnsi="宋体" w:cs="宋体"/>
          <w:b/>
          <w:bCs/>
          <w:sz w:val="22"/>
          <w:szCs w:val="22"/>
        </w:rPr>
        <w:t>12.2 投标文件资格审查资料须包括下列部分：</w:t>
      </w:r>
    </w:p>
    <w:tbl>
      <w:tblPr>
        <w:tblStyle w:val="56"/>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9"/>
        <w:gridCol w:w="9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序号</w:t>
            </w:r>
          </w:p>
        </w:tc>
        <w:tc>
          <w:tcPr>
            <w:tcW w:w="9115" w:type="dxa"/>
            <w:noWrap w:val="0"/>
            <w:vAlign w:val="center"/>
          </w:tcPr>
          <w:p>
            <w:pPr>
              <w:overflowPunct w:val="0"/>
              <w:spacing w:line="430" w:lineRule="exact"/>
              <w:jc w:val="center"/>
              <w:rPr>
                <w:rFonts w:hint="eastAsia" w:ascii="宋体" w:hAnsi="宋体" w:cs="宋体"/>
                <w:b/>
                <w:color w:val="auto"/>
                <w:sz w:val="22"/>
                <w:szCs w:val="22"/>
                <w:highlight w:val="none"/>
              </w:rPr>
            </w:pPr>
            <w:r>
              <w:rPr>
                <w:rFonts w:hint="eastAsia" w:ascii="宋体" w:hAnsi="宋体" w:cs="宋体"/>
                <w:b/>
                <w:color w:val="auto"/>
                <w:sz w:val="22"/>
                <w:szCs w:val="22"/>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bookmarkStart w:id="38" w:name="_Hlk16667472"/>
            <w:r>
              <w:rPr>
                <w:rFonts w:hint="eastAsia" w:ascii="宋体" w:hAnsi="宋体" w:cs="宋体"/>
                <w:bCs/>
                <w:color w:val="auto"/>
                <w:sz w:val="22"/>
                <w:szCs w:val="22"/>
                <w:highlight w:val="none"/>
              </w:rPr>
              <w:t>1</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法定代表人（单位负责人）授权书和被授权人有效身份证明。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sz w:val="22"/>
                <w:szCs w:val="22"/>
                <w:highlight w:val="none"/>
              </w:rPr>
            </w:pPr>
            <w:r>
              <w:rPr>
                <w:rFonts w:hint="eastAsia" w:ascii="宋体" w:hAnsi="宋体" w:cs="宋体"/>
                <w:bCs/>
                <w:color w:val="auto"/>
                <w:sz w:val="22"/>
                <w:szCs w:val="22"/>
                <w:highlight w:val="none"/>
              </w:rPr>
              <w:t>2</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联合体协议书（非联合体无需提供，格式自拟）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3</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宋体" w:hAnsi="宋体" w:cs="宋体"/>
                <w:color w:val="auto"/>
                <w:kern w:val="0"/>
                <w:sz w:val="22"/>
                <w:szCs w:val="22"/>
                <w:highlight w:val="none"/>
              </w:rPr>
              <w:t>营业执照(或事业法人登记证书或其它工商等登记证明材料)。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4</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bCs/>
                <w:color w:val="auto"/>
                <w:kern w:val="0"/>
                <w:sz w:val="22"/>
                <w:szCs w:val="22"/>
                <w:highlight w:val="none"/>
              </w:rPr>
            </w:pPr>
            <w:r>
              <w:rPr>
                <w:rFonts w:hint="eastAsia" w:ascii="新宋体" w:hAnsi="新宋体" w:eastAsia="新宋体" w:cs="宋体"/>
                <w:kern w:val="0"/>
                <w:sz w:val="22"/>
                <w:szCs w:val="22"/>
              </w:rPr>
              <w:t>资格条件承诺函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739" w:type="dxa"/>
            <w:tcBorders>
              <w:top w:val="single" w:color="auto" w:sz="4" w:space="0"/>
              <w:left w:val="single" w:color="auto" w:sz="4" w:space="0"/>
              <w:bottom w:val="single" w:color="auto" w:sz="4" w:space="0"/>
              <w:right w:val="single" w:color="auto" w:sz="4" w:space="0"/>
            </w:tcBorders>
            <w:noWrap w:val="0"/>
            <w:vAlign w:val="center"/>
          </w:tcPr>
          <w:p>
            <w:pPr>
              <w:overflowPunct w:val="0"/>
              <w:spacing w:line="430" w:lineRule="exact"/>
              <w:jc w:val="center"/>
              <w:rPr>
                <w:rFonts w:hint="eastAsia" w:ascii="宋体" w:hAnsi="宋体" w:cs="宋体"/>
                <w:bCs/>
                <w:color w:val="auto"/>
                <w:kern w:val="2"/>
                <w:sz w:val="22"/>
                <w:szCs w:val="22"/>
                <w:highlight w:val="none"/>
                <w:lang w:val="en-US" w:eastAsia="zh-CN" w:bidi="ar-SA"/>
              </w:rPr>
            </w:pPr>
            <w:r>
              <w:rPr>
                <w:rFonts w:hint="eastAsia" w:ascii="宋体" w:hAnsi="宋体" w:cs="宋体"/>
                <w:bCs/>
                <w:color w:val="auto"/>
                <w:sz w:val="22"/>
                <w:szCs w:val="22"/>
                <w:highlight w:val="none"/>
              </w:rPr>
              <w:t>5</w:t>
            </w:r>
          </w:p>
        </w:tc>
        <w:tc>
          <w:tcPr>
            <w:tcW w:w="91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kern w:val="0"/>
                <w:sz w:val="22"/>
                <w:szCs w:val="22"/>
                <w:highlight w:val="none"/>
              </w:rPr>
            </w:pPr>
            <w:r>
              <w:rPr>
                <w:rFonts w:hint="eastAsia" w:ascii="新宋体" w:hAnsi="新宋体" w:eastAsia="新宋体" w:cs="新宋体"/>
                <w:bCs/>
                <w:sz w:val="22"/>
                <w:szCs w:val="22"/>
              </w:rPr>
              <w:t>申请材料真实性声明</w:t>
            </w:r>
          </w:p>
        </w:tc>
      </w:tr>
      <w:bookmarkEnd w:id="38"/>
    </w:tbl>
    <w:p>
      <w:pPr>
        <w:spacing w:line="430" w:lineRule="exact"/>
        <w:rPr>
          <w:rFonts w:ascii="宋体" w:hAnsi="宋体" w:cs="宋体"/>
          <w:b/>
          <w:bCs/>
          <w:sz w:val="22"/>
          <w:szCs w:val="22"/>
        </w:rPr>
      </w:pPr>
      <w:r>
        <w:rPr>
          <w:rFonts w:hint="eastAsia" w:ascii="宋体" w:hAnsi="宋体" w:cs="宋体"/>
          <w:b/>
          <w:bCs/>
          <w:sz w:val="22"/>
          <w:szCs w:val="22"/>
        </w:rPr>
        <w:t>备注：</w:t>
      </w:r>
    </w:p>
    <w:p>
      <w:pPr>
        <w:numPr>
          <w:ilvl w:val="0"/>
          <w:numId w:val="2"/>
        </w:numPr>
        <w:spacing w:line="430" w:lineRule="exact"/>
        <w:rPr>
          <w:rFonts w:ascii="宋体" w:hAnsi="宋体" w:cs="宋体"/>
        </w:rPr>
      </w:pPr>
      <w:r>
        <w:rPr>
          <w:rFonts w:hint="eastAsia" w:ascii="宋体" w:hAnsi="宋体" w:eastAsia="宋体" w:cs="宋体"/>
          <w:b/>
          <w:bCs/>
        </w:rPr>
        <w:t>如为联合体，</w:t>
      </w:r>
      <w:r>
        <w:rPr>
          <w:rFonts w:hint="eastAsia" w:ascii="宋体" w:hAnsi="宋体" w:cs="宋体"/>
          <w:b/>
          <w:bCs/>
          <w:lang w:val="en-US" w:eastAsia="zh-CN"/>
        </w:rPr>
        <w:t>3</w:t>
      </w:r>
      <w:r>
        <w:rPr>
          <w:rFonts w:hint="eastAsia" w:ascii="宋体" w:hAnsi="宋体" w:eastAsia="宋体" w:cs="宋体"/>
          <w:b/>
          <w:bCs/>
        </w:rPr>
        <w:t>至</w:t>
      </w:r>
      <w:r>
        <w:rPr>
          <w:rFonts w:hint="eastAsia" w:ascii="宋体" w:hAnsi="宋体" w:cs="宋体"/>
          <w:b/>
          <w:bCs/>
          <w:lang w:val="en-US" w:eastAsia="zh-CN"/>
        </w:rPr>
        <w:t>5</w:t>
      </w:r>
      <w:r>
        <w:rPr>
          <w:rFonts w:hint="eastAsia" w:ascii="宋体" w:hAnsi="宋体" w:eastAsia="宋体" w:cs="宋体"/>
          <w:b/>
          <w:bCs/>
        </w:rPr>
        <w:t>项材料联合体双方均需提供</w:t>
      </w:r>
      <w:r>
        <w:rPr>
          <w:rFonts w:hint="eastAsia" w:ascii="宋体" w:hAnsi="宋体" w:eastAsia="宋体" w:cs="宋体"/>
          <w:b/>
          <w:bCs/>
          <w:lang w:eastAsia="zh-CN"/>
        </w:rPr>
        <w:t>。</w:t>
      </w:r>
    </w:p>
    <w:p>
      <w:pPr>
        <w:numPr>
          <w:ilvl w:val="0"/>
          <w:numId w:val="2"/>
        </w:numPr>
        <w:spacing w:line="430" w:lineRule="exact"/>
        <w:rPr>
          <w:rFonts w:ascii="宋体" w:hAnsi="宋体" w:cs="宋体"/>
        </w:rPr>
      </w:pPr>
      <w:r>
        <w:rPr>
          <w:rFonts w:hint="eastAsia" w:ascii="宋体" w:hAnsi="宋体" w:cs="宋体"/>
          <w:sz w:val="22"/>
          <w:szCs w:val="22"/>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采购活动，由单位负责人签署相关文件材料；</w:t>
      </w:r>
    </w:p>
    <w:p>
      <w:pPr>
        <w:numPr>
          <w:ilvl w:val="0"/>
          <w:numId w:val="2"/>
        </w:numPr>
        <w:spacing w:line="430" w:lineRule="exact"/>
        <w:rPr>
          <w:rFonts w:ascii="宋体" w:hAnsi="宋体" w:cs="宋体"/>
          <w:sz w:val="22"/>
          <w:szCs w:val="22"/>
        </w:rPr>
      </w:pPr>
      <w:r>
        <w:rPr>
          <w:rFonts w:hint="eastAsia" w:ascii="宋体" w:hAnsi="宋体" w:cs="宋体"/>
          <w:b/>
          <w:bCs/>
          <w:szCs w:val="21"/>
          <w:u w:val="single"/>
        </w:rPr>
        <w:t>▲</w:t>
      </w:r>
      <w:r>
        <w:rPr>
          <w:rFonts w:hint="eastAsia" w:ascii="宋体" w:hAnsi="宋体" w:cs="宋体"/>
          <w:b/>
          <w:sz w:val="22"/>
          <w:szCs w:val="22"/>
          <w:u w:val="single"/>
        </w:rPr>
        <w:t>以上所需的各种证书、证件、证明等若系扫描件，须加盖投标人有效的公章（电子签章）。</w:t>
      </w:r>
    </w:p>
    <w:p>
      <w:pPr>
        <w:numPr>
          <w:ilvl w:val="0"/>
          <w:numId w:val="2"/>
        </w:numPr>
        <w:spacing w:line="430" w:lineRule="exact"/>
        <w:rPr>
          <w:rFonts w:ascii="宋体" w:hAnsi="宋体" w:cs="宋体"/>
          <w:sz w:val="22"/>
          <w:szCs w:val="22"/>
        </w:rPr>
      </w:pPr>
      <w:r>
        <w:rPr>
          <w:rFonts w:hint="eastAsia" w:ascii="宋体" w:hAnsi="宋体" w:cs="宋体"/>
          <w:sz w:val="22"/>
          <w:szCs w:val="22"/>
        </w:rPr>
        <w:t>相关证书、报告等如遇年检或换证等特殊情况须按要求提供相应的证明材料。</w:t>
      </w:r>
    </w:p>
    <w:p>
      <w:pPr>
        <w:tabs>
          <w:tab w:val="left" w:pos="360"/>
        </w:tabs>
        <w:spacing w:line="460" w:lineRule="exact"/>
        <w:rPr>
          <w:rFonts w:ascii="宋体" w:hAnsi="宋体" w:cs="宋体"/>
          <w:b/>
          <w:bCs/>
          <w:sz w:val="22"/>
          <w:szCs w:val="22"/>
        </w:rPr>
      </w:pPr>
      <w:r>
        <w:rPr>
          <w:rFonts w:hint="eastAsia" w:ascii="宋体" w:hAnsi="宋体" w:cs="宋体"/>
          <w:b/>
          <w:bCs/>
          <w:sz w:val="22"/>
          <w:szCs w:val="22"/>
        </w:rPr>
        <w:t>12.3 投标文件商务技术文件应包括下列部分：</w:t>
      </w:r>
    </w:p>
    <w:tbl>
      <w:tblPr>
        <w:tblStyle w:val="56"/>
        <w:tblW w:w="4994"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6"/>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序号</w:t>
            </w:r>
          </w:p>
        </w:tc>
        <w:tc>
          <w:tcPr>
            <w:tcW w:w="4625" w:type="pct"/>
            <w:vAlign w:val="center"/>
          </w:tcPr>
          <w:p>
            <w:pPr>
              <w:jc w:val="center"/>
              <w:rPr>
                <w:rFonts w:ascii="新宋体" w:hAnsi="新宋体" w:eastAsia="新宋体" w:cs="新宋体"/>
                <w:b/>
                <w:sz w:val="22"/>
                <w:szCs w:val="22"/>
              </w:rPr>
            </w:pPr>
            <w:r>
              <w:rPr>
                <w:rFonts w:hint="eastAsia" w:ascii="新宋体" w:hAnsi="新宋体" w:eastAsia="新宋体" w:cs="新宋体"/>
                <w:b/>
                <w:sz w:val="22"/>
                <w:szCs w:val="22"/>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ascii="新宋体" w:hAnsi="新宋体" w:eastAsia="新宋体" w:cs="新宋体"/>
                <w:b/>
                <w:sz w:val="22"/>
                <w:szCs w:val="22"/>
              </w:rPr>
            </w:pPr>
            <w:r>
              <w:rPr>
                <w:rFonts w:hint="eastAsia" w:ascii="新宋体" w:hAnsi="新宋体" w:eastAsia="新宋体" w:cs="新宋体"/>
                <w:sz w:val="22"/>
                <w:szCs w:val="22"/>
              </w:rPr>
              <w:t>1</w:t>
            </w:r>
          </w:p>
        </w:tc>
        <w:tc>
          <w:tcPr>
            <w:tcW w:w="4625" w:type="pct"/>
            <w:vAlign w:val="center"/>
          </w:tcPr>
          <w:p>
            <w:pPr>
              <w:jc w:val="left"/>
              <w:rPr>
                <w:rFonts w:ascii="新宋体" w:hAnsi="新宋体" w:eastAsia="新宋体" w:cs="新宋体"/>
                <w:b/>
                <w:sz w:val="22"/>
                <w:szCs w:val="22"/>
              </w:rPr>
            </w:pPr>
            <w:r>
              <w:rPr>
                <w:rFonts w:hint="eastAsia" w:ascii="新宋体" w:hAnsi="新宋体" w:eastAsia="新宋体" w:cs="新宋体"/>
                <w:bCs/>
                <w:sz w:val="22"/>
                <w:szCs w:val="22"/>
              </w:rPr>
              <w:t>针对评分细则，编制目录索引，注明评标细则项目所在投标文件页码，格式自拟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2</w:t>
            </w:r>
          </w:p>
        </w:tc>
        <w:tc>
          <w:tcPr>
            <w:tcW w:w="4625" w:type="pct"/>
            <w:vAlign w:val="center"/>
          </w:tcPr>
          <w:p>
            <w:pPr>
              <w:rPr>
                <w:rFonts w:ascii="新宋体" w:hAnsi="新宋体" w:eastAsia="新宋体" w:cs="新宋体"/>
                <w:b/>
                <w:sz w:val="22"/>
                <w:szCs w:val="22"/>
              </w:rPr>
            </w:pPr>
            <w:r>
              <w:rPr>
                <w:rFonts w:hint="eastAsia" w:ascii="新宋体" w:hAnsi="新宋体" w:eastAsia="新宋体" w:cs="新宋体"/>
                <w:sz w:val="22"/>
                <w:szCs w:val="22"/>
              </w:rPr>
              <w:t>投标函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ascii="新宋体" w:hAnsi="新宋体" w:eastAsia="新宋体" w:cs="新宋体"/>
                <w:sz w:val="22"/>
                <w:szCs w:val="22"/>
              </w:rPr>
            </w:pPr>
            <w:r>
              <w:rPr>
                <w:rFonts w:hint="eastAsia" w:ascii="新宋体" w:hAnsi="新宋体" w:eastAsia="新宋体" w:cs="新宋体"/>
                <w:sz w:val="22"/>
                <w:szCs w:val="22"/>
              </w:rPr>
              <w:t>3</w:t>
            </w:r>
          </w:p>
        </w:tc>
        <w:tc>
          <w:tcPr>
            <w:tcW w:w="4625" w:type="pct"/>
            <w:vAlign w:val="center"/>
          </w:tcPr>
          <w:p>
            <w:pPr>
              <w:rPr>
                <w:rFonts w:ascii="新宋体" w:hAnsi="新宋体" w:eastAsia="新宋体" w:cs="新宋体"/>
                <w:sz w:val="22"/>
                <w:szCs w:val="22"/>
              </w:rPr>
            </w:pPr>
            <w:r>
              <w:rPr>
                <w:rFonts w:hint="eastAsia" w:ascii="新宋体" w:hAnsi="新宋体" w:eastAsia="新宋体" w:cs="新宋体"/>
                <w:sz w:val="22"/>
                <w:szCs w:val="22"/>
              </w:rPr>
              <w:t>技术要求应答表、商务条款偏离表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4</w:t>
            </w:r>
          </w:p>
        </w:tc>
        <w:tc>
          <w:tcPr>
            <w:tcW w:w="4625" w:type="pct"/>
            <w:vAlign w:val="center"/>
          </w:tcPr>
          <w:p>
            <w:pPr>
              <w:rPr>
                <w:rFonts w:hint="default"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所投产品具体品牌型号参数性能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hint="eastAsia" w:ascii="新宋体" w:hAnsi="新宋体" w:eastAsia="新宋体" w:cs="新宋体"/>
                <w:sz w:val="22"/>
                <w:szCs w:val="22"/>
                <w:lang w:val="en-US" w:eastAsia="zh-CN"/>
              </w:rPr>
            </w:pPr>
            <w:r>
              <w:rPr>
                <w:rFonts w:hint="eastAsia" w:ascii="新宋体" w:hAnsi="新宋体" w:eastAsia="新宋体" w:cs="新宋体"/>
                <w:sz w:val="22"/>
                <w:szCs w:val="22"/>
                <w:lang w:val="en-US" w:eastAsia="zh-CN"/>
              </w:rPr>
              <w:t>5</w:t>
            </w:r>
          </w:p>
        </w:tc>
        <w:tc>
          <w:tcPr>
            <w:tcW w:w="4625" w:type="pct"/>
            <w:vAlign w:val="center"/>
          </w:tcPr>
          <w:p>
            <w:pPr>
              <w:rPr>
                <w:rFonts w:hint="eastAsia" w:ascii="新宋体" w:hAnsi="新宋体" w:eastAsia="宋体" w:cs="新宋体"/>
                <w:sz w:val="22"/>
                <w:szCs w:val="22"/>
                <w:lang w:val="en-US" w:eastAsia="zh-CN"/>
              </w:rPr>
            </w:pPr>
            <w:r>
              <w:rPr>
                <w:rFonts w:hint="eastAsia" w:ascii="新宋体" w:hAnsi="新宋体" w:cs="新宋体"/>
                <w:sz w:val="22"/>
                <w:szCs w:val="22"/>
              </w:rPr>
              <w:t>投标整体</w:t>
            </w:r>
            <w:r>
              <w:rPr>
                <w:rFonts w:hint="eastAsia" w:ascii="新宋体" w:hAnsi="新宋体" w:cs="新宋体"/>
                <w:sz w:val="22"/>
                <w:szCs w:val="22"/>
                <w:lang w:val="en-US" w:eastAsia="zh-CN"/>
              </w:rPr>
              <w:t>实施</w:t>
            </w:r>
            <w:r>
              <w:rPr>
                <w:rFonts w:hint="eastAsia" w:ascii="新宋体" w:hAnsi="新宋体" w:cs="新宋体"/>
                <w:sz w:val="22"/>
                <w:szCs w:val="22"/>
              </w:rPr>
              <w:t>方案</w:t>
            </w:r>
            <w:r>
              <w:rPr>
                <w:rFonts w:hint="eastAsia" w:ascii="新宋体" w:hAnsi="新宋体" w:cs="新宋体"/>
                <w:sz w:val="22"/>
                <w:szCs w:val="22"/>
                <w:lang w:eastAsia="zh-CN"/>
              </w:rPr>
              <w:t>（</w:t>
            </w:r>
            <w:r>
              <w:rPr>
                <w:rFonts w:hint="eastAsia" w:ascii="新宋体" w:hAnsi="新宋体" w:cs="新宋体"/>
                <w:sz w:val="22"/>
                <w:szCs w:val="22"/>
                <w:lang w:val="en-US" w:eastAsia="zh-CN"/>
              </w:rPr>
              <w:t>包括但不仅限于技术实施方案、培训方案、售后方案等</w:t>
            </w:r>
            <w:r>
              <w:rPr>
                <w:rFonts w:hint="eastAsia" w:ascii="新宋体" w:hAnsi="新宋体" w:cs="新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hint="eastAsia" w:ascii="新宋体" w:hAnsi="新宋体" w:eastAsia="新宋体" w:cs="新宋体"/>
                <w:sz w:val="22"/>
                <w:szCs w:val="22"/>
                <w:lang w:eastAsia="zh-CN"/>
              </w:rPr>
            </w:pPr>
            <w:r>
              <w:rPr>
                <w:rFonts w:hint="eastAsia" w:ascii="宋体" w:hAnsi="宋体" w:eastAsia="新宋体" w:cs="宋体"/>
                <w:sz w:val="22"/>
                <w:szCs w:val="22"/>
                <w:lang w:val="en-US" w:eastAsia="zh-CN"/>
              </w:rPr>
              <w:t>6</w:t>
            </w:r>
          </w:p>
        </w:tc>
        <w:tc>
          <w:tcPr>
            <w:tcW w:w="4625" w:type="pct"/>
            <w:vAlign w:val="center"/>
          </w:tcPr>
          <w:p>
            <w:pPr>
              <w:rPr>
                <w:rFonts w:hint="default" w:ascii="新宋体" w:hAnsi="新宋体" w:eastAsia="宋体" w:cs="新宋体"/>
                <w:sz w:val="22"/>
                <w:szCs w:val="22"/>
                <w:lang w:val="en-US" w:eastAsia="zh-CN"/>
              </w:rPr>
            </w:pPr>
            <w:r>
              <w:rPr>
                <w:rFonts w:hint="eastAsia" w:ascii="新宋体" w:hAnsi="新宋体" w:cs="新宋体"/>
                <w:sz w:val="22"/>
                <w:szCs w:val="22"/>
                <w:lang w:val="en-US" w:eastAsia="zh-CN"/>
              </w:rPr>
              <w:t>针对本项目投入团队人员配置情况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hint="eastAsia" w:ascii="新宋体" w:hAnsi="新宋体" w:eastAsia="新宋体" w:cs="新宋体"/>
                <w:sz w:val="22"/>
                <w:szCs w:val="22"/>
                <w:lang w:eastAsia="zh-CN"/>
              </w:rPr>
            </w:pPr>
            <w:r>
              <w:rPr>
                <w:rFonts w:hint="eastAsia" w:ascii="宋体" w:hAnsi="宋体" w:eastAsia="新宋体" w:cs="宋体"/>
                <w:sz w:val="22"/>
                <w:szCs w:val="22"/>
                <w:lang w:val="en-US" w:eastAsia="zh-CN"/>
              </w:rPr>
              <w:t>7</w:t>
            </w:r>
          </w:p>
        </w:tc>
        <w:tc>
          <w:tcPr>
            <w:tcW w:w="4625" w:type="pct"/>
            <w:vAlign w:val="center"/>
          </w:tcPr>
          <w:p>
            <w:pPr>
              <w:rPr>
                <w:rFonts w:ascii="新宋体" w:hAnsi="新宋体" w:cs="新宋体"/>
                <w:sz w:val="22"/>
                <w:szCs w:val="22"/>
              </w:rPr>
            </w:pPr>
            <w:r>
              <w:rPr>
                <w:rFonts w:hint="eastAsia" w:ascii="宋体" w:hAnsi="宋体" w:cs="宋体"/>
                <w:sz w:val="22"/>
              </w:rPr>
              <w:t>投标人同类项目业绩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374" w:type="pct"/>
            <w:vAlign w:val="center"/>
          </w:tcPr>
          <w:p>
            <w:pPr>
              <w:jc w:val="center"/>
              <w:rPr>
                <w:rFonts w:hint="eastAsia" w:ascii="新宋体" w:hAnsi="新宋体" w:eastAsia="新宋体" w:cs="新宋体"/>
                <w:sz w:val="22"/>
                <w:szCs w:val="22"/>
                <w:lang w:eastAsia="zh-CN"/>
              </w:rPr>
            </w:pPr>
            <w:r>
              <w:rPr>
                <w:rFonts w:hint="eastAsia" w:ascii="新宋体" w:hAnsi="新宋体" w:eastAsia="新宋体" w:cs="新宋体"/>
                <w:sz w:val="22"/>
                <w:szCs w:val="22"/>
                <w:lang w:val="en-US" w:eastAsia="zh-CN"/>
              </w:rPr>
              <w:t>8</w:t>
            </w:r>
          </w:p>
        </w:tc>
        <w:tc>
          <w:tcPr>
            <w:tcW w:w="4625" w:type="pct"/>
            <w:vAlign w:val="center"/>
          </w:tcPr>
          <w:p>
            <w:pPr>
              <w:rPr>
                <w:rFonts w:ascii="新宋体" w:hAnsi="新宋体" w:eastAsia="新宋体" w:cs="新宋体"/>
                <w:b/>
                <w:sz w:val="22"/>
                <w:szCs w:val="22"/>
              </w:rPr>
            </w:pPr>
            <w:r>
              <w:rPr>
                <w:rFonts w:hint="eastAsia" w:ascii="新宋体" w:hAnsi="新宋体" w:eastAsia="新宋体" w:cs="新宋体"/>
                <w:b/>
                <w:sz w:val="22"/>
                <w:szCs w:val="22"/>
              </w:rPr>
              <w:t>资信证明文件（本部分为</w:t>
            </w:r>
            <w:r>
              <w:rPr>
                <w:rFonts w:hint="eastAsia" w:ascii="新宋体" w:hAnsi="新宋体" w:eastAsia="新宋体" w:cs="新宋体"/>
                <w:b/>
                <w:bCs/>
                <w:sz w:val="22"/>
                <w:szCs w:val="22"/>
              </w:rPr>
              <w:t>商务技术文件</w:t>
            </w:r>
            <w:r>
              <w:rPr>
                <w:rFonts w:hint="eastAsia" w:ascii="新宋体" w:hAnsi="新宋体" w:eastAsia="新宋体" w:cs="新宋体"/>
                <w:b/>
                <w:sz w:val="22"/>
                <w:szCs w:val="22"/>
              </w:rPr>
              <w:t>评分内容，各供应商参照评分标准根据自身情况提供）</w:t>
            </w:r>
          </w:p>
        </w:tc>
      </w:tr>
    </w:tbl>
    <w:p>
      <w:pPr>
        <w:spacing w:line="430" w:lineRule="exact"/>
        <w:rPr>
          <w:rFonts w:ascii="宋体" w:hAnsi="宋体" w:cs="宋体"/>
          <w:b/>
          <w:sz w:val="22"/>
          <w:szCs w:val="22"/>
        </w:rPr>
      </w:pPr>
      <w:r>
        <w:rPr>
          <w:rFonts w:hint="eastAsia" w:ascii="宋体" w:hAnsi="宋体" w:cs="宋体"/>
          <w:b/>
          <w:sz w:val="22"/>
          <w:szCs w:val="22"/>
        </w:rPr>
        <w:t>备注：</w:t>
      </w:r>
    </w:p>
    <w:p>
      <w:pPr>
        <w:numPr>
          <w:ilvl w:val="0"/>
          <w:numId w:val="3"/>
        </w:numPr>
        <w:spacing w:line="430" w:lineRule="exact"/>
        <w:rPr>
          <w:rFonts w:ascii="宋体" w:hAnsi="宋体" w:cs="宋体"/>
          <w:sz w:val="22"/>
          <w:szCs w:val="22"/>
        </w:rPr>
      </w:pPr>
      <w:r>
        <w:rPr>
          <w:rFonts w:hint="eastAsia" w:ascii="宋体" w:hAnsi="宋体" w:cs="宋体"/>
          <w:sz w:val="22"/>
          <w:szCs w:val="22"/>
        </w:rPr>
        <w:t>投标人可根据采购文件中的采购内容及需求和商务技术文件评分细则，提供投标人认为需要提供的文件和资料。</w:t>
      </w:r>
    </w:p>
    <w:p>
      <w:pPr>
        <w:numPr>
          <w:ilvl w:val="0"/>
          <w:numId w:val="3"/>
        </w:numPr>
        <w:spacing w:line="430" w:lineRule="exact"/>
        <w:rPr>
          <w:rFonts w:ascii="宋体" w:hAnsi="宋体" w:cs="宋体"/>
          <w:sz w:val="22"/>
          <w:szCs w:val="22"/>
        </w:rPr>
      </w:pPr>
      <w:r>
        <w:rPr>
          <w:rFonts w:hint="eastAsia" w:ascii="宋体" w:hAnsi="宋体" w:cs="宋体"/>
          <w:sz w:val="22"/>
          <w:szCs w:val="22"/>
        </w:rPr>
        <w:t>投标文件中应承诺：投标人所提供的技术资料的所有权归采购人所有。如若发生第三方侵权事件，其侵权责任与采购人及采购代理机构无关，由投标人承担全部责任。侵权造成的所有相关费用，均由投标人支付，保证不伤害采购人的利益。</w:t>
      </w:r>
    </w:p>
    <w:p>
      <w:pPr>
        <w:numPr>
          <w:ilvl w:val="0"/>
          <w:numId w:val="3"/>
        </w:numPr>
        <w:spacing w:line="430" w:lineRule="exact"/>
        <w:rPr>
          <w:rFonts w:ascii="宋体" w:hAnsi="宋体" w:cs="宋体"/>
          <w:sz w:val="22"/>
          <w:szCs w:val="22"/>
        </w:rPr>
      </w:pPr>
      <w:r>
        <w:rPr>
          <w:rFonts w:hint="eastAsia" w:ascii="宋体" w:hAnsi="宋体" w:cs="宋体"/>
          <w:sz w:val="22"/>
          <w:szCs w:val="22"/>
        </w:rPr>
        <w:t>以上所需的各种证书、证件、证明等若系复印件、扫描件，须加盖投标人有效的公章。</w:t>
      </w:r>
    </w:p>
    <w:p>
      <w:pPr>
        <w:numPr>
          <w:ilvl w:val="0"/>
          <w:numId w:val="3"/>
        </w:numPr>
        <w:spacing w:line="430" w:lineRule="exact"/>
        <w:rPr>
          <w:rFonts w:ascii="宋体" w:hAnsi="宋体" w:cs="宋体"/>
          <w:sz w:val="22"/>
          <w:szCs w:val="22"/>
        </w:rPr>
      </w:pPr>
      <w:r>
        <w:rPr>
          <w:rFonts w:hint="eastAsia" w:ascii="宋体" w:hAnsi="宋体" w:cs="宋体"/>
          <w:sz w:val="22"/>
          <w:szCs w:val="22"/>
        </w:rPr>
        <w:t>相关证书、报告等如遇年检或换证等特殊情况须按要求提供相应的证明材料。</w:t>
      </w:r>
    </w:p>
    <w:p>
      <w:pPr>
        <w:tabs>
          <w:tab w:val="left" w:pos="5355"/>
        </w:tabs>
        <w:spacing w:line="430" w:lineRule="exact"/>
        <w:rPr>
          <w:rFonts w:ascii="宋体" w:hAnsi="宋体" w:cs="宋体"/>
          <w:b/>
          <w:bCs/>
          <w:sz w:val="22"/>
          <w:szCs w:val="22"/>
        </w:rPr>
      </w:pPr>
      <w:r>
        <w:rPr>
          <w:rFonts w:hint="eastAsia" w:ascii="宋体" w:hAnsi="宋体" w:cs="宋体"/>
          <w:b/>
          <w:bCs/>
          <w:sz w:val="22"/>
          <w:szCs w:val="22"/>
        </w:rPr>
        <w:t>12.4 投标文件商务报价标应包括下列部分：</w:t>
      </w:r>
    </w:p>
    <w:tbl>
      <w:tblPr>
        <w:tblStyle w:val="56"/>
        <w:tblW w:w="0" w:type="auto"/>
        <w:tblInd w:w="0" w:type="dxa"/>
        <w:tblLayout w:type="fixed"/>
        <w:tblCellMar>
          <w:top w:w="0" w:type="dxa"/>
          <w:left w:w="108" w:type="dxa"/>
          <w:bottom w:w="0" w:type="dxa"/>
          <w:right w:w="108" w:type="dxa"/>
        </w:tblCellMar>
      </w:tblPr>
      <w:tblGrid>
        <w:gridCol w:w="966"/>
        <w:gridCol w:w="8888"/>
      </w:tblGrid>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宋体"/>
                <w:b/>
                <w:bCs/>
                <w:kern w:val="0"/>
                <w:sz w:val="22"/>
                <w:szCs w:val="22"/>
                <w:lang w:val="zh-CN"/>
              </w:rPr>
            </w:pPr>
            <w:r>
              <w:rPr>
                <w:rFonts w:hint="eastAsia" w:ascii="宋体" w:hAnsi="宋体" w:cs="宋体"/>
                <w:b/>
                <w:bCs/>
                <w:kern w:val="0"/>
                <w:sz w:val="22"/>
                <w:szCs w:val="22"/>
                <w:lang w:val="zh-CN"/>
              </w:rPr>
              <w:t>序号</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宋体"/>
                <w:b/>
                <w:bCs/>
                <w:kern w:val="0"/>
                <w:sz w:val="22"/>
                <w:szCs w:val="22"/>
                <w:lang w:val="zh-CN"/>
              </w:rPr>
            </w:pPr>
            <w:r>
              <w:rPr>
                <w:rFonts w:hint="eastAsia" w:ascii="宋体" w:hAnsi="宋体" w:cs="宋体"/>
                <w:b/>
                <w:bCs/>
                <w:kern w:val="0"/>
                <w:sz w:val="22"/>
                <w:szCs w:val="22"/>
                <w:lang w:val="zh-CN"/>
              </w:rPr>
              <w:t>内容</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宋体"/>
                <w:kern w:val="0"/>
                <w:sz w:val="22"/>
                <w:szCs w:val="22"/>
                <w:lang w:val="zh-CN"/>
              </w:rPr>
            </w:pPr>
            <w:r>
              <w:rPr>
                <w:rFonts w:hint="eastAsia" w:ascii="宋体" w:hAnsi="宋体" w:cs="宋体"/>
                <w:kern w:val="0"/>
                <w:sz w:val="22"/>
                <w:szCs w:val="22"/>
                <w:lang w:val="zh-CN"/>
              </w:rPr>
              <w:t>1</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开标一览表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ascii="宋体" w:hAnsi="宋体" w:cs="宋体"/>
                <w:kern w:val="0"/>
                <w:sz w:val="22"/>
                <w:szCs w:val="22"/>
              </w:rPr>
            </w:pPr>
            <w:r>
              <w:rPr>
                <w:rFonts w:hint="eastAsia" w:ascii="宋体" w:hAnsi="宋体" w:cs="宋体"/>
                <w:kern w:val="0"/>
                <w:sz w:val="22"/>
                <w:szCs w:val="22"/>
              </w:rPr>
              <w:t>2</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ascii="宋体" w:hAnsi="宋体" w:cs="宋体"/>
                <w:kern w:val="0"/>
                <w:sz w:val="22"/>
                <w:szCs w:val="22"/>
                <w:lang w:val="zh-CN"/>
              </w:rPr>
            </w:pPr>
            <w:r>
              <w:rPr>
                <w:rFonts w:hint="eastAsia" w:ascii="宋体" w:hAnsi="宋体" w:cs="宋体"/>
                <w:kern w:val="0"/>
                <w:sz w:val="22"/>
                <w:szCs w:val="22"/>
                <w:lang w:val="zh-CN"/>
              </w:rPr>
              <w:t>投标分项报价表</w:t>
            </w:r>
          </w:p>
        </w:tc>
      </w:tr>
      <w:tr>
        <w:tblPrEx>
          <w:tblCellMar>
            <w:top w:w="0" w:type="dxa"/>
            <w:left w:w="108" w:type="dxa"/>
            <w:bottom w:w="0" w:type="dxa"/>
            <w:right w:w="108" w:type="dxa"/>
          </w:tblCellMar>
        </w:tblPrEx>
        <w:trPr>
          <w:trHeight w:val="567" w:hRule="atLeast"/>
        </w:trPr>
        <w:tc>
          <w:tcPr>
            <w:tcW w:w="966"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jc w:val="center"/>
              <w:rPr>
                <w:rFonts w:hint="eastAsia" w:ascii="新宋体" w:hAnsi="新宋体" w:eastAsia="新宋体" w:cs="新宋体"/>
                <w:kern w:val="0"/>
                <w:sz w:val="22"/>
                <w:szCs w:val="22"/>
                <w:lang w:val="en-US" w:eastAsia="zh-CN" w:bidi="ar-SA"/>
              </w:rPr>
            </w:pPr>
            <w:r>
              <w:rPr>
                <w:rFonts w:hint="eastAsia" w:ascii="新宋体" w:hAnsi="新宋体" w:eastAsia="新宋体" w:cs="新宋体"/>
                <w:kern w:val="0"/>
                <w:sz w:val="22"/>
                <w:szCs w:val="22"/>
              </w:rPr>
              <w:t>3</w:t>
            </w:r>
          </w:p>
        </w:tc>
        <w:tc>
          <w:tcPr>
            <w:tcW w:w="8888" w:type="dxa"/>
            <w:tcBorders>
              <w:top w:val="single" w:color="000000" w:sz="2" w:space="0"/>
              <w:left w:val="single" w:color="000000" w:sz="2" w:space="0"/>
              <w:bottom w:val="single" w:color="000000" w:sz="2" w:space="0"/>
              <w:right w:val="single" w:color="000000" w:sz="2" w:space="0"/>
            </w:tcBorders>
            <w:shd w:val="clear" w:color="000000" w:fill="FFFFFF"/>
            <w:vAlign w:val="center"/>
          </w:tcPr>
          <w:p>
            <w:pPr>
              <w:autoSpaceDE w:val="0"/>
              <w:autoSpaceDN w:val="0"/>
              <w:adjustRightInd w:val="0"/>
              <w:rPr>
                <w:rFonts w:hint="eastAsia" w:ascii="新宋体" w:hAnsi="新宋体" w:eastAsia="新宋体" w:cs="新宋体"/>
                <w:kern w:val="0"/>
                <w:sz w:val="22"/>
                <w:szCs w:val="22"/>
                <w:lang w:val="zh-CN" w:eastAsia="zh-CN" w:bidi="ar-SA"/>
              </w:rPr>
            </w:pPr>
            <w:r>
              <w:rPr>
                <w:rFonts w:hint="eastAsia" w:ascii="新宋体" w:hAnsi="新宋体" w:eastAsia="新宋体" w:cs="新宋体"/>
                <w:kern w:val="0"/>
                <w:sz w:val="22"/>
                <w:szCs w:val="22"/>
                <w:lang w:val="zh-CN"/>
              </w:rPr>
              <w:t>中小企业声明函（或监狱企业声明函</w:t>
            </w:r>
            <w:r>
              <w:rPr>
                <w:rFonts w:hint="eastAsia" w:ascii="新宋体" w:hAnsi="新宋体" w:eastAsia="新宋体" w:cs="新宋体"/>
                <w:kern w:val="0"/>
                <w:sz w:val="22"/>
                <w:szCs w:val="22"/>
                <w:lang w:val="en-US" w:eastAsia="zh-CN"/>
              </w:rPr>
              <w:t>或</w:t>
            </w:r>
            <w:r>
              <w:rPr>
                <w:rFonts w:hint="eastAsia" w:ascii="新宋体" w:hAnsi="新宋体" w:eastAsia="新宋体" w:cs="新宋体"/>
                <w:kern w:val="0"/>
                <w:sz w:val="22"/>
                <w:szCs w:val="22"/>
                <w:lang w:val="zh-CN"/>
              </w:rPr>
              <w:t>残疾人福利性单位声明函）（采购文件第二部分相关附件，非此类企业无须提供）</w:t>
            </w:r>
          </w:p>
        </w:tc>
      </w:tr>
      <w:bookmarkEnd w:id="37"/>
    </w:tbl>
    <w:p>
      <w:pPr>
        <w:spacing w:line="440" w:lineRule="exact"/>
        <w:ind w:left="331" w:hanging="331" w:hangingChars="150"/>
        <w:rPr>
          <w:rFonts w:ascii="宋体" w:hAnsi="宋体" w:cs="宋体"/>
          <w:b/>
          <w:bCs/>
          <w:sz w:val="22"/>
          <w:szCs w:val="22"/>
        </w:rPr>
      </w:pPr>
      <w:r>
        <w:rPr>
          <w:rFonts w:hint="eastAsia" w:ascii="宋体" w:hAnsi="宋体" w:cs="宋体"/>
          <w:b/>
          <w:bCs/>
          <w:sz w:val="22"/>
          <w:szCs w:val="22"/>
        </w:rPr>
        <w:t>13.投标文件编制</w:t>
      </w:r>
    </w:p>
    <w:p>
      <w:pPr>
        <w:tabs>
          <w:tab w:val="left" w:pos="360"/>
        </w:tabs>
        <w:spacing w:line="460" w:lineRule="exact"/>
        <w:rPr>
          <w:rFonts w:ascii="宋体" w:hAnsi="宋体" w:cs="宋体"/>
          <w:sz w:val="22"/>
          <w:szCs w:val="22"/>
        </w:rPr>
      </w:pPr>
      <w:r>
        <w:rPr>
          <w:rFonts w:hint="eastAsia" w:ascii="宋体" w:hAnsi="宋体" w:cs="宋体"/>
          <w:sz w:val="22"/>
          <w:szCs w:val="22"/>
        </w:rPr>
        <w:t>13.1本项目通过“政采云平台（www.zcygov.cn）”实行在线投标响应（电子投标）。供应商应通过“政采云电子交易客户端”，并按照本采购文件和“政采云平台”的要求编制并加密投标文件。</w:t>
      </w:r>
    </w:p>
    <w:p>
      <w:pPr>
        <w:tabs>
          <w:tab w:val="left" w:pos="360"/>
        </w:tabs>
        <w:spacing w:line="460" w:lineRule="exact"/>
        <w:rPr>
          <w:rFonts w:ascii="宋体" w:hAnsi="宋体" w:cs="宋体"/>
          <w:sz w:val="22"/>
          <w:szCs w:val="22"/>
        </w:rPr>
      </w:pPr>
      <w:r>
        <w:rPr>
          <w:rFonts w:hint="eastAsia" w:ascii="宋体" w:hAnsi="宋体" w:cs="宋体"/>
          <w:sz w:val="22"/>
          <w:szCs w:val="22"/>
        </w:rPr>
        <w:t>13.2投标人应当按照本章节 “投标文件组成”规定的内容及顺序在“政采云电子交易客户端”编制投标文件。其中“资格审查资料”和“商务技术文件”中不得出现本项目投标报价，如因投标人原因提前泄露投标报价，是投标人的责任。</w:t>
      </w:r>
    </w:p>
    <w:p>
      <w:pPr>
        <w:tabs>
          <w:tab w:val="left" w:pos="360"/>
        </w:tabs>
        <w:spacing w:line="460" w:lineRule="exact"/>
        <w:rPr>
          <w:rFonts w:ascii="宋体" w:hAnsi="宋体" w:cs="宋体"/>
          <w:sz w:val="22"/>
          <w:szCs w:val="22"/>
        </w:rPr>
      </w:pPr>
      <w:r>
        <w:rPr>
          <w:rFonts w:hint="eastAsia" w:ascii="宋体" w:hAnsi="宋体" w:cs="宋体"/>
          <w:sz w:val="22"/>
          <w:szCs w:val="22"/>
        </w:rPr>
        <w:t>13.3本采购文件“第四部分 投标文件格式”中有提供格式的，投标人须参照格式进行编制（格式中要求提供相关证明材料的还需后附相关证明材料），并按格式要求在指定位置根据要求进行签章，否则视为未提供；本文件“第四部分 投标文件格式”未提供格式的，请各投标单位自行拟定格式，并加盖单位公章并由法定代表人或其授权代表签署（签字或盖章），否则视为未提供。</w:t>
      </w:r>
    </w:p>
    <w:p>
      <w:pPr>
        <w:tabs>
          <w:tab w:val="left" w:pos="360"/>
        </w:tabs>
        <w:spacing w:line="460" w:lineRule="exact"/>
        <w:rPr>
          <w:rFonts w:ascii="宋体" w:hAnsi="宋体" w:cs="宋体"/>
          <w:sz w:val="22"/>
          <w:szCs w:val="22"/>
        </w:rPr>
      </w:pPr>
      <w:r>
        <w:rPr>
          <w:rFonts w:hint="eastAsia" w:ascii="宋体" w:hAnsi="宋体" w:cs="宋体"/>
          <w:sz w:val="22"/>
          <w:szCs w:val="22"/>
        </w:rPr>
        <w:t>13.4投标文件内容不完整、编排混乱导致投标文件被误读、漏读或者查找不到相关内容的，是投标人的责任。</w:t>
      </w:r>
    </w:p>
    <w:p>
      <w:pPr>
        <w:tabs>
          <w:tab w:val="left" w:pos="360"/>
        </w:tabs>
        <w:spacing w:line="460" w:lineRule="exact"/>
        <w:rPr>
          <w:rFonts w:ascii="宋体" w:hAnsi="宋体" w:cs="宋体"/>
          <w:sz w:val="22"/>
          <w:szCs w:val="22"/>
        </w:rPr>
      </w:pPr>
      <w:r>
        <w:rPr>
          <w:rFonts w:hint="eastAsia" w:ascii="宋体" w:hAnsi="宋体" w:cs="宋体"/>
          <w:sz w:val="22"/>
          <w:szCs w:val="22"/>
        </w:rPr>
        <w:t>13.5投标文件因字迹潦草或表达不清所引起的后果由投标人负责。</w:t>
      </w:r>
    </w:p>
    <w:p>
      <w:pPr>
        <w:tabs>
          <w:tab w:val="left" w:pos="360"/>
        </w:tabs>
        <w:spacing w:line="460" w:lineRule="exact"/>
        <w:rPr>
          <w:rFonts w:ascii="宋体" w:hAnsi="宋体" w:cs="宋体"/>
          <w:sz w:val="22"/>
          <w:szCs w:val="22"/>
        </w:rPr>
      </w:pPr>
      <w:r>
        <w:rPr>
          <w:rFonts w:hint="eastAsia" w:ascii="宋体" w:hAnsi="宋体" w:cs="宋体"/>
          <w:sz w:val="22"/>
          <w:szCs w:val="22"/>
        </w:rPr>
        <w:t>13.6 投标人没有按照本章节 “投标文件组成”要求提供全部资料，或者没有仔细阅读采购文件，或者没有对采购文件在各方面的要求作出实质性响应是投标人的风险，由此造成的一切后果由投标人自行承担。</w:t>
      </w:r>
    </w:p>
    <w:p>
      <w:pPr>
        <w:spacing w:line="440" w:lineRule="exact"/>
        <w:ind w:left="331" w:hanging="331" w:hangingChars="150"/>
        <w:rPr>
          <w:rFonts w:ascii="宋体" w:hAnsi="宋体" w:cs="宋体"/>
          <w:b/>
          <w:bCs/>
          <w:sz w:val="22"/>
          <w:szCs w:val="22"/>
        </w:rPr>
      </w:pPr>
      <w:r>
        <w:rPr>
          <w:rFonts w:hint="eastAsia" w:ascii="宋体" w:hAnsi="宋体" w:cs="宋体"/>
          <w:b/>
          <w:bCs/>
          <w:sz w:val="22"/>
          <w:szCs w:val="22"/>
        </w:rPr>
        <w:t>14.投标文件的签章</w:t>
      </w:r>
    </w:p>
    <w:p>
      <w:pPr>
        <w:tabs>
          <w:tab w:val="left" w:pos="360"/>
        </w:tabs>
        <w:spacing w:line="460" w:lineRule="exact"/>
        <w:rPr>
          <w:rFonts w:ascii="宋体" w:hAnsi="宋体" w:cs="宋体"/>
          <w:sz w:val="22"/>
          <w:szCs w:val="22"/>
        </w:rPr>
      </w:pPr>
      <w:r>
        <w:rPr>
          <w:rFonts w:hint="eastAsia" w:ascii="宋体" w:hAnsi="宋体" w:cs="宋体"/>
          <w:sz w:val="22"/>
          <w:szCs w:val="22"/>
        </w:rPr>
        <w:t>14.1投标文件的签章要求：投标人须知前附表第17款；</w:t>
      </w:r>
    </w:p>
    <w:p>
      <w:pPr>
        <w:tabs>
          <w:tab w:val="left" w:pos="360"/>
        </w:tabs>
        <w:spacing w:line="460" w:lineRule="exact"/>
        <w:rPr>
          <w:rFonts w:ascii="宋体" w:hAnsi="宋体" w:cs="宋体"/>
          <w:sz w:val="22"/>
          <w:szCs w:val="22"/>
        </w:rPr>
      </w:pPr>
      <w:r>
        <w:rPr>
          <w:rFonts w:hint="eastAsia" w:ascii="宋体" w:hAnsi="宋体" w:cs="宋体"/>
          <w:sz w:val="22"/>
          <w:szCs w:val="22"/>
        </w:rPr>
        <w:t>14.2</w:t>
      </w:r>
      <w:r>
        <w:rPr>
          <w:rFonts w:hint="eastAsia" w:ascii="宋体" w:hAnsi="宋体" w:cs="宋体"/>
          <w:sz w:val="22"/>
        </w:rPr>
        <w:t>投标文件应由投标人法定代表人或其授权代表签章，并时加盖投标人公章（电子签章）</w:t>
      </w:r>
      <w:r>
        <w:rPr>
          <w:rFonts w:hint="eastAsia" w:ascii="宋体" w:hAnsi="宋体" w:cs="宋体"/>
          <w:sz w:val="22"/>
          <w:szCs w:val="22"/>
        </w:rPr>
        <w:t>。</w:t>
      </w:r>
    </w:p>
    <w:p>
      <w:pPr>
        <w:tabs>
          <w:tab w:val="left" w:pos="360"/>
        </w:tabs>
        <w:spacing w:line="460" w:lineRule="exact"/>
        <w:rPr>
          <w:rFonts w:ascii="宋体" w:hAnsi="宋体" w:cs="宋体"/>
          <w:sz w:val="22"/>
          <w:szCs w:val="22"/>
        </w:rPr>
      </w:pPr>
      <w:r>
        <w:rPr>
          <w:rFonts w:hint="eastAsia" w:ascii="宋体" w:hAnsi="宋体" w:cs="宋体"/>
          <w:sz w:val="22"/>
          <w:szCs w:val="22"/>
        </w:rPr>
        <w:t>14.3电子签章操作指南详见采购公告附件《供应商项目采购-电子招投标操作指南》。</w:t>
      </w:r>
    </w:p>
    <w:p>
      <w:pPr>
        <w:spacing w:line="440" w:lineRule="exact"/>
        <w:ind w:left="331" w:hanging="331" w:hangingChars="150"/>
        <w:rPr>
          <w:rFonts w:ascii="宋体" w:hAnsi="宋体" w:cs="宋体"/>
          <w:b/>
          <w:bCs/>
          <w:sz w:val="22"/>
          <w:szCs w:val="22"/>
        </w:rPr>
      </w:pPr>
      <w:r>
        <w:rPr>
          <w:rFonts w:hint="eastAsia" w:ascii="宋体" w:hAnsi="宋体" w:cs="宋体"/>
          <w:b/>
          <w:bCs/>
          <w:sz w:val="22"/>
          <w:szCs w:val="22"/>
        </w:rPr>
        <w:t>15.投标文件的形式</w:t>
      </w:r>
    </w:p>
    <w:p>
      <w:pPr>
        <w:tabs>
          <w:tab w:val="left" w:pos="360"/>
        </w:tabs>
        <w:spacing w:line="460" w:lineRule="exact"/>
        <w:rPr>
          <w:rFonts w:ascii="宋体" w:hAnsi="宋体" w:cs="宋体"/>
          <w:sz w:val="22"/>
          <w:szCs w:val="22"/>
        </w:rPr>
      </w:pPr>
      <w:r>
        <w:rPr>
          <w:rFonts w:hint="eastAsia" w:ascii="宋体" w:hAnsi="宋体" w:cs="宋体"/>
          <w:sz w:val="22"/>
          <w:szCs w:val="22"/>
        </w:rPr>
        <w:t>15.1投标文件的形式：见投标人须知前附表第18款；</w:t>
      </w:r>
    </w:p>
    <w:p>
      <w:pPr>
        <w:tabs>
          <w:tab w:val="left" w:pos="360"/>
        </w:tabs>
        <w:spacing w:line="460" w:lineRule="exact"/>
        <w:rPr>
          <w:rFonts w:ascii="宋体" w:hAnsi="宋体" w:cs="宋体"/>
          <w:sz w:val="22"/>
          <w:szCs w:val="22"/>
        </w:rPr>
      </w:pPr>
      <w:r>
        <w:rPr>
          <w:rFonts w:hint="eastAsia" w:ascii="宋体" w:hAnsi="宋体" w:cs="宋体"/>
          <w:sz w:val="22"/>
          <w:szCs w:val="22"/>
        </w:rPr>
        <w:t>15.2“电子加密投标文件”：“电子加密投标文件”是指通过“政采云电子交易客户端”完成投标文件编制后生成并加密的数据电文形式的投标文件。</w:t>
      </w:r>
    </w:p>
    <w:p>
      <w:pPr>
        <w:tabs>
          <w:tab w:val="left" w:pos="360"/>
        </w:tabs>
        <w:spacing w:line="460" w:lineRule="exact"/>
        <w:rPr>
          <w:rFonts w:ascii="宋体" w:hAnsi="宋体" w:cs="宋体"/>
          <w:b/>
          <w:sz w:val="24"/>
        </w:rPr>
      </w:pPr>
      <w:r>
        <w:rPr>
          <w:rFonts w:hint="eastAsia" w:ascii="宋体" w:hAnsi="宋体" w:cs="宋体"/>
          <w:sz w:val="22"/>
          <w:szCs w:val="22"/>
        </w:rPr>
        <w:t>15.3“备份投标文件”：“备份投标文件”是指与“电子加密投标文件”同时生成的数据电文形式的电子文件（备份标书），其他方式编制的“备份投标文件”视为无效的“备份投标文件”。</w:t>
      </w:r>
    </w:p>
    <w:p>
      <w:pPr>
        <w:spacing w:line="440" w:lineRule="exact"/>
        <w:ind w:left="331" w:hanging="331" w:hangingChars="150"/>
        <w:rPr>
          <w:rFonts w:ascii="宋体" w:hAnsi="宋体" w:cs="宋体"/>
          <w:b/>
          <w:bCs/>
          <w:sz w:val="22"/>
          <w:szCs w:val="22"/>
        </w:rPr>
      </w:pPr>
      <w:r>
        <w:rPr>
          <w:rFonts w:hint="eastAsia" w:ascii="宋体" w:hAnsi="宋体" w:cs="宋体"/>
          <w:b/>
          <w:bCs/>
          <w:sz w:val="22"/>
          <w:szCs w:val="22"/>
        </w:rPr>
        <w:t>16.投标文件的份数</w:t>
      </w:r>
    </w:p>
    <w:p>
      <w:pPr>
        <w:tabs>
          <w:tab w:val="left" w:pos="5355"/>
        </w:tabs>
        <w:spacing w:line="430" w:lineRule="exact"/>
        <w:rPr>
          <w:rFonts w:ascii="宋体" w:hAnsi="宋体" w:cs="宋体"/>
          <w:sz w:val="22"/>
          <w:szCs w:val="22"/>
        </w:rPr>
      </w:pPr>
      <w:r>
        <w:rPr>
          <w:rFonts w:hint="eastAsia" w:ascii="宋体" w:hAnsi="宋体" w:cs="宋体"/>
          <w:sz w:val="22"/>
          <w:szCs w:val="22"/>
        </w:rPr>
        <w:t>16.1投标文件的份数：见投标人须知前附表第19款。</w:t>
      </w:r>
    </w:p>
    <w:p>
      <w:pPr>
        <w:tabs>
          <w:tab w:val="left" w:pos="540"/>
        </w:tabs>
        <w:spacing w:line="460" w:lineRule="exact"/>
        <w:rPr>
          <w:rFonts w:ascii="宋体" w:hAnsi="宋体" w:cs="宋体"/>
          <w:sz w:val="22"/>
          <w:szCs w:val="22"/>
        </w:rPr>
      </w:pPr>
      <w:r>
        <w:rPr>
          <w:rFonts w:hint="eastAsia" w:ascii="宋体" w:hAnsi="宋体" w:cs="宋体"/>
          <w:bCs/>
          <w:sz w:val="22"/>
          <w:szCs w:val="22"/>
        </w:rPr>
        <w:t>17.投标报价</w:t>
      </w:r>
    </w:p>
    <w:p>
      <w:pPr>
        <w:tabs>
          <w:tab w:val="left" w:pos="540"/>
        </w:tabs>
        <w:spacing w:line="460" w:lineRule="exact"/>
        <w:rPr>
          <w:rFonts w:ascii="宋体" w:hAnsi="宋体" w:cs="宋体"/>
          <w:sz w:val="22"/>
          <w:szCs w:val="22"/>
        </w:rPr>
      </w:pPr>
      <w:r>
        <w:rPr>
          <w:rFonts w:hint="eastAsia" w:ascii="宋体" w:hAnsi="宋体" w:cs="宋体"/>
          <w:sz w:val="22"/>
          <w:szCs w:val="22"/>
        </w:rPr>
        <w:t>17.1 投标人应报出本项目咨询服务所包含的所有单价和总价，并且报出价格组成表，对于投标人价格组成表中未列出的项目或没有填写单价和总价的项目,在合同执行时采购人将不予支付,并认为这些项目费用已包括在投标报价内。</w:t>
      </w:r>
    </w:p>
    <w:p>
      <w:pPr>
        <w:tabs>
          <w:tab w:val="left" w:pos="540"/>
        </w:tabs>
        <w:spacing w:line="460" w:lineRule="exact"/>
        <w:rPr>
          <w:rFonts w:ascii="宋体" w:hAnsi="宋体" w:cs="宋体"/>
          <w:sz w:val="22"/>
          <w:szCs w:val="22"/>
        </w:rPr>
      </w:pPr>
      <w:r>
        <w:rPr>
          <w:rFonts w:hint="eastAsia" w:ascii="宋体" w:hAnsi="宋体" w:cs="宋体"/>
          <w:sz w:val="22"/>
          <w:szCs w:val="22"/>
        </w:rPr>
        <w:t>17.2本项目投标报价为中标人在正确地完全履行合同义务后采购人应支付给中标人所有的货物及服务价款，包括为完成本项目所要求的一切货物制造、运输、安装、调试、</w:t>
      </w:r>
      <w:r>
        <w:rPr>
          <w:rFonts w:hint="eastAsia" w:ascii="宋体" w:hAnsi="宋体" w:cs="宋体"/>
          <w:b/>
          <w:bCs/>
          <w:sz w:val="22"/>
          <w:szCs w:val="22"/>
          <w:u w:val="single"/>
        </w:rPr>
        <w:t>验收（含第三方验收）</w:t>
      </w:r>
      <w:r>
        <w:rPr>
          <w:rFonts w:hint="eastAsia" w:ascii="宋体" w:hAnsi="宋体" w:cs="宋体"/>
          <w:sz w:val="22"/>
          <w:szCs w:val="22"/>
        </w:rPr>
        <w:t>、税费（增值税发票）、招标代理服务费等所可能产生的全部费用。一旦中标，投标报价不予调整，供应商自行考虑报价风险</w:t>
      </w:r>
      <w:r>
        <w:rPr>
          <w:rFonts w:hint="eastAsia" w:ascii="宋体" w:hAnsi="宋体" w:cs="宋体"/>
          <w:bCs/>
          <w:kern w:val="0"/>
          <w:sz w:val="22"/>
          <w:szCs w:val="22"/>
          <w:lang w:val="zh-CN"/>
        </w:rPr>
        <w:t>。</w:t>
      </w:r>
    </w:p>
    <w:p>
      <w:pPr>
        <w:tabs>
          <w:tab w:val="left" w:pos="540"/>
        </w:tabs>
        <w:spacing w:line="460" w:lineRule="exact"/>
        <w:rPr>
          <w:rFonts w:ascii="宋体" w:hAnsi="宋体" w:cs="宋体"/>
          <w:sz w:val="22"/>
          <w:szCs w:val="22"/>
        </w:rPr>
      </w:pPr>
      <w:r>
        <w:rPr>
          <w:rFonts w:hint="eastAsia" w:ascii="宋体" w:hAnsi="宋体" w:cs="宋体"/>
          <w:sz w:val="22"/>
          <w:szCs w:val="22"/>
        </w:rPr>
        <w:t>17.3 投标人须认真阅读、充分理解采购文件，如有疑问可在询疑截止时间前送达（或传真）招标代理机构，招标代理机构将会统一解答。任何因对本项目采购文件理解不清、产生歧义等由此产生的费用，视作以含在投标总价中。</w:t>
      </w:r>
    </w:p>
    <w:p>
      <w:pPr>
        <w:tabs>
          <w:tab w:val="left" w:pos="540"/>
        </w:tabs>
        <w:spacing w:line="460" w:lineRule="exact"/>
        <w:rPr>
          <w:rFonts w:ascii="宋体" w:hAnsi="宋体" w:cs="宋体"/>
          <w:sz w:val="22"/>
          <w:szCs w:val="22"/>
        </w:rPr>
      </w:pPr>
      <w:r>
        <w:rPr>
          <w:rFonts w:hint="eastAsia" w:ascii="宋体" w:hAnsi="宋体" w:cs="宋体"/>
          <w:sz w:val="22"/>
          <w:szCs w:val="22"/>
        </w:rPr>
        <w:t>17.4 投标人必须按第三部分附件的开标一览表、投标分项报价表的内容填写单价、合价及其他事项，并由法定代表人或授权代表签署。</w:t>
      </w:r>
    </w:p>
    <w:p>
      <w:pPr>
        <w:tabs>
          <w:tab w:val="left" w:pos="540"/>
        </w:tabs>
        <w:spacing w:line="460" w:lineRule="exact"/>
        <w:rPr>
          <w:rFonts w:ascii="宋体" w:hAnsi="宋体" w:cs="宋体"/>
          <w:b/>
          <w:sz w:val="22"/>
          <w:szCs w:val="22"/>
        </w:rPr>
      </w:pPr>
      <w:r>
        <w:rPr>
          <w:rFonts w:hint="eastAsia" w:ascii="宋体" w:hAnsi="宋体" w:cs="宋体"/>
          <w:sz w:val="22"/>
          <w:szCs w:val="22"/>
        </w:rPr>
        <w:t>17.5 所有投标报价均以人民币报价。</w:t>
      </w:r>
    </w:p>
    <w:p>
      <w:pPr>
        <w:tabs>
          <w:tab w:val="left" w:pos="540"/>
        </w:tabs>
        <w:spacing w:line="460" w:lineRule="exact"/>
        <w:rPr>
          <w:rFonts w:ascii="宋体" w:hAnsi="宋体" w:cs="宋体"/>
          <w:sz w:val="22"/>
          <w:szCs w:val="22"/>
        </w:rPr>
      </w:pPr>
      <w:r>
        <w:rPr>
          <w:rFonts w:hint="eastAsia" w:ascii="宋体" w:hAnsi="宋体" w:cs="宋体"/>
          <w:sz w:val="22"/>
          <w:szCs w:val="22"/>
        </w:rPr>
        <w:t>17.6 采购人不接受任何选择报价，对每一项货物/服务只允许一个报价。</w:t>
      </w:r>
    </w:p>
    <w:p>
      <w:pPr>
        <w:tabs>
          <w:tab w:val="left" w:pos="540"/>
        </w:tabs>
        <w:spacing w:line="460" w:lineRule="exact"/>
        <w:rPr>
          <w:rFonts w:ascii="宋体" w:hAnsi="宋体" w:cs="宋体"/>
          <w:sz w:val="22"/>
          <w:szCs w:val="22"/>
        </w:rPr>
      </w:pPr>
      <w:r>
        <w:rPr>
          <w:rFonts w:hint="eastAsia" w:ascii="宋体" w:hAnsi="宋体" w:cs="宋体"/>
          <w:sz w:val="22"/>
          <w:szCs w:val="22"/>
        </w:rPr>
        <w:t>17.7 采购人要求分类报价是为了方便评标，但在任何情况下不限制采购人以其认为最合适的条款、条件签订合同的权利。</w:t>
      </w:r>
    </w:p>
    <w:p>
      <w:pPr>
        <w:tabs>
          <w:tab w:val="left" w:pos="540"/>
        </w:tabs>
        <w:spacing w:line="440" w:lineRule="exact"/>
        <w:rPr>
          <w:rFonts w:ascii="宋体" w:hAnsi="宋体" w:cs="宋体"/>
          <w:sz w:val="22"/>
          <w:szCs w:val="22"/>
        </w:rPr>
      </w:pPr>
      <w:r>
        <w:rPr>
          <w:rFonts w:hint="eastAsia" w:ascii="宋体" w:hAnsi="宋体" w:cs="宋体"/>
          <w:sz w:val="22"/>
          <w:szCs w:val="22"/>
        </w:rPr>
        <w:t>17.8报价是成交的一个重要因素，但最低报价不是成交的唯一依据。</w:t>
      </w:r>
    </w:p>
    <w:p>
      <w:pPr>
        <w:tabs>
          <w:tab w:val="left" w:pos="-180"/>
          <w:tab w:val="left" w:pos="180"/>
          <w:tab w:val="left" w:pos="360"/>
        </w:tabs>
        <w:spacing w:line="440" w:lineRule="exact"/>
        <w:ind w:left="660" w:hanging="660" w:hangingChars="300"/>
        <w:rPr>
          <w:rFonts w:ascii="宋体" w:hAnsi="宋体" w:cs="宋体"/>
          <w:b/>
          <w:bCs/>
          <w:sz w:val="22"/>
          <w:szCs w:val="22"/>
        </w:rPr>
      </w:pPr>
      <w:r>
        <w:rPr>
          <w:rFonts w:hint="eastAsia" w:ascii="宋体" w:hAnsi="宋体" w:cs="宋体"/>
          <w:bCs/>
          <w:sz w:val="22"/>
          <w:szCs w:val="22"/>
        </w:rPr>
        <w:t xml:space="preserve">18. </w:t>
      </w:r>
      <w:r>
        <w:rPr>
          <w:rFonts w:hint="eastAsia" w:ascii="宋体" w:hAnsi="宋体" w:cs="宋体"/>
          <w:b/>
          <w:bCs/>
          <w:sz w:val="22"/>
          <w:szCs w:val="22"/>
        </w:rPr>
        <w:t>投标人如发生下列情况之一，将上报同级采购监督管理部门，追究其责任：</w:t>
      </w:r>
    </w:p>
    <w:p>
      <w:pPr>
        <w:numPr>
          <w:ilvl w:val="0"/>
          <w:numId w:val="4"/>
        </w:numPr>
        <w:tabs>
          <w:tab w:val="left" w:pos="360"/>
          <w:tab w:val="clear" w:pos="420"/>
        </w:tabs>
        <w:spacing w:line="440" w:lineRule="exact"/>
        <w:ind w:left="720" w:hanging="720"/>
        <w:rPr>
          <w:rFonts w:ascii="宋体" w:hAnsi="宋体" w:cs="宋体"/>
          <w:sz w:val="22"/>
          <w:szCs w:val="22"/>
        </w:rPr>
      </w:pPr>
      <w:r>
        <w:rPr>
          <w:rFonts w:hint="eastAsia" w:ascii="宋体" w:hAnsi="宋体" w:cs="宋体"/>
          <w:sz w:val="22"/>
          <w:szCs w:val="22"/>
        </w:rPr>
        <w:t>投标人在采购文件规定的投标有效期内撤回投标；</w:t>
      </w:r>
    </w:p>
    <w:p>
      <w:pPr>
        <w:numPr>
          <w:ilvl w:val="0"/>
          <w:numId w:val="4"/>
        </w:numPr>
        <w:tabs>
          <w:tab w:val="left" w:pos="360"/>
          <w:tab w:val="clear" w:pos="420"/>
        </w:tabs>
        <w:spacing w:line="440" w:lineRule="exact"/>
        <w:ind w:left="720" w:hanging="720"/>
        <w:rPr>
          <w:rFonts w:ascii="宋体" w:hAnsi="宋体" w:cs="宋体"/>
          <w:sz w:val="22"/>
          <w:szCs w:val="22"/>
        </w:rPr>
      </w:pPr>
      <w:r>
        <w:rPr>
          <w:rFonts w:hint="eastAsia" w:ascii="宋体" w:hAnsi="宋体" w:cs="宋体"/>
          <w:sz w:val="22"/>
          <w:szCs w:val="22"/>
        </w:rPr>
        <w:t>中标人未按中标通知书中规定的时间与采购人签订合同；</w:t>
      </w:r>
    </w:p>
    <w:p>
      <w:pPr>
        <w:numPr>
          <w:ilvl w:val="0"/>
          <w:numId w:val="4"/>
        </w:numPr>
        <w:tabs>
          <w:tab w:val="left" w:pos="360"/>
          <w:tab w:val="clear" w:pos="420"/>
        </w:tabs>
        <w:spacing w:line="440" w:lineRule="exact"/>
        <w:ind w:left="720" w:hanging="720"/>
        <w:rPr>
          <w:rFonts w:ascii="宋体" w:hAnsi="宋体" w:cs="宋体"/>
          <w:sz w:val="22"/>
          <w:szCs w:val="22"/>
        </w:rPr>
      </w:pPr>
      <w:r>
        <w:rPr>
          <w:rFonts w:hint="eastAsia" w:ascii="宋体" w:hAnsi="宋体" w:cs="宋体"/>
          <w:sz w:val="22"/>
          <w:szCs w:val="22"/>
        </w:rPr>
        <w:t>投标人在采购文件中提供虚假技术指标及参数，经评标委员会确认属实的。</w:t>
      </w:r>
    </w:p>
    <w:p>
      <w:pPr>
        <w:numPr>
          <w:ilvl w:val="0"/>
          <w:numId w:val="4"/>
        </w:numPr>
        <w:tabs>
          <w:tab w:val="left" w:pos="360"/>
          <w:tab w:val="clear" w:pos="420"/>
        </w:tabs>
        <w:spacing w:line="440" w:lineRule="exact"/>
        <w:ind w:left="720" w:hanging="720"/>
        <w:rPr>
          <w:rFonts w:ascii="宋体" w:hAnsi="宋体" w:cs="宋体"/>
          <w:sz w:val="22"/>
          <w:szCs w:val="22"/>
        </w:rPr>
      </w:pPr>
      <w:r>
        <w:rPr>
          <w:rFonts w:hint="eastAsia" w:ascii="宋体" w:hAnsi="宋体" w:cs="宋体"/>
          <w:sz w:val="22"/>
          <w:szCs w:val="22"/>
        </w:rPr>
        <w:t>经同级采购监督管理部门审查认定投标人有违反有关法律法规的行为。</w:t>
      </w:r>
    </w:p>
    <w:p>
      <w:pPr>
        <w:tabs>
          <w:tab w:val="left" w:pos="-180"/>
          <w:tab w:val="left" w:pos="180"/>
          <w:tab w:val="left" w:pos="360"/>
        </w:tabs>
        <w:spacing w:line="440" w:lineRule="exact"/>
        <w:rPr>
          <w:rFonts w:ascii="宋体" w:hAnsi="宋体" w:cs="宋体"/>
          <w:b/>
          <w:bCs/>
          <w:sz w:val="22"/>
          <w:szCs w:val="22"/>
        </w:rPr>
      </w:pPr>
      <w:bookmarkStart w:id="39" w:name="_Toc223715998"/>
      <w:bookmarkStart w:id="40" w:name="_Toc241404202"/>
      <w:bookmarkStart w:id="41" w:name="_Toc265529383"/>
      <w:bookmarkStart w:id="42" w:name="_Toc221374626"/>
      <w:bookmarkStart w:id="43" w:name="_Toc239145354"/>
      <w:bookmarkStart w:id="44" w:name="_Toc221356951"/>
      <w:bookmarkStart w:id="45" w:name="_Toc221423619"/>
      <w:bookmarkStart w:id="46" w:name="_Toc221356887"/>
      <w:bookmarkStart w:id="47" w:name="_Toc222114879"/>
      <w:r>
        <w:rPr>
          <w:rFonts w:hint="eastAsia" w:ascii="宋体" w:hAnsi="宋体" w:cs="宋体"/>
          <w:b/>
          <w:bCs/>
          <w:sz w:val="22"/>
          <w:szCs w:val="22"/>
        </w:rPr>
        <w:t>19. 投标有效期</w:t>
      </w:r>
    </w:p>
    <w:p>
      <w:pPr>
        <w:tabs>
          <w:tab w:val="left" w:pos="540"/>
          <w:tab w:val="left" w:pos="992"/>
        </w:tabs>
        <w:autoSpaceDE w:val="0"/>
        <w:autoSpaceDN w:val="0"/>
        <w:adjustRightInd w:val="0"/>
        <w:spacing w:line="460" w:lineRule="atLeast"/>
        <w:rPr>
          <w:rFonts w:ascii="宋体" w:hAnsi="宋体" w:cs="宋体"/>
          <w:kern w:val="0"/>
          <w:sz w:val="22"/>
          <w:szCs w:val="22"/>
        </w:rPr>
      </w:pPr>
      <w:r>
        <w:rPr>
          <w:rFonts w:hint="eastAsia" w:ascii="宋体" w:hAnsi="宋体" w:cs="宋体"/>
          <w:kern w:val="0"/>
          <w:sz w:val="22"/>
          <w:szCs w:val="22"/>
        </w:rPr>
        <w:t>19.1 自开标之日起 90天内投标应保持有效。投标有效期短于这个规定期限的投标将视为非响应性投标而予以拒绝。</w:t>
      </w:r>
    </w:p>
    <w:p>
      <w:pPr>
        <w:spacing w:line="440" w:lineRule="exact"/>
        <w:rPr>
          <w:rFonts w:ascii="宋体" w:hAnsi="宋体" w:cs="宋体"/>
          <w:sz w:val="22"/>
          <w:szCs w:val="22"/>
        </w:rPr>
      </w:pPr>
      <w:r>
        <w:rPr>
          <w:rFonts w:hint="eastAsia" w:ascii="宋体" w:hAnsi="宋体" w:cs="宋体"/>
          <w:kern w:val="0"/>
          <w:sz w:val="22"/>
          <w:szCs w:val="22"/>
        </w:rPr>
        <w:t>19.2 特殊情况下，在原投标有效期截止前，采购人可与投标人协商延长投标有效期，这种要求和答复均以书面形式进行。投标人可拒绝接受延期要求。同意延长投标有效期的投标人不得修改投标文件。</w:t>
      </w:r>
    </w:p>
    <w:p>
      <w:pPr>
        <w:pStyle w:val="7"/>
        <w:spacing w:line="500" w:lineRule="exact"/>
        <w:jc w:val="center"/>
        <w:rPr>
          <w:rFonts w:ascii="宋体" w:hAnsi="宋体" w:eastAsia="宋体" w:cs="宋体"/>
          <w:sz w:val="24"/>
          <w:szCs w:val="24"/>
        </w:rPr>
      </w:pPr>
      <w:bookmarkStart w:id="48" w:name="_Toc34508133"/>
      <w:bookmarkStart w:id="49" w:name="_Toc58406686"/>
      <w:r>
        <w:rPr>
          <w:rFonts w:hint="eastAsia" w:ascii="宋体" w:hAnsi="宋体" w:eastAsia="宋体" w:cs="宋体"/>
          <w:sz w:val="24"/>
          <w:szCs w:val="24"/>
        </w:rPr>
        <w:t>四、 投标文件的递交</w:t>
      </w:r>
      <w:bookmarkEnd w:id="39"/>
      <w:bookmarkEnd w:id="40"/>
      <w:bookmarkEnd w:id="41"/>
      <w:bookmarkEnd w:id="42"/>
      <w:bookmarkEnd w:id="43"/>
      <w:bookmarkEnd w:id="44"/>
      <w:bookmarkEnd w:id="45"/>
      <w:bookmarkEnd w:id="46"/>
      <w:bookmarkEnd w:id="47"/>
      <w:bookmarkEnd w:id="48"/>
      <w:bookmarkEnd w:id="49"/>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20. 投标文件的递交</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20.1投标文件的上传、递交：见投标人须知前附表第20款。</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21. “电子加密投标文件”解密和异常情况处理。</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21.1“电子加密投标文件”解密：见投标人须知前附表第21款。</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22. 投标文件的补充、修改或撤回</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22.1供应商应当在投标文件递交截止时间前完成投标文件的上传、递交，并可以补充、修改或者撤回投标文件。补充或者修改投标文件的，应当先行撤回原文件，补充、修改后重新上传、递交。投标文件递交截止时间前未完成上传、递交的，视为撤回投标文件。投标文件递交截止时间后递交的投标文件，“政采云平台”将予以拒收。</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22.2投标文件递交截止时间后，投标人不得撤回、修改投标文件。</w:t>
      </w:r>
    </w:p>
    <w:p>
      <w:pPr>
        <w:tabs>
          <w:tab w:val="left" w:pos="540"/>
        </w:tabs>
        <w:spacing w:line="460" w:lineRule="exact"/>
        <w:rPr>
          <w:rFonts w:ascii="宋体" w:hAnsi="宋体" w:cs="宋体"/>
          <w:bCs/>
          <w:kern w:val="0"/>
          <w:sz w:val="22"/>
          <w:szCs w:val="22"/>
        </w:rPr>
      </w:pPr>
      <w:r>
        <w:rPr>
          <w:rFonts w:hint="eastAsia" w:ascii="宋体" w:hAnsi="宋体" w:cs="宋体"/>
          <w:b/>
          <w:bCs/>
          <w:kern w:val="0"/>
          <w:sz w:val="22"/>
          <w:szCs w:val="22"/>
        </w:rPr>
        <w:t>23. 投标文件的备选方案</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23.1投标人不得递交任何的投标备选（替代）方案，否则其投标文件将作无效标处理。与“电子加密投标文件”同时生成的“备份投标文件”不是投标备选（替代）方案。</w:t>
      </w:r>
    </w:p>
    <w:p>
      <w:pPr>
        <w:tabs>
          <w:tab w:val="left" w:pos="540"/>
        </w:tabs>
        <w:spacing w:line="460" w:lineRule="exact"/>
        <w:rPr>
          <w:rFonts w:ascii="宋体" w:hAnsi="宋体" w:cs="宋体"/>
          <w:b/>
          <w:sz w:val="22"/>
          <w:szCs w:val="22"/>
        </w:rPr>
      </w:pPr>
    </w:p>
    <w:p>
      <w:pPr>
        <w:pStyle w:val="7"/>
        <w:spacing w:line="500" w:lineRule="exact"/>
        <w:jc w:val="center"/>
        <w:rPr>
          <w:rFonts w:ascii="宋体" w:hAnsi="宋体" w:eastAsia="宋体" w:cs="宋体"/>
          <w:sz w:val="24"/>
          <w:szCs w:val="24"/>
        </w:rPr>
      </w:pPr>
      <w:bookmarkStart w:id="50" w:name="_Toc241404203"/>
      <w:bookmarkStart w:id="51" w:name="_Toc58406687"/>
      <w:bookmarkStart w:id="52" w:name="_Toc221356952"/>
      <w:bookmarkStart w:id="53" w:name="_Toc221423620"/>
      <w:bookmarkStart w:id="54" w:name="_Toc222114880"/>
      <w:bookmarkStart w:id="55" w:name="_Toc221356888"/>
      <w:bookmarkStart w:id="56" w:name="_Toc221374627"/>
      <w:bookmarkStart w:id="57" w:name="_Toc223715999"/>
      <w:bookmarkStart w:id="58" w:name="_Toc34508134"/>
      <w:bookmarkStart w:id="59" w:name="_Toc265529384"/>
      <w:bookmarkStart w:id="60" w:name="_Toc239145355"/>
      <w:r>
        <w:rPr>
          <w:rFonts w:hint="eastAsia" w:ascii="宋体" w:hAnsi="宋体" w:eastAsia="宋体" w:cs="宋体"/>
          <w:sz w:val="24"/>
          <w:szCs w:val="24"/>
        </w:rPr>
        <w:t>五、 开标</w:t>
      </w:r>
      <w:bookmarkEnd w:id="50"/>
      <w:bookmarkEnd w:id="51"/>
      <w:bookmarkEnd w:id="52"/>
      <w:bookmarkEnd w:id="53"/>
      <w:bookmarkEnd w:id="54"/>
      <w:bookmarkEnd w:id="55"/>
      <w:bookmarkEnd w:id="56"/>
      <w:bookmarkEnd w:id="57"/>
      <w:bookmarkEnd w:id="58"/>
      <w:bookmarkEnd w:id="59"/>
      <w:bookmarkEnd w:id="60"/>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24. 开标形式</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24.1 采购组织机构将按照采购文件规定的时间通过“政采云平台”组织开标、开启投标文件，所有供应商均应当准时在线参加。</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25. 开标准备</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25.1开标的准备工作由采购组织机构负责落实。</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25.2采购组织机构将按照采购文件规定的时间通过“政采云平台”组织开标、开启投标文件，所有供应商均应当准时在线参加。投标人如不参加开标大会的，视同认可开标结果，事后不得对采购相关人员、开标过程和开标结果提出异议，同时投标人因未在线参加开标而导致投标文件无法按时解密等一切后果由供应商自己承担。</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26.开标流程（两阶段）</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26.1开标第一阶段</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1）向各投标人发出电子加密投标文件【开始解密】通知，由供应商按采购文件规定的时间内自行进行投标文件解密。投标人在规定的时间内（开标时间起半个小时内）无法完成已递交的“电子加密投标文件”解密的，如已按规定递交了备份投标文件的，将由采购组织机构按“政采云平台”操作规范将备份投标文件上传至“政采云平台”，上传成功后，“电子加密投标文件”自动失效；</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（2）投标文件解密结束，各投标人签署《采购活动现场确认声明书》（见附件）后将扫描件发送至采购代理机构邮箱：</w:t>
      </w:r>
      <w:r>
        <w:rPr>
          <w:rFonts w:hint="eastAsia" w:ascii="宋体" w:hAnsi="宋体" w:cs="宋体"/>
          <w:b/>
          <w:sz w:val="22"/>
          <w:szCs w:val="22"/>
          <w:u w:val="single"/>
        </w:rPr>
        <w:t>ye462978466@qq.com</w:t>
      </w:r>
      <w:r>
        <w:rPr>
          <w:rFonts w:hint="eastAsia" w:ascii="宋体" w:hAnsi="宋体" w:cs="宋体"/>
          <w:b/>
          <w:bCs/>
          <w:kern w:val="0"/>
          <w:sz w:val="22"/>
          <w:szCs w:val="22"/>
        </w:rPr>
        <w:t>；</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（3）开启投标文件，进入资格审查；</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（4）开启资格审查通过的投标人的商务技术文件进入符合性审查、商务技术评审；</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（5）第一阶段开标结束。</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备注：开标大会的第一阶段结束后，采购人或采购代理机构将对依法对投标人的资格进行审查，资格审查结束后进入符合性审查和商务技术文件的评审工作，具体见本章节“投标人资格审查”相关规定。</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26.2开标大会第二阶段</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1）符合性审查、商务技术文件的评审结束后，举行开标大会第二阶段会议。首先在“政采云平台”系统平台上公布符合性审查、商务技术评审无效供应商名称及理由；公布经商务技术评审后有效投标人的名单，同时公布其商务技术部分得分情况。</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2）开启通过符合性审查、商务技术文件评审有效投标人的报价文件，在“政采云平台”系统平台上公布开标一览表有关内容，同时当场制作开标记录。开标结束后，由评标委员会对报价的合理性、准确性等进行审查核实。</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（3）评审结束后，在“政采云平台”系统平台上公布中标（成交）候选供应商名单，及采购人最终确定中标或成交供应商名单的时间和公告方式等。</w:t>
      </w:r>
    </w:p>
    <w:p>
      <w:pPr>
        <w:tabs>
          <w:tab w:val="left" w:pos="540"/>
        </w:tabs>
        <w:spacing w:line="460" w:lineRule="exact"/>
        <w:rPr>
          <w:rFonts w:ascii="宋体" w:hAnsi="宋体" w:cs="宋体"/>
          <w:b/>
          <w:bCs/>
          <w:kern w:val="0"/>
          <w:sz w:val="22"/>
          <w:szCs w:val="22"/>
        </w:rPr>
      </w:pPr>
      <w:r>
        <w:rPr>
          <w:rFonts w:hint="eastAsia" w:ascii="宋体" w:hAnsi="宋体" w:cs="宋体"/>
          <w:b/>
          <w:bCs/>
          <w:kern w:val="0"/>
          <w:sz w:val="22"/>
          <w:szCs w:val="22"/>
        </w:rPr>
        <w:t>特别说明：如遇“政采云平台”电子化开标或评审程序调整的，按调整后程序执行。</w:t>
      </w:r>
    </w:p>
    <w:p>
      <w:pPr>
        <w:tabs>
          <w:tab w:val="left" w:pos="540"/>
        </w:tabs>
        <w:spacing w:line="460" w:lineRule="exact"/>
        <w:rPr>
          <w:rFonts w:ascii="宋体" w:hAnsi="宋体" w:cs="宋体"/>
          <w:b/>
          <w:bCs/>
          <w:kern w:val="0"/>
          <w:sz w:val="22"/>
          <w:szCs w:val="22"/>
        </w:rPr>
      </w:pPr>
      <w:bookmarkStart w:id="61" w:name="_Toc24550037"/>
      <w:bookmarkStart w:id="62" w:name="_Toc33194393"/>
      <w:r>
        <w:rPr>
          <w:rFonts w:hint="eastAsia" w:ascii="宋体" w:hAnsi="宋体" w:cs="宋体"/>
          <w:b/>
          <w:bCs/>
          <w:kern w:val="0"/>
          <w:sz w:val="22"/>
          <w:szCs w:val="22"/>
        </w:rPr>
        <w:t>27. 投标人资格审查</w:t>
      </w:r>
      <w:bookmarkEnd w:id="61"/>
      <w:bookmarkEnd w:id="62"/>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27.1开标大会第一阶段结束后，采购人或采购代理机构首先依法对各投标人的资格进行审查，审查各投标人的资格是否满足采购文件的要求。采购人或采购代理机构对投标人所提交的资格审查材料仅负审核的责任。如发现投标人所提交的资格审查材料不合法或与事实不符，采购人可取消其中标资格并追究投标人的法律责任。</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27.2投标人提交的资格审查材料无法证明其符合采购文件规定的“投标人资格要求”的，采购人或采购代理机构将对其作资格审查不通过处理（无效投标），并不再将其投标提交评标委员会进行后续评审。</w:t>
      </w:r>
    </w:p>
    <w:p>
      <w:pPr>
        <w:tabs>
          <w:tab w:val="left" w:pos="540"/>
        </w:tabs>
        <w:spacing w:line="460" w:lineRule="exact"/>
        <w:rPr>
          <w:rFonts w:ascii="宋体" w:hAnsi="宋体" w:cs="宋体"/>
          <w:bCs/>
          <w:kern w:val="0"/>
          <w:sz w:val="22"/>
          <w:szCs w:val="22"/>
        </w:rPr>
      </w:pPr>
      <w:r>
        <w:rPr>
          <w:rFonts w:hint="eastAsia" w:ascii="宋体" w:hAnsi="宋体" w:cs="宋体"/>
          <w:bCs/>
          <w:kern w:val="0"/>
          <w:sz w:val="22"/>
          <w:szCs w:val="22"/>
        </w:rPr>
        <w:t>27.3单位负责人为同一人或者存在直接控股、管理关系的不同供应商参加同一合同项下的采购活动的，相关投标人均作资格无效处理。</w:t>
      </w:r>
    </w:p>
    <w:p>
      <w:pPr>
        <w:pStyle w:val="7"/>
        <w:spacing w:line="500" w:lineRule="exact"/>
        <w:jc w:val="center"/>
        <w:rPr>
          <w:rFonts w:ascii="宋体" w:hAnsi="宋体" w:eastAsia="宋体" w:cs="宋体"/>
          <w:sz w:val="24"/>
          <w:szCs w:val="24"/>
        </w:rPr>
      </w:pPr>
      <w:bookmarkStart w:id="63" w:name="_Toc34508135"/>
      <w:bookmarkStart w:id="64" w:name="_Toc58406688"/>
      <w:bookmarkStart w:id="65" w:name="_Toc34221900"/>
      <w:r>
        <w:rPr>
          <w:rFonts w:hint="eastAsia" w:ascii="宋体" w:hAnsi="宋体" w:eastAsia="宋体" w:cs="宋体"/>
          <w:sz w:val="24"/>
          <w:szCs w:val="24"/>
        </w:rPr>
        <w:t>六、 评  标</w:t>
      </w:r>
      <w:bookmarkEnd w:id="63"/>
      <w:bookmarkEnd w:id="64"/>
      <w:bookmarkEnd w:id="65"/>
    </w:p>
    <w:p>
      <w:pPr>
        <w:spacing w:line="460" w:lineRule="exact"/>
        <w:rPr>
          <w:rFonts w:ascii="宋体" w:hAnsi="宋体" w:cs="宋体"/>
          <w:b/>
          <w:kern w:val="0"/>
          <w:sz w:val="22"/>
          <w:szCs w:val="22"/>
        </w:rPr>
      </w:pPr>
      <w:r>
        <w:rPr>
          <w:rFonts w:hint="eastAsia" w:ascii="宋体" w:hAnsi="宋体" w:cs="宋体"/>
          <w:b/>
          <w:kern w:val="0"/>
          <w:sz w:val="22"/>
          <w:szCs w:val="22"/>
        </w:rPr>
        <w:t>28. 评标委员会</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采购人按照有关法律、法规的规定组建评标委员会，评标委员会成员由采购人代表和有关技术、经济等方面的专家组成，成员人数为5人（含）以上单数，除采购人代表外的专家将在评标专家库中随机抽取产生。</w:t>
      </w:r>
    </w:p>
    <w:p>
      <w:pPr>
        <w:spacing w:line="460" w:lineRule="exact"/>
        <w:rPr>
          <w:rFonts w:ascii="宋体" w:hAnsi="宋体" w:cs="宋体"/>
          <w:b/>
          <w:kern w:val="0"/>
          <w:sz w:val="22"/>
          <w:szCs w:val="22"/>
        </w:rPr>
      </w:pPr>
      <w:r>
        <w:rPr>
          <w:rFonts w:hint="eastAsia" w:ascii="宋体" w:hAnsi="宋体" w:cs="宋体"/>
          <w:b/>
          <w:kern w:val="0"/>
          <w:sz w:val="22"/>
          <w:szCs w:val="22"/>
        </w:rPr>
        <w:t>29. 评标过程的保密性</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开标后直至向中标人授予合同时止，凡与评审有关的资料均不得向投标人及与评标无关人员透露。如果投标人在评标过程中试图向采购人和招标代理机构施加影响，其投标将被拒绝。</w:t>
      </w:r>
    </w:p>
    <w:p>
      <w:pPr>
        <w:spacing w:line="460" w:lineRule="exact"/>
        <w:rPr>
          <w:rFonts w:ascii="宋体" w:hAnsi="宋体" w:cs="宋体"/>
          <w:b/>
          <w:kern w:val="0"/>
          <w:sz w:val="22"/>
          <w:szCs w:val="22"/>
        </w:rPr>
      </w:pPr>
      <w:r>
        <w:rPr>
          <w:rFonts w:hint="eastAsia" w:ascii="宋体" w:hAnsi="宋体" w:cs="宋体"/>
          <w:b/>
          <w:kern w:val="0"/>
          <w:sz w:val="22"/>
          <w:szCs w:val="22"/>
        </w:rPr>
        <w:t>30. 投标文件的初审（符合性检查）。</w:t>
      </w:r>
    </w:p>
    <w:p>
      <w:pPr>
        <w:spacing w:line="460" w:lineRule="exact"/>
        <w:ind w:firstLine="440" w:firstLineChars="200"/>
        <w:rPr>
          <w:rFonts w:ascii="宋体" w:hAnsi="宋体" w:cs="宋体"/>
          <w:kern w:val="0"/>
          <w:sz w:val="22"/>
          <w:szCs w:val="22"/>
        </w:rPr>
      </w:pPr>
      <w:r>
        <w:rPr>
          <w:rFonts w:hint="eastAsia" w:ascii="宋体" w:hAnsi="宋体" w:cs="宋体"/>
          <w:kern w:val="0"/>
          <w:sz w:val="22"/>
          <w:szCs w:val="22"/>
        </w:rPr>
        <w:t>评标委员会依据采购文件的规定，从投标文件中的有效性、完整性和对采购文件的响应程度进行审查，以确定是否对采购文件的实质性要求作出响应。</w:t>
      </w:r>
    </w:p>
    <w:p>
      <w:pPr>
        <w:spacing w:line="460" w:lineRule="exact"/>
        <w:rPr>
          <w:rFonts w:ascii="宋体" w:hAnsi="宋体" w:cs="宋体"/>
          <w:kern w:val="0"/>
          <w:sz w:val="22"/>
          <w:szCs w:val="22"/>
        </w:rPr>
      </w:pPr>
      <w:r>
        <w:rPr>
          <w:rFonts w:hint="eastAsia" w:ascii="宋体" w:hAnsi="宋体" w:cs="宋体"/>
          <w:kern w:val="0"/>
          <w:sz w:val="22"/>
          <w:szCs w:val="22"/>
        </w:rPr>
        <w:t>30.1▲</w:t>
      </w:r>
      <w:r>
        <w:rPr>
          <w:rFonts w:hint="eastAsia" w:ascii="宋体" w:hAnsi="宋体" w:cs="宋体"/>
          <w:b/>
          <w:bCs/>
          <w:kern w:val="0"/>
          <w:sz w:val="22"/>
          <w:szCs w:val="22"/>
          <w:u w:val="single"/>
        </w:rPr>
        <w:t>投标人存在下列情况之一的，投标无效</w:t>
      </w:r>
      <w:r>
        <w:rPr>
          <w:rFonts w:hint="eastAsia" w:ascii="宋体" w:hAnsi="宋体" w:cs="宋体"/>
          <w:kern w:val="0"/>
          <w:sz w:val="22"/>
          <w:szCs w:val="22"/>
        </w:rPr>
        <w:t>:</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1）投标文件未按采购文件要求签署、盖章的；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2）不具备采购文件中规定的资格要求的；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3）报价超过采购文件中规定的预算金额或者最高限价的；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4）投标文件含有采购人不能接受的附加条件的（包括采购文件中明确要求不得偏离的招标要求，存在负偏离的）；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5）仅提交“备份投标文件”的；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6）对关键条文的偏离、保留或反对，例如关于付款方式、完工期（服务期）、免费质保期、适用法律法规、标准、税费等其他内容；</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7）存在串标、抬标或弄虚作假情况的；</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8）法律、法规和采购文件规定的其他无效情形（或出现重大偏差）。</w:t>
      </w:r>
    </w:p>
    <w:p>
      <w:pPr>
        <w:spacing w:line="460" w:lineRule="exact"/>
        <w:rPr>
          <w:rFonts w:ascii="宋体" w:hAnsi="宋体" w:cs="宋体"/>
          <w:kern w:val="0"/>
          <w:sz w:val="22"/>
          <w:szCs w:val="22"/>
        </w:rPr>
      </w:pPr>
      <w:r>
        <w:rPr>
          <w:rFonts w:hint="eastAsia" w:ascii="宋体" w:hAnsi="宋体" w:cs="宋体"/>
          <w:kern w:val="0"/>
          <w:sz w:val="22"/>
          <w:szCs w:val="22"/>
        </w:rPr>
        <w:t>30.2▲</w:t>
      </w:r>
      <w:r>
        <w:rPr>
          <w:rFonts w:hint="eastAsia" w:ascii="宋体" w:hAnsi="宋体" w:cs="宋体"/>
          <w:b/>
          <w:bCs/>
          <w:kern w:val="0"/>
          <w:sz w:val="22"/>
          <w:szCs w:val="22"/>
          <w:u w:val="single"/>
        </w:rPr>
        <w:t>评标委员会发现投标文件有下列情形之一的属于重大偏差(评标委员会按少数服从多数原则认定),按照无效投标处理</w:t>
      </w:r>
      <w:r>
        <w:rPr>
          <w:rFonts w:hint="eastAsia" w:ascii="宋体" w:hAnsi="宋体" w:cs="宋体"/>
          <w:kern w:val="0"/>
          <w:sz w:val="22"/>
          <w:szCs w:val="22"/>
        </w:rPr>
        <w:t>：</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1）未按采购文件要求编制或字迹模糊、辨认不清的投标文件；</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2）除30.1条款以外，出现其它明显不符合技术规格、技术标准的要求或不满足采购文件技术规格书中的主要参数的投标文件；</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3）除30.1条款以外，出现投标项目数量与采购文件对比出现较大偏差；商务报价明细表计算错误，出现较大差错；</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4）除30.1条款以外，出现其它不符合采购文件中规定的实质性要求的投标文件，是否为偏离实质性要求由评标委员会认定。</w:t>
      </w:r>
    </w:p>
    <w:p>
      <w:pPr>
        <w:spacing w:line="460" w:lineRule="exact"/>
        <w:rPr>
          <w:rFonts w:ascii="宋体" w:hAnsi="宋体" w:cs="宋体"/>
          <w:kern w:val="0"/>
          <w:sz w:val="22"/>
          <w:szCs w:val="22"/>
        </w:rPr>
      </w:pPr>
      <w:r>
        <w:rPr>
          <w:rFonts w:hint="eastAsia" w:ascii="宋体" w:hAnsi="宋体" w:cs="宋体"/>
          <w:kern w:val="0"/>
          <w:sz w:val="22"/>
          <w:szCs w:val="22"/>
        </w:rPr>
        <w:t>30.3</w:t>
      </w:r>
      <w:r>
        <w:rPr>
          <w:rFonts w:hint="eastAsia" w:ascii="宋体" w:hAnsi="宋体" w:cs="宋体"/>
          <w:b/>
          <w:bCs/>
          <w:kern w:val="0"/>
          <w:sz w:val="22"/>
          <w:szCs w:val="22"/>
          <w:u w:val="single"/>
        </w:rPr>
        <w:t>有下列情形之一的，视为投标人串通投标，其投标无效</w:t>
      </w:r>
      <w:r>
        <w:rPr>
          <w:rFonts w:hint="eastAsia" w:ascii="宋体" w:hAnsi="宋体" w:cs="宋体"/>
          <w:kern w:val="0"/>
          <w:sz w:val="22"/>
          <w:szCs w:val="22"/>
        </w:rPr>
        <w:t>：</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1)不同投标人的投标文件由同一单位或者个人编制；</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2)不同投标人委托同一单位或者个人办理投标事宜；</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3)不同投标人的投标文件载明的项目管理成员或者联系人员为同一人；</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4）不同投标人的投标文件异常一致或者投标报价呈规律性差异；</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5）不同投标人的投标文件相互混装；</w:t>
      </w:r>
    </w:p>
    <w:p>
      <w:pPr>
        <w:spacing w:line="460" w:lineRule="exact"/>
        <w:rPr>
          <w:rFonts w:ascii="宋体" w:hAnsi="宋体" w:cs="宋体"/>
          <w:kern w:val="0"/>
          <w:sz w:val="22"/>
          <w:szCs w:val="22"/>
        </w:rPr>
      </w:pPr>
      <w:r>
        <w:rPr>
          <w:rFonts w:hint="eastAsia" w:ascii="宋体" w:hAnsi="宋体" w:cs="宋体"/>
          <w:kern w:val="0"/>
          <w:sz w:val="22"/>
          <w:szCs w:val="22"/>
        </w:rPr>
        <w:t>30.4在详细评标之前，评标委员会要审查每份投标文件是否实质上响应了采购文件的要求。实质上响应的投标应该是与采购文件要求的全部条款、条件和规格基本相符。没有重大偏离。</w:t>
      </w:r>
    </w:p>
    <w:p>
      <w:pPr>
        <w:spacing w:line="460" w:lineRule="exact"/>
        <w:rPr>
          <w:rFonts w:ascii="宋体" w:hAnsi="宋体" w:cs="宋体"/>
          <w:kern w:val="0"/>
          <w:sz w:val="22"/>
          <w:szCs w:val="22"/>
        </w:rPr>
      </w:pPr>
      <w:r>
        <w:rPr>
          <w:rFonts w:hint="eastAsia" w:ascii="宋体" w:hAnsi="宋体" w:cs="宋体"/>
          <w:kern w:val="0"/>
          <w:sz w:val="22"/>
          <w:szCs w:val="22"/>
        </w:rPr>
        <w:t>30.5实质上没有响应采购文件要求的投标将被否决，投标人不得通过修正或撤消不合要求的偏离或保留从而使其投标成为实质上响应的投标。</w:t>
      </w:r>
    </w:p>
    <w:p>
      <w:pPr>
        <w:spacing w:line="460" w:lineRule="exact"/>
        <w:rPr>
          <w:rFonts w:ascii="宋体" w:hAnsi="宋体" w:cs="宋体"/>
          <w:kern w:val="0"/>
          <w:sz w:val="22"/>
          <w:szCs w:val="22"/>
        </w:rPr>
      </w:pPr>
      <w:r>
        <w:rPr>
          <w:rFonts w:hint="eastAsia" w:ascii="宋体" w:hAnsi="宋体" w:cs="宋体"/>
          <w:kern w:val="0"/>
          <w:sz w:val="22"/>
          <w:szCs w:val="22"/>
        </w:rPr>
        <w:t>31.投标文件的澄清</w:t>
      </w:r>
    </w:p>
    <w:p>
      <w:pPr>
        <w:spacing w:line="460" w:lineRule="exact"/>
        <w:rPr>
          <w:rFonts w:ascii="宋体" w:hAnsi="宋体" w:cs="宋体"/>
          <w:b/>
          <w:bCs/>
          <w:sz w:val="22"/>
          <w:szCs w:val="22"/>
        </w:rPr>
      </w:pPr>
      <w:r>
        <w:rPr>
          <w:rFonts w:hint="eastAsia" w:ascii="宋体" w:hAnsi="宋体" w:cs="宋体"/>
          <w:kern w:val="0"/>
          <w:sz w:val="22"/>
          <w:szCs w:val="22"/>
        </w:rPr>
        <w:t>31.1</w:t>
      </w:r>
      <w:r>
        <w:rPr>
          <w:rFonts w:hint="eastAsia" w:ascii="宋体" w:hAnsi="宋体" w:cs="宋体"/>
          <w:b/>
          <w:bCs/>
          <w:sz w:val="22"/>
          <w:szCs w:val="22"/>
        </w:rPr>
        <w:t>为有助于投标文件的审查、评价和比较，评标小组可以在“政采云平台”在线询标或其他有效形式要求投标人对同一份投标文件含义不明确或同类问题表述不一致的内容（采购文件其它地方有规定处理方法的除外）作必要的澄清或说明，投标人应采用在线回复或其他有效形式在询标规定时间内进行澄清或说明（需盖电子签章或实体公章），但不得超出投标文件的范围或改变投标文件的实质性内容。凡属于评标小组在评标中发现的计算错误并进行核实的修改不在此列。</w:t>
      </w:r>
    </w:p>
    <w:p>
      <w:pPr>
        <w:spacing w:line="460" w:lineRule="exact"/>
        <w:rPr>
          <w:rFonts w:ascii="宋体" w:hAnsi="宋体" w:cs="宋体"/>
          <w:b/>
          <w:bCs/>
          <w:sz w:val="22"/>
          <w:szCs w:val="22"/>
        </w:rPr>
      </w:pPr>
      <w:r>
        <w:rPr>
          <w:rFonts w:hint="eastAsia" w:ascii="宋体" w:hAnsi="宋体" w:cs="宋体"/>
          <w:kern w:val="0"/>
          <w:sz w:val="22"/>
          <w:szCs w:val="22"/>
        </w:rPr>
        <w:t>31.2若投标文件中所提交的证书、证明等材料若出现已过有效期、时间或其他主要信息不明确，且投标人书面澄清（书面澄清仅限在投标文件递交截止时间前所提交投标文件及相关材料中未被评标委员会审查出的内容）亦不明确的，评审过程中将不予认可，不再寻求外部证据（外部证据包括投标人在澄清过程中申请补交的证明材料或网络查询结果等非投标文件本身内容）。</w:t>
      </w:r>
    </w:p>
    <w:p>
      <w:pPr>
        <w:spacing w:line="460" w:lineRule="exact"/>
        <w:rPr>
          <w:rFonts w:ascii="宋体" w:hAnsi="宋体" w:cs="宋体"/>
          <w:kern w:val="0"/>
          <w:sz w:val="22"/>
          <w:szCs w:val="22"/>
        </w:rPr>
      </w:pPr>
      <w:r>
        <w:rPr>
          <w:rFonts w:hint="eastAsia" w:ascii="宋体" w:hAnsi="宋体" w:cs="宋体"/>
          <w:kern w:val="0"/>
          <w:sz w:val="22"/>
          <w:szCs w:val="22"/>
        </w:rPr>
        <w:t>31.3</w:t>
      </w:r>
      <w:r>
        <w:rPr>
          <w:rFonts w:hint="eastAsia" w:ascii="宋体" w:hAnsi="宋体" w:cs="宋体"/>
          <w:sz w:val="22"/>
        </w:rPr>
        <w:t>投标文件报价出现前后不一致的，除采购文件另有规定外，按照下列规定修正</w:t>
      </w:r>
      <w:r>
        <w:rPr>
          <w:rFonts w:hint="eastAsia" w:ascii="宋体" w:hAnsi="宋体" w:cs="宋体"/>
          <w:kern w:val="0"/>
          <w:sz w:val="22"/>
          <w:szCs w:val="22"/>
        </w:rPr>
        <w:t>：</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w:t>
      </w:r>
      <w:r>
        <w:rPr>
          <w:rFonts w:hint="eastAsia" w:ascii="宋体" w:hAnsi="宋体" w:cs="宋体"/>
          <w:sz w:val="22"/>
        </w:rPr>
        <w:t>投标文件中开标一览表（报价表）内容与投标文件中相应内容不一致的，以开标一览表（报价表）为准</w:t>
      </w:r>
      <w:r>
        <w:rPr>
          <w:rFonts w:hint="eastAsia" w:ascii="宋体" w:hAnsi="宋体" w:cs="宋体"/>
          <w:kern w:val="0"/>
          <w:sz w:val="22"/>
          <w:szCs w:val="22"/>
        </w:rPr>
        <w:t>。</w:t>
      </w:r>
    </w:p>
    <w:p>
      <w:pPr>
        <w:spacing w:line="460" w:lineRule="exact"/>
        <w:ind w:firstLine="418" w:firstLineChars="190"/>
        <w:rPr>
          <w:rFonts w:ascii="宋体" w:hAnsi="宋体" w:cs="宋体"/>
          <w:sz w:val="22"/>
        </w:rPr>
      </w:pPr>
      <w:r>
        <w:rPr>
          <w:rFonts w:hint="eastAsia" w:ascii="宋体" w:hAnsi="宋体" w:cs="宋体"/>
          <w:kern w:val="0"/>
          <w:sz w:val="22"/>
          <w:szCs w:val="22"/>
        </w:rPr>
        <w:t>2）</w:t>
      </w:r>
      <w:r>
        <w:rPr>
          <w:rFonts w:hint="eastAsia" w:ascii="宋体" w:hAnsi="宋体" w:cs="宋体"/>
          <w:sz w:val="22"/>
        </w:rPr>
        <w:t>大写金额和小写金额不一致的，以大写金额为准。</w:t>
      </w:r>
    </w:p>
    <w:p>
      <w:pPr>
        <w:spacing w:line="460" w:lineRule="exact"/>
        <w:ind w:firstLine="418" w:firstLineChars="190"/>
        <w:rPr>
          <w:rFonts w:ascii="宋体" w:hAnsi="宋体" w:cs="宋体"/>
          <w:sz w:val="22"/>
        </w:rPr>
      </w:pPr>
      <w:r>
        <w:rPr>
          <w:rFonts w:hint="eastAsia" w:ascii="宋体" w:hAnsi="宋体" w:cs="宋体"/>
          <w:sz w:val="22"/>
        </w:rPr>
        <w:t>3）单价金额小数点或者百分比有明显错位的，以开标一览表的总价为准，并修改单价。</w:t>
      </w:r>
    </w:p>
    <w:p>
      <w:pPr>
        <w:spacing w:line="460" w:lineRule="exact"/>
        <w:ind w:firstLine="418" w:firstLineChars="190"/>
        <w:rPr>
          <w:rFonts w:ascii="宋体" w:hAnsi="宋体" w:cs="宋体"/>
          <w:sz w:val="22"/>
        </w:rPr>
      </w:pPr>
      <w:r>
        <w:rPr>
          <w:rFonts w:hint="eastAsia" w:ascii="宋体" w:hAnsi="宋体" w:cs="宋体"/>
          <w:sz w:val="22"/>
        </w:rPr>
        <w:t>4）总价金额与按单价汇总金额不一致的，以单价金额计算结果为准。</w:t>
      </w:r>
    </w:p>
    <w:p>
      <w:pPr>
        <w:spacing w:line="460" w:lineRule="exact"/>
        <w:ind w:firstLine="418" w:firstLineChars="190"/>
        <w:rPr>
          <w:rFonts w:ascii="宋体" w:hAnsi="宋体" w:cs="宋体"/>
          <w:sz w:val="22"/>
        </w:rPr>
      </w:pPr>
      <w:r>
        <w:rPr>
          <w:rFonts w:hint="eastAsia" w:ascii="宋体" w:hAnsi="宋体" w:cs="宋体"/>
          <w:sz w:val="22"/>
        </w:rPr>
        <w:t>5）</w:t>
      </w:r>
      <w:r>
        <w:rPr>
          <w:rFonts w:hint="eastAsia" w:ascii="宋体" w:hAnsi="宋体" w:cs="宋体"/>
          <w:sz w:val="22"/>
          <w:szCs w:val="22"/>
        </w:rPr>
        <w:t>投标人在政采云客户端填写的报价与以pdf格式上传文件中的报价不一致的，应以Pdf格式上传文件中的报价为准，修正客户端的报价。</w:t>
      </w:r>
    </w:p>
    <w:p>
      <w:pPr>
        <w:spacing w:line="460" w:lineRule="exact"/>
        <w:ind w:firstLine="420" w:firstLineChars="190"/>
        <w:rPr>
          <w:rFonts w:ascii="宋体" w:hAnsi="宋体" w:cs="宋体"/>
          <w:sz w:val="22"/>
        </w:rPr>
      </w:pPr>
      <w:r>
        <w:rPr>
          <w:rFonts w:hint="eastAsia" w:ascii="宋体" w:hAnsi="宋体" w:cs="宋体"/>
          <w:b/>
          <w:bCs/>
          <w:sz w:val="22"/>
        </w:rPr>
        <w:t>6）同时出现两种以上不一致的，按照前款规定的顺序修正。修正后的报价按照本采购文件规定经投标人确认后产生约束力，投标人不确认的，其投标无效。</w:t>
      </w:r>
    </w:p>
    <w:p>
      <w:pPr>
        <w:spacing w:line="460" w:lineRule="exact"/>
        <w:rPr>
          <w:rFonts w:ascii="宋体" w:hAnsi="宋体" w:cs="宋体"/>
          <w:b/>
          <w:bCs/>
          <w:sz w:val="22"/>
          <w:szCs w:val="22"/>
        </w:rPr>
      </w:pPr>
      <w:r>
        <w:rPr>
          <w:rFonts w:hint="eastAsia" w:ascii="宋体" w:hAnsi="宋体" w:cs="宋体"/>
          <w:b/>
          <w:bCs/>
          <w:sz w:val="22"/>
          <w:szCs w:val="22"/>
        </w:rPr>
        <w:t>31.4</w:t>
      </w:r>
      <w:r>
        <w:rPr>
          <w:rFonts w:hint="eastAsia" w:ascii="宋体" w:hAnsi="宋体" w:cs="宋体"/>
          <w:kern w:val="0"/>
          <w:sz w:val="22"/>
          <w:szCs w:val="22"/>
        </w:rPr>
        <w:t>▲</w:t>
      </w:r>
      <w:r>
        <w:rPr>
          <w:rFonts w:hint="eastAsia" w:ascii="宋体" w:hAnsi="宋体" w:cs="宋体"/>
          <w:b/>
          <w:bCs/>
          <w:kern w:val="0"/>
          <w:sz w:val="22"/>
          <w:szCs w:val="22"/>
          <w:u w:val="single"/>
        </w:rPr>
        <w:t>评标委员会认为投标人的报价明显低于其他通过符合性审查投标人的报价，有可能影响产品质量或者不能诚信履约的，将要求其在合理时间内在“政采云平台”上作出在线澄清并提供书面说明，必要时提交相关证明材料；投标人不能证明其报价合理性的，评标委员会应当将其作为无效投标处理</w:t>
      </w:r>
      <w:r>
        <w:rPr>
          <w:rFonts w:hint="eastAsia" w:ascii="宋体" w:hAnsi="宋体" w:cs="宋体"/>
          <w:kern w:val="0"/>
          <w:sz w:val="22"/>
          <w:szCs w:val="22"/>
        </w:rPr>
        <w:t>。</w:t>
      </w:r>
    </w:p>
    <w:p>
      <w:pPr>
        <w:spacing w:line="460" w:lineRule="exact"/>
        <w:rPr>
          <w:rFonts w:ascii="宋体" w:hAnsi="宋体" w:cs="宋体"/>
          <w:b/>
          <w:bCs/>
          <w:sz w:val="22"/>
          <w:szCs w:val="22"/>
        </w:rPr>
      </w:pPr>
      <w:r>
        <w:rPr>
          <w:rFonts w:hint="eastAsia" w:ascii="宋体" w:hAnsi="宋体" w:cs="宋体"/>
          <w:b/>
          <w:bCs/>
          <w:sz w:val="22"/>
          <w:szCs w:val="22"/>
        </w:rPr>
        <w:t>31.5如果投标人代表拒绝按评标委员会要求在“政采云平台”作出在线回复且无其他有效回复方式的，评标委员会可以对其作出否决投标处理。</w:t>
      </w:r>
    </w:p>
    <w:p>
      <w:pPr>
        <w:spacing w:line="460" w:lineRule="exact"/>
        <w:rPr>
          <w:rFonts w:ascii="宋体" w:hAnsi="宋体" w:cs="宋体"/>
          <w:kern w:val="0"/>
          <w:sz w:val="22"/>
          <w:szCs w:val="22"/>
        </w:rPr>
      </w:pPr>
      <w:r>
        <w:rPr>
          <w:rFonts w:hint="eastAsia" w:ascii="宋体" w:hAnsi="宋体" w:cs="宋体"/>
          <w:b/>
          <w:bCs/>
          <w:sz w:val="22"/>
          <w:szCs w:val="22"/>
        </w:rPr>
        <w:t>31.6</w:t>
      </w:r>
      <w:r>
        <w:rPr>
          <w:rFonts w:hint="eastAsia" w:ascii="宋体" w:hAnsi="宋体" w:cs="宋体"/>
          <w:sz w:val="22"/>
          <w:u w:val="single"/>
        </w:rPr>
        <w:t>经澄清后，若偏差仍存在，且不可接受，则投标文件将被认定为“没有实质性响应采购文件要求”，按无效投标处理，不再进入下一步评审。</w:t>
      </w:r>
    </w:p>
    <w:p>
      <w:pPr>
        <w:spacing w:line="460" w:lineRule="exact"/>
        <w:rPr>
          <w:rFonts w:ascii="宋体" w:hAnsi="宋体" w:cs="宋体"/>
          <w:kern w:val="0"/>
          <w:sz w:val="22"/>
          <w:szCs w:val="22"/>
        </w:rPr>
      </w:pPr>
      <w:r>
        <w:rPr>
          <w:rFonts w:hint="eastAsia" w:ascii="宋体" w:hAnsi="宋体" w:cs="宋体"/>
          <w:kern w:val="0"/>
          <w:sz w:val="22"/>
          <w:szCs w:val="22"/>
        </w:rPr>
        <w:t>32.</w:t>
      </w:r>
      <w:r>
        <w:rPr>
          <w:rFonts w:hint="eastAsia" w:ascii="宋体" w:hAnsi="宋体" w:cs="宋体"/>
          <w:b/>
          <w:bCs/>
          <w:sz w:val="22"/>
        </w:rPr>
        <w:t xml:space="preserve"> 评标原则和评标办法</w:t>
      </w:r>
    </w:p>
    <w:p>
      <w:pPr>
        <w:pStyle w:val="32"/>
        <w:snapToGrid w:val="0"/>
        <w:spacing w:line="460" w:lineRule="exact"/>
        <w:rPr>
          <w:rFonts w:hAnsi="宋体" w:cs="宋体"/>
          <w:sz w:val="22"/>
        </w:rPr>
      </w:pPr>
      <w:r>
        <w:rPr>
          <w:rFonts w:hint="eastAsia" w:hAnsi="宋体" w:cs="宋体"/>
          <w:sz w:val="22"/>
        </w:rPr>
        <w:t>32.1评标委员会成员应当按照客观、公正、审慎的原则，根据采购文件规定的评标程序、评标方法和评标标准进行独立评审。采购文件内容违反国家有关强制性规定的，评标委员会应当停止评标并向采购人或者采购代理机构说明情况。</w:t>
      </w:r>
    </w:p>
    <w:p>
      <w:pPr>
        <w:pStyle w:val="52"/>
        <w:spacing w:before="0" w:beforeAutospacing="0" w:after="0" w:afterAutospacing="0" w:line="460" w:lineRule="exact"/>
        <w:jc w:val="both"/>
        <w:rPr>
          <w:rFonts w:cs="宋体"/>
          <w:color w:val="auto"/>
          <w:sz w:val="22"/>
        </w:rPr>
      </w:pPr>
      <w:r>
        <w:rPr>
          <w:rFonts w:hint="eastAsia" w:cs="宋体"/>
          <w:color w:val="auto"/>
          <w:sz w:val="22"/>
        </w:rPr>
        <w:t>32.2评标中因评标委员会成员缺席、回避或者健康等特殊原因导致评标委员会组成不符合规定的，依法补足后继续评标。被更换的评标委员会成员所作出的评标意见无效。</w:t>
      </w:r>
    </w:p>
    <w:p>
      <w:pPr>
        <w:pStyle w:val="32"/>
        <w:snapToGrid w:val="0"/>
        <w:spacing w:line="460" w:lineRule="exact"/>
        <w:rPr>
          <w:rFonts w:hAnsi="宋体" w:cs="宋体"/>
          <w:sz w:val="22"/>
        </w:rPr>
      </w:pPr>
      <w:r>
        <w:rPr>
          <w:rFonts w:hint="eastAsia" w:hAnsi="宋体" w:cs="宋体"/>
          <w:sz w:val="22"/>
        </w:rPr>
        <w:t>32.3评标委员会成员对需要共同认定的事项存在争议的，应当按照少数服从多数的原则作出结论。持不同意见的评标委员会成员应当在评标报告上签署不同意见及理由，否则视为同意评标报告。</w:t>
      </w:r>
    </w:p>
    <w:p>
      <w:pPr>
        <w:pStyle w:val="32"/>
        <w:snapToGrid w:val="0"/>
        <w:spacing w:line="460" w:lineRule="exact"/>
        <w:rPr>
          <w:rFonts w:hAnsi="宋体" w:cs="宋体"/>
          <w:sz w:val="22"/>
        </w:rPr>
      </w:pPr>
      <w:r>
        <w:rPr>
          <w:rFonts w:hint="eastAsia" w:hAnsi="宋体" w:cs="宋体"/>
          <w:sz w:val="22"/>
        </w:rPr>
        <w:t>32.4本项目评标办法是综合评分法，具体评标内容及评分标准等详见第六部分“评标原则及方法”。</w:t>
      </w:r>
    </w:p>
    <w:p>
      <w:pPr>
        <w:pStyle w:val="32"/>
        <w:snapToGrid w:val="0"/>
        <w:spacing w:line="460" w:lineRule="exact"/>
        <w:rPr>
          <w:rFonts w:hAnsi="宋体" w:cs="宋体"/>
          <w:sz w:val="22"/>
        </w:rPr>
      </w:pPr>
      <w:r>
        <w:rPr>
          <w:rFonts w:hint="eastAsia" w:hAnsi="宋体" w:cs="宋体"/>
          <w:sz w:val="22"/>
          <w:u w:val="single"/>
        </w:rPr>
        <w:t>32.5▲根据《中华人民共和国政府采购法》第三十六条规定：在招标采购中，符合专业条件的投标人或者对采购文件作实质响应的投标人不足三家的，此项目废标，应重新组织采购。</w:t>
      </w:r>
    </w:p>
    <w:p>
      <w:pPr>
        <w:spacing w:line="460" w:lineRule="exact"/>
        <w:rPr>
          <w:rFonts w:ascii="宋体" w:hAnsi="宋体" w:cs="宋体"/>
          <w:kern w:val="0"/>
          <w:sz w:val="22"/>
          <w:szCs w:val="22"/>
        </w:rPr>
      </w:pPr>
      <w:r>
        <w:rPr>
          <w:rFonts w:hint="eastAsia" w:ascii="宋体" w:hAnsi="宋体" w:cs="宋体"/>
          <w:sz w:val="22"/>
        </w:rPr>
        <w:t>32.6评标过程中遇到特殊情况，由评标委员会遵循公开、公正原则，采取投票方式按照少数服从多数原则决定。</w:t>
      </w:r>
    </w:p>
    <w:p>
      <w:pPr>
        <w:spacing w:line="460" w:lineRule="exact"/>
        <w:rPr>
          <w:rFonts w:ascii="宋体" w:hAnsi="宋体" w:cs="宋体"/>
          <w:b/>
          <w:kern w:val="0"/>
          <w:sz w:val="22"/>
          <w:szCs w:val="22"/>
        </w:rPr>
      </w:pPr>
      <w:r>
        <w:rPr>
          <w:rFonts w:hint="eastAsia" w:ascii="宋体" w:hAnsi="宋体" w:cs="宋体"/>
          <w:b/>
          <w:kern w:val="0"/>
          <w:sz w:val="22"/>
          <w:szCs w:val="22"/>
        </w:rPr>
        <w:t>33.确定中标候选人</w:t>
      </w:r>
    </w:p>
    <w:p>
      <w:pPr>
        <w:spacing w:line="460" w:lineRule="exact"/>
        <w:rPr>
          <w:rFonts w:ascii="宋体" w:hAnsi="宋体" w:cs="宋体"/>
          <w:kern w:val="0"/>
          <w:sz w:val="22"/>
          <w:szCs w:val="22"/>
        </w:rPr>
      </w:pPr>
      <w:r>
        <w:rPr>
          <w:rFonts w:hint="eastAsia" w:ascii="宋体" w:hAnsi="宋体" w:cs="宋体"/>
          <w:kern w:val="0"/>
          <w:sz w:val="22"/>
          <w:szCs w:val="22"/>
        </w:rPr>
        <w:t>33.1本次采购由评标委员会推荐中标候选人，采购人根据评标委员会的推荐结果进行最终确认。</w:t>
      </w:r>
    </w:p>
    <w:p>
      <w:pPr>
        <w:spacing w:line="460" w:lineRule="exact"/>
        <w:rPr>
          <w:rFonts w:ascii="宋体" w:hAnsi="宋体" w:cs="宋体"/>
          <w:kern w:val="0"/>
          <w:sz w:val="22"/>
          <w:szCs w:val="22"/>
        </w:rPr>
      </w:pPr>
      <w:r>
        <w:rPr>
          <w:rFonts w:hint="eastAsia" w:ascii="宋体" w:hAnsi="宋体" w:cs="宋体"/>
          <w:kern w:val="0"/>
          <w:sz w:val="22"/>
          <w:szCs w:val="22"/>
        </w:rPr>
        <w:t>33.2</w:t>
      </w:r>
      <w:r>
        <w:rPr>
          <w:rFonts w:hint="eastAsia" w:ascii="宋体" w:hAnsi="宋体" w:cs="宋体"/>
          <w:sz w:val="22"/>
          <w:szCs w:val="22"/>
        </w:rPr>
        <w:t>评标委员会依据法律、法规及采购文件有关规定在有效标中按投标人的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r>
        <w:rPr>
          <w:rFonts w:hint="eastAsia" w:ascii="宋体" w:hAnsi="宋体" w:cs="宋体"/>
          <w:kern w:val="0"/>
          <w:sz w:val="22"/>
          <w:szCs w:val="22"/>
        </w:rPr>
        <w:t>。</w:t>
      </w:r>
    </w:p>
    <w:p>
      <w:pPr>
        <w:spacing w:line="460" w:lineRule="exact"/>
        <w:rPr>
          <w:rFonts w:ascii="宋体" w:hAnsi="宋体" w:cs="宋体"/>
          <w:kern w:val="0"/>
          <w:sz w:val="22"/>
          <w:szCs w:val="22"/>
        </w:rPr>
      </w:pPr>
      <w:r>
        <w:rPr>
          <w:rFonts w:hint="eastAsia" w:ascii="宋体" w:hAnsi="宋体" w:cs="宋体"/>
          <w:kern w:val="0"/>
          <w:sz w:val="22"/>
          <w:szCs w:val="22"/>
        </w:rPr>
        <w:t>33.3若出现以下情形之一，采购人可视具体情况确定是否由备选中标人为中标人或重新组织招标：</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1）中标候选人放弃中标资格；</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2）中标候选人因不可抗力提出不能履行合同；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3）中标候选人未能在规定时间内与采购单位签订合同；</w:t>
      </w:r>
    </w:p>
    <w:p>
      <w:pPr>
        <w:spacing w:line="460" w:lineRule="exact"/>
        <w:ind w:firstLine="418" w:firstLineChars="190"/>
        <w:rPr>
          <w:rFonts w:ascii="宋体" w:hAnsi="宋体" w:cs="宋体"/>
          <w:kern w:val="0"/>
          <w:sz w:val="22"/>
          <w:szCs w:val="22"/>
        </w:rPr>
      </w:pPr>
      <w:r>
        <w:rPr>
          <w:rFonts w:hint="eastAsia" w:ascii="宋体" w:hAnsi="宋体" w:cs="宋体"/>
          <w:kern w:val="0"/>
          <w:sz w:val="22"/>
          <w:szCs w:val="22"/>
        </w:rPr>
        <w:t>4）经质疑，采购人审查后，中标候选人确实在本次采购活动中存在违法违规行为或其他原因使质疑成立的。</w:t>
      </w:r>
    </w:p>
    <w:p>
      <w:pPr>
        <w:spacing w:line="460" w:lineRule="exact"/>
        <w:rPr>
          <w:rFonts w:ascii="宋体" w:hAnsi="宋体" w:cs="宋体"/>
          <w:kern w:val="0"/>
          <w:sz w:val="22"/>
          <w:szCs w:val="22"/>
        </w:rPr>
      </w:pPr>
      <w:r>
        <w:rPr>
          <w:rFonts w:hint="eastAsia" w:ascii="宋体" w:hAnsi="宋体" w:cs="宋体"/>
          <w:kern w:val="0"/>
          <w:sz w:val="22"/>
          <w:szCs w:val="22"/>
        </w:rPr>
        <w:t>33.4采购人、采购代理机构及评标委员会对未中标的供应商不作解释。</w:t>
      </w:r>
    </w:p>
    <w:p>
      <w:pPr>
        <w:tabs>
          <w:tab w:val="left" w:pos="1365"/>
        </w:tabs>
        <w:spacing w:line="460" w:lineRule="exact"/>
        <w:ind w:left="550" w:hanging="550" w:hangingChars="250"/>
        <w:rPr>
          <w:rFonts w:ascii="宋体" w:hAnsi="宋体" w:cs="宋体"/>
          <w:bCs/>
          <w:sz w:val="22"/>
          <w:szCs w:val="22"/>
        </w:rPr>
      </w:pPr>
      <w:r>
        <w:rPr>
          <w:rFonts w:hint="eastAsia" w:ascii="宋体" w:hAnsi="宋体" w:cs="宋体"/>
          <w:kern w:val="0"/>
          <w:sz w:val="22"/>
          <w:szCs w:val="22"/>
        </w:rPr>
        <w:t>34. 评标细则详见“评标原则及方法”</w:t>
      </w:r>
      <w:r>
        <w:rPr>
          <w:rFonts w:hint="eastAsia" w:ascii="宋体" w:hAnsi="宋体" w:cs="宋体"/>
          <w:bCs/>
          <w:sz w:val="22"/>
          <w:szCs w:val="22"/>
        </w:rPr>
        <w:t>。</w:t>
      </w:r>
    </w:p>
    <w:p>
      <w:pPr>
        <w:spacing w:line="460" w:lineRule="exact"/>
        <w:rPr>
          <w:rFonts w:ascii="宋体" w:hAnsi="宋体" w:cs="宋体"/>
          <w:b/>
          <w:kern w:val="0"/>
          <w:sz w:val="22"/>
          <w:szCs w:val="22"/>
        </w:rPr>
      </w:pPr>
      <w:r>
        <w:rPr>
          <w:rFonts w:hint="eastAsia" w:ascii="宋体" w:hAnsi="宋体" w:cs="宋体"/>
          <w:b/>
          <w:kern w:val="0"/>
          <w:sz w:val="22"/>
          <w:szCs w:val="22"/>
        </w:rPr>
        <w:t>35. 可中止电子交易活动的情形</w:t>
      </w:r>
    </w:p>
    <w:p>
      <w:pPr>
        <w:spacing w:line="460" w:lineRule="exact"/>
        <w:rPr>
          <w:rFonts w:ascii="宋体" w:hAnsi="宋体" w:cs="宋体"/>
          <w:kern w:val="0"/>
          <w:sz w:val="22"/>
          <w:szCs w:val="22"/>
        </w:rPr>
      </w:pPr>
      <w:r>
        <w:rPr>
          <w:rFonts w:hint="eastAsia" w:ascii="宋体" w:hAnsi="宋体" w:cs="宋体"/>
          <w:kern w:val="0"/>
          <w:sz w:val="22"/>
          <w:szCs w:val="22"/>
        </w:rPr>
        <w:t>35.1采购过程中出现以下情形，导致电子交易平台无法正常运行，或者无法保证电子交易的公平、公正和安全时，采购组织机构可中止电子交易活动：</w:t>
      </w:r>
    </w:p>
    <w:p>
      <w:pPr>
        <w:numPr>
          <w:ilvl w:val="2"/>
          <w:numId w:val="5"/>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电子交易平台发生故障而无法登录访问的；</w:t>
      </w:r>
    </w:p>
    <w:p>
      <w:pPr>
        <w:numPr>
          <w:ilvl w:val="2"/>
          <w:numId w:val="5"/>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电子交易平台应用或数据库出现错误，不能进行正常操作的；</w:t>
      </w:r>
    </w:p>
    <w:p>
      <w:pPr>
        <w:numPr>
          <w:ilvl w:val="2"/>
          <w:numId w:val="5"/>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电子交易平台发现严重安全漏洞，有潜在泄密危险的；</w:t>
      </w:r>
    </w:p>
    <w:p>
      <w:pPr>
        <w:numPr>
          <w:ilvl w:val="2"/>
          <w:numId w:val="5"/>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病毒发作导致不能进行正常操作的；</w:t>
      </w:r>
    </w:p>
    <w:p>
      <w:pPr>
        <w:numPr>
          <w:ilvl w:val="2"/>
          <w:numId w:val="5"/>
        </w:numPr>
        <w:tabs>
          <w:tab w:val="left" w:pos="993"/>
        </w:tabs>
        <w:spacing w:line="460" w:lineRule="exact"/>
        <w:ind w:left="993" w:hanging="426"/>
        <w:rPr>
          <w:rFonts w:ascii="宋体" w:hAnsi="宋体" w:cs="宋体"/>
          <w:kern w:val="0"/>
          <w:sz w:val="22"/>
          <w:szCs w:val="22"/>
        </w:rPr>
      </w:pPr>
      <w:r>
        <w:rPr>
          <w:rFonts w:hint="eastAsia" w:ascii="宋体" w:hAnsi="宋体" w:cs="宋体"/>
          <w:kern w:val="0"/>
          <w:sz w:val="22"/>
          <w:szCs w:val="22"/>
        </w:rPr>
        <w:t>其他无法保证电子交易的公平、公正和安全的情况。</w:t>
      </w:r>
    </w:p>
    <w:p>
      <w:pPr>
        <w:spacing w:line="460" w:lineRule="exact"/>
        <w:rPr>
          <w:rFonts w:ascii="宋体" w:hAnsi="宋体" w:cs="宋体"/>
          <w:kern w:val="0"/>
          <w:sz w:val="22"/>
          <w:szCs w:val="22"/>
        </w:rPr>
      </w:pPr>
      <w:r>
        <w:rPr>
          <w:rFonts w:hint="eastAsia" w:ascii="宋体" w:hAnsi="宋体" w:cs="宋体"/>
          <w:kern w:val="0"/>
          <w:sz w:val="22"/>
          <w:szCs w:val="22"/>
        </w:rPr>
        <w:t>35.2出现前款规定情形，不影响采购公平、公正性的，采购组织机构可以待上述情形消除后继续组织电子交易活动；影响或可能影响采购公平、公正性的，应当重新采购。</w:t>
      </w:r>
    </w:p>
    <w:p>
      <w:pPr>
        <w:pStyle w:val="7"/>
        <w:spacing w:line="500" w:lineRule="exact"/>
        <w:jc w:val="center"/>
        <w:rPr>
          <w:rFonts w:ascii="宋体" w:hAnsi="宋体" w:eastAsia="宋体" w:cs="宋体"/>
          <w:sz w:val="24"/>
          <w:szCs w:val="24"/>
        </w:rPr>
      </w:pPr>
      <w:bookmarkStart w:id="66" w:name="_Toc34508136"/>
      <w:bookmarkStart w:id="67" w:name="_Toc58406689"/>
      <w:bookmarkStart w:id="68" w:name="_Toc34221901"/>
      <w:bookmarkStart w:id="69" w:name="_Toc306613654"/>
      <w:r>
        <w:rPr>
          <w:rFonts w:hint="eastAsia" w:ascii="宋体" w:hAnsi="宋体" w:eastAsia="宋体" w:cs="宋体"/>
          <w:sz w:val="24"/>
          <w:szCs w:val="24"/>
        </w:rPr>
        <w:t>七、 授予合同</w:t>
      </w:r>
      <w:bookmarkEnd w:id="66"/>
      <w:bookmarkEnd w:id="67"/>
      <w:bookmarkEnd w:id="68"/>
      <w:bookmarkEnd w:id="69"/>
    </w:p>
    <w:p>
      <w:pPr>
        <w:tabs>
          <w:tab w:val="left" w:pos="540"/>
        </w:tabs>
        <w:spacing w:line="440" w:lineRule="exact"/>
        <w:rPr>
          <w:rFonts w:ascii="宋体" w:hAnsi="宋体" w:cs="宋体"/>
          <w:b/>
          <w:sz w:val="22"/>
          <w:szCs w:val="22"/>
        </w:rPr>
      </w:pPr>
      <w:r>
        <w:rPr>
          <w:rFonts w:hint="eastAsia" w:ascii="宋体" w:hAnsi="宋体" w:cs="宋体"/>
          <w:b/>
          <w:sz w:val="22"/>
          <w:szCs w:val="22"/>
        </w:rPr>
        <w:t>36. 确定中标人</w:t>
      </w:r>
    </w:p>
    <w:p>
      <w:pPr>
        <w:tabs>
          <w:tab w:val="left" w:pos="540"/>
        </w:tabs>
        <w:spacing w:line="440" w:lineRule="exact"/>
        <w:rPr>
          <w:rFonts w:ascii="宋体" w:hAnsi="宋体" w:cs="宋体"/>
          <w:sz w:val="22"/>
          <w:szCs w:val="22"/>
        </w:rPr>
      </w:pPr>
      <w:r>
        <w:rPr>
          <w:rFonts w:hint="eastAsia" w:ascii="宋体" w:hAnsi="宋体" w:cs="宋体"/>
          <w:sz w:val="22"/>
          <w:szCs w:val="22"/>
        </w:rPr>
        <w:t>36.1采购人自收到评标报告之日起5个工作日内，在评标报告确定的中标候选人名单中按顺序确定中标人。</w:t>
      </w:r>
    </w:p>
    <w:p>
      <w:pPr>
        <w:tabs>
          <w:tab w:val="left" w:pos="540"/>
        </w:tabs>
        <w:spacing w:line="440" w:lineRule="exact"/>
        <w:rPr>
          <w:rFonts w:ascii="宋体" w:hAnsi="宋体" w:cs="宋体"/>
          <w:sz w:val="22"/>
          <w:szCs w:val="22"/>
        </w:rPr>
      </w:pPr>
      <w:r>
        <w:rPr>
          <w:rFonts w:hint="eastAsia" w:ascii="宋体" w:hAnsi="宋体" w:cs="宋体"/>
          <w:sz w:val="22"/>
          <w:szCs w:val="22"/>
        </w:rPr>
        <w:t>36.2中标人确定之日起2个工作日内，在“政采云”平台上公示中标结果，中标公告期限为1个工作日；</w:t>
      </w:r>
    </w:p>
    <w:p>
      <w:pPr>
        <w:tabs>
          <w:tab w:val="left" w:pos="540"/>
        </w:tabs>
        <w:spacing w:line="440" w:lineRule="exact"/>
        <w:rPr>
          <w:rFonts w:ascii="宋体" w:hAnsi="宋体" w:cs="宋体"/>
          <w:sz w:val="22"/>
          <w:szCs w:val="22"/>
        </w:rPr>
      </w:pPr>
      <w:r>
        <w:rPr>
          <w:rFonts w:hint="eastAsia" w:ascii="宋体" w:hAnsi="宋体" w:cs="宋体"/>
          <w:sz w:val="22"/>
          <w:szCs w:val="22"/>
        </w:rPr>
        <w:t>36.3在公告中标结果的同时，采购人向中标人发出中标通知书。</w:t>
      </w:r>
    </w:p>
    <w:p>
      <w:pPr>
        <w:tabs>
          <w:tab w:val="left" w:pos="540"/>
        </w:tabs>
        <w:spacing w:line="440" w:lineRule="exact"/>
        <w:rPr>
          <w:rFonts w:ascii="宋体" w:hAnsi="宋体" w:cs="宋体"/>
          <w:kern w:val="0"/>
          <w:sz w:val="22"/>
          <w:szCs w:val="22"/>
        </w:rPr>
      </w:pPr>
      <w:r>
        <w:rPr>
          <w:rFonts w:hint="eastAsia" w:ascii="宋体" w:hAnsi="宋体" w:cs="宋体"/>
          <w:sz w:val="22"/>
          <w:szCs w:val="22"/>
        </w:rPr>
        <w:t>36.4各投标人对评标结果如有异议，可在中标结果公示之日起7个工作日内以书面形式向采购人进行署名投诉或提出质疑，但需对投诉或质疑内容的真实性承担法律责任。</w:t>
      </w:r>
    </w:p>
    <w:p>
      <w:pPr>
        <w:tabs>
          <w:tab w:val="left" w:pos="540"/>
        </w:tabs>
        <w:spacing w:line="440" w:lineRule="exact"/>
        <w:rPr>
          <w:rFonts w:ascii="宋体" w:hAnsi="宋体" w:cs="宋体"/>
          <w:b/>
          <w:sz w:val="22"/>
          <w:szCs w:val="22"/>
        </w:rPr>
      </w:pPr>
      <w:r>
        <w:rPr>
          <w:rFonts w:hint="eastAsia" w:ascii="宋体" w:hAnsi="宋体" w:cs="宋体"/>
          <w:b/>
          <w:sz w:val="22"/>
          <w:szCs w:val="22"/>
        </w:rPr>
        <w:t>37. 签订合同</w:t>
      </w:r>
    </w:p>
    <w:p>
      <w:pPr>
        <w:tabs>
          <w:tab w:val="left" w:pos="540"/>
        </w:tabs>
        <w:spacing w:line="440" w:lineRule="exact"/>
        <w:rPr>
          <w:rFonts w:ascii="宋体" w:hAnsi="宋体" w:cs="宋体"/>
          <w:sz w:val="22"/>
          <w:szCs w:val="22"/>
        </w:rPr>
      </w:pPr>
      <w:r>
        <w:rPr>
          <w:rFonts w:hint="eastAsia" w:ascii="宋体" w:hAnsi="宋体" w:cs="宋体"/>
          <w:sz w:val="22"/>
          <w:szCs w:val="22"/>
        </w:rPr>
        <w:t>37.1公示期结束后，中标投标人须在5个工作日内主动联系采购人或采购机构领取中标通知书。中标投标人应当在中标通知书发出之日起30日内与采购人签订合同。中标投标人未经采购人许可，在规定时间内未到采购人处与采购人签订合同，则视为拒签合同。</w:t>
      </w:r>
    </w:p>
    <w:p>
      <w:pPr>
        <w:tabs>
          <w:tab w:val="left" w:pos="540"/>
        </w:tabs>
        <w:spacing w:line="440" w:lineRule="exact"/>
        <w:rPr>
          <w:rFonts w:ascii="宋体" w:hAnsi="宋体" w:cs="宋体"/>
          <w:sz w:val="22"/>
          <w:szCs w:val="22"/>
        </w:rPr>
      </w:pPr>
      <w:r>
        <w:rPr>
          <w:rFonts w:hint="eastAsia" w:ascii="宋体" w:hAnsi="宋体" w:cs="宋体"/>
          <w:sz w:val="22"/>
          <w:szCs w:val="22"/>
        </w:rPr>
        <w:t>37.2采购文件、中标投标人的投标文件及投标修改文件、评标过程中有关澄清文件及经双方签字的询标纪要（承诺）和中标通知书均作为合同附件。</w:t>
      </w:r>
    </w:p>
    <w:p>
      <w:pPr>
        <w:tabs>
          <w:tab w:val="left" w:pos="540"/>
        </w:tabs>
        <w:spacing w:line="440" w:lineRule="exact"/>
        <w:rPr>
          <w:rFonts w:ascii="宋体" w:hAnsi="宋体" w:cs="宋体"/>
          <w:sz w:val="22"/>
          <w:szCs w:val="22"/>
        </w:rPr>
      </w:pPr>
      <w:r>
        <w:rPr>
          <w:rFonts w:hint="eastAsia" w:ascii="宋体" w:hAnsi="宋体" w:cs="宋体"/>
          <w:sz w:val="22"/>
          <w:szCs w:val="22"/>
        </w:rPr>
        <w:t>37.3拒签合同的责任</w:t>
      </w:r>
    </w:p>
    <w:p>
      <w:pPr>
        <w:tabs>
          <w:tab w:val="left" w:pos="640"/>
        </w:tabs>
        <w:spacing w:line="440" w:lineRule="exact"/>
        <w:rPr>
          <w:rFonts w:ascii="宋体" w:hAnsi="宋体" w:cs="宋体"/>
          <w:sz w:val="22"/>
          <w:szCs w:val="22"/>
        </w:rPr>
      </w:pPr>
      <w:r>
        <w:rPr>
          <w:rFonts w:hint="eastAsia" w:ascii="宋体" w:hAnsi="宋体" w:cs="宋体"/>
          <w:sz w:val="22"/>
          <w:szCs w:val="22"/>
        </w:rPr>
        <w:t>37.4中标投标人在规定时间内（30日历天）借故否认已经承诺的条件、拒签合同，以投标违约处理，并赔偿采购人由此造成的直接经济损失；采购人重新组织招标的，所需费用由原中标投标人承担。</w:t>
      </w:r>
    </w:p>
    <w:p>
      <w:pPr>
        <w:pStyle w:val="668"/>
        <w:spacing w:line="500" w:lineRule="exact"/>
        <w:ind w:firstLine="442"/>
        <w:jc w:val="center"/>
        <w:rPr>
          <w:rFonts w:hAnsi="宋体" w:cs="宋体"/>
          <w:b/>
          <w:sz w:val="24"/>
        </w:rPr>
      </w:pPr>
      <w:r>
        <w:rPr>
          <w:rFonts w:hint="eastAsia" w:hAnsi="宋体" w:cs="宋体"/>
          <w:b/>
          <w:bCs/>
          <w:sz w:val="22"/>
          <w:szCs w:val="22"/>
        </w:rPr>
        <w:br w:type="page"/>
      </w:r>
      <w:r>
        <w:rPr>
          <w:rFonts w:hint="eastAsia" w:hAnsi="宋体" w:cs="宋体"/>
          <w:b/>
          <w:sz w:val="24"/>
        </w:rPr>
        <w:t>采购活动现场确认声明书</w:t>
      </w:r>
    </w:p>
    <w:p>
      <w:pPr>
        <w:pStyle w:val="668"/>
        <w:spacing w:line="500" w:lineRule="exact"/>
        <w:ind w:firstLine="0" w:firstLineChars="0"/>
        <w:rPr>
          <w:rFonts w:hAnsi="宋体" w:cs="宋体"/>
          <w:b/>
          <w:sz w:val="22"/>
          <w:szCs w:val="22"/>
        </w:rPr>
      </w:pPr>
      <w:r>
        <w:rPr>
          <w:rFonts w:hint="eastAsia" w:hAnsi="宋体" w:cs="宋体"/>
          <w:b/>
          <w:bCs/>
          <w:sz w:val="22"/>
          <w:szCs w:val="22"/>
        </w:rPr>
        <w:t>温州市智信招标代理有限公司</w:t>
      </w:r>
      <w:r>
        <w:rPr>
          <w:rFonts w:hint="eastAsia" w:hAnsi="宋体" w:cs="宋体"/>
          <w:b/>
          <w:kern w:val="0"/>
          <w:sz w:val="22"/>
          <w:szCs w:val="22"/>
        </w:rPr>
        <w:t>：</w:t>
      </w:r>
    </w:p>
    <w:p>
      <w:pPr>
        <w:pStyle w:val="668"/>
        <w:spacing w:line="480" w:lineRule="exact"/>
        <w:ind w:firstLine="464"/>
        <w:rPr>
          <w:rFonts w:hAnsi="宋体" w:cs="宋体"/>
          <w:spacing w:val="6"/>
          <w:sz w:val="22"/>
          <w:szCs w:val="22"/>
        </w:rPr>
      </w:pPr>
      <w:r>
        <w:rPr>
          <w:rFonts w:hint="eastAsia" w:hAnsi="宋体" w:cs="宋体"/>
          <w:spacing w:val="6"/>
          <w:sz w:val="22"/>
          <w:szCs w:val="22"/>
        </w:rPr>
        <w:t>本人经由</w:t>
      </w:r>
      <w:r>
        <w:rPr>
          <w:rFonts w:hint="eastAsia" w:hAnsi="宋体" w:cs="宋体"/>
          <w:spacing w:val="6"/>
          <w:sz w:val="22"/>
          <w:szCs w:val="22"/>
          <w:u w:val="single"/>
        </w:rPr>
        <w:t xml:space="preserve">          （单位）</w:t>
      </w:r>
      <w:r>
        <w:rPr>
          <w:rFonts w:hint="eastAsia" w:hAnsi="宋体" w:cs="宋体"/>
          <w:spacing w:val="6"/>
          <w:sz w:val="22"/>
          <w:szCs w:val="22"/>
        </w:rPr>
        <w:t>负责人</w:t>
      </w:r>
      <w:r>
        <w:rPr>
          <w:rFonts w:hint="eastAsia" w:hAnsi="宋体" w:cs="宋体"/>
          <w:spacing w:val="6"/>
          <w:sz w:val="22"/>
          <w:szCs w:val="22"/>
          <w:u w:val="single"/>
        </w:rPr>
        <w:t xml:space="preserve">      （姓名）</w:t>
      </w:r>
      <w:r>
        <w:rPr>
          <w:rFonts w:hint="eastAsia" w:hAnsi="宋体" w:cs="宋体"/>
          <w:spacing w:val="6"/>
          <w:sz w:val="22"/>
          <w:szCs w:val="22"/>
        </w:rPr>
        <w:t>合法授权参加</w:t>
      </w:r>
      <w:r>
        <w:rPr>
          <w:rFonts w:hint="eastAsia" w:hAnsi="宋体" w:cs="宋体"/>
          <w:spacing w:val="6"/>
          <w:sz w:val="22"/>
          <w:szCs w:val="22"/>
          <w:u w:val="single"/>
        </w:rPr>
        <w:t xml:space="preserve">         </w:t>
      </w:r>
      <w:r>
        <w:rPr>
          <w:rFonts w:hint="eastAsia" w:hAnsi="宋体" w:cs="宋体"/>
          <w:spacing w:val="6"/>
          <w:sz w:val="22"/>
          <w:szCs w:val="22"/>
        </w:rPr>
        <w:t>项目（编号：</w:t>
      </w:r>
      <w:r>
        <w:rPr>
          <w:rFonts w:hint="eastAsia" w:hAnsi="宋体" w:cs="宋体"/>
          <w:spacing w:val="6"/>
          <w:sz w:val="22"/>
          <w:szCs w:val="22"/>
          <w:u w:val="single"/>
        </w:rPr>
        <w:t xml:space="preserve">             </w:t>
      </w:r>
      <w:r>
        <w:rPr>
          <w:rFonts w:hint="eastAsia" w:hAnsi="宋体" w:cs="宋体"/>
          <w:spacing w:val="6"/>
          <w:sz w:val="22"/>
          <w:szCs w:val="22"/>
        </w:rPr>
        <w:t xml:space="preserve">）采购活动，经与本单位法人代表（负责人）联系确认，现就有关公平竞争事项郑重声明如下： </w:t>
      </w:r>
    </w:p>
    <w:p>
      <w:pPr>
        <w:pStyle w:val="512"/>
        <w:widowControl/>
        <w:numPr>
          <w:ilvl w:val="0"/>
          <w:numId w:val="6"/>
        </w:numPr>
        <w:snapToGrid w:val="0"/>
        <w:spacing w:line="480" w:lineRule="exact"/>
        <w:ind w:firstLine="415" w:firstLineChars="189"/>
        <w:rPr>
          <w:rFonts w:ascii="宋体" w:hAnsi="宋体" w:cs="宋体"/>
          <w:kern w:val="0"/>
          <w:sz w:val="22"/>
          <w:szCs w:val="22"/>
        </w:rPr>
      </w:pPr>
      <w:r>
        <w:rPr>
          <w:rFonts w:hint="eastAsia" w:ascii="宋体" w:hAnsi="宋体" w:cs="宋体"/>
          <w:kern w:val="0"/>
          <w:sz w:val="22"/>
          <w:szCs w:val="22"/>
        </w:rPr>
        <w:t>本单位与采购人之间 □不存在利害关系 □存在下列利害关系：</w:t>
      </w:r>
    </w:p>
    <w:p>
      <w:pPr>
        <w:pStyle w:val="512"/>
        <w:widowControl/>
        <w:snapToGrid w:val="0"/>
        <w:spacing w:line="480" w:lineRule="exact"/>
        <w:rPr>
          <w:rFonts w:ascii="宋体" w:hAnsi="宋体" w:cs="宋体"/>
          <w:kern w:val="0"/>
          <w:sz w:val="22"/>
          <w:szCs w:val="22"/>
        </w:rPr>
      </w:pPr>
      <w:r>
        <w:rPr>
          <w:rFonts w:hint="eastAsia" w:ascii="宋体" w:hAnsi="宋体" w:cs="宋体"/>
          <w:kern w:val="0"/>
          <w:sz w:val="22"/>
          <w:szCs w:val="22"/>
        </w:rPr>
        <w:t xml:space="preserve">  A.投资关系    B.行政隶属关系    C.业务指导关系</w:t>
      </w:r>
    </w:p>
    <w:p>
      <w:pPr>
        <w:pStyle w:val="512"/>
        <w:widowControl/>
        <w:snapToGrid w:val="0"/>
        <w:spacing w:line="480" w:lineRule="exact"/>
        <w:rPr>
          <w:rFonts w:ascii="宋体" w:hAnsi="宋体" w:cs="宋体"/>
          <w:kern w:val="0"/>
          <w:sz w:val="22"/>
          <w:szCs w:val="22"/>
        </w:rPr>
      </w:pPr>
      <w:r>
        <w:rPr>
          <w:rFonts w:hint="eastAsia" w:ascii="宋体" w:hAnsi="宋体" w:cs="宋体"/>
          <w:kern w:val="0"/>
          <w:sz w:val="22"/>
          <w:szCs w:val="22"/>
        </w:rPr>
        <w:t xml:space="preserve">  D.其他可能</w:t>
      </w:r>
      <w:r>
        <w:rPr>
          <w:rFonts w:hint="eastAsia" w:ascii="宋体" w:hAnsi="宋体" w:cs="宋体"/>
          <w:sz w:val="22"/>
          <w:szCs w:val="22"/>
        </w:rPr>
        <w:t>影响采购公正的</w:t>
      </w:r>
      <w:r>
        <w:rPr>
          <w:rFonts w:hint="eastAsia" w:ascii="宋体" w:hAnsi="宋体" w:cs="宋体"/>
          <w:kern w:val="0"/>
          <w:sz w:val="22"/>
          <w:szCs w:val="22"/>
        </w:rPr>
        <w:t>利害关系</w:t>
      </w:r>
      <w:r>
        <w:rPr>
          <w:rFonts w:hint="eastAsia" w:ascii="宋体" w:hAnsi="宋体" w:cs="宋体"/>
          <w:kern w:val="0"/>
          <w:sz w:val="22"/>
          <w:szCs w:val="22"/>
          <w:u w:val="single"/>
        </w:rPr>
        <w:t xml:space="preserve">（如有，请如实说明）                 </w:t>
      </w:r>
      <w:r>
        <w:rPr>
          <w:rFonts w:hint="eastAsia" w:ascii="宋体" w:hAnsi="宋体" w:cs="宋体"/>
          <w:kern w:val="0"/>
          <w:sz w:val="22"/>
          <w:szCs w:val="22"/>
        </w:rPr>
        <w:t>。</w:t>
      </w:r>
    </w:p>
    <w:p>
      <w:pPr>
        <w:pStyle w:val="512"/>
        <w:widowControl/>
        <w:snapToGrid w:val="0"/>
        <w:spacing w:line="480" w:lineRule="exact"/>
        <w:rPr>
          <w:rFonts w:ascii="宋体" w:hAnsi="宋体" w:cs="宋体"/>
          <w:kern w:val="0"/>
          <w:sz w:val="22"/>
          <w:szCs w:val="22"/>
        </w:rPr>
      </w:pPr>
      <w:r>
        <w:rPr>
          <w:rFonts w:hint="eastAsia" w:ascii="宋体" w:hAnsi="宋体" w:cs="宋体"/>
          <w:spacing w:val="6"/>
          <w:sz w:val="22"/>
          <w:szCs w:val="22"/>
        </w:rPr>
        <w:t xml:space="preserve">  二、</w:t>
      </w:r>
      <w:r>
        <w:rPr>
          <w:rFonts w:hint="eastAsia" w:ascii="宋体" w:hAnsi="宋体" w:cs="宋体"/>
          <w:kern w:val="0"/>
          <w:sz w:val="22"/>
          <w:szCs w:val="22"/>
        </w:rPr>
        <w:t>现已清楚知道参加本项目采购活动的其他所有供应商名称，本单位 □与其他所有供应商之间均不存在利害关系 □与</w:t>
      </w:r>
      <w:r>
        <w:rPr>
          <w:rFonts w:hint="eastAsia" w:ascii="宋体" w:hAnsi="宋体" w:cs="宋体"/>
          <w:kern w:val="0"/>
          <w:sz w:val="22"/>
          <w:szCs w:val="22"/>
          <w:u w:val="single"/>
        </w:rPr>
        <w:t xml:space="preserve">           （供应商名称）</w:t>
      </w:r>
      <w:r>
        <w:rPr>
          <w:rFonts w:hint="eastAsia" w:ascii="宋体" w:hAnsi="宋体" w:cs="宋体"/>
          <w:kern w:val="0"/>
          <w:sz w:val="22"/>
          <w:szCs w:val="22"/>
        </w:rPr>
        <w:t>之间存在下列利害关系：</w:t>
      </w:r>
    </w:p>
    <w:p>
      <w:pPr>
        <w:pStyle w:val="668"/>
        <w:spacing w:line="480" w:lineRule="exact"/>
        <w:ind w:firstLine="440"/>
        <w:rPr>
          <w:rFonts w:hAnsi="宋体" w:cs="宋体"/>
          <w:kern w:val="0"/>
          <w:sz w:val="22"/>
          <w:szCs w:val="22"/>
        </w:rPr>
      </w:pPr>
      <w:r>
        <w:rPr>
          <w:rFonts w:hint="eastAsia" w:hAnsi="宋体" w:cs="宋体"/>
          <w:kern w:val="0"/>
          <w:sz w:val="22"/>
          <w:szCs w:val="22"/>
        </w:rPr>
        <w:t xml:space="preserve">  A.法定代表人或负责人或实际控制人是同一人</w:t>
      </w:r>
    </w:p>
    <w:p>
      <w:pPr>
        <w:pStyle w:val="668"/>
        <w:spacing w:line="480" w:lineRule="exact"/>
        <w:ind w:firstLine="440"/>
        <w:rPr>
          <w:rFonts w:hAnsi="宋体" w:cs="宋体"/>
          <w:spacing w:val="6"/>
          <w:sz w:val="22"/>
          <w:szCs w:val="22"/>
        </w:rPr>
      </w:pPr>
      <w:r>
        <w:rPr>
          <w:rFonts w:hint="eastAsia" w:hAnsi="宋体" w:cs="宋体"/>
          <w:kern w:val="0"/>
          <w:sz w:val="22"/>
          <w:szCs w:val="22"/>
        </w:rPr>
        <w:t xml:space="preserve">  B.法定代表人或负责人或实际控制人是夫妻关系</w:t>
      </w:r>
    </w:p>
    <w:p>
      <w:pPr>
        <w:pStyle w:val="668"/>
        <w:spacing w:line="480" w:lineRule="exact"/>
        <w:ind w:firstLine="440"/>
        <w:rPr>
          <w:rFonts w:hAnsi="宋体" w:cs="宋体"/>
          <w:spacing w:val="6"/>
          <w:sz w:val="22"/>
          <w:szCs w:val="22"/>
        </w:rPr>
      </w:pPr>
      <w:r>
        <w:rPr>
          <w:rFonts w:hint="eastAsia" w:hAnsi="宋体" w:cs="宋体"/>
          <w:kern w:val="0"/>
          <w:sz w:val="22"/>
          <w:szCs w:val="22"/>
        </w:rPr>
        <w:t xml:space="preserve">  C.法定代表人或负责人或实际控制人是直系血亲关系</w:t>
      </w:r>
    </w:p>
    <w:p>
      <w:pPr>
        <w:pStyle w:val="668"/>
        <w:spacing w:line="480" w:lineRule="exact"/>
        <w:ind w:firstLine="440"/>
        <w:rPr>
          <w:rFonts w:hAnsi="宋体" w:cs="宋体"/>
          <w:spacing w:val="6"/>
          <w:sz w:val="22"/>
          <w:szCs w:val="22"/>
        </w:rPr>
      </w:pPr>
      <w:r>
        <w:rPr>
          <w:rFonts w:hint="eastAsia" w:hAnsi="宋体" w:cs="宋体"/>
          <w:kern w:val="0"/>
          <w:sz w:val="22"/>
          <w:szCs w:val="22"/>
        </w:rPr>
        <w:t xml:space="preserve">  D.法定代表人或负责人或实际控制人存在三代以内旁系血亲关系</w:t>
      </w:r>
    </w:p>
    <w:p>
      <w:pPr>
        <w:pStyle w:val="668"/>
        <w:spacing w:line="480" w:lineRule="exact"/>
        <w:ind w:firstLine="440"/>
        <w:rPr>
          <w:rFonts w:hAnsi="宋体" w:cs="宋体"/>
          <w:kern w:val="0"/>
          <w:sz w:val="22"/>
          <w:szCs w:val="22"/>
        </w:rPr>
      </w:pPr>
      <w:r>
        <w:rPr>
          <w:rFonts w:hint="eastAsia" w:hAnsi="宋体" w:cs="宋体"/>
          <w:kern w:val="0"/>
          <w:sz w:val="22"/>
          <w:szCs w:val="22"/>
        </w:rPr>
        <w:t xml:space="preserve">  E.法定代表人或负责人或实际控制人存在近姻亲关系</w:t>
      </w:r>
    </w:p>
    <w:p>
      <w:pPr>
        <w:pStyle w:val="668"/>
        <w:spacing w:line="480" w:lineRule="exact"/>
        <w:ind w:firstLine="440"/>
        <w:rPr>
          <w:rFonts w:hAnsi="宋体" w:cs="宋体"/>
          <w:kern w:val="0"/>
          <w:sz w:val="22"/>
          <w:szCs w:val="22"/>
        </w:rPr>
      </w:pPr>
      <w:r>
        <w:rPr>
          <w:rFonts w:hint="eastAsia" w:hAnsi="宋体" w:cs="宋体"/>
          <w:kern w:val="0"/>
          <w:sz w:val="22"/>
          <w:szCs w:val="22"/>
        </w:rPr>
        <w:t xml:space="preserve">  F.法定代表人或负责人或实际控制人存在股份控制或实际控制关系</w:t>
      </w:r>
    </w:p>
    <w:p>
      <w:pPr>
        <w:pStyle w:val="668"/>
        <w:spacing w:line="480" w:lineRule="exact"/>
        <w:ind w:firstLine="440"/>
        <w:rPr>
          <w:rFonts w:hAnsi="宋体" w:cs="宋体"/>
          <w:kern w:val="0"/>
          <w:sz w:val="22"/>
          <w:szCs w:val="22"/>
        </w:rPr>
      </w:pPr>
      <w:r>
        <w:rPr>
          <w:rFonts w:hint="eastAsia" w:hAnsi="宋体" w:cs="宋体"/>
          <w:kern w:val="0"/>
          <w:sz w:val="22"/>
          <w:szCs w:val="22"/>
        </w:rPr>
        <w:t xml:space="preserve">  G.存在共同直接或间接投资设立子公司、联营企业和合营企业情况</w:t>
      </w:r>
    </w:p>
    <w:p>
      <w:pPr>
        <w:pStyle w:val="668"/>
        <w:spacing w:line="480" w:lineRule="exact"/>
        <w:ind w:firstLine="440"/>
        <w:rPr>
          <w:rFonts w:hAnsi="宋体" w:cs="宋体"/>
          <w:sz w:val="22"/>
          <w:szCs w:val="22"/>
        </w:rPr>
      </w:pPr>
      <w:r>
        <w:rPr>
          <w:rFonts w:hint="eastAsia" w:hAnsi="宋体" w:cs="宋体"/>
          <w:kern w:val="0"/>
          <w:sz w:val="22"/>
          <w:szCs w:val="22"/>
        </w:rPr>
        <w:t xml:space="preserve">  H.存在分级代理或代销关系、同一生产制造商关系、</w:t>
      </w:r>
      <w:r>
        <w:rPr>
          <w:rFonts w:hint="eastAsia" w:hAnsi="宋体" w:cs="宋体"/>
          <w:sz w:val="22"/>
          <w:szCs w:val="22"/>
        </w:rPr>
        <w:t>管理关系、重要业务（占主营业务收入50%以上）或重要财务往来关系（如融资）等其他实质性控制关系</w:t>
      </w:r>
    </w:p>
    <w:p>
      <w:pPr>
        <w:pStyle w:val="668"/>
        <w:spacing w:line="480" w:lineRule="exact"/>
        <w:ind w:firstLine="440"/>
        <w:rPr>
          <w:rFonts w:hAnsi="宋体" w:cs="宋体"/>
          <w:spacing w:val="6"/>
          <w:sz w:val="22"/>
          <w:szCs w:val="22"/>
        </w:rPr>
      </w:pPr>
      <w:r>
        <w:rPr>
          <w:rFonts w:hint="eastAsia" w:hAnsi="宋体" w:cs="宋体"/>
          <w:sz w:val="22"/>
          <w:szCs w:val="22"/>
        </w:rPr>
        <w:t xml:space="preserve">    I</w:t>
      </w:r>
      <w:r>
        <w:rPr>
          <w:rFonts w:hint="eastAsia" w:hAnsi="宋体" w:cs="宋体"/>
          <w:kern w:val="0"/>
          <w:sz w:val="22"/>
          <w:szCs w:val="22"/>
        </w:rPr>
        <w:t>.</w:t>
      </w:r>
      <w:r>
        <w:rPr>
          <w:rFonts w:hint="eastAsia" w:hAnsi="宋体" w:cs="宋体"/>
          <w:sz w:val="22"/>
          <w:szCs w:val="22"/>
        </w:rPr>
        <w:t>其他利害关系情况</w:t>
      </w:r>
      <w:r>
        <w:rPr>
          <w:rFonts w:hint="eastAsia" w:hAnsi="宋体" w:cs="宋体"/>
          <w:kern w:val="0"/>
          <w:sz w:val="22"/>
          <w:szCs w:val="22"/>
        </w:rPr>
        <w:t>。</w:t>
      </w:r>
    </w:p>
    <w:p>
      <w:pPr>
        <w:pStyle w:val="512"/>
        <w:widowControl/>
        <w:numPr>
          <w:ilvl w:val="0"/>
          <w:numId w:val="7"/>
        </w:numPr>
        <w:snapToGrid w:val="0"/>
        <w:spacing w:line="480" w:lineRule="exact"/>
        <w:ind w:firstLine="415" w:firstLineChars="189"/>
        <w:rPr>
          <w:rFonts w:ascii="宋体" w:hAnsi="宋体" w:cs="宋体"/>
          <w:kern w:val="0"/>
          <w:sz w:val="22"/>
          <w:szCs w:val="22"/>
        </w:rPr>
      </w:pPr>
      <w:r>
        <w:rPr>
          <w:rFonts w:hint="eastAsia" w:ascii="宋体" w:hAnsi="宋体" w:cs="宋体"/>
          <w:sz w:val="22"/>
          <w:szCs w:val="22"/>
        </w:rPr>
        <w:t>现已清楚知道并</w:t>
      </w:r>
      <w:r>
        <w:rPr>
          <w:rFonts w:hint="eastAsia" w:ascii="宋体" w:hAnsi="宋体" w:cs="宋体"/>
          <w:kern w:val="0"/>
          <w:sz w:val="22"/>
          <w:szCs w:val="22"/>
        </w:rPr>
        <w:t>严格遵守法律法规和现场纪律。</w:t>
      </w:r>
    </w:p>
    <w:p>
      <w:pPr>
        <w:pStyle w:val="512"/>
        <w:widowControl/>
        <w:numPr>
          <w:ilvl w:val="0"/>
          <w:numId w:val="7"/>
        </w:numPr>
        <w:snapToGrid w:val="0"/>
        <w:spacing w:line="480" w:lineRule="exact"/>
        <w:ind w:firstLine="415" w:firstLineChars="189"/>
        <w:rPr>
          <w:rFonts w:ascii="宋体" w:hAnsi="宋体" w:cs="宋体"/>
          <w:kern w:val="0"/>
          <w:sz w:val="22"/>
          <w:szCs w:val="22"/>
        </w:rPr>
      </w:pPr>
      <w:r>
        <w:rPr>
          <w:rFonts w:hint="eastAsia" w:ascii="宋体" w:hAnsi="宋体" w:cs="宋体"/>
          <w:kern w:val="0"/>
          <w:sz w:val="22"/>
          <w:szCs w:val="22"/>
        </w:rPr>
        <w:t>我发现</w:t>
      </w:r>
      <w:r>
        <w:rPr>
          <w:rFonts w:hint="eastAsia" w:ascii="宋体" w:hAnsi="宋体" w:cs="宋体"/>
          <w:kern w:val="0"/>
          <w:sz w:val="22"/>
          <w:szCs w:val="22"/>
          <w:u w:val="single"/>
        </w:rPr>
        <w:t xml:space="preserve">         </w:t>
      </w:r>
      <w:r>
        <w:rPr>
          <w:rFonts w:hint="eastAsia" w:ascii="宋体" w:hAnsi="宋体" w:cs="宋体"/>
          <w:kern w:val="0"/>
          <w:sz w:val="22"/>
          <w:szCs w:val="22"/>
        </w:rPr>
        <w:t>供应商之间存在或可能存在上述第二条第</w:t>
      </w:r>
      <w:r>
        <w:rPr>
          <w:rFonts w:hint="eastAsia" w:ascii="宋体" w:hAnsi="宋体" w:cs="宋体"/>
          <w:kern w:val="0"/>
          <w:sz w:val="22"/>
          <w:szCs w:val="22"/>
          <w:u w:val="single"/>
        </w:rPr>
        <w:t xml:space="preserve">         </w:t>
      </w:r>
      <w:r>
        <w:rPr>
          <w:rFonts w:hint="eastAsia" w:ascii="宋体" w:hAnsi="宋体" w:cs="宋体"/>
          <w:kern w:val="0"/>
          <w:sz w:val="22"/>
          <w:szCs w:val="22"/>
        </w:rPr>
        <w:t>项利害关系。</w:t>
      </w:r>
    </w:p>
    <w:p>
      <w:pPr>
        <w:pStyle w:val="668"/>
        <w:spacing w:line="500" w:lineRule="exact"/>
        <w:ind w:firstLine="440"/>
        <w:rPr>
          <w:rFonts w:hAnsi="宋体" w:cs="宋体"/>
          <w:sz w:val="22"/>
          <w:szCs w:val="22"/>
        </w:rPr>
      </w:pPr>
    </w:p>
    <w:p>
      <w:pPr>
        <w:pStyle w:val="668"/>
        <w:spacing w:line="500" w:lineRule="exact"/>
        <w:ind w:firstLine="440"/>
        <w:rPr>
          <w:rFonts w:hAnsi="宋体" w:cs="宋体"/>
          <w:sz w:val="22"/>
          <w:szCs w:val="22"/>
          <w:u w:val="single"/>
        </w:rPr>
      </w:pPr>
      <w:r>
        <w:rPr>
          <w:rFonts w:hint="eastAsia" w:hAnsi="宋体" w:cs="宋体"/>
          <w:sz w:val="22"/>
          <w:szCs w:val="22"/>
        </w:rPr>
        <w:t>投标人代表签字：</w:t>
      </w:r>
    </w:p>
    <w:p>
      <w:pPr>
        <w:spacing w:line="440" w:lineRule="exact"/>
        <w:jc w:val="right"/>
        <w:rPr>
          <w:rFonts w:ascii="宋体" w:hAnsi="宋体" w:cs="宋体"/>
          <w:sz w:val="22"/>
          <w:szCs w:val="22"/>
        </w:rPr>
      </w:pPr>
      <w:r>
        <w:rPr>
          <w:rFonts w:hint="eastAsia" w:ascii="宋体" w:hAnsi="宋体" w:cs="宋体"/>
          <w:sz w:val="22"/>
          <w:szCs w:val="22"/>
        </w:rPr>
        <w:tab/>
      </w:r>
      <w:r>
        <w:rPr>
          <w:rFonts w:hint="eastAsia" w:ascii="宋体" w:hAnsi="宋体" w:cs="宋体"/>
          <w:sz w:val="22"/>
          <w:szCs w:val="22"/>
        </w:rPr>
        <w:tab/>
      </w:r>
      <w:r>
        <w:rPr>
          <w:rFonts w:hint="eastAsia" w:ascii="宋体" w:hAnsi="宋体" w:cs="宋体"/>
          <w:sz w:val="22"/>
          <w:szCs w:val="22"/>
        </w:rPr>
        <w:tab/>
      </w:r>
    </w:p>
    <w:p>
      <w:pPr>
        <w:spacing w:line="440" w:lineRule="exact"/>
        <w:jc w:val="right"/>
        <w:rPr>
          <w:rFonts w:ascii="宋体" w:hAnsi="宋体" w:cs="宋体"/>
          <w:sz w:val="22"/>
          <w:szCs w:val="22"/>
        </w:rPr>
      </w:pPr>
    </w:p>
    <w:p>
      <w:pPr>
        <w:spacing w:line="440" w:lineRule="exact"/>
        <w:jc w:val="right"/>
        <w:rPr>
          <w:rFonts w:ascii="宋体" w:hAnsi="宋体" w:cs="宋体"/>
          <w:b/>
          <w:bCs/>
          <w:sz w:val="22"/>
          <w:szCs w:val="22"/>
        </w:rPr>
      </w:pPr>
      <w:r>
        <w:rPr>
          <w:rFonts w:hint="eastAsia" w:ascii="宋体" w:hAnsi="宋体" w:cs="宋体"/>
          <w:sz w:val="22"/>
          <w:szCs w:val="22"/>
        </w:rPr>
        <w:t xml:space="preserve"> 年  月  日</w:t>
      </w:r>
    </w:p>
    <w:p>
      <w:pPr>
        <w:pStyle w:val="54"/>
        <w:rPr>
          <w:rFonts w:ascii="宋体" w:hAnsi="宋体" w:cs="宋体"/>
          <w:kern w:val="2"/>
          <w:sz w:val="36"/>
          <w:szCs w:val="36"/>
        </w:rPr>
      </w:pPr>
      <w:r>
        <w:rPr>
          <w:rFonts w:hint="eastAsia" w:ascii="宋体" w:hAnsi="宋体" w:cs="宋体"/>
          <w:b w:val="0"/>
          <w:bCs w:val="0"/>
          <w:sz w:val="22"/>
          <w:szCs w:val="22"/>
        </w:rPr>
        <w:br w:type="page"/>
      </w:r>
      <w:bookmarkStart w:id="70" w:name="_Toc495955195"/>
      <w:bookmarkStart w:id="71" w:name="_Toc58406690"/>
      <w:bookmarkStart w:id="72" w:name="_Toc34508137"/>
      <w:bookmarkStart w:id="73" w:name="_Toc9491"/>
      <w:bookmarkStart w:id="74" w:name="_Toc58406691"/>
      <w:r>
        <w:rPr>
          <w:rFonts w:hint="eastAsia" w:ascii="宋体" w:hAnsi="宋体" w:cs="宋体"/>
          <w:kern w:val="2"/>
          <w:sz w:val="36"/>
          <w:szCs w:val="36"/>
        </w:rPr>
        <w:t>第二部分   政府采购政策功能相关说明</w:t>
      </w:r>
      <w:bookmarkEnd w:id="70"/>
      <w:bookmarkEnd w:id="71"/>
      <w:bookmarkEnd w:id="72"/>
    </w:p>
    <w:p>
      <w:pPr>
        <w:jc w:val="left"/>
        <w:rPr>
          <w:rFonts w:ascii="宋体" w:hAnsi="宋体" w:cs="宋体"/>
          <w:b/>
          <w:sz w:val="22"/>
        </w:rPr>
      </w:pPr>
    </w:p>
    <w:p>
      <w:pPr>
        <w:jc w:val="center"/>
        <w:rPr>
          <w:rFonts w:ascii="Times New Roman" w:hAnsi="Times New Roman"/>
          <w:b/>
          <w:bCs/>
          <w:color w:val="auto"/>
          <w:sz w:val="28"/>
          <w:szCs w:val="28"/>
          <w:highlight w:val="none"/>
        </w:rPr>
      </w:pPr>
      <w:r>
        <w:rPr>
          <w:rFonts w:ascii="Times New Roman" w:hAnsi="Times New Roman"/>
          <w:b/>
          <w:bCs/>
          <w:color w:val="auto"/>
          <w:sz w:val="28"/>
          <w:szCs w:val="28"/>
          <w:highlight w:val="none"/>
        </w:rPr>
        <w:t>小、微企业（含监狱企业、残疾人福利性单位）扶持政策说明</w:t>
      </w:r>
    </w:p>
    <w:p>
      <w:pPr>
        <w:spacing w:line="440" w:lineRule="atLeast"/>
        <w:jc w:val="left"/>
        <w:rPr>
          <w:rFonts w:ascii="Times New Roman" w:hAnsi="Times New Roman"/>
          <w:b/>
          <w:bCs/>
          <w:color w:val="auto"/>
          <w:sz w:val="22"/>
          <w:highlight w:val="none"/>
        </w:rPr>
      </w:pPr>
      <w:r>
        <w:rPr>
          <w:rFonts w:ascii="Times New Roman" w:hAnsi="Times New Roman"/>
          <w:b/>
          <w:bCs/>
          <w:color w:val="auto"/>
          <w:sz w:val="22"/>
          <w:highlight w:val="none"/>
        </w:rPr>
        <w:t>1.文件依据</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（1）关于印发《政府采购促进中小企业发展管理办法》的通知（财库[2020]46号）</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（2）浙江省省财政厅《关于开展政府采购投标人网上注册登记和诚信管理工作的通知》（浙财采监〔2010〕8号)</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（3）《工业和信息化部、国家统计局、国家发展和改革委员会、财政部关于印发中小企业划型标准规定的通知》（工信部联企业[2011]300号）</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（4）财政部、司法部《关于政府采购支持监狱企业发展有关问题的通知》（财库〔2014〕68号）</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（5）《财政部 民政部 中国残疾人联合会关于促进残疾人就业政府采购政策的通知》（财库〔2017〕 141号）</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（6）《浙江省财政厅  浙江省经济和信息化委员会关于简化中小企业类别确认流程有关事项的通知》（浙财采监〔2018〕2号)</w:t>
      </w:r>
    </w:p>
    <w:p>
      <w:pPr>
        <w:spacing w:line="440" w:lineRule="atLeast"/>
        <w:jc w:val="left"/>
        <w:rPr>
          <w:rFonts w:ascii="Times New Roman" w:hAnsi="Times New Roman"/>
          <w:b/>
          <w:bCs/>
          <w:color w:val="auto"/>
          <w:sz w:val="22"/>
          <w:highlight w:val="none"/>
        </w:rPr>
      </w:pPr>
      <w:r>
        <w:rPr>
          <w:rFonts w:ascii="Times New Roman" w:hAnsi="Times New Roman"/>
          <w:b/>
          <w:bCs/>
          <w:color w:val="auto"/>
          <w:sz w:val="22"/>
          <w:highlight w:val="none"/>
        </w:rPr>
        <w:t>2.供应商提供的货物、工程或者服务符合下列情形的，享受中小企业扶持政策：</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（1）在货物采购项目中，货物由中小企业制造，即货物由中小企业生产且使用该中小企业商号或者注册商标；</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（2）在工程采购项目中，工程由中小企业承建，即工程施工单位为中小企业；</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（3）在服务采购项目中，服务由中小企业承接，即提供服务的人员为中小企业依照《中华人民共和国劳动合同法》订立劳动合同的从业人员。</w:t>
      </w:r>
    </w:p>
    <w:p>
      <w:pPr>
        <w:spacing w:line="440" w:lineRule="atLeast"/>
        <w:jc w:val="left"/>
        <w:rPr>
          <w:rFonts w:ascii="Times New Roman" w:hAnsi="Times New Roman"/>
          <w:b/>
          <w:bCs/>
          <w:color w:val="auto"/>
          <w:sz w:val="22"/>
          <w:highlight w:val="none"/>
        </w:rPr>
      </w:pPr>
      <w:r>
        <w:rPr>
          <w:rFonts w:ascii="Times New Roman" w:hAnsi="Times New Roman"/>
          <w:b/>
          <w:bCs/>
          <w:color w:val="auto"/>
          <w:sz w:val="22"/>
          <w:highlight w:val="none"/>
        </w:rPr>
        <w:t>3.小微企业（含监狱企业、残疾人福利性单位）评审扶持政策</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（1）本项目对小型企业和微型企业（含监狱企业、残疾人福利性单位）的投标报价给予</w:t>
      </w:r>
      <w:r>
        <w:rPr>
          <w:rFonts w:hint="eastAsia"/>
          <w:bCs/>
          <w:color w:val="auto"/>
          <w:sz w:val="22"/>
          <w:highlight w:val="none"/>
          <w:lang w:val="en-US" w:eastAsia="zh-CN"/>
        </w:rPr>
        <w:t>2</w:t>
      </w:r>
      <w:r>
        <w:rPr>
          <w:rFonts w:ascii="Times New Roman" w:hAnsi="Times New Roman"/>
          <w:bCs/>
          <w:color w:val="auto"/>
          <w:sz w:val="22"/>
          <w:highlight w:val="none"/>
        </w:rPr>
        <w:t>0%的扣除，用扣除后的价格参与评审。</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（2）在货物采购项目中，供应商提供的货物既有中小企业制造货物，也有大型企业制造货物的，不享受中小企业扶持政策。</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（3）以联合体形式参加政府采购活动，联合体各方均为中小企业的，联合体视同中小企业。其中，联合体各方均为小微企业的，联合体视同小微企业。</w:t>
      </w:r>
    </w:p>
    <w:p>
      <w:pPr>
        <w:spacing w:line="440" w:lineRule="atLeast"/>
        <w:ind w:firstLine="440" w:firstLineChars="200"/>
        <w:jc w:val="left"/>
        <w:rPr>
          <w:rFonts w:ascii="Times New Roman" w:hAnsi="Times New Roman"/>
          <w:color w:val="auto"/>
          <w:highlight w:val="none"/>
        </w:rPr>
      </w:pPr>
      <w:r>
        <w:rPr>
          <w:rFonts w:ascii="Times New Roman" w:hAnsi="Times New Roman"/>
          <w:bCs/>
          <w:color w:val="auto"/>
          <w:sz w:val="22"/>
          <w:highlight w:val="none"/>
        </w:rPr>
        <w:t>（4）对于联合体协议或者分包意向协议约定小微企业合同份额占到合同总金额30%以上的，对其投标报价给予</w:t>
      </w:r>
      <w:r>
        <w:rPr>
          <w:rFonts w:hint="eastAsia"/>
          <w:bCs/>
          <w:color w:val="auto"/>
          <w:sz w:val="22"/>
          <w:highlight w:val="none"/>
          <w:lang w:val="en-US" w:eastAsia="zh-CN"/>
        </w:rPr>
        <w:t>6</w:t>
      </w:r>
      <w:r>
        <w:rPr>
          <w:rFonts w:ascii="Times New Roman" w:hAnsi="Times New Roman"/>
          <w:bCs/>
          <w:color w:val="auto"/>
          <w:sz w:val="22"/>
          <w:highlight w:val="none"/>
        </w:rPr>
        <w:t>%的扣除，用扣除后的价格参与评审。</w:t>
      </w:r>
    </w:p>
    <w:p>
      <w:pPr>
        <w:spacing w:line="440" w:lineRule="atLeast"/>
        <w:jc w:val="left"/>
        <w:rPr>
          <w:rFonts w:ascii="Times New Roman" w:hAnsi="Times New Roman"/>
          <w:b/>
          <w:bCs/>
          <w:color w:val="auto"/>
          <w:sz w:val="22"/>
          <w:highlight w:val="none"/>
        </w:rPr>
      </w:pPr>
      <w:r>
        <w:rPr>
          <w:rFonts w:ascii="Times New Roman" w:hAnsi="Times New Roman"/>
          <w:b/>
          <w:bCs/>
          <w:color w:val="auto"/>
          <w:sz w:val="22"/>
          <w:highlight w:val="none"/>
          <w:u w:val="single"/>
        </w:rPr>
        <w:t>4.享受小微企业价格扣除应提供以下证明材料（投标文件报价文件中，不提供的不享受价格扣除）</w:t>
      </w:r>
      <w:r>
        <w:rPr>
          <w:rFonts w:ascii="Times New Roman" w:hAnsi="Times New Roman"/>
          <w:b/>
          <w:bCs/>
          <w:color w:val="auto"/>
          <w:sz w:val="22"/>
          <w:highlight w:val="none"/>
        </w:rPr>
        <w:t>：</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（1）《中小企业声明函》（原件，加盖投标人公章，格式见附件1）</w:t>
      </w:r>
    </w:p>
    <w:p>
      <w:pPr>
        <w:spacing w:line="440" w:lineRule="atLeast"/>
        <w:jc w:val="left"/>
        <w:rPr>
          <w:rFonts w:ascii="Times New Roman" w:hAnsi="Times New Roman"/>
          <w:bCs/>
          <w:color w:val="auto"/>
          <w:sz w:val="22"/>
          <w:highlight w:val="none"/>
        </w:rPr>
      </w:pPr>
      <w:r>
        <w:rPr>
          <w:rFonts w:ascii="Times New Roman" w:hAnsi="Times New Roman"/>
          <w:bCs/>
          <w:color w:val="auto"/>
          <w:sz w:val="22"/>
          <w:highlight w:val="none"/>
        </w:rPr>
        <w:t>5.</w:t>
      </w:r>
      <w:r>
        <w:rPr>
          <w:rFonts w:ascii="Times New Roman" w:hAnsi="Times New Roman"/>
          <w:b/>
          <w:bCs/>
          <w:color w:val="auto"/>
          <w:sz w:val="22"/>
          <w:highlight w:val="none"/>
          <w:u w:val="single"/>
        </w:rPr>
        <w:t>享受监狱企业价格扣除应提供以下证明材料（投标文件报价文件中，不提供的不享受价格扣除）</w:t>
      </w:r>
      <w:r>
        <w:rPr>
          <w:rFonts w:ascii="Times New Roman" w:hAnsi="Times New Roman"/>
          <w:bCs/>
          <w:color w:val="auto"/>
          <w:sz w:val="22"/>
          <w:highlight w:val="none"/>
        </w:rPr>
        <w:t>：</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监狱企业参加政府采购活动时，应当提供由省级以上监狱管理局、戒毒管理局(含新疆生产建设兵团)出具的属于监狱企业的证明文件（原件或复印件加盖公章）。在政府采购活动中，监狱企业视同小型、微型企业，享受评审中价格扣除政策。</w:t>
      </w:r>
    </w:p>
    <w:p>
      <w:pPr>
        <w:spacing w:line="440" w:lineRule="atLeast"/>
        <w:jc w:val="left"/>
        <w:rPr>
          <w:rFonts w:ascii="Times New Roman" w:hAnsi="Times New Roman"/>
          <w:bCs/>
          <w:color w:val="auto"/>
          <w:sz w:val="22"/>
          <w:highlight w:val="none"/>
        </w:rPr>
      </w:pPr>
      <w:r>
        <w:rPr>
          <w:rFonts w:ascii="Times New Roman" w:hAnsi="Times New Roman"/>
          <w:bCs/>
          <w:color w:val="auto"/>
          <w:sz w:val="22"/>
          <w:highlight w:val="none"/>
        </w:rPr>
        <w:t>6.</w:t>
      </w:r>
      <w:r>
        <w:rPr>
          <w:rFonts w:ascii="Times New Roman" w:hAnsi="Times New Roman"/>
          <w:b/>
          <w:bCs/>
          <w:color w:val="auto"/>
          <w:sz w:val="22"/>
          <w:highlight w:val="none"/>
          <w:u w:val="single"/>
        </w:rPr>
        <w:t>享受残疾人福利性单位格扣除应提供以下证明材料（投标文件报价文件中，不提供的不享受价格扣除）</w:t>
      </w:r>
      <w:r>
        <w:rPr>
          <w:rFonts w:ascii="Times New Roman" w:hAnsi="Times New Roman"/>
          <w:bCs/>
          <w:color w:val="auto"/>
          <w:sz w:val="22"/>
          <w:highlight w:val="none"/>
        </w:rPr>
        <w:t>：</w:t>
      </w:r>
    </w:p>
    <w:p>
      <w:pPr>
        <w:spacing w:line="440" w:lineRule="atLeast"/>
        <w:ind w:firstLine="440" w:firstLineChars="200"/>
        <w:jc w:val="left"/>
        <w:rPr>
          <w:rFonts w:ascii="Times New Roman" w:hAnsi="Times New Roman"/>
          <w:bCs/>
          <w:color w:val="auto"/>
          <w:sz w:val="22"/>
          <w:highlight w:val="none"/>
        </w:rPr>
      </w:pPr>
      <w:r>
        <w:rPr>
          <w:rFonts w:ascii="Times New Roman" w:hAnsi="Times New Roman"/>
          <w:bCs/>
          <w:color w:val="auto"/>
          <w:sz w:val="22"/>
          <w:highlight w:val="none"/>
        </w:rPr>
        <w:t>（1）残疾人福利性单位声明函（附件2）；</w:t>
      </w:r>
    </w:p>
    <w:p>
      <w:pPr>
        <w:spacing w:line="440" w:lineRule="atLeast"/>
        <w:jc w:val="left"/>
        <w:rPr>
          <w:rFonts w:ascii="Times New Roman" w:hAnsi="Times New Roman"/>
          <w:bCs/>
          <w:color w:val="auto"/>
          <w:sz w:val="22"/>
          <w:highlight w:val="none"/>
        </w:rPr>
      </w:pPr>
      <w:r>
        <w:rPr>
          <w:rFonts w:ascii="Times New Roman" w:hAnsi="Times New Roman"/>
          <w:bCs/>
          <w:color w:val="auto"/>
          <w:sz w:val="22"/>
          <w:highlight w:val="none"/>
        </w:rPr>
        <w:t>7.非单一产品采购，无法核实（按投标文件资料）全部货物均为小微企业（含监狱企业、残疾人福利性单位）制造；或小微企业（含监狱企业、残疾人福利性单位）提供其他制造商制造的货物且无法核实（按投标文件资料）制造商是否为小微企业（含监狱企业、残疾人福利性单位）的，不享受价格扣除。</w:t>
      </w:r>
    </w:p>
    <w:p>
      <w:pPr>
        <w:spacing w:line="440" w:lineRule="atLeast"/>
        <w:ind w:firstLine="442" w:firstLineChars="200"/>
        <w:jc w:val="left"/>
        <w:rPr>
          <w:rFonts w:ascii="宋体" w:hAnsi="宋体" w:cs="宋体"/>
          <w:bCs/>
          <w:sz w:val="22"/>
        </w:rPr>
      </w:pPr>
      <w:r>
        <w:rPr>
          <w:rFonts w:ascii="Times New Roman" w:hAnsi="Times New Roman"/>
          <w:b/>
          <w:color w:val="auto"/>
          <w:sz w:val="22"/>
          <w:highlight w:val="none"/>
        </w:rPr>
        <w:t>8.享受扶持政策获得政府采购合同的，小微企业不得将合同分包给大中型企业，中型企业不得将合同分包给大型企业</w:t>
      </w:r>
      <w:r>
        <w:rPr>
          <w:rFonts w:hint="eastAsia" w:ascii="宋体" w:hAnsi="宋体" w:cs="宋体"/>
          <w:bCs/>
          <w:sz w:val="22"/>
        </w:rPr>
        <w:t>。</w:t>
      </w: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spacing w:line="440" w:lineRule="atLeast"/>
        <w:jc w:val="left"/>
        <w:rPr>
          <w:rFonts w:ascii="宋体" w:hAnsi="宋体" w:cs="宋体"/>
          <w:b/>
          <w:sz w:val="22"/>
        </w:rPr>
      </w:pPr>
    </w:p>
    <w:p>
      <w:pPr>
        <w:rPr>
          <w:rFonts w:hint="eastAsia" w:ascii="宋体" w:hAnsi="宋体" w:cs="宋体"/>
          <w:b/>
          <w:sz w:val="24"/>
        </w:rPr>
      </w:pPr>
      <w:r>
        <w:rPr>
          <w:rFonts w:hint="eastAsia" w:ascii="宋体" w:hAnsi="宋体" w:cs="宋体"/>
          <w:b/>
          <w:sz w:val="24"/>
        </w:rPr>
        <w:br w:type="page"/>
      </w:r>
    </w:p>
    <w:p>
      <w:pPr>
        <w:widowControl/>
        <w:spacing w:before="100" w:beforeAutospacing="1" w:after="100" w:afterAutospacing="1" w:line="440" w:lineRule="atLeast"/>
        <w:jc w:val="left"/>
        <w:rPr>
          <w:rFonts w:ascii="宋体" w:hAnsi="宋体" w:cs="宋体"/>
          <w:b/>
          <w:sz w:val="24"/>
        </w:rPr>
      </w:pPr>
      <w:r>
        <w:rPr>
          <w:rFonts w:hint="eastAsia" w:ascii="宋体" w:hAnsi="宋体" w:cs="宋体"/>
          <w:b/>
          <w:sz w:val="24"/>
        </w:rPr>
        <w:t>附件1：</w:t>
      </w:r>
    </w:p>
    <w:p>
      <w:pPr>
        <w:widowControl/>
        <w:spacing w:before="100" w:beforeAutospacing="1" w:after="100" w:afterAutospacing="1" w:line="440" w:lineRule="atLeast"/>
        <w:jc w:val="center"/>
        <w:rPr>
          <w:rFonts w:ascii="宋体" w:hAnsi="宋体" w:cs="宋体"/>
          <w:b/>
          <w:sz w:val="24"/>
        </w:rPr>
      </w:pPr>
      <w:r>
        <w:rPr>
          <w:rFonts w:hint="eastAsia" w:ascii="宋体" w:hAnsi="宋体" w:cs="宋体"/>
          <w:b/>
          <w:bCs/>
          <w:sz w:val="24"/>
        </w:rPr>
        <w:t>中小企业声明函（货物）</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采购活动，提供的货物全部由符合政策要求的中小企业制造。相关企业（含联合体中的中小企业、签订分包意向协议的中小企业）的具体情况如下：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；制造商为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；制造商为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本企业对上述声明内容的真实性负责。如有虚假，将依法承担相应责任。</w:t>
      </w:r>
    </w:p>
    <w:p>
      <w:pPr>
        <w:widowControl/>
        <w:spacing w:before="100" w:beforeAutospacing="1" w:after="100" w:afterAutospacing="1" w:line="440" w:lineRule="atLeast"/>
        <w:ind w:firstLine="5669" w:firstLineChars="2577"/>
        <w:jc w:val="left"/>
        <w:rPr>
          <w:rFonts w:ascii="宋体" w:hAnsi="宋体" w:cs="宋体"/>
          <w:bCs/>
          <w:sz w:val="22"/>
          <w:szCs w:val="22"/>
        </w:rPr>
      </w:pPr>
      <w:r>
        <w:rPr>
          <w:rFonts w:hint="eastAsia" w:ascii="宋体" w:hAnsi="宋体" w:cs="宋体"/>
          <w:bCs/>
          <w:sz w:val="22"/>
          <w:szCs w:val="22"/>
        </w:rPr>
        <w:t>企业名称（盖章）：</w:t>
      </w:r>
    </w:p>
    <w:p>
      <w:pPr>
        <w:widowControl/>
        <w:spacing w:before="100" w:beforeAutospacing="1" w:after="100" w:afterAutospacing="1" w:line="440" w:lineRule="atLeast"/>
        <w:ind w:firstLine="5669" w:firstLineChars="2577"/>
        <w:jc w:val="left"/>
        <w:rPr>
          <w:rFonts w:ascii="宋体" w:hAnsi="宋体" w:cs="宋体"/>
          <w:bCs/>
          <w:sz w:val="22"/>
          <w:szCs w:val="22"/>
        </w:rPr>
      </w:pPr>
      <w:r>
        <w:rPr>
          <w:rFonts w:hint="eastAsia" w:ascii="宋体" w:hAnsi="宋体" w:cs="宋体"/>
          <w:bCs/>
          <w:sz w:val="22"/>
          <w:szCs w:val="22"/>
        </w:rPr>
        <w:t>日 期：</w:t>
      </w: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r>
        <w:rPr>
          <w:rFonts w:hint="eastAsia" w:ascii="宋体" w:hAnsi="宋体" w:cs="宋体"/>
          <w:bCs/>
          <w:sz w:val="18"/>
          <w:szCs w:val="18"/>
        </w:rPr>
        <w:t>注1.从业人员、营业收入、资产总额填报上一年度数据，无上一年度数据的新成立企业可不填报。</w:t>
      </w:r>
    </w:p>
    <w:p>
      <w:pPr>
        <w:widowControl/>
        <w:spacing w:before="100" w:beforeAutospacing="1" w:after="100" w:afterAutospacing="1" w:line="440" w:lineRule="atLeast"/>
        <w:jc w:val="center"/>
        <w:rPr>
          <w:rFonts w:ascii="宋体" w:hAnsi="宋体" w:cs="宋体"/>
          <w:b/>
          <w:sz w:val="24"/>
        </w:rPr>
      </w:pPr>
      <w:r>
        <w:rPr>
          <w:rFonts w:hint="eastAsia" w:ascii="宋体" w:hAnsi="宋体" w:cs="宋体"/>
          <w:b/>
          <w:sz w:val="24"/>
        </w:rPr>
        <w:br w:type="page"/>
      </w:r>
      <w:r>
        <w:rPr>
          <w:rFonts w:hint="eastAsia" w:ascii="宋体" w:hAnsi="宋体" w:cs="宋体"/>
          <w:b/>
          <w:bCs/>
          <w:sz w:val="24"/>
        </w:rPr>
        <w:t>中小企业声明函（工程、服务）</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本公司（联合体）郑重声明，根据《政府采购促进中小企业发展管理办法》（财库﹝2020﹞46 号）的规定，本公司（联合体）参加 </w:t>
      </w:r>
      <w:r>
        <w:rPr>
          <w:rFonts w:hint="eastAsia" w:ascii="宋体" w:hAnsi="宋体" w:cs="宋体"/>
          <w:bCs/>
          <w:sz w:val="22"/>
          <w:szCs w:val="22"/>
          <w:u w:val="single"/>
        </w:rPr>
        <w:t>（单位名称）</w:t>
      </w:r>
      <w:r>
        <w:rPr>
          <w:rFonts w:hint="eastAsia" w:ascii="宋体" w:hAnsi="宋体" w:cs="宋体"/>
          <w:bCs/>
          <w:sz w:val="22"/>
          <w:szCs w:val="22"/>
        </w:rPr>
        <w:t xml:space="preserve"> 的</w:t>
      </w:r>
      <w:r>
        <w:rPr>
          <w:rFonts w:hint="eastAsia" w:ascii="宋体" w:hAnsi="宋体" w:cs="宋体"/>
          <w:bCs/>
          <w:sz w:val="22"/>
          <w:szCs w:val="22"/>
          <w:u w:val="single"/>
        </w:rPr>
        <w:t xml:space="preserve"> （项目名称） </w:t>
      </w:r>
      <w:r>
        <w:rPr>
          <w:rFonts w:hint="eastAsia" w:ascii="宋体" w:hAnsi="宋体" w:cs="宋体"/>
          <w:bCs/>
          <w:sz w:val="22"/>
          <w:szCs w:val="22"/>
        </w:rPr>
        <w:t>采购活动，工程的施工单位全部为符合政策要求的中小企业（或者：服务全部由符合政策要求的中小企业承接）。相关企业（含联合体中的中小企业、签订分包意向协议的中小企业）的具体情况如下：</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1. </w:t>
      </w:r>
      <w:r>
        <w:rPr>
          <w:rFonts w:hint="eastAsia" w:ascii="宋体" w:hAnsi="宋体" w:cs="宋体"/>
          <w:bCs/>
          <w:sz w:val="22"/>
          <w:szCs w:val="22"/>
          <w:u w:val="single"/>
        </w:rPr>
        <w:t>（标的名称）</w:t>
      </w:r>
      <w:r>
        <w:rPr>
          <w:rFonts w:hint="eastAsia" w:ascii="宋体" w:hAnsi="宋体" w:cs="宋体"/>
          <w:bCs/>
          <w:sz w:val="22"/>
          <w:szCs w:val="22"/>
        </w:rPr>
        <w:t xml:space="preserve"> ，属于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 （企业名称）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w:t>
      </w:r>
      <w:r>
        <w:rPr>
          <w:rFonts w:hint="eastAsia" w:ascii="宋体" w:hAnsi="宋体" w:cs="宋体"/>
          <w:bCs/>
          <w:sz w:val="22"/>
          <w:szCs w:val="22"/>
          <w:vertAlign w:val="superscript"/>
        </w:rPr>
        <w:t>1</w:t>
      </w:r>
      <w:r>
        <w:rPr>
          <w:rFonts w:hint="eastAsia" w:ascii="宋体" w:hAnsi="宋体" w:cs="宋体"/>
          <w:bCs/>
          <w:sz w:val="22"/>
          <w:szCs w:val="22"/>
        </w:rPr>
        <w:t>，属于</w:t>
      </w:r>
      <w:r>
        <w:rPr>
          <w:rFonts w:hint="eastAsia" w:ascii="宋体" w:hAnsi="宋体" w:cs="宋体"/>
          <w:bCs/>
          <w:sz w:val="22"/>
          <w:szCs w:val="22"/>
          <w:u w:val="single"/>
        </w:rPr>
        <w:t>（中型企业、小型企业、微型企业）</w:t>
      </w:r>
      <w:r>
        <w:rPr>
          <w:rFonts w:hint="eastAsia" w:ascii="宋体" w:hAnsi="宋体" w:cs="宋体"/>
          <w:bCs/>
          <w:sz w:val="22"/>
          <w:szCs w:val="22"/>
        </w:rPr>
        <w:t>；</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 xml:space="preserve">2. </w:t>
      </w:r>
      <w:r>
        <w:rPr>
          <w:rFonts w:hint="eastAsia" w:ascii="宋体" w:hAnsi="宋体" w:cs="宋体"/>
          <w:bCs/>
          <w:sz w:val="22"/>
          <w:szCs w:val="22"/>
          <w:u w:val="single"/>
        </w:rPr>
        <w:t xml:space="preserve">（标的名称） </w:t>
      </w:r>
      <w:r>
        <w:rPr>
          <w:rFonts w:hint="eastAsia" w:ascii="宋体" w:hAnsi="宋体" w:cs="宋体"/>
          <w:bCs/>
          <w:sz w:val="22"/>
          <w:szCs w:val="22"/>
        </w:rPr>
        <w:t>，属于</w:t>
      </w:r>
      <w:r>
        <w:rPr>
          <w:rFonts w:hint="eastAsia" w:ascii="宋体" w:hAnsi="宋体" w:cs="宋体"/>
          <w:bCs/>
          <w:sz w:val="22"/>
          <w:szCs w:val="22"/>
          <w:u w:val="single"/>
        </w:rPr>
        <w:t xml:space="preserve"> （采购文件中明确的所属行业）</w:t>
      </w:r>
      <w:r>
        <w:rPr>
          <w:rFonts w:hint="eastAsia" w:ascii="宋体" w:hAnsi="宋体" w:cs="宋体"/>
          <w:bCs/>
          <w:sz w:val="22"/>
          <w:szCs w:val="22"/>
        </w:rPr>
        <w:t>行业 ；承建（承接）企业为</w:t>
      </w:r>
      <w:r>
        <w:rPr>
          <w:rFonts w:hint="eastAsia" w:ascii="宋体" w:hAnsi="宋体" w:cs="宋体"/>
          <w:bCs/>
          <w:sz w:val="22"/>
          <w:szCs w:val="22"/>
          <w:u w:val="single"/>
        </w:rPr>
        <w:t xml:space="preserve">（企业名称） </w:t>
      </w:r>
      <w:r>
        <w:rPr>
          <w:rFonts w:hint="eastAsia" w:ascii="宋体" w:hAnsi="宋体" w:cs="宋体"/>
          <w:bCs/>
          <w:sz w:val="22"/>
          <w:szCs w:val="22"/>
        </w:rPr>
        <w:t>，从业人员</w:t>
      </w:r>
      <w:r>
        <w:rPr>
          <w:rFonts w:hint="eastAsia" w:ascii="宋体" w:hAnsi="宋体" w:cs="宋体"/>
          <w:bCs/>
          <w:sz w:val="22"/>
          <w:szCs w:val="22"/>
          <w:u w:val="single"/>
        </w:rPr>
        <w:t xml:space="preserve">     </w:t>
      </w:r>
      <w:r>
        <w:rPr>
          <w:rFonts w:hint="eastAsia" w:ascii="宋体" w:hAnsi="宋体" w:cs="宋体"/>
          <w:bCs/>
          <w:sz w:val="22"/>
          <w:szCs w:val="22"/>
        </w:rPr>
        <w:t>人，营业收入为</w:t>
      </w:r>
      <w:r>
        <w:rPr>
          <w:rFonts w:hint="eastAsia" w:ascii="宋体" w:hAnsi="宋体" w:cs="宋体"/>
          <w:bCs/>
          <w:sz w:val="22"/>
          <w:szCs w:val="22"/>
          <w:u w:val="single"/>
        </w:rPr>
        <w:t xml:space="preserve">       </w:t>
      </w:r>
      <w:r>
        <w:rPr>
          <w:rFonts w:hint="eastAsia" w:ascii="宋体" w:hAnsi="宋体" w:cs="宋体"/>
          <w:bCs/>
          <w:sz w:val="22"/>
          <w:szCs w:val="22"/>
        </w:rPr>
        <w:t>万元，资产总额为</w:t>
      </w:r>
      <w:r>
        <w:rPr>
          <w:rFonts w:hint="eastAsia" w:ascii="宋体" w:hAnsi="宋体" w:cs="宋体"/>
          <w:bCs/>
          <w:sz w:val="22"/>
          <w:szCs w:val="22"/>
          <w:u w:val="single"/>
        </w:rPr>
        <w:t xml:space="preserve">       </w:t>
      </w:r>
      <w:r>
        <w:rPr>
          <w:rFonts w:hint="eastAsia" w:ascii="宋体" w:hAnsi="宋体" w:cs="宋体"/>
          <w:bCs/>
          <w:sz w:val="22"/>
          <w:szCs w:val="22"/>
        </w:rPr>
        <w:t>万元，属于 （中型企业、小型企业、微型企业） ；</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以上企业，不属于大企业的分支机构，不存在控股股东为大企业的情形，也不存在与大企业的负责人为同一人的情形。</w:t>
      </w:r>
    </w:p>
    <w:p>
      <w:pPr>
        <w:widowControl/>
        <w:tabs>
          <w:tab w:val="left" w:pos="312"/>
        </w:tabs>
        <w:spacing w:line="500" w:lineRule="atLeast"/>
        <w:ind w:firstLine="440" w:firstLineChars="200"/>
        <w:jc w:val="left"/>
        <w:rPr>
          <w:rFonts w:ascii="宋体" w:hAnsi="宋体" w:cs="宋体"/>
          <w:bCs/>
          <w:sz w:val="22"/>
          <w:szCs w:val="22"/>
        </w:rPr>
      </w:pPr>
      <w:r>
        <w:rPr>
          <w:rFonts w:hint="eastAsia" w:ascii="宋体" w:hAnsi="宋体" w:cs="宋体"/>
          <w:bCs/>
          <w:sz w:val="22"/>
          <w:szCs w:val="22"/>
        </w:rPr>
        <w:t>本企业对上述声明内容的真实性负责。如有虚假，将依法承担相应责任。</w:t>
      </w:r>
    </w:p>
    <w:p>
      <w:pPr>
        <w:widowControl/>
        <w:spacing w:line="500" w:lineRule="atLeast"/>
        <w:ind w:firstLine="5669" w:firstLineChars="2577"/>
        <w:jc w:val="left"/>
        <w:rPr>
          <w:rFonts w:ascii="宋体" w:hAnsi="宋体" w:cs="宋体"/>
          <w:bCs/>
          <w:sz w:val="22"/>
          <w:szCs w:val="22"/>
        </w:rPr>
      </w:pPr>
      <w:r>
        <w:rPr>
          <w:rFonts w:hint="eastAsia" w:ascii="宋体" w:hAnsi="宋体" w:cs="宋体"/>
          <w:bCs/>
          <w:sz w:val="22"/>
          <w:szCs w:val="22"/>
        </w:rPr>
        <w:t>企业名称（盖章）：</w:t>
      </w:r>
    </w:p>
    <w:p>
      <w:pPr>
        <w:widowControl/>
        <w:spacing w:line="500" w:lineRule="atLeast"/>
        <w:ind w:firstLine="5669" w:firstLineChars="2577"/>
        <w:jc w:val="left"/>
        <w:rPr>
          <w:rFonts w:ascii="宋体" w:hAnsi="宋体" w:cs="宋体"/>
          <w:bCs/>
          <w:sz w:val="22"/>
          <w:szCs w:val="22"/>
        </w:rPr>
      </w:pPr>
      <w:r>
        <w:rPr>
          <w:rFonts w:hint="eastAsia" w:ascii="宋体" w:hAnsi="宋体" w:cs="宋体"/>
          <w:bCs/>
          <w:sz w:val="22"/>
          <w:szCs w:val="22"/>
        </w:rPr>
        <w:t>日 期：</w:t>
      </w: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tabs>
          <w:tab w:val="left" w:pos="312"/>
        </w:tabs>
        <w:spacing w:before="100" w:beforeAutospacing="1" w:after="100" w:afterAutospacing="1" w:line="440" w:lineRule="atLeast"/>
        <w:jc w:val="left"/>
        <w:rPr>
          <w:rFonts w:ascii="宋体" w:hAnsi="宋体" w:cs="宋体"/>
          <w:bCs/>
          <w:sz w:val="18"/>
          <w:szCs w:val="18"/>
        </w:rPr>
      </w:pPr>
    </w:p>
    <w:p>
      <w:pPr>
        <w:widowControl/>
        <w:spacing w:before="100" w:beforeAutospacing="1" w:after="100" w:afterAutospacing="1" w:line="440" w:lineRule="atLeast"/>
        <w:jc w:val="left"/>
        <w:rPr>
          <w:rFonts w:ascii="宋体" w:hAnsi="宋体" w:cs="宋体"/>
          <w:b/>
          <w:sz w:val="24"/>
        </w:rPr>
      </w:pPr>
      <w:r>
        <w:rPr>
          <w:rFonts w:hint="eastAsia" w:ascii="宋体" w:hAnsi="宋体" w:cs="宋体"/>
          <w:bCs/>
          <w:sz w:val="18"/>
          <w:szCs w:val="18"/>
        </w:rPr>
        <w:t>注1.从业人员、营业收入、资产总额填报上一年度数据，无上一年度数据的新成立企业可不填报。</w:t>
      </w:r>
    </w:p>
    <w:p>
      <w:pPr>
        <w:widowControl/>
        <w:spacing w:before="100" w:beforeAutospacing="1" w:after="100" w:afterAutospacing="1" w:line="440" w:lineRule="atLeast"/>
        <w:jc w:val="left"/>
        <w:rPr>
          <w:rFonts w:ascii="宋体" w:hAnsi="宋体" w:cs="宋体"/>
          <w:b/>
          <w:sz w:val="24"/>
        </w:rPr>
      </w:pPr>
      <w:r>
        <w:rPr>
          <w:rFonts w:hint="eastAsia" w:ascii="宋体" w:hAnsi="宋体" w:cs="宋体"/>
          <w:b/>
          <w:sz w:val="24"/>
        </w:rPr>
        <w:br w:type="page"/>
      </w:r>
      <w:r>
        <w:rPr>
          <w:rFonts w:hint="eastAsia" w:ascii="宋体" w:hAnsi="宋体" w:cs="宋体"/>
          <w:b/>
          <w:sz w:val="24"/>
        </w:rPr>
        <w:t>附件2</w:t>
      </w:r>
    </w:p>
    <w:p>
      <w:pPr>
        <w:widowControl/>
        <w:spacing w:before="100" w:beforeAutospacing="1" w:after="100" w:afterAutospacing="1" w:line="440" w:lineRule="atLeast"/>
        <w:jc w:val="center"/>
        <w:rPr>
          <w:rFonts w:ascii="宋体" w:hAnsi="宋体" w:cs="宋体"/>
          <w:b/>
          <w:bCs/>
          <w:sz w:val="24"/>
        </w:rPr>
      </w:pPr>
      <w:bookmarkStart w:id="75" w:name="OLE_LINK14"/>
      <w:bookmarkStart w:id="76" w:name="OLE_LINK13"/>
      <w:r>
        <w:rPr>
          <w:rFonts w:hint="eastAsia" w:ascii="宋体" w:hAnsi="宋体" w:cs="宋体"/>
          <w:b/>
          <w:bCs/>
          <w:sz w:val="24"/>
        </w:rPr>
        <w:t>残疾人福利性单位声明函</w:t>
      </w:r>
    </w:p>
    <w:bookmarkEnd w:id="75"/>
    <w:bookmarkEnd w:id="76"/>
    <w:p>
      <w:pPr>
        <w:spacing w:line="588" w:lineRule="exact"/>
        <w:rPr>
          <w:rFonts w:ascii="宋体" w:hAnsi="宋体" w:cs="宋体"/>
          <w:b/>
          <w:spacing w:val="6"/>
          <w:sz w:val="30"/>
          <w:szCs w:val="30"/>
        </w:rPr>
      </w:pP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本单位郑重声明，根据《财政部 民政部 中国残疾人联合会关于促进残疾人就业政府采购政策的通知》（财库</w:t>
      </w:r>
      <w:r>
        <w:rPr>
          <w:rFonts w:hint="eastAsia" w:ascii="宋体" w:hAnsi="宋体" w:cs="宋体"/>
          <w:sz w:val="22"/>
          <w:szCs w:val="22"/>
        </w:rPr>
        <w:t>〔2017〕 141</w:t>
      </w:r>
      <w:r>
        <w:rPr>
          <w:rFonts w:hint="eastAsia" w:ascii="宋体" w:hAnsi="宋体" w:cs="宋体"/>
          <w:spacing w:val="6"/>
          <w:sz w:val="22"/>
          <w:szCs w:val="22"/>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64" w:firstLineChars="200"/>
        <w:rPr>
          <w:rFonts w:ascii="宋体" w:hAnsi="宋体" w:cs="宋体"/>
          <w:spacing w:val="6"/>
          <w:sz w:val="22"/>
          <w:szCs w:val="22"/>
        </w:rPr>
      </w:pPr>
      <w:r>
        <w:rPr>
          <w:rFonts w:hint="eastAsia" w:ascii="宋体" w:hAnsi="宋体" w:cs="宋体"/>
          <w:spacing w:val="6"/>
          <w:sz w:val="22"/>
          <w:szCs w:val="22"/>
        </w:rPr>
        <w:t>本单位对上述声明的真实性负责。如有虚假，将依法承担相应责任。</w:t>
      </w:r>
    </w:p>
    <w:p>
      <w:pPr>
        <w:spacing w:line="588" w:lineRule="exact"/>
        <w:ind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投标人全称（盖章）：</w:t>
      </w:r>
    </w:p>
    <w:p>
      <w:pPr>
        <w:tabs>
          <w:tab w:val="left" w:pos="4860"/>
        </w:tabs>
        <w:spacing w:line="588" w:lineRule="exact"/>
        <w:ind w:right="1560" w:firstLine="464" w:firstLineChars="200"/>
        <w:rPr>
          <w:rFonts w:ascii="宋体" w:hAnsi="宋体" w:cs="宋体"/>
          <w:spacing w:val="6"/>
          <w:sz w:val="22"/>
          <w:szCs w:val="22"/>
        </w:rPr>
      </w:pPr>
      <w:r>
        <w:rPr>
          <w:rFonts w:hint="eastAsia" w:ascii="宋体" w:hAnsi="宋体" w:cs="宋体"/>
          <w:spacing w:val="6"/>
          <w:sz w:val="22"/>
          <w:szCs w:val="22"/>
        </w:rPr>
        <w:t>日  期：</w:t>
      </w: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firstLine="464" w:firstLineChars="200"/>
        <w:jc w:val="center"/>
        <w:rPr>
          <w:rFonts w:ascii="宋体" w:hAnsi="宋体" w:cs="宋体"/>
          <w:spacing w:val="6"/>
          <w:sz w:val="22"/>
          <w:szCs w:val="22"/>
        </w:rPr>
      </w:pPr>
    </w:p>
    <w:p>
      <w:pPr>
        <w:tabs>
          <w:tab w:val="left" w:pos="4860"/>
        </w:tabs>
        <w:spacing w:line="588" w:lineRule="exact"/>
        <w:ind w:right="1560"/>
        <w:jc w:val="left"/>
        <w:rPr>
          <w:rFonts w:ascii="宋体" w:hAnsi="宋体" w:cs="宋体"/>
          <w:b/>
          <w:sz w:val="22"/>
          <w:szCs w:val="22"/>
        </w:rPr>
      </w:pPr>
      <w:r>
        <w:rPr>
          <w:rFonts w:hint="eastAsia" w:ascii="宋体" w:hAnsi="宋体" w:cs="宋体"/>
          <w:b/>
          <w:sz w:val="22"/>
          <w:szCs w:val="22"/>
        </w:rPr>
        <w:t>备注说明：</w:t>
      </w:r>
    </w:p>
    <w:p>
      <w:pPr>
        <w:numPr>
          <w:ilvl w:val="2"/>
          <w:numId w:val="8"/>
        </w:numPr>
        <w:tabs>
          <w:tab w:val="left" w:pos="0"/>
        </w:tabs>
        <w:spacing w:line="588" w:lineRule="exact"/>
        <w:ind w:left="0" w:right="114" w:firstLine="0"/>
        <w:jc w:val="left"/>
        <w:rPr>
          <w:rFonts w:ascii="宋体" w:hAnsi="宋体" w:cs="宋体"/>
          <w:sz w:val="22"/>
          <w:szCs w:val="22"/>
        </w:rPr>
      </w:pPr>
      <w:r>
        <w:rPr>
          <w:rFonts w:hint="eastAsia" w:ascii="宋体" w:hAnsi="宋体" w:cs="宋体"/>
          <w:sz w:val="22"/>
          <w:szCs w:val="22"/>
        </w:rPr>
        <w:t>如中标，将在中标公示中将此残疾人福利性单位声明函予以公示，接受社会监督。</w:t>
      </w:r>
    </w:p>
    <w:p>
      <w:pPr>
        <w:numPr>
          <w:ilvl w:val="2"/>
          <w:numId w:val="8"/>
        </w:numPr>
        <w:tabs>
          <w:tab w:val="left" w:pos="0"/>
        </w:tabs>
        <w:spacing w:line="588" w:lineRule="exact"/>
        <w:ind w:left="0" w:right="114" w:firstLine="0"/>
        <w:jc w:val="left"/>
        <w:rPr>
          <w:rFonts w:ascii="宋体" w:hAnsi="宋体" w:cs="宋体"/>
          <w:sz w:val="22"/>
          <w:szCs w:val="22"/>
        </w:rPr>
      </w:pPr>
      <w:r>
        <w:rPr>
          <w:rFonts w:hint="eastAsia" w:ascii="宋体" w:hAnsi="宋体" w:cs="宋体"/>
          <w:sz w:val="22"/>
          <w:szCs w:val="22"/>
        </w:rPr>
        <w:t>投标人提供的《残疾人福利性单位声明函》与事实不符的，依照《政府采购法》第七十七条第一款的规定追究法律责任。</w:t>
      </w:r>
    </w:p>
    <w:p>
      <w:pPr>
        <w:rPr>
          <w:rFonts w:ascii="宋体" w:hAnsi="宋体" w:cs="宋体"/>
        </w:rPr>
      </w:pPr>
    </w:p>
    <w:p>
      <w:pPr>
        <w:pStyle w:val="54"/>
        <w:rPr>
          <w:rFonts w:ascii="宋体" w:hAnsi="宋体" w:cs="宋体"/>
          <w:kern w:val="2"/>
          <w:sz w:val="36"/>
          <w:szCs w:val="36"/>
        </w:rPr>
      </w:pPr>
    </w:p>
    <w:p>
      <w:pPr>
        <w:pStyle w:val="54"/>
        <w:rPr>
          <w:rFonts w:ascii="宋体" w:hAnsi="宋体" w:cs="宋体"/>
          <w:kern w:val="2"/>
          <w:sz w:val="36"/>
          <w:szCs w:val="36"/>
        </w:rPr>
      </w:pPr>
    </w:p>
    <w:p>
      <w:pPr>
        <w:pStyle w:val="54"/>
        <w:rPr>
          <w:rFonts w:ascii="宋体" w:hAnsi="宋体" w:cs="宋体"/>
          <w:kern w:val="2"/>
          <w:sz w:val="36"/>
          <w:szCs w:val="36"/>
        </w:rPr>
      </w:pPr>
      <w:r>
        <w:rPr>
          <w:rFonts w:hint="eastAsia" w:ascii="宋体" w:hAnsi="宋体" w:cs="宋体"/>
          <w:kern w:val="2"/>
          <w:sz w:val="36"/>
          <w:szCs w:val="36"/>
        </w:rPr>
        <w:br w:type="page"/>
      </w:r>
      <w:r>
        <w:rPr>
          <w:rFonts w:hint="eastAsia" w:ascii="宋体" w:hAnsi="宋体" w:cs="宋体"/>
          <w:kern w:val="2"/>
          <w:sz w:val="36"/>
          <w:szCs w:val="36"/>
        </w:rPr>
        <w:t>第三部分   合同条款及格式</w:t>
      </w:r>
      <w:bookmarkEnd w:id="73"/>
      <w:bookmarkEnd w:id="74"/>
    </w:p>
    <w:p>
      <w:pPr>
        <w:rPr>
          <w:rFonts w:ascii="宋体" w:hAnsi="宋体" w:cs="宋体"/>
        </w:rPr>
      </w:pPr>
    </w:p>
    <w:p>
      <w:pPr>
        <w:spacing w:line="440" w:lineRule="exact"/>
        <w:ind w:firstLine="440" w:firstLineChars="200"/>
        <w:rPr>
          <w:rFonts w:ascii="宋体" w:hAnsi="宋体" w:cs="宋体"/>
          <w:sz w:val="22"/>
          <w:szCs w:val="22"/>
        </w:rPr>
      </w:pPr>
      <w:bookmarkStart w:id="77" w:name="_Toc58406692"/>
      <w:bookmarkStart w:id="78" w:name="_Toc21106"/>
      <w:bookmarkStart w:id="79" w:name="_Toc5314"/>
      <w:bookmarkStart w:id="80" w:name="_Toc29422"/>
      <w:bookmarkStart w:id="81" w:name="_Toc221423623"/>
      <w:bookmarkStart w:id="82" w:name="_Toc246996996"/>
      <w:bookmarkStart w:id="83" w:name="_Toc144974578"/>
      <w:bookmarkStart w:id="84" w:name="_Toc221356891"/>
      <w:bookmarkStart w:id="85" w:name="_Toc221374630"/>
      <w:bookmarkStart w:id="86" w:name="_Toc152042388"/>
      <w:bookmarkStart w:id="87" w:name="_Toc246996253"/>
      <w:bookmarkStart w:id="88" w:name="_Toc223716002"/>
      <w:bookmarkStart w:id="89" w:name="_Toc265529387"/>
      <w:bookmarkStart w:id="90" w:name="_Toc152045610"/>
      <w:bookmarkStart w:id="91" w:name="_Toc247085768"/>
      <w:bookmarkStart w:id="92" w:name="_Toc241404206"/>
      <w:bookmarkStart w:id="93" w:name="_Toc221356955"/>
      <w:bookmarkStart w:id="94" w:name="_Toc296602498"/>
      <w:bookmarkStart w:id="95" w:name="_Toc239145358"/>
      <w:bookmarkStart w:id="96" w:name="_Toc179632628"/>
      <w:bookmarkStart w:id="97" w:name="_Toc222114883"/>
      <w:r>
        <w:rPr>
          <w:rFonts w:hint="eastAsia" w:ascii="宋体" w:hAnsi="宋体" w:cs="宋体"/>
          <w:sz w:val="22"/>
          <w:szCs w:val="22"/>
        </w:rPr>
        <w:t>说明：如甲、乙双方同意，合同格式也可以按照其他形式。但合同条款的基本内容应与《中标合同》要求的内容相一致。</w:t>
      </w:r>
    </w:p>
    <w:p>
      <w:pPr>
        <w:autoSpaceDE w:val="0"/>
        <w:autoSpaceDN w:val="0"/>
        <w:spacing w:line="440" w:lineRule="exact"/>
        <w:textAlignment w:val="bottom"/>
        <w:rPr>
          <w:rFonts w:ascii="宋体" w:hAnsi="宋体" w:cs="宋体"/>
          <w:sz w:val="28"/>
        </w:rPr>
      </w:pPr>
    </w:p>
    <w:p>
      <w:pPr>
        <w:autoSpaceDE w:val="0"/>
        <w:autoSpaceDN w:val="0"/>
        <w:spacing w:line="440" w:lineRule="exact"/>
        <w:jc w:val="center"/>
        <w:textAlignment w:val="bottom"/>
        <w:rPr>
          <w:rFonts w:ascii="宋体" w:hAnsi="宋体" w:cs="宋体"/>
          <w:sz w:val="44"/>
        </w:rPr>
      </w:pPr>
    </w:p>
    <w:p>
      <w:pPr>
        <w:autoSpaceDE w:val="0"/>
        <w:autoSpaceDN w:val="0"/>
        <w:spacing w:line="500" w:lineRule="atLeast"/>
        <w:jc w:val="center"/>
        <w:textAlignment w:val="bottom"/>
        <w:rPr>
          <w:rFonts w:ascii="宋体" w:hAnsi="宋体" w:cs="宋体"/>
          <w:sz w:val="24"/>
        </w:rPr>
      </w:pPr>
      <w:r>
        <w:rPr>
          <w:rFonts w:hint="eastAsia" w:ascii="宋体" w:hAnsi="宋体" w:cs="宋体"/>
          <w:sz w:val="24"/>
        </w:rPr>
        <w:t>中标合同</w:t>
      </w:r>
    </w:p>
    <w:p>
      <w:pPr>
        <w:autoSpaceDE w:val="0"/>
        <w:autoSpaceDN w:val="0"/>
        <w:spacing w:line="500" w:lineRule="atLeast"/>
        <w:jc w:val="center"/>
        <w:textAlignment w:val="bottom"/>
        <w:rPr>
          <w:rFonts w:ascii="宋体" w:hAnsi="宋体" w:cs="宋体"/>
          <w:sz w:val="24"/>
        </w:rPr>
      </w:pPr>
    </w:p>
    <w:p>
      <w:pPr>
        <w:autoSpaceDE w:val="0"/>
        <w:autoSpaceDN w:val="0"/>
        <w:spacing w:line="580" w:lineRule="atLeast"/>
        <w:textAlignment w:val="bottom"/>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项目名称：</w:t>
      </w:r>
    </w:p>
    <w:p>
      <w:pPr>
        <w:autoSpaceDE w:val="0"/>
        <w:autoSpaceDN w:val="0"/>
        <w:spacing w:line="580" w:lineRule="atLeast"/>
        <w:textAlignment w:val="bottom"/>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合同编号：</w:t>
      </w:r>
    </w:p>
    <w:p>
      <w:pPr>
        <w:autoSpaceDE w:val="0"/>
        <w:autoSpaceDN w:val="0"/>
        <w:spacing w:line="580" w:lineRule="atLeast"/>
        <w:textAlignment w:val="bottom"/>
        <w:rPr>
          <w:rFonts w:ascii="宋体" w:hAnsi="宋体" w:cs="宋体"/>
          <w:sz w:val="24"/>
        </w:rPr>
      </w:pPr>
    </w:p>
    <w:p>
      <w:pPr>
        <w:autoSpaceDE w:val="0"/>
        <w:autoSpaceDN w:val="0"/>
        <w:spacing w:line="580" w:lineRule="atLeast"/>
        <w:textAlignment w:val="bottom"/>
        <w:rPr>
          <w:rFonts w:ascii="宋体" w:hAnsi="宋体" w:cs="宋体"/>
          <w:sz w:val="24"/>
        </w:rPr>
      </w:pPr>
    </w:p>
    <w:p>
      <w:pPr>
        <w:autoSpaceDE w:val="0"/>
        <w:autoSpaceDN w:val="0"/>
        <w:spacing w:line="580" w:lineRule="atLeast"/>
        <w:textAlignment w:val="bottom"/>
        <w:rPr>
          <w:rFonts w:ascii="宋体" w:hAnsi="宋体" w:cs="宋体"/>
          <w:sz w:val="24"/>
        </w:rPr>
      </w:pPr>
    </w:p>
    <w:p>
      <w:pPr>
        <w:autoSpaceDE w:val="0"/>
        <w:autoSpaceDN w:val="0"/>
        <w:spacing w:line="580" w:lineRule="atLeast"/>
        <w:textAlignment w:val="bottom"/>
        <w:rPr>
          <w:rFonts w:ascii="宋体" w:hAnsi="宋体" w:cs="宋体"/>
          <w:sz w:val="24"/>
        </w:rPr>
      </w:pPr>
    </w:p>
    <w:p>
      <w:pPr>
        <w:autoSpaceDE w:val="0"/>
        <w:autoSpaceDN w:val="0"/>
        <w:spacing w:line="580" w:lineRule="atLeast"/>
        <w:textAlignment w:val="bottom"/>
        <w:rPr>
          <w:rFonts w:ascii="宋体" w:hAnsi="宋体" w:cs="宋体"/>
          <w:sz w:val="24"/>
          <w:u w:val="single"/>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甲    方：</w:t>
      </w:r>
    </w:p>
    <w:p>
      <w:pPr>
        <w:autoSpaceDE w:val="0"/>
        <w:autoSpaceDN w:val="0"/>
        <w:spacing w:line="580" w:lineRule="atLeast"/>
        <w:textAlignment w:val="bottom"/>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乙    方：</w:t>
      </w:r>
    </w:p>
    <w:p>
      <w:pPr>
        <w:spacing w:line="460" w:lineRule="exact"/>
        <w:rPr>
          <w:rFonts w:ascii="宋体" w:hAnsi="宋体" w:cs="宋体"/>
          <w:sz w:val="24"/>
          <w:u w:val="single"/>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签署日期：</w:t>
      </w:r>
    </w:p>
    <w:p>
      <w:pPr>
        <w:jc w:val="center"/>
        <w:rPr>
          <w:rFonts w:ascii="宋体" w:hAnsi="宋体" w:cs="宋体"/>
          <w:sz w:val="22"/>
          <w:szCs w:val="22"/>
        </w:rPr>
      </w:pPr>
      <w:r>
        <w:rPr>
          <w:rFonts w:hint="eastAsia" w:ascii="宋体" w:hAnsi="宋体" w:cs="宋体"/>
          <w:sz w:val="22"/>
          <w:szCs w:val="22"/>
        </w:rPr>
        <w:br w:type="page"/>
      </w:r>
    </w:p>
    <w:p>
      <w:pPr>
        <w:jc w:val="center"/>
        <w:rPr>
          <w:rFonts w:ascii="宋体" w:hAnsi="宋体" w:cs="宋体"/>
          <w:sz w:val="22"/>
          <w:szCs w:val="22"/>
        </w:rPr>
      </w:pPr>
      <w:r>
        <w:rPr>
          <w:rFonts w:hint="eastAsia" w:ascii="宋体" w:hAnsi="宋体" w:cs="宋体"/>
          <w:sz w:val="36"/>
          <w:szCs w:val="36"/>
        </w:rPr>
        <w:t>第二部分  合同主要条款</w:t>
      </w:r>
    </w:p>
    <w:p>
      <w:pPr>
        <w:widowControl/>
        <w:spacing w:line="440" w:lineRule="exact"/>
        <w:ind w:right="-874" w:rightChars="-416"/>
        <w:jc w:val="left"/>
        <w:rPr>
          <w:rFonts w:ascii="新宋体" w:hAnsi="新宋体" w:eastAsia="新宋体"/>
          <w:b/>
          <w:bCs/>
          <w:kern w:val="0"/>
          <w:sz w:val="22"/>
          <w:szCs w:val="22"/>
        </w:rPr>
      </w:pPr>
      <w:r>
        <w:rPr>
          <w:rFonts w:hint="eastAsia" w:ascii="新宋体" w:hAnsi="新宋体" w:eastAsia="新宋体"/>
          <w:b/>
          <w:bCs/>
          <w:kern w:val="0"/>
          <w:sz w:val="22"/>
          <w:szCs w:val="22"/>
        </w:rPr>
        <w:t>甲方(采购单位)：</w:t>
      </w:r>
      <w:r>
        <w:rPr>
          <w:rFonts w:hint="eastAsia" w:ascii="新宋体" w:hAnsi="新宋体" w:eastAsia="新宋体"/>
          <w:b/>
          <w:bCs/>
          <w:kern w:val="0"/>
          <w:sz w:val="22"/>
          <w:szCs w:val="22"/>
          <w:u w:val="single"/>
        </w:rPr>
        <w:t xml:space="preserve">                        </w:t>
      </w:r>
      <w:r>
        <w:rPr>
          <w:rFonts w:hint="eastAsia" w:ascii="新宋体" w:hAnsi="新宋体" w:eastAsia="新宋体"/>
          <w:b/>
          <w:bCs/>
          <w:kern w:val="0"/>
          <w:sz w:val="22"/>
          <w:szCs w:val="22"/>
        </w:rPr>
        <w:t xml:space="preserve"> </w:t>
      </w:r>
    </w:p>
    <w:p>
      <w:pPr>
        <w:snapToGrid w:val="0"/>
        <w:spacing w:line="440" w:lineRule="exact"/>
        <w:rPr>
          <w:rFonts w:ascii="新宋体" w:hAnsi="新宋体" w:eastAsia="新宋体"/>
          <w:sz w:val="22"/>
          <w:szCs w:val="22"/>
        </w:rPr>
      </w:pPr>
      <w:r>
        <w:rPr>
          <w:rFonts w:hint="eastAsia" w:ascii="新宋体" w:hAnsi="新宋体" w:eastAsia="新宋体"/>
          <w:b/>
          <w:bCs/>
          <w:kern w:val="0"/>
          <w:sz w:val="22"/>
          <w:szCs w:val="22"/>
        </w:rPr>
        <w:t>乙方(中标供应商)：</w:t>
      </w:r>
      <w:r>
        <w:rPr>
          <w:rFonts w:hint="eastAsia" w:ascii="新宋体" w:hAnsi="新宋体" w:eastAsia="新宋体"/>
          <w:b/>
          <w:bCs/>
          <w:kern w:val="0"/>
          <w:sz w:val="22"/>
          <w:szCs w:val="22"/>
          <w:u w:val="single"/>
        </w:rPr>
        <w:t xml:space="preserve">                       </w:t>
      </w:r>
    </w:p>
    <w:p>
      <w:pPr>
        <w:adjustRightIn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鉴于甲方于2022年  月  日接受乙方对</w:t>
      </w:r>
      <w:r>
        <w:rPr>
          <w:rFonts w:hint="eastAsia" w:ascii="新宋体" w:hAnsi="新宋体" w:eastAsia="新宋体" w:cs="Arial"/>
          <w:sz w:val="22"/>
          <w:szCs w:val="22"/>
          <w:u w:val="single"/>
        </w:rPr>
        <w:t xml:space="preserve">          </w:t>
      </w:r>
      <w:r>
        <w:rPr>
          <w:rFonts w:hint="eastAsia" w:ascii="新宋体" w:hAnsi="新宋体" w:eastAsia="新宋体" w:cs="Arial"/>
          <w:sz w:val="22"/>
          <w:szCs w:val="22"/>
        </w:rPr>
        <w:t>投标，双方根据《中华人民共和国民法典》等法规和本合同的采购文件、投标文件及其投标中的承诺，经双方协商，同意签订本合同，共同遵守。</w:t>
      </w:r>
    </w:p>
    <w:p>
      <w:pPr>
        <w:adjustRightInd w:val="0"/>
        <w:snapToGrid w:val="0"/>
        <w:spacing w:line="440" w:lineRule="exact"/>
        <w:ind w:firstLine="440" w:firstLineChars="200"/>
        <w:rPr>
          <w:rFonts w:ascii="新宋体" w:hAnsi="新宋体" w:eastAsia="新宋体" w:cs="Arial"/>
          <w:sz w:val="22"/>
          <w:szCs w:val="22"/>
          <w:shd w:val="pct10" w:color="auto" w:fill="FFFFFF"/>
        </w:rPr>
      </w:pPr>
      <w:r>
        <w:rPr>
          <w:rFonts w:hint="eastAsia" w:ascii="新宋体" w:hAnsi="新宋体" w:eastAsia="新宋体" w:cs="Arial"/>
          <w:sz w:val="22"/>
          <w:szCs w:val="22"/>
        </w:rPr>
        <w:t>1.合同产品及价格</w:t>
      </w:r>
    </w:p>
    <w:p>
      <w:pPr>
        <w:adjustRightInd w:val="0"/>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1.1合同产品内容依据采购文件、招标补充文件、投标文件、投标承诺和询标记录确定。</w:t>
      </w:r>
    </w:p>
    <w:p>
      <w:pPr>
        <w:adjustRightInd w:val="0"/>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1.2合同价格</w:t>
      </w:r>
    </w:p>
    <w:p>
      <w:pPr>
        <w:adjustRightInd w:val="0"/>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 xml:space="preserve">本合同总价：人民币       万元。大写：                    。 </w:t>
      </w:r>
    </w:p>
    <w:p>
      <w:pPr>
        <w:adjustRightInd w:val="0"/>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合同价为完税闭口价。</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以上合同总价为合同产品供货到交货地点并负责安装调试验收合格的全部费用（包括但不限于制造、国内外运杂费、保险费、关税及增值税等各种税费、安装调试、</w:t>
      </w:r>
      <w:r>
        <w:rPr>
          <w:rFonts w:hint="eastAsia" w:ascii="新宋体" w:hAnsi="新宋体" w:eastAsia="新宋体" w:cs="Arial"/>
          <w:bCs/>
          <w:sz w:val="22"/>
          <w:szCs w:val="22"/>
        </w:rPr>
        <w:t>人员食宿、交通、</w:t>
      </w:r>
      <w:r>
        <w:rPr>
          <w:rFonts w:hint="eastAsia" w:ascii="新宋体" w:hAnsi="新宋体" w:eastAsia="新宋体" w:cs="Arial"/>
          <w:sz w:val="22"/>
          <w:szCs w:val="22"/>
        </w:rPr>
        <w:t>有关部门验收等所有费用），不论是否明列在合同文本中。</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1.3合同产品的名称、技术规范和数量:</w:t>
      </w:r>
    </w:p>
    <w:p>
      <w:pPr>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与中标通知书、采购文件及被招标人接受的偏离表相一致。</w:t>
      </w:r>
      <w:r>
        <w:rPr>
          <w:rFonts w:hint="eastAsia" w:ascii="新宋体" w:hAnsi="新宋体" w:eastAsia="新宋体" w:cs="Arial"/>
          <w:sz w:val="22"/>
          <w:szCs w:val="22"/>
        </w:rPr>
        <w:cr/>
      </w:r>
      <w:r>
        <w:rPr>
          <w:rFonts w:hint="eastAsia" w:ascii="新宋体" w:hAnsi="新宋体" w:eastAsia="新宋体" w:cs="Arial"/>
          <w:sz w:val="22"/>
          <w:szCs w:val="22"/>
        </w:rPr>
        <w:t xml:space="preserve">    2.产品的质量、技术标准</w:t>
      </w:r>
      <w:r>
        <w:rPr>
          <w:rFonts w:hint="eastAsia" w:ascii="新宋体" w:hAnsi="新宋体" w:eastAsia="新宋体" w:cs="Arial"/>
          <w:sz w:val="22"/>
          <w:szCs w:val="22"/>
        </w:rPr>
        <w:cr/>
      </w:r>
      <w:r>
        <w:rPr>
          <w:rFonts w:hint="eastAsia" w:ascii="新宋体" w:hAnsi="新宋体" w:eastAsia="新宋体" w:cs="Arial"/>
          <w:sz w:val="22"/>
          <w:szCs w:val="22"/>
        </w:rPr>
        <w:t xml:space="preserve">    产品的质量、技术标准如在招投标文件中无相应说明，则按中华人民共和国有关部门颁布的最新的国家或专业（部）标准执行。没有国家或专业（部）标准的，按企业标准执行。</w:t>
      </w:r>
      <w:r>
        <w:rPr>
          <w:rFonts w:hint="eastAsia" w:ascii="新宋体" w:hAnsi="新宋体" w:eastAsia="新宋体" w:cs="Arial"/>
          <w:sz w:val="22"/>
          <w:szCs w:val="22"/>
        </w:rPr>
        <w:cr/>
      </w:r>
      <w:r>
        <w:rPr>
          <w:rFonts w:hint="eastAsia" w:ascii="新宋体" w:hAnsi="新宋体" w:eastAsia="新宋体" w:cs="Arial"/>
          <w:sz w:val="22"/>
          <w:szCs w:val="22"/>
        </w:rPr>
        <w:t xml:space="preserve">    3.权利瑕疵担保：</w:t>
      </w:r>
    </w:p>
    <w:p>
      <w:pPr>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3.1乙方保证对其出售的货物享有合法的权利。</w:t>
      </w:r>
    </w:p>
    <w:p>
      <w:pPr>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3.2 乙方保证在其出售的货物上不存在任何未曾向甲方透露的担保物权，如抵押权、质押权、留置权等。</w:t>
      </w:r>
    </w:p>
    <w:p>
      <w:pPr>
        <w:snapToGrid w:val="0"/>
        <w:spacing w:line="440" w:lineRule="exact"/>
        <w:ind w:firstLine="440" w:firstLineChars="200"/>
        <w:rPr>
          <w:rFonts w:ascii="新宋体" w:hAnsi="新宋体" w:eastAsia="新宋体" w:cs="Arial"/>
          <w:sz w:val="22"/>
          <w:szCs w:val="22"/>
        </w:rPr>
      </w:pPr>
      <w:r>
        <w:rPr>
          <w:rFonts w:hint="eastAsia" w:ascii="新宋体" w:hAnsi="新宋体" w:eastAsia="新宋体" w:cs="Arial"/>
          <w:sz w:val="22"/>
          <w:szCs w:val="22"/>
        </w:rPr>
        <w:t>3.3 乙方保证其所出售的货物没有侵犯任何第三人的知识产权和商业秘密等权利。</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 xml:space="preserve">3.4 </w:t>
      </w:r>
      <w:r>
        <w:rPr>
          <w:rFonts w:hint="eastAsia" w:ascii="新宋体" w:hAnsi="新宋体" w:eastAsia="新宋体"/>
          <w:sz w:val="22"/>
          <w:szCs w:val="22"/>
        </w:rPr>
        <w:t>第三方知识产权的要求，乙方承担所供货物、服务或其任何一部分受第三方提出侵犯其专利权、商标权、版权和工业设计权的指控责任。</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3.5 乙方对一切可能的侵权指控负责。如甲方使用该货物构成上述侵权的，则由中标（成交）供应商承担全部责任。</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4.产品包装：为了保证设备在长途运输和装卸过程中的安全，产品包装应符合国家或专业（部）标准规定，以确保货物安全无损地运抵指定现场。由于包装不善导致设备锈蚀、失缺或损坏，由乙方承担一切责任。每一包装箱内必须附有装箱清单。</w:t>
      </w:r>
    </w:p>
    <w:p>
      <w:pPr>
        <w:adjustRightInd w:val="0"/>
        <w:snapToGrid w:val="0"/>
        <w:spacing w:line="440" w:lineRule="exact"/>
        <w:ind w:firstLine="480"/>
        <w:rPr>
          <w:rFonts w:ascii="新宋体" w:hAnsi="新宋体" w:eastAsia="新宋体" w:cs="Arial"/>
          <w:sz w:val="22"/>
          <w:szCs w:val="22"/>
        </w:rPr>
      </w:pPr>
      <w:r>
        <w:rPr>
          <w:rFonts w:hint="eastAsia" w:ascii="新宋体" w:hAnsi="新宋体" w:eastAsia="新宋体" w:cs="Arial"/>
          <w:sz w:val="22"/>
          <w:szCs w:val="22"/>
        </w:rPr>
        <w:t>5.唛头</w:t>
      </w:r>
    </w:p>
    <w:p>
      <w:pPr>
        <w:spacing w:line="440" w:lineRule="exact"/>
        <w:rPr>
          <w:rFonts w:ascii="新宋体" w:hAnsi="新宋体" w:eastAsia="新宋体"/>
          <w:sz w:val="22"/>
          <w:szCs w:val="22"/>
        </w:rPr>
      </w:pPr>
      <w:r>
        <w:rPr>
          <w:rFonts w:hint="eastAsia" w:ascii="新宋体" w:hAnsi="新宋体" w:eastAsia="新宋体"/>
          <w:sz w:val="22"/>
          <w:szCs w:val="22"/>
        </w:rPr>
        <w:t xml:space="preserve">    5.1乙方应在每件包装箱上，明显地标注下列标记：</w:t>
      </w:r>
    </w:p>
    <w:p>
      <w:pPr>
        <w:spacing w:line="440" w:lineRule="exact"/>
        <w:rPr>
          <w:rFonts w:ascii="新宋体" w:hAnsi="新宋体" w:eastAsia="新宋体"/>
          <w:sz w:val="22"/>
          <w:szCs w:val="22"/>
        </w:rPr>
      </w:pPr>
      <w:r>
        <w:rPr>
          <w:rFonts w:hint="eastAsia" w:ascii="新宋体" w:hAnsi="新宋体" w:eastAsia="新宋体"/>
          <w:sz w:val="22"/>
          <w:szCs w:val="22"/>
        </w:rPr>
        <w:t xml:space="preserve">    1)收货人；2)产品名称；3)合同号；4)品目号和箱号；5)到达站或到货地点；6)外形尺寸（长×宽×高），以厘米计；7)毛重、净重（公斤）。</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5.2不包装的金属结构件应将唛头标签系牢在结构件上。</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5.3乙方应根据设备特点，在包装箱上标明“小心轻放”、“请勿倒置”、“防潮”等字样和吊装标记。</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6.质量保证</w:t>
      </w:r>
    </w:p>
    <w:p>
      <w:pPr>
        <w:spacing w:line="440" w:lineRule="exact"/>
        <w:rPr>
          <w:rFonts w:ascii="新宋体" w:hAnsi="新宋体" w:eastAsia="新宋体"/>
          <w:sz w:val="22"/>
          <w:szCs w:val="22"/>
        </w:rPr>
      </w:pPr>
      <w:r>
        <w:rPr>
          <w:rFonts w:hint="eastAsia" w:ascii="新宋体" w:hAnsi="新宋体" w:eastAsia="新宋体"/>
          <w:sz w:val="22"/>
          <w:szCs w:val="22"/>
        </w:rPr>
        <w:t xml:space="preserve">    6.1乙方提供的产品须和报价文件中所承诺的产品规格、数量、材质等相符合（合同中另有约定除外）。</w:t>
      </w:r>
      <w:r>
        <w:rPr>
          <w:rFonts w:hint="eastAsia" w:ascii="新宋体" w:hAnsi="新宋体" w:eastAsia="新宋体"/>
          <w:sz w:val="22"/>
          <w:szCs w:val="22"/>
        </w:rPr>
        <w:cr/>
      </w:r>
      <w:r>
        <w:rPr>
          <w:rFonts w:hint="eastAsia" w:ascii="新宋体" w:hAnsi="新宋体" w:eastAsia="新宋体"/>
          <w:sz w:val="22"/>
          <w:szCs w:val="22"/>
        </w:rPr>
        <w:t xml:space="preserve">    6.2乙方保证所提供的产品是全新的、未使用过的。</w:t>
      </w:r>
    </w:p>
    <w:p>
      <w:pPr>
        <w:spacing w:line="440" w:lineRule="exact"/>
        <w:rPr>
          <w:rFonts w:ascii="新宋体" w:hAnsi="新宋体" w:eastAsia="新宋体"/>
          <w:sz w:val="22"/>
          <w:szCs w:val="22"/>
        </w:rPr>
      </w:pPr>
      <w:r>
        <w:rPr>
          <w:rFonts w:hint="eastAsia" w:ascii="新宋体" w:hAnsi="新宋体" w:eastAsia="新宋体"/>
          <w:sz w:val="22"/>
          <w:szCs w:val="22"/>
        </w:rPr>
        <w:t xml:space="preserve">    6.3乙方保证采用先进的技术、优质的材料和零部件、一流的工艺、严格的质量管理为招标人提供技术先进、质量上乘、外表美观并完全符合合同规定的质量、规格、性能要求的产品。</w:t>
      </w:r>
    </w:p>
    <w:p>
      <w:pPr>
        <w:spacing w:line="440" w:lineRule="exact"/>
        <w:rPr>
          <w:rFonts w:ascii="新宋体" w:hAnsi="新宋体" w:eastAsia="新宋体"/>
          <w:sz w:val="22"/>
          <w:szCs w:val="22"/>
        </w:rPr>
      </w:pPr>
      <w:r>
        <w:rPr>
          <w:rFonts w:hint="eastAsia" w:ascii="新宋体" w:hAnsi="新宋体" w:eastAsia="新宋体"/>
          <w:sz w:val="22"/>
          <w:szCs w:val="22"/>
        </w:rPr>
        <w:t xml:space="preserve">    6.4乙方保证按ISO9000系列标准或相应的质量管理和质量保证体系，对所供产品的设计、采购、制造、检验、涂装、包装、运输、装卸、安装、调试等各个环节进行严格的质量管理和质量控制。</w:t>
      </w:r>
    </w:p>
    <w:p>
      <w:pPr>
        <w:spacing w:line="440" w:lineRule="exact"/>
        <w:rPr>
          <w:rFonts w:ascii="新宋体" w:hAnsi="新宋体" w:eastAsia="新宋体"/>
          <w:color w:val="auto"/>
          <w:sz w:val="22"/>
          <w:szCs w:val="22"/>
        </w:rPr>
      </w:pPr>
      <w:r>
        <w:rPr>
          <w:rFonts w:hint="eastAsia" w:ascii="新宋体" w:hAnsi="新宋体" w:eastAsia="新宋体"/>
          <w:sz w:val="22"/>
          <w:szCs w:val="22"/>
        </w:rPr>
        <w:t xml:space="preserve">    6.5乙方保证所提供的产品在正确安装、正常使用和维护保养的情况下，具有使招标人满意的使用性能，确</w:t>
      </w:r>
      <w:r>
        <w:rPr>
          <w:rFonts w:hint="eastAsia" w:ascii="新宋体" w:hAnsi="新宋体" w:eastAsia="新宋体"/>
          <w:color w:val="auto"/>
          <w:sz w:val="22"/>
          <w:szCs w:val="22"/>
        </w:rPr>
        <w:t>保10年以上的使用寿命。</w:t>
      </w:r>
    </w:p>
    <w:p>
      <w:pPr>
        <w:numPr>
          <w:ilvl w:val="0"/>
          <w:numId w:val="9"/>
        </w:numPr>
        <w:spacing w:line="440" w:lineRule="exact"/>
        <w:ind w:firstLine="440" w:firstLineChars="200"/>
        <w:rPr>
          <w:rFonts w:ascii="新宋体" w:hAnsi="新宋体" w:eastAsia="新宋体"/>
          <w:color w:val="auto"/>
          <w:sz w:val="22"/>
          <w:szCs w:val="22"/>
        </w:rPr>
      </w:pPr>
      <w:r>
        <w:rPr>
          <w:rFonts w:hint="eastAsia" w:ascii="新宋体" w:hAnsi="新宋体" w:eastAsia="新宋体"/>
          <w:color w:val="auto"/>
          <w:sz w:val="22"/>
          <w:szCs w:val="22"/>
        </w:rPr>
        <w:t>质量保证期</w:t>
      </w:r>
    </w:p>
    <w:p>
      <w:pPr>
        <w:spacing w:line="440" w:lineRule="exact"/>
        <w:ind w:firstLine="440" w:firstLineChars="200"/>
        <w:rPr>
          <w:rFonts w:ascii="新宋体" w:hAnsi="新宋体" w:eastAsia="新宋体"/>
          <w:color w:val="auto"/>
          <w:sz w:val="22"/>
          <w:szCs w:val="22"/>
        </w:rPr>
      </w:pPr>
      <w:r>
        <w:rPr>
          <w:rFonts w:hint="eastAsia" w:ascii="新宋体" w:hAnsi="新宋体" w:eastAsia="新宋体"/>
          <w:color w:val="auto"/>
          <w:sz w:val="22"/>
          <w:szCs w:val="22"/>
        </w:rPr>
        <w:t>本项目所有设备及配套附件的质量保修期自验收合格并交付使用之日起开始计算,应提供不少于三年（36个月)的免费原厂质保；如厂商本身承诺的产品质保期高于标书要求的则按照厂商承诺执行。质量保修期内免费上门服务（免费是指免零部件、材料费、易耗品、人工费、交通住宿费等与上门保修服务有关的一切费用），终身维修。供应商在质保期内还应包括对成套产品的常规检查、调试等维护工作，保证设备的正常使用。</w:t>
      </w:r>
    </w:p>
    <w:p>
      <w:pPr>
        <w:spacing w:line="440" w:lineRule="exact"/>
        <w:rPr>
          <w:rFonts w:ascii="新宋体" w:hAnsi="新宋体" w:eastAsia="新宋体"/>
          <w:color w:val="auto"/>
          <w:sz w:val="22"/>
          <w:szCs w:val="22"/>
        </w:rPr>
      </w:pPr>
      <w:r>
        <w:rPr>
          <w:rFonts w:hint="eastAsia" w:ascii="新宋体" w:hAnsi="新宋体" w:eastAsia="新宋体"/>
          <w:color w:val="auto"/>
          <w:sz w:val="22"/>
          <w:szCs w:val="22"/>
        </w:rPr>
        <w:t xml:space="preserve">    8.合同转让和分包</w:t>
      </w:r>
    </w:p>
    <w:p>
      <w:pPr>
        <w:spacing w:line="440" w:lineRule="exact"/>
        <w:rPr>
          <w:rFonts w:ascii="新宋体" w:hAnsi="新宋体" w:eastAsia="新宋体"/>
          <w:color w:val="auto"/>
          <w:sz w:val="22"/>
          <w:szCs w:val="22"/>
        </w:rPr>
      </w:pPr>
      <w:r>
        <w:rPr>
          <w:rFonts w:hint="eastAsia" w:ascii="新宋体" w:hAnsi="新宋体" w:eastAsia="新宋体"/>
          <w:color w:val="auto"/>
          <w:sz w:val="22"/>
          <w:szCs w:val="22"/>
        </w:rPr>
        <w:t xml:space="preserve">    8.1未经甲方书面同意，乙方不得将合同产品的制造、安装工作转包或分包给第三方。</w:t>
      </w:r>
    </w:p>
    <w:p>
      <w:pPr>
        <w:spacing w:line="440" w:lineRule="exact"/>
        <w:rPr>
          <w:rFonts w:ascii="新宋体" w:hAnsi="新宋体" w:eastAsia="新宋体"/>
          <w:color w:val="auto"/>
          <w:sz w:val="22"/>
          <w:szCs w:val="22"/>
        </w:rPr>
      </w:pPr>
      <w:r>
        <w:rPr>
          <w:rFonts w:hint="eastAsia" w:ascii="新宋体" w:hAnsi="新宋体" w:eastAsia="新宋体"/>
          <w:color w:val="auto"/>
          <w:sz w:val="22"/>
          <w:szCs w:val="22"/>
        </w:rPr>
        <w:t xml:space="preserve">    8.2乙方在投标文件中说明自制的零部件不得扩散到其他厂生产。</w:t>
      </w:r>
    </w:p>
    <w:p>
      <w:pPr>
        <w:spacing w:line="440" w:lineRule="exact"/>
        <w:rPr>
          <w:rFonts w:ascii="新宋体" w:hAnsi="新宋体" w:eastAsia="新宋体"/>
          <w:sz w:val="22"/>
          <w:szCs w:val="22"/>
        </w:rPr>
      </w:pPr>
      <w:r>
        <w:rPr>
          <w:rFonts w:hint="eastAsia" w:ascii="新宋体" w:hAnsi="新宋体" w:eastAsia="新宋体"/>
          <w:color w:val="auto"/>
          <w:sz w:val="22"/>
          <w:szCs w:val="22"/>
        </w:rPr>
        <w:t xml:space="preserve">    8.3 虽然乙方在投标文件中对外购或外协的零部件</w:t>
      </w:r>
      <w:r>
        <w:rPr>
          <w:rFonts w:hint="eastAsia" w:ascii="新宋体" w:hAnsi="新宋体" w:eastAsia="新宋体"/>
          <w:sz w:val="22"/>
          <w:szCs w:val="22"/>
        </w:rPr>
        <w:t>作了说明且得到招标人认可，但乙方仍应对这些零部件的质量和技术性能负全部责任。</w:t>
      </w:r>
    </w:p>
    <w:p>
      <w:pPr>
        <w:spacing w:line="440" w:lineRule="exact"/>
        <w:rPr>
          <w:rFonts w:ascii="新宋体" w:hAnsi="新宋体" w:eastAsia="新宋体"/>
          <w:sz w:val="22"/>
          <w:szCs w:val="22"/>
        </w:rPr>
      </w:pPr>
      <w:r>
        <w:rPr>
          <w:rFonts w:hint="eastAsia" w:ascii="新宋体" w:hAnsi="新宋体" w:eastAsia="新宋体"/>
          <w:sz w:val="22"/>
          <w:szCs w:val="22"/>
        </w:rPr>
        <w:t xml:space="preserve">    9.合同修改</w:t>
      </w:r>
    </w:p>
    <w:p>
      <w:pPr>
        <w:spacing w:line="440" w:lineRule="exact"/>
        <w:rPr>
          <w:rFonts w:ascii="新宋体" w:hAnsi="新宋体" w:eastAsia="新宋体"/>
          <w:sz w:val="22"/>
          <w:szCs w:val="22"/>
        </w:rPr>
      </w:pPr>
      <w:r>
        <w:rPr>
          <w:rFonts w:hint="eastAsia" w:ascii="新宋体" w:hAnsi="新宋体" w:eastAsia="新宋体"/>
          <w:sz w:val="22"/>
          <w:szCs w:val="22"/>
        </w:rPr>
        <w:t xml:space="preserve">    9.1甲、乙双方不得任意修改合同。甲、乙双方的任何一方对合同内容提出修改，均应以书面形式通知对方，并达成由双方签署的合同修改书。</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9.2除非甲方对设备的型号、规格和涉及价格因素的技术参数和配套件提出修改，乙方不得对合同价格提出修改要求。</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10.文件和技术资料的相互提供。</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提供资料清单及进度根据招标书的要求在签订合同时明确。</w:t>
      </w:r>
    </w:p>
    <w:p>
      <w:pPr>
        <w:spacing w:line="440" w:lineRule="exact"/>
        <w:ind w:firstLine="442" w:firstLineChars="200"/>
        <w:rPr>
          <w:rFonts w:ascii="新宋体" w:hAnsi="新宋体" w:eastAsia="新宋体"/>
          <w:b/>
          <w:sz w:val="22"/>
          <w:szCs w:val="22"/>
        </w:rPr>
      </w:pPr>
      <w:r>
        <w:rPr>
          <w:rFonts w:hint="eastAsia" w:ascii="新宋体" w:hAnsi="新宋体" w:eastAsia="新宋体"/>
          <w:b/>
          <w:sz w:val="22"/>
          <w:szCs w:val="22"/>
        </w:rPr>
        <w:t>11.合同交货</w:t>
      </w:r>
    </w:p>
    <w:p>
      <w:pPr>
        <w:spacing w:line="440" w:lineRule="exact"/>
        <w:ind w:firstLine="442" w:firstLineChars="200"/>
        <w:rPr>
          <w:rFonts w:ascii="新宋体" w:hAnsi="新宋体" w:eastAsia="新宋体"/>
          <w:b/>
          <w:color w:val="auto"/>
          <w:sz w:val="22"/>
          <w:szCs w:val="22"/>
          <w:u w:val="single"/>
        </w:rPr>
      </w:pPr>
      <w:r>
        <w:rPr>
          <w:rFonts w:hint="eastAsia" w:ascii="新宋体" w:hAnsi="新宋体" w:eastAsia="新宋体"/>
          <w:b/>
          <w:color w:val="auto"/>
          <w:sz w:val="22"/>
          <w:szCs w:val="22"/>
          <w:u w:val="single"/>
        </w:rPr>
        <w:t>在合同签订之日起60个日历日内完成产品的供货、安装调试并通过甲方组织的验收。</w:t>
      </w:r>
    </w:p>
    <w:p>
      <w:pPr>
        <w:spacing w:line="440" w:lineRule="exact"/>
        <w:ind w:firstLine="440" w:firstLineChars="200"/>
        <w:rPr>
          <w:rFonts w:ascii="新宋体" w:hAnsi="新宋体" w:eastAsia="新宋体"/>
          <w:color w:val="auto"/>
          <w:sz w:val="22"/>
          <w:szCs w:val="22"/>
        </w:rPr>
      </w:pPr>
      <w:r>
        <w:rPr>
          <w:rFonts w:hint="eastAsia" w:ascii="新宋体" w:hAnsi="新宋体" w:eastAsia="新宋体"/>
          <w:color w:val="auto"/>
          <w:sz w:val="22"/>
          <w:szCs w:val="22"/>
        </w:rPr>
        <w:t>12.交货、安装地点：招标人指定地点</w:t>
      </w:r>
    </w:p>
    <w:p>
      <w:pPr>
        <w:spacing w:line="440" w:lineRule="exact"/>
        <w:ind w:firstLine="440" w:firstLineChars="200"/>
        <w:rPr>
          <w:rFonts w:ascii="新宋体" w:hAnsi="新宋体" w:eastAsia="新宋体"/>
          <w:color w:val="auto"/>
          <w:sz w:val="22"/>
          <w:szCs w:val="22"/>
        </w:rPr>
      </w:pPr>
      <w:r>
        <w:rPr>
          <w:rFonts w:hint="eastAsia" w:ascii="新宋体" w:hAnsi="新宋体" w:eastAsia="新宋体"/>
          <w:color w:val="auto"/>
          <w:sz w:val="22"/>
          <w:szCs w:val="22"/>
        </w:rPr>
        <w:t>13.接货通知</w:t>
      </w:r>
    </w:p>
    <w:p>
      <w:pPr>
        <w:spacing w:line="440" w:lineRule="exact"/>
        <w:ind w:firstLine="440" w:firstLineChars="200"/>
        <w:rPr>
          <w:rFonts w:ascii="新宋体" w:hAnsi="新宋体" w:eastAsia="新宋体"/>
          <w:sz w:val="22"/>
          <w:szCs w:val="22"/>
        </w:rPr>
      </w:pPr>
      <w:r>
        <w:rPr>
          <w:rFonts w:hint="eastAsia" w:ascii="新宋体" w:hAnsi="新宋体" w:eastAsia="新宋体"/>
          <w:color w:val="auto"/>
          <w:sz w:val="22"/>
          <w:szCs w:val="22"/>
        </w:rPr>
        <w:t>乙方在产品发运前5天将准备发运的设备名称、规格、数量、包装箱件数、每件包装箱的尺码、毛重及对货物的卸车、贮存的特殊要求以传真的形式</w:t>
      </w:r>
      <w:r>
        <w:rPr>
          <w:rFonts w:hint="eastAsia" w:ascii="新宋体" w:hAnsi="新宋体" w:eastAsia="新宋体"/>
          <w:sz w:val="22"/>
          <w:szCs w:val="22"/>
        </w:rPr>
        <w:t>通知甲方，以便配合乙方接货。</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14.运输及装卸保险</w:t>
      </w:r>
    </w:p>
    <w:p>
      <w:pPr>
        <w:spacing w:line="440" w:lineRule="exact"/>
        <w:rPr>
          <w:rFonts w:ascii="新宋体" w:hAnsi="新宋体" w:eastAsia="新宋体"/>
          <w:sz w:val="22"/>
          <w:szCs w:val="22"/>
        </w:rPr>
      </w:pPr>
      <w:r>
        <w:rPr>
          <w:rFonts w:hint="eastAsia" w:ascii="新宋体" w:hAnsi="新宋体" w:eastAsia="新宋体"/>
          <w:sz w:val="22"/>
          <w:szCs w:val="22"/>
        </w:rPr>
        <w:t xml:space="preserve">    14.1货物在装运前由乙方投保，一旦货物在装卸、运输过程中发生损坏或短缺，由乙方负责索赔。</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14.2乙方保证在确认货物因装卸、运输中发生损坏或短缺后，尽快给予调换、修复和补齐缺件，不管其造成的原因如何，也不能以办理索赔为由而拖延。</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15.合同检验及验收</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15.1 数量和外观的验收检查</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 点货：货到现场后，由卖和甲方共同点箱点件接受货物。</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2) 按甲方提供的指定场所堆放所购设备，当设备运达项目现场后，甲乙双方要对设备的数量和外观进行检查。</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3) 在乙方和甲方同时在场的情况下，要确认设备是否与合同文件相一致。</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4) 如果现有设备不能满足系统需要，乙方应负责更换。</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15.2 系统验收测试</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系统验收应按照国际、国内的相关规范和标准，采购文件及设备制造商的保证函，设备的技术规格等。</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1)下列条件满足时，乙方组织进行系统验收：</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安装工程包括乙方的自测试已经完毕，其它辅助工作都已经准备完毕。</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所有的系统文件、施工图纸及设备手册等都已提交给甲方。</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施工现场已经清理完毕。</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2) 乙方应在甲方在场的情况下，组织以下验收检测：</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-外观检查</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-性能检测</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3) 外观检查应包含对乙方提供的设备及材料的数量检查和工艺鉴定。</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4) 应按照合同条款的要求进行性能检测，其中包括核对检测数据以及进行试运行来证明系统性能是否可靠。</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5) 在验收前，由乙方制定系统验收程序，并通过甲方认可。</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6) 乙方应提供所有必要的测试设备、材料和交通工具，并承担相关费用。</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7) 如果甲方的现有设备不能满足系统要求，甲方将负责更换，乙方要对整个系统指标负责。</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8) </w:t>
      </w:r>
      <w:r>
        <w:rPr>
          <w:rFonts w:ascii="新宋体" w:hAnsi="新宋体" w:eastAsia="新宋体"/>
          <w:sz w:val="22"/>
          <w:szCs w:val="22"/>
        </w:rPr>
        <w:t>验收报告双方签字后，即视为系统正</w:t>
      </w:r>
      <w:r>
        <w:rPr>
          <w:rFonts w:hint="eastAsia" w:ascii="新宋体" w:hAnsi="新宋体" w:eastAsia="新宋体"/>
          <w:sz w:val="22"/>
          <w:szCs w:val="22"/>
        </w:rPr>
        <w:t>式</w:t>
      </w:r>
      <w:r>
        <w:rPr>
          <w:rFonts w:ascii="新宋体" w:hAnsi="新宋体" w:eastAsia="新宋体"/>
          <w:sz w:val="22"/>
          <w:szCs w:val="22"/>
        </w:rPr>
        <w:t>交给甲方使用，保修期从验收报告</w:t>
      </w:r>
      <w:r>
        <w:rPr>
          <w:rFonts w:hint="eastAsia" w:ascii="新宋体" w:hAnsi="新宋体" w:eastAsia="新宋体"/>
          <w:sz w:val="22"/>
          <w:szCs w:val="22"/>
        </w:rPr>
        <w:t>签字</w:t>
      </w:r>
      <w:r>
        <w:rPr>
          <w:rFonts w:ascii="新宋体" w:hAnsi="新宋体" w:eastAsia="新宋体"/>
          <w:sz w:val="22"/>
          <w:szCs w:val="22"/>
        </w:rPr>
        <w:t>之日起计算</w:t>
      </w:r>
      <w:r>
        <w:rPr>
          <w:rFonts w:hint="eastAsia" w:ascii="新宋体" w:hAnsi="新宋体" w:eastAsia="新宋体"/>
          <w:sz w:val="22"/>
          <w:szCs w:val="22"/>
        </w:rPr>
        <w:t>。</w:t>
      </w:r>
    </w:p>
    <w:p>
      <w:pPr>
        <w:spacing w:line="440" w:lineRule="exact"/>
        <w:ind w:firstLine="442" w:firstLineChars="200"/>
        <w:rPr>
          <w:rFonts w:ascii="新宋体" w:hAnsi="新宋体" w:eastAsia="新宋体"/>
          <w:b/>
          <w:bCs/>
          <w:color w:val="auto"/>
          <w:sz w:val="22"/>
          <w:szCs w:val="22"/>
          <w:highlight w:val="none"/>
          <w:u w:val="thick"/>
        </w:rPr>
      </w:pPr>
      <w:r>
        <w:rPr>
          <w:rFonts w:hint="eastAsia" w:ascii="新宋体" w:hAnsi="新宋体" w:eastAsia="新宋体"/>
          <w:b/>
          <w:bCs/>
          <w:color w:val="auto"/>
          <w:sz w:val="22"/>
          <w:szCs w:val="22"/>
          <w:highlight w:val="none"/>
          <w:u w:val="thick"/>
        </w:rPr>
        <w:t xml:space="preserve">16.付款方式 </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1</w:t>
      </w:r>
      <w:r>
        <w:rPr>
          <w:rFonts w:hint="eastAsia" w:ascii="新宋体" w:hAnsi="新宋体" w:eastAsia="新宋体"/>
          <w:color w:val="auto"/>
          <w:sz w:val="22"/>
          <w:szCs w:val="22"/>
          <w:highlight w:val="none"/>
        </w:rPr>
        <w:t>）合同签订且</w:t>
      </w:r>
      <w:r>
        <w:rPr>
          <w:rFonts w:hint="eastAsia" w:ascii="新宋体" w:hAnsi="新宋体" w:eastAsia="新宋体"/>
          <w:color w:val="auto"/>
          <w:sz w:val="22"/>
          <w:szCs w:val="22"/>
          <w:highlight w:val="none"/>
          <w:lang w:val="en-US" w:eastAsia="zh-CN"/>
        </w:rPr>
        <w:t>收到</w:t>
      </w:r>
      <w:r>
        <w:rPr>
          <w:rFonts w:hint="eastAsia" w:ascii="新宋体" w:hAnsi="新宋体" w:eastAsia="新宋体"/>
          <w:color w:val="auto"/>
          <w:sz w:val="22"/>
          <w:szCs w:val="22"/>
          <w:highlight w:val="none"/>
        </w:rPr>
        <w:t>乙方</w:t>
      </w:r>
      <w:r>
        <w:rPr>
          <w:rFonts w:hint="eastAsia" w:ascii="新宋体" w:hAnsi="新宋体" w:eastAsia="新宋体"/>
          <w:color w:val="auto"/>
          <w:sz w:val="22"/>
          <w:szCs w:val="22"/>
          <w:highlight w:val="none"/>
          <w:lang w:val="en-US" w:eastAsia="zh-CN"/>
        </w:rPr>
        <w:t>发票后7个工作日</w:t>
      </w:r>
      <w:r>
        <w:rPr>
          <w:rFonts w:hint="eastAsia" w:ascii="新宋体" w:hAnsi="新宋体" w:eastAsia="新宋体"/>
          <w:color w:val="auto"/>
          <w:sz w:val="22"/>
          <w:szCs w:val="22"/>
          <w:highlight w:val="none"/>
        </w:rPr>
        <w:t>内，甲方向乙方支付合同总价的60%作为预付款；</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lang w:val="en-US" w:eastAsia="zh-CN"/>
        </w:rPr>
        <w:t>2</w:t>
      </w:r>
      <w:r>
        <w:rPr>
          <w:rFonts w:hint="eastAsia" w:ascii="新宋体" w:hAnsi="新宋体" w:eastAsia="新宋体"/>
          <w:color w:val="auto"/>
          <w:sz w:val="22"/>
          <w:szCs w:val="22"/>
          <w:highlight w:val="none"/>
        </w:rPr>
        <w:t>）完成全部供货和系统的安装、调试、验收合格后，</w:t>
      </w:r>
      <w:r>
        <w:rPr>
          <w:rFonts w:ascii="新宋体" w:hAnsi="新宋体" w:eastAsia="新宋体"/>
          <w:color w:val="auto"/>
          <w:sz w:val="22"/>
          <w:szCs w:val="22"/>
          <w:highlight w:val="none"/>
        </w:rPr>
        <w:t>出具正式税务发票后</w:t>
      </w:r>
      <w:r>
        <w:rPr>
          <w:rFonts w:hint="eastAsia" w:ascii="新宋体" w:hAnsi="新宋体" w:eastAsia="新宋体"/>
          <w:color w:val="auto"/>
          <w:sz w:val="22"/>
          <w:szCs w:val="22"/>
          <w:highlight w:val="none"/>
          <w:lang w:val="en-US" w:eastAsia="zh-CN"/>
        </w:rPr>
        <w:t>7</w:t>
      </w:r>
      <w:r>
        <w:rPr>
          <w:rFonts w:ascii="新宋体" w:hAnsi="新宋体" w:eastAsia="新宋体"/>
          <w:color w:val="auto"/>
          <w:sz w:val="22"/>
          <w:szCs w:val="22"/>
          <w:highlight w:val="none"/>
        </w:rPr>
        <w:t>个工作日内支付</w:t>
      </w:r>
      <w:r>
        <w:rPr>
          <w:rFonts w:hint="eastAsia" w:ascii="新宋体" w:hAnsi="新宋体" w:eastAsia="新宋体"/>
          <w:color w:val="auto"/>
          <w:sz w:val="22"/>
          <w:szCs w:val="22"/>
          <w:highlight w:val="none"/>
          <w:lang w:val="en-US" w:eastAsia="zh-CN"/>
        </w:rPr>
        <w:t>合同剩余价款</w:t>
      </w:r>
      <w:r>
        <w:rPr>
          <w:rFonts w:ascii="新宋体" w:hAnsi="新宋体" w:eastAsia="新宋体"/>
          <w:color w:val="auto"/>
          <w:sz w:val="22"/>
          <w:szCs w:val="22"/>
          <w:highlight w:val="none"/>
        </w:rPr>
        <w:t>。</w:t>
      </w:r>
    </w:p>
    <w:p>
      <w:pPr>
        <w:spacing w:line="440" w:lineRule="exact"/>
        <w:ind w:firstLine="440" w:firstLineChars="200"/>
        <w:rPr>
          <w:rFonts w:ascii="新宋体" w:hAnsi="新宋体" w:eastAsia="新宋体"/>
          <w:color w:val="auto"/>
          <w:sz w:val="22"/>
          <w:szCs w:val="22"/>
          <w:highlight w:val="none"/>
        </w:rPr>
      </w:pPr>
      <w:r>
        <w:rPr>
          <w:rFonts w:hint="eastAsia" w:ascii="新宋体" w:hAnsi="新宋体" w:eastAsia="新宋体"/>
          <w:color w:val="auto"/>
          <w:sz w:val="22"/>
          <w:szCs w:val="22"/>
          <w:highlight w:val="none"/>
        </w:rPr>
        <w:t>17.运行调试</w:t>
      </w:r>
    </w:p>
    <w:p>
      <w:pPr>
        <w:spacing w:line="440" w:lineRule="exact"/>
        <w:ind w:firstLine="440" w:firstLineChars="200"/>
        <w:rPr>
          <w:rFonts w:ascii="新宋体" w:hAnsi="新宋体" w:eastAsia="新宋体"/>
          <w:sz w:val="22"/>
          <w:szCs w:val="22"/>
        </w:rPr>
      </w:pPr>
      <w:r>
        <w:rPr>
          <w:rFonts w:hint="eastAsia" w:ascii="新宋体" w:hAnsi="新宋体" w:eastAsia="新宋体"/>
          <w:color w:val="auto"/>
          <w:sz w:val="22"/>
          <w:szCs w:val="22"/>
        </w:rPr>
        <w:t>17.1</w:t>
      </w:r>
      <w:r>
        <w:rPr>
          <w:rFonts w:hint="eastAsia" w:ascii="新宋体" w:hAnsi="新宋体" w:eastAsia="新宋体"/>
          <w:bCs/>
          <w:color w:val="auto"/>
          <w:sz w:val="22"/>
          <w:szCs w:val="22"/>
        </w:rPr>
        <w:t>设备安装就位、校准后，乙方应按事先被甲</w:t>
      </w:r>
      <w:r>
        <w:rPr>
          <w:rFonts w:hint="eastAsia" w:ascii="新宋体" w:hAnsi="新宋体" w:eastAsia="新宋体"/>
          <w:bCs/>
          <w:sz w:val="22"/>
          <w:szCs w:val="22"/>
        </w:rPr>
        <w:t>方认可的调试验收计划对设备进行调试，并对设备所标注的各项技术指标进行测试，测试报告将在设备验收完毕后提交给甲方，但乙方应对测试的各种数据的真实性负责。</w:t>
      </w:r>
      <w:r>
        <w:rPr>
          <w:rFonts w:hint="eastAsia" w:ascii="新宋体" w:hAnsi="新宋体" w:eastAsia="新宋体"/>
          <w:sz w:val="22"/>
          <w:szCs w:val="22"/>
        </w:rPr>
        <w:t>甲方也可以要求具有检测资质的第三方用专用仪器进行功能 、性能测试，乙方负责测试和调试所需的一切费用，并填写测试报告交由甲方存档。</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17.2产品最终验收前的人员及设备安全，概由乙方负责。</w:t>
      </w:r>
    </w:p>
    <w:p>
      <w:pPr>
        <w:spacing w:line="440" w:lineRule="exact"/>
        <w:ind w:firstLine="450"/>
        <w:rPr>
          <w:rFonts w:ascii="新宋体" w:hAnsi="新宋体" w:eastAsia="新宋体"/>
          <w:sz w:val="22"/>
          <w:szCs w:val="22"/>
        </w:rPr>
      </w:pPr>
      <w:r>
        <w:rPr>
          <w:rFonts w:hint="eastAsia" w:ascii="新宋体" w:hAnsi="新宋体" w:eastAsia="新宋体"/>
          <w:sz w:val="22"/>
          <w:szCs w:val="22"/>
        </w:rPr>
        <w:t>18.产品最终验收</w:t>
      </w:r>
    </w:p>
    <w:p>
      <w:pPr>
        <w:spacing w:line="440" w:lineRule="exact"/>
        <w:rPr>
          <w:rFonts w:ascii="新宋体" w:hAnsi="新宋体" w:eastAsia="新宋体"/>
          <w:sz w:val="22"/>
          <w:szCs w:val="22"/>
        </w:rPr>
      </w:pPr>
      <w:r>
        <w:rPr>
          <w:rFonts w:hint="eastAsia" w:ascii="新宋体" w:hAnsi="新宋体" w:eastAsia="新宋体"/>
          <w:sz w:val="22"/>
          <w:szCs w:val="22"/>
        </w:rPr>
        <w:t xml:space="preserve">   设备验收结束后，经过试运转考核无故障，并经有关部门检验合格后，甲、乙双方共同签署验收合格证书，提供保修证书。此项目系统设备采购为交钥匙方式提交。</w:t>
      </w:r>
    </w:p>
    <w:p>
      <w:pPr>
        <w:spacing w:line="440" w:lineRule="exact"/>
        <w:ind w:firstLine="450"/>
        <w:rPr>
          <w:rFonts w:ascii="新宋体" w:hAnsi="新宋体" w:eastAsia="新宋体"/>
          <w:sz w:val="22"/>
          <w:szCs w:val="22"/>
        </w:rPr>
      </w:pPr>
      <w:r>
        <w:rPr>
          <w:rFonts w:hint="eastAsia" w:ascii="新宋体" w:hAnsi="新宋体" w:eastAsia="新宋体"/>
          <w:sz w:val="22"/>
          <w:szCs w:val="22"/>
        </w:rPr>
        <w:t>19. 售后服务</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无论在质量保证期内还是质量保证期满后，一旦发生故障，而甲方无法自行排除时，在接到甲方通知后，乙方应在24小时内到达现场处理并及时提供备品、备件。</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20.违约责任</w:t>
      </w:r>
    </w:p>
    <w:p>
      <w:pPr>
        <w:spacing w:line="440" w:lineRule="exact"/>
        <w:rPr>
          <w:rFonts w:ascii="新宋体" w:hAnsi="新宋体" w:eastAsia="新宋体"/>
          <w:sz w:val="22"/>
          <w:szCs w:val="22"/>
        </w:rPr>
      </w:pPr>
      <w:r>
        <w:rPr>
          <w:rFonts w:hint="eastAsia" w:ascii="新宋体" w:hAnsi="新宋体" w:eastAsia="新宋体"/>
          <w:sz w:val="22"/>
          <w:szCs w:val="22"/>
        </w:rPr>
        <w:t xml:space="preserve">    20.1产品质量责任</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在产品质量保证期内，凡产品在开箱检验、安装调试、产品试运转过程中发现的产品质量问题，由乙方负责处理，实行包修、包换、包退，直至产品符合质量要求。供应商承担修理、调换、退货发生的一切费用和甲方的直接经济损失。</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乙方在接到甲方通知后，应立即派人赴现场处理产品质量问题。</w:t>
      </w:r>
    </w:p>
    <w:p>
      <w:pPr>
        <w:spacing w:line="440" w:lineRule="exact"/>
        <w:rPr>
          <w:rFonts w:ascii="新宋体" w:hAnsi="新宋体" w:eastAsia="新宋体"/>
          <w:sz w:val="22"/>
          <w:szCs w:val="22"/>
        </w:rPr>
      </w:pPr>
      <w:r>
        <w:rPr>
          <w:rFonts w:hint="eastAsia" w:ascii="新宋体" w:hAnsi="新宋体" w:eastAsia="新宋体"/>
          <w:sz w:val="22"/>
          <w:szCs w:val="22"/>
        </w:rPr>
        <w:t>由于甲方保管不善或使用不当造成设备短缺、故障或损坏，由甲方负责。但乙方保证及时给予补齐或修复。</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20.2违约赔偿</w:t>
      </w:r>
    </w:p>
    <w:p>
      <w:pPr>
        <w:spacing w:line="440" w:lineRule="exact"/>
        <w:rPr>
          <w:rFonts w:ascii="新宋体" w:hAnsi="新宋体" w:eastAsia="新宋体"/>
          <w:sz w:val="22"/>
          <w:szCs w:val="22"/>
        </w:rPr>
      </w:pPr>
      <w:r>
        <w:rPr>
          <w:rFonts w:hint="eastAsia" w:ascii="新宋体" w:hAnsi="新宋体" w:eastAsia="新宋体"/>
          <w:sz w:val="22"/>
          <w:szCs w:val="22"/>
        </w:rPr>
        <w:t xml:space="preserve">    除不可抗力外，如乙方发生不能按期交货或提供服务，甲方发生中途退货等情况，应及时以书面形式通知对方。甲、乙双方应本着友好的态度进行协商，妥善解决。如协商无效，按下列规定处以罚金。</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1)逾期交货</w:t>
      </w:r>
      <w:r>
        <w:rPr>
          <w:rFonts w:hint="eastAsia" w:ascii="新宋体" w:hAnsi="新宋体" w:eastAsia="新宋体"/>
          <w:sz w:val="22"/>
          <w:szCs w:val="22"/>
        </w:rPr>
        <w:cr/>
      </w:r>
      <w:r>
        <w:rPr>
          <w:rFonts w:hint="eastAsia" w:ascii="新宋体" w:hAnsi="新宋体" w:eastAsia="新宋体"/>
          <w:sz w:val="22"/>
          <w:szCs w:val="22"/>
        </w:rPr>
        <w:t xml:space="preserve">    乙方逾期交货，按逾期交货部分总价计算向甲方赔偿违约金，每逾期一天，按设备总价的1‰罚款。但整机中的零部件逾期交货，按整机逾期交货计算罚金。</w:t>
      </w:r>
    </w:p>
    <w:p>
      <w:pPr>
        <w:spacing w:line="440" w:lineRule="exact"/>
        <w:rPr>
          <w:rFonts w:ascii="新宋体" w:hAnsi="新宋体" w:eastAsia="新宋体"/>
          <w:sz w:val="22"/>
          <w:szCs w:val="22"/>
        </w:rPr>
      </w:pPr>
      <w:r>
        <w:rPr>
          <w:rFonts w:hint="eastAsia" w:ascii="新宋体" w:hAnsi="新宋体" w:eastAsia="新宋体"/>
          <w:sz w:val="22"/>
          <w:szCs w:val="22"/>
        </w:rPr>
        <w:t xml:space="preserve">    2)乙方不能交货或甲方中途退货</w:t>
      </w:r>
    </w:p>
    <w:p>
      <w:pPr>
        <w:spacing w:line="440" w:lineRule="exact"/>
        <w:rPr>
          <w:rFonts w:ascii="新宋体" w:hAnsi="新宋体" w:eastAsia="新宋体"/>
          <w:sz w:val="22"/>
          <w:szCs w:val="22"/>
        </w:rPr>
      </w:pPr>
      <w:r>
        <w:rPr>
          <w:rFonts w:hint="eastAsia" w:ascii="新宋体" w:hAnsi="新宋体" w:eastAsia="新宋体"/>
          <w:sz w:val="22"/>
          <w:szCs w:val="22"/>
        </w:rPr>
        <w:t xml:space="preserve">    乙方不能按合同约定的条件交货，应向甲方偿付违约金。违约金按整机货款的30%计算。整机中的零部件逾期交货，按整机逾期交货计。</w:t>
      </w:r>
      <w:r>
        <w:rPr>
          <w:rFonts w:hint="eastAsia" w:ascii="新宋体" w:hAnsi="新宋体" w:eastAsia="新宋体"/>
          <w:sz w:val="22"/>
          <w:szCs w:val="22"/>
        </w:rPr>
        <w:cr/>
      </w:r>
      <w:r>
        <w:rPr>
          <w:rFonts w:hint="eastAsia" w:ascii="新宋体" w:hAnsi="新宋体" w:eastAsia="新宋体"/>
          <w:sz w:val="22"/>
          <w:szCs w:val="22"/>
        </w:rPr>
        <w:t xml:space="preserve">    甲方中途退货，应向乙方偿付违约金。违约金的计算方法与乙方违约相同。</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 xml:space="preserve">3)逾期交货的违约赔偿最高限度为迟交货合同总价的15%如违约金达到最高限额时供应商仍不能交货，甲方可考虑终止合同,并要求乙方按照合同约定进行赔偿 。 </w:t>
      </w:r>
    </w:p>
    <w:p>
      <w:pPr>
        <w:spacing w:line="440" w:lineRule="exact"/>
        <w:ind w:firstLine="440" w:firstLineChars="200"/>
        <w:rPr>
          <w:rFonts w:ascii="新宋体" w:hAnsi="新宋体" w:eastAsia="新宋体"/>
          <w:sz w:val="22"/>
          <w:szCs w:val="22"/>
        </w:rPr>
      </w:pPr>
      <w:r>
        <w:rPr>
          <w:rFonts w:hint="eastAsia" w:ascii="新宋体" w:hAnsi="新宋体" w:eastAsia="新宋体"/>
          <w:sz w:val="22"/>
          <w:szCs w:val="22"/>
        </w:rPr>
        <w:t>4)经甲、乙双方协商同意延期交货和经双方友好协商同意退货且无需罚款者不在此例。</w:t>
      </w:r>
    </w:p>
    <w:p>
      <w:pPr>
        <w:spacing w:line="440" w:lineRule="exact"/>
        <w:rPr>
          <w:rFonts w:ascii="新宋体" w:hAnsi="新宋体" w:eastAsia="新宋体"/>
          <w:sz w:val="22"/>
          <w:szCs w:val="22"/>
        </w:rPr>
      </w:pPr>
      <w:r>
        <w:rPr>
          <w:rFonts w:hint="eastAsia" w:ascii="新宋体" w:hAnsi="新宋体" w:eastAsia="新宋体"/>
          <w:sz w:val="22"/>
          <w:szCs w:val="22"/>
        </w:rPr>
        <w:t xml:space="preserve">    21.违约终止合同</w:t>
      </w:r>
    </w:p>
    <w:p>
      <w:pPr>
        <w:spacing w:line="440" w:lineRule="exact"/>
        <w:rPr>
          <w:rFonts w:ascii="新宋体" w:hAnsi="新宋体" w:eastAsia="新宋体"/>
          <w:sz w:val="22"/>
          <w:szCs w:val="22"/>
        </w:rPr>
      </w:pPr>
      <w:r>
        <w:rPr>
          <w:rFonts w:hint="eastAsia" w:ascii="新宋体" w:hAnsi="新宋体" w:eastAsia="新宋体"/>
          <w:sz w:val="22"/>
          <w:szCs w:val="22"/>
        </w:rPr>
        <w:t xml:space="preserve">    21.1甲方在乙方存在如下违约情况时，有权考虑并提出终止全部或部分合同。</w:t>
      </w:r>
    </w:p>
    <w:p>
      <w:pPr>
        <w:spacing w:line="440" w:lineRule="exact"/>
        <w:rPr>
          <w:rFonts w:ascii="新宋体" w:hAnsi="新宋体" w:eastAsia="新宋体"/>
          <w:sz w:val="22"/>
          <w:szCs w:val="22"/>
        </w:rPr>
      </w:pPr>
      <w:r>
        <w:rPr>
          <w:rFonts w:hint="eastAsia" w:ascii="新宋体" w:hAnsi="新宋体" w:eastAsia="新宋体"/>
          <w:sz w:val="22"/>
          <w:szCs w:val="22"/>
        </w:rPr>
        <w:t xml:space="preserve">    1）乙方未能在合同规定期限或甲方同意延长的期限内交付全部或部分产品。</w:t>
      </w:r>
    </w:p>
    <w:p>
      <w:pPr>
        <w:spacing w:line="440" w:lineRule="exact"/>
        <w:rPr>
          <w:rFonts w:ascii="新宋体" w:hAnsi="新宋体" w:eastAsia="新宋体"/>
          <w:sz w:val="22"/>
          <w:szCs w:val="22"/>
        </w:rPr>
      </w:pPr>
      <w:r>
        <w:rPr>
          <w:rFonts w:hint="eastAsia" w:ascii="新宋体" w:hAnsi="新宋体" w:eastAsia="新宋体"/>
          <w:sz w:val="22"/>
          <w:szCs w:val="22"/>
        </w:rPr>
        <w:t xml:space="preserve">    2）乙方未能履行合同规定的其他义务。</w:t>
      </w:r>
    </w:p>
    <w:p>
      <w:pPr>
        <w:spacing w:line="440" w:lineRule="exact"/>
        <w:rPr>
          <w:rFonts w:ascii="新宋体" w:hAnsi="新宋体" w:eastAsia="新宋体"/>
          <w:sz w:val="22"/>
          <w:szCs w:val="22"/>
        </w:rPr>
      </w:pPr>
      <w:r>
        <w:rPr>
          <w:rFonts w:hint="eastAsia" w:ascii="新宋体" w:hAnsi="新宋体" w:eastAsia="新宋体"/>
          <w:sz w:val="22"/>
          <w:szCs w:val="22"/>
        </w:rPr>
        <w:t xml:space="preserve">    3）在发生上述情况后，乙方收到甲方的违约通知后30天内未能纠正其过失。</w:t>
      </w:r>
    </w:p>
    <w:p>
      <w:pPr>
        <w:spacing w:line="440" w:lineRule="exact"/>
        <w:rPr>
          <w:rFonts w:ascii="新宋体" w:hAnsi="新宋体" w:eastAsia="新宋体"/>
          <w:sz w:val="22"/>
          <w:szCs w:val="22"/>
        </w:rPr>
      </w:pPr>
      <w:r>
        <w:rPr>
          <w:rFonts w:hint="eastAsia" w:ascii="新宋体" w:hAnsi="新宋体" w:eastAsia="新宋体"/>
          <w:sz w:val="22"/>
          <w:szCs w:val="22"/>
        </w:rPr>
        <w:t xml:space="preserve">    21.2乙方应继续执行合同中未终止部分。</w:t>
      </w:r>
    </w:p>
    <w:p>
      <w:pPr>
        <w:spacing w:line="440" w:lineRule="exact"/>
        <w:rPr>
          <w:rFonts w:ascii="新宋体" w:hAnsi="新宋体" w:eastAsia="新宋体"/>
          <w:sz w:val="22"/>
          <w:szCs w:val="22"/>
        </w:rPr>
      </w:pPr>
      <w:r>
        <w:rPr>
          <w:rFonts w:hint="eastAsia" w:ascii="新宋体" w:hAnsi="新宋体" w:eastAsia="新宋体"/>
          <w:sz w:val="22"/>
          <w:szCs w:val="22"/>
        </w:rPr>
        <w:t xml:space="preserve">    21.3在甲方提出终止部分合同的情况下，并不解除乙方按6条规定对已交货部分产品应负的产品质量责任。</w:t>
      </w:r>
    </w:p>
    <w:p>
      <w:pPr>
        <w:spacing w:line="440" w:lineRule="exact"/>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2</w:t>
      </w:r>
      <w:r>
        <w:rPr>
          <w:rFonts w:hint="eastAsia" w:ascii="新宋体" w:hAnsi="新宋体" w:eastAsia="新宋体"/>
          <w:sz w:val="22"/>
          <w:szCs w:val="22"/>
        </w:rPr>
        <w:t>.争议解决</w:t>
      </w:r>
      <w:r>
        <w:rPr>
          <w:rFonts w:hint="eastAsia" w:ascii="新宋体" w:hAnsi="新宋体" w:eastAsia="新宋体"/>
          <w:sz w:val="22"/>
          <w:szCs w:val="22"/>
        </w:rPr>
        <w:cr/>
      </w: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2</w:t>
      </w:r>
      <w:r>
        <w:rPr>
          <w:rFonts w:hint="eastAsia" w:ascii="新宋体" w:hAnsi="新宋体" w:eastAsia="新宋体"/>
          <w:sz w:val="22"/>
          <w:szCs w:val="22"/>
        </w:rPr>
        <w:t>.1凡有关本合同或执行本合同中发生的争端，甲、乙双方应通过友好协商，妥善解决。如通过协商仍不能解决时，可向温州市仲裁委员会仲裁解决。</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3</w:t>
      </w:r>
      <w:r>
        <w:rPr>
          <w:rFonts w:hint="eastAsia" w:ascii="新宋体" w:hAnsi="新宋体" w:eastAsia="新宋体"/>
          <w:sz w:val="22"/>
          <w:szCs w:val="22"/>
        </w:rPr>
        <w:t>.适用法律：本合同按照中华人民共和国的有关法律进行解释。</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4</w:t>
      </w:r>
      <w:r>
        <w:rPr>
          <w:rFonts w:hint="eastAsia" w:ascii="新宋体" w:hAnsi="新宋体" w:eastAsia="新宋体"/>
          <w:sz w:val="22"/>
          <w:szCs w:val="22"/>
        </w:rPr>
        <w:t>.合同附件</w:t>
      </w:r>
    </w:p>
    <w:p>
      <w:pPr>
        <w:spacing w:line="440" w:lineRule="exact"/>
        <w:rPr>
          <w:rFonts w:ascii="新宋体" w:hAnsi="新宋体" w:eastAsia="新宋体"/>
          <w:sz w:val="22"/>
          <w:szCs w:val="22"/>
        </w:rPr>
      </w:pPr>
      <w:r>
        <w:rPr>
          <w:rFonts w:hint="eastAsia" w:ascii="新宋体" w:hAnsi="新宋体" w:eastAsia="新宋体"/>
          <w:sz w:val="22"/>
          <w:szCs w:val="22"/>
        </w:rPr>
        <w:t xml:space="preserve">    下列文件与本合同具有同等法律效力：</w:t>
      </w:r>
    </w:p>
    <w:p>
      <w:pPr>
        <w:spacing w:line="440" w:lineRule="exact"/>
        <w:rPr>
          <w:rFonts w:ascii="新宋体" w:hAnsi="新宋体" w:eastAsia="新宋体"/>
          <w:sz w:val="22"/>
          <w:szCs w:val="22"/>
        </w:rPr>
      </w:pPr>
      <w:r>
        <w:rPr>
          <w:rFonts w:hint="eastAsia" w:ascii="新宋体" w:hAnsi="新宋体" w:eastAsia="新宋体"/>
          <w:sz w:val="22"/>
          <w:szCs w:val="22"/>
        </w:rPr>
        <w:t xml:space="preserve">    1）招标人的采购文件与采购补充文件；</w:t>
      </w:r>
    </w:p>
    <w:p>
      <w:pPr>
        <w:spacing w:line="440" w:lineRule="exact"/>
        <w:rPr>
          <w:rFonts w:ascii="新宋体" w:hAnsi="新宋体" w:eastAsia="新宋体"/>
          <w:sz w:val="22"/>
          <w:szCs w:val="22"/>
        </w:rPr>
      </w:pPr>
      <w:r>
        <w:rPr>
          <w:rFonts w:hint="eastAsia" w:ascii="新宋体" w:hAnsi="新宋体" w:eastAsia="新宋体"/>
          <w:sz w:val="22"/>
          <w:szCs w:val="22"/>
        </w:rPr>
        <w:t xml:space="preserve">    2）中标供应商投标文件；</w:t>
      </w:r>
    </w:p>
    <w:p>
      <w:pPr>
        <w:spacing w:line="440" w:lineRule="exact"/>
        <w:rPr>
          <w:rFonts w:ascii="新宋体" w:hAnsi="新宋体" w:eastAsia="新宋体"/>
          <w:sz w:val="22"/>
          <w:szCs w:val="22"/>
        </w:rPr>
      </w:pPr>
      <w:r>
        <w:rPr>
          <w:rFonts w:hint="eastAsia" w:ascii="新宋体" w:hAnsi="新宋体" w:eastAsia="新宋体"/>
          <w:sz w:val="22"/>
          <w:szCs w:val="22"/>
        </w:rPr>
        <w:t xml:space="preserve">    3）询标纪要和承诺书。</w:t>
      </w:r>
    </w:p>
    <w:p>
      <w:pPr>
        <w:spacing w:line="440" w:lineRule="exact"/>
        <w:ind w:firstLine="450"/>
        <w:rPr>
          <w:rFonts w:ascii="新宋体" w:hAnsi="新宋体" w:eastAsia="新宋体"/>
          <w:sz w:val="22"/>
          <w:szCs w:val="22"/>
        </w:rPr>
      </w:pPr>
      <w:r>
        <w:rPr>
          <w:rFonts w:hint="eastAsia" w:ascii="新宋体" w:hAnsi="新宋体" w:eastAsia="新宋体"/>
          <w:sz w:val="22"/>
          <w:szCs w:val="22"/>
        </w:rPr>
        <w:t>4）中标通知书</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5</w:t>
      </w:r>
      <w:r>
        <w:rPr>
          <w:rFonts w:hint="eastAsia" w:ascii="新宋体" w:hAnsi="新宋体" w:eastAsia="新宋体"/>
          <w:sz w:val="22"/>
          <w:szCs w:val="22"/>
        </w:rPr>
        <w:t>.   合同生效及其他</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5</w:t>
      </w:r>
      <w:r>
        <w:rPr>
          <w:rFonts w:hint="eastAsia" w:ascii="新宋体" w:hAnsi="新宋体" w:eastAsia="新宋体"/>
          <w:sz w:val="22"/>
          <w:szCs w:val="22"/>
        </w:rPr>
        <w:t>.1  合同应在双方签字盖章</w:t>
      </w:r>
      <w:bookmarkStart w:id="130" w:name="_GoBack"/>
      <w:bookmarkEnd w:id="130"/>
      <w:r>
        <w:rPr>
          <w:rFonts w:hint="eastAsia" w:ascii="新宋体" w:hAnsi="新宋体" w:eastAsia="新宋体"/>
          <w:sz w:val="22"/>
          <w:szCs w:val="22"/>
        </w:rPr>
        <w:t>后开始生效。</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5</w:t>
      </w:r>
      <w:r>
        <w:rPr>
          <w:rFonts w:hint="eastAsia" w:ascii="新宋体" w:hAnsi="新宋体" w:eastAsia="新宋体"/>
          <w:sz w:val="22"/>
          <w:szCs w:val="22"/>
        </w:rPr>
        <w:t>.2  本合同一式柒份，双方各执叁份，招标代理有限公司执壹份，具有同等效力。</w:t>
      </w:r>
    </w:p>
    <w:p>
      <w:pPr>
        <w:spacing w:line="440" w:lineRule="exact"/>
        <w:ind w:left="440" w:hanging="440" w:hangingChars="200"/>
        <w:rPr>
          <w:rFonts w:ascii="新宋体" w:hAnsi="新宋体" w:eastAsia="新宋体"/>
          <w:sz w:val="22"/>
          <w:szCs w:val="22"/>
        </w:rPr>
      </w:pPr>
      <w:r>
        <w:rPr>
          <w:rFonts w:hint="eastAsia" w:ascii="新宋体" w:hAnsi="新宋体" w:eastAsia="新宋体"/>
          <w:sz w:val="22"/>
          <w:szCs w:val="22"/>
        </w:rPr>
        <w:t xml:space="preserve">    2</w:t>
      </w:r>
      <w:r>
        <w:rPr>
          <w:rFonts w:hint="eastAsia" w:ascii="新宋体" w:hAnsi="新宋体" w:eastAsia="新宋体"/>
          <w:sz w:val="22"/>
          <w:szCs w:val="22"/>
          <w:lang w:val="en-US" w:eastAsia="zh-CN"/>
        </w:rPr>
        <w:t>5</w:t>
      </w:r>
      <w:r>
        <w:rPr>
          <w:rFonts w:hint="eastAsia" w:ascii="新宋体" w:hAnsi="新宋体" w:eastAsia="新宋体"/>
          <w:sz w:val="22"/>
          <w:szCs w:val="22"/>
        </w:rPr>
        <w:t>.3  如需修改或补充合同内容，经协商，双方应签署书面修改或补充协议，该协议将作为本合同的一个组成部分。</w:t>
      </w: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甲方：（印章）                        乙方：（印章）</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全权代表:（签字）                    全权代表:（签字）</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地址：                               地址：</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邮政编码：                           邮政编码：</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电话：                               电话：</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传真：                               传真：</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开户银行：                           开户银行：</w:t>
      </w:r>
    </w:p>
    <w:p>
      <w:pPr>
        <w:spacing w:line="420" w:lineRule="exact"/>
        <w:ind w:firstLine="1210" w:firstLineChars="550"/>
        <w:rPr>
          <w:rFonts w:ascii="新宋体" w:hAnsi="新宋体" w:eastAsia="新宋体"/>
          <w:sz w:val="22"/>
          <w:szCs w:val="22"/>
        </w:rPr>
      </w:pPr>
      <w:r>
        <w:rPr>
          <w:rFonts w:hint="eastAsia" w:ascii="新宋体" w:hAnsi="新宋体" w:eastAsia="新宋体"/>
          <w:sz w:val="22"/>
          <w:szCs w:val="22"/>
        </w:rPr>
        <w:t>帐号：                               帐号：</w:t>
      </w: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新宋体" w:hAnsi="新宋体" w:eastAsia="新宋体"/>
          <w:sz w:val="22"/>
          <w:szCs w:val="22"/>
        </w:rPr>
      </w:pPr>
    </w:p>
    <w:p>
      <w:pPr>
        <w:spacing w:line="420" w:lineRule="exact"/>
        <w:ind w:firstLine="1210" w:firstLineChars="550"/>
        <w:rPr>
          <w:rFonts w:ascii="宋体" w:hAnsi="宋体" w:cs="宋体"/>
          <w:sz w:val="22"/>
          <w:szCs w:val="22"/>
        </w:rPr>
      </w:pPr>
      <w:r>
        <w:rPr>
          <w:rFonts w:hint="eastAsia" w:ascii="新宋体" w:hAnsi="新宋体" w:eastAsia="新宋体"/>
          <w:sz w:val="22"/>
          <w:szCs w:val="22"/>
        </w:rPr>
        <w:t xml:space="preserve">签约日期：　　　　　　　　　　　　　 签约地点：    </w:t>
      </w:r>
      <w:r>
        <w:rPr>
          <w:rFonts w:hint="eastAsia" w:ascii="宋体" w:hAnsi="宋体" w:cs="宋体"/>
          <w:b/>
          <w:sz w:val="22"/>
          <w:szCs w:val="22"/>
        </w:rPr>
        <w:t xml:space="preserve">     </w:t>
      </w:r>
    </w:p>
    <w:p>
      <w:pPr>
        <w:pStyle w:val="6"/>
        <w:spacing w:line="440" w:lineRule="exact"/>
        <w:rPr>
          <w:rFonts w:ascii="宋体" w:hAnsi="宋体" w:eastAsia="宋体" w:cs="宋体"/>
          <w:bCs w:val="0"/>
          <w:sz w:val="36"/>
          <w:szCs w:val="36"/>
        </w:rPr>
      </w:pPr>
      <w:r>
        <w:rPr>
          <w:rFonts w:hint="eastAsia" w:ascii="宋体" w:hAnsi="宋体" w:eastAsia="宋体" w:cs="宋体"/>
          <w:bCs w:val="0"/>
          <w:sz w:val="22"/>
          <w:szCs w:val="22"/>
        </w:rPr>
        <w:br w:type="page"/>
      </w:r>
      <w:r>
        <w:rPr>
          <w:rFonts w:hint="eastAsia" w:ascii="宋体" w:hAnsi="宋体" w:eastAsia="宋体" w:cs="宋体"/>
          <w:bCs w:val="0"/>
          <w:sz w:val="36"/>
          <w:szCs w:val="36"/>
        </w:rPr>
        <w:t>第四部分   投标文件格式</w:t>
      </w:r>
      <w:bookmarkEnd w:id="77"/>
      <w:bookmarkEnd w:id="78"/>
      <w:bookmarkEnd w:id="79"/>
      <w:bookmarkEnd w:id="80"/>
    </w:p>
    <w:p>
      <w:pPr>
        <w:spacing w:before="120" w:beforeLines="50" w:after="120" w:afterLines="50"/>
        <w:rPr>
          <w:rFonts w:ascii="宋体" w:hAnsi="宋体" w:cs="宋体"/>
          <w:sz w:val="22"/>
          <w:szCs w:val="22"/>
        </w:rPr>
      </w:pPr>
      <w:r>
        <w:rPr>
          <w:rFonts w:hint="eastAsia" w:ascii="宋体" w:hAnsi="宋体" w:cs="宋体"/>
          <w:sz w:val="22"/>
          <w:szCs w:val="22"/>
        </w:rPr>
        <w:t>（资格审查资料封面，供参考）</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28"/>
          <w:szCs w:val="28"/>
        </w:rPr>
      </w:pPr>
      <w:r>
        <w:rPr>
          <w:rFonts w:hint="eastAsia" w:ascii="宋体" w:hAnsi="宋体" w:cs="宋体"/>
          <w:sz w:val="28"/>
          <w:szCs w:val="28"/>
          <w:u w:val="single"/>
        </w:rPr>
        <w:t xml:space="preserve">                 （项目名称）              </w:t>
      </w:r>
      <w:r>
        <w:rPr>
          <w:rFonts w:hint="eastAsia" w:ascii="宋体" w:hAnsi="宋体" w:cs="宋体"/>
          <w:sz w:val="28"/>
          <w:szCs w:val="28"/>
        </w:rPr>
        <w:t>投标文件</w:t>
      </w:r>
    </w:p>
    <w:p>
      <w:pPr>
        <w:rPr>
          <w:rFonts w:ascii="宋体" w:hAnsi="宋体" w:cs="宋体"/>
          <w:sz w:val="28"/>
          <w:szCs w:val="28"/>
        </w:rPr>
      </w:pPr>
    </w:p>
    <w:p>
      <w:pPr>
        <w:rPr>
          <w:rFonts w:ascii="宋体" w:hAnsi="宋体" w:cs="宋体"/>
          <w:sz w:val="28"/>
          <w:szCs w:val="28"/>
        </w:rPr>
      </w:pPr>
    </w:p>
    <w:p>
      <w:pPr>
        <w:pStyle w:val="2"/>
        <w:ind w:firstLine="281"/>
        <w:rPr>
          <w:rFonts w:ascii="宋体" w:hAnsi="宋体" w:cs="宋体"/>
          <w:sz w:val="28"/>
          <w:szCs w:val="28"/>
        </w:rPr>
      </w:pPr>
    </w:p>
    <w:p>
      <w:pPr>
        <w:pStyle w:val="2"/>
        <w:ind w:firstLine="281"/>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52"/>
          <w:szCs w:val="52"/>
        </w:rPr>
      </w:pPr>
      <w:r>
        <w:rPr>
          <w:rFonts w:hint="eastAsia" w:ascii="宋体" w:hAnsi="宋体" w:cs="宋体"/>
          <w:sz w:val="52"/>
          <w:szCs w:val="52"/>
        </w:rPr>
        <w:t>资格审查资料</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jc w:val="center"/>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pPr>
        <w:rPr>
          <w:rFonts w:ascii="宋体" w:hAnsi="宋体" w:cs="宋体"/>
          <w:sz w:val="28"/>
          <w:szCs w:val="28"/>
          <w:u w:val="single"/>
        </w:rPr>
      </w:pP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rPr>
          <w:rFonts w:ascii="宋体" w:hAnsi="宋体" w:cs="宋体"/>
          <w:sz w:val="28"/>
          <w:szCs w:val="28"/>
        </w:rPr>
      </w:pPr>
    </w:p>
    <w:p>
      <w:pPr>
        <w:overflowPunct w:val="0"/>
        <w:spacing w:line="380" w:lineRule="exact"/>
        <w:ind w:firstLine="2738" w:firstLineChars="978"/>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spacing w:line="460" w:lineRule="exact"/>
        <w:jc w:val="center"/>
        <w:rPr>
          <w:rFonts w:ascii="宋体" w:hAnsi="宋体" w:cs="宋体"/>
          <w:sz w:val="22"/>
          <w:szCs w:val="22"/>
        </w:rPr>
      </w:pPr>
      <w:r>
        <w:rPr>
          <w:rFonts w:hint="eastAsia" w:ascii="宋体" w:hAnsi="宋体" w:cs="宋体"/>
          <w:sz w:val="22"/>
          <w:szCs w:val="22"/>
        </w:rPr>
        <w:br w:type="page"/>
      </w:r>
    </w:p>
    <w:p>
      <w:pPr>
        <w:jc w:val="center"/>
        <w:rPr>
          <w:rFonts w:hint="eastAsia" w:ascii="宋体" w:hAnsi="宋体" w:cs="宋体"/>
          <w:b/>
          <w:bCs/>
          <w:sz w:val="52"/>
          <w:szCs w:val="52"/>
        </w:rPr>
      </w:pPr>
      <w:bookmarkStart w:id="98" w:name="_Toc504034734"/>
      <w:bookmarkStart w:id="99" w:name="_Toc465107614"/>
      <w:r>
        <w:rPr>
          <w:rFonts w:hint="eastAsia" w:ascii="宋体" w:hAnsi="宋体" w:cs="宋体"/>
          <w:b/>
          <w:bCs/>
          <w:sz w:val="52"/>
          <w:szCs w:val="52"/>
        </w:rPr>
        <w:t>目    录</w:t>
      </w:r>
    </w:p>
    <w:p>
      <w:pPr>
        <w:pStyle w:val="75"/>
        <w:rPr>
          <w:rFonts w:hint="eastAsia" w:ascii="宋体" w:hAnsi="宋体" w:cs="宋体"/>
          <w:b/>
          <w:bCs/>
          <w:sz w:val="52"/>
          <w:szCs w:val="52"/>
        </w:rPr>
      </w:pPr>
    </w:p>
    <w:p>
      <w:pPr>
        <w:pStyle w:val="75"/>
        <w:rPr>
          <w:rFonts w:hint="eastAsia" w:ascii="宋体" w:hAnsi="宋体" w:cs="宋体"/>
          <w:b/>
          <w:bCs/>
          <w:sz w:val="52"/>
          <w:szCs w:val="52"/>
        </w:rPr>
      </w:pPr>
    </w:p>
    <w:p>
      <w:pPr>
        <w:numPr>
          <w:ilvl w:val="0"/>
          <w:numId w:val="10"/>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法定代表人（单位负责人）授权书和被授权人有效身份证明。</w:t>
      </w:r>
    </w:p>
    <w:p>
      <w:pPr>
        <w:numPr>
          <w:ilvl w:val="0"/>
          <w:numId w:val="10"/>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联合体协议书（非联合体无需提供，格式自拟）</w:t>
      </w:r>
    </w:p>
    <w:p>
      <w:pPr>
        <w:numPr>
          <w:ilvl w:val="0"/>
          <w:numId w:val="10"/>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营业执照(或事业法人登记证书或其它工商等登记证明材料)。</w:t>
      </w:r>
    </w:p>
    <w:p>
      <w:pPr>
        <w:numPr>
          <w:ilvl w:val="0"/>
          <w:numId w:val="10"/>
        </w:numPr>
        <w:spacing w:before="120" w:beforeLines="50" w:after="120" w:afterLines="50" w:line="480" w:lineRule="auto"/>
        <w:rPr>
          <w:rFonts w:hint="eastAsia" w:ascii="宋体" w:hAnsi="宋体"/>
          <w:color w:val="auto"/>
          <w:sz w:val="22"/>
          <w:szCs w:val="22"/>
          <w:highlight w:val="none"/>
        </w:rPr>
      </w:pPr>
      <w:r>
        <w:rPr>
          <w:rFonts w:hint="eastAsia" w:ascii="宋体" w:hAnsi="宋体"/>
          <w:color w:val="auto"/>
          <w:sz w:val="22"/>
          <w:szCs w:val="22"/>
          <w:highlight w:val="none"/>
        </w:rPr>
        <w:t>资格条件承诺函</w:t>
      </w:r>
    </w:p>
    <w:p>
      <w:pPr>
        <w:numPr>
          <w:ilvl w:val="0"/>
          <w:numId w:val="10"/>
        </w:numPr>
        <w:spacing w:before="120" w:beforeLines="50" w:after="120" w:afterLines="50" w:line="480" w:lineRule="auto"/>
        <w:rPr>
          <w:rFonts w:ascii="宋体" w:hAnsi="宋体"/>
          <w:color w:val="auto"/>
          <w:sz w:val="22"/>
          <w:szCs w:val="22"/>
          <w:highlight w:val="none"/>
        </w:rPr>
      </w:pPr>
      <w:r>
        <w:rPr>
          <w:rFonts w:hint="eastAsia" w:ascii="宋体" w:hAnsi="宋体"/>
          <w:color w:val="auto"/>
          <w:sz w:val="22"/>
          <w:szCs w:val="22"/>
          <w:highlight w:val="none"/>
        </w:rPr>
        <w:t>申请材料真实性声明</w:t>
      </w:r>
    </w:p>
    <w:p>
      <w:pPr>
        <w:spacing w:before="120" w:beforeLines="50" w:after="120" w:afterLines="50" w:line="480" w:lineRule="auto"/>
        <w:ind w:left="420"/>
        <w:rPr>
          <w:rFonts w:ascii="宋体" w:hAnsi="宋体" w:cs="宋体"/>
          <w:sz w:val="22"/>
          <w:szCs w:val="22"/>
        </w:rPr>
      </w:pPr>
    </w:p>
    <w:p>
      <w:pPr>
        <w:pStyle w:val="6"/>
        <w:spacing w:line="360" w:lineRule="auto"/>
        <w:ind w:left="420"/>
        <w:jc w:val="left"/>
        <w:rPr>
          <w:rFonts w:ascii="宋体" w:hAnsi="宋体" w:eastAsia="宋体" w:cs="宋体"/>
          <w:b w:val="0"/>
          <w:sz w:val="22"/>
          <w:szCs w:val="22"/>
        </w:rPr>
      </w:pPr>
    </w:p>
    <w:p>
      <w:pPr>
        <w:pStyle w:val="6"/>
        <w:spacing w:line="360" w:lineRule="auto"/>
        <w:ind w:left="420"/>
        <w:jc w:val="left"/>
        <w:rPr>
          <w:rFonts w:ascii="宋体" w:hAnsi="宋体" w:eastAsia="宋体" w:cs="宋体"/>
          <w:b w:val="0"/>
          <w:sz w:val="22"/>
          <w:szCs w:val="22"/>
        </w:rPr>
      </w:pPr>
    </w:p>
    <w:p>
      <w:pPr>
        <w:pStyle w:val="6"/>
        <w:spacing w:line="360" w:lineRule="auto"/>
        <w:ind w:left="420"/>
        <w:jc w:val="left"/>
        <w:rPr>
          <w:rFonts w:ascii="宋体" w:hAnsi="宋体" w:eastAsia="宋体" w:cs="宋体"/>
          <w:b w:val="0"/>
          <w:sz w:val="22"/>
          <w:szCs w:val="22"/>
        </w:rPr>
      </w:pPr>
    </w:p>
    <w:p>
      <w:pPr>
        <w:pStyle w:val="6"/>
        <w:spacing w:line="360" w:lineRule="auto"/>
        <w:ind w:left="420"/>
        <w:rPr>
          <w:rFonts w:ascii="宋体" w:hAnsi="宋体" w:eastAsia="宋体" w:cs="宋体"/>
          <w:b w:val="0"/>
          <w:sz w:val="22"/>
          <w:szCs w:val="22"/>
        </w:rPr>
      </w:pPr>
      <w:r>
        <w:rPr>
          <w:rFonts w:hint="eastAsia" w:ascii="宋体" w:hAnsi="宋体" w:eastAsia="宋体" w:cs="宋体"/>
          <w:b w:val="0"/>
          <w:sz w:val="22"/>
          <w:szCs w:val="22"/>
        </w:rPr>
        <w:br w:type="page"/>
      </w:r>
    </w:p>
    <w:p>
      <w:pPr>
        <w:widowControl/>
        <w:adjustRightInd w:val="0"/>
        <w:snapToGrid w:val="0"/>
        <w:spacing w:line="360" w:lineRule="auto"/>
        <w:jc w:val="center"/>
        <w:rPr>
          <w:rFonts w:ascii="宋体" w:hAnsi="宋体" w:cs="宋体"/>
          <w:b/>
          <w:kern w:val="0"/>
          <w:sz w:val="28"/>
          <w:szCs w:val="28"/>
        </w:rPr>
      </w:pPr>
      <w:r>
        <w:rPr>
          <w:rFonts w:hint="eastAsia" w:ascii="宋体" w:hAnsi="宋体" w:cs="宋体"/>
          <w:b/>
          <w:kern w:val="0"/>
          <w:sz w:val="28"/>
          <w:szCs w:val="28"/>
        </w:rPr>
        <w:t>法定代表人授权书</w:t>
      </w:r>
    </w:p>
    <w:p>
      <w:pPr>
        <w:spacing w:line="420" w:lineRule="exact"/>
        <w:rPr>
          <w:rFonts w:ascii="宋体" w:hAnsi="宋体" w:cs="宋体"/>
          <w:b/>
          <w:sz w:val="22"/>
          <w:szCs w:val="22"/>
        </w:rPr>
      </w:pPr>
    </w:p>
    <w:p>
      <w:pPr>
        <w:spacing w:line="420" w:lineRule="exact"/>
        <w:rPr>
          <w:rFonts w:ascii="宋体" w:hAnsi="宋体" w:cs="宋体"/>
          <w:sz w:val="22"/>
          <w:szCs w:val="22"/>
        </w:rPr>
      </w:pPr>
      <w:r>
        <w:rPr>
          <w:rFonts w:hint="eastAsia" w:ascii="宋体" w:hAnsi="宋体" w:cs="宋体"/>
          <w:sz w:val="22"/>
          <w:szCs w:val="22"/>
        </w:rPr>
        <w:t>温州市综合行政执法局</w:t>
      </w:r>
    </w:p>
    <w:p>
      <w:pPr>
        <w:spacing w:line="420" w:lineRule="exact"/>
        <w:rPr>
          <w:rFonts w:ascii="宋体" w:hAnsi="宋体" w:cs="宋体"/>
          <w:sz w:val="22"/>
          <w:szCs w:val="22"/>
        </w:rPr>
      </w:pPr>
      <w:r>
        <w:rPr>
          <w:rFonts w:hint="eastAsia" w:ascii="宋体" w:hAnsi="宋体" w:cs="宋体"/>
          <w:sz w:val="22"/>
          <w:szCs w:val="22"/>
        </w:rPr>
        <w:t>温州市智信招标代理有限公司：</w:t>
      </w:r>
    </w:p>
    <w:p>
      <w:pPr>
        <w:spacing w:line="460" w:lineRule="exact"/>
        <w:rPr>
          <w:rFonts w:ascii="宋体" w:hAnsi="宋体" w:cs="宋体"/>
          <w:sz w:val="22"/>
          <w:szCs w:val="22"/>
          <w:u w:val="single"/>
        </w:rPr>
      </w:pPr>
    </w:p>
    <w:p>
      <w:pPr>
        <w:spacing w:line="460" w:lineRule="exact"/>
        <w:ind w:firstLine="550" w:firstLineChars="250"/>
        <w:rPr>
          <w:rFonts w:ascii="宋体" w:hAnsi="宋体" w:cs="宋体"/>
          <w:sz w:val="22"/>
          <w:szCs w:val="22"/>
        </w:rPr>
      </w:pPr>
      <w:r>
        <w:rPr>
          <w:rFonts w:hint="eastAsia" w:ascii="宋体" w:hAnsi="宋体" w:cs="宋体"/>
          <w:sz w:val="22"/>
          <w:szCs w:val="22"/>
          <w:u w:val="single"/>
        </w:rPr>
        <w:t xml:space="preserve">                   </w:t>
      </w:r>
      <w:r>
        <w:rPr>
          <w:rFonts w:hint="eastAsia" w:ascii="宋体" w:hAnsi="宋体" w:cs="宋体"/>
          <w:sz w:val="22"/>
          <w:szCs w:val="22"/>
        </w:rPr>
        <w:t>（投标人全称）法定代表人</w:t>
      </w:r>
      <w:r>
        <w:rPr>
          <w:rFonts w:hint="eastAsia" w:ascii="宋体" w:hAnsi="宋体" w:cs="宋体"/>
          <w:sz w:val="22"/>
          <w:szCs w:val="22"/>
          <w:u w:val="single"/>
        </w:rPr>
        <w:t xml:space="preserve">            </w:t>
      </w:r>
      <w:r>
        <w:rPr>
          <w:rFonts w:hint="eastAsia" w:ascii="宋体" w:hAnsi="宋体" w:cs="宋体"/>
          <w:sz w:val="22"/>
          <w:szCs w:val="22"/>
        </w:rPr>
        <w:t>授权</w:t>
      </w:r>
      <w:r>
        <w:rPr>
          <w:rFonts w:hint="eastAsia" w:ascii="宋体" w:hAnsi="宋体" w:cs="宋体"/>
          <w:sz w:val="22"/>
          <w:szCs w:val="22"/>
          <w:u w:val="single"/>
        </w:rPr>
        <w:t xml:space="preserve">           </w:t>
      </w:r>
      <w:r>
        <w:rPr>
          <w:rFonts w:hint="eastAsia" w:ascii="宋体" w:hAnsi="宋体" w:cs="宋体"/>
          <w:sz w:val="22"/>
          <w:szCs w:val="22"/>
        </w:rPr>
        <w:t>（全权代表姓名）为全权代表，参加贵处组织的</w:t>
      </w:r>
      <w:r>
        <w:rPr>
          <w:rFonts w:hint="eastAsia" w:ascii="宋体" w:hAnsi="宋体" w:cs="宋体"/>
          <w:sz w:val="22"/>
          <w:szCs w:val="22"/>
          <w:u w:val="single"/>
        </w:rPr>
        <w:t xml:space="preserve">               </w:t>
      </w:r>
      <w:r>
        <w:rPr>
          <w:rFonts w:hint="eastAsia" w:ascii="宋体" w:hAnsi="宋体" w:cs="宋体"/>
          <w:sz w:val="22"/>
          <w:szCs w:val="22"/>
        </w:rPr>
        <w:t>（采购项目名称、编号）的采购活动，全权代表我方处理采购活动中的一切事宜。</w:t>
      </w:r>
    </w:p>
    <w:p>
      <w:pPr>
        <w:spacing w:line="460" w:lineRule="exact"/>
        <w:ind w:firstLine="2955"/>
        <w:rPr>
          <w:rFonts w:ascii="宋体" w:hAnsi="宋体" w:cs="宋体"/>
          <w:sz w:val="22"/>
          <w:szCs w:val="22"/>
        </w:rPr>
      </w:pPr>
    </w:p>
    <w:p>
      <w:pPr>
        <w:spacing w:line="460" w:lineRule="exact"/>
        <w:ind w:firstLine="2955"/>
        <w:rPr>
          <w:rFonts w:ascii="宋体" w:hAnsi="宋体" w:cs="宋体"/>
          <w:sz w:val="22"/>
          <w:szCs w:val="22"/>
        </w:rPr>
      </w:pPr>
      <w:r>
        <w:rPr>
          <w:rFonts w:hint="eastAsia" w:ascii="宋体" w:hAnsi="宋体" w:cs="宋体"/>
          <w:sz w:val="22"/>
          <w:szCs w:val="22"/>
        </w:rPr>
        <w:t xml:space="preserve">         </w:t>
      </w:r>
    </w:p>
    <w:p>
      <w:pPr>
        <w:spacing w:line="460" w:lineRule="exact"/>
        <w:ind w:firstLine="3971" w:firstLineChars="1805"/>
        <w:rPr>
          <w:rFonts w:ascii="宋体" w:hAnsi="宋体" w:cs="宋体"/>
          <w:sz w:val="22"/>
          <w:szCs w:val="22"/>
        </w:rPr>
      </w:pPr>
      <w:r>
        <w:rPr>
          <w:rFonts w:hint="eastAsia" w:ascii="宋体" w:hAnsi="宋体" w:cs="宋体"/>
          <w:sz w:val="22"/>
          <w:szCs w:val="22"/>
        </w:rPr>
        <w:t>法定代表人 (签字或盖章)：</w:t>
      </w:r>
    </w:p>
    <w:p>
      <w:pPr>
        <w:spacing w:line="460" w:lineRule="exact"/>
        <w:ind w:firstLine="2955"/>
        <w:rPr>
          <w:rFonts w:ascii="宋体" w:hAnsi="宋体" w:cs="宋体"/>
          <w:sz w:val="22"/>
          <w:szCs w:val="22"/>
        </w:rPr>
      </w:pPr>
      <w:r>
        <w:rPr>
          <w:rFonts w:hint="eastAsia" w:ascii="宋体" w:hAnsi="宋体" w:cs="宋体"/>
          <w:sz w:val="22"/>
          <w:szCs w:val="22"/>
        </w:rPr>
        <w:t xml:space="preserve">         投标人全称（公章）：</w:t>
      </w:r>
    </w:p>
    <w:p>
      <w:pPr>
        <w:spacing w:line="460" w:lineRule="exact"/>
        <w:ind w:firstLine="2955"/>
        <w:rPr>
          <w:rFonts w:ascii="宋体" w:hAnsi="宋体" w:cs="宋体"/>
          <w:sz w:val="22"/>
          <w:szCs w:val="22"/>
        </w:rPr>
      </w:pPr>
      <w:r>
        <w:rPr>
          <w:rFonts w:hint="eastAsia" w:ascii="宋体" w:hAnsi="宋体" w:cs="宋体"/>
          <w:sz w:val="22"/>
          <w:szCs w:val="22"/>
        </w:rPr>
        <w:t xml:space="preserve">         日期：     年    月   日</w:t>
      </w:r>
    </w:p>
    <w:p>
      <w:pPr>
        <w:spacing w:line="460" w:lineRule="exact"/>
        <w:rPr>
          <w:rFonts w:ascii="宋体" w:hAnsi="宋体" w:cs="宋体"/>
          <w:sz w:val="22"/>
          <w:szCs w:val="22"/>
        </w:rPr>
      </w:pPr>
    </w:p>
    <w:p>
      <w:pPr>
        <w:spacing w:line="460" w:lineRule="exact"/>
        <w:rPr>
          <w:rFonts w:ascii="宋体" w:hAnsi="宋体" w:cs="宋体"/>
          <w:sz w:val="22"/>
          <w:szCs w:val="22"/>
        </w:rPr>
      </w:pPr>
      <w:r>
        <w:rPr>
          <w:rFonts w:hint="eastAsia" w:ascii="宋体" w:hAnsi="宋体" w:cs="宋体"/>
          <w:sz w:val="22"/>
          <w:szCs w:val="22"/>
        </w:rPr>
        <w:t>附：</w:t>
      </w:r>
    </w:p>
    <w:p>
      <w:pPr>
        <w:spacing w:line="460" w:lineRule="exact"/>
        <w:ind w:firstLine="220" w:firstLineChars="100"/>
        <w:rPr>
          <w:rFonts w:ascii="宋体" w:hAnsi="宋体" w:cs="宋体"/>
          <w:sz w:val="22"/>
          <w:szCs w:val="22"/>
        </w:rPr>
      </w:pPr>
      <w:r>
        <w:rPr>
          <w:rFonts w:hint="eastAsia" w:ascii="宋体" w:hAnsi="宋体" w:cs="宋体"/>
          <w:sz w:val="22"/>
          <w:szCs w:val="22"/>
        </w:rPr>
        <w:t>授权代表姓名：</w:t>
      </w:r>
    </w:p>
    <w:p>
      <w:pPr>
        <w:spacing w:line="460" w:lineRule="exact"/>
        <w:ind w:firstLine="220" w:firstLineChars="100"/>
        <w:rPr>
          <w:rFonts w:ascii="宋体" w:hAnsi="宋体" w:cs="宋体"/>
          <w:sz w:val="22"/>
          <w:szCs w:val="22"/>
        </w:rPr>
      </w:pPr>
      <w:r>
        <w:rPr>
          <w:rFonts w:hint="eastAsia" w:ascii="宋体" w:hAnsi="宋体" w:cs="宋体"/>
          <w:sz w:val="22"/>
          <w:szCs w:val="22"/>
        </w:rPr>
        <w:t>职务：</w:t>
      </w:r>
    </w:p>
    <w:p>
      <w:pPr>
        <w:spacing w:line="460" w:lineRule="exact"/>
        <w:ind w:firstLine="220" w:firstLineChars="100"/>
        <w:rPr>
          <w:rFonts w:ascii="宋体" w:hAnsi="宋体" w:cs="宋体"/>
          <w:sz w:val="22"/>
          <w:szCs w:val="22"/>
        </w:rPr>
      </w:pPr>
      <w:r>
        <w:rPr>
          <w:rFonts w:hint="eastAsia" w:ascii="宋体" w:hAnsi="宋体" w:cs="宋体"/>
          <w:sz w:val="22"/>
          <w:szCs w:val="22"/>
        </w:rPr>
        <w:t>详细通讯地址：</w:t>
      </w:r>
    </w:p>
    <w:p>
      <w:pPr>
        <w:spacing w:line="460" w:lineRule="exact"/>
        <w:ind w:firstLine="220" w:firstLineChars="100"/>
        <w:rPr>
          <w:rFonts w:ascii="宋体" w:hAnsi="宋体" w:cs="宋体"/>
          <w:sz w:val="22"/>
          <w:szCs w:val="22"/>
        </w:rPr>
      </w:pPr>
      <w:r>
        <w:rPr>
          <w:rFonts w:hint="eastAsia" w:ascii="宋体" w:hAnsi="宋体" w:cs="宋体"/>
          <w:sz w:val="22"/>
          <w:szCs w:val="22"/>
        </w:rPr>
        <w:t>电话：</w:t>
      </w:r>
    </w:p>
    <w:p>
      <w:pPr>
        <w:spacing w:line="460" w:lineRule="exact"/>
        <w:ind w:firstLine="220" w:firstLineChars="100"/>
        <w:rPr>
          <w:rFonts w:ascii="宋体" w:hAnsi="宋体" w:cs="宋体"/>
          <w:sz w:val="22"/>
          <w:szCs w:val="22"/>
        </w:rPr>
      </w:pPr>
      <w:r>
        <w:rPr>
          <w:rFonts w:hint="eastAsia" w:ascii="宋体" w:hAnsi="宋体" w:cs="宋体"/>
          <w:sz w:val="22"/>
          <w:szCs w:val="22"/>
        </w:rPr>
        <w:t>传真：</w:t>
      </w:r>
    </w:p>
    <w:p>
      <w:pPr>
        <w:spacing w:line="460" w:lineRule="exact"/>
        <w:ind w:firstLine="220" w:firstLineChars="100"/>
        <w:rPr>
          <w:rFonts w:ascii="宋体" w:hAnsi="宋体" w:cs="宋体"/>
          <w:sz w:val="22"/>
          <w:szCs w:val="22"/>
        </w:rPr>
      </w:pPr>
      <w:r>
        <w:rPr>
          <w:rFonts w:hint="eastAsia" w:ascii="宋体" w:hAnsi="宋体" w:cs="宋体"/>
          <w:sz w:val="22"/>
          <w:szCs w:val="22"/>
        </w:rPr>
        <w:t>邮政编码:</w:t>
      </w:r>
    </w:p>
    <w:tbl>
      <w:tblPr>
        <w:tblStyle w:val="56"/>
        <w:tblW w:w="0" w:type="auto"/>
        <w:tblInd w:w="42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7" w:hRule="atLeast"/>
        </w:trPr>
        <w:tc>
          <w:tcPr>
            <w:tcW w:w="4864" w:type="dxa"/>
            <w:vAlign w:val="center"/>
          </w:tcPr>
          <w:p>
            <w:pPr>
              <w:spacing w:line="380" w:lineRule="exact"/>
              <w:jc w:val="center"/>
              <w:rPr>
                <w:rFonts w:ascii="宋体" w:hAnsi="宋体" w:cs="宋体"/>
                <w:b/>
                <w:sz w:val="28"/>
                <w:szCs w:val="28"/>
              </w:rPr>
            </w:pPr>
            <w:r>
              <w:rPr>
                <w:rFonts w:hint="eastAsia" w:ascii="宋体" w:hAnsi="宋体" w:cs="宋体"/>
                <w:b/>
                <w:sz w:val="28"/>
                <w:szCs w:val="28"/>
              </w:rPr>
              <w:t>投标人代表身份证扫描件</w:t>
            </w:r>
          </w:p>
          <w:p>
            <w:pPr>
              <w:spacing w:line="380" w:lineRule="exact"/>
              <w:jc w:val="center"/>
              <w:rPr>
                <w:rFonts w:ascii="宋体" w:hAnsi="宋体" w:cs="宋体"/>
                <w:b/>
                <w:bCs/>
                <w:sz w:val="28"/>
              </w:rPr>
            </w:pPr>
          </w:p>
        </w:tc>
      </w:tr>
    </w:tbl>
    <w:p>
      <w:pPr>
        <w:pStyle w:val="6"/>
        <w:jc w:val="center"/>
        <w:rPr>
          <w:rFonts w:hint="eastAsia" w:ascii="新宋体" w:hAnsi="新宋体" w:eastAsia="新宋体" w:cs="新宋体"/>
          <w:b/>
          <w:kern w:val="0"/>
          <w:sz w:val="28"/>
          <w:szCs w:val="28"/>
        </w:rPr>
      </w:pPr>
      <w:r>
        <w:rPr>
          <w:rFonts w:hint="eastAsia" w:ascii="宋体" w:hAnsi="宋体" w:cs="宋体"/>
          <w:sz w:val="22"/>
          <w:szCs w:val="22"/>
        </w:rPr>
        <w:br w:type="page"/>
      </w:r>
      <w:r>
        <w:rPr>
          <w:rFonts w:hint="eastAsia" w:ascii="新宋体" w:hAnsi="新宋体" w:eastAsia="新宋体" w:cs="新宋体"/>
          <w:b/>
          <w:kern w:val="0"/>
          <w:sz w:val="28"/>
          <w:szCs w:val="28"/>
        </w:rPr>
        <w:t>资格条件承诺函</w:t>
      </w:r>
    </w:p>
    <w:p>
      <w:pPr>
        <w:spacing w:line="440" w:lineRule="exact"/>
        <w:ind w:right="-153" w:rightChars="-73"/>
        <w:rPr>
          <w:rFonts w:hint="eastAsia" w:ascii="宋体" w:hAnsi="宋体" w:cs="宋体"/>
          <w:sz w:val="22"/>
          <w:szCs w:val="22"/>
        </w:rPr>
      </w:pPr>
    </w:p>
    <w:p>
      <w:pPr>
        <w:spacing w:line="420" w:lineRule="exact"/>
        <w:rPr>
          <w:rFonts w:hint="eastAsia" w:ascii="宋体" w:hAnsi="宋体"/>
          <w:color w:val="auto"/>
          <w:sz w:val="22"/>
          <w:szCs w:val="22"/>
          <w:highlight w:val="none"/>
        </w:rPr>
      </w:pPr>
      <w:r>
        <w:rPr>
          <w:rFonts w:hint="eastAsia" w:ascii="宋体" w:hAnsi="宋体"/>
          <w:color w:val="auto"/>
          <w:sz w:val="22"/>
          <w:szCs w:val="22"/>
          <w:highlight w:val="none"/>
        </w:rPr>
        <w:t>温州市综合行政执法局</w:t>
      </w:r>
    </w:p>
    <w:p>
      <w:pPr>
        <w:spacing w:line="420" w:lineRule="exact"/>
        <w:rPr>
          <w:rFonts w:hint="eastAsia" w:ascii="新宋体" w:hAnsi="新宋体" w:eastAsia="新宋体" w:cs="新宋体"/>
          <w:sz w:val="22"/>
          <w:szCs w:val="22"/>
        </w:rPr>
      </w:pPr>
      <w:r>
        <w:rPr>
          <w:rFonts w:hint="eastAsia" w:ascii="宋体" w:hAnsi="宋体"/>
          <w:color w:val="auto"/>
          <w:sz w:val="22"/>
          <w:szCs w:val="22"/>
          <w:highlight w:val="none"/>
        </w:rPr>
        <w:t>温州市智信招标代理有限公司：</w:t>
      </w:r>
    </w:p>
    <w:p>
      <w:pPr>
        <w:shd w:val="clear" w:color="auto" w:fill="FFFFFF"/>
        <w:snapToGrid w:val="0"/>
        <w:spacing w:line="440" w:lineRule="exact"/>
        <w:rPr>
          <w:rFonts w:hint="eastAsia" w:ascii="宋体" w:hAnsi="宋体" w:cs="宋体"/>
          <w:sz w:val="22"/>
          <w:szCs w:val="22"/>
        </w:rPr>
      </w:pPr>
    </w:p>
    <w:p>
      <w:pPr>
        <w:widowControl/>
        <w:spacing w:line="440" w:lineRule="exact"/>
        <w:ind w:firstLine="440" w:firstLineChars="200"/>
        <w:rPr>
          <w:rFonts w:hint="eastAsia" w:ascii="宋体" w:hAnsi="宋体" w:cs="宋体"/>
          <w:sz w:val="22"/>
          <w:szCs w:val="22"/>
        </w:rPr>
      </w:pPr>
      <w:r>
        <w:rPr>
          <w:rFonts w:hint="eastAsia" w:ascii="宋体" w:hAnsi="宋体" w:cs="宋体"/>
          <w:sz w:val="22"/>
          <w:szCs w:val="22"/>
        </w:rPr>
        <w:t>我方参与</w:t>
      </w:r>
      <w:r>
        <w:rPr>
          <w:rFonts w:hint="eastAsia" w:ascii="宋体" w:hAnsi="宋体" w:cs="宋体"/>
          <w:sz w:val="22"/>
          <w:szCs w:val="22"/>
          <w:u w:val="single"/>
        </w:rPr>
        <w:t xml:space="preserve">                          </w:t>
      </w:r>
      <w:r>
        <w:rPr>
          <w:rFonts w:hint="eastAsia" w:ascii="宋体" w:hAnsi="宋体" w:cs="宋体"/>
          <w:sz w:val="22"/>
          <w:szCs w:val="22"/>
        </w:rPr>
        <w:t>（采购项目名称、编号）</w:t>
      </w:r>
      <w:r>
        <w:rPr>
          <w:rFonts w:hint="eastAsia" w:ascii="宋体" w:hAnsi="宋体" w:cs="宋体"/>
          <w:sz w:val="22"/>
          <w:szCs w:val="22"/>
          <w:lang w:val="en-US" w:eastAsia="zh-CN"/>
        </w:rPr>
        <w:t>投标</w:t>
      </w:r>
      <w:r>
        <w:rPr>
          <w:rFonts w:hint="eastAsia" w:ascii="宋体" w:hAnsi="宋体" w:cs="宋体"/>
          <w:sz w:val="22"/>
          <w:szCs w:val="22"/>
          <w:lang w:eastAsia="zh-CN"/>
        </w:rPr>
        <w:t>响应</w:t>
      </w:r>
      <w:r>
        <w:rPr>
          <w:rFonts w:hint="eastAsia" w:ascii="宋体" w:hAnsi="宋体" w:cs="宋体"/>
          <w:sz w:val="22"/>
          <w:szCs w:val="22"/>
        </w:rPr>
        <w:t>，现郑重承诺：</w:t>
      </w:r>
    </w:p>
    <w:p>
      <w:pPr>
        <w:widowControl/>
        <w:spacing w:line="440" w:lineRule="exact"/>
        <w:ind w:firstLine="440" w:firstLineChars="200"/>
        <w:rPr>
          <w:rFonts w:hint="eastAsia" w:ascii="宋体" w:hAnsi="宋体" w:cs="宋体"/>
          <w:sz w:val="22"/>
          <w:szCs w:val="22"/>
        </w:rPr>
      </w:pPr>
      <w:r>
        <w:rPr>
          <w:rFonts w:hint="eastAsia" w:ascii="宋体" w:hAnsi="宋体" w:cs="宋体"/>
          <w:sz w:val="22"/>
          <w:szCs w:val="22"/>
          <w:lang w:val="en-US" w:eastAsia="zh-CN"/>
        </w:rPr>
        <w:t>1.</w:t>
      </w:r>
      <w:r>
        <w:rPr>
          <w:rFonts w:hint="eastAsia" w:ascii="宋体" w:hAnsi="宋体" w:cs="宋体"/>
          <w:sz w:val="22"/>
          <w:szCs w:val="22"/>
        </w:rPr>
        <w:t>我方符合《</w:t>
      </w:r>
      <w:r>
        <w:rPr>
          <w:rFonts w:hint="eastAsia" w:ascii="宋体" w:hAnsi="宋体" w:cs="宋体"/>
          <w:sz w:val="22"/>
          <w:szCs w:val="22"/>
          <w:lang w:eastAsia="zh-CN"/>
        </w:rPr>
        <w:t>中华人民共和国政府采购法</w:t>
      </w:r>
      <w:r>
        <w:rPr>
          <w:rFonts w:hint="eastAsia" w:ascii="宋体" w:hAnsi="宋体" w:cs="宋体"/>
          <w:sz w:val="22"/>
          <w:szCs w:val="22"/>
        </w:rPr>
        <w:t>》第</w:t>
      </w:r>
      <w:r>
        <w:rPr>
          <w:rFonts w:hint="eastAsia" w:ascii="宋体" w:hAnsi="宋体" w:cs="宋体"/>
          <w:sz w:val="22"/>
          <w:szCs w:val="22"/>
          <w:lang w:eastAsia="zh-CN"/>
        </w:rPr>
        <w:t>二十二</w:t>
      </w:r>
      <w:r>
        <w:rPr>
          <w:rFonts w:hint="eastAsia" w:ascii="宋体" w:hAnsi="宋体" w:cs="宋体"/>
          <w:sz w:val="22"/>
          <w:szCs w:val="22"/>
        </w:rPr>
        <w:t>条规定的资格条件，即</w:t>
      </w:r>
    </w:p>
    <w:p>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（1）我方具有独立承担民事责任的能力；</w:t>
      </w:r>
    </w:p>
    <w:p>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（2）我方具有良好的商业信誉和健全的财务会计制度；</w:t>
      </w:r>
    </w:p>
    <w:p>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（3）我方具有履行合同所必需的设备和专业技术能力；</w:t>
      </w:r>
    </w:p>
    <w:p>
      <w:pPr>
        <w:widowControl/>
        <w:snapToGrid w:val="0"/>
        <w:spacing w:line="440" w:lineRule="exact"/>
        <w:ind w:left="420" w:leftChars="200"/>
        <w:jc w:val="left"/>
        <w:rPr>
          <w:rFonts w:hint="eastAsia" w:ascii="宋体" w:hAnsi="宋体" w:cs="宋体"/>
          <w:kern w:val="0"/>
          <w:sz w:val="22"/>
          <w:szCs w:val="22"/>
        </w:rPr>
      </w:pPr>
      <w:r>
        <w:rPr>
          <w:rFonts w:hint="eastAsia" w:ascii="宋体" w:hAnsi="宋体" w:cs="宋体"/>
          <w:kern w:val="0"/>
          <w:sz w:val="22"/>
          <w:szCs w:val="22"/>
        </w:rPr>
        <w:t>（4）我方有依法缴纳税收和社会保障资金的良好记录；</w:t>
      </w:r>
    </w:p>
    <w:p>
      <w:pPr>
        <w:widowControl/>
        <w:snapToGrid w:val="0"/>
        <w:spacing w:line="440" w:lineRule="exact"/>
        <w:ind w:left="970" w:leftChars="200" w:hanging="550" w:hangingChars="250"/>
        <w:jc w:val="left"/>
        <w:rPr>
          <w:rFonts w:hint="eastAsia" w:ascii="宋体" w:hAnsi="宋体" w:cs="宋体"/>
          <w:kern w:val="0"/>
          <w:sz w:val="22"/>
          <w:szCs w:val="22"/>
        </w:rPr>
      </w:pPr>
      <w:r>
        <w:rPr>
          <w:rFonts w:hint="eastAsia" w:ascii="宋体" w:hAnsi="宋体" w:cs="宋体"/>
          <w:kern w:val="0"/>
          <w:sz w:val="22"/>
          <w:szCs w:val="22"/>
        </w:rPr>
        <w:t>（5）我方参加本次</w:t>
      </w:r>
      <w:r>
        <w:rPr>
          <w:rFonts w:hint="eastAsia" w:ascii="宋体" w:hAnsi="宋体" w:cs="宋体"/>
          <w:kern w:val="0"/>
          <w:sz w:val="22"/>
          <w:szCs w:val="22"/>
          <w:lang w:eastAsia="zh-CN"/>
        </w:rPr>
        <w:t>政府采购</w:t>
      </w:r>
      <w:r>
        <w:rPr>
          <w:rFonts w:hint="eastAsia" w:ascii="宋体" w:hAnsi="宋体" w:cs="宋体"/>
          <w:kern w:val="0"/>
          <w:sz w:val="22"/>
          <w:szCs w:val="22"/>
        </w:rPr>
        <w:t>活动前3年内在经营活动中没有重大违法记录（没有因违法经营受到刑事处罚，没有被责令停产停业、被吊销许可证或者执照、被处以较大数额罚款等行政处罚，没有因违法经营被禁止参加政府采购活动的期限未满情形）。</w:t>
      </w:r>
    </w:p>
    <w:p>
      <w:pPr>
        <w:widowControl/>
        <w:snapToGrid w:val="0"/>
        <w:spacing w:line="440" w:lineRule="exact"/>
        <w:ind w:firstLine="440" w:firstLineChars="200"/>
        <w:jc w:val="left"/>
        <w:rPr>
          <w:rFonts w:hint="eastAsia" w:ascii="宋体" w:hAnsi="宋体" w:cs="宋体"/>
          <w:kern w:val="0"/>
          <w:sz w:val="22"/>
          <w:szCs w:val="22"/>
        </w:rPr>
      </w:pPr>
      <w:r>
        <w:rPr>
          <w:rFonts w:hint="eastAsia" w:ascii="宋体" w:hAnsi="宋体" w:cs="宋体"/>
          <w:kern w:val="0"/>
          <w:sz w:val="22"/>
          <w:szCs w:val="22"/>
          <w:lang w:val="en-US" w:eastAsia="zh-CN"/>
        </w:rPr>
        <w:t>2.</w:t>
      </w:r>
      <w:r>
        <w:rPr>
          <w:rFonts w:hint="eastAsia" w:ascii="宋体" w:hAnsi="宋体" w:cs="宋体"/>
          <w:kern w:val="0"/>
          <w:sz w:val="22"/>
          <w:szCs w:val="22"/>
        </w:rPr>
        <w:t>到本项目投标截止时间为止，我方未被“信用中国（</w:t>
      </w:r>
      <w:r>
        <w:rPr>
          <w:rFonts w:hint="eastAsia" w:ascii="宋体" w:hAnsi="宋体" w:cs="宋体"/>
          <w:kern w:val="0"/>
          <w:sz w:val="22"/>
          <w:szCs w:val="22"/>
        </w:rPr>
        <w:fldChar w:fldCharType="begin"/>
      </w:r>
      <w:r>
        <w:rPr>
          <w:rFonts w:hint="eastAsia" w:ascii="宋体" w:hAnsi="宋体" w:cs="宋体"/>
          <w:kern w:val="0"/>
          <w:sz w:val="22"/>
          <w:szCs w:val="22"/>
        </w:rPr>
        <w:instrText xml:space="preserve"> HYPERLINK "http://www.creditchina.gov.cn）、" </w:instrText>
      </w:r>
      <w:r>
        <w:rPr>
          <w:rFonts w:hint="eastAsia" w:ascii="宋体" w:hAnsi="宋体" w:cs="宋体"/>
          <w:kern w:val="0"/>
          <w:sz w:val="22"/>
          <w:szCs w:val="22"/>
        </w:rPr>
        <w:fldChar w:fldCharType="separate"/>
      </w:r>
      <w:r>
        <w:rPr>
          <w:rStyle w:val="68"/>
          <w:rFonts w:hint="eastAsia" w:ascii="宋体" w:hAnsi="宋体" w:cs="宋体"/>
          <w:color w:val="auto"/>
          <w:kern w:val="0"/>
          <w:sz w:val="22"/>
          <w:szCs w:val="22"/>
        </w:rPr>
        <w:t>www.creditchina.gov.cn）、</w:t>
      </w:r>
      <w:r>
        <w:rPr>
          <w:rFonts w:hint="eastAsia" w:ascii="宋体" w:hAnsi="宋体" w:cs="宋体"/>
          <w:kern w:val="0"/>
          <w:sz w:val="22"/>
          <w:szCs w:val="22"/>
        </w:rPr>
        <w:fldChar w:fldCharType="end"/>
      </w:r>
      <w:r>
        <w:rPr>
          <w:rFonts w:hint="eastAsia" w:ascii="宋体" w:hAnsi="宋体" w:cs="宋体"/>
          <w:kern w:val="0"/>
          <w:sz w:val="22"/>
          <w:szCs w:val="22"/>
        </w:rPr>
        <w:t xml:space="preserve"> 中国政府采购网（www.ccgp.gov.cn）列入失信被执行人名单、重大税收违法案件当事人名单、政府采购严重违法失信行为记录名单。</w:t>
      </w:r>
    </w:p>
    <w:p>
      <w:pPr>
        <w:widowControl/>
        <w:snapToGrid w:val="0"/>
        <w:spacing w:line="440" w:lineRule="exact"/>
        <w:ind w:firstLine="440" w:firstLineChars="200"/>
        <w:jc w:val="left"/>
        <w:rPr>
          <w:rFonts w:hint="eastAsia" w:ascii="宋体" w:hAnsi="宋体" w:cs="宋体"/>
          <w:kern w:val="0"/>
          <w:sz w:val="22"/>
          <w:szCs w:val="22"/>
        </w:rPr>
      </w:pPr>
    </w:p>
    <w:p>
      <w:pPr>
        <w:widowControl/>
        <w:snapToGrid w:val="0"/>
        <w:spacing w:line="440" w:lineRule="exact"/>
        <w:ind w:left="210" w:leftChars="100"/>
        <w:jc w:val="left"/>
        <w:rPr>
          <w:rFonts w:hint="eastAsia" w:ascii="宋体" w:hAnsi="宋体" w:cs="宋体"/>
          <w:kern w:val="0"/>
          <w:sz w:val="22"/>
          <w:szCs w:val="22"/>
        </w:rPr>
      </w:pPr>
      <w:r>
        <w:rPr>
          <w:rFonts w:hint="eastAsia" w:ascii="宋体" w:hAnsi="宋体" w:cs="宋体"/>
          <w:kern w:val="0"/>
          <w:sz w:val="22"/>
          <w:szCs w:val="22"/>
        </w:rPr>
        <w:t>以上承诺如有虚假，</w:t>
      </w:r>
      <w:r>
        <w:rPr>
          <w:rFonts w:hint="eastAsia" w:ascii="宋体" w:hAnsi="宋体" w:cs="宋体"/>
          <w:sz w:val="22"/>
          <w:szCs w:val="22"/>
        </w:rPr>
        <w:t>愿接受取消</w:t>
      </w:r>
      <w:r>
        <w:rPr>
          <w:rFonts w:hint="eastAsia" w:ascii="宋体" w:hAnsi="宋体" w:cs="宋体"/>
          <w:kern w:val="0"/>
          <w:sz w:val="22"/>
          <w:szCs w:val="22"/>
        </w:rPr>
        <w:t>我方任何资格（投标/中标/签订合同）</w:t>
      </w:r>
      <w:r>
        <w:rPr>
          <w:rFonts w:hint="eastAsia" w:ascii="宋体" w:hAnsi="宋体" w:cs="宋体"/>
          <w:sz w:val="22"/>
          <w:szCs w:val="22"/>
        </w:rPr>
        <w:t>及其他任何形式的处理。</w:t>
      </w:r>
    </w:p>
    <w:p>
      <w:pPr>
        <w:pStyle w:val="32"/>
        <w:spacing w:line="600" w:lineRule="exact"/>
        <w:ind w:firstLine="4840" w:firstLineChars="2200"/>
        <w:rPr>
          <w:rFonts w:hint="eastAsia" w:hAnsi="宋体" w:cs="宋体"/>
          <w:sz w:val="22"/>
          <w:szCs w:val="22"/>
        </w:rPr>
      </w:pPr>
    </w:p>
    <w:p>
      <w:pPr>
        <w:tabs>
          <w:tab w:val="left" w:pos="840"/>
        </w:tabs>
        <w:adjustRightInd w:val="0"/>
        <w:snapToGrid w:val="0"/>
        <w:spacing w:line="360" w:lineRule="auto"/>
        <w:ind w:left="420" w:leftChars="200" w:firstLine="330" w:firstLineChars="150"/>
        <w:rPr>
          <w:rFonts w:hint="eastAsia" w:ascii="新宋体" w:hAnsi="新宋体" w:eastAsia="新宋体" w:cs="新宋体"/>
          <w:sz w:val="22"/>
          <w:szCs w:val="22"/>
        </w:rPr>
      </w:pPr>
      <w:r>
        <w:rPr>
          <w:rFonts w:hint="eastAsia" w:ascii="新宋体" w:hAnsi="新宋体" w:eastAsia="新宋体" w:cs="新宋体"/>
          <w:sz w:val="22"/>
          <w:szCs w:val="22"/>
        </w:rPr>
        <w:t xml:space="preserve">供应商名称（盖章）                  </w:t>
      </w:r>
    </w:p>
    <w:p>
      <w:pPr>
        <w:tabs>
          <w:tab w:val="left" w:pos="840"/>
        </w:tabs>
        <w:adjustRightInd w:val="0"/>
        <w:snapToGrid w:val="0"/>
        <w:spacing w:line="360" w:lineRule="auto"/>
        <w:ind w:left="420" w:leftChars="200" w:firstLine="330" w:firstLineChars="150"/>
        <w:rPr>
          <w:rFonts w:hint="eastAsia" w:ascii="新宋体" w:hAnsi="新宋体" w:eastAsia="新宋体" w:cs="新宋体"/>
          <w:sz w:val="22"/>
          <w:szCs w:val="22"/>
        </w:rPr>
      </w:pPr>
      <w:r>
        <w:rPr>
          <w:rFonts w:hint="eastAsia" w:ascii="新宋体" w:hAnsi="新宋体" w:eastAsia="新宋体" w:cs="新宋体"/>
          <w:sz w:val="22"/>
          <w:szCs w:val="22"/>
        </w:rPr>
        <w:t xml:space="preserve">供应商代表（签字）                   </w:t>
      </w:r>
    </w:p>
    <w:p>
      <w:pPr>
        <w:tabs>
          <w:tab w:val="left" w:pos="840"/>
        </w:tabs>
        <w:adjustRightInd w:val="0"/>
        <w:snapToGrid w:val="0"/>
        <w:spacing w:line="360" w:lineRule="auto"/>
        <w:ind w:left="420" w:leftChars="200" w:firstLine="330" w:firstLineChars="150"/>
        <w:rPr>
          <w:rFonts w:hint="eastAsia" w:ascii="新宋体" w:hAnsi="新宋体" w:eastAsia="新宋体" w:cs="新宋体"/>
          <w:sz w:val="22"/>
          <w:szCs w:val="22"/>
        </w:rPr>
      </w:pPr>
      <w:r>
        <w:rPr>
          <w:rFonts w:hint="eastAsia" w:ascii="新宋体" w:hAnsi="新宋体" w:eastAsia="新宋体" w:cs="新宋体"/>
          <w:sz w:val="22"/>
          <w:szCs w:val="22"/>
        </w:rPr>
        <w:t xml:space="preserve">日    期   </w:t>
      </w:r>
    </w:p>
    <w:p>
      <w:pPr>
        <w:spacing w:line="380" w:lineRule="exact"/>
        <w:rPr>
          <w:rFonts w:hint="eastAsia" w:ascii="宋体" w:hAnsi="宋体" w:cs="宋体"/>
          <w:bCs/>
          <w:sz w:val="22"/>
          <w:szCs w:val="22"/>
        </w:rPr>
      </w:pPr>
    </w:p>
    <w:p>
      <w:pPr>
        <w:spacing w:line="380" w:lineRule="exact"/>
        <w:ind w:left="-358" w:leftChars="-171" w:hanging="1"/>
        <w:jc w:val="center"/>
        <w:rPr>
          <w:rFonts w:hint="eastAsia" w:ascii="宋体" w:hAnsi="宋体" w:cs="宋体"/>
          <w:bCs/>
          <w:sz w:val="22"/>
          <w:szCs w:val="22"/>
        </w:rPr>
      </w:pPr>
    </w:p>
    <w:p>
      <w:pPr>
        <w:spacing w:line="380" w:lineRule="exact"/>
        <w:ind w:left="-359" w:leftChars="-171" w:firstLine="440" w:firstLineChars="200"/>
        <w:rPr>
          <w:rFonts w:hint="eastAsia" w:ascii="宋体" w:hAnsi="宋体" w:cs="宋体"/>
          <w:sz w:val="22"/>
          <w:szCs w:val="22"/>
          <w:u w:val="single"/>
        </w:rPr>
      </w:pPr>
      <w:r>
        <w:rPr>
          <w:rFonts w:hint="eastAsia" w:ascii="宋体" w:hAnsi="宋体" w:cs="宋体"/>
          <w:sz w:val="22"/>
          <w:szCs w:val="22"/>
        </w:rPr>
        <w:t>注：</w:t>
      </w:r>
      <w:r>
        <w:rPr>
          <w:rFonts w:hint="eastAsia" w:ascii="宋体" w:hAnsi="宋体" w:cs="宋体"/>
          <w:sz w:val="22"/>
          <w:szCs w:val="22"/>
          <w:u w:val="single"/>
        </w:rPr>
        <w:t>▲不提交本承诺书按无效标处理。（联合体各方均应提供）</w:t>
      </w:r>
    </w:p>
    <w:p>
      <w:pPr>
        <w:widowControl/>
        <w:adjustRightInd w:val="0"/>
        <w:snapToGrid w:val="0"/>
        <w:spacing w:line="360" w:lineRule="auto"/>
        <w:jc w:val="center"/>
        <w:rPr>
          <w:rFonts w:hint="eastAsia" w:ascii="新宋体" w:hAnsi="新宋体" w:eastAsia="新宋体" w:cs="新宋体"/>
          <w:b/>
          <w:kern w:val="0"/>
          <w:sz w:val="28"/>
          <w:szCs w:val="28"/>
        </w:rPr>
      </w:pPr>
      <w:r>
        <w:rPr>
          <w:rFonts w:hint="eastAsia" w:ascii="新宋体" w:hAnsi="新宋体" w:eastAsia="新宋体" w:cs="新宋体"/>
          <w:b/>
          <w:kern w:val="0"/>
          <w:sz w:val="28"/>
          <w:szCs w:val="28"/>
        </w:rPr>
        <w:br w:type="page"/>
      </w:r>
      <w:r>
        <w:rPr>
          <w:rFonts w:hint="eastAsia" w:ascii="新宋体" w:hAnsi="新宋体" w:eastAsia="新宋体" w:cs="新宋体"/>
          <w:b/>
          <w:kern w:val="0"/>
          <w:sz w:val="28"/>
          <w:szCs w:val="28"/>
        </w:rPr>
        <w:t>申请材料真实性声明</w:t>
      </w:r>
    </w:p>
    <w:p>
      <w:pPr>
        <w:widowControl/>
        <w:adjustRightInd w:val="0"/>
        <w:snapToGrid w:val="0"/>
        <w:spacing w:line="360" w:lineRule="auto"/>
        <w:jc w:val="center"/>
        <w:rPr>
          <w:rFonts w:hint="eastAsia" w:ascii="新宋体" w:hAnsi="新宋体" w:eastAsia="新宋体" w:cs="新宋体"/>
          <w:b/>
          <w:kern w:val="0"/>
          <w:sz w:val="28"/>
          <w:szCs w:val="28"/>
        </w:rPr>
      </w:pPr>
    </w:p>
    <w:p>
      <w:pPr>
        <w:spacing w:line="460" w:lineRule="exact"/>
        <w:rPr>
          <w:rFonts w:hint="eastAsia" w:ascii="宋体" w:hAnsi="宋体"/>
          <w:color w:val="auto"/>
          <w:sz w:val="22"/>
          <w:szCs w:val="22"/>
          <w:highlight w:val="none"/>
          <w:lang w:val="en-US" w:eastAsia="zh-CN"/>
        </w:rPr>
      </w:pPr>
      <w:r>
        <w:rPr>
          <w:rFonts w:hint="eastAsia" w:ascii="宋体" w:hAnsi="宋体"/>
          <w:color w:val="auto"/>
          <w:sz w:val="22"/>
          <w:szCs w:val="22"/>
          <w:highlight w:val="none"/>
          <w:lang w:val="en-US" w:eastAsia="zh-CN"/>
        </w:rPr>
        <w:t>温州市综合行政执法局</w:t>
      </w:r>
    </w:p>
    <w:p>
      <w:pPr>
        <w:spacing w:line="460" w:lineRule="exact"/>
        <w:rPr>
          <w:rFonts w:hint="eastAsia" w:ascii="新宋体" w:hAnsi="新宋体" w:eastAsia="新宋体" w:cs="新宋体"/>
          <w:sz w:val="22"/>
          <w:szCs w:val="22"/>
        </w:rPr>
      </w:pPr>
      <w:r>
        <w:rPr>
          <w:rFonts w:hint="eastAsia" w:ascii="宋体" w:hAnsi="宋体"/>
          <w:color w:val="auto"/>
          <w:sz w:val="22"/>
          <w:szCs w:val="22"/>
          <w:highlight w:val="none"/>
        </w:rPr>
        <w:t>温州市智信招标代理有限公司：</w:t>
      </w:r>
    </w:p>
    <w:p>
      <w:pPr>
        <w:widowControl/>
        <w:adjustRightInd w:val="0"/>
        <w:snapToGrid w:val="0"/>
        <w:spacing w:line="360" w:lineRule="auto"/>
        <w:jc w:val="left"/>
        <w:rPr>
          <w:rFonts w:hint="eastAsia" w:ascii="新宋体" w:hAnsi="新宋体" w:eastAsia="新宋体" w:cs="新宋体"/>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我</w:t>
      </w:r>
      <w:r>
        <w:rPr>
          <w:rFonts w:hint="eastAsia" w:ascii="新宋体" w:hAnsi="新宋体" w:eastAsia="新宋体" w:cs="新宋体"/>
          <w:kern w:val="0"/>
          <w:sz w:val="22"/>
          <w:szCs w:val="22"/>
          <w:lang w:eastAsia="zh-CN"/>
        </w:rPr>
        <w:t>单位</w:t>
      </w:r>
      <w:r>
        <w:rPr>
          <w:rFonts w:hint="eastAsia" w:ascii="新宋体" w:hAnsi="新宋体" w:eastAsia="新宋体" w:cs="新宋体"/>
          <w:kern w:val="0"/>
          <w:sz w:val="22"/>
          <w:szCs w:val="22"/>
        </w:rPr>
        <w:t>此次</w:t>
      </w:r>
      <w:r>
        <w:rPr>
          <w:rFonts w:hint="eastAsia" w:ascii="新宋体" w:hAnsi="新宋体" w:eastAsia="新宋体" w:cs="新宋体"/>
          <w:kern w:val="0"/>
          <w:sz w:val="22"/>
          <w:szCs w:val="22"/>
          <w:lang w:eastAsia="zh-CN"/>
        </w:rPr>
        <w:t>响应参与</w:t>
      </w:r>
      <w:r>
        <w:rPr>
          <w:rFonts w:hint="eastAsia" w:ascii="宋体" w:hAnsi="宋体" w:cs="宋体"/>
          <w:sz w:val="22"/>
          <w:szCs w:val="22"/>
          <w:u w:val="single"/>
        </w:rPr>
        <w:t xml:space="preserve">                          </w:t>
      </w:r>
      <w:r>
        <w:rPr>
          <w:rFonts w:hint="eastAsia" w:ascii="宋体" w:hAnsi="宋体" w:cs="宋体"/>
          <w:sz w:val="22"/>
          <w:szCs w:val="22"/>
        </w:rPr>
        <w:t>（采购项目名称、编号）</w:t>
      </w:r>
      <w:r>
        <w:rPr>
          <w:rFonts w:hint="eastAsia" w:ascii="宋体" w:hAnsi="宋体" w:cs="宋体"/>
          <w:sz w:val="22"/>
          <w:szCs w:val="22"/>
          <w:lang w:val="en-US" w:eastAsia="zh-CN"/>
        </w:rPr>
        <w:t>公开招标</w:t>
      </w:r>
      <w:r>
        <w:rPr>
          <w:rFonts w:hint="eastAsia" w:ascii="宋体" w:hAnsi="宋体" w:cs="宋体"/>
          <w:sz w:val="22"/>
          <w:szCs w:val="22"/>
          <w:lang w:eastAsia="zh-CN"/>
        </w:rPr>
        <w:t>活动</w:t>
      </w:r>
      <w:r>
        <w:rPr>
          <w:rFonts w:hint="eastAsia" w:ascii="新宋体" w:hAnsi="新宋体" w:eastAsia="新宋体" w:cs="新宋体"/>
          <w:kern w:val="0"/>
          <w:sz w:val="22"/>
          <w:szCs w:val="22"/>
        </w:rPr>
        <w:t>所提交的全部材料均真实、合法。如有不实之处，愿负相应的法律责任，并承担由此产生的一切后果。</w:t>
      </w:r>
    </w:p>
    <w:p>
      <w:pPr>
        <w:widowControl/>
        <w:adjustRightInd w:val="0"/>
        <w:snapToGrid w:val="0"/>
        <w:spacing w:line="360" w:lineRule="auto"/>
        <w:ind w:firstLine="440" w:firstLineChars="200"/>
        <w:jc w:val="left"/>
        <w:rPr>
          <w:rFonts w:ascii="新宋体" w:hAnsi="新宋体" w:eastAsia="新宋体" w:cs="新宋体"/>
          <w:kern w:val="0"/>
          <w:sz w:val="22"/>
          <w:szCs w:val="22"/>
        </w:rPr>
      </w:pP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r>
        <w:rPr>
          <w:rFonts w:hint="eastAsia" w:ascii="新宋体" w:hAnsi="新宋体" w:eastAsia="新宋体" w:cs="新宋体"/>
          <w:kern w:val="0"/>
          <w:sz w:val="22"/>
          <w:szCs w:val="22"/>
        </w:rPr>
        <w:t>特此声明。</w:t>
      </w:r>
    </w:p>
    <w:p>
      <w:pPr>
        <w:widowControl/>
        <w:adjustRightInd w:val="0"/>
        <w:snapToGrid w:val="0"/>
        <w:spacing w:line="360" w:lineRule="auto"/>
        <w:ind w:firstLine="440" w:firstLineChars="200"/>
        <w:jc w:val="left"/>
        <w:rPr>
          <w:rFonts w:hint="eastAsia" w:ascii="新宋体" w:hAnsi="新宋体" w:eastAsia="新宋体" w:cs="新宋体"/>
          <w:kern w:val="0"/>
          <w:sz w:val="22"/>
          <w:szCs w:val="22"/>
        </w:rPr>
      </w:pP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供应商名称（盖章）                  </w:t>
      </w:r>
    </w:p>
    <w:p>
      <w:pPr>
        <w:spacing w:line="360" w:lineRule="auto"/>
        <w:rPr>
          <w:rFonts w:hint="eastAsia" w:ascii="宋体" w:hAnsi="宋体"/>
          <w:color w:val="auto"/>
          <w:sz w:val="22"/>
          <w:szCs w:val="22"/>
          <w:highlight w:val="none"/>
        </w:rPr>
      </w:pPr>
      <w:r>
        <w:rPr>
          <w:rFonts w:hint="eastAsia" w:ascii="宋体" w:hAnsi="宋体"/>
          <w:color w:val="auto"/>
          <w:sz w:val="22"/>
          <w:szCs w:val="22"/>
          <w:highlight w:val="none"/>
        </w:rPr>
        <w:t xml:space="preserve">供应商代表（签字）                   </w:t>
      </w:r>
    </w:p>
    <w:p>
      <w:pPr>
        <w:spacing w:line="360" w:lineRule="auto"/>
        <w:rPr>
          <w:rFonts w:ascii="宋体" w:hAnsi="宋体"/>
          <w:color w:val="auto"/>
          <w:sz w:val="22"/>
          <w:szCs w:val="22"/>
          <w:highlight w:val="none"/>
        </w:rPr>
      </w:pPr>
      <w:r>
        <w:rPr>
          <w:rFonts w:hint="eastAsia" w:ascii="宋体" w:hAnsi="宋体"/>
          <w:color w:val="auto"/>
          <w:sz w:val="22"/>
          <w:szCs w:val="22"/>
          <w:highlight w:val="none"/>
        </w:rPr>
        <w:t xml:space="preserve">日    期   </w:t>
      </w:r>
    </w:p>
    <w:p>
      <w:pPr>
        <w:spacing w:line="440" w:lineRule="exact"/>
        <w:rPr>
          <w:rFonts w:ascii="宋体" w:hAnsi="宋体" w:cs="宋体"/>
          <w:sz w:val="22"/>
          <w:szCs w:val="22"/>
          <w:u w:val="single"/>
        </w:rPr>
      </w:pPr>
      <w:r>
        <w:rPr>
          <w:rFonts w:hint="eastAsia" w:ascii="宋体" w:hAnsi="宋体" w:cs="宋体"/>
          <w:sz w:val="22"/>
          <w:szCs w:val="22"/>
          <w:u w:val="single"/>
        </w:rPr>
        <w:t xml:space="preserve">                              </w:t>
      </w:r>
    </w:p>
    <w:p>
      <w:pPr>
        <w:pStyle w:val="2"/>
        <w:ind w:firstLine="221"/>
        <w:rPr>
          <w:rFonts w:ascii="宋体" w:hAnsi="宋体" w:cs="宋体"/>
          <w:sz w:val="22"/>
          <w:szCs w:val="22"/>
          <w:u w:val="single"/>
        </w:rPr>
      </w:pPr>
    </w:p>
    <w:p>
      <w:pPr>
        <w:spacing w:line="360" w:lineRule="auto"/>
        <w:rPr>
          <w:rFonts w:ascii="宋体" w:hAnsi="宋体" w:cs="宋体"/>
          <w:sz w:val="22"/>
          <w:szCs w:val="22"/>
        </w:rPr>
      </w:pPr>
    </w:p>
    <w:p>
      <w:pPr>
        <w:pStyle w:val="2"/>
        <w:ind w:firstLine="321"/>
        <w:rPr>
          <w:rFonts w:ascii="宋体" w:hAnsi="宋体" w:cs="宋体"/>
        </w:rPr>
      </w:pPr>
    </w:p>
    <w:p>
      <w:pPr>
        <w:widowControl/>
        <w:adjustRightInd w:val="0"/>
        <w:snapToGrid w:val="0"/>
        <w:spacing w:line="360" w:lineRule="auto"/>
        <w:ind w:firstLine="440" w:firstLineChars="200"/>
        <w:jc w:val="left"/>
        <w:rPr>
          <w:rFonts w:ascii="宋体" w:hAnsi="宋体" w:cs="宋体"/>
          <w:kern w:val="0"/>
          <w:sz w:val="22"/>
          <w:szCs w:val="22"/>
        </w:rPr>
      </w:pPr>
    </w:p>
    <w:p>
      <w:pPr>
        <w:spacing w:line="380" w:lineRule="exact"/>
        <w:rPr>
          <w:rFonts w:hint="eastAsia" w:ascii="宋体" w:hAnsi="宋体" w:cs="宋体"/>
          <w:sz w:val="22"/>
          <w:szCs w:val="22"/>
        </w:rPr>
      </w:pPr>
    </w:p>
    <w:p>
      <w:pPr>
        <w:spacing w:line="380" w:lineRule="exact"/>
        <w:rPr>
          <w:rFonts w:hint="eastAsia" w:ascii="宋体" w:hAnsi="宋体" w:cs="宋体"/>
          <w:sz w:val="22"/>
          <w:szCs w:val="22"/>
        </w:rPr>
      </w:pPr>
    </w:p>
    <w:p>
      <w:pPr>
        <w:spacing w:line="380" w:lineRule="exact"/>
        <w:rPr>
          <w:rFonts w:hint="eastAsia" w:ascii="宋体" w:hAnsi="宋体" w:cs="宋体"/>
          <w:sz w:val="22"/>
          <w:szCs w:val="22"/>
        </w:rPr>
      </w:pPr>
    </w:p>
    <w:p>
      <w:pPr>
        <w:spacing w:line="380" w:lineRule="exact"/>
        <w:rPr>
          <w:rFonts w:hint="eastAsia" w:ascii="宋体" w:hAnsi="宋体" w:cs="宋体"/>
          <w:sz w:val="22"/>
          <w:szCs w:val="22"/>
          <w:u w:val="single"/>
        </w:rPr>
      </w:pPr>
      <w:r>
        <w:rPr>
          <w:rFonts w:hint="eastAsia" w:ascii="宋体" w:hAnsi="宋体" w:cs="宋体"/>
          <w:sz w:val="22"/>
          <w:szCs w:val="22"/>
        </w:rPr>
        <w:t>注：</w:t>
      </w:r>
      <w:r>
        <w:rPr>
          <w:rFonts w:hint="eastAsia" w:ascii="宋体" w:hAnsi="宋体" w:cs="宋体"/>
          <w:sz w:val="22"/>
          <w:szCs w:val="22"/>
          <w:u w:val="single"/>
        </w:rPr>
        <w:t>▲不提交本承诺书按无效标处理。（联合体各方均应提供）</w:t>
      </w:r>
    </w:p>
    <w:p>
      <w:pPr>
        <w:pStyle w:val="6"/>
        <w:jc w:val="left"/>
        <w:rPr>
          <w:rFonts w:ascii="宋体" w:hAnsi="宋体" w:eastAsia="宋体" w:cs="宋体"/>
          <w:b w:val="0"/>
          <w:szCs w:val="21"/>
        </w:rPr>
      </w:pPr>
    </w:p>
    <w:p>
      <w:pPr>
        <w:rPr>
          <w:rFonts w:hint="eastAsia" w:ascii="宋体" w:hAnsi="宋体" w:cs="宋体"/>
          <w:sz w:val="22"/>
          <w:szCs w:val="22"/>
        </w:rPr>
      </w:pPr>
      <w:r>
        <w:rPr>
          <w:rFonts w:hint="eastAsia" w:ascii="宋体" w:hAnsi="宋体" w:cs="宋体"/>
          <w:sz w:val="22"/>
          <w:szCs w:val="22"/>
        </w:rPr>
        <w:br w:type="page"/>
      </w:r>
    </w:p>
    <w:p>
      <w:pPr>
        <w:tabs>
          <w:tab w:val="left" w:pos="1418"/>
        </w:tabs>
        <w:spacing w:before="120" w:beforeLines="50" w:after="120" w:afterLines="50"/>
        <w:rPr>
          <w:rFonts w:ascii="宋体" w:hAnsi="宋体" w:cs="宋体"/>
          <w:sz w:val="22"/>
          <w:szCs w:val="22"/>
        </w:rPr>
      </w:pPr>
      <w:r>
        <w:rPr>
          <w:rFonts w:hint="eastAsia" w:ascii="宋体" w:hAnsi="宋体" w:cs="宋体"/>
          <w:sz w:val="22"/>
          <w:szCs w:val="22"/>
        </w:rPr>
        <w:t>（商务技术文件封面，供参考）</w:t>
      </w:r>
      <w:bookmarkEnd w:id="98"/>
      <w:bookmarkEnd w:id="99"/>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28"/>
          <w:szCs w:val="28"/>
          <w:u w:val="single"/>
        </w:rPr>
      </w:pPr>
      <w:r>
        <w:rPr>
          <w:rFonts w:hint="eastAsia" w:ascii="宋体" w:hAnsi="宋体" w:cs="宋体"/>
          <w:sz w:val="28"/>
          <w:szCs w:val="28"/>
          <w:u w:val="single"/>
        </w:rPr>
        <w:t xml:space="preserve">                 （项目名称）              投标文件</w:t>
      </w:r>
    </w:p>
    <w:p>
      <w:pPr>
        <w:rPr>
          <w:rFonts w:ascii="宋体" w:hAnsi="宋体" w:cs="宋体"/>
          <w:sz w:val="28"/>
          <w:szCs w:val="28"/>
          <w:u w:val="single"/>
        </w:rPr>
      </w:pPr>
    </w:p>
    <w:p>
      <w:pPr>
        <w:rPr>
          <w:rFonts w:ascii="宋体" w:hAnsi="宋体" w:cs="宋体"/>
          <w:sz w:val="28"/>
          <w:szCs w:val="28"/>
        </w:rPr>
      </w:pPr>
    </w:p>
    <w:p>
      <w:pPr>
        <w:pStyle w:val="2"/>
        <w:ind w:firstLine="281"/>
        <w:rPr>
          <w:rFonts w:ascii="宋体" w:hAnsi="宋体" w:cs="宋体"/>
          <w:sz w:val="28"/>
          <w:szCs w:val="28"/>
        </w:rPr>
      </w:pPr>
    </w:p>
    <w:p>
      <w:pPr>
        <w:pStyle w:val="2"/>
        <w:ind w:firstLine="281"/>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52"/>
          <w:szCs w:val="52"/>
        </w:rPr>
      </w:pPr>
      <w:r>
        <w:rPr>
          <w:rFonts w:hint="eastAsia" w:ascii="宋体" w:hAnsi="宋体" w:cs="宋体"/>
          <w:sz w:val="52"/>
          <w:szCs w:val="52"/>
        </w:rPr>
        <w:t>商 务 技 术 文 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ind w:firstLine="321"/>
        <w:rPr>
          <w:rFonts w:ascii="宋体" w:hAnsi="宋体" w:cs="宋体"/>
        </w:rPr>
      </w:pPr>
    </w:p>
    <w:p>
      <w:pPr>
        <w:spacing w:line="360" w:lineRule="auto"/>
        <w:rPr>
          <w:rFonts w:ascii="宋体" w:hAnsi="宋体" w:cs="宋体"/>
          <w:szCs w:val="21"/>
        </w:rPr>
      </w:pPr>
    </w:p>
    <w:p>
      <w:pPr>
        <w:jc w:val="center"/>
        <w:rPr>
          <w:rFonts w:ascii="宋体" w:hAnsi="宋体" w:cs="宋体"/>
          <w:sz w:val="28"/>
          <w:szCs w:val="28"/>
        </w:rPr>
      </w:pPr>
      <w:r>
        <w:rPr>
          <w:rFonts w:hint="eastAsia" w:ascii="宋体" w:hAnsi="宋体" w:cs="宋体"/>
          <w:sz w:val="28"/>
          <w:szCs w:val="28"/>
        </w:rPr>
        <w:t>投标人：</w:t>
      </w:r>
      <w:r>
        <w:rPr>
          <w:rFonts w:hint="eastAsia" w:ascii="宋体" w:hAnsi="宋体" w:cs="宋体"/>
          <w:sz w:val="28"/>
          <w:szCs w:val="28"/>
          <w:u w:val="single"/>
        </w:rPr>
        <w:t xml:space="preserve">                              </w:t>
      </w:r>
      <w:r>
        <w:rPr>
          <w:rFonts w:hint="eastAsia" w:ascii="宋体" w:hAnsi="宋体" w:cs="宋体"/>
          <w:sz w:val="28"/>
          <w:szCs w:val="28"/>
        </w:rPr>
        <w:t>（盖单位章）</w:t>
      </w:r>
    </w:p>
    <w:p>
      <w:pPr>
        <w:rPr>
          <w:rFonts w:ascii="宋体" w:hAnsi="宋体" w:cs="宋体"/>
          <w:sz w:val="28"/>
          <w:szCs w:val="28"/>
          <w:u w:val="single"/>
        </w:rPr>
      </w:pPr>
    </w:p>
    <w:p>
      <w:pPr>
        <w:jc w:val="center"/>
        <w:rPr>
          <w:rFonts w:ascii="宋体" w:hAnsi="宋体" w:cs="宋体"/>
          <w:sz w:val="28"/>
          <w:szCs w:val="28"/>
        </w:rPr>
      </w:pPr>
      <w:r>
        <w:rPr>
          <w:rFonts w:hint="eastAsia" w:ascii="宋体" w:hAnsi="宋体" w:cs="宋体"/>
          <w:sz w:val="28"/>
          <w:szCs w:val="28"/>
        </w:rPr>
        <w:t>法定代表人或其委托代理人：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rPr>
          <w:rFonts w:ascii="宋体" w:hAnsi="宋体" w:cs="宋体"/>
          <w:sz w:val="28"/>
          <w:szCs w:val="28"/>
        </w:rPr>
      </w:pPr>
    </w:p>
    <w:p>
      <w:pPr>
        <w:jc w:val="center"/>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pStyle w:val="2"/>
        <w:ind w:firstLine="0" w:firstLineChars="0"/>
        <w:jc w:val="center"/>
        <w:rPr>
          <w:rFonts w:ascii="宋体" w:hAnsi="宋体" w:cs="宋体"/>
          <w:sz w:val="22"/>
          <w:szCs w:val="22"/>
        </w:rPr>
      </w:pPr>
      <w:r>
        <w:rPr>
          <w:rFonts w:hint="eastAsia" w:ascii="宋体" w:hAnsi="宋体" w:cs="宋体"/>
        </w:rPr>
        <w:br w:type="page"/>
      </w:r>
      <w:r>
        <w:rPr>
          <w:rFonts w:hint="eastAsia" w:ascii="宋体" w:hAnsi="宋体" w:cs="宋体"/>
        </w:rPr>
        <w:t>目录</w:t>
      </w:r>
    </w:p>
    <w:p>
      <w:pPr>
        <w:pStyle w:val="18"/>
        <w:spacing w:line="480" w:lineRule="auto"/>
        <w:ind w:left="840" w:firstLine="0"/>
        <w:rPr>
          <w:rFonts w:ascii="宋体" w:hAnsi="宋体" w:cs="宋体"/>
          <w:sz w:val="22"/>
          <w:szCs w:val="22"/>
        </w:rPr>
      </w:pPr>
    </w:p>
    <w:p>
      <w:pPr>
        <w:spacing w:line="540" w:lineRule="exact"/>
        <w:rPr>
          <w:rFonts w:ascii="宋体" w:hAnsi="宋体" w:cs="宋体"/>
          <w:sz w:val="22"/>
          <w:szCs w:val="22"/>
        </w:rPr>
      </w:pPr>
      <w:r>
        <w:rPr>
          <w:rFonts w:hint="eastAsia" w:ascii="宋体" w:hAnsi="宋体" w:cs="宋体"/>
          <w:sz w:val="22"/>
          <w:szCs w:val="22"/>
        </w:rPr>
        <w:t>序号</w:t>
      </w:r>
      <w:r>
        <w:rPr>
          <w:rFonts w:hint="eastAsia" w:ascii="宋体" w:hAnsi="宋体" w:cs="宋体"/>
          <w:sz w:val="22"/>
          <w:szCs w:val="22"/>
        </w:rPr>
        <w:tab/>
      </w:r>
      <w:r>
        <w:rPr>
          <w:rFonts w:hint="eastAsia" w:ascii="宋体" w:hAnsi="宋体" w:cs="宋体"/>
          <w:sz w:val="22"/>
          <w:szCs w:val="22"/>
        </w:rPr>
        <w:t>内容</w:t>
      </w:r>
    </w:p>
    <w:p>
      <w:pPr>
        <w:spacing w:line="540" w:lineRule="exact"/>
        <w:rPr>
          <w:rFonts w:ascii="宋体" w:hAnsi="宋体" w:cs="宋体"/>
          <w:sz w:val="22"/>
          <w:szCs w:val="22"/>
        </w:rPr>
      </w:pPr>
      <w:r>
        <w:rPr>
          <w:rFonts w:hint="eastAsia" w:ascii="宋体" w:hAnsi="宋体" w:cs="宋体"/>
          <w:sz w:val="22"/>
          <w:szCs w:val="22"/>
        </w:rPr>
        <w:t>1</w:t>
      </w:r>
      <w:r>
        <w:rPr>
          <w:rFonts w:hint="eastAsia" w:ascii="宋体" w:hAnsi="宋体" w:cs="宋体"/>
          <w:sz w:val="22"/>
          <w:szCs w:val="22"/>
        </w:rPr>
        <w:tab/>
      </w:r>
      <w:r>
        <w:rPr>
          <w:rFonts w:hint="eastAsia" w:ascii="宋体" w:hAnsi="宋体" w:cs="宋体"/>
          <w:sz w:val="22"/>
          <w:szCs w:val="22"/>
        </w:rPr>
        <w:t>针对评分细则，编制目录索引，注明评标细则项目所在投标文件页码，格式自拟</w:t>
      </w:r>
    </w:p>
    <w:p>
      <w:pPr>
        <w:spacing w:line="540" w:lineRule="exact"/>
        <w:rPr>
          <w:rFonts w:ascii="宋体" w:hAnsi="宋体" w:cs="宋体"/>
          <w:sz w:val="22"/>
          <w:szCs w:val="22"/>
        </w:rPr>
      </w:pPr>
      <w:r>
        <w:rPr>
          <w:rFonts w:hint="eastAsia" w:ascii="宋体" w:hAnsi="宋体" w:cs="宋体"/>
          <w:sz w:val="22"/>
          <w:szCs w:val="22"/>
        </w:rPr>
        <w:t>2</w:t>
      </w:r>
      <w:r>
        <w:rPr>
          <w:rFonts w:hint="eastAsia" w:ascii="宋体" w:hAnsi="宋体" w:cs="宋体"/>
          <w:sz w:val="22"/>
          <w:szCs w:val="22"/>
        </w:rPr>
        <w:tab/>
      </w:r>
      <w:r>
        <w:rPr>
          <w:rFonts w:hint="eastAsia" w:ascii="宋体" w:hAnsi="宋体" w:cs="宋体"/>
          <w:sz w:val="22"/>
          <w:szCs w:val="22"/>
        </w:rPr>
        <w:t>投标函</w:t>
      </w:r>
    </w:p>
    <w:p>
      <w:pPr>
        <w:spacing w:line="540" w:lineRule="exact"/>
        <w:rPr>
          <w:rFonts w:ascii="宋体" w:hAnsi="宋体" w:cs="宋体"/>
          <w:sz w:val="22"/>
          <w:szCs w:val="22"/>
        </w:rPr>
      </w:pPr>
      <w:r>
        <w:rPr>
          <w:rFonts w:hint="eastAsia" w:ascii="宋体" w:hAnsi="宋体" w:cs="宋体"/>
          <w:sz w:val="22"/>
          <w:szCs w:val="22"/>
        </w:rPr>
        <w:t>3</w:t>
      </w:r>
      <w:r>
        <w:rPr>
          <w:rFonts w:hint="eastAsia" w:ascii="宋体" w:hAnsi="宋体" w:cs="宋体"/>
          <w:sz w:val="22"/>
          <w:szCs w:val="22"/>
        </w:rPr>
        <w:tab/>
      </w:r>
      <w:r>
        <w:rPr>
          <w:rFonts w:hint="eastAsia" w:ascii="宋体" w:hAnsi="宋体" w:cs="宋体"/>
          <w:sz w:val="22"/>
          <w:szCs w:val="22"/>
        </w:rPr>
        <w:t>技术要求应答表、商务条款偏离表</w:t>
      </w:r>
    </w:p>
    <w:p>
      <w:pPr>
        <w:spacing w:line="540" w:lineRule="exact"/>
        <w:rPr>
          <w:rFonts w:ascii="宋体" w:hAnsi="宋体" w:cs="宋体"/>
          <w:sz w:val="22"/>
          <w:szCs w:val="22"/>
        </w:rPr>
      </w:pPr>
      <w:r>
        <w:rPr>
          <w:rFonts w:hint="eastAsia" w:ascii="宋体" w:hAnsi="宋体" w:cs="宋体"/>
          <w:sz w:val="22"/>
          <w:szCs w:val="22"/>
        </w:rPr>
        <w:t>4</w:t>
      </w:r>
      <w:r>
        <w:rPr>
          <w:rFonts w:hint="eastAsia" w:ascii="宋体" w:hAnsi="宋体" w:cs="宋体"/>
          <w:sz w:val="22"/>
          <w:szCs w:val="22"/>
        </w:rPr>
        <w:tab/>
      </w:r>
      <w:r>
        <w:rPr>
          <w:rFonts w:hint="eastAsia" w:ascii="新宋体" w:hAnsi="新宋体" w:eastAsia="新宋体" w:cs="新宋体"/>
          <w:sz w:val="22"/>
          <w:szCs w:val="22"/>
          <w:lang w:val="en-US" w:eastAsia="zh-CN"/>
        </w:rPr>
        <w:t>所投产品具体品牌型号参数性能</w:t>
      </w:r>
    </w:p>
    <w:p>
      <w:pPr>
        <w:spacing w:line="540" w:lineRule="exact"/>
        <w:rPr>
          <w:rFonts w:ascii="宋体" w:hAnsi="宋体" w:cs="宋体"/>
          <w:sz w:val="22"/>
          <w:szCs w:val="22"/>
        </w:rPr>
      </w:pPr>
      <w:r>
        <w:rPr>
          <w:rFonts w:hint="eastAsia" w:ascii="宋体" w:hAnsi="宋体" w:cs="宋体"/>
          <w:sz w:val="22"/>
          <w:szCs w:val="22"/>
        </w:rPr>
        <w:t>5</w:t>
      </w:r>
      <w:r>
        <w:rPr>
          <w:rFonts w:hint="eastAsia" w:ascii="宋体" w:hAnsi="宋体" w:cs="宋体"/>
          <w:sz w:val="22"/>
          <w:szCs w:val="22"/>
        </w:rPr>
        <w:tab/>
      </w:r>
      <w:r>
        <w:rPr>
          <w:rFonts w:hint="eastAsia" w:ascii="新宋体" w:hAnsi="新宋体" w:cs="新宋体"/>
          <w:sz w:val="22"/>
          <w:szCs w:val="22"/>
        </w:rPr>
        <w:t>投标整体</w:t>
      </w:r>
      <w:r>
        <w:rPr>
          <w:rFonts w:hint="eastAsia" w:ascii="新宋体" w:hAnsi="新宋体" w:cs="新宋体"/>
          <w:sz w:val="22"/>
          <w:szCs w:val="22"/>
          <w:lang w:val="en-US" w:eastAsia="zh-CN"/>
        </w:rPr>
        <w:t>实施</w:t>
      </w:r>
      <w:r>
        <w:rPr>
          <w:rFonts w:hint="eastAsia" w:ascii="新宋体" w:hAnsi="新宋体" w:cs="新宋体"/>
          <w:sz w:val="22"/>
          <w:szCs w:val="22"/>
        </w:rPr>
        <w:t>方案</w:t>
      </w:r>
      <w:r>
        <w:rPr>
          <w:rFonts w:hint="eastAsia" w:ascii="新宋体" w:hAnsi="新宋体" w:cs="新宋体"/>
          <w:sz w:val="22"/>
          <w:szCs w:val="22"/>
          <w:lang w:eastAsia="zh-CN"/>
        </w:rPr>
        <w:t>（</w:t>
      </w:r>
      <w:r>
        <w:rPr>
          <w:rFonts w:hint="eastAsia" w:ascii="新宋体" w:hAnsi="新宋体" w:cs="新宋体"/>
          <w:sz w:val="22"/>
          <w:szCs w:val="22"/>
          <w:lang w:val="en-US" w:eastAsia="zh-CN"/>
        </w:rPr>
        <w:t>包括但不仅限于技术实施方案、培训方案、售后方案等</w:t>
      </w:r>
      <w:r>
        <w:rPr>
          <w:rFonts w:hint="eastAsia" w:ascii="新宋体" w:hAnsi="新宋体" w:cs="新宋体"/>
          <w:sz w:val="22"/>
          <w:szCs w:val="22"/>
          <w:lang w:eastAsia="zh-CN"/>
        </w:rPr>
        <w:t>）</w:t>
      </w:r>
    </w:p>
    <w:p>
      <w:pPr>
        <w:spacing w:line="540" w:lineRule="exact"/>
        <w:rPr>
          <w:rFonts w:ascii="宋体" w:hAnsi="宋体" w:cs="宋体"/>
          <w:sz w:val="22"/>
          <w:szCs w:val="22"/>
        </w:rPr>
      </w:pPr>
      <w:r>
        <w:rPr>
          <w:rFonts w:hint="eastAsia" w:ascii="宋体" w:hAnsi="宋体" w:cs="宋体"/>
          <w:sz w:val="22"/>
          <w:szCs w:val="22"/>
        </w:rPr>
        <w:t>6</w:t>
      </w:r>
      <w:r>
        <w:rPr>
          <w:rFonts w:hint="eastAsia" w:ascii="宋体" w:hAnsi="宋体" w:cs="宋体"/>
          <w:sz w:val="22"/>
          <w:szCs w:val="22"/>
        </w:rPr>
        <w:tab/>
      </w:r>
      <w:r>
        <w:rPr>
          <w:rFonts w:hint="eastAsia" w:ascii="新宋体" w:hAnsi="新宋体" w:cs="新宋体"/>
          <w:sz w:val="22"/>
          <w:szCs w:val="22"/>
          <w:lang w:val="en-US" w:eastAsia="zh-CN"/>
        </w:rPr>
        <w:t>针对本项目投入团队人员配置情况</w:t>
      </w:r>
    </w:p>
    <w:p>
      <w:pPr>
        <w:spacing w:line="540" w:lineRule="exact"/>
        <w:rPr>
          <w:rFonts w:hint="eastAsia" w:ascii="宋体" w:hAnsi="宋体" w:cs="宋体"/>
          <w:sz w:val="22"/>
          <w:szCs w:val="22"/>
        </w:rPr>
      </w:pPr>
      <w:r>
        <w:rPr>
          <w:rFonts w:hint="eastAsia" w:ascii="宋体" w:hAnsi="宋体" w:cs="宋体"/>
          <w:sz w:val="22"/>
          <w:szCs w:val="22"/>
        </w:rPr>
        <w:t>7</w:t>
      </w:r>
      <w:r>
        <w:rPr>
          <w:rFonts w:hint="eastAsia" w:ascii="宋体" w:hAnsi="宋体" w:cs="宋体"/>
          <w:sz w:val="22"/>
          <w:szCs w:val="22"/>
        </w:rPr>
        <w:tab/>
      </w:r>
      <w:r>
        <w:rPr>
          <w:rFonts w:hint="eastAsia" w:ascii="宋体" w:hAnsi="宋体" w:cs="宋体"/>
          <w:sz w:val="22"/>
        </w:rPr>
        <w:t>投标人同类项目业绩</w:t>
      </w:r>
    </w:p>
    <w:p>
      <w:pPr>
        <w:spacing w:line="540" w:lineRule="exact"/>
        <w:rPr>
          <w:rFonts w:hint="eastAsia" w:ascii="宋体" w:hAnsi="宋体" w:cs="宋体"/>
          <w:sz w:val="22"/>
          <w:szCs w:val="22"/>
        </w:rPr>
      </w:pPr>
      <w:r>
        <w:rPr>
          <w:rFonts w:hint="eastAsia" w:ascii="宋体" w:hAnsi="宋体" w:cs="宋体"/>
          <w:sz w:val="22"/>
          <w:szCs w:val="22"/>
          <w:lang w:val="en-US" w:eastAsia="zh-CN"/>
        </w:rPr>
        <w:t xml:space="preserve">8   </w:t>
      </w:r>
      <w:r>
        <w:rPr>
          <w:rFonts w:hint="eastAsia" w:ascii="宋体" w:hAnsi="宋体" w:cs="宋体"/>
          <w:sz w:val="22"/>
          <w:szCs w:val="22"/>
        </w:rPr>
        <w:t>资信证明文件（本部分为商务技术文件评分内容，各供应商参照评分标准根据自身情况提供）</w:t>
      </w:r>
    </w:p>
    <w:p>
      <w:pPr>
        <w:spacing w:line="540" w:lineRule="exact"/>
        <w:rPr>
          <w:rFonts w:hint="eastAsia" w:ascii="宋体" w:hAnsi="宋体" w:cs="宋体"/>
          <w:sz w:val="22"/>
          <w:szCs w:val="22"/>
        </w:rPr>
      </w:pPr>
    </w:p>
    <w:p>
      <w:pPr>
        <w:spacing w:line="540" w:lineRule="exact"/>
        <w:rPr>
          <w:rFonts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pPr>
        <w:spacing w:line="460" w:lineRule="exact"/>
        <w:ind w:left="22" w:hanging="22" w:hangingChars="8"/>
        <w:jc w:val="center"/>
        <w:rPr>
          <w:rFonts w:ascii="宋体" w:hAnsi="宋体" w:cs="宋体"/>
          <w:b/>
          <w:bCs/>
          <w:sz w:val="28"/>
          <w:szCs w:val="28"/>
        </w:rPr>
      </w:pPr>
      <w:r>
        <w:rPr>
          <w:rFonts w:hint="eastAsia" w:ascii="宋体" w:hAnsi="宋体" w:cs="宋体"/>
          <w:b/>
          <w:bCs/>
          <w:sz w:val="28"/>
          <w:szCs w:val="28"/>
        </w:rPr>
        <w:t>投 标 函</w:t>
      </w:r>
    </w:p>
    <w:p>
      <w:pPr>
        <w:spacing w:line="420" w:lineRule="exact"/>
        <w:rPr>
          <w:rFonts w:ascii="宋体" w:hAnsi="宋体" w:cs="宋体"/>
          <w:sz w:val="22"/>
          <w:szCs w:val="22"/>
        </w:rPr>
      </w:pPr>
      <w:r>
        <w:rPr>
          <w:rFonts w:hint="eastAsia" w:ascii="宋体" w:hAnsi="宋体" w:cs="宋体"/>
          <w:sz w:val="22"/>
          <w:szCs w:val="22"/>
        </w:rPr>
        <w:t>温州市综合行政执法局：</w:t>
      </w:r>
    </w:p>
    <w:p>
      <w:pPr>
        <w:spacing w:line="420" w:lineRule="exact"/>
        <w:rPr>
          <w:rFonts w:ascii="宋体" w:hAnsi="宋体" w:cs="宋体"/>
          <w:sz w:val="22"/>
          <w:szCs w:val="22"/>
        </w:rPr>
      </w:pPr>
      <w:r>
        <w:rPr>
          <w:rFonts w:hint="eastAsia" w:ascii="宋体" w:hAnsi="宋体" w:cs="宋体"/>
          <w:sz w:val="22"/>
          <w:szCs w:val="22"/>
        </w:rPr>
        <w:t>温州市智信招标代理有限公司：</w:t>
      </w:r>
    </w:p>
    <w:p>
      <w:pPr>
        <w:spacing w:line="420" w:lineRule="exact"/>
        <w:ind w:firstLine="440" w:firstLineChars="200"/>
        <w:rPr>
          <w:rFonts w:ascii="宋体" w:hAnsi="宋体" w:cs="宋体"/>
          <w:sz w:val="22"/>
          <w:szCs w:val="22"/>
        </w:rPr>
      </w:pPr>
      <w:r>
        <w:rPr>
          <w:rFonts w:hint="eastAsia" w:ascii="宋体" w:hAnsi="宋体" w:cs="宋体"/>
          <w:sz w:val="22"/>
          <w:szCs w:val="22"/>
        </w:rPr>
        <w:t>根据贵方为</w:t>
      </w:r>
      <w:r>
        <w:rPr>
          <w:rFonts w:hint="eastAsia" w:ascii="宋体" w:hAnsi="宋体" w:cs="宋体"/>
          <w:sz w:val="22"/>
          <w:szCs w:val="22"/>
          <w:u w:val="single"/>
        </w:rPr>
        <w:t xml:space="preserve">             </w:t>
      </w:r>
      <w:r>
        <w:rPr>
          <w:rFonts w:hint="eastAsia" w:ascii="宋体" w:hAnsi="宋体" w:cs="宋体"/>
          <w:sz w:val="22"/>
          <w:szCs w:val="22"/>
        </w:rPr>
        <w:t>项目（项目编号：</w:t>
      </w:r>
      <w:r>
        <w:rPr>
          <w:rFonts w:hint="eastAsia" w:ascii="宋体" w:hAnsi="宋体" w:cs="宋体"/>
          <w:sz w:val="22"/>
          <w:szCs w:val="22"/>
          <w:u w:val="single"/>
        </w:rPr>
        <w:t xml:space="preserve">        </w:t>
      </w:r>
      <w:r>
        <w:rPr>
          <w:rFonts w:hint="eastAsia" w:ascii="宋体" w:hAnsi="宋体" w:cs="宋体"/>
          <w:sz w:val="22"/>
          <w:szCs w:val="22"/>
        </w:rPr>
        <w:t>）的投标邀请，我方</w:t>
      </w:r>
      <w:r>
        <w:rPr>
          <w:rFonts w:hint="eastAsia" w:ascii="宋体" w:hAnsi="宋体" w:cs="宋体"/>
          <w:sz w:val="22"/>
          <w:szCs w:val="22"/>
          <w:u w:val="single"/>
        </w:rPr>
        <w:t xml:space="preserve">           　　</w:t>
      </w:r>
      <w:r>
        <w:rPr>
          <w:rFonts w:hint="eastAsia" w:ascii="宋体" w:hAnsi="宋体" w:cs="宋体"/>
          <w:sz w:val="22"/>
          <w:szCs w:val="22"/>
        </w:rPr>
        <w:t>（投标人名称）作为投标人正式授权</w:t>
      </w:r>
      <w:r>
        <w:rPr>
          <w:rFonts w:hint="eastAsia" w:ascii="宋体" w:hAnsi="宋体" w:cs="宋体"/>
          <w:sz w:val="22"/>
          <w:szCs w:val="22"/>
          <w:u w:val="single"/>
        </w:rPr>
        <w:t xml:space="preserve">　           </w:t>
      </w:r>
      <w:r>
        <w:rPr>
          <w:rFonts w:hint="eastAsia" w:ascii="宋体" w:hAnsi="宋体" w:cs="宋体"/>
          <w:sz w:val="22"/>
          <w:szCs w:val="22"/>
        </w:rPr>
        <w:t>（授权代表全名，职务）代表我方处理有关本项目投标的一切事宜。</w:t>
      </w:r>
    </w:p>
    <w:p>
      <w:pPr>
        <w:autoSpaceDE w:val="0"/>
        <w:autoSpaceDN w:val="0"/>
        <w:adjustRightInd w:val="0"/>
        <w:spacing w:line="420" w:lineRule="atLeast"/>
        <w:ind w:firstLine="440" w:firstLineChars="200"/>
        <w:rPr>
          <w:rFonts w:ascii="宋体" w:hAnsi="宋体" w:cs="宋体"/>
          <w:kern w:val="0"/>
          <w:sz w:val="22"/>
          <w:szCs w:val="22"/>
          <w:lang w:val="zh-CN"/>
        </w:rPr>
      </w:pPr>
      <w:r>
        <w:rPr>
          <w:rFonts w:hint="eastAsia" w:ascii="宋体" w:hAnsi="宋体" w:cs="宋体"/>
          <w:kern w:val="0"/>
          <w:sz w:val="22"/>
          <w:szCs w:val="22"/>
          <w:lang w:val="zh-CN"/>
        </w:rPr>
        <w:t>在此提交的投标文件中，包括如下内容，并已分别单独提交：</w:t>
      </w:r>
    </w:p>
    <w:p>
      <w:pPr>
        <w:numPr>
          <w:ilvl w:val="0"/>
          <w:numId w:val="11"/>
        </w:numPr>
        <w:spacing w:line="420" w:lineRule="exact"/>
        <w:rPr>
          <w:rFonts w:ascii="宋体" w:hAnsi="宋体" w:cs="宋体"/>
          <w:szCs w:val="21"/>
        </w:rPr>
      </w:pPr>
      <w:r>
        <w:rPr>
          <w:rFonts w:hint="eastAsia" w:ascii="宋体" w:hAnsi="宋体" w:cs="宋体"/>
          <w:sz w:val="22"/>
        </w:rPr>
        <w:t>按“投标人须知”要求编制的投标文件资格审查资料 ；</w:t>
      </w:r>
    </w:p>
    <w:p>
      <w:pPr>
        <w:numPr>
          <w:ilvl w:val="0"/>
          <w:numId w:val="11"/>
        </w:numPr>
        <w:spacing w:line="420" w:lineRule="exact"/>
        <w:rPr>
          <w:rFonts w:ascii="宋体" w:hAnsi="宋体" w:cs="宋体"/>
          <w:szCs w:val="21"/>
        </w:rPr>
      </w:pPr>
      <w:r>
        <w:rPr>
          <w:rFonts w:hint="eastAsia" w:ascii="宋体" w:hAnsi="宋体" w:cs="宋体"/>
          <w:sz w:val="22"/>
        </w:rPr>
        <w:t>按“投标人须知”要求编制的投标文件商务商务技术文件 ；</w:t>
      </w:r>
    </w:p>
    <w:p>
      <w:pPr>
        <w:numPr>
          <w:ilvl w:val="0"/>
          <w:numId w:val="11"/>
        </w:numPr>
        <w:spacing w:line="420" w:lineRule="exact"/>
        <w:rPr>
          <w:rFonts w:ascii="宋体" w:hAnsi="宋体" w:cs="宋体"/>
          <w:szCs w:val="21"/>
        </w:rPr>
      </w:pPr>
      <w:r>
        <w:rPr>
          <w:rFonts w:hint="eastAsia" w:ascii="宋体" w:hAnsi="宋体" w:cs="宋体"/>
          <w:sz w:val="22"/>
        </w:rPr>
        <w:t>按“投标人须知”要求编制的投标文件投标报价标 。</w:t>
      </w:r>
    </w:p>
    <w:p>
      <w:pPr>
        <w:autoSpaceDE w:val="0"/>
        <w:autoSpaceDN w:val="0"/>
        <w:adjustRightInd w:val="0"/>
        <w:spacing w:line="420" w:lineRule="atLeast"/>
        <w:ind w:firstLine="440"/>
        <w:rPr>
          <w:rFonts w:ascii="宋体" w:hAnsi="宋体" w:cs="宋体"/>
          <w:kern w:val="0"/>
          <w:sz w:val="22"/>
          <w:szCs w:val="22"/>
          <w:lang w:val="zh-CN"/>
        </w:rPr>
      </w:pPr>
      <w:r>
        <w:rPr>
          <w:rFonts w:hint="eastAsia" w:ascii="宋体" w:hAnsi="宋体" w:cs="宋体"/>
          <w:kern w:val="0"/>
          <w:sz w:val="22"/>
          <w:szCs w:val="22"/>
          <w:lang w:val="zh-CN"/>
        </w:rPr>
        <w:t>我方己完全明白采购文件的所有条款要求，并重申以下几点：</w:t>
      </w:r>
    </w:p>
    <w:p>
      <w:pPr>
        <w:numPr>
          <w:ilvl w:val="0"/>
          <w:numId w:val="12"/>
        </w:numPr>
        <w:spacing w:line="420" w:lineRule="exact"/>
        <w:rPr>
          <w:rFonts w:ascii="宋体" w:hAnsi="宋体" w:cs="宋体"/>
          <w:sz w:val="22"/>
        </w:rPr>
      </w:pPr>
      <w:r>
        <w:rPr>
          <w:rFonts w:hint="eastAsia" w:ascii="宋体" w:hAnsi="宋体" w:cs="宋体"/>
          <w:sz w:val="22"/>
        </w:rPr>
        <w:t>已详细阅读全部采购文件，包括采购文件补充文件（如果有，包括相关的补充、更正、澄清公告和文件）、参考资料及有关附件，确认无误。我方完全理解并接受采购文件的各项规定和要求。</w:t>
      </w:r>
    </w:p>
    <w:p>
      <w:pPr>
        <w:numPr>
          <w:ilvl w:val="0"/>
          <w:numId w:val="12"/>
        </w:numPr>
        <w:spacing w:line="420" w:lineRule="exact"/>
        <w:rPr>
          <w:rFonts w:ascii="宋体" w:hAnsi="宋体" w:cs="宋体"/>
          <w:sz w:val="22"/>
        </w:rPr>
      </w:pPr>
      <w:r>
        <w:rPr>
          <w:rFonts w:hint="eastAsia" w:ascii="宋体" w:hAnsi="宋体" w:cs="宋体"/>
          <w:sz w:val="22"/>
        </w:rPr>
        <w:t>同意提供按照贵方可能要求的与投标有关的一切数据或资料等。若贵方需要，我方愿意提供我方作出的一切承诺的证明材料。</w:t>
      </w:r>
    </w:p>
    <w:p>
      <w:pPr>
        <w:numPr>
          <w:ilvl w:val="0"/>
          <w:numId w:val="12"/>
        </w:numPr>
        <w:spacing w:line="420" w:lineRule="exact"/>
        <w:rPr>
          <w:rFonts w:ascii="宋体" w:hAnsi="宋体" w:cs="宋体"/>
          <w:sz w:val="22"/>
        </w:rPr>
      </w:pPr>
      <w:r>
        <w:rPr>
          <w:rFonts w:hint="eastAsia" w:ascii="宋体" w:hAnsi="宋体" w:cs="宋体"/>
          <w:sz w:val="22"/>
        </w:rPr>
        <w:t>如中标，保证按照采购文件要求及投标文件的承诺与采购人签订合同，保证履行合同条款。</w:t>
      </w:r>
    </w:p>
    <w:p>
      <w:pPr>
        <w:numPr>
          <w:ilvl w:val="0"/>
          <w:numId w:val="12"/>
        </w:numPr>
        <w:spacing w:line="420" w:lineRule="exact"/>
        <w:rPr>
          <w:rFonts w:ascii="宋体" w:hAnsi="宋体" w:cs="宋体"/>
          <w:sz w:val="22"/>
        </w:rPr>
      </w:pPr>
      <w:r>
        <w:rPr>
          <w:rFonts w:hint="eastAsia" w:ascii="宋体" w:hAnsi="宋体" w:cs="宋体"/>
          <w:sz w:val="22"/>
        </w:rPr>
        <w:t>同意在采购文件中供应商须知规定的开标日期起遵守本投标书中的承诺且在投标有效期满之前均具有约束力。</w:t>
      </w:r>
    </w:p>
    <w:p>
      <w:pPr>
        <w:numPr>
          <w:ilvl w:val="0"/>
          <w:numId w:val="12"/>
        </w:numPr>
        <w:spacing w:line="420" w:lineRule="exact"/>
        <w:rPr>
          <w:rFonts w:ascii="宋体" w:hAnsi="宋体" w:cs="宋体"/>
          <w:sz w:val="22"/>
        </w:rPr>
      </w:pPr>
      <w:r>
        <w:rPr>
          <w:rFonts w:hint="eastAsia" w:ascii="宋体" w:hAnsi="宋体" w:cs="宋体"/>
          <w:sz w:val="22"/>
        </w:rPr>
        <w:t>如果在开标后规定的投标有效期内撤回投标，我方接受贵方处罚。</w:t>
      </w:r>
    </w:p>
    <w:p>
      <w:pPr>
        <w:numPr>
          <w:ilvl w:val="0"/>
          <w:numId w:val="12"/>
        </w:numPr>
        <w:spacing w:line="420" w:lineRule="exact"/>
        <w:rPr>
          <w:rFonts w:ascii="宋体" w:hAnsi="宋体" w:cs="宋体"/>
          <w:sz w:val="22"/>
        </w:rPr>
      </w:pPr>
      <w:r>
        <w:rPr>
          <w:rFonts w:hint="eastAsia" w:ascii="宋体" w:hAnsi="宋体" w:cs="宋体"/>
          <w:sz w:val="22"/>
        </w:rPr>
        <w:t>完全理解贵方不一定要接受最低价的投标。</w:t>
      </w:r>
    </w:p>
    <w:p>
      <w:pPr>
        <w:numPr>
          <w:ilvl w:val="0"/>
          <w:numId w:val="12"/>
        </w:numPr>
        <w:spacing w:line="420" w:lineRule="exact"/>
        <w:rPr>
          <w:rFonts w:ascii="宋体" w:hAnsi="宋体" w:cs="宋体"/>
          <w:sz w:val="22"/>
        </w:rPr>
      </w:pPr>
      <w:r>
        <w:rPr>
          <w:rFonts w:hint="eastAsia" w:ascii="宋体" w:hAnsi="宋体" w:cs="宋体"/>
          <w:sz w:val="22"/>
        </w:rPr>
        <w:t>在参加本项目前三年内（被通报或者处罚的违法行为有：</w:t>
      </w:r>
      <w:r>
        <w:rPr>
          <w:rFonts w:hint="eastAsia" w:ascii="宋体" w:hAnsi="宋体" w:cs="宋体"/>
          <w:sz w:val="22"/>
          <w:u w:val="single"/>
        </w:rPr>
        <w:t xml:space="preserve">                  </w:t>
      </w:r>
      <w:r>
        <w:rPr>
          <w:rFonts w:hint="eastAsia" w:ascii="宋体" w:hAnsi="宋体" w:cs="宋体"/>
          <w:sz w:val="22"/>
        </w:rPr>
        <w:t>）或（没有因违法经营受到刑事处罚或者责令停产停业、吊销许可证或者执照、较大数额罚款等行政处罚或处罚）或（在</w:t>
      </w:r>
      <w:r>
        <w:rPr>
          <w:rFonts w:hint="eastAsia" w:ascii="宋体" w:hAnsi="宋体" w:cs="宋体"/>
          <w:sz w:val="22"/>
          <w:u w:val="single"/>
        </w:rPr>
        <w:t xml:space="preserve">  </w:t>
      </w:r>
      <w:r>
        <w:rPr>
          <w:rFonts w:hint="eastAsia" w:ascii="宋体" w:hAnsi="宋体" w:cs="宋体"/>
          <w:sz w:val="22"/>
        </w:rPr>
        <w:t>至</w:t>
      </w:r>
      <w:r>
        <w:rPr>
          <w:rFonts w:hint="eastAsia" w:ascii="宋体" w:hAnsi="宋体" w:cs="宋体"/>
          <w:sz w:val="22"/>
          <w:u w:val="single"/>
        </w:rPr>
        <w:t xml:space="preserve">  </w:t>
      </w:r>
      <w:r>
        <w:rPr>
          <w:rFonts w:hint="eastAsia" w:ascii="宋体" w:hAnsi="宋体" w:cs="宋体"/>
          <w:sz w:val="22"/>
        </w:rPr>
        <w:t>期间禁止参加政府采购活动但是期限届满，须附相关证明文件）</w:t>
      </w:r>
    </w:p>
    <w:p>
      <w:pPr>
        <w:numPr>
          <w:ilvl w:val="0"/>
          <w:numId w:val="12"/>
        </w:numPr>
        <w:spacing w:line="420" w:lineRule="exact"/>
        <w:rPr>
          <w:rFonts w:ascii="宋体" w:hAnsi="宋体" w:cs="宋体"/>
          <w:sz w:val="22"/>
        </w:rPr>
      </w:pPr>
      <w:r>
        <w:rPr>
          <w:rFonts w:hint="eastAsia" w:ascii="宋体" w:hAnsi="宋体" w:cs="宋体"/>
          <w:sz w:val="22"/>
        </w:rPr>
        <w:t>在投标截止前（未被“信用中国”网站(</w:t>
      </w:r>
      <w:r>
        <w:fldChar w:fldCharType="begin"/>
      </w:r>
      <w:r>
        <w:instrText xml:space="preserve"> HYPERLINK "http://www.creditchina.gov.cn" </w:instrText>
      </w:r>
      <w:r>
        <w:fldChar w:fldCharType="separate"/>
      </w:r>
      <w:r>
        <w:rPr>
          <w:rFonts w:hint="eastAsia" w:ascii="宋体" w:hAnsi="宋体" w:cs="宋体"/>
          <w:sz w:val="22"/>
        </w:rPr>
        <w:t>www.creditchina.gov.cn</w:t>
      </w:r>
      <w:r>
        <w:rPr>
          <w:rFonts w:hint="eastAsia" w:ascii="宋体" w:hAnsi="宋体" w:cs="宋体"/>
          <w:sz w:val="22"/>
        </w:rPr>
        <w:fldChar w:fldCharType="end"/>
      </w:r>
      <w:r>
        <w:rPr>
          <w:rFonts w:hint="eastAsia" w:ascii="宋体" w:hAnsi="宋体" w:cs="宋体"/>
          <w:sz w:val="22"/>
        </w:rPr>
        <w:t>)列入失信被执行人、重大税收违法案件当事人名单；未被“中国政府采购网”(</w:t>
      </w:r>
      <w:r>
        <w:fldChar w:fldCharType="begin"/>
      </w:r>
      <w:r>
        <w:instrText xml:space="preserve"> HYPERLINK "http://www.ccgp.gov.cn" </w:instrText>
      </w:r>
      <w:r>
        <w:fldChar w:fldCharType="separate"/>
      </w:r>
      <w:r>
        <w:rPr>
          <w:rFonts w:hint="eastAsia" w:ascii="宋体" w:hAnsi="宋体" w:cs="宋体"/>
          <w:sz w:val="22"/>
        </w:rPr>
        <w:t>www.ccgp.gov.cn</w:t>
      </w:r>
      <w:r>
        <w:rPr>
          <w:rFonts w:hint="eastAsia" w:ascii="宋体" w:hAnsi="宋体" w:cs="宋体"/>
          <w:sz w:val="22"/>
        </w:rPr>
        <w:fldChar w:fldCharType="end"/>
      </w:r>
      <w:r>
        <w:rPr>
          <w:rFonts w:hint="eastAsia" w:ascii="宋体" w:hAnsi="宋体" w:cs="宋体"/>
          <w:sz w:val="22"/>
        </w:rPr>
        <w:t>)列入政府采购严重违法失信行为记录名单。）或（被“信用中国”或“中国政府采购网”列入……名单。）</w:t>
      </w:r>
    </w:p>
    <w:p>
      <w:pPr>
        <w:numPr>
          <w:ilvl w:val="0"/>
          <w:numId w:val="12"/>
        </w:numPr>
        <w:spacing w:line="420" w:lineRule="exact"/>
        <w:rPr>
          <w:rFonts w:ascii="宋体" w:hAnsi="宋体" w:cs="宋体"/>
          <w:sz w:val="22"/>
        </w:rPr>
      </w:pPr>
      <w:r>
        <w:rPr>
          <w:rFonts w:hint="eastAsia" w:ascii="宋体" w:hAnsi="宋体" w:cs="宋体"/>
          <w:sz w:val="22"/>
        </w:rPr>
        <w:t>单位、法定代表人（单位负责人）、本项目被授权人及本项目负责人在参加本项目前三年内（以法院判决书生效日期为准）均无行贿犯罪记录。</w:t>
      </w:r>
    </w:p>
    <w:p>
      <w:pPr>
        <w:numPr>
          <w:ilvl w:val="0"/>
          <w:numId w:val="12"/>
        </w:numPr>
        <w:spacing w:line="420" w:lineRule="exact"/>
        <w:rPr>
          <w:rFonts w:ascii="宋体" w:hAnsi="宋体" w:cs="宋体"/>
          <w:sz w:val="22"/>
        </w:rPr>
      </w:pPr>
      <w:r>
        <w:rPr>
          <w:rFonts w:hint="eastAsia" w:ascii="宋体" w:hAnsi="宋体" w:cs="宋体"/>
          <w:sz w:val="22"/>
        </w:rPr>
        <w:t>如有列情形之一的，我方愿意被取消中标资格（如中标），同时继续承担其他一切法律后果，并不再寻求任何旨在减轻或免除法律责任的解释：</w:t>
      </w:r>
    </w:p>
    <w:p>
      <w:pPr>
        <w:spacing w:line="420" w:lineRule="exact"/>
        <w:ind w:firstLine="440" w:firstLineChars="200"/>
        <w:rPr>
          <w:rFonts w:ascii="宋体" w:hAnsi="宋体" w:cs="宋体"/>
          <w:sz w:val="22"/>
        </w:rPr>
      </w:pPr>
      <w:r>
        <w:rPr>
          <w:rFonts w:hint="eastAsia" w:ascii="宋体" w:hAnsi="宋体" w:cs="宋体"/>
          <w:sz w:val="22"/>
        </w:rPr>
        <w:t>(1)提供虚假材料（承诺）谋取中标、成交的；</w:t>
      </w:r>
    </w:p>
    <w:p>
      <w:pPr>
        <w:spacing w:line="420" w:lineRule="exact"/>
        <w:ind w:firstLine="440" w:firstLineChars="200"/>
        <w:rPr>
          <w:rFonts w:ascii="宋体" w:hAnsi="宋体" w:cs="宋体"/>
          <w:sz w:val="22"/>
        </w:rPr>
      </w:pPr>
      <w:r>
        <w:rPr>
          <w:rFonts w:hint="eastAsia" w:ascii="宋体" w:hAnsi="宋体" w:cs="宋体"/>
          <w:sz w:val="22"/>
        </w:rPr>
        <w:t>(2)采取不正当手段诋毁、排挤其他供应商的；</w:t>
      </w:r>
    </w:p>
    <w:p>
      <w:pPr>
        <w:spacing w:line="420" w:lineRule="exact"/>
        <w:ind w:firstLine="440" w:firstLineChars="200"/>
        <w:rPr>
          <w:rFonts w:ascii="宋体" w:hAnsi="宋体" w:cs="宋体"/>
          <w:sz w:val="22"/>
        </w:rPr>
      </w:pPr>
      <w:r>
        <w:rPr>
          <w:rFonts w:hint="eastAsia" w:ascii="宋体" w:hAnsi="宋体" w:cs="宋体"/>
          <w:sz w:val="22"/>
        </w:rPr>
        <w:t>(3)与采购人、其它供应商或者采购代理机构恶意串通的；</w:t>
      </w:r>
    </w:p>
    <w:p>
      <w:pPr>
        <w:spacing w:line="420" w:lineRule="exact"/>
        <w:ind w:firstLine="440" w:firstLineChars="200"/>
        <w:rPr>
          <w:rFonts w:ascii="宋体" w:hAnsi="宋体" w:cs="宋体"/>
          <w:sz w:val="22"/>
        </w:rPr>
      </w:pPr>
      <w:r>
        <w:rPr>
          <w:rFonts w:hint="eastAsia" w:ascii="宋体" w:hAnsi="宋体" w:cs="宋体"/>
          <w:sz w:val="22"/>
        </w:rPr>
        <w:t>(4)向采购人、采购代理机构行贿或者提供其他不正当利益的；</w:t>
      </w:r>
    </w:p>
    <w:p>
      <w:pPr>
        <w:spacing w:line="420" w:lineRule="exact"/>
        <w:ind w:firstLine="440" w:firstLineChars="200"/>
        <w:rPr>
          <w:rFonts w:ascii="宋体" w:hAnsi="宋体" w:cs="宋体"/>
          <w:sz w:val="22"/>
        </w:rPr>
      </w:pPr>
      <w:r>
        <w:rPr>
          <w:rFonts w:hint="eastAsia" w:ascii="宋体" w:hAnsi="宋体" w:cs="宋体"/>
          <w:sz w:val="22"/>
        </w:rPr>
        <w:t>(5)在招标采购过程中与采购人进行协商谈判的；</w:t>
      </w:r>
    </w:p>
    <w:p>
      <w:pPr>
        <w:spacing w:line="420" w:lineRule="exact"/>
        <w:ind w:firstLine="440" w:firstLineChars="200"/>
        <w:rPr>
          <w:rFonts w:ascii="宋体" w:hAnsi="宋体" w:cs="宋体"/>
          <w:sz w:val="22"/>
        </w:rPr>
      </w:pPr>
      <w:r>
        <w:rPr>
          <w:rFonts w:hint="eastAsia" w:ascii="宋体" w:hAnsi="宋体" w:cs="宋体"/>
          <w:sz w:val="22"/>
        </w:rPr>
        <w:t>(6)拒绝有关部门监督检查或提供虚假情况的。</w:t>
      </w:r>
    </w:p>
    <w:p>
      <w:pPr>
        <w:numPr>
          <w:ilvl w:val="0"/>
          <w:numId w:val="12"/>
        </w:numPr>
        <w:spacing w:line="420" w:lineRule="exact"/>
        <w:rPr>
          <w:rFonts w:ascii="宋体" w:hAnsi="宋体" w:cs="宋体"/>
          <w:sz w:val="22"/>
        </w:rPr>
      </w:pPr>
      <w:r>
        <w:rPr>
          <w:rFonts w:hint="eastAsia" w:ascii="宋体" w:hAnsi="宋体" w:cs="宋体"/>
          <w:sz w:val="22"/>
        </w:rPr>
        <w:t>所有与本投标有关的函件请发往下列地址：</w:t>
      </w:r>
    </w:p>
    <w:p>
      <w:pPr>
        <w:spacing w:line="420" w:lineRule="exact"/>
        <w:ind w:firstLine="435"/>
        <w:rPr>
          <w:rFonts w:ascii="宋体" w:hAnsi="宋体" w:cs="宋体"/>
          <w:sz w:val="22"/>
          <w:szCs w:val="22"/>
        </w:rPr>
      </w:pPr>
      <w:r>
        <w:rPr>
          <w:rFonts w:hint="eastAsia" w:ascii="宋体" w:hAnsi="宋体" w:cs="宋体"/>
          <w:sz w:val="22"/>
          <w:szCs w:val="22"/>
        </w:rPr>
        <w:t xml:space="preserve">   地址</w:t>
      </w:r>
      <w:r>
        <w:rPr>
          <w:rFonts w:hint="eastAsia" w:ascii="宋体" w:hAnsi="宋体" w:cs="宋体"/>
          <w:sz w:val="22"/>
          <w:szCs w:val="22"/>
          <w:u w:val="single"/>
        </w:rPr>
        <w:t xml:space="preserve">                           </w:t>
      </w:r>
    </w:p>
    <w:p>
      <w:pPr>
        <w:spacing w:line="420" w:lineRule="exact"/>
        <w:ind w:firstLine="435"/>
        <w:rPr>
          <w:rFonts w:ascii="宋体" w:hAnsi="宋体" w:cs="宋体"/>
          <w:sz w:val="22"/>
          <w:szCs w:val="22"/>
        </w:rPr>
      </w:pPr>
      <w:r>
        <w:rPr>
          <w:rFonts w:hint="eastAsia" w:ascii="宋体" w:hAnsi="宋体" w:cs="宋体"/>
          <w:sz w:val="22"/>
          <w:szCs w:val="22"/>
        </w:rPr>
        <w:t xml:space="preserve">   电话</w:t>
      </w:r>
      <w:r>
        <w:rPr>
          <w:rFonts w:hint="eastAsia" w:ascii="宋体" w:hAnsi="宋体" w:cs="宋体"/>
          <w:sz w:val="22"/>
          <w:szCs w:val="22"/>
          <w:u w:val="single"/>
        </w:rPr>
        <w:t xml:space="preserve">                           </w:t>
      </w:r>
    </w:p>
    <w:p>
      <w:pPr>
        <w:spacing w:line="420" w:lineRule="exact"/>
        <w:ind w:firstLine="435"/>
        <w:rPr>
          <w:rFonts w:ascii="宋体" w:hAnsi="宋体" w:cs="宋体"/>
          <w:sz w:val="22"/>
          <w:szCs w:val="22"/>
          <w:u w:val="single"/>
        </w:rPr>
      </w:pPr>
      <w:r>
        <w:rPr>
          <w:rFonts w:hint="eastAsia" w:ascii="宋体" w:hAnsi="宋体" w:cs="宋体"/>
          <w:sz w:val="22"/>
          <w:szCs w:val="22"/>
        </w:rPr>
        <w:t xml:space="preserve">   传真</w:t>
      </w:r>
      <w:r>
        <w:rPr>
          <w:rFonts w:hint="eastAsia" w:ascii="宋体" w:hAnsi="宋体" w:cs="宋体"/>
          <w:sz w:val="22"/>
          <w:szCs w:val="22"/>
          <w:u w:val="single"/>
        </w:rPr>
        <w:t xml:space="preserve">                           </w:t>
      </w:r>
    </w:p>
    <w:p>
      <w:pPr>
        <w:spacing w:line="420" w:lineRule="exact"/>
        <w:ind w:firstLine="770" w:firstLineChars="350"/>
        <w:rPr>
          <w:rFonts w:ascii="宋体" w:hAnsi="宋体" w:cs="宋体"/>
          <w:sz w:val="22"/>
          <w:szCs w:val="22"/>
        </w:rPr>
      </w:pPr>
      <w:r>
        <w:rPr>
          <w:rFonts w:hint="eastAsia" w:ascii="宋体" w:hAnsi="宋体" w:cs="宋体"/>
          <w:sz w:val="22"/>
          <w:szCs w:val="22"/>
        </w:rPr>
        <w:t>电子邮件</w:t>
      </w:r>
      <w:r>
        <w:rPr>
          <w:rFonts w:hint="eastAsia" w:ascii="宋体" w:hAnsi="宋体" w:cs="宋体"/>
          <w:sz w:val="22"/>
          <w:szCs w:val="22"/>
          <w:u w:val="single"/>
        </w:rPr>
        <w:t xml:space="preserve">                           </w:t>
      </w:r>
    </w:p>
    <w:p>
      <w:pPr>
        <w:spacing w:line="420" w:lineRule="exact"/>
        <w:ind w:firstLine="4620"/>
        <w:rPr>
          <w:rFonts w:ascii="宋体" w:hAnsi="宋体" w:cs="宋体"/>
          <w:sz w:val="22"/>
          <w:szCs w:val="22"/>
        </w:rPr>
      </w:pPr>
      <w:r>
        <w:rPr>
          <w:rFonts w:hint="eastAsia" w:ascii="宋体" w:hAnsi="宋体" w:cs="宋体"/>
          <w:sz w:val="22"/>
          <w:szCs w:val="22"/>
        </w:rPr>
        <w:t>投标人名称（盖章）</w:t>
      </w:r>
      <w:r>
        <w:rPr>
          <w:rFonts w:hint="eastAsia" w:ascii="宋体" w:hAnsi="宋体" w:cs="宋体"/>
          <w:sz w:val="22"/>
          <w:szCs w:val="22"/>
          <w:u w:val="single"/>
        </w:rPr>
        <w:t xml:space="preserve">                  </w:t>
      </w:r>
    </w:p>
    <w:p>
      <w:pPr>
        <w:spacing w:line="420" w:lineRule="exact"/>
        <w:ind w:firstLine="4620"/>
        <w:rPr>
          <w:rFonts w:ascii="宋体" w:hAnsi="宋体" w:cs="宋体"/>
          <w:sz w:val="22"/>
          <w:szCs w:val="22"/>
        </w:rPr>
      </w:pPr>
      <w:r>
        <w:rPr>
          <w:rFonts w:hint="eastAsia" w:ascii="宋体" w:hAnsi="宋体" w:cs="宋体"/>
          <w:sz w:val="22"/>
          <w:szCs w:val="22"/>
        </w:rPr>
        <w:t>投标人代表（签字）</w:t>
      </w:r>
      <w:r>
        <w:rPr>
          <w:rFonts w:hint="eastAsia" w:ascii="宋体" w:hAnsi="宋体" w:cs="宋体"/>
          <w:sz w:val="22"/>
          <w:szCs w:val="22"/>
          <w:u w:val="single"/>
        </w:rPr>
        <w:t xml:space="preserve">                   </w:t>
      </w:r>
    </w:p>
    <w:p>
      <w:pPr>
        <w:spacing w:line="460" w:lineRule="exact"/>
        <w:ind w:firstLine="4620"/>
        <w:rPr>
          <w:rFonts w:ascii="宋体" w:hAnsi="宋体" w:cs="宋体"/>
          <w:sz w:val="22"/>
          <w:szCs w:val="22"/>
          <w:u w:val="single"/>
        </w:rPr>
      </w:pPr>
      <w:r>
        <w:rPr>
          <w:rFonts w:hint="eastAsia" w:ascii="宋体" w:hAnsi="宋体" w:cs="宋体"/>
          <w:sz w:val="22"/>
          <w:szCs w:val="22"/>
        </w:rPr>
        <w:t>日    期</w:t>
      </w:r>
      <w:r>
        <w:rPr>
          <w:rFonts w:hint="eastAsia" w:ascii="宋体" w:hAnsi="宋体" w:cs="宋体"/>
          <w:sz w:val="22"/>
          <w:szCs w:val="22"/>
          <w:u w:val="single"/>
        </w:rPr>
        <w:t xml:space="preserve">           </w:t>
      </w:r>
    </w:p>
    <w:p>
      <w:pPr>
        <w:spacing w:line="460" w:lineRule="exact"/>
        <w:ind w:firstLine="4620"/>
        <w:rPr>
          <w:rFonts w:ascii="宋体" w:hAnsi="宋体" w:cs="宋体"/>
          <w:sz w:val="22"/>
          <w:szCs w:val="22"/>
          <w:u w:val="single"/>
        </w:rPr>
      </w:pPr>
    </w:p>
    <w:p>
      <w:pPr>
        <w:spacing w:line="460" w:lineRule="exact"/>
        <w:rPr>
          <w:rFonts w:ascii="宋体" w:hAnsi="宋体" w:cs="宋体"/>
          <w:b/>
          <w:sz w:val="22"/>
          <w:szCs w:val="22"/>
          <w:u w:val="single"/>
        </w:rPr>
      </w:pPr>
      <w:r>
        <w:rPr>
          <w:rFonts w:hint="eastAsia" w:ascii="宋体" w:hAnsi="宋体" w:cs="宋体"/>
          <w:b/>
          <w:sz w:val="22"/>
          <w:szCs w:val="22"/>
          <w:u w:val="single"/>
        </w:rPr>
        <w:t>▲不提供投标函的投标文件将被视为未实质性响应采购文件。</w:t>
      </w:r>
    </w:p>
    <w:p>
      <w:pPr>
        <w:spacing w:line="460" w:lineRule="exact"/>
        <w:ind w:firstLine="435"/>
        <w:rPr>
          <w:rFonts w:ascii="宋体" w:hAnsi="宋体" w:cs="宋体"/>
          <w:b/>
          <w:sz w:val="22"/>
          <w:szCs w:val="22"/>
          <w:u w:val="single"/>
        </w:rPr>
      </w:pPr>
    </w:p>
    <w:p>
      <w:pPr>
        <w:spacing w:line="460" w:lineRule="exact"/>
        <w:rPr>
          <w:rFonts w:ascii="宋体" w:hAnsi="宋体" w:cs="宋体"/>
          <w:b/>
          <w:bCs/>
          <w:sz w:val="22"/>
          <w:szCs w:val="22"/>
        </w:rPr>
      </w:pPr>
      <w:r>
        <w:rPr>
          <w:rFonts w:hint="eastAsia" w:ascii="宋体" w:hAnsi="宋体" w:cs="宋体"/>
          <w:b/>
          <w:sz w:val="22"/>
          <w:szCs w:val="22"/>
          <w:u w:val="single"/>
        </w:rPr>
        <w:br w:type="page"/>
      </w:r>
      <w:r>
        <w:rPr>
          <w:rFonts w:hint="eastAsia" w:ascii="宋体" w:hAnsi="宋体" w:cs="宋体"/>
          <w:b/>
          <w:bCs/>
          <w:sz w:val="22"/>
          <w:szCs w:val="22"/>
        </w:rPr>
        <w:t>附件二</w:t>
      </w:r>
    </w:p>
    <w:p>
      <w:pPr>
        <w:spacing w:line="460" w:lineRule="exact"/>
        <w:jc w:val="center"/>
        <w:rPr>
          <w:rFonts w:ascii="宋体" w:hAnsi="宋体" w:cs="宋体"/>
          <w:b/>
          <w:bCs/>
          <w:sz w:val="28"/>
          <w:szCs w:val="28"/>
        </w:rPr>
      </w:pPr>
      <w:r>
        <w:rPr>
          <w:rFonts w:hint="eastAsia" w:ascii="宋体" w:hAnsi="宋体" w:cs="宋体"/>
          <w:b/>
          <w:bCs/>
          <w:sz w:val="28"/>
          <w:szCs w:val="28"/>
        </w:rPr>
        <w:t xml:space="preserve"> (1)技术要求应答表</w:t>
      </w:r>
    </w:p>
    <w:p>
      <w:pPr>
        <w:ind w:firstLine="435"/>
        <w:jc w:val="center"/>
        <w:rPr>
          <w:rFonts w:ascii="宋体" w:hAnsi="宋体" w:cs="宋体"/>
          <w:b/>
          <w:sz w:val="44"/>
        </w:rPr>
      </w:pPr>
    </w:p>
    <w:p>
      <w:pPr>
        <w:overflowPunct w:val="0"/>
        <w:spacing w:line="380" w:lineRule="exact"/>
        <w:rPr>
          <w:rFonts w:ascii="宋体" w:hAnsi="宋体" w:cs="宋体"/>
          <w:bCs/>
          <w:sz w:val="22"/>
          <w:szCs w:val="22"/>
        </w:rPr>
      </w:pPr>
      <w:r>
        <w:rPr>
          <w:rFonts w:hint="eastAsia" w:ascii="宋体" w:hAnsi="宋体" w:cs="宋体"/>
          <w:b/>
          <w:sz w:val="24"/>
        </w:rPr>
        <w:t xml:space="preserve">   </w:t>
      </w:r>
      <w:r>
        <w:rPr>
          <w:rFonts w:hint="eastAsia" w:ascii="宋体" w:hAnsi="宋体" w:cs="宋体"/>
          <w:bCs/>
          <w:sz w:val="22"/>
          <w:szCs w:val="22"/>
        </w:rPr>
        <w:t>项目名称：                                      项目编号：</w:t>
      </w:r>
    </w:p>
    <w:p>
      <w:pPr>
        <w:ind w:firstLine="361" w:firstLineChars="150"/>
        <w:rPr>
          <w:rFonts w:ascii="宋体" w:hAnsi="宋体" w:cs="宋体"/>
          <w:b/>
          <w:sz w:val="24"/>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73"/>
        <w:gridCol w:w="2538"/>
        <w:gridCol w:w="2326"/>
        <w:gridCol w:w="2115"/>
        <w:gridCol w:w="1902"/>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73" w:type="dxa"/>
            <w:vAlign w:val="center"/>
          </w:tcPr>
          <w:p>
            <w:pPr>
              <w:jc w:val="center"/>
              <w:rPr>
                <w:rFonts w:ascii="宋体" w:hAnsi="宋体" w:cs="宋体"/>
                <w:sz w:val="22"/>
                <w:szCs w:val="22"/>
              </w:rPr>
            </w:pPr>
            <w:r>
              <w:rPr>
                <w:rFonts w:hint="eastAsia" w:ascii="宋体" w:hAnsi="宋体" w:cs="宋体"/>
                <w:sz w:val="22"/>
                <w:szCs w:val="22"/>
              </w:rPr>
              <w:t>序号</w:t>
            </w:r>
          </w:p>
        </w:tc>
        <w:tc>
          <w:tcPr>
            <w:tcW w:w="2538" w:type="dxa"/>
            <w:vAlign w:val="center"/>
          </w:tcPr>
          <w:p>
            <w:pPr>
              <w:jc w:val="center"/>
              <w:rPr>
                <w:rFonts w:ascii="宋体" w:hAnsi="宋体" w:cs="宋体"/>
                <w:sz w:val="22"/>
                <w:szCs w:val="22"/>
              </w:rPr>
            </w:pPr>
            <w:r>
              <w:rPr>
                <w:rFonts w:hint="eastAsia" w:ascii="宋体" w:hAnsi="宋体" w:cs="宋体"/>
                <w:sz w:val="22"/>
                <w:szCs w:val="22"/>
              </w:rPr>
              <w:t>采购文件技术要求</w:t>
            </w:r>
          </w:p>
        </w:tc>
        <w:tc>
          <w:tcPr>
            <w:tcW w:w="2326" w:type="dxa"/>
            <w:vAlign w:val="center"/>
          </w:tcPr>
          <w:p>
            <w:pPr>
              <w:jc w:val="center"/>
              <w:rPr>
                <w:rFonts w:ascii="宋体" w:hAnsi="宋体" w:cs="宋体"/>
                <w:sz w:val="22"/>
                <w:szCs w:val="22"/>
              </w:rPr>
            </w:pPr>
            <w:r>
              <w:rPr>
                <w:rFonts w:hint="eastAsia" w:ascii="宋体" w:hAnsi="宋体" w:cs="宋体"/>
                <w:sz w:val="22"/>
                <w:szCs w:val="22"/>
              </w:rPr>
              <w:t>投标人技术响应</w:t>
            </w:r>
          </w:p>
        </w:tc>
        <w:tc>
          <w:tcPr>
            <w:tcW w:w="2115" w:type="dxa"/>
            <w:vAlign w:val="center"/>
          </w:tcPr>
          <w:p>
            <w:pPr>
              <w:jc w:val="center"/>
              <w:rPr>
                <w:rFonts w:ascii="宋体" w:hAnsi="宋体" w:cs="宋体"/>
                <w:sz w:val="22"/>
                <w:szCs w:val="22"/>
              </w:rPr>
            </w:pPr>
            <w:r>
              <w:rPr>
                <w:rFonts w:hint="eastAsia" w:ascii="宋体" w:hAnsi="宋体" w:cs="宋体"/>
                <w:sz w:val="22"/>
                <w:szCs w:val="22"/>
              </w:rPr>
              <w:t>偏离</w:t>
            </w:r>
          </w:p>
        </w:tc>
        <w:tc>
          <w:tcPr>
            <w:tcW w:w="1902" w:type="dxa"/>
            <w:vAlign w:val="center"/>
          </w:tcPr>
          <w:p>
            <w:pPr>
              <w:jc w:val="center"/>
              <w:rPr>
                <w:rFonts w:ascii="宋体" w:hAnsi="宋体" w:cs="宋体"/>
                <w:sz w:val="22"/>
                <w:szCs w:val="22"/>
              </w:rPr>
            </w:pPr>
            <w:r>
              <w:rPr>
                <w:rFonts w:hint="eastAsia" w:ascii="宋体" w:hAnsi="宋体" w:cs="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40" w:hRule="atLeast"/>
          <w:jc w:val="center"/>
        </w:trPr>
        <w:tc>
          <w:tcPr>
            <w:tcW w:w="973" w:type="dxa"/>
            <w:vAlign w:val="center"/>
          </w:tcPr>
          <w:p>
            <w:pPr>
              <w:jc w:val="center"/>
              <w:rPr>
                <w:rFonts w:ascii="宋体" w:hAnsi="宋体" w:cs="宋体"/>
                <w:sz w:val="22"/>
                <w:szCs w:val="22"/>
              </w:rPr>
            </w:pPr>
          </w:p>
        </w:tc>
        <w:tc>
          <w:tcPr>
            <w:tcW w:w="2538" w:type="dxa"/>
            <w:vAlign w:val="center"/>
          </w:tcPr>
          <w:p>
            <w:pPr>
              <w:jc w:val="center"/>
              <w:rPr>
                <w:rFonts w:ascii="宋体" w:hAnsi="宋体" w:cs="宋体"/>
                <w:sz w:val="22"/>
                <w:szCs w:val="22"/>
              </w:rPr>
            </w:pPr>
          </w:p>
        </w:tc>
        <w:tc>
          <w:tcPr>
            <w:tcW w:w="2326" w:type="dxa"/>
            <w:vAlign w:val="center"/>
          </w:tcPr>
          <w:p>
            <w:pPr>
              <w:jc w:val="center"/>
              <w:rPr>
                <w:rFonts w:ascii="宋体" w:hAnsi="宋体" w:cs="宋体"/>
                <w:sz w:val="22"/>
                <w:szCs w:val="22"/>
              </w:rPr>
            </w:pPr>
          </w:p>
        </w:tc>
        <w:tc>
          <w:tcPr>
            <w:tcW w:w="2115" w:type="dxa"/>
            <w:vAlign w:val="center"/>
          </w:tcPr>
          <w:p>
            <w:pPr>
              <w:jc w:val="center"/>
              <w:rPr>
                <w:rFonts w:ascii="宋体" w:hAnsi="宋体" w:cs="宋体"/>
                <w:sz w:val="22"/>
                <w:szCs w:val="22"/>
              </w:rPr>
            </w:pPr>
          </w:p>
        </w:tc>
        <w:tc>
          <w:tcPr>
            <w:tcW w:w="1902"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sz w:val="22"/>
                <w:szCs w:val="22"/>
              </w:rPr>
            </w:pPr>
          </w:p>
        </w:tc>
        <w:tc>
          <w:tcPr>
            <w:tcW w:w="2538" w:type="dxa"/>
            <w:vAlign w:val="center"/>
          </w:tcPr>
          <w:p>
            <w:pPr>
              <w:jc w:val="center"/>
              <w:rPr>
                <w:rFonts w:ascii="宋体" w:hAnsi="宋体" w:cs="宋体"/>
                <w:sz w:val="22"/>
                <w:szCs w:val="22"/>
              </w:rPr>
            </w:pPr>
          </w:p>
        </w:tc>
        <w:tc>
          <w:tcPr>
            <w:tcW w:w="2326" w:type="dxa"/>
            <w:vAlign w:val="center"/>
          </w:tcPr>
          <w:p>
            <w:pPr>
              <w:jc w:val="center"/>
              <w:rPr>
                <w:rFonts w:ascii="宋体" w:hAnsi="宋体" w:cs="宋体"/>
                <w:sz w:val="22"/>
                <w:szCs w:val="22"/>
              </w:rPr>
            </w:pPr>
          </w:p>
        </w:tc>
        <w:tc>
          <w:tcPr>
            <w:tcW w:w="2115" w:type="dxa"/>
            <w:vAlign w:val="center"/>
          </w:tcPr>
          <w:p>
            <w:pPr>
              <w:jc w:val="center"/>
              <w:rPr>
                <w:rFonts w:ascii="宋体" w:hAnsi="宋体" w:cs="宋体"/>
                <w:sz w:val="22"/>
                <w:szCs w:val="22"/>
              </w:rPr>
            </w:pPr>
          </w:p>
        </w:tc>
        <w:tc>
          <w:tcPr>
            <w:tcW w:w="1902"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sz w:val="22"/>
                <w:szCs w:val="22"/>
              </w:rPr>
            </w:pPr>
          </w:p>
        </w:tc>
        <w:tc>
          <w:tcPr>
            <w:tcW w:w="2538" w:type="dxa"/>
            <w:vAlign w:val="center"/>
          </w:tcPr>
          <w:p>
            <w:pPr>
              <w:jc w:val="center"/>
              <w:rPr>
                <w:rFonts w:ascii="宋体" w:hAnsi="宋体" w:cs="宋体"/>
                <w:sz w:val="22"/>
                <w:szCs w:val="22"/>
              </w:rPr>
            </w:pPr>
          </w:p>
        </w:tc>
        <w:tc>
          <w:tcPr>
            <w:tcW w:w="2326" w:type="dxa"/>
            <w:vAlign w:val="center"/>
          </w:tcPr>
          <w:p>
            <w:pPr>
              <w:jc w:val="center"/>
              <w:rPr>
                <w:rFonts w:ascii="宋体" w:hAnsi="宋体" w:cs="宋体"/>
                <w:sz w:val="22"/>
                <w:szCs w:val="22"/>
              </w:rPr>
            </w:pPr>
          </w:p>
        </w:tc>
        <w:tc>
          <w:tcPr>
            <w:tcW w:w="2115" w:type="dxa"/>
            <w:vAlign w:val="center"/>
          </w:tcPr>
          <w:p>
            <w:pPr>
              <w:jc w:val="center"/>
              <w:rPr>
                <w:rFonts w:ascii="宋体" w:hAnsi="宋体" w:cs="宋体"/>
                <w:sz w:val="22"/>
                <w:szCs w:val="22"/>
              </w:rPr>
            </w:pPr>
          </w:p>
        </w:tc>
        <w:tc>
          <w:tcPr>
            <w:tcW w:w="1902"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sz w:val="22"/>
                <w:szCs w:val="22"/>
              </w:rPr>
            </w:pPr>
          </w:p>
        </w:tc>
        <w:tc>
          <w:tcPr>
            <w:tcW w:w="2538" w:type="dxa"/>
            <w:vAlign w:val="center"/>
          </w:tcPr>
          <w:p>
            <w:pPr>
              <w:jc w:val="center"/>
              <w:rPr>
                <w:rFonts w:ascii="宋体" w:hAnsi="宋体" w:cs="宋体"/>
                <w:sz w:val="22"/>
                <w:szCs w:val="22"/>
              </w:rPr>
            </w:pPr>
          </w:p>
        </w:tc>
        <w:tc>
          <w:tcPr>
            <w:tcW w:w="2326" w:type="dxa"/>
            <w:vAlign w:val="center"/>
          </w:tcPr>
          <w:p>
            <w:pPr>
              <w:jc w:val="center"/>
              <w:rPr>
                <w:rFonts w:ascii="宋体" w:hAnsi="宋体" w:cs="宋体"/>
                <w:sz w:val="22"/>
                <w:szCs w:val="22"/>
              </w:rPr>
            </w:pPr>
          </w:p>
        </w:tc>
        <w:tc>
          <w:tcPr>
            <w:tcW w:w="2115" w:type="dxa"/>
            <w:vAlign w:val="center"/>
          </w:tcPr>
          <w:p>
            <w:pPr>
              <w:jc w:val="center"/>
              <w:rPr>
                <w:rFonts w:ascii="宋体" w:hAnsi="宋体" w:cs="宋体"/>
                <w:sz w:val="22"/>
                <w:szCs w:val="22"/>
              </w:rPr>
            </w:pPr>
          </w:p>
        </w:tc>
        <w:tc>
          <w:tcPr>
            <w:tcW w:w="1902"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71" w:hRule="atLeast"/>
          <w:jc w:val="center"/>
        </w:trPr>
        <w:tc>
          <w:tcPr>
            <w:tcW w:w="973" w:type="dxa"/>
            <w:vAlign w:val="center"/>
          </w:tcPr>
          <w:p>
            <w:pPr>
              <w:jc w:val="center"/>
              <w:rPr>
                <w:rFonts w:ascii="宋体" w:hAnsi="宋体" w:cs="宋体"/>
                <w:sz w:val="22"/>
                <w:szCs w:val="22"/>
              </w:rPr>
            </w:pPr>
          </w:p>
        </w:tc>
        <w:tc>
          <w:tcPr>
            <w:tcW w:w="2538" w:type="dxa"/>
            <w:vAlign w:val="center"/>
          </w:tcPr>
          <w:p>
            <w:pPr>
              <w:jc w:val="center"/>
              <w:rPr>
                <w:rFonts w:ascii="宋体" w:hAnsi="宋体" w:cs="宋体"/>
                <w:sz w:val="22"/>
                <w:szCs w:val="22"/>
              </w:rPr>
            </w:pPr>
          </w:p>
        </w:tc>
        <w:tc>
          <w:tcPr>
            <w:tcW w:w="2326" w:type="dxa"/>
            <w:vAlign w:val="center"/>
          </w:tcPr>
          <w:p>
            <w:pPr>
              <w:jc w:val="center"/>
              <w:rPr>
                <w:rFonts w:ascii="宋体" w:hAnsi="宋体" w:cs="宋体"/>
                <w:sz w:val="22"/>
                <w:szCs w:val="22"/>
              </w:rPr>
            </w:pPr>
          </w:p>
        </w:tc>
        <w:tc>
          <w:tcPr>
            <w:tcW w:w="2115" w:type="dxa"/>
            <w:vAlign w:val="center"/>
          </w:tcPr>
          <w:p>
            <w:pPr>
              <w:jc w:val="center"/>
              <w:rPr>
                <w:rFonts w:ascii="宋体" w:hAnsi="宋体" w:cs="宋体"/>
                <w:sz w:val="22"/>
                <w:szCs w:val="22"/>
              </w:rPr>
            </w:pPr>
          </w:p>
        </w:tc>
        <w:tc>
          <w:tcPr>
            <w:tcW w:w="1902" w:type="dxa"/>
            <w:vAlign w:val="center"/>
          </w:tcPr>
          <w:p>
            <w:pPr>
              <w:jc w:val="center"/>
              <w:rPr>
                <w:rFonts w:ascii="宋体" w:hAnsi="宋体" w:cs="宋体"/>
                <w:sz w:val="22"/>
                <w:szCs w:val="22"/>
              </w:rPr>
            </w:pPr>
          </w:p>
        </w:tc>
      </w:tr>
    </w:tbl>
    <w:p>
      <w:pPr>
        <w:spacing w:line="500" w:lineRule="exact"/>
        <w:rPr>
          <w:rFonts w:ascii="宋体" w:hAnsi="宋体" w:cs="宋体"/>
          <w:sz w:val="24"/>
        </w:rPr>
      </w:pPr>
      <w:r>
        <w:rPr>
          <w:rFonts w:hint="eastAsia" w:ascii="宋体" w:hAnsi="宋体" w:cs="宋体"/>
          <w:sz w:val="24"/>
        </w:rPr>
        <w:t>说明：</w:t>
      </w:r>
    </w:p>
    <w:p>
      <w:pPr>
        <w:spacing w:line="400" w:lineRule="exact"/>
        <w:rPr>
          <w:rFonts w:ascii="宋体" w:hAnsi="宋体" w:cs="宋体"/>
          <w:sz w:val="22"/>
          <w:szCs w:val="22"/>
        </w:rPr>
      </w:pPr>
      <w:r>
        <w:rPr>
          <w:rFonts w:hint="eastAsia" w:ascii="宋体" w:hAnsi="宋体" w:cs="宋体"/>
          <w:sz w:val="22"/>
          <w:szCs w:val="22"/>
        </w:rPr>
        <w:t>不填写此表视作完全响应采购文件要求。</w:t>
      </w:r>
    </w:p>
    <w:p>
      <w:pPr>
        <w:spacing w:line="400" w:lineRule="exact"/>
        <w:rPr>
          <w:rFonts w:ascii="宋体" w:hAnsi="宋体" w:cs="宋体"/>
          <w:sz w:val="22"/>
          <w:szCs w:val="22"/>
        </w:rPr>
      </w:pPr>
    </w:p>
    <w:p>
      <w:pPr>
        <w:spacing w:line="400" w:lineRule="exact"/>
        <w:rPr>
          <w:rFonts w:ascii="宋体" w:hAnsi="宋体" w:cs="宋体"/>
          <w:sz w:val="22"/>
          <w:szCs w:val="22"/>
        </w:rPr>
      </w:pPr>
    </w:p>
    <w:p>
      <w:pPr>
        <w:spacing w:line="400" w:lineRule="exact"/>
        <w:rPr>
          <w:rFonts w:ascii="宋体" w:hAnsi="宋体" w:cs="宋体"/>
          <w:sz w:val="22"/>
          <w:szCs w:val="22"/>
        </w:rPr>
      </w:pPr>
    </w:p>
    <w:p>
      <w:pPr>
        <w:spacing w:line="400" w:lineRule="exact"/>
        <w:rPr>
          <w:rFonts w:ascii="宋体" w:hAnsi="宋体" w:cs="宋体"/>
          <w:sz w:val="22"/>
          <w:szCs w:val="22"/>
        </w:rPr>
      </w:pPr>
    </w:p>
    <w:p>
      <w:pPr>
        <w:spacing w:line="400" w:lineRule="exact"/>
        <w:ind w:firstLine="770" w:firstLineChars="350"/>
        <w:rPr>
          <w:rFonts w:ascii="宋体" w:hAnsi="宋体" w:cs="宋体"/>
          <w:sz w:val="22"/>
          <w:szCs w:val="22"/>
        </w:rPr>
      </w:pPr>
      <w:r>
        <w:rPr>
          <w:rFonts w:hint="eastAsia" w:ascii="宋体" w:hAnsi="宋体" w:cs="宋体"/>
          <w:sz w:val="22"/>
          <w:szCs w:val="22"/>
        </w:rPr>
        <w:t>投标人全称（盖章）：</w:t>
      </w:r>
    </w:p>
    <w:p>
      <w:pPr>
        <w:spacing w:line="400" w:lineRule="exact"/>
        <w:ind w:firstLine="770" w:firstLineChars="350"/>
        <w:rPr>
          <w:rFonts w:ascii="宋体" w:hAnsi="宋体" w:cs="宋体"/>
          <w:sz w:val="22"/>
          <w:szCs w:val="22"/>
        </w:rPr>
      </w:pPr>
      <w:r>
        <w:rPr>
          <w:rFonts w:hint="eastAsia" w:ascii="宋体" w:hAnsi="宋体" w:cs="宋体"/>
          <w:sz w:val="22"/>
          <w:szCs w:val="22"/>
        </w:rPr>
        <w:t>投标人代表（签名或盖章）：</w:t>
      </w:r>
    </w:p>
    <w:p>
      <w:pPr>
        <w:spacing w:line="400" w:lineRule="exact"/>
        <w:ind w:firstLine="770" w:firstLineChars="350"/>
        <w:rPr>
          <w:rFonts w:ascii="宋体" w:hAnsi="宋体" w:cs="宋体"/>
          <w:sz w:val="22"/>
          <w:szCs w:val="22"/>
        </w:rPr>
      </w:pPr>
      <w:r>
        <w:rPr>
          <w:rFonts w:hint="eastAsia" w:ascii="宋体" w:hAnsi="宋体" w:cs="宋体"/>
          <w:sz w:val="22"/>
          <w:szCs w:val="22"/>
        </w:rPr>
        <w:t>日 期：  年  月  日</w:t>
      </w:r>
    </w:p>
    <w:p>
      <w:pPr>
        <w:spacing w:line="400" w:lineRule="exact"/>
        <w:rPr>
          <w:rFonts w:ascii="宋体" w:hAnsi="宋体" w:cs="宋体"/>
          <w:sz w:val="22"/>
          <w:szCs w:val="22"/>
        </w:rPr>
      </w:pPr>
    </w:p>
    <w:p>
      <w:pPr>
        <w:spacing w:line="500" w:lineRule="exact"/>
        <w:jc w:val="center"/>
        <w:rPr>
          <w:rFonts w:ascii="宋体" w:hAnsi="宋体" w:cs="宋体"/>
          <w:b/>
          <w:bCs/>
          <w:sz w:val="28"/>
          <w:szCs w:val="28"/>
        </w:rPr>
      </w:pPr>
      <w:r>
        <w:rPr>
          <w:rFonts w:hint="eastAsia" w:ascii="宋体" w:hAnsi="宋体" w:cs="宋体"/>
          <w:sz w:val="24"/>
        </w:rPr>
        <w:br w:type="page"/>
      </w:r>
      <w:r>
        <w:rPr>
          <w:rFonts w:hint="eastAsia" w:ascii="宋体" w:hAnsi="宋体" w:cs="宋体"/>
          <w:b/>
          <w:bCs/>
          <w:sz w:val="28"/>
          <w:szCs w:val="28"/>
        </w:rPr>
        <w:t>(2)商务条款偏离表</w:t>
      </w:r>
    </w:p>
    <w:p>
      <w:pPr>
        <w:ind w:firstLine="435"/>
        <w:jc w:val="center"/>
        <w:rPr>
          <w:rFonts w:ascii="宋体" w:hAnsi="宋体" w:cs="宋体"/>
          <w:b/>
          <w:sz w:val="44"/>
        </w:rPr>
      </w:pPr>
    </w:p>
    <w:p>
      <w:pPr>
        <w:overflowPunct w:val="0"/>
        <w:spacing w:line="380" w:lineRule="exact"/>
        <w:rPr>
          <w:rFonts w:ascii="宋体" w:hAnsi="宋体" w:cs="宋体"/>
          <w:bCs/>
          <w:sz w:val="22"/>
          <w:szCs w:val="22"/>
        </w:rPr>
      </w:pPr>
      <w:r>
        <w:rPr>
          <w:rFonts w:hint="eastAsia" w:ascii="宋体" w:hAnsi="宋体" w:cs="宋体"/>
          <w:b/>
          <w:sz w:val="22"/>
          <w:szCs w:val="22"/>
        </w:rPr>
        <w:t xml:space="preserve">  </w:t>
      </w:r>
      <w:r>
        <w:rPr>
          <w:rFonts w:hint="eastAsia" w:ascii="宋体" w:hAnsi="宋体" w:cs="宋体"/>
          <w:bCs/>
          <w:sz w:val="22"/>
          <w:szCs w:val="22"/>
        </w:rPr>
        <w:t>项目名称：                                      项目编号：</w:t>
      </w:r>
    </w:p>
    <w:p>
      <w:pPr>
        <w:ind w:firstLine="221" w:firstLineChars="100"/>
        <w:rPr>
          <w:rFonts w:ascii="宋体" w:hAnsi="宋体" w:cs="宋体"/>
          <w:b/>
          <w:sz w:val="22"/>
          <w:szCs w:val="22"/>
        </w:rPr>
      </w:pPr>
    </w:p>
    <w:tbl>
      <w:tblPr>
        <w:tblStyle w:val="56"/>
        <w:tblW w:w="0" w:type="auto"/>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921"/>
        <w:gridCol w:w="1559"/>
        <w:gridCol w:w="2184"/>
        <w:gridCol w:w="2402"/>
        <w:gridCol w:w="1200"/>
        <w:gridCol w:w="1588"/>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40"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序号</w:t>
            </w:r>
          </w:p>
        </w:tc>
        <w:tc>
          <w:tcPr>
            <w:tcW w:w="1559" w:type="dxa"/>
            <w:vAlign w:val="center"/>
          </w:tcPr>
          <w:p>
            <w:pPr>
              <w:jc w:val="center"/>
              <w:rPr>
                <w:rFonts w:ascii="宋体" w:hAnsi="宋体" w:cs="宋体"/>
                <w:sz w:val="22"/>
                <w:szCs w:val="22"/>
              </w:rPr>
            </w:pPr>
            <w:r>
              <w:rPr>
                <w:rFonts w:hint="eastAsia" w:ascii="宋体" w:hAnsi="宋体" w:cs="宋体"/>
                <w:sz w:val="22"/>
                <w:szCs w:val="22"/>
              </w:rPr>
              <w:t>条款内容</w:t>
            </w:r>
          </w:p>
        </w:tc>
        <w:tc>
          <w:tcPr>
            <w:tcW w:w="2184" w:type="dxa"/>
            <w:vAlign w:val="center"/>
          </w:tcPr>
          <w:p>
            <w:pPr>
              <w:jc w:val="center"/>
              <w:rPr>
                <w:rFonts w:ascii="宋体" w:hAnsi="宋体" w:cs="宋体"/>
                <w:sz w:val="22"/>
                <w:szCs w:val="22"/>
              </w:rPr>
            </w:pPr>
            <w:r>
              <w:rPr>
                <w:rFonts w:hint="eastAsia" w:ascii="宋体" w:hAnsi="宋体" w:cs="宋体"/>
                <w:sz w:val="22"/>
                <w:szCs w:val="22"/>
              </w:rPr>
              <w:t>采购文件商务条款描述</w:t>
            </w:r>
          </w:p>
        </w:tc>
        <w:tc>
          <w:tcPr>
            <w:tcW w:w="2402" w:type="dxa"/>
            <w:vAlign w:val="center"/>
          </w:tcPr>
          <w:p>
            <w:pPr>
              <w:jc w:val="center"/>
              <w:rPr>
                <w:rFonts w:ascii="宋体" w:hAnsi="宋体" w:cs="宋体"/>
                <w:sz w:val="22"/>
                <w:szCs w:val="22"/>
              </w:rPr>
            </w:pPr>
            <w:r>
              <w:rPr>
                <w:rFonts w:hint="eastAsia" w:ascii="宋体" w:hAnsi="宋体" w:cs="宋体"/>
                <w:sz w:val="22"/>
                <w:szCs w:val="22"/>
              </w:rPr>
              <w:t>投标文件商务条款</w:t>
            </w:r>
          </w:p>
        </w:tc>
        <w:tc>
          <w:tcPr>
            <w:tcW w:w="1200" w:type="dxa"/>
            <w:vAlign w:val="center"/>
          </w:tcPr>
          <w:p>
            <w:pPr>
              <w:jc w:val="center"/>
              <w:rPr>
                <w:rFonts w:ascii="宋体" w:hAnsi="宋体" w:cs="宋体"/>
                <w:sz w:val="22"/>
                <w:szCs w:val="22"/>
              </w:rPr>
            </w:pPr>
            <w:r>
              <w:rPr>
                <w:rFonts w:hint="eastAsia" w:ascii="宋体" w:hAnsi="宋体" w:cs="宋体"/>
                <w:sz w:val="22"/>
                <w:szCs w:val="22"/>
              </w:rPr>
              <w:t>偏离</w:t>
            </w:r>
          </w:p>
        </w:tc>
        <w:tc>
          <w:tcPr>
            <w:tcW w:w="1588" w:type="dxa"/>
            <w:vAlign w:val="center"/>
          </w:tcPr>
          <w:p>
            <w:pPr>
              <w:jc w:val="center"/>
              <w:rPr>
                <w:rFonts w:ascii="宋体" w:hAnsi="宋体" w:cs="宋体"/>
                <w:sz w:val="22"/>
                <w:szCs w:val="22"/>
              </w:rPr>
            </w:pPr>
            <w:r>
              <w:rPr>
                <w:rFonts w:hint="eastAsia" w:ascii="宋体" w:hAnsi="宋体" w:cs="宋体"/>
                <w:sz w:val="22"/>
                <w:szCs w:val="22"/>
              </w:rPr>
              <w:t>说   明</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40"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1</w:t>
            </w:r>
          </w:p>
        </w:tc>
        <w:tc>
          <w:tcPr>
            <w:tcW w:w="1559" w:type="dxa"/>
            <w:vAlign w:val="center"/>
          </w:tcPr>
          <w:p>
            <w:pPr>
              <w:jc w:val="center"/>
              <w:rPr>
                <w:rFonts w:ascii="宋体" w:hAnsi="宋体" w:cs="宋体"/>
                <w:sz w:val="22"/>
                <w:szCs w:val="22"/>
              </w:rPr>
            </w:pPr>
            <w:r>
              <w:rPr>
                <w:rFonts w:hint="eastAsia" w:ascii="宋体" w:hAnsi="宋体" w:cs="宋体"/>
                <w:sz w:val="22"/>
                <w:szCs w:val="22"/>
              </w:rPr>
              <w:t>付款方式</w:t>
            </w: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2</w:t>
            </w:r>
          </w:p>
        </w:tc>
        <w:tc>
          <w:tcPr>
            <w:tcW w:w="1559" w:type="dxa"/>
            <w:vAlign w:val="center"/>
          </w:tcPr>
          <w:p>
            <w:pPr>
              <w:jc w:val="center"/>
              <w:rPr>
                <w:rFonts w:ascii="宋体" w:hAnsi="宋体" w:cs="宋体"/>
                <w:sz w:val="22"/>
                <w:szCs w:val="22"/>
              </w:rPr>
            </w:pPr>
            <w:r>
              <w:rPr>
                <w:rFonts w:hint="eastAsia" w:ascii="宋体" w:hAnsi="宋体" w:cs="宋体"/>
                <w:sz w:val="22"/>
                <w:szCs w:val="22"/>
              </w:rPr>
              <w:t>服务期限</w:t>
            </w: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3</w:t>
            </w:r>
          </w:p>
        </w:tc>
        <w:tc>
          <w:tcPr>
            <w:tcW w:w="1559" w:type="dxa"/>
            <w:vAlign w:val="center"/>
          </w:tcPr>
          <w:p>
            <w:pPr>
              <w:jc w:val="center"/>
              <w:rPr>
                <w:rFonts w:ascii="宋体" w:hAnsi="宋体" w:cs="宋体"/>
                <w:sz w:val="22"/>
                <w:szCs w:val="22"/>
              </w:rPr>
            </w:pP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4</w:t>
            </w:r>
          </w:p>
        </w:tc>
        <w:tc>
          <w:tcPr>
            <w:tcW w:w="1559" w:type="dxa"/>
            <w:vAlign w:val="center"/>
          </w:tcPr>
          <w:p>
            <w:pPr>
              <w:jc w:val="center"/>
              <w:rPr>
                <w:rFonts w:ascii="宋体" w:hAnsi="宋体" w:cs="宋体"/>
                <w:sz w:val="22"/>
                <w:szCs w:val="22"/>
              </w:rPr>
            </w:pP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5</w:t>
            </w:r>
          </w:p>
        </w:tc>
        <w:tc>
          <w:tcPr>
            <w:tcW w:w="1559" w:type="dxa"/>
            <w:vAlign w:val="center"/>
          </w:tcPr>
          <w:p>
            <w:pPr>
              <w:jc w:val="center"/>
              <w:rPr>
                <w:rFonts w:ascii="宋体" w:hAnsi="宋体" w:cs="宋体"/>
                <w:sz w:val="22"/>
                <w:szCs w:val="22"/>
              </w:rPr>
            </w:pP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cantSplit/>
          <w:trHeight w:val="871" w:hRule="atLeast"/>
          <w:jc w:val="center"/>
        </w:trPr>
        <w:tc>
          <w:tcPr>
            <w:tcW w:w="921" w:type="dxa"/>
            <w:vAlign w:val="center"/>
          </w:tcPr>
          <w:p>
            <w:pPr>
              <w:jc w:val="center"/>
              <w:rPr>
                <w:rFonts w:ascii="宋体" w:hAnsi="宋体" w:cs="宋体"/>
                <w:sz w:val="22"/>
                <w:szCs w:val="22"/>
              </w:rPr>
            </w:pPr>
            <w:r>
              <w:rPr>
                <w:rFonts w:hint="eastAsia" w:ascii="宋体" w:hAnsi="宋体" w:cs="宋体"/>
                <w:sz w:val="22"/>
                <w:szCs w:val="22"/>
              </w:rPr>
              <w:t>……</w:t>
            </w:r>
          </w:p>
        </w:tc>
        <w:tc>
          <w:tcPr>
            <w:tcW w:w="1559" w:type="dxa"/>
            <w:vAlign w:val="center"/>
          </w:tcPr>
          <w:p>
            <w:pPr>
              <w:jc w:val="center"/>
              <w:rPr>
                <w:rFonts w:ascii="宋体" w:hAnsi="宋体" w:cs="宋体"/>
                <w:sz w:val="22"/>
                <w:szCs w:val="22"/>
              </w:rPr>
            </w:pPr>
            <w:r>
              <w:rPr>
                <w:rFonts w:hint="eastAsia" w:ascii="宋体" w:hAnsi="宋体" w:cs="宋体"/>
                <w:sz w:val="22"/>
                <w:szCs w:val="22"/>
              </w:rPr>
              <w:t>……</w:t>
            </w:r>
          </w:p>
        </w:tc>
        <w:tc>
          <w:tcPr>
            <w:tcW w:w="2184" w:type="dxa"/>
            <w:vAlign w:val="center"/>
          </w:tcPr>
          <w:p>
            <w:pPr>
              <w:jc w:val="center"/>
              <w:rPr>
                <w:rFonts w:ascii="宋体" w:hAnsi="宋体" w:cs="宋体"/>
                <w:sz w:val="22"/>
                <w:szCs w:val="22"/>
              </w:rPr>
            </w:pPr>
          </w:p>
        </w:tc>
        <w:tc>
          <w:tcPr>
            <w:tcW w:w="2402" w:type="dxa"/>
            <w:vAlign w:val="center"/>
          </w:tcPr>
          <w:p>
            <w:pPr>
              <w:jc w:val="center"/>
              <w:rPr>
                <w:rFonts w:ascii="宋体" w:hAnsi="宋体" w:cs="宋体"/>
                <w:sz w:val="22"/>
                <w:szCs w:val="22"/>
              </w:rPr>
            </w:pPr>
          </w:p>
        </w:tc>
        <w:tc>
          <w:tcPr>
            <w:tcW w:w="1200" w:type="dxa"/>
            <w:vAlign w:val="center"/>
          </w:tcPr>
          <w:p>
            <w:pPr>
              <w:jc w:val="center"/>
              <w:rPr>
                <w:rFonts w:ascii="宋体" w:hAnsi="宋体" w:cs="宋体"/>
                <w:sz w:val="22"/>
                <w:szCs w:val="22"/>
              </w:rPr>
            </w:pPr>
          </w:p>
        </w:tc>
        <w:tc>
          <w:tcPr>
            <w:tcW w:w="1588" w:type="dxa"/>
            <w:vAlign w:val="center"/>
          </w:tcPr>
          <w:p>
            <w:pPr>
              <w:jc w:val="center"/>
              <w:rPr>
                <w:rFonts w:ascii="宋体" w:hAnsi="宋体" w:cs="宋体"/>
                <w:sz w:val="22"/>
                <w:szCs w:val="22"/>
              </w:rPr>
            </w:pPr>
          </w:p>
        </w:tc>
      </w:tr>
    </w:tbl>
    <w:p>
      <w:pPr>
        <w:spacing w:line="500" w:lineRule="exact"/>
        <w:rPr>
          <w:rFonts w:ascii="宋体" w:hAnsi="宋体" w:cs="宋体"/>
          <w:sz w:val="24"/>
        </w:rPr>
      </w:pPr>
      <w:r>
        <w:rPr>
          <w:rFonts w:hint="eastAsia" w:ascii="宋体" w:hAnsi="宋体" w:cs="宋体"/>
          <w:sz w:val="24"/>
        </w:rPr>
        <w:t>说明：</w:t>
      </w:r>
    </w:p>
    <w:p>
      <w:pPr>
        <w:spacing w:line="500" w:lineRule="exact"/>
        <w:rPr>
          <w:rFonts w:ascii="宋体" w:hAnsi="宋体" w:cs="宋体"/>
          <w:sz w:val="22"/>
          <w:szCs w:val="22"/>
        </w:rPr>
      </w:pPr>
      <w:r>
        <w:rPr>
          <w:rFonts w:hint="eastAsia" w:ascii="宋体" w:hAnsi="宋体" w:cs="宋体"/>
          <w:sz w:val="22"/>
          <w:szCs w:val="22"/>
        </w:rPr>
        <w:t>不填写此表视作完全响应采购文件要求。</w:t>
      </w:r>
    </w:p>
    <w:p>
      <w:pPr>
        <w:spacing w:line="500" w:lineRule="exact"/>
        <w:ind w:firstLine="4400" w:firstLineChars="2000"/>
        <w:rPr>
          <w:rFonts w:ascii="宋体" w:hAnsi="宋体" w:cs="宋体"/>
          <w:sz w:val="22"/>
          <w:szCs w:val="22"/>
        </w:rPr>
      </w:pPr>
    </w:p>
    <w:p>
      <w:pPr>
        <w:spacing w:line="500" w:lineRule="exact"/>
        <w:ind w:firstLine="4400" w:firstLineChars="2000"/>
        <w:rPr>
          <w:rFonts w:ascii="宋体" w:hAnsi="宋体" w:cs="宋体"/>
          <w:sz w:val="22"/>
          <w:szCs w:val="22"/>
        </w:rPr>
      </w:pPr>
    </w:p>
    <w:p>
      <w:pPr>
        <w:spacing w:line="500" w:lineRule="exact"/>
        <w:ind w:firstLine="4400" w:firstLineChars="2000"/>
        <w:rPr>
          <w:rFonts w:ascii="宋体" w:hAnsi="宋体" w:cs="宋体"/>
          <w:sz w:val="22"/>
          <w:szCs w:val="22"/>
        </w:rPr>
      </w:pPr>
    </w:p>
    <w:p>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投标人全称（盖章）：</w:t>
      </w:r>
    </w:p>
    <w:p>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投标人代表（签名或盖章）：</w:t>
      </w:r>
    </w:p>
    <w:p>
      <w:pPr>
        <w:tabs>
          <w:tab w:val="left" w:pos="840"/>
        </w:tabs>
        <w:adjustRightInd w:val="0"/>
        <w:snapToGrid w:val="0"/>
        <w:spacing w:line="360" w:lineRule="auto"/>
        <w:ind w:left="420" w:leftChars="200" w:firstLine="330" w:firstLineChars="150"/>
        <w:rPr>
          <w:rFonts w:ascii="宋体" w:hAnsi="宋体" w:cs="宋体"/>
          <w:sz w:val="22"/>
          <w:szCs w:val="22"/>
        </w:rPr>
      </w:pPr>
      <w:r>
        <w:rPr>
          <w:rFonts w:hint="eastAsia" w:ascii="宋体" w:hAnsi="宋体" w:cs="宋体"/>
          <w:sz w:val="22"/>
          <w:szCs w:val="22"/>
        </w:rPr>
        <w:t>日 期：  年  月  日</w:t>
      </w:r>
    </w:p>
    <w:p>
      <w:pPr>
        <w:rPr>
          <w:rFonts w:ascii="宋体" w:hAnsi="宋体" w:cs="宋体"/>
          <w:sz w:val="22"/>
          <w:szCs w:val="22"/>
        </w:rPr>
      </w:pPr>
      <w:r>
        <w:rPr>
          <w:rFonts w:hint="eastAsia" w:ascii="宋体" w:hAnsi="宋体" w:cs="宋体"/>
          <w:sz w:val="22"/>
          <w:szCs w:val="22"/>
        </w:rPr>
        <w:br w:type="page"/>
      </w:r>
    </w:p>
    <w:p>
      <w:pPr>
        <w:spacing w:line="460" w:lineRule="exact"/>
        <w:jc w:val="center"/>
        <w:rPr>
          <w:rFonts w:ascii="新宋体" w:hAnsi="新宋体" w:eastAsia="新宋体"/>
          <w:b/>
          <w:bCs/>
          <w:sz w:val="28"/>
          <w:szCs w:val="28"/>
        </w:rPr>
      </w:pPr>
      <w:r>
        <w:rPr>
          <w:rFonts w:hint="eastAsia" w:ascii="新宋体" w:hAnsi="新宋体" w:eastAsia="新宋体"/>
          <w:b/>
          <w:bCs/>
          <w:sz w:val="28"/>
          <w:szCs w:val="28"/>
        </w:rPr>
        <w:t>（3）设备供货范围详细清单</w:t>
      </w:r>
    </w:p>
    <w:p>
      <w:pPr>
        <w:spacing w:line="380" w:lineRule="exact"/>
        <w:rPr>
          <w:rFonts w:ascii="新宋体" w:hAnsi="新宋体" w:eastAsia="新宋体" w:cs="宋体"/>
          <w:b/>
          <w:bCs/>
          <w:sz w:val="22"/>
          <w:szCs w:val="22"/>
        </w:rPr>
      </w:pPr>
      <w:r>
        <w:rPr>
          <w:rFonts w:hint="eastAsia" w:ascii="新宋体" w:hAnsi="新宋体" w:eastAsia="新宋体"/>
          <w:bCs/>
          <w:sz w:val="22"/>
          <w:szCs w:val="22"/>
        </w:rPr>
        <w:t>项目名称：                                         项目编号：</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583"/>
        <w:gridCol w:w="3193"/>
        <w:gridCol w:w="956"/>
        <w:gridCol w:w="765"/>
        <w:gridCol w:w="1336"/>
        <w:gridCol w:w="1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tcBorders>
              <w:top w:val="single" w:color="auto" w:sz="12" w:space="0"/>
              <w:left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序号</w:t>
            </w:r>
          </w:p>
        </w:tc>
        <w:tc>
          <w:tcPr>
            <w:tcW w:w="1583" w:type="dxa"/>
            <w:tcBorders>
              <w:top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设备名称</w:t>
            </w:r>
          </w:p>
        </w:tc>
        <w:tc>
          <w:tcPr>
            <w:tcW w:w="3193" w:type="dxa"/>
            <w:tcBorders>
              <w:top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详细配置说明（品牌、型号，详细参数）</w:t>
            </w:r>
          </w:p>
        </w:tc>
        <w:tc>
          <w:tcPr>
            <w:tcW w:w="956" w:type="dxa"/>
            <w:tcBorders>
              <w:top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产地</w:t>
            </w:r>
          </w:p>
        </w:tc>
        <w:tc>
          <w:tcPr>
            <w:tcW w:w="765" w:type="dxa"/>
            <w:tcBorders>
              <w:top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数量</w:t>
            </w:r>
          </w:p>
        </w:tc>
        <w:tc>
          <w:tcPr>
            <w:tcW w:w="1336" w:type="dxa"/>
            <w:tcBorders>
              <w:top w:val="single" w:color="auto" w:sz="12" w:space="0"/>
              <w:bottom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质保期限</w:t>
            </w:r>
          </w:p>
        </w:tc>
        <w:tc>
          <w:tcPr>
            <w:tcW w:w="1143" w:type="dxa"/>
            <w:tcBorders>
              <w:top w:val="single" w:color="auto" w:sz="12" w:space="0"/>
              <w:bottom w:val="single" w:color="auto" w:sz="12" w:space="0"/>
              <w:right w:val="single" w:color="auto" w:sz="12" w:space="0"/>
            </w:tcBorders>
            <w:vAlign w:val="center"/>
          </w:tcPr>
          <w:p>
            <w:pPr>
              <w:jc w:val="center"/>
              <w:rPr>
                <w:rFonts w:ascii="新宋体" w:hAnsi="新宋体" w:eastAsia="新宋体"/>
                <w:b/>
                <w:bCs/>
                <w:sz w:val="22"/>
                <w:szCs w:val="22"/>
              </w:rPr>
            </w:pPr>
            <w:r>
              <w:rPr>
                <w:rFonts w:hint="eastAsia" w:ascii="新宋体" w:hAnsi="新宋体" w:eastAsia="新宋体"/>
                <w:b/>
                <w:bCs/>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top w:val="single" w:color="auto" w:sz="12" w:space="0"/>
              <w:left w:val="single" w:color="auto" w:sz="12" w:space="0"/>
            </w:tcBorders>
          </w:tcPr>
          <w:p>
            <w:pPr>
              <w:rPr>
                <w:rFonts w:ascii="新宋体" w:hAnsi="新宋体" w:eastAsia="新宋体"/>
                <w:b/>
                <w:bCs/>
                <w:sz w:val="22"/>
                <w:szCs w:val="22"/>
              </w:rPr>
            </w:pPr>
          </w:p>
        </w:tc>
        <w:tc>
          <w:tcPr>
            <w:tcW w:w="1583" w:type="dxa"/>
            <w:vMerge w:val="restart"/>
            <w:tcBorders>
              <w:top w:val="single" w:color="auto" w:sz="12" w:space="0"/>
            </w:tcBorders>
          </w:tcPr>
          <w:p>
            <w:pPr>
              <w:rPr>
                <w:rFonts w:ascii="新宋体" w:hAnsi="新宋体" w:eastAsia="新宋体"/>
                <w:b/>
                <w:bCs/>
                <w:sz w:val="22"/>
                <w:szCs w:val="22"/>
              </w:rPr>
            </w:pPr>
          </w:p>
        </w:tc>
        <w:tc>
          <w:tcPr>
            <w:tcW w:w="3193" w:type="dxa"/>
            <w:tcBorders>
              <w:top w:val="single" w:color="auto" w:sz="12" w:space="0"/>
            </w:tcBorders>
          </w:tcPr>
          <w:p>
            <w:pPr>
              <w:rPr>
                <w:rFonts w:ascii="新宋体" w:hAnsi="新宋体" w:eastAsia="新宋体"/>
                <w:b/>
                <w:bCs/>
                <w:sz w:val="22"/>
                <w:szCs w:val="22"/>
              </w:rPr>
            </w:pPr>
          </w:p>
        </w:tc>
        <w:tc>
          <w:tcPr>
            <w:tcW w:w="956" w:type="dxa"/>
            <w:tcBorders>
              <w:top w:val="single" w:color="auto" w:sz="12" w:space="0"/>
            </w:tcBorders>
          </w:tcPr>
          <w:p>
            <w:pPr>
              <w:rPr>
                <w:rFonts w:ascii="新宋体" w:hAnsi="新宋体" w:eastAsia="新宋体"/>
                <w:b/>
                <w:bCs/>
                <w:sz w:val="22"/>
                <w:szCs w:val="22"/>
              </w:rPr>
            </w:pPr>
          </w:p>
        </w:tc>
        <w:tc>
          <w:tcPr>
            <w:tcW w:w="765" w:type="dxa"/>
            <w:tcBorders>
              <w:top w:val="single" w:color="auto" w:sz="12" w:space="0"/>
            </w:tcBorders>
          </w:tcPr>
          <w:p>
            <w:pPr>
              <w:rPr>
                <w:rFonts w:ascii="新宋体" w:hAnsi="新宋体" w:eastAsia="新宋体"/>
                <w:b/>
                <w:bCs/>
                <w:sz w:val="22"/>
                <w:szCs w:val="22"/>
              </w:rPr>
            </w:pPr>
          </w:p>
        </w:tc>
        <w:tc>
          <w:tcPr>
            <w:tcW w:w="1336" w:type="dxa"/>
            <w:tcBorders>
              <w:top w:val="single" w:color="auto" w:sz="12" w:space="0"/>
              <w:right w:val="single" w:color="auto" w:sz="4" w:space="0"/>
            </w:tcBorders>
          </w:tcPr>
          <w:p>
            <w:pPr>
              <w:rPr>
                <w:rFonts w:ascii="新宋体" w:hAnsi="新宋体" w:eastAsia="新宋体"/>
                <w:b/>
                <w:bCs/>
                <w:sz w:val="22"/>
                <w:szCs w:val="22"/>
              </w:rPr>
            </w:pPr>
          </w:p>
        </w:tc>
        <w:tc>
          <w:tcPr>
            <w:tcW w:w="1143" w:type="dxa"/>
            <w:tcBorders>
              <w:top w:val="single" w:color="auto" w:sz="12" w:space="0"/>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restart"/>
            <w:tcBorders>
              <w:left w:val="single" w:color="auto" w:sz="12" w:space="0"/>
            </w:tcBorders>
          </w:tcPr>
          <w:p>
            <w:pPr>
              <w:rPr>
                <w:rFonts w:ascii="新宋体" w:hAnsi="新宋体" w:eastAsia="新宋体"/>
                <w:b/>
                <w:bCs/>
                <w:sz w:val="22"/>
                <w:szCs w:val="22"/>
              </w:rPr>
            </w:pPr>
          </w:p>
        </w:tc>
        <w:tc>
          <w:tcPr>
            <w:tcW w:w="1583" w:type="dxa"/>
            <w:vMerge w:val="restart"/>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tcBorders>
          </w:tcPr>
          <w:p>
            <w:pPr>
              <w:rPr>
                <w:rFonts w:ascii="新宋体" w:hAnsi="新宋体" w:eastAsia="新宋体"/>
                <w:b/>
                <w:bCs/>
                <w:sz w:val="22"/>
                <w:szCs w:val="22"/>
              </w:rPr>
            </w:pPr>
          </w:p>
        </w:tc>
        <w:tc>
          <w:tcPr>
            <w:tcW w:w="1583" w:type="dxa"/>
            <w:vMerge w:val="continue"/>
          </w:tcPr>
          <w:p>
            <w:pPr>
              <w:rPr>
                <w:rFonts w:ascii="新宋体" w:hAnsi="新宋体" w:eastAsia="新宋体"/>
                <w:b/>
                <w:bCs/>
                <w:sz w:val="22"/>
                <w:szCs w:val="22"/>
              </w:rPr>
            </w:pPr>
          </w:p>
        </w:tc>
        <w:tc>
          <w:tcPr>
            <w:tcW w:w="3193" w:type="dxa"/>
          </w:tcPr>
          <w:p>
            <w:pPr>
              <w:rPr>
                <w:rFonts w:ascii="新宋体" w:hAnsi="新宋体" w:eastAsia="新宋体"/>
                <w:b/>
                <w:bCs/>
                <w:sz w:val="22"/>
                <w:szCs w:val="22"/>
              </w:rPr>
            </w:pPr>
          </w:p>
        </w:tc>
        <w:tc>
          <w:tcPr>
            <w:tcW w:w="956" w:type="dxa"/>
          </w:tcPr>
          <w:p>
            <w:pPr>
              <w:rPr>
                <w:rFonts w:ascii="新宋体" w:hAnsi="新宋体" w:eastAsia="新宋体"/>
                <w:b/>
                <w:bCs/>
                <w:sz w:val="22"/>
                <w:szCs w:val="22"/>
              </w:rPr>
            </w:pPr>
          </w:p>
        </w:tc>
        <w:tc>
          <w:tcPr>
            <w:tcW w:w="765" w:type="dxa"/>
          </w:tcPr>
          <w:p>
            <w:pPr>
              <w:rPr>
                <w:rFonts w:ascii="新宋体" w:hAnsi="新宋体" w:eastAsia="新宋体"/>
                <w:b/>
                <w:bCs/>
                <w:sz w:val="22"/>
                <w:szCs w:val="22"/>
              </w:rPr>
            </w:pPr>
          </w:p>
        </w:tc>
        <w:tc>
          <w:tcPr>
            <w:tcW w:w="1336" w:type="dxa"/>
            <w:tcBorders>
              <w:right w:val="single" w:color="auto" w:sz="4" w:space="0"/>
            </w:tcBorders>
          </w:tcPr>
          <w:p>
            <w:pPr>
              <w:rPr>
                <w:rFonts w:ascii="新宋体" w:hAnsi="新宋体" w:eastAsia="新宋体"/>
                <w:b/>
                <w:bCs/>
                <w:sz w:val="22"/>
                <w:szCs w:val="22"/>
              </w:rPr>
            </w:pPr>
          </w:p>
        </w:tc>
        <w:tc>
          <w:tcPr>
            <w:tcW w:w="1143" w:type="dxa"/>
            <w:tcBorders>
              <w:left w:val="single" w:color="auto" w:sz="4" w:space="0"/>
              <w:right w:val="single" w:color="auto" w:sz="12" w:space="0"/>
            </w:tcBorders>
          </w:tcPr>
          <w:p>
            <w:pPr>
              <w:rPr>
                <w:rFonts w:ascii="新宋体" w:hAnsi="新宋体" w:eastAsia="新宋体"/>
                <w:b/>
                <w:bCs/>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78" w:type="dxa"/>
            <w:vMerge w:val="continue"/>
            <w:tcBorders>
              <w:left w:val="single" w:color="auto" w:sz="12" w:space="0"/>
              <w:bottom w:val="single" w:color="auto" w:sz="12" w:space="0"/>
            </w:tcBorders>
          </w:tcPr>
          <w:p>
            <w:pPr>
              <w:rPr>
                <w:rFonts w:ascii="新宋体" w:hAnsi="新宋体" w:eastAsia="新宋体"/>
                <w:b/>
                <w:bCs/>
                <w:sz w:val="22"/>
                <w:szCs w:val="22"/>
              </w:rPr>
            </w:pPr>
          </w:p>
        </w:tc>
        <w:tc>
          <w:tcPr>
            <w:tcW w:w="1583" w:type="dxa"/>
            <w:vMerge w:val="continue"/>
            <w:tcBorders>
              <w:bottom w:val="single" w:color="auto" w:sz="12" w:space="0"/>
            </w:tcBorders>
          </w:tcPr>
          <w:p>
            <w:pPr>
              <w:rPr>
                <w:rFonts w:ascii="新宋体" w:hAnsi="新宋体" w:eastAsia="新宋体"/>
                <w:b/>
                <w:bCs/>
                <w:sz w:val="22"/>
                <w:szCs w:val="22"/>
              </w:rPr>
            </w:pPr>
          </w:p>
        </w:tc>
        <w:tc>
          <w:tcPr>
            <w:tcW w:w="3193" w:type="dxa"/>
            <w:tcBorders>
              <w:bottom w:val="single" w:color="auto" w:sz="12" w:space="0"/>
            </w:tcBorders>
          </w:tcPr>
          <w:p>
            <w:pPr>
              <w:rPr>
                <w:rFonts w:ascii="新宋体" w:hAnsi="新宋体" w:eastAsia="新宋体"/>
                <w:b/>
                <w:bCs/>
                <w:sz w:val="22"/>
                <w:szCs w:val="22"/>
              </w:rPr>
            </w:pPr>
          </w:p>
        </w:tc>
        <w:tc>
          <w:tcPr>
            <w:tcW w:w="956" w:type="dxa"/>
            <w:tcBorders>
              <w:bottom w:val="single" w:color="auto" w:sz="12" w:space="0"/>
            </w:tcBorders>
          </w:tcPr>
          <w:p>
            <w:pPr>
              <w:rPr>
                <w:rFonts w:ascii="新宋体" w:hAnsi="新宋体" w:eastAsia="新宋体"/>
                <w:b/>
                <w:bCs/>
                <w:sz w:val="22"/>
                <w:szCs w:val="22"/>
              </w:rPr>
            </w:pPr>
          </w:p>
        </w:tc>
        <w:tc>
          <w:tcPr>
            <w:tcW w:w="765" w:type="dxa"/>
            <w:tcBorders>
              <w:bottom w:val="single" w:color="auto" w:sz="12" w:space="0"/>
            </w:tcBorders>
          </w:tcPr>
          <w:p>
            <w:pPr>
              <w:rPr>
                <w:rFonts w:ascii="新宋体" w:hAnsi="新宋体" w:eastAsia="新宋体"/>
                <w:b/>
                <w:bCs/>
                <w:sz w:val="22"/>
                <w:szCs w:val="22"/>
              </w:rPr>
            </w:pPr>
          </w:p>
        </w:tc>
        <w:tc>
          <w:tcPr>
            <w:tcW w:w="1336" w:type="dxa"/>
            <w:tcBorders>
              <w:bottom w:val="single" w:color="auto" w:sz="12" w:space="0"/>
              <w:right w:val="single" w:color="auto" w:sz="4" w:space="0"/>
            </w:tcBorders>
          </w:tcPr>
          <w:p>
            <w:pPr>
              <w:rPr>
                <w:rFonts w:ascii="新宋体" w:hAnsi="新宋体" w:eastAsia="新宋体"/>
                <w:b/>
                <w:bCs/>
                <w:sz w:val="22"/>
                <w:szCs w:val="22"/>
              </w:rPr>
            </w:pPr>
          </w:p>
        </w:tc>
        <w:tc>
          <w:tcPr>
            <w:tcW w:w="1143" w:type="dxa"/>
            <w:tcBorders>
              <w:left w:val="single" w:color="auto" w:sz="4" w:space="0"/>
              <w:bottom w:val="single" w:color="auto" w:sz="12" w:space="0"/>
              <w:right w:val="single" w:color="auto" w:sz="12" w:space="0"/>
            </w:tcBorders>
          </w:tcPr>
          <w:p>
            <w:pPr>
              <w:rPr>
                <w:rFonts w:ascii="新宋体" w:hAnsi="新宋体" w:eastAsia="新宋体"/>
                <w:b/>
                <w:bCs/>
                <w:sz w:val="22"/>
                <w:szCs w:val="22"/>
              </w:rPr>
            </w:pPr>
          </w:p>
        </w:tc>
      </w:tr>
    </w:tbl>
    <w:p>
      <w:pPr>
        <w:ind w:left="745" w:leftChars="4" w:hanging="737" w:hangingChars="335"/>
        <w:rPr>
          <w:rFonts w:ascii="新宋体" w:hAnsi="新宋体" w:eastAsia="新宋体" w:cs="Courier New"/>
          <w:kern w:val="0"/>
          <w:sz w:val="22"/>
          <w:szCs w:val="22"/>
          <w:lang w:val="zh-CN"/>
        </w:rPr>
      </w:pPr>
      <w:r>
        <w:rPr>
          <w:rFonts w:hint="eastAsia" w:ascii="新宋体" w:hAnsi="新宋体" w:eastAsia="新宋体" w:cs="Courier New"/>
          <w:kern w:val="0"/>
          <w:sz w:val="22"/>
          <w:szCs w:val="22"/>
          <w:lang w:val="zh-CN"/>
        </w:rPr>
        <w:t>注：</w:t>
      </w:r>
    </w:p>
    <w:p>
      <w:pPr>
        <w:ind w:left="745" w:leftChars="4" w:hanging="737" w:hangingChars="335"/>
        <w:rPr>
          <w:rFonts w:ascii="新宋体" w:hAnsi="新宋体" w:eastAsia="新宋体" w:cs="宋体"/>
          <w:sz w:val="22"/>
          <w:szCs w:val="22"/>
        </w:rPr>
      </w:pPr>
      <w:r>
        <w:rPr>
          <w:rFonts w:hint="eastAsia" w:ascii="新宋体" w:hAnsi="新宋体" w:eastAsia="新宋体" w:cs="Courier New"/>
          <w:kern w:val="0"/>
          <w:sz w:val="22"/>
          <w:szCs w:val="22"/>
        </w:rPr>
        <w:t>1.</w:t>
      </w:r>
      <w:r>
        <w:rPr>
          <w:rFonts w:hint="eastAsia" w:ascii="新宋体" w:hAnsi="新宋体" w:eastAsia="新宋体" w:cs="宋体"/>
          <w:sz w:val="22"/>
          <w:szCs w:val="22"/>
        </w:rPr>
        <w:t>详细配置说明一栏中需提供设备每一可拆卸部件的规格、型号、名称、性能描述等。</w:t>
      </w:r>
    </w:p>
    <w:p>
      <w:pPr>
        <w:rPr>
          <w:rFonts w:ascii="新宋体" w:hAnsi="新宋体" w:eastAsia="新宋体" w:cs="Courier New"/>
          <w:kern w:val="0"/>
          <w:sz w:val="22"/>
          <w:szCs w:val="22"/>
        </w:rPr>
      </w:pPr>
      <w:r>
        <w:rPr>
          <w:rFonts w:hint="eastAsia" w:ascii="新宋体" w:hAnsi="新宋体" w:eastAsia="新宋体" w:cs="Courier New"/>
          <w:kern w:val="0"/>
          <w:sz w:val="22"/>
          <w:szCs w:val="22"/>
        </w:rPr>
        <w:t>2.此表仅提供了表格形式，投标人应根据需要准备足够数量的表格来填写。</w:t>
      </w:r>
    </w:p>
    <w:p>
      <w:pPr>
        <w:rPr>
          <w:rFonts w:ascii="新宋体" w:hAnsi="新宋体" w:eastAsia="新宋体" w:cs="Courier New"/>
          <w:kern w:val="0"/>
          <w:sz w:val="22"/>
          <w:szCs w:val="22"/>
        </w:rPr>
      </w:pPr>
      <w:r>
        <w:rPr>
          <w:rFonts w:hint="eastAsia" w:ascii="新宋体" w:hAnsi="新宋体" w:eastAsia="新宋体" w:cs="Courier New"/>
          <w:kern w:val="0"/>
          <w:sz w:val="22"/>
          <w:szCs w:val="22"/>
        </w:rPr>
        <w:t>3.不提供所投产品的品牌及型号，</w:t>
      </w:r>
      <w:r>
        <w:rPr>
          <w:rFonts w:hint="eastAsia" w:ascii="新宋体" w:hAnsi="新宋体" w:eastAsia="新宋体" w:cs="Courier New"/>
          <w:kern w:val="0"/>
          <w:sz w:val="22"/>
          <w:szCs w:val="22"/>
          <w:lang w:eastAsia="zh-CN"/>
        </w:rPr>
        <w:t>将在技术资信标评审过程中受到不利评定</w:t>
      </w:r>
      <w:r>
        <w:rPr>
          <w:rFonts w:hint="eastAsia" w:ascii="新宋体" w:hAnsi="新宋体" w:eastAsia="新宋体" w:cs="Courier New"/>
          <w:kern w:val="0"/>
          <w:sz w:val="22"/>
          <w:szCs w:val="22"/>
        </w:rPr>
        <w:t>。</w:t>
      </w:r>
    </w:p>
    <w:p>
      <w:pPr>
        <w:rPr>
          <w:rFonts w:ascii="新宋体" w:hAnsi="新宋体" w:eastAsia="新宋体" w:cs="Courier New"/>
          <w:kern w:val="0"/>
          <w:sz w:val="22"/>
          <w:szCs w:val="22"/>
        </w:rPr>
      </w:pPr>
      <w:r>
        <w:rPr>
          <w:rFonts w:hint="eastAsia" w:ascii="新宋体" w:hAnsi="新宋体" w:eastAsia="新宋体" w:cs="Courier New"/>
          <w:kern w:val="0"/>
          <w:sz w:val="22"/>
          <w:szCs w:val="22"/>
        </w:rPr>
        <w:t>4.</w:t>
      </w:r>
      <w:r>
        <w:rPr>
          <w:rFonts w:hint="eastAsia" w:ascii="新宋体" w:hAnsi="新宋体" w:eastAsia="新宋体" w:cs="Courier New"/>
          <w:b/>
          <w:kern w:val="0"/>
          <w:sz w:val="22"/>
          <w:szCs w:val="22"/>
          <w:u w:val="single"/>
        </w:rPr>
        <w:t>投标人应根据采购文件第五部分“采购内容及要求”中各采购人采购清单进行一一对应的投标响应</w:t>
      </w:r>
      <w:r>
        <w:rPr>
          <w:rFonts w:hint="eastAsia" w:ascii="新宋体" w:hAnsi="新宋体" w:eastAsia="新宋体" w:cs="Courier New"/>
          <w:kern w:val="0"/>
          <w:sz w:val="22"/>
          <w:szCs w:val="22"/>
        </w:rPr>
        <w:t>。</w:t>
      </w:r>
    </w:p>
    <w:p>
      <w:pPr>
        <w:pStyle w:val="18"/>
      </w:pPr>
    </w:p>
    <w:p>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投标人全称（盖章）：</w:t>
      </w:r>
    </w:p>
    <w:p>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投标人代表（签字或盖章）：</w:t>
      </w:r>
    </w:p>
    <w:p>
      <w:pPr>
        <w:spacing w:line="380" w:lineRule="exact"/>
        <w:ind w:firstLine="4400" w:firstLineChars="2000"/>
        <w:rPr>
          <w:rFonts w:ascii="新宋体" w:hAnsi="新宋体" w:eastAsia="新宋体" w:cs="新宋体"/>
          <w:sz w:val="22"/>
          <w:szCs w:val="22"/>
        </w:rPr>
      </w:pPr>
      <w:r>
        <w:rPr>
          <w:rFonts w:hint="eastAsia" w:ascii="新宋体" w:hAnsi="新宋体" w:eastAsia="新宋体" w:cs="新宋体"/>
          <w:sz w:val="22"/>
          <w:szCs w:val="22"/>
        </w:rPr>
        <w:t xml:space="preserve">日期：  年   月  日  </w:t>
      </w:r>
    </w:p>
    <w:p>
      <w:pPr>
        <w:spacing w:line="460" w:lineRule="exact"/>
        <w:jc w:val="center"/>
        <w:rPr>
          <w:rFonts w:ascii="新宋体" w:hAnsi="新宋体" w:eastAsia="新宋体"/>
          <w:b/>
          <w:bCs/>
          <w:sz w:val="28"/>
          <w:szCs w:val="28"/>
        </w:rPr>
      </w:pPr>
      <w:r>
        <w:rPr>
          <w:rFonts w:ascii="新宋体" w:hAnsi="新宋体" w:eastAsia="新宋体"/>
          <w:b/>
          <w:bCs/>
          <w:sz w:val="28"/>
          <w:szCs w:val="28"/>
        </w:rPr>
        <w:br w:type="page"/>
      </w:r>
      <w:r>
        <w:rPr>
          <w:rFonts w:hint="eastAsia" w:ascii="新宋体" w:hAnsi="新宋体" w:eastAsia="新宋体"/>
          <w:b/>
          <w:bCs/>
          <w:sz w:val="28"/>
          <w:szCs w:val="28"/>
        </w:rPr>
        <w:t>随机附件及备品备件、专用工具一览表</w:t>
      </w:r>
    </w:p>
    <w:p>
      <w:pPr>
        <w:spacing w:line="380" w:lineRule="exact"/>
        <w:rPr>
          <w:rFonts w:ascii="新宋体" w:hAnsi="新宋体" w:eastAsia="新宋体" w:cs="宋体"/>
          <w:b/>
          <w:bCs/>
          <w:sz w:val="22"/>
          <w:szCs w:val="22"/>
        </w:rPr>
      </w:pPr>
      <w:r>
        <w:rPr>
          <w:rFonts w:hint="eastAsia" w:ascii="新宋体" w:hAnsi="新宋体" w:eastAsia="新宋体"/>
          <w:bCs/>
          <w:sz w:val="22"/>
          <w:szCs w:val="22"/>
        </w:rPr>
        <w:t>项目名称：                                         项目编号：</w:t>
      </w:r>
    </w:p>
    <w:tbl>
      <w:tblPr>
        <w:tblStyle w:val="5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783"/>
        <w:gridCol w:w="1894"/>
        <w:gridCol w:w="1409"/>
        <w:gridCol w:w="1336"/>
        <w:gridCol w:w="1336"/>
        <w:gridCol w:w="10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783"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设备名称及编号</w:t>
            </w:r>
          </w:p>
        </w:tc>
        <w:tc>
          <w:tcPr>
            <w:tcW w:w="1894"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附件及备件、专用工具名称</w:t>
            </w:r>
          </w:p>
        </w:tc>
        <w:tc>
          <w:tcPr>
            <w:tcW w:w="1409"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品牌/产地</w:t>
            </w:r>
          </w:p>
        </w:tc>
        <w:tc>
          <w:tcPr>
            <w:tcW w:w="1336"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数量</w:t>
            </w:r>
          </w:p>
        </w:tc>
        <w:tc>
          <w:tcPr>
            <w:tcW w:w="1336"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包装形式</w:t>
            </w:r>
          </w:p>
        </w:tc>
        <w:tc>
          <w:tcPr>
            <w:tcW w:w="1096" w:type="dxa"/>
            <w:tcBorders>
              <w:top w:val="single" w:color="auto" w:sz="12" w:space="0"/>
              <w:bottom w:val="single" w:color="auto" w:sz="12" w:space="0"/>
            </w:tcBorders>
            <w:vAlign w:val="center"/>
          </w:tcPr>
          <w:p>
            <w:pPr>
              <w:jc w:val="center"/>
              <w:rPr>
                <w:rFonts w:ascii="新宋体" w:hAnsi="新宋体" w:eastAsia="新宋体"/>
                <w:b/>
                <w:bCs/>
                <w:sz w:val="24"/>
              </w:rPr>
            </w:pPr>
            <w:r>
              <w:rPr>
                <w:rFonts w:hint="eastAsia" w:ascii="新宋体" w:hAnsi="新宋体" w:eastAsia="新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tcBorders>
              <w:top w:val="single" w:color="auto" w:sz="12" w:space="0"/>
            </w:tcBorders>
            <w:vAlign w:val="center"/>
          </w:tcPr>
          <w:p>
            <w:pPr>
              <w:ind w:firstLine="592"/>
              <w:jc w:val="center"/>
              <w:rPr>
                <w:rFonts w:ascii="新宋体" w:hAnsi="新宋体" w:eastAsia="新宋体"/>
                <w:sz w:val="24"/>
              </w:rPr>
            </w:pPr>
          </w:p>
        </w:tc>
        <w:tc>
          <w:tcPr>
            <w:tcW w:w="1894" w:type="dxa"/>
            <w:tcBorders>
              <w:top w:val="single" w:color="auto" w:sz="12" w:space="0"/>
            </w:tcBorders>
            <w:vAlign w:val="center"/>
          </w:tcPr>
          <w:p>
            <w:pPr>
              <w:ind w:firstLine="592"/>
              <w:jc w:val="center"/>
              <w:rPr>
                <w:rFonts w:ascii="新宋体" w:hAnsi="新宋体" w:eastAsia="新宋体"/>
                <w:sz w:val="24"/>
              </w:rPr>
            </w:pPr>
          </w:p>
        </w:tc>
        <w:tc>
          <w:tcPr>
            <w:tcW w:w="1409" w:type="dxa"/>
            <w:tcBorders>
              <w:top w:val="single" w:color="auto" w:sz="12" w:space="0"/>
            </w:tcBorders>
            <w:vAlign w:val="center"/>
          </w:tcPr>
          <w:p>
            <w:pPr>
              <w:ind w:firstLine="592"/>
              <w:jc w:val="center"/>
              <w:rPr>
                <w:rFonts w:ascii="新宋体" w:hAnsi="新宋体" w:eastAsia="新宋体"/>
                <w:sz w:val="24"/>
              </w:rPr>
            </w:pPr>
          </w:p>
        </w:tc>
        <w:tc>
          <w:tcPr>
            <w:tcW w:w="1336" w:type="dxa"/>
            <w:tcBorders>
              <w:top w:val="single" w:color="auto" w:sz="12" w:space="0"/>
            </w:tcBorders>
            <w:vAlign w:val="center"/>
          </w:tcPr>
          <w:p>
            <w:pPr>
              <w:ind w:firstLine="592"/>
              <w:jc w:val="center"/>
              <w:rPr>
                <w:rFonts w:ascii="新宋体" w:hAnsi="新宋体" w:eastAsia="新宋体"/>
                <w:sz w:val="24"/>
              </w:rPr>
            </w:pPr>
          </w:p>
        </w:tc>
        <w:tc>
          <w:tcPr>
            <w:tcW w:w="1336" w:type="dxa"/>
            <w:tcBorders>
              <w:top w:val="single" w:color="auto" w:sz="12" w:space="0"/>
            </w:tcBorders>
            <w:vAlign w:val="center"/>
          </w:tcPr>
          <w:p>
            <w:pPr>
              <w:ind w:firstLine="592"/>
              <w:jc w:val="center"/>
              <w:rPr>
                <w:rFonts w:ascii="新宋体" w:hAnsi="新宋体" w:eastAsia="新宋体"/>
                <w:sz w:val="24"/>
              </w:rPr>
            </w:pPr>
          </w:p>
        </w:tc>
        <w:tc>
          <w:tcPr>
            <w:tcW w:w="1096" w:type="dxa"/>
            <w:tcBorders>
              <w:top w:val="single" w:color="auto" w:sz="12" w:space="0"/>
            </w:tcBorders>
            <w:vAlign w:val="center"/>
          </w:tcPr>
          <w:p>
            <w:pPr>
              <w:ind w:firstLine="592"/>
              <w:jc w:val="center"/>
              <w:rPr>
                <w:rFonts w:ascii="新宋体" w:hAnsi="新宋体" w:eastAsia="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sz w:val="24"/>
              </w:rPr>
            </w:pPr>
          </w:p>
        </w:tc>
        <w:tc>
          <w:tcPr>
            <w:tcW w:w="1894" w:type="dxa"/>
            <w:vAlign w:val="center"/>
          </w:tcPr>
          <w:p>
            <w:pPr>
              <w:ind w:firstLine="592"/>
              <w:jc w:val="center"/>
              <w:rPr>
                <w:rFonts w:ascii="新宋体" w:hAnsi="新宋体" w:eastAsia="新宋体"/>
                <w:sz w:val="24"/>
              </w:rPr>
            </w:pPr>
          </w:p>
        </w:tc>
        <w:tc>
          <w:tcPr>
            <w:tcW w:w="1409" w:type="dxa"/>
            <w:vAlign w:val="center"/>
          </w:tcPr>
          <w:p>
            <w:pPr>
              <w:ind w:firstLine="592"/>
              <w:jc w:val="center"/>
              <w:rPr>
                <w:rFonts w:ascii="新宋体" w:hAnsi="新宋体" w:eastAsia="新宋体"/>
                <w:sz w:val="24"/>
              </w:rPr>
            </w:pPr>
          </w:p>
        </w:tc>
        <w:tc>
          <w:tcPr>
            <w:tcW w:w="1336" w:type="dxa"/>
            <w:vAlign w:val="center"/>
          </w:tcPr>
          <w:p>
            <w:pPr>
              <w:ind w:firstLine="592"/>
              <w:jc w:val="center"/>
              <w:rPr>
                <w:rFonts w:ascii="新宋体" w:hAnsi="新宋体" w:eastAsia="新宋体"/>
                <w:sz w:val="24"/>
              </w:rPr>
            </w:pPr>
          </w:p>
        </w:tc>
        <w:tc>
          <w:tcPr>
            <w:tcW w:w="1336" w:type="dxa"/>
            <w:vAlign w:val="center"/>
          </w:tcPr>
          <w:p>
            <w:pPr>
              <w:ind w:firstLine="592"/>
              <w:jc w:val="center"/>
              <w:rPr>
                <w:rFonts w:ascii="新宋体" w:hAnsi="新宋体" w:eastAsia="新宋体"/>
                <w:sz w:val="24"/>
              </w:rPr>
            </w:pPr>
          </w:p>
        </w:tc>
        <w:tc>
          <w:tcPr>
            <w:tcW w:w="1096" w:type="dxa"/>
            <w:vAlign w:val="center"/>
          </w:tcPr>
          <w:p>
            <w:pPr>
              <w:ind w:firstLine="592"/>
              <w:jc w:val="center"/>
              <w:rPr>
                <w:rFonts w:ascii="新宋体" w:hAnsi="新宋体" w:eastAsia="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2783" w:type="dxa"/>
            <w:vAlign w:val="center"/>
          </w:tcPr>
          <w:p>
            <w:pPr>
              <w:ind w:firstLine="592"/>
              <w:jc w:val="center"/>
              <w:rPr>
                <w:rFonts w:ascii="新宋体" w:hAnsi="新宋体" w:eastAsia="新宋体"/>
              </w:rPr>
            </w:pPr>
          </w:p>
        </w:tc>
        <w:tc>
          <w:tcPr>
            <w:tcW w:w="1894" w:type="dxa"/>
            <w:vAlign w:val="center"/>
          </w:tcPr>
          <w:p>
            <w:pPr>
              <w:ind w:firstLine="592"/>
              <w:jc w:val="center"/>
              <w:rPr>
                <w:rFonts w:ascii="新宋体" w:hAnsi="新宋体" w:eastAsia="新宋体"/>
              </w:rPr>
            </w:pPr>
          </w:p>
        </w:tc>
        <w:tc>
          <w:tcPr>
            <w:tcW w:w="1409"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336" w:type="dxa"/>
            <w:vAlign w:val="center"/>
          </w:tcPr>
          <w:p>
            <w:pPr>
              <w:ind w:firstLine="592"/>
              <w:jc w:val="center"/>
              <w:rPr>
                <w:rFonts w:ascii="新宋体" w:hAnsi="新宋体" w:eastAsia="新宋体"/>
              </w:rPr>
            </w:pPr>
          </w:p>
        </w:tc>
        <w:tc>
          <w:tcPr>
            <w:tcW w:w="1096" w:type="dxa"/>
            <w:vAlign w:val="center"/>
          </w:tcPr>
          <w:p>
            <w:pPr>
              <w:ind w:firstLine="592"/>
              <w:jc w:val="center"/>
              <w:rPr>
                <w:rFonts w:ascii="新宋体" w:hAnsi="新宋体" w:eastAsia="新宋体"/>
              </w:rPr>
            </w:pPr>
          </w:p>
        </w:tc>
      </w:tr>
    </w:tbl>
    <w:p>
      <w:pPr>
        <w:pStyle w:val="18"/>
        <w:spacing w:line="240" w:lineRule="auto"/>
        <w:ind w:left="26" w:leftChars="-85" w:hanging="204" w:hangingChars="85"/>
        <w:jc w:val="left"/>
        <w:rPr>
          <w:rFonts w:ascii="新宋体" w:hAnsi="新宋体" w:eastAsia="新宋体" w:cs="宋体"/>
          <w:sz w:val="24"/>
        </w:rPr>
      </w:pPr>
      <w:r>
        <w:rPr>
          <w:rFonts w:hint="eastAsia" w:ascii="新宋体" w:hAnsi="新宋体" w:eastAsia="新宋体"/>
          <w:sz w:val="24"/>
        </w:rPr>
        <w:t xml:space="preserve">附注： </w:t>
      </w:r>
      <w:r>
        <w:rPr>
          <w:rFonts w:hint="eastAsia" w:ascii="新宋体" w:hAnsi="新宋体" w:eastAsia="新宋体" w:cs="宋体"/>
          <w:sz w:val="24"/>
        </w:rPr>
        <w:t>1. 本表所列为随设备所带的附件及备品备件。</w:t>
      </w:r>
    </w:p>
    <w:p>
      <w:pPr>
        <w:pStyle w:val="18"/>
        <w:spacing w:line="240" w:lineRule="auto"/>
        <w:ind w:firstLine="655" w:firstLineChars="273"/>
        <w:jc w:val="left"/>
        <w:rPr>
          <w:rFonts w:ascii="新宋体" w:hAnsi="新宋体" w:eastAsia="新宋体" w:cs="宋体"/>
          <w:sz w:val="24"/>
        </w:rPr>
      </w:pPr>
      <w:r>
        <w:rPr>
          <w:rFonts w:hint="eastAsia" w:ascii="新宋体" w:hAnsi="新宋体" w:eastAsia="新宋体" w:cs="宋体"/>
          <w:sz w:val="24"/>
        </w:rPr>
        <w:t>2.此表仅提供了表格形式，供应商应根据需要准备足够数量的表格来填写。</w:t>
      </w:r>
    </w:p>
    <w:p>
      <w:pPr>
        <w:pStyle w:val="18"/>
        <w:spacing w:line="240" w:lineRule="auto"/>
        <w:ind w:firstLine="655" w:firstLineChars="273"/>
        <w:jc w:val="left"/>
        <w:rPr>
          <w:rFonts w:ascii="新宋体" w:hAnsi="新宋体" w:eastAsia="新宋体"/>
          <w:b/>
          <w:bCs/>
          <w:sz w:val="24"/>
        </w:rPr>
      </w:pPr>
      <w:r>
        <w:rPr>
          <w:rFonts w:hint="eastAsia" w:ascii="新宋体" w:hAnsi="新宋体" w:eastAsia="新宋体" w:cs="宋体"/>
          <w:sz w:val="24"/>
        </w:rPr>
        <w:t>3. 设</w:t>
      </w:r>
      <w:r>
        <w:rPr>
          <w:rFonts w:hint="eastAsia" w:ascii="新宋体" w:hAnsi="新宋体" w:eastAsia="新宋体"/>
          <w:sz w:val="24"/>
        </w:rPr>
        <w:t>备验收时，实到的随机备品备件的产地等应与此一览表一一对应。</w:t>
      </w:r>
    </w:p>
    <w:p>
      <w:pPr>
        <w:spacing w:line="380" w:lineRule="exact"/>
        <w:ind w:firstLine="4400" w:firstLineChars="2000"/>
        <w:rPr>
          <w:rFonts w:ascii="宋体" w:hAnsi="宋体"/>
          <w:sz w:val="22"/>
          <w:szCs w:val="22"/>
        </w:rPr>
      </w:pPr>
    </w:p>
    <w:p>
      <w:pPr>
        <w:spacing w:line="380" w:lineRule="exact"/>
        <w:rPr>
          <w:rFonts w:ascii="宋体" w:hAnsi="宋体"/>
          <w:sz w:val="22"/>
          <w:szCs w:val="22"/>
        </w:rPr>
      </w:pPr>
      <w:r>
        <w:rPr>
          <w:rFonts w:hint="eastAsia" w:ascii="宋体" w:hAnsi="宋体"/>
          <w:sz w:val="22"/>
          <w:szCs w:val="22"/>
        </w:rPr>
        <w:t>投标人全称（盖章）：</w:t>
      </w:r>
    </w:p>
    <w:p>
      <w:pPr>
        <w:spacing w:line="380" w:lineRule="exact"/>
        <w:rPr>
          <w:rFonts w:ascii="宋体" w:hAnsi="宋体"/>
          <w:sz w:val="22"/>
          <w:szCs w:val="22"/>
        </w:rPr>
      </w:pPr>
      <w:r>
        <w:rPr>
          <w:rFonts w:hint="eastAsia" w:ascii="宋体" w:hAnsi="宋体"/>
          <w:sz w:val="22"/>
          <w:szCs w:val="22"/>
        </w:rPr>
        <w:t>投标人代表（签字）：</w:t>
      </w:r>
    </w:p>
    <w:p>
      <w:pPr>
        <w:ind w:right="-21" w:rightChars="-10"/>
        <w:rPr>
          <w:rFonts w:ascii="新宋体" w:hAnsi="新宋体" w:eastAsia="新宋体"/>
          <w:sz w:val="24"/>
        </w:rPr>
      </w:pPr>
      <w:r>
        <w:rPr>
          <w:rFonts w:hint="eastAsia" w:ascii="宋体" w:hAnsi="宋体"/>
          <w:sz w:val="22"/>
          <w:szCs w:val="22"/>
        </w:rPr>
        <w:t>日期：  年   月  日</w:t>
      </w:r>
      <w:r>
        <w:rPr>
          <w:rFonts w:hint="eastAsia" w:ascii="新宋体" w:hAnsi="新宋体" w:eastAsia="新宋体"/>
          <w:sz w:val="24"/>
        </w:rPr>
        <w:t>：</w:t>
      </w:r>
    </w:p>
    <w:p>
      <w:pPr>
        <w:spacing w:line="460" w:lineRule="exact"/>
        <w:rPr>
          <w:rFonts w:ascii="新宋体" w:hAnsi="新宋体" w:eastAsia="新宋体" w:cs="宋体"/>
          <w:sz w:val="22"/>
          <w:szCs w:val="22"/>
        </w:rPr>
      </w:pPr>
    </w:p>
    <w:p>
      <w:pPr>
        <w:spacing w:line="460" w:lineRule="exact"/>
        <w:jc w:val="center"/>
        <w:rPr>
          <w:rFonts w:ascii="新宋体" w:hAnsi="新宋体" w:eastAsia="新宋体"/>
          <w:b/>
          <w:bCs/>
          <w:sz w:val="28"/>
          <w:szCs w:val="28"/>
        </w:rPr>
      </w:pPr>
      <w:r>
        <w:rPr>
          <w:rFonts w:ascii="新宋体" w:hAnsi="新宋体" w:eastAsia="新宋体" w:cs="Arial"/>
          <w:b/>
          <w:bCs/>
          <w:sz w:val="28"/>
          <w:szCs w:val="28"/>
        </w:rPr>
        <w:br w:type="page"/>
      </w:r>
      <w:r>
        <w:rPr>
          <w:rFonts w:hint="eastAsia" w:ascii="新宋体" w:hAnsi="新宋体" w:eastAsia="新宋体"/>
          <w:b/>
          <w:bCs/>
          <w:sz w:val="28"/>
          <w:szCs w:val="28"/>
        </w:rPr>
        <w:t>供业主选购的设备及备品备件一览表</w:t>
      </w:r>
    </w:p>
    <w:p>
      <w:pPr>
        <w:spacing w:line="380" w:lineRule="exact"/>
        <w:rPr>
          <w:rFonts w:ascii="新宋体" w:hAnsi="新宋体" w:eastAsia="新宋体" w:cs="宋体"/>
          <w:b/>
          <w:bCs/>
          <w:sz w:val="22"/>
          <w:szCs w:val="22"/>
        </w:rPr>
      </w:pPr>
      <w:r>
        <w:rPr>
          <w:rFonts w:hint="eastAsia" w:ascii="新宋体" w:hAnsi="新宋体" w:eastAsia="新宋体"/>
          <w:bCs/>
          <w:sz w:val="22"/>
          <w:szCs w:val="22"/>
        </w:rPr>
        <w:t>项目名称：                                         项目编号：</w:t>
      </w:r>
    </w:p>
    <w:tbl>
      <w:tblPr>
        <w:tblStyle w:val="5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1874"/>
        <w:gridCol w:w="749"/>
        <w:gridCol w:w="1123"/>
        <w:gridCol w:w="1498"/>
        <w:gridCol w:w="1498"/>
        <w:gridCol w:w="11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83" w:hRule="atLeast"/>
        </w:trPr>
        <w:tc>
          <w:tcPr>
            <w:tcW w:w="1989" w:type="dxa"/>
            <w:vAlign w:val="center"/>
          </w:tcPr>
          <w:p>
            <w:pPr>
              <w:jc w:val="center"/>
              <w:rPr>
                <w:rFonts w:ascii="新宋体" w:hAnsi="新宋体" w:eastAsia="新宋体"/>
                <w:b/>
                <w:bCs/>
                <w:sz w:val="24"/>
              </w:rPr>
            </w:pPr>
            <w:r>
              <w:rPr>
                <w:rFonts w:hint="eastAsia" w:ascii="新宋体" w:hAnsi="新宋体" w:eastAsia="新宋体"/>
                <w:b/>
                <w:bCs/>
                <w:sz w:val="24"/>
              </w:rPr>
              <w:t>设备名称及编号</w:t>
            </w:r>
          </w:p>
        </w:tc>
        <w:tc>
          <w:tcPr>
            <w:tcW w:w="1874" w:type="dxa"/>
            <w:vAlign w:val="center"/>
          </w:tcPr>
          <w:p>
            <w:pPr>
              <w:jc w:val="center"/>
              <w:rPr>
                <w:rFonts w:ascii="新宋体" w:hAnsi="新宋体" w:eastAsia="新宋体"/>
                <w:b/>
                <w:bCs/>
                <w:sz w:val="24"/>
              </w:rPr>
            </w:pPr>
            <w:r>
              <w:rPr>
                <w:rFonts w:hint="eastAsia" w:ascii="新宋体" w:hAnsi="新宋体" w:eastAsia="新宋体"/>
                <w:b/>
                <w:bCs/>
                <w:sz w:val="24"/>
              </w:rPr>
              <w:t>备件名称</w:t>
            </w:r>
          </w:p>
        </w:tc>
        <w:tc>
          <w:tcPr>
            <w:tcW w:w="749" w:type="dxa"/>
            <w:vAlign w:val="center"/>
          </w:tcPr>
          <w:p>
            <w:pPr>
              <w:jc w:val="center"/>
              <w:rPr>
                <w:rFonts w:ascii="新宋体" w:hAnsi="新宋体" w:eastAsia="新宋体"/>
                <w:b/>
                <w:bCs/>
                <w:sz w:val="24"/>
              </w:rPr>
            </w:pPr>
            <w:r>
              <w:rPr>
                <w:rFonts w:hint="eastAsia" w:ascii="新宋体" w:hAnsi="新宋体" w:eastAsia="新宋体"/>
                <w:b/>
                <w:bCs/>
                <w:sz w:val="24"/>
              </w:rPr>
              <w:t>数量</w:t>
            </w:r>
          </w:p>
        </w:tc>
        <w:tc>
          <w:tcPr>
            <w:tcW w:w="1123" w:type="dxa"/>
            <w:vAlign w:val="center"/>
          </w:tcPr>
          <w:p>
            <w:pPr>
              <w:jc w:val="center"/>
              <w:rPr>
                <w:rFonts w:ascii="新宋体" w:hAnsi="新宋体" w:eastAsia="新宋体"/>
                <w:b/>
                <w:bCs/>
                <w:sz w:val="24"/>
              </w:rPr>
            </w:pPr>
            <w:r>
              <w:rPr>
                <w:rFonts w:hint="eastAsia" w:ascii="新宋体" w:hAnsi="新宋体" w:eastAsia="新宋体"/>
                <w:b/>
                <w:bCs/>
                <w:sz w:val="24"/>
              </w:rPr>
              <w:t>产地</w:t>
            </w:r>
          </w:p>
        </w:tc>
        <w:tc>
          <w:tcPr>
            <w:tcW w:w="1498" w:type="dxa"/>
            <w:vAlign w:val="center"/>
          </w:tcPr>
          <w:p>
            <w:pPr>
              <w:jc w:val="center"/>
              <w:rPr>
                <w:rFonts w:ascii="新宋体" w:hAnsi="新宋体" w:eastAsia="新宋体"/>
                <w:b/>
                <w:bCs/>
                <w:sz w:val="24"/>
              </w:rPr>
            </w:pPr>
            <w:r>
              <w:rPr>
                <w:rFonts w:hint="eastAsia" w:ascii="新宋体" w:hAnsi="新宋体" w:eastAsia="新宋体"/>
                <w:b/>
                <w:bCs/>
                <w:sz w:val="24"/>
              </w:rPr>
              <w:t>价格</w:t>
            </w:r>
            <w:r>
              <w:rPr>
                <w:rFonts w:hint="eastAsia" w:ascii="新宋体" w:hAnsi="新宋体" w:eastAsia="新宋体"/>
                <w:sz w:val="24"/>
              </w:rPr>
              <w:t>（元）</w:t>
            </w:r>
          </w:p>
        </w:tc>
        <w:tc>
          <w:tcPr>
            <w:tcW w:w="1498" w:type="dxa"/>
            <w:vAlign w:val="center"/>
          </w:tcPr>
          <w:p>
            <w:pPr>
              <w:jc w:val="center"/>
              <w:rPr>
                <w:rFonts w:ascii="新宋体" w:hAnsi="新宋体" w:eastAsia="新宋体"/>
                <w:b/>
                <w:bCs/>
                <w:sz w:val="24"/>
              </w:rPr>
            </w:pPr>
            <w:r>
              <w:rPr>
                <w:rFonts w:hint="eastAsia" w:ascii="新宋体" w:hAnsi="新宋体" w:eastAsia="新宋体"/>
                <w:b/>
                <w:bCs/>
                <w:sz w:val="24"/>
              </w:rPr>
              <w:t>包装形式</w:t>
            </w:r>
          </w:p>
        </w:tc>
        <w:tc>
          <w:tcPr>
            <w:tcW w:w="1123" w:type="dxa"/>
            <w:vAlign w:val="center"/>
          </w:tcPr>
          <w:p>
            <w:pPr>
              <w:jc w:val="center"/>
              <w:rPr>
                <w:rFonts w:ascii="新宋体" w:hAnsi="新宋体" w:eastAsia="新宋体"/>
                <w:b/>
                <w:bCs/>
                <w:sz w:val="24"/>
              </w:rPr>
            </w:pPr>
            <w:r>
              <w:rPr>
                <w:rFonts w:hint="eastAsia" w:ascii="新宋体" w:hAnsi="新宋体" w:eastAsia="新宋体"/>
                <w:b/>
                <w:bCs/>
                <w:sz w:val="24"/>
              </w:rPr>
              <w:t>备注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sz w:val="24"/>
              </w:rPr>
            </w:pPr>
          </w:p>
        </w:tc>
        <w:tc>
          <w:tcPr>
            <w:tcW w:w="1874" w:type="dxa"/>
            <w:vAlign w:val="center"/>
          </w:tcPr>
          <w:p>
            <w:pPr>
              <w:ind w:firstLine="592"/>
              <w:jc w:val="center"/>
              <w:rPr>
                <w:rFonts w:ascii="新宋体" w:hAnsi="新宋体" w:eastAsia="新宋体"/>
                <w:sz w:val="24"/>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sz w:val="24"/>
              </w:rPr>
            </w:pPr>
          </w:p>
        </w:tc>
        <w:tc>
          <w:tcPr>
            <w:tcW w:w="1498" w:type="dxa"/>
            <w:vAlign w:val="center"/>
          </w:tcPr>
          <w:p>
            <w:pPr>
              <w:ind w:firstLine="592"/>
              <w:jc w:val="center"/>
              <w:rPr>
                <w:rFonts w:ascii="新宋体" w:hAnsi="新宋体" w:eastAsia="新宋体"/>
                <w:sz w:val="24"/>
              </w:rPr>
            </w:pPr>
          </w:p>
        </w:tc>
        <w:tc>
          <w:tcPr>
            <w:tcW w:w="1498" w:type="dxa"/>
            <w:vAlign w:val="center"/>
          </w:tcPr>
          <w:p>
            <w:pPr>
              <w:ind w:firstLine="592"/>
              <w:jc w:val="center"/>
              <w:rPr>
                <w:rFonts w:ascii="新宋体" w:hAnsi="新宋体" w:eastAsia="新宋体"/>
                <w:sz w:val="24"/>
              </w:rPr>
            </w:pPr>
          </w:p>
        </w:tc>
        <w:tc>
          <w:tcPr>
            <w:tcW w:w="1123" w:type="dxa"/>
            <w:vAlign w:val="center"/>
          </w:tcPr>
          <w:p>
            <w:pPr>
              <w:ind w:firstLine="592"/>
              <w:jc w:val="center"/>
              <w:rPr>
                <w:rFonts w:ascii="新宋体" w:hAnsi="新宋体" w:eastAsia="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sz w:val="24"/>
              </w:rPr>
            </w:pPr>
          </w:p>
        </w:tc>
        <w:tc>
          <w:tcPr>
            <w:tcW w:w="1874" w:type="dxa"/>
            <w:vAlign w:val="center"/>
          </w:tcPr>
          <w:p>
            <w:pPr>
              <w:ind w:firstLine="592"/>
              <w:jc w:val="center"/>
              <w:rPr>
                <w:rFonts w:ascii="新宋体" w:hAnsi="新宋体" w:eastAsia="新宋体"/>
                <w:sz w:val="24"/>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sz w:val="24"/>
              </w:rPr>
            </w:pPr>
          </w:p>
        </w:tc>
        <w:tc>
          <w:tcPr>
            <w:tcW w:w="1498" w:type="dxa"/>
            <w:vAlign w:val="center"/>
          </w:tcPr>
          <w:p>
            <w:pPr>
              <w:ind w:firstLine="592"/>
              <w:jc w:val="center"/>
              <w:rPr>
                <w:rFonts w:ascii="新宋体" w:hAnsi="新宋体" w:eastAsia="新宋体"/>
                <w:sz w:val="24"/>
              </w:rPr>
            </w:pPr>
          </w:p>
        </w:tc>
        <w:tc>
          <w:tcPr>
            <w:tcW w:w="1498" w:type="dxa"/>
            <w:vAlign w:val="center"/>
          </w:tcPr>
          <w:p>
            <w:pPr>
              <w:ind w:firstLine="592"/>
              <w:jc w:val="center"/>
              <w:rPr>
                <w:rFonts w:ascii="新宋体" w:hAnsi="新宋体" w:eastAsia="新宋体"/>
                <w:sz w:val="24"/>
              </w:rPr>
            </w:pPr>
          </w:p>
        </w:tc>
        <w:tc>
          <w:tcPr>
            <w:tcW w:w="1123" w:type="dxa"/>
            <w:vAlign w:val="center"/>
          </w:tcPr>
          <w:p>
            <w:pPr>
              <w:ind w:firstLine="592"/>
              <w:jc w:val="center"/>
              <w:rPr>
                <w:rFonts w:ascii="新宋体" w:hAnsi="新宋体" w:eastAsia="新宋体"/>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20" w:hRule="atLeast"/>
        </w:trPr>
        <w:tc>
          <w:tcPr>
            <w:tcW w:w="1989" w:type="dxa"/>
            <w:vAlign w:val="center"/>
          </w:tcPr>
          <w:p>
            <w:pPr>
              <w:ind w:firstLine="592"/>
              <w:jc w:val="center"/>
              <w:rPr>
                <w:rFonts w:ascii="新宋体" w:hAnsi="新宋体" w:eastAsia="新宋体"/>
              </w:rPr>
            </w:pPr>
          </w:p>
        </w:tc>
        <w:tc>
          <w:tcPr>
            <w:tcW w:w="1874" w:type="dxa"/>
            <w:vAlign w:val="center"/>
          </w:tcPr>
          <w:p>
            <w:pPr>
              <w:ind w:firstLine="592"/>
              <w:jc w:val="center"/>
              <w:rPr>
                <w:rFonts w:ascii="新宋体" w:hAnsi="新宋体" w:eastAsia="新宋体"/>
              </w:rPr>
            </w:pPr>
          </w:p>
        </w:tc>
        <w:tc>
          <w:tcPr>
            <w:tcW w:w="749" w:type="dxa"/>
            <w:vAlign w:val="center"/>
          </w:tcPr>
          <w:p>
            <w:pPr>
              <w:ind w:right="-103" w:rightChars="-49"/>
              <w:rPr>
                <w:rFonts w:ascii="新宋体" w:hAnsi="新宋体" w:eastAsia="新宋体"/>
                <w:sz w:val="24"/>
              </w:rPr>
            </w:pPr>
          </w:p>
        </w:tc>
        <w:tc>
          <w:tcPr>
            <w:tcW w:w="1123"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498" w:type="dxa"/>
            <w:vAlign w:val="center"/>
          </w:tcPr>
          <w:p>
            <w:pPr>
              <w:ind w:firstLine="592"/>
              <w:jc w:val="center"/>
              <w:rPr>
                <w:rFonts w:ascii="新宋体" w:hAnsi="新宋体" w:eastAsia="新宋体"/>
              </w:rPr>
            </w:pPr>
          </w:p>
        </w:tc>
        <w:tc>
          <w:tcPr>
            <w:tcW w:w="1123" w:type="dxa"/>
            <w:vAlign w:val="center"/>
          </w:tcPr>
          <w:p>
            <w:pPr>
              <w:ind w:firstLine="592"/>
              <w:jc w:val="center"/>
              <w:rPr>
                <w:rFonts w:ascii="新宋体" w:hAnsi="新宋体" w:eastAsia="新宋体"/>
              </w:rPr>
            </w:pPr>
          </w:p>
        </w:tc>
      </w:tr>
    </w:tbl>
    <w:p>
      <w:pPr>
        <w:pStyle w:val="18"/>
        <w:spacing w:line="240" w:lineRule="auto"/>
        <w:ind w:left="1" w:leftChars="-35" w:hanging="74" w:hangingChars="34"/>
        <w:rPr>
          <w:rFonts w:ascii="新宋体" w:hAnsi="新宋体" w:eastAsia="新宋体"/>
          <w:sz w:val="22"/>
          <w:szCs w:val="22"/>
        </w:rPr>
      </w:pPr>
      <w:r>
        <w:rPr>
          <w:rFonts w:hint="eastAsia" w:ascii="新宋体" w:hAnsi="新宋体" w:eastAsia="新宋体"/>
          <w:sz w:val="22"/>
          <w:szCs w:val="22"/>
        </w:rPr>
        <w:t>附注：</w:t>
      </w:r>
    </w:p>
    <w:p>
      <w:pPr>
        <w:pStyle w:val="18"/>
        <w:spacing w:line="240" w:lineRule="auto"/>
        <w:ind w:left="1" w:leftChars="-35" w:hanging="74" w:hangingChars="34"/>
        <w:rPr>
          <w:rFonts w:ascii="新宋体" w:hAnsi="新宋体" w:eastAsia="新宋体" w:cs="Verdana"/>
          <w:sz w:val="22"/>
          <w:szCs w:val="22"/>
        </w:rPr>
      </w:pPr>
      <w:r>
        <w:rPr>
          <w:rFonts w:hint="eastAsia" w:ascii="新宋体" w:hAnsi="新宋体" w:eastAsia="新宋体" w:cs="Verdana"/>
          <w:sz w:val="22"/>
          <w:szCs w:val="22"/>
        </w:rPr>
        <w:t>1. 本表中所列价格不计入投标总价，仅供业主选购时用。</w:t>
      </w:r>
    </w:p>
    <w:p>
      <w:pPr>
        <w:pStyle w:val="18"/>
        <w:spacing w:line="240" w:lineRule="auto"/>
        <w:ind w:left="1" w:leftChars="-35" w:hanging="74" w:hangingChars="34"/>
        <w:rPr>
          <w:rFonts w:ascii="新宋体" w:hAnsi="新宋体" w:eastAsia="新宋体" w:cs="Verdana"/>
          <w:sz w:val="22"/>
          <w:szCs w:val="22"/>
        </w:rPr>
      </w:pPr>
      <w:r>
        <w:rPr>
          <w:rFonts w:hint="eastAsia" w:ascii="新宋体" w:hAnsi="新宋体" w:eastAsia="新宋体" w:cs="Verdana"/>
          <w:sz w:val="22"/>
          <w:szCs w:val="22"/>
        </w:rPr>
        <w:t>2. 此表仅提供了表格形式，供应商应根据需要准备足够数量的表格来填写。</w:t>
      </w:r>
    </w:p>
    <w:p>
      <w:pPr>
        <w:pStyle w:val="18"/>
        <w:spacing w:line="240" w:lineRule="auto"/>
        <w:rPr>
          <w:rFonts w:ascii="新宋体" w:hAnsi="新宋体" w:eastAsia="新宋体"/>
          <w:sz w:val="24"/>
        </w:rPr>
      </w:pPr>
    </w:p>
    <w:p>
      <w:pPr>
        <w:spacing w:line="380" w:lineRule="exact"/>
        <w:rPr>
          <w:rFonts w:ascii="宋体" w:hAnsi="宋体"/>
          <w:sz w:val="22"/>
          <w:szCs w:val="22"/>
        </w:rPr>
      </w:pPr>
      <w:r>
        <w:rPr>
          <w:rFonts w:hint="eastAsia" w:ascii="宋体" w:hAnsi="宋体"/>
          <w:sz w:val="22"/>
          <w:szCs w:val="22"/>
        </w:rPr>
        <w:t>投标人全称（盖章）：</w:t>
      </w:r>
    </w:p>
    <w:p>
      <w:pPr>
        <w:spacing w:line="380" w:lineRule="exact"/>
        <w:rPr>
          <w:rFonts w:ascii="宋体" w:hAnsi="宋体"/>
          <w:sz w:val="22"/>
          <w:szCs w:val="22"/>
        </w:rPr>
      </w:pPr>
      <w:r>
        <w:rPr>
          <w:rFonts w:hint="eastAsia" w:ascii="宋体" w:hAnsi="宋体"/>
          <w:sz w:val="22"/>
          <w:szCs w:val="22"/>
        </w:rPr>
        <w:t>投标人代表（签字）：</w:t>
      </w:r>
    </w:p>
    <w:p>
      <w:pPr>
        <w:spacing w:line="380" w:lineRule="exact"/>
        <w:rPr>
          <w:rFonts w:ascii="宋体" w:hAnsi="宋体"/>
          <w:sz w:val="22"/>
          <w:szCs w:val="22"/>
        </w:rPr>
      </w:pPr>
      <w:r>
        <w:rPr>
          <w:rFonts w:hint="eastAsia" w:ascii="宋体" w:hAnsi="宋体"/>
          <w:sz w:val="22"/>
          <w:szCs w:val="22"/>
        </w:rPr>
        <w:t>日期：  年   月  日：</w:t>
      </w:r>
    </w:p>
    <w:p>
      <w:pPr>
        <w:pStyle w:val="7"/>
      </w:pPr>
    </w:p>
    <w:p>
      <w:pPr>
        <w:spacing w:line="460" w:lineRule="exact"/>
        <w:rPr>
          <w:rFonts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附件三</w:t>
      </w:r>
    </w:p>
    <w:p>
      <w:pPr>
        <w:spacing w:before="120" w:beforeLines="50" w:after="120" w:afterLines="50"/>
        <w:jc w:val="center"/>
        <w:rPr>
          <w:rFonts w:ascii="宋体" w:hAnsi="宋体" w:cs="宋体"/>
          <w:b/>
          <w:bCs/>
          <w:sz w:val="28"/>
          <w:szCs w:val="28"/>
        </w:rPr>
      </w:pPr>
      <w:r>
        <w:rPr>
          <w:rFonts w:hint="eastAsia" w:ascii="宋体" w:hAnsi="宋体" w:cs="宋体"/>
          <w:b/>
          <w:bCs/>
          <w:sz w:val="28"/>
          <w:szCs w:val="28"/>
        </w:rPr>
        <w:t>同类业绩一览表</w:t>
      </w:r>
    </w:p>
    <w:p>
      <w:pPr>
        <w:spacing w:line="380" w:lineRule="exact"/>
        <w:ind w:left="-357" w:leftChars="-170" w:firstLine="216" w:firstLineChars="98"/>
        <w:rPr>
          <w:rFonts w:ascii="宋体" w:hAnsi="宋体" w:cs="宋体"/>
          <w:b/>
          <w:bCs/>
          <w:sz w:val="22"/>
          <w:szCs w:val="22"/>
        </w:rPr>
      </w:pPr>
      <w:r>
        <w:rPr>
          <w:rFonts w:hint="eastAsia" w:ascii="宋体" w:hAnsi="宋体" w:cs="宋体"/>
          <w:b/>
          <w:bCs/>
          <w:sz w:val="22"/>
          <w:szCs w:val="22"/>
        </w:rPr>
        <w:t>项目名称：                                              项目编号：</w:t>
      </w:r>
    </w:p>
    <w:tbl>
      <w:tblPr>
        <w:tblStyle w:val="56"/>
        <w:tblW w:w="9820" w:type="dxa"/>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834"/>
        <w:gridCol w:w="1538"/>
        <w:gridCol w:w="1583"/>
        <w:gridCol w:w="2036"/>
        <w:gridCol w:w="1471"/>
        <w:gridCol w:w="1007"/>
        <w:gridCol w:w="1351"/>
      </w:tblGrid>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888" w:hRule="atLeast"/>
          <w:jc w:val="center"/>
        </w:trPr>
        <w:tc>
          <w:tcPr>
            <w:tcW w:w="834"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序号</w:t>
            </w:r>
          </w:p>
        </w:tc>
        <w:tc>
          <w:tcPr>
            <w:tcW w:w="1538"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项目名称</w:t>
            </w:r>
          </w:p>
        </w:tc>
        <w:tc>
          <w:tcPr>
            <w:tcW w:w="1583"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项目单位</w:t>
            </w:r>
          </w:p>
        </w:tc>
        <w:tc>
          <w:tcPr>
            <w:tcW w:w="2036"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项目金额</w:t>
            </w:r>
          </w:p>
        </w:tc>
        <w:tc>
          <w:tcPr>
            <w:tcW w:w="1471"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合同日期</w:t>
            </w:r>
          </w:p>
        </w:tc>
        <w:tc>
          <w:tcPr>
            <w:tcW w:w="1007"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联系人</w:t>
            </w:r>
          </w:p>
        </w:tc>
        <w:tc>
          <w:tcPr>
            <w:tcW w:w="1351" w:type="dxa"/>
            <w:vAlign w:val="center"/>
          </w:tcPr>
          <w:p>
            <w:pPr>
              <w:spacing w:line="380" w:lineRule="exact"/>
              <w:jc w:val="center"/>
              <w:rPr>
                <w:rFonts w:ascii="新宋体" w:hAnsi="新宋体" w:eastAsia="新宋体"/>
                <w:b/>
                <w:sz w:val="22"/>
                <w:szCs w:val="22"/>
              </w:rPr>
            </w:pPr>
            <w:r>
              <w:rPr>
                <w:rFonts w:hint="eastAsia" w:ascii="新宋体" w:hAnsi="新宋体" w:eastAsia="新宋体"/>
                <w:b/>
                <w:sz w:val="22"/>
                <w:szCs w:val="22"/>
              </w:rPr>
              <w:t>联系方式</w:t>
            </w: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635"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707" w:hRule="atLeast"/>
          <w:jc w:val="center"/>
        </w:trPr>
        <w:tc>
          <w:tcPr>
            <w:tcW w:w="834" w:type="dxa"/>
          </w:tcPr>
          <w:p>
            <w:pPr>
              <w:spacing w:after="120" w:line="360" w:lineRule="atLeast"/>
              <w:jc w:val="center"/>
              <w:rPr>
                <w:rFonts w:ascii="新宋体" w:hAnsi="新宋体" w:eastAsia="新宋体"/>
                <w:sz w:val="22"/>
                <w:szCs w:val="22"/>
              </w:rPr>
            </w:pPr>
          </w:p>
        </w:tc>
        <w:tc>
          <w:tcPr>
            <w:tcW w:w="1538" w:type="dxa"/>
          </w:tcPr>
          <w:p>
            <w:pPr>
              <w:spacing w:after="120" w:line="360" w:lineRule="atLeast"/>
              <w:jc w:val="center"/>
              <w:rPr>
                <w:rFonts w:ascii="新宋体" w:hAnsi="新宋体" w:eastAsia="新宋体"/>
                <w:sz w:val="22"/>
                <w:szCs w:val="22"/>
              </w:rPr>
            </w:pPr>
          </w:p>
        </w:tc>
        <w:tc>
          <w:tcPr>
            <w:tcW w:w="1583" w:type="dxa"/>
          </w:tcPr>
          <w:p>
            <w:pPr>
              <w:spacing w:after="120" w:line="360" w:lineRule="atLeast"/>
              <w:jc w:val="center"/>
              <w:rPr>
                <w:rFonts w:ascii="新宋体" w:hAnsi="新宋体" w:eastAsia="新宋体"/>
                <w:sz w:val="22"/>
                <w:szCs w:val="22"/>
              </w:rPr>
            </w:pPr>
          </w:p>
        </w:tc>
        <w:tc>
          <w:tcPr>
            <w:tcW w:w="2036" w:type="dxa"/>
          </w:tcPr>
          <w:p>
            <w:pPr>
              <w:spacing w:after="120" w:line="360" w:lineRule="atLeast"/>
              <w:jc w:val="center"/>
              <w:rPr>
                <w:rFonts w:ascii="新宋体" w:hAnsi="新宋体" w:eastAsia="新宋体"/>
                <w:sz w:val="22"/>
                <w:szCs w:val="22"/>
              </w:rPr>
            </w:pPr>
          </w:p>
        </w:tc>
        <w:tc>
          <w:tcPr>
            <w:tcW w:w="1471" w:type="dxa"/>
          </w:tcPr>
          <w:p>
            <w:pPr>
              <w:spacing w:after="120" w:line="360" w:lineRule="atLeast"/>
              <w:jc w:val="center"/>
              <w:rPr>
                <w:rFonts w:ascii="新宋体" w:hAnsi="新宋体" w:eastAsia="新宋体"/>
                <w:sz w:val="22"/>
                <w:szCs w:val="22"/>
              </w:rPr>
            </w:pPr>
          </w:p>
        </w:tc>
        <w:tc>
          <w:tcPr>
            <w:tcW w:w="1007" w:type="dxa"/>
          </w:tcPr>
          <w:p>
            <w:pPr>
              <w:spacing w:after="120" w:line="360" w:lineRule="atLeast"/>
              <w:jc w:val="center"/>
              <w:rPr>
                <w:rFonts w:ascii="新宋体" w:hAnsi="新宋体" w:eastAsia="新宋体"/>
                <w:sz w:val="22"/>
                <w:szCs w:val="22"/>
              </w:rPr>
            </w:pPr>
          </w:p>
        </w:tc>
        <w:tc>
          <w:tcPr>
            <w:tcW w:w="1351" w:type="dxa"/>
          </w:tcPr>
          <w:p>
            <w:pPr>
              <w:spacing w:after="120" w:line="360" w:lineRule="atLeast"/>
              <w:jc w:val="center"/>
              <w:rPr>
                <w:rFonts w:ascii="新宋体" w:hAnsi="新宋体" w:eastAsia="新宋体"/>
                <w:sz w:val="22"/>
                <w:szCs w:val="22"/>
              </w:rPr>
            </w:pPr>
          </w:p>
        </w:tc>
      </w:tr>
    </w:tbl>
    <w:p>
      <w:pPr>
        <w:spacing w:line="400" w:lineRule="exact"/>
        <w:rPr>
          <w:rFonts w:ascii="新宋体" w:hAnsi="新宋体" w:eastAsia="新宋体"/>
          <w:sz w:val="22"/>
          <w:szCs w:val="22"/>
        </w:rPr>
      </w:pPr>
      <w:r>
        <w:rPr>
          <w:rFonts w:hint="eastAsia" w:ascii="新宋体" w:hAnsi="新宋体" w:eastAsia="新宋体"/>
          <w:sz w:val="22"/>
          <w:szCs w:val="22"/>
        </w:rPr>
        <w:t>注：</w:t>
      </w:r>
    </w:p>
    <w:p>
      <w:pPr>
        <w:spacing w:line="400" w:lineRule="exact"/>
        <w:rPr>
          <w:rFonts w:ascii="新宋体" w:hAnsi="新宋体" w:eastAsia="新宋体"/>
          <w:sz w:val="22"/>
          <w:szCs w:val="22"/>
        </w:rPr>
      </w:pPr>
      <w:r>
        <w:rPr>
          <w:rFonts w:hint="eastAsia" w:ascii="新宋体" w:hAnsi="新宋体" w:eastAsia="新宋体"/>
          <w:sz w:val="22"/>
          <w:szCs w:val="22"/>
        </w:rPr>
        <w:t>1.此表仅提供了表格形式，供应商应根据需要准备足够数量的表格来填写。</w:t>
      </w:r>
    </w:p>
    <w:p>
      <w:pPr>
        <w:spacing w:line="400" w:lineRule="exact"/>
        <w:rPr>
          <w:rFonts w:ascii="新宋体" w:hAnsi="新宋体" w:eastAsia="新宋体"/>
          <w:sz w:val="22"/>
          <w:szCs w:val="22"/>
        </w:rPr>
      </w:pPr>
      <w:r>
        <w:rPr>
          <w:rFonts w:hint="eastAsia" w:ascii="新宋体" w:hAnsi="新宋体" w:eastAsia="新宋体"/>
          <w:sz w:val="22"/>
          <w:szCs w:val="22"/>
        </w:rPr>
        <w:t xml:space="preserve">2.每项业绩须根据技术资信评分细则的要求提供证明材料； </w:t>
      </w:r>
    </w:p>
    <w:p>
      <w:pPr>
        <w:spacing w:line="400" w:lineRule="exact"/>
        <w:rPr>
          <w:rFonts w:ascii="新宋体" w:hAnsi="新宋体" w:eastAsia="新宋体"/>
          <w:sz w:val="22"/>
          <w:szCs w:val="22"/>
        </w:rPr>
      </w:pPr>
      <w:r>
        <w:rPr>
          <w:rFonts w:hint="eastAsia" w:ascii="新宋体" w:hAnsi="新宋体" w:eastAsia="新宋体"/>
          <w:sz w:val="22"/>
          <w:szCs w:val="22"/>
        </w:rPr>
        <w:t>3.供应商不按此要求填写此项内容或未按要求提供业绩证明材料将视为无业绩，不纳入评分范围。</w:t>
      </w:r>
    </w:p>
    <w:p>
      <w:pPr>
        <w:spacing w:line="440" w:lineRule="exact"/>
        <w:ind w:firstLine="4400" w:firstLineChars="2000"/>
        <w:rPr>
          <w:rFonts w:ascii="宋体" w:hAnsi="宋体" w:cs="宋体"/>
          <w:sz w:val="22"/>
          <w:szCs w:val="22"/>
        </w:rPr>
      </w:pPr>
    </w:p>
    <w:p>
      <w:pPr>
        <w:spacing w:line="440" w:lineRule="exact"/>
        <w:ind w:firstLine="4400" w:firstLineChars="2000"/>
        <w:rPr>
          <w:rFonts w:ascii="宋体" w:hAnsi="宋体" w:cs="宋体"/>
          <w:sz w:val="22"/>
          <w:szCs w:val="22"/>
        </w:rPr>
      </w:pPr>
    </w:p>
    <w:p>
      <w:pPr>
        <w:spacing w:before="120" w:beforeLines="50" w:after="120" w:afterLines="50"/>
        <w:jc w:val="center"/>
        <w:rPr>
          <w:rFonts w:ascii="宋体" w:hAnsi="宋体" w:cs="宋体"/>
          <w:sz w:val="22"/>
          <w:szCs w:val="22"/>
        </w:rPr>
      </w:pPr>
      <w:r>
        <w:rPr>
          <w:rFonts w:hint="eastAsia" w:ascii="宋体" w:hAnsi="宋体" w:cs="宋体"/>
          <w:sz w:val="22"/>
          <w:szCs w:val="22"/>
        </w:rPr>
        <w:t xml:space="preserve">             投标人全称（盖章）：</w:t>
      </w:r>
    </w:p>
    <w:p>
      <w:pPr>
        <w:spacing w:before="120" w:beforeLines="50" w:after="120" w:afterLines="50"/>
        <w:jc w:val="center"/>
        <w:rPr>
          <w:rFonts w:ascii="宋体" w:hAnsi="宋体" w:cs="宋体"/>
          <w:sz w:val="22"/>
          <w:szCs w:val="22"/>
        </w:rPr>
      </w:pPr>
      <w:r>
        <w:rPr>
          <w:rFonts w:hint="eastAsia" w:ascii="宋体" w:hAnsi="宋体" w:cs="宋体"/>
          <w:sz w:val="22"/>
          <w:szCs w:val="22"/>
        </w:rPr>
        <w:t xml:space="preserve">                   投标人代表（签字或盖章）：</w:t>
      </w:r>
    </w:p>
    <w:p>
      <w:pPr>
        <w:spacing w:before="120" w:beforeLines="50" w:after="120" w:afterLines="50"/>
        <w:jc w:val="center"/>
        <w:rPr>
          <w:rFonts w:ascii="宋体" w:hAnsi="宋体" w:cs="宋体"/>
          <w:sz w:val="22"/>
          <w:szCs w:val="22"/>
        </w:rPr>
      </w:pPr>
      <w:r>
        <w:rPr>
          <w:rFonts w:hint="eastAsia" w:ascii="宋体" w:hAnsi="宋体" w:cs="宋体"/>
          <w:sz w:val="22"/>
          <w:szCs w:val="22"/>
        </w:rPr>
        <w:t xml:space="preserve">            日期：  年   月  日</w:t>
      </w:r>
    </w:p>
    <w:p>
      <w:pPr>
        <w:pStyle w:val="2"/>
        <w:ind w:firstLine="0" w:firstLineChars="0"/>
        <w:rPr>
          <w:rFonts w:ascii="宋体" w:hAnsi="宋体" w:cs="宋体"/>
          <w:b w:val="0"/>
          <w:bCs/>
          <w:sz w:val="22"/>
          <w:szCs w:val="22"/>
        </w:rPr>
      </w:pPr>
    </w:p>
    <w:p>
      <w:pPr>
        <w:spacing w:before="120" w:beforeLines="50" w:after="120" w:afterLines="50"/>
        <w:rPr>
          <w:rFonts w:ascii="宋体" w:hAnsi="宋体" w:cs="宋体"/>
          <w:sz w:val="22"/>
          <w:szCs w:val="22"/>
        </w:rPr>
      </w:pPr>
      <w:r>
        <w:rPr>
          <w:rFonts w:hint="eastAsia" w:ascii="宋体" w:hAnsi="宋体" w:cs="宋体"/>
          <w:sz w:val="22"/>
          <w:szCs w:val="22"/>
        </w:rPr>
        <w:t>（报价文件封面，供参考）</w:t>
      </w:r>
    </w:p>
    <w:p>
      <w:pPr>
        <w:rPr>
          <w:rFonts w:ascii="宋体" w:hAnsi="宋体" w:cs="宋体"/>
        </w:rPr>
      </w:pPr>
    </w:p>
    <w:p>
      <w:pPr>
        <w:rPr>
          <w:rFonts w:ascii="宋体" w:hAnsi="宋体" w:cs="宋体"/>
        </w:rPr>
      </w:pPr>
    </w:p>
    <w:p>
      <w:pPr>
        <w:rPr>
          <w:rFonts w:ascii="宋体" w:hAnsi="宋体" w:cs="宋体"/>
        </w:rPr>
      </w:pPr>
    </w:p>
    <w:p>
      <w:pPr>
        <w:jc w:val="center"/>
        <w:rPr>
          <w:rFonts w:ascii="宋体" w:hAnsi="宋体" w:cs="宋体"/>
          <w:sz w:val="28"/>
          <w:szCs w:val="28"/>
        </w:rPr>
      </w:pPr>
      <w:r>
        <w:rPr>
          <w:rFonts w:hint="eastAsia" w:ascii="宋体" w:hAnsi="宋体" w:cs="宋体"/>
          <w:sz w:val="28"/>
          <w:szCs w:val="28"/>
          <w:u w:val="single"/>
        </w:rPr>
        <w:t xml:space="preserve">                 （项目名称）              投</w:t>
      </w:r>
      <w:r>
        <w:rPr>
          <w:rFonts w:hint="eastAsia" w:ascii="宋体" w:hAnsi="宋体" w:cs="宋体"/>
          <w:sz w:val="28"/>
          <w:szCs w:val="28"/>
        </w:rPr>
        <w:t>标文件</w:t>
      </w:r>
    </w:p>
    <w:p>
      <w:pPr>
        <w:rPr>
          <w:rFonts w:ascii="宋体" w:hAnsi="宋体" w:cs="宋体"/>
          <w:sz w:val="28"/>
          <w:szCs w:val="28"/>
        </w:rPr>
      </w:pPr>
    </w:p>
    <w:p>
      <w:pPr>
        <w:rPr>
          <w:rFonts w:ascii="宋体" w:hAnsi="宋体" w:cs="宋体"/>
          <w:sz w:val="28"/>
          <w:szCs w:val="28"/>
        </w:rPr>
      </w:pPr>
    </w:p>
    <w:p>
      <w:pPr>
        <w:pStyle w:val="2"/>
        <w:ind w:firstLine="281"/>
        <w:rPr>
          <w:rFonts w:ascii="宋体" w:hAnsi="宋体" w:cs="宋体"/>
          <w:sz w:val="28"/>
          <w:szCs w:val="28"/>
        </w:rPr>
      </w:pPr>
    </w:p>
    <w:p>
      <w:pPr>
        <w:pStyle w:val="2"/>
        <w:ind w:firstLine="281"/>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jc w:val="center"/>
        <w:rPr>
          <w:rFonts w:ascii="宋体" w:hAnsi="宋体" w:cs="宋体"/>
          <w:sz w:val="52"/>
          <w:szCs w:val="52"/>
        </w:rPr>
      </w:pPr>
      <w:r>
        <w:rPr>
          <w:rFonts w:hint="eastAsia" w:ascii="宋体" w:hAnsi="宋体" w:cs="宋体"/>
          <w:sz w:val="52"/>
          <w:szCs w:val="52"/>
        </w:rPr>
        <w:t>报 价 文 件</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jc w:val="center"/>
        <w:rPr>
          <w:rFonts w:ascii="宋体" w:hAnsi="宋体" w:cs="宋体"/>
          <w:sz w:val="28"/>
          <w:szCs w:val="28"/>
        </w:rPr>
      </w:pPr>
      <w:r>
        <w:rPr>
          <w:rFonts w:hint="eastAsia" w:ascii="宋体" w:hAnsi="宋体" w:cs="宋体"/>
          <w:sz w:val="28"/>
          <w:szCs w:val="28"/>
        </w:rPr>
        <w:t>供应商：</w:t>
      </w:r>
      <w:r>
        <w:rPr>
          <w:rFonts w:hint="eastAsia" w:ascii="宋体" w:hAnsi="宋体" w:cs="宋体"/>
          <w:sz w:val="28"/>
          <w:szCs w:val="28"/>
          <w:u w:val="single"/>
        </w:rPr>
        <w:t xml:space="preserve">                              </w:t>
      </w:r>
      <w:r>
        <w:rPr>
          <w:rFonts w:hint="eastAsia" w:ascii="宋体" w:hAnsi="宋体" w:cs="宋体"/>
          <w:sz w:val="28"/>
          <w:szCs w:val="28"/>
        </w:rPr>
        <w:t>（盖单位章）</w:t>
      </w:r>
    </w:p>
    <w:p>
      <w:pPr>
        <w:rPr>
          <w:rFonts w:ascii="宋体" w:hAnsi="宋体" w:cs="宋体"/>
          <w:sz w:val="28"/>
          <w:szCs w:val="28"/>
          <w:u w:val="single"/>
        </w:rPr>
      </w:pPr>
    </w:p>
    <w:p>
      <w:pPr>
        <w:jc w:val="center"/>
        <w:rPr>
          <w:rFonts w:ascii="宋体" w:hAnsi="宋体" w:cs="宋体"/>
          <w:sz w:val="28"/>
          <w:szCs w:val="28"/>
        </w:rPr>
      </w:pPr>
      <w:r>
        <w:rPr>
          <w:rFonts w:hint="eastAsia" w:ascii="宋体" w:hAnsi="宋体" w:cs="宋体"/>
          <w:sz w:val="28"/>
          <w:szCs w:val="28"/>
        </w:rPr>
        <w:t>法定代表人（单位负责人）或其委托代理人：</w:t>
      </w:r>
      <w:r>
        <w:rPr>
          <w:rFonts w:hint="eastAsia" w:ascii="宋体" w:hAnsi="宋体" w:cs="宋体"/>
          <w:sz w:val="28"/>
          <w:szCs w:val="28"/>
          <w:u w:val="single"/>
        </w:rPr>
        <w:t xml:space="preserve">          </w:t>
      </w:r>
      <w:r>
        <w:rPr>
          <w:rFonts w:hint="eastAsia" w:ascii="宋体" w:hAnsi="宋体" w:cs="宋体"/>
          <w:sz w:val="28"/>
          <w:szCs w:val="28"/>
        </w:rPr>
        <w:t>（签字或盖章）</w:t>
      </w:r>
    </w:p>
    <w:p>
      <w:pPr>
        <w:rPr>
          <w:rFonts w:ascii="宋体" w:hAnsi="宋体" w:cs="宋体"/>
          <w:sz w:val="28"/>
          <w:szCs w:val="28"/>
        </w:rPr>
      </w:pPr>
    </w:p>
    <w:p>
      <w:pPr>
        <w:overflowPunct w:val="0"/>
        <w:spacing w:line="380" w:lineRule="exact"/>
        <w:ind w:firstLine="2738" w:firstLineChars="978"/>
        <w:rPr>
          <w:rFonts w:ascii="宋体" w:hAnsi="宋体" w:cs="宋体"/>
          <w:sz w:val="28"/>
          <w:szCs w:val="28"/>
        </w:rPr>
      </w:pPr>
      <w:r>
        <w:rPr>
          <w:rFonts w:hint="eastAsia" w:ascii="宋体" w:hAnsi="宋体" w:cs="宋体"/>
          <w:sz w:val="28"/>
          <w:szCs w:val="28"/>
          <w:u w:val="single"/>
        </w:rPr>
        <w:t xml:space="preserve">        </w:t>
      </w:r>
      <w:r>
        <w:rPr>
          <w:rFonts w:hint="eastAsia" w:ascii="宋体" w:hAnsi="宋体" w:cs="宋体"/>
          <w:sz w:val="28"/>
          <w:szCs w:val="28"/>
        </w:rPr>
        <w:t>年</w:t>
      </w:r>
      <w:r>
        <w:rPr>
          <w:rFonts w:hint="eastAsia" w:ascii="宋体" w:hAnsi="宋体" w:cs="宋体"/>
          <w:sz w:val="28"/>
          <w:szCs w:val="28"/>
          <w:u w:val="single"/>
        </w:rPr>
        <w:t xml:space="preserve">        </w:t>
      </w:r>
      <w:r>
        <w:rPr>
          <w:rFonts w:hint="eastAsia" w:ascii="宋体" w:hAnsi="宋体" w:cs="宋体"/>
          <w:sz w:val="28"/>
          <w:szCs w:val="28"/>
        </w:rPr>
        <w:t>月</w:t>
      </w:r>
      <w:r>
        <w:rPr>
          <w:rFonts w:hint="eastAsia" w:ascii="宋体" w:hAnsi="宋体" w:cs="宋体"/>
          <w:sz w:val="28"/>
          <w:szCs w:val="28"/>
          <w:u w:val="single"/>
        </w:rPr>
        <w:t xml:space="preserve">        </w:t>
      </w:r>
      <w:r>
        <w:rPr>
          <w:rFonts w:hint="eastAsia" w:ascii="宋体" w:hAnsi="宋体" w:cs="宋体"/>
          <w:sz w:val="28"/>
          <w:szCs w:val="28"/>
        </w:rPr>
        <w:t>日</w:t>
      </w:r>
    </w:p>
    <w:p>
      <w:pPr>
        <w:overflowPunct w:val="0"/>
        <w:spacing w:line="380" w:lineRule="exact"/>
        <w:rPr>
          <w:rFonts w:ascii="宋体" w:hAnsi="宋体" w:cs="宋体"/>
          <w:b/>
          <w:bCs/>
          <w:sz w:val="22"/>
          <w:szCs w:val="22"/>
        </w:rPr>
      </w:pPr>
      <w:r>
        <w:rPr>
          <w:rFonts w:hint="eastAsia" w:ascii="宋体" w:hAnsi="宋体" w:cs="宋体"/>
          <w:sz w:val="22"/>
          <w:szCs w:val="22"/>
        </w:rPr>
        <w:br w:type="page"/>
      </w:r>
      <w:r>
        <w:rPr>
          <w:rFonts w:hint="eastAsia" w:ascii="宋体" w:hAnsi="宋体" w:cs="宋体"/>
          <w:b/>
          <w:bCs/>
          <w:sz w:val="22"/>
          <w:szCs w:val="22"/>
        </w:rPr>
        <w:t>附件一</w:t>
      </w:r>
    </w:p>
    <w:p>
      <w:pPr>
        <w:autoSpaceDE w:val="0"/>
        <w:autoSpaceDN w:val="0"/>
        <w:adjustRightInd w:val="0"/>
        <w:spacing w:line="460" w:lineRule="atLeast"/>
        <w:jc w:val="center"/>
        <w:rPr>
          <w:rFonts w:ascii="宋体" w:hAnsi="宋体" w:cs="宋体"/>
          <w:b/>
          <w:bCs/>
          <w:kern w:val="0"/>
          <w:sz w:val="28"/>
          <w:szCs w:val="28"/>
          <w:lang w:val="zh-CN"/>
        </w:rPr>
      </w:pPr>
    </w:p>
    <w:p>
      <w:pPr>
        <w:jc w:val="center"/>
        <w:rPr>
          <w:rFonts w:ascii="宋体" w:hAnsi="宋体" w:cs="宋体"/>
          <w:b/>
          <w:sz w:val="28"/>
        </w:rPr>
      </w:pPr>
      <w:r>
        <w:rPr>
          <w:rFonts w:hint="eastAsia" w:ascii="宋体" w:hAnsi="宋体" w:cs="宋体"/>
          <w:b/>
          <w:sz w:val="28"/>
        </w:rPr>
        <w:t>开标一览表</w:t>
      </w:r>
    </w:p>
    <w:p>
      <w:pPr>
        <w:overflowPunct w:val="0"/>
        <w:spacing w:line="380" w:lineRule="exact"/>
        <w:jc w:val="center"/>
        <w:rPr>
          <w:rFonts w:ascii="宋体" w:hAnsi="宋体" w:cs="宋体"/>
          <w:b/>
          <w:bCs/>
          <w:sz w:val="28"/>
        </w:rPr>
      </w:pPr>
    </w:p>
    <w:p>
      <w:pPr>
        <w:overflowPunct w:val="0"/>
        <w:spacing w:line="380" w:lineRule="exact"/>
        <w:jc w:val="center"/>
        <w:rPr>
          <w:rFonts w:ascii="宋体" w:hAnsi="宋体" w:cs="宋体"/>
          <w:b/>
          <w:bCs/>
          <w:sz w:val="28"/>
        </w:rPr>
      </w:pPr>
    </w:p>
    <w:p>
      <w:pPr>
        <w:overflowPunct w:val="0"/>
        <w:spacing w:line="380" w:lineRule="exact"/>
        <w:rPr>
          <w:rFonts w:ascii="宋体" w:hAnsi="宋体" w:cs="宋体"/>
          <w:bCs/>
          <w:sz w:val="22"/>
          <w:szCs w:val="22"/>
        </w:rPr>
      </w:pPr>
      <w:r>
        <w:rPr>
          <w:rFonts w:hint="eastAsia" w:ascii="宋体" w:hAnsi="宋体" w:cs="宋体"/>
          <w:bCs/>
          <w:sz w:val="22"/>
          <w:szCs w:val="22"/>
        </w:rPr>
        <w:t>项目名称：                                   项目编号：</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42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1" w:hRule="atLeast"/>
        </w:trPr>
        <w:tc>
          <w:tcPr>
            <w:tcW w:w="2829" w:type="pct"/>
            <w:vAlign w:val="center"/>
          </w:tcPr>
          <w:p>
            <w:pPr>
              <w:pStyle w:val="32"/>
              <w:spacing w:line="400" w:lineRule="atLeast"/>
              <w:jc w:val="center"/>
              <w:rPr>
                <w:rFonts w:ascii="新宋体" w:hAnsi="新宋体" w:eastAsia="新宋体" w:cs="宋体"/>
                <w:sz w:val="22"/>
                <w:szCs w:val="22"/>
              </w:rPr>
            </w:pPr>
            <w:r>
              <w:rPr>
                <w:rFonts w:hint="eastAsia" w:ascii="新宋体" w:hAnsi="新宋体" w:eastAsia="新宋体" w:cs="宋体"/>
                <w:sz w:val="22"/>
                <w:szCs w:val="22"/>
              </w:rPr>
              <w:t>投标总价</w:t>
            </w:r>
          </w:p>
        </w:tc>
        <w:tc>
          <w:tcPr>
            <w:tcW w:w="2170" w:type="pct"/>
            <w:vAlign w:val="center"/>
          </w:tcPr>
          <w:p>
            <w:pPr>
              <w:pStyle w:val="32"/>
              <w:spacing w:line="400" w:lineRule="atLeast"/>
              <w:jc w:val="center"/>
              <w:rPr>
                <w:rFonts w:ascii="新宋体" w:hAnsi="新宋体" w:eastAsia="新宋体" w:cs="宋体"/>
                <w:sz w:val="22"/>
                <w:szCs w:val="22"/>
              </w:rPr>
            </w:pPr>
            <w:r>
              <w:rPr>
                <w:rFonts w:hint="eastAsia" w:ascii="新宋体" w:hAnsi="新宋体" w:eastAsia="新宋体" w:cs="宋体"/>
                <w:sz w:val="22"/>
                <w:szCs w:val="2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5" w:hRule="atLeast"/>
        </w:trPr>
        <w:tc>
          <w:tcPr>
            <w:tcW w:w="2829" w:type="pct"/>
            <w:vAlign w:val="center"/>
          </w:tcPr>
          <w:p>
            <w:pPr>
              <w:pStyle w:val="52"/>
              <w:spacing w:line="400" w:lineRule="atLeast"/>
              <w:rPr>
                <w:rFonts w:ascii="新宋体" w:hAnsi="新宋体" w:eastAsia="新宋体" w:cs="宋体"/>
                <w:color w:val="auto"/>
                <w:sz w:val="22"/>
                <w:szCs w:val="22"/>
              </w:rPr>
            </w:pPr>
            <w:r>
              <w:rPr>
                <w:rFonts w:hint="eastAsia" w:ascii="新宋体" w:hAnsi="新宋体" w:eastAsia="新宋体" w:cs="宋体"/>
                <w:color w:val="auto"/>
                <w:sz w:val="22"/>
                <w:szCs w:val="22"/>
              </w:rPr>
              <w:t>大写：</w:t>
            </w:r>
          </w:p>
          <w:p>
            <w:pPr>
              <w:pStyle w:val="52"/>
              <w:spacing w:line="400" w:lineRule="atLeast"/>
              <w:rPr>
                <w:rFonts w:ascii="新宋体" w:hAnsi="新宋体" w:eastAsia="新宋体" w:cs="宋体"/>
                <w:color w:val="auto"/>
                <w:sz w:val="22"/>
                <w:szCs w:val="22"/>
              </w:rPr>
            </w:pPr>
            <w:r>
              <w:rPr>
                <w:rFonts w:hint="eastAsia" w:ascii="新宋体" w:hAnsi="新宋体" w:eastAsia="新宋体" w:cs="宋体"/>
                <w:color w:val="auto"/>
                <w:sz w:val="22"/>
                <w:szCs w:val="22"/>
              </w:rPr>
              <w:t>小写：</w:t>
            </w:r>
          </w:p>
        </w:tc>
        <w:tc>
          <w:tcPr>
            <w:tcW w:w="2170" w:type="pct"/>
            <w:vAlign w:val="center"/>
          </w:tcPr>
          <w:p>
            <w:pPr>
              <w:pStyle w:val="52"/>
              <w:spacing w:line="400" w:lineRule="atLeast"/>
              <w:rPr>
                <w:rFonts w:ascii="新宋体" w:hAnsi="新宋体" w:eastAsia="新宋体" w:cs="宋体"/>
                <w:color w:val="auto"/>
                <w:sz w:val="22"/>
                <w:szCs w:val="22"/>
              </w:rPr>
            </w:pPr>
          </w:p>
        </w:tc>
      </w:tr>
    </w:tbl>
    <w:p>
      <w:pPr>
        <w:overflowPunct w:val="0"/>
        <w:spacing w:line="380" w:lineRule="exact"/>
        <w:rPr>
          <w:rFonts w:ascii="宋体" w:hAnsi="宋体" w:cs="宋体"/>
          <w:bCs/>
          <w:sz w:val="22"/>
          <w:szCs w:val="22"/>
        </w:rPr>
      </w:pPr>
    </w:p>
    <w:p>
      <w:pPr>
        <w:spacing w:before="120" w:beforeLines="50" w:line="380" w:lineRule="exact"/>
        <w:rPr>
          <w:rFonts w:ascii="宋体" w:hAnsi="宋体" w:cs="宋体"/>
          <w:b/>
          <w:bCs/>
          <w:sz w:val="22"/>
          <w:szCs w:val="22"/>
        </w:rPr>
      </w:pPr>
      <w:r>
        <w:rPr>
          <w:rFonts w:hint="eastAsia" w:ascii="宋体" w:hAnsi="宋体" w:cs="宋体"/>
          <w:b/>
          <w:bCs/>
          <w:sz w:val="22"/>
          <w:szCs w:val="22"/>
        </w:rPr>
        <w:t>说明：</w:t>
      </w:r>
    </w:p>
    <w:p>
      <w:pPr>
        <w:ind w:left="445" w:leftChars="212"/>
        <w:jc w:val="left"/>
        <w:rPr>
          <w:rFonts w:ascii="宋体" w:hAnsi="宋体" w:cs="宋体"/>
          <w:b/>
          <w:bCs/>
          <w:sz w:val="22"/>
          <w:szCs w:val="22"/>
        </w:rPr>
      </w:pPr>
      <w:r>
        <w:rPr>
          <w:rFonts w:hint="eastAsia" w:ascii="宋体" w:hAnsi="宋体" w:cs="宋体"/>
          <w:sz w:val="22"/>
          <w:u w:val="single"/>
        </w:rPr>
        <w:t>▲</w:t>
      </w:r>
      <w:r>
        <w:rPr>
          <w:rFonts w:hint="eastAsia" w:ascii="宋体" w:hAnsi="宋体" w:cs="宋体"/>
          <w:b/>
          <w:bCs/>
          <w:sz w:val="22"/>
          <w:u w:val="single"/>
        </w:rPr>
        <w:t>不提供</w:t>
      </w:r>
      <w:r>
        <w:rPr>
          <w:rFonts w:hint="eastAsia" w:ascii="宋体" w:hAnsi="宋体" w:cs="宋体"/>
          <w:b/>
          <w:bCs/>
          <w:sz w:val="22"/>
          <w:szCs w:val="22"/>
          <w:u w:val="single"/>
        </w:rPr>
        <w:t>此表格将被视为没有实质性响应采购文件,其投标文件将被拒绝。</w:t>
      </w:r>
    </w:p>
    <w:p>
      <w:pPr>
        <w:spacing w:line="380" w:lineRule="exact"/>
        <w:rPr>
          <w:rFonts w:ascii="宋体" w:hAnsi="宋体" w:cs="宋体"/>
          <w:sz w:val="22"/>
          <w:szCs w:val="22"/>
        </w:rPr>
      </w:pPr>
    </w:p>
    <w:p>
      <w:pPr>
        <w:spacing w:line="380" w:lineRule="exact"/>
        <w:rPr>
          <w:rFonts w:ascii="宋体" w:hAnsi="宋体" w:cs="宋体"/>
          <w:sz w:val="22"/>
          <w:szCs w:val="22"/>
        </w:rPr>
      </w:pPr>
    </w:p>
    <w:p>
      <w:pPr>
        <w:spacing w:line="380" w:lineRule="exact"/>
        <w:rPr>
          <w:rFonts w:ascii="宋体" w:hAnsi="宋体" w:cs="宋体"/>
          <w:sz w:val="22"/>
          <w:szCs w:val="22"/>
        </w:rPr>
      </w:pPr>
      <w:r>
        <w:rPr>
          <w:rFonts w:hint="eastAsia" w:ascii="宋体" w:hAnsi="宋体" w:cs="宋体"/>
          <w:sz w:val="22"/>
          <w:szCs w:val="22"/>
        </w:rPr>
        <w:t>投标供应商全称（盖章）：</w:t>
      </w:r>
    </w:p>
    <w:p>
      <w:pPr>
        <w:spacing w:line="380" w:lineRule="exact"/>
        <w:rPr>
          <w:rFonts w:ascii="宋体" w:hAnsi="宋体" w:cs="宋体"/>
          <w:sz w:val="22"/>
          <w:szCs w:val="22"/>
        </w:rPr>
      </w:pPr>
      <w:r>
        <w:rPr>
          <w:rFonts w:hint="eastAsia" w:ascii="宋体" w:hAnsi="宋体" w:cs="宋体"/>
          <w:sz w:val="22"/>
          <w:szCs w:val="22"/>
        </w:rPr>
        <w:t>授权代表（签字）：</w:t>
      </w:r>
    </w:p>
    <w:p>
      <w:pPr>
        <w:spacing w:line="380" w:lineRule="exact"/>
        <w:rPr>
          <w:rFonts w:ascii="宋体" w:hAnsi="宋体" w:cs="宋体"/>
          <w:sz w:val="22"/>
          <w:szCs w:val="22"/>
        </w:rPr>
      </w:pPr>
      <w:r>
        <w:rPr>
          <w:rFonts w:hint="eastAsia" w:ascii="宋体" w:hAnsi="宋体" w:cs="宋体"/>
          <w:sz w:val="22"/>
          <w:szCs w:val="22"/>
        </w:rPr>
        <w:t>日 期：  年  月  日</w:t>
      </w:r>
    </w:p>
    <w:p>
      <w:pPr>
        <w:spacing w:line="380" w:lineRule="exact"/>
        <w:ind w:left="11" w:hanging="11" w:hangingChars="5"/>
        <w:rPr>
          <w:rFonts w:ascii="宋体" w:hAnsi="宋体" w:cs="宋体"/>
          <w:b/>
          <w:sz w:val="22"/>
        </w:rPr>
      </w:pPr>
    </w:p>
    <w:p>
      <w:pPr>
        <w:overflowPunct w:val="0"/>
        <w:spacing w:line="460" w:lineRule="exact"/>
        <w:rPr>
          <w:rFonts w:ascii="宋体" w:hAnsi="宋体" w:cs="宋体"/>
          <w:sz w:val="22"/>
          <w:szCs w:val="22"/>
        </w:rPr>
      </w:pPr>
    </w:p>
    <w:p>
      <w:pPr>
        <w:jc w:val="center"/>
        <w:rPr>
          <w:rFonts w:ascii="宋体" w:hAnsi="宋体" w:cs="宋体"/>
          <w:b/>
          <w:bCs/>
          <w:sz w:val="28"/>
          <w:szCs w:val="28"/>
        </w:rPr>
      </w:pPr>
      <w:r>
        <w:rPr>
          <w:rFonts w:hint="eastAsia" w:ascii="宋体" w:hAnsi="宋体" w:cs="宋体"/>
          <w:sz w:val="22"/>
          <w:szCs w:val="22"/>
        </w:rPr>
        <w:br w:type="page"/>
      </w:r>
      <w:r>
        <w:rPr>
          <w:rFonts w:hint="eastAsia" w:ascii="宋体" w:hAnsi="宋体" w:cs="宋体"/>
          <w:b/>
          <w:bCs/>
          <w:sz w:val="28"/>
          <w:szCs w:val="28"/>
        </w:rPr>
        <w:t>投标分项报价表</w:t>
      </w:r>
    </w:p>
    <w:p>
      <w:pPr>
        <w:spacing w:line="380" w:lineRule="exact"/>
        <w:rPr>
          <w:rFonts w:ascii="宋体" w:hAnsi="宋体" w:cs="宋体"/>
          <w:b/>
          <w:sz w:val="22"/>
        </w:rPr>
      </w:pPr>
    </w:p>
    <w:p>
      <w:pPr>
        <w:spacing w:line="380" w:lineRule="exact"/>
        <w:rPr>
          <w:rFonts w:ascii="宋体" w:hAnsi="宋体" w:cs="宋体"/>
          <w:b/>
          <w:sz w:val="22"/>
        </w:rPr>
      </w:pPr>
      <w:r>
        <w:rPr>
          <w:rFonts w:hint="eastAsia" w:ascii="宋体" w:hAnsi="宋体" w:cs="宋体"/>
          <w:b/>
          <w:sz w:val="22"/>
        </w:rPr>
        <w:t xml:space="preserve">项目名称： </w:t>
      </w:r>
      <w:r>
        <w:rPr>
          <w:rFonts w:hint="eastAsia" w:ascii="宋体" w:hAnsi="宋体" w:cs="宋体"/>
          <w:sz w:val="22"/>
        </w:rPr>
        <w:t xml:space="preserve">       </w:t>
      </w:r>
      <w:r>
        <w:rPr>
          <w:rFonts w:hint="eastAsia" w:ascii="宋体" w:hAnsi="宋体" w:cs="宋体"/>
          <w:b/>
          <w:sz w:val="22"/>
        </w:rPr>
        <w:t xml:space="preserve">                             项目编号：</w:t>
      </w:r>
    </w:p>
    <w:p>
      <w:pPr>
        <w:spacing w:line="380" w:lineRule="exact"/>
        <w:rPr>
          <w:rFonts w:ascii="宋体" w:hAnsi="宋体" w:cs="宋体"/>
          <w:b/>
          <w:sz w:val="22"/>
        </w:rPr>
      </w:pPr>
      <w:r>
        <w:rPr>
          <w:rFonts w:hint="eastAsia" w:ascii="宋体" w:hAnsi="宋体" w:cs="宋体"/>
          <w:b/>
          <w:sz w:val="22"/>
        </w:rPr>
        <w:t>价格单位：元</w:t>
      </w:r>
    </w:p>
    <w:tbl>
      <w:tblPr>
        <w:tblStyle w:val="56"/>
        <w:tblW w:w="0" w:type="auto"/>
        <w:tblInd w:w="0" w:type="dxa"/>
        <w:tblLayout w:type="fixed"/>
        <w:tblCellMar>
          <w:top w:w="0" w:type="dxa"/>
          <w:left w:w="108" w:type="dxa"/>
          <w:bottom w:w="0" w:type="dxa"/>
          <w:right w:w="108" w:type="dxa"/>
        </w:tblCellMar>
      </w:tblPr>
      <w:tblGrid>
        <w:gridCol w:w="437"/>
        <w:gridCol w:w="3254"/>
        <w:gridCol w:w="1040"/>
        <w:gridCol w:w="603"/>
        <w:gridCol w:w="893"/>
        <w:gridCol w:w="1247"/>
        <w:gridCol w:w="1180"/>
        <w:gridCol w:w="1198"/>
      </w:tblGrid>
      <w:tr>
        <w:tblPrEx>
          <w:tblCellMar>
            <w:top w:w="0" w:type="dxa"/>
            <w:left w:w="108" w:type="dxa"/>
            <w:bottom w:w="0" w:type="dxa"/>
            <w:right w:w="108" w:type="dxa"/>
          </w:tblCellMar>
        </w:tblPrEx>
        <w:trPr>
          <w:trHeight w:val="732" w:hRule="exact"/>
        </w:trPr>
        <w:tc>
          <w:tcPr>
            <w:tcW w:w="437" w:type="dxa"/>
            <w:tcBorders>
              <w:top w:val="single" w:color="000000" w:sz="1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序号</w:t>
            </w:r>
          </w:p>
        </w:tc>
        <w:tc>
          <w:tcPr>
            <w:tcW w:w="3254"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项目内容</w:t>
            </w:r>
          </w:p>
        </w:tc>
        <w:tc>
          <w:tcPr>
            <w:tcW w:w="1040"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型号和规格</w:t>
            </w:r>
          </w:p>
        </w:tc>
        <w:tc>
          <w:tcPr>
            <w:tcW w:w="603"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数量</w:t>
            </w:r>
          </w:p>
        </w:tc>
        <w:tc>
          <w:tcPr>
            <w:tcW w:w="893"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产地</w:t>
            </w:r>
          </w:p>
        </w:tc>
        <w:tc>
          <w:tcPr>
            <w:tcW w:w="1247"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制造厂商名称</w:t>
            </w:r>
          </w:p>
        </w:tc>
        <w:tc>
          <w:tcPr>
            <w:tcW w:w="1180" w:type="dxa"/>
            <w:tcBorders>
              <w:top w:val="single" w:color="000000" w:sz="12" w:space="0"/>
              <w:left w:val="single" w:color="000000" w:sz="2" w:space="0"/>
              <w:bottom w:val="single" w:color="000000" w:sz="2" w:space="0"/>
              <w:right w:val="single" w:color="000000" w:sz="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单价（元）</w:t>
            </w:r>
          </w:p>
        </w:tc>
        <w:tc>
          <w:tcPr>
            <w:tcW w:w="1198" w:type="dxa"/>
            <w:tcBorders>
              <w:top w:val="single" w:color="000000" w:sz="1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b/>
                <w:kern w:val="1"/>
                <w:sz w:val="22"/>
                <w:szCs w:val="22"/>
              </w:rPr>
            </w:pPr>
            <w:r>
              <w:rPr>
                <w:rFonts w:hint="eastAsia" w:ascii="新宋体" w:hAnsi="新宋体" w:eastAsia="新宋体" w:cs="新宋体"/>
                <w:b/>
                <w:kern w:val="1"/>
                <w:sz w:val="22"/>
                <w:szCs w:val="22"/>
              </w:rPr>
              <w:t>合价（元）</w:t>
            </w:r>
          </w:p>
        </w:tc>
      </w:tr>
      <w:tr>
        <w:tblPrEx>
          <w:tblCellMar>
            <w:top w:w="0" w:type="dxa"/>
            <w:left w:w="108" w:type="dxa"/>
            <w:bottom w:w="0" w:type="dxa"/>
            <w:right w:w="108" w:type="dxa"/>
          </w:tblCellMar>
        </w:tblPrEx>
        <w:trPr>
          <w:trHeight w:val="755"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1</w:t>
            </w:r>
          </w:p>
        </w:tc>
        <w:tc>
          <w:tcPr>
            <w:tcW w:w="3254" w:type="dxa"/>
            <w:tcBorders>
              <w:top w:val="single" w:color="000000" w:sz="2" w:space="0"/>
              <w:left w:val="single" w:color="000000" w:sz="2" w:space="0"/>
              <w:bottom w:val="single" w:color="auto" w:sz="4"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产品和标准附件 (含税)（按所投标段采购内容清单逐项列出）</w:t>
            </w:r>
          </w:p>
        </w:tc>
        <w:tc>
          <w:tcPr>
            <w:tcW w:w="1040" w:type="dxa"/>
            <w:tcBorders>
              <w:top w:val="single" w:color="000000" w:sz="2" w:space="0"/>
              <w:left w:val="single" w:color="000000" w:sz="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p>
        </w:tc>
        <w:tc>
          <w:tcPr>
            <w:tcW w:w="603" w:type="dxa"/>
            <w:tcBorders>
              <w:top w:val="single" w:color="000000" w:sz="2" w:space="0"/>
              <w:left w:val="single" w:color="000000" w:sz="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p>
        </w:tc>
        <w:tc>
          <w:tcPr>
            <w:tcW w:w="893" w:type="dxa"/>
            <w:tcBorders>
              <w:top w:val="single" w:color="000000" w:sz="2" w:space="0"/>
              <w:left w:val="single" w:color="000000" w:sz="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p>
        </w:tc>
        <w:tc>
          <w:tcPr>
            <w:tcW w:w="1247" w:type="dxa"/>
            <w:tcBorders>
              <w:top w:val="single" w:color="000000" w:sz="2" w:space="0"/>
              <w:left w:val="single" w:color="000000" w:sz="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p>
        </w:tc>
        <w:tc>
          <w:tcPr>
            <w:tcW w:w="1180" w:type="dxa"/>
            <w:tcBorders>
              <w:top w:val="single" w:color="000000" w:sz="2" w:space="0"/>
              <w:left w:val="single" w:color="000000" w:sz="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p>
        </w:tc>
        <w:tc>
          <w:tcPr>
            <w:tcW w:w="1198" w:type="dxa"/>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817"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2</w:t>
            </w:r>
          </w:p>
        </w:tc>
        <w:tc>
          <w:tcPr>
            <w:tcW w:w="3254" w:type="dxa"/>
            <w:tcBorders>
              <w:top w:val="single" w:color="auto" w:sz="4"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随机备品备件、耗材、专用工具（如有）</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790"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3</w:t>
            </w:r>
          </w:p>
        </w:tc>
        <w:tc>
          <w:tcPr>
            <w:tcW w:w="3254" w:type="dxa"/>
            <w:tcBorders>
              <w:top w:val="single" w:color="000000" w:sz="2"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安装、调试、检验费（含第三方检验费）</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611"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4</w:t>
            </w:r>
          </w:p>
        </w:tc>
        <w:tc>
          <w:tcPr>
            <w:tcW w:w="3254" w:type="dxa"/>
            <w:tcBorders>
              <w:top w:val="single" w:color="000000" w:sz="2"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人员培训费</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611"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5</w:t>
            </w:r>
          </w:p>
        </w:tc>
        <w:tc>
          <w:tcPr>
            <w:tcW w:w="3254" w:type="dxa"/>
            <w:tcBorders>
              <w:top w:val="single" w:color="000000" w:sz="2"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技术服务费（如有）</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611"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6</w:t>
            </w:r>
          </w:p>
        </w:tc>
        <w:tc>
          <w:tcPr>
            <w:tcW w:w="3254" w:type="dxa"/>
            <w:tcBorders>
              <w:top w:val="single" w:color="000000" w:sz="2"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至最终目的地的运费、保险费</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611" w:hRule="exact"/>
        </w:trPr>
        <w:tc>
          <w:tcPr>
            <w:tcW w:w="437" w:type="dxa"/>
            <w:tcBorders>
              <w:top w:val="single" w:color="000000" w:sz="2" w:space="0"/>
              <w:left w:val="single" w:color="000000" w:sz="12" w:space="0"/>
              <w:bottom w:val="single" w:color="000000" w:sz="2" w:space="0"/>
              <w:right w:val="single" w:color="000000" w:sz="2" w:space="0"/>
            </w:tcBorders>
            <w:vAlign w:val="center"/>
          </w:tcPr>
          <w:p>
            <w:pPr>
              <w:jc w:val="center"/>
              <w:rPr>
                <w:rFonts w:ascii="新宋体" w:hAnsi="新宋体" w:eastAsia="新宋体" w:cs="新宋体"/>
                <w:kern w:val="1"/>
                <w:sz w:val="22"/>
                <w:szCs w:val="22"/>
              </w:rPr>
            </w:pPr>
            <w:r>
              <w:rPr>
                <w:rFonts w:hint="eastAsia" w:ascii="新宋体" w:hAnsi="新宋体" w:eastAsia="新宋体" w:cs="新宋体"/>
                <w:kern w:val="1"/>
                <w:sz w:val="22"/>
                <w:szCs w:val="22"/>
              </w:rPr>
              <w:t>7</w:t>
            </w:r>
          </w:p>
        </w:tc>
        <w:tc>
          <w:tcPr>
            <w:tcW w:w="3254" w:type="dxa"/>
            <w:tcBorders>
              <w:top w:val="single" w:color="000000" w:sz="2" w:space="0"/>
              <w:left w:val="single" w:color="000000" w:sz="2" w:space="0"/>
              <w:bottom w:val="single" w:color="000000" w:sz="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其它</w:t>
            </w:r>
          </w:p>
        </w:tc>
        <w:tc>
          <w:tcPr>
            <w:tcW w:w="6161" w:type="dxa"/>
            <w:gridSpan w:val="6"/>
            <w:tcBorders>
              <w:top w:val="single" w:color="000000" w:sz="2" w:space="0"/>
              <w:left w:val="single" w:color="000000" w:sz="2" w:space="0"/>
              <w:bottom w:val="single" w:color="000000" w:sz="2" w:space="0"/>
              <w:right w:val="single" w:color="000000" w:sz="12" w:space="0"/>
            </w:tcBorders>
            <w:vAlign w:val="center"/>
          </w:tcPr>
          <w:p>
            <w:pPr>
              <w:jc w:val="center"/>
              <w:rPr>
                <w:rFonts w:ascii="新宋体" w:hAnsi="新宋体" w:eastAsia="新宋体" w:cs="新宋体"/>
                <w:kern w:val="1"/>
                <w:sz w:val="22"/>
                <w:szCs w:val="22"/>
              </w:rPr>
            </w:pPr>
          </w:p>
        </w:tc>
      </w:tr>
      <w:tr>
        <w:tblPrEx>
          <w:tblCellMar>
            <w:top w:w="0" w:type="dxa"/>
            <w:left w:w="108" w:type="dxa"/>
            <w:bottom w:w="0" w:type="dxa"/>
            <w:right w:w="108" w:type="dxa"/>
          </w:tblCellMar>
        </w:tblPrEx>
        <w:trPr>
          <w:trHeight w:val="611" w:hRule="exact"/>
        </w:trPr>
        <w:tc>
          <w:tcPr>
            <w:tcW w:w="3691" w:type="dxa"/>
            <w:gridSpan w:val="2"/>
            <w:tcBorders>
              <w:top w:val="single" w:color="000000" w:sz="2" w:space="0"/>
              <w:left w:val="single" w:color="000000" w:sz="12" w:space="0"/>
              <w:bottom w:val="single" w:color="000000" w:sz="12" w:space="0"/>
              <w:right w:val="single" w:color="000000" w:sz="2" w:space="0"/>
            </w:tcBorders>
            <w:vAlign w:val="center"/>
          </w:tcPr>
          <w:p>
            <w:pPr>
              <w:rPr>
                <w:rFonts w:ascii="新宋体" w:hAnsi="新宋体" w:eastAsia="新宋体" w:cs="新宋体"/>
                <w:kern w:val="1"/>
                <w:sz w:val="22"/>
                <w:szCs w:val="22"/>
              </w:rPr>
            </w:pPr>
            <w:r>
              <w:rPr>
                <w:rFonts w:hint="eastAsia" w:ascii="新宋体" w:hAnsi="新宋体" w:eastAsia="新宋体" w:cs="新宋体"/>
                <w:kern w:val="1"/>
                <w:sz w:val="22"/>
                <w:szCs w:val="22"/>
              </w:rPr>
              <w:t>总    计   价（元）</w:t>
            </w:r>
          </w:p>
        </w:tc>
        <w:tc>
          <w:tcPr>
            <w:tcW w:w="6161" w:type="dxa"/>
            <w:gridSpan w:val="6"/>
            <w:tcBorders>
              <w:top w:val="single" w:color="000000" w:sz="2" w:space="0"/>
              <w:left w:val="single" w:color="000000" w:sz="2" w:space="0"/>
              <w:bottom w:val="single" w:color="000000" w:sz="12" w:space="0"/>
              <w:right w:val="single" w:color="000000" w:sz="12" w:space="0"/>
            </w:tcBorders>
            <w:vAlign w:val="center"/>
          </w:tcPr>
          <w:p>
            <w:pPr>
              <w:jc w:val="center"/>
              <w:rPr>
                <w:rFonts w:ascii="新宋体" w:hAnsi="新宋体" w:eastAsia="新宋体" w:cs="新宋体"/>
                <w:kern w:val="1"/>
                <w:sz w:val="22"/>
                <w:szCs w:val="22"/>
              </w:rPr>
            </w:pPr>
          </w:p>
        </w:tc>
      </w:tr>
    </w:tbl>
    <w:p>
      <w:pPr>
        <w:spacing w:line="380" w:lineRule="exact"/>
        <w:rPr>
          <w:rFonts w:ascii="宋体" w:hAnsi="宋体" w:cs="宋体"/>
          <w:sz w:val="22"/>
          <w:szCs w:val="22"/>
        </w:rPr>
      </w:pPr>
      <w:r>
        <w:rPr>
          <w:rFonts w:hint="eastAsia" w:ascii="宋体" w:hAnsi="宋体" w:cs="宋体"/>
          <w:sz w:val="22"/>
          <w:szCs w:val="22"/>
        </w:rPr>
        <w:t>说明：</w:t>
      </w:r>
    </w:p>
    <w:p>
      <w:pPr>
        <w:autoSpaceDE w:val="0"/>
        <w:autoSpaceDN w:val="0"/>
        <w:adjustRightInd w:val="0"/>
        <w:spacing w:line="380" w:lineRule="atLeast"/>
        <w:ind w:left="-202" w:right="-202" w:firstLine="552"/>
        <w:rPr>
          <w:rFonts w:ascii="宋体" w:hAnsi="宋体" w:cs="宋体"/>
          <w:b/>
          <w:bCs/>
          <w:kern w:val="0"/>
          <w:szCs w:val="22"/>
          <w:lang w:val="zh-CN"/>
        </w:rPr>
      </w:pPr>
      <w:r>
        <w:rPr>
          <w:rFonts w:hint="eastAsia" w:ascii="宋体" w:hAnsi="宋体" w:cs="宋体"/>
          <w:b/>
          <w:bCs/>
          <w:kern w:val="0"/>
          <w:szCs w:val="22"/>
          <w:lang w:val="zh-CN"/>
        </w:rPr>
        <w:t>1. 总计价应与附件一“开标一览表”中投标总价相一致。</w:t>
      </w:r>
    </w:p>
    <w:p>
      <w:pPr>
        <w:autoSpaceDE w:val="0"/>
        <w:autoSpaceDN w:val="0"/>
        <w:adjustRightInd w:val="0"/>
        <w:spacing w:line="380" w:lineRule="atLeast"/>
        <w:ind w:left="-202" w:right="-202" w:firstLine="552"/>
        <w:rPr>
          <w:rFonts w:ascii="宋体" w:hAnsi="宋体" w:cs="宋体"/>
          <w:b/>
          <w:bCs/>
          <w:kern w:val="0"/>
          <w:szCs w:val="22"/>
          <w:lang w:val="zh-CN"/>
        </w:rPr>
      </w:pPr>
      <w:r>
        <w:rPr>
          <w:rFonts w:hint="eastAsia" w:ascii="宋体" w:hAnsi="宋体" w:cs="宋体"/>
          <w:b/>
          <w:bCs/>
          <w:kern w:val="0"/>
          <w:szCs w:val="22"/>
          <w:lang w:val="zh-CN"/>
        </w:rPr>
        <w:t>2. 各项费用如已包含在总计价中请注明“含”，若免费请注明“免”, 若没有请注明“无”。</w:t>
      </w:r>
    </w:p>
    <w:p>
      <w:pPr>
        <w:autoSpaceDE w:val="0"/>
        <w:autoSpaceDN w:val="0"/>
        <w:adjustRightInd w:val="0"/>
        <w:spacing w:line="380" w:lineRule="atLeast"/>
        <w:ind w:left="-202" w:right="-202" w:firstLine="552"/>
        <w:rPr>
          <w:rFonts w:ascii="宋体" w:hAnsi="宋体" w:cs="宋体"/>
          <w:b/>
          <w:bCs/>
          <w:kern w:val="0"/>
          <w:szCs w:val="22"/>
          <w:lang w:val="zh-CN"/>
        </w:rPr>
      </w:pPr>
      <w:r>
        <w:rPr>
          <w:rFonts w:hint="eastAsia" w:ascii="宋体" w:hAnsi="宋体" w:cs="宋体"/>
          <w:b/>
          <w:bCs/>
          <w:kern w:val="0"/>
          <w:szCs w:val="22"/>
          <w:lang w:val="zh-CN"/>
        </w:rPr>
        <w:t xml:space="preserve">3. 不提供投标分项报价表的投标文件将被视为未实质性响应采购文件。 </w:t>
      </w:r>
    </w:p>
    <w:p>
      <w:pPr>
        <w:autoSpaceDE w:val="0"/>
        <w:autoSpaceDN w:val="0"/>
        <w:adjustRightInd w:val="0"/>
        <w:spacing w:line="380" w:lineRule="atLeast"/>
        <w:ind w:left="-202" w:right="-202" w:firstLine="552"/>
        <w:rPr>
          <w:rFonts w:ascii="宋体" w:hAnsi="宋体" w:cs="宋体"/>
        </w:rPr>
      </w:pPr>
      <w:r>
        <w:rPr>
          <w:rFonts w:hint="eastAsia" w:ascii="宋体" w:hAnsi="宋体" w:cs="宋体"/>
          <w:b/>
          <w:bCs/>
          <w:kern w:val="0"/>
          <w:szCs w:val="22"/>
          <w:lang w:val="zh-CN"/>
        </w:rPr>
        <w:t>4. 本表可在不改变格式的情况下根据具体需要自行增减</w:t>
      </w:r>
      <w:r>
        <w:rPr>
          <w:rFonts w:hint="eastAsia" w:ascii="宋体" w:hAnsi="宋体" w:cs="宋体"/>
          <w:sz w:val="22"/>
          <w:szCs w:val="22"/>
        </w:rPr>
        <w:t>。</w:t>
      </w:r>
    </w:p>
    <w:p>
      <w:pPr>
        <w:spacing w:line="380" w:lineRule="exact"/>
        <w:rPr>
          <w:rFonts w:ascii="宋体" w:hAnsi="宋体" w:cs="宋体"/>
          <w:sz w:val="22"/>
          <w:szCs w:val="22"/>
        </w:rPr>
      </w:pPr>
    </w:p>
    <w:p>
      <w:pPr>
        <w:spacing w:line="380" w:lineRule="exact"/>
        <w:ind w:firstLine="4400" w:firstLineChars="2000"/>
        <w:rPr>
          <w:rFonts w:ascii="宋体" w:hAnsi="宋体" w:cs="宋体"/>
          <w:sz w:val="22"/>
        </w:rPr>
      </w:pPr>
    </w:p>
    <w:p>
      <w:pPr>
        <w:spacing w:line="380" w:lineRule="exact"/>
        <w:rPr>
          <w:rFonts w:ascii="宋体" w:hAnsi="宋体" w:cs="宋体"/>
          <w:sz w:val="22"/>
          <w:szCs w:val="22"/>
        </w:rPr>
      </w:pPr>
      <w:r>
        <w:rPr>
          <w:rFonts w:hint="eastAsia" w:ascii="宋体" w:hAnsi="宋体" w:cs="宋体"/>
          <w:sz w:val="22"/>
          <w:szCs w:val="22"/>
        </w:rPr>
        <w:t>投标人全称（盖章）：</w:t>
      </w:r>
    </w:p>
    <w:p>
      <w:pPr>
        <w:spacing w:line="380" w:lineRule="exact"/>
        <w:rPr>
          <w:rFonts w:ascii="宋体" w:hAnsi="宋体" w:cs="宋体"/>
          <w:sz w:val="22"/>
          <w:szCs w:val="22"/>
        </w:rPr>
      </w:pPr>
    </w:p>
    <w:p>
      <w:pPr>
        <w:spacing w:line="380" w:lineRule="exact"/>
        <w:rPr>
          <w:rFonts w:ascii="宋体" w:hAnsi="宋体" w:cs="宋体"/>
          <w:sz w:val="22"/>
          <w:szCs w:val="22"/>
        </w:rPr>
      </w:pPr>
      <w:r>
        <w:rPr>
          <w:rFonts w:hint="eastAsia" w:ascii="宋体" w:hAnsi="宋体" w:cs="宋体"/>
          <w:sz w:val="22"/>
          <w:szCs w:val="22"/>
        </w:rPr>
        <w:t>投标人代表（签字或盖章）：</w:t>
      </w:r>
    </w:p>
    <w:p>
      <w:pPr>
        <w:spacing w:line="380" w:lineRule="exact"/>
        <w:rPr>
          <w:rFonts w:ascii="宋体" w:hAnsi="宋体" w:cs="宋体"/>
          <w:sz w:val="22"/>
          <w:szCs w:val="22"/>
        </w:rPr>
      </w:pPr>
    </w:p>
    <w:p>
      <w:pPr>
        <w:spacing w:before="120" w:beforeLines="50" w:after="120" w:afterLines="50"/>
        <w:rPr>
          <w:rFonts w:ascii="宋体" w:hAnsi="宋体" w:cs="宋体"/>
          <w:sz w:val="22"/>
          <w:szCs w:val="22"/>
        </w:rPr>
      </w:pPr>
      <w:r>
        <w:rPr>
          <w:rFonts w:hint="eastAsia" w:ascii="宋体" w:hAnsi="宋体" w:cs="宋体"/>
          <w:sz w:val="22"/>
          <w:szCs w:val="22"/>
        </w:rPr>
        <w:t>日 期：  年  月  日</w:t>
      </w:r>
    </w:p>
    <w:p>
      <w:pPr>
        <w:autoSpaceDE w:val="0"/>
        <w:autoSpaceDN w:val="0"/>
        <w:adjustRightInd w:val="0"/>
        <w:spacing w:line="380" w:lineRule="atLeast"/>
        <w:jc w:val="center"/>
        <w:rPr>
          <w:rFonts w:ascii="宋体" w:hAnsi="宋体" w:cs="宋体"/>
          <w:b/>
          <w:kern w:val="0"/>
          <w:sz w:val="30"/>
          <w:szCs w:val="30"/>
          <w:lang w:val="zh-CN"/>
        </w:rPr>
      </w:pPr>
      <w:bookmarkStart w:id="100" w:name="_Toc15843"/>
      <w:bookmarkStart w:id="101" w:name="_Toc58406693"/>
    </w:p>
    <w:p>
      <w:pPr>
        <w:autoSpaceDE w:val="0"/>
        <w:autoSpaceDN w:val="0"/>
        <w:adjustRightInd w:val="0"/>
        <w:spacing w:line="380" w:lineRule="atLeast"/>
        <w:jc w:val="center"/>
        <w:rPr>
          <w:rFonts w:ascii="宋体" w:hAnsi="宋体" w:cs="宋体"/>
          <w:b/>
          <w:kern w:val="0"/>
          <w:sz w:val="30"/>
          <w:szCs w:val="30"/>
          <w:lang w:val="zh-CN"/>
        </w:rPr>
      </w:pPr>
    </w:p>
    <w:p>
      <w:pPr>
        <w:autoSpaceDE w:val="0"/>
        <w:autoSpaceDN w:val="0"/>
        <w:adjustRightInd w:val="0"/>
        <w:spacing w:line="380" w:lineRule="atLeast"/>
        <w:jc w:val="center"/>
        <w:rPr>
          <w:rFonts w:ascii="宋体" w:hAnsi="宋体" w:cs="宋体"/>
          <w:b/>
          <w:kern w:val="0"/>
          <w:sz w:val="30"/>
          <w:szCs w:val="30"/>
          <w:lang w:val="zh-CN"/>
        </w:rPr>
      </w:pPr>
    </w:p>
    <w:p>
      <w:pPr>
        <w:rPr>
          <w:rFonts w:ascii="宋体" w:hAnsi="宋体" w:cs="宋体"/>
          <w:sz w:val="36"/>
          <w:szCs w:val="36"/>
        </w:rPr>
      </w:pPr>
      <w:r>
        <w:rPr>
          <w:rFonts w:hint="eastAsia" w:ascii="宋体" w:hAnsi="宋体" w:cs="宋体"/>
          <w:sz w:val="36"/>
          <w:szCs w:val="36"/>
        </w:rPr>
        <w:br w:type="page"/>
      </w:r>
    </w:p>
    <w:p>
      <w:pPr>
        <w:pStyle w:val="6"/>
        <w:rPr>
          <w:rFonts w:ascii="宋体" w:hAnsi="宋体" w:eastAsia="宋体" w:cs="宋体"/>
          <w:sz w:val="36"/>
          <w:szCs w:val="36"/>
        </w:rPr>
      </w:pPr>
      <w:r>
        <w:rPr>
          <w:rFonts w:hint="eastAsia" w:ascii="宋体" w:hAnsi="宋体" w:eastAsia="宋体" w:cs="宋体"/>
          <w:sz w:val="36"/>
          <w:szCs w:val="36"/>
        </w:rPr>
        <w:t>第五部分   采购内容及要求</w:t>
      </w:r>
      <w:bookmarkEnd w:id="100"/>
      <w:bookmarkEnd w:id="101"/>
    </w:p>
    <w:p>
      <w:pPr>
        <w:spacing w:line="360" w:lineRule="auto"/>
        <w:jc w:val="left"/>
        <w:rPr>
          <w:rFonts w:ascii="宋体" w:hAnsi="宋体" w:cs="宋体"/>
          <w:shd w:val="clear" w:color="auto" w:fill="FFFFFF"/>
        </w:rPr>
      </w:pPr>
      <w:bookmarkStart w:id="102" w:name="_Toc422225262"/>
      <w:bookmarkStart w:id="103" w:name="_Toc262105510"/>
      <w:bookmarkStart w:id="104" w:name="_Toc249758721"/>
      <w:bookmarkStart w:id="105" w:name="_Toc249758871"/>
      <w:bookmarkStart w:id="106" w:name="_Toc262049425"/>
      <w:bookmarkStart w:id="107" w:name="_Toc7368"/>
    </w:p>
    <w:p>
      <w:pPr>
        <w:pStyle w:val="7"/>
        <w:spacing w:before="0" w:after="0" w:line="440" w:lineRule="exact"/>
        <w:rPr>
          <w:rFonts w:ascii="新宋体" w:hAnsi="新宋体" w:eastAsia="新宋体"/>
          <w:color w:val="000000"/>
          <w:sz w:val="22"/>
          <w:szCs w:val="22"/>
          <w:lang w:val="zh-CN"/>
        </w:rPr>
      </w:pPr>
      <w:bookmarkStart w:id="108" w:name="_Toc85296911"/>
      <w:bookmarkStart w:id="109" w:name="_Toc29502753"/>
      <w:r>
        <w:rPr>
          <w:rFonts w:hint="eastAsia" w:ascii="新宋体" w:hAnsi="新宋体" w:eastAsia="新宋体"/>
          <w:color w:val="000000"/>
          <w:sz w:val="22"/>
          <w:szCs w:val="22"/>
          <w:lang w:val="zh-CN"/>
        </w:rPr>
        <w:t>一、总体要求</w:t>
      </w:r>
      <w:bookmarkEnd w:id="108"/>
      <w:bookmarkEnd w:id="109"/>
    </w:p>
    <w:p>
      <w:pPr>
        <w:spacing w:line="440" w:lineRule="exact"/>
        <w:ind w:firstLine="440" w:firstLineChars="200"/>
        <w:rPr>
          <w:rFonts w:ascii="新宋体" w:hAnsi="新宋体" w:eastAsia="新宋体"/>
          <w:bCs/>
          <w:color w:val="000000"/>
          <w:sz w:val="22"/>
        </w:rPr>
      </w:pPr>
      <w:r>
        <w:rPr>
          <w:rFonts w:hint="eastAsia" w:ascii="新宋体" w:hAnsi="新宋体" w:eastAsia="新宋体"/>
          <w:bCs/>
          <w:color w:val="000000"/>
          <w:sz w:val="22"/>
        </w:rPr>
        <w:t>1.本次项目为1个标段，供应商应对标段内的所有内容进行投标，但不得将标段进行拆分投标或只对其中的部分内容进行投标，否则其投标文件将不予接受。</w:t>
      </w:r>
    </w:p>
    <w:p>
      <w:pPr>
        <w:spacing w:line="440" w:lineRule="exact"/>
        <w:ind w:firstLine="440" w:firstLineChars="200"/>
        <w:rPr>
          <w:rFonts w:ascii="新宋体" w:hAnsi="新宋体" w:eastAsia="新宋体"/>
          <w:bCs/>
          <w:color w:val="000000"/>
          <w:sz w:val="22"/>
        </w:rPr>
      </w:pPr>
      <w:r>
        <w:rPr>
          <w:rFonts w:hint="eastAsia" w:ascii="新宋体" w:hAnsi="新宋体" w:eastAsia="新宋体"/>
          <w:bCs/>
          <w:color w:val="000000"/>
          <w:sz w:val="22"/>
        </w:rPr>
        <w:t>2.投标供应商应提供所投设备的供货、至最终目的地的运输和保险、现场仓储、安装、集成、调试、技术服务及培训、相关文件的提交、质保、售后等服务，在投标文件相应的部分明确。</w:t>
      </w:r>
    </w:p>
    <w:p>
      <w:pPr>
        <w:spacing w:line="440" w:lineRule="exact"/>
        <w:ind w:firstLine="440" w:firstLineChars="200"/>
        <w:rPr>
          <w:rFonts w:ascii="新宋体" w:hAnsi="新宋体" w:eastAsia="新宋体"/>
          <w:bCs/>
          <w:color w:val="000000"/>
          <w:sz w:val="22"/>
        </w:rPr>
      </w:pPr>
      <w:r>
        <w:rPr>
          <w:rFonts w:hint="eastAsia" w:ascii="新宋体" w:hAnsi="新宋体" w:eastAsia="新宋体"/>
          <w:bCs/>
          <w:color w:val="000000"/>
          <w:sz w:val="22"/>
        </w:rPr>
        <w:t>3.投标供应商所投设备的名称、品牌、型号、技术参数、性能、数量、单价、合价厂商、产地、质保期等应在投标文件中明确，对</w:t>
      </w:r>
      <w:r>
        <w:rPr>
          <w:rFonts w:hint="eastAsia" w:ascii="新宋体" w:hAnsi="新宋体" w:eastAsia="新宋体"/>
          <w:bCs/>
          <w:color w:val="000000"/>
          <w:sz w:val="22"/>
          <w:lang w:eastAsia="zh-CN"/>
        </w:rPr>
        <w:t>采购文件</w:t>
      </w:r>
      <w:r>
        <w:rPr>
          <w:rFonts w:hint="eastAsia" w:ascii="新宋体" w:hAnsi="新宋体" w:eastAsia="新宋体"/>
          <w:bCs/>
          <w:color w:val="000000"/>
          <w:sz w:val="22"/>
        </w:rPr>
        <w:t>的技术条款及要求应予以实质性响应，如有偏离应在偏离表中注明。</w:t>
      </w:r>
    </w:p>
    <w:p>
      <w:pPr>
        <w:rPr>
          <w:color w:val="FF0000"/>
        </w:rPr>
      </w:pPr>
    </w:p>
    <w:p>
      <w:pPr>
        <w:pStyle w:val="7"/>
        <w:spacing w:before="0" w:after="0" w:line="440" w:lineRule="exact"/>
      </w:pPr>
      <w:bookmarkStart w:id="110" w:name="_Toc184635505"/>
      <w:bookmarkStart w:id="111" w:name="_Toc29502754"/>
      <w:bookmarkStart w:id="112" w:name="_Toc85296912"/>
      <w:r>
        <w:rPr>
          <w:rFonts w:hint="eastAsia" w:ascii="新宋体" w:hAnsi="新宋体" w:eastAsia="新宋体"/>
          <w:color w:val="000000"/>
          <w:sz w:val="22"/>
          <w:szCs w:val="22"/>
        </w:rPr>
        <w:t>二</w:t>
      </w:r>
      <w:bookmarkEnd w:id="110"/>
      <w:r>
        <w:rPr>
          <w:rFonts w:hint="eastAsia" w:ascii="新宋体" w:hAnsi="新宋体" w:eastAsia="新宋体"/>
          <w:color w:val="000000"/>
          <w:sz w:val="22"/>
          <w:szCs w:val="22"/>
        </w:rPr>
        <w:t>、采购内容清单</w:t>
      </w:r>
      <w:bookmarkEnd w:id="111"/>
      <w:bookmarkEnd w:id="112"/>
    </w:p>
    <w:tbl>
      <w:tblPr>
        <w:tblStyle w:val="5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7"/>
        <w:gridCol w:w="2941"/>
        <w:gridCol w:w="2024"/>
        <w:gridCol w:w="2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C7DAF1" w:themeFill="text2" w:themeFillTint="32"/>
            <w:noWrap/>
            <w:vAlign w:val="center"/>
          </w:tcPr>
          <w:p>
            <w:pPr>
              <w:widowControl/>
              <w:jc w:val="center"/>
              <w:rPr>
                <w:rFonts w:hint="eastAsia" w:ascii="新宋体" w:hAnsi="新宋体" w:eastAsia="新宋体" w:cs="新宋体"/>
                <w:b/>
                <w:bCs/>
                <w:color w:val="000000"/>
                <w:kern w:val="0"/>
                <w:sz w:val="22"/>
                <w:szCs w:val="22"/>
              </w:rPr>
            </w:pPr>
            <w:r>
              <w:rPr>
                <w:rFonts w:hint="eastAsia" w:ascii="新宋体" w:hAnsi="新宋体" w:eastAsia="新宋体" w:cs="新宋体"/>
                <w:b/>
                <w:bCs/>
                <w:color w:val="000000"/>
                <w:kern w:val="0"/>
                <w:sz w:val="22"/>
                <w:szCs w:val="22"/>
              </w:rPr>
              <w:t>序号</w:t>
            </w:r>
          </w:p>
        </w:tc>
        <w:tc>
          <w:tcPr>
            <w:tcW w:w="1494" w:type="pct"/>
            <w:shd w:val="clear" w:color="auto" w:fill="C7DAF1" w:themeFill="text2" w:themeFillTint="32"/>
            <w:vAlign w:val="center"/>
          </w:tcPr>
          <w:p>
            <w:pPr>
              <w:widowControl/>
              <w:jc w:val="center"/>
              <w:rPr>
                <w:rFonts w:hint="eastAsia" w:ascii="新宋体" w:hAnsi="新宋体" w:eastAsia="新宋体" w:cs="新宋体"/>
                <w:b/>
                <w:bCs/>
                <w:color w:val="000000"/>
                <w:kern w:val="0"/>
                <w:sz w:val="22"/>
                <w:szCs w:val="22"/>
              </w:rPr>
            </w:pPr>
            <w:r>
              <w:rPr>
                <w:rFonts w:hint="eastAsia" w:ascii="新宋体" w:hAnsi="新宋体" w:eastAsia="新宋体" w:cs="新宋体"/>
                <w:b/>
                <w:bCs/>
                <w:color w:val="000000"/>
                <w:kern w:val="0"/>
                <w:sz w:val="22"/>
                <w:szCs w:val="22"/>
              </w:rPr>
              <w:t>名称</w:t>
            </w:r>
          </w:p>
        </w:tc>
        <w:tc>
          <w:tcPr>
            <w:tcW w:w="1025" w:type="pct"/>
            <w:shd w:val="clear" w:color="auto" w:fill="C7DAF1" w:themeFill="text2" w:themeFillTint="32"/>
            <w:noWrap/>
            <w:vAlign w:val="center"/>
          </w:tcPr>
          <w:p>
            <w:pPr>
              <w:widowControl/>
              <w:jc w:val="center"/>
              <w:rPr>
                <w:rFonts w:hint="eastAsia" w:ascii="新宋体" w:hAnsi="新宋体" w:eastAsia="新宋体" w:cs="新宋体"/>
                <w:b/>
                <w:bCs/>
                <w:color w:val="000000"/>
                <w:kern w:val="0"/>
                <w:sz w:val="22"/>
                <w:szCs w:val="22"/>
              </w:rPr>
            </w:pPr>
            <w:r>
              <w:rPr>
                <w:rFonts w:hint="eastAsia" w:ascii="新宋体" w:hAnsi="新宋体" w:eastAsia="新宋体" w:cs="新宋体"/>
                <w:b/>
                <w:bCs/>
                <w:color w:val="000000"/>
                <w:kern w:val="0"/>
                <w:sz w:val="22"/>
                <w:szCs w:val="22"/>
              </w:rPr>
              <w:t>单位</w:t>
            </w:r>
          </w:p>
        </w:tc>
        <w:tc>
          <w:tcPr>
            <w:tcW w:w="1328" w:type="pct"/>
            <w:shd w:val="clear" w:color="auto" w:fill="C7DAF1" w:themeFill="text2" w:themeFillTint="32"/>
            <w:noWrap/>
            <w:vAlign w:val="center"/>
          </w:tcPr>
          <w:p>
            <w:pPr>
              <w:widowControl/>
              <w:jc w:val="center"/>
              <w:rPr>
                <w:rFonts w:hint="eastAsia" w:ascii="新宋体" w:hAnsi="新宋体" w:eastAsia="新宋体" w:cs="新宋体"/>
                <w:b/>
                <w:bCs/>
                <w:color w:val="000000"/>
                <w:kern w:val="0"/>
                <w:sz w:val="22"/>
                <w:szCs w:val="22"/>
              </w:rPr>
            </w:pPr>
            <w:r>
              <w:rPr>
                <w:rFonts w:hint="eastAsia" w:ascii="新宋体" w:hAnsi="新宋体" w:eastAsia="新宋体" w:cs="新宋体"/>
                <w:b/>
                <w:bCs/>
                <w:color w:val="000000"/>
                <w:kern w:val="0"/>
                <w:sz w:val="22"/>
                <w:szCs w:val="2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防火墙</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2</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入侵防御系统</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3</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网络安全审计系统</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4</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业务安全管理平台</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5</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入侵检测系统</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6</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威胁分析一体机</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7</w:t>
            </w:r>
          </w:p>
        </w:tc>
        <w:tc>
          <w:tcPr>
            <w:tcW w:w="1494"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各大中队汇聚交换机</w:t>
            </w:r>
          </w:p>
        </w:tc>
        <w:tc>
          <w:tcPr>
            <w:tcW w:w="1025" w:type="pct"/>
            <w:shd w:val="clear" w:color="auto" w:fill="auto"/>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8</w:t>
            </w:r>
          </w:p>
        </w:tc>
        <w:tc>
          <w:tcPr>
            <w:tcW w:w="1494"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互联网汇聚交换机</w:t>
            </w:r>
          </w:p>
        </w:tc>
        <w:tc>
          <w:tcPr>
            <w:tcW w:w="1025"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000000" w:fill="FFFFFF"/>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9</w:t>
            </w:r>
          </w:p>
        </w:tc>
        <w:tc>
          <w:tcPr>
            <w:tcW w:w="1494"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核心交换机</w:t>
            </w:r>
          </w:p>
        </w:tc>
        <w:tc>
          <w:tcPr>
            <w:tcW w:w="1025"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台</w:t>
            </w:r>
          </w:p>
        </w:tc>
        <w:tc>
          <w:tcPr>
            <w:tcW w:w="1328" w:type="pct"/>
            <w:shd w:val="clear" w:color="000000" w:fill="FFFFFF"/>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50" w:type="pct"/>
            <w:shd w:val="clear" w:color="auto" w:fill="auto"/>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10</w:t>
            </w:r>
          </w:p>
        </w:tc>
        <w:tc>
          <w:tcPr>
            <w:tcW w:w="1494"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视频监控</w:t>
            </w:r>
          </w:p>
        </w:tc>
        <w:tc>
          <w:tcPr>
            <w:tcW w:w="1025" w:type="pct"/>
            <w:shd w:val="clear" w:color="000000" w:fill="FFFFFF"/>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套</w:t>
            </w:r>
          </w:p>
        </w:tc>
        <w:tc>
          <w:tcPr>
            <w:tcW w:w="1328" w:type="pct"/>
            <w:shd w:val="clear" w:color="000000" w:fill="FFFFFF"/>
            <w:noWrap/>
            <w:vAlign w:val="center"/>
          </w:tcPr>
          <w:p>
            <w:pPr>
              <w:widowControl/>
              <w:jc w:val="center"/>
              <w:rPr>
                <w:rFonts w:hint="eastAsia" w:ascii="新宋体" w:hAnsi="新宋体" w:eastAsia="新宋体" w:cs="新宋体"/>
                <w:color w:val="000000"/>
                <w:kern w:val="0"/>
                <w:sz w:val="22"/>
                <w:szCs w:val="22"/>
              </w:rPr>
            </w:pPr>
            <w:r>
              <w:rPr>
                <w:rFonts w:hint="eastAsia" w:ascii="新宋体" w:hAnsi="新宋体" w:eastAsia="新宋体" w:cs="新宋体"/>
                <w:color w:val="000000"/>
                <w:kern w:val="0"/>
                <w:sz w:val="22"/>
                <w:szCs w:val="2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8" w:hRule="atLeast"/>
        </w:trPr>
        <w:tc>
          <w:tcPr>
            <w:tcW w:w="5000" w:type="pct"/>
            <w:gridSpan w:val="4"/>
            <w:shd w:val="clear" w:color="auto" w:fill="auto"/>
            <w:noWrap/>
            <w:vAlign w:val="center"/>
          </w:tcPr>
          <w:p>
            <w:pPr>
              <w:widowControl/>
              <w:jc w:val="left"/>
              <w:rPr>
                <w:rFonts w:hint="eastAsia" w:ascii="新宋体" w:hAnsi="新宋体" w:eastAsia="新宋体" w:cs="新宋体"/>
                <w:b/>
                <w:color w:val="000000"/>
                <w:kern w:val="0"/>
                <w:sz w:val="22"/>
                <w:szCs w:val="22"/>
              </w:rPr>
            </w:pPr>
            <w:r>
              <w:rPr>
                <w:rFonts w:hint="eastAsia" w:ascii="新宋体" w:hAnsi="新宋体" w:eastAsia="新宋体" w:cs="新宋体"/>
                <w:b/>
                <w:color w:val="000000"/>
                <w:kern w:val="0"/>
                <w:sz w:val="22"/>
                <w:szCs w:val="22"/>
              </w:rPr>
              <w:t>说明：</w:t>
            </w:r>
          </w:p>
          <w:p>
            <w:pPr>
              <w:widowControl/>
              <w:jc w:val="left"/>
              <w:rPr>
                <w:rFonts w:hint="eastAsia" w:ascii="新宋体" w:hAnsi="新宋体" w:eastAsia="新宋体" w:cs="新宋体"/>
                <w:b/>
                <w:color w:val="000000"/>
                <w:kern w:val="0"/>
                <w:sz w:val="22"/>
                <w:szCs w:val="22"/>
              </w:rPr>
            </w:pPr>
            <w:r>
              <w:rPr>
                <w:rFonts w:hint="eastAsia" w:ascii="新宋体" w:hAnsi="新宋体" w:eastAsia="新宋体" w:cs="新宋体"/>
                <w:b/>
                <w:color w:val="000000"/>
                <w:kern w:val="0"/>
                <w:sz w:val="22"/>
                <w:szCs w:val="22"/>
              </w:rPr>
              <w:t>1.防火墙、入侵防御系统、网络安全审计系统、入侵检测系统等需在信创目录内选择，且不得超过最高限价。</w:t>
            </w:r>
          </w:p>
          <w:p>
            <w:pPr>
              <w:widowControl/>
              <w:jc w:val="both"/>
              <w:rPr>
                <w:rFonts w:hint="eastAsia" w:ascii="新宋体" w:hAnsi="新宋体" w:eastAsia="新宋体" w:cs="新宋体"/>
                <w:color w:val="000000"/>
                <w:kern w:val="0"/>
                <w:sz w:val="22"/>
                <w:szCs w:val="22"/>
              </w:rPr>
            </w:pPr>
            <w:r>
              <w:rPr>
                <w:rFonts w:hint="eastAsia" w:ascii="新宋体" w:hAnsi="新宋体" w:eastAsia="新宋体" w:cs="新宋体"/>
                <w:b/>
                <w:color w:val="000000"/>
                <w:kern w:val="0"/>
                <w:sz w:val="22"/>
                <w:szCs w:val="22"/>
              </w:rPr>
              <w:t>2.供应商需提供项目建设所需的所有辅材。</w:t>
            </w:r>
          </w:p>
        </w:tc>
      </w:tr>
    </w:tbl>
    <w:p/>
    <w:p>
      <w:pPr>
        <w:pStyle w:val="7"/>
        <w:spacing w:before="0" w:after="0" w:line="440" w:lineRule="exact"/>
        <w:rPr>
          <w:rFonts w:ascii="新宋体" w:hAnsi="新宋体" w:eastAsia="新宋体"/>
          <w:color w:val="000000"/>
          <w:sz w:val="22"/>
          <w:szCs w:val="22"/>
        </w:rPr>
      </w:pPr>
      <w:bookmarkStart w:id="113" w:name="_Toc29502755"/>
      <w:bookmarkStart w:id="114" w:name="_Toc85296913"/>
      <w:r>
        <w:rPr>
          <w:rFonts w:hint="eastAsia" w:ascii="新宋体" w:hAnsi="新宋体" w:eastAsia="新宋体"/>
          <w:color w:val="000000"/>
          <w:sz w:val="22"/>
          <w:szCs w:val="22"/>
        </w:rPr>
        <w:t>三、具体技术需求</w:t>
      </w:r>
      <w:bookmarkEnd w:id="113"/>
      <w:bookmarkEnd w:id="114"/>
    </w:p>
    <w:p>
      <w:pPr>
        <w:pStyle w:val="460"/>
        <w:ind w:firstLine="0" w:firstLineChars="0"/>
        <w:rPr>
          <w:rFonts w:ascii="新宋体" w:hAnsi="新宋体" w:eastAsia="新宋体" w:cs="新宋体"/>
          <w:b/>
          <w:sz w:val="22"/>
        </w:rPr>
      </w:pPr>
      <w:r>
        <w:rPr>
          <w:rFonts w:hint="eastAsia" w:ascii="新宋体" w:hAnsi="新宋体" w:eastAsia="新宋体" w:cs="新宋体"/>
          <w:b/>
          <w:sz w:val="22"/>
        </w:rPr>
        <w:t>1.防火墙（3台）</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6"/>
        <w:gridCol w:w="8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20" w:type="pct"/>
            <w:shd w:val="clear" w:color="auto" w:fill="B8CCE4" w:themeFill="accent1" w:themeFillTint="66"/>
            <w:vAlign w:val="center"/>
          </w:tcPr>
          <w:p>
            <w:pPr>
              <w:jc w:val="center"/>
              <w:rPr>
                <w:rFonts w:ascii="宋体" w:hAnsi="宋体"/>
                <w:b/>
                <w:color w:val="000000" w:themeColor="text1"/>
                <w:sz w:val="22"/>
                <w:szCs w:val="22"/>
                <w14:textFill>
                  <w14:solidFill>
                    <w14:schemeClr w14:val="tx1"/>
                  </w14:solidFill>
                </w14:textFill>
              </w:rPr>
            </w:pPr>
            <w:r>
              <w:rPr>
                <w:rFonts w:ascii="宋体" w:hAnsi="宋体" w:cs="宋体"/>
                <w:b/>
                <w:bCs/>
                <w:sz w:val="22"/>
                <w:szCs w:val="22"/>
              </w:rPr>
              <w:t>指标项</w:t>
            </w:r>
          </w:p>
        </w:tc>
        <w:tc>
          <w:tcPr>
            <w:tcW w:w="4179" w:type="pct"/>
            <w:shd w:val="clear" w:color="auto" w:fill="B8CCE4" w:themeFill="accent1" w:themeFillTint="66"/>
            <w:vAlign w:val="center"/>
          </w:tcPr>
          <w:p>
            <w:pPr>
              <w:jc w:val="center"/>
              <w:rPr>
                <w:rFonts w:ascii="宋体" w:hAnsi="宋体" w:cs="宋体"/>
                <w:kern w:val="0"/>
                <w:sz w:val="22"/>
                <w:szCs w:val="22"/>
              </w:rPr>
            </w:pPr>
            <w:r>
              <w:rPr>
                <w:rFonts w:ascii="宋体" w:hAnsi="宋体" w:cs="宋体"/>
                <w:b/>
                <w:bCs/>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shd w:val="clear" w:color="auto" w:fill="auto"/>
            <w:vAlign w:val="center"/>
          </w:tcPr>
          <w:p>
            <w:pPr>
              <w:widowControl/>
              <w:jc w:val="center"/>
              <w:rPr>
                <w:rFonts w:ascii="宋体" w:hAnsi="宋体" w:cs="宋体"/>
                <w:bCs/>
                <w:kern w:val="0"/>
                <w:sz w:val="22"/>
                <w:szCs w:val="22"/>
              </w:rPr>
            </w:pPr>
            <w:r>
              <w:rPr>
                <w:rFonts w:hint="eastAsia" w:ascii="宋体" w:hAnsi="宋体" w:eastAsia="宋体"/>
                <w:b/>
                <w:color w:val="000000" w:themeColor="text1"/>
                <w:sz w:val="22"/>
                <w:szCs w:val="22"/>
                <w14:textFill>
                  <w14:solidFill>
                    <w14:schemeClr w14:val="tx1"/>
                  </w14:solidFill>
                </w14:textFill>
              </w:rPr>
              <w:t>★</w:t>
            </w:r>
            <w:r>
              <w:rPr>
                <w:rFonts w:hint="eastAsia" w:ascii="宋体" w:hAnsi="宋体" w:eastAsia="宋体" w:cs="宋体"/>
                <w:bCs/>
                <w:kern w:val="0"/>
                <w:sz w:val="22"/>
                <w:szCs w:val="22"/>
              </w:rPr>
              <w:t>接口配置</w:t>
            </w:r>
          </w:p>
        </w:tc>
        <w:tc>
          <w:tcPr>
            <w:tcW w:w="8236" w:type="dxa"/>
            <w:shd w:val="clear" w:color="auto" w:fill="auto"/>
            <w:vAlign w:val="center"/>
          </w:tcPr>
          <w:p>
            <w:pPr>
              <w:widowControl/>
              <w:rPr>
                <w:rFonts w:ascii="宋体" w:hAnsi="宋体" w:cs="宋体"/>
                <w:kern w:val="0"/>
                <w:sz w:val="22"/>
                <w:szCs w:val="22"/>
              </w:rPr>
            </w:pPr>
            <w:r>
              <w:rPr>
                <w:rFonts w:hint="eastAsia" w:ascii="宋体" w:hAnsi="宋体" w:eastAsia="宋体" w:cs="宋体"/>
                <w:kern w:val="0"/>
                <w:sz w:val="22"/>
                <w:szCs w:val="22"/>
              </w:rPr>
              <w:t>国产化芯片CPU4核，国产操作系统，≥1</w:t>
            </w:r>
            <w:r>
              <w:rPr>
                <w:rFonts w:ascii="宋体" w:hAnsi="宋体" w:eastAsia="宋体" w:cs="宋体"/>
                <w:kern w:val="0"/>
                <w:sz w:val="22"/>
                <w:szCs w:val="22"/>
              </w:rPr>
              <w:t>U</w:t>
            </w:r>
            <w:r>
              <w:rPr>
                <w:rFonts w:hint="eastAsia" w:ascii="宋体" w:hAnsi="宋体" w:eastAsia="宋体" w:cs="宋体"/>
                <w:kern w:val="0"/>
                <w:sz w:val="22"/>
                <w:szCs w:val="22"/>
              </w:rPr>
              <w:t>机架式设备,冗余电源，≥8个千兆电口，≥8个千兆光口（按项目需求提供光模块），≥6</w:t>
            </w:r>
            <w:r>
              <w:rPr>
                <w:rFonts w:ascii="宋体" w:hAnsi="宋体" w:eastAsia="宋体" w:cs="宋体"/>
                <w:kern w:val="0"/>
                <w:sz w:val="22"/>
                <w:szCs w:val="22"/>
              </w:rPr>
              <w:t>4GSSD</w:t>
            </w:r>
            <w:r>
              <w:rPr>
                <w:rFonts w:hint="eastAsia" w:ascii="宋体" w:hAnsi="宋体" w:eastAsia="宋体" w:cs="宋体"/>
                <w:kern w:val="0"/>
                <w:sz w:val="22"/>
                <w:szCs w:val="22"/>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性能指标</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网络吞吐量≥10Gbps，最大并发连接数≥</w:t>
            </w:r>
            <w:r>
              <w:rPr>
                <w:rFonts w:ascii="宋体" w:hAnsi="宋体" w:eastAsia="宋体" w:cs="宋体"/>
                <w:kern w:val="0"/>
                <w:sz w:val="22"/>
                <w:szCs w:val="22"/>
              </w:rPr>
              <w:t>500</w:t>
            </w:r>
            <w:r>
              <w:rPr>
                <w:rFonts w:hint="eastAsia" w:ascii="宋体" w:hAnsi="宋体" w:eastAsia="宋体" w:cs="宋体"/>
                <w:kern w:val="0"/>
                <w:sz w:val="22"/>
                <w:szCs w:val="22"/>
              </w:rPr>
              <w:t>万，每秒新建连接≥</w:t>
            </w:r>
            <w:r>
              <w:rPr>
                <w:rFonts w:ascii="宋体" w:hAnsi="宋体" w:eastAsia="宋体" w:cs="宋体"/>
                <w:kern w:val="0"/>
                <w:sz w:val="22"/>
                <w:szCs w:val="22"/>
              </w:rPr>
              <w:t>11</w:t>
            </w:r>
            <w:r>
              <w:rPr>
                <w:rFonts w:hint="eastAsia" w:ascii="宋体" w:hAnsi="宋体" w:eastAsia="宋体" w:cs="宋体"/>
                <w:kern w:val="0"/>
                <w:sz w:val="22"/>
                <w:szCs w:val="22"/>
              </w:rPr>
              <w:t>万，VPN并发用户≥30个（同时提供≥2</w:t>
            </w:r>
            <w:r>
              <w:rPr>
                <w:rFonts w:ascii="宋体" w:hAnsi="宋体" w:eastAsia="宋体" w:cs="宋体"/>
                <w:kern w:val="0"/>
                <w:sz w:val="22"/>
                <w:szCs w:val="22"/>
              </w:rPr>
              <w:t>00</w:t>
            </w:r>
            <w:r>
              <w:rPr>
                <w:rFonts w:hint="eastAsia" w:ascii="宋体" w:hAnsi="宋体" w:eastAsia="宋体" w:cs="宋体"/>
                <w:kern w:val="0"/>
                <w:sz w:val="22"/>
                <w:szCs w:val="22"/>
              </w:rPr>
              <w:t>终端授权数）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操作系统</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b/>
                <w:color w:val="000000" w:themeColor="text1"/>
                <w:sz w:val="22"/>
                <w:szCs w:val="22"/>
                <w14:textFill>
                  <w14:solidFill>
                    <w14:schemeClr w14:val="tx1"/>
                  </w14:solidFill>
                </w14:textFill>
              </w:rPr>
              <w:t>★</w:t>
            </w:r>
            <w:r>
              <w:rPr>
                <w:rFonts w:hint="eastAsia" w:ascii="宋体" w:hAnsi="宋体" w:eastAsia="宋体" w:cs="宋体"/>
                <w:kern w:val="0"/>
                <w:sz w:val="22"/>
                <w:szCs w:val="22"/>
              </w:rPr>
              <w:t>支持不少于3个操作系统引导，即A、B、备份三操作系统，并可WEB界面上配置启动顺序，要求除恢复系统之外，还可支持系统一键式切换及完整备份（</w:t>
            </w:r>
            <w:r>
              <w:rPr>
                <w:rFonts w:hint="eastAsia" w:ascii="宋体" w:hAnsi="宋体" w:eastAsia="宋体"/>
                <w:bCs/>
                <w:kern w:val="0"/>
                <w:sz w:val="22"/>
                <w:szCs w:val="22"/>
              </w:rPr>
              <w:t>提供产品界面截图</w:t>
            </w:r>
            <w:r>
              <w:rPr>
                <w:rFonts w:hint="eastAsia" w:ascii="宋体" w:hAnsi="宋体" w:eastAsia="宋体" w:cs="宋体"/>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支持系统主要防护功能的统一化模版设置，模版分为高、中、低三个级别，分别对应不同防护强度，可通过Web界面单击选择切换。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网络适应性</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bCs/>
                <w:kern w:val="0"/>
                <w:sz w:val="22"/>
                <w:szCs w:val="22"/>
              </w:rPr>
              <w:t>支持基于文件类型的策略路由，可实现将预定义或者自定义的文件按照不同的分类进行智能选路。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bCs/>
                <w:kern w:val="0"/>
                <w:sz w:val="22"/>
                <w:szCs w:val="22"/>
              </w:rPr>
              <w:t>服务器负载均衡支持10种算法。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数据防泄露</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sz w:val="22"/>
                <w:szCs w:val="22"/>
              </w:rPr>
              <w:t>支持数据防泄密功能，可针对SMTP、HTTP、论坛、微博、webmail、FTP、数据库的敏感信息检测，文件控制支持电影类、音乐类、图片类、文本类、压缩文件类、应用程序类、脚本类等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center"/>
          </w:tcPr>
          <w:p>
            <w:pPr>
              <w:widowControl/>
              <w:jc w:val="left"/>
              <w:rPr>
                <w:rFonts w:ascii="宋体" w:hAnsi="宋体"/>
                <w:sz w:val="22"/>
                <w:szCs w:val="22"/>
              </w:rPr>
            </w:pPr>
            <w:r>
              <w:rPr>
                <w:rFonts w:hint="eastAsia" w:ascii="宋体" w:hAnsi="宋体" w:eastAsia="宋体"/>
                <w:sz w:val="22"/>
                <w:szCs w:val="22"/>
              </w:rPr>
              <w:t>支持对数据库命令CREATE、ALTER、DROP、SELECT、INSERT、UPDATE和DELETE进行控制，动作可选择日志和丢弃</w:t>
            </w:r>
            <w:r>
              <w:rPr>
                <w:rFonts w:hint="eastAsia" w:ascii="宋体" w:hAnsi="宋体" w:eastAsia="宋体" w:cs="宋体"/>
                <w:bCs/>
                <w:kern w:val="0"/>
                <w:sz w:val="22"/>
                <w:szCs w:val="22"/>
              </w:rPr>
              <w:t>，基于用户的细粒度权限控制实现对数据库的保护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center"/>
          </w:tcPr>
          <w:p>
            <w:pPr>
              <w:widowControl/>
              <w:jc w:val="left"/>
              <w:rPr>
                <w:rFonts w:ascii="宋体" w:hAnsi="宋体"/>
                <w:sz w:val="22"/>
                <w:szCs w:val="22"/>
              </w:rPr>
            </w:pPr>
            <w:r>
              <w:rPr>
                <w:rFonts w:hint="eastAsia" w:ascii="宋体" w:hAnsi="宋体" w:eastAsia="宋体" w:cs="宋体"/>
                <w:kern w:val="0"/>
                <w:sz w:val="22"/>
                <w:szCs w:val="22"/>
              </w:rPr>
              <w:t>支持对预定义的类型（身份证号（包含</w:t>
            </w:r>
            <w:r>
              <w:rPr>
                <w:rFonts w:ascii="宋体" w:hAnsi="宋体" w:eastAsia="宋体" w:cs="宋体"/>
                <w:kern w:val="0"/>
                <w:sz w:val="22"/>
                <w:szCs w:val="22"/>
              </w:rPr>
              <w:t>港澳</w:t>
            </w:r>
            <w:r>
              <w:rPr>
                <w:rFonts w:hint="eastAsia" w:ascii="宋体" w:hAnsi="宋体" w:eastAsia="宋体" w:cs="宋体"/>
                <w:kern w:val="0"/>
                <w:sz w:val="22"/>
                <w:szCs w:val="22"/>
              </w:rPr>
              <w:t>台），银行卡号，手机号，护照号，邮箱,</w:t>
            </w:r>
            <w:r>
              <w:rPr>
                <w:rFonts w:ascii="宋体" w:hAnsi="宋体" w:eastAsia="宋体" w:cs="宋体"/>
                <w:kern w:val="0"/>
                <w:sz w:val="22"/>
                <w:szCs w:val="22"/>
              </w:rPr>
              <w:t>MD5</w:t>
            </w:r>
            <w:r>
              <w:rPr>
                <w:rFonts w:hint="eastAsia" w:ascii="宋体" w:hAnsi="宋体" w:eastAsia="宋体" w:cs="宋体"/>
                <w:kern w:val="0"/>
                <w:sz w:val="22"/>
                <w:szCs w:val="22"/>
              </w:rPr>
              <w:t>码）等</w:t>
            </w:r>
            <w:r>
              <w:rPr>
                <w:rFonts w:ascii="宋体" w:hAnsi="宋体" w:eastAsia="宋体" w:cs="宋体"/>
                <w:kern w:val="0"/>
                <w:sz w:val="22"/>
                <w:szCs w:val="22"/>
              </w:rPr>
              <w:t>敏感信息进行安全防护功能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支持对</w:t>
            </w:r>
            <w:r>
              <w:rPr>
                <w:rFonts w:ascii="宋体" w:hAnsi="宋体" w:eastAsia="宋体" w:cs="宋体"/>
                <w:kern w:val="0"/>
                <w:sz w:val="22"/>
                <w:szCs w:val="22"/>
              </w:rPr>
              <w:t>FTP</w:t>
            </w:r>
            <w:r>
              <w:rPr>
                <w:rFonts w:hint="eastAsia" w:ascii="宋体" w:hAnsi="宋体" w:eastAsia="宋体" w:cs="宋体"/>
                <w:kern w:val="0"/>
                <w:sz w:val="22"/>
                <w:szCs w:val="22"/>
              </w:rPr>
              <w:t>，</w:t>
            </w:r>
            <w:r>
              <w:rPr>
                <w:rFonts w:ascii="宋体" w:hAnsi="宋体" w:eastAsia="宋体" w:cs="宋体"/>
                <w:kern w:val="0"/>
                <w:sz w:val="22"/>
                <w:szCs w:val="22"/>
              </w:rPr>
              <w:t>SMTP</w:t>
            </w:r>
            <w:r>
              <w:rPr>
                <w:rFonts w:hint="eastAsia" w:ascii="宋体" w:hAnsi="宋体" w:eastAsia="宋体" w:cs="宋体"/>
                <w:kern w:val="0"/>
                <w:sz w:val="22"/>
                <w:szCs w:val="22"/>
              </w:rPr>
              <w:t>，</w:t>
            </w:r>
            <w:r>
              <w:rPr>
                <w:rFonts w:ascii="宋体" w:hAnsi="宋体" w:eastAsia="宋体" w:cs="宋体"/>
                <w:kern w:val="0"/>
                <w:sz w:val="22"/>
                <w:szCs w:val="22"/>
              </w:rPr>
              <w:t>POP3</w:t>
            </w:r>
            <w:r>
              <w:rPr>
                <w:rFonts w:hint="eastAsia" w:ascii="宋体" w:hAnsi="宋体" w:eastAsia="宋体" w:cs="宋体"/>
                <w:kern w:val="0"/>
                <w:sz w:val="22"/>
                <w:szCs w:val="22"/>
              </w:rPr>
              <w:t>，</w:t>
            </w:r>
            <w:r>
              <w:rPr>
                <w:rFonts w:ascii="宋体" w:hAnsi="宋体" w:eastAsia="宋体" w:cs="宋体"/>
                <w:kern w:val="0"/>
                <w:sz w:val="22"/>
                <w:szCs w:val="22"/>
              </w:rPr>
              <w:t>IMAP</w:t>
            </w:r>
            <w:r>
              <w:rPr>
                <w:rFonts w:hint="eastAsia" w:ascii="宋体" w:hAnsi="宋体" w:eastAsia="宋体" w:cs="宋体"/>
                <w:kern w:val="0"/>
                <w:sz w:val="22"/>
                <w:szCs w:val="22"/>
              </w:rPr>
              <w:t>，</w:t>
            </w:r>
            <w:r>
              <w:rPr>
                <w:rFonts w:ascii="宋体" w:hAnsi="宋体" w:eastAsia="宋体" w:cs="宋体"/>
                <w:kern w:val="0"/>
                <w:sz w:val="22"/>
                <w:szCs w:val="22"/>
              </w:rPr>
              <w:t>TELNET</w:t>
            </w:r>
            <w:r>
              <w:rPr>
                <w:rFonts w:hint="eastAsia" w:ascii="宋体" w:hAnsi="宋体" w:eastAsia="宋体" w:cs="宋体"/>
                <w:kern w:val="0"/>
                <w:sz w:val="22"/>
                <w:szCs w:val="22"/>
              </w:rPr>
              <w:t>，</w:t>
            </w:r>
            <w:r>
              <w:rPr>
                <w:rFonts w:ascii="宋体" w:hAnsi="宋体" w:eastAsia="宋体" w:cs="宋体"/>
                <w:kern w:val="0"/>
                <w:sz w:val="22"/>
                <w:szCs w:val="22"/>
              </w:rPr>
              <w:t>TDS</w:t>
            </w:r>
            <w:r>
              <w:rPr>
                <w:rFonts w:hint="eastAsia" w:ascii="宋体" w:hAnsi="宋体" w:eastAsia="宋体" w:cs="宋体"/>
                <w:kern w:val="0"/>
                <w:sz w:val="22"/>
                <w:szCs w:val="22"/>
              </w:rPr>
              <w:t>，</w:t>
            </w:r>
            <w:r>
              <w:rPr>
                <w:rFonts w:ascii="宋体" w:hAnsi="宋体" w:eastAsia="宋体" w:cs="宋体"/>
                <w:kern w:val="0"/>
                <w:sz w:val="22"/>
                <w:szCs w:val="22"/>
              </w:rPr>
              <w:t>NNTP</w:t>
            </w:r>
            <w:r>
              <w:rPr>
                <w:rFonts w:hint="eastAsia" w:ascii="宋体" w:hAnsi="宋体" w:eastAsia="宋体" w:cs="宋体"/>
                <w:kern w:val="0"/>
                <w:sz w:val="22"/>
                <w:szCs w:val="22"/>
              </w:rPr>
              <w:t>，</w:t>
            </w:r>
            <w:r>
              <w:rPr>
                <w:rFonts w:ascii="宋体" w:hAnsi="宋体" w:eastAsia="宋体" w:cs="宋体"/>
                <w:kern w:val="0"/>
                <w:sz w:val="22"/>
                <w:szCs w:val="22"/>
              </w:rPr>
              <w:t>RLOGIN</w:t>
            </w:r>
            <w:r>
              <w:rPr>
                <w:rFonts w:hint="eastAsia" w:ascii="宋体" w:hAnsi="宋体" w:eastAsia="宋体" w:cs="宋体"/>
                <w:kern w:val="0"/>
                <w:sz w:val="22"/>
                <w:szCs w:val="22"/>
              </w:rPr>
              <w:t>共</w:t>
            </w:r>
            <w:r>
              <w:rPr>
                <w:rFonts w:ascii="宋体" w:hAnsi="宋体" w:eastAsia="宋体" w:cs="宋体"/>
                <w:kern w:val="0"/>
                <w:sz w:val="22"/>
                <w:szCs w:val="22"/>
              </w:rPr>
              <w:t>8</w:t>
            </w:r>
            <w:r>
              <w:rPr>
                <w:rFonts w:hint="eastAsia" w:ascii="宋体" w:hAnsi="宋体" w:eastAsia="宋体" w:cs="宋体"/>
                <w:kern w:val="0"/>
                <w:sz w:val="22"/>
                <w:szCs w:val="22"/>
              </w:rPr>
              <w:t>种协议的暴力破解检测。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VPN</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bCs/>
                <w:kern w:val="0"/>
                <w:sz w:val="22"/>
                <w:szCs w:val="22"/>
              </w:rPr>
              <w:t>SSL VPN默认支持不少于200个并发用户授权。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ascii="宋体" w:hAnsi="宋体" w:eastAsia="宋体" w:cs="宋体"/>
                <w:bCs/>
                <w:kern w:val="0"/>
                <w:sz w:val="22"/>
                <w:szCs w:val="22"/>
              </w:rPr>
              <w:t>IPS</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b/>
                <w:color w:val="000000" w:themeColor="text1"/>
                <w:sz w:val="22"/>
                <w:szCs w:val="22"/>
                <w14:textFill>
                  <w14:solidFill>
                    <w14:schemeClr w14:val="tx1"/>
                  </w14:solidFill>
                </w14:textFill>
              </w:rPr>
              <w:t>★</w:t>
            </w:r>
            <w:r>
              <w:rPr>
                <w:rFonts w:hint="eastAsia" w:ascii="宋体" w:hAnsi="宋体" w:eastAsia="宋体" w:cs="宋体"/>
                <w:bCs/>
                <w:kern w:val="0"/>
                <w:sz w:val="22"/>
                <w:szCs w:val="22"/>
              </w:rPr>
              <w:t>支持细粒度的自定义IPS特征功能，要求支持DNS\HTTP\FTP\TFTP\TELNET\SNMP\POP3\SMTP\IMAP\等17大类应用层协议的自定义，可以精准设置各个协议字段内容，例如字符内容、偏移、长度等细粒度的参数（截图证明），提供国家第三方权威机构颁发的网络入侵特征配置方法的技术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sz w:val="22"/>
                <w:szCs w:val="22"/>
              </w:rPr>
            </w:pPr>
            <w:r>
              <w:rPr>
                <w:rFonts w:hint="eastAsia" w:ascii="宋体" w:hAnsi="宋体" w:eastAsia="宋体"/>
                <w:sz w:val="22"/>
                <w:szCs w:val="22"/>
              </w:rPr>
              <w:t>要求产品支持具有云计算相关技术的入侵防护功能，实现全网计算资源、特征资源的共享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防病毒</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支持基于策略的病毒扫描与防护，可针对不同的源目IP地址、源MAC地址、服务、时间、安全域、用户等，采用不同的病毒防护策略。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sz w:val="22"/>
                <w:szCs w:val="22"/>
              </w:rPr>
            </w:pPr>
            <w:r>
              <w:rPr>
                <w:rFonts w:hint="eastAsia" w:ascii="宋体" w:hAnsi="宋体" w:eastAsia="宋体"/>
                <w:b/>
                <w:color w:val="000000" w:themeColor="text1"/>
                <w:sz w:val="22"/>
                <w:szCs w:val="22"/>
                <w14:textFill>
                  <w14:solidFill>
                    <w14:schemeClr w14:val="tx1"/>
                  </w14:solidFill>
                </w14:textFill>
              </w:rPr>
              <w:t>★</w:t>
            </w:r>
            <w:r>
              <w:rPr>
                <w:rFonts w:hint="eastAsia" w:ascii="宋体" w:hAnsi="宋体" w:eastAsia="宋体" w:cs="宋体"/>
                <w:kern w:val="0"/>
                <w:sz w:val="22"/>
                <w:szCs w:val="22"/>
              </w:rPr>
              <w:t>采用专业的防病毒引擎（提供防病毒引擎厂商授权书证明资料）。支持多接口可旁路的病毒文件传输监听检测方式，可并行监听并检测多个接口、多个网段内的病毒传输行为，用于高可靠性要求的旁路应用环境（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抗拒绝服务攻击</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支持主流ICMPFLOOD\SYNFLOOD\ACKFLOOD\SYNACKFLOOD\UDPFLOOD攻击防护，采用专业高效攻击防护算法，非采用简单的阈值进行攻击防护。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支持专业的DNSflood攻击防护，具有高级的基于聚类限速、聚类分析、重传检测等多种高级防护算法。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支持web界面下对攻击流量进行抓包分析，支持自定义抓包参数，至少包括数据报文长度、报文数量、抓包时间及采样频率等基本参数；支持根据协议、源目的IP、端口等参数进行数据报文过滤。</w:t>
            </w:r>
            <w:r>
              <w:rPr>
                <w:rFonts w:hint="eastAsia" w:ascii="宋体" w:hAnsi="宋体" w:eastAsia="宋体" w:cs="宋体"/>
                <w:kern w:val="0"/>
                <w:sz w:val="22"/>
                <w:szCs w:val="22"/>
              </w:rPr>
              <w:t>支持对本地抓包文件的管理，包括下载、删除等操作，同时支持FTP方式将抓包文件上传至指定的FTP服务器中。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vAlign w:val="center"/>
          </w:tcPr>
          <w:p>
            <w:pPr>
              <w:widowControl/>
              <w:jc w:val="left"/>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kern w:val="0"/>
                <w:sz w:val="22"/>
                <w:szCs w:val="22"/>
              </w:rPr>
              <w:t>支持对预定义的类型（身份证号，银行卡号，手机号，护照号，邮箱）等</w:t>
            </w:r>
            <w:r>
              <w:rPr>
                <w:rFonts w:ascii="宋体" w:hAnsi="宋体" w:eastAsia="宋体" w:cs="宋体"/>
                <w:kern w:val="0"/>
                <w:sz w:val="22"/>
                <w:szCs w:val="22"/>
              </w:rPr>
              <w:t>敏感信息进行</w:t>
            </w:r>
            <w:r>
              <w:rPr>
                <w:rFonts w:hint="eastAsia" w:ascii="宋体" w:hAnsi="宋体" w:eastAsia="宋体" w:cs="宋体"/>
                <w:kern w:val="0"/>
                <w:sz w:val="22"/>
                <w:szCs w:val="22"/>
              </w:rPr>
              <w:t>敏感信息防护</w:t>
            </w:r>
            <w:r>
              <w:rPr>
                <w:rFonts w:ascii="宋体" w:hAnsi="宋体" w:eastAsia="宋体" w:cs="宋体"/>
                <w:kern w:val="0"/>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反垃圾邮件</w:t>
            </w:r>
          </w:p>
        </w:tc>
        <w:tc>
          <w:tcPr>
            <w:tcW w:w="8236" w:type="dxa"/>
            <w:shd w:val="clear" w:color="auto" w:fill="auto"/>
            <w:vAlign w:val="center"/>
          </w:tcPr>
          <w:p>
            <w:pPr>
              <w:widowControl/>
              <w:jc w:val="left"/>
              <w:rPr>
                <w:rFonts w:ascii="宋体" w:hAnsi="宋体" w:cs="宋体"/>
                <w:kern w:val="0"/>
                <w:sz w:val="22"/>
                <w:szCs w:val="22"/>
              </w:rPr>
            </w:pPr>
            <w:r>
              <w:rPr>
                <w:rFonts w:hint="eastAsia" w:ascii="宋体" w:hAnsi="宋体" w:eastAsia="宋体" w:cs="宋体"/>
                <w:kern w:val="0"/>
                <w:sz w:val="22"/>
                <w:szCs w:val="22"/>
              </w:rPr>
              <w:t>支持SMTP, POP协议下的垃圾邮件检测，支持基于反中转的垃圾邮件识别和过滤。</w:t>
            </w:r>
            <w:r>
              <w:rPr>
                <w:rFonts w:hint="eastAsia" w:ascii="宋体" w:hAnsi="宋体" w:eastAsia="宋体" w:cs="宋体"/>
                <w:bCs/>
                <w:kern w:val="0"/>
                <w:sz w:val="22"/>
                <w:szCs w:val="22"/>
              </w:rPr>
              <w:t>支持防邮件炸弹功能，即设置POP3、SMTP的连接频率。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安全日志</w:t>
            </w: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支持至少3个Syslog服务器，发送流量、系统或默认3类型日志到不同服务器。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高可用性</w:t>
            </w: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支持端口联动，支持上下行端口组的联动，可以实现单端口决定同组中的任意接口失效启动链路切换。自动同步、心跳接口多级（≥2级）物理备份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bCs/>
                <w:kern w:val="0"/>
                <w:sz w:val="22"/>
                <w:szCs w:val="22"/>
              </w:rPr>
              <w:t>安全管理</w:t>
            </w: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根据实际需要在本项目中随防火墙提供防火墙安全管理平台，用于安全管理需要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b/>
                <w:sz w:val="22"/>
                <w:szCs w:val="22"/>
              </w:rPr>
              <w:t>★</w:t>
            </w:r>
            <w:r>
              <w:rPr>
                <w:rFonts w:hint="eastAsia" w:ascii="宋体" w:hAnsi="宋体" w:eastAsia="宋体" w:cs="宋体"/>
                <w:bCs/>
                <w:kern w:val="0"/>
                <w:sz w:val="22"/>
                <w:szCs w:val="22"/>
              </w:rPr>
              <w:t>支持安全管理平台，</w:t>
            </w:r>
            <w:r>
              <w:rPr>
                <w:rFonts w:hint="eastAsia" w:ascii="汉仪细中圆简" w:eastAsia="汉仪细中圆简"/>
                <w:sz w:val="22"/>
                <w:szCs w:val="22"/>
              </w:rPr>
              <w:t>对网络中的安全域、连接、设备节点等信息进行维护，支持以拓扑地图形式呈现用户网络部署情况，并可以进行自动拓扑布局调整（提供证明截图），支持呈现设备运行状况可查看设备的运行时间、网络流量、地址划分、路由配置等详细信息；支持设备的维护与管理，可对选定设备批量自动下发升级包，实现统一设备升级（提供证明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top"/>
          </w:tcPr>
          <w:p>
            <w:pPr>
              <w:widowControl/>
              <w:jc w:val="left"/>
              <w:rPr>
                <w:rFonts w:ascii="宋体" w:hAnsi="宋体" w:cs="宋体"/>
                <w:bCs/>
                <w:kern w:val="0"/>
                <w:sz w:val="22"/>
                <w:szCs w:val="22"/>
              </w:rPr>
            </w:pPr>
            <w:r>
              <w:rPr>
                <w:rFonts w:hint="eastAsia" w:ascii="宋体" w:hAnsi="宋体" w:eastAsia="宋体" w:cs="宋体"/>
                <w:bCs/>
                <w:kern w:val="0"/>
                <w:sz w:val="22"/>
                <w:szCs w:val="22"/>
              </w:rPr>
              <w:t>支持防火墙安全策略统一下发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top"/>
          </w:tcPr>
          <w:p>
            <w:pPr>
              <w:widowControl/>
              <w:jc w:val="left"/>
              <w:rPr>
                <w:rFonts w:ascii="宋体" w:hAnsi="宋体" w:cs="宋体"/>
                <w:bCs/>
                <w:kern w:val="0"/>
                <w:sz w:val="22"/>
                <w:szCs w:val="22"/>
              </w:rPr>
            </w:pPr>
            <w:r>
              <w:rPr>
                <w:rFonts w:hint="eastAsia" w:ascii="宋体" w:hAnsi="宋体" w:eastAsia="宋体" w:cs="宋体"/>
                <w:bCs/>
                <w:kern w:val="0"/>
                <w:sz w:val="22"/>
                <w:szCs w:val="22"/>
              </w:rPr>
              <w:t>支持以图形化方式实时监控日志流量的变化趋势，支持实时监控最近日志列表，支持实时监控系统风险状况，支持实时监控系统风险的变化趋势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top"/>
          </w:tcPr>
          <w:p>
            <w:pPr>
              <w:widowControl/>
              <w:jc w:val="left"/>
              <w:rPr>
                <w:rFonts w:ascii="宋体" w:hAnsi="宋体" w:cs="宋体"/>
                <w:bCs/>
                <w:kern w:val="0"/>
                <w:sz w:val="22"/>
                <w:szCs w:val="22"/>
              </w:rPr>
            </w:pPr>
            <w:r>
              <w:rPr>
                <w:rFonts w:hint="eastAsia" w:ascii="宋体" w:hAnsi="宋体" w:eastAsia="宋体" w:cs="宋体"/>
                <w:bCs/>
                <w:kern w:val="0"/>
                <w:sz w:val="22"/>
                <w:szCs w:val="22"/>
              </w:rPr>
              <w:t>支持对防火墙设备进行日志数据采集，将日志数据的格式解析和分类，灵活的查询日志信息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bCs/>
                <w:kern w:val="0"/>
                <w:sz w:val="22"/>
                <w:szCs w:val="22"/>
              </w:rPr>
            </w:pPr>
          </w:p>
        </w:tc>
        <w:tc>
          <w:tcPr>
            <w:tcW w:w="8236" w:type="dxa"/>
            <w:shd w:val="clear" w:color="auto" w:fill="auto"/>
            <w:vAlign w:val="top"/>
          </w:tcPr>
          <w:p>
            <w:pPr>
              <w:widowControl/>
              <w:jc w:val="left"/>
              <w:rPr>
                <w:rFonts w:ascii="宋体" w:hAnsi="宋体" w:cs="宋体"/>
                <w:bCs/>
                <w:kern w:val="0"/>
                <w:sz w:val="22"/>
                <w:szCs w:val="22"/>
              </w:rPr>
            </w:pPr>
            <w:r>
              <w:rPr>
                <w:rFonts w:hint="eastAsia" w:ascii="汉仪细中圆简" w:eastAsia="汉仪细中圆简"/>
                <w:sz w:val="22"/>
                <w:szCs w:val="22"/>
              </w:rPr>
              <w:t>提供了几十种可以定制的审计报表模板，可以针对访问行为、入侵攻击、流量信息、安全设备管理信息等各类日志生成分析报表，报表支持表格和多种图形表现形式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bCs/>
                <w:kern w:val="0"/>
                <w:sz w:val="22"/>
                <w:szCs w:val="22"/>
              </w:rPr>
            </w:pPr>
            <w:r>
              <w:rPr>
                <w:rFonts w:hint="eastAsia" w:ascii="宋体" w:hAnsi="宋体" w:eastAsia="宋体" w:cs="宋体"/>
                <w:sz w:val="22"/>
                <w:szCs w:val="22"/>
              </w:rPr>
              <w:t>产品资质</w:t>
            </w: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产品应具备CCRC中国国家信息安全产品认证证书；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产品应具备电信入网许可证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具备中国信息安全测评中心颁发的信息安全产品分级评估证书EAL4+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通过国家无线电监测中心检测中心防火墙抗雷击浪涌检测并出具委托检测报告（提供证明复印件）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restart"/>
            <w:shd w:val="clear" w:color="auto" w:fill="auto"/>
            <w:vAlign w:val="center"/>
          </w:tcPr>
          <w:p>
            <w:pPr>
              <w:widowControl/>
              <w:jc w:val="center"/>
              <w:rPr>
                <w:rFonts w:ascii="宋体" w:hAnsi="宋体" w:cs="宋体"/>
                <w:sz w:val="22"/>
                <w:szCs w:val="22"/>
              </w:rPr>
            </w:pPr>
            <w:r>
              <w:rPr>
                <w:rFonts w:hint="eastAsia" w:ascii="宋体" w:hAnsi="宋体" w:eastAsia="宋体" w:cs="宋体"/>
                <w:sz w:val="22"/>
                <w:szCs w:val="22"/>
              </w:rPr>
              <w:t>厂商资质</w:t>
            </w: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厂商具备CMMI L5认证证书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厂商参与制定《信息安全技术第二代防火墙安全技术要求》。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厂商具备CCRC信息安全服务资质认证证书（安全集成一级）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6" w:type="dxa"/>
            <w:vMerge w:val="continue"/>
            <w:shd w:val="clear" w:color="auto" w:fill="auto"/>
            <w:vAlign w:val="center"/>
          </w:tcPr>
          <w:p>
            <w:pPr>
              <w:widowControl/>
              <w:jc w:val="center"/>
              <w:rPr>
                <w:rFonts w:ascii="宋体" w:hAnsi="宋体" w:cs="宋体"/>
                <w:sz w:val="22"/>
                <w:szCs w:val="22"/>
              </w:rPr>
            </w:pPr>
          </w:p>
        </w:tc>
        <w:tc>
          <w:tcPr>
            <w:tcW w:w="8236" w:type="dxa"/>
            <w:shd w:val="clear" w:color="auto" w:fill="auto"/>
            <w:vAlign w:val="center"/>
          </w:tcPr>
          <w:p>
            <w:pPr>
              <w:widowControl/>
              <w:jc w:val="left"/>
              <w:rPr>
                <w:rFonts w:ascii="宋体" w:hAnsi="宋体" w:cs="宋体"/>
                <w:bCs/>
                <w:kern w:val="0"/>
                <w:sz w:val="22"/>
                <w:szCs w:val="22"/>
              </w:rPr>
            </w:pPr>
            <w:r>
              <w:rPr>
                <w:rFonts w:hint="eastAsia" w:ascii="宋体" w:hAnsi="宋体" w:eastAsia="宋体" w:cs="宋体"/>
                <w:bCs/>
                <w:kern w:val="0"/>
                <w:sz w:val="22"/>
                <w:szCs w:val="22"/>
              </w:rPr>
              <w:t>厂商具备ISO45001:2018职业健康安全管理体系认证证书</w:t>
            </w:r>
          </w:p>
        </w:tc>
      </w:tr>
    </w:tbl>
    <w:p>
      <w:pPr>
        <w:pStyle w:val="460"/>
        <w:ind w:left="360" w:firstLine="0" w:firstLineChars="0"/>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2.入侵防御系统（1台）</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699"/>
        <w:gridCol w:w="8153"/>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862" w:type="pct"/>
            <w:shd w:val="clear" w:color="auto" w:fill="B8CCE4" w:themeFill="accent1" w:themeFillTint="66"/>
            <w:vAlign w:val="center"/>
          </w:tcPr>
          <w:p>
            <w:pPr>
              <w:jc w:val="center"/>
              <w:rPr>
                <w:rFonts w:ascii="宋体" w:hAnsi="宋体" w:cs="宋体"/>
                <w:b/>
                <w:bCs/>
                <w:sz w:val="22"/>
                <w:szCs w:val="22"/>
              </w:rPr>
            </w:pPr>
            <w:r>
              <w:rPr>
                <w:rFonts w:ascii="宋体" w:hAnsi="宋体" w:cs="宋体"/>
                <w:b/>
                <w:bCs/>
                <w:sz w:val="22"/>
                <w:szCs w:val="22"/>
              </w:rPr>
              <w:t>指标项</w:t>
            </w:r>
          </w:p>
        </w:tc>
        <w:tc>
          <w:tcPr>
            <w:tcW w:w="4137" w:type="pct"/>
            <w:shd w:val="clear" w:color="auto" w:fill="B8CCE4" w:themeFill="accent1" w:themeFillTint="66"/>
            <w:vAlign w:val="center"/>
          </w:tcPr>
          <w:p>
            <w:pPr>
              <w:jc w:val="center"/>
              <w:rPr>
                <w:rFonts w:ascii="宋体" w:hAnsi="宋体" w:cs="宋体"/>
                <w:b/>
                <w:bCs/>
                <w:sz w:val="22"/>
                <w:szCs w:val="22"/>
              </w:rPr>
            </w:pPr>
            <w:r>
              <w:rPr>
                <w:rFonts w:ascii="宋体" w:hAnsi="宋体" w:cs="宋体"/>
                <w:b/>
                <w:bCs/>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Align w:val="center"/>
          </w:tcPr>
          <w:p>
            <w:pPr>
              <w:jc w:val="center"/>
              <w:rPr>
                <w:rFonts w:ascii="宋体" w:hAnsi="宋体" w:cs="宋体"/>
                <w:sz w:val="22"/>
                <w:szCs w:val="22"/>
              </w:rPr>
            </w:pPr>
            <w:r>
              <w:rPr>
                <w:rFonts w:ascii="宋体" w:hAnsi="宋体" w:eastAsia="宋体" w:cs="宋体"/>
                <w:sz w:val="22"/>
                <w:szCs w:val="22"/>
              </w:rPr>
              <w:t>★硬件要求</w:t>
            </w:r>
          </w:p>
        </w:tc>
        <w:tc>
          <w:tcPr>
            <w:tcW w:w="8154" w:type="dxa"/>
            <w:vAlign w:val="center"/>
          </w:tcPr>
          <w:p>
            <w:pPr>
              <w:rPr>
                <w:rFonts w:ascii="宋体" w:hAnsi="宋体" w:cs="宋体"/>
                <w:sz w:val="22"/>
                <w:szCs w:val="22"/>
              </w:rPr>
            </w:pPr>
            <w:r>
              <w:rPr>
                <w:rFonts w:ascii="宋体" w:hAnsi="宋体" w:eastAsia="宋体" w:cs="宋体"/>
                <w:sz w:val="22"/>
                <w:szCs w:val="22"/>
              </w:rPr>
              <w:t>国产化芯片CPU，国产操作系统，冗余电源,≥2U上架设备，≥1个RJ-45 Console口，≥1个HA口，≥1个管理口，≥12个具备BYPASS功能的电口，≥8个千兆光口</w:t>
            </w:r>
            <w:r>
              <w:rPr>
                <w:rFonts w:hint="eastAsia" w:ascii="宋体" w:hAnsi="宋体" w:eastAsia="宋体" w:cs="宋体"/>
                <w:sz w:val="22"/>
                <w:szCs w:val="22"/>
              </w:rPr>
              <w:t>（按项目需求提供光模块）</w:t>
            </w:r>
            <w:r>
              <w:rPr>
                <w:rFonts w:ascii="宋体" w:hAnsi="宋体" w:eastAsia="宋体" w:cs="宋体"/>
                <w:sz w:val="22"/>
                <w:szCs w:val="22"/>
              </w:rPr>
              <w:t>，≥2个USB口,硬盘存储≥8T。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Align w:val="center"/>
          </w:tcPr>
          <w:p>
            <w:pPr>
              <w:jc w:val="center"/>
              <w:rPr>
                <w:rFonts w:ascii="宋体" w:hAnsi="宋体" w:cs="宋体"/>
                <w:sz w:val="22"/>
                <w:szCs w:val="22"/>
              </w:rPr>
            </w:pPr>
            <w:r>
              <w:rPr>
                <w:rFonts w:ascii="宋体" w:hAnsi="宋体" w:eastAsia="宋体" w:cs="宋体"/>
                <w:sz w:val="22"/>
                <w:szCs w:val="22"/>
              </w:rPr>
              <w:t>性能要去</w:t>
            </w:r>
          </w:p>
        </w:tc>
        <w:tc>
          <w:tcPr>
            <w:tcW w:w="8154" w:type="dxa"/>
            <w:vAlign w:val="center"/>
          </w:tcPr>
          <w:p>
            <w:pPr>
              <w:rPr>
                <w:rFonts w:ascii="宋体" w:hAnsi="宋体" w:cs="宋体"/>
                <w:sz w:val="22"/>
                <w:szCs w:val="22"/>
              </w:rPr>
            </w:pPr>
            <w:r>
              <w:rPr>
                <w:rFonts w:ascii="宋体" w:hAnsi="宋体" w:eastAsia="宋体" w:cs="宋体"/>
                <w:sz w:val="22"/>
                <w:szCs w:val="22"/>
              </w:rPr>
              <w:t>整机最大并发连接≥1000万，整机最大吞吐量≥7Gbps,</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restart"/>
            <w:vAlign w:val="center"/>
          </w:tcPr>
          <w:p>
            <w:pPr>
              <w:jc w:val="center"/>
              <w:rPr>
                <w:rFonts w:ascii="宋体" w:hAnsi="宋体" w:cs="宋体"/>
                <w:sz w:val="22"/>
                <w:szCs w:val="22"/>
              </w:rPr>
            </w:pPr>
            <w:r>
              <w:rPr>
                <w:rFonts w:ascii="宋体" w:hAnsi="宋体" w:eastAsia="宋体" w:cs="宋体"/>
                <w:sz w:val="22"/>
                <w:szCs w:val="22"/>
              </w:rPr>
              <w:t>功能要求</w:t>
            </w:r>
          </w:p>
        </w:tc>
        <w:tc>
          <w:tcPr>
            <w:tcW w:w="8154" w:type="dxa"/>
            <w:vAlign w:val="center"/>
          </w:tcPr>
          <w:p>
            <w:pPr>
              <w:rPr>
                <w:rFonts w:ascii="宋体" w:hAnsi="宋体" w:cs="宋体"/>
                <w:sz w:val="22"/>
                <w:szCs w:val="22"/>
              </w:rPr>
            </w:pPr>
            <w:r>
              <w:rPr>
                <w:rFonts w:ascii="宋体" w:hAnsi="宋体" w:eastAsia="宋体" w:cs="宋体"/>
                <w:sz w:val="22"/>
                <w:szCs w:val="22"/>
              </w:rPr>
              <w:t>系统应提供覆盖广泛的攻击特征库，可针对网络病毒、蠕虫、间谍软件、木马后门、扫描探测、暴力破解等恶意流量进行检测和阻断，攻击特征库数量至少为5000种以上，应能够有效抵御SQL注入等多种常见的应用层安全威胁，提供产品内置特征库数量及产品截图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系统应提供基于信誉的僵尸网络防护能力，具备可以持续升级的信誉库，IPS内置信誉库包括僵尸网络防护、WEB信誉防护及文件信誉，可自定义信誉值执行相应的防护动作。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系统应提供敏感数据保护功能，能够识别、阻断通过自身的敏感数据信息（身份证号、银行卡、手机号等）。</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操作系统为VSP通用安全平台，具备高效、智能、安全、健壮、易扩展等特点，需提供VSP证明文件，系统应为机架式独立IPS硬件设备，全内置封闭式结构，具有完全自主知识产权的专用安全操作系统，稳定可靠。</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支持单独的恶意样本检测规则升级功能，方便对恶意样本检测功能进行扩充，提供功能截图并加盖原厂商公章。提供IPS事件日志和报表，报表支持PDF、TXT、HTML、CSV、DOCX格式，并提供导出功能，。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支持黑名单，根据报文的源IP地址、掩码进行报文过滤支持白名单，根据报文的源IP地址、掩码让报文通过，支持IPS业务、防垃圾邮件、防病毒、应用安全等业务。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具备入侵逃避发现能力，例如协议端口重定位逃避（TCP.DestinationPortTyperandom），需提供第三方测评机构（必须是公安部三所、国家保密局、信产信息安全测评中心其中一家）的检测报告。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能发现躲避或欺骗检测的行为，如IP碎片重组、TCP流重组，协议端口重定位，URL字符串变形、shell代码变形，需提供第三方测评机构（必须是公安部三所、国家保密局、信产信息安全测评中心其中一家）的检测报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★系统应支持威胁情报联动能力，且具备威胁情报软件著作权。（提供证明材料），为保证病毒检测的可靠性，要求系统应至少支持双病毒引擎，需提供界面截图并提供防病毒引擎厂商合作证明；</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支持对终端种植了远控木马或者病毒等恶意软件进行检测，展示和外部命令控制服务器的交互行为和其他可疑行为。</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系统应能识别主流的应用程序，识别种类不少于2500种。</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系统应具备终端和服务器环境感知能力，通过主动扫描和扫描结果导入获得终端环境情况。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无需另外安装软件组件，系统可对视频前端网络中的终端和IOT设备，设备类型包括服务器、门禁、打印机、扫描仪、信号灯等的安全日志进行采集。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支持显示系统最近10分钟、1小时、24小时的上下行流量趋势、总流量、总流量占比，并支持趋势图和关联用户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jc w:val="cente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为保证整体网络架构的稳定性，本次IPS产品与防火墙产品同一品牌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restart"/>
            <w:vAlign w:val="center"/>
          </w:tcPr>
          <w:p>
            <w:pPr>
              <w:rPr>
                <w:rFonts w:ascii="宋体" w:hAnsi="宋体" w:cs="宋体"/>
                <w:sz w:val="22"/>
                <w:szCs w:val="22"/>
              </w:rPr>
            </w:pPr>
            <w:r>
              <w:rPr>
                <w:rFonts w:ascii="宋体" w:hAnsi="宋体" w:eastAsia="宋体" w:cs="宋体"/>
                <w:sz w:val="22"/>
                <w:szCs w:val="22"/>
              </w:rPr>
              <w:t>产品资质</w:t>
            </w:r>
          </w:p>
        </w:tc>
        <w:tc>
          <w:tcPr>
            <w:tcW w:w="8154" w:type="dxa"/>
            <w:vAlign w:val="center"/>
          </w:tcPr>
          <w:p>
            <w:pPr>
              <w:rPr>
                <w:rFonts w:ascii="宋体" w:hAnsi="宋体" w:cs="宋体"/>
                <w:sz w:val="22"/>
                <w:szCs w:val="22"/>
              </w:rPr>
            </w:pPr>
            <w:r>
              <w:rPr>
                <w:rFonts w:ascii="宋体" w:hAnsi="宋体" w:eastAsia="宋体" w:cs="宋体"/>
                <w:sz w:val="22"/>
                <w:szCs w:val="22"/>
              </w:rPr>
              <w:t>投标产品应该是经过市场考验的成熟产品，产品上市时间不少于10年。须提供销售许可证或软件著作权证书等有效证明材料。产品应具有中华人民共和国公安部颁发的《计算机信息系统安全专用产品销售许可证》，提供有效证书的复印件。</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产品具有中国信息安全测评中心颁发的《国家信息安全测评信息技术产品安全检测证书-EAL3+级》。</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产品具有中国信息安全认证中心颁发的《IT产品信息安全认证证书》</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698" w:type="dxa"/>
            <w:vMerge w:val="continue"/>
            <w:vAlign w:val="center"/>
          </w:tcPr>
          <w:p>
            <w:pPr>
              <w:rPr>
                <w:rFonts w:ascii="宋体" w:hAnsi="宋体" w:cs="宋体"/>
                <w:sz w:val="22"/>
                <w:szCs w:val="22"/>
              </w:rPr>
            </w:pPr>
          </w:p>
        </w:tc>
        <w:tc>
          <w:tcPr>
            <w:tcW w:w="8154" w:type="dxa"/>
            <w:vAlign w:val="center"/>
          </w:tcPr>
          <w:p>
            <w:pPr>
              <w:rPr>
                <w:rFonts w:ascii="宋体" w:hAnsi="宋体" w:cs="宋体"/>
                <w:sz w:val="22"/>
                <w:szCs w:val="22"/>
              </w:rPr>
            </w:pPr>
            <w:r>
              <w:rPr>
                <w:rFonts w:ascii="宋体" w:hAnsi="宋体" w:eastAsia="宋体" w:cs="宋体"/>
                <w:sz w:val="22"/>
                <w:szCs w:val="22"/>
              </w:rPr>
              <w:t>通过电磁兼容测试提供国家无线电监测中心检测中心检测报告</w:t>
            </w:r>
          </w:p>
        </w:tc>
      </w:tr>
    </w:tbl>
    <w:p>
      <w:pPr>
        <w:pStyle w:val="460"/>
        <w:ind w:firstLine="0" w:firstLineChars="0"/>
        <w:rPr>
          <w:rFonts w:ascii="新宋体" w:hAnsi="新宋体" w:eastAsia="新宋体" w:cs="新宋体"/>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3.网络安全审计系统（1台）</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8"/>
        <w:gridCol w:w="8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74" w:type="pct"/>
            <w:shd w:val="clear" w:color="auto" w:fill="B8CCE4" w:themeFill="accent1" w:themeFillTint="66"/>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技术指标</w:t>
            </w:r>
          </w:p>
        </w:tc>
        <w:tc>
          <w:tcPr>
            <w:tcW w:w="4325" w:type="pct"/>
            <w:shd w:val="clear" w:color="auto" w:fill="B8CCE4" w:themeFill="accent1" w:themeFillTint="66"/>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Align w:val="center"/>
          </w:tcPr>
          <w:p>
            <w:pPr>
              <w:jc w:val="center"/>
              <w:rPr>
                <w:rFonts w:ascii="新宋体" w:hAnsi="新宋体" w:eastAsia="新宋体" w:cs="新宋体"/>
                <w:b/>
                <w:sz w:val="22"/>
                <w:szCs w:val="22"/>
              </w:rPr>
            </w:pPr>
            <w:r>
              <w:rPr>
                <w:rFonts w:hint="eastAsia" w:ascii="宋体" w:hAnsi="宋体" w:eastAsia="宋体"/>
                <w:b/>
                <w:sz w:val="22"/>
                <w:szCs w:val="22"/>
              </w:rPr>
              <w:t>硬件规格</w:t>
            </w:r>
          </w:p>
        </w:tc>
        <w:tc>
          <w:tcPr>
            <w:tcW w:w="8524" w:type="dxa"/>
            <w:vAlign w:val="center"/>
          </w:tcPr>
          <w:p>
            <w:pPr>
              <w:rPr>
                <w:rFonts w:ascii="新宋体" w:hAnsi="新宋体" w:eastAsia="新宋体" w:cs="新宋体"/>
                <w:sz w:val="22"/>
                <w:szCs w:val="22"/>
              </w:rPr>
            </w:pPr>
            <w:r>
              <w:rPr>
                <w:rFonts w:hint="eastAsia" w:ascii="宋体" w:hAnsi="宋体" w:eastAsia="宋体"/>
                <w:kern w:val="0"/>
                <w:sz w:val="22"/>
                <w:szCs w:val="22"/>
              </w:rPr>
              <w:t>★国产化芯片CPU，核心数≥4，国产操作系统，主频≥2GHz；2U标准式机架硬件设备，配置冗余电源；</w:t>
            </w:r>
            <w:r>
              <w:rPr>
                <w:rFonts w:hint="eastAsia" w:ascii="宋体" w:hAnsi="宋体" w:eastAsia="宋体"/>
                <w:sz w:val="22"/>
                <w:szCs w:val="22"/>
              </w:rPr>
              <w:t>存储空间</w:t>
            </w:r>
            <w:r>
              <w:rPr>
                <w:rFonts w:hint="eastAsia" w:ascii="宋体" w:hAnsi="宋体" w:eastAsia="宋体"/>
                <w:kern w:val="0"/>
                <w:sz w:val="22"/>
                <w:szCs w:val="22"/>
              </w:rPr>
              <w:t>≥</w:t>
            </w:r>
            <w:r>
              <w:rPr>
                <w:rFonts w:hint="eastAsia" w:ascii="宋体" w:hAnsi="宋体" w:eastAsia="宋体"/>
                <w:sz w:val="22"/>
                <w:szCs w:val="22"/>
              </w:rPr>
              <w:t>1TB，支持RAID0，千兆电口≥4个，千兆光口≥4个（按项目需求提供光模块），</w:t>
            </w:r>
            <w:r>
              <w:rPr>
                <w:rFonts w:hint="eastAsia" w:ascii="宋体" w:hAnsi="宋体" w:eastAsia="宋体"/>
                <w:kern w:val="0"/>
                <w:sz w:val="22"/>
                <w:szCs w:val="22"/>
              </w:rPr>
              <w:t>≥</w:t>
            </w:r>
            <w:r>
              <w:rPr>
                <w:rFonts w:hint="eastAsia" w:ascii="宋体" w:hAnsi="宋体" w:eastAsia="宋体"/>
                <w:sz w:val="22"/>
                <w:szCs w:val="22"/>
              </w:rPr>
              <w:t>1个接口扩展槽位。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性能要求</w:t>
            </w: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抓包速率≥526Mpbs，事件记录能力≥12000条/秒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审计协议</w:t>
            </w: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支持对Oracle、SQL-Server、DB2、Informix、Sybase、MySQL、PostgreSQL、Teradata、Cache等数据库进行审计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支持高斯（Gauss）、人大金仓KingBase、神通(OSCAR)、达梦(DM)、南大通用(GBase) 等数据库进行审计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ascii="宋体" w:hAnsi="宋体" w:eastAsia="宋体"/>
                <w:sz w:val="22"/>
                <w:szCs w:val="22"/>
              </w:rPr>
              <w:t>支持MongoDB</w:t>
            </w:r>
            <w:r>
              <w:rPr>
                <w:rFonts w:hint="eastAsia" w:ascii="宋体" w:hAnsi="宋体" w:eastAsia="宋体"/>
                <w:sz w:val="22"/>
                <w:szCs w:val="22"/>
              </w:rPr>
              <w:t>、Redis、Hbase、hive、ES等数据库进行审计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支持FTP、Rlogin、Radius、NFS、X11等协议审计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审计能力与效果</w:t>
            </w: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系统应内置规则集，对数据库DML、DCL、DDL等语句及FTP、Telnet等协议中的命令进行归类，便于用户定制审计策略。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kern w:val="0"/>
                <w:sz w:val="22"/>
                <w:szCs w:val="22"/>
              </w:rPr>
            </w:pPr>
            <w:r>
              <w:rPr>
                <w:rFonts w:hint="eastAsia" w:ascii="宋体" w:hAnsi="宋体" w:eastAsia="宋体"/>
                <w:sz w:val="22"/>
                <w:szCs w:val="22"/>
              </w:rPr>
              <w:t>审计策略支持数据库客户端软件名称、数据库名、数据库表名、数据库字段名、数据库返回码作为响应条件（非正则表达式方式）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提供对数据库返回码的实时说明，帮助管理员快速对返回码进行识别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审计策略支持数据库客户端软件名称、数据库名、数据库表名、数据库字段名、数据库返回码作为响应条件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 xml:space="preserve">支持SQL操作响应时间的审计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支持Select操作返回行数和返回内容的审计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支持频次告警，某一操作在周期时间内达到设定的次数阀值即可告警，周期事件和次数可按需配置，需提供截图证明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 xml:space="preserve">支持数据库并发会话数、并发进程数、并发用户数、并发游标数、并发事务数、数据库锁等超过限制的审计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支持审计网络邻居的用户名、读写操作、文件名等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支持对针对数据库的XSS、SQL注入攻击行为进行审计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支持对Oracle数据库状态的自动监控，可监控会话数、连接进程、CPU和内存占用率等信息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数据库操作行为基线包括数据库账号、操作类型、源IP、客户端程序等行为特征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智能发现</w:t>
            </w: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数据库审计支持用户环境中的数据库和资源账号、表名的自动发现，方便用户使用，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left"/>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数据库审计支持用户数据库中敏感信息的自动发现，方便针对敏感信息配置针对性的审计策略，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left"/>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★敏感信息发现支持探测器和正则表达式两种方式，探测器至少包含：姓名、地名、银行卡、身份证、IP地址、密码等多种探测器，需提供截图证明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事件查询统计与报表</w:t>
            </w: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用户操作轨迹图展示，轨迹图维度可自定义，包括：资源账号、源ip、客户端程序名、命令、表名、错误码等，可根据昨天、最近七天、最近30天以及自定义时间进行轨迹显示，可显示关联数量，可在某一维度中进行筛选，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支持敏感信息掩码，用户可以针对姓名、身份证号、手机号、银行卡号、住址以及自定义信息进行敏感信息掩码配置，防止敏感信息在审计系统中进行泄露。需提供截图证明。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支持按时间、级别、源\目的IP、协议名、源\目的MAC、源\目的端口为条件进行查询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★支持基于场景的操作异常分析；可直观展现数据库异常、异常账号的访问、同账号多IP登录、上下班操作量对比异常、操作响应时间分析；需提供截图证明。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jc w:val="left"/>
              <w:rPr>
                <w:rFonts w:ascii="新宋体" w:hAnsi="新宋体" w:eastAsia="新宋体" w:cs="新宋体"/>
                <w:sz w:val="22"/>
                <w:szCs w:val="22"/>
              </w:rPr>
            </w:pPr>
            <w:r>
              <w:rPr>
                <w:rFonts w:hint="eastAsia" w:ascii="宋体" w:hAnsi="宋体" w:eastAsia="宋体"/>
                <w:sz w:val="22"/>
                <w:szCs w:val="22"/>
              </w:rPr>
              <w:t>支持疑似暴力破解、疑似撞库攻击场景的操作异常分析；行为周期与阀值可按需定义；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查询需支持返回全部符合条件的结果，无上限限制；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可支持sql语句关键字查询，查询结果包含该关键字的sql语句；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提供缺省的报表模板库，包括SOX报表、PCI报表等模板，供用户选择使用。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系统应内置统计分析模板，统计模板包括且不限于：趋势分析、统计分析、性能分析等，且支持自定义模板，自定义条件包括源IP、目的IP、资源账号、客户端名称、协议等10几种。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系统支持根据自定义关键字自动生成报表，生成报表支持Word、PDF、xls、HTML、WPS格式的报表导出，并支持已邮件方式自动发送报表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ascii="宋体" w:hAnsi="宋体" w:eastAsia="宋体"/>
                <w:b/>
                <w:sz w:val="22"/>
                <w:szCs w:val="22"/>
              </w:rPr>
              <w:t>自身管理</w:t>
            </w:r>
          </w:p>
        </w:tc>
        <w:tc>
          <w:tcPr>
            <w:tcW w:w="8524" w:type="dxa"/>
            <w:shd w:val="clear" w:color="auto" w:fill="auto"/>
            <w:vAlign w:val="center"/>
          </w:tcPr>
          <w:p>
            <w:pPr>
              <w:rPr>
                <w:rFonts w:ascii="新宋体" w:hAnsi="新宋体" w:eastAsia="新宋体" w:cs="新宋体"/>
                <w:kern w:val="0"/>
                <w:sz w:val="22"/>
                <w:szCs w:val="22"/>
              </w:rPr>
            </w:pPr>
            <w:r>
              <w:rPr>
                <w:rFonts w:hint="eastAsia" w:ascii="宋体" w:hAnsi="宋体" w:eastAsia="宋体"/>
                <w:sz w:val="22"/>
                <w:szCs w:val="22"/>
              </w:rPr>
              <w:t>提供管理员权限设置和分权管理，提供三权分立功能，系统可以对使用人员的操作进行审计记录，可以由审计员进行查询，具有自身安全审计功能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adjustRightInd w:val="0"/>
              <w:snapToGrid w:val="0"/>
              <w:rPr>
                <w:rFonts w:ascii="新宋体" w:hAnsi="新宋体" w:eastAsia="新宋体" w:cs="新宋体"/>
                <w:sz w:val="22"/>
                <w:szCs w:val="22"/>
              </w:rPr>
            </w:pPr>
            <w:r>
              <w:rPr>
                <w:rFonts w:hint="eastAsia" w:ascii="宋体" w:hAnsi="宋体" w:eastAsia="宋体"/>
                <w:sz w:val="22"/>
                <w:szCs w:val="22"/>
              </w:rPr>
              <w:t>管理员登陆支持静态口令认证，支持密码的复杂性管理，比如大小写、数字、特殊字符、长度等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提供磁盘存储容量不足、磁盘Raid故障等自动邮件报警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adjustRightInd w:val="0"/>
              <w:snapToGrid w:val="0"/>
              <w:rPr>
                <w:rFonts w:ascii="新宋体" w:hAnsi="新宋体" w:eastAsia="新宋体" w:cs="新宋体"/>
                <w:sz w:val="22"/>
                <w:szCs w:val="22"/>
              </w:rPr>
            </w:pPr>
            <w:r>
              <w:rPr>
                <w:rFonts w:hint="eastAsia" w:ascii="宋体" w:hAnsi="宋体" w:eastAsia="宋体"/>
                <w:sz w:val="22"/>
                <w:szCs w:val="22"/>
              </w:rPr>
              <w:t>审计系统上存在大量敏感信息，必须对审计管理员进行强度更高的认证，管理员登陆支持硬件令牌认证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adjustRightInd w:val="0"/>
              <w:snapToGrid w:val="0"/>
              <w:jc w:val="left"/>
              <w:rPr>
                <w:rFonts w:ascii="新宋体" w:hAnsi="新宋体" w:eastAsia="新宋体" w:cs="新宋体"/>
                <w:sz w:val="22"/>
                <w:szCs w:val="22"/>
              </w:rPr>
            </w:pPr>
            <w:r>
              <w:rPr>
                <w:rFonts w:hint="eastAsia" w:ascii="宋体" w:hAnsi="宋体" w:eastAsia="宋体"/>
                <w:sz w:val="22"/>
                <w:szCs w:val="22"/>
              </w:rPr>
              <w:t>系统支持一键自检功能，可以检查系统当前运行状态，检查内容包括：系统信息、进程信息、数据库信息、授权信息、用户信息等17项内容，协助管理员迅速定位系统异常，减少日常维护工作量。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adjustRightInd w:val="0"/>
              <w:snapToGrid w:val="0"/>
              <w:jc w:val="left"/>
              <w:rPr>
                <w:rFonts w:ascii="新宋体" w:hAnsi="新宋体" w:eastAsia="新宋体" w:cs="新宋体"/>
                <w:sz w:val="22"/>
                <w:szCs w:val="22"/>
              </w:rPr>
            </w:pPr>
            <w:r>
              <w:rPr>
                <w:rFonts w:hint="eastAsia" w:ascii="宋体" w:hAnsi="宋体" w:eastAsia="宋体"/>
                <w:sz w:val="22"/>
                <w:szCs w:val="22"/>
              </w:rPr>
              <w:t>系统告警，系统可以针对引擎状态变化、关键进程异常、登录异常、权限异常、系统资源超限、流量超限、HA状态变化、磁盘空间不足等各类系统自身异常进行实时页面告警，帮助管理员及时发现系统异常。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响应方式</w:t>
            </w: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记录审计事件、界面告警、</w:t>
            </w:r>
            <w:r>
              <w:rPr>
                <w:rFonts w:ascii="宋体" w:hAnsi="宋体" w:eastAsia="宋体"/>
                <w:sz w:val="22"/>
                <w:szCs w:val="22"/>
              </w:rPr>
              <w:t>S</w:t>
            </w:r>
            <w:r>
              <w:rPr>
                <w:rFonts w:hint="eastAsia" w:ascii="宋体" w:hAnsi="宋体" w:eastAsia="宋体"/>
                <w:sz w:val="22"/>
                <w:szCs w:val="22"/>
              </w:rPr>
              <w:t>yslog告警、SNMP trap告警、邮件告警、短信告警等多种响应方式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扩展接口与联动</w:t>
            </w: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支持syslog服务器配置自定义，不同策略可选择不同syslog服务器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支持snmp服务器配置自定义，不同策略可选择不同snmp服务器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sz w:val="22"/>
                <w:szCs w:val="22"/>
              </w:rPr>
            </w:pPr>
            <w:r>
              <w:rPr>
                <w:rFonts w:hint="eastAsia" w:ascii="宋体" w:hAnsi="宋体" w:eastAsia="宋体"/>
                <w:sz w:val="22"/>
                <w:szCs w:val="22"/>
              </w:rPr>
              <w:t>支持与本次采购的威胁分析一体机进行联动，对于网络传输的文件不仅可以审计，还支持恶意代码检测，报告可疑的攻击文件。需提供截图证明</w:t>
            </w:r>
            <w:r>
              <w:rPr>
                <w:rFonts w:hint="eastAsia" w:ascii="宋体" w:hAnsi="宋体" w:eastAsia="宋体"/>
                <w:color w:val="FF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restart"/>
            <w:shd w:val="clear" w:color="auto" w:fill="auto"/>
            <w:vAlign w:val="center"/>
          </w:tcPr>
          <w:p>
            <w:pPr>
              <w:jc w:val="center"/>
              <w:rPr>
                <w:rFonts w:ascii="新宋体" w:hAnsi="新宋体" w:eastAsia="新宋体" w:cs="新宋体"/>
                <w:b/>
                <w:sz w:val="22"/>
                <w:szCs w:val="22"/>
              </w:rPr>
            </w:pPr>
            <w:r>
              <w:rPr>
                <w:rFonts w:hint="eastAsia" w:ascii="宋体" w:hAnsi="宋体" w:eastAsia="宋体"/>
                <w:b/>
                <w:sz w:val="22"/>
                <w:szCs w:val="22"/>
              </w:rPr>
              <w:t>资质相关</w:t>
            </w:r>
          </w:p>
        </w:tc>
        <w:tc>
          <w:tcPr>
            <w:tcW w:w="8524" w:type="dxa"/>
            <w:shd w:val="clear" w:color="auto" w:fill="auto"/>
            <w:vAlign w:val="center"/>
          </w:tcPr>
          <w:p>
            <w:pPr>
              <w:widowControl/>
              <w:jc w:val="left"/>
              <w:rPr>
                <w:rFonts w:ascii="新宋体" w:hAnsi="新宋体" w:eastAsia="新宋体" w:cs="新宋体"/>
                <w:kern w:val="0"/>
                <w:sz w:val="22"/>
                <w:szCs w:val="22"/>
              </w:rPr>
            </w:pPr>
            <w:r>
              <w:rPr>
                <w:rFonts w:hint="eastAsia" w:ascii="宋体" w:hAnsi="宋体" w:eastAsia="宋体" w:cs="宋体"/>
                <w:bCs/>
                <w:kern w:val="0"/>
                <w:sz w:val="22"/>
                <w:szCs w:val="22"/>
              </w:rPr>
              <w:t>具备公安部颁发的《计算机信息系统安全专用产品销售许可证》，要求</w:t>
            </w:r>
            <w:r>
              <w:rPr>
                <w:rFonts w:hint="eastAsia" w:ascii="宋体" w:hAnsi="宋体" w:eastAsia="宋体"/>
                <w:kern w:val="0"/>
                <w:sz w:val="22"/>
                <w:szCs w:val="22"/>
              </w:rPr>
              <w:t>类型/级别为：综合型安全审计类（增强级）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widowControl/>
              <w:jc w:val="left"/>
              <w:rPr>
                <w:rFonts w:ascii="新宋体" w:hAnsi="新宋体" w:eastAsia="新宋体" w:cs="新宋体"/>
                <w:kern w:val="0"/>
                <w:sz w:val="22"/>
                <w:szCs w:val="22"/>
              </w:rPr>
            </w:pPr>
            <w:r>
              <w:rPr>
                <w:rFonts w:hint="eastAsia" w:ascii="宋体" w:hAnsi="宋体" w:eastAsia="宋体"/>
                <w:kern w:val="0"/>
                <w:sz w:val="22"/>
                <w:szCs w:val="22"/>
              </w:rPr>
              <w:t>具备中国网络安全审查技术与认证中心颁发的《中国国家信息安全产品认证证书》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kern w:val="0"/>
                <w:sz w:val="22"/>
                <w:szCs w:val="22"/>
              </w:rPr>
            </w:pPr>
            <w:r>
              <w:rPr>
                <w:rFonts w:hint="eastAsia" w:ascii="宋体" w:hAnsi="宋体" w:eastAsia="宋体" w:cs="宋体"/>
                <w:bCs/>
                <w:kern w:val="0"/>
                <w:sz w:val="22"/>
                <w:szCs w:val="22"/>
              </w:rPr>
              <w:t>具备中国信息安全测评中心颁发的</w:t>
            </w:r>
            <w:r>
              <w:rPr>
                <w:rFonts w:hint="eastAsia" w:ascii="宋体" w:hAnsi="宋体" w:eastAsia="宋体"/>
                <w:kern w:val="0"/>
                <w:sz w:val="22"/>
                <w:szCs w:val="22"/>
              </w:rPr>
              <w:t>《</w:t>
            </w:r>
            <w:r>
              <w:rPr>
                <w:rFonts w:hint="eastAsia" w:ascii="宋体" w:hAnsi="宋体" w:eastAsia="宋体"/>
                <w:sz w:val="22"/>
                <w:szCs w:val="22"/>
              </w:rPr>
              <w:t>信息技术产品安全测评证书</w:t>
            </w:r>
            <w:r>
              <w:rPr>
                <w:rFonts w:hint="eastAsia" w:ascii="宋体" w:hAnsi="宋体" w:eastAsia="宋体"/>
                <w:kern w:val="0"/>
                <w:sz w:val="22"/>
                <w:szCs w:val="22"/>
              </w:rPr>
              <w:t>》，要求级别为：</w:t>
            </w:r>
            <w:r>
              <w:rPr>
                <w:rFonts w:hint="eastAsia" w:ascii="宋体" w:hAnsi="宋体" w:eastAsia="宋体"/>
                <w:sz w:val="22"/>
                <w:szCs w:val="22"/>
              </w:rPr>
              <w:t>EAL3+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bCs/>
                <w:kern w:val="0"/>
                <w:sz w:val="22"/>
                <w:szCs w:val="22"/>
              </w:rPr>
            </w:pPr>
            <w:r>
              <w:rPr>
                <w:rFonts w:hint="eastAsia" w:ascii="宋体" w:hAnsi="宋体" w:eastAsia="宋体" w:cs="宋体"/>
                <w:bCs/>
                <w:kern w:val="0"/>
                <w:sz w:val="22"/>
                <w:szCs w:val="22"/>
              </w:rPr>
              <w:t>具备</w:t>
            </w:r>
            <w:r>
              <w:rPr>
                <w:rFonts w:hint="eastAsia" w:ascii="宋体" w:hAnsi="宋体" w:eastAsia="宋体"/>
                <w:kern w:val="0"/>
                <w:sz w:val="22"/>
                <w:szCs w:val="22"/>
              </w:rPr>
              <w:t>中国网络安全审查技术与认证中心颁发</w:t>
            </w:r>
            <w:r>
              <w:rPr>
                <w:rFonts w:hint="eastAsia" w:ascii="宋体" w:hAnsi="宋体" w:eastAsia="宋体" w:cs="宋体"/>
                <w:bCs/>
                <w:kern w:val="0"/>
                <w:sz w:val="22"/>
                <w:szCs w:val="22"/>
              </w:rPr>
              <w:t>《网络关键设备和网络安全专用产品认证证书》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28" w:type="dxa"/>
            <w:vMerge w:val="continue"/>
            <w:shd w:val="clear" w:color="auto" w:fill="auto"/>
            <w:vAlign w:val="center"/>
          </w:tcPr>
          <w:p>
            <w:pPr>
              <w:jc w:val="center"/>
              <w:rPr>
                <w:rFonts w:ascii="新宋体" w:hAnsi="新宋体" w:eastAsia="新宋体" w:cs="新宋体"/>
                <w:b/>
                <w:sz w:val="22"/>
                <w:szCs w:val="22"/>
              </w:rPr>
            </w:pPr>
          </w:p>
        </w:tc>
        <w:tc>
          <w:tcPr>
            <w:tcW w:w="8524" w:type="dxa"/>
            <w:shd w:val="clear" w:color="auto" w:fill="auto"/>
            <w:vAlign w:val="center"/>
          </w:tcPr>
          <w:p>
            <w:pPr>
              <w:rPr>
                <w:rFonts w:ascii="新宋体" w:hAnsi="新宋体" w:eastAsia="新宋体" w:cs="新宋体"/>
                <w:kern w:val="0"/>
                <w:sz w:val="22"/>
                <w:szCs w:val="22"/>
              </w:rPr>
            </w:pPr>
            <w:r>
              <w:rPr>
                <w:rFonts w:ascii="宋体" w:hAnsi="宋体" w:eastAsia="宋体" w:cs="宋体"/>
                <w:kern w:val="0"/>
                <w:sz w:val="22"/>
                <w:szCs w:val="22"/>
              </w:rPr>
              <w:t>多核多线程ASIC并行操作系统</w:t>
            </w:r>
            <w:r>
              <w:rPr>
                <w:rFonts w:hint="eastAsia" w:ascii="宋体" w:hAnsi="宋体" w:eastAsia="宋体" w:cs="宋体"/>
                <w:kern w:val="0"/>
                <w:sz w:val="22"/>
                <w:szCs w:val="22"/>
              </w:rPr>
              <w:t>著作权证书</w:t>
            </w:r>
          </w:p>
        </w:tc>
      </w:tr>
    </w:tbl>
    <w:p>
      <w:pPr>
        <w:pStyle w:val="460"/>
        <w:ind w:left="360" w:firstLine="0" w:firstLineChars="0"/>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4.业务安全管理平台（1台）</w:t>
      </w:r>
    </w:p>
    <w:tbl>
      <w:tblPr>
        <w:tblStyle w:val="56"/>
        <w:tblW w:w="495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8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jc w:val="center"/>
        </w:trPr>
        <w:tc>
          <w:tcPr>
            <w:tcW w:w="1129" w:type="dxa"/>
            <w:shd w:val="clear" w:color="auto" w:fill="B8CCE4" w:themeFill="accent1" w:themeFillTint="66"/>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指标项</w:t>
            </w:r>
          </w:p>
        </w:tc>
        <w:tc>
          <w:tcPr>
            <w:tcW w:w="7092" w:type="dxa"/>
            <w:shd w:val="clear" w:color="auto" w:fill="B8CCE4" w:themeFill="accent1" w:themeFillTint="66"/>
            <w:vAlign w:val="center"/>
          </w:tcPr>
          <w:p>
            <w:pPr>
              <w:jc w:val="center"/>
              <w:rPr>
                <w:rFonts w:ascii="新宋体" w:hAnsi="新宋体" w:eastAsia="新宋体" w:cs="新宋体"/>
                <w:b/>
                <w:bCs/>
                <w:sz w:val="22"/>
                <w:szCs w:val="22"/>
              </w:rPr>
            </w:pPr>
            <w:r>
              <w:rPr>
                <w:rFonts w:hint="eastAsia" w:ascii="新宋体" w:hAnsi="新宋体" w:eastAsia="新宋体" w:cs="新宋体"/>
                <w:b/>
                <w:bCs/>
                <w:sz w:val="22"/>
                <w:szCs w:val="22"/>
              </w:rPr>
              <w:t>招标要求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hint="eastAsia" w:ascii="宋体" w:hAnsi="宋体" w:eastAsia="宋体"/>
                <w:b/>
                <w:bCs/>
                <w:sz w:val="22"/>
                <w:szCs w:val="22"/>
              </w:rPr>
              <w:t>规格配置</w:t>
            </w:r>
          </w:p>
        </w:tc>
        <w:tc>
          <w:tcPr>
            <w:tcW w:w="7092" w:type="dxa"/>
            <w:vAlign w:val="center"/>
          </w:tcPr>
          <w:p>
            <w:pPr>
              <w:tabs>
                <w:tab w:val="left" w:pos="0"/>
              </w:tabs>
              <w:rPr>
                <w:rFonts w:ascii="新宋体" w:hAnsi="新宋体" w:eastAsia="新宋体" w:cs="新宋体"/>
                <w:sz w:val="22"/>
                <w:szCs w:val="22"/>
              </w:rPr>
            </w:pPr>
            <w:r>
              <w:rPr>
                <w:rFonts w:ascii="宋体" w:hAnsi="宋体" w:eastAsia="宋体"/>
                <w:kern w:val="0"/>
                <w:sz w:val="22"/>
                <w:szCs w:val="22"/>
              </w:rPr>
              <w:t>1U机架式</w:t>
            </w:r>
            <w:r>
              <w:rPr>
                <w:rFonts w:hint="eastAsia" w:ascii="宋体" w:hAnsi="宋体" w:eastAsia="宋体"/>
                <w:kern w:val="0"/>
                <w:sz w:val="22"/>
                <w:szCs w:val="22"/>
              </w:rPr>
              <w:t>设备</w:t>
            </w:r>
            <w:r>
              <w:rPr>
                <w:rFonts w:ascii="宋体" w:hAnsi="宋体" w:eastAsia="宋体"/>
                <w:kern w:val="0"/>
                <w:sz w:val="22"/>
                <w:szCs w:val="22"/>
              </w:rPr>
              <w:t>，</w:t>
            </w:r>
            <w:r>
              <w:rPr>
                <w:rFonts w:hint="eastAsia" w:ascii="宋体" w:hAnsi="宋体" w:eastAsia="宋体"/>
                <w:kern w:val="0"/>
                <w:sz w:val="22"/>
                <w:szCs w:val="22"/>
              </w:rPr>
              <w:t>≥</w:t>
            </w:r>
            <w:r>
              <w:rPr>
                <w:rFonts w:ascii="宋体" w:hAnsi="宋体" w:eastAsia="宋体"/>
                <w:kern w:val="0"/>
                <w:sz w:val="22"/>
                <w:szCs w:val="22"/>
              </w:rPr>
              <w:t>6个千兆电口，单电源，</w:t>
            </w:r>
            <w:r>
              <w:rPr>
                <w:rFonts w:hint="eastAsia" w:ascii="宋体" w:hAnsi="宋体" w:eastAsia="宋体"/>
                <w:kern w:val="0"/>
                <w:sz w:val="22"/>
                <w:szCs w:val="22"/>
              </w:rPr>
              <w:t>≥</w:t>
            </w:r>
            <w:r>
              <w:rPr>
                <w:rFonts w:ascii="宋体" w:hAnsi="宋体" w:eastAsia="宋体"/>
                <w:kern w:val="0"/>
                <w:sz w:val="22"/>
                <w:szCs w:val="22"/>
              </w:rPr>
              <w:t>2TB存储容量，2个可扩展插槽。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管理范围</w:t>
            </w:r>
          </w:p>
        </w:tc>
        <w:tc>
          <w:tcPr>
            <w:tcW w:w="7092" w:type="dxa"/>
            <w:vAlign w:val="top"/>
          </w:tcPr>
          <w:p>
            <w:pPr>
              <w:tabs>
                <w:tab w:val="left" w:pos="0"/>
              </w:tabs>
              <w:rPr>
                <w:rFonts w:ascii="新宋体" w:hAnsi="新宋体" w:eastAsia="新宋体" w:cs="新宋体"/>
                <w:kern w:val="0"/>
                <w:sz w:val="22"/>
                <w:szCs w:val="22"/>
              </w:rPr>
            </w:pPr>
            <w:r>
              <w:rPr>
                <w:rFonts w:ascii="宋体" w:hAnsi="宋体" w:eastAsia="宋体"/>
                <w:kern w:val="0"/>
                <w:sz w:val="22"/>
                <w:szCs w:val="22"/>
              </w:rPr>
              <w:t>支持管理范围至少包括操作系统、网络设备、安全设备、存储设备、服务器</w:t>
            </w:r>
            <w:r>
              <w:rPr>
                <w:rFonts w:hint="eastAsia" w:ascii="宋体" w:hAnsi="宋体" w:eastAsia="宋体"/>
                <w:kern w:val="0"/>
                <w:sz w:val="22"/>
                <w:szCs w:val="22"/>
              </w:rPr>
              <w:t>等</w:t>
            </w:r>
            <w:r>
              <w:rPr>
                <w:rFonts w:ascii="宋体" w:hAnsi="宋体" w:eastAsia="宋体"/>
                <w:kern w:val="0"/>
                <w:sz w:val="22"/>
                <w:szCs w:val="22"/>
              </w:rPr>
              <w:t>；支持基于SNMP协议自定义监控类型、自定义监控指标；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综合展示</w:t>
            </w:r>
          </w:p>
        </w:tc>
        <w:tc>
          <w:tcPr>
            <w:tcW w:w="7092" w:type="dxa"/>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自定义一级功能菜单，一级功能菜单支持设置为门户、标签页、树型，门户类型最多可设置6列内容，内容支持设置为已有功能页面、图片、其他网页内容；系统支持至少6种不同颜色的主题；一级功能菜单划分为四类，支持调整一级功能菜单的顺序与划分；持在首页显示系统的基本管理信息，包括最近30分钟告警状态雷达图、监控按类型汇总、最近24小时资产告警排行TOP10、最近24小时内业务总体性能趋势，告警示意图配色可自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宋体" w:hAnsi="宋体" w:eastAsia="宋体"/>
                <w:b/>
                <w:bCs/>
                <w:sz w:val="22"/>
                <w:szCs w:val="22"/>
              </w:rPr>
            </w:pPr>
            <w:r>
              <w:rPr>
                <w:rFonts w:ascii="宋体" w:hAnsi="宋体" w:eastAsia="宋体"/>
                <w:b/>
                <w:bCs/>
                <w:sz w:val="22"/>
                <w:szCs w:val="22"/>
              </w:rPr>
              <w:t>资产管理</w:t>
            </w:r>
          </w:p>
          <w:p>
            <w:pPr>
              <w:adjustRightInd w:val="0"/>
              <w:snapToGrid w:val="0"/>
              <w:spacing w:before="78" w:after="78"/>
              <w:jc w:val="center"/>
              <w:rPr>
                <w:rFonts w:ascii="新宋体" w:hAnsi="新宋体" w:eastAsia="新宋体" w:cs="新宋体"/>
                <w:b/>
                <w:bCs/>
                <w:sz w:val="22"/>
                <w:szCs w:val="22"/>
                <w:highlight w:val="blue"/>
              </w:rPr>
            </w:pP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系统支持以资产列表、链路列表和拓扑图3种形式展示安全域下的资产清单；</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系统支持根据收到的事件的设备地址自动识别新的资产，并自动添加到资产库；</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系统支持SNMP、SSH、JDBC等协议认证信息的管理，支持认证信息的导入与XML、CSV、RTF三种格式的导出；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restart"/>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拓扑管理</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系统支持手动绘制网络拓扑图与自动拓扑发现，展示IT资产之间的逻辑连接关系；</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支持由拓扑图切换为资产列表或链路列表显示，支持按设备类型过滤显示拓扑图，以快速定位某类资产；</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支持通过折线、直线、弧线连接拓扑图标；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vAlign w:val="center"/>
          </w:tcPr>
          <w:p>
            <w:pPr>
              <w:adjustRightInd w:val="0"/>
              <w:snapToGrid w:val="0"/>
              <w:spacing w:before="78" w:after="78"/>
              <w:jc w:val="center"/>
              <w:rPr>
                <w:rFonts w:ascii="新宋体" w:hAnsi="新宋体" w:eastAsia="新宋体" w:cs="新宋体"/>
                <w:b/>
                <w:bCs/>
                <w:sz w:val="22"/>
                <w:szCs w:val="22"/>
              </w:rPr>
            </w:pP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系统支持实时设备和链路运行监控，如设备或者链路发生故障，自动进行标记，图标高亮闪烁并显示提示信息；</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支持对节点和链路分别设置刷新时间；</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支持显示链路的带宽、名称、轮询间隔、上下行流量、丢包率、带宽占用比等信息；</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支持根据不同的带宽占用率显示不同宽度的线条，实时展示网络负载情况；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vAlign w:val="center"/>
          </w:tcPr>
          <w:p>
            <w:pPr>
              <w:adjustRightInd w:val="0"/>
              <w:snapToGrid w:val="0"/>
              <w:spacing w:before="78" w:after="78"/>
              <w:jc w:val="center"/>
              <w:rPr>
                <w:rFonts w:ascii="新宋体" w:hAnsi="新宋体" w:eastAsia="新宋体" w:cs="新宋体"/>
                <w:b/>
                <w:bCs/>
                <w:sz w:val="22"/>
                <w:szCs w:val="22"/>
              </w:rPr>
            </w:pPr>
          </w:p>
        </w:tc>
        <w:tc>
          <w:tcPr>
            <w:tcW w:w="7092" w:type="dxa"/>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系统支持机架视图，可视化地显示设备在机架/机柜摆放位置；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自动拓扑发现</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系统支持自动拓扑发现，自动描绘网络中资产节点之间网络连接关系；</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支持ICMP，SNMP，STP等协议进行拓扑发现；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restart"/>
            <w:vAlign w:val="center"/>
          </w:tcPr>
          <w:p>
            <w:pPr>
              <w:jc w:val="center"/>
              <w:rPr>
                <w:rFonts w:ascii="新宋体" w:hAnsi="新宋体" w:eastAsia="新宋体" w:cs="新宋体"/>
                <w:b/>
                <w:bCs/>
                <w:sz w:val="22"/>
                <w:szCs w:val="22"/>
              </w:rPr>
            </w:pPr>
            <w:r>
              <w:rPr>
                <w:rFonts w:ascii="宋体" w:hAnsi="宋体" w:eastAsia="宋体"/>
                <w:b/>
                <w:bCs/>
                <w:sz w:val="22"/>
                <w:szCs w:val="22"/>
              </w:rPr>
              <w:t>集中监控管理</w:t>
            </w:r>
          </w:p>
        </w:tc>
        <w:tc>
          <w:tcPr>
            <w:tcW w:w="7092" w:type="dxa"/>
            <w:vAlign w:val="top"/>
          </w:tcPr>
          <w:p>
            <w:pPr>
              <w:adjustRightInd w:val="0"/>
              <w:textAlignment w:val="baseline"/>
              <w:rPr>
                <w:rFonts w:ascii="宋体" w:hAnsi="宋体" w:eastAsia="宋体"/>
                <w:kern w:val="0"/>
                <w:sz w:val="22"/>
                <w:szCs w:val="22"/>
              </w:rPr>
            </w:pPr>
            <w:r>
              <w:rPr>
                <w:rFonts w:ascii="宋体" w:hAnsi="宋体" w:eastAsia="宋体"/>
                <w:kern w:val="0"/>
                <w:sz w:val="22"/>
                <w:szCs w:val="22"/>
              </w:rPr>
              <w:t>系统能够对各种不同厂商的操作系统、网络设备、安全设备、存储设备、服务器的性能与可用性进行集中实时监控；</w:t>
            </w:r>
          </w:p>
          <w:p>
            <w:pPr>
              <w:adjustRightInd w:val="0"/>
              <w:textAlignment w:val="baseline"/>
              <w:rPr>
                <w:rFonts w:ascii="新宋体" w:hAnsi="新宋体" w:eastAsia="新宋体" w:cs="新宋体"/>
                <w:kern w:val="0"/>
                <w:sz w:val="22"/>
                <w:szCs w:val="22"/>
              </w:rPr>
            </w:pPr>
            <w:r>
              <w:rPr>
                <w:rFonts w:hint="eastAsia" w:ascii="宋体" w:hAnsi="宋体" w:eastAsia="宋体"/>
                <w:kern w:val="0"/>
                <w:sz w:val="22"/>
                <w:szCs w:val="22"/>
              </w:rPr>
              <w:t>★</w:t>
            </w:r>
            <w:r>
              <w:rPr>
                <w:rFonts w:ascii="宋体" w:hAnsi="宋体" w:eastAsia="宋体"/>
                <w:kern w:val="0"/>
                <w:sz w:val="22"/>
                <w:szCs w:val="22"/>
              </w:rPr>
              <w:t>内置至少13类安全设备的监控，包括但不限于防火墙、IPS、IDS、WAF、VPN等，并支持通过自定义监控扩展监控类型；</w:t>
            </w:r>
            <w:r>
              <w:rPr>
                <w:rFonts w:hint="eastAsia" w:ascii="宋体" w:hAnsi="宋体" w:eastAsia="宋体"/>
                <w:kern w:val="0"/>
                <w:sz w:val="22"/>
                <w:szCs w:val="22"/>
              </w:rPr>
              <w:t>（提供截图）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vAlign w:val="center"/>
          </w:tcPr>
          <w:p>
            <w:pPr>
              <w:jc w:val="center"/>
              <w:rPr>
                <w:rFonts w:ascii="新宋体" w:hAnsi="新宋体" w:eastAsia="新宋体" w:cs="新宋体"/>
                <w:b/>
                <w:bCs/>
                <w:sz w:val="22"/>
                <w:szCs w:val="22"/>
              </w:rPr>
            </w:pP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系统支持通过SNMP、TELNET、SSH、SSH2、ODBC/JDBC、JMX、协议仿真等方式对IT资产进行性能与可用性信息的周期性采集；</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采集时无需在被管理节点上安装代理；</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系统提供关键性能的时间轴图，展示关键时间节点，监控对象的性能及告警数量；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宋体" w:hAnsi="宋体" w:eastAsia="宋体"/>
                <w:b/>
                <w:bCs/>
                <w:sz w:val="22"/>
                <w:szCs w:val="22"/>
              </w:rPr>
            </w:pPr>
            <w:r>
              <w:rPr>
                <w:rFonts w:ascii="宋体" w:hAnsi="宋体" w:eastAsia="宋体"/>
                <w:b/>
                <w:bCs/>
                <w:sz w:val="22"/>
                <w:szCs w:val="22"/>
              </w:rPr>
              <w:t>阈值模板与</w:t>
            </w:r>
          </w:p>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监控指标</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系统支持对性能及接口的数值指标设置上上限、上限、下限、下下限四项阈值，并分别采取不同的告警动作；</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支持通过等于、不等于、大于、小于、大于等于、小于等于6种计算方式匹配监控指标的告警阈值；</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支持手动调整告警频率，减少重复告警；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主机监控</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支持主流版本的Windows、Linux、AIX、Solaris、HP-UX、凝思磐石、中标麒麟、银河麒麟、普华、文件系统等主机的监控；</w:t>
            </w:r>
          </w:p>
          <w:p>
            <w:pPr>
              <w:pStyle w:val="460"/>
              <w:adjustRightInd w:val="0"/>
              <w:snapToGrid w:val="0"/>
              <w:spacing w:before="78" w:after="78"/>
              <w:ind w:firstLine="0" w:firstLineChars="0"/>
              <w:rPr>
                <w:rFonts w:ascii="宋体" w:hAnsi="宋体"/>
                <w:kern w:val="0"/>
                <w:sz w:val="22"/>
                <w:szCs w:val="22"/>
              </w:rPr>
            </w:pPr>
            <w:r>
              <w:rPr>
                <w:rFonts w:hint="eastAsia" w:ascii="宋体" w:hAnsi="宋体"/>
                <w:kern w:val="0"/>
                <w:sz w:val="22"/>
                <w:szCs w:val="22"/>
              </w:rPr>
              <w:t>★</w:t>
            </w:r>
            <w:r>
              <w:rPr>
                <w:rFonts w:ascii="宋体" w:hAnsi="宋体"/>
                <w:kern w:val="0"/>
                <w:sz w:val="22"/>
                <w:szCs w:val="22"/>
              </w:rPr>
              <w:t>能够监控主机基本属性，以及性能与可用性指标，包括：名称、IP、描述、节点状态、运行时间、网络接口信息、CPU利用率、内存利用率、磁盘利用率、磁盘IO、文件系统、安装软件、安装服务、运行进程、网络连接；</w:t>
            </w:r>
            <w:r>
              <w:rPr>
                <w:rFonts w:hint="eastAsia" w:ascii="宋体" w:hAnsi="宋体"/>
                <w:kern w:val="0"/>
                <w:sz w:val="22"/>
                <w:szCs w:val="22"/>
              </w:rPr>
              <w:t>产品具备一种</w:t>
            </w:r>
            <w:r>
              <w:rPr>
                <w:rFonts w:ascii="宋体" w:hAnsi="宋体"/>
                <w:kern w:val="0"/>
                <w:sz w:val="22"/>
                <w:szCs w:val="22"/>
              </w:rPr>
              <w:t>获取CPU利用率的方法</w:t>
            </w:r>
            <w:r>
              <w:rPr>
                <w:rFonts w:hint="eastAsia" w:ascii="宋体" w:hAnsi="宋体"/>
                <w:kern w:val="0"/>
                <w:sz w:val="22"/>
                <w:szCs w:val="22"/>
              </w:rPr>
              <w:t>，提供第三方权威机构技术证明材料；</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支持用户自定义监控指标，例如可以对Windows、Linux、AIX、Solaris、HP-UX等主机的任意进程进行监控；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网络设备监控</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支持所有支持SNMP协议的主流网络设备，包括但不限于路由器、交换机、负载均衡、光纤交换机等；</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能够监控网络设备基本属性，以及性能与可用性指标，包括：设备名称、IP信息、描述、节点  状态、运行时间、接口信息、路由信息、网络状态信息、网络性能信息；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安全设备监控</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支持所有支持SNMP协议的主流安全设备，包括但不限于防火墙、IPS、IDS、WAF、VPN、漏洞扫描、堡垒机、网闸等；</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能够监控安全设备基本属性，以及性能与可用性指标，包括：设备名称、IP信息、描述、节点状态、运行时间、接口信息、网络状态信息、网络性能信息；</w:t>
            </w:r>
          </w:p>
          <w:p>
            <w:pPr>
              <w:pStyle w:val="460"/>
              <w:adjustRightInd w:val="0"/>
              <w:snapToGrid w:val="0"/>
              <w:spacing w:before="78" w:after="78"/>
              <w:ind w:firstLine="0" w:firstLineChars="0"/>
              <w:rPr>
                <w:rFonts w:ascii="新宋体" w:hAnsi="新宋体" w:eastAsia="新宋体" w:cs="新宋体"/>
                <w:kern w:val="0"/>
                <w:sz w:val="22"/>
                <w:szCs w:val="22"/>
              </w:rPr>
            </w:pPr>
            <w:r>
              <w:rPr>
                <w:rFonts w:hint="eastAsia" w:ascii="宋体" w:hAnsi="宋体"/>
                <w:kern w:val="0"/>
                <w:sz w:val="22"/>
                <w:szCs w:val="22"/>
              </w:rPr>
              <w:t>★产品具备</w:t>
            </w:r>
            <w:r>
              <w:rPr>
                <w:rFonts w:ascii="宋体" w:hAnsi="宋体"/>
                <w:kern w:val="0"/>
                <w:sz w:val="22"/>
                <w:szCs w:val="22"/>
              </w:rPr>
              <w:t>硬件状态的监测方法和系统</w:t>
            </w:r>
            <w:r>
              <w:rPr>
                <w:rFonts w:hint="eastAsia" w:ascii="宋体" w:hAnsi="宋体"/>
                <w:kern w:val="0"/>
                <w:sz w:val="22"/>
                <w:szCs w:val="22"/>
              </w:rPr>
              <w:t>，提供第三方权威机构技术证明材料；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自定义监控</w:t>
            </w:r>
          </w:p>
        </w:tc>
        <w:tc>
          <w:tcPr>
            <w:tcW w:w="7092" w:type="dxa"/>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支持新增自定义的监控类型；</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支持通过SNMP OID方式扩展监控指标；支持通过正则表达式建立监控指标；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告警管理</w:t>
            </w:r>
          </w:p>
        </w:tc>
        <w:tc>
          <w:tcPr>
            <w:tcW w:w="7092" w:type="dxa"/>
            <w:tcBorders>
              <w:top w:val="single" w:color="auto" w:sz="4" w:space="0"/>
              <w:left w:val="single" w:color="auto" w:sz="4" w:space="0"/>
              <w:bottom w:val="single" w:color="auto" w:sz="4" w:space="0"/>
              <w:right w:val="single" w:color="auto" w:sz="4" w:space="0"/>
            </w:tcBorders>
            <w:vAlign w:val="top"/>
          </w:tcPr>
          <w:p>
            <w:pPr>
              <w:adjustRightInd w:val="0"/>
              <w:textAlignment w:val="baseline"/>
              <w:rPr>
                <w:rFonts w:ascii="宋体" w:hAnsi="宋体" w:eastAsia="宋体"/>
                <w:kern w:val="0"/>
                <w:sz w:val="22"/>
                <w:szCs w:val="22"/>
              </w:rPr>
            </w:pPr>
            <w:r>
              <w:rPr>
                <w:rFonts w:ascii="宋体" w:hAnsi="宋体" w:eastAsia="宋体"/>
                <w:kern w:val="0"/>
                <w:sz w:val="22"/>
                <w:szCs w:val="22"/>
              </w:rPr>
              <w:t>告警动作支持告警重定义、弹出提示框、播放警示音、发送邮件、发送SNMP Trap、发送短信、执行命令脚本、设备联动、发送飞鸽传书、发送Syslog等方式；</w:t>
            </w:r>
          </w:p>
          <w:p>
            <w:pPr>
              <w:adjustRightInd w:val="0"/>
              <w:textAlignment w:val="baseline"/>
              <w:rPr>
                <w:rFonts w:ascii="宋体" w:hAnsi="宋体" w:eastAsia="宋体"/>
                <w:kern w:val="0"/>
                <w:sz w:val="22"/>
                <w:szCs w:val="22"/>
              </w:rPr>
            </w:pPr>
            <w:r>
              <w:rPr>
                <w:rFonts w:ascii="宋体" w:hAnsi="宋体" w:eastAsia="宋体"/>
                <w:kern w:val="0"/>
                <w:sz w:val="22"/>
                <w:szCs w:val="22"/>
              </w:rPr>
              <w:t>告警内容可以自定义，可以根据日志的实际情况将参数传递给命令行脚本；</w:t>
            </w:r>
          </w:p>
          <w:p>
            <w:pPr>
              <w:adjustRightInd w:val="0"/>
              <w:textAlignment w:val="baseline"/>
              <w:rPr>
                <w:rFonts w:ascii="宋体" w:hAnsi="宋体" w:eastAsia="宋体"/>
                <w:kern w:val="0"/>
                <w:sz w:val="22"/>
                <w:szCs w:val="22"/>
              </w:rPr>
            </w:pPr>
            <w:r>
              <w:rPr>
                <w:rFonts w:ascii="宋体" w:hAnsi="宋体" w:eastAsia="宋体"/>
                <w:kern w:val="0"/>
                <w:sz w:val="22"/>
                <w:szCs w:val="22"/>
              </w:rPr>
              <w:t>用户可以对告警进行即时查询，导出查询结果；</w:t>
            </w:r>
          </w:p>
          <w:p>
            <w:pPr>
              <w:adjustRightInd w:val="0"/>
              <w:textAlignment w:val="baseline"/>
              <w:rPr>
                <w:rFonts w:ascii="新宋体" w:hAnsi="新宋体" w:eastAsia="新宋体" w:cs="新宋体"/>
                <w:kern w:val="0"/>
                <w:sz w:val="22"/>
                <w:szCs w:val="22"/>
              </w:rPr>
            </w:pPr>
            <w:r>
              <w:rPr>
                <w:rFonts w:ascii="宋体" w:hAnsi="宋体" w:eastAsia="宋体"/>
                <w:kern w:val="0"/>
                <w:sz w:val="22"/>
                <w:szCs w:val="22"/>
              </w:rPr>
              <w:t>支持告警处置记录，可将告警状态置为确认或消除；可编辑处理情况，留存处置经验；可记录操作人员与时间；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报表管理</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系统内置了资产、事件、监控、风险等报表报告；内置报表模板；</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支持按照天、周、月等时间周期生成报表报告，并支持邮件自动投递；</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支持在报表报告中以柱状图、曲线图、饼状图方式统计安全报警情况；</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支持报表报告的导出，导出的格式支持PDF、HTML、PNG、DOCX、XLSX、RTF、XLS等格式；</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系统内置报表编辑器，可以自定义报表报告；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知识库</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系统内置日志字典库，方便用户查询不同原始日志信息的错误ID号和详细描述信息；</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内置Cisco PIX和交换机的事件编码知识库；</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内置Windows、Linux、Solaris、AIX操作系统的事件ID知识库；</w:t>
            </w:r>
          </w:p>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内置Oracle、SQL Server、MySQL、Informix、DB2数据库的事件编码知识库；</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能够查看系统内置的事件库中事件类型名称及其描述信息；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系统自身管理</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支持对系统自身的CPU、内存、数据库空间大小等进行监控；</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支持对自身运行的CPU、内存和磁盘空间的使用率设置告警阈值；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ascii="宋体" w:hAnsi="宋体" w:eastAsia="宋体"/>
                <w:b/>
                <w:bCs/>
                <w:sz w:val="22"/>
                <w:szCs w:val="22"/>
              </w:rPr>
              <w:t>权限管理</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宋体" w:hAnsi="宋体"/>
                <w:kern w:val="0"/>
                <w:sz w:val="22"/>
                <w:szCs w:val="22"/>
              </w:rPr>
            </w:pPr>
            <w:r>
              <w:rPr>
                <w:rFonts w:ascii="宋体" w:hAnsi="宋体"/>
                <w:kern w:val="0"/>
                <w:sz w:val="22"/>
                <w:szCs w:val="22"/>
              </w:rPr>
              <w:t>实现基于角色的权限管理，所有的用户的权限都通过角色来赋予；</w:t>
            </w:r>
          </w:p>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要求系统管理员、权限管理员和用户管理员三权分立；系统内置上述三类管理员。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restart"/>
            <w:tcBorders>
              <w:top w:val="single" w:color="auto" w:sz="4" w:space="0"/>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hint="eastAsia" w:ascii="宋体" w:hAnsi="宋体" w:eastAsia="宋体"/>
                <w:b/>
                <w:bCs/>
                <w:sz w:val="22"/>
                <w:szCs w:val="22"/>
              </w:rPr>
              <w:t>产品资质</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产品须获得中华人民共和国公安部的《计算机信息系统安全专用产品销售许可证》；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产品须获得公安部信息安全产品检测中心出具的产品检验报告，并且该产品检验报告必须符合公安部《信息安全技术 安全管理平台产品检验规范》，需出具相关证明材料；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产品须获得中国信息安全测评中心认证的《信息技术产品安全测评证书》EAL3+级；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产品须获得《计算机软件著作权登记证书》；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ascii="宋体" w:hAnsi="宋体"/>
                <w:kern w:val="0"/>
                <w:sz w:val="22"/>
                <w:szCs w:val="22"/>
              </w:rPr>
              <w:t>产品须获得IPv6 Ready Phase-2 Logo证书；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restart"/>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r>
              <w:rPr>
                <w:rFonts w:hint="eastAsia" w:ascii="宋体" w:hAnsi="宋体" w:eastAsia="宋体"/>
                <w:b/>
                <w:bCs/>
                <w:sz w:val="22"/>
                <w:szCs w:val="22"/>
              </w:rPr>
              <w:t>厂商资质</w:t>
            </w:r>
          </w:p>
        </w:tc>
        <w:tc>
          <w:tcPr>
            <w:tcW w:w="7092" w:type="dxa"/>
            <w:tcBorders>
              <w:top w:val="single" w:color="auto" w:sz="4" w:space="0"/>
              <w:left w:val="single" w:color="auto" w:sz="4" w:space="0"/>
              <w:bottom w:val="single" w:color="auto" w:sz="4" w:space="0"/>
              <w:right w:val="single" w:color="auto" w:sz="4" w:space="0"/>
            </w:tcBorders>
            <w:vAlign w:val="top"/>
          </w:tcPr>
          <w:p>
            <w:pPr>
              <w:pStyle w:val="460"/>
              <w:adjustRightInd w:val="0"/>
              <w:snapToGrid w:val="0"/>
              <w:spacing w:before="78" w:after="78"/>
              <w:ind w:firstLine="0" w:firstLineChars="0"/>
              <w:rPr>
                <w:rFonts w:ascii="新宋体" w:hAnsi="新宋体" w:eastAsia="新宋体" w:cs="新宋体"/>
                <w:kern w:val="0"/>
                <w:sz w:val="22"/>
                <w:szCs w:val="22"/>
              </w:rPr>
            </w:pPr>
            <w:r>
              <w:rPr>
                <w:rFonts w:hint="eastAsia" w:ascii="宋体" w:hAnsi="宋体"/>
                <w:kern w:val="0"/>
                <w:sz w:val="22"/>
                <w:szCs w:val="22"/>
              </w:rPr>
              <w:t>厂商应具备CMMI L5，提供证明文件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center"/>
          </w:tcPr>
          <w:p>
            <w:pPr>
              <w:pStyle w:val="460"/>
              <w:adjustRightInd w:val="0"/>
              <w:snapToGrid w:val="0"/>
              <w:spacing w:before="78" w:after="78"/>
              <w:ind w:firstLine="0" w:firstLineChars="0"/>
              <w:rPr>
                <w:rFonts w:ascii="新宋体" w:hAnsi="新宋体" w:eastAsia="新宋体" w:cs="新宋体"/>
                <w:kern w:val="0"/>
                <w:sz w:val="22"/>
                <w:szCs w:val="22"/>
              </w:rPr>
            </w:pPr>
            <w:r>
              <w:rPr>
                <w:rFonts w:hint="eastAsia" w:ascii="宋体" w:hAnsi="宋体"/>
                <w:kern w:val="0"/>
                <w:sz w:val="22"/>
                <w:szCs w:val="22"/>
              </w:rPr>
              <w:t>厂商具备售后服务认证证书，需提供证书复印件。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center"/>
          </w:tcPr>
          <w:p>
            <w:pPr>
              <w:pStyle w:val="460"/>
              <w:adjustRightInd w:val="0"/>
              <w:snapToGrid w:val="0"/>
              <w:spacing w:before="78" w:after="78"/>
              <w:ind w:firstLine="0" w:firstLineChars="0"/>
              <w:rPr>
                <w:rFonts w:ascii="新宋体" w:hAnsi="新宋体" w:eastAsia="新宋体" w:cs="新宋体"/>
                <w:kern w:val="0"/>
                <w:sz w:val="22"/>
                <w:szCs w:val="22"/>
              </w:rPr>
            </w:pPr>
            <w:r>
              <w:rPr>
                <w:rFonts w:hint="eastAsia" w:ascii="宋体" w:hAnsi="宋体"/>
                <w:kern w:val="0"/>
                <w:sz w:val="22"/>
                <w:szCs w:val="22"/>
              </w:rPr>
              <w:t>厂商具备信息系统建设和服务能力等级证书 优秀级（CS4）提供证书复印件。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129" w:type="dxa"/>
            <w:vMerge w:val="continue"/>
            <w:tcBorders>
              <w:left w:val="single" w:color="auto" w:sz="4" w:space="0"/>
              <w:bottom w:val="single" w:color="auto" w:sz="4" w:space="0"/>
              <w:right w:val="single" w:color="auto" w:sz="4" w:space="0"/>
            </w:tcBorders>
            <w:vAlign w:val="center"/>
          </w:tcPr>
          <w:p>
            <w:pPr>
              <w:adjustRightInd w:val="0"/>
              <w:snapToGrid w:val="0"/>
              <w:spacing w:before="78" w:after="78"/>
              <w:jc w:val="center"/>
              <w:rPr>
                <w:rFonts w:ascii="新宋体" w:hAnsi="新宋体" w:eastAsia="新宋体" w:cs="新宋体"/>
                <w:b/>
                <w:bCs/>
                <w:sz w:val="22"/>
                <w:szCs w:val="22"/>
              </w:rPr>
            </w:pPr>
          </w:p>
        </w:tc>
        <w:tc>
          <w:tcPr>
            <w:tcW w:w="7092" w:type="dxa"/>
            <w:tcBorders>
              <w:top w:val="single" w:color="auto" w:sz="4" w:space="0"/>
              <w:left w:val="single" w:color="auto" w:sz="4" w:space="0"/>
              <w:bottom w:val="single" w:color="auto" w:sz="4" w:space="0"/>
              <w:right w:val="single" w:color="auto" w:sz="4" w:space="0"/>
            </w:tcBorders>
            <w:vAlign w:val="center"/>
          </w:tcPr>
          <w:p>
            <w:pPr>
              <w:pStyle w:val="460"/>
              <w:adjustRightInd w:val="0"/>
              <w:snapToGrid w:val="0"/>
              <w:spacing w:before="78" w:after="78"/>
              <w:ind w:firstLine="0" w:firstLineChars="0"/>
              <w:rPr>
                <w:rFonts w:ascii="新宋体" w:hAnsi="新宋体" w:eastAsia="新宋体" w:cs="新宋体"/>
                <w:kern w:val="0"/>
                <w:sz w:val="22"/>
                <w:szCs w:val="22"/>
              </w:rPr>
            </w:pPr>
            <w:r>
              <w:rPr>
                <w:rFonts w:hint="eastAsia" w:ascii="宋体" w:hAnsi="宋体"/>
                <w:kern w:val="0"/>
                <w:sz w:val="22"/>
                <w:szCs w:val="22"/>
              </w:rPr>
              <w:t>厂商具备网络安全应急服务支撑单位证书（省级），提供证书复印件。</w:t>
            </w:r>
          </w:p>
        </w:tc>
      </w:tr>
    </w:tbl>
    <w:p>
      <w:pPr>
        <w:pStyle w:val="460"/>
        <w:ind w:left="360" w:firstLine="0" w:firstLineChars="0"/>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5.入侵检测系统（1台）</w:t>
      </w:r>
    </w:p>
    <w:tbl>
      <w:tblPr>
        <w:tblStyle w:val="5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52"/>
        <w:gridCol w:w="8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686"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指标项</w:t>
            </w:r>
          </w:p>
        </w:tc>
        <w:tc>
          <w:tcPr>
            <w:tcW w:w="4313"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Align w:val="center"/>
          </w:tcPr>
          <w:p>
            <w:pPr>
              <w:widowControl/>
              <w:jc w:val="center"/>
              <w:rPr>
                <w:rFonts w:ascii="宋体" w:hAnsi="宋体"/>
                <w:b/>
                <w:kern w:val="0"/>
                <w:sz w:val="22"/>
                <w:szCs w:val="22"/>
              </w:rPr>
            </w:pPr>
            <w:r>
              <w:rPr>
                <w:rFonts w:hint="eastAsia" w:ascii="宋体" w:hAnsi="宋体" w:eastAsia="宋体" w:cs="Arial"/>
                <w:sz w:val="22"/>
                <w:szCs w:val="22"/>
              </w:rPr>
              <w:t>★</w:t>
            </w:r>
            <w:r>
              <w:rPr>
                <w:rFonts w:hint="eastAsia" w:ascii="宋体" w:hAnsi="宋体" w:eastAsia="宋体"/>
                <w:b/>
                <w:kern w:val="0"/>
                <w:sz w:val="22"/>
                <w:szCs w:val="22"/>
              </w:rPr>
              <w:t>硬件要求</w:t>
            </w:r>
          </w:p>
        </w:tc>
        <w:tc>
          <w:tcPr>
            <w:tcW w:w="8500" w:type="dxa"/>
            <w:vAlign w:val="center"/>
          </w:tcPr>
          <w:p>
            <w:pPr>
              <w:widowControl/>
              <w:rPr>
                <w:rFonts w:ascii="宋体" w:hAnsi="宋体" w:cs="Arial"/>
                <w:sz w:val="22"/>
                <w:szCs w:val="22"/>
              </w:rPr>
            </w:pPr>
            <w:r>
              <w:rPr>
                <w:rFonts w:hint="eastAsia" w:ascii="宋体" w:hAnsi="宋体" w:eastAsia="宋体" w:cs="宋体"/>
                <w:kern w:val="0"/>
                <w:sz w:val="22"/>
                <w:szCs w:val="22"/>
              </w:rPr>
              <w:t>国产化芯片CPU，国产操作系统，</w:t>
            </w:r>
            <w:r>
              <w:rPr>
                <w:rFonts w:ascii="宋体" w:hAnsi="宋体" w:eastAsia="宋体" w:cs="Arial"/>
                <w:sz w:val="22"/>
                <w:szCs w:val="22"/>
              </w:rPr>
              <w:t>冗余电源，2U上架设备，</w:t>
            </w:r>
            <w:r>
              <w:rPr>
                <w:rFonts w:hint="eastAsia" w:ascii="宋体" w:hAnsi="宋体" w:eastAsia="宋体" w:cs="Arial"/>
                <w:sz w:val="22"/>
                <w:szCs w:val="22"/>
              </w:rPr>
              <w:t>≥</w:t>
            </w:r>
            <w:r>
              <w:rPr>
                <w:rFonts w:ascii="宋体" w:hAnsi="宋体" w:eastAsia="宋体" w:cs="Arial"/>
                <w:sz w:val="22"/>
                <w:szCs w:val="22"/>
              </w:rPr>
              <w:t>1个RJ-45 Console口，</w:t>
            </w:r>
            <w:r>
              <w:rPr>
                <w:rFonts w:hint="eastAsia" w:ascii="宋体" w:hAnsi="宋体" w:eastAsia="宋体" w:cs="Arial"/>
                <w:sz w:val="22"/>
                <w:szCs w:val="22"/>
              </w:rPr>
              <w:t>≥</w:t>
            </w:r>
            <w:r>
              <w:rPr>
                <w:rFonts w:ascii="宋体" w:hAnsi="宋体" w:eastAsia="宋体" w:cs="Arial"/>
                <w:sz w:val="22"/>
                <w:szCs w:val="22"/>
              </w:rPr>
              <w:t>1个HA口，</w:t>
            </w:r>
            <w:r>
              <w:rPr>
                <w:rFonts w:hint="eastAsia" w:ascii="宋体" w:hAnsi="宋体" w:eastAsia="宋体" w:cs="Arial"/>
                <w:sz w:val="22"/>
                <w:szCs w:val="22"/>
              </w:rPr>
              <w:t>≥</w:t>
            </w:r>
            <w:r>
              <w:rPr>
                <w:rFonts w:ascii="宋体" w:hAnsi="宋体" w:eastAsia="宋体" w:cs="Arial"/>
                <w:sz w:val="22"/>
                <w:szCs w:val="22"/>
              </w:rPr>
              <w:t>1个管理口，</w:t>
            </w:r>
            <w:r>
              <w:rPr>
                <w:rFonts w:hint="eastAsia" w:ascii="宋体" w:hAnsi="宋体" w:eastAsia="宋体" w:cs="Arial"/>
                <w:sz w:val="22"/>
                <w:szCs w:val="22"/>
              </w:rPr>
              <w:t>≥</w:t>
            </w:r>
            <w:r>
              <w:rPr>
                <w:rFonts w:ascii="宋体" w:hAnsi="宋体" w:eastAsia="宋体" w:cs="Arial"/>
                <w:sz w:val="22"/>
                <w:szCs w:val="22"/>
              </w:rPr>
              <w:t>12个千兆电口，</w:t>
            </w:r>
            <w:r>
              <w:rPr>
                <w:rFonts w:hint="eastAsia" w:ascii="宋体" w:hAnsi="宋体" w:eastAsia="宋体" w:cs="Arial"/>
                <w:sz w:val="22"/>
                <w:szCs w:val="22"/>
              </w:rPr>
              <w:t>≥</w:t>
            </w:r>
            <w:r>
              <w:rPr>
                <w:rFonts w:ascii="宋体" w:hAnsi="宋体" w:eastAsia="宋体" w:cs="Arial"/>
                <w:sz w:val="22"/>
                <w:szCs w:val="22"/>
              </w:rPr>
              <w:t>8个千兆光口</w:t>
            </w:r>
            <w:r>
              <w:rPr>
                <w:rFonts w:hint="eastAsia" w:ascii="宋体" w:hAnsi="宋体" w:eastAsia="宋体" w:cs="Arial"/>
                <w:sz w:val="22"/>
                <w:szCs w:val="22"/>
              </w:rPr>
              <w:t>（按项目需求提供光模块）</w:t>
            </w:r>
            <w:r>
              <w:rPr>
                <w:rFonts w:ascii="宋体" w:hAnsi="宋体" w:eastAsia="宋体" w:cs="Arial"/>
                <w:sz w:val="22"/>
                <w:szCs w:val="22"/>
              </w:rPr>
              <w:t>，</w:t>
            </w:r>
            <w:r>
              <w:rPr>
                <w:rFonts w:hint="eastAsia" w:ascii="宋体" w:hAnsi="宋体" w:eastAsia="宋体" w:cs="Arial"/>
                <w:sz w:val="22"/>
                <w:szCs w:val="22"/>
              </w:rPr>
              <w:t xml:space="preserve"> ≥</w:t>
            </w:r>
            <w:r>
              <w:rPr>
                <w:rFonts w:ascii="宋体" w:hAnsi="宋体" w:eastAsia="宋体" w:cs="Arial"/>
                <w:sz w:val="22"/>
                <w:szCs w:val="22"/>
              </w:rPr>
              <w:t>32G</w:t>
            </w:r>
            <w:r>
              <w:rPr>
                <w:rFonts w:hint="eastAsia" w:ascii="宋体" w:hAnsi="宋体" w:eastAsia="宋体" w:cs="Arial"/>
                <w:sz w:val="22"/>
                <w:szCs w:val="22"/>
              </w:rPr>
              <w:t>内存，≥8</w:t>
            </w:r>
            <w:r>
              <w:rPr>
                <w:rFonts w:ascii="宋体" w:hAnsi="宋体" w:eastAsia="宋体" w:cs="Arial"/>
                <w:sz w:val="22"/>
                <w:szCs w:val="22"/>
              </w:rPr>
              <w:t>T</w:t>
            </w:r>
            <w:r>
              <w:rPr>
                <w:rFonts w:hint="eastAsia" w:ascii="宋体" w:hAnsi="宋体" w:eastAsia="宋体" w:cs="Arial"/>
                <w:sz w:val="22"/>
                <w:szCs w:val="22"/>
              </w:rPr>
              <w:t>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Align w:val="center"/>
          </w:tcPr>
          <w:p>
            <w:pPr>
              <w:widowControl/>
              <w:jc w:val="center"/>
              <w:rPr>
                <w:rFonts w:ascii="宋体" w:hAnsi="宋体"/>
                <w:b/>
                <w:kern w:val="0"/>
                <w:sz w:val="22"/>
                <w:szCs w:val="22"/>
              </w:rPr>
            </w:pPr>
            <w:r>
              <w:rPr>
                <w:rFonts w:hint="eastAsia" w:ascii="宋体" w:hAnsi="宋体" w:eastAsia="宋体"/>
                <w:b/>
                <w:kern w:val="0"/>
                <w:sz w:val="22"/>
                <w:szCs w:val="22"/>
              </w:rPr>
              <w:t>性能要求</w:t>
            </w:r>
          </w:p>
        </w:tc>
        <w:tc>
          <w:tcPr>
            <w:tcW w:w="8500" w:type="dxa"/>
            <w:vAlign w:val="center"/>
          </w:tcPr>
          <w:p>
            <w:pPr>
              <w:widowControl/>
              <w:rPr>
                <w:rFonts w:ascii="宋体" w:hAnsi="宋体" w:cs="宋体"/>
                <w:kern w:val="0"/>
                <w:sz w:val="22"/>
                <w:szCs w:val="22"/>
              </w:rPr>
            </w:pPr>
            <w:r>
              <w:rPr>
                <w:rFonts w:hint="eastAsia" w:ascii="宋体" w:hAnsi="宋体" w:eastAsia="宋体" w:cs="宋体"/>
                <w:kern w:val="0"/>
                <w:sz w:val="22"/>
                <w:szCs w:val="22"/>
              </w:rPr>
              <w:t>整机最大检测性能</w:t>
            </w:r>
            <w:r>
              <w:rPr>
                <w:rFonts w:hint="eastAsia" w:ascii="宋体" w:hAnsi="宋体" w:eastAsia="宋体" w:cs="Arial"/>
                <w:sz w:val="22"/>
                <w:szCs w:val="22"/>
              </w:rPr>
              <w:t>≥</w:t>
            </w:r>
            <w:r>
              <w:rPr>
                <w:rFonts w:ascii="宋体" w:hAnsi="宋体" w:eastAsia="宋体" w:cs="宋体"/>
                <w:kern w:val="0"/>
                <w:sz w:val="22"/>
                <w:szCs w:val="22"/>
              </w:rPr>
              <w:t>10Gbps</w:t>
            </w:r>
            <w:r>
              <w:rPr>
                <w:rFonts w:hint="eastAsia" w:ascii="宋体" w:hAnsi="宋体" w:eastAsia="宋体" w:cs="宋体"/>
                <w:kern w:val="0"/>
                <w:sz w:val="22"/>
                <w:szCs w:val="22"/>
              </w:rPr>
              <w:t>，整机最大并发连接1000万。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widowControl/>
              <w:jc w:val="center"/>
              <w:rPr>
                <w:rFonts w:ascii="宋体" w:hAnsi="宋体"/>
                <w:b/>
                <w:kern w:val="0"/>
                <w:sz w:val="22"/>
                <w:szCs w:val="22"/>
              </w:rPr>
            </w:pPr>
            <w:r>
              <w:rPr>
                <w:rFonts w:hint="eastAsia" w:ascii="宋体" w:hAnsi="宋体" w:eastAsia="宋体"/>
                <w:b/>
                <w:kern w:val="0"/>
                <w:sz w:val="22"/>
                <w:szCs w:val="22"/>
              </w:rPr>
              <w:t>攻击检测</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攻击检测基础能力，系统应支持IP碎片重组、TCP流重组、TCP流状态跟踪、2至7层的协议分析、系统应支持工作在非默认端口下的周知服务（如运行在8000端口下的Web Server）的协议识别与协议分析能力；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系统需要支持如下常见协议的解析：ETHER、ARP、RARP、IP、ICMP、IGMP、PPPoE、Vlan Tag、MPLS、TCP、UDP、NetBIOS、CIFS、SMB、FTP、TELNET、POP3、SMTP、IMAP、SNMP、MSRPC、SUNRPC、TNS、TDS、HTTP、QQ、MSN、BT、Thunder、CHARGEN、ECHO、AUTH、DNS、FINGER、IRC、MSPROXY、NFS、NNTP、NTALK、PCT、WHOIS等，协议覆盖面广，与之对应的事件库完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设备具有抗逃避检测机制，可以针对分片逃逸攻击、重叠逃逸攻击、加入多余或者无用字节逃逸攻击进行有效防范，并且能具体说明；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支持全面的攻击检测能力，可检测常见的Web攻击、缓冲溢出攻击、安全漏洞攻击、安全扫描攻击、拒绝服务攻击、木马后门攻击、蠕虫病毒攻击、穷举探测攻击、CGI攻击等；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系统需具备全面的Web应用类攻击检测能力，能够检测各种SQL注入攻击、XSS跨站攻击、Webshell上传、命令注入、目录遍历、命令执行等攻击行为；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★为保证病毒检测的可靠性，要求系统支持专业第三方防病毒引擎（提供防病毒引擎厂商合作证明），病毒检测协议类型支持 HTTP、FTP、IMAP、POP3和SMTP等，需提供界面截图；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系统提供的攻击特征不应少于7000条有效最新攻击特征，并且根据协议类型、安全类型、流行程度、影响设备等方式做有效分类；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系统需具备攻击检测能力的扩展功能，可提供检测规则自定义的高级接口，接口具备丰富的协议变量，可以自定义配置特协议变量特征值；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系统需支持TCP协议攻击特征自定义，提供tcp_ack、tcp_fin、tcp_flag、tcp_payload、tcp_syn、tcp_urg、tcp_seq、tcp_rst等协议变量特征的自定义，支持设置协议变量的操作符，操作符包括等于、不等于、包含、不包含；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提供对事件的二次检测能力，即对已生成的事件进行二次分析与统计，并根据统计结果进行报警，同时，系统需支持对统计阈值进行设定的图形化用户接口，通过该图形化接口，用户可以选择需要统计的基础事件并对阈值进行设置与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系统需具备针对如下几种拒绝服务攻击的检测能力：针对特定主机的TCP（SYN）FLOOD、针对特定主机的TCP （STREAM）FLOOD、针对特定主机的UDP FLOOD、针对特定主机的ICMP FLOOD；对上述所有攻击检测都可通过控制界面配置统计时间、报警阈值；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提供网关IP-MAC地址绑定的功能识别arp地址欺骗攻击；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系统提供自定义弱口令规则的能力，使用户可以灵活定义网络内的弱口令条件；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left"/>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系统可配置过滤条件，可根据</w:t>
            </w:r>
            <w:r>
              <w:rPr>
                <w:rFonts w:ascii="宋体" w:hAnsi="宋体" w:eastAsia="宋体" w:cs="Arial"/>
                <w:sz w:val="22"/>
                <w:szCs w:val="22"/>
              </w:rPr>
              <w:t>MAC</w:t>
            </w:r>
            <w:r>
              <w:rPr>
                <w:rFonts w:hint="eastAsia" w:ascii="宋体" w:hAnsi="宋体" w:eastAsia="宋体" w:cs="Arial"/>
                <w:sz w:val="22"/>
                <w:szCs w:val="22"/>
              </w:rPr>
              <w:t>过滤和</w:t>
            </w:r>
            <w:r>
              <w:rPr>
                <w:rFonts w:ascii="宋体" w:hAnsi="宋体" w:eastAsia="宋体" w:cs="Arial"/>
                <w:sz w:val="22"/>
                <w:szCs w:val="22"/>
              </w:rPr>
              <w:t>IP</w:t>
            </w:r>
            <w:r>
              <w:rPr>
                <w:rFonts w:hint="eastAsia" w:ascii="宋体" w:hAnsi="宋体" w:eastAsia="宋体" w:cs="Arial"/>
                <w:sz w:val="22"/>
                <w:szCs w:val="22"/>
              </w:rPr>
              <w:t>过滤关系进行“与”“或”策略配置；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tabs>
                <w:tab w:val="left" w:pos="1500"/>
              </w:tabs>
              <w:spacing w:line="400" w:lineRule="exact"/>
              <w:rPr>
                <w:rFonts w:ascii="宋体" w:hAnsi="宋体"/>
                <w:b/>
                <w:sz w:val="22"/>
                <w:szCs w:val="22"/>
              </w:rPr>
            </w:pPr>
            <w:r>
              <w:rPr>
                <w:rFonts w:hint="eastAsia" w:ascii="宋体" w:hAnsi="宋体" w:eastAsia="宋体"/>
                <w:b/>
                <w:sz w:val="22"/>
                <w:szCs w:val="22"/>
              </w:rPr>
              <w:t>威胁分析能力</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提供威胁的实时展示能力，可以将引擎检测到的威胁在威胁展示界面进行实时显示，现实内容需全面丰富，包括：事件名称、源IP、目的IP、攻击发生时间、事件级别、流行程度、攻击类型、事件返回参数、事件说明和事件解决方案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tabs>
                <w:tab w:val="left" w:pos="1500"/>
              </w:tabs>
              <w:spacing w:line="400" w:lineRule="exact"/>
              <w:rPr>
                <w:rFonts w:ascii="宋体" w:hAnsi="宋体"/>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系统首页需提供如下关键报警及汇总数据：24小时重点威胁事件汇总，并支持下钻查看具体攻击事件内容、24小时发生事件的Top5排名、今日流量曲线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tabs>
                <w:tab w:val="left" w:pos="1500"/>
              </w:tabs>
              <w:spacing w:line="400" w:lineRule="exact"/>
              <w:rPr>
                <w:rFonts w:ascii="宋体" w:hAnsi="宋体"/>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系统需具备提取攻击原始报文的能力，针对产生的告警事件，可以对攻击行为的特征数据包进行提取，方便事件分析人员对攻击行为进行分析，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widowControl/>
              <w:jc w:val="center"/>
              <w:rPr>
                <w:rFonts w:ascii="宋体" w:hAnsi="宋体"/>
                <w:b/>
                <w:kern w:val="0"/>
                <w:sz w:val="22"/>
                <w:szCs w:val="22"/>
              </w:rPr>
            </w:pPr>
            <w:r>
              <w:rPr>
                <w:rFonts w:hint="eastAsia" w:ascii="宋体" w:hAnsi="宋体" w:eastAsia="宋体"/>
                <w:b/>
                <w:kern w:val="0"/>
                <w:sz w:val="22"/>
                <w:szCs w:val="22"/>
              </w:rPr>
              <w:t>流量统计能力</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系统需具备全面的流量统计能力，可以支持实时统计当前网络中的总流量、Web应用流量、数据库应用流量、邮件应用流量、P2P应用流量，并按照流量趋势图的形式进行可视化展现；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b/>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强大的流量分析能力，支持根据历史流量数据，计算出当前时刻历史均值流量大小，并形成历史均值流量曲线，可以与实时流量曲线进行同时呈现并形成对比，方便分析人员掌握网络流量态势，需提供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b/>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产品具备加快旁路入侵检测的方法，（提供第三方权威机构的技术证明材料）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b/>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系统需具备完善的流量告警能力，支持按照历史流量同期对比和设置流量阈值两种方式配置告警参数，告警级别包含偏低、偏高等多种类型；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widowControl/>
              <w:jc w:val="center"/>
              <w:rPr>
                <w:rFonts w:ascii="宋体" w:hAnsi="宋体"/>
                <w:b/>
                <w:kern w:val="0"/>
                <w:sz w:val="22"/>
                <w:szCs w:val="22"/>
              </w:rPr>
            </w:pPr>
            <w:r>
              <w:rPr>
                <w:rFonts w:hint="eastAsia" w:ascii="宋体" w:hAnsi="宋体" w:eastAsia="宋体"/>
                <w:b/>
                <w:kern w:val="0"/>
                <w:sz w:val="22"/>
                <w:szCs w:val="22"/>
              </w:rPr>
              <w:t>报表功能</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系统需提供完善的报表系统所提供的报表模板不应少于50个，能辅助用户分析一段时间内的威胁；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系统需提供事件名称+目的地址+源地址；事件名称+源地址+目的地址的三维交叉报表，能辅助用户快速定位问题；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系统需提供完善的报表系统，支持面向安全结论的分析报表；报表需支持如下格式：HTML、PDF、EXCEL、WORD，所生成的报表可以自动发送到多个邮箱，能辅助用户查阅；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报表需支持手动立即执行、周期性自动执行两种执行方式；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widowControl/>
              <w:jc w:val="center"/>
              <w:rPr>
                <w:rFonts w:ascii="宋体" w:hAnsi="宋体"/>
                <w:kern w:val="0"/>
                <w:sz w:val="22"/>
                <w:szCs w:val="22"/>
              </w:rPr>
            </w:pPr>
            <w:r>
              <w:rPr>
                <w:rFonts w:hint="eastAsia" w:ascii="宋体" w:hAnsi="宋体" w:eastAsia="宋体"/>
                <w:b/>
                <w:kern w:val="0"/>
                <w:sz w:val="22"/>
                <w:szCs w:val="22"/>
              </w:rPr>
              <w:t>系统管理</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系统需具备完善的特征库升级能力，特征库升级支持在线和离线升级方式，通过官网下载离线升级特征库，支持web界面一键导入方式进行升级；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系统需支持多级部署、集中管理能力，可以添加组件（包括控制中心、引擎），至少支持五级以上部署环境；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级联环境中，系统需具备支持上级对下级转发事件库升级包、系统升级补丁包，上级控制中心可以对下级统一下发策略集，方便统一管理；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color w:val="FF0000"/>
                <w:sz w:val="22"/>
                <w:szCs w:val="22"/>
              </w:rPr>
            </w:pPr>
            <w:r>
              <w:rPr>
                <w:rFonts w:hint="eastAsia" w:ascii="宋体" w:hAnsi="宋体" w:eastAsia="宋体" w:cs="Arial"/>
                <w:sz w:val="22"/>
                <w:szCs w:val="22"/>
              </w:rPr>
              <w:t>★根据业务需要与本次采购的防火墙进行联动，可根据检测数据联动防火墙自动生产防护策略，产品具备防火墙与入侵检测系统联动的方法，提供权威机构的技术证明材料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restart"/>
            <w:vAlign w:val="center"/>
          </w:tcPr>
          <w:p>
            <w:pPr>
              <w:widowControl/>
              <w:jc w:val="center"/>
              <w:rPr>
                <w:rFonts w:ascii="宋体" w:hAnsi="宋体"/>
                <w:kern w:val="0"/>
                <w:sz w:val="22"/>
                <w:szCs w:val="22"/>
              </w:rPr>
            </w:pPr>
            <w:r>
              <w:rPr>
                <w:rFonts w:hint="eastAsia" w:ascii="宋体" w:hAnsi="宋体" w:eastAsia="宋体"/>
                <w:b/>
                <w:kern w:val="0"/>
                <w:sz w:val="22"/>
                <w:szCs w:val="22"/>
              </w:rPr>
              <w:t>资质要求</w:t>
            </w: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设备生产厂家具备信息系统建设及服务能力优秀级(CS4)等级以上证书，投标时提供复印件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b/>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厂商应具备CMMI L5，提供证明文件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产品具有CNNVD兼容性证书，投标时提供复印件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352" w:type="dxa"/>
            <w:vMerge w:val="continue"/>
            <w:vAlign w:val="center"/>
          </w:tcPr>
          <w:p>
            <w:pPr>
              <w:widowControl/>
              <w:jc w:val="center"/>
              <w:rPr>
                <w:rFonts w:ascii="宋体" w:hAnsi="宋体"/>
                <w:kern w:val="0"/>
                <w:sz w:val="22"/>
                <w:szCs w:val="22"/>
              </w:rPr>
            </w:pPr>
          </w:p>
        </w:tc>
        <w:tc>
          <w:tcPr>
            <w:tcW w:w="8500" w:type="dxa"/>
            <w:vAlign w:val="center"/>
          </w:tcPr>
          <w:p>
            <w:pPr>
              <w:jc w:val="left"/>
              <w:rPr>
                <w:rFonts w:ascii="宋体" w:hAnsi="宋体" w:cs="Arial"/>
                <w:sz w:val="22"/>
                <w:szCs w:val="22"/>
              </w:rPr>
            </w:pPr>
            <w:r>
              <w:rPr>
                <w:rFonts w:hint="eastAsia" w:ascii="宋体" w:hAnsi="宋体" w:eastAsia="宋体" w:cs="Arial"/>
                <w:sz w:val="22"/>
                <w:szCs w:val="22"/>
              </w:rPr>
              <w:t>产品具有</w:t>
            </w:r>
            <w:r>
              <w:rPr>
                <w:rFonts w:hint="eastAsia" w:ascii="宋体" w:hAnsi="宋体" w:eastAsia="宋体"/>
                <w:sz w:val="22"/>
                <w:szCs w:val="22"/>
              </w:rPr>
              <w:t>中国信息安全测评中心出具的安全漏洞库证书</w:t>
            </w:r>
          </w:p>
        </w:tc>
      </w:tr>
    </w:tbl>
    <w:p>
      <w:pPr>
        <w:pStyle w:val="460"/>
        <w:ind w:left="360" w:firstLine="0" w:firstLineChars="0"/>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6、威胁分析一体机（1台）</w:t>
      </w:r>
    </w:p>
    <w:tbl>
      <w:tblPr>
        <w:tblStyle w:val="56"/>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2"/>
        <w:gridCol w:w="8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819"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指标项</w:t>
            </w:r>
          </w:p>
        </w:tc>
        <w:tc>
          <w:tcPr>
            <w:tcW w:w="4180"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kern w:val="0"/>
                <w:sz w:val="22"/>
                <w:szCs w:val="22"/>
              </w:rPr>
            </w:pPr>
            <w:r>
              <w:rPr>
                <w:rFonts w:hint="eastAsia" w:ascii="宋体" w:hAnsi="宋体" w:eastAsia="宋体"/>
                <w:b/>
                <w:kern w:val="0"/>
                <w:sz w:val="22"/>
                <w:szCs w:val="22"/>
              </w:rPr>
              <w:t>硬件指标</w:t>
            </w: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标准化</w:t>
            </w:r>
            <w:r>
              <w:rPr>
                <w:rFonts w:ascii="宋体" w:hAnsi="宋体" w:eastAsia="宋体"/>
                <w:kern w:val="0"/>
                <w:sz w:val="22"/>
                <w:szCs w:val="22"/>
              </w:rPr>
              <w:t>2U设备，提供</w:t>
            </w:r>
            <w:r>
              <w:rPr>
                <w:rFonts w:hint="eastAsia" w:ascii="宋体" w:hAnsi="宋体" w:eastAsia="宋体" w:cs="Arial"/>
                <w:sz w:val="22"/>
                <w:szCs w:val="22"/>
              </w:rPr>
              <w:t>≥</w:t>
            </w:r>
            <w:r>
              <w:rPr>
                <w:rFonts w:ascii="宋体" w:hAnsi="宋体" w:eastAsia="宋体"/>
                <w:kern w:val="0"/>
                <w:sz w:val="22"/>
                <w:szCs w:val="22"/>
              </w:rPr>
              <w:t>4个1000M Base-T网络接口，</w:t>
            </w:r>
            <w:r>
              <w:rPr>
                <w:rFonts w:hint="eastAsia" w:ascii="宋体" w:hAnsi="宋体" w:eastAsia="宋体" w:cs="Arial"/>
                <w:sz w:val="22"/>
                <w:szCs w:val="22"/>
              </w:rPr>
              <w:t>≥</w:t>
            </w:r>
            <w:r>
              <w:rPr>
                <w:rFonts w:ascii="宋体" w:hAnsi="宋体" w:eastAsia="宋体"/>
                <w:kern w:val="0"/>
                <w:sz w:val="22"/>
                <w:szCs w:val="22"/>
              </w:rPr>
              <w:t>7个扩展槽位</w:t>
            </w:r>
            <w:r>
              <w:rPr>
                <w:rFonts w:hint="eastAsia" w:ascii="宋体" w:hAnsi="宋体" w:eastAsia="宋体"/>
                <w:kern w:val="0"/>
                <w:sz w:val="22"/>
                <w:szCs w:val="22"/>
              </w:rPr>
              <w:t>以供扩展</w:t>
            </w:r>
            <w:r>
              <w:rPr>
                <w:rFonts w:ascii="宋体" w:hAnsi="宋体" w:eastAsia="宋体"/>
                <w:kern w:val="0"/>
                <w:sz w:val="22"/>
                <w:szCs w:val="22"/>
              </w:rPr>
              <w:t>，冗余电源，</w:t>
            </w:r>
            <w:r>
              <w:rPr>
                <w:rFonts w:hint="eastAsia" w:ascii="宋体" w:hAnsi="宋体" w:eastAsia="宋体" w:cs="Arial"/>
                <w:sz w:val="22"/>
                <w:szCs w:val="22"/>
              </w:rPr>
              <w:t>≥</w:t>
            </w:r>
            <w:r>
              <w:rPr>
                <w:rFonts w:hint="eastAsia" w:ascii="宋体" w:hAnsi="宋体" w:eastAsia="宋体"/>
                <w:kern w:val="0"/>
                <w:sz w:val="22"/>
                <w:szCs w:val="22"/>
              </w:rPr>
              <w:t>96G内存，</w:t>
            </w:r>
            <w:r>
              <w:rPr>
                <w:rFonts w:hint="eastAsia" w:ascii="宋体" w:hAnsi="宋体" w:eastAsia="宋体" w:cs="Arial"/>
                <w:sz w:val="22"/>
                <w:szCs w:val="22"/>
              </w:rPr>
              <w:t>≥</w:t>
            </w:r>
            <w:r>
              <w:rPr>
                <w:rFonts w:ascii="宋体" w:hAnsi="宋体" w:eastAsia="宋体"/>
                <w:kern w:val="0"/>
                <w:sz w:val="22"/>
                <w:szCs w:val="22"/>
              </w:rPr>
              <w:t>32T容量硬盘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性能指标</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网络层检测能力</w:t>
            </w:r>
            <w:r>
              <w:rPr>
                <w:rFonts w:hint="eastAsia" w:ascii="宋体" w:hAnsi="宋体" w:eastAsia="宋体" w:cs="Arial"/>
                <w:sz w:val="22"/>
                <w:szCs w:val="22"/>
              </w:rPr>
              <w:t>≥</w:t>
            </w:r>
            <w:r>
              <w:rPr>
                <w:rFonts w:ascii="宋体" w:hAnsi="宋体" w:eastAsia="宋体"/>
                <w:kern w:val="0"/>
                <w:sz w:val="22"/>
                <w:szCs w:val="22"/>
              </w:rPr>
              <w:t>3G</w:t>
            </w:r>
            <w:r>
              <w:rPr>
                <w:rFonts w:hint="eastAsia" w:ascii="宋体" w:hAnsi="宋体" w:eastAsia="宋体"/>
                <w:kern w:val="0"/>
                <w:sz w:val="22"/>
                <w:szCs w:val="22"/>
              </w:rPr>
              <w:t>，最大并发连接</w:t>
            </w:r>
            <w:r>
              <w:rPr>
                <w:rFonts w:hint="eastAsia" w:ascii="宋体" w:hAnsi="宋体" w:eastAsia="宋体" w:cs="Arial"/>
                <w:sz w:val="22"/>
                <w:szCs w:val="22"/>
              </w:rPr>
              <w:t>≥</w:t>
            </w:r>
            <w:r>
              <w:rPr>
                <w:rFonts w:hint="eastAsia" w:ascii="宋体" w:hAnsi="宋体" w:eastAsia="宋体"/>
                <w:kern w:val="0"/>
                <w:sz w:val="22"/>
                <w:szCs w:val="22"/>
              </w:rPr>
              <w:t>5</w:t>
            </w:r>
            <w:r>
              <w:rPr>
                <w:rFonts w:ascii="宋体" w:hAnsi="宋体" w:eastAsia="宋体"/>
                <w:kern w:val="0"/>
                <w:sz w:val="22"/>
                <w:szCs w:val="22"/>
              </w:rPr>
              <w:t>0</w:t>
            </w:r>
            <w:r>
              <w:rPr>
                <w:rFonts w:hint="eastAsia" w:ascii="宋体" w:hAnsi="宋体" w:eastAsia="宋体"/>
                <w:kern w:val="0"/>
                <w:sz w:val="22"/>
                <w:szCs w:val="22"/>
              </w:rPr>
              <w:t>万，最大新建并发连接</w:t>
            </w:r>
            <w:r>
              <w:rPr>
                <w:rFonts w:hint="eastAsia" w:ascii="宋体" w:hAnsi="宋体" w:eastAsia="宋体" w:cs="Arial"/>
                <w:sz w:val="22"/>
                <w:szCs w:val="22"/>
              </w:rPr>
              <w:t>≥</w:t>
            </w:r>
            <w:r>
              <w:rPr>
                <w:rFonts w:ascii="宋体" w:hAnsi="宋体" w:eastAsia="宋体" w:cs="Arial"/>
                <w:sz w:val="22"/>
                <w:szCs w:val="22"/>
              </w:rPr>
              <w:t>25000</w:t>
            </w:r>
            <w:r>
              <w:rPr>
                <w:rFonts w:hint="eastAsia" w:ascii="宋体" w:hAnsi="宋体" w:eastAsia="宋体" w:cs="Arial"/>
                <w:sz w:val="22"/>
                <w:szCs w:val="22"/>
              </w:rPr>
              <w:t>，处理文件性能15万/24小时（每个文件10M计算）。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部署模式</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支持流量镜像接入，支持syslog日志接入。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自定义规则进行检测，自定义规则须支持工控协议，支持自定义检测规则的协议类型包括：TCP、UDP、ICMP、HTTP、SMTP、IMAP、POP3、MySQL、MSSQL、Oracle、MODBUS等。自定义维度包括：事件名称、事件别名、事件说明、协议类型、事件级别、事件类型、影响系统、影响设备、IP是否反转、攻击阶段、攻击状态、pcap是否存储、自定义规则是否启用；可自定义的影响设备包括：Linux OS、Windows OS、UNIX OS、多种操作系统、防火墙、交换及路由设备、网络带宽、多种网络设备；可自定义攻击阶段包括：发现（T1124）、侦查（T1597）、防御绕过（T1140）、执行（T1203）、命令控制（T1090）、凭证获取（T1056）、横向移动（T1210）、命令控制（T1092）、持久化（T1554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支持对暴力破解行为进行检测，可自定义检测周期、检测频率，支持检测的协议类型包括但不限于：HTTP、HTTPS、FTP、SSH、SMTP、IMAP、RDP、MySQL、Oracle、MSSQL、POP3、Telnet等，可选择开启或关闭暴力破解检测。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具备数据包完整性检测、碎片重组检测、编码检测能力、高级逃逸AET检测等防逃逸检测能力。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支持对协议元数据进行提取检测，支持提取元数据的协议类型包括但不限于：TCP、HTTP、DNS、ICMP、SMTP、POP3、FTP、SMB、TLS、UDP、PPTP、MySQL、Telnet、ARP、WebMail、MSSQL、Oracle、IMAP、IPV6、IPSecVPN。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支持对TLS加密流量进行检测，可通过导入证书对TLS流量进行解密并自动进行检测，支持协议包括但不限于：HTTPS、SMTPS、POP3S、IMAPS等。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b/>
                <w:kern w:val="0"/>
                <w:sz w:val="22"/>
                <w:szCs w:val="22"/>
              </w:rPr>
            </w:pPr>
            <w:r>
              <w:rPr>
                <w:rFonts w:hint="eastAsia" w:ascii="宋体" w:hAnsi="宋体" w:eastAsia="宋体"/>
                <w:b/>
                <w:kern w:val="0"/>
                <w:sz w:val="22"/>
                <w:szCs w:val="22"/>
              </w:rPr>
              <w:t>威胁感知</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ascii="宋体" w:hAnsi="宋体" w:eastAsia="宋体" w:cs="宋体"/>
                <w:sz w:val="22"/>
                <w:szCs w:val="22"/>
              </w:rPr>
              <w:t>★</w:t>
            </w:r>
            <w:r>
              <w:rPr>
                <w:rFonts w:hint="eastAsia" w:ascii="宋体" w:hAnsi="宋体" w:eastAsia="宋体"/>
                <w:kern w:val="0"/>
                <w:sz w:val="22"/>
                <w:szCs w:val="22"/>
              </w:rPr>
              <w:t>支持对攻击事件所处攻击阶段进行整体感知，可查看每个阶段攻击事件数，攻击阶段包括但不限于：侦查、发现、信息收集、初始访问、执行、特权提升、横向移动、命令与控制、持久化等</w:t>
            </w:r>
            <w:r>
              <w:rPr>
                <w:rFonts w:hint="eastAsia" w:ascii="宋体" w:hAnsi="宋体" w:eastAsia="宋体"/>
                <w:bCs/>
                <w:kern w:val="0"/>
                <w:sz w:val="22"/>
                <w:szCs w:val="22"/>
              </w:rPr>
              <w:t>（提供产品界面截图）</w:t>
            </w:r>
            <w:r>
              <w:rPr>
                <w:rFonts w:hint="eastAsia" w:ascii="宋体" w:hAnsi="宋体" w:eastAsia="宋体"/>
                <w:b/>
                <w:kern w:val="0"/>
                <w:sz w:val="22"/>
                <w:szCs w:val="22"/>
              </w:rPr>
              <w:t>，</w:t>
            </w:r>
            <w:r>
              <w:rPr>
                <w:rFonts w:hint="eastAsia" w:ascii="宋体" w:hAnsi="宋体" w:eastAsia="宋体"/>
                <w:bCs/>
                <w:kern w:val="0"/>
                <w:sz w:val="22"/>
                <w:szCs w:val="22"/>
              </w:rPr>
              <w:t>产品具备多维度网络态势感知的方法，提供第三方权威机构的技术证明材料</w:t>
            </w:r>
            <w:r>
              <w:rPr>
                <w:rFonts w:hint="eastAsia" w:ascii="宋体" w:hAnsi="宋体" w:eastAsia="宋体"/>
                <w:b/>
                <w:kern w:val="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支持所监测网络内失陷主机进行整体感知，可通过监控界面点击跳转到事件处置界面进行失陷主机处置。支持跳转从两个出口中进行选择,跳转界面包括：僵木蠕攻击界面、恶意域名界面。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威胁分析</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支持从不同视角对攻击事件进行威胁分析，专业视角不少于6个，专业视角包括：攻击者视角、被攻击者视角、事件视角、样本视角、恶意域名视角、威胁情报视角等。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分析场景不少于5个，包括常见WEB攻击、僵木蠕攻击、扫描探测、暴力破解、可疑行为等进行智能场景化分析。WEB攻击场景需支持查看攻击者TOP、攻击结果、告警日志等信息，僵木蠕攻击场景需支持查看被攻击者TOP、告警趋势、告警日志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对攻击事件进行告警聚合，可查看告警信息、源目IP、最近攻击时间、攻击次数、攻击成功次数、事件级别、攻击类型、资产名称、资产分组、响应码、攻击方向、攻击阶段、ATT&amp;CK信息、处置状态等信息，可按照告警信息TOP10、攻击结果、非命中白名单日志等维度进行告警筛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具备独立的研判界面，支持对告警事件进行研判分析，可查看告警事件的请求头、请求体、响应头、响应体或payload，并支持一键复制请求、响应信息；可下载告警事件的原始数据报文，提供在线报文分析；支持查看事件帮助信息，包括但不限于：事件名称、事件类型、协议类型、事件描述、CVE编号、CNCVE编号、事件性质判定、事件处理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支持内置解码工具不少于8种，可对编码变形payload进行解码，支持的解码类型包括：Unicode编码、UTF-8编码、URL编码、Hex编码、base64编码、AES编码、DES编码、XOR编码。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威胁处置</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支持与IPS、WAF、全流量溯源取证设备进行联动。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★支持在告警事件研判界面与本次采购的入侵防御系统IPS、防火墙和同品牌的WAF进行联动阻断处置，可选择阻断设备、阻断时长，提供产品界面截图。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脆弱性感知</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支持对弱口令登录进行场景化分析，支持查看被访问IP TOP、访问账号分布、最近访问时间、访问IP、访问账号、登录使用弱口令、被访问IP、资产分组、资产名称、登录使用协议、密码强度、访问次数等信息；告警日志界面支持下载弱口令登录过程原始报文。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威胁情报</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支持内置威胁情报库进行威胁情报碰撞，具备威胁情报视角，可查看告警信息包括但不限于：情报IOC TOP、情报类型TOP、情报IOC、情报类型、攻击者IP、被攻击者IP、威胁级别、家族信息、攻击组织、攻击次数、发生时间等。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支持威胁情报一键云查，可查看情报标签。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支持威胁狩猎，可自定义威胁情报，可查看自定义情报命中情况。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宋体" w:hAnsi="宋体"/>
                <w:b/>
                <w:kern w:val="0"/>
                <w:sz w:val="22"/>
                <w:szCs w:val="22"/>
              </w:rPr>
            </w:pPr>
            <w:r>
              <w:rPr>
                <w:rFonts w:hint="eastAsia" w:ascii="宋体" w:hAnsi="宋体" w:eastAsia="宋体"/>
                <w:b/>
                <w:kern w:val="0"/>
                <w:sz w:val="22"/>
                <w:szCs w:val="22"/>
              </w:rPr>
              <w:t>未知威胁检测</w:t>
            </w: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须内置沙箱，具备100种以上文件格式沙箱检测能力，支持自定义文件类型，支持检测的协议类型包括：SMTP、IMAP、FTP、POP3、SMB、HTTP、HTTPS等。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支持常见文件格式沙箱检测，包括但不限于：doc、chm、mdb、mime、rtf、pdf、xml、html、swf、bmp、ico、7z、ace、oth、xz、rar、zip、exe、msi、sh、so、bat、hta、js、ps1、py、rb、apk、eml、msg、lnk、elf等。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支持输入解压密码对压缩文件进行检测，压缩文件解压深度至少支持10层解压，可选择对压缩文件是否进行解密。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支持对反沙箱恶意样本检测，支持反沙箱检测不少于5种行为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支持中文标签展示恶意代码类型，并支持按照中文标签检索。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检测：打开系统进程中的线程、启动可疑进程、启动子进程、向系统进程内写入数据、注入其他进程、在系统进程中创建远程线程、遍历进程、向其他进程写入可疑内容等敏感行为；支持记录：进程启动等详细行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支持对文件样本的网络行为检测，记录文件运行时的网络通信会话，并支持在线查看目的IP、目的端口、16进制和ASCII格式数据包内容等通信会话详情。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ascii="宋体" w:hAnsi="宋体" w:eastAsia="宋体" w:cs="宋体"/>
                <w:sz w:val="22"/>
                <w:szCs w:val="22"/>
              </w:rPr>
              <w:t>★</w:t>
            </w:r>
            <w:r>
              <w:rPr>
                <w:rFonts w:hint="eastAsia" w:ascii="宋体" w:hAnsi="宋体" w:eastAsia="宋体"/>
                <w:kern w:val="0"/>
                <w:sz w:val="22"/>
                <w:szCs w:val="22"/>
              </w:rPr>
              <w:t>已知安全威胁样本集检测率不低于 100%，未知安全威胁样本集检测率不低于 80%，提供第三方测评机构的检测报告。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支持检测：释放PE文件、删除文件夹、修改文件、拷贝自身、感染文件等敏感行为下载文件；支持详细记录对文件系统的监控操作，包括写入文件（夹）、删除文件（夹）、读取文件（夹）等。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支持检测：创建自启动项，创建启动服务、创建异常注册表键值等敏感行为；支持记录详细注册表操作，如：写入、读取、删除注册表。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样本报告支持简易和详细两种模式。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样本报告能够显示进程/线程状态、注册表项操作、文件操作、互斥量操作、网络操作、服务相关、关键API调用等行为等信息供分析。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沙箱支持自动化输出样本报告，支持下载样本报告和样本文件，支持对样本告警日志进行处置和一键加白。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b/>
                <w:kern w:val="0"/>
                <w:sz w:val="22"/>
                <w:szCs w:val="22"/>
              </w:rPr>
            </w:pPr>
            <w:r>
              <w:rPr>
                <w:rFonts w:hint="eastAsia" w:ascii="宋体" w:hAnsi="宋体" w:eastAsia="宋体"/>
                <w:b/>
                <w:kern w:val="0"/>
                <w:sz w:val="22"/>
                <w:szCs w:val="22"/>
              </w:rPr>
              <w:t>报表管理</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支持内置报表模板，可自定义生成报表分析时长，支持固定时长报表，包括但不限于：7天、一个月、一个季度、一年；支持查看和下载报表文件。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宋体" w:hAnsi="宋体" w:cs="Arial"/>
                <w:b/>
                <w:bCs/>
                <w:sz w:val="22"/>
                <w:szCs w:val="22"/>
              </w:rPr>
            </w:pPr>
            <w:r>
              <w:rPr>
                <w:rFonts w:hint="eastAsia" w:ascii="宋体" w:hAnsi="宋体" w:eastAsia="宋体"/>
                <w:b/>
                <w:kern w:val="0"/>
                <w:sz w:val="22"/>
                <w:szCs w:val="22"/>
              </w:rPr>
              <w:t>系统管理</w:t>
            </w: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支持基于用户角色的权限控制，至少具备用户管理员、配置管理员、审计管理员等用户角色。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支持双因素认证登录。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Arial"/>
                <w:b/>
                <w:bCs/>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kern w:val="0"/>
                <w:sz w:val="22"/>
                <w:szCs w:val="22"/>
              </w:rPr>
              <w:t>支持用户密码强度配置，包括密码强度、密码过期时间、同一IP登录失败锁定次数、登录失败IP锁定时间、同一用户登录失败锁定次数、登录失败用户锁定时间、密码过期强制修改等。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right w:val="single" w:color="auto" w:sz="4" w:space="0"/>
            </w:tcBorders>
            <w:vAlign w:val="center"/>
          </w:tcPr>
          <w:p>
            <w:pPr>
              <w:jc w:val="left"/>
              <w:rPr>
                <w:rFonts w:ascii="宋体" w:hAnsi="宋体"/>
                <w:kern w:val="0"/>
                <w:sz w:val="22"/>
                <w:szCs w:val="22"/>
              </w:rPr>
            </w:pPr>
            <w:r>
              <w:rPr>
                <w:rFonts w:hint="eastAsia" w:ascii="宋体" w:hAnsi="宋体" w:eastAsia="宋体" w:cs="Arial"/>
                <w:b/>
                <w:sz w:val="22"/>
                <w:szCs w:val="22"/>
              </w:rPr>
              <w:t>产品资质</w:t>
            </w: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产品具备独立的高级可持续威胁（APT）安全监测产品的销售许可证（增强级）；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left w:val="single" w:color="auto" w:sz="4" w:space="0"/>
              <w:bottom w:val="single" w:color="auto" w:sz="4" w:space="0"/>
              <w:right w:val="single" w:color="auto" w:sz="4" w:space="0"/>
            </w:tcBorders>
            <w:vAlign w:val="center"/>
          </w:tcPr>
          <w:p>
            <w:pPr>
              <w:jc w:val="left"/>
              <w:rPr>
                <w:rFonts w:ascii="宋体" w:hAnsi="宋体" w:cs="Arial"/>
                <w:b/>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产品具备国家信息安全漏洞库兼容性资质证书；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Arial"/>
                <w:b/>
                <w:sz w:val="22"/>
                <w:szCs w:val="22"/>
              </w:rPr>
            </w:pPr>
            <w:r>
              <w:rPr>
                <w:rFonts w:hint="eastAsia" w:ascii="宋体" w:hAnsi="宋体" w:eastAsia="宋体" w:cs="Arial"/>
                <w:b/>
                <w:sz w:val="22"/>
                <w:szCs w:val="22"/>
              </w:rPr>
              <w:t>产品成熟度</w:t>
            </w: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产品制造厂商应保证其产品经过7年以上的持续研发和市场验证，产品成熟、稳定。请提供软件著作权予以证明。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restart"/>
            <w:tcBorders>
              <w:top w:val="single" w:color="auto" w:sz="4" w:space="0"/>
              <w:left w:val="single" w:color="auto" w:sz="4" w:space="0"/>
              <w:right w:val="single" w:color="auto" w:sz="4" w:space="0"/>
            </w:tcBorders>
            <w:vAlign w:val="center"/>
          </w:tcPr>
          <w:p>
            <w:pPr>
              <w:jc w:val="left"/>
              <w:rPr>
                <w:rFonts w:ascii="宋体" w:hAnsi="宋体" w:cs="Arial"/>
                <w:b/>
                <w:sz w:val="22"/>
                <w:szCs w:val="22"/>
              </w:rPr>
            </w:pPr>
            <w:r>
              <w:rPr>
                <w:rFonts w:hint="eastAsia" w:ascii="宋体" w:hAnsi="宋体" w:eastAsia="宋体" w:cs="Arial"/>
                <w:b/>
                <w:sz w:val="22"/>
                <w:szCs w:val="22"/>
              </w:rPr>
              <w:t>厂商资质</w:t>
            </w: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厂商应具备CMMI L5，提供证明文件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12" w:type="dxa"/>
            <w:vMerge w:val="continue"/>
            <w:tcBorders>
              <w:left w:val="single" w:color="auto" w:sz="4" w:space="0"/>
              <w:right w:val="single" w:color="auto" w:sz="4" w:space="0"/>
            </w:tcBorders>
            <w:vAlign w:val="center"/>
          </w:tcPr>
          <w:p>
            <w:pPr>
              <w:jc w:val="left"/>
              <w:rPr>
                <w:rFonts w:ascii="宋体" w:hAnsi="宋体" w:cs="Arial"/>
                <w:b/>
                <w:sz w:val="22"/>
                <w:szCs w:val="22"/>
              </w:rPr>
            </w:pPr>
          </w:p>
        </w:tc>
        <w:tc>
          <w:tcPr>
            <w:tcW w:w="8228" w:type="dxa"/>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kern w:val="0"/>
                <w:sz w:val="22"/>
                <w:szCs w:val="22"/>
              </w:rPr>
            </w:pPr>
            <w:r>
              <w:rPr>
                <w:rFonts w:hint="eastAsia" w:ascii="宋体" w:hAnsi="宋体" w:eastAsia="宋体"/>
                <w:kern w:val="0"/>
                <w:sz w:val="22"/>
                <w:szCs w:val="22"/>
              </w:rPr>
              <w:t>厂商应具备信息系统安全运维服务资质（一级），提供证明文件</w:t>
            </w:r>
          </w:p>
        </w:tc>
      </w:tr>
    </w:tbl>
    <w:p>
      <w:pPr>
        <w:rPr>
          <w:b/>
          <w:sz w:val="22"/>
        </w:rPr>
      </w:pPr>
      <w:r>
        <w:rPr>
          <w:rFonts w:hint="eastAsia"/>
          <w:b/>
          <w:sz w:val="22"/>
        </w:rPr>
        <w:t xml:space="preserve"> </w:t>
      </w:r>
    </w:p>
    <w:p>
      <w:pPr>
        <w:pStyle w:val="460"/>
        <w:ind w:firstLine="0" w:firstLineChars="0"/>
        <w:rPr>
          <w:rFonts w:ascii="新宋体" w:hAnsi="新宋体" w:eastAsia="新宋体" w:cs="新宋体"/>
          <w:b/>
          <w:sz w:val="22"/>
        </w:rPr>
      </w:pPr>
      <w:r>
        <w:rPr>
          <w:rFonts w:hint="eastAsia" w:ascii="新宋体" w:hAnsi="新宋体" w:eastAsia="新宋体" w:cs="新宋体"/>
          <w:b/>
          <w:sz w:val="22"/>
        </w:rPr>
        <w:t>7.各大中队汇聚交换机（2台）</w:t>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20"/>
        <w:gridCol w:w="8114"/>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pct"/>
          <w:trHeight w:val="567" w:hRule="atLeast"/>
          <w:tblHeader/>
        </w:trPr>
        <w:tc>
          <w:tcPr>
            <w:tcW w:w="873"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指标项</w:t>
            </w:r>
          </w:p>
        </w:tc>
        <w:tc>
          <w:tcPr>
            <w:tcW w:w="4119" w:type="pct"/>
            <w:shd w:val="clear" w:color="auto" w:fill="8DB3E2" w:themeFill="text2" w:themeFillTint="66"/>
            <w:vAlign w:val="center"/>
          </w:tcPr>
          <w:p>
            <w:pPr>
              <w:widowControl/>
              <w:jc w:val="center"/>
              <w:rPr>
                <w:rFonts w:ascii="宋体" w:hAnsi="宋体"/>
                <w:b/>
                <w:kern w:val="0"/>
                <w:sz w:val="22"/>
                <w:szCs w:val="22"/>
              </w:rPr>
            </w:pPr>
            <w:r>
              <w:rPr>
                <w:rFonts w:hint="eastAsia" w:ascii="宋体" w:hAnsi="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设备性能</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交换容量≥7.</w:t>
            </w:r>
            <w:r>
              <w:rPr>
                <w:rFonts w:ascii="新宋体" w:hAnsi="新宋体" w:eastAsia="新宋体"/>
                <w:color w:val="000000"/>
                <w:sz w:val="22"/>
                <w:szCs w:val="22"/>
              </w:rPr>
              <w:t>55</w:t>
            </w:r>
            <w:r>
              <w:rPr>
                <w:rFonts w:hint="eastAsia" w:ascii="新宋体" w:hAnsi="新宋体" w:eastAsia="新宋体"/>
                <w:color w:val="000000"/>
                <w:sz w:val="22"/>
                <w:szCs w:val="22"/>
              </w:rPr>
              <w:t>Tbps，转发性能≥</w:t>
            </w:r>
            <w:r>
              <w:rPr>
                <w:rFonts w:ascii="新宋体" w:hAnsi="新宋体" w:eastAsia="新宋体"/>
                <w:color w:val="000000"/>
                <w:sz w:val="22"/>
                <w:szCs w:val="22"/>
              </w:rPr>
              <w:t>430</w:t>
            </w:r>
            <w:r>
              <w:rPr>
                <w:rFonts w:hint="eastAsia" w:ascii="新宋体" w:hAnsi="新宋体" w:eastAsia="新宋体"/>
                <w:color w:val="000000"/>
                <w:sz w:val="22"/>
                <w:szCs w:val="22"/>
              </w:rPr>
              <w:t>Mpps；</w:t>
            </w:r>
            <w:r>
              <w:rPr>
                <w:rFonts w:ascii="新宋体" w:hAnsi="新宋体" w:eastAsia="新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硬件形态</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w:t>
            </w:r>
            <w:r>
              <w:rPr>
                <w:rFonts w:ascii="新宋体" w:hAnsi="新宋体" w:eastAsia="新宋体" w:cstheme="minorBidi"/>
                <w:color w:val="000000"/>
                <w:kern w:val="2"/>
                <w:sz w:val="22"/>
                <w:szCs w:val="22"/>
              </w:rPr>
              <w:t>48</w:t>
            </w:r>
            <w:r>
              <w:rPr>
                <w:rFonts w:hint="eastAsia" w:ascii="新宋体" w:hAnsi="新宋体" w:eastAsia="新宋体" w:cstheme="minorBidi"/>
                <w:color w:val="000000"/>
                <w:kern w:val="2"/>
                <w:sz w:val="22"/>
                <w:szCs w:val="22"/>
              </w:rPr>
              <w:t xml:space="preserve">个10/100/1000Base-T自适应以太网端口，≥4个万兆SFP+口； </w:t>
            </w:r>
            <w:r>
              <w:rPr>
                <w:rFonts w:hint="eastAsia" w:ascii="宋体" w:hAnsi="宋体" w:eastAsia="宋体" w:cs="Arial"/>
                <w:sz w:val="22"/>
                <w:szCs w:val="22"/>
              </w:rPr>
              <w:t>（按项目需求提供光模块）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模块化电源风扇</w:t>
            </w:r>
          </w:p>
        </w:tc>
        <w:tc>
          <w:tcPr>
            <w:tcW w:w="8127" w:type="dxa"/>
            <w:gridSpan w:val="2"/>
            <w:vAlign w:val="top"/>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模块化双电源；模块化双风扇，前/后通风，风道可调；同时在位两个风扇，拔掉任意一个，设备工作正常，要求</w:t>
            </w:r>
            <w:r>
              <w:rPr>
                <w:rFonts w:ascii="新宋体" w:hAnsi="新宋体" w:eastAsia="新宋体"/>
                <w:color w:val="000000"/>
                <w:sz w:val="22"/>
                <w:szCs w:val="22"/>
              </w:rPr>
              <w:t>提供权威机构颁发的第三方测试报告</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★扩展插槽</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为保障未来链路升级，支持≥1个扩展插槽，可扩展1/2.5/5/10G BASE-T 以太网电接口、25G SFP28端口、40GE QSFP+接口，提供官网链接及选配信息截图证明，并加以标注；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ERPS</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支持</w:t>
            </w:r>
            <w:r>
              <w:rPr>
                <w:rFonts w:hint="eastAsia" w:ascii="新宋体" w:hAnsi="新宋体" w:eastAsia="新宋体"/>
                <w:color w:val="000000"/>
                <w:sz w:val="22"/>
                <w:szCs w:val="22"/>
              </w:rPr>
              <w:t>ERPS功能</w:t>
            </w:r>
            <w:r>
              <w:rPr>
                <w:rFonts w:ascii="新宋体" w:hAnsi="新宋体" w:eastAsia="新宋体"/>
                <w:color w:val="000000"/>
                <w:sz w:val="22"/>
                <w:szCs w:val="22"/>
              </w:rPr>
              <w:t>，并且</w:t>
            </w:r>
            <w:r>
              <w:rPr>
                <w:rFonts w:hint="eastAsia" w:ascii="新宋体" w:hAnsi="新宋体" w:eastAsia="新宋体"/>
                <w:color w:val="000000"/>
                <w:sz w:val="22"/>
                <w:szCs w:val="22"/>
              </w:rPr>
              <w:t>收敛</w:t>
            </w:r>
            <w:r>
              <w:rPr>
                <w:rFonts w:ascii="新宋体" w:hAnsi="新宋体" w:eastAsia="新宋体"/>
                <w:color w:val="000000"/>
                <w:sz w:val="22"/>
                <w:szCs w:val="22"/>
              </w:rPr>
              <w:t>时间小于</w:t>
            </w:r>
            <w:r>
              <w:rPr>
                <w:rFonts w:hint="eastAsia" w:ascii="新宋体" w:hAnsi="新宋体" w:eastAsia="新宋体"/>
                <w:color w:val="000000"/>
                <w:sz w:val="22"/>
                <w:szCs w:val="22"/>
              </w:rPr>
              <w:t>50</w:t>
            </w:r>
            <w:r>
              <w:rPr>
                <w:rFonts w:ascii="新宋体" w:hAnsi="新宋体" w:eastAsia="新宋体"/>
                <w:color w:val="000000"/>
                <w:sz w:val="22"/>
                <w:szCs w:val="22"/>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CPU保护</w:t>
            </w:r>
          </w:p>
        </w:tc>
        <w:tc>
          <w:tcPr>
            <w:tcW w:w="8127" w:type="dxa"/>
            <w:gridSpan w:val="2"/>
            <w:vAlign w:val="center"/>
          </w:tcPr>
          <w:p>
            <w:pPr>
              <w:pStyle w:val="588"/>
              <w:jc w:val="both"/>
              <w:rPr>
                <w:rFonts w:ascii="新宋体" w:hAnsi="新宋体" w:eastAsia="新宋体" w:cs="新宋体"/>
                <w:kern w:val="2"/>
                <w:sz w:val="22"/>
                <w:szCs w:val="22"/>
              </w:rPr>
            </w:pPr>
            <w:r>
              <w:rPr>
                <w:rFonts w:ascii="新宋体" w:hAnsi="新宋体" w:eastAsia="新宋体" w:cstheme="minorBidi"/>
                <w:kern w:val="2"/>
                <w:sz w:val="22"/>
                <w:szCs w:val="22"/>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ascii="新宋体" w:hAnsi="新宋体" w:eastAsia="新宋体" w:cstheme="minorBidi"/>
                <w:color w:val="000000"/>
                <w:kern w:val="2"/>
                <w:sz w:val="22"/>
                <w:szCs w:val="22"/>
              </w:rPr>
              <w:t>T</w:t>
            </w:r>
            <w:r>
              <w:rPr>
                <w:rFonts w:hint="eastAsia" w:ascii="新宋体" w:hAnsi="新宋体" w:eastAsia="新宋体" w:cstheme="minorBidi"/>
                <w:color w:val="000000"/>
                <w:kern w:val="2"/>
                <w:sz w:val="22"/>
                <w:szCs w:val="22"/>
              </w:rPr>
              <w:t>riple</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支持T</w:t>
            </w:r>
            <w:r>
              <w:rPr>
                <w:rFonts w:ascii="新宋体" w:hAnsi="新宋体" w:eastAsia="新宋体"/>
                <w:color w:val="000000"/>
                <w:sz w:val="22"/>
                <w:szCs w:val="22"/>
              </w:rPr>
              <w:t>riple功能，</w:t>
            </w:r>
            <w:r>
              <w:rPr>
                <w:rFonts w:hint="eastAsia" w:ascii="新宋体" w:hAnsi="新宋体" w:eastAsia="新宋体"/>
                <w:color w:val="000000"/>
                <w:sz w:val="22"/>
                <w:szCs w:val="22"/>
              </w:rPr>
              <w:t>端口同时开启802.1X，MAC认证及Portal功能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ascii="新宋体" w:hAnsi="新宋体" w:eastAsia="新宋体" w:cstheme="minorBidi"/>
                <w:color w:val="000000"/>
                <w:kern w:val="2"/>
                <w:sz w:val="22"/>
                <w:szCs w:val="22"/>
              </w:rPr>
              <w:t>SAVI</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设备支持</w:t>
            </w:r>
            <w:r>
              <w:rPr>
                <w:rFonts w:hint="eastAsia" w:ascii="新宋体" w:hAnsi="新宋体" w:eastAsia="新宋体"/>
                <w:color w:val="000000"/>
                <w:sz w:val="22"/>
                <w:szCs w:val="22"/>
              </w:rPr>
              <w:t>SAVI功能</w:t>
            </w:r>
            <w:r>
              <w:rPr>
                <w:rFonts w:ascii="新宋体" w:hAnsi="新宋体" w:eastAsia="新宋体"/>
                <w:color w:val="000000"/>
                <w:sz w:val="22"/>
                <w:szCs w:val="22"/>
              </w:rPr>
              <w:t>，</w:t>
            </w:r>
            <w:r>
              <w:rPr>
                <w:rFonts w:hint="eastAsia" w:ascii="新宋体" w:hAnsi="新宋体" w:eastAsia="新宋体"/>
                <w:color w:val="000000"/>
                <w:sz w:val="22"/>
                <w:szCs w:val="22"/>
              </w:rPr>
              <w:t>设备在SAVI DHCPv6-only模式下DHCPv6 client只能使用DHCPv6方式获取到的IPv6地址访问网络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Netstream</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支持Netstream网络流信息统计技术，可实现流量的分析和统计，并建立流表实现单向/双向NetStream功能，提供官网清晰截图证明；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云管功能</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设备能够被公有云平台管理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设备能通过蓝牙方式登录</w:t>
            </w:r>
            <w:r>
              <w:rPr>
                <w:rFonts w:hint="eastAsia" w:ascii="新宋体" w:hAnsi="新宋体" w:eastAsia="新宋体"/>
                <w:color w:val="000000"/>
                <w:sz w:val="22"/>
                <w:szCs w:val="22"/>
              </w:rPr>
              <w:t>公有云</w:t>
            </w:r>
            <w:r>
              <w:rPr>
                <w:rFonts w:ascii="新宋体" w:hAnsi="新宋体" w:eastAsia="新宋体"/>
                <w:color w:val="000000"/>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堆叠</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最大堆叠台数≥9台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支持跨设备链路聚合，单一IP管理，分布式弹性路由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支持通过标准以太端口进行堆叠（万兆或40G均支持）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支持完善的堆叠分裂检测机制，堆叠分裂后能自动完成MAC和IP地址的重配置，无需手动干预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路由协议</w:t>
            </w: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支持IPv4静态路由、RIP V1/V2、OSPF、BGP、IS-IS</w:t>
            </w:r>
            <w:r>
              <w:rPr>
                <w:rFonts w:ascii="新宋体" w:hAnsi="新宋体" w:eastAsia="新宋体" w:cstheme="minorBidi"/>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支持IPv6静态路由、RIPng、OSPFv3、BGP4+、IS-IS</w:t>
            </w:r>
            <w:r>
              <w:rPr>
                <w:rFonts w:ascii="新宋体" w:hAnsi="新宋体" w:eastAsia="新宋体" w:cstheme="minorBidi"/>
                <w:color w:val="000000"/>
                <w:kern w:val="2"/>
                <w:sz w:val="22"/>
                <w:szCs w:val="22"/>
              </w:rPr>
              <w:t xml:space="preserve"> </w:t>
            </w:r>
            <w:r>
              <w:rPr>
                <w:rFonts w:hint="eastAsia" w:ascii="新宋体" w:hAnsi="新宋体" w:eastAsia="新宋体" w:cstheme="minorBidi"/>
                <w:color w:val="000000"/>
                <w:kern w:val="2"/>
                <w:sz w:val="22"/>
                <w:szCs w:val="22"/>
              </w:rPr>
              <w:t>V6</w:t>
            </w:r>
            <w:r>
              <w:rPr>
                <w:rFonts w:ascii="新宋体" w:hAnsi="新宋体" w:eastAsia="新宋体" w:cstheme="minorBidi"/>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支持IPv6手动隧道、6to4隧道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VXLAN</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支持二层VxLAN，支持三层VxLAN，支持EVPN，要求提供第三方测试报告；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★开放多业务架构（安全插卡）</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支持集成包括FW，IPS、负载均衡等高性能OAP模块插卡。提供官网清晰截图，并加盖生产厂商鲜章；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路由协议</w:t>
            </w:r>
          </w:p>
        </w:tc>
        <w:tc>
          <w:tcPr>
            <w:tcW w:w="8127" w:type="dxa"/>
            <w:gridSpan w:val="2"/>
            <w:vAlign w:val="center"/>
          </w:tcPr>
          <w:p>
            <w:pPr>
              <w:autoSpaceDE w:val="0"/>
              <w:autoSpaceDN w:val="0"/>
              <w:adjustRightInd w:val="0"/>
              <w:jc w:val="left"/>
              <w:rPr>
                <w:rFonts w:ascii="新宋体" w:hAnsi="新宋体" w:eastAsia="新宋体"/>
                <w:color w:val="000000"/>
                <w:sz w:val="22"/>
                <w:szCs w:val="22"/>
              </w:rPr>
            </w:pPr>
            <w:r>
              <w:rPr>
                <w:rFonts w:hint="eastAsia" w:ascii="新宋体" w:hAnsi="新宋体" w:eastAsia="新宋体"/>
                <w:color w:val="000000"/>
                <w:sz w:val="22"/>
                <w:szCs w:val="22"/>
              </w:rPr>
              <w:t>支持IPv4静态路由、RIP V1/V2、OSPF、BGP；</w:t>
            </w:r>
          </w:p>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支持IPv6静态路由、RIPng、OSPFv3、BGP4+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有线无线一体化</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内置软AC功能，交换平台实现有线无线一体化集成，配合MC-AC分层模式，消除无线带宽瓶颈，提供官网清晰截图证明；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内嵌式管理平台</w:t>
            </w:r>
          </w:p>
        </w:tc>
        <w:tc>
          <w:tcPr>
            <w:tcW w:w="8127" w:type="dxa"/>
            <w:gridSpan w:val="2"/>
            <w:vAlign w:val="top"/>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可作为</w:t>
            </w:r>
            <w:r>
              <w:rPr>
                <w:rFonts w:ascii="新宋体" w:hAnsi="新宋体" w:eastAsia="新宋体"/>
                <w:color w:val="000000"/>
                <w:sz w:val="22"/>
                <w:szCs w:val="22"/>
              </w:rPr>
              <w:t>管理设备</w:t>
            </w:r>
            <w:r>
              <w:rPr>
                <w:rFonts w:hint="eastAsia" w:ascii="新宋体" w:hAnsi="新宋体" w:eastAsia="新宋体"/>
                <w:color w:val="000000"/>
                <w:sz w:val="22"/>
                <w:szCs w:val="22"/>
              </w:rPr>
              <w:t>对下级设备</w:t>
            </w:r>
            <w:r>
              <w:rPr>
                <w:rFonts w:ascii="新宋体" w:hAnsi="新宋体" w:eastAsia="新宋体"/>
                <w:color w:val="000000"/>
                <w:sz w:val="22"/>
                <w:szCs w:val="22"/>
              </w:rPr>
              <w:t>进行统一管理，实现整网拓扑可视</w:t>
            </w:r>
            <w:r>
              <w:rPr>
                <w:rFonts w:hint="eastAsia" w:ascii="新宋体" w:hAnsi="新宋体" w:eastAsia="新宋体"/>
                <w:color w:val="000000"/>
                <w:sz w:val="22"/>
                <w:szCs w:val="22"/>
              </w:rPr>
              <w:t>，</w:t>
            </w:r>
            <w:r>
              <w:rPr>
                <w:rFonts w:ascii="新宋体" w:hAnsi="新宋体" w:eastAsia="新宋体"/>
                <w:color w:val="000000"/>
                <w:sz w:val="22"/>
                <w:szCs w:val="22"/>
              </w:rPr>
              <w:t>实现在网络设备上对整网</w:t>
            </w:r>
            <w:r>
              <w:rPr>
                <w:rFonts w:hint="eastAsia" w:ascii="新宋体" w:hAnsi="新宋体" w:eastAsia="新宋体"/>
                <w:color w:val="000000"/>
                <w:sz w:val="22"/>
                <w:szCs w:val="22"/>
              </w:rPr>
              <w:t>交换机</w:t>
            </w:r>
            <w:r>
              <w:rPr>
                <w:rFonts w:ascii="新宋体" w:hAnsi="新宋体" w:eastAsia="新宋体"/>
                <w:color w:val="000000"/>
                <w:sz w:val="22"/>
                <w:szCs w:val="22"/>
              </w:rPr>
              <w:t>的统一管理，无需再</w:t>
            </w:r>
            <w:r>
              <w:rPr>
                <w:rFonts w:hint="eastAsia" w:ascii="新宋体" w:hAnsi="新宋体" w:eastAsia="新宋体"/>
                <w:color w:val="000000"/>
                <w:sz w:val="22"/>
                <w:szCs w:val="22"/>
              </w:rPr>
              <w:t>额外</w:t>
            </w:r>
            <w:r>
              <w:rPr>
                <w:rFonts w:ascii="新宋体" w:hAnsi="新宋体" w:eastAsia="新宋体"/>
                <w:color w:val="000000"/>
                <w:sz w:val="22"/>
                <w:szCs w:val="22"/>
              </w:rPr>
              <w:t>配置</w:t>
            </w:r>
            <w:r>
              <w:rPr>
                <w:rFonts w:hint="eastAsia" w:ascii="新宋体" w:hAnsi="新宋体" w:eastAsia="新宋体"/>
                <w:color w:val="000000"/>
                <w:sz w:val="22"/>
                <w:szCs w:val="22"/>
              </w:rPr>
              <w:t>网管</w:t>
            </w:r>
            <w:r>
              <w:rPr>
                <w:rFonts w:ascii="新宋体" w:hAnsi="新宋体" w:eastAsia="新宋体"/>
                <w:color w:val="000000"/>
                <w:sz w:val="22"/>
                <w:szCs w:val="22"/>
              </w:rPr>
              <w:t>平台</w:t>
            </w:r>
            <w:r>
              <w:rPr>
                <w:rFonts w:hint="eastAsia" w:ascii="新宋体" w:hAnsi="新宋体" w:eastAsia="新宋体"/>
                <w:color w:val="000000"/>
                <w:sz w:val="22"/>
                <w:szCs w:val="22"/>
              </w:rPr>
              <w:t xml:space="preserve">，提供官方清晰截图证明；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MACsec</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支持802.1ae Macsec安全加密，实现MAC层安全加密，包括用户数据加密、数据帧完整性检查及数据源真实性校验，无需软件授权；提供官网清晰截图证明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SDN/OPENFLOW</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支持OPENFLOW 1.3标准支持普通模式和Openflow 模式切换，需提供官网网站命令手册佐证支持多控制器（EQUAL模式、主备模式）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支持多表流水线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支持Group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绿色节能</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符合IEEE 802.3az（EEE）节能标准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ascii="新宋体" w:hAnsi="新宋体" w:eastAsia="新宋体"/>
                <w:color w:val="000000"/>
                <w:sz w:val="22"/>
                <w:szCs w:val="22"/>
              </w:rPr>
              <w:t>auto-power-down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支持端口休眠，关闭没有应用的端口，节省能源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支持智能风扇调速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top"/>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提供ROHS节能认证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资质认证</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要求提供信产部入网证和检验报告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9"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要求提供泰尔实验室第三方权威测试报告</w:t>
            </w:r>
          </w:p>
        </w:tc>
      </w:tr>
    </w:tbl>
    <w:p>
      <w:pPr>
        <w:pStyle w:val="460"/>
        <w:ind w:left="360" w:firstLine="0" w:firstLineChars="0"/>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8.互联网汇聚交换机（2台）</w:t>
      </w:r>
    </w:p>
    <w:tbl>
      <w:tblPr>
        <w:tblStyle w:val="56"/>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8"/>
        <w:gridCol w:w="8110"/>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0" w:type="pct"/>
          <w:trHeight w:val="567" w:hRule="atLeast"/>
          <w:tblHeader/>
        </w:trPr>
        <w:tc>
          <w:tcPr>
            <w:tcW w:w="872"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指标项</w:t>
            </w:r>
          </w:p>
        </w:tc>
        <w:tc>
          <w:tcPr>
            <w:tcW w:w="4117"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设备性能</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交换容量≥7.</w:t>
            </w:r>
            <w:r>
              <w:rPr>
                <w:rFonts w:ascii="新宋体" w:hAnsi="新宋体" w:eastAsia="新宋体"/>
                <w:color w:val="000000"/>
                <w:sz w:val="22"/>
                <w:szCs w:val="22"/>
              </w:rPr>
              <w:t>55</w:t>
            </w:r>
            <w:r>
              <w:rPr>
                <w:rFonts w:hint="eastAsia" w:ascii="新宋体" w:hAnsi="新宋体" w:eastAsia="新宋体"/>
                <w:color w:val="000000"/>
                <w:sz w:val="22"/>
                <w:szCs w:val="22"/>
              </w:rPr>
              <w:t>Tbps，转发性能≥</w:t>
            </w:r>
            <w:r>
              <w:rPr>
                <w:rFonts w:ascii="新宋体" w:hAnsi="新宋体" w:eastAsia="新宋体"/>
                <w:color w:val="000000"/>
                <w:sz w:val="22"/>
                <w:szCs w:val="22"/>
              </w:rPr>
              <w:t>220</w:t>
            </w:r>
            <w:r>
              <w:rPr>
                <w:rFonts w:hint="eastAsia" w:ascii="新宋体" w:hAnsi="新宋体" w:eastAsia="新宋体"/>
                <w:color w:val="000000"/>
                <w:sz w:val="22"/>
                <w:szCs w:val="22"/>
              </w:rPr>
              <w:t>Mpps；</w:t>
            </w:r>
            <w:r>
              <w:rPr>
                <w:rFonts w:ascii="新宋体" w:hAnsi="新宋体" w:eastAsia="新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硬件形态</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≥24个10/100/1000Base-T自适应以太网端口，≥8个千兆combo端口，≥4个万兆SFP+口； </w:t>
            </w:r>
            <w:r>
              <w:rPr>
                <w:rFonts w:hint="eastAsia" w:ascii="宋体" w:hAnsi="宋体" w:eastAsia="宋体" w:cs="Arial"/>
                <w:sz w:val="22"/>
                <w:szCs w:val="22"/>
              </w:rPr>
              <w:t>（按项目需求提供光模块）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模块化电源风扇</w:t>
            </w:r>
          </w:p>
        </w:tc>
        <w:tc>
          <w:tcPr>
            <w:tcW w:w="8127" w:type="dxa"/>
            <w:gridSpan w:val="2"/>
            <w:vAlign w:val="top"/>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模块化双电源；模块化双风扇，前/后通风，风道可调；同时在位两个风扇，拔掉任意一个，设备工作正常，要求</w:t>
            </w:r>
            <w:r>
              <w:rPr>
                <w:rFonts w:ascii="新宋体" w:hAnsi="新宋体" w:eastAsia="新宋体"/>
                <w:color w:val="000000"/>
                <w:sz w:val="22"/>
                <w:szCs w:val="22"/>
              </w:rPr>
              <w:t>提供权威机构颁发的第三方测试报告</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★扩展插槽</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为保障未来链路升级，支持≥1个扩展插槽，可扩展1/2.5/5/10G BASE-T 以太网电接口、25G SFP28端口、40GE QSFP+接口，提供官网链接及选配信息截图证明，并加以标注；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ERPS</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支持</w:t>
            </w:r>
            <w:r>
              <w:rPr>
                <w:rFonts w:hint="eastAsia" w:ascii="新宋体" w:hAnsi="新宋体" w:eastAsia="新宋体"/>
                <w:color w:val="000000"/>
                <w:sz w:val="22"/>
                <w:szCs w:val="22"/>
              </w:rPr>
              <w:t>ERPS功能</w:t>
            </w:r>
            <w:r>
              <w:rPr>
                <w:rFonts w:ascii="新宋体" w:hAnsi="新宋体" w:eastAsia="新宋体"/>
                <w:color w:val="000000"/>
                <w:sz w:val="22"/>
                <w:szCs w:val="22"/>
              </w:rPr>
              <w:t>，并且</w:t>
            </w:r>
            <w:r>
              <w:rPr>
                <w:rFonts w:hint="eastAsia" w:ascii="新宋体" w:hAnsi="新宋体" w:eastAsia="新宋体"/>
                <w:color w:val="000000"/>
                <w:sz w:val="22"/>
                <w:szCs w:val="22"/>
              </w:rPr>
              <w:t>收敛</w:t>
            </w:r>
            <w:r>
              <w:rPr>
                <w:rFonts w:ascii="新宋体" w:hAnsi="新宋体" w:eastAsia="新宋体"/>
                <w:color w:val="000000"/>
                <w:sz w:val="22"/>
                <w:szCs w:val="22"/>
              </w:rPr>
              <w:t>时间小于</w:t>
            </w:r>
            <w:r>
              <w:rPr>
                <w:rFonts w:hint="eastAsia" w:ascii="新宋体" w:hAnsi="新宋体" w:eastAsia="新宋体"/>
                <w:color w:val="000000"/>
                <w:sz w:val="22"/>
                <w:szCs w:val="22"/>
              </w:rPr>
              <w:t>50</w:t>
            </w:r>
            <w:r>
              <w:rPr>
                <w:rFonts w:ascii="新宋体" w:hAnsi="新宋体" w:eastAsia="新宋体"/>
                <w:color w:val="000000"/>
                <w:sz w:val="22"/>
                <w:szCs w:val="22"/>
              </w:rPr>
              <w:t>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CPU保护</w:t>
            </w:r>
          </w:p>
        </w:tc>
        <w:tc>
          <w:tcPr>
            <w:tcW w:w="8127" w:type="dxa"/>
            <w:gridSpan w:val="2"/>
            <w:vAlign w:val="center"/>
          </w:tcPr>
          <w:p>
            <w:pPr>
              <w:pStyle w:val="588"/>
              <w:jc w:val="both"/>
              <w:rPr>
                <w:rFonts w:ascii="新宋体" w:hAnsi="新宋体" w:eastAsia="新宋体" w:cs="新宋体"/>
                <w:kern w:val="2"/>
                <w:sz w:val="22"/>
                <w:szCs w:val="22"/>
              </w:rPr>
            </w:pPr>
            <w:r>
              <w:rPr>
                <w:rFonts w:ascii="新宋体" w:hAnsi="新宋体" w:eastAsia="新宋体" w:cstheme="minorBidi"/>
                <w:kern w:val="2"/>
                <w:sz w:val="22"/>
                <w:szCs w:val="22"/>
              </w:rPr>
              <w:t>实现CPU保护功能，能限制非法报文对CPU的攻击，保护交换机在各种环境下稳定工作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ascii="新宋体" w:hAnsi="新宋体" w:eastAsia="新宋体" w:cstheme="minorBidi"/>
                <w:color w:val="000000"/>
                <w:kern w:val="2"/>
                <w:sz w:val="22"/>
                <w:szCs w:val="22"/>
              </w:rPr>
              <w:t>T</w:t>
            </w:r>
            <w:r>
              <w:rPr>
                <w:rFonts w:hint="eastAsia" w:ascii="新宋体" w:hAnsi="新宋体" w:eastAsia="新宋体" w:cstheme="minorBidi"/>
                <w:color w:val="000000"/>
                <w:kern w:val="2"/>
                <w:sz w:val="22"/>
                <w:szCs w:val="22"/>
              </w:rPr>
              <w:t>riple</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支持T</w:t>
            </w:r>
            <w:r>
              <w:rPr>
                <w:rFonts w:ascii="新宋体" w:hAnsi="新宋体" w:eastAsia="新宋体"/>
                <w:color w:val="000000"/>
                <w:sz w:val="22"/>
                <w:szCs w:val="22"/>
              </w:rPr>
              <w:t>riple功能，</w:t>
            </w:r>
            <w:r>
              <w:rPr>
                <w:rFonts w:hint="eastAsia" w:ascii="新宋体" w:hAnsi="新宋体" w:eastAsia="新宋体"/>
                <w:color w:val="000000"/>
                <w:sz w:val="22"/>
                <w:szCs w:val="22"/>
              </w:rPr>
              <w:t>端口同时开启802.1X，MAC认证及Portal功能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ascii="新宋体" w:hAnsi="新宋体" w:eastAsia="新宋体" w:cstheme="minorBidi"/>
                <w:color w:val="000000"/>
                <w:kern w:val="2"/>
                <w:sz w:val="22"/>
                <w:szCs w:val="22"/>
              </w:rPr>
              <w:t>SAVI</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设备支持</w:t>
            </w:r>
            <w:r>
              <w:rPr>
                <w:rFonts w:hint="eastAsia" w:ascii="新宋体" w:hAnsi="新宋体" w:eastAsia="新宋体"/>
                <w:color w:val="000000"/>
                <w:sz w:val="22"/>
                <w:szCs w:val="22"/>
              </w:rPr>
              <w:t>SAVI功能</w:t>
            </w:r>
            <w:r>
              <w:rPr>
                <w:rFonts w:ascii="新宋体" w:hAnsi="新宋体" w:eastAsia="新宋体"/>
                <w:color w:val="000000"/>
                <w:sz w:val="22"/>
                <w:szCs w:val="22"/>
              </w:rPr>
              <w:t>，</w:t>
            </w:r>
            <w:r>
              <w:rPr>
                <w:rFonts w:hint="eastAsia" w:ascii="新宋体" w:hAnsi="新宋体" w:eastAsia="新宋体"/>
                <w:color w:val="000000"/>
                <w:sz w:val="22"/>
                <w:szCs w:val="22"/>
              </w:rPr>
              <w:t>设备在SAVI DHCPv6-only模式下DHCPv6 client只能使用DHCPv6方式获取到的IPv6地址访问网络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Netstream</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支持Netstream网络流信息统计技术，可实现流量的分析和统计，并建立流表实现单向/双向NetStream功能，提供官网清晰截图证明；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云管功能</w:t>
            </w: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设备能够被公有云平台管理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widowControl/>
              <w:rPr>
                <w:rFonts w:ascii="新宋体" w:hAnsi="新宋体" w:eastAsia="新宋体" w:cs="新宋体"/>
                <w:color w:val="000000"/>
                <w:sz w:val="22"/>
                <w:szCs w:val="22"/>
              </w:rPr>
            </w:pPr>
            <w:r>
              <w:rPr>
                <w:rFonts w:ascii="新宋体" w:hAnsi="新宋体" w:eastAsia="新宋体"/>
                <w:color w:val="000000"/>
                <w:sz w:val="22"/>
                <w:szCs w:val="22"/>
              </w:rPr>
              <w:t>设备能通过蓝牙方式登录</w:t>
            </w:r>
            <w:r>
              <w:rPr>
                <w:rFonts w:hint="eastAsia" w:ascii="新宋体" w:hAnsi="新宋体" w:eastAsia="新宋体"/>
                <w:color w:val="000000"/>
                <w:sz w:val="22"/>
                <w:szCs w:val="22"/>
              </w:rPr>
              <w:t>公有云</w:t>
            </w:r>
            <w:r>
              <w:rPr>
                <w:rFonts w:ascii="新宋体" w:hAnsi="新宋体" w:eastAsia="新宋体"/>
                <w:color w:val="000000"/>
                <w:sz w:val="22"/>
                <w:szCs w:val="22"/>
              </w:rPr>
              <w:t>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堆叠</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最大堆叠台数≥9台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支持跨设备链路聚合，单一IP管理，分布式弹性路由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支持通过标准以太端口进行堆叠（万兆或40G均支持）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 xml:space="preserve">支持完善的堆叠分裂检测机制，堆叠分裂后能自动完成MAC和IP地址的重配置，无需手动干预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路由协议</w:t>
            </w: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支持IPv4静态路由、RIP V1/V2、OSPF、BGP、IS-IS</w:t>
            </w:r>
            <w:r>
              <w:rPr>
                <w:rFonts w:ascii="新宋体" w:hAnsi="新宋体" w:eastAsia="新宋体" w:cstheme="minorBidi"/>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支持IPv6静态路由、RIPng、OSPFv3、BGP4+、IS-IS</w:t>
            </w:r>
            <w:r>
              <w:rPr>
                <w:rFonts w:ascii="新宋体" w:hAnsi="新宋体" w:eastAsia="新宋体" w:cstheme="minorBidi"/>
                <w:color w:val="000000"/>
                <w:kern w:val="2"/>
                <w:sz w:val="22"/>
                <w:szCs w:val="22"/>
              </w:rPr>
              <w:t xml:space="preserve"> </w:t>
            </w:r>
            <w:r>
              <w:rPr>
                <w:rFonts w:hint="eastAsia" w:ascii="新宋体" w:hAnsi="新宋体" w:eastAsia="新宋体" w:cstheme="minorBidi"/>
                <w:color w:val="000000"/>
                <w:kern w:val="2"/>
                <w:sz w:val="22"/>
                <w:szCs w:val="22"/>
              </w:rPr>
              <w:t>V6</w:t>
            </w:r>
            <w:r>
              <w:rPr>
                <w:rFonts w:ascii="新宋体" w:hAnsi="新宋体" w:eastAsia="新宋体" w:cstheme="minorBidi"/>
                <w:color w:val="000000"/>
                <w:kern w:val="2"/>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支持IPv4和IPv6环境下的策略路由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pStyle w:val="52"/>
              <w:widowControl/>
              <w:spacing w:beforeAutospacing="0" w:afterAutospacing="0"/>
              <w:textAlignment w:val="baseline"/>
              <w:rPr>
                <w:rFonts w:ascii="新宋体" w:hAnsi="新宋体" w:eastAsia="新宋体" w:cs="新宋体"/>
                <w:kern w:val="2"/>
                <w:sz w:val="22"/>
                <w:szCs w:val="22"/>
              </w:rPr>
            </w:pPr>
          </w:p>
        </w:tc>
        <w:tc>
          <w:tcPr>
            <w:tcW w:w="8127" w:type="dxa"/>
            <w:gridSpan w:val="2"/>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支持IPv6手动隧道、6to4隧道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VXLAN</w:t>
            </w:r>
          </w:p>
        </w:tc>
        <w:tc>
          <w:tcPr>
            <w:tcW w:w="8127" w:type="dxa"/>
            <w:gridSpan w:val="2"/>
            <w:vAlign w:val="top"/>
          </w:tcPr>
          <w:p>
            <w:pPr>
              <w:pStyle w:val="52"/>
              <w:widowControl/>
              <w:spacing w:beforeAutospacing="0" w:afterAutospacing="0"/>
              <w:textAlignment w:val="baseline"/>
              <w:rPr>
                <w:rFonts w:ascii="新宋体" w:hAnsi="新宋体" w:eastAsia="新宋体" w:cs="新宋体"/>
                <w:kern w:val="2"/>
                <w:sz w:val="22"/>
                <w:szCs w:val="22"/>
              </w:rPr>
            </w:pPr>
            <w:r>
              <w:rPr>
                <w:rFonts w:hint="eastAsia" w:ascii="新宋体" w:hAnsi="新宋体" w:eastAsia="新宋体" w:cstheme="minorBidi"/>
                <w:color w:val="000000"/>
                <w:kern w:val="2"/>
                <w:sz w:val="22"/>
                <w:szCs w:val="22"/>
              </w:rPr>
              <w:t>支持二层VxLAN，支持三层VxLAN，支持EVPN，要求提供第三方测试报告；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★开放多业务架构（安全插卡）</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支持集成包括FW，IPS、负载均衡等高性能OAP模块插卡。提供官网清晰截图，并加盖生产厂商鲜章；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路由协议</w:t>
            </w:r>
          </w:p>
        </w:tc>
        <w:tc>
          <w:tcPr>
            <w:tcW w:w="8127" w:type="dxa"/>
            <w:gridSpan w:val="2"/>
            <w:vAlign w:val="center"/>
          </w:tcPr>
          <w:p>
            <w:pPr>
              <w:autoSpaceDE w:val="0"/>
              <w:autoSpaceDN w:val="0"/>
              <w:adjustRightInd w:val="0"/>
              <w:jc w:val="left"/>
              <w:rPr>
                <w:rFonts w:ascii="新宋体" w:hAnsi="新宋体" w:eastAsia="新宋体"/>
                <w:color w:val="000000"/>
                <w:sz w:val="22"/>
                <w:szCs w:val="22"/>
              </w:rPr>
            </w:pPr>
            <w:r>
              <w:rPr>
                <w:rFonts w:hint="eastAsia" w:ascii="新宋体" w:hAnsi="新宋体" w:eastAsia="新宋体"/>
                <w:color w:val="000000"/>
                <w:sz w:val="22"/>
                <w:szCs w:val="22"/>
              </w:rPr>
              <w:t>支持IPv4静态路由、RIP V1/V2、OSPF、BGP；</w:t>
            </w:r>
          </w:p>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支持IPv6静态路由、RIPng、OSPFv3、BGP4+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有线无线一体化</w:t>
            </w:r>
          </w:p>
        </w:tc>
        <w:tc>
          <w:tcPr>
            <w:tcW w:w="8127"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内置软AC功能，交换平台实现有线无线一体化集成，配合MC-AC分层模式，消除无线带宽瓶颈，提供官网清晰截图证明；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内嵌式管理平台</w:t>
            </w:r>
          </w:p>
        </w:tc>
        <w:tc>
          <w:tcPr>
            <w:tcW w:w="8127" w:type="dxa"/>
            <w:gridSpan w:val="2"/>
            <w:vAlign w:val="top"/>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可作为</w:t>
            </w:r>
            <w:r>
              <w:rPr>
                <w:rFonts w:ascii="新宋体" w:hAnsi="新宋体" w:eastAsia="新宋体"/>
                <w:color w:val="000000"/>
                <w:sz w:val="22"/>
                <w:szCs w:val="22"/>
              </w:rPr>
              <w:t>管理设备</w:t>
            </w:r>
            <w:r>
              <w:rPr>
                <w:rFonts w:hint="eastAsia" w:ascii="新宋体" w:hAnsi="新宋体" w:eastAsia="新宋体"/>
                <w:color w:val="000000"/>
                <w:sz w:val="22"/>
                <w:szCs w:val="22"/>
              </w:rPr>
              <w:t>对下级设备</w:t>
            </w:r>
            <w:r>
              <w:rPr>
                <w:rFonts w:ascii="新宋体" w:hAnsi="新宋体" w:eastAsia="新宋体"/>
                <w:color w:val="000000"/>
                <w:sz w:val="22"/>
                <w:szCs w:val="22"/>
              </w:rPr>
              <w:t>进行统一管理，实现整网拓扑可视</w:t>
            </w:r>
            <w:r>
              <w:rPr>
                <w:rFonts w:hint="eastAsia" w:ascii="新宋体" w:hAnsi="新宋体" w:eastAsia="新宋体"/>
                <w:color w:val="000000"/>
                <w:sz w:val="22"/>
                <w:szCs w:val="22"/>
              </w:rPr>
              <w:t>，</w:t>
            </w:r>
            <w:r>
              <w:rPr>
                <w:rFonts w:ascii="新宋体" w:hAnsi="新宋体" w:eastAsia="新宋体"/>
                <w:color w:val="000000"/>
                <w:sz w:val="22"/>
                <w:szCs w:val="22"/>
              </w:rPr>
              <w:t>实现在网络设备上对整网</w:t>
            </w:r>
            <w:r>
              <w:rPr>
                <w:rFonts w:hint="eastAsia" w:ascii="新宋体" w:hAnsi="新宋体" w:eastAsia="新宋体"/>
                <w:color w:val="000000"/>
                <w:sz w:val="22"/>
                <w:szCs w:val="22"/>
              </w:rPr>
              <w:t>交换机</w:t>
            </w:r>
            <w:r>
              <w:rPr>
                <w:rFonts w:ascii="新宋体" w:hAnsi="新宋体" w:eastAsia="新宋体"/>
                <w:color w:val="000000"/>
                <w:sz w:val="22"/>
                <w:szCs w:val="22"/>
              </w:rPr>
              <w:t>的统一管理，无需再</w:t>
            </w:r>
            <w:r>
              <w:rPr>
                <w:rFonts w:hint="eastAsia" w:ascii="新宋体" w:hAnsi="新宋体" w:eastAsia="新宋体"/>
                <w:color w:val="000000"/>
                <w:sz w:val="22"/>
                <w:szCs w:val="22"/>
              </w:rPr>
              <w:t>额外</w:t>
            </w:r>
            <w:r>
              <w:rPr>
                <w:rFonts w:ascii="新宋体" w:hAnsi="新宋体" w:eastAsia="新宋体"/>
                <w:color w:val="000000"/>
                <w:sz w:val="22"/>
                <w:szCs w:val="22"/>
              </w:rPr>
              <w:t>配置</w:t>
            </w:r>
            <w:r>
              <w:rPr>
                <w:rFonts w:hint="eastAsia" w:ascii="新宋体" w:hAnsi="新宋体" w:eastAsia="新宋体"/>
                <w:color w:val="000000"/>
                <w:sz w:val="22"/>
                <w:szCs w:val="22"/>
              </w:rPr>
              <w:t>网管</w:t>
            </w:r>
            <w:r>
              <w:rPr>
                <w:rFonts w:ascii="新宋体" w:hAnsi="新宋体" w:eastAsia="新宋体"/>
                <w:color w:val="000000"/>
                <w:sz w:val="22"/>
                <w:szCs w:val="22"/>
              </w:rPr>
              <w:t>平台</w:t>
            </w:r>
            <w:r>
              <w:rPr>
                <w:rFonts w:hint="eastAsia" w:ascii="新宋体" w:hAnsi="新宋体" w:eastAsia="新宋体"/>
                <w:color w:val="000000"/>
                <w:sz w:val="22"/>
                <w:szCs w:val="22"/>
              </w:rPr>
              <w:t xml:space="preserve">，提供官方清晰截图证明；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MACsec</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支持802.1ae Macsec安全加密，实现MAC层安全加密，包括用户数据加密、数据帧完整性检查及数据源真实性校验，无需软件授权；提供官网清晰截图证明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SDN/OPENFLOW</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支持OPENFLOW 1.3标准支持普通模式和Openflow 模式切换，需提供官网网站命令手册佐证支持多控制器（EQUAL模式、主备模式）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支持多表流水线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支持Group table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支持Meter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绿色节能</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符合IEEE 802.3az（EEE）节能标准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ascii="新宋体" w:hAnsi="新宋体" w:eastAsia="新宋体"/>
                <w:color w:val="000000"/>
                <w:sz w:val="22"/>
                <w:szCs w:val="22"/>
              </w:rPr>
              <w:t>auto-power-down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支持端口休眠，关闭没有应用的端口，节省能源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支持智能风扇调速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top"/>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提供ROHS节能认证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restart"/>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资质认证</w:t>
            </w: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要求提供信产部入网证和检验报告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21" w:type="dxa"/>
            <w:vMerge w:val="continue"/>
            <w:vAlign w:val="center"/>
          </w:tcPr>
          <w:p>
            <w:pPr>
              <w:autoSpaceDE w:val="0"/>
              <w:autoSpaceDN w:val="0"/>
              <w:adjustRightInd w:val="0"/>
              <w:jc w:val="left"/>
              <w:rPr>
                <w:rFonts w:ascii="新宋体" w:hAnsi="新宋体" w:eastAsia="新宋体" w:cs="新宋体"/>
                <w:color w:val="000000"/>
                <w:sz w:val="22"/>
                <w:szCs w:val="22"/>
              </w:rPr>
            </w:pPr>
          </w:p>
        </w:tc>
        <w:tc>
          <w:tcPr>
            <w:tcW w:w="8127" w:type="dxa"/>
            <w:gridSpan w:val="2"/>
            <w:vAlign w:val="center"/>
          </w:tcPr>
          <w:p>
            <w:pPr>
              <w:autoSpaceDE w:val="0"/>
              <w:autoSpaceDN w:val="0"/>
              <w:adjustRightInd w:val="0"/>
              <w:jc w:val="left"/>
              <w:rPr>
                <w:rFonts w:ascii="新宋体" w:hAnsi="新宋体" w:eastAsia="新宋体" w:cs="新宋体"/>
                <w:color w:val="000000"/>
                <w:sz w:val="22"/>
                <w:szCs w:val="22"/>
              </w:rPr>
            </w:pPr>
            <w:r>
              <w:rPr>
                <w:rFonts w:hint="eastAsia" w:ascii="新宋体" w:hAnsi="新宋体" w:eastAsia="新宋体"/>
                <w:color w:val="000000"/>
                <w:sz w:val="22"/>
                <w:szCs w:val="22"/>
              </w:rPr>
              <w:t>要求提供泰尔实验室第三方权威测试报告</w:t>
            </w:r>
          </w:p>
        </w:tc>
      </w:tr>
    </w:tbl>
    <w:p>
      <w:pPr>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9.核心交换机（2台）</w:t>
      </w:r>
    </w:p>
    <w:tbl>
      <w:tblPr>
        <w:tblStyle w:val="5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7"/>
        <w:gridCol w:w="8105"/>
        <w:gridCol w:w="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pct"/>
          <w:trHeight w:val="567" w:hRule="atLeast"/>
          <w:tblHeader/>
        </w:trPr>
        <w:tc>
          <w:tcPr>
            <w:tcW w:w="872"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指标项</w:t>
            </w:r>
          </w:p>
        </w:tc>
        <w:tc>
          <w:tcPr>
            <w:tcW w:w="4115"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★设备性能</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交换容量≥</w:t>
            </w:r>
            <w:r>
              <w:rPr>
                <w:rFonts w:ascii="新宋体" w:hAnsi="新宋体" w:eastAsia="新宋体"/>
                <w:color w:val="000000"/>
                <w:sz w:val="22"/>
                <w:szCs w:val="22"/>
              </w:rPr>
              <w:t>165</w:t>
            </w:r>
            <w:r>
              <w:rPr>
                <w:rFonts w:hint="eastAsia" w:ascii="新宋体" w:hAnsi="新宋体" w:eastAsia="新宋体"/>
                <w:color w:val="000000"/>
                <w:sz w:val="22"/>
                <w:szCs w:val="22"/>
              </w:rPr>
              <w:t>Tbps、包转发率≥</w:t>
            </w:r>
            <w:r>
              <w:rPr>
                <w:rFonts w:ascii="新宋体" w:hAnsi="新宋体" w:eastAsia="新宋体"/>
                <w:color w:val="000000"/>
                <w:sz w:val="22"/>
                <w:szCs w:val="22"/>
              </w:rPr>
              <w:t>35000</w:t>
            </w:r>
            <w:r>
              <w:rPr>
                <w:rFonts w:hint="eastAsia" w:ascii="新宋体" w:hAnsi="新宋体" w:eastAsia="新宋体"/>
                <w:color w:val="000000"/>
                <w:sz w:val="22"/>
                <w:szCs w:val="22"/>
              </w:rPr>
              <w:t>Mpps，提供官网清晰截图证明；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槽位数量</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支持业务槽位数量≥</w:t>
            </w:r>
            <w:r>
              <w:rPr>
                <w:rFonts w:ascii="新宋体" w:hAnsi="新宋体" w:eastAsia="新宋体"/>
                <w:color w:val="000000"/>
                <w:sz w:val="22"/>
                <w:szCs w:val="22"/>
              </w:rPr>
              <w:t>3</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关键部件热插拔</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主控交换卡、电源、接口模块、风扇等关键部件可热插拔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★接口要求</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单槽位可提供24端口1G/2.5G/5G/10G自适应以太网电接口，提供产品官网选配信息截图证明；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 40</w:t>
            </w:r>
            <w:r>
              <w:rPr>
                <w:rFonts w:ascii="新宋体" w:hAnsi="新宋体" w:eastAsia="新宋体"/>
                <w:color w:val="000000"/>
                <w:sz w:val="22"/>
                <w:szCs w:val="22"/>
              </w:rPr>
              <w:t>G</w:t>
            </w:r>
            <w:r>
              <w:rPr>
                <w:rFonts w:hint="eastAsia" w:ascii="新宋体" w:hAnsi="新宋体" w:eastAsia="新宋体"/>
                <w:color w:val="000000"/>
                <w:sz w:val="22"/>
                <w:szCs w:val="22"/>
              </w:rPr>
              <w:t>跟1</w:t>
            </w:r>
            <w:r>
              <w:rPr>
                <w:rFonts w:ascii="新宋体" w:hAnsi="新宋体" w:eastAsia="新宋体"/>
                <w:color w:val="000000"/>
                <w:sz w:val="22"/>
                <w:szCs w:val="22"/>
              </w:rPr>
              <w:t>00</w:t>
            </w:r>
            <w:r>
              <w:rPr>
                <w:rFonts w:hint="eastAsia" w:ascii="新宋体" w:hAnsi="新宋体" w:eastAsia="新宋体"/>
                <w:color w:val="000000"/>
                <w:sz w:val="22"/>
                <w:szCs w:val="22"/>
              </w:rPr>
              <w:t>G 端口切换，切换后流量正常转发，无丢包，</w:t>
            </w:r>
            <w:r>
              <w:rPr>
                <w:rFonts w:ascii="新宋体" w:hAnsi="新宋体" w:eastAsia="新宋体"/>
                <w:color w:val="000000"/>
                <w:sz w:val="22"/>
                <w:szCs w:val="22"/>
              </w:rPr>
              <w:t>提供权威机构颁发的第三方测试报告</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单槽位可提供40G端口密度≥24，1</w:t>
            </w:r>
            <w:r>
              <w:rPr>
                <w:rFonts w:ascii="新宋体" w:hAnsi="新宋体" w:eastAsia="新宋体"/>
                <w:color w:val="000000"/>
                <w:sz w:val="22"/>
                <w:szCs w:val="22"/>
              </w:rPr>
              <w:t>00G</w:t>
            </w:r>
            <w:r>
              <w:rPr>
                <w:rFonts w:hint="eastAsia" w:ascii="新宋体" w:hAnsi="新宋体" w:eastAsia="新宋体"/>
                <w:color w:val="000000"/>
                <w:sz w:val="22"/>
                <w:szCs w:val="22"/>
              </w:rPr>
              <w:t>端口密度≥</w:t>
            </w:r>
            <w:r>
              <w:rPr>
                <w:rFonts w:ascii="新宋体" w:hAnsi="新宋体" w:eastAsia="新宋体"/>
                <w:color w:val="000000"/>
                <w:sz w:val="22"/>
                <w:szCs w:val="22"/>
              </w:rPr>
              <w:t>4</w:t>
            </w:r>
            <w:r>
              <w:rPr>
                <w:rFonts w:hint="eastAsia" w:ascii="新宋体" w:hAnsi="新宋体" w:eastAsia="新宋体"/>
                <w:color w:val="000000"/>
                <w:sz w:val="22"/>
                <w:szCs w:val="22"/>
              </w:rPr>
              <w:t>，提供产品官网选配信息截图证明；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支持1</w:t>
            </w:r>
            <w:r>
              <w:rPr>
                <w:rFonts w:ascii="新宋体" w:hAnsi="新宋体" w:eastAsia="新宋体"/>
                <w:color w:val="000000"/>
                <w:sz w:val="22"/>
                <w:szCs w:val="22"/>
              </w:rPr>
              <w:t>0</w:t>
            </w:r>
            <w:r>
              <w:rPr>
                <w:rFonts w:hint="eastAsia" w:ascii="新宋体" w:hAnsi="新宋体" w:eastAsia="新宋体"/>
                <w:color w:val="000000"/>
                <w:sz w:val="22"/>
                <w:szCs w:val="22"/>
              </w:rPr>
              <w:t>G EPON 功能，支持1</w:t>
            </w:r>
            <w:r>
              <w:rPr>
                <w:rFonts w:ascii="新宋体" w:hAnsi="新宋体" w:eastAsia="新宋体"/>
                <w:color w:val="000000"/>
                <w:sz w:val="22"/>
                <w:szCs w:val="22"/>
              </w:rPr>
              <w:t>0</w:t>
            </w:r>
            <w:r>
              <w:rPr>
                <w:rFonts w:hint="eastAsia" w:ascii="新宋体" w:hAnsi="新宋体" w:eastAsia="新宋体"/>
                <w:color w:val="000000"/>
                <w:sz w:val="22"/>
                <w:szCs w:val="22"/>
              </w:rPr>
              <w:t>G 对称和非对称 ONU，</w:t>
            </w:r>
            <w:r>
              <w:rPr>
                <w:rFonts w:ascii="新宋体" w:hAnsi="新宋体" w:eastAsia="新宋体"/>
                <w:color w:val="000000"/>
                <w:sz w:val="22"/>
                <w:szCs w:val="22"/>
              </w:rPr>
              <w:t>提供权威机构颁发的第三方测试报告</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链路聚合</w:t>
            </w:r>
          </w:p>
        </w:tc>
        <w:tc>
          <w:tcPr>
            <w:tcW w:w="8129"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聚合组数≥1</w:t>
            </w:r>
            <w:r>
              <w:rPr>
                <w:rFonts w:ascii="新宋体" w:hAnsi="新宋体" w:eastAsia="新宋体"/>
                <w:color w:val="000000"/>
                <w:sz w:val="22"/>
                <w:szCs w:val="22"/>
              </w:rPr>
              <w:t>024</w:t>
            </w:r>
            <w:r>
              <w:rPr>
                <w:rFonts w:hint="eastAsia" w:ascii="新宋体" w:hAnsi="新宋体" w:eastAsia="新宋体"/>
                <w:color w:val="000000"/>
                <w:sz w:val="22"/>
                <w:szCs w:val="22"/>
              </w:rPr>
              <w:t>组，每组成员≥</w:t>
            </w:r>
            <w:r>
              <w:rPr>
                <w:rFonts w:ascii="新宋体" w:hAnsi="新宋体" w:eastAsia="新宋体"/>
                <w:color w:val="000000"/>
                <w:sz w:val="22"/>
                <w:szCs w:val="22"/>
              </w:rPr>
              <w:t>32</w:t>
            </w:r>
            <w:r>
              <w:rPr>
                <w:rFonts w:hint="eastAsia" w:ascii="新宋体" w:hAnsi="新宋体" w:eastAsia="新宋体"/>
                <w:color w:val="000000"/>
                <w:sz w:val="22"/>
                <w:szCs w:val="22"/>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支持DRNI跨设备链路聚合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Qos</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每端口支持8个优先级队列，3个丢弃优先级，支持SP、WRR、SP+WRR三种队列调度算法，支持精细化的流量监管，粒度可达8</w:t>
            </w:r>
            <w:r>
              <w:rPr>
                <w:rFonts w:ascii="新宋体" w:hAnsi="新宋体" w:eastAsia="新宋体"/>
                <w:color w:val="000000"/>
                <w:sz w:val="22"/>
                <w:szCs w:val="22"/>
              </w:rPr>
              <w:t>K</w:t>
            </w:r>
            <w:r>
              <w:rPr>
                <w:rFonts w:hint="eastAsia" w:ascii="新宋体" w:hAnsi="新宋体" w:eastAsia="新宋体"/>
                <w:color w:val="000000"/>
                <w:sz w:val="22"/>
                <w:szCs w:val="22"/>
              </w:rPr>
              <w:t>，支持流量整形</w:t>
            </w:r>
            <w:r>
              <w:rPr>
                <w:rFonts w:ascii="新宋体" w:hAnsi="新宋体" w:eastAsia="新宋体"/>
                <w:color w:val="000000"/>
                <w:sz w:val="22"/>
                <w:szCs w:val="22"/>
              </w:rPr>
              <w:t>Shapping</w:t>
            </w:r>
            <w:r>
              <w:rPr>
                <w:rFonts w:hint="eastAsia" w:ascii="新宋体" w:hAnsi="新宋体" w:eastAsia="新宋体"/>
                <w:color w:val="000000"/>
                <w:sz w:val="22"/>
                <w:szCs w:val="22"/>
              </w:rPr>
              <w:t>，支持</w:t>
            </w:r>
            <w:r>
              <w:rPr>
                <w:rFonts w:ascii="新宋体" w:hAnsi="新宋体" w:eastAsia="新宋体"/>
                <w:color w:val="000000"/>
                <w:sz w:val="22"/>
                <w:szCs w:val="22"/>
              </w:rPr>
              <w:t>WRED</w:t>
            </w:r>
            <w:r>
              <w:rPr>
                <w:rFonts w:hint="eastAsia" w:ascii="新宋体" w:hAnsi="新宋体" w:eastAsia="新宋体"/>
                <w:color w:val="000000"/>
                <w:sz w:val="22"/>
                <w:szCs w:val="22"/>
              </w:rPr>
              <w:t>拥塞避免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w:t>
            </w:r>
            <w:r>
              <w:rPr>
                <w:rFonts w:ascii="新宋体" w:hAnsi="新宋体" w:eastAsia="新宋体"/>
                <w:color w:val="000000"/>
                <w:sz w:val="22"/>
                <w:szCs w:val="22"/>
              </w:rPr>
              <w:t>802.1p</w:t>
            </w:r>
            <w:r>
              <w:rPr>
                <w:rFonts w:hint="eastAsia" w:ascii="新宋体" w:hAnsi="新宋体" w:eastAsia="新宋体"/>
                <w:color w:val="000000"/>
                <w:sz w:val="22"/>
                <w:szCs w:val="22"/>
              </w:rPr>
              <w:t>、</w:t>
            </w:r>
            <w:r>
              <w:rPr>
                <w:rFonts w:ascii="新宋体" w:hAnsi="新宋体" w:eastAsia="新宋体"/>
                <w:color w:val="000000"/>
                <w:sz w:val="22"/>
                <w:szCs w:val="22"/>
              </w:rPr>
              <w:t>TOS</w:t>
            </w:r>
            <w:r>
              <w:rPr>
                <w:rFonts w:hint="eastAsia" w:ascii="新宋体" w:hAnsi="新宋体" w:eastAsia="新宋体"/>
                <w:color w:val="000000"/>
                <w:sz w:val="22"/>
                <w:szCs w:val="22"/>
              </w:rPr>
              <w:t>、</w:t>
            </w:r>
            <w:r>
              <w:rPr>
                <w:rFonts w:ascii="新宋体" w:hAnsi="新宋体" w:eastAsia="新宋体"/>
                <w:color w:val="000000"/>
                <w:sz w:val="22"/>
                <w:szCs w:val="22"/>
              </w:rPr>
              <w:t>DSCP</w:t>
            </w:r>
            <w:r>
              <w:rPr>
                <w:rFonts w:hint="eastAsia" w:ascii="新宋体" w:hAnsi="新宋体" w:eastAsia="新宋体"/>
                <w:color w:val="000000"/>
                <w:sz w:val="22"/>
                <w:szCs w:val="22"/>
              </w:rPr>
              <w:t>、</w:t>
            </w:r>
            <w:r>
              <w:rPr>
                <w:rFonts w:ascii="新宋体" w:hAnsi="新宋体" w:eastAsia="新宋体"/>
                <w:color w:val="000000"/>
                <w:sz w:val="22"/>
                <w:szCs w:val="22"/>
              </w:rPr>
              <w:t>EXP</w:t>
            </w:r>
            <w:r>
              <w:rPr>
                <w:rFonts w:hint="eastAsia" w:ascii="新宋体" w:hAnsi="新宋体" w:eastAsia="新宋体"/>
                <w:color w:val="000000"/>
                <w:sz w:val="22"/>
                <w:szCs w:val="22"/>
              </w:rPr>
              <w:t>优先级映射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支持H</w:t>
            </w:r>
            <w:r>
              <w:rPr>
                <w:rFonts w:ascii="新宋体" w:hAnsi="新宋体" w:eastAsia="新宋体"/>
                <w:color w:val="000000"/>
                <w:sz w:val="22"/>
                <w:szCs w:val="22"/>
              </w:rPr>
              <w:t>Q</w:t>
            </w:r>
            <w:r>
              <w:rPr>
                <w:rFonts w:hint="eastAsia" w:ascii="新宋体" w:hAnsi="新宋体" w:eastAsia="新宋体"/>
                <w:color w:val="000000"/>
                <w:sz w:val="22"/>
                <w:szCs w:val="22"/>
              </w:rPr>
              <w:t>o</w:t>
            </w:r>
            <w:r>
              <w:rPr>
                <w:rFonts w:ascii="新宋体" w:hAnsi="新宋体" w:eastAsia="新宋体"/>
                <w:color w:val="000000"/>
                <w:sz w:val="22"/>
                <w:szCs w:val="22"/>
              </w:rPr>
              <w:t>S（</w:t>
            </w:r>
            <w:r>
              <w:rPr>
                <w:rFonts w:hint="eastAsia" w:ascii="新宋体" w:hAnsi="新宋体" w:eastAsia="新宋体"/>
                <w:color w:val="000000"/>
                <w:sz w:val="22"/>
                <w:szCs w:val="22"/>
              </w:rPr>
              <w:t>支持五级H</w:t>
            </w:r>
            <w:r>
              <w:rPr>
                <w:rFonts w:ascii="新宋体" w:hAnsi="新宋体" w:eastAsia="新宋体"/>
                <w:color w:val="000000"/>
                <w:sz w:val="22"/>
                <w:szCs w:val="22"/>
              </w:rPr>
              <w:t>Q</w:t>
            </w:r>
            <w:r>
              <w:rPr>
                <w:rFonts w:hint="eastAsia" w:ascii="新宋体" w:hAnsi="新宋体" w:eastAsia="新宋体"/>
                <w:color w:val="000000"/>
                <w:sz w:val="22"/>
                <w:szCs w:val="22"/>
              </w:rPr>
              <w:t>o</w:t>
            </w:r>
            <w:r>
              <w:rPr>
                <w:rFonts w:ascii="新宋体" w:hAnsi="新宋体" w:eastAsia="新宋体"/>
                <w:color w:val="000000"/>
                <w:sz w:val="22"/>
                <w:szCs w:val="22"/>
              </w:rPr>
              <w:t>S</w:t>
            </w:r>
            <w:r>
              <w:rPr>
                <w:rFonts w:hint="eastAsia" w:ascii="新宋体" w:hAnsi="新宋体" w:eastAsia="新宋体"/>
                <w:color w:val="000000"/>
                <w:sz w:val="22"/>
                <w:szCs w:val="22"/>
              </w:rPr>
              <w:t>调度</w:t>
            </w:r>
            <w:r>
              <w:rPr>
                <w:rFonts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可靠性</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 xml:space="preserve">双引擎快速倒换，主备切换时候板内转发无丢包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w:t>
            </w:r>
            <w:r>
              <w:rPr>
                <w:rFonts w:ascii="新宋体" w:hAnsi="新宋体" w:eastAsia="新宋体"/>
                <w:color w:val="000000"/>
                <w:sz w:val="22"/>
                <w:szCs w:val="22"/>
              </w:rPr>
              <w:t xml:space="preserve">NSF/GR for </w:t>
            </w:r>
            <w:r>
              <w:rPr>
                <w:rFonts w:hint="eastAsia" w:ascii="新宋体" w:hAnsi="新宋体" w:eastAsia="新宋体"/>
                <w:color w:val="000000"/>
                <w:sz w:val="22"/>
                <w:szCs w:val="22"/>
              </w:rPr>
              <w:t>O</w:t>
            </w:r>
            <w:r>
              <w:rPr>
                <w:rFonts w:ascii="新宋体" w:hAnsi="新宋体" w:eastAsia="新宋体"/>
                <w:color w:val="000000"/>
                <w:sz w:val="22"/>
                <w:szCs w:val="22"/>
              </w:rPr>
              <w:t>SFP/BGP/IS-IS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支持热补丁功能，可在线进行补丁升级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支持BFD功能，能够实现B</w:t>
            </w:r>
            <w:r>
              <w:rPr>
                <w:rFonts w:ascii="新宋体" w:hAnsi="新宋体" w:eastAsia="新宋体"/>
                <w:color w:val="000000"/>
                <w:sz w:val="22"/>
                <w:szCs w:val="22"/>
              </w:rPr>
              <w:t>FD</w:t>
            </w:r>
            <w:r>
              <w:rPr>
                <w:rFonts w:hint="eastAsia" w:ascii="新宋体" w:hAnsi="新宋体" w:eastAsia="新宋体"/>
                <w:color w:val="000000"/>
                <w:sz w:val="22"/>
                <w:szCs w:val="22"/>
              </w:rPr>
              <w:t>以3</w:t>
            </w:r>
            <w:r>
              <w:rPr>
                <w:rFonts w:ascii="新宋体" w:hAnsi="新宋体" w:eastAsia="新宋体"/>
                <w:color w:val="000000"/>
                <w:sz w:val="22"/>
                <w:szCs w:val="22"/>
              </w:rPr>
              <w:t>ms</w:t>
            </w:r>
            <w:r>
              <w:rPr>
                <w:rFonts w:hint="eastAsia" w:ascii="新宋体" w:hAnsi="新宋体" w:eastAsia="新宋体"/>
                <w:color w:val="000000"/>
                <w:sz w:val="22"/>
                <w:szCs w:val="22"/>
              </w:rPr>
              <w:t>的发送间隔进行检测时与O</w:t>
            </w:r>
            <w:r>
              <w:rPr>
                <w:rFonts w:ascii="新宋体" w:hAnsi="新宋体" w:eastAsia="新宋体"/>
                <w:color w:val="000000"/>
                <w:sz w:val="22"/>
                <w:szCs w:val="22"/>
              </w:rPr>
              <w:t>SPF</w:t>
            </w:r>
            <w:r>
              <w:rPr>
                <w:rFonts w:hint="eastAsia" w:ascii="新宋体" w:hAnsi="新宋体" w:eastAsia="新宋体"/>
                <w:color w:val="000000"/>
                <w:sz w:val="22"/>
                <w:szCs w:val="22"/>
              </w:rPr>
              <w:t>联动收敛性能为9.3</w:t>
            </w:r>
            <w:r>
              <w:rPr>
                <w:rFonts w:ascii="新宋体" w:hAnsi="新宋体" w:eastAsia="新宋体"/>
                <w:color w:val="000000"/>
                <w:sz w:val="22"/>
                <w:szCs w:val="22"/>
              </w:rPr>
              <w:t>ms</w:t>
            </w:r>
            <w:r>
              <w:rPr>
                <w:rFonts w:hint="eastAsia" w:ascii="新宋体" w:hAnsi="新宋体" w:eastAsia="新宋体"/>
                <w:color w:val="000000"/>
                <w:sz w:val="22"/>
                <w:szCs w:val="22"/>
              </w:rPr>
              <w:t>，</w:t>
            </w:r>
            <w:r>
              <w:rPr>
                <w:rFonts w:ascii="新宋体" w:hAnsi="新宋体" w:eastAsia="新宋体"/>
                <w:color w:val="000000"/>
                <w:sz w:val="22"/>
                <w:szCs w:val="22"/>
              </w:rPr>
              <w:t>提供权威机构颁发的第三方测试报告</w:t>
            </w:r>
            <w:r>
              <w:rPr>
                <w:rFonts w:hint="eastAsia" w:ascii="新宋体" w:hAnsi="新宋体" w:eastAsia="新宋体"/>
                <w:color w:val="000000"/>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MAC</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MAC表≥1M，学习速率≥130K/S</w:t>
            </w:r>
            <w:r>
              <w:rPr>
                <w:rFonts w:ascii="新宋体" w:hAnsi="新宋体" w:eastAsia="新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路由表</w:t>
            </w:r>
          </w:p>
        </w:tc>
        <w:tc>
          <w:tcPr>
            <w:tcW w:w="8129"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IPv4 FIB表项≥3M，IPv6 FIB表项</w:t>
            </w:r>
            <w:r>
              <w:rPr>
                <w:rFonts w:ascii="新宋体" w:hAnsi="新宋体" w:eastAsia="新宋体"/>
                <w:color w:val="000000"/>
                <w:sz w:val="22"/>
                <w:szCs w:val="22"/>
              </w:rPr>
              <w:t>≥</w:t>
            </w:r>
            <w:r>
              <w:rPr>
                <w:rFonts w:hint="eastAsia" w:ascii="新宋体" w:hAnsi="新宋体" w:eastAsia="新宋体"/>
                <w:color w:val="000000"/>
                <w:sz w:val="22"/>
                <w:szCs w:val="22"/>
              </w:rPr>
              <w:t>1M</w:t>
            </w:r>
            <w:r>
              <w:rPr>
                <w:rFonts w:ascii="新宋体" w:hAnsi="新宋体" w:eastAsia="新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ND</w:t>
            </w:r>
            <w:r>
              <w:rPr>
                <w:rFonts w:ascii="新宋体" w:hAnsi="新宋体" w:eastAsia="新宋体"/>
                <w:color w:val="000000"/>
                <w:sz w:val="22"/>
                <w:szCs w:val="22"/>
              </w:rPr>
              <w:t>表项</w:t>
            </w:r>
            <w:r>
              <w:rPr>
                <w:rFonts w:hint="eastAsia" w:ascii="新宋体" w:hAnsi="新宋体" w:eastAsia="新宋体"/>
                <w:color w:val="000000"/>
                <w:sz w:val="22"/>
                <w:szCs w:val="22"/>
              </w:rPr>
              <w:t>≥</w:t>
            </w:r>
            <w:r>
              <w:rPr>
                <w:rFonts w:ascii="新宋体" w:hAnsi="新宋体" w:eastAsia="新宋体"/>
                <w:color w:val="000000"/>
                <w:sz w:val="22"/>
                <w:szCs w:val="22"/>
              </w:rPr>
              <w:t>256</w:t>
            </w:r>
            <w:r>
              <w:rPr>
                <w:rFonts w:hint="eastAsia" w:ascii="新宋体" w:hAnsi="新宋体" w:eastAsia="新宋体"/>
                <w:color w:val="000000"/>
                <w:sz w:val="22"/>
                <w:szCs w:val="22"/>
              </w:rPr>
              <w:t>K</w:t>
            </w:r>
            <w:r>
              <w:rPr>
                <w:rFonts w:ascii="新宋体" w:hAnsi="新宋体" w:eastAsia="新宋体"/>
                <w:color w:val="000000"/>
                <w:sz w:val="22"/>
                <w:szCs w:val="2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IPv6</w:t>
            </w:r>
          </w:p>
        </w:tc>
        <w:tc>
          <w:tcPr>
            <w:tcW w:w="8129" w:type="dxa"/>
            <w:gridSpan w:val="2"/>
            <w:vAlign w:val="center"/>
          </w:tcPr>
          <w:p>
            <w:pPr>
              <w:pStyle w:val="588"/>
              <w:jc w:val="both"/>
              <w:rPr>
                <w:rFonts w:ascii="新宋体" w:hAnsi="新宋体" w:eastAsia="新宋体" w:cstheme="minorBidi"/>
                <w:kern w:val="2"/>
                <w:sz w:val="22"/>
                <w:szCs w:val="22"/>
              </w:rPr>
            </w:pPr>
            <w:r>
              <w:rPr>
                <w:rFonts w:hint="eastAsia" w:ascii="新宋体" w:hAnsi="新宋体" w:eastAsia="新宋体" w:cstheme="minorBidi"/>
                <w:kern w:val="2"/>
                <w:sz w:val="22"/>
                <w:szCs w:val="22"/>
              </w:rPr>
              <w:t>支持</w:t>
            </w:r>
            <w:r>
              <w:rPr>
                <w:rFonts w:ascii="新宋体" w:hAnsi="新宋体" w:eastAsia="新宋体" w:cstheme="minorBidi"/>
                <w:kern w:val="2"/>
                <w:sz w:val="22"/>
                <w:szCs w:val="22"/>
              </w:rPr>
              <w:t>RIPng</w:t>
            </w:r>
            <w:r>
              <w:rPr>
                <w:rFonts w:hint="eastAsia" w:ascii="新宋体" w:hAnsi="新宋体" w:eastAsia="新宋体" w:cstheme="minorBidi"/>
                <w:kern w:val="2"/>
                <w:sz w:val="22"/>
                <w:szCs w:val="22"/>
              </w:rPr>
              <w:t>、</w:t>
            </w:r>
            <w:r>
              <w:rPr>
                <w:rFonts w:ascii="新宋体" w:hAnsi="新宋体" w:eastAsia="新宋体" w:cstheme="minorBidi"/>
                <w:kern w:val="2"/>
                <w:sz w:val="22"/>
                <w:szCs w:val="22"/>
              </w:rPr>
              <w:t>OSPFv3</w:t>
            </w:r>
            <w:r>
              <w:rPr>
                <w:rFonts w:hint="eastAsia" w:ascii="新宋体" w:hAnsi="新宋体" w:eastAsia="新宋体" w:cstheme="minorBidi"/>
                <w:kern w:val="2"/>
                <w:sz w:val="22"/>
                <w:szCs w:val="22"/>
              </w:rPr>
              <w:t>、</w:t>
            </w:r>
            <w:r>
              <w:rPr>
                <w:rFonts w:ascii="新宋体" w:hAnsi="新宋体" w:eastAsia="新宋体" w:cstheme="minorBidi"/>
                <w:kern w:val="2"/>
                <w:sz w:val="22"/>
                <w:szCs w:val="22"/>
              </w:rPr>
              <w:t>BGP4+</w:t>
            </w:r>
            <w:r>
              <w:rPr>
                <w:rFonts w:hint="eastAsia" w:ascii="新宋体" w:hAnsi="新宋体" w:eastAsia="新宋体" w:cstheme="minorBidi"/>
                <w:kern w:val="2"/>
                <w:sz w:val="22"/>
                <w:szCs w:val="22"/>
              </w:rPr>
              <w:t>、</w:t>
            </w:r>
            <w:r>
              <w:rPr>
                <w:rFonts w:ascii="新宋体" w:hAnsi="新宋体" w:eastAsia="新宋体" w:cstheme="minorBidi"/>
                <w:kern w:val="2"/>
                <w:sz w:val="22"/>
                <w:szCs w:val="22"/>
              </w:rPr>
              <w:t>IS-ISv6</w:t>
            </w:r>
            <w:r>
              <w:rPr>
                <w:rFonts w:hint="eastAsia" w:ascii="新宋体" w:hAnsi="新宋体" w:eastAsia="新宋体" w:cstheme="minorBidi"/>
                <w:kern w:val="2"/>
                <w:sz w:val="22"/>
                <w:szCs w:val="22"/>
              </w:rPr>
              <w:t>协议</w:t>
            </w:r>
          </w:p>
          <w:p>
            <w:pPr>
              <w:pStyle w:val="588"/>
              <w:jc w:val="both"/>
              <w:rPr>
                <w:rFonts w:ascii="新宋体" w:hAnsi="新宋体" w:eastAsia="新宋体" w:cstheme="minorBidi"/>
                <w:kern w:val="2"/>
                <w:sz w:val="22"/>
                <w:szCs w:val="22"/>
              </w:rPr>
            </w:pPr>
            <w:r>
              <w:rPr>
                <w:rFonts w:hint="eastAsia" w:ascii="新宋体" w:hAnsi="新宋体" w:eastAsia="新宋体" w:cstheme="minorBidi"/>
                <w:kern w:val="2"/>
                <w:sz w:val="22"/>
                <w:szCs w:val="22"/>
              </w:rPr>
              <w:t>支持</w:t>
            </w:r>
            <w:r>
              <w:rPr>
                <w:rFonts w:ascii="新宋体" w:hAnsi="新宋体" w:eastAsia="新宋体" w:cstheme="minorBidi"/>
                <w:kern w:val="2"/>
                <w:sz w:val="22"/>
                <w:szCs w:val="22"/>
              </w:rPr>
              <w:t>IPv6</w:t>
            </w:r>
            <w:r>
              <w:rPr>
                <w:rFonts w:hint="eastAsia" w:ascii="新宋体" w:hAnsi="新宋体" w:eastAsia="新宋体" w:cstheme="minorBidi"/>
                <w:kern w:val="2"/>
                <w:sz w:val="22"/>
                <w:szCs w:val="22"/>
              </w:rPr>
              <w:t>策略路由；</w:t>
            </w:r>
          </w:p>
          <w:p>
            <w:pPr>
              <w:pStyle w:val="588"/>
              <w:jc w:val="both"/>
              <w:rPr>
                <w:rFonts w:ascii="新宋体" w:hAnsi="新宋体" w:eastAsia="新宋体" w:cstheme="minorBidi"/>
                <w:kern w:val="2"/>
                <w:sz w:val="22"/>
                <w:szCs w:val="22"/>
              </w:rPr>
            </w:pPr>
            <w:r>
              <w:rPr>
                <w:rFonts w:hint="eastAsia" w:ascii="新宋体" w:hAnsi="新宋体" w:eastAsia="新宋体" w:cstheme="minorBidi"/>
                <w:kern w:val="2"/>
                <w:sz w:val="22"/>
                <w:szCs w:val="22"/>
              </w:rPr>
              <w:t>支持</w:t>
            </w:r>
            <w:r>
              <w:rPr>
                <w:rFonts w:ascii="新宋体" w:hAnsi="新宋体" w:eastAsia="新宋体" w:cstheme="minorBidi"/>
                <w:kern w:val="2"/>
                <w:sz w:val="22"/>
                <w:szCs w:val="22"/>
              </w:rPr>
              <w:t>DHCPv6</w:t>
            </w:r>
            <w:r>
              <w:rPr>
                <w:rFonts w:hint="eastAsia" w:ascii="新宋体" w:hAnsi="新宋体" w:eastAsia="新宋体" w:cstheme="minorBidi"/>
                <w:kern w:val="2"/>
                <w:sz w:val="22"/>
                <w:szCs w:val="22"/>
              </w:rPr>
              <w:t>功能、</w:t>
            </w:r>
            <w:r>
              <w:rPr>
                <w:rFonts w:ascii="新宋体" w:hAnsi="新宋体" w:eastAsia="新宋体" w:cstheme="minorBidi"/>
                <w:kern w:val="2"/>
                <w:sz w:val="22"/>
                <w:szCs w:val="22"/>
              </w:rPr>
              <w:t>IPv6 portal</w:t>
            </w:r>
            <w:r>
              <w:rPr>
                <w:rFonts w:hint="eastAsia" w:ascii="新宋体" w:hAnsi="新宋体" w:eastAsia="新宋体" w:cstheme="minorBidi"/>
                <w:kern w:val="2"/>
                <w:sz w:val="22"/>
                <w:szCs w:val="22"/>
              </w:rPr>
              <w:t>功能、</w:t>
            </w:r>
            <w:r>
              <w:rPr>
                <w:rFonts w:ascii="新宋体" w:hAnsi="新宋体" w:eastAsia="新宋体" w:cstheme="minorBidi"/>
                <w:kern w:val="2"/>
                <w:sz w:val="22"/>
                <w:szCs w:val="22"/>
              </w:rPr>
              <w:t>IPv6</w:t>
            </w:r>
            <w:r>
              <w:rPr>
                <w:rFonts w:hint="eastAsia" w:ascii="新宋体" w:hAnsi="新宋体" w:eastAsia="新宋体" w:cstheme="minorBidi"/>
                <w:kern w:val="2"/>
                <w:sz w:val="22"/>
                <w:szCs w:val="22"/>
              </w:rPr>
              <w:t>管理功能；</w:t>
            </w:r>
          </w:p>
          <w:p>
            <w:pPr>
              <w:pStyle w:val="588"/>
              <w:jc w:val="both"/>
              <w:rPr>
                <w:rFonts w:ascii="新宋体" w:hAnsi="新宋体" w:eastAsia="新宋体" w:cstheme="minorBidi"/>
                <w:kern w:val="2"/>
                <w:sz w:val="22"/>
                <w:szCs w:val="22"/>
              </w:rPr>
            </w:pPr>
            <w:r>
              <w:rPr>
                <w:rFonts w:hint="eastAsia" w:ascii="新宋体" w:hAnsi="新宋体" w:eastAsia="新宋体" w:cstheme="minorBidi"/>
                <w:kern w:val="2"/>
                <w:sz w:val="22"/>
                <w:szCs w:val="22"/>
              </w:rPr>
              <w:t>支持基于</w:t>
            </w:r>
            <w:r>
              <w:rPr>
                <w:rFonts w:ascii="新宋体" w:hAnsi="新宋体" w:eastAsia="新宋体" w:cstheme="minorBidi"/>
                <w:kern w:val="2"/>
                <w:sz w:val="22"/>
                <w:szCs w:val="22"/>
              </w:rPr>
              <w:t>IPv6</w:t>
            </w:r>
            <w:r>
              <w:rPr>
                <w:rFonts w:hint="eastAsia" w:ascii="新宋体" w:hAnsi="新宋体" w:eastAsia="新宋体" w:cstheme="minorBidi"/>
                <w:kern w:val="2"/>
                <w:sz w:val="22"/>
                <w:szCs w:val="22"/>
              </w:rPr>
              <w:t>的</w:t>
            </w:r>
            <w:r>
              <w:rPr>
                <w:rFonts w:ascii="新宋体" w:hAnsi="新宋体" w:eastAsia="新宋体" w:cstheme="minorBidi"/>
                <w:kern w:val="2"/>
                <w:sz w:val="22"/>
                <w:szCs w:val="22"/>
              </w:rPr>
              <w:t>VXLAN</w:t>
            </w:r>
            <w:r>
              <w:rPr>
                <w:rFonts w:hint="eastAsia" w:ascii="新宋体" w:hAnsi="新宋体" w:eastAsia="新宋体" w:cstheme="minorBidi"/>
                <w:kern w:val="2"/>
                <w:sz w:val="22"/>
                <w:szCs w:val="22"/>
              </w:rPr>
              <w:t>二三层互通；</w:t>
            </w:r>
          </w:p>
          <w:p>
            <w:pPr>
              <w:pStyle w:val="588"/>
              <w:jc w:val="both"/>
              <w:rPr>
                <w:rFonts w:ascii="新宋体" w:hAnsi="新宋体" w:eastAsia="新宋体" w:cs="新宋体"/>
                <w:kern w:val="2"/>
                <w:sz w:val="22"/>
                <w:szCs w:val="22"/>
              </w:rPr>
            </w:pPr>
            <w:r>
              <w:rPr>
                <w:rFonts w:hint="eastAsia" w:ascii="新宋体" w:hAnsi="新宋体" w:eastAsia="新宋体" w:cstheme="minorBidi"/>
                <w:kern w:val="2"/>
                <w:sz w:val="22"/>
                <w:szCs w:val="22"/>
              </w:rPr>
              <w:t>支持基于</w:t>
            </w:r>
            <w:r>
              <w:rPr>
                <w:rFonts w:ascii="新宋体" w:hAnsi="新宋体" w:eastAsia="新宋体" w:cstheme="minorBidi"/>
                <w:kern w:val="2"/>
                <w:sz w:val="22"/>
                <w:szCs w:val="22"/>
              </w:rPr>
              <w:t>IPv6</w:t>
            </w:r>
            <w:r>
              <w:rPr>
                <w:rFonts w:hint="eastAsia" w:ascii="新宋体" w:hAnsi="新宋体" w:eastAsia="新宋体" w:cstheme="minorBidi"/>
                <w:kern w:val="2"/>
                <w:sz w:val="22"/>
                <w:szCs w:val="22"/>
              </w:rPr>
              <w:t>的</w:t>
            </w:r>
            <w:r>
              <w:rPr>
                <w:rFonts w:ascii="新宋体" w:hAnsi="新宋体" w:eastAsia="新宋体" w:cstheme="minorBidi"/>
                <w:kern w:val="2"/>
                <w:sz w:val="22"/>
                <w:szCs w:val="22"/>
              </w:rPr>
              <w:t>VRRP</w:t>
            </w:r>
            <w:r>
              <w:rPr>
                <w:rFonts w:hint="eastAsia" w:ascii="新宋体" w:hAnsi="新宋体" w:eastAsia="新宋体" w:cstheme="minorBidi"/>
                <w:kern w:val="2"/>
                <w:sz w:val="22"/>
                <w:szCs w:val="22"/>
              </w:rPr>
              <w:t>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★虚拟化技术</w:t>
            </w:r>
          </w:p>
        </w:tc>
        <w:tc>
          <w:tcPr>
            <w:tcW w:w="8129" w:type="dxa"/>
            <w:gridSpan w:val="2"/>
            <w:vAlign w:val="center"/>
          </w:tcPr>
          <w:p>
            <w:pPr>
              <w:widowControl/>
              <w:rPr>
                <w:rFonts w:ascii="新宋体" w:hAnsi="新宋体" w:eastAsia="新宋体" w:cs="新宋体"/>
                <w:color w:val="000000"/>
                <w:sz w:val="22"/>
                <w:szCs w:val="22"/>
              </w:rPr>
            </w:pPr>
            <w:r>
              <w:rPr>
                <w:rFonts w:hint="eastAsia" w:ascii="新宋体" w:hAnsi="新宋体" w:eastAsia="新宋体"/>
                <w:color w:val="000000"/>
                <w:sz w:val="22"/>
                <w:szCs w:val="22"/>
              </w:rPr>
              <w:t>支持多虚一技术(N:1)，支持4框虚拟化技术：可将4台物理设备虚拟化，实现流量负载分担功能；支持一虚多技术（1:N）；支持多虚一技术和一虚多技术的配合使用，提供工信部权威第三方测试报告；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支持二级P</w:t>
            </w:r>
            <w:r>
              <w:rPr>
                <w:rFonts w:ascii="新宋体" w:hAnsi="新宋体" w:eastAsia="新宋体"/>
                <w:color w:val="000000"/>
                <w:sz w:val="22"/>
                <w:szCs w:val="22"/>
              </w:rPr>
              <w:t>E</w:t>
            </w:r>
            <w:r>
              <w:rPr>
                <w:rFonts w:hint="eastAsia" w:ascii="新宋体" w:hAnsi="新宋体" w:eastAsia="新宋体"/>
                <w:color w:val="000000"/>
                <w:sz w:val="22"/>
                <w:szCs w:val="22"/>
              </w:rPr>
              <w:t>端口扩展设备级联：C</w:t>
            </w:r>
            <w:r>
              <w:rPr>
                <w:rFonts w:ascii="新宋体" w:hAnsi="新宋体" w:eastAsia="新宋体"/>
                <w:color w:val="000000"/>
                <w:sz w:val="22"/>
                <w:szCs w:val="22"/>
              </w:rPr>
              <w:t>B</w:t>
            </w:r>
            <w:r>
              <w:rPr>
                <w:rFonts w:hint="eastAsia" w:ascii="新宋体" w:hAnsi="新宋体" w:eastAsia="新宋体"/>
                <w:color w:val="000000"/>
                <w:sz w:val="22"/>
                <w:szCs w:val="22"/>
              </w:rPr>
              <w:t>（</w:t>
            </w:r>
            <w:r>
              <w:rPr>
                <w:rFonts w:ascii="新宋体" w:hAnsi="新宋体" w:eastAsia="新宋体"/>
                <w:color w:val="000000"/>
                <w:sz w:val="22"/>
                <w:szCs w:val="22"/>
              </w:rPr>
              <w:t>Controlling Bridge</w:t>
            </w:r>
            <w:r>
              <w:rPr>
                <w:rFonts w:hint="eastAsia" w:ascii="新宋体" w:hAnsi="新宋体" w:eastAsia="新宋体"/>
                <w:color w:val="000000"/>
                <w:sz w:val="22"/>
                <w:szCs w:val="22"/>
              </w:rPr>
              <w:t>）控制设备能够支持二级P</w:t>
            </w:r>
            <w:r>
              <w:rPr>
                <w:rFonts w:ascii="新宋体" w:hAnsi="新宋体" w:eastAsia="新宋体"/>
                <w:color w:val="000000"/>
                <w:sz w:val="22"/>
                <w:szCs w:val="22"/>
              </w:rPr>
              <w:t>E</w:t>
            </w:r>
            <w:r>
              <w:rPr>
                <w:rFonts w:hint="eastAsia" w:ascii="新宋体" w:hAnsi="新宋体" w:eastAsia="新宋体"/>
                <w:color w:val="000000"/>
                <w:sz w:val="22"/>
                <w:szCs w:val="22"/>
              </w:rPr>
              <w:t>（</w:t>
            </w:r>
            <w:r>
              <w:rPr>
                <w:rFonts w:ascii="新宋体" w:hAnsi="新宋体" w:eastAsia="新宋体"/>
                <w:color w:val="000000"/>
                <w:sz w:val="22"/>
                <w:szCs w:val="22"/>
              </w:rPr>
              <w:t>Port Extende</w:t>
            </w:r>
            <w:r>
              <w:rPr>
                <w:rFonts w:hint="eastAsia" w:ascii="新宋体" w:hAnsi="新宋体" w:eastAsia="新宋体"/>
                <w:color w:val="000000"/>
                <w:sz w:val="22"/>
                <w:szCs w:val="22"/>
              </w:rPr>
              <w:t>r）端口扩展设备级联，即一级P</w:t>
            </w:r>
            <w:r>
              <w:rPr>
                <w:rFonts w:ascii="新宋体" w:hAnsi="新宋体" w:eastAsia="新宋体"/>
                <w:color w:val="000000"/>
                <w:sz w:val="22"/>
                <w:szCs w:val="22"/>
              </w:rPr>
              <w:t>E</w:t>
            </w:r>
            <w:r>
              <w:rPr>
                <w:rFonts w:hint="eastAsia" w:ascii="新宋体" w:hAnsi="新宋体" w:eastAsia="新宋体"/>
                <w:color w:val="000000"/>
                <w:sz w:val="22"/>
                <w:szCs w:val="22"/>
              </w:rPr>
              <w:t>端口扩展设备下挂二级P</w:t>
            </w:r>
            <w:r>
              <w:rPr>
                <w:rFonts w:ascii="新宋体" w:hAnsi="新宋体" w:eastAsia="新宋体"/>
                <w:color w:val="000000"/>
                <w:sz w:val="22"/>
                <w:szCs w:val="22"/>
              </w:rPr>
              <w:t>E</w:t>
            </w:r>
            <w:r>
              <w:rPr>
                <w:rFonts w:hint="eastAsia" w:ascii="新宋体" w:hAnsi="新宋体" w:eastAsia="新宋体"/>
                <w:color w:val="000000"/>
                <w:sz w:val="22"/>
                <w:szCs w:val="22"/>
              </w:rPr>
              <w:t>端口扩展设备，虚拟化后的设备支持基于IPv</w:t>
            </w:r>
            <w:r>
              <w:rPr>
                <w:rFonts w:ascii="新宋体" w:hAnsi="新宋体" w:eastAsia="新宋体"/>
                <w:color w:val="000000"/>
                <w:sz w:val="22"/>
                <w:szCs w:val="22"/>
              </w:rPr>
              <w:t>4</w:t>
            </w:r>
            <w:r>
              <w:rPr>
                <w:rFonts w:hint="eastAsia" w:ascii="新宋体" w:hAnsi="新宋体" w:eastAsia="新宋体"/>
                <w:color w:val="000000"/>
                <w:sz w:val="22"/>
                <w:szCs w:val="22"/>
              </w:rPr>
              <w:t>\IPv6的VXLAN的二三层互通，提供工信部权威第三方测试报告；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pStyle w:val="588"/>
              <w:jc w:val="both"/>
              <w:rPr>
                <w:rFonts w:ascii="新宋体" w:hAnsi="新宋体" w:eastAsia="新宋体" w:cs="新宋体"/>
                <w:kern w:val="2"/>
                <w:sz w:val="22"/>
                <w:szCs w:val="22"/>
              </w:rPr>
            </w:pPr>
            <w:r>
              <w:rPr>
                <w:rFonts w:hint="eastAsia" w:ascii="新宋体" w:hAnsi="新宋体" w:eastAsia="新宋体" w:cstheme="minorBidi"/>
                <w:kern w:val="2"/>
                <w:sz w:val="22"/>
                <w:szCs w:val="22"/>
              </w:rPr>
              <w:t>支持基于</w:t>
            </w:r>
            <w:r>
              <w:rPr>
                <w:rFonts w:ascii="新宋体" w:hAnsi="新宋体" w:eastAsia="新宋体" w:cstheme="minorBidi"/>
                <w:kern w:val="2"/>
                <w:sz w:val="22"/>
                <w:szCs w:val="22"/>
              </w:rPr>
              <w:t>IRF3.1</w:t>
            </w:r>
            <w:r>
              <w:rPr>
                <w:rFonts w:hint="eastAsia" w:ascii="新宋体" w:hAnsi="新宋体" w:eastAsia="新宋体" w:cstheme="minorBidi"/>
                <w:kern w:val="2"/>
                <w:sz w:val="22"/>
                <w:szCs w:val="22"/>
              </w:rPr>
              <w:t>的有线无线统一管理功能，提供工信部权威第三方测试报告；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★网络安全一体化</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支持扩展硬件防火墙业务板、IPS入侵防御系统业务板、负载均衡业务板、应用控制网关业务板、SSL VPN业务板、EPON业务板，提供生产厂商官网选配信息截图；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可视化功能</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支持Telemetry流量可视化功能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restart"/>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★无线功能</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支持融合AC 功能：无需额外配置单独硬件，能再交换机上对所有上线的A</w:t>
            </w:r>
            <w:r>
              <w:rPr>
                <w:rFonts w:ascii="新宋体" w:hAnsi="新宋体" w:eastAsia="新宋体"/>
                <w:color w:val="000000"/>
                <w:sz w:val="22"/>
                <w:szCs w:val="22"/>
              </w:rPr>
              <w:t>P</w:t>
            </w:r>
            <w:r>
              <w:rPr>
                <w:rFonts w:hint="eastAsia" w:ascii="新宋体" w:hAnsi="新宋体" w:eastAsia="新宋体"/>
                <w:color w:val="000000"/>
                <w:sz w:val="22"/>
                <w:szCs w:val="22"/>
              </w:rPr>
              <w:t>进行管理与配置，提供工信部权威第三方测试报告；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Merge w:val="continue"/>
            <w:vAlign w:val="center"/>
          </w:tcPr>
          <w:p>
            <w:pPr>
              <w:rPr>
                <w:rFonts w:ascii="新宋体" w:hAnsi="新宋体" w:eastAsia="新宋体" w:cs="新宋体"/>
                <w:color w:val="000000"/>
                <w:sz w:val="22"/>
                <w:szCs w:val="22"/>
              </w:rPr>
            </w:pP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支持有线无线一体化的终端准入认证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智能网管功能</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内置智能</w:t>
            </w:r>
            <w:r>
              <w:rPr>
                <w:rFonts w:ascii="新宋体" w:hAnsi="新宋体" w:eastAsia="新宋体"/>
                <w:color w:val="000000"/>
                <w:sz w:val="22"/>
                <w:szCs w:val="22"/>
              </w:rPr>
              <w:t>管理功能</w:t>
            </w:r>
            <w:r>
              <w:rPr>
                <w:rFonts w:hint="eastAsia" w:ascii="新宋体" w:hAnsi="新宋体" w:eastAsia="新宋体"/>
                <w:color w:val="000000"/>
                <w:sz w:val="22"/>
                <w:szCs w:val="22"/>
              </w:rPr>
              <w:t>，支持通过图形化界面设备配置及命令一键下发和版本智能升级，无需配置额外网管平台，提供工信部权威第三方测试报告；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★终端管理及</w:t>
            </w:r>
            <w:r>
              <w:rPr>
                <w:rFonts w:ascii="新宋体" w:hAnsi="新宋体" w:eastAsia="新宋体"/>
                <w:color w:val="000000"/>
                <w:sz w:val="22"/>
                <w:szCs w:val="22"/>
              </w:rPr>
              <w:t>网络安全</w:t>
            </w:r>
          </w:p>
        </w:tc>
        <w:tc>
          <w:tcPr>
            <w:tcW w:w="8129" w:type="dxa"/>
            <w:gridSpan w:val="2"/>
            <w:vAlign w:val="center"/>
          </w:tcPr>
          <w:p>
            <w:pPr>
              <w:widowControl/>
              <w:tabs>
                <w:tab w:val="left" w:pos="951"/>
              </w:tabs>
              <w:rPr>
                <w:rFonts w:ascii="新宋体" w:hAnsi="新宋体" w:eastAsia="新宋体"/>
                <w:color w:val="000000"/>
                <w:sz w:val="22"/>
                <w:szCs w:val="22"/>
              </w:rPr>
            </w:pPr>
            <w:r>
              <w:rPr>
                <w:rFonts w:hint="eastAsia" w:ascii="新宋体" w:hAnsi="新宋体" w:eastAsia="新宋体"/>
                <w:color w:val="000000"/>
                <w:sz w:val="22"/>
                <w:szCs w:val="22"/>
              </w:rPr>
              <w:t>支持融合终端安全管理板卡，实现对摄像头等物联终端统一识别、认证和管理</w:t>
            </w:r>
          </w:p>
          <w:p>
            <w:pPr>
              <w:widowControl/>
              <w:tabs>
                <w:tab w:val="left" w:pos="951"/>
              </w:tabs>
              <w:rPr>
                <w:rFonts w:ascii="新宋体" w:hAnsi="新宋体" w:eastAsia="新宋体"/>
                <w:color w:val="000000"/>
                <w:sz w:val="22"/>
                <w:szCs w:val="22"/>
              </w:rPr>
            </w:pPr>
            <w:r>
              <w:rPr>
                <w:rFonts w:hint="eastAsia" w:ascii="新宋体" w:hAnsi="新宋体" w:eastAsia="新宋体"/>
                <w:color w:val="000000"/>
                <w:sz w:val="22"/>
                <w:szCs w:val="22"/>
              </w:rPr>
              <w:t>支持PC终端</w:t>
            </w:r>
            <w:r>
              <w:rPr>
                <w:rFonts w:ascii="新宋体" w:hAnsi="新宋体" w:eastAsia="新宋体"/>
                <w:color w:val="000000"/>
                <w:sz w:val="22"/>
                <w:szCs w:val="22"/>
              </w:rPr>
              <w:t>、哑终端、</w:t>
            </w:r>
            <w:r>
              <w:rPr>
                <w:rFonts w:hint="eastAsia" w:ascii="新宋体" w:hAnsi="新宋体" w:eastAsia="新宋体"/>
                <w:color w:val="000000"/>
                <w:sz w:val="22"/>
                <w:szCs w:val="22"/>
              </w:rPr>
              <w:t>网络</w:t>
            </w:r>
            <w:r>
              <w:rPr>
                <w:rFonts w:ascii="新宋体" w:hAnsi="新宋体" w:eastAsia="新宋体"/>
                <w:color w:val="000000"/>
                <w:sz w:val="22"/>
                <w:szCs w:val="22"/>
              </w:rPr>
              <w:t>设备等</w:t>
            </w:r>
            <w:r>
              <w:rPr>
                <w:rFonts w:hint="eastAsia" w:ascii="新宋体" w:hAnsi="新宋体" w:eastAsia="新宋体"/>
                <w:color w:val="000000"/>
                <w:sz w:val="22"/>
                <w:szCs w:val="22"/>
              </w:rPr>
              <w:t>连接</w:t>
            </w:r>
            <w:r>
              <w:rPr>
                <w:rFonts w:ascii="新宋体" w:hAnsi="新宋体" w:eastAsia="新宋体"/>
                <w:color w:val="000000"/>
                <w:sz w:val="22"/>
                <w:szCs w:val="22"/>
              </w:rPr>
              <w:t>元素的</w:t>
            </w:r>
            <w:r>
              <w:rPr>
                <w:rFonts w:hint="eastAsia" w:ascii="新宋体" w:hAnsi="新宋体" w:eastAsia="新宋体"/>
                <w:color w:val="000000"/>
                <w:sz w:val="22"/>
                <w:szCs w:val="22"/>
              </w:rPr>
              <w:t>准入</w:t>
            </w:r>
            <w:r>
              <w:rPr>
                <w:rFonts w:ascii="新宋体" w:hAnsi="新宋体" w:eastAsia="新宋体"/>
                <w:color w:val="000000"/>
                <w:sz w:val="22"/>
                <w:szCs w:val="22"/>
              </w:rPr>
              <w:t>控制和权限划分，确保网络的可信可控</w:t>
            </w:r>
          </w:p>
          <w:p>
            <w:pPr>
              <w:widowControl/>
              <w:tabs>
                <w:tab w:val="left" w:pos="951"/>
              </w:tabs>
              <w:rPr>
                <w:rFonts w:ascii="新宋体" w:hAnsi="新宋体" w:eastAsia="新宋体"/>
                <w:color w:val="000000"/>
                <w:sz w:val="22"/>
                <w:szCs w:val="22"/>
              </w:rPr>
            </w:pPr>
            <w:r>
              <w:rPr>
                <w:rFonts w:hint="eastAsia" w:ascii="新宋体" w:hAnsi="新宋体" w:eastAsia="新宋体"/>
                <w:color w:val="000000"/>
                <w:sz w:val="22"/>
                <w:szCs w:val="22"/>
              </w:rPr>
              <w:t>支持设备</w:t>
            </w:r>
            <w:r>
              <w:rPr>
                <w:rFonts w:ascii="新宋体" w:hAnsi="新宋体" w:eastAsia="新宋体"/>
                <w:color w:val="000000"/>
                <w:sz w:val="22"/>
                <w:szCs w:val="22"/>
              </w:rPr>
              <w:t>识别、归类、类型定义，可以对全网</w:t>
            </w:r>
            <w:r>
              <w:rPr>
                <w:rFonts w:hint="eastAsia" w:ascii="新宋体" w:hAnsi="新宋体" w:eastAsia="新宋体"/>
                <w:color w:val="000000"/>
                <w:sz w:val="22"/>
                <w:szCs w:val="22"/>
              </w:rPr>
              <w:t>资产</w:t>
            </w:r>
            <w:r>
              <w:rPr>
                <w:rFonts w:ascii="新宋体" w:hAnsi="新宋体" w:eastAsia="新宋体"/>
                <w:color w:val="000000"/>
                <w:sz w:val="22"/>
                <w:szCs w:val="22"/>
              </w:rPr>
              <w:t>进行梳理，识别异常</w:t>
            </w:r>
            <w:r>
              <w:rPr>
                <w:rFonts w:hint="eastAsia" w:ascii="新宋体" w:hAnsi="新宋体" w:eastAsia="新宋体"/>
                <w:color w:val="000000"/>
                <w:sz w:val="22"/>
                <w:szCs w:val="22"/>
              </w:rPr>
              <w:t>终端链接，确保</w:t>
            </w:r>
            <w:r>
              <w:rPr>
                <w:rFonts w:ascii="新宋体" w:hAnsi="新宋体" w:eastAsia="新宋体"/>
                <w:color w:val="000000"/>
                <w:sz w:val="22"/>
                <w:szCs w:val="22"/>
              </w:rPr>
              <w:t>网络的安全性</w:t>
            </w:r>
          </w:p>
          <w:p>
            <w:pPr>
              <w:widowControl/>
              <w:tabs>
                <w:tab w:val="left" w:pos="951"/>
              </w:tabs>
              <w:rPr>
                <w:rFonts w:ascii="新宋体" w:hAnsi="新宋体" w:eastAsia="新宋体" w:cs="新宋体"/>
                <w:color w:val="000000"/>
                <w:sz w:val="22"/>
                <w:szCs w:val="22"/>
              </w:rPr>
            </w:pPr>
            <w:r>
              <w:rPr>
                <w:rFonts w:hint="eastAsia" w:ascii="新宋体" w:hAnsi="新宋体" w:eastAsia="新宋体"/>
                <w:color w:val="000000"/>
                <w:sz w:val="22"/>
                <w:szCs w:val="22"/>
              </w:rPr>
              <w:t>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★多业务融合</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支持多业务融合板卡，与设备紧耦合无需外部连线，支持部署Windows Server及</w:t>
            </w:r>
            <w:r>
              <w:rPr>
                <w:rFonts w:ascii="新宋体" w:hAnsi="新宋体" w:eastAsia="新宋体"/>
                <w:color w:val="000000"/>
                <w:sz w:val="22"/>
                <w:szCs w:val="22"/>
              </w:rPr>
              <w:t>SDN</w:t>
            </w:r>
            <w:r>
              <w:rPr>
                <w:rFonts w:hint="eastAsia" w:ascii="新宋体" w:hAnsi="新宋体" w:eastAsia="新宋体"/>
                <w:color w:val="000000"/>
                <w:sz w:val="22"/>
                <w:szCs w:val="22"/>
              </w:rPr>
              <w:t>控制器，实现方案与设备一体化部署，提供官网清晰截图证明；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跨三层互联技术</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支持主流的MAC in IP技术，如</w:t>
            </w:r>
            <w:r>
              <w:rPr>
                <w:rFonts w:ascii="新宋体" w:hAnsi="新宋体" w:eastAsia="新宋体"/>
                <w:color w:val="000000"/>
                <w:sz w:val="22"/>
                <w:szCs w:val="22"/>
              </w:rPr>
              <w:t>EVB</w:t>
            </w:r>
            <w:r>
              <w:rPr>
                <w:rFonts w:hint="eastAsia" w:ascii="新宋体" w:hAnsi="新宋体" w:eastAsia="新宋体"/>
                <w:color w:val="000000"/>
                <w:sz w:val="22"/>
                <w:szCs w:val="22"/>
              </w:rPr>
              <w:t>，实现跨三层网络的二层互联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VxLAN</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支持VxLAN 网关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717" w:type="dxa"/>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配置要求</w:t>
            </w:r>
          </w:p>
        </w:tc>
        <w:tc>
          <w:tcPr>
            <w:tcW w:w="8129" w:type="dxa"/>
            <w:gridSpan w:val="2"/>
            <w:vAlign w:val="center"/>
          </w:tcPr>
          <w:p>
            <w:pPr>
              <w:rPr>
                <w:rFonts w:ascii="新宋体" w:hAnsi="新宋体" w:eastAsia="新宋体" w:cs="新宋体"/>
                <w:color w:val="000000"/>
                <w:sz w:val="22"/>
                <w:szCs w:val="22"/>
              </w:rPr>
            </w:pPr>
            <w:r>
              <w:rPr>
                <w:rFonts w:hint="eastAsia" w:ascii="新宋体" w:hAnsi="新宋体" w:eastAsia="新宋体"/>
                <w:color w:val="000000"/>
                <w:sz w:val="22"/>
                <w:szCs w:val="22"/>
              </w:rPr>
              <w:t>配置主控引擎模块≥2，满足1+1冗余；配置冗余电源</w:t>
            </w:r>
            <w:r>
              <w:rPr>
                <w:rFonts w:hint="eastAsia" w:ascii="仿宋" w:hAnsi="仿宋" w:cs="宋体"/>
                <w:color w:val="000000"/>
                <w:kern w:val="0"/>
                <w:sz w:val="22"/>
                <w:szCs w:val="22"/>
              </w:rPr>
              <w:t>≥4块</w:t>
            </w:r>
            <w:r>
              <w:rPr>
                <w:rFonts w:hint="eastAsia" w:ascii="新宋体" w:hAnsi="新宋体" w:eastAsia="新宋体"/>
                <w:color w:val="000000"/>
                <w:sz w:val="22"/>
                <w:szCs w:val="22"/>
              </w:rPr>
              <w:t>，千兆光口≥2</w:t>
            </w:r>
            <w:r>
              <w:rPr>
                <w:rFonts w:ascii="新宋体" w:hAnsi="新宋体" w:eastAsia="新宋体"/>
                <w:color w:val="000000"/>
                <w:sz w:val="22"/>
                <w:szCs w:val="22"/>
              </w:rPr>
              <w:t>0</w:t>
            </w:r>
            <w:r>
              <w:rPr>
                <w:rFonts w:hint="eastAsia" w:ascii="新宋体" w:hAnsi="新宋体" w:eastAsia="新宋体"/>
                <w:color w:val="000000"/>
                <w:sz w:val="22"/>
                <w:szCs w:val="22"/>
              </w:rPr>
              <w:t>、千兆电口≥24、万兆光口≥</w:t>
            </w:r>
            <w:r>
              <w:rPr>
                <w:rFonts w:ascii="新宋体" w:hAnsi="新宋体" w:eastAsia="新宋体"/>
                <w:color w:val="000000"/>
                <w:sz w:val="22"/>
                <w:szCs w:val="22"/>
              </w:rPr>
              <w:t>4</w:t>
            </w:r>
            <w:r>
              <w:rPr>
                <w:rFonts w:hint="eastAsia" w:ascii="新宋体" w:hAnsi="新宋体" w:eastAsia="新宋体"/>
                <w:color w:val="000000"/>
                <w:sz w:val="22"/>
                <w:szCs w:val="22"/>
              </w:rPr>
              <w:t>；</w:t>
            </w:r>
            <w:r>
              <w:rPr>
                <w:rFonts w:hint="eastAsia" w:ascii="宋体" w:hAnsi="宋体" w:eastAsia="宋体" w:cs="Arial"/>
                <w:sz w:val="22"/>
                <w:szCs w:val="22"/>
              </w:rPr>
              <w:t>（按项目需求提供光模块）</w:t>
            </w:r>
          </w:p>
        </w:tc>
      </w:tr>
    </w:tbl>
    <w:p>
      <w:pPr>
        <w:rPr>
          <w:b/>
          <w:sz w:val="22"/>
        </w:rPr>
      </w:pPr>
    </w:p>
    <w:p>
      <w:pPr>
        <w:pStyle w:val="460"/>
        <w:ind w:firstLine="0" w:firstLineChars="0"/>
        <w:rPr>
          <w:rFonts w:ascii="新宋体" w:hAnsi="新宋体" w:eastAsia="新宋体" w:cs="新宋体"/>
          <w:b/>
          <w:sz w:val="22"/>
        </w:rPr>
      </w:pPr>
      <w:r>
        <w:rPr>
          <w:rFonts w:hint="eastAsia" w:ascii="新宋体" w:hAnsi="新宋体" w:eastAsia="新宋体" w:cs="新宋体"/>
          <w:b/>
          <w:sz w:val="22"/>
        </w:rPr>
        <w:t>10.视频监控（1套）</w:t>
      </w:r>
    </w:p>
    <w:tbl>
      <w:tblPr>
        <w:tblStyle w:val="56"/>
        <w:tblW w:w="4996" w:type="pct"/>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1"/>
        <w:gridCol w:w="7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1031"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指标项</w:t>
            </w:r>
          </w:p>
        </w:tc>
        <w:tc>
          <w:tcPr>
            <w:tcW w:w="3968" w:type="pct"/>
            <w:shd w:val="clear" w:color="auto" w:fill="8DB3E2" w:themeFill="text2" w:themeFillTint="66"/>
            <w:vAlign w:val="center"/>
          </w:tcPr>
          <w:p>
            <w:pPr>
              <w:widowControl/>
              <w:jc w:val="center"/>
              <w:rPr>
                <w:rFonts w:ascii="新宋体" w:hAnsi="新宋体" w:eastAsia="新宋体" w:cs="新宋体"/>
                <w:b/>
                <w:kern w:val="0"/>
                <w:sz w:val="22"/>
                <w:szCs w:val="22"/>
              </w:rPr>
            </w:pPr>
            <w:r>
              <w:rPr>
                <w:rFonts w:hint="eastAsia" w:ascii="新宋体" w:hAnsi="新宋体" w:eastAsia="新宋体" w:cs="新宋体"/>
                <w:b/>
                <w:kern w:val="0"/>
                <w:sz w:val="22"/>
                <w:szCs w:val="22"/>
              </w:rPr>
              <w:t>指标要求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30" w:type="dxa"/>
            <w:shd w:val="clear" w:color="auto" w:fill="FFFFFF" w:themeFill="background1"/>
            <w:vAlign w:val="center"/>
          </w:tcPr>
          <w:p>
            <w:pPr>
              <w:pStyle w:val="460"/>
              <w:ind w:firstLine="0" w:firstLineChars="0"/>
              <w:rPr>
                <w:rFonts w:hint="eastAsia" w:ascii="新宋体" w:hAnsi="新宋体" w:eastAsia="新宋体" w:cs="新宋体"/>
                <w:b w:val="0"/>
                <w:bCs/>
                <w:color w:val="000000"/>
                <w:sz w:val="22"/>
                <w:szCs w:val="22"/>
              </w:rPr>
            </w:pPr>
            <w:r>
              <w:rPr>
                <w:rFonts w:hint="eastAsia" w:ascii="新宋体" w:hAnsi="新宋体" w:eastAsia="新宋体" w:cs="新宋体"/>
                <w:b w:val="0"/>
                <w:bCs/>
                <w:sz w:val="22"/>
                <w:szCs w:val="22"/>
              </w:rPr>
              <w:t>摄像头（4个）</w:t>
            </w:r>
          </w:p>
        </w:tc>
        <w:tc>
          <w:tcPr>
            <w:tcW w:w="7816" w:type="dxa"/>
            <w:shd w:val="clear" w:color="auto" w:fill="FFFFFF" w:themeFill="background1"/>
            <w:vAlign w:val="center"/>
          </w:tcPr>
          <w:p>
            <w:pPr>
              <w:pStyle w:val="460"/>
              <w:ind w:firstLine="0" w:firstLineChars="0"/>
              <w:rPr>
                <w:rFonts w:hint="eastAsia" w:ascii="新宋体" w:hAnsi="新宋体" w:eastAsia="新宋体" w:cs="新宋体"/>
                <w:b w:val="0"/>
                <w:bCs/>
                <w:color w:val="000000"/>
                <w:sz w:val="22"/>
                <w:szCs w:val="22"/>
              </w:rPr>
            </w:pPr>
            <w:r>
              <w:rPr>
                <w:rFonts w:hint="eastAsia" w:ascii="新宋体" w:hAnsi="新宋体" w:eastAsia="新宋体" w:cs="新宋体"/>
                <w:b w:val="0"/>
                <w:bCs/>
                <w:sz w:val="22"/>
                <w:szCs w:val="22"/>
              </w:rPr>
              <w:t>400万像素2K高清，支持POE供电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blHeader/>
        </w:trPr>
        <w:tc>
          <w:tcPr>
            <w:tcW w:w="2030" w:type="dxa"/>
            <w:shd w:val="clear" w:color="auto" w:fill="FFFFFF" w:themeFill="background1"/>
            <w:vAlign w:val="center"/>
          </w:tcPr>
          <w:p>
            <w:pPr>
              <w:pStyle w:val="460"/>
              <w:ind w:firstLine="0" w:firstLineChars="0"/>
              <w:rPr>
                <w:rFonts w:hint="eastAsia" w:ascii="新宋体" w:hAnsi="新宋体" w:eastAsia="新宋体" w:cs="新宋体"/>
                <w:b w:val="0"/>
                <w:bCs/>
                <w:color w:val="000000"/>
                <w:sz w:val="22"/>
                <w:szCs w:val="22"/>
              </w:rPr>
            </w:pPr>
            <w:r>
              <w:rPr>
                <w:rFonts w:hint="eastAsia" w:ascii="新宋体" w:hAnsi="新宋体" w:eastAsia="新宋体" w:cs="新宋体"/>
                <w:b w:val="0"/>
                <w:bCs/>
                <w:sz w:val="22"/>
                <w:szCs w:val="22"/>
              </w:rPr>
              <w:t>硬盘录像机（1台）</w:t>
            </w:r>
          </w:p>
        </w:tc>
        <w:tc>
          <w:tcPr>
            <w:tcW w:w="7816" w:type="dxa"/>
            <w:shd w:val="clear" w:color="auto" w:fill="FFFFFF" w:themeFill="background1"/>
            <w:vAlign w:val="center"/>
          </w:tcPr>
          <w:p>
            <w:pPr>
              <w:pStyle w:val="460"/>
              <w:ind w:firstLine="0" w:firstLineChars="0"/>
              <w:rPr>
                <w:rFonts w:hint="eastAsia" w:ascii="新宋体" w:hAnsi="新宋体" w:eastAsia="新宋体" w:cs="新宋体"/>
                <w:b w:val="0"/>
                <w:bCs/>
                <w:color w:val="000000"/>
                <w:sz w:val="22"/>
                <w:szCs w:val="22"/>
              </w:rPr>
            </w:pPr>
            <w:r>
              <w:rPr>
                <w:rFonts w:hint="eastAsia" w:ascii="新宋体" w:hAnsi="新宋体" w:eastAsia="新宋体" w:cs="新宋体"/>
                <w:b w:val="0"/>
                <w:bCs/>
                <w:sz w:val="22"/>
                <w:szCs w:val="22"/>
              </w:rPr>
              <w:t>4路poe供电H.265编码1080P解码，含1T硬盘</w:t>
            </w:r>
          </w:p>
        </w:tc>
      </w:tr>
    </w:tbl>
    <w:p>
      <w:pPr>
        <w:pStyle w:val="7"/>
        <w:spacing w:before="0" w:after="0" w:line="440" w:lineRule="exact"/>
        <w:rPr>
          <w:rFonts w:ascii="新宋体" w:hAnsi="新宋体" w:eastAsia="新宋体"/>
          <w:color w:val="000000"/>
          <w:sz w:val="22"/>
          <w:szCs w:val="22"/>
        </w:rPr>
      </w:pPr>
      <w:bookmarkStart w:id="115" w:name="_Toc85296914"/>
    </w:p>
    <w:p>
      <w:pPr>
        <w:pStyle w:val="7"/>
        <w:spacing w:before="0" w:after="0" w:line="440" w:lineRule="exact"/>
        <w:rPr>
          <w:rFonts w:ascii="新宋体" w:hAnsi="新宋体" w:eastAsia="新宋体"/>
          <w:color w:val="000000"/>
          <w:sz w:val="22"/>
          <w:szCs w:val="22"/>
        </w:rPr>
      </w:pPr>
      <w:r>
        <w:rPr>
          <w:rFonts w:hint="eastAsia" w:ascii="新宋体" w:hAnsi="新宋体" w:eastAsia="新宋体"/>
          <w:color w:val="000000"/>
          <w:sz w:val="22"/>
          <w:szCs w:val="22"/>
        </w:rPr>
        <w:t>四、其他要求</w:t>
      </w:r>
      <w:bookmarkEnd w:id="115"/>
    </w:p>
    <w:p>
      <w:pPr>
        <w:spacing w:line="440" w:lineRule="exact"/>
        <w:ind w:firstLine="440" w:firstLineChars="200"/>
        <w:rPr>
          <w:rFonts w:ascii="新宋体" w:hAnsi="新宋体" w:eastAsia="新宋体"/>
          <w:color w:val="000000"/>
          <w:sz w:val="22"/>
        </w:rPr>
      </w:pPr>
      <w:r>
        <w:rPr>
          <w:rFonts w:hint="eastAsia" w:ascii="新宋体" w:hAnsi="新宋体" w:eastAsia="新宋体"/>
          <w:color w:val="000000"/>
          <w:sz w:val="22"/>
        </w:rPr>
        <w:t>1.所提供产品的技术规格和标准应符合中华人民共和国有关部门最新颁布的标准及规范或国际标准规范。</w:t>
      </w:r>
    </w:p>
    <w:p>
      <w:pPr>
        <w:spacing w:line="440" w:lineRule="exact"/>
        <w:ind w:firstLine="440" w:firstLineChars="200"/>
        <w:rPr>
          <w:rFonts w:ascii="新宋体" w:hAnsi="新宋体" w:eastAsia="新宋体"/>
          <w:color w:val="000000"/>
          <w:sz w:val="22"/>
        </w:rPr>
      </w:pPr>
      <w:r>
        <w:rPr>
          <w:rFonts w:hint="eastAsia" w:ascii="新宋体" w:hAnsi="新宋体" w:eastAsia="新宋体"/>
          <w:color w:val="000000"/>
          <w:sz w:val="22"/>
        </w:rPr>
        <w:t>2.本标书所列产品技术配置及技术性能为基本要求，供应商可根据所列技术配置及性能要求选用投标产品，但所选投标产品的技术配置及技术性能应相当于或高于</w:t>
      </w:r>
      <w:r>
        <w:rPr>
          <w:rFonts w:hint="eastAsia" w:ascii="新宋体" w:hAnsi="新宋体" w:eastAsia="新宋体"/>
          <w:color w:val="000000"/>
          <w:sz w:val="22"/>
          <w:lang w:eastAsia="zh-CN"/>
        </w:rPr>
        <w:t>采购文件</w:t>
      </w:r>
      <w:r>
        <w:rPr>
          <w:rFonts w:hint="eastAsia" w:ascii="新宋体" w:hAnsi="新宋体" w:eastAsia="新宋体"/>
          <w:color w:val="000000"/>
          <w:sz w:val="22"/>
        </w:rPr>
        <w:t>要求，并满足采购需求，否则将可能作出对供应商不利的评定。</w:t>
      </w:r>
    </w:p>
    <w:p>
      <w:pPr>
        <w:spacing w:line="440" w:lineRule="exact"/>
        <w:ind w:firstLine="440" w:firstLineChars="200"/>
        <w:rPr>
          <w:rFonts w:ascii="新宋体" w:hAnsi="新宋体" w:eastAsia="新宋体"/>
          <w:color w:val="000000"/>
          <w:sz w:val="22"/>
        </w:rPr>
      </w:pPr>
      <w:r>
        <w:rPr>
          <w:rFonts w:hint="eastAsia" w:ascii="新宋体" w:hAnsi="新宋体" w:eastAsia="新宋体"/>
          <w:color w:val="000000"/>
          <w:sz w:val="22"/>
        </w:rPr>
        <w:t>3.供应商的投标响应必须满足本</w:t>
      </w:r>
      <w:r>
        <w:rPr>
          <w:rFonts w:hint="eastAsia" w:ascii="新宋体" w:hAnsi="新宋体" w:eastAsia="新宋体"/>
          <w:color w:val="000000"/>
          <w:sz w:val="22"/>
          <w:lang w:eastAsia="zh-CN"/>
        </w:rPr>
        <w:t>采购文件</w:t>
      </w:r>
      <w:r>
        <w:rPr>
          <w:rFonts w:hint="eastAsia" w:ascii="新宋体" w:hAnsi="新宋体" w:eastAsia="新宋体"/>
          <w:color w:val="000000"/>
          <w:sz w:val="22"/>
        </w:rPr>
        <w:t>提出的采购需求，任何被评标委员会认定为明显不能满足采购需求将导致影响项目建设质量和使用要求的负偏离响应，均将被视为重大负偏离。对重大负偏离的认定由评标委员会作出，重大负偏离将被认定为是对</w:t>
      </w:r>
      <w:r>
        <w:rPr>
          <w:rFonts w:hint="eastAsia" w:ascii="新宋体" w:hAnsi="新宋体" w:eastAsia="新宋体"/>
          <w:color w:val="000000"/>
          <w:sz w:val="22"/>
          <w:lang w:eastAsia="zh-CN"/>
        </w:rPr>
        <w:t>采购文件</w:t>
      </w:r>
      <w:r>
        <w:rPr>
          <w:rFonts w:hint="eastAsia" w:ascii="新宋体" w:hAnsi="新宋体" w:eastAsia="新宋体"/>
          <w:color w:val="000000"/>
          <w:sz w:val="22"/>
        </w:rPr>
        <w:t>实质上的不响应，其投标将被视为无效投标。</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4.本标书中的技术要求不得被认为是详尽无遗的，无论规定与否，供应商应提供所有</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没有规定但供应商认为完成本项目必要或必须的设备和材料、辅件，并应在投标报价表中一一列明。</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5.供应商所投设备的名称、品牌、型号、技术参数、性能、数量、单价、合价厂商、产地、质保期及随机软件的技术性能、功能等均应在投标文件中明确，对</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的技术条款及要求应予以实质性响应（特别是带★号的条款），如有偏离应在偏离表中注明。为保证投标响应的真实性，所投产品的技术性能指标应在投标文件技术偏离表中进行对应表述和真实响应，不得简单复制</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的技术性能参数描述，不得虚假响应，并附上产品厂家官方公开的产品技术证明资料、第三方检测机构的检测报告等资料进行佐证。供应商在投标文件中应说明本次投标产品的技术参数是否与厂家官方公开的产品技术参数一致，如不一致，明确哪些参数不一致，不一致的原因以及使用何种技术可以达到投标产品参数，并在技术偏离表“备注栏”中作出相应的说明。</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不按上述要求进行技术响应并提供技术证明资料的均将导致评委作出对其技术评分不利的评定，▲</w:t>
      </w:r>
      <w:r>
        <w:rPr>
          <w:rFonts w:hint="eastAsia" w:ascii="新宋体" w:hAnsi="新宋体" w:eastAsia="新宋体" w:cs="新宋体"/>
          <w:b/>
          <w:bCs/>
          <w:color w:val="000000"/>
          <w:sz w:val="22"/>
          <w:szCs w:val="22"/>
          <w:u w:val="single"/>
        </w:rPr>
        <w:t>如因此原因导致评委无法确定其技术响应的真实性时，可以否决其投标</w:t>
      </w:r>
      <w:r>
        <w:rPr>
          <w:rFonts w:hint="eastAsia" w:ascii="新宋体" w:hAnsi="新宋体" w:eastAsia="新宋体" w:cs="新宋体"/>
          <w:color w:val="000000"/>
          <w:sz w:val="22"/>
          <w:szCs w:val="22"/>
        </w:rPr>
        <w:t>。</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6.所有货物必须为原厂原配产品（包括在标配基础上增加的配置也必须为原厂原配）。对于低于原厂方对外公布的基本（标准）配置进行报价的设备，无论</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对此有无明确规定，供应商都必须在投标文件中作出明确说明。</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7.保证所供货物、服务或其任何一部分不受第三方提出侵犯其专利权、商标权、版权和工业设计权的指控。任何涉及的知识产权纠纷，均由供应商承担全部经济、法律等责任。</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8.除不可抗力外，如果中标供应商没有按照合同规定的时间完成设备的供货、安装、调试及验收并交付采购人使用，每延误一天的赔偿费按设备价的百分之零点二（0.2%）计收，直至最终通过验收并交付采购人使用为止。误期赔偿费最高限额为设备价的百分之五（5%）。一旦延到误期赔偿费的最高限额，采购人可考虑终止合同，并保留向中标供应商进一步索赔的权利。</w:t>
      </w:r>
    </w:p>
    <w:p>
      <w:pPr>
        <w:pStyle w:val="7"/>
        <w:spacing w:before="0" w:after="0" w:line="440" w:lineRule="exact"/>
        <w:rPr>
          <w:rFonts w:ascii="新宋体" w:hAnsi="新宋体" w:eastAsia="新宋体" w:cs="新宋体"/>
          <w:color w:val="000000"/>
          <w:sz w:val="22"/>
          <w:szCs w:val="22"/>
        </w:rPr>
      </w:pPr>
      <w:bookmarkStart w:id="116" w:name="_Toc85296915"/>
    </w:p>
    <w:p>
      <w:pPr>
        <w:pStyle w:val="7"/>
        <w:spacing w:before="0" w:after="0" w:line="440" w:lineRule="exact"/>
        <w:rPr>
          <w:rFonts w:ascii="新宋体" w:hAnsi="新宋体" w:eastAsia="新宋体" w:cs="新宋体"/>
          <w:color w:val="auto"/>
          <w:sz w:val="22"/>
          <w:szCs w:val="22"/>
        </w:rPr>
      </w:pPr>
      <w:r>
        <w:rPr>
          <w:rFonts w:hint="eastAsia" w:ascii="新宋体" w:hAnsi="新宋体" w:eastAsia="新宋体" w:cs="新宋体"/>
          <w:color w:val="000000"/>
          <w:sz w:val="22"/>
          <w:szCs w:val="22"/>
        </w:rPr>
        <w:t>五、</w:t>
      </w:r>
      <w:r>
        <w:rPr>
          <w:rFonts w:hint="eastAsia" w:ascii="新宋体" w:hAnsi="新宋体" w:eastAsia="新宋体" w:cs="新宋体"/>
          <w:color w:val="000000"/>
          <w:sz w:val="22"/>
          <w:szCs w:val="22"/>
          <w:u w:val="single"/>
        </w:rPr>
        <w:t>建设地点及工期</w:t>
      </w:r>
      <w:bookmarkEnd w:id="116"/>
    </w:p>
    <w:p>
      <w:pPr>
        <w:spacing w:line="440" w:lineRule="exact"/>
        <w:ind w:firstLine="440" w:firstLineChars="200"/>
        <w:rPr>
          <w:rFonts w:ascii="新宋体" w:hAnsi="新宋体" w:eastAsia="新宋体" w:cs="新宋体"/>
          <w:bCs/>
          <w:color w:val="auto"/>
          <w:sz w:val="22"/>
          <w:szCs w:val="22"/>
          <w:u w:val="single"/>
        </w:rPr>
      </w:pPr>
      <w:r>
        <w:rPr>
          <w:rFonts w:hint="eastAsia" w:ascii="新宋体" w:hAnsi="新宋体" w:eastAsia="新宋体" w:cs="新宋体"/>
          <w:bCs/>
          <w:color w:val="auto"/>
          <w:kern w:val="0"/>
          <w:sz w:val="22"/>
          <w:szCs w:val="22"/>
        </w:rPr>
        <w:t>1.建设地点：</w:t>
      </w:r>
      <w:r>
        <w:rPr>
          <w:rFonts w:hint="eastAsia" w:ascii="新宋体" w:hAnsi="新宋体" w:eastAsia="新宋体" w:cs="新宋体"/>
          <w:bCs/>
          <w:color w:val="auto"/>
          <w:sz w:val="22"/>
          <w:szCs w:val="22"/>
          <w:u w:val="single"/>
        </w:rPr>
        <w:t>采购人指定现场。</w:t>
      </w:r>
    </w:p>
    <w:p>
      <w:pPr>
        <w:spacing w:line="440" w:lineRule="exact"/>
        <w:ind w:firstLine="440" w:firstLineChars="200"/>
        <w:rPr>
          <w:rFonts w:ascii="新宋体" w:hAnsi="新宋体" w:eastAsia="新宋体" w:cs="新宋体"/>
          <w:bCs/>
          <w:color w:val="auto"/>
          <w:kern w:val="0"/>
          <w:sz w:val="22"/>
          <w:szCs w:val="22"/>
          <w:u w:val="single"/>
        </w:rPr>
      </w:pPr>
      <w:r>
        <w:rPr>
          <w:rFonts w:hint="eastAsia" w:ascii="新宋体" w:hAnsi="新宋体" w:eastAsia="新宋体" w:cs="新宋体"/>
          <w:bCs/>
          <w:color w:val="auto"/>
          <w:sz w:val="22"/>
          <w:szCs w:val="22"/>
        </w:rPr>
        <w:t>2.</w:t>
      </w:r>
      <w:r>
        <w:rPr>
          <w:rFonts w:hint="eastAsia" w:ascii="新宋体" w:hAnsi="新宋体" w:eastAsia="新宋体" w:cs="新宋体"/>
          <w:bCs/>
          <w:color w:val="auto"/>
          <w:kern w:val="0"/>
          <w:sz w:val="22"/>
          <w:szCs w:val="22"/>
        </w:rPr>
        <w:t>完工时间：</w:t>
      </w:r>
      <w:r>
        <w:rPr>
          <w:rFonts w:hint="eastAsia" w:ascii="新宋体" w:hAnsi="新宋体" w:eastAsia="新宋体"/>
          <w:bCs/>
          <w:color w:val="auto"/>
          <w:kern w:val="0"/>
          <w:sz w:val="22"/>
          <w:u w:val="single"/>
        </w:rPr>
        <w:t>在合同签订之日起60个日历日内完成产品的供货、安装调试并通过采购人组织的验收</w:t>
      </w:r>
      <w:r>
        <w:rPr>
          <w:rFonts w:hint="eastAsia" w:ascii="新宋体" w:hAnsi="新宋体" w:eastAsia="新宋体"/>
          <w:bCs/>
          <w:color w:val="auto"/>
          <w:kern w:val="0"/>
          <w:sz w:val="22"/>
          <w:u w:val="single"/>
          <w:lang w:eastAsia="zh-CN"/>
        </w:rPr>
        <w:t>（含第三方验收）</w:t>
      </w:r>
      <w:r>
        <w:rPr>
          <w:rFonts w:hint="eastAsia" w:ascii="新宋体" w:hAnsi="新宋体" w:eastAsia="新宋体"/>
          <w:bCs/>
          <w:color w:val="auto"/>
          <w:kern w:val="0"/>
          <w:sz w:val="22"/>
          <w:u w:val="single"/>
        </w:rPr>
        <w:t>。</w:t>
      </w:r>
    </w:p>
    <w:p>
      <w:pPr>
        <w:pStyle w:val="7"/>
        <w:spacing w:before="0" w:after="0" w:line="440" w:lineRule="exact"/>
        <w:rPr>
          <w:rFonts w:ascii="新宋体" w:hAnsi="新宋体" w:eastAsia="新宋体" w:cs="新宋体"/>
          <w:bCs w:val="0"/>
          <w:color w:val="auto"/>
          <w:sz w:val="22"/>
          <w:szCs w:val="22"/>
        </w:rPr>
      </w:pPr>
      <w:bookmarkStart w:id="117" w:name="_Toc85296916"/>
      <w:r>
        <w:rPr>
          <w:rFonts w:hint="eastAsia" w:ascii="新宋体" w:hAnsi="新宋体" w:eastAsia="新宋体" w:cs="新宋体"/>
          <w:bCs w:val="0"/>
          <w:color w:val="auto"/>
          <w:sz w:val="22"/>
          <w:szCs w:val="22"/>
        </w:rPr>
        <w:t>六、产品的到货、施工、安装、集成、调试和验收</w:t>
      </w:r>
      <w:bookmarkEnd w:id="117"/>
    </w:p>
    <w:p>
      <w:pPr>
        <w:tabs>
          <w:tab w:val="left" w:pos="420"/>
        </w:tabs>
        <w:spacing w:line="440" w:lineRule="exact"/>
        <w:ind w:firstLine="442" w:firstLineChars="200"/>
        <w:rPr>
          <w:rFonts w:ascii="新宋体" w:hAnsi="新宋体" w:eastAsia="新宋体" w:cs="新宋体"/>
          <w:b/>
          <w:color w:val="auto"/>
          <w:spacing w:val="20"/>
          <w:sz w:val="22"/>
          <w:szCs w:val="22"/>
        </w:rPr>
      </w:pPr>
      <w:r>
        <w:rPr>
          <w:rFonts w:hint="eastAsia" w:ascii="新宋体" w:hAnsi="新宋体" w:eastAsia="新宋体" w:cs="新宋体"/>
          <w:b/>
          <w:color w:val="auto"/>
          <w:sz w:val="22"/>
          <w:szCs w:val="22"/>
        </w:rPr>
        <w:t>1.到货</w:t>
      </w:r>
      <w:r>
        <w:rPr>
          <w:rFonts w:hint="eastAsia" w:ascii="新宋体" w:hAnsi="新宋体" w:eastAsia="新宋体" w:cs="新宋体"/>
          <w:b/>
          <w:color w:val="auto"/>
          <w:spacing w:val="20"/>
          <w:sz w:val="22"/>
          <w:szCs w:val="22"/>
        </w:rPr>
        <w:t xml:space="preserve"> </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供应商必须在合同规定时间内完成产品（包括软硬件，下同）的供货。产品到达现场后，中标供应商必须派员工到现场与采购人一起检验,按供货清单验收,若有缺少或损坏，中标供应商应立即补足或更换全新同规格产品，并承担相关费用直至使采购人满意为止。</w:t>
      </w:r>
    </w:p>
    <w:p>
      <w:pPr>
        <w:spacing w:line="440" w:lineRule="exact"/>
        <w:ind w:left="439" w:leftChars="209" w:firstLine="115" w:firstLineChars="52"/>
        <w:rPr>
          <w:rFonts w:ascii="新宋体" w:hAnsi="新宋体" w:eastAsia="新宋体" w:cs="新宋体"/>
          <w:b/>
          <w:color w:val="000000"/>
          <w:sz w:val="22"/>
          <w:szCs w:val="22"/>
        </w:rPr>
      </w:pPr>
      <w:r>
        <w:rPr>
          <w:rFonts w:hint="eastAsia" w:ascii="新宋体" w:hAnsi="新宋体" w:eastAsia="新宋体" w:cs="新宋体"/>
          <w:b/>
          <w:color w:val="000000"/>
          <w:sz w:val="22"/>
          <w:szCs w:val="22"/>
        </w:rPr>
        <w:t>2.安装集成</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2.1为确保安装、</w:t>
      </w:r>
      <w:r>
        <w:rPr>
          <w:rFonts w:hint="eastAsia" w:ascii="新宋体" w:hAnsi="新宋体" w:eastAsia="新宋体" w:cs="新宋体"/>
          <w:color w:val="000000"/>
          <w:sz w:val="22"/>
          <w:szCs w:val="22"/>
        </w:rPr>
        <w:t>集成、</w:t>
      </w:r>
      <w:r>
        <w:rPr>
          <w:rFonts w:hint="eastAsia" w:ascii="新宋体" w:hAnsi="新宋体" w:eastAsia="新宋体" w:cs="新宋体"/>
          <w:bCs/>
          <w:color w:val="000000"/>
          <w:kern w:val="0"/>
          <w:sz w:val="22"/>
          <w:szCs w:val="22"/>
        </w:rPr>
        <w:t>调试工作安全有序的进行，要求中标供应商向采购人提供一份详细的安装、集成、调试、验收计划和所采用的标准及方法，现场负责人、工程师和参与安装人员的名单，此计划和采用的标准一旦被采购人确认就不得随意更改，否则中标供应商应承担相应责任。</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bCs/>
          <w:color w:val="000000"/>
          <w:kern w:val="0"/>
          <w:sz w:val="22"/>
          <w:szCs w:val="22"/>
        </w:rPr>
        <w:t xml:space="preserve">2.2 </w:t>
      </w:r>
      <w:r>
        <w:rPr>
          <w:rFonts w:hint="eastAsia" w:ascii="新宋体" w:hAnsi="新宋体" w:eastAsia="新宋体" w:cs="新宋体"/>
          <w:color w:val="000000"/>
          <w:sz w:val="22"/>
          <w:szCs w:val="22"/>
        </w:rPr>
        <w:t>产品的安装必须符合有关标准和规范。安装过程中采购人将对产品的安装质量进行监督。</w:t>
      </w:r>
    </w:p>
    <w:p>
      <w:pPr>
        <w:spacing w:line="440" w:lineRule="exact"/>
        <w:ind w:firstLine="442" w:firstLineChars="200"/>
        <w:rPr>
          <w:rFonts w:ascii="新宋体" w:hAnsi="新宋体" w:eastAsia="新宋体" w:cs="新宋体"/>
          <w:bCs/>
          <w:color w:val="000000"/>
          <w:kern w:val="0"/>
          <w:sz w:val="22"/>
          <w:szCs w:val="22"/>
        </w:rPr>
      </w:pPr>
      <w:r>
        <w:rPr>
          <w:rFonts w:hint="eastAsia" w:ascii="新宋体" w:hAnsi="新宋体" w:eastAsia="新宋体" w:cs="新宋体"/>
          <w:b/>
          <w:color w:val="000000"/>
          <w:sz w:val="22"/>
          <w:szCs w:val="22"/>
        </w:rPr>
        <w:t>3.调试</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bCs/>
          <w:color w:val="000000"/>
          <w:kern w:val="0"/>
          <w:sz w:val="22"/>
          <w:szCs w:val="22"/>
        </w:rPr>
        <w:t>设备安装就位、校准后，中标供应商应按事先被采购人认可的调试验收计划对设备进行调试，并对设备所标注的各项技术指标进行测试，测试报告将在设备验收完毕后提交给采购人，但中标供应商应对测试的各种数据的真实性负责。</w:t>
      </w:r>
      <w:r>
        <w:rPr>
          <w:rFonts w:hint="eastAsia" w:ascii="新宋体" w:hAnsi="新宋体" w:eastAsia="新宋体" w:cs="新宋体"/>
          <w:color w:val="000000"/>
          <w:sz w:val="22"/>
          <w:szCs w:val="22"/>
        </w:rPr>
        <w:t>采购人也可以要求具有检测资质的第三方用专用仪器进行功能 、性能测试，中标供应商负责测试和调试所需的一切费用，并填写测试报告交由采购人存档。</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4.</w:t>
      </w:r>
      <w:r>
        <w:rPr>
          <w:rFonts w:hint="eastAsia" w:ascii="新宋体" w:hAnsi="新宋体" w:eastAsia="新宋体" w:cs="新宋体"/>
          <w:b/>
          <w:color w:val="000000"/>
          <w:sz w:val="22"/>
          <w:szCs w:val="22"/>
        </w:rPr>
        <w:t>验收</w:t>
      </w:r>
      <w:r>
        <w:rPr>
          <w:rFonts w:hint="eastAsia" w:ascii="新宋体" w:hAnsi="新宋体" w:eastAsia="新宋体" w:cs="新宋体"/>
          <w:color w:val="000000"/>
          <w:sz w:val="22"/>
          <w:szCs w:val="22"/>
        </w:rPr>
        <w:t xml:space="preserve"> </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4.1验收标准依次序对照适用标准为：①符合中华人民共和国国家安全质量标准、环保标准或行业技术规范标准等；②符合</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和响应承诺采购人认可的合理最佳配置、参数及各项要求；③货物来源国官方标准。上述标准必须是有关官方机构发布的最新版本的标准。</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4.2产品经过试运行考核无故障（或存在的故障和隐患均已全部排除或解决），所有的技术资料和图纸已向采购人提交并被接受，可以向采购人提出验收申请，并由甲方组织验收。 若因中标供应商产品质量或安装技术问题导致验收不合格，中标供应商应及时予以处理，直至验收合格，期间发生的一切相关费用由中标供应商承担，采购人保留向中标供应商索赔的权利。</w:t>
      </w:r>
    </w:p>
    <w:p>
      <w:pPr>
        <w:spacing w:line="440" w:lineRule="exact"/>
        <w:ind w:firstLine="440" w:firstLineChars="200"/>
        <w:rPr>
          <w:rFonts w:ascii="新宋体" w:hAnsi="新宋体" w:eastAsia="新宋体" w:cs="新宋体"/>
          <w:color w:val="000000"/>
          <w:sz w:val="22"/>
          <w:szCs w:val="22"/>
        </w:rPr>
      </w:pPr>
      <w:r>
        <w:rPr>
          <w:rFonts w:hint="eastAsia" w:ascii="新宋体" w:hAnsi="新宋体" w:eastAsia="新宋体" w:cs="新宋体"/>
          <w:color w:val="000000"/>
          <w:sz w:val="22"/>
          <w:szCs w:val="22"/>
        </w:rPr>
        <w:t>5.若因中标供应商产品质量或安装技术问题导致设备超过二次不能验收合格，采购人有权选择退货，并保留向中标供应商索赔的权利。</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6.中标供应商在项目实施期间应接受采购人的协调和管理，中标供应商应采取严格的安全措施，承担由于自身原因所造成的事故责任及其发生的一切费用。</w:t>
      </w:r>
    </w:p>
    <w:p>
      <w:pPr>
        <w:pStyle w:val="7"/>
        <w:spacing w:before="0" w:after="0" w:line="440" w:lineRule="exact"/>
        <w:rPr>
          <w:rFonts w:ascii="新宋体" w:hAnsi="新宋体" w:eastAsia="新宋体" w:cs="新宋体"/>
          <w:bCs w:val="0"/>
          <w:color w:val="000000"/>
          <w:kern w:val="0"/>
          <w:sz w:val="22"/>
          <w:szCs w:val="22"/>
        </w:rPr>
      </w:pPr>
      <w:bookmarkStart w:id="118" w:name="_Toc29502768"/>
      <w:bookmarkStart w:id="119" w:name="_Toc85296917"/>
    </w:p>
    <w:p>
      <w:pPr>
        <w:pStyle w:val="7"/>
        <w:spacing w:before="0" w:after="0" w:line="440" w:lineRule="exact"/>
        <w:rPr>
          <w:rFonts w:ascii="新宋体" w:hAnsi="新宋体" w:eastAsia="新宋体" w:cs="新宋体"/>
          <w:bCs w:val="0"/>
          <w:color w:val="000000"/>
          <w:kern w:val="0"/>
          <w:sz w:val="22"/>
          <w:szCs w:val="22"/>
        </w:rPr>
      </w:pPr>
      <w:r>
        <w:rPr>
          <w:rFonts w:hint="eastAsia" w:ascii="新宋体" w:hAnsi="新宋体" w:eastAsia="新宋体" w:cs="新宋体"/>
          <w:bCs w:val="0"/>
          <w:color w:val="000000"/>
          <w:kern w:val="0"/>
          <w:sz w:val="22"/>
          <w:szCs w:val="22"/>
        </w:rPr>
        <w:t>七、设备质量保证和标准</w:t>
      </w:r>
      <w:bookmarkEnd w:id="118"/>
      <w:bookmarkEnd w:id="119"/>
    </w:p>
    <w:p>
      <w:pPr>
        <w:spacing w:line="440" w:lineRule="exact"/>
        <w:ind w:firstLine="442" w:firstLineChars="200"/>
        <w:rPr>
          <w:rFonts w:ascii="新宋体" w:hAnsi="新宋体" w:eastAsia="新宋体" w:cs="新宋体"/>
          <w:b/>
          <w:color w:val="000000"/>
          <w:sz w:val="22"/>
          <w:szCs w:val="22"/>
        </w:rPr>
      </w:pPr>
      <w:r>
        <w:rPr>
          <w:rFonts w:hint="eastAsia" w:ascii="新宋体" w:hAnsi="新宋体" w:eastAsia="新宋体" w:cs="新宋体"/>
          <w:b/>
          <w:color w:val="000000"/>
          <w:sz w:val="22"/>
          <w:szCs w:val="22"/>
          <w:u w:val="single"/>
        </w:rPr>
        <w:t>1.本项目所有设备及配套附件的质量保修期自验收合格并交付使用之日起开始计算,应提供不少于三年（36个月)的免费原厂质保；</w:t>
      </w:r>
      <w:r>
        <w:rPr>
          <w:rFonts w:hint="eastAsia" w:ascii="新宋体" w:hAnsi="新宋体" w:eastAsia="新宋体" w:cs="新宋体"/>
          <w:b/>
          <w:color w:val="000000"/>
          <w:sz w:val="22"/>
          <w:szCs w:val="22"/>
        </w:rPr>
        <w:t>如厂商本身承诺的产品质保期高于标书要求的则按照厂商承诺执行。质量保修期内免费上门服务（免费是指免零部件、材料费、易耗品、人工费、交通住宿费等与上门保修服务有关的一切费用），</w:t>
      </w:r>
      <w:r>
        <w:rPr>
          <w:rFonts w:hint="eastAsia" w:ascii="新宋体" w:hAnsi="新宋体" w:eastAsia="新宋体" w:cs="新宋体"/>
          <w:b/>
          <w:color w:val="000000"/>
          <w:kern w:val="0"/>
          <w:sz w:val="22"/>
          <w:szCs w:val="22"/>
        </w:rPr>
        <w:t>终身维修。</w:t>
      </w:r>
      <w:r>
        <w:rPr>
          <w:rFonts w:hint="eastAsia" w:ascii="新宋体" w:hAnsi="新宋体" w:eastAsia="新宋体" w:cs="新宋体"/>
          <w:b/>
          <w:color w:val="000000"/>
          <w:sz w:val="22"/>
          <w:szCs w:val="22"/>
        </w:rPr>
        <w:t>供应商在质保期内还应包括对成套产品的常规检查、调试等维护工作，保证设备的正常使用。具体的操作程序和内容须在投标文件中说明。</w:t>
      </w:r>
    </w:p>
    <w:p>
      <w:pPr>
        <w:spacing w:line="440" w:lineRule="exact"/>
        <w:ind w:firstLine="440" w:firstLineChars="200"/>
        <w:rPr>
          <w:rFonts w:ascii="新宋体" w:hAnsi="新宋体" w:eastAsia="新宋体" w:cs="新宋体"/>
          <w:b/>
          <w:color w:val="000000"/>
          <w:sz w:val="22"/>
          <w:szCs w:val="22"/>
        </w:rPr>
      </w:pPr>
      <w:r>
        <w:rPr>
          <w:rFonts w:hint="eastAsia" w:ascii="新宋体" w:hAnsi="新宋体" w:eastAsia="新宋体" w:cs="新宋体"/>
          <w:bCs/>
          <w:color w:val="000000"/>
          <w:kern w:val="0"/>
          <w:sz w:val="22"/>
          <w:szCs w:val="22"/>
        </w:rPr>
        <w:t>2.产品的设计及制造质量均应符合国家（或国际）最新颁布的有关标准/规范要求。技术标准按国家最新颁布的标准及采购人认可的国际标准。凡需国家强制性认证或认可的产品、需提供相应的证书和认可的标志。</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3.中标供应商所供货物必须是全新的，表面无划伤，无碰撞，其技术规格、标准必须符合采购人需求书要求和国家计量检测标准。质保期内，由中标人联同厂家共同负责相关售后服务工作。</w:t>
      </w:r>
    </w:p>
    <w:p>
      <w:pPr>
        <w:spacing w:line="440" w:lineRule="exact"/>
        <w:ind w:firstLine="440" w:firstLineChars="200"/>
        <w:jc w:val="left"/>
        <w:rPr>
          <w:rFonts w:ascii="新宋体" w:hAnsi="新宋体" w:eastAsia="新宋体" w:cs="新宋体"/>
          <w:b/>
          <w:color w:val="000000"/>
          <w:sz w:val="22"/>
          <w:szCs w:val="22"/>
        </w:rPr>
      </w:pPr>
      <w:r>
        <w:rPr>
          <w:rFonts w:hint="eastAsia" w:ascii="新宋体" w:hAnsi="新宋体" w:eastAsia="新宋体" w:cs="新宋体"/>
          <w:color w:val="000000"/>
          <w:sz w:val="22"/>
          <w:szCs w:val="22"/>
        </w:rPr>
        <w:t>4.中标供应商应保证其提供的设备中所有预装和为本项目安装的软件为最新的具有合法版权或使用权的正版软件且无质量瑕疵。</w:t>
      </w:r>
    </w:p>
    <w:p>
      <w:pPr>
        <w:pStyle w:val="7"/>
        <w:spacing w:before="0" w:after="0" w:line="440" w:lineRule="exact"/>
        <w:rPr>
          <w:rFonts w:ascii="新宋体" w:hAnsi="新宋体" w:eastAsia="新宋体" w:cs="新宋体"/>
          <w:color w:val="000000"/>
          <w:sz w:val="22"/>
          <w:szCs w:val="22"/>
        </w:rPr>
      </w:pPr>
      <w:bookmarkStart w:id="120" w:name="_Toc85296918"/>
      <w:bookmarkStart w:id="121" w:name="_Toc29502769"/>
    </w:p>
    <w:p>
      <w:pPr>
        <w:pStyle w:val="7"/>
        <w:spacing w:before="0" w:after="0" w:line="4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八、技术文件资料的交付</w:t>
      </w:r>
      <w:bookmarkEnd w:id="120"/>
      <w:bookmarkEnd w:id="121"/>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1.设备交货同时提供下列资料：</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1.1随机的易损件、备品备件及特殊专用工具清单。</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1.2设备生产厂家的产品检测证书、出厂检验报告、合格证书、产品说明书、中文技术资料、中英文操作手册和相关图纸等。</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1.3设备随机提供的装箱清单（每箱一单）。</w:t>
      </w:r>
    </w:p>
    <w:p>
      <w:pPr>
        <w:spacing w:line="440" w:lineRule="exact"/>
        <w:ind w:firstLine="440" w:firstLineChars="200"/>
        <w:rPr>
          <w:rFonts w:ascii="新宋体" w:hAnsi="新宋体" w:eastAsia="新宋体" w:cs="新宋体"/>
          <w:bCs/>
          <w:color w:val="000000"/>
          <w:kern w:val="0"/>
          <w:sz w:val="22"/>
          <w:szCs w:val="22"/>
        </w:rPr>
      </w:pPr>
      <w:r>
        <w:rPr>
          <w:rFonts w:hint="eastAsia" w:ascii="新宋体" w:hAnsi="新宋体" w:eastAsia="新宋体" w:cs="新宋体"/>
          <w:bCs/>
          <w:color w:val="000000"/>
          <w:kern w:val="0"/>
          <w:sz w:val="22"/>
          <w:szCs w:val="22"/>
        </w:rPr>
        <w:t>1.4进口产品相关证明：原产地、海关商检证明等。</w:t>
      </w:r>
    </w:p>
    <w:p>
      <w:pPr>
        <w:pStyle w:val="7"/>
        <w:spacing w:before="0" w:after="0" w:line="440" w:lineRule="exact"/>
        <w:rPr>
          <w:rFonts w:ascii="新宋体" w:hAnsi="新宋体" w:eastAsia="新宋体" w:cs="新宋体"/>
          <w:color w:val="000000"/>
          <w:sz w:val="22"/>
          <w:szCs w:val="22"/>
        </w:rPr>
      </w:pPr>
      <w:bookmarkStart w:id="122" w:name="_Toc29502770"/>
      <w:bookmarkStart w:id="123" w:name="_Toc85296919"/>
    </w:p>
    <w:p>
      <w:pPr>
        <w:pStyle w:val="7"/>
        <w:spacing w:before="0" w:after="0" w:line="4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九、技术服务和人员培训</w:t>
      </w:r>
      <w:bookmarkEnd w:id="122"/>
      <w:bookmarkEnd w:id="123"/>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1.中标供应商在附近地区应有完整的售后服务网点。服务网点需提供足够的备件以适应维修需求。供应商须在投标文件中说明服务网点地址，联系方式、人员配置（含负责人）、故障修复时间、方式及保障措施。</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2.中标供应商负责合同执行过程中和质量保修期内的技术服务和支持，提供每个法定工作日随时的下述服务，以解决采购人在使用中遇到的所有问题：电话热线支持、邮寄方式服务、用户间的交流。</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3.在质量保修期内设备一旦发生故障，而采购人无法自行排除的，在接到采购人通知后，中标供应商应迅速作出反应，温州及附近地区12小时内、其它地区24小时内派人到达现场处理问题，使系统设备恢复正常运行。如在24小时内现场不能解决问题而影响使用时，应立即免费提供备机或备品备件予以更换，保障设备的正常运作；维修使用的备品备件及易损件应为原厂配件，未经采购人同意不得使用非原厂配件，常用的、容易损坏的备品备件及易损件的价格清单须在投标文件中列出；更换配件的质量保修期从更换之日起相应顺延。</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4.维保点的检测人员不能排除故障时，中标供应商应按照采购人的书面通知，负责生产厂家派技术人员到现场解决故障问题，由此发生的费用由中标供应商承担。（如采购内容中有特殊要求，则按照特殊要求执行）</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5.在质保期结束时，须由专业工程师对系统及设备进行再一次测试，出现的任何故障须由中标供应商自费解决并需取得采购人的认可。故障消除后，中标供应商需提供报告给采购人，内容包括故障原因，解决措施，完成修理所费时间及恢复正常运行日期等，建立系统设备维修档案。</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6.人员培训：</w:t>
      </w:r>
    </w:p>
    <w:p>
      <w:pPr>
        <w:spacing w:line="440" w:lineRule="exact"/>
        <w:ind w:firstLine="440" w:firstLineChars="200"/>
        <w:jc w:val="left"/>
        <w:rPr>
          <w:rFonts w:ascii="新宋体" w:hAnsi="新宋体" w:eastAsia="新宋体" w:cs="新宋体"/>
          <w:color w:val="000000"/>
          <w:sz w:val="22"/>
          <w:szCs w:val="22"/>
        </w:rPr>
      </w:pPr>
      <w:r>
        <w:rPr>
          <w:rFonts w:hint="eastAsia" w:ascii="新宋体" w:hAnsi="新宋体" w:eastAsia="新宋体" w:cs="新宋体"/>
          <w:color w:val="000000"/>
          <w:sz w:val="22"/>
          <w:szCs w:val="22"/>
        </w:rPr>
        <w:t>中标供应商在设备安装、调试结束后，中标供应商应立即派具备同类产品3年以上技术人员对采购人人员进行现场培训（培训的内容包括主要设备的安装、使用、配置设置、性能优化以及硬件基本维护知识）。中标供应商在投标文件中应提出具体的培训计划（如：培训师资、教材、课程、人数、地点、日程、授课人的业务背景等）并报价，计入投标总价中，如果免费培训请在投标应文件中注明。</w:t>
      </w:r>
    </w:p>
    <w:p>
      <w:pPr>
        <w:pStyle w:val="7"/>
        <w:spacing w:before="0" w:after="0" w:line="440" w:lineRule="exact"/>
        <w:rPr>
          <w:rFonts w:ascii="新宋体" w:hAnsi="新宋体" w:eastAsia="新宋体" w:cs="新宋体"/>
          <w:color w:val="000000"/>
          <w:sz w:val="22"/>
          <w:szCs w:val="22"/>
        </w:rPr>
      </w:pPr>
      <w:bookmarkStart w:id="124" w:name="_Toc85296920"/>
    </w:p>
    <w:p>
      <w:pPr>
        <w:pStyle w:val="7"/>
        <w:spacing w:before="0" w:after="0" w:line="440" w:lineRule="exact"/>
        <w:rPr>
          <w:rFonts w:ascii="新宋体" w:hAnsi="新宋体" w:eastAsia="新宋体" w:cs="新宋体"/>
          <w:color w:val="000000"/>
          <w:sz w:val="22"/>
          <w:szCs w:val="22"/>
        </w:rPr>
      </w:pPr>
      <w:r>
        <w:rPr>
          <w:rFonts w:hint="eastAsia" w:ascii="新宋体" w:hAnsi="新宋体" w:eastAsia="新宋体" w:cs="新宋体"/>
          <w:color w:val="000000"/>
          <w:sz w:val="22"/>
          <w:szCs w:val="22"/>
        </w:rPr>
        <w:t>十、付款方式及其他要求见</w:t>
      </w:r>
      <w:r>
        <w:rPr>
          <w:rFonts w:hint="eastAsia" w:ascii="新宋体" w:hAnsi="新宋体" w:eastAsia="新宋体" w:cs="新宋体"/>
          <w:color w:val="000000"/>
          <w:sz w:val="22"/>
          <w:szCs w:val="22"/>
          <w:lang w:eastAsia="zh-CN"/>
        </w:rPr>
        <w:t>采购文件</w:t>
      </w:r>
      <w:r>
        <w:rPr>
          <w:rFonts w:hint="eastAsia" w:ascii="新宋体" w:hAnsi="新宋体" w:eastAsia="新宋体" w:cs="新宋体"/>
          <w:color w:val="000000"/>
          <w:sz w:val="22"/>
          <w:szCs w:val="22"/>
        </w:rPr>
        <w:t>“合同主要条款”。</w:t>
      </w:r>
      <w:bookmarkEnd w:id="124"/>
    </w:p>
    <w:p>
      <w:pPr>
        <w:pStyle w:val="460"/>
        <w:ind w:firstLine="0" w:firstLineChars="0"/>
        <w:rPr>
          <w:rFonts w:ascii="新宋体" w:hAnsi="新宋体" w:eastAsia="新宋体"/>
          <w:color w:val="000000"/>
          <w:sz w:val="22"/>
        </w:rPr>
      </w:pPr>
    </w:p>
    <w:p>
      <w:pPr>
        <w:overflowPunct w:val="0"/>
        <w:spacing w:line="440" w:lineRule="exact"/>
        <w:ind w:firstLine="440" w:firstLineChars="200"/>
        <w:rPr>
          <w:rFonts w:ascii="宋体" w:hAnsi="宋体" w:cs="宋体"/>
          <w:color w:val="FF0000"/>
          <w:sz w:val="22"/>
          <w:szCs w:val="22"/>
        </w:rPr>
      </w:pPr>
    </w:p>
    <w:p>
      <w:pPr>
        <w:autoSpaceDE w:val="0"/>
        <w:autoSpaceDN w:val="0"/>
        <w:adjustRightInd w:val="0"/>
        <w:spacing w:line="400" w:lineRule="exact"/>
        <w:ind w:left="400"/>
        <w:rPr>
          <w:rFonts w:ascii="新宋体" w:hAnsi="新宋体" w:eastAsia="新宋体" w:cs="新宋体"/>
          <w:sz w:val="22"/>
          <w:szCs w:val="22"/>
        </w:rPr>
      </w:pPr>
    </w:p>
    <w:p>
      <w:pPr>
        <w:widowControl/>
        <w:adjustRightInd w:val="0"/>
        <w:snapToGrid w:val="0"/>
        <w:spacing w:line="460" w:lineRule="exact"/>
        <w:ind w:firstLine="440" w:firstLineChars="200"/>
        <w:jc w:val="left"/>
        <w:rPr>
          <w:rFonts w:ascii="宋体" w:hAnsi="宋体" w:cs="宋体"/>
          <w:kern w:val="0"/>
          <w:sz w:val="22"/>
          <w:szCs w:val="22"/>
        </w:rPr>
      </w:pPr>
    </w:p>
    <w:p>
      <w:pPr>
        <w:pStyle w:val="18"/>
        <w:ind w:firstLine="0"/>
        <w:rPr>
          <w:rFonts w:ascii="宋体" w:hAnsi="宋体" w:cs="宋体"/>
        </w:rPr>
      </w:pPr>
    </w:p>
    <w:p>
      <w:pPr>
        <w:pStyle w:val="6"/>
        <w:rPr>
          <w:rFonts w:ascii="宋体" w:hAnsi="宋体" w:eastAsia="宋体" w:cs="宋体"/>
          <w:sz w:val="36"/>
          <w:szCs w:val="36"/>
        </w:rPr>
      </w:pPr>
      <w:r>
        <w:rPr>
          <w:rFonts w:hint="eastAsia" w:ascii="宋体" w:hAnsi="宋体" w:eastAsia="宋体" w:cs="宋体"/>
          <w:sz w:val="36"/>
          <w:szCs w:val="36"/>
        </w:rPr>
        <w:br w:type="page"/>
      </w:r>
      <w:bookmarkStart w:id="125" w:name="_Toc58406694"/>
      <w:r>
        <w:rPr>
          <w:rFonts w:hint="eastAsia" w:ascii="宋体" w:hAnsi="宋体" w:eastAsia="宋体" w:cs="宋体"/>
          <w:sz w:val="36"/>
          <w:szCs w:val="36"/>
        </w:rPr>
        <w:t>第六部分</w:t>
      </w:r>
      <w:bookmarkEnd w:id="102"/>
      <w:bookmarkEnd w:id="103"/>
      <w:bookmarkEnd w:id="104"/>
      <w:bookmarkEnd w:id="105"/>
      <w:bookmarkEnd w:id="106"/>
      <w:r>
        <w:rPr>
          <w:rFonts w:hint="eastAsia" w:ascii="宋体" w:hAnsi="宋体" w:eastAsia="宋体" w:cs="宋体"/>
          <w:sz w:val="36"/>
          <w:szCs w:val="36"/>
        </w:rPr>
        <w:t xml:space="preserve">   评标原则及方法</w:t>
      </w:r>
      <w:bookmarkEnd w:id="107"/>
      <w:bookmarkEnd w:id="125"/>
    </w:p>
    <w:bookmarkEnd w:id="14"/>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Pr>
        <w:pStyle w:val="3"/>
        <w:overflowPunct w:val="0"/>
        <w:spacing w:after="0" w:line="440" w:lineRule="exact"/>
        <w:rPr>
          <w:rFonts w:ascii="宋体" w:hAnsi="宋体" w:cs="宋体"/>
          <w:b/>
        </w:rPr>
      </w:pPr>
      <w:bookmarkStart w:id="126" w:name="_Toc221356898"/>
      <w:bookmarkStart w:id="127" w:name="_Toc221356961"/>
      <w:r>
        <w:rPr>
          <w:rFonts w:hint="eastAsia" w:ascii="宋体" w:hAnsi="宋体" w:cs="宋体"/>
          <w:b/>
        </w:rPr>
        <w:t>一. 总  则</w:t>
      </w:r>
      <w:bookmarkEnd w:id="126"/>
      <w:bookmarkEnd w:id="127"/>
    </w:p>
    <w:p>
      <w:pPr>
        <w:overflowPunct w:val="0"/>
        <w:spacing w:line="440" w:lineRule="exact"/>
        <w:ind w:firstLine="440" w:firstLineChars="200"/>
        <w:rPr>
          <w:rFonts w:ascii="宋体" w:hAnsi="宋体" w:cs="宋体"/>
          <w:sz w:val="22"/>
          <w:szCs w:val="22"/>
        </w:rPr>
      </w:pPr>
      <w:r>
        <w:rPr>
          <w:rFonts w:hint="eastAsia" w:ascii="宋体" w:hAnsi="宋体" w:cs="宋体"/>
          <w:sz w:val="22"/>
          <w:szCs w:val="22"/>
        </w:rPr>
        <w:t>评标工作遵循公平、公正、科学、 择优原则和诚实、信誉、效率的服务原则。本着科学、严谨的态度，认真进行评标。择优选用，推进技术进步，确保工程质量、交货期，节约投资，最大限度的保护当事人权益，严格按照采购文件的商务、技术要求，对投标文件进行综合评定，提出优选方案，编写评标报告。对落标单位，评委会不作任何落标解释。投标人不得以任何方式干扰招投标工作的进行，一经发现其投标文件将被拒绝。</w:t>
      </w:r>
    </w:p>
    <w:p>
      <w:pPr>
        <w:pStyle w:val="3"/>
        <w:overflowPunct w:val="0"/>
        <w:spacing w:after="0" w:line="440" w:lineRule="exact"/>
        <w:rPr>
          <w:rFonts w:ascii="宋体" w:hAnsi="宋体" w:cs="宋体"/>
          <w:b/>
        </w:rPr>
      </w:pPr>
      <w:bookmarkStart w:id="128" w:name="_Toc221356962"/>
      <w:bookmarkStart w:id="129" w:name="_Toc221356899"/>
      <w:r>
        <w:rPr>
          <w:rFonts w:hint="eastAsia" w:ascii="宋体" w:hAnsi="宋体" w:cs="宋体"/>
          <w:b/>
        </w:rPr>
        <w:t>二、评标组织</w:t>
      </w:r>
      <w:bookmarkEnd w:id="128"/>
      <w:bookmarkEnd w:id="129"/>
    </w:p>
    <w:p>
      <w:pPr>
        <w:overflowPunct w:val="0"/>
        <w:spacing w:line="440" w:lineRule="exact"/>
        <w:ind w:firstLine="440" w:firstLineChars="200"/>
        <w:rPr>
          <w:rFonts w:ascii="宋体" w:hAnsi="宋体" w:cs="宋体"/>
          <w:sz w:val="22"/>
          <w:szCs w:val="22"/>
        </w:rPr>
      </w:pPr>
      <w:r>
        <w:rPr>
          <w:rFonts w:hint="eastAsia" w:ascii="宋体" w:hAnsi="宋体" w:cs="宋体"/>
          <w:sz w:val="22"/>
          <w:szCs w:val="22"/>
        </w:rPr>
        <w:t>评标工作由采购人依法组建的评标委员会负责，评标全过程由有关部门指导监督。</w:t>
      </w:r>
    </w:p>
    <w:p>
      <w:pPr>
        <w:autoSpaceDE w:val="0"/>
        <w:autoSpaceDN w:val="0"/>
        <w:adjustRightInd w:val="0"/>
        <w:spacing w:line="440" w:lineRule="exact"/>
        <w:rPr>
          <w:rFonts w:ascii="宋体" w:hAnsi="宋体" w:cs="宋体"/>
          <w:b/>
          <w:bCs/>
          <w:kern w:val="0"/>
          <w:sz w:val="22"/>
          <w:szCs w:val="22"/>
          <w:lang w:val="zh-CN"/>
        </w:rPr>
      </w:pPr>
      <w:r>
        <w:rPr>
          <w:rFonts w:hint="eastAsia" w:ascii="宋体" w:hAnsi="宋体" w:cs="宋体"/>
          <w:b/>
          <w:bCs/>
          <w:kern w:val="0"/>
          <w:sz w:val="22"/>
          <w:szCs w:val="22"/>
          <w:lang w:val="zh-CN"/>
        </w:rPr>
        <w:t>三、评标程序</w:t>
      </w:r>
    </w:p>
    <w:p>
      <w:pPr>
        <w:overflowPunct w:val="0"/>
        <w:spacing w:line="440" w:lineRule="exact"/>
        <w:ind w:firstLine="440" w:firstLineChars="200"/>
        <w:rPr>
          <w:rFonts w:ascii="宋体" w:hAnsi="宋体" w:cs="宋体"/>
          <w:sz w:val="22"/>
          <w:szCs w:val="22"/>
        </w:rPr>
      </w:pPr>
      <w:r>
        <w:rPr>
          <w:rFonts w:hint="eastAsia" w:ascii="宋体" w:hAnsi="宋体" w:cs="宋体"/>
          <w:sz w:val="22"/>
          <w:szCs w:val="22"/>
        </w:rPr>
        <w:t>开标后，采购人或采购代理机构对各投标人的资格进行审查；然后评标委员会对合格投标人的进行符合性审查，按照采购文件中规定的评标方法和标准，对符合性审查合格的投标文件进行商务和技术评估，综合比较与评价。</w:t>
      </w:r>
    </w:p>
    <w:p>
      <w:pPr>
        <w:pStyle w:val="3"/>
        <w:tabs>
          <w:tab w:val="left" w:pos="1962"/>
        </w:tabs>
        <w:adjustRightInd w:val="0"/>
        <w:snapToGrid w:val="0"/>
        <w:spacing w:after="0" w:line="440" w:lineRule="exact"/>
        <w:rPr>
          <w:rFonts w:ascii="宋体" w:hAnsi="宋体" w:cs="宋体"/>
          <w:b/>
          <w:sz w:val="22"/>
          <w:szCs w:val="22"/>
        </w:rPr>
      </w:pPr>
      <w:r>
        <w:rPr>
          <w:rFonts w:hint="eastAsia" w:ascii="宋体" w:hAnsi="宋体" w:cs="宋体"/>
          <w:b/>
          <w:sz w:val="22"/>
          <w:szCs w:val="22"/>
        </w:rPr>
        <w:t>四、 评标办法</w:t>
      </w:r>
      <w:r>
        <w:rPr>
          <w:rFonts w:hint="eastAsia" w:ascii="宋体" w:hAnsi="宋体" w:cs="宋体"/>
          <w:b/>
          <w:sz w:val="22"/>
          <w:szCs w:val="22"/>
        </w:rPr>
        <w:tab/>
      </w:r>
    </w:p>
    <w:p>
      <w:pPr>
        <w:pStyle w:val="25"/>
        <w:adjustRightInd/>
        <w:spacing w:line="440" w:lineRule="exact"/>
        <w:ind w:firstLine="442" w:firstLineChars="200"/>
        <w:jc w:val="both"/>
        <w:rPr>
          <w:rFonts w:cs="宋体"/>
          <w:sz w:val="22"/>
          <w:szCs w:val="22"/>
        </w:rPr>
      </w:pPr>
      <w:r>
        <w:rPr>
          <w:rFonts w:hint="eastAsia" w:cs="宋体"/>
          <w:b/>
          <w:sz w:val="22"/>
        </w:rPr>
        <w:t>1.本项目评标办法采取百分制综合评分法</w:t>
      </w:r>
      <w:r>
        <w:rPr>
          <w:rFonts w:hint="eastAsia" w:cs="宋体"/>
          <w:sz w:val="22"/>
        </w:rPr>
        <w:t>，</w:t>
      </w:r>
      <w:r>
        <w:rPr>
          <w:rFonts w:hint="eastAsia" w:cs="宋体"/>
          <w:b/>
          <w:sz w:val="22"/>
        </w:rPr>
        <w:t>其中</w:t>
      </w:r>
      <w:r>
        <w:rPr>
          <w:rFonts w:hint="eastAsia" w:cs="宋体"/>
          <w:b/>
          <w:bCs/>
          <w:sz w:val="22"/>
        </w:rPr>
        <w:t>商务技术</w:t>
      </w:r>
      <w:r>
        <w:rPr>
          <w:rFonts w:hint="eastAsia" w:cs="宋体"/>
          <w:b/>
          <w:sz w:val="22"/>
        </w:rPr>
        <w:t>70分（技术权值为70%），投标报价30分（价格权值为30%）。</w:t>
      </w:r>
      <w:r>
        <w:rPr>
          <w:rFonts w:hint="eastAsia" w:cs="宋体"/>
          <w:sz w:val="22"/>
          <w:szCs w:val="22"/>
        </w:rPr>
        <w:t>即最大限度地满足采购文件实质性要求前提下，按照采购文件中规定的各项评分内容进行综合评审。以最终得分（即技术分与报价分之和）高低进行排序，得分前二名的投标人推荐为中标候选人与备选中标人（得分相同投标报价低的排序前位；得分且投标报价相同的并列，投标文件满足采购文件全部实质性要求，且按照评审因素的量化指标评审得分最高的投标人为中标候选人）。</w:t>
      </w:r>
    </w:p>
    <w:p>
      <w:pPr>
        <w:pStyle w:val="25"/>
        <w:adjustRightInd/>
        <w:spacing w:line="440" w:lineRule="exact"/>
        <w:ind w:firstLine="440" w:firstLineChars="200"/>
        <w:jc w:val="both"/>
        <w:rPr>
          <w:rFonts w:cs="宋体"/>
          <w:b/>
          <w:sz w:val="22"/>
          <w:szCs w:val="22"/>
          <w:u w:val="single"/>
        </w:rPr>
      </w:pPr>
      <w:r>
        <w:rPr>
          <w:rFonts w:hint="eastAsia" w:cs="宋体"/>
          <w:sz w:val="22"/>
        </w:rPr>
        <w:t>2.评标过程中遇到特殊情况，由评标委员会遵循公平、公正原则，采取记名投票方式按照少数服从多数原则决定。</w:t>
      </w:r>
    </w:p>
    <w:p>
      <w:pPr>
        <w:pStyle w:val="3"/>
        <w:spacing w:after="0" w:line="440" w:lineRule="exact"/>
        <w:rPr>
          <w:rFonts w:ascii="宋体" w:hAnsi="宋体" w:cs="宋体"/>
          <w:b/>
          <w:sz w:val="22"/>
          <w:szCs w:val="22"/>
        </w:rPr>
      </w:pPr>
      <w:r>
        <w:rPr>
          <w:rFonts w:hint="eastAsia" w:ascii="宋体" w:hAnsi="宋体" w:cs="宋体"/>
          <w:b/>
          <w:sz w:val="22"/>
          <w:szCs w:val="22"/>
        </w:rPr>
        <w:t>五、评分细则</w:t>
      </w:r>
    </w:p>
    <w:p>
      <w:pPr>
        <w:numPr>
          <w:ilvl w:val="0"/>
          <w:numId w:val="13"/>
        </w:numPr>
        <w:spacing w:line="440" w:lineRule="exact"/>
        <w:ind w:firstLine="0"/>
        <w:rPr>
          <w:rFonts w:ascii="宋体" w:hAnsi="宋体" w:cs="宋体"/>
          <w:b/>
          <w:sz w:val="22"/>
          <w:szCs w:val="22"/>
        </w:rPr>
      </w:pPr>
      <w:r>
        <w:rPr>
          <w:rFonts w:hint="eastAsia" w:ascii="宋体" w:hAnsi="宋体" w:cs="宋体"/>
          <w:b/>
          <w:sz w:val="22"/>
          <w:szCs w:val="22"/>
        </w:rPr>
        <w:t>商务技术文件的评定（70分）</w:t>
      </w:r>
    </w:p>
    <w:p>
      <w:pPr>
        <w:spacing w:line="440" w:lineRule="exact"/>
        <w:ind w:firstLine="330" w:firstLineChars="150"/>
        <w:rPr>
          <w:rFonts w:ascii="宋体" w:hAnsi="宋体" w:cs="宋体"/>
          <w:sz w:val="22"/>
          <w:szCs w:val="22"/>
        </w:rPr>
      </w:pPr>
      <w:r>
        <w:rPr>
          <w:rFonts w:hint="eastAsia" w:ascii="宋体" w:hAnsi="宋体" w:cs="宋体"/>
          <w:sz w:val="22"/>
          <w:szCs w:val="22"/>
        </w:rPr>
        <w:t>各评委成员按下列评分项目进行评定，每人一张评分计算表，由评标委员会成员各自评定打分并记实名。</w:t>
      </w:r>
      <w:r>
        <w:rPr>
          <w:rFonts w:hint="eastAsia" w:ascii="宋体" w:hAnsi="宋体" w:cs="宋体"/>
          <w:b/>
          <w:sz w:val="22"/>
          <w:szCs w:val="22"/>
        </w:rPr>
        <w:t>如任何一张表的一项评分内容分值超过规定的范围，则该张表无效。</w:t>
      </w:r>
      <w:r>
        <w:rPr>
          <w:rFonts w:hint="eastAsia" w:ascii="宋体" w:hAnsi="宋体" w:cs="宋体"/>
          <w:sz w:val="22"/>
          <w:szCs w:val="22"/>
        </w:rPr>
        <w:t>评标委员会成员对各投标人的各项评分内容评分合计值的算术平均值为该投标人商务技术文件的最终得分（四舍五入，保留小数点后二位）。</w:t>
      </w:r>
    </w:p>
    <w:tbl>
      <w:tblPr>
        <w:tblStyle w:val="56"/>
        <w:tblW w:w="49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6"/>
        <w:gridCol w:w="1112"/>
        <w:gridCol w:w="786"/>
        <w:gridCol w:w="71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blHeader/>
          <w:jc w:val="center"/>
        </w:trPr>
        <w:tc>
          <w:tcPr>
            <w:tcW w:w="380" w:type="pct"/>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序号</w:t>
            </w:r>
          </w:p>
        </w:tc>
        <w:tc>
          <w:tcPr>
            <w:tcW w:w="566" w:type="pct"/>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评分内容</w:t>
            </w:r>
          </w:p>
        </w:tc>
        <w:tc>
          <w:tcPr>
            <w:tcW w:w="400" w:type="pct"/>
            <w:shd w:val="clear" w:color="auto" w:fill="auto"/>
            <w:vAlign w:val="center"/>
          </w:tcPr>
          <w:p>
            <w:pPr>
              <w:widowControl/>
              <w:jc w:val="center"/>
              <w:rPr>
                <w:rFonts w:ascii="宋体" w:hAnsi="宋体" w:cs="宋体"/>
                <w:b/>
                <w:bCs/>
                <w:sz w:val="22"/>
                <w:szCs w:val="22"/>
              </w:rPr>
            </w:pPr>
            <w:r>
              <w:rPr>
                <w:rFonts w:hint="eastAsia" w:ascii="宋体" w:hAnsi="宋体" w:cs="宋体"/>
                <w:b/>
                <w:bCs/>
                <w:sz w:val="22"/>
                <w:szCs w:val="22"/>
              </w:rPr>
              <w:t>分值</w:t>
            </w:r>
          </w:p>
        </w:tc>
        <w:tc>
          <w:tcPr>
            <w:tcW w:w="3652" w:type="pct"/>
            <w:shd w:val="clear" w:color="000000" w:fill="FFFFFF"/>
            <w:vAlign w:val="center"/>
          </w:tcPr>
          <w:p>
            <w:pPr>
              <w:widowControl/>
              <w:jc w:val="center"/>
              <w:rPr>
                <w:rFonts w:ascii="宋体" w:hAnsi="宋体" w:cs="宋体"/>
                <w:b/>
                <w:bCs/>
                <w:sz w:val="22"/>
                <w:szCs w:val="22"/>
              </w:rPr>
            </w:pPr>
            <w:r>
              <w:rPr>
                <w:rFonts w:hint="eastAsia" w:ascii="宋体" w:hAnsi="宋体" w:cs="宋体"/>
                <w:b/>
                <w:bCs/>
                <w:sz w:val="22"/>
                <w:szCs w:val="22"/>
              </w:rPr>
              <w:t>评分标准说明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380" w:type="pct"/>
            <w:vMerge w:val="restart"/>
            <w:shd w:val="clear" w:color="auto" w:fill="auto"/>
            <w:vAlign w:val="center"/>
          </w:tcPr>
          <w:p>
            <w:pPr>
              <w:widowControl/>
              <w:jc w:val="center"/>
              <w:rPr>
                <w:rFonts w:ascii="宋体" w:hAnsi="宋体" w:cs="宋体"/>
                <w:sz w:val="22"/>
                <w:szCs w:val="22"/>
              </w:rPr>
            </w:pPr>
            <w:r>
              <w:rPr>
                <w:rFonts w:hint="eastAsia" w:ascii="宋体" w:hAnsi="宋体" w:cs="宋体"/>
                <w:sz w:val="22"/>
                <w:szCs w:val="22"/>
              </w:rPr>
              <w:t>1</w:t>
            </w:r>
          </w:p>
        </w:tc>
        <w:tc>
          <w:tcPr>
            <w:tcW w:w="566" w:type="pct"/>
            <w:vMerge w:val="restart"/>
            <w:shd w:val="clear" w:color="auto" w:fill="auto"/>
            <w:vAlign w:val="center"/>
          </w:tcPr>
          <w:p>
            <w:pPr>
              <w:widowControl/>
              <w:jc w:val="center"/>
              <w:rPr>
                <w:rFonts w:ascii="宋体" w:hAnsi="宋体" w:cs="宋体"/>
                <w:sz w:val="22"/>
                <w:szCs w:val="22"/>
              </w:rPr>
            </w:pPr>
            <w:r>
              <w:rPr>
                <w:rFonts w:hint="eastAsia" w:ascii="宋体" w:hAnsi="宋体" w:cs="宋体"/>
                <w:sz w:val="22"/>
                <w:szCs w:val="22"/>
              </w:rPr>
              <w:t>投标人综合实力</w:t>
            </w:r>
          </w:p>
        </w:tc>
        <w:tc>
          <w:tcPr>
            <w:tcW w:w="400" w:type="pct"/>
            <w:shd w:val="clear" w:color="000000" w:fill="FFFFFF"/>
            <w:vAlign w:val="center"/>
          </w:tcPr>
          <w:p>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6</w:t>
            </w:r>
          </w:p>
        </w:tc>
        <w:tc>
          <w:tcPr>
            <w:tcW w:w="3652" w:type="pct"/>
            <w:shd w:val="clear" w:color="000000" w:fill="FFFFFF"/>
            <w:vAlign w:val="center"/>
          </w:tcPr>
          <w:p>
            <w:pPr>
              <w:adjustRightInd w:val="0"/>
              <w:rPr>
                <w:rFonts w:hint="eastAsia" w:ascii="宋体" w:hAnsi="宋体" w:eastAsia="宋体" w:cs="宋体"/>
                <w:sz w:val="22"/>
                <w:szCs w:val="22"/>
                <w:lang w:eastAsia="zh-CN"/>
              </w:rPr>
            </w:pPr>
            <w:r>
              <w:rPr>
                <w:rFonts w:hint="eastAsia" w:ascii="宋体" w:hAnsi="宋体" w:cs="宋体"/>
                <w:sz w:val="22"/>
                <w:szCs w:val="22"/>
              </w:rPr>
              <w:t>根据投标人商业信誉、技术专业实力、综合能力、履约能力、获得的相关荣誉等进行综合评分：A档：</w:t>
            </w:r>
            <w:r>
              <w:rPr>
                <w:rFonts w:hint="eastAsia" w:ascii="宋体" w:hAnsi="宋体" w:cs="宋体"/>
                <w:sz w:val="22"/>
                <w:szCs w:val="22"/>
                <w:lang w:val="en-US" w:eastAsia="zh-CN"/>
              </w:rPr>
              <w:t>6</w:t>
            </w: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分，B：档</w:t>
            </w:r>
            <w:r>
              <w:rPr>
                <w:rFonts w:hint="eastAsia" w:ascii="宋体" w:hAnsi="宋体" w:cs="宋体"/>
                <w:sz w:val="22"/>
                <w:szCs w:val="22"/>
                <w:lang w:val="en-US" w:eastAsia="zh-CN"/>
              </w:rPr>
              <w:t>4</w:t>
            </w: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分，C档：</w:t>
            </w:r>
            <w:r>
              <w:rPr>
                <w:rFonts w:hint="eastAsia" w:ascii="宋体" w:hAnsi="宋体" w:cs="宋体"/>
                <w:sz w:val="22"/>
                <w:szCs w:val="22"/>
                <w:lang w:val="en-US" w:eastAsia="zh-CN"/>
              </w:rPr>
              <w:t>2</w:t>
            </w:r>
            <w:r>
              <w:rPr>
                <w:rFonts w:hint="eastAsia" w:ascii="宋体" w:hAnsi="宋体" w:cs="宋体"/>
                <w:sz w:val="22"/>
                <w:szCs w:val="22"/>
              </w:rPr>
              <w:t>-0分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vMerge w:val="continue"/>
            <w:shd w:val="clear" w:color="auto" w:fill="auto"/>
            <w:vAlign w:val="center"/>
          </w:tcPr>
          <w:p>
            <w:pPr>
              <w:widowControl/>
              <w:jc w:val="center"/>
              <w:rPr>
                <w:rFonts w:ascii="宋体" w:hAnsi="宋体" w:cs="宋体"/>
                <w:sz w:val="22"/>
                <w:szCs w:val="22"/>
              </w:rPr>
            </w:pPr>
          </w:p>
        </w:tc>
        <w:tc>
          <w:tcPr>
            <w:tcW w:w="566" w:type="pct"/>
            <w:vMerge w:val="continue"/>
            <w:shd w:val="clear" w:color="auto" w:fill="auto"/>
            <w:vAlign w:val="center"/>
          </w:tcPr>
          <w:p>
            <w:pPr>
              <w:widowControl/>
              <w:jc w:val="center"/>
              <w:rPr>
                <w:rFonts w:ascii="宋体" w:hAnsi="宋体" w:cs="宋体"/>
                <w:sz w:val="22"/>
                <w:szCs w:val="22"/>
              </w:rPr>
            </w:pPr>
          </w:p>
        </w:tc>
        <w:tc>
          <w:tcPr>
            <w:tcW w:w="400" w:type="pct"/>
            <w:shd w:val="clear" w:color="000000" w:fill="FFFFFF"/>
            <w:vAlign w:val="center"/>
          </w:tcPr>
          <w:p>
            <w:pPr>
              <w:widowControl/>
              <w:jc w:val="center"/>
              <w:rPr>
                <w:rFonts w:hint="eastAsia" w:ascii="宋体" w:hAnsi="宋体" w:eastAsia="宋体" w:cs="宋体"/>
                <w:sz w:val="22"/>
                <w:szCs w:val="22"/>
                <w:lang w:eastAsia="zh-CN"/>
              </w:rPr>
            </w:pPr>
            <w:r>
              <w:rPr>
                <w:rFonts w:hint="eastAsia" w:ascii="宋体" w:hAnsi="宋体" w:cs="宋体"/>
                <w:sz w:val="22"/>
                <w:szCs w:val="22"/>
                <w:lang w:val="en-US" w:eastAsia="zh-CN"/>
              </w:rPr>
              <w:t>4</w:t>
            </w:r>
          </w:p>
        </w:tc>
        <w:tc>
          <w:tcPr>
            <w:tcW w:w="3652" w:type="pct"/>
            <w:shd w:val="clear" w:color="000000" w:fill="FFFFFF"/>
            <w:vAlign w:val="center"/>
          </w:tcPr>
          <w:p>
            <w:pPr>
              <w:adjustRightInd w:val="0"/>
              <w:rPr>
                <w:rFonts w:ascii="宋体" w:hAnsi="宋体" w:cs="宋体"/>
                <w:sz w:val="22"/>
                <w:szCs w:val="22"/>
              </w:rPr>
            </w:pPr>
            <w:r>
              <w:rPr>
                <w:rFonts w:hint="eastAsia" w:ascii="宋体" w:hAnsi="宋体" w:cs="宋体"/>
                <w:sz w:val="22"/>
                <w:szCs w:val="22"/>
              </w:rPr>
              <w:t>投标人具有有效期内的</w:t>
            </w:r>
            <w:r>
              <w:rPr>
                <w:rFonts w:hint="eastAsia" w:ascii="宋体" w:hAnsi="宋体" w:eastAsia="宋体" w:cs="宋体"/>
                <w:color w:val="000000"/>
                <w:kern w:val="0"/>
                <w:sz w:val="22"/>
              </w:rPr>
              <w:t>ISO9001《质量管理体系认证》、ISO14001《环境管理体系认证》、ISO45001《职业健康安全管理体系认证》、ISO27001《信息安全管理体系认证》</w:t>
            </w:r>
            <w:r>
              <w:rPr>
                <w:rFonts w:hint="eastAsia" w:ascii="宋体" w:hAnsi="宋体" w:eastAsia="宋体" w:cs="宋体"/>
                <w:color w:val="000000"/>
                <w:kern w:val="0"/>
                <w:sz w:val="22"/>
                <w:lang w:eastAsia="zh-CN"/>
              </w:rPr>
              <w:t>证书</w:t>
            </w:r>
            <w:r>
              <w:rPr>
                <w:rFonts w:hint="eastAsia" w:ascii="宋体" w:hAnsi="宋体" w:cs="宋体"/>
                <w:sz w:val="22"/>
                <w:szCs w:val="22"/>
              </w:rPr>
              <w:t>，每证书得1分。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shd w:val="clear" w:color="auto" w:fill="auto"/>
            <w:vAlign w:val="center"/>
          </w:tcPr>
          <w:p>
            <w:pPr>
              <w:jc w:val="center"/>
              <w:rPr>
                <w:rFonts w:ascii="宋体" w:hAnsi="宋体" w:cs="宋体"/>
                <w:sz w:val="22"/>
                <w:szCs w:val="22"/>
              </w:rPr>
            </w:pPr>
            <w:r>
              <w:rPr>
                <w:rFonts w:hint="eastAsia" w:ascii="宋体" w:hAnsi="宋体" w:cs="宋体"/>
                <w:sz w:val="22"/>
                <w:szCs w:val="22"/>
              </w:rPr>
              <w:t>2</w:t>
            </w:r>
          </w:p>
        </w:tc>
        <w:tc>
          <w:tcPr>
            <w:tcW w:w="566" w:type="pct"/>
            <w:shd w:val="clear" w:color="000000" w:fill="FFFFFF"/>
            <w:vAlign w:val="center"/>
          </w:tcPr>
          <w:p>
            <w:pPr>
              <w:widowControl/>
              <w:jc w:val="center"/>
              <w:rPr>
                <w:rFonts w:ascii="宋体" w:hAnsi="宋体" w:eastAsia="宋体" w:cs="宋体"/>
                <w:kern w:val="2"/>
                <w:sz w:val="22"/>
                <w:szCs w:val="22"/>
                <w:lang w:val="en-US" w:eastAsia="zh-CN" w:bidi="ar-SA"/>
              </w:rPr>
            </w:pPr>
            <w:r>
              <w:rPr>
                <w:rFonts w:hint="eastAsia" w:ascii="宋体" w:hAnsi="宋体" w:cs="宋体"/>
                <w:sz w:val="22"/>
                <w:szCs w:val="22"/>
              </w:rPr>
              <w:t>设备参数符合情况</w:t>
            </w:r>
          </w:p>
        </w:tc>
        <w:tc>
          <w:tcPr>
            <w:tcW w:w="400" w:type="pct"/>
            <w:shd w:val="clear" w:color="000000" w:fill="FFFFFF"/>
            <w:vAlign w:val="center"/>
          </w:tcPr>
          <w:p>
            <w:pPr>
              <w:widowControl/>
              <w:jc w:val="center"/>
              <w:rPr>
                <w:rFonts w:hint="default" w:ascii="宋体" w:hAnsi="宋体" w:eastAsia="宋体" w:cs="宋体"/>
                <w:kern w:val="2"/>
                <w:sz w:val="22"/>
                <w:szCs w:val="22"/>
                <w:lang w:val="en-US" w:eastAsia="zh-CN" w:bidi="ar-SA"/>
              </w:rPr>
            </w:pPr>
            <w:r>
              <w:rPr>
                <w:rFonts w:hint="eastAsia" w:ascii="宋体" w:hAnsi="宋体" w:cs="宋体"/>
                <w:sz w:val="22"/>
                <w:szCs w:val="22"/>
                <w:lang w:val="en-US" w:eastAsia="zh-CN"/>
              </w:rPr>
              <w:t>25</w:t>
            </w:r>
          </w:p>
        </w:tc>
        <w:tc>
          <w:tcPr>
            <w:tcW w:w="3652" w:type="pct"/>
            <w:shd w:val="clear" w:color="000000" w:fill="FFFFFF"/>
            <w:vAlign w:val="center"/>
          </w:tcPr>
          <w:p>
            <w:pPr>
              <w:widowControl/>
              <w:jc w:val="left"/>
              <w:rPr>
                <w:rFonts w:hint="eastAsia" w:ascii="宋体" w:eastAsia="宋体"/>
                <w:b w:val="0"/>
                <w:bCs w:val="0"/>
                <w:color w:val="auto"/>
                <w:sz w:val="22"/>
              </w:rPr>
            </w:pPr>
            <w:r>
              <w:rPr>
                <w:rFonts w:hint="eastAsia" w:ascii="宋体" w:eastAsia="宋体"/>
                <w:b w:val="0"/>
                <w:bCs w:val="0"/>
                <w:color w:val="auto"/>
                <w:sz w:val="22"/>
              </w:rPr>
              <w:t>根据投标人提供的设备配置选型与</w:t>
            </w:r>
            <w:r>
              <w:rPr>
                <w:rFonts w:hint="eastAsia" w:ascii="宋体"/>
                <w:b w:val="0"/>
                <w:bCs w:val="0"/>
                <w:color w:val="auto"/>
                <w:sz w:val="22"/>
                <w:lang w:eastAsia="zh-CN"/>
              </w:rPr>
              <w:t>采购文件</w:t>
            </w:r>
            <w:r>
              <w:rPr>
                <w:rFonts w:hint="eastAsia" w:ascii="宋体" w:eastAsia="宋体"/>
                <w:b w:val="0"/>
                <w:bCs w:val="0"/>
                <w:color w:val="auto"/>
                <w:sz w:val="22"/>
              </w:rPr>
              <w:t>“采购内容及要求” 的设备技术参数要求符合度打分。全部满足的得</w:t>
            </w:r>
            <w:r>
              <w:rPr>
                <w:rFonts w:hint="eastAsia" w:ascii="宋体" w:eastAsia="宋体"/>
                <w:b w:val="0"/>
                <w:bCs w:val="0"/>
                <w:color w:val="auto"/>
                <w:sz w:val="22"/>
                <w:lang w:val="en-US" w:eastAsia="zh-CN"/>
              </w:rPr>
              <w:t>25</w:t>
            </w:r>
            <w:r>
              <w:rPr>
                <w:rFonts w:hint="eastAsia" w:ascii="宋体" w:eastAsia="宋体"/>
                <w:b w:val="0"/>
                <w:bCs w:val="0"/>
                <w:color w:val="auto"/>
                <w:sz w:val="22"/>
              </w:rPr>
              <w:t>分，带“</w:t>
            </w:r>
            <w:r>
              <w:rPr>
                <w:rFonts w:hint="eastAsia" w:ascii="宋体" w:eastAsia="宋体"/>
                <w:b w:val="0"/>
                <w:bCs w:val="0"/>
                <w:snapToGrid w:val="0"/>
                <w:color w:val="auto"/>
                <w:sz w:val="22"/>
              </w:rPr>
              <w:t>★”号的</w:t>
            </w:r>
            <w:r>
              <w:rPr>
                <w:rFonts w:hint="eastAsia" w:ascii="宋体" w:eastAsia="宋体"/>
                <w:b w:val="0"/>
                <w:bCs w:val="0"/>
                <w:color w:val="auto"/>
                <w:sz w:val="22"/>
              </w:rPr>
              <w:t>技术条款</w:t>
            </w:r>
            <w:r>
              <w:rPr>
                <w:rFonts w:hint="eastAsia" w:ascii="宋体" w:eastAsia="宋体"/>
                <w:b w:val="0"/>
                <w:bCs w:val="0"/>
                <w:snapToGrid w:val="0"/>
                <w:color w:val="auto"/>
                <w:sz w:val="22"/>
              </w:rPr>
              <w:t>，每</w:t>
            </w:r>
            <w:r>
              <w:rPr>
                <w:rFonts w:hint="eastAsia" w:ascii="宋体" w:eastAsia="宋体"/>
                <w:b w:val="0"/>
                <w:bCs w:val="0"/>
                <w:color w:val="auto"/>
                <w:sz w:val="22"/>
              </w:rPr>
              <w:t>负偏离一项扣 2 分；其它不带</w:t>
            </w:r>
            <w:r>
              <w:rPr>
                <w:rFonts w:hint="eastAsia" w:ascii="宋体" w:eastAsia="宋体"/>
                <w:b w:val="0"/>
                <w:bCs w:val="0"/>
                <w:snapToGrid w:val="0"/>
                <w:color w:val="auto"/>
                <w:sz w:val="22"/>
              </w:rPr>
              <w:t>★</w:t>
            </w:r>
            <w:r>
              <w:rPr>
                <w:rFonts w:hint="eastAsia" w:ascii="宋体" w:eastAsia="宋体"/>
                <w:b w:val="0"/>
                <w:bCs w:val="0"/>
                <w:color w:val="auto"/>
                <w:sz w:val="22"/>
              </w:rPr>
              <w:t>技术条款，每负偏离一项扣 1 分，最低为 0 分。</w:t>
            </w:r>
          </w:p>
          <w:p>
            <w:pPr>
              <w:pStyle w:val="733"/>
              <w:rPr>
                <w:rFonts w:ascii="宋体" w:hAnsi="宋体" w:eastAsia="宋体" w:cs="宋体"/>
                <w:kern w:val="28"/>
                <w:sz w:val="22"/>
                <w:szCs w:val="22"/>
                <w:lang w:val="en-US" w:eastAsia="zh-CN" w:bidi="ar-SA"/>
              </w:rPr>
            </w:pPr>
            <w:r>
              <w:rPr>
                <w:rFonts w:hint="eastAsia" w:ascii="宋体" w:hAnsi="宋体" w:eastAsia="宋体"/>
                <w:b w:val="0"/>
                <w:bCs w:val="0"/>
                <w:color w:val="auto"/>
                <w:sz w:val="22"/>
                <w:szCs w:val="22"/>
              </w:rPr>
              <w:t>注：技术条款偏离项目需在“技术偏离表”中进行描述。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shd w:val="clear" w:color="auto" w:fill="auto"/>
            <w:vAlign w:val="center"/>
          </w:tcPr>
          <w:p>
            <w:pPr>
              <w:jc w:val="center"/>
              <w:rPr>
                <w:rFonts w:ascii="宋体" w:hAnsi="宋体" w:cs="宋体"/>
                <w:sz w:val="22"/>
                <w:szCs w:val="22"/>
              </w:rPr>
            </w:pPr>
            <w:r>
              <w:rPr>
                <w:rFonts w:hint="eastAsia" w:ascii="宋体" w:hAnsi="宋体" w:cs="宋体"/>
                <w:sz w:val="22"/>
                <w:szCs w:val="22"/>
              </w:rPr>
              <w:t>3</w:t>
            </w:r>
          </w:p>
        </w:tc>
        <w:tc>
          <w:tcPr>
            <w:tcW w:w="566" w:type="pct"/>
            <w:shd w:val="clear" w:color="000000" w:fill="FFFFFF"/>
            <w:vAlign w:val="center"/>
          </w:tcPr>
          <w:p>
            <w:pPr>
              <w:widowControl/>
              <w:jc w:val="center"/>
              <w:rPr>
                <w:rFonts w:ascii="宋体" w:hAnsi="宋体" w:eastAsia="宋体" w:cs="宋体"/>
                <w:bCs/>
                <w:kern w:val="2"/>
                <w:sz w:val="22"/>
                <w:szCs w:val="22"/>
                <w:lang w:val="en-US" w:eastAsia="zh-CN" w:bidi="ar-SA"/>
              </w:rPr>
            </w:pPr>
            <w:r>
              <w:rPr>
                <w:rFonts w:hint="eastAsia" w:ascii="宋体" w:hAnsi="宋体" w:cs="宋体"/>
                <w:bCs/>
                <w:sz w:val="22"/>
                <w:szCs w:val="22"/>
              </w:rPr>
              <w:t>同类项目业绩</w:t>
            </w:r>
          </w:p>
        </w:tc>
        <w:tc>
          <w:tcPr>
            <w:tcW w:w="400" w:type="pct"/>
            <w:shd w:val="clear" w:color="000000" w:fill="FFFFFF"/>
            <w:vAlign w:val="center"/>
          </w:tcPr>
          <w:p>
            <w:pPr>
              <w:widowControl/>
              <w:jc w:val="center"/>
              <w:rPr>
                <w:rFonts w:hint="default" w:ascii="宋体" w:hAnsi="宋体" w:eastAsia="宋体" w:cs="宋体"/>
                <w:bCs/>
                <w:kern w:val="2"/>
                <w:sz w:val="22"/>
                <w:szCs w:val="22"/>
                <w:lang w:val="en-US" w:eastAsia="zh-CN" w:bidi="ar-SA"/>
              </w:rPr>
            </w:pPr>
            <w:r>
              <w:rPr>
                <w:rFonts w:hint="eastAsia" w:ascii="宋体" w:hAnsi="宋体" w:cs="宋体"/>
                <w:bCs/>
                <w:sz w:val="22"/>
                <w:szCs w:val="22"/>
              </w:rPr>
              <w:t>3</w:t>
            </w:r>
          </w:p>
        </w:tc>
        <w:tc>
          <w:tcPr>
            <w:tcW w:w="3652" w:type="pct"/>
            <w:shd w:val="clear" w:color="000000" w:fill="FFFFFF"/>
            <w:vAlign w:val="center"/>
          </w:tcPr>
          <w:p>
            <w:pPr>
              <w:adjustRightInd w:val="0"/>
              <w:rPr>
                <w:rFonts w:ascii="宋体" w:hAnsi="宋体" w:cs="宋体"/>
                <w:sz w:val="22"/>
                <w:szCs w:val="22"/>
              </w:rPr>
            </w:pPr>
            <w:r>
              <w:rPr>
                <w:rFonts w:hint="eastAsia" w:ascii="宋体" w:hAnsi="宋体" w:cs="宋体"/>
                <w:sz w:val="22"/>
                <w:szCs w:val="22"/>
              </w:rPr>
              <w:t xml:space="preserve">投标人提供2019年1月1日以来同类项目业绩，每提供一个合同得1分，最高得3分。 </w:t>
            </w:r>
          </w:p>
          <w:p>
            <w:pPr>
              <w:adjustRightInd w:val="0"/>
              <w:rPr>
                <w:rFonts w:ascii="宋体" w:hAnsi="宋体" w:eastAsia="宋体" w:cs="宋体"/>
                <w:kern w:val="2"/>
                <w:sz w:val="22"/>
                <w:szCs w:val="22"/>
                <w:lang w:val="en-US" w:eastAsia="zh-CN" w:bidi="ar-SA"/>
              </w:rPr>
            </w:pPr>
            <w:r>
              <w:rPr>
                <w:rFonts w:hint="eastAsia" w:ascii="宋体" w:hAnsi="宋体" w:cs="宋体"/>
                <w:sz w:val="22"/>
                <w:szCs w:val="22"/>
              </w:rPr>
              <w:t>注：需提供业绩合同复印件并加盖投标人公章，时间以合同签订时间为准未提供证明材料不得分。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380" w:type="pct"/>
            <w:shd w:val="clear" w:color="auto" w:fill="auto"/>
            <w:vAlign w:val="center"/>
          </w:tcPr>
          <w:p>
            <w:pPr>
              <w:widowControl/>
              <w:jc w:val="center"/>
              <w:rPr>
                <w:rFonts w:ascii="宋体" w:hAnsi="宋体" w:cs="宋体"/>
                <w:sz w:val="22"/>
                <w:szCs w:val="22"/>
              </w:rPr>
            </w:pPr>
            <w:r>
              <w:rPr>
                <w:rFonts w:hint="eastAsia" w:ascii="宋体" w:hAnsi="宋体" w:cs="宋体"/>
                <w:sz w:val="22"/>
                <w:szCs w:val="22"/>
              </w:rPr>
              <w:t>4</w:t>
            </w:r>
          </w:p>
        </w:tc>
        <w:tc>
          <w:tcPr>
            <w:tcW w:w="566" w:type="pct"/>
            <w:shd w:val="clear" w:color="000000" w:fill="FFFFFF"/>
            <w:vAlign w:val="center"/>
          </w:tcPr>
          <w:p>
            <w:pPr>
              <w:widowControl/>
              <w:jc w:val="center"/>
              <w:rPr>
                <w:rFonts w:ascii="宋体" w:hAnsi="宋体" w:eastAsia="宋体" w:cs="宋体"/>
                <w:bCs/>
                <w:kern w:val="2"/>
                <w:sz w:val="22"/>
                <w:szCs w:val="22"/>
                <w:lang w:val="en-US" w:eastAsia="zh-CN" w:bidi="ar-SA"/>
              </w:rPr>
            </w:pPr>
            <w:r>
              <w:rPr>
                <w:rFonts w:hint="eastAsia" w:ascii="宋体" w:hAnsi="宋体" w:cs="宋体"/>
                <w:sz w:val="22"/>
                <w:szCs w:val="22"/>
              </w:rPr>
              <w:t>技术方案</w:t>
            </w:r>
          </w:p>
        </w:tc>
        <w:tc>
          <w:tcPr>
            <w:tcW w:w="400" w:type="pct"/>
            <w:shd w:val="clear" w:color="000000" w:fill="FFFFFF"/>
            <w:vAlign w:val="center"/>
          </w:tcPr>
          <w:p>
            <w:pPr>
              <w:widowControl/>
              <w:jc w:val="center"/>
              <w:rPr>
                <w:rFonts w:ascii="宋体" w:hAnsi="宋体" w:eastAsia="宋体" w:cs="宋体"/>
                <w:bCs/>
                <w:kern w:val="2"/>
                <w:sz w:val="22"/>
                <w:szCs w:val="22"/>
                <w:lang w:val="en-US" w:eastAsia="zh-CN" w:bidi="ar-SA"/>
              </w:rPr>
            </w:pPr>
            <w:r>
              <w:rPr>
                <w:rFonts w:hint="eastAsia" w:ascii="宋体" w:hAnsi="宋体" w:cs="宋体"/>
                <w:bCs/>
                <w:sz w:val="22"/>
                <w:szCs w:val="22"/>
              </w:rPr>
              <w:t>10</w:t>
            </w:r>
          </w:p>
        </w:tc>
        <w:tc>
          <w:tcPr>
            <w:tcW w:w="3652" w:type="pct"/>
            <w:shd w:val="clear" w:color="000000" w:fill="FFFFFF"/>
            <w:vAlign w:val="center"/>
          </w:tcPr>
          <w:p>
            <w:pPr>
              <w:adjustRightInd w:val="0"/>
              <w:rPr>
                <w:rFonts w:ascii="宋体" w:hAnsi="宋体" w:eastAsia="宋体" w:cs="宋体"/>
                <w:kern w:val="2"/>
                <w:sz w:val="22"/>
                <w:szCs w:val="22"/>
                <w:lang w:val="en-US" w:eastAsia="zh-CN" w:bidi="ar-SA"/>
              </w:rPr>
            </w:pPr>
            <w:r>
              <w:rPr>
                <w:rFonts w:hint="eastAsia" w:ascii="宋体" w:eastAsia="宋体"/>
                <w:b w:val="0"/>
                <w:sz w:val="22"/>
              </w:rPr>
              <w:t>投标技术方案体现供应商对用户现状和需求的了解程度，是否调研到位。技术方案内容是否充分考虑用户实际使用需求，</w:t>
            </w:r>
            <w:r>
              <w:rPr>
                <w:rFonts w:hint="eastAsia" w:ascii="宋体" w:eastAsia="宋体"/>
                <w:b w:val="0"/>
                <w:sz w:val="22"/>
                <w:lang w:eastAsia="zh-CN"/>
              </w:rPr>
              <w:t>以及方案的</w:t>
            </w:r>
            <w:r>
              <w:rPr>
                <w:rFonts w:hint="eastAsia" w:ascii="宋体" w:eastAsia="宋体"/>
                <w:b w:val="0"/>
                <w:bCs w:val="0"/>
                <w:color w:val="auto"/>
                <w:sz w:val="22"/>
              </w:rPr>
              <w:t>合理性、可靠性、科学性等方面</w:t>
            </w:r>
            <w:r>
              <w:rPr>
                <w:rFonts w:hint="eastAsia" w:ascii="宋体" w:hAnsi="宋体" w:cs="宋体"/>
                <w:sz w:val="22"/>
                <w:szCs w:val="22"/>
              </w:rPr>
              <w:t>，由评委分档量化，A档：10-6分，B：档6-3分，C档：3-0分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80" w:type="pct"/>
            <w:shd w:val="clear" w:color="auto" w:fill="auto"/>
            <w:vAlign w:val="center"/>
          </w:tcPr>
          <w:p>
            <w:pPr>
              <w:widowControl/>
              <w:jc w:val="center"/>
              <w:rPr>
                <w:rFonts w:ascii="宋体" w:hAnsi="宋体" w:cs="宋体"/>
                <w:sz w:val="22"/>
                <w:szCs w:val="22"/>
              </w:rPr>
            </w:pPr>
            <w:r>
              <w:rPr>
                <w:rFonts w:hint="eastAsia" w:ascii="宋体" w:hAnsi="宋体" w:cs="宋体"/>
                <w:sz w:val="22"/>
                <w:szCs w:val="22"/>
              </w:rPr>
              <w:t>5</w:t>
            </w:r>
          </w:p>
        </w:tc>
        <w:tc>
          <w:tcPr>
            <w:tcW w:w="566" w:type="pct"/>
            <w:shd w:val="clear" w:color="000000" w:fill="FFFFFF"/>
            <w:vAlign w:val="center"/>
          </w:tcPr>
          <w:p>
            <w:pPr>
              <w:widowControl/>
              <w:jc w:val="center"/>
              <w:rPr>
                <w:rFonts w:hint="eastAsia" w:ascii="宋体" w:hAnsi="宋体" w:eastAsia="宋体" w:cs="宋体"/>
                <w:bCs/>
                <w:kern w:val="2"/>
                <w:sz w:val="22"/>
                <w:szCs w:val="22"/>
                <w:lang w:val="en-US" w:eastAsia="zh-CN" w:bidi="ar-SA"/>
              </w:rPr>
            </w:pPr>
            <w:r>
              <w:rPr>
                <w:rFonts w:hint="eastAsia" w:ascii="宋体" w:hAnsi="宋体" w:cs="宋体"/>
                <w:bCs/>
                <w:sz w:val="22"/>
                <w:szCs w:val="22"/>
                <w:lang w:val="en-US" w:eastAsia="zh-CN"/>
              </w:rPr>
              <w:t>技术服务力量</w:t>
            </w:r>
          </w:p>
        </w:tc>
        <w:tc>
          <w:tcPr>
            <w:tcW w:w="400" w:type="pct"/>
            <w:shd w:val="clear" w:color="000000" w:fill="FFFFFF"/>
            <w:vAlign w:val="center"/>
          </w:tcPr>
          <w:p>
            <w:pPr>
              <w:widowControl/>
              <w:jc w:val="center"/>
              <w:rPr>
                <w:rFonts w:hint="default" w:ascii="宋体" w:hAnsi="宋体" w:eastAsia="宋体" w:cs="宋体"/>
                <w:bCs/>
                <w:kern w:val="2"/>
                <w:sz w:val="22"/>
                <w:szCs w:val="22"/>
                <w:lang w:val="en-US" w:eastAsia="zh-CN" w:bidi="ar-SA"/>
              </w:rPr>
            </w:pPr>
            <w:r>
              <w:rPr>
                <w:rFonts w:hint="eastAsia" w:ascii="宋体" w:hAnsi="宋体" w:cs="宋体"/>
                <w:bCs/>
                <w:sz w:val="22"/>
                <w:szCs w:val="22"/>
                <w:lang w:val="en-US" w:eastAsia="zh-CN"/>
              </w:rPr>
              <w:t>12</w:t>
            </w:r>
          </w:p>
        </w:tc>
        <w:tc>
          <w:tcPr>
            <w:tcW w:w="3652" w:type="pct"/>
            <w:shd w:val="clear" w:color="000000" w:fill="FFFFFF"/>
            <w:vAlign w:val="center"/>
          </w:tcPr>
          <w:p>
            <w:pPr>
              <w:autoSpaceDE w:val="0"/>
              <w:autoSpaceDN w:val="0"/>
              <w:adjustRightInd w:val="0"/>
              <w:jc w:val="left"/>
              <w:textAlignment w:val="bottom"/>
              <w:rPr>
                <w:rFonts w:hint="eastAsia" w:ascii="宋体" w:eastAsia="宋体"/>
                <w:b w:val="0"/>
                <w:bCs w:val="0"/>
                <w:color w:val="auto"/>
                <w:sz w:val="22"/>
              </w:rPr>
            </w:pPr>
            <w:r>
              <w:rPr>
                <w:rFonts w:hint="eastAsia" w:ascii="宋体" w:eastAsia="宋体"/>
                <w:b w:val="0"/>
                <w:bCs w:val="0"/>
                <w:color w:val="auto"/>
                <w:sz w:val="22"/>
              </w:rPr>
              <w:t>1.投标人拟派本项目的项目负责人（1人）持有一级建造师（通信与广电工程）证书、信息系统项目管理师（高级）、</w:t>
            </w:r>
            <w:r>
              <w:rPr>
                <w:rFonts w:hint="eastAsia" w:ascii="宋体" w:eastAsia="宋体"/>
                <w:b w:val="0"/>
                <w:bCs w:val="0"/>
                <w:color w:val="auto"/>
                <w:sz w:val="22"/>
                <w:lang w:val="en-US" w:eastAsia="zh-CN"/>
              </w:rPr>
              <w:t>ITSS IT项目经理证书</w:t>
            </w:r>
            <w:r>
              <w:rPr>
                <w:rFonts w:ascii="宋体" w:eastAsia="宋体"/>
                <w:b w:val="0"/>
                <w:bCs w:val="0"/>
                <w:color w:val="auto"/>
                <w:sz w:val="22"/>
              </w:rPr>
              <w:t>、PMP证书的</w:t>
            </w:r>
            <w:r>
              <w:rPr>
                <w:rFonts w:hint="eastAsia" w:ascii="宋体" w:eastAsia="宋体"/>
                <w:b w:val="0"/>
                <w:bCs w:val="0"/>
                <w:color w:val="auto"/>
                <w:sz w:val="22"/>
              </w:rPr>
              <w:t>，每具备1种证书得</w:t>
            </w:r>
            <w:r>
              <w:rPr>
                <w:rFonts w:ascii="宋体" w:eastAsia="宋体"/>
                <w:b w:val="0"/>
                <w:bCs w:val="0"/>
                <w:color w:val="auto"/>
                <w:sz w:val="22"/>
              </w:rPr>
              <w:t>1</w:t>
            </w:r>
            <w:r>
              <w:rPr>
                <w:rFonts w:hint="eastAsia" w:ascii="宋体" w:eastAsia="宋体"/>
                <w:b w:val="0"/>
                <w:bCs w:val="0"/>
                <w:color w:val="auto"/>
                <w:sz w:val="22"/>
              </w:rPr>
              <w:t>分，最高得4分。</w:t>
            </w:r>
            <w:r>
              <w:rPr>
                <w:rFonts w:hint="eastAsia" w:ascii="宋体" w:eastAsia="宋体"/>
                <w:b w:val="0"/>
                <w:bCs w:val="0"/>
                <w:color w:val="auto"/>
                <w:sz w:val="22"/>
              </w:rPr>
              <w:br w:type="textWrapping"/>
            </w:r>
            <w:r>
              <w:rPr>
                <w:rFonts w:hint="eastAsia" w:ascii="宋体" w:eastAsia="宋体"/>
                <w:b w:val="0"/>
                <w:bCs w:val="0"/>
                <w:color w:val="auto"/>
                <w:sz w:val="22"/>
              </w:rPr>
              <w:t>2.投标人服务于此次项目的技术总监（1人）具有中级网络工程师证书、通信专业技术人员（传输与接入方向）证书、CISSP (ISC)²证书</w:t>
            </w:r>
            <w:r>
              <w:rPr>
                <w:rFonts w:hint="eastAsia" w:ascii="宋体" w:eastAsia="宋体"/>
                <w:b w:val="0"/>
                <w:bCs w:val="0"/>
                <w:color w:val="auto"/>
                <w:sz w:val="22"/>
                <w:lang w:eastAsia="zh-CN"/>
              </w:rPr>
              <w:t>（注册信息系统安全专家）</w:t>
            </w:r>
            <w:r>
              <w:rPr>
                <w:rFonts w:ascii="宋体" w:eastAsia="宋体"/>
                <w:b w:val="0"/>
                <w:bCs w:val="0"/>
                <w:color w:val="auto"/>
                <w:sz w:val="22"/>
              </w:rPr>
              <w:t>证书</w:t>
            </w:r>
            <w:r>
              <w:rPr>
                <w:rFonts w:hint="eastAsia" w:ascii="宋体" w:eastAsia="宋体"/>
                <w:b w:val="0"/>
                <w:bCs w:val="0"/>
                <w:color w:val="auto"/>
                <w:sz w:val="22"/>
              </w:rPr>
              <w:t>、</w:t>
            </w:r>
            <w:r>
              <w:rPr>
                <w:rFonts w:ascii="宋体" w:eastAsia="宋体"/>
                <w:b w:val="0"/>
                <w:bCs w:val="0"/>
                <w:color w:val="auto"/>
                <w:sz w:val="22"/>
              </w:rPr>
              <w:t>ITIL</w:t>
            </w:r>
            <w:r>
              <w:rPr>
                <w:rFonts w:hint="eastAsia" w:ascii="宋体" w:eastAsia="宋体"/>
                <w:b w:val="0"/>
                <w:bCs w:val="0"/>
                <w:color w:val="auto"/>
                <w:sz w:val="22"/>
              </w:rPr>
              <w:t>证书，每个得</w:t>
            </w:r>
            <w:r>
              <w:rPr>
                <w:rFonts w:ascii="宋体" w:eastAsia="宋体"/>
                <w:b w:val="0"/>
                <w:bCs w:val="0"/>
                <w:color w:val="auto"/>
                <w:sz w:val="22"/>
              </w:rPr>
              <w:t>1</w:t>
            </w:r>
            <w:r>
              <w:rPr>
                <w:rFonts w:hint="eastAsia" w:ascii="宋体" w:eastAsia="宋体"/>
                <w:b w:val="0"/>
                <w:bCs w:val="0"/>
                <w:color w:val="auto"/>
                <w:sz w:val="22"/>
              </w:rPr>
              <w:t>分，最高得</w:t>
            </w:r>
            <w:r>
              <w:rPr>
                <w:rFonts w:hint="eastAsia" w:ascii="宋体" w:eastAsia="宋体"/>
                <w:b w:val="0"/>
                <w:bCs w:val="0"/>
                <w:color w:val="auto"/>
                <w:sz w:val="22"/>
                <w:lang w:val="en-US" w:eastAsia="zh-CN"/>
              </w:rPr>
              <w:t>4</w:t>
            </w:r>
            <w:r>
              <w:rPr>
                <w:rFonts w:hint="eastAsia" w:ascii="宋体" w:eastAsia="宋体"/>
                <w:b w:val="0"/>
                <w:bCs w:val="0"/>
                <w:color w:val="auto"/>
                <w:sz w:val="22"/>
              </w:rPr>
              <w:t>分。</w:t>
            </w:r>
          </w:p>
          <w:p>
            <w:pPr>
              <w:widowControl/>
              <w:jc w:val="left"/>
              <w:rPr>
                <w:rFonts w:ascii="宋体" w:eastAsia="宋体"/>
                <w:b w:val="0"/>
                <w:bCs w:val="0"/>
                <w:color w:val="auto"/>
                <w:sz w:val="22"/>
              </w:rPr>
            </w:pPr>
            <w:r>
              <w:rPr>
                <w:rFonts w:hint="eastAsia" w:ascii="宋体" w:eastAsia="宋体"/>
                <w:b w:val="0"/>
                <w:bCs w:val="0"/>
                <w:color w:val="auto"/>
                <w:sz w:val="22"/>
              </w:rPr>
              <w:t>3.投标人服务于此次项目的项目组人员（除项目负责人、技术总监外）具有高级工程师</w:t>
            </w:r>
            <w:r>
              <w:rPr>
                <w:rFonts w:hint="eastAsia" w:ascii="宋体" w:eastAsia="宋体"/>
                <w:b w:val="0"/>
                <w:bCs w:val="0"/>
                <w:color w:val="auto"/>
                <w:sz w:val="22"/>
                <w:lang w:eastAsia="zh-CN"/>
              </w:rPr>
              <w:t>（电子工程）</w:t>
            </w:r>
            <w:r>
              <w:rPr>
                <w:rFonts w:hint="eastAsia" w:ascii="宋体" w:eastAsia="宋体"/>
                <w:b w:val="0"/>
                <w:bCs w:val="0"/>
                <w:color w:val="auto"/>
                <w:sz w:val="22"/>
              </w:rPr>
              <w:t>证书、通信工程师</w:t>
            </w:r>
            <w:r>
              <w:rPr>
                <w:rFonts w:hint="eastAsia" w:ascii="宋体" w:eastAsia="宋体"/>
                <w:b w:val="0"/>
                <w:bCs w:val="0"/>
                <w:color w:val="auto"/>
                <w:sz w:val="22"/>
                <w:lang w:eastAsia="zh-CN"/>
              </w:rPr>
              <w:t>（</w:t>
            </w:r>
            <w:r>
              <w:rPr>
                <w:rFonts w:hint="eastAsia" w:ascii="宋体" w:eastAsia="宋体"/>
                <w:b w:val="0"/>
                <w:bCs w:val="0"/>
                <w:color w:val="auto"/>
                <w:sz w:val="22"/>
              </w:rPr>
              <w:t>互联网技术</w:t>
            </w:r>
            <w:r>
              <w:rPr>
                <w:rFonts w:hint="eastAsia" w:ascii="宋体" w:eastAsia="宋体"/>
                <w:b w:val="0"/>
                <w:bCs w:val="0"/>
                <w:color w:val="auto"/>
                <w:sz w:val="22"/>
                <w:lang w:eastAsia="zh-CN"/>
              </w:rPr>
              <w:t>）</w:t>
            </w:r>
            <w:r>
              <w:rPr>
                <w:rFonts w:hint="eastAsia" w:ascii="宋体" w:eastAsia="宋体"/>
                <w:b w:val="0"/>
                <w:bCs w:val="0"/>
                <w:color w:val="auto"/>
                <w:sz w:val="22"/>
              </w:rPr>
              <w:t>证书、网络工程师证书、</w:t>
            </w:r>
            <w:r>
              <w:rPr>
                <w:rFonts w:ascii="宋体" w:eastAsia="宋体"/>
                <w:b w:val="0"/>
                <w:bCs w:val="0"/>
                <w:color w:val="auto"/>
                <w:sz w:val="22"/>
              </w:rPr>
              <w:t>ITIL</w:t>
            </w:r>
            <w:r>
              <w:rPr>
                <w:rFonts w:hint="eastAsia" w:ascii="宋体" w:eastAsia="宋体"/>
                <w:b w:val="0"/>
                <w:bCs w:val="0"/>
                <w:color w:val="auto"/>
                <w:sz w:val="22"/>
              </w:rPr>
              <w:t>证书</w:t>
            </w:r>
            <w:r>
              <w:rPr>
                <w:rFonts w:hint="eastAsia" w:ascii="宋体" w:eastAsia="宋体"/>
                <w:b w:val="0"/>
                <w:bCs w:val="0"/>
                <w:color w:val="auto"/>
                <w:sz w:val="22"/>
                <w:lang w:eastAsia="zh-CN"/>
              </w:rPr>
              <w:t>、CISAW证书</w:t>
            </w:r>
            <w:r>
              <w:rPr>
                <w:rFonts w:hint="eastAsia" w:ascii="宋体" w:eastAsia="宋体"/>
                <w:b w:val="0"/>
                <w:bCs w:val="0"/>
                <w:color w:val="auto"/>
                <w:sz w:val="22"/>
              </w:rPr>
              <w:t>，每人每种证书得</w:t>
            </w:r>
            <w:r>
              <w:rPr>
                <w:rFonts w:ascii="宋体" w:eastAsia="宋体"/>
                <w:b w:val="0"/>
                <w:bCs w:val="0"/>
                <w:color w:val="auto"/>
                <w:sz w:val="22"/>
              </w:rPr>
              <w:t>1</w:t>
            </w:r>
            <w:r>
              <w:rPr>
                <w:rFonts w:hint="eastAsia" w:ascii="宋体" w:eastAsia="宋体"/>
                <w:b w:val="0"/>
                <w:bCs w:val="0"/>
                <w:color w:val="auto"/>
                <w:sz w:val="22"/>
              </w:rPr>
              <w:t>分，最高得4分。</w:t>
            </w:r>
          </w:p>
          <w:p>
            <w:pPr>
              <w:widowControl/>
              <w:jc w:val="left"/>
              <w:rPr>
                <w:rFonts w:ascii="宋体" w:hAnsi="宋体" w:eastAsia="宋体" w:cs="宋体"/>
                <w:kern w:val="2"/>
                <w:sz w:val="22"/>
                <w:szCs w:val="22"/>
                <w:lang w:val="en-US" w:eastAsia="zh-CN" w:bidi="ar-SA"/>
              </w:rPr>
            </w:pPr>
            <w:r>
              <w:rPr>
                <w:rFonts w:hint="eastAsia" w:ascii="宋体" w:eastAsia="宋体"/>
                <w:b w:val="0"/>
                <w:bCs w:val="0"/>
                <w:color w:val="auto"/>
                <w:sz w:val="22"/>
              </w:rPr>
              <w:t>注：以上持证人员需提供在投标人处社保证明复印件加盖公章及证书复印件加盖公章，否则不得分。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jc w:val="center"/>
        </w:trPr>
        <w:tc>
          <w:tcPr>
            <w:tcW w:w="380" w:type="pct"/>
            <w:shd w:val="clear" w:color="auto" w:fill="auto"/>
            <w:vAlign w:val="center"/>
          </w:tcPr>
          <w:p>
            <w:pPr>
              <w:widowControl/>
              <w:jc w:val="center"/>
              <w:rPr>
                <w:rFonts w:ascii="宋体" w:hAnsi="宋体" w:cs="宋体"/>
                <w:sz w:val="22"/>
                <w:szCs w:val="22"/>
              </w:rPr>
            </w:pPr>
            <w:r>
              <w:rPr>
                <w:rFonts w:hint="eastAsia" w:ascii="宋体" w:hAnsi="宋体" w:cs="宋体"/>
                <w:sz w:val="22"/>
                <w:szCs w:val="22"/>
              </w:rPr>
              <w:t>6</w:t>
            </w:r>
          </w:p>
        </w:tc>
        <w:tc>
          <w:tcPr>
            <w:tcW w:w="566" w:type="pct"/>
            <w:shd w:val="clear" w:color="000000" w:fill="FFFFFF"/>
            <w:vAlign w:val="center"/>
          </w:tcPr>
          <w:p>
            <w:pPr>
              <w:widowControl/>
              <w:jc w:val="center"/>
              <w:rPr>
                <w:rFonts w:hint="eastAsia" w:ascii="宋体" w:hAnsi="宋体" w:eastAsia="宋体" w:cs="宋体"/>
                <w:bCs/>
                <w:kern w:val="0"/>
                <w:sz w:val="22"/>
                <w:szCs w:val="22"/>
                <w:lang w:val="en-US" w:eastAsia="zh-CN" w:bidi="ar-SA"/>
              </w:rPr>
            </w:pPr>
            <w:r>
              <w:rPr>
                <w:rFonts w:hint="eastAsia" w:ascii="宋体" w:eastAsia="宋体"/>
                <w:b w:val="0"/>
                <w:bCs w:val="0"/>
                <w:color w:val="auto"/>
                <w:sz w:val="22"/>
              </w:rPr>
              <w:t>技术培训及质量保证</w:t>
            </w:r>
          </w:p>
        </w:tc>
        <w:tc>
          <w:tcPr>
            <w:tcW w:w="400" w:type="pct"/>
            <w:shd w:val="clear" w:color="000000" w:fill="FFFFFF"/>
            <w:vAlign w:val="center"/>
          </w:tcPr>
          <w:p>
            <w:pPr>
              <w:widowControl/>
              <w:jc w:val="center"/>
              <w:rPr>
                <w:rFonts w:hint="eastAsia" w:ascii="宋体" w:hAnsi="宋体" w:eastAsia="宋体" w:cs="宋体"/>
                <w:bCs/>
                <w:kern w:val="2"/>
                <w:sz w:val="22"/>
                <w:szCs w:val="22"/>
                <w:lang w:val="en-US" w:eastAsia="zh-CN" w:bidi="ar-SA"/>
              </w:rPr>
            </w:pPr>
            <w:r>
              <w:rPr>
                <w:rFonts w:hint="eastAsia" w:ascii="宋体" w:hAnsi="宋体" w:cs="宋体"/>
                <w:bCs/>
                <w:sz w:val="22"/>
                <w:szCs w:val="22"/>
                <w:lang w:val="en-US" w:eastAsia="zh-CN"/>
              </w:rPr>
              <w:t>6</w:t>
            </w:r>
          </w:p>
        </w:tc>
        <w:tc>
          <w:tcPr>
            <w:tcW w:w="3652" w:type="pct"/>
            <w:shd w:val="clear" w:color="000000" w:fill="FFFFFF"/>
            <w:vAlign w:val="center"/>
          </w:tcPr>
          <w:p>
            <w:pPr>
              <w:adjustRightInd w:val="0"/>
              <w:rPr>
                <w:rFonts w:hint="eastAsia" w:ascii="宋体" w:hAnsi="宋体" w:eastAsia="宋体" w:cs="宋体"/>
                <w:kern w:val="2"/>
                <w:sz w:val="22"/>
                <w:szCs w:val="22"/>
                <w:lang w:val="en-US" w:eastAsia="zh-CN" w:bidi="ar-SA"/>
              </w:rPr>
            </w:pPr>
            <w:r>
              <w:rPr>
                <w:rFonts w:hint="eastAsia" w:ascii="宋体" w:hAnsi="宋体" w:cs="宋体"/>
                <w:sz w:val="22"/>
                <w:szCs w:val="22"/>
              </w:rPr>
              <w:t>对投标方案中的培训方案</w:t>
            </w:r>
            <w:r>
              <w:rPr>
                <w:rFonts w:hint="eastAsia" w:ascii="宋体" w:hAnsi="宋体" w:cs="宋体"/>
                <w:sz w:val="22"/>
                <w:szCs w:val="22"/>
                <w:lang w:eastAsia="zh-CN"/>
              </w:rPr>
              <w:t>、</w:t>
            </w:r>
            <w:r>
              <w:rPr>
                <w:rFonts w:hint="eastAsia" w:ascii="宋体" w:eastAsia="宋体"/>
                <w:b w:val="0"/>
                <w:bCs w:val="0"/>
                <w:color w:val="auto"/>
                <w:sz w:val="22"/>
              </w:rPr>
              <w:t>质量保证措施方案</w:t>
            </w:r>
            <w:r>
              <w:rPr>
                <w:rFonts w:hint="eastAsia" w:ascii="宋体" w:hAnsi="宋体" w:cs="宋体"/>
                <w:sz w:val="22"/>
                <w:szCs w:val="22"/>
              </w:rPr>
              <w:t>从计划、内容、专业性等方面进行综合评价：A档：</w:t>
            </w:r>
            <w:r>
              <w:rPr>
                <w:rFonts w:hint="eastAsia" w:ascii="宋体" w:hAnsi="宋体" w:cs="宋体"/>
                <w:sz w:val="22"/>
                <w:szCs w:val="22"/>
                <w:lang w:val="en-US" w:eastAsia="zh-CN"/>
              </w:rPr>
              <w:t>6</w:t>
            </w:r>
            <w:r>
              <w:rPr>
                <w:rFonts w:hint="eastAsia" w:ascii="宋体" w:hAnsi="宋体" w:cs="宋体"/>
                <w:sz w:val="22"/>
                <w:szCs w:val="22"/>
              </w:rPr>
              <w:t>-</w:t>
            </w:r>
            <w:r>
              <w:rPr>
                <w:rFonts w:hint="eastAsia" w:ascii="宋体" w:hAnsi="宋体" w:cs="宋体"/>
                <w:sz w:val="22"/>
                <w:szCs w:val="22"/>
                <w:lang w:val="en-US" w:eastAsia="zh-CN"/>
              </w:rPr>
              <w:t>4</w:t>
            </w:r>
            <w:r>
              <w:rPr>
                <w:rFonts w:hint="eastAsia" w:ascii="宋体" w:hAnsi="宋体" w:cs="宋体"/>
                <w:sz w:val="22"/>
                <w:szCs w:val="22"/>
              </w:rPr>
              <w:t>分，B：档</w:t>
            </w:r>
            <w:r>
              <w:rPr>
                <w:rFonts w:hint="eastAsia" w:ascii="宋体" w:hAnsi="宋体" w:cs="宋体"/>
                <w:sz w:val="22"/>
                <w:szCs w:val="22"/>
                <w:lang w:val="en-US" w:eastAsia="zh-CN"/>
              </w:rPr>
              <w:t>4</w:t>
            </w:r>
            <w:r>
              <w:rPr>
                <w:rFonts w:hint="eastAsia" w:ascii="宋体" w:hAnsi="宋体" w:cs="宋体"/>
                <w:sz w:val="22"/>
                <w:szCs w:val="22"/>
              </w:rPr>
              <w:t>-</w:t>
            </w:r>
            <w:r>
              <w:rPr>
                <w:rFonts w:hint="eastAsia" w:ascii="宋体" w:hAnsi="宋体" w:cs="宋体"/>
                <w:sz w:val="22"/>
                <w:szCs w:val="22"/>
                <w:lang w:val="en-US" w:eastAsia="zh-CN"/>
              </w:rPr>
              <w:t>2</w:t>
            </w:r>
            <w:r>
              <w:rPr>
                <w:rFonts w:hint="eastAsia" w:ascii="宋体" w:hAnsi="宋体" w:cs="宋体"/>
                <w:sz w:val="22"/>
                <w:szCs w:val="22"/>
              </w:rPr>
              <w:t>分，C档：</w:t>
            </w:r>
            <w:r>
              <w:rPr>
                <w:rFonts w:hint="eastAsia" w:ascii="宋体" w:hAnsi="宋体" w:cs="宋体"/>
                <w:sz w:val="22"/>
                <w:szCs w:val="22"/>
                <w:lang w:val="en-US" w:eastAsia="zh-CN"/>
              </w:rPr>
              <w:t>2</w:t>
            </w:r>
            <w:r>
              <w:rPr>
                <w:rFonts w:hint="eastAsia" w:ascii="宋体" w:hAnsi="宋体" w:cs="宋体"/>
                <w:sz w:val="22"/>
                <w:szCs w:val="22"/>
              </w:rPr>
              <w:t>-0分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80" w:type="pct"/>
            <w:shd w:val="clear" w:color="auto" w:fill="auto"/>
            <w:vAlign w:val="center"/>
          </w:tcPr>
          <w:p>
            <w:pPr>
              <w:widowControl/>
              <w:jc w:val="center"/>
              <w:rPr>
                <w:rFonts w:ascii="宋体" w:hAnsi="宋体" w:cs="宋体"/>
                <w:bCs/>
                <w:sz w:val="22"/>
                <w:szCs w:val="22"/>
              </w:rPr>
            </w:pPr>
            <w:r>
              <w:rPr>
                <w:rFonts w:hint="eastAsia" w:ascii="宋体" w:hAnsi="宋体" w:cs="宋体"/>
                <w:bCs/>
                <w:sz w:val="22"/>
                <w:szCs w:val="22"/>
              </w:rPr>
              <w:t>7</w:t>
            </w:r>
          </w:p>
        </w:tc>
        <w:tc>
          <w:tcPr>
            <w:tcW w:w="566" w:type="pct"/>
            <w:shd w:val="clear" w:color="auto" w:fill="auto"/>
            <w:vAlign w:val="center"/>
          </w:tcPr>
          <w:p>
            <w:pPr>
              <w:widowControl/>
              <w:jc w:val="center"/>
              <w:rPr>
                <w:rFonts w:ascii="宋体" w:hAnsi="宋体" w:eastAsia="宋体" w:cs="宋体"/>
                <w:bCs/>
                <w:kern w:val="0"/>
                <w:sz w:val="22"/>
                <w:szCs w:val="22"/>
                <w:lang w:val="en-US" w:eastAsia="zh-CN" w:bidi="ar-SA"/>
              </w:rPr>
            </w:pPr>
            <w:r>
              <w:rPr>
                <w:rFonts w:hint="eastAsia" w:ascii="宋体" w:hAnsi="宋体" w:cs="宋体"/>
                <w:bCs/>
                <w:kern w:val="0"/>
                <w:sz w:val="22"/>
                <w:szCs w:val="22"/>
                <w:lang w:val="en-US" w:eastAsia="zh-CN" w:bidi="ar-SA"/>
              </w:rPr>
              <w:t>售后服务</w:t>
            </w:r>
          </w:p>
        </w:tc>
        <w:tc>
          <w:tcPr>
            <w:tcW w:w="400" w:type="pct"/>
            <w:shd w:val="clear" w:color="000000" w:fill="FFFFFF"/>
            <w:vAlign w:val="center"/>
          </w:tcPr>
          <w:p>
            <w:pPr>
              <w:widowControl/>
              <w:jc w:val="center"/>
              <w:rPr>
                <w:rFonts w:hint="default" w:ascii="宋体" w:hAnsi="宋体" w:eastAsia="宋体" w:cs="宋体"/>
                <w:bCs/>
                <w:kern w:val="2"/>
                <w:sz w:val="22"/>
                <w:szCs w:val="22"/>
                <w:lang w:val="en-US" w:eastAsia="zh-CN" w:bidi="ar-SA"/>
              </w:rPr>
            </w:pPr>
            <w:r>
              <w:rPr>
                <w:rFonts w:hint="eastAsia" w:ascii="宋体" w:hAnsi="宋体" w:cs="宋体"/>
                <w:bCs/>
                <w:kern w:val="2"/>
                <w:sz w:val="22"/>
                <w:szCs w:val="22"/>
                <w:lang w:val="en-US" w:eastAsia="zh-CN" w:bidi="ar-SA"/>
              </w:rPr>
              <w:t>3</w:t>
            </w:r>
          </w:p>
        </w:tc>
        <w:tc>
          <w:tcPr>
            <w:tcW w:w="3652" w:type="pct"/>
            <w:shd w:val="clear" w:color="000000" w:fill="FFFFFF"/>
            <w:vAlign w:val="center"/>
          </w:tcPr>
          <w:p>
            <w:pPr>
              <w:widowControl/>
              <w:jc w:val="left"/>
              <w:rPr>
                <w:rFonts w:hint="eastAsia" w:ascii="宋体" w:hAnsi="Times New Roman" w:eastAsia="宋体" w:cs="Times New Roman"/>
                <w:b w:val="0"/>
                <w:bCs w:val="0"/>
                <w:color w:val="auto"/>
                <w:kern w:val="2"/>
                <w:sz w:val="22"/>
                <w:szCs w:val="24"/>
                <w:lang w:val="en-US" w:eastAsia="zh-CN" w:bidi="ar-SA"/>
              </w:rPr>
            </w:pPr>
            <w:r>
              <w:rPr>
                <w:rFonts w:hint="eastAsia" w:ascii="宋体" w:eastAsia="宋体"/>
                <w:b w:val="0"/>
                <w:bCs w:val="0"/>
                <w:color w:val="auto"/>
                <w:sz w:val="22"/>
              </w:rPr>
              <w:t>根据所投项目的售后服务承诺的范围和完善程度（包括保修、服务标准，人员配备，故障响应修复时间方式及保障措施，服务网点的分布情况（以营业执照为准）</w:t>
            </w:r>
            <w:r>
              <w:rPr>
                <w:rFonts w:hint="eastAsia" w:ascii="宋体"/>
                <w:b w:val="0"/>
                <w:bCs w:val="0"/>
                <w:color w:val="auto"/>
                <w:sz w:val="22"/>
                <w:lang w:eastAsia="zh-CN"/>
              </w:rPr>
              <w:t>量化</w:t>
            </w:r>
            <w:r>
              <w:rPr>
                <w:rFonts w:hint="eastAsia" w:ascii="宋体" w:hAnsi="宋体" w:cs="宋体"/>
                <w:sz w:val="22"/>
                <w:szCs w:val="22"/>
              </w:rPr>
              <w:t>：A档：</w:t>
            </w:r>
            <w:r>
              <w:rPr>
                <w:rFonts w:hint="eastAsia" w:ascii="宋体" w:hAnsi="宋体" w:cs="宋体"/>
                <w:sz w:val="22"/>
                <w:szCs w:val="22"/>
                <w:lang w:val="en-US" w:eastAsia="zh-CN"/>
              </w:rPr>
              <w:t>3</w:t>
            </w:r>
            <w:r>
              <w:rPr>
                <w:rFonts w:hint="eastAsia" w:ascii="宋体" w:hAnsi="宋体" w:cs="宋体"/>
                <w:sz w:val="22"/>
                <w:szCs w:val="22"/>
              </w:rPr>
              <w:t>-2分，B：档2-1分，C档：1-0分</w:t>
            </w:r>
            <w:r>
              <w:rPr>
                <w:rFonts w:hint="eastAsia" w:ascii="宋体" w:hAnsi="宋体" w:cs="宋体"/>
                <w:sz w:val="22"/>
                <w:szCs w:val="2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jc w:val="center"/>
        </w:trPr>
        <w:tc>
          <w:tcPr>
            <w:tcW w:w="380" w:type="pct"/>
            <w:shd w:val="clear" w:color="auto" w:fill="auto"/>
            <w:vAlign w:val="center"/>
          </w:tcPr>
          <w:p>
            <w:pPr>
              <w:widowControl/>
              <w:jc w:val="center"/>
              <w:rPr>
                <w:rFonts w:hint="eastAsia" w:ascii="宋体" w:hAnsi="宋体" w:eastAsia="宋体" w:cs="宋体"/>
                <w:bCs/>
                <w:color w:val="auto"/>
                <w:sz w:val="22"/>
                <w:szCs w:val="22"/>
                <w:lang w:val="en-US" w:eastAsia="zh-CN"/>
              </w:rPr>
            </w:pPr>
            <w:r>
              <w:rPr>
                <w:rFonts w:hint="eastAsia" w:ascii="宋体" w:hAnsi="宋体" w:cs="宋体"/>
                <w:bCs/>
                <w:color w:val="auto"/>
                <w:sz w:val="22"/>
                <w:szCs w:val="22"/>
                <w:lang w:val="en-US" w:eastAsia="zh-CN"/>
              </w:rPr>
              <w:t>8</w:t>
            </w:r>
          </w:p>
        </w:tc>
        <w:tc>
          <w:tcPr>
            <w:tcW w:w="566" w:type="pct"/>
            <w:shd w:val="clear" w:color="auto" w:fill="auto"/>
            <w:vAlign w:val="center"/>
          </w:tcPr>
          <w:p>
            <w:pPr>
              <w:widowControl/>
              <w:jc w:val="center"/>
              <w:rPr>
                <w:rFonts w:hint="eastAsia" w:ascii="宋体" w:hAnsi="宋体" w:cs="宋体"/>
                <w:bCs/>
                <w:color w:val="auto"/>
                <w:kern w:val="0"/>
                <w:sz w:val="22"/>
                <w:szCs w:val="22"/>
                <w:lang w:val="en-US" w:eastAsia="zh-CN" w:bidi="ar-SA"/>
              </w:rPr>
            </w:pPr>
            <w:r>
              <w:rPr>
                <w:rFonts w:hint="eastAsia" w:ascii="宋体" w:hAnsi="宋体" w:eastAsia="宋体" w:cs="宋体"/>
                <w:color w:val="auto"/>
                <w:sz w:val="21"/>
                <w:szCs w:val="21"/>
                <w:highlight w:val="none"/>
              </w:rPr>
              <w:t>环境标志产品、节能产品</w:t>
            </w:r>
          </w:p>
        </w:tc>
        <w:tc>
          <w:tcPr>
            <w:tcW w:w="400" w:type="pct"/>
            <w:shd w:val="clear" w:color="000000" w:fill="FFFFFF"/>
            <w:vAlign w:val="center"/>
          </w:tcPr>
          <w:p>
            <w:pPr>
              <w:widowControl/>
              <w:jc w:val="center"/>
              <w:rPr>
                <w:rFonts w:hint="default" w:ascii="宋体" w:hAnsi="宋体" w:cs="宋体"/>
                <w:bCs/>
                <w:color w:val="auto"/>
                <w:kern w:val="2"/>
                <w:sz w:val="22"/>
                <w:szCs w:val="22"/>
                <w:lang w:val="en-US" w:eastAsia="zh-CN" w:bidi="ar-SA"/>
              </w:rPr>
            </w:pPr>
            <w:r>
              <w:rPr>
                <w:rFonts w:hint="eastAsia" w:ascii="宋体" w:hAnsi="宋体" w:cs="宋体"/>
                <w:bCs/>
                <w:color w:val="auto"/>
                <w:kern w:val="2"/>
                <w:sz w:val="22"/>
                <w:szCs w:val="22"/>
                <w:lang w:val="en-US" w:eastAsia="zh-CN" w:bidi="ar-SA"/>
              </w:rPr>
              <w:t>1</w:t>
            </w:r>
          </w:p>
        </w:tc>
        <w:tc>
          <w:tcPr>
            <w:tcW w:w="3652" w:type="pct"/>
            <w:shd w:val="clear" w:color="000000" w:fill="FFFFFF"/>
            <w:vAlign w:val="center"/>
          </w:tcPr>
          <w:p>
            <w:pPr>
              <w:spacing w:line="300" w:lineRule="exact"/>
              <w:jc w:val="left"/>
              <w:rPr>
                <w:rFonts w:hint="eastAsia" w:ascii="宋体" w:hAnsi="宋体" w:eastAsia="宋体" w:cs="宋体"/>
                <w:b w:val="0"/>
                <w:color w:val="auto"/>
                <w:sz w:val="22"/>
                <w:szCs w:val="20"/>
              </w:rPr>
            </w:pPr>
            <w:r>
              <w:rPr>
                <w:rFonts w:hint="eastAsia" w:ascii="宋体" w:hAnsi="宋体" w:eastAsia="宋体" w:cs="宋体"/>
                <w:b w:val="0"/>
                <w:color w:val="auto"/>
                <w:sz w:val="22"/>
                <w:szCs w:val="20"/>
              </w:rPr>
              <w:t>1）投标产品列入财政部、发展改革委发布的节能产品品目清单的，提供国家市场监督管理总局公布的《参与实施政府采购节能产品认证机构名录》内的认证机构出具的、处于有效期之内的节能标志产品认证证书的，</w:t>
            </w:r>
            <w:r>
              <w:rPr>
                <w:rFonts w:hint="eastAsia" w:ascii="宋体" w:hAnsi="宋体" w:eastAsia="宋体" w:cs="宋体"/>
                <w:b/>
                <w:bCs/>
                <w:color w:val="auto"/>
                <w:sz w:val="22"/>
                <w:szCs w:val="20"/>
              </w:rPr>
              <w:t>得</w:t>
            </w:r>
            <w:r>
              <w:rPr>
                <w:rFonts w:hint="eastAsia" w:ascii="宋体" w:hAnsi="宋体" w:eastAsia="宋体" w:cs="宋体"/>
                <w:b/>
                <w:bCs/>
                <w:color w:val="auto"/>
                <w:sz w:val="22"/>
                <w:szCs w:val="20"/>
                <w:lang w:val="en-US" w:eastAsia="zh-CN"/>
              </w:rPr>
              <w:t>0.5</w:t>
            </w:r>
            <w:r>
              <w:rPr>
                <w:rFonts w:hint="eastAsia" w:ascii="宋体" w:hAnsi="宋体" w:eastAsia="宋体" w:cs="宋体"/>
                <w:b/>
                <w:bCs/>
                <w:color w:val="auto"/>
                <w:sz w:val="22"/>
                <w:szCs w:val="20"/>
              </w:rPr>
              <w:t>分</w:t>
            </w:r>
            <w:r>
              <w:rPr>
                <w:rFonts w:hint="eastAsia" w:ascii="宋体" w:hAnsi="宋体" w:eastAsia="宋体" w:cs="宋体"/>
                <w:b w:val="0"/>
                <w:color w:val="auto"/>
                <w:sz w:val="22"/>
                <w:szCs w:val="20"/>
              </w:rPr>
              <w:t>。</w:t>
            </w:r>
          </w:p>
          <w:p>
            <w:pPr>
              <w:widowControl/>
              <w:jc w:val="left"/>
              <w:rPr>
                <w:rFonts w:hint="eastAsia" w:ascii="宋体" w:eastAsia="宋体"/>
                <w:b w:val="0"/>
                <w:bCs w:val="0"/>
                <w:color w:val="auto"/>
                <w:sz w:val="22"/>
              </w:rPr>
            </w:pPr>
            <w:r>
              <w:rPr>
                <w:rFonts w:hint="eastAsia" w:ascii="宋体" w:hAnsi="宋体" w:eastAsia="宋体" w:cs="宋体"/>
                <w:b w:val="0"/>
                <w:color w:val="auto"/>
                <w:sz w:val="22"/>
                <w:szCs w:val="20"/>
              </w:rPr>
              <w:t>2）投标产品列入财政部、生态环境部发布的环境标志产品品目清单的，提供国家市场监督管理总局公布的《参与实施政府采购环境标志产品认证机构名录》内的认证机构出具的、处于有效期之内的环境标志产品认证证书</w:t>
            </w:r>
            <w:r>
              <w:rPr>
                <w:rFonts w:hint="eastAsia" w:ascii="宋体" w:hAnsi="宋体" w:eastAsia="宋体" w:cs="宋体"/>
                <w:b/>
                <w:bCs/>
                <w:color w:val="auto"/>
                <w:sz w:val="22"/>
                <w:szCs w:val="20"/>
              </w:rPr>
              <w:t>，得</w:t>
            </w:r>
            <w:r>
              <w:rPr>
                <w:rFonts w:hint="eastAsia" w:ascii="宋体" w:hAnsi="宋体" w:eastAsia="宋体" w:cs="宋体"/>
                <w:b/>
                <w:bCs/>
                <w:color w:val="auto"/>
                <w:sz w:val="22"/>
                <w:szCs w:val="20"/>
                <w:lang w:val="en-US" w:eastAsia="zh-CN"/>
              </w:rPr>
              <w:t>0.5</w:t>
            </w:r>
            <w:r>
              <w:rPr>
                <w:rFonts w:hint="eastAsia" w:ascii="宋体" w:hAnsi="宋体" w:eastAsia="宋体" w:cs="宋体"/>
                <w:b/>
                <w:bCs/>
                <w:color w:val="auto"/>
                <w:sz w:val="22"/>
                <w:szCs w:val="20"/>
              </w:rPr>
              <w:t>分</w:t>
            </w:r>
            <w:r>
              <w:rPr>
                <w:rFonts w:hint="eastAsia" w:ascii="宋体" w:hAnsi="宋体" w:eastAsia="宋体" w:cs="宋体"/>
                <w:b w:val="0"/>
                <w:color w:val="auto"/>
                <w:sz w:val="22"/>
                <w:szCs w:val="20"/>
              </w:rPr>
              <w:t>。</w:t>
            </w:r>
          </w:p>
        </w:tc>
      </w:tr>
    </w:tbl>
    <w:p>
      <w:pPr>
        <w:numPr>
          <w:ilvl w:val="0"/>
          <w:numId w:val="13"/>
        </w:numPr>
        <w:spacing w:line="440" w:lineRule="exact"/>
        <w:ind w:firstLine="0"/>
        <w:rPr>
          <w:rFonts w:ascii="宋体" w:hAnsi="宋体" w:cs="宋体"/>
          <w:b/>
          <w:bCs/>
          <w:sz w:val="22"/>
          <w:szCs w:val="22"/>
        </w:rPr>
      </w:pPr>
      <w:r>
        <w:rPr>
          <w:rFonts w:hint="eastAsia" w:ascii="宋体" w:hAnsi="宋体" w:cs="宋体"/>
          <w:b/>
          <w:sz w:val="22"/>
          <w:szCs w:val="22"/>
        </w:rPr>
        <w:t>投标报价评分</w:t>
      </w:r>
      <w:r>
        <w:rPr>
          <w:rFonts w:hint="eastAsia" w:ascii="宋体" w:hAnsi="宋体" w:cs="宋体"/>
          <w:b/>
          <w:bCs/>
          <w:sz w:val="22"/>
          <w:szCs w:val="22"/>
        </w:rPr>
        <w:t>（30分）：</w:t>
      </w:r>
    </w:p>
    <w:p>
      <w:pPr>
        <w:spacing w:line="460" w:lineRule="exact"/>
        <w:ind w:firstLine="330" w:firstLineChars="150"/>
        <w:rPr>
          <w:rFonts w:ascii="新宋体" w:hAnsi="新宋体" w:eastAsia="新宋体" w:cs="新宋体"/>
          <w:sz w:val="22"/>
          <w:szCs w:val="22"/>
        </w:rPr>
      </w:pPr>
      <w:r>
        <w:rPr>
          <w:rFonts w:hint="eastAsia" w:ascii="新宋体" w:hAnsi="新宋体" w:eastAsia="新宋体" w:cs="新宋体"/>
          <w:sz w:val="22"/>
          <w:szCs w:val="22"/>
        </w:rPr>
        <w:t>2.1满足采购文件要求且投标报价的最低价作为评标基准价；</w:t>
      </w:r>
    </w:p>
    <w:p>
      <w:pPr>
        <w:numPr>
          <w:ilvl w:val="0"/>
          <w:numId w:val="14"/>
        </w:numPr>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有效供应商的投标报价等于评标基准价时，其最终报价评分值为满分30分；</w:t>
      </w:r>
    </w:p>
    <w:p>
      <w:pPr>
        <w:numPr>
          <w:ilvl w:val="0"/>
          <w:numId w:val="14"/>
        </w:numPr>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其他供应商的价格分按以下公式计算：</w:t>
      </w:r>
    </w:p>
    <w:p>
      <w:pPr>
        <w:spacing w:line="460" w:lineRule="exact"/>
        <w:ind w:left="400" w:firstLine="440" w:firstLineChars="200"/>
        <w:rPr>
          <w:rFonts w:ascii="新宋体" w:hAnsi="新宋体" w:eastAsia="新宋体" w:cs="新宋体"/>
          <w:bCs/>
          <w:kern w:val="0"/>
          <w:sz w:val="22"/>
          <w:szCs w:val="22"/>
        </w:rPr>
      </w:pPr>
      <w:r>
        <w:rPr>
          <w:rFonts w:hint="eastAsia" w:ascii="新宋体" w:hAnsi="新宋体" w:eastAsia="新宋体" w:cs="新宋体"/>
          <w:bCs/>
          <w:kern w:val="0"/>
          <w:sz w:val="22"/>
          <w:szCs w:val="22"/>
        </w:rPr>
        <w:t>商务分得分=（评审基准价/供应商投标报价）×价格权值×100（四舍五入后保留小数2位，价格权值为30%）</w:t>
      </w:r>
    </w:p>
    <w:p>
      <w:pPr>
        <w:numPr>
          <w:ilvl w:val="0"/>
          <w:numId w:val="14"/>
        </w:numPr>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如供应商报价超过项目采购预算金额，其投标文件作无效标处理。</w:t>
      </w:r>
    </w:p>
    <w:p>
      <w:pPr>
        <w:numPr>
          <w:ilvl w:val="0"/>
          <w:numId w:val="14"/>
        </w:numPr>
        <w:spacing w:line="460" w:lineRule="exact"/>
        <w:rPr>
          <w:rFonts w:ascii="新宋体" w:hAnsi="新宋体" w:eastAsia="新宋体" w:cs="新宋体"/>
          <w:bCs/>
          <w:kern w:val="0"/>
          <w:sz w:val="22"/>
          <w:szCs w:val="22"/>
        </w:rPr>
      </w:pPr>
      <w:r>
        <w:rPr>
          <w:rFonts w:hint="eastAsia" w:ascii="新宋体" w:hAnsi="新宋体" w:eastAsia="新宋体" w:cs="新宋体"/>
          <w:bCs/>
          <w:kern w:val="0"/>
          <w:sz w:val="22"/>
          <w:szCs w:val="22"/>
        </w:rPr>
        <w:t>所有供应商商务报价均超过项目采购预算金额，项目按流（废）标处理，重新组织采购程序。</w:t>
      </w:r>
    </w:p>
    <w:p>
      <w:pPr>
        <w:spacing w:line="460" w:lineRule="exact"/>
        <w:rPr>
          <w:rFonts w:ascii="新宋体" w:hAnsi="新宋体" w:eastAsia="新宋体"/>
          <w:sz w:val="22"/>
          <w:szCs w:val="22"/>
        </w:rPr>
      </w:pPr>
      <w:r>
        <w:rPr>
          <w:rFonts w:hint="eastAsia" w:ascii="新宋体" w:hAnsi="新宋体" w:eastAsia="新宋体"/>
          <w:sz w:val="22"/>
          <w:szCs w:val="22"/>
        </w:rPr>
        <w:t>2.2政府采购政策说明</w:t>
      </w:r>
    </w:p>
    <w:p>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①根据《政府采购促进中小企业发展管理办法》的通知（财库[2020]46号）的规定，投标人</w:t>
      </w:r>
      <w:r>
        <w:rPr>
          <w:rFonts w:hint="eastAsia" w:ascii="宋体" w:hAnsi="宋体" w:cs="宋体"/>
          <w:bCs/>
          <w:color w:val="auto"/>
          <w:sz w:val="22"/>
          <w:highlight w:val="none"/>
          <w:lang w:val="en-US" w:eastAsia="zh-CN"/>
        </w:rPr>
        <w:t>所提供的</w:t>
      </w:r>
      <w:r>
        <w:rPr>
          <w:rFonts w:hint="eastAsia" w:ascii="宋体" w:hAnsi="宋体" w:cs="宋体"/>
          <w:bCs/>
          <w:color w:val="auto"/>
          <w:sz w:val="22"/>
          <w:highlight w:val="none"/>
        </w:rPr>
        <w:t>投标产品为小型或微型企业生产的并提交</w:t>
      </w:r>
      <w:r>
        <w:rPr>
          <w:rFonts w:hint="eastAsia" w:ascii="宋体" w:hAnsi="宋体" w:cs="宋体"/>
          <w:bCs/>
          <w:color w:val="auto"/>
          <w:sz w:val="22"/>
          <w:highlight w:val="none"/>
          <w:lang w:val="en-US" w:eastAsia="zh-CN"/>
        </w:rPr>
        <w:t>中小企业申明函的</w:t>
      </w:r>
      <w:r>
        <w:rPr>
          <w:rFonts w:hint="eastAsia" w:ascii="宋体" w:hAnsi="宋体" w:cs="宋体"/>
          <w:bCs/>
          <w:color w:val="auto"/>
          <w:sz w:val="22"/>
          <w:highlight w:val="none"/>
        </w:rPr>
        <w:t>，其小型或微型企业部分投标报价扣除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②根据《关于政府采购支持监狱企业发展有关问题的通知》（财库[2014]68号）的规定，在政府采购活动中，监狱企业视同小型、微型企业，其小型或微型企业部分投标报价扣除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③根据《财政部、民政部、中国残疾人联合会关于促进残疾人就业政府采购政策的通知》（财库〔2017〕141号）的规定，在政府采购活动中，残疾人福利性单位视同小型、微型企业，其小型或微型企业部分投标报价扣除</w:t>
      </w:r>
      <w:r>
        <w:rPr>
          <w:rFonts w:hint="eastAsia" w:ascii="宋体" w:hAnsi="宋体" w:cs="宋体"/>
          <w:bCs/>
          <w:color w:val="auto"/>
          <w:sz w:val="22"/>
          <w:highlight w:val="none"/>
          <w:lang w:val="en-US" w:eastAsia="zh-CN"/>
        </w:rPr>
        <w:t>20</w:t>
      </w:r>
      <w:r>
        <w:rPr>
          <w:rFonts w:hint="eastAsia" w:ascii="宋体" w:hAnsi="宋体" w:cs="宋体"/>
          <w:bCs/>
          <w:color w:val="auto"/>
          <w:sz w:val="22"/>
          <w:highlight w:val="none"/>
        </w:rPr>
        <w:t>%后参与评审。</w:t>
      </w:r>
    </w:p>
    <w:p>
      <w:pPr>
        <w:spacing w:line="440" w:lineRule="exact"/>
        <w:ind w:firstLine="440" w:firstLineChars="200"/>
        <w:rPr>
          <w:rFonts w:hint="eastAsia" w:ascii="宋体" w:hAnsi="宋体" w:cs="宋体"/>
          <w:bCs/>
          <w:color w:val="auto"/>
          <w:sz w:val="22"/>
          <w:highlight w:val="none"/>
        </w:rPr>
      </w:pPr>
      <w:r>
        <w:rPr>
          <w:rFonts w:hint="eastAsia" w:ascii="宋体" w:hAnsi="宋体" w:cs="宋体"/>
          <w:bCs/>
          <w:color w:val="auto"/>
          <w:sz w:val="22"/>
          <w:highlight w:val="none"/>
        </w:rPr>
        <w:t>④以上小型、微型企业的，不重复享受政策。未提供完整证明材料的，投标报价不予扣减。对于联合体协议或者分包意向协议约定小微企业合同份额占到合同总金额30%以上的，对其投标报价给予</w:t>
      </w:r>
      <w:r>
        <w:rPr>
          <w:rFonts w:hint="eastAsia" w:ascii="宋体" w:hAnsi="宋体" w:cs="宋体"/>
          <w:bCs/>
          <w:color w:val="auto"/>
          <w:sz w:val="22"/>
          <w:highlight w:val="none"/>
          <w:lang w:val="en-US" w:eastAsia="zh-CN"/>
        </w:rPr>
        <w:t>6</w:t>
      </w:r>
      <w:r>
        <w:rPr>
          <w:rFonts w:hint="eastAsia" w:ascii="宋体" w:hAnsi="宋体" w:cs="宋体"/>
          <w:bCs/>
          <w:color w:val="auto"/>
          <w:sz w:val="22"/>
          <w:highlight w:val="none"/>
        </w:rPr>
        <w:t>%的扣除，用扣除后的价格参与评审。证明材料详见</w:t>
      </w:r>
      <w:r>
        <w:rPr>
          <w:rFonts w:hint="eastAsia" w:ascii="宋体" w:hAnsi="宋体" w:cs="宋体"/>
          <w:bCs/>
          <w:color w:val="auto"/>
          <w:sz w:val="22"/>
          <w:highlight w:val="none"/>
          <w:lang w:eastAsia="zh-CN"/>
        </w:rPr>
        <w:t>采购文件</w:t>
      </w:r>
      <w:r>
        <w:rPr>
          <w:rFonts w:hint="eastAsia" w:ascii="宋体" w:hAnsi="宋体" w:cs="宋体"/>
          <w:bCs/>
          <w:color w:val="auto"/>
          <w:sz w:val="22"/>
          <w:highlight w:val="none"/>
        </w:rPr>
        <w:t>第二部分。</w:t>
      </w:r>
    </w:p>
    <w:p>
      <w:pPr>
        <w:spacing w:line="440" w:lineRule="exact"/>
        <w:ind w:firstLine="440" w:firstLineChars="200"/>
        <w:rPr>
          <w:rFonts w:hint="eastAsia" w:ascii="新宋体" w:hAnsi="新宋体" w:eastAsia="宋体" w:cs="新宋体"/>
          <w:b/>
          <w:bCs/>
          <w:kern w:val="0"/>
          <w:sz w:val="22"/>
          <w:szCs w:val="22"/>
          <w:u w:val="single"/>
          <w:lang w:eastAsia="zh-CN"/>
        </w:rPr>
      </w:pPr>
      <w:r>
        <w:rPr>
          <w:rFonts w:hint="eastAsia" w:ascii="宋体" w:hAnsi="宋体" w:cs="宋体"/>
          <w:bCs/>
          <w:color w:val="auto"/>
          <w:sz w:val="22"/>
          <w:highlight w:val="none"/>
        </w:rPr>
        <w:t>⑤投标如缺少须提供的一种功能或配置或服务，评标价将在其投标价的基础上加上其他投标人相应分项价格的最高价。如若中标，该缺漏项费用将由中标人自行承担</w:t>
      </w:r>
      <w:r>
        <w:rPr>
          <w:rFonts w:hint="eastAsia" w:ascii="宋体" w:hAnsi="宋体" w:cs="宋体"/>
          <w:bCs/>
          <w:color w:val="auto"/>
          <w:sz w:val="22"/>
          <w:highlight w:val="none"/>
          <w:lang w:eastAsia="zh-CN"/>
        </w:rPr>
        <w:t>。</w:t>
      </w:r>
    </w:p>
    <w:p>
      <w:pPr>
        <w:numPr>
          <w:ilvl w:val="0"/>
          <w:numId w:val="13"/>
        </w:numPr>
        <w:spacing w:line="440" w:lineRule="exact"/>
        <w:ind w:firstLine="0"/>
        <w:rPr>
          <w:rFonts w:ascii="宋体" w:hAnsi="宋体" w:cs="宋体"/>
          <w:b/>
          <w:sz w:val="22"/>
          <w:szCs w:val="22"/>
        </w:rPr>
      </w:pPr>
      <w:r>
        <w:rPr>
          <w:rFonts w:hint="eastAsia" w:ascii="新宋体" w:hAnsi="新宋体" w:eastAsia="新宋体" w:cs="新宋体"/>
          <w:b/>
          <w:bCs/>
          <w:sz w:val="22"/>
          <w:szCs w:val="22"/>
        </w:rPr>
        <w:t>有效投标人的综合得分为商务技术文件得分和投标报价得分的总和。</w:t>
      </w:r>
    </w:p>
    <w:sectPr>
      <w:footerReference r:id="rId11" w:type="first"/>
      <w:headerReference r:id="rId9" w:type="default"/>
      <w:footerReference r:id="rId10" w:type="default"/>
      <w:pgSz w:w="11906" w:h="16838"/>
      <w:pgMar w:top="1134" w:right="1134" w:bottom="1134" w:left="1134" w:header="851" w:footer="851"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华文细黑">
    <w:panose1 w:val="02010600040101010101"/>
    <w:charset w:val="86"/>
    <w:family w:val="auto"/>
    <w:pitch w:val="default"/>
    <w:sig w:usb0="00000287" w:usb1="080F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Helvetica Neue">
    <w:altName w:val="Malgun Gothic"/>
    <w:panose1 w:val="00000000000000000000"/>
    <w:charset w:val="00"/>
    <w:family w:val="auto"/>
    <w:pitch w:val="default"/>
    <w:sig w:usb0="00000000" w:usb1="00000000" w:usb2="00000010" w:usb3="00000000" w:csb0="00000001"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宋体,Verdana,Arial">
    <w:altName w:val="宋体"/>
    <w:panose1 w:val="00000000000000000000"/>
    <w:charset w:val="86"/>
    <w:family w:val="roman"/>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Heiti SC Light">
    <w:altName w:val="黑体"/>
    <w:panose1 w:val="00000000000000000000"/>
    <w:charset w:val="00"/>
    <w:family w:val="auto"/>
    <w:pitch w:val="default"/>
    <w:sig w:usb0="00000000" w:usb1="00000000" w:usb2="00000010" w:usb3="00000000" w:csb0="003E0000" w:csb1="00000000"/>
  </w:font>
  <w:font w:name="ZapfDingbatsNr2EFOP-Regular">
    <w:altName w:val="黑体"/>
    <w:panose1 w:val="00000000000000000000"/>
    <w:charset w:val="00"/>
    <w:family w:val="auto"/>
    <w:pitch w:val="default"/>
    <w:sig w:usb0="00000000" w:usb1="00000000" w:usb2="00000010"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新宋体">
    <w:panose1 w:val="02010609030101010101"/>
    <w:charset w:val="86"/>
    <w:family w:val="modern"/>
    <w:pitch w:val="default"/>
    <w:sig w:usb0="00000283" w:usb1="288F0000" w:usb2="00000006" w:usb3="00000000" w:csb0="00040001" w:csb1="00000000"/>
  </w:font>
  <w:font w:name="华文仿宋">
    <w:panose1 w:val="02010600040101010101"/>
    <w:charset w:val="86"/>
    <w:family w:val="auto"/>
    <w:pitch w:val="default"/>
    <w:sig w:usb0="00000287" w:usb1="080F0000" w:usb2="00000000" w:usb3="00000000" w:csb0="0004009F" w:csb1="DFD70000"/>
  </w:font>
  <w:font w:name="Century Gothic">
    <w:panose1 w:val="020B0502020202020204"/>
    <w:charset w:val="00"/>
    <w:family w:val="swiss"/>
    <w:pitch w:val="default"/>
    <w:sig w:usb0="00000287" w:usb1="00000000" w:usb2="00000000" w:usb3="00000000" w:csb0="2000009F" w:csb1="DFD70000"/>
  </w:font>
  <w:font w:name="Univers LT Std 47 Cn Lt">
    <w:altName w:val="宋体"/>
    <w:panose1 w:val="00000000000000000000"/>
    <w:charset w:val="86"/>
    <w:family w:val="swiss"/>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Linotype Univers 330 Light">
    <w:altName w:val="宋体"/>
    <w:panose1 w:val="00000000000000000000"/>
    <w:charset w:val="86"/>
    <w:family w:val="swiss"/>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Univers LT Std 57 Cn">
    <w:altName w:val="Arial"/>
    <w:panose1 w:val="00000000000000000000"/>
    <w:charset w:val="00"/>
    <w:family w:val="swiss"/>
    <w:pitch w:val="default"/>
    <w:sig w:usb0="00000000" w:usb1="00000000" w:usb2="00000000" w:usb3="00000000" w:csb0="00000001" w:csb1="00000000"/>
  </w:font>
  <w:font w:name="汉仪细中圆简">
    <w:altName w:val="宋体"/>
    <w:panose1 w:val="00000000000000000000"/>
    <w:charset w:val="86"/>
    <w:family w:val="modern"/>
    <w:pitch w:val="default"/>
    <w:sig w:usb0="00000000" w:usb1="00000000" w:usb2="0000001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ind w:right="360" w:firstLine="4410" w:firstLineChars="245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framePr w:wrap="around" w:vAnchor="text" w:hAnchor="margin" w:xAlign="center" w:y="1"/>
      <w:rPr>
        <w:rStyle w:val="60"/>
      </w:rPr>
    </w:pPr>
    <w:r>
      <w:fldChar w:fldCharType="begin"/>
    </w:r>
    <w:r>
      <w:rPr>
        <w:rStyle w:val="60"/>
      </w:rPr>
      <w:instrText xml:space="preserve">PAGE  </w:instrText>
    </w:r>
    <w:r>
      <w:fldChar w:fldCharType="end"/>
    </w:r>
  </w:p>
  <w:p>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w:rPr>
        <w:rFonts w:hint="eastAsia"/>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Bdr>
        <w:top w:val="single" w:color="auto" w:sz="4" w:space="1"/>
      </w:pBdr>
      <w:ind w:right="-82" w:rightChars="-39" w:firstLine="4410" w:firstLineChars="2450"/>
      <w:jc w:val="right"/>
      <w:rPr>
        <w:rFonts w:ascii="宋体" w:hAnsi="宋体" w:cs="宋体"/>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302895" cy="132080"/>
              <wp:effectExtent l="0" t="0" r="0" b="0"/>
              <wp:wrapNone/>
              <wp:docPr id="13" name="文本框 6"/>
              <wp:cNvGraphicFramePr/>
              <a:graphic xmlns:a="http://schemas.openxmlformats.org/drawingml/2006/main">
                <a:graphicData uri="http://schemas.microsoft.com/office/word/2010/wordprocessingShape">
                  <wps:wsp>
                    <wps:cNvSpPr txBox="1"/>
                    <wps:spPr>
                      <a:xfrm>
                        <a:off x="0" y="0"/>
                        <a:ext cx="302895" cy="132080"/>
                      </a:xfrm>
                      <a:prstGeom prst="rect">
                        <a:avLst/>
                      </a:prstGeom>
                      <a:noFill/>
                      <a:ln>
                        <a:noFill/>
                      </a:ln>
                    </wps:spPr>
                    <wps:txbx>
                      <w:txbxContent>
                        <w:p>
                          <w:pPr>
                            <w:pStyle w:val="38"/>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41</w:t>
                          </w:r>
                          <w:r>
                            <w:rPr>
                              <w:rFonts w:hint="eastAsia" w:ascii="新宋体" w:hAnsi="新宋体" w:eastAsia="新宋体" w:cs="新宋体"/>
                              <w:b/>
                              <w:sz w:val="16"/>
                              <w:szCs w:val="16"/>
                            </w:rPr>
                            <w:fldChar w:fldCharType="end"/>
                          </w:r>
                        </w:p>
                      </w:txbxContent>
                    </wps:txbx>
                    <wps:bodyPr wrap="square" lIns="0" tIns="0" rIns="0" bIns="0" upright="1"/>
                  </wps:wsp>
                </a:graphicData>
              </a:graphic>
            </wp:anchor>
          </w:drawing>
        </mc:Choice>
        <mc:Fallback>
          <w:pict>
            <v:shape id="文本框 6" o:spid="_x0000_s1026" o:spt="202" type="#_x0000_t202" style="position:absolute;left:0pt;margin-top:0pt;height:10.4pt;width:23.85pt;mso-position-horizontal:center;mso-position-horizontal-relative:margin;z-index:251659264;mso-width-relative:page;mso-height-relative:page;" filled="f" stroked="f" coordsize="21600,21600" o:gfxdata="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u5MVa1AAAAAMBAAAPAAAAAAAAAAEAIAAAACIAAABkcnMvZG93bnJldi54&#10;bWxQSwECFAAUAAAACACHTuJA7rKfJ8UBAACAAwAADgAAAAAAAAABACAAAAAjAQAAZHJzL2Uyb0Rv&#10;Yy54bWxQSwUGAAAAAAYABgBZAQAAWgUAAAAA&#10;">
              <v:fill on="f" focussize="0,0"/>
              <v:stroke on="f"/>
              <v:imagedata o:title=""/>
              <o:lock v:ext="edit" aspectratio="f"/>
              <v:textbox inset="0mm,0mm,0mm,0mm">
                <w:txbxContent>
                  <w:p>
                    <w:pPr>
                      <w:pStyle w:val="38"/>
                      <w:rPr>
                        <w:rStyle w:val="60"/>
                        <w:rFonts w:ascii="新宋体" w:hAnsi="新宋体" w:eastAsia="新宋体" w:cs="新宋体"/>
                        <w:b/>
                        <w:sz w:val="16"/>
                        <w:szCs w:val="16"/>
                      </w:rPr>
                    </w:pPr>
                    <w:r>
                      <w:rPr>
                        <w:rFonts w:hint="eastAsia" w:ascii="新宋体" w:hAnsi="新宋体" w:eastAsia="新宋体" w:cs="新宋体"/>
                        <w:b/>
                        <w:sz w:val="16"/>
                        <w:szCs w:val="16"/>
                      </w:rPr>
                      <w:fldChar w:fldCharType="begin"/>
                    </w:r>
                    <w:r>
                      <w:rPr>
                        <w:rStyle w:val="60"/>
                        <w:rFonts w:hint="eastAsia" w:ascii="新宋体" w:hAnsi="新宋体" w:eastAsia="新宋体" w:cs="新宋体"/>
                        <w:b/>
                        <w:sz w:val="16"/>
                        <w:szCs w:val="16"/>
                      </w:rPr>
                      <w:instrText xml:space="preserve">PAGE  </w:instrText>
                    </w:r>
                    <w:r>
                      <w:rPr>
                        <w:rFonts w:hint="eastAsia" w:ascii="新宋体" w:hAnsi="新宋体" w:eastAsia="新宋体" w:cs="新宋体"/>
                        <w:b/>
                        <w:sz w:val="16"/>
                        <w:szCs w:val="16"/>
                      </w:rPr>
                      <w:fldChar w:fldCharType="separate"/>
                    </w:r>
                    <w:r>
                      <w:rPr>
                        <w:rStyle w:val="60"/>
                        <w:rFonts w:ascii="新宋体" w:hAnsi="新宋体" w:eastAsia="新宋体" w:cs="新宋体"/>
                        <w:b/>
                        <w:sz w:val="16"/>
                        <w:szCs w:val="16"/>
                      </w:rPr>
                      <w:t>41</w:t>
                    </w:r>
                    <w:r>
                      <w:rPr>
                        <w:rFonts w:hint="eastAsia" w:ascii="新宋体" w:hAnsi="新宋体" w:eastAsia="新宋体" w:cs="新宋体"/>
                        <w:b/>
                        <w:sz w:val="16"/>
                        <w:szCs w:val="16"/>
                      </w:rPr>
                      <w:fldChar w:fldCharType="end"/>
                    </w:r>
                  </w:p>
                </w:txbxContent>
              </v:textbox>
            </v:shape>
          </w:pict>
        </mc:Fallback>
      </mc:AlternateContent>
    </w:r>
    <w:r>
      <w:rPr>
        <w:rFonts w:hint="eastAsia" w:ascii="宋体" w:hAnsi="宋体" w:cs="宋体"/>
      </w:rPr>
      <w:t>温州市智信招标代理有限公司</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4" name="文本框 9"/>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文本框 9"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z4vdRNAAAAACAQAADwAAAAAAAAABACAAAAAiAAAA&#10;ZHJzL2Rvd25yZXYueG1sUEsBAhQAFAAAAAgAh07iQIIzKqkPAgAAEAQAAA4AAAAAAAAAAQAgAAAA&#10;HwEAAGRycy9lMm9Eb2MueG1sUEsFBgAAAAAGAAYAWQEAAKAFA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left"/>
    </w:pPr>
    <w:r>
      <w:rPr>
        <w:rFonts w:hint="eastAsia"/>
      </w:rPr>
      <w:t>鹿</w:t>
    </w:r>
    <w:r>
      <w:rPr>
        <w:rFonts w:hint="eastAsia"/>
        <w:lang w:eastAsia="zh-CN"/>
      </w:rPr>
      <w:t>、、</w:t>
    </w:r>
    <w:r>
      <w:rPr>
        <w:rFonts w:hint="eastAsia"/>
      </w:rPr>
      <w:t xml:space="preserve">政府采购采购文件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pBdr>
        <w:bottom w:val="none" w:color="auto" w:sz="0" w:space="1"/>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both"/>
      <w:rPr>
        <w:rFonts w:eastAsia="新宋体"/>
      </w:rPr>
    </w:pPr>
    <w:r>
      <w:rPr>
        <w:rFonts w:hint="eastAsia" w:eastAsia="新宋体"/>
      </w:rPr>
      <w:t>温州市政府采购采购文件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32A7DE"/>
    <w:multiLevelType w:val="singleLevel"/>
    <w:tmpl w:val="9132A7DE"/>
    <w:lvl w:ilvl="0" w:tentative="0">
      <w:start w:val="1"/>
      <w:numFmt w:val="decimal"/>
      <w:suff w:val="nothing"/>
      <w:lvlText w:val="%1．"/>
      <w:lvlJc w:val="left"/>
      <w:pPr>
        <w:ind w:left="0" w:firstLine="400"/>
      </w:pPr>
      <w:rPr>
        <w:rFonts w:hint="default"/>
      </w:rPr>
    </w:lvl>
  </w:abstractNum>
  <w:abstractNum w:abstractNumId="1">
    <w:nsid w:val="9780D570"/>
    <w:multiLevelType w:val="singleLevel"/>
    <w:tmpl w:val="9780D570"/>
    <w:lvl w:ilvl="0" w:tentative="0">
      <w:start w:val="1"/>
      <w:numFmt w:val="decimal"/>
      <w:suff w:val="nothing"/>
      <w:lvlText w:val="%1．"/>
      <w:lvlJc w:val="left"/>
      <w:pPr>
        <w:ind w:left="0" w:firstLine="400"/>
      </w:pPr>
      <w:rPr>
        <w:rFonts w:hint="default"/>
      </w:rPr>
    </w:lvl>
  </w:abstractNum>
  <w:abstractNum w:abstractNumId="2">
    <w:nsid w:val="B319288F"/>
    <w:multiLevelType w:val="singleLevel"/>
    <w:tmpl w:val="B319288F"/>
    <w:lvl w:ilvl="0" w:tentative="0">
      <w:start w:val="1"/>
      <w:numFmt w:val="decimalEnclosedCircleChinese"/>
      <w:suff w:val="nothing"/>
      <w:lvlText w:val="%1　"/>
      <w:lvlJc w:val="left"/>
      <w:pPr>
        <w:ind w:left="0" w:firstLine="400"/>
      </w:pPr>
      <w:rPr>
        <w:rFonts w:hint="eastAsia"/>
      </w:rPr>
    </w:lvl>
  </w:abstractNum>
  <w:abstractNum w:abstractNumId="3">
    <w:nsid w:val="00000031"/>
    <w:multiLevelType w:val="multilevel"/>
    <w:tmpl w:val="00000031"/>
    <w:lvl w:ilvl="0" w:tentative="0">
      <w:start w:val="1"/>
      <w:numFmt w:val="decimal"/>
      <w:lvlText w:val="（%1）"/>
      <w:lvlJc w:val="left"/>
      <w:pPr>
        <w:tabs>
          <w:tab w:val="left" w:pos="420"/>
        </w:tabs>
        <w:ind w:left="420" w:hanging="420"/>
      </w:pPr>
      <w:rPr>
        <w:rFonts w:hint="eastAsia" w:ascii="新宋体" w:hAnsi="新宋体" w:eastAsia="新宋体"/>
      </w:rPr>
    </w:lvl>
    <w:lvl w:ilvl="1" w:tentative="0">
      <w:start w:val="1"/>
      <w:numFmt w:val="lowerLetter"/>
      <w:lvlText w:val="%2)"/>
      <w:lvlJc w:val="left"/>
      <w:pPr>
        <w:tabs>
          <w:tab w:val="left" w:pos="840"/>
        </w:tabs>
        <w:ind w:left="840" w:hanging="420"/>
      </w:pPr>
    </w:lvl>
    <w:lvl w:ilvl="2" w:tentative="0">
      <w:start w:val="1"/>
      <w:numFmt w:val="decimal"/>
      <w:lvlText w:val="%3."/>
      <w:lvlJc w:val="left"/>
      <w:pPr>
        <w:tabs>
          <w:tab w:val="left" w:pos="1260"/>
        </w:tabs>
        <w:ind w:left="1260" w:hanging="420"/>
      </w:pPr>
      <w:rPr>
        <w:rFonts w:hint="eastAsia"/>
        <w:b w:val="0"/>
        <w:i w:val="0"/>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D1875C4"/>
    <w:multiLevelType w:val="multilevel"/>
    <w:tmpl w:val="0D1875C4"/>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EnclosedCircleChinese"/>
      <w:lvlText w:val="%3　"/>
      <w:lvlJc w:val="left"/>
      <w:pPr>
        <w:ind w:left="1260" w:hanging="420"/>
      </w:pPr>
      <w:rPr>
        <w:rFonts w:hint="eastAsia"/>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865BA7"/>
    <w:multiLevelType w:val="singleLevel"/>
    <w:tmpl w:val="0F865BA7"/>
    <w:lvl w:ilvl="0" w:tentative="0">
      <w:start w:val="1"/>
      <w:numFmt w:val="decimal"/>
      <w:suff w:val="nothing"/>
      <w:lvlText w:val="%1．"/>
      <w:lvlJc w:val="left"/>
      <w:pPr>
        <w:ind w:left="0" w:firstLine="400"/>
      </w:pPr>
      <w:rPr>
        <w:rFonts w:hint="default"/>
      </w:rPr>
    </w:lvl>
  </w:abstractNum>
  <w:abstractNum w:abstractNumId="6">
    <w:nsid w:val="17501AC2"/>
    <w:multiLevelType w:val="singleLevel"/>
    <w:tmpl w:val="17501AC2"/>
    <w:lvl w:ilvl="0" w:tentative="0">
      <w:start w:val="1"/>
      <w:numFmt w:val="decimalEnclosedCircleChinese"/>
      <w:suff w:val="nothing"/>
      <w:lvlText w:val="%1　"/>
      <w:lvlJc w:val="left"/>
      <w:pPr>
        <w:ind w:left="0" w:firstLine="400"/>
      </w:pPr>
      <w:rPr>
        <w:rFonts w:hint="eastAsia"/>
      </w:rPr>
    </w:lvl>
  </w:abstractNum>
  <w:abstractNum w:abstractNumId="7">
    <w:nsid w:val="20BBC8FF"/>
    <w:multiLevelType w:val="singleLevel"/>
    <w:tmpl w:val="20BBC8FF"/>
    <w:lvl w:ilvl="0" w:tentative="0">
      <w:start w:val="7"/>
      <w:numFmt w:val="decimal"/>
      <w:lvlText w:val="%1."/>
      <w:lvlJc w:val="left"/>
      <w:pPr>
        <w:tabs>
          <w:tab w:val="left" w:pos="312"/>
        </w:tabs>
      </w:pPr>
    </w:lvl>
  </w:abstractNum>
  <w:abstractNum w:abstractNumId="8">
    <w:nsid w:val="54F403B5"/>
    <w:multiLevelType w:val="singleLevel"/>
    <w:tmpl w:val="54F403B5"/>
    <w:lvl w:ilvl="0" w:tentative="0">
      <w:start w:val="1"/>
      <w:numFmt w:val="chineseCounting"/>
      <w:suff w:val="nothing"/>
      <w:lvlText w:val="%1、"/>
      <w:lvlJc w:val="left"/>
      <w:pPr>
        <w:ind w:left="0" w:firstLine="0"/>
      </w:pPr>
    </w:lvl>
  </w:abstractNum>
  <w:abstractNum w:abstractNumId="9">
    <w:nsid w:val="557FD3DA"/>
    <w:multiLevelType w:val="singleLevel"/>
    <w:tmpl w:val="557FD3DA"/>
    <w:lvl w:ilvl="0" w:tentative="0">
      <w:start w:val="3"/>
      <w:numFmt w:val="chineseCounting"/>
      <w:suff w:val="nothing"/>
      <w:lvlText w:val="%1、"/>
      <w:lvlJc w:val="left"/>
      <w:pPr>
        <w:ind w:left="0" w:firstLine="0"/>
      </w:pPr>
    </w:lvl>
  </w:abstractNum>
  <w:abstractNum w:abstractNumId="10">
    <w:nsid w:val="57D5443E"/>
    <w:multiLevelType w:val="multilevel"/>
    <w:tmpl w:val="57D5443E"/>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decimal"/>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81446B1"/>
    <w:multiLevelType w:val="multilevel"/>
    <w:tmpl w:val="581446B1"/>
    <w:lvl w:ilvl="0" w:tentative="0">
      <w:start w:val="1"/>
      <w:numFmt w:val="decimal"/>
      <w:pStyle w:val="729"/>
      <w:lvlText w:val="图%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5BFB4AE7"/>
    <w:multiLevelType w:val="singleLevel"/>
    <w:tmpl w:val="5BFB4AE7"/>
    <w:lvl w:ilvl="0" w:tentative="0">
      <w:start w:val="1"/>
      <w:numFmt w:val="chineseCounting"/>
      <w:suff w:val="nothing"/>
      <w:lvlText w:val="%1、"/>
      <w:lvlJc w:val="left"/>
      <w:pPr>
        <w:ind w:left="0" w:firstLine="420"/>
      </w:pPr>
      <w:rPr>
        <w:rFonts w:hint="eastAsia"/>
      </w:rPr>
    </w:lvl>
  </w:abstractNum>
  <w:abstractNum w:abstractNumId="13">
    <w:nsid w:val="7B9B3A13"/>
    <w:multiLevelType w:val="singleLevel"/>
    <w:tmpl w:val="7B9B3A13"/>
    <w:lvl w:ilvl="0" w:tentative="0">
      <w:start w:val="1"/>
      <w:numFmt w:val="decimalEnclosedCircleChinese"/>
      <w:suff w:val="nothing"/>
      <w:lvlText w:val="%1　"/>
      <w:lvlJc w:val="left"/>
      <w:pPr>
        <w:ind w:left="25" w:firstLine="400"/>
      </w:pPr>
      <w:rPr>
        <w:rFonts w:hint="eastAsia"/>
      </w:rPr>
    </w:lvl>
  </w:abstractNum>
  <w:num w:numId="1">
    <w:abstractNumId w:val="11"/>
  </w:num>
  <w:num w:numId="2">
    <w:abstractNumId w:val="13"/>
  </w:num>
  <w:num w:numId="3">
    <w:abstractNumId w:val="2"/>
  </w:num>
  <w:num w:numId="4">
    <w:abstractNumId w:val="3"/>
  </w:num>
  <w:num w:numId="5">
    <w:abstractNumId w:val="4"/>
  </w:num>
  <w:num w:numId="6">
    <w:abstractNumId w:val="8"/>
    <w:lvlOverride w:ilvl="0">
      <w:startOverride w:val="1"/>
    </w:lvlOverride>
  </w:num>
  <w:num w:numId="7">
    <w:abstractNumId w:val="9"/>
    <w:lvlOverride w:ilvl="0">
      <w:startOverride w:val="3"/>
    </w:lvlOverride>
  </w:num>
  <w:num w:numId="8">
    <w:abstractNumId w:val="10"/>
  </w:num>
  <w:num w:numId="9">
    <w:abstractNumId w:val="7"/>
  </w:num>
  <w:num w:numId="10">
    <w:abstractNumId w:val="12"/>
  </w:num>
  <w:num w:numId="11">
    <w:abstractNumId w:val="1"/>
  </w:num>
  <w:num w:numId="12">
    <w:abstractNumId w:val="0"/>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Y2FiM2Y2MWU2MDVmMTUxYjFkMDg4YjU4NmRhYmEifQ=="/>
  </w:docVars>
  <w:rsids>
    <w:rsidRoot w:val="00172A27"/>
    <w:rsid w:val="000020D1"/>
    <w:rsid w:val="000025FB"/>
    <w:rsid w:val="00004214"/>
    <w:rsid w:val="00006FF5"/>
    <w:rsid w:val="0001503C"/>
    <w:rsid w:val="0001521F"/>
    <w:rsid w:val="00016CCB"/>
    <w:rsid w:val="00025364"/>
    <w:rsid w:val="0003362C"/>
    <w:rsid w:val="00034534"/>
    <w:rsid w:val="0003480C"/>
    <w:rsid w:val="00034C4D"/>
    <w:rsid w:val="0003586B"/>
    <w:rsid w:val="000404E1"/>
    <w:rsid w:val="00041F17"/>
    <w:rsid w:val="000423D5"/>
    <w:rsid w:val="00051759"/>
    <w:rsid w:val="000526A1"/>
    <w:rsid w:val="000528C6"/>
    <w:rsid w:val="000546C0"/>
    <w:rsid w:val="00060368"/>
    <w:rsid w:val="00060653"/>
    <w:rsid w:val="00063852"/>
    <w:rsid w:val="00071105"/>
    <w:rsid w:val="00072217"/>
    <w:rsid w:val="00072D0A"/>
    <w:rsid w:val="00074270"/>
    <w:rsid w:val="00074BEF"/>
    <w:rsid w:val="0007511B"/>
    <w:rsid w:val="00075CA7"/>
    <w:rsid w:val="000765F2"/>
    <w:rsid w:val="000766F3"/>
    <w:rsid w:val="000772F6"/>
    <w:rsid w:val="00083BCD"/>
    <w:rsid w:val="0009250A"/>
    <w:rsid w:val="000933AB"/>
    <w:rsid w:val="00094156"/>
    <w:rsid w:val="00096156"/>
    <w:rsid w:val="00096BB9"/>
    <w:rsid w:val="000A0F1B"/>
    <w:rsid w:val="000A10A2"/>
    <w:rsid w:val="000A1A6B"/>
    <w:rsid w:val="000A2103"/>
    <w:rsid w:val="000A481C"/>
    <w:rsid w:val="000A5391"/>
    <w:rsid w:val="000A5C27"/>
    <w:rsid w:val="000A5CE7"/>
    <w:rsid w:val="000A6151"/>
    <w:rsid w:val="000B4764"/>
    <w:rsid w:val="000B4E1F"/>
    <w:rsid w:val="000B6A9E"/>
    <w:rsid w:val="000B7348"/>
    <w:rsid w:val="000B75CB"/>
    <w:rsid w:val="000B7D87"/>
    <w:rsid w:val="000C0DAD"/>
    <w:rsid w:val="000C1E25"/>
    <w:rsid w:val="000C1FCD"/>
    <w:rsid w:val="000C2444"/>
    <w:rsid w:val="000C33CF"/>
    <w:rsid w:val="000C36B8"/>
    <w:rsid w:val="000C58F2"/>
    <w:rsid w:val="000C76E1"/>
    <w:rsid w:val="000D0679"/>
    <w:rsid w:val="000D2ED5"/>
    <w:rsid w:val="000D3765"/>
    <w:rsid w:val="000D3B14"/>
    <w:rsid w:val="000D4ACC"/>
    <w:rsid w:val="000D548C"/>
    <w:rsid w:val="000D6F68"/>
    <w:rsid w:val="000D76A9"/>
    <w:rsid w:val="000E0F78"/>
    <w:rsid w:val="000E1986"/>
    <w:rsid w:val="000E37E0"/>
    <w:rsid w:val="000E3DDC"/>
    <w:rsid w:val="000E44B1"/>
    <w:rsid w:val="000E56A0"/>
    <w:rsid w:val="000E74F4"/>
    <w:rsid w:val="000E77C2"/>
    <w:rsid w:val="000F31F1"/>
    <w:rsid w:val="000F65DE"/>
    <w:rsid w:val="00100804"/>
    <w:rsid w:val="00102504"/>
    <w:rsid w:val="00102794"/>
    <w:rsid w:val="00105AFE"/>
    <w:rsid w:val="0010755B"/>
    <w:rsid w:val="00111114"/>
    <w:rsid w:val="001125EC"/>
    <w:rsid w:val="00113898"/>
    <w:rsid w:val="001147D0"/>
    <w:rsid w:val="00115140"/>
    <w:rsid w:val="0011601B"/>
    <w:rsid w:val="001203C5"/>
    <w:rsid w:val="00120AE6"/>
    <w:rsid w:val="00120C4F"/>
    <w:rsid w:val="00125E3E"/>
    <w:rsid w:val="00132584"/>
    <w:rsid w:val="00134C12"/>
    <w:rsid w:val="00137AC1"/>
    <w:rsid w:val="00140AE5"/>
    <w:rsid w:val="001465D6"/>
    <w:rsid w:val="00146621"/>
    <w:rsid w:val="00147402"/>
    <w:rsid w:val="001504E5"/>
    <w:rsid w:val="00151FEF"/>
    <w:rsid w:val="00153389"/>
    <w:rsid w:val="00154344"/>
    <w:rsid w:val="00157A56"/>
    <w:rsid w:val="00157D81"/>
    <w:rsid w:val="00162E03"/>
    <w:rsid w:val="001648AA"/>
    <w:rsid w:val="00165AEE"/>
    <w:rsid w:val="00166956"/>
    <w:rsid w:val="00171C3B"/>
    <w:rsid w:val="00171C49"/>
    <w:rsid w:val="00172A27"/>
    <w:rsid w:val="00173998"/>
    <w:rsid w:val="00173FB6"/>
    <w:rsid w:val="00177023"/>
    <w:rsid w:val="00180D6C"/>
    <w:rsid w:val="0018127B"/>
    <w:rsid w:val="001818DB"/>
    <w:rsid w:val="001822B9"/>
    <w:rsid w:val="00182E5C"/>
    <w:rsid w:val="00184AAB"/>
    <w:rsid w:val="00187F28"/>
    <w:rsid w:val="001907CE"/>
    <w:rsid w:val="001917D3"/>
    <w:rsid w:val="001942DC"/>
    <w:rsid w:val="00194C43"/>
    <w:rsid w:val="001952CC"/>
    <w:rsid w:val="00197D94"/>
    <w:rsid w:val="001A0025"/>
    <w:rsid w:val="001A06A2"/>
    <w:rsid w:val="001A0A65"/>
    <w:rsid w:val="001A25D3"/>
    <w:rsid w:val="001A57C3"/>
    <w:rsid w:val="001A5957"/>
    <w:rsid w:val="001B192B"/>
    <w:rsid w:val="001B281E"/>
    <w:rsid w:val="001B2834"/>
    <w:rsid w:val="001B5B5D"/>
    <w:rsid w:val="001B767A"/>
    <w:rsid w:val="001C0561"/>
    <w:rsid w:val="001C18E4"/>
    <w:rsid w:val="001C1CEE"/>
    <w:rsid w:val="001C3C94"/>
    <w:rsid w:val="001C6714"/>
    <w:rsid w:val="001D000C"/>
    <w:rsid w:val="001D010E"/>
    <w:rsid w:val="001D1BF1"/>
    <w:rsid w:val="001D23F1"/>
    <w:rsid w:val="001D30A0"/>
    <w:rsid w:val="001D32C3"/>
    <w:rsid w:val="001D7349"/>
    <w:rsid w:val="001E3203"/>
    <w:rsid w:val="001E6123"/>
    <w:rsid w:val="001F04E0"/>
    <w:rsid w:val="001F10CC"/>
    <w:rsid w:val="001F13BC"/>
    <w:rsid w:val="001F3B5D"/>
    <w:rsid w:val="001F55A7"/>
    <w:rsid w:val="001F55D4"/>
    <w:rsid w:val="001F597A"/>
    <w:rsid w:val="002016D5"/>
    <w:rsid w:val="0020200F"/>
    <w:rsid w:val="00203802"/>
    <w:rsid w:val="00205090"/>
    <w:rsid w:val="00205A5C"/>
    <w:rsid w:val="002071D0"/>
    <w:rsid w:val="00207630"/>
    <w:rsid w:val="0020769F"/>
    <w:rsid w:val="002114C8"/>
    <w:rsid w:val="00211A52"/>
    <w:rsid w:val="002135E8"/>
    <w:rsid w:val="00214803"/>
    <w:rsid w:val="002150F9"/>
    <w:rsid w:val="00215129"/>
    <w:rsid w:val="00215633"/>
    <w:rsid w:val="002218BE"/>
    <w:rsid w:val="00222088"/>
    <w:rsid w:val="002225FD"/>
    <w:rsid w:val="00225414"/>
    <w:rsid w:val="00225FB0"/>
    <w:rsid w:val="00231743"/>
    <w:rsid w:val="00232A1A"/>
    <w:rsid w:val="00234100"/>
    <w:rsid w:val="00234C5A"/>
    <w:rsid w:val="00237BF9"/>
    <w:rsid w:val="00237F32"/>
    <w:rsid w:val="00240F97"/>
    <w:rsid w:val="00241ACC"/>
    <w:rsid w:val="00242BA7"/>
    <w:rsid w:val="002452A3"/>
    <w:rsid w:val="002453F2"/>
    <w:rsid w:val="00245E73"/>
    <w:rsid w:val="00245EBB"/>
    <w:rsid w:val="00247058"/>
    <w:rsid w:val="00250A6E"/>
    <w:rsid w:val="002518C5"/>
    <w:rsid w:val="0025264D"/>
    <w:rsid w:val="00252D92"/>
    <w:rsid w:val="0025717C"/>
    <w:rsid w:val="002612C9"/>
    <w:rsid w:val="00261AE6"/>
    <w:rsid w:val="00261C54"/>
    <w:rsid w:val="00262836"/>
    <w:rsid w:val="00263B69"/>
    <w:rsid w:val="00264C67"/>
    <w:rsid w:val="00277AE9"/>
    <w:rsid w:val="00280665"/>
    <w:rsid w:val="002808A3"/>
    <w:rsid w:val="0028097B"/>
    <w:rsid w:val="00281371"/>
    <w:rsid w:val="0028173C"/>
    <w:rsid w:val="00281DDD"/>
    <w:rsid w:val="00283764"/>
    <w:rsid w:val="002851A6"/>
    <w:rsid w:val="0028639F"/>
    <w:rsid w:val="002873F1"/>
    <w:rsid w:val="00290D89"/>
    <w:rsid w:val="00292DE9"/>
    <w:rsid w:val="00293952"/>
    <w:rsid w:val="002948B5"/>
    <w:rsid w:val="00297102"/>
    <w:rsid w:val="002A2185"/>
    <w:rsid w:val="002A3701"/>
    <w:rsid w:val="002A425D"/>
    <w:rsid w:val="002A4FBF"/>
    <w:rsid w:val="002B0EFA"/>
    <w:rsid w:val="002B1DDF"/>
    <w:rsid w:val="002B20CC"/>
    <w:rsid w:val="002B2B0D"/>
    <w:rsid w:val="002B5B79"/>
    <w:rsid w:val="002B720C"/>
    <w:rsid w:val="002B7EA6"/>
    <w:rsid w:val="002C0713"/>
    <w:rsid w:val="002C133A"/>
    <w:rsid w:val="002C1B9D"/>
    <w:rsid w:val="002C1F7A"/>
    <w:rsid w:val="002C6213"/>
    <w:rsid w:val="002C68D8"/>
    <w:rsid w:val="002C70A1"/>
    <w:rsid w:val="002C7FDE"/>
    <w:rsid w:val="002D0B59"/>
    <w:rsid w:val="002D36F0"/>
    <w:rsid w:val="002D3A02"/>
    <w:rsid w:val="002D65D4"/>
    <w:rsid w:val="002D69BC"/>
    <w:rsid w:val="002D79D3"/>
    <w:rsid w:val="002E0997"/>
    <w:rsid w:val="002E0FA1"/>
    <w:rsid w:val="002E3ED6"/>
    <w:rsid w:val="002E44AF"/>
    <w:rsid w:val="002E4E17"/>
    <w:rsid w:val="002E55A5"/>
    <w:rsid w:val="002E75AC"/>
    <w:rsid w:val="002F114E"/>
    <w:rsid w:val="002F23D0"/>
    <w:rsid w:val="002F5652"/>
    <w:rsid w:val="002F5E0B"/>
    <w:rsid w:val="002F7683"/>
    <w:rsid w:val="00305B41"/>
    <w:rsid w:val="003065FB"/>
    <w:rsid w:val="003109E5"/>
    <w:rsid w:val="00310E51"/>
    <w:rsid w:val="00317168"/>
    <w:rsid w:val="00317549"/>
    <w:rsid w:val="00320364"/>
    <w:rsid w:val="00321DA0"/>
    <w:rsid w:val="00322559"/>
    <w:rsid w:val="00324F57"/>
    <w:rsid w:val="003276F6"/>
    <w:rsid w:val="00327E84"/>
    <w:rsid w:val="00330F68"/>
    <w:rsid w:val="003331F4"/>
    <w:rsid w:val="003334E2"/>
    <w:rsid w:val="00333CA9"/>
    <w:rsid w:val="00334582"/>
    <w:rsid w:val="00334CA0"/>
    <w:rsid w:val="00335D2E"/>
    <w:rsid w:val="00341A59"/>
    <w:rsid w:val="00342DF6"/>
    <w:rsid w:val="003447C6"/>
    <w:rsid w:val="0034519A"/>
    <w:rsid w:val="00346936"/>
    <w:rsid w:val="00346FA6"/>
    <w:rsid w:val="00347434"/>
    <w:rsid w:val="003506D5"/>
    <w:rsid w:val="0035116C"/>
    <w:rsid w:val="0035123F"/>
    <w:rsid w:val="0035178D"/>
    <w:rsid w:val="00352538"/>
    <w:rsid w:val="00352C42"/>
    <w:rsid w:val="0035369C"/>
    <w:rsid w:val="00360538"/>
    <w:rsid w:val="00360A27"/>
    <w:rsid w:val="00361339"/>
    <w:rsid w:val="00361505"/>
    <w:rsid w:val="00362235"/>
    <w:rsid w:val="00363654"/>
    <w:rsid w:val="003636A3"/>
    <w:rsid w:val="00365C7D"/>
    <w:rsid w:val="00366E33"/>
    <w:rsid w:val="00370103"/>
    <w:rsid w:val="0037030E"/>
    <w:rsid w:val="0037045B"/>
    <w:rsid w:val="0037077D"/>
    <w:rsid w:val="00370B04"/>
    <w:rsid w:val="00373FD6"/>
    <w:rsid w:val="00374BBC"/>
    <w:rsid w:val="003751D2"/>
    <w:rsid w:val="003762D2"/>
    <w:rsid w:val="003777B7"/>
    <w:rsid w:val="003802E6"/>
    <w:rsid w:val="00382609"/>
    <w:rsid w:val="00382FA1"/>
    <w:rsid w:val="003833DA"/>
    <w:rsid w:val="00384072"/>
    <w:rsid w:val="003857DC"/>
    <w:rsid w:val="00386781"/>
    <w:rsid w:val="00391DD0"/>
    <w:rsid w:val="00395D79"/>
    <w:rsid w:val="003A1A9C"/>
    <w:rsid w:val="003A23FC"/>
    <w:rsid w:val="003A38AD"/>
    <w:rsid w:val="003A519A"/>
    <w:rsid w:val="003A51E4"/>
    <w:rsid w:val="003A5340"/>
    <w:rsid w:val="003B1535"/>
    <w:rsid w:val="003B226B"/>
    <w:rsid w:val="003B31DD"/>
    <w:rsid w:val="003B4250"/>
    <w:rsid w:val="003B6D7D"/>
    <w:rsid w:val="003C00A0"/>
    <w:rsid w:val="003C38C6"/>
    <w:rsid w:val="003C4C5B"/>
    <w:rsid w:val="003C5F18"/>
    <w:rsid w:val="003D0862"/>
    <w:rsid w:val="003D28C5"/>
    <w:rsid w:val="003D43D9"/>
    <w:rsid w:val="003D5E4D"/>
    <w:rsid w:val="003E1A9C"/>
    <w:rsid w:val="003E29FF"/>
    <w:rsid w:val="003F1255"/>
    <w:rsid w:val="003F3E8B"/>
    <w:rsid w:val="003F4B65"/>
    <w:rsid w:val="003F633D"/>
    <w:rsid w:val="003F6B05"/>
    <w:rsid w:val="003F6E3F"/>
    <w:rsid w:val="0040337C"/>
    <w:rsid w:val="0040484D"/>
    <w:rsid w:val="00404A39"/>
    <w:rsid w:val="00405799"/>
    <w:rsid w:val="004067F7"/>
    <w:rsid w:val="00407E18"/>
    <w:rsid w:val="004100A0"/>
    <w:rsid w:val="00410C98"/>
    <w:rsid w:val="00411C61"/>
    <w:rsid w:val="004140F7"/>
    <w:rsid w:val="00416873"/>
    <w:rsid w:val="0042049E"/>
    <w:rsid w:val="00421F79"/>
    <w:rsid w:val="00423729"/>
    <w:rsid w:val="0042621A"/>
    <w:rsid w:val="00426D4B"/>
    <w:rsid w:val="00430108"/>
    <w:rsid w:val="00431E21"/>
    <w:rsid w:val="00434AFA"/>
    <w:rsid w:val="00437AC9"/>
    <w:rsid w:val="00440660"/>
    <w:rsid w:val="004412DE"/>
    <w:rsid w:val="004418B9"/>
    <w:rsid w:val="00442CCB"/>
    <w:rsid w:val="00444318"/>
    <w:rsid w:val="004463BF"/>
    <w:rsid w:val="00447401"/>
    <w:rsid w:val="00450E4F"/>
    <w:rsid w:val="00451F75"/>
    <w:rsid w:val="004551E9"/>
    <w:rsid w:val="004574C5"/>
    <w:rsid w:val="00463EF4"/>
    <w:rsid w:val="004643B6"/>
    <w:rsid w:val="004652A3"/>
    <w:rsid w:val="0046701E"/>
    <w:rsid w:val="00467811"/>
    <w:rsid w:val="0047158F"/>
    <w:rsid w:val="00471C40"/>
    <w:rsid w:val="00471C4F"/>
    <w:rsid w:val="00473226"/>
    <w:rsid w:val="004755A8"/>
    <w:rsid w:val="0048110A"/>
    <w:rsid w:val="00481F74"/>
    <w:rsid w:val="004821A8"/>
    <w:rsid w:val="00485DA9"/>
    <w:rsid w:val="00492571"/>
    <w:rsid w:val="004956DF"/>
    <w:rsid w:val="0049766C"/>
    <w:rsid w:val="004A0FEC"/>
    <w:rsid w:val="004A1225"/>
    <w:rsid w:val="004A2221"/>
    <w:rsid w:val="004A3332"/>
    <w:rsid w:val="004A6DF9"/>
    <w:rsid w:val="004A7385"/>
    <w:rsid w:val="004A7A17"/>
    <w:rsid w:val="004B1399"/>
    <w:rsid w:val="004B3275"/>
    <w:rsid w:val="004B3428"/>
    <w:rsid w:val="004B617F"/>
    <w:rsid w:val="004C1B49"/>
    <w:rsid w:val="004C255B"/>
    <w:rsid w:val="004C37F6"/>
    <w:rsid w:val="004C44DA"/>
    <w:rsid w:val="004C5F3D"/>
    <w:rsid w:val="004C6BCD"/>
    <w:rsid w:val="004C7A19"/>
    <w:rsid w:val="004C7BD7"/>
    <w:rsid w:val="004D0106"/>
    <w:rsid w:val="004D15C0"/>
    <w:rsid w:val="004D41DF"/>
    <w:rsid w:val="004D50EE"/>
    <w:rsid w:val="004D58F1"/>
    <w:rsid w:val="004D7594"/>
    <w:rsid w:val="004E0F42"/>
    <w:rsid w:val="004E20EF"/>
    <w:rsid w:val="004E3A27"/>
    <w:rsid w:val="004E5358"/>
    <w:rsid w:val="004E5D4B"/>
    <w:rsid w:val="004E61E1"/>
    <w:rsid w:val="004E6766"/>
    <w:rsid w:val="004E6F69"/>
    <w:rsid w:val="004F246B"/>
    <w:rsid w:val="004F430A"/>
    <w:rsid w:val="004F5A73"/>
    <w:rsid w:val="004F61F9"/>
    <w:rsid w:val="004F63E8"/>
    <w:rsid w:val="004F75B9"/>
    <w:rsid w:val="00502B08"/>
    <w:rsid w:val="00503D9F"/>
    <w:rsid w:val="00504D6A"/>
    <w:rsid w:val="005074A3"/>
    <w:rsid w:val="00510B41"/>
    <w:rsid w:val="00511B93"/>
    <w:rsid w:val="00514650"/>
    <w:rsid w:val="0052285A"/>
    <w:rsid w:val="00523598"/>
    <w:rsid w:val="00526521"/>
    <w:rsid w:val="00526F98"/>
    <w:rsid w:val="005315E9"/>
    <w:rsid w:val="005360A0"/>
    <w:rsid w:val="00540C10"/>
    <w:rsid w:val="00543D9A"/>
    <w:rsid w:val="00543E8A"/>
    <w:rsid w:val="00543F07"/>
    <w:rsid w:val="00543FBA"/>
    <w:rsid w:val="00547714"/>
    <w:rsid w:val="00547B6D"/>
    <w:rsid w:val="005510CD"/>
    <w:rsid w:val="00551F4A"/>
    <w:rsid w:val="005533F1"/>
    <w:rsid w:val="00556412"/>
    <w:rsid w:val="0055753E"/>
    <w:rsid w:val="00560C80"/>
    <w:rsid w:val="00560F44"/>
    <w:rsid w:val="005620B3"/>
    <w:rsid w:val="00564B33"/>
    <w:rsid w:val="005657AE"/>
    <w:rsid w:val="00567CB7"/>
    <w:rsid w:val="00572BE1"/>
    <w:rsid w:val="00573CEF"/>
    <w:rsid w:val="0057515B"/>
    <w:rsid w:val="005754DB"/>
    <w:rsid w:val="005756AB"/>
    <w:rsid w:val="005830B3"/>
    <w:rsid w:val="005845FB"/>
    <w:rsid w:val="00584716"/>
    <w:rsid w:val="00584782"/>
    <w:rsid w:val="00590BED"/>
    <w:rsid w:val="00590DE4"/>
    <w:rsid w:val="005968B8"/>
    <w:rsid w:val="005A23D2"/>
    <w:rsid w:val="005A43B4"/>
    <w:rsid w:val="005A4923"/>
    <w:rsid w:val="005A4A96"/>
    <w:rsid w:val="005A6404"/>
    <w:rsid w:val="005A6500"/>
    <w:rsid w:val="005B7403"/>
    <w:rsid w:val="005B7F32"/>
    <w:rsid w:val="005C139E"/>
    <w:rsid w:val="005C2F6F"/>
    <w:rsid w:val="005C369D"/>
    <w:rsid w:val="005C39EB"/>
    <w:rsid w:val="005D0C26"/>
    <w:rsid w:val="005D0F95"/>
    <w:rsid w:val="005D225B"/>
    <w:rsid w:val="005E1C05"/>
    <w:rsid w:val="005E46C6"/>
    <w:rsid w:val="005F178D"/>
    <w:rsid w:val="005F2119"/>
    <w:rsid w:val="005F255D"/>
    <w:rsid w:val="005F5EAF"/>
    <w:rsid w:val="005F71EE"/>
    <w:rsid w:val="005F7493"/>
    <w:rsid w:val="006015D9"/>
    <w:rsid w:val="0060182B"/>
    <w:rsid w:val="00603FC8"/>
    <w:rsid w:val="0060488B"/>
    <w:rsid w:val="00605D77"/>
    <w:rsid w:val="006069DE"/>
    <w:rsid w:val="0061145C"/>
    <w:rsid w:val="00611E6C"/>
    <w:rsid w:val="00621272"/>
    <w:rsid w:val="00625146"/>
    <w:rsid w:val="006255A7"/>
    <w:rsid w:val="00625E53"/>
    <w:rsid w:val="00627A30"/>
    <w:rsid w:val="0063428C"/>
    <w:rsid w:val="006347A2"/>
    <w:rsid w:val="006349C3"/>
    <w:rsid w:val="00635361"/>
    <w:rsid w:val="00637312"/>
    <w:rsid w:val="00637353"/>
    <w:rsid w:val="00637756"/>
    <w:rsid w:val="006413C8"/>
    <w:rsid w:val="00642748"/>
    <w:rsid w:val="00642B6B"/>
    <w:rsid w:val="00643947"/>
    <w:rsid w:val="00643D21"/>
    <w:rsid w:val="006459F0"/>
    <w:rsid w:val="006464D5"/>
    <w:rsid w:val="00646DE9"/>
    <w:rsid w:val="00653BB6"/>
    <w:rsid w:val="0065478D"/>
    <w:rsid w:val="00655A70"/>
    <w:rsid w:val="00655E4C"/>
    <w:rsid w:val="00656DC6"/>
    <w:rsid w:val="00657E24"/>
    <w:rsid w:val="00660862"/>
    <w:rsid w:val="0066201B"/>
    <w:rsid w:val="00662A63"/>
    <w:rsid w:val="00663E83"/>
    <w:rsid w:val="00665183"/>
    <w:rsid w:val="00667386"/>
    <w:rsid w:val="006673DB"/>
    <w:rsid w:val="00667927"/>
    <w:rsid w:val="00667BC4"/>
    <w:rsid w:val="00667BEB"/>
    <w:rsid w:val="00670D62"/>
    <w:rsid w:val="00671CED"/>
    <w:rsid w:val="006750C4"/>
    <w:rsid w:val="0068035C"/>
    <w:rsid w:val="00680711"/>
    <w:rsid w:val="00680E92"/>
    <w:rsid w:val="00682CF5"/>
    <w:rsid w:val="006832D4"/>
    <w:rsid w:val="006834AB"/>
    <w:rsid w:val="0068353C"/>
    <w:rsid w:val="00683600"/>
    <w:rsid w:val="00690C18"/>
    <w:rsid w:val="00690FC4"/>
    <w:rsid w:val="00692C33"/>
    <w:rsid w:val="00693969"/>
    <w:rsid w:val="0069593E"/>
    <w:rsid w:val="00695E48"/>
    <w:rsid w:val="00696324"/>
    <w:rsid w:val="0069654C"/>
    <w:rsid w:val="006A18C0"/>
    <w:rsid w:val="006A343B"/>
    <w:rsid w:val="006A36DE"/>
    <w:rsid w:val="006A4934"/>
    <w:rsid w:val="006A7580"/>
    <w:rsid w:val="006A78D8"/>
    <w:rsid w:val="006A7C7E"/>
    <w:rsid w:val="006B1217"/>
    <w:rsid w:val="006B22FC"/>
    <w:rsid w:val="006B24FC"/>
    <w:rsid w:val="006B291A"/>
    <w:rsid w:val="006B3936"/>
    <w:rsid w:val="006B4552"/>
    <w:rsid w:val="006B50E2"/>
    <w:rsid w:val="006B731A"/>
    <w:rsid w:val="006C0AB0"/>
    <w:rsid w:val="006C1BD3"/>
    <w:rsid w:val="006C27B0"/>
    <w:rsid w:val="006C4B55"/>
    <w:rsid w:val="006C4F4F"/>
    <w:rsid w:val="006C5B24"/>
    <w:rsid w:val="006C679B"/>
    <w:rsid w:val="006C6FC8"/>
    <w:rsid w:val="006C7D81"/>
    <w:rsid w:val="006C7F73"/>
    <w:rsid w:val="006D16A6"/>
    <w:rsid w:val="006D356C"/>
    <w:rsid w:val="006D46D6"/>
    <w:rsid w:val="006D480D"/>
    <w:rsid w:val="006D4D7F"/>
    <w:rsid w:val="006D55EA"/>
    <w:rsid w:val="006D612A"/>
    <w:rsid w:val="006D6202"/>
    <w:rsid w:val="006E5898"/>
    <w:rsid w:val="006F000D"/>
    <w:rsid w:val="006F49BD"/>
    <w:rsid w:val="006F4AD3"/>
    <w:rsid w:val="006F526F"/>
    <w:rsid w:val="006F63E1"/>
    <w:rsid w:val="006F719F"/>
    <w:rsid w:val="006F7670"/>
    <w:rsid w:val="006F7879"/>
    <w:rsid w:val="00700C74"/>
    <w:rsid w:val="007044B6"/>
    <w:rsid w:val="00705650"/>
    <w:rsid w:val="007123A7"/>
    <w:rsid w:val="007173B9"/>
    <w:rsid w:val="00717483"/>
    <w:rsid w:val="007205BE"/>
    <w:rsid w:val="00722895"/>
    <w:rsid w:val="00722FCD"/>
    <w:rsid w:val="00723F9D"/>
    <w:rsid w:val="00725981"/>
    <w:rsid w:val="00726C90"/>
    <w:rsid w:val="007349AB"/>
    <w:rsid w:val="00735BFB"/>
    <w:rsid w:val="00736637"/>
    <w:rsid w:val="00736C06"/>
    <w:rsid w:val="00736D37"/>
    <w:rsid w:val="00737A63"/>
    <w:rsid w:val="007406E2"/>
    <w:rsid w:val="007435B9"/>
    <w:rsid w:val="00744010"/>
    <w:rsid w:val="00747DF4"/>
    <w:rsid w:val="00750FB7"/>
    <w:rsid w:val="007512D7"/>
    <w:rsid w:val="00752013"/>
    <w:rsid w:val="007526D6"/>
    <w:rsid w:val="007527BF"/>
    <w:rsid w:val="007531E2"/>
    <w:rsid w:val="00753717"/>
    <w:rsid w:val="00753739"/>
    <w:rsid w:val="00753F3F"/>
    <w:rsid w:val="0075741F"/>
    <w:rsid w:val="00760716"/>
    <w:rsid w:val="0076216B"/>
    <w:rsid w:val="00762454"/>
    <w:rsid w:val="00764DB2"/>
    <w:rsid w:val="00766C86"/>
    <w:rsid w:val="007671C1"/>
    <w:rsid w:val="00770926"/>
    <w:rsid w:val="00771069"/>
    <w:rsid w:val="00774309"/>
    <w:rsid w:val="00774BAD"/>
    <w:rsid w:val="0077511C"/>
    <w:rsid w:val="0078020F"/>
    <w:rsid w:val="00782E66"/>
    <w:rsid w:val="00784419"/>
    <w:rsid w:val="00784FF3"/>
    <w:rsid w:val="00785AD4"/>
    <w:rsid w:val="00786F98"/>
    <w:rsid w:val="00787046"/>
    <w:rsid w:val="00787494"/>
    <w:rsid w:val="00790A06"/>
    <w:rsid w:val="00791336"/>
    <w:rsid w:val="00792CDE"/>
    <w:rsid w:val="0079558D"/>
    <w:rsid w:val="007956CA"/>
    <w:rsid w:val="0079655D"/>
    <w:rsid w:val="007A088B"/>
    <w:rsid w:val="007A214E"/>
    <w:rsid w:val="007A5A35"/>
    <w:rsid w:val="007B1683"/>
    <w:rsid w:val="007B3865"/>
    <w:rsid w:val="007B3B83"/>
    <w:rsid w:val="007B5423"/>
    <w:rsid w:val="007B7552"/>
    <w:rsid w:val="007C1AC7"/>
    <w:rsid w:val="007C2199"/>
    <w:rsid w:val="007C26F8"/>
    <w:rsid w:val="007C614D"/>
    <w:rsid w:val="007D0799"/>
    <w:rsid w:val="007D10AB"/>
    <w:rsid w:val="007D2B68"/>
    <w:rsid w:val="007D3DCD"/>
    <w:rsid w:val="007D4692"/>
    <w:rsid w:val="007D6026"/>
    <w:rsid w:val="007D7DC2"/>
    <w:rsid w:val="007E0226"/>
    <w:rsid w:val="007E3587"/>
    <w:rsid w:val="007E6E7B"/>
    <w:rsid w:val="007E7DEB"/>
    <w:rsid w:val="007F01B0"/>
    <w:rsid w:val="00803D04"/>
    <w:rsid w:val="008061FD"/>
    <w:rsid w:val="00806933"/>
    <w:rsid w:val="00807618"/>
    <w:rsid w:val="0080771D"/>
    <w:rsid w:val="00807DB0"/>
    <w:rsid w:val="00811C8B"/>
    <w:rsid w:val="008133F0"/>
    <w:rsid w:val="00814119"/>
    <w:rsid w:val="008145D9"/>
    <w:rsid w:val="00814AB4"/>
    <w:rsid w:val="00815C09"/>
    <w:rsid w:val="00823CA8"/>
    <w:rsid w:val="0082536B"/>
    <w:rsid w:val="0083027F"/>
    <w:rsid w:val="00833C4E"/>
    <w:rsid w:val="00835804"/>
    <w:rsid w:val="00836C0C"/>
    <w:rsid w:val="008372CE"/>
    <w:rsid w:val="0084150C"/>
    <w:rsid w:val="00842340"/>
    <w:rsid w:val="00843CA7"/>
    <w:rsid w:val="008442F6"/>
    <w:rsid w:val="00851BB6"/>
    <w:rsid w:val="0085451A"/>
    <w:rsid w:val="00855D7A"/>
    <w:rsid w:val="00864169"/>
    <w:rsid w:val="00864B02"/>
    <w:rsid w:val="008653D9"/>
    <w:rsid w:val="00870CC4"/>
    <w:rsid w:val="00870E49"/>
    <w:rsid w:val="008717EC"/>
    <w:rsid w:val="00872BA5"/>
    <w:rsid w:val="00873A39"/>
    <w:rsid w:val="00876E97"/>
    <w:rsid w:val="008822EF"/>
    <w:rsid w:val="008837BD"/>
    <w:rsid w:val="0088633C"/>
    <w:rsid w:val="00887F70"/>
    <w:rsid w:val="00890575"/>
    <w:rsid w:val="008923AF"/>
    <w:rsid w:val="00893721"/>
    <w:rsid w:val="00893B7B"/>
    <w:rsid w:val="008960AF"/>
    <w:rsid w:val="008A108A"/>
    <w:rsid w:val="008A1EAA"/>
    <w:rsid w:val="008A2005"/>
    <w:rsid w:val="008A21FA"/>
    <w:rsid w:val="008A348E"/>
    <w:rsid w:val="008A4BBE"/>
    <w:rsid w:val="008A7E00"/>
    <w:rsid w:val="008B114E"/>
    <w:rsid w:val="008B350A"/>
    <w:rsid w:val="008C04BE"/>
    <w:rsid w:val="008C0998"/>
    <w:rsid w:val="008C0A27"/>
    <w:rsid w:val="008C33EE"/>
    <w:rsid w:val="008C36F6"/>
    <w:rsid w:val="008C448B"/>
    <w:rsid w:val="008C56BE"/>
    <w:rsid w:val="008D572F"/>
    <w:rsid w:val="008D6204"/>
    <w:rsid w:val="008E002C"/>
    <w:rsid w:val="008E09EA"/>
    <w:rsid w:val="008E1C22"/>
    <w:rsid w:val="008E3791"/>
    <w:rsid w:val="008E61B7"/>
    <w:rsid w:val="008E6DFE"/>
    <w:rsid w:val="008E74C1"/>
    <w:rsid w:val="008E7F0A"/>
    <w:rsid w:val="008E7F26"/>
    <w:rsid w:val="008F267D"/>
    <w:rsid w:val="008F3CE2"/>
    <w:rsid w:val="008F4B8C"/>
    <w:rsid w:val="008F4CD0"/>
    <w:rsid w:val="0090021D"/>
    <w:rsid w:val="00900833"/>
    <w:rsid w:val="00900D62"/>
    <w:rsid w:val="009031EA"/>
    <w:rsid w:val="00905CEF"/>
    <w:rsid w:val="00907C70"/>
    <w:rsid w:val="009127D3"/>
    <w:rsid w:val="00912ECB"/>
    <w:rsid w:val="00913A45"/>
    <w:rsid w:val="00913FAF"/>
    <w:rsid w:val="00915AE2"/>
    <w:rsid w:val="0091768C"/>
    <w:rsid w:val="009213E7"/>
    <w:rsid w:val="00921EBB"/>
    <w:rsid w:val="0092360D"/>
    <w:rsid w:val="00925742"/>
    <w:rsid w:val="00926FD9"/>
    <w:rsid w:val="009271D1"/>
    <w:rsid w:val="009319D5"/>
    <w:rsid w:val="00932626"/>
    <w:rsid w:val="00933655"/>
    <w:rsid w:val="00933740"/>
    <w:rsid w:val="0093435A"/>
    <w:rsid w:val="009351A5"/>
    <w:rsid w:val="009354E7"/>
    <w:rsid w:val="00935803"/>
    <w:rsid w:val="0093637C"/>
    <w:rsid w:val="00937D7D"/>
    <w:rsid w:val="00940F7F"/>
    <w:rsid w:val="009415F2"/>
    <w:rsid w:val="00942007"/>
    <w:rsid w:val="0094329C"/>
    <w:rsid w:val="00944630"/>
    <w:rsid w:val="00944B94"/>
    <w:rsid w:val="0094534C"/>
    <w:rsid w:val="00946899"/>
    <w:rsid w:val="0094770C"/>
    <w:rsid w:val="00947995"/>
    <w:rsid w:val="00947ED2"/>
    <w:rsid w:val="00950009"/>
    <w:rsid w:val="00954060"/>
    <w:rsid w:val="0095440C"/>
    <w:rsid w:val="00956846"/>
    <w:rsid w:val="00962BAA"/>
    <w:rsid w:val="0096437E"/>
    <w:rsid w:val="00964C6C"/>
    <w:rsid w:val="00967DE1"/>
    <w:rsid w:val="0097113B"/>
    <w:rsid w:val="009711E3"/>
    <w:rsid w:val="009719FF"/>
    <w:rsid w:val="009720C4"/>
    <w:rsid w:val="00973512"/>
    <w:rsid w:val="009763BE"/>
    <w:rsid w:val="00977F88"/>
    <w:rsid w:val="00980498"/>
    <w:rsid w:val="00980701"/>
    <w:rsid w:val="00980B19"/>
    <w:rsid w:val="00983DB1"/>
    <w:rsid w:val="00984EF6"/>
    <w:rsid w:val="0098645F"/>
    <w:rsid w:val="00986A66"/>
    <w:rsid w:val="00986EE3"/>
    <w:rsid w:val="0098782C"/>
    <w:rsid w:val="009913F0"/>
    <w:rsid w:val="009924CB"/>
    <w:rsid w:val="009934FC"/>
    <w:rsid w:val="009937D6"/>
    <w:rsid w:val="00993B92"/>
    <w:rsid w:val="00993DD0"/>
    <w:rsid w:val="00995F44"/>
    <w:rsid w:val="00996A02"/>
    <w:rsid w:val="00997A79"/>
    <w:rsid w:val="00997FCD"/>
    <w:rsid w:val="009A0264"/>
    <w:rsid w:val="009A24AD"/>
    <w:rsid w:val="009A3813"/>
    <w:rsid w:val="009A3E43"/>
    <w:rsid w:val="009A45B9"/>
    <w:rsid w:val="009A5AD0"/>
    <w:rsid w:val="009A6441"/>
    <w:rsid w:val="009A6AB6"/>
    <w:rsid w:val="009A7D93"/>
    <w:rsid w:val="009B02FD"/>
    <w:rsid w:val="009B0C1A"/>
    <w:rsid w:val="009B22E7"/>
    <w:rsid w:val="009B45BE"/>
    <w:rsid w:val="009B6ABF"/>
    <w:rsid w:val="009B6F7A"/>
    <w:rsid w:val="009B7AAB"/>
    <w:rsid w:val="009B7AC2"/>
    <w:rsid w:val="009C21CC"/>
    <w:rsid w:val="009C26D3"/>
    <w:rsid w:val="009C4C3F"/>
    <w:rsid w:val="009C582B"/>
    <w:rsid w:val="009C6791"/>
    <w:rsid w:val="009C6C44"/>
    <w:rsid w:val="009C6D93"/>
    <w:rsid w:val="009C6DEE"/>
    <w:rsid w:val="009C73EE"/>
    <w:rsid w:val="009D1732"/>
    <w:rsid w:val="009D6637"/>
    <w:rsid w:val="009D6B48"/>
    <w:rsid w:val="009D7984"/>
    <w:rsid w:val="009D79B2"/>
    <w:rsid w:val="009E1550"/>
    <w:rsid w:val="009E1C20"/>
    <w:rsid w:val="009E3AC6"/>
    <w:rsid w:val="009E4D2A"/>
    <w:rsid w:val="009E5962"/>
    <w:rsid w:val="009F23DE"/>
    <w:rsid w:val="009F3114"/>
    <w:rsid w:val="009F535E"/>
    <w:rsid w:val="009F7AB7"/>
    <w:rsid w:val="009F7F82"/>
    <w:rsid w:val="00A01D8A"/>
    <w:rsid w:val="00A027BC"/>
    <w:rsid w:val="00A039B7"/>
    <w:rsid w:val="00A03CB3"/>
    <w:rsid w:val="00A03D7A"/>
    <w:rsid w:val="00A04D28"/>
    <w:rsid w:val="00A05C4D"/>
    <w:rsid w:val="00A06549"/>
    <w:rsid w:val="00A06F22"/>
    <w:rsid w:val="00A1020A"/>
    <w:rsid w:val="00A10BE1"/>
    <w:rsid w:val="00A1122E"/>
    <w:rsid w:val="00A11A46"/>
    <w:rsid w:val="00A11E6F"/>
    <w:rsid w:val="00A12C57"/>
    <w:rsid w:val="00A12DA5"/>
    <w:rsid w:val="00A132D7"/>
    <w:rsid w:val="00A15557"/>
    <w:rsid w:val="00A1733F"/>
    <w:rsid w:val="00A24BF8"/>
    <w:rsid w:val="00A27ECE"/>
    <w:rsid w:val="00A32C97"/>
    <w:rsid w:val="00A332A1"/>
    <w:rsid w:val="00A35069"/>
    <w:rsid w:val="00A40263"/>
    <w:rsid w:val="00A40E62"/>
    <w:rsid w:val="00A46A66"/>
    <w:rsid w:val="00A470F3"/>
    <w:rsid w:val="00A50867"/>
    <w:rsid w:val="00A53F23"/>
    <w:rsid w:val="00A5465C"/>
    <w:rsid w:val="00A553DC"/>
    <w:rsid w:val="00A57B31"/>
    <w:rsid w:val="00A60B98"/>
    <w:rsid w:val="00A60D98"/>
    <w:rsid w:val="00A61F6C"/>
    <w:rsid w:val="00A62F4C"/>
    <w:rsid w:val="00A6485D"/>
    <w:rsid w:val="00A700B6"/>
    <w:rsid w:val="00A702D9"/>
    <w:rsid w:val="00A7049C"/>
    <w:rsid w:val="00A71C09"/>
    <w:rsid w:val="00A73305"/>
    <w:rsid w:val="00A75945"/>
    <w:rsid w:val="00A76BBB"/>
    <w:rsid w:val="00A821F0"/>
    <w:rsid w:val="00A84268"/>
    <w:rsid w:val="00A8595C"/>
    <w:rsid w:val="00A85E04"/>
    <w:rsid w:val="00A86EC5"/>
    <w:rsid w:val="00A90224"/>
    <w:rsid w:val="00A92608"/>
    <w:rsid w:val="00A92AFD"/>
    <w:rsid w:val="00A94C0F"/>
    <w:rsid w:val="00A957E3"/>
    <w:rsid w:val="00AA0A4B"/>
    <w:rsid w:val="00AA54A8"/>
    <w:rsid w:val="00AA569E"/>
    <w:rsid w:val="00AB0A9F"/>
    <w:rsid w:val="00AB11FF"/>
    <w:rsid w:val="00AB2D72"/>
    <w:rsid w:val="00AB2E13"/>
    <w:rsid w:val="00AB39EA"/>
    <w:rsid w:val="00AB3FCF"/>
    <w:rsid w:val="00AB5391"/>
    <w:rsid w:val="00AC0197"/>
    <w:rsid w:val="00AC242D"/>
    <w:rsid w:val="00AC368D"/>
    <w:rsid w:val="00AC3F3E"/>
    <w:rsid w:val="00AC4072"/>
    <w:rsid w:val="00AC5687"/>
    <w:rsid w:val="00AC608B"/>
    <w:rsid w:val="00AD3036"/>
    <w:rsid w:val="00AD3C2E"/>
    <w:rsid w:val="00AD5BB4"/>
    <w:rsid w:val="00AE2EDF"/>
    <w:rsid w:val="00AE4A56"/>
    <w:rsid w:val="00AE4B5A"/>
    <w:rsid w:val="00AE7F1E"/>
    <w:rsid w:val="00AF3B73"/>
    <w:rsid w:val="00AF50C7"/>
    <w:rsid w:val="00B0030C"/>
    <w:rsid w:val="00B003AF"/>
    <w:rsid w:val="00B009E3"/>
    <w:rsid w:val="00B035C0"/>
    <w:rsid w:val="00B04E09"/>
    <w:rsid w:val="00B04FA7"/>
    <w:rsid w:val="00B1331A"/>
    <w:rsid w:val="00B1386B"/>
    <w:rsid w:val="00B154FB"/>
    <w:rsid w:val="00B159A8"/>
    <w:rsid w:val="00B21D03"/>
    <w:rsid w:val="00B21EED"/>
    <w:rsid w:val="00B226CF"/>
    <w:rsid w:val="00B22E12"/>
    <w:rsid w:val="00B23A3B"/>
    <w:rsid w:val="00B26270"/>
    <w:rsid w:val="00B2635D"/>
    <w:rsid w:val="00B278A4"/>
    <w:rsid w:val="00B27CA4"/>
    <w:rsid w:val="00B30887"/>
    <w:rsid w:val="00B30C48"/>
    <w:rsid w:val="00B33ED8"/>
    <w:rsid w:val="00B3562F"/>
    <w:rsid w:val="00B404BA"/>
    <w:rsid w:val="00B41F38"/>
    <w:rsid w:val="00B43FFB"/>
    <w:rsid w:val="00B45565"/>
    <w:rsid w:val="00B45EE1"/>
    <w:rsid w:val="00B46BFD"/>
    <w:rsid w:val="00B46C49"/>
    <w:rsid w:val="00B5194A"/>
    <w:rsid w:val="00B540C9"/>
    <w:rsid w:val="00B5707A"/>
    <w:rsid w:val="00B5793D"/>
    <w:rsid w:val="00B61068"/>
    <w:rsid w:val="00B63701"/>
    <w:rsid w:val="00B657B0"/>
    <w:rsid w:val="00B65D90"/>
    <w:rsid w:val="00B67782"/>
    <w:rsid w:val="00B70934"/>
    <w:rsid w:val="00B735BE"/>
    <w:rsid w:val="00B74664"/>
    <w:rsid w:val="00B801CB"/>
    <w:rsid w:val="00B838B6"/>
    <w:rsid w:val="00B84B79"/>
    <w:rsid w:val="00B857CD"/>
    <w:rsid w:val="00B863D2"/>
    <w:rsid w:val="00B90E78"/>
    <w:rsid w:val="00B90E88"/>
    <w:rsid w:val="00B92273"/>
    <w:rsid w:val="00B92A7D"/>
    <w:rsid w:val="00B9507C"/>
    <w:rsid w:val="00B95ECF"/>
    <w:rsid w:val="00B9747D"/>
    <w:rsid w:val="00B97C3A"/>
    <w:rsid w:val="00BA16C6"/>
    <w:rsid w:val="00BA28B8"/>
    <w:rsid w:val="00BA4F27"/>
    <w:rsid w:val="00BA52B0"/>
    <w:rsid w:val="00BA7061"/>
    <w:rsid w:val="00BB0CB2"/>
    <w:rsid w:val="00BB1A96"/>
    <w:rsid w:val="00BB3F57"/>
    <w:rsid w:val="00BB64C1"/>
    <w:rsid w:val="00BB73C4"/>
    <w:rsid w:val="00BC027D"/>
    <w:rsid w:val="00BC0D8B"/>
    <w:rsid w:val="00BC12BC"/>
    <w:rsid w:val="00BC2055"/>
    <w:rsid w:val="00BC26A2"/>
    <w:rsid w:val="00BC3F42"/>
    <w:rsid w:val="00BC543D"/>
    <w:rsid w:val="00BC5B21"/>
    <w:rsid w:val="00BC65A3"/>
    <w:rsid w:val="00BC6892"/>
    <w:rsid w:val="00BC7008"/>
    <w:rsid w:val="00BD1A54"/>
    <w:rsid w:val="00BD21F7"/>
    <w:rsid w:val="00BD24C3"/>
    <w:rsid w:val="00BD4342"/>
    <w:rsid w:val="00BD51C8"/>
    <w:rsid w:val="00BD6BA5"/>
    <w:rsid w:val="00BD6FC9"/>
    <w:rsid w:val="00BD755E"/>
    <w:rsid w:val="00BE1360"/>
    <w:rsid w:val="00BE1CFF"/>
    <w:rsid w:val="00BE3849"/>
    <w:rsid w:val="00BE4AED"/>
    <w:rsid w:val="00BE56AF"/>
    <w:rsid w:val="00BF1E9B"/>
    <w:rsid w:val="00BF2D30"/>
    <w:rsid w:val="00BF37E6"/>
    <w:rsid w:val="00BF3E90"/>
    <w:rsid w:val="00BF525E"/>
    <w:rsid w:val="00BF6F44"/>
    <w:rsid w:val="00C0062A"/>
    <w:rsid w:val="00C025D3"/>
    <w:rsid w:val="00C042B4"/>
    <w:rsid w:val="00C0449E"/>
    <w:rsid w:val="00C046BA"/>
    <w:rsid w:val="00C053EB"/>
    <w:rsid w:val="00C0682B"/>
    <w:rsid w:val="00C077A8"/>
    <w:rsid w:val="00C10BCE"/>
    <w:rsid w:val="00C12586"/>
    <w:rsid w:val="00C13916"/>
    <w:rsid w:val="00C14240"/>
    <w:rsid w:val="00C1467F"/>
    <w:rsid w:val="00C1508F"/>
    <w:rsid w:val="00C20A25"/>
    <w:rsid w:val="00C22710"/>
    <w:rsid w:val="00C24AA2"/>
    <w:rsid w:val="00C30881"/>
    <w:rsid w:val="00C31A8F"/>
    <w:rsid w:val="00C32D27"/>
    <w:rsid w:val="00C34BD2"/>
    <w:rsid w:val="00C37319"/>
    <w:rsid w:val="00C37C6E"/>
    <w:rsid w:val="00C404F3"/>
    <w:rsid w:val="00C41945"/>
    <w:rsid w:val="00C42CCB"/>
    <w:rsid w:val="00C42E53"/>
    <w:rsid w:val="00C43DD2"/>
    <w:rsid w:val="00C458D0"/>
    <w:rsid w:val="00C458ED"/>
    <w:rsid w:val="00C459BC"/>
    <w:rsid w:val="00C45A3C"/>
    <w:rsid w:val="00C46AD6"/>
    <w:rsid w:val="00C46CBE"/>
    <w:rsid w:val="00C50191"/>
    <w:rsid w:val="00C50585"/>
    <w:rsid w:val="00C511A7"/>
    <w:rsid w:val="00C5185A"/>
    <w:rsid w:val="00C54817"/>
    <w:rsid w:val="00C558C6"/>
    <w:rsid w:val="00C571CB"/>
    <w:rsid w:val="00C61CBD"/>
    <w:rsid w:val="00C64BFC"/>
    <w:rsid w:val="00C652B8"/>
    <w:rsid w:val="00C653E7"/>
    <w:rsid w:val="00C65C18"/>
    <w:rsid w:val="00C66891"/>
    <w:rsid w:val="00C7207C"/>
    <w:rsid w:val="00C72D05"/>
    <w:rsid w:val="00C731D8"/>
    <w:rsid w:val="00C76593"/>
    <w:rsid w:val="00C81F62"/>
    <w:rsid w:val="00C850BE"/>
    <w:rsid w:val="00C85CAA"/>
    <w:rsid w:val="00C862F3"/>
    <w:rsid w:val="00C87300"/>
    <w:rsid w:val="00C90266"/>
    <w:rsid w:val="00C92631"/>
    <w:rsid w:val="00C936D8"/>
    <w:rsid w:val="00C951BF"/>
    <w:rsid w:val="00C965A5"/>
    <w:rsid w:val="00CA010E"/>
    <w:rsid w:val="00CA37F7"/>
    <w:rsid w:val="00CA4352"/>
    <w:rsid w:val="00CA6FD1"/>
    <w:rsid w:val="00CB2459"/>
    <w:rsid w:val="00CB3536"/>
    <w:rsid w:val="00CB4265"/>
    <w:rsid w:val="00CB4312"/>
    <w:rsid w:val="00CB4992"/>
    <w:rsid w:val="00CB4A53"/>
    <w:rsid w:val="00CB7B77"/>
    <w:rsid w:val="00CC1BC9"/>
    <w:rsid w:val="00CC2550"/>
    <w:rsid w:val="00CC5E14"/>
    <w:rsid w:val="00CC6C3D"/>
    <w:rsid w:val="00CC6D06"/>
    <w:rsid w:val="00CC7034"/>
    <w:rsid w:val="00CC7648"/>
    <w:rsid w:val="00CD15BF"/>
    <w:rsid w:val="00CD463C"/>
    <w:rsid w:val="00CD4742"/>
    <w:rsid w:val="00CD68F8"/>
    <w:rsid w:val="00CE1900"/>
    <w:rsid w:val="00CE1D0C"/>
    <w:rsid w:val="00CE2EE3"/>
    <w:rsid w:val="00CE3202"/>
    <w:rsid w:val="00CE535A"/>
    <w:rsid w:val="00CF060E"/>
    <w:rsid w:val="00CF06E5"/>
    <w:rsid w:val="00CF375E"/>
    <w:rsid w:val="00CF463C"/>
    <w:rsid w:val="00CF786D"/>
    <w:rsid w:val="00D014C4"/>
    <w:rsid w:val="00D0385B"/>
    <w:rsid w:val="00D106DC"/>
    <w:rsid w:val="00D10E31"/>
    <w:rsid w:val="00D10F41"/>
    <w:rsid w:val="00D11633"/>
    <w:rsid w:val="00D12825"/>
    <w:rsid w:val="00D152F0"/>
    <w:rsid w:val="00D20055"/>
    <w:rsid w:val="00D20AE1"/>
    <w:rsid w:val="00D22819"/>
    <w:rsid w:val="00D23BC3"/>
    <w:rsid w:val="00D24F26"/>
    <w:rsid w:val="00D25873"/>
    <w:rsid w:val="00D25F58"/>
    <w:rsid w:val="00D30297"/>
    <w:rsid w:val="00D32B36"/>
    <w:rsid w:val="00D33026"/>
    <w:rsid w:val="00D34CE3"/>
    <w:rsid w:val="00D35CC6"/>
    <w:rsid w:val="00D35E50"/>
    <w:rsid w:val="00D41307"/>
    <w:rsid w:val="00D4258C"/>
    <w:rsid w:val="00D5206C"/>
    <w:rsid w:val="00D5448B"/>
    <w:rsid w:val="00D55822"/>
    <w:rsid w:val="00D56550"/>
    <w:rsid w:val="00D615CA"/>
    <w:rsid w:val="00D64927"/>
    <w:rsid w:val="00D6713E"/>
    <w:rsid w:val="00D671AC"/>
    <w:rsid w:val="00D70D21"/>
    <w:rsid w:val="00D7139C"/>
    <w:rsid w:val="00D73C21"/>
    <w:rsid w:val="00D74FA8"/>
    <w:rsid w:val="00D8570D"/>
    <w:rsid w:val="00D91FBD"/>
    <w:rsid w:val="00D93D88"/>
    <w:rsid w:val="00D9478C"/>
    <w:rsid w:val="00D95D1D"/>
    <w:rsid w:val="00D96DE7"/>
    <w:rsid w:val="00DA06AE"/>
    <w:rsid w:val="00DA0DE9"/>
    <w:rsid w:val="00DA1CA2"/>
    <w:rsid w:val="00DA4D68"/>
    <w:rsid w:val="00DA5C5B"/>
    <w:rsid w:val="00DB09D1"/>
    <w:rsid w:val="00DB1C0A"/>
    <w:rsid w:val="00DB4B89"/>
    <w:rsid w:val="00DB5ACB"/>
    <w:rsid w:val="00DB6AE3"/>
    <w:rsid w:val="00DC1211"/>
    <w:rsid w:val="00DC2FD7"/>
    <w:rsid w:val="00DC37CC"/>
    <w:rsid w:val="00DC3F6F"/>
    <w:rsid w:val="00DC76C5"/>
    <w:rsid w:val="00DD14D9"/>
    <w:rsid w:val="00DD1CE5"/>
    <w:rsid w:val="00DD4319"/>
    <w:rsid w:val="00DD7811"/>
    <w:rsid w:val="00DE11D4"/>
    <w:rsid w:val="00DE2E56"/>
    <w:rsid w:val="00DE3995"/>
    <w:rsid w:val="00DE49D7"/>
    <w:rsid w:val="00DF3B73"/>
    <w:rsid w:val="00DF4D22"/>
    <w:rsid w:val="00DF51A5"/>
    <w:rsid w:val="00DF7C8F"/>
    <w:rsid w:val="00E030C9"/>
    <w:rsid w:val="00E03F1F"/>
    <w:rsid w:val="00E041E0"/>
    <w:rsid w:val="00E06139"/>
    <w:rsid w:val="00E10C6F"/>
    <w:rsid w:val="00E11325"/>
    <w:rsid w:val="00E124D9"/>
    <w:rsid w:val="00E14221"/>
    <w:rsid w:val="00E145D9"/>
    <w:rsid w:val="00E15FF8"/>
    <w:rsid w:val="00E1657A"/>
    <w:rsid w:val="00E171F7"/>
    <w:rsid w:val="00E172E7"/>
    <w:rsid w:val="00E20494"/>
    <w:rsid w:val="00E21F7F"/>
    <w:rsid w:val="00E25CB9"/>
    <w:rsid w:val="00E2609F"/>
    <w:rsid w:val="00E26299"/>
    <w:rsid w:val="00E2673B"/>
    <w:rsid w:val="00E26DBA"/>
    <w:rsid w:val="00E27E82"/>
    <w:rsid w:val="00E33246"/>
    <w:rsid w:val="00E33C9A"/>
    <w:rsid w:val="00E33E12"/>
    <w:rsid w:val="00E34CF2"/>
    <w:rsid w:val="00E34E3C"/>
    <w:rsid w:val="00E35DE3"/>
    <w:rsid w:val="00E37F50"/>
    <w:rsid w:val="00E4108C"/>
    <w:rsid w:val="00E41227"/>
    <w:rsid w:val="00E4143B"/>
    <w:rsid w:val="00E414B4"/>
    <w:rsid w:val="00E41E9D"/>
    <w:rsid w:val="00E42F32"/>
    <w:rsid w:val="00E45AFA"/>
    <w:rsid w:val="00E46540"/>
    <w:rsid w:val="00E46E63"/>
    <w:rsid w:val="00E46F65"/>
    <w:rsid w:val="00E47403"/>
    <w:rsid w:val="00E47762"/>
    <w:rsid w:val="00E47BE5"/>
    <w:rsid w:val="00E50DB4"/>
    <w:rsid w:val="00E52B07"/>
    <w:rsid w:val="00E537BD"/>
    <w:rsid w:val="00E550A3"/>
    <w:rsid w:val="00E5527F"/>
    <w:rsid w:val="00E6394D"/>
    <w:rsid w:val="00E6517A"/>
    <w:rsid w:val="00E65234"/>
    <w:rsid w:val="00E65856"/>
    <w:rsid w:val="00E66F77"/>
    <w:rsid w:val="00E7133D"/>
    <w:rsid w:val="00E720C9"/>
    <w:rsid w:val="00E81561"/>
    <w:rsid w:val="00E81685"/>
    <w:rsid w:val="00E82810"/>
    <w:rsid w:val="00E8358F"/>
    <w:rsid w:val="00E842F5"/>
    <w:rsid w:val="00E87B9D"/>
    <w:rsid w:val="00E91441"/>
    <w:rsid w:val="00E92E6A"/>
    <w:rsid w:val="00E93C43"/>
    <w:rsid w:val="00EA032B"/>
    <w:rsid w:val="00EA3A08"/>
    <w:rsid w:val="00EA4224"/>
    <w:rsid w:val="00EA5BF2"/>
    <w:rsid w:val="00EB325C"/>
    <w:rsid w:val="00EB35A4"/>
    <w:rsid w:val="00EB689E"/>
    <w:rsid w:val="00EB746E"/>
    <w:rsid w:val="00EB7FC5"/>
    <w:rsid w:val="00EC1014"/>
    <w:rsid w:val="00EC41A1"/>
    <w:rsid w:val="00EC61A3"/>
    <w:rsid w:val="00EC6AA6"/>
    <w:rsid w:val="00EC70BA"/>
    <w:rsid w:val="00ED3208"/>
    <w:rsid w:val="00ED59D5"/>
    <w:rsid w:val="00EE0FD4"/>
    <w:rsid w:val="00EE17BE"/>
    <w:rsid w:val="00EE5E1C"/>
    <w:rsid w:val="00EE74AE"/>
    <w:rsid w:val="00EF4325"/>
    <w:rsid w:val="00EF4CE7"/>
    <w:rsid w:val="00EF594C"/>
    <w:rsid w:val="00EF6B24"/>
    <w:rsid w:val="00EF78B8"/>
    <w:rsid w:val="00F01A97"/>
    <w:rsid w:val="00F032A0"/>
    <w:rsid w:val="00F054C4"/>
    <w:rsid w:val="00F06DE3"/>
    <w:rsid w:val="00F0786C"/>
    <w:rsid w:val="00F0791C"/>
    <w:rsid w:val="00F121B8"/>
    <w:rsid w:val="00F127F0"/>
    <w:rsid w:val="00F157A1"/>
    <w:rsid w:val="00F1680D"/>
    <w:rsid w:val="00F17807"/>
    <w:rsid w:val="00F17D2D"/>
    <w:rsid w:val="00F17ECE"/>
    <w:rsid w:val="00F2202D"/>
    <w:rsid w:val="00F26035"/>
    <w:rsid w:val="00F27561"/>
    <w:rsid w:val="00F275DE"/>
    <w:rsid w:val="00F27AF4"/>
    <w:rsid w:val="00F30162"/>
    <w:rsid w:val="00F329FB"/>
    <w:rsid w:val="00F32C9D"/>
    <w:rsid w:val="00F340DB"/>
    <w:rsid w:val="00F366DD"/>
    <w:rsid w:val="00F366E4"/>
    <w:rsid w:val="00F37F56"/>
    <w:rsid w:val="00F40DAE"/>
    <w:rsid w:val="00F433AF"/>
    <w:rsid w:val="00F473A8"/>
    <w:rsid w:val="00F47C80"/>
    <w:rsid w:val="00F52C7D"/>
    <w:rsid w:val="00F55156"/>
    <w:rsid w:val="00F564FB"/>
    <w:rsid w:val="00F57014"/>
    <w:rsid w:val="00F576C1"/>
    <w:rsid w:val="00F57EE3"/>
    <w:rsid w:val="00F6057C"/>
    <w:rsid w:val="00F60644"/>
    <w:rsid w:val="00F63A4B"/>
    <w:rsid w:val="00F64356"/>
    <w:rsid w:val="00F66991"/>
    <w:rsid w:val="00F701AF"/>
    <w:rsid w:val="00F701ED"/>
    <w:rsid w:val="00F70657"/>
    <w:rsid w:val="00F71662"/>
    <w:rsid w:val="00F726E3"/>
    <w:rsid w:val="00F72D91"/>
    <w:rsid w:val="00F7396B"/>
    <w:rsid w:val="00F75B38"/>
    <w:rsid w:val="00F76E40"/>
    <w:rsid w:val="00F77884"/>
    <w:rsid w:val="00F80DF3"/>
    <w:rsid w:val="00F815A1"/>
    <w:rsid w:val="00F81B12"/>
    <w:rsid w:val="00F824FE"/>
    <w:rsid w:val="00F84E83"/>
    <w:rsid w:val="00F85C36"/>
    <w:rsid w:val="00F9119F"/>
    <w:rsid w:val="00F930E3"/>
    <w:rsid w:val="00F94654"/>
    <w:rsid w:val="00F95033"/>
    <w:rsid w:val="00F9721A"/>
    <w:rsid w:val="00F97A7E"/>
    <w:rsid w:val="00FA2EAD"/>
    <w:rsid w:val="00FA3E8E"/>
    <w:rsid w:val="00FA52BA"/>
    <w:rsid w:val="00FA74B5"/>
    <w:rsid w:val="00FA7FE1"/>
    <w:rsid w:val="00FB01E9"/>
    <w:rsid w:val="00FB0F30"/>
    <w:rsid w:val="00FB1FCF"/>
    <w:rsid w:val="00FB42A5"/>
    <w:rsid w:val="00FB73B0"/>
    <w:rsid w:val="00FC10E2"/>
    <w:rsid w:val="00FC1265"/>
    <w:rsid w:val="00FC214D"/>
    <w:rsid w:val="00FC2430"/>
    <w:rsid w:val="00FC33DE"/>
    <w:rsid w:val="00FC4430"/>
    <w:rsid w:val="00FC54FA"/>
    <w:rsid w:val="00FC5827"/>
    <w:rsid w:val="00FC597C"/>
    <w:rsid w:val="00FD02A7"/>
    <w:rsid w:val="00FD2003"/>
    <w:rsid w:val="00FD2AEE"/>
    <w:rsid w:val="00FD37D9"/>
    <w:rsid w:val="00FD4C7B"/>
    <w:rsid w:val="00FD5CCD"/>
    <w:rsid w:val="00FD6B04"/>
    <w:rsid w:val="00FE0AF8"/>
    <w:rsid w:val="00FE19F6"/>
    <w:rsid w:val="00FE6290"/>
    <w:rsid w:val="00FE6593"/>
    <w:rsid w:val="00FF0768"/>
    <w:rsid w:val="00FF3311"/>
    <w:rsid w:val="01423C4A"/>
    <w:rsid w:val="0153020F"/>
    <w:rsid w:val="016F7F1A"/>
    <w:rsid w:val="0175527C"/>
    <w:rsid w:val="018D0F17"/>
    <w:rsid w:val="01B47E04"/>
    <w:rsid w:val="01C24651"/>
    <w:rsid w:val="01C915FA"/>
    <w:rsid w:val="021E018C"/>
    <w:rsid w:val="022D19EE"/>
    <w:rsid w:val="024B7D52"/>
    <w:rsid w:val="02E64D83"/>
    <w:rsid w:val="02F034FC"/>
    <w:rsid w:val="02F94AB6"/>
    <w:rsid w:val="03096EC1"/>
    <w:rsid w:val="037B3BA0"/>
    <w:rsid w:val="037C6ACA"/>
    <w:rsid w:val="03A87946"/>
    <w:rsid w:val="03C05953"/>
    <w:rsid w:val="03D26FD0"/>
    <w:rsid w:val="03DC3AAF"/>
    <w:rsid w:val="03E80041"/>
    <w:rsid w:val="03FC095B"/>
    <w:rsid w:val="03FD6D49"/>
    <w:rsid w:val="04016E22"/>
    <w:rsid w:val="042F5D1F"/>
    <w:rsid w:val="0442248D"/>
    <w:rsid w:val="04586DFB"/>
    <w:rsid w:val="04637138"/>
    <w:rsid w:val="047D288F"/>
    <w:rsid w:val="04A24A7D"/>
    <w:rsid w:val="04B12457"/>
    <w:rsid w:val="04D87407"/>
    <w:rsid w:val="04DF6A75"/>
    <w:rsid w:val="04EA21CE"/>
    <w:rsid w:val="0514323F"/>
    <w:rsid w:val="05346C7E"/>
    <w:rsid w:val="05511561"/>
    <w:rsid w:val="05534A8E"/>
    <w:rsid w:val="05626F0B"/>
    <w:rsid w:val="056801AD"/>
    <w:rsid w:val="05AE5EFE"/>
    <w:rsid w:val="05D35773"/>
    <w:rsid w:val="05ED6D79"/>
    <w:rsid w:val="05EE2C8F"/>
    <w:rsid w:val="05F80C2C"/>
    <w:rsid w:val="06072F00"/>
    <w:rsid w:val="060F03CA"/>
    <w:rsid w:val="06177EE0"/>
    <w:rsid w:val="061D6AF3"/>
    <w:rsid w:val="061F7618"/>
    <w:rsid w:val="062734D4"/>
    <w:rsid w:val="063E25F5"/>
    <w:rsid w:val="06616FE7"/>
    <w:rsid w:val="06682212"/>
    <w:rsid w:val="06703728"/>
    <w:rsid w:val="06812940"/>
    <w:rsid w:val="0697252E"/>
    <w:rsid w:val="06A2646F"/>
    <w:rsid w:val="06C82C5E"/>
    <w:rsid w:val="06E72E78"/>
    <w:rsid w:val="06F16339"/>
    <w:rsid w:val="06FC0970"/>
    <w:rsid w:val="070878B3"/>
    <w:rsid w:val="07114CBA"/>
    <w:rsid w:val="0727403C"/>
    <w:rsid w:val="072C15C6"/>
    <w:rsid w:val="07543E4A"/>
    <w:rsid w:val="075C1820"/>
    <w:rsid w:val="07866B35"/>
    <w:rsid w:val="07F278CA"/>
    <w:rsid w:val="0855365A"/>
    <w:rsid w:val="08820352"/>
    <w:rsid w:val="08AE02E0"/>
    <w:rsid w:val="08B9254E"/>
    <w:rsid w:val="08C7561E"/>
    <w:rsid w:val="08EF7E0F"/>
    <w:rsid w:val="08F32743"/>
    <w:rsid w:val="090303BC"/>
    <w:rsid w:val="09063A89"/>
    <w:rsid w:val="09223E53"/>
    <w:rsid w:val="092F724F"/>
    <w:rsid w:val="09300F3B"/>
    <w:rsid w:val="094E0278"/>
    <w:rsid w:val="096F04A2"/>
    <w:rsid w:val="097D032E"/>
    <w:rsid w:val="09A72891"/>
    <w:rsid w:val="09C75A8B"/>
    <w:rsid w:val="09DC0C8E"/>
    <w:rsid w:val="09E75653"/>
    <w:rsid w:val="09F10CF8"/>
    <w:rsid w:val="0A04716E"/>
    <w:rsid w:val="0A1D1D24"/>
    <w:rsid w:val="0A6724EF"/>
    <w:rsid w:val="0A6B5E06"/>
    <w:rsid w:val="0AD955D6"/>
    <w:rsid w:val="0AF3628F"/>
    <w:rsid w:val="0B106908"/>
    <w:rsid w:val="0B1E58F0"/>
    <w:rsid w:val="0B2E69D9"/>
    <w:rsid w:val="0B3F6432"/>
    <w:rsid w:val="0B4E0497"/>
    <w:rsid w:val="0B4F5F02"/>
    <w:rsid w:val="0B641FE7"/>
    <w:rsid w:val="0B6F4F71"/>
    <w:rsid w:val="0B7A0875"/>
    <w:rsid w:val="0B9B4146"/>
    <w:rsid w:val="0BB62F04"/>
    <w:rsid w:val="0BC9539F"/>
    <w:rsid w:val="0BCD6D9E"/>
    <w:rsid w:val="0BE12B86"/>
    <w:rsid w:val="0BFD6957"/>
    <w:rsid w:val="0C5769EB"/>
    <w:rsid w:val="0C6816CE"/>
    <w:rsid w:val="0C7E5F6D"/>
    <w:rsid w:val="0CA879D8"/>
    <w:rsid w:val="0CB62540"/>
    <w:rsid w:val="0D1C41F6"/>
    <w:rsid w:val="0D1D6955"/>
    <w:rsid w:val="0D326E78"/>
    <w:rsid w:val="0D5A4DF7"/>
    <w:rsid w:val="0D8C0020"/>
    <w:rsid w:val="0D915AFC"/>
    <w:rsid w:val="0D974242"/>
    <w:rsid w:val="0DA17794"/>
    <w:rsid w:val="0DB57E54"/>
    <w:rsid w:val="0E0D1416"/>
    <w:rsid w:val="0E2A1C4C"/>
    <w:rsid w:val="0E3957FF"/>
    <w:rsid w:val="0E3C2EFC"/>
    <w:rsid w:val="0E6A2F43"/>
    <w:rsid w:val="0EBA337F"/>
    <w:rsid w:val="0EBB70C4"/>
    <w:rsid w:val="0EE07461"/>
    <w:rsid w:val="0EEB6487"/>
    <w:rsid w:val="0EEC3721"/>
    <w:rsid w:val="0F5F2707"/>
    <w:rsid w:val="0F6C7906"/>
    <w:rsid w:val="0F712470"/>
    <w:rsid w:val="0F874D5A"/>
    <w:rsid w:val="0FB41D99"/>
    <w:rsid w:val="0FE47865"/>
    <w:rsid w:val="10193274"/>
    <w:rsid w:val="103313EA"/>
    <w:rsid w:val="104F7C37"/>
    <w:rsid w:val="107E588B"/>
    <w:rsid w:val="10C20E5F"/>
    <w:rsid w:val="10D158BC"/>
    <w:rsid w:val="10DB1A50"/>
    <w:rsid w:val="10F114C1"/>
    <w:rsid w:val="1111100D"/>
    <w:rsid w:val="11166170"/>
    <w:rsid w:val="11464C04"/>
    <w:rsid w:val="11590F7B"/>
    <w:rsid w:val="116F3DB0"/>
    <w:rsid w:val="11754949"/>
    <w:rsid w:val="117A0299"/>
    <w:rsid w:val="11826AFE"/>
    <w:rsid w:val="118402A9"/>
    <w:rsid w:val="118E5CC3"/>
    <w:rsid w:val="11BD4180"/>
    <w:rsid w:val="11CB1184"/>
    <w:rsid w:val="12213C34"/>
    <w:rsid w:val="12270AD3"/>
    <w:rsid w:val="1230136A"/>
    <w:rsid w:val="124B76D3"/>
    <w:rsid w:val="124F74EF"/>
    <w:rsid w:val="12742AC7"/>
    <w:rsid w:val="128D08FF"/>
    <w:rsid w:val="12922DB2"/>
    <w:rsid w:val="12D13EC7"/>
    <w:rsid w:val="12F36AF8"/>
    <w:rsid w:val="13077F85"/>
    <w:rsid w:val="130A757E"/>
    <w:rsid w:val="1331710B"/>
    <w:rsid w:val="135328FC"/>
    <w:rsid w:val="136A6610"/>
    <w:rsid w:val="138071AD"/>
    <w:rsid w:val="138F6C27"/>
    <w:rsid w:val="13992578"/>
    <w:rsid w:val="139E45C8"/>
    <w:rsid w:val="139F1837"/>
    <w:rsid w:val="140C7F65"/>
    <w:rsid w:val="141F11F4"/>
    <w:rsid w:val="14204272"/>
    <w:rsid w:val="147842DE"/>
    <w:rsid w:val="14967CC8"/>
    <w:rsid w:val="14C33A7B"/>
    <w:rsid w:val="14EF1110"/>
    <w:rsid w:val="14F01823"/>
    <w:rsid w:val="14F81E38"/>
    <w:rsid w:val="150C6473"/>
    <w:rsid w:val="157E55ED"/>
    <w:rsid w:val="15877190"/>
    <w:rsid w:val="15A90DA7"/>
    <w:rsid w:val="15CE4DF6"/>
    <w:rsid w:val="160C225F"/>
    <w:rsid w:val="160C42D6"/>
    <w:rsid w:val="161E3637"/>
    <w:rsid w:val="16827968"/>
    <w:rsid w:val="16AE5B48"/>
    <w:rsid w:val="16C44A3F"/>
    <w:rsid w:val="16E4369D"/>
    <w:rsid w:val="16E9298A"/>
    <w:rsid w:val="16F55FB8"/>
    <w:rsid w:val="16FB6B41"/>
    <w:rsid w:val="16FEFCDB"/>
    <w:rsid w:val="17281577"/>
    <w:rsid w:val="17372BA0"/>
    <w:rsid w:val="177320C8"/>
    <w:rsid w:val="17793FC0"/>
    <w:rsid w:val="177A437B"/>
    <w:rsid w:val="178C6B9A"/>
    <w:rsid w:val="179B79F8"/>
    <w:rsid w:val="17B07DB7"/>
    <w:rsid w:val="17B308A4"/>
    <w:rsid w:val="17C8687A"/>
    <w:rsid w:val="17D636F8"/>
    <w:rsid w:val="17FA2252"/>
    <w:rsid w:val="17FE03D2"/>
    <w:rsid w:val="180A2C09"/>
    <w:rsid w:val="182449D5"/>
    <w:rsid w:val="18527408"/>
    <w:rsid w:val="185C1893"/>
    <w:rsid w:val="18636CAE"/>
    <w:rsid w:val="18742944"/>
    <w:rsid w:val="187E6243"/>
    <w:rsid w:val="1889564E"/>
    <w:rsid w:val="18B02EF0"/>
    <w:rsid w:val="18C55A2B"/>
    <w:rsid w:val="18F56002"/>
    <w:rsid w:val="19004393"/>
    <w:rsid w:val="190D42EB"/>
    <w:rsid w:val="19260E7F"/>
    <w:rsid w:val="19324EBA"/>
    <w:rsid w:val="193E6704"/>
    <w:rsid w:val="1985777A"/>
    <w:rsid w:val="1992797D"/>
    <w:rsid w:val="199F7D71"/>
    <w:rsid w:val="19C257AA"/>
    <w:rsid w:val="19E415C3"/>
    <w:rsid w:val="1A1546DE"/>
    <w:rsid w:val="1A181CAE"/>
    <w:rsid w:val="1A2730DE"/>
    <w:rsid w:val="1A2E4D24"/>
    <w:rsid w:val="1A3E1003"/>
    <w:rsid w:val="1A686FD2"/>
    <w:rsid w:val="1A9846F9"/>
    <w:rsid w:val="1AA72D66"/>
    <w:rsid w:val="1ABE5378"/>
    <w:rsid w:val="1AF22A58"/>
    <w:rsid w:val="1B0672C6"/>
    <w:rsid w:val="1B196BD3"/>
    <w:rsid w:val="1B614F33"/>
    <w:rsid w:val="1B7A234A"/>
    <w:rsid w:val="1B867168"/>
    <w:rsid w:val="1B9C10E5"/>
    <w:rsid w:val="1BB2199A"/>
    <w:rsid w:val="1BBA200E"/>
    <w:rsid w:val="1BE17AEC"/>
    <w:rsid w:val="1BE949F2"/>
    <w:rsid w:val="1C2F10BD"/>
    <w:rsid w:val="1CD26EFE"/>
    <w:rsid w:val="1CE33BE2"/>
    <w:rsid w:val="1D001D00"/>
    <w:rsid w:val="1D154E68"/>
    <w:rsid w:val="1D272397"/>
    <w:rsid w:val="1D281305"/>
    <w:rsid w:val="1D595523"/>
    <w:rsid w:val="1D65624D"/>
    <w:rsid w:val="1D747847"/>
    <w:rsid w:val="1D8125BE"/>
    <w:rsid w:val="1D9E2403"/>
    <w:rsid w:val="1DAE59FD"/>
    <w:rsid w:val="1DBE7A88"/>
    <w:rsid w:val="1DCB0099"/>
    <w:rsid w:val="1DD25E91"/>
    <w:rsid w:val="1DF37FB9"/>
    <w:rsid w:val="1E061B12"/>
    <w:rsid w:val="1E1E4F79"/>
    <w:rsid w:val="1E39064D"/>
    <w:rsid w:val="1E8E2DB0"/>
    <w:rsid w:val="1E9166D7"/>
    <w:rsid w:val="1E934127"/>
    <w:rsid w:val="1EB525EF"/>
    <w:rsid w:val="1EB6109D"/>
    <w:rsid w:val="1ECA3722"/>
    <w:rsid w:val="1EED10F2"/>
    <w:rsid w:val="1EF2736B"/>
    <w:rsid w:val="1F16470F"/>
    <w:rsid w:val="1F4F0922"/>
    <w:rsid w:val="1F5D0A8F"/>
    <w:rsid w:val="1F632761"/>
    <w:rsid w:val="1F934CC0"/>
    <w:rsid w:val="1F980D5B"/>
    <w:rsid w:val="1FA771F6"/>
    <w:rsid w:val="1FD4DB0E"/>
    <w:rsid w:val="1FDD44EC"/>
    <w:rsid w:val="1FFAFC8D"/>
    <w:rsid w:val="20224AB0"/>
    <w:rsid w:val="202B5A79"/>
    <w:rsid w:val="203A044D"/>
    <w:rsid w:val="204B180E"/>
    <w:rsid w:val="204B7CC0"/>
    <w:rsid w:val="205C0A34"/>
    <w:rsid w:val="206C021E"/>
    <w:rsid w:val="20821300"/>
    <w:rsid w:val="2083196D"/>
    <w:rsid w:val="20AC6CCD"/>
    <w:rsid w:val="20C549FB"/>
    <w:rsid w:val="20C61CFF"/>
    <w:rsid w:val="20DB53A4"/>
    <w:rsid w:val="20DC6201"/>
    <w:rsid w:val="211975F1"/>
    <w:rsid w:val="21584AE0"/>
    <w:rsid w:val="21597265"/>
    <w:rsid w:val="215A39BD"/>
    <w:rsid w:val="215F06A9"/>
    <w:rsid w:val="219B2BCD"/>
    <w:rsid w:val="21B34338"/>
    <w:rsid w:val="21EB44BE"/>
    <w:rsid w:val="22051F98"/>
    <w:rsid w:val="220B200C"/>
    <w:rsid w:val="22430565"/>
    <w:rsid w:val="22660C40"/>
    <w:rsid w:val="22C44C41"/>
    <w:rsid w:val="22DB181A"/>
    <w:rsid w:val="22F11B81"/>
    <w:rsid w:val="233141F6"/>
    <w:rsid w:val="23427BF9"/>
    <w:rsid w:val="236A69D7"/>
    <w:rsid w:val="236B6EB3"/>
    <w:rsid w:val="238133A8"/>
    <w:rsid w:val="239B4ABA"/>
    <w:rsid w:val="23A71402"/>
    <w:rsid w:val="23A758EB"/>
    <w:rsid w:val="23AA48AE"/>
    <w:rsid w:val="23C17FCB"/>
    <w:rsid w:val="23C63C7E"/>
    <w:rsid w:val="23D147CC"/>
    <w:rsid w:val="23F56173"/>
    <w:rsid w:val="23FF5DCA"/>
    <w:rsid w:val="24522B98"/>
    <w:rsid w:val="247054DD"/>
    <w:rsid w:val="24776664"/>
    <w:rsid w:val="24792097"/>
    <w:rsid w:val="247B4DA2"/>
    <w:rsid w:val="24CF285E"/>
    <w:rsid w:val="24E045FA"/>
    <w:rsid w:val="24F07BEB"/>
    <w:rsid w:val="250C613C"/>
    <w:rsid w:val="25291F40"/>
    <w:rsid w:val="25394E23"/>
    <w:rsid w:val="253D2474"/>
    <w:rsid w:val="25457FB6"/>
    <w:rsid w:val="25747A43"/>
    <w:rsid w:val="25870A1F"/>
    <w:rsid w:val="259F407C"/>
    <w:rsid w:val="25AE615B"/>
    <w:rsid w:val="25B44F23"/>
    <w:rsid w:val="25E22F1F"/>
    <w:rsid w:val="25EF7AF6"/>
    <w:rsid w:val="25F340FE"/>
    <w:rsid w:val="262F2132"/>
    <w:rsid w:val="26303FAF"/>
    <w:rsid w:val="26910D69"/>
    <w:rsid w:val="26A84765"/>
    <w:rsid w:val="26B36C9D"/>
    <w:rsid w:val="26C22C66"/>
    <w:rsid w:val="26C962F5"/>
    <w:rsid w:val="26CB0992"/>
    <w:rsid w:val="26F10DF5"/>
    <w:rsid w:val="26FA44E4"/>
    <w:rsid w:val="26FC15EE"/>
    <w:rsid w:val="2709648F"/>
    <w:rsid w:val="271E5FE8"/>
    <w:rsid w:val="274A7C93"/>
    <w:rsid w:val="274F1635"/>
    <w:rsid w:val="2759489C"/>
    <w:rsid w:val="276A59DB"/>
    <w:rsid w:val="27766813"/>
    <w:rsid w:val="279D4D50"/>
    <w:rsid w:val="27BE3326"/>
    <w:rsid w:val="27C562F2"/>
    <w:rsid w:val="284F31C9"/>
    <w:rsid w:val="285919D0"/>
    <w:rsid w:val="28A66BB2"/>
    <w:rsid w:val="28AA1A78"/>
    <w:rsid w:val="28CF54AB"/>
    <w:rsid w:val="28DC2B1C"/>
    <w:rsid w:val="290D4568"/>
    <w:rsid w:val="291C39BD"/>
    <w:rsid w:val="292C14BA"/>
    <w:rsid w:val="29500600"/>
    <w:rsid w:val="29802F8C"/>
    <w:rsid w:val="299452ED"/>
    <w:rsid w:val="29D1402C"/>
    <w:rsid w:val="29D2501C"/>
    <w:rsid w:val="29D55C79"/>
    <w:rsid w:val="29F50F47"/>
    <w:rsid w:val="2A2D1913"/>
    <w:rsid w:val="2A4944AA"/>
    <w:rsid w:val="2A5F7A43"/>
    <w:rsid w:val="2AB51687"/>
    <w:rsid w:val="2AC667BC"/>
    <w:rsid w:val="2ACB79F4"/>
    <w:rsid w:val="2ACE2FF1"/>
    <w:rsid w:val="2ACE5A58"/>
    <w:rsid w:val="2AD21F0D"/>
    <w:rsid w:val="2AD406FB"/>
    <w:rsid w:val="2AE4042A"/>
    <w:rsid w:val="2B183161"/>
    <w:rsid w:val="2B1E6DE9"/>
    <w:rsid w:val="2B517E26"/>
    <w:rsid w:val="2B563FA5"/>
    <w:rsid w:val="2B7269D3"/>
    <w:rsid w:val="2BA75114"/>
    <w:rsid w:val="2BD64CE6"/>
    <w:rsid w:val="2C086313"/>
    <w:rsid w:val="2C213498"/>
    <w:rsid w:val="2C35634A"/>
    <w:rsid w:val="2C503A00"/>
    <w:rsid w:val="2C5E32CE"/>
    <w:rsid w:val="2C6879B6"/>
    <w:rsid w:val="2C7359A9"/>
    <w:rsid w:val="2CA90E20"/>
    <w:rsid w:val="2CC066B6"/>
    <w:rsid w:val="2CFA7342"/>
    <w:rsid w:val="2D175CF0"/>
    <w:rsid w:val="2D2BD640"/>
    <w:rsid w:val="2D332E8B"/>
    <w:rsid w:val="2D3D098F"/>
    <w:rsid w:val="2D5230EA"/>
    <w:rsid w:val="2D6C3F53"/>
    <w:rsid w:val="2D7527D3"/>
    <w:rsid w:val="2D81205D"/>
    <w:rsid w:val="2DC21AC4"/>
    <w:rsid w:val="2DE15A2A"/>
    <w:rsid w:val="2DE43AD6"/>
    <w:rsid w:val="2DF64581"/>
    <w:rsid w:val="2DFA0395"/>
    <w:rsid w:val="2E0E500A"/>
    <w:rsid w:val="2E132C05"/>
    <w:rsid w:val="2E461D92"/>
    <w:rsid w:val="2E704C40"/>
    <w:rsid w:val="2E7327A3"/>
    <w:rsid w:val="2E7D6578"/>
    <w:rsid w:val="2EA66FF1"/>
    <w:rsid w:val="2EA82B4B"/>
    <w:rsid w:val="2EAE2F99"/>
    <w:rsid w:val="2EB201EE"/>
    <w:rsid w:val="2EC35C81"/>
    <w:rsid w:val="2EFA5CC5"/>
    <w:rsid w:val="2EFF34CE"/>
    <w:rsid w:val="2F067651"/>
    <w:rsid w:val="2F1018FB"/>
    <w:rsid w:val="2FBC7BBE"/>
    <w:rsid w:val="2FBD0A5E"/>
    <w:rsid w:val="2FBD2C1A"/>
    <w:rsid w:val="2FC43093"/>
    <w:rsid w:val="2FD45DE0"/>
    <w:rsid w:val="2FE01C28"/>
    <w:rsid w:val="2FEC276B"/>
    <w:rsid w:val="302A0DEC"/>
    <w:rsid w:val="303375CD"/>
    <w:rsid w:val="30417E57"/>
    <w:rsid w:val="305A532E"/>
    <w:rsid w:val="309C337C"/>
    <w:rsid w:val="30A14FAA"/>
    <w:rsid w:val="30B31D7E"/>
    <w:rsid w:val="30B942E6"/>
    <w:rsid w:val="30CB0233"/>
    <w:rsid w:val="30D5114E"/>
    <w:rsid w:val="310236FA"/>
    <w:rsid w:val="3103135B"/>
    <w:rsid w:val="310A4105"/>
    <w:rsid w:val="31201DE5"/>
    <w:rsid w:val="312104A5"/>
    <w:rsid w:val="31361F63"/>
    <w:rsid w:val="31560621"/>
    <w:rsid w:val="31587608"/>
    <w:rsid w:val="31654E43"/>
    <w:rsid w:val="3194340C"/>
    <w:rsid w:val="319A0963"/>
    <w:rsid w:val="31DE4CF4"/>
    <w:rsid w:val="31E94182"/>
    <w:rsid w:val="32462DCA"/>
    <w:rsid w:val="3252168B"/>
    <w:rsid w:val="32614B36"/>
    <w:rsid w:val="3264528D"/>
    <w:rsid w:val="326771FA"/>
    <w:rsid w:val="328874D7"/>
    <w:rsid w:val="32990C1B"/>
    <w:rsid w:val="32B1065A"/>
    <w:rsid w:val="32B465D6"/>
    <w:rsid w:val="332A5878"/>
    <w:rsid w:val="3338457A"/>
    <w:rsid w:val="33436A97"/>
    <w:rsid w:val="336D4545"/>
    <w:rsid w:val="33841118"/>
    <w:rsid w:val="338A38E1"/>
    <w:rsid w:val="33936ED4"/>
    <w:rsid w:val="33A44782"/>
    <w:rsid w:val="33B15CD8"/>
    <w:rsid w:val="33B71E0E"/>
    <w:rsid w:val="33BC72B7"/>
    <w:rsid w:val="33D33712"/>
    <w:rsid w:val="340C3C5D"/>
    <w:rsid w:val="34395DA5"/>
    <w:rsid w:val="34735E7F"/>
    <w:rsid w:val="347F2FC4"/>
    <w:rsid w:val="349B511E"/>
    <w:rsid w:val="34A55F9D"/>
    <w:rsid w:val="34AC6A12"/>
    <w:rsid w:val="359328C5"/>
    <w:rsid w:val="359A6072"/>
    <w:rsid w:val="35E8116D"/>
    <w:rsid w:val="363458A0"/>
    <w:rsid w:val="363E0998"/>
    <w:rsid w:val="36650D65"/>
    <w:rsid w:val="3669462B"/>
    <w:rsid w:val="366B11D8"/>
    <w:rsid w:val="36760A6F"/>
    <w:rsid w:val="36B52965"/>
    <w:rsid w:val="36E20DE2"/>
    <w:rsid w:val="36FD63F6"/>
    <w:rsid w:val="373A4DE3"/>
    <w:rsid w:val="373E3FC0"/>
    <w:rsid w:val="37424F12"/>
    <w:rsid w:val="375F35F1"/>
    <w:rsid w:val="37675342"/>
    <w:rsid w:val="376E0ECC"/>
    <w:rsid w:val="379D4CDE"/>
    <w:rsid w:val="37E142B1"/>
    <w:rsid w:val="37EC177B"/>
    <w:rsid w:val="38101CD3"/>
    <w:rsid w:val="381D7669"/>
    <w:rsid w:val="38341B11"/>
    <w:rsid w:val="38433E14"/>
    <w:rsid w:val="38461A94"/>
    <w:rsid w:val="38F02E41"/>
    <w:rsid w:val="39072D82"/>
    <w:rsid w:val="397D320D"/>
    <w:rsid w:val="39B55902"/>
    <w:rsid w:val="39BD1070"/>
    <w:rsid w:val="39D00669"/>
    <w:rsid w:val="39E64AA3"/>
    <w:rsid w:val="3A177C52"/>
    <w:rsid w:val="3A2F3459"/>
    <w:rsid w:val="3A3B7187"/>
    <w:rsid w:val="3A5D47D6"/>
    <w:rsid w:val="3A816F5E"/>
    <w:rsid w:val="3A8A4D82"/>
    <w:rsid w:val="3A92709D"/>
    <w:rsid w:val="3B1139DC"/>
    <w:rsid w:val="3B1C0B9A"/>
    <w:rsid w:val="3B1F1C65"/>
    <w:rsid w:val="3B346891"/>
    <w:rsid w:val="3B3C3764"/>
    <w:rsid w:val="3B693ABE"/>
    <w:rsid w:val="3B782269"/>
    <w:rsid w:val="3B930F30"/>
    <w:rsid w:val="3BA64B78"/>
    <w:rsid w:val="3BAA3A8C"/>
    <w:rsid w:val="3BB13A14"/>
    <w:rsid w:val="3BB26436"/>
    <w:rsid w:val="3BCC6D26"/>
    <w:rsid w:val="3BCD6DCC"/>
    <w:rsid w:val="3BEA4BBD"/>
    <w:rsid w:val="3BFF1AFF"/>
    <w:rsid w:val="3C05794C"/>
    <w:rsid w:val="3C09606D"/>
    <w:rsid w:val="3C0C0C1C"/>
    <w:rsid w:val="3C2121DB"/>
    <w:rsid w:val="3C8637E7"/>
    <w:rsid w:val="3C93694A"/>
    <w:rsid w:val="3C9C0EE0"/>
    <w:rsid w:val="3C9F07CB"/>
    <w:rsid w:val="3CA110A6"/>
    <w:rsid w:val="3CAA50D7"/>
    <w:rsid w:val="3CC23CE7"/>
    <w:rsid w:val="3D477BF1"/>
    <w:rsid w:val="3D580533"/>
    <w:rsid w:val="3D685D41"/>
    <w:rsid w:val="3D734BA5"/>
    <w:rsid w:val="3DB5210F"/>
    <w:rsid w:val="3DD95F68"/>
    <w:rsid w:val="3DDD2815"/>
    <w:rsid w:val="3DEB73A9"/>
    <w:rsid w:val="3E175D82"/>
    <w:rsid w:val="3E4D2492"/>
    <w:rsid w:val="3E9D93EE"/>
    <w:rsid w:val="3EAC1F9C"/>
    <w:rsid w:val="3EB516C8"/>
    <w:rsid w:val="3EBA7D64"/>
    <w:rsid w:val="3EC91BAA"/>
    <w:rsid w:val="3ED47298"/>
    <w:rsid w:val="3EFB53F5"/>
    <w:rsid w:val="3F1FD77A"/>
    <w:rsid w:val="3F28798A"/>
    <w:rsid w:val="3F3EB0A9"/>
    <w:rsid w:val="3F3F072A"/>
    <w:rsid w:val="3F621BC8"/>
    <w:rsid w:val="3F7A1395"/>
    <w:rsid w:val="3F925D08"/>
    <w:rsid w:val="3F9A5F9A"/>
    <w:rsid w:val="3FA118FC"/>
    <w:rsid w:val="3FA563F6"/>
    <w:rsid w:val="3FAF40B8"/>
    <w:rsid w:val="3FB1639F"/>
    <w:rsid w:val="3FF901DA"/>
    <w:rsid w:val="40055310"/>
    <w:rsid w:val="40585914"/>
    <w:rsid w:val="409A7B8F"/>
    <w:rsid w:val="40A414CA"/>
    <w:rsid w:val="40C50901"/>
    <w:rsid w:val="410526E5"/>
    <w:rsid w:val="41230A69"/>
    <w:rsid w:val="41570055"/>
    <w:rsid w:val="41735E73"/>
    <w:rsid w:val="419C63B5"/>
    <w:rsid w:val="41AE44BE"/>
    <w:rsid w:val="420B3F64"/>
    <w:rsid w:val="420D05F9"/>
    <w:rsid w:val="422A509B"/>
    <w:rsid w:val="42476297"/>
    <w:rsid w:val="424B3B49"/>
    <w:rsid w:val="425D1E07"/>
    <w:rsid w:val="425E6426"/>
    <w:rsid w:val="42613D77"/>
    <w:rsid w:val="429C5AC6"/>
    <w:rsid w:val="42C700D1"/>
    <w:rsid w:val="4300495F"/>
    <w:rsid w:val="434714CA"/>
    <w:rsid w:val="437370B7"/>
    <w:rsid w:val="43760491"/>
    <w:rsid w:val="43897891"/>
    <w:rsid w:val="43AC5B43"/>
    <w:rsid w:val="43F2013B"/>
    <w:rsid w:val="44066CDB"/>
    <w:rsid w:val="44212EAA"/>
    <w:rsid w:val="4426495C"/>
    <w:rsid w:val="44296D06"/>
    <w:rsid w:val="445B3043"/>
    <w:rsid w:val="44DD3E91"/>
    <w:rsid w:val="44E126D9"/>
    <w:rsid w:val="44FB2E8A"/>
    <w:rsid w:val="44FE6A97"/>
    <w:rsid w:val="4508045C"/>
    <w:rsid w:val="451C7EEB"/>
    <w:rsid w:val="45280009"/>
    <w:rsid w:val="458A280A"/>
    <w:rsid w:val="45D35E10"/>
    <w:rsid w:val="45DD5636"/>
    <w:rsid w:val="46003632"/>
    <w:rsid w:val="461A1131"/>
    <w:rsid w:val="46830356"/>
    <w:rsid w:val="468B12A0"/>
    <w:rsid w:val="468E7770"/>
    <w:rsid w:val="46946CC7"/>
    <w:rsid w:val="46AB0280"/>
    <w:rsid w:val="46E416BF"/>
    <w:rsid w:val="46F91E7C"/>
    <w:rsid w:val="471D75CC"/>
    <w:rsid w:val="472642DE"/>
    <w:rsid w:val="4726763D"/>
    <w:rsid w:val="474D4586"/>
    <w:rsid w:val="47517F5C"/>
    <w:rsid w:val="47601966"/>
    <w:rsid w:val="4763620D"/>
    <w:rsid w:val="47965AB7"/>
    <w:rsid w:val="47B642F1"/>
    <w:rsid w:val="47B85DA2"/>
    <w:rsid w:val="47FA7693"/>
    <w:rsid w:val="47FC1AAA"/>
    <w:rsid w:val="481438AA"/>
    <w:rsid w:val="48185FD4"/>
    <w:rsid w:val="4823219D"/>
    <w:rsid w:val="48312A56"/>
    <w:rsid w:val="4831507B"/>
    <w:rsid w:val="48336EC2"/>
    <w:rsid w:val="488C4279"/>
    <w:rsid w:val="488F1EED"/>
    <w:rsid w:val="48975150"/>
    <w:rsid w:val="48F873C3"/>
    <w:rsid w:val="4904414D"/>
    <w:rsid w:val="493243B5"/>
    <w:rsid w:val="49550C5F"/>
    <w:rsid w:val="495806B7"/>
    <w:rsid w:val="49646C1E"/>
    <w:rsid w:val="49653F45"/>
    <w:rsid w:val="496A5B1A"/>
    <w:rsid w:val="496C3E51"/>
    <w:rsid w:val="49E959C6"/>
    <w:rsid w:val="49F32F36"/>
    <w:rsid w:val="49F342CA"/>
    <w:rsid w:val="4A2B14C4"/>
    <w:rsid w:val="4A4C39AD"/>
    <w:rsid w:val="4A6718D3"/>
    <w:rsid w:val="4A7D3C0E"/>
    <w:rsid w:val="4A9E78BB"/>
    <w:rsid w:val="4AAF1765"/>
    <w:rsid w:val="4AE22767"/>
    <w:rsid w:val="4B12232D"/>
    <w:rsid w:val="4B3A2B43"/>
    <w:rsid w:val="4B4022CA"/>
    <w:rsid w:val="4B4675CC"/>
    <w:rsid w:val="4B5D2E6D"/>
    <w:rsid w:val="4B690D14"/>
    <w:rsid w:val="4B8507BD"/>
    <w:rsid w:val="4BB47AC2"/>
    <w:rsid w:val="4BC02BD8"/>
    <w:rsid w:val="4BD002E3"/>
    <w:rsid w:val="4BD66AD1"/>
    <w:rsid w:val="4C460FF0"/>
    <w:rsid w:val="4C5E0D5A"/>
    <w:rsid w:val="4CBF4276"/>
    <w:rsid w:val="4CD541BE"/>
    <w:rsid w:val="4CE2382F"/>
    <w:rsid w:val="4D0F61C4"/>
    <w:rsid w:val="4D190ECB"/>
    <w:rsid w:val="4D3E6D99"/>
    <w:rsid w:val="4D584B20"/>
    <w:rsid w:val="4DE10C64"/>
    <w:rsid w:val="4DE82D10"/>
    <w:rsid w:val="4DED275D"/>
    <w:rsid w:val="4E1622A9"/>
    <w:rsid w:val="4E1E138D"/>
    <w:rsid w:val="4E235B10"/>
    <w:rsid w:val="4E2E279D"/>
    <w:rsid w:val="4E312444"/>
    <w:rsid w:val="4E350587"/>
    <w:rsid w:val="4E47495A"/>
    <w:rsid w:val="4E637F5D"/>
    <w:rsid w:val="4E8974AF"/>
    <w:rsid w:val="4EA82ABA"/>
    <w:rsid w:val="4EB70E3E"/>
    <w:rsid w:val="4EDE158B"/>
    <w:rsid w:val="4EF37CBF"/>
    <w:rsid w:val="4EFD5149"/>
    <w:rsid w:val="4F014A44"/>
    <w:rsid w:val="4F0C3346"/>
    <w:rsid w:val="4F0D2D52"/>
    <w:rsid w:val="4F3B09F2"/>
    <w:rsid w:val="4F5E5E6E"/>
    <w:rsid w:val="4F8159F3"/>
    <w:rsid w:val="4F9E167F"/>
    <w:rsid w:val="4FAB421F"/>
    <w:rsid w:val="4FC03F38"/>
    <w:rsid w:val="4FC60261"/>
    <w:rsid w:val="5028016B"/>
    <w:rsid w:val="502D607D"/>
    <w:rsid w:val="503A35E5"/>
    <w:rsid w:val="504E4AB2"/>
    <w:rsid w:val="507B353E"/>
    <w:rsid w:val="50873996"/>
    <w:rsid w:val="50A93D1F"/>
    <w:rsid w:val="50BC680E"/>
    <w:rsid w:val="50F2034F"/>
    <w:rsid w:val="51546A2B"/>
    <w:rsid w:val="51611A3C"/>
    <w:rsid w:val="51767DCA"/>
    <w:rsid w:val="51AB3EEC"/>
    <w:rsid w:val="51AD1B61"/>
    <w:rsid w:val="51B122AB"/>
    <w:rsid w:val="51BA5EAB"/>
    <w:rsid w:val="51EC339B"/>
    <w:rsid w:val="51FA1543"/>
    <w:rsid w:val="52380824"/>
    <w:rsid w:val="52582329"/>
    <w:rsid w:val="526B4448"/>
    <w:rsid w:val="52A51CBB"/>
    <w:rsid w:val="52B31CFC"/>
    <w:rsid w:val="52C86D6D"/>
    <w:rsid w:val="52CD27D2"/>
    <w:rsid w:val="52F13372"/>
    <w:rsid w:val="52FB3C91"/>
    <w:rsid w:val="53013A3B"/>
    <w:rsid w:val="5309009C"/>
    <w:rsid w:val="534D60B9"/>
    <w:rsid w:val="535A067F"/>
    <w:rsid w:val="5388204A"/>
    <w:rsid w:val="539169A2"/>
    <w:rsid w:val="539C13A0"/>
    <w:rsid w:val="53A35A17"/>
    <w:rsid w:val="53B72340"/>
    <w:rsid w:val="53C95448"/>
    <w:rsid w:val="543861AB"/>
    <w:rsid w:val="54446CA9"/>
    <w:rsid w:val="54461AD3"/>
    <w:rsid w:val="54471223"/>
    <w:rsid w:val="54581E64"/>
    <w:rsid w:val="54AC7DE5"/>
    <w:rsid w:val="54B566C2"/>
    <w:rsid w:val="54CF07A0"/>
    <w:rsid w:val="54FF2231"/>
    <w:rsid w:val="5568105C"/>
    <w:rsid w:val="557C08CC"/>
    <w:rsid w:val="557C6727"/>
    <w:rsid w:val="557F415D"/>
    <w:rsid w:val="55A62DFB"/>
    <w:rsid w:val="55A73354"/>
    <w:rsid w:val="55CE6CAA"/>
    <w:rsid w:val="55D83373"/>
    <w:rsid w:val="55DA4C55"/>
    <w:rsid w:val="55EA795E"/>
    <w:rsid w:val="562F3EBC"/>
    <w:rsid w:val="5633291A"/>
    <w:rsid w:val="566C5776"/>
    <w:rsid w:val="56793688"/>
    <w:rsid w:val="567F71BD"/>
    <w:rsid w:val="56A21C1F"/>
    <w:rsid w:val="56C105B6"/>
    <w:rsid w:val="56D70EF4"/>
    <w:rsid w:val="57396B1E"/>
    <w:rsid w:val="575DE614"/>
    <w:rsid w:val="576A0140"/>
    <w:rsid w:val="57762CC5"/>
    <w:rsid w:val="57AE4F3D"/>
    <w:rsid w:val="57BC6F4E"/>
    <w:rsid w:val="57CF0AFC"/>
    <w:rsid w:val="57EF3B15"/>
    <w:rsid w:val="57F62C32"/>
    <w:rsid w:val="586557AC"/>
    <w:rsid w:val="58845D9B"/>
    <w:rsid w:val="58884175"/>
    <w:rsid w:val="58AB5EBB"/>
    <w:rsid w:val="58C837E5"/>
    <w:rsid w:val="58EF76ED"/>
    <w:rsid w:val="591B58C0"/>
    <w:rsid w:val="59204F48"/>
    <w:rsid w:val="59234ECA"/>
    <w:rsid w:val="595D2309"/>
    <w:rsid w:val="595D3DAB"/>
    <w:rsid w:val="59825874"/>
    <w:rsid w:val="59840B1E"/>
    <w:rsid w:val="59871AA6"/>
    <w:rsid w:val="59CB1E5B"/>
    <w:rsid w:val="5A080B9A"/>
    <w:rsid w:val="5A245A88"/>
    <w:rsid w:val="5A2D784B"/>
    <w:rsid w:val="5A5E40F8"/>
    <w:rsid w:val="5A635E1B"/>
    <w:rsid w:val="5A6B7AA8"/>
    <w:rsid w:val="5A6D3BE8"/>
    <w:rsid w:val="5A822399"/>
    <w:rsid w:val="5AAB1B4F"/>
    <w:rsid w:val="5AB729DC"/>
    <w:rsid w:val="5AB77B5E"/>
    <w:rsid w:val="5ACE61DC"/>
    <w:rsid w:val="5AEB3E5A"/>
    <w:rsid w:val="5AF50835"/>
    <w:rsid w:val="5B0B62AA"/>
    <w:rsid w:val="5B3369D1"/>
    <w:rsid w:val="5B8561F7"/>
    <w:rsid w:val="5B995F4F"/>
    <w:rsid w:val="5BA65FD3"/>
    <w:rsid w:val="5BE307B4"/>
    <w:rsid w:val="5C110EAC"/>
    <w:rsid w:val="5C276E7C"/>
    <w:rsid w:val="5C29397A"/>
    <w:rsid w:val="5C306DDF"/>
    <w:rsid w:val="5C456019"/>
    <w:rsid w:val="5C49575C"/>
    <w:rsid w:val="5C67E19E"/>
    <w:rsid w:val="5C9108EC"/>
    <w:rsid w:val="5C9E4255"/>
    <w:rsid w:val="5C9E4B22"/>
    <w:rsid w:val="5CE40B61"/>
    <w:rsid w:val="5CF41B55"/>
    <w:rsid w:val="5D0F5894"/>
    <w:rsid w:val="5D215608"/>
    <w:rsid w:val="5D260B29"/>
    <w:rsid w:val="5D2A6AAD"/>
    <w:rsid w:val="5D316B4B"/>
    <w:rsid w:val="5D4B6645"/>
    <w:rsid w:val="5D7C032C"/>
    <w:rsid w:val="5D8178C4"/>
    <w:rsid w:val="5D89316A"/>
    <w:rsid w:val="5D9F77F5"/>
    <w:rsid w:val="5DA628A5"/>
    <w:rsid w:val="5DAC51DC"/>
    <w:rsid w:val="5DAE0909"/>
    <w:rsid w:val="5DC5C773"/>
    <w:rsid w:val="5DCE5468"/>
    <w:rsid w:val="5DE93F98"/>
    <w:rsid w:val="5DFF269B"/>
    <w:rsid w:val="5E531B9F"/>
    <w:rsid w:val="5E5F1019"/>
    <w:rsid w:val="5E9F2706"/>
    <w:rsid w:val="5EA77881"/>
    <w:rsid w:val="5EC37BF2"/>
    <w:rsid w:val="5EC64CF9"/>
    <w:rsid w:val="5ED42E29"/>
    <w:rsid w:val="5EE96558"/>
    <w:rsid w:val="5EF37B31"/>
    <w:rsid w:val="5EF725A3"/>
    <w:rsid w:val="5F0D61FF"/>
    <w:rsid w:val="5F2E1BCB"/>
    <w:rsid w:val="5F2E7ED0"/>
    <w:rsid w:val="5F3F3148"/>
    <w:rsid w:val="5F424F1B"/>
    <w:rsid w:val="5F682CF2"/>
    <w:rsid w:val="5F857143"/>
    <w:rsid w:val="5FD11D7D"/>
    <w:rsid w:val="5FD42F33"/>
    <w:rsid w:val="5FE4B0E6"/>
    <w:rsid w:val="5FEC0D67"/>
    <w:rsid w:val="5FF30DB4"/>
    <w:rsid w:val="5FFE4272"/>
    <w:rsid w:val="60101288"/>
    <w:rsid w:val="601577B0"/>
    <w:rsid w:val="60502F9C"/>
    <w:rsid w:val="60510E15"/>
    <w:rsid w:val="605C2ABC"/>
    <w:rsid w:val="606E7474"/>
    <w:rsid w:val="609758D3"/>
    <w:rsid w:val="60AB793D"/>
    <w:rsid w:val="60D70F1B"/>
    <w:rsid w:val="60E71BD5"/>
    <w:rsid w:val="60EB3387"/>
    <w:rsid w:val="60EF4A64"/>
    <w:rsid w:val="611F3059"/>
    <w:rsid w:val="61204357"/>
    <w:rsid w:val="6138147B"/>
    <w:rsid w:val="613C3986"/>
    <w:rsid w:val="614B59FE"/>
    <w:rsid w:val="615006E0"/>
    <w:rsid w:val="6161292D"/>
    <w:rsid w:val="6167161A"/>
    <w:rsid w:val="618049B6"/>
    <w:rsid w:val="61E34130"/>
    <w:rsid w:val="622C6AB5"/>
    <w:rsid w:val="6232236E"/>
    <w:rsid w:val="623A0A45"/>
    <w:rsid w:val="62532DD8"/>
    <w:rsid w:val="629F5C38"/>
    <w:rsid w:val="62B54693"/>
    <w:rsid w:val="62D95D35"/>
    <w:rsid w:val="62E14DA4"/>
    <w:rsid w:val="62E55EDB"/>
    <w:rsid w:val="63212B0F"/>
    <w:rsid w:val="63307939"/>
    <w:rsid w:val="6343463D"/>
    <w:rsid w:val="635931AC"/>
    <w:rsid w:val="63614E88"/>
    <w:rsid w:val="63A23566"/>
    <w:rsid w:val="63B17F1C"/>
    <w:rsid w:val="63C6309D"/>
    <w:rsid w:val="63E1404C"/>
    <w:rsid w:val="63E776F7"/>
    <w:rsid w:val="63EE515C"/>
    <w:rsid w:val="63F44AE8"/>
    <w:rsid w:val="63F721C6"/>
    <w:rsid w:val="643E2FC6"/>
    <w:rsid w:val="64750B8B"/>
    <w:rsid w:val="64945A19"/>
    <w:rsid w:val="64BF74D6"/>
    <w:rsid w:val="64C56C5A"/>
    <w:rsid w:val="64CA1330"/>
    <w:rsid w:val="64CA25E2"/>
    <w:rsid w:val="64CC5C0C"/>
    <w:rsid w:val="64DC4BFE"/>
    <w:rsid w:val="651D7774"/>
    <w:rsid w:val="6537227D"/>
    <w:rsid w:val="65476131"/>
    <w:rsid w:val="654E0378"/>
    <w:rsid w:val="65687B32"/>
    <w:rsid w:val="657862D0"/>
    <w:rsid w:val="659868BE"/>
    <w:rsid w:val="65A1745A"/>
    <w:rsid w:val="65A43583"/>
    <w:rsid w:val="65AD5B85"/>
    <w:rsid w:val="65C020AA"/>
    <w:rsid w:val="65FD5241"/>
    <w:rsid w:val="66145AE8"/>
    <w:rsid w:val="668974B7"/>
    <w:rsid w:val="66B80636"/>
    <w:rsid w:val="66BD4D07"/>
    <w:rsid w:val="66DB1A39"/>
    <w:rsid w:val="67002C79"/>
    <w:rsid w:val="67120167"/>
    <w:rsid w:val="671C6828"/>
    <w:rsid w:val="67241CA8"/>
    <w:rsid w:val="67293484"/>
    <w:rsid w:val="674D2A64"/>
    <w:rsid w:val="67553383"/>
    <w:rsid w:val="679A064C"/>
    <w:rsid w:val="67EE6E63"/>
    <w:rsid w:val="681E541D"/>
    <w:rsid w:val="68211D3E"/>
    <w:rsid w:val="683F776E"/>
    <w:rsid w:val="68546EEF"/>
    <w:rsid w:val="6876296E"/>
    <w:rsid w:val="68906D27"/>
    <w:rsid w:val="689D1AB8"/>
    <w:rsid w:val="68A448DF"/>
    <w:rsid w:val="68A51176"/>
    <w:rsid w:val="68A80483"/>
    <w:rsid w:val="68B84A57"/>
    <w:rsid w:val="68C972A3"/>
    <w:rsid w:val="68E34968"/>
    <w:rsid w:val="68E834E7"/>
    <w:rsid w:val="6900157B"/>
    <w:rsid w:val="69105EC4"/>
    <w:rsid w:val="69320929"/>
    <w:rsid w:val="69637D10"/>
    <w:rsid w:val="696F212F"/>
    <w:rsid w:val="69752D81"/>
    <w:rsid w:val="69791C0D"/>
    <w:rsid w:val="69A433E0"/>
    <w:rsid w:val="69AC6782"/>
    <w:rsid w:val="69C54260"/>
    <w:rsid w:val="69DA2876"/>
    <w:rsid w:val="69E057C4"/>
    <w:rsid w:val="69EB0B74"/>
    <w:rsid w:val="69EE5696"/>
    <w:rsid w:val="6A09065D"/>
    <w:rsid w:val="6A1C7A52"/>
    <w:rsid w:val="6A235622"/>
    <w:rsid w:val="6A323556"/>
    <w:rsid w:val="6A332318"/>
    <w:rsid w:val="6A55442F"/>
    <w:rsid w:val="6A627569"/>
    <w:rsid w:val="6A7A0D56"/>
    <w:rsid w:val="6A8145EC"/>
    <w:rsid w:val="6AAB60E7"/>
    <w:rsid w:val="6AEA1A38"/>
    <w:rsid w:val="6B171F35"/>
    <w:rsid w:val="6B301273"/>
    <w:rsid w:val="6B327066"/>
    <w:rsid w:val="6B5042B7"/>
    <w:rsid w:val="6B6A1ED8"/>
    <w:rsid w:val="6B7239A9"/>
    <w:rsid w:val="6B7A7C19"/>
    <w:rsid w:val="6BAB6F14"/>
    <w:rsid w:val="6BAD1EE5"/>
    <w:rsid w:val="6BB9504A"/>
    <w:rsid w:val="6BBE353D"/>
    <w:rsid w:val="6BDA1471"/>
    <w:rsid w:val="6BEB4F4D"/>
    <w:rsid w:val="6C69134B"/>
    <w:rsid w:val="6C800F2B"/>
    <w:rsid w:val="6C8769E4"/>
    <w:rsid w:val="6CD8115A"/>
    <w:rsid w:val="6CED028B"/>
    <w:rsid w:val="6D0134BE"/>
    <w:rsid w:val="6D157631"/>
    <w:rsid w:val="6D1622F5"/>
    <w:rsid w:val="6D372F2F"/>
    <w:rsid w:val="6D3A3329"/>
    <w:rsid w:val="6D7D3037"/>
    <w:rsid w:val="6D977526"/>
    <w:rsid w:val="6D9E6246"/>
    <w:rsid w:val="6DF3512C"/>
    <w:rsid w:val="6DF6013C"/>
    <w:rsid w:val="6E6672D5"/>
    <w:rsid w:val="6E7066F8"/>
    <w:rsid w:val="6E9C74A7"/>
    <w:rsid w:val="6EB1286D"/>
    <w:rsid w:val="6EB16B19"/>
    <w:rsid w:val="6EC13C6B"/>
    <w:rsid w:val="6EC66036"/>
    <w:rsid w:val="6ED02D5B"/>
    <w:rsid w:val="6ED84BE7"/>
    <w:rsid w:val="6F0B6421"/>
    <w:rsid w:val="6F133948"/>
    <w:rsid w:val="6F7E6BF3"/>
    <w:rsid w:val="6F94255E"/>
    <w:rsid w:val="6FA259B3"/>
    <w:rsid w:val="6FA86872"/>
    <w:rsid w:val="6FAF801E"/>
    <w:rsid w:val="6FB25734"/>
    <w:rsid w:val="6FDB314B"/>
    <w:rsid w:val="6FFE28A4"/>
    <w:rsid w:val="700B7278"/>
    <w:rsid w:val="700F5C96"/>
    <w:rsid w:val="70273DFF"/>
    <w:rsid w:val="70385515"/>
    <w:rsid w:val="70485252"/>
    <w:rsid w:val="704F2C5F"/>
    <w:rsid w:val="707E2B59"/>
    <w:rsid w:val="70922A46"/>
    <w:rsid w:val="709F5248"/>
    <w:rsid w:val="70A82C64"/>
    <w:rsid w:val="70D8212E"/>
    <w:rsid w:val="70DF68B2"/>
    <w:rsid w:val="70E4170B"/>
    <w:rsid w:val="70EC3D46"/>
    <w:rsid w:val="70EE0FD2"/>
    <w:rsid w:val="71035C45"/>
    <w:rsid w:val="7146408D"/>
    <w:rsid w:val="714F327F"/>
    <w:rsid w:val="718B55D1"/>
    <w:rsid w:val="71905E41"/>
    <w:rsid w:val="719A31B8"/>
    <w:rsid w:val="719B701F"/>
    <w:rsid w:val="71AE679D"/>
    <w:rsid w:val="71B21C56"/>
    <w:rsid w:val="71C12C75"/>
    <w:rsid w:val="71CF0FB1"/>
    <w:rsid w:val="71D21478"/>
    <w:rsid w:val="71D927C2"/>
    <w:rsid w:val="71DC11D6"/>
    <w:rsid w:val="71DF78C7"/>
    <w:rsid w:val="71F65009"/>
    <w:rsid w:val="71FC4BC8"/>
    <w:rsid w:val="7219323C"/>
    <w:rsid w:val="724A7260"/>
    <w:rsid w:val="72763158"/>
    <w:rsid w:val="728269FA"/>
    <w:rsid w:val="7290103C"/>
    <w:rsid w:val="72A66CA0"/>
    <w:rsid w:val="72D341A5"/>
    <w:rsid w:val="72F73FF3"/>
    <w:rsid w:val="732228BC"/>
    <w:rsid w:val="733B028F"/>
    <w:rsid w:val="73547CB3"/>
    <w:rsid w:val="73603DCA"/>
    <w:rsid w:val="73694025"/>
    <w:rsid w:val="737D49B2"/>
    <w:rsid w:val="73975B85"/>
    <w:rsid w:val="739A7DBC"/>
    <w:rsid w:val="73A82490"/>
    <w:rsid w:val="73AC7712"/>
    <w:rsid w:val="73C37B3A"/>
    <w:rsid w:val="73CC301E"/>
    <w:rsid w:val="73E47D3A"/>
    <w:rsid w:val="73E5397F"/>
    <w:rsid w:val="73EA70F6"/>
    <w:rsid w:val="73F73798"/>
    <w:rsid w:val="740021F6"/>
    <w:rsid w:val="740A4FCB"/>
    <w:rsid w:val="74416103"/>
    <w:rsid w:val="74457BA7"/>
    <w:rsid w:val="74477C79"/>
    <w:rsid w:val="74565990"/>
    <w:rsid w:val="746A2A42"/>
    <w:rsid w:val="747E26EF"/>
    <w:rsid w:val="74BC6A47"/>
    <w:rsid w:val="74D659C1"/>
    <w:rsid w:val="751838B1"/>
    <w:rsid w:val="75387745"/>
    <w:rsid w:val="753FB30B"/>
    <w:rsid w:val="75787FC9"/>
    <w:rsid w:val="759304D8"/>
    <w:rsid w:val="75A17E72"/>
    <w:rsid w:val="75A27EB4"/>
    <w:rsid w:val="75A57786"/>
    <w:rsid w:val="75BC4F67"/>
    <w:rsid w:val="75D133D0"/>
    <w:rsid w:val="75DA5160"/>
    <w:rsid w:val="760D13FD"/>
    <w:rsid w:val="761A6F82"/>
    <w:rsid w:val="761B4000"/>
    <w:rsid w:val="763E0C8B"/>
    <w:rsid w:val="764F3ACF"/>
    <w:rsid w:val="764F96D6"/>
    <w:rsid w:val="76621367"/>
    <w:rsid w:val="766C5D8E"/>
    <w:rsid w:val="76786F2E"/>
    <w:rsid w:val="77356C05"/>
    <w:rsid w:val="77440156"/>
    <w:rsid w:val="77494B23"/>
    <w:rsid w:val="77622C29"/>
    <w:rsid w:val="77B06CF3"/>
    <w:rsid w:val="77B45926"/>
    <w:rsid w:val="77B5591A"/>
    <w:rsid w:val="77B989D6"/>
    <w:rsid w:val="77C6308A"/>
    <w:rsid w:val="77C94015"/>
    <w:rsid w:val="77CB7128"/>
    <w:rsid w:val="77D048EE"/>
    <w:rsid w:val="77DA1C1A"/>
    <w:rsid w:val="78117309"/>
    <w:rsid w:val="781B5F00"/>
    <w:rsid w:val="78546CA6"/>
    <w:rsid w:val="78BA0129"/>
    <w:rsid w:val="78BE1B72"/>
    <w:rsid w:val="78E818E5"/>
    <w:rsid w:val="78EE7648"/>
    <w:rsid w:val="78F36233"/>
    <w:rsid w:val="78FD0321"/>
    <w:rsid w:val="79175B75"/>
    <w:rsid w:val="791D7DAD"/>
    <w:rsid w:val="7940316B"/>
    <w:rsid w:val="79444A09"/>
    <w:rsid w:val="797F60D5"/>
    <w:rsid w:val="79B62B28"/>
    <w:rsid w:val="79C8563A"/>
    <w:rsid w:val="79CC5D5F"/>
    <w:rsid w:val="79FF16A0"/>
    <w:rsid w:val="7A1C03B1"/>
    <w:rsid w:val="7A434E36"/>
    <w:rsid w:val="7A502F9A"/>
    <w:rsid w:val="7A676C97"/>
    <w:rsid w:val="7A70591D"/>
    <w:rsid w:val="7A71383E"/>
    <w:rsid w:val="7A877999"/>
    <w:rsid w:val="7AEC944A"/>
    <w:rsid w:val="7B0C5A44"/>
    <w:rsid w:val="7B14665D"/>
    <w:rsid w:val="7B157A91"/>
    <w:rsid w:val="7B396895"/>
    <w:rsid w:val="7B9E3A11"/>
    <w:rsid w:val="7BBB1E89"/>
    <w:rsid w:val="7BC106DF"/>
    <w:rsid w:val="7BD24E35"/>
    <w:rsid w:val="7BE23A26"/>
    <w:rsid w:val="7BE335BE"/>
    <w:rsid w:val="7BEB3862"/>
    <w:rsid w:val="7BF8349D"/>
    <w:rsid w:val="7BFF4E1E"/>
    <w:rsid w:val="7BFFF6E3"/>
    <w:rsid w:val="7C190EA3"/>
    <w:rsid w:val="7C1C1739"/>
    <w:rsid w:val="7C2D09C7"/>
    <w:rsid w:val="7C336FB7"/>
    <w:rsid w:val="7C430998"/>
    <w:rsid w:val="7C5E31C4"/>
    <w:rsid w:val="7CA52ABC"/>
    <w:rsid w:val="7CB926AE"/>
    <w:rsid w:val="7CB97067"/>
    <w:rsid w:val="7CF3612E"/>
    <w:rsid w:val="7D101F38"/>
    <w:rsid w:val="7D300C8B"/>
    <w:rsid w:val="7D332259"/>
    <w:rsid w:val="7D3846C5"/>
    <w:rsid w:val="7D50212B"/>
    <w:rsid w:val="7D5532D3"/>
    <w:rsid w:val="7D5928AF"/>
    <w:rsid w:val="7D5947FB"/>
    <w:rsid w:val="7D6B16D3"/>
    <w:rsid w:val="7D6C6D74"/>
    <w:rsid w:val="7D776A27"/>
    <w:rsid w:val="7D784C4C"/>
    <w:rsid w:val="7D790677"/>
    <w:rsid w:val="7D907450"/>
    <w:rsid w:val="7DAC48AB"/>
    <w:rsid w:val="7DB96200"/>
    <w:rsid w:val="7DC04C9F"/>
    <w:rsid w:val="7E262414"/>
    <w:rsid w:val="7E375C98"/>
    <w:rsid w:val="7E642C2F"/>
    <w:rsid w:val="7E774470"/>
    <w:rsid w:val="7E7B1AA8"/>
    <w:rsid w:val="7E815073"/>
    <w:rsid w:val="7E843559"/>
    <w:rsid w:val="7E89406A"/>
    <w:rsid w:val="7EA06B86"/>
    <w:rsid w:val="7ED75EBE"/>
    <w:rsid w:val="7EDC56E4"/>
    <w:rsid w:val="7EFEE34E"/>
    <w:rsid w:val="7F001D93"/>
    <w:rsid w:val="7F1FB47E"/>
    <w:rsid w:val="7F550495"/>
    <w:rsid w:val="7F555AE3"/>
    <w:rsid w:val="7F813E6E"/>
    <w:rsid w:val="7F9DA20F"/>
    <w:rsid w:val="7FBE5E25"/>
    <w:rsid w:val="7FC74635"/>
    <w:rsid w:val="7FCF2BB9"/>
    <w:rsid w:val="7FF38CF2"/>
    <w:rsid w:val="7FFB2561"/>
    <w:rsid w:val="7FFEB392"/>
    <w:rsid w:val="7FFF2F8A"/>
    <w:rsid w:val="8DFF3A5C"/>
    <w:rsid w:val="A79A8ABF"/>
    <w:rsid w:val="A9CF1DEA"/>
    <w:rsid w:val="B37705E6"/>
    <w:rsid w:val="B7FB50C0"/>
    <w:rsid w:val="BF7DB39D"/>
    <w:rsid w:val="BFBFC79D"/>
    <w:rsid w:val="C73FB279"/>
    <w:rsid w:val="C9D3B072"/>
    <w:rsid w:val="CE3F85C7"/>
    <w:rsid w:val="D6BE6BF8"/>
    <w:rsid w:val="DBD7F5B7"/>
    <w:rsid w:val="DEFD5143"/>
    <w:rsid w:val="E7AEE023"/>
    <w:rsid w:val="E7DDE955"/>
    <w:rsid w:val="ED7FBFBF"/>
    <w:rsid w:val="EEF78B90"/>
    <w:rsid w:val="EF6BE9A8"/>
    <w:rsid w:val="F1DBC66D"/>
    <w:rsid w:val="F3DDDF3E"/>
    <w:rsid w:val="F5FE2EBA"/>
    <w:rsid w:val="F7AF8667"/>
    <w:rsid w:val="F7D47BAE"/>
    <w:rsid w:val="F7FF123D"/>
    <w:rsid w:val="F9DFC042"/>
    <w:rsid w:val="FBCFFB3D"/>
    <w:rsid w:val="FBFD4B3A"/>
    <w:rsid w:val="FBFF235D"/>
    <w:rsid w:val="FD54EDD7"/>
    <w:rsid w:val="FD5E6CBB"/>
    <w:rsid w:val="FDBD97D7"/>
    <w:rsid w:val="FDEFAD88"/>
    <w:rsid w:val="FDF7C49E"/>
    <w:rsid w:val="FE6FEF22"/>
    <w:rsid w:val="FEEDB0A4"/>
    <w:rsid w:val="FEFFFB05"/>
    <w:rsid w:val="FF3F5DCA"/>
    <w:rsid w:val="FF8F789E"/>
    <w:rsid w:val="FFB3E8C8"/>
    <w:rsid w:val="FFD7B653"/>
    <w:rsid w:val="FFF42034"/>
    <w:rsid w:val="FFF77F6C"/>
    <w:rsid w:val="FFF9D756"/>
    <w:rsid w:val="FFFF5497"/>
    <w:rsid w:val="FFFFA7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qFormat="1" w:unhideWhenUsed="0" w:uiPriority="0" w:semiHidden="0" w:name="macro"/>
    <w:lsdException w:uiPriority="99" w:name="toa heading"/>
    <w:lsdException w:qFormat="1" w:unhideWhenUsed="0" w:uiPriority="0" w:semiHidden="0" w:name="List"/>
    <w:lsdException w:qFormat="1" w:unhideWhenUsed="0" w:uiPriority="0" w:semiHidden="0" w:name="List Bullet"/>
    <w:lsdException w:qFormat="1" w:unhideWhenUsed="0" w:uiPriority="0" w:semiHidden="0"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99" w:semiHidden="0" w:name="Date"/>
    <w:lsdException w:qFormat="1" w:unhideWhenUsed="0" w:uiPriority="0" w:semiHidden="0" w:name="Body Text First Indent"/>
    <w:lsdException w:qFormat="1"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qFormat="1" w:uiPriority="99" w:semiHidden="0" w:name="HTML Acronym"/>
    <w:lsdException w:uiPriority="99" w:name="HTML Address"/>
    <w:lsdException w:qFormat="1" w:unhideWhenUsed="0" w:uiPriority="0" w:semiHidden="0" w:name="HTML Cite"/>
    <w:lsdException w:qFormat="1" w:uiPriority="99" w:semiHidden="0" w:name="HTML Code"/>
    <w:lsdException w:qFormat="1" w:uiPriority="99" w:semiHidden="0" w:name="HTML Definition"/>
    <w:lsdException w:qFormat="1" w:uiPriority="99" w:semiHidden="0" w:name="HTML Keyboard"/>
    <w:lsdException w:qFormat="1" w:uiPriority="0" w:semiHidden="0" w:name="HTML Preformatted"/>
    <w:lsdException w:qFormat="1" w:uiPriority="0" w:semiHidden="0" w:name="HTML Sample"/>
    <w:lsdException w:qFormat="1" w:unhideWhenUsed="0" w:uiPriority="0" w:semiHidden="0" w:name="HTML Typewriter"/>
    <w:lsdException w:qFormat="1"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79"/>
    <w:qFormat/>
    <w:uiPriority w:val="0"/>
    <w:pPr>
      <w:keepNext/>
      <w:jc w:val="center"/>
      <w:outlineLvl w:val="0"/>
    </w:pPr>
    <w:rPr>
      <w:rFonts w:ascii="楷体_GB2312" w:hAnsi="Tahoma" w:eastAsia="楷体_GB2312"/>
      <w:b/>
      <w:bCs/>
    </w:rPr>
  </w:style>
  <w:style w:type="paragraph" w:styleId="7">
    <w:name w:val="heading 2"/>
    <w:basedOn w:val="1"/>
    <w:next w:val="1"/>
    <w:link w:val="80"/>
    <w:qFormat/>
    <w:uiPriority w:val="0"/>
    <w:pPr>
      <w:keepNext/>
      <w:keepLines/>
      <w:spacing w:before="260" w:after="260" w:line="415" w:lineRule="auto"/>
      <w:outlineLvl w:val="1"/>
    </w:pPr>
    <w:rPr>
      <w:rFonts w:ascii="Arial" w:hAnsi="Arial" w:eastAsia="黑体"/>
      <w:b/>
      <w:bCs/>
      <w:sz w:val="32"/>
      <w:szCs w:val="32"/>
    </w:rPr>
  </w:style>
  <w:style w:type="paragraph" w:styleId="8">
    <w:name w:val="heading 3"/>
    <w:basedOn w:val="7"/>
    <w:next w:val="1"/>
    <w:link w:val="81"/>
    <w:qFormat/>
    <w:uiPriority w:val="0"/>
    <w:pPr>
      <w:outlineLvl w:val="2"/>
    </w:pPr>
    <w:rPr>
      <w:b w:val="0"/>
      <w:bCs w:val="0"/>
    </w:rPr>
  </w:style>
  <w:style w:type="paragraph" w:styleId="9">
    <w:name w:val="heading 4"/>
    <w:basedOn w:val="1"/>
    <w:next w:val="1"/>
    <w:link w:val="82"/>
    <w:qFormat/>
    <w:uiPriority w:val="0"/>
    <w:pPr>
      <w:spacing w:before="280" w:after="290" w:line="372" w:lineRule="auto"/>
      <w:outlineLvl w:val="3"/>
    </w:pPr>
    <w:rPr>
      <w:rFonts w:ascii="Cambria" w:hAnsi="Cambria"/>
      <w:b/>
      <w:bCs/>
      <w:sz w:val="28"/>
      <w:szCs w:val="28"/>
    </w:rPr>
  </w:style>
  <w:style w:type="paragraph" w:styleId="10">
    <w:name w:val="heading 5"/>
    <w:basedOn w:val="1"/>
    <w:next w:val="1"/>
    <w:link w:val="83"/>
    <w:qFormat/>
    <w:uiPriority w:val="0"/>
    <w:pPr>
      <w:outlineLvl w:val="4"/>
    </w:pPr>
    <w:rPr>
      <w:rFonts w:ascii="仿宋_GB2312" w:hAnsi="Tahoma"/>
    </w:rPr>
  </w:style>
  <w:style w:type="paragraph" w:styleId="11">
    <w:name w:val="heading 6"/>
    <w:basedOn w:val="1"/>
    <w:next w:val="1"/>
    <w:link w:val="84"/>
    <w:qFormat/>
    <w:uiPriority w:val="0"/>
    <w:pPr>
      <w:keepNext/>
      <w:keepLines/>
      <w:spacing w:before="240" w:after="64" w:line="319" w:lineRule="auto"/>
      <w:outlineLvl w:val="5"/>
    </w:pPr>
    <w:rPr>
      <w:rFonts w:ascii="Arial" w:hAnsi="Arial" w:eastAsia="黑体"/>
      <w:b/>
      <w:bCs/>
      <w:sz w:val="24"/>
    </w:rPr>
  </w:style>
  <w:style w:type="paragraph" w:styleId="12">
    <w:name w:val="heading 7"/>
    <w:basedOn w:val="1"/>
    <w:next w:val="1"/>
    <w:link w:val="85"/>
    <w:qFormat/>
    <w:uiPriority w:val="0"/>
    <w:pPr>
      <w:widowControl/>
      <w:tabs>
        <w:tab w:val="left" w:pos="765"/>
      </w:tabs>
      <w:autoSpaceDE w:val="0"/>
      <w:autoSpaceDN w:val="0"/>
      <w:adjustRightInd w:val="0"/>
      <w:spacing w:line="360" w:lineRule="auto"/>
      <w:ind w:left="1134" w:hanging="680"/>
      <w:jc w:val="left"/>
      <w:outlineLvl w:val="6"/>
    </w:pPr>
    <w:rPr>
      <w:rFonts w:ascii="Arial" w:hAnsi="Arial" w:eastAsia="黑体"/>
      <w:b/>
      <w:kern w:val="0"/>
      <w:szCs w:val="21"/>
    </w:rPr>
  </w:style>
  <w:style w:type="paragraph" w:styleId="13">
    <w:name w:val="heading 8"/>
    <w:basedOn w:val="1"/>
    <w:next w:val="1"/>
    <w:link w:val="86"/>
    <w:qFormat/>
    <w:uiPriority w:val="0"/>
    <w:pPr>
      <w:keepLines/>
      <w:tabs>
        <w:tab w:val="left" w:pos="1638"/>
      </w:tabs>
      <w:autoSpaceDE w:val="0"/>
      <w:autoSpaceDN w:val="0"/>
      <w:adjustRightInd w:val="0"/>
      <w:spacing w:before="240" w:after="64" w:line="317" w:lineRule="auto"/>
      <w:ind w:left="1638" w:hanging="1440"/>
      <w:jc w:val="left"/>
      <w:outlineLvl w:val="7"/>
    </w:pPr>
    <w:rPr>
      <w:rFonts w:ascii="Arial" w:hAnsi="Arial" w:eastAsia="黑体"/>
      <w:b/>
      <w:kern w:val="0"/>
      <w:sz w:val="24"/>
      <w:szCs w:val="32"/>
    </w:rPr>
  </w:style>
  <w:style w:type="paragraph" w:styleId="14">
    <w:name w:val="heading 9"/>
    <w:basedOn w:val="1"/>
    <w:next w:val="1"/>
    <w:link w:val="87"/>
    <w:qFormat/>
    <w:uiPriority w:val="0"/>
    <w:pPr>
      <w:keepLines/>
      <w:tabs>
        <w:tab w:val="left" w:pos="1782"/>
      </w:tabs>
      <w:autoSpaceDE w:val="0"/>
      <w:autoSpaceDN w:val="0"/>
      <w:adjustRightInd w:val="0"/>
      <w:spacing w:before="240" w:after="64" w:line="317" w:lineRule="auto"/>
      <w:ind w:left="1782" w:hanging="1584"/>
      <w:jc w:val="left"/>
      <w:outlineLvl w:val="8"/>
    </w:pPr>
    <w:rPr>
      <w:rFonts w:ascii="Arial" w:hAnsi="Arial" w:eastAsia="黑体"/>
      <w:b/>
      <w:kern w:val="0"/>
      <w:szCs w:val="32"/>
    </w:rPr>
  </w:style>
  <w:style w:type="character" w:default="1" w:styleId="58">
    <w:name w:val="Default Paragraph Font"/>
    <w:semiHidden/>
    <w:unhideWhenUsed/>
    <w:qFormat/>
    <w:uiPriority w:val="1"/>
  </w:style>
  <w:style w:type="table" w:default="1" w:styleId="5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77"/>
    <w:qFormat/>
    <w:uiPriority w:val="0"/>
    <w:pPr>
      <w:autoSpaceDE w:val="0"/>
      <w:autoSpaceDN w:val="0"/>
      <w:adjustRightInd w:val="0"/>
      <w:ind w:firstLine="420" w:firstLineChars="100"/>
      <w:jc w:val="left"/>
    </w:pPr>
    <w:rPr>
      <w:rFonts w:ascii="仿宋_GB2312" w:hAnsi="Times New Roman"/>
      <w:b/>
      <w:kern w:val="0"/>
      <w:sz w:val="32"/>
      <w:szCs w:val="32"/>
    </w:rPr>
  </w:style>
  <w:style w:type="paragraph" w:styleId="3">
    <w:name w:val="Body Text"/>
    <w:basedOn w:val="1"/>
    <w:next w:val="2"/>
    <w:link w:val="76"/>
    <w:qFormat/>
    <w:uiPriority w:val="0"/>
    <w:pPr>
      <w:spacing w:after="120"/>
    </w:pPr>
    <w:rPr>
      <w:rFonts w:ascii="Tahoma" w:hAnsi="Tahoma"/>
    </w:rPr>
  </w:style>
  <w:style w:type="paragraph" w:styleId="4">
    <w:name w:val="toc 6"/>
    <w:basedOn w:val="1"/>
    <w:next w:val="1"/>
    <w:qFormat/>
    <w:uiPriority w:val="39"/>
    <w:pPr>
      <w:autoSpaceDE w:val="0"/>
      <w:autoSpaceDN w:val="0"/>
      <w:adjustRightInd w:val="0"/>
      <w:ind w:left="2100" w:leftChars="1000"/>
      <w:jc w:val="left"/>
    </w:pPr>
    <w:rPr>
      <w:kern w:val="0"/>
      <w:sz w:val="20"/>
      <w:szCs w:val="20"/>
    </w:rPr>
  </w:style>
  <w:style w:type="paragraph" w:styleId="5">
    <w:name w:val="macro"/>
    <w:link w:val="78"/>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5">
    <w:name w:val="toc 7"/>
    <w:basedOn w:val="1"/>
    <w:next w:val="1"/>
    <w:qFormat/>
    <w:uiPriority w:val="39"/>
    <w:pPr>
      <w:autoSpaceDE w:val="0"/>
      <w:autoSpaceDN w:val="0"/>
      <w:adjustRightInd w:val="0"/>
      <w:ind w:left="2520" w:leftChars="1200"/>
      <w:jc w:val="left"/>
    </w:pPr>
    <w:rPr>
      <w:kern w:val="0"/>
      <w:sz w:val="20"/>
      <w:szCs w:val="20"/>
    </w:rPr>
  </w:style>
  <w:style w:type="paragraph" w:styleId="16">
    <w:name w:val="Note Heading"/>
    <w:basedOn w:val="1"/>
    <w:next w:val="1"/>
    <w:link w:val="88"/>
    <w:qFormat/>
    <w:uiPriority w:val="0"/>
    <w:pPr>
      <w:jc w:val="left"/>
    </w:pPr>
    <w:rPr>
      <w:rFonts w:eastAsia="黑体"/>
      <w:sz w:val="28"/>
      <w:szCs w:val="20"/>
    </w:rPr>
  </w:style>
  <w:style w:type="paragraph" w:styleId="17">
    <w:name w:val="List Number"/>
    <w:basedOn w:val="1"/>
    <w:qFormat/>
    <w:uiPriority w:val="0"/>
    <w:pPr>
      <w:tabs>
        <w:tab w:val="left" w:pos="360"/>
      </w:tabs>
      <w:ind w:left="360" w:hanging="360" w:hangingChars="200"/>
    </w:pPr>
  </w:style>
  <w:style w:type="paragraph" w:styleId="18">
    <w:name w:val="Normal Indent"/>
    <w:basedOn w:val="1"/>
    <w:next w:val="1"/>
    <w:link w:val="89"/>
    <w:qFormat/>
    <w:uiPriority w:val="0"/>
    <w:pPr>
      <w:adjustRightInd w:val="0"/>
      <w:spacing w:line="312" w:lineRule="atLeast"/>
      <w:ind w:firstLine="420"/>
      <w:textAlignment w:val="baseline"/>
    </w:pPr>
    <w:rPr>
      <w:kern w:val="0"/>
      <w:szCs w:val="20"/>
    </w:rPr>
  </w:style>
  <w:style w:type="paragraph" w:styleId="19">
    <w:name w:val="caption"/>
    <w:basedOn w:val="1"/>
    <w:next w:val="1"/>
    <w:link w:val="90"/>
    <w:qFormat/>
    <w:uiPriority w:val="0"/>
    <w:pPr>
      <w:autoSpaceDE w:val="0"/>
      <w:autoSpaceDN w:val="0"/>
      <w:adjustRightInd w:val="0"/>
      <w:jc w:val="left"/>
    </w:pPr>
    <w:rPr>
      <w:rFonts w:ascii="Arial" w:hAnsi="Arial" w:eastAsia="黑体"/>
      <w:kern w:val="0"/>
      <w:sz w:val="20"/>
      <w:szCs w:val="20"/>
    </w:rPr>
  </w:style>
  <w:style w:type="paragraph" w:styleId="20">
    <w:name w:val="List Bullet"/>
    <w:basedOn w:val="1"/>
    <w:qFormat/>
    <w:uiPriority w:val="0"/>
    <w:pPr>
      <w:tabs>
        <w:tab w:val="left" w:pos="360"/>
      </w:tabs>
      <w:ind w:left="1080" w:hanging="1080"/>
    </w:pPr>
    <w:rPr>
      <w:rFonts w:ascii="Calibri" w:hAnsi="Calibri"/>
      <w:szCs w:val="22"/>
    </w:rPr>
  </w:style>
  <w:style w:type="paragraph" w:styleId="21">
    <w:name w:val="Document Map"/>
    <w:basedOn w:val="1"/>
    <w:link w:val="91"/>
    <w:qFormat/>
    <w:uiPriority w:val="0"/>
    <w:pPr>
      <w:shd w:val="clear" w:color="auto" w:fill="000080"/>
    </w:pPr>
  </w:style>
  <w:style w:type="paragraph" w:styleId="22">
    <w:name w:val="annotation text"/>
    <w:basedOn w:val="1"/>
    <w:link w:val="92"/>
    <w:qFormat/>
    <w:uiPriority w:val="0"/>
    <w:pPr>
      <w:jc w:val="left"/>
    </w:pPr>
  </w:style>
  <w:style w:type="paragraph" w:styleId="23">
    <w:name w:val="Salutation"/>
    <w:basedOn w:val="1"/>
    <w:next w:val="1"/>
    <w:link w:val="93"/>
    <w:qFormat/>
    <w:uiPriority w:val="0"/>
    <w:pPr>
      <w:tabs>
        <w:tab w:val="left" w:pos="840"/>
      </w:tabs>
      <w:autoSpaceDE w:val="0"/>
      <w:autoSpaceDN w:val="0"/>
      <w:adjustRightInd w:val="0"/>
      <w:jc w:val="left"/>
    </w:pPr>
    <w:rPr>
      <w:kern w:val="0"/>
      <w:sz w:val="20"/>
      <w:szCs w:val="20"/>
    </w:rPr>
  </w:style>
  <w:style w:type="paragraph" w:styleId="24">
    <w:name w:val="Body Text 3"/>
    <w:basedOn w:val="1"/>
    <w:link w:val="94"/>
    <w:qFormat/>
    <w:uiPriority w:val="0"/>
    <w:pPr>
      <w:autoSpaceDE w:val="0"/>
      <w:autoSpaceDN w:val="0"/>
      <w:adjustRightInd w:val="0"/>
      <w:jc w:val="center"/>
    </w:pPr>
    <w:rPr>
      <w:kern w:val="0"/>
      <w:sz w:val="20"/>
      <w:szCs w:val="20"/>
    </w:rPr>
  </w:style>
  <w:style w:type="paragraph" w:styleId="25">
    <w:name w:val="Body Text Indent"/>
    <w:basedOn w:val="1"/>
    <w:next w:val="26"/>
    <w:link w:val="95"/>
    <w:qFormat/>
    <w:uiPriority w:val="0"/>
    <w:pPr>
      <w:adjustRightInd w:val="0"/>
      <w:spacing w:line="360" w:lineRule="auto"/>
      <w:ind w:firstLine="490"/>
      <w:jc w:val="left"/>
    </w:pPr>
    <w:rPr>
      <w:rFonts w:ascii="宋体" w:hAnsi="宋体"/>
      <w:sz w:val="24"/>
      <w:szCs w:val="20"/>
    </w:rPr>
  </w:style>
  <w:style w:type="paragraph" w:styleId="26">
    <w:name w:val="Body Text First Indent 2"/>
    <w:basedOn w:val="25"/>
    <w:link w:val="111"/>
    <w:unhideWhenUsed/>
    <w:qFormat/>
    <w:uiPriority w:val="0"/>
    <w:pPr>
      <w:adjustRightInd/>
      <w:spacing w:after="120"/>
      <w:ind w:left="420" w:leftChars="200" w:firstLine="420" w:firstLineChars="200"/>
      <w:jc w:val="both"/>
    </w:pPr>
    <w:rPr>
      <w:szCs w:val="24"/>
    </w:rPr>
  </w:style>
  <w:style w:type="paragraph" w:styleId="27">
    <w:name w:val="List Number 3"/>
    <w:basedOn w:val="1"/>
    <w:qFormat/>
    <w:uiPriority w:val="0"/>
    <w:pPr>
      <w:tabs>
        <w:tab w:val="left" w:pos="1200"/>
      </w:tabs>
      <w:ind w:left="1200" w:leftChars="400" w:hanging="360" w:hangingChars="200"/>
    </w:pPr>
  </w:style>
  <w:style w:type="paragraph" w:styleId="28">
    <w:name w:val="Block Text"/>
    <w:basedOn w:val="1"/>
    <w:qFormat/>
    <w:uiPriority w:val="99"/>
    <w:pPr>
      <w:spacing w:after="120"/>
      <w:ind w:left="1440" w:leftChars="700" w:right="1440" w:rightChars="700"/>
    </w:pPr>
    <w:rPr>
      <w:szCs w:val="22"/>
    </w:rPr>
  </w:style>
  <w:style w:type="paragraph" w:styleId="29">
    <w:name w:val="List Bullet 2"/>
    <w:basedOn w:val="1"/>
    <w:qFormat/>
    <w:uiPriority w:val="0"/>
    <w:pPr>
      <w:tabs>
        <w:tab w:val="left" w:pos="780"/>
      </w:tabs>
      <w:spacing w:line="360" w:lineRule="auto"/>
      <w:ind w:left="780" w:leftChars="200" w:hanging="360" w:hangingChars="200"/>
    </w:pPr>
  </w:style>
  <w:style w:type="paragraph" w:styleId="30">
    <w:name w:val="toc 5"/>
    <w:basedOn w:val="1"/>
    <w:next w:val="1"/>
    <w:qFormat/>
    <w:uiPriority w:val="39"/>
    <w:pPr>
      <w:autoSpaceDE w:val="0"/>
      <w:autoSpaceDN w:val="0"/>
      <w:adjustRightInd w:val="0"/>
      <w:ind w:left="1680" w:leftChars="800"/>
      <w:jc w:val="left"/>
    </w:pPr>
    <w:rPr>
      <w:kern w:val="0"/>
      <w:sz w:val="20"/>
      <w:szCs w:val="20"/>
    </w:rPr>
  </w:style>
  <w:style w:type="paragraph" w:styleId="31">
    <w:name w:val="toc 3"/>
    <w:basedOn w:val="1"/>
    <w:next w:val="1"/>
    <w:qFormat/>
    <w:uiPriority w:val="39"/>
    <w:pPr>
      <w:ind w:left="840" w:leftChars="400"/>
    </w:pPr>
  </w:style>
  <w:style w:type="paragraph" w:styleId="32">
    <w:name w:val="Plain Text"/>
    <w:basedOn w:val="1"/>
    <w:next w:val="1"/>
    <w:link w:val="96"/>
    <w:qFormat/>
    <w:uiPriority w:val="0"/>
    <w:rPr>
      <w:rFonts w:ascii="宋体" w:hAnsi="Courier New"/>
      <w:szCs w:val="20"/>
    </w:rPr>
  </w:style>
  <w:style w:type="paragraph" w:styleId="33">
    <w:name w:val="List Number 4"/>
    <w:basedOn w:val="1"/>
    <w:qFormat/>
    <w:uiPriority w:val="0"/>
    <w:pPr>
      <w:tabs>
        <w:tab w:val="left" w:pos="840"/>
      </w:tabs>
      <w:autoSpaceDE w:val="0"/>
      <w:autoSpaceDN w:val="0"/>
      <w:adjustRightInd w:val="0"/>
      <w:spacing w:line="360" w:lineRule="atLeast"/>
      <w:ind w:left="840" w:hanging="420"/>
      <w:jc w:val="left"/>
    </w:pPr>
    <w:rPr>
      <w:kern w:val="0"/>
      <w:sz w:val="24"/>
      <w:szCs w:val="20"/>
    </w:rPr>
  </w:style>
  <w:style w:type="paragraph" w:styleId="34">
    <w:name w:val="toc 8"/>
    <w:basedOn w:val="1"/>
    <w:next w:val="1"/>
    <w:qFormat/>
    <w:uiPriority w:val="39"/>
    <w:pPr>
      <w:autoSpaceDE w:val="0"/>
      <w:autoSpaceDN w:val="0"/>
      <w:adjustRightInd w:val="0"/>
      <w:ind w:left="2940" w:leftChars="1400"/>
      <w:jc w:val="left"/>
    </w:pPr>
    <w:rPr>
      <w:kern w:val="0"/>
      <w:sz w:val="20"/>
      <w:szCs w:val="20"/>
    </w:rPr>
  </w:style>
  <w:style w:type="paragraph" w:styleId="35">
    <w:name w:val="Date"/>
    <w:basedOn w:val="1"/>
    <w:next w:val="1"/>
    <w:link w:val="97"/>
    <w:qFormat/>
    <w:uiPriority w:val="99"/>
    <w:pPr>
      <w:spacing w:line="440" w:lineRule="exact"/>
    </w:pPr>
    <w:rPr>
      <w:spacing w:val="12"/>
      <w:sz w:val="24"/>
      <w:szCs w:val="20"/>
    </w:rPr>
  </w:style>
  <w:style w:type="paragraph" w:styleId="36">
    <w:name w:val="Body Text Indent 2"/>
    <w:basedOn w:val="1"/>
    <w:link w:val="98"/>
    <w:qFormat/>
    <w:uiPriority w:val="0"/>
    <w:pPr>
      <w:spacing w:after="120" w:line="480" w:lineRule="auto"/>
      <w:ind w:left="420" w:leftChars="200"/>
    </w:pPr>
  </w:style>
  <w:style w:type="paragraph" w:styleId="37">
    <w:name w:val="Balloon Text"/>
    <w:basedOn w:val="1"/>
    <w:link w:val="99"/>
    <w:qFormat/>
    <w:uiPriority w:val="99"/>
    <w:rPr>
      <w:sz w:val="18"/>
      <w:szCs w:val="18"/>
    </w:rPr>
  </w:style>
  <w:style w:type="paragraph" w:styleId="38">
    <w:name w:val="footer"/>
    <w:basedOn w:val="1"/>
    <w:link w:val="100"/>
    <w:qFormat/>
    <w:uiPriority w:val="0"/>
    <w:pPr>
      <w:tabs>
        <w:tab w:val="center" w:pos="4153"/>
        <w:tab w:val="right" w:pos="8306"/>
      </w:tabs>
      <w:snapToGrid w:val="0"/>
      <w:jc w:val="left"/>
    </w:pPr>
    <w:rPr>
      <w:sz w:val="18"/>
      <w:szCs w:val="18"/>
    </w:rPr>
  </w:style>
  <w:style w:type="paragraph" w:styleId="39">
    <w:name w:val="header"/>
    <w:basedOn w:val="1"/>
    <w:link w:val="101"/>
    <w:qFormat/>
    <w:uiPriority w:val="0"/>
    <w:pPr>
      <w:pBdr>
        <w:bottom w:val="single" w:color="auto" w:sz="6" w:space="1"/>
      </w:pBdr>
      <w:tabs>
        <w:tab w:val="center" w:pos="4153"/>
        <w:tab w:val="right" w:pos="8306"/>
      </w:tabs>
      <w:snapToGrid w:val="0"/>
      <w:jc w:val="center"/>
    </w:pPr>
    <w:rPr>
      <w:sz w:val="18"/>
      <w:szCs w:val="18"/>
    </w:rPr>
  </w:style>
  <w:style w:type="paragraph" w:styleId="40">
    <w:name w:val="Signature"/>
    <w:basedOn w:val="1"/>
    <w:link w:val="102"/>
    <w:qFormat/>
    <w:uiPriority w:val="0"/>
    <w:pPr>
      <w:autoSpaceDE w:val="0"/>
      <w:autoSpaceDN w:val="0"/>
      <w:adjustRightInd w:val="0"/>
      <w:spacing w:after="600" w:line="312" w:lineRule="atLeast"/>
      <w:jc w:val="center"/>
      <w:textAlignment w:val="baseline"/>
    </w:pPr>
    <w:rPr>
      <w:rFonts w:ascii="Tahoma" w:hAnsi="Tahoma" w:eastAsia="仿宋_GB2312"/>
      <w:kern w:val="0"/>
      <w:sz w:val="24"/>
      <w:szCs w:val="20"/>
    </w:rPr>
  </w:style>
  <w:style w:type="paragraph" w:styleId="41">
    <w:name w:val="toc 1"/>
    <w:basedOn w:val="1"/>
    <w:next w:val="1"/>
    <w:qFormat/>
    <w:uiPriority w:val="39"/>
    <w:pPr>
      <w:spacing w:line="360" w:lineRule="exact"/>
      <w:ind w:left="718" w:hanging="718" w:hangingChars="342"/>
    </w:pPr>
    <w:rPr>
      <w:rFonts w:ascii="Arial" w:hAnsi="Arial" w:eastAsia="楷体_GB2312" w:cs="Arial"/>
    </w:rPr>
  </w:style>
  <w:style w:type="paragraph" w:styleId="42">
    <w:name w:val="toc 4"/>
    <w:basedOn w:val="1"/>
    <w:next w:val="1"/>
    <w:qFormat/>
    <w:uiPriority w:val="39"/>
    <w:pPr>
      <w:autoSpaceDE w:val="0"/>
      <w:autoSpaceDN w:val="0"/>
      <w:adjustRightInd w:val="0"/>
      <w:ind w:left="1260" w:leftChars="600"/>
      <w:jc w:val="left"/>
    </w:pPr>
    <w:rPr>
      <w:kern w:val="0"/>
      <w:sz w:val="20"/>
      <w:szCs w:val="20"/>
    </w:rPr>
  </w:style>
  <w:style w:type="paragraph" w:styleId="43">
    <w:name w:val="Subtitle"/>
    <w:basedOn w:val="1"/>
    <w:next w:val="1"/>
    <w:link w:val="103"/>
    <w:qFormat/>
    <w:uiPriority w:val="0"/>
    <w:pPr>
      <w:spacing w:before="240" w:after="60" w:line="312" w:lineRule="auto"/>
      <w:jc w:val="center"/>
      <w:outlineLvl w:val="1"/>
    </w:pPr>
    <w:rPr>
      <w:rFonts w:ascii="Cambria" w:hAnsi="Cambria"/>
      <w:b/>
      <w:bCs/>
      <w:kern w:val="28"/>
      <w:sz w:val="32"/>
      <w:szCs w:val="32"/>
    </w:rPr>
  </w:style>
  <w:style w:type="paragraph" w:styleId="44">
    <w:name w:val="List Number 5"/>
    <w:basedOn w:val="1"/>
    <w:qFormat/>
    <w:uiPriority w:val="0"/>
    <w:pPr>
      <w:tabs>
        <w:tab w:val="left" w:pos="2040"/>
      </w:tabs>
      <w:autoSpaceDE w:val="0"/>
      <w:autoSpaceDN w:val="0"/>
      <w:adjustRightInd w:val="0"/>
      <w:spacing w:line="400" w:lineRule="exact"/>
      <w:ind w:left="2040" w:hanging="360"/>
      <w:jc w:val="left"/>
    </w:pPr>
    <w:rPr>
      <w:kern w:val="0"/>
      <w:sz w:val="24"/>
      <w:szCs w:val="20"/>
    </w:rPr>
  </w:style>
  <w:style w:type="paragraph" w:styleId="45">
    <w:name w:val="List"/>
    <w:basedOn w:val="1"/>
    <w:qFormat/>
    <w:uiPriority w:val="0"/>
    <w:pPr>
      <w:ind w:left="200" w:hanging="200" w:hangingChars="200"/>
    </w:pPr>
    <w:rPr>
      <w:sz w:val="28"/>
    </w:rPr>
  </w:style>
  <w:style w:type="paragraph" w:styleId="46">
    <w:name w:val="footnote text"/>
    <w:basedOn w:val="1"/>
    <w:link w:val="104"/>
    <w:unhideWhenUsed/>
    <w:qFormat/>
    <w:uiPriority w:val="99"/>
    <w:pPr>
      <w:snapToGrid w:val="0"/>
      <w:spacing w:line="360" w:lineRule="auto"/>
      <w:jc w:val="left"/>
    </w:pPr>
    <w:rPr>
      <w:sz w:val="18"/>
      <w:szCs w:val="18"/>
    </w:rPr>
  </w:style>
  <w:style w:type="paragraph" w:styleId="47">
    <w:name w:val="Body Text Indent 3"/>
    <w:basedOn w:val="1"/>
    <w:link w:val="105"/>
    <w:qFormat/>
    <w:uiPriority w:val="99"/>
    <w:pPr>
      <w:spacing w:after="120"/>
      <w:ind w:left="420" w:leftChars="200"/>
    </w:pPr>
    <w:rPr>
      <w:sz w:val="16"/>
      <w:szCs w:val="16"/>
    </w:rPr>
  </w:style>
  <w:style w:type="paragraph" w:styleId="48">
    <w:name w:val="toc 2"/>
    <w:basedOn w:val="1"/>
    <w:next w:val="1"/>
    <w:qFormat/>
    <w:uiPriority w:val="39"/>
    <w:pPr>
      <w:ind w:left="420" w:leftChars="200"/>
    </w:pPr>
  </w:style>
  <w:style w:type="paragraph" w:styleId="49">
    <w:name w:val="toc 9"/>
    <w:basedOn w:val="1"/>
    <w:next w:val="1"/>
    <w:qFormat/>
    <w:uiPriority w:val="39"/>
    <w:pPr>
      <w:autoSpaceDE w:val="0"/>
      <w:autoSpaceDN w:val="0"/>
      <w:adjustRightInd w:val="0"/>
      <w:ind w:left="3360" w:leftChars="1600"/>
      <w:jc w:val="left"/>
    </w:pPr>
    <w:rPr>
      <w:kern w:val="0"/>
      <w:sz w:val="20"/>
      <w:szCs w:val="20"/>
    </w:rPr>
  </w:style>
  <w:style w:type="paragraph" w:styleId="50">
    <w:name w:val="Body Text 2"/>
    <w:basedOn w:val="1"/>
    <w:link w:val="106"/>
    <w:qFormat/>
    <w:uiPriority w:val="0"/>
    <w:pPr>
      <w:autoSpaceDE w:val="0"/>
      <w:autoSpaceDN w:val="0"/>
      <w:adjustRightInd w:val="0"/>
      <w:spacing w:after="120" w:line="480" w:lineRule="auto"/>
      <w:jc w:val="left"/>
    </w:pPr>
    <w:rPr>
      <w:kern w:val="0"/>
      <w:sz w:val="20"/>
      <w:szCs w:val="20"/>
    </w:rPr>
  </w:style>
  <w:style w:type="paragraph" w:styleId="51">
    <w:name w:val="HTML Preformatted"/>
    <w:basedOn w:val="1"/>
    <w:link w:val="107"/>
    <w:unhideWhenUsed/>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微软雅黑" w:hAnsi="微软雅黑" w:eastAsia="微软雅黑"/>
      <w:kern w:val="0"/>
      <w:sz w:val="24"/>
    </w:rPr>
  </w:style>
  <w:style w:type="paragraph" w:styleId="52">
    <w:name w:val="Normal (Web)"/>
    <w:basedOn w:val="1"/>
    <w:link w:val="108"/>
    <w:qFormat/>
    <w:uiPriority w:val="99"/>
    <w:pPr>
      <w:widowControl/>
      <w:spacing w:before="100" w:beforeAutospacing="1" w:after="100" w:afterAutospacing="1"/>
      <w:jc w:val="left"/>
    </w:pPr>
    <w:rPr>
      <w:rFonts w:ascii="宋体" w:hAnsi="宋体"/>
      <w:color w:val="000000"/>
      <w:kern w:val="0"/>
      <w:sz w:val="24"/>
    </w:rPr>
  </w:style>
  <w:style w:type="paragraph" w:styleId="53">
    <w:name w:val="index 1"/>
    <w:basedOn w:val="1"/>
    <w:next w:val="1"/>
    <w:qFormat/>
    <w:uiPriority w:val="0"/>
    <w:pPr>
      <w:spacing w:line="220" w:lineRule="exact"/>
      <w:jc w:val="center"/>
    </w:pPr>
    <w:rPr>
      <w:rFonts w:ascii="仿宋_GB2312" w:eastAsia="仿宋_GB2312"/>
      <w:szCs w:val="21"/>
    </w:rPr>
  </w:style>
  <w:style w:type="paragraph" w:styleId="54">
    <w:name w:val="Title"/>
    <w:basedOn w:val="1"/>
    <w:link w:val="109"/>
    <w:qFormat/>
    <w:uiPriority w:val="0"/>
    <w:pPr>
      <w:autoSpaceDE w:val="0"/>
      <w:autoSpaceDN w:val="0"/>
      <w:adjustRightInd w:val="0"/>
      <w:spacing w:before="240" w:after="60"/>
      <w:jc w:val="center"/>
      <w:outlineLvl w:val="0"/>
    </w:pPr>
    <w:rPr>
      <w:rFonts w:ascii="Cambria" w:hAnsi="Cambria"/>
      <w:b/>
      <w:bCs/>
      <w:kern w:val="0"/>
      <w:sz w:val="32"/>
      <w:szCs w:val="32"/>
    </w:rPr>
  </w:style>
  <w:style w:type="paragraph" w:styleId="55">
    <w:name w:val="annotation subject"/>
    <w:basedOn w:val="22"/>
    <w:next w:val="22"/>
    <w:link w:val="110"/>
    <w:qFormat/>
    <w:uiPriority w:val="0"/>
    <w:rPr>
      <w:b/>
      <w:bCs/>
    </w:rPr>
  </w:style>
  <w:style w:type="table" w:styleId="57">
    <w:name w:val="Table Grid"/>
    <w:basedOn w:val="5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9">
    <w:name w:val="Strong"/>
    <w:qFormat/>
    <w:uiPriority w:val="22"/>
    <w:rPr>
      <w:rFonts w:ascii="仿宋_GB2312" w:eastAsia="仿宋_GB2312"/>
      <w:bCs/>
      <w:sz w:val="32"/>
      <w:szCs w:val="32"/>
    </w:rPr>
  </w:style>
  <w:style w:type="character" w:styleId="60">
    <w:name w:val="page number"/>
    <w:qFormat/>
    <w:uiPriority w:val="0"/>
    <w:rPr>
      <w:szCs w:val="20"/>
    </w:rPr>
  </w:style>
  <w:style w:type="character" w:styleId="61">
    <w:name w:val="FollowedHyperlink"/>
    <w:qFormat/>
    <w:uiPriority w:val="99"/>
    <w:rPr>
      <w:rFonts w:ascii="仿宋_GB2312" w:eastAsia="仿宋_GB2312"/>
      <w:b/>
      <w:color w:val="800080"/>
      <w:sz w:val="32"/>
      <w:szCs w:val="32"/>
      <w:u w:val="single"/>
    </w:rPr>
  </w:style>
  <w:style w:type="character" w:styleId="62">
    <w:name w:val="Emphasis"/>
    <w:qFormat/>
    <w:uiPriority w:val="20"/>
    <w:rPr>
      <w:i/>
      <w:iCs/>
    </w:rPr>
  </w:style>
  <w:style w:type="character" w:styleId="63">
    <w:name w:val="line number"/>
    <w:qFormat/>
    <w:uiPriority w:val="0"/>
    <w:rPr>
      <w:rFonts w:ascii="仿宋_GB2312" w:hAnsi="Tahoma" w:eastAsia="仿宋_GB2312"/>
      <w:b/>
      <w:sz w:val="32"/>
      <w:szCs w:val="32"/>
    </w:rPr>
  </w:style>
  <w:style w:type="character" w:styleId="64">
    <w:name w:val="HTML Definition"/>
    <w:unhideWhenUsed/>
    <w:qFormat/>
    <w:uiPriority w:val="99"/>
    <w:rPr>
      <w:szCs w:val="20"/>
    </w:rPr>
  </w:style>
  <w:style w:type="character" w:styleId="65">
    <w:name w:val="HTML Typewriter"/>
    <w:qFormat/>
    <w:uiPriority w:val="0"/>
    <w:rPr>
      <w:rFonts w:ascii="宋体" w:hAnsi="宋体" w:eastAsia="宋体" w:cs="宋体"/>
      <w:sz w:val="24"/>
      <w:szCs w:val="24"/>
    </w:rPr>
  </w:style>
  <w:style w:type="character" w:styleId="66">
    <w:name w:val="HTML Acronym"/>
    <w:unhideWhenUsed/>
    <w:qFormat/>
    <w:uiPriority w:val="99"/>
    <w:rPr>
      <w:szCs w:val="20"/>
    </w:rPr>
  </w:style>
  <w:style w:type="character" w:styleId="67">
    <w:name w:val="HTML Variable"/>
    <w:unhideWhenUsed/>
    <w:qFormat/>
    <w:uiPriority w:val="99"/>
    <w:rPr>
      <w:szCs w:val="20"/>
    </w:rPr>
  </w:style>
  <w:style w:type="character" w:styleId="68">
    <w:name w:val="Hyperlink"/>
    <w:qFormat/>
    <w:uiPriority w:val="99"/>
    <w:rPr>
      <w:rFonts w:ascii="仿宋_GB2312" w:eastAsia="仿宋_GB2312"/>
      <w:color w:val="000000"/>
      <w:sz w:val="20"/>
      <w:szCs w:val="20"/>
      <w:u w:val="none"/>
    </w:rPr>
  </w:style>
  <w:style w:type="character" w:styleId="69">
    <w:name w:val="HTML Code"/>
    <w:unhideWhenUsed/>
    <w:qFormat/>
    <w:uiPriority w:val="99"/>
    <w:rPr>
      <w:rFonts w:hint="eastAsia" w:ascii="微软雅黑" w:hAnsi="微软雅黑" w:eastAsia="微软雅黑" w:cs="微软雅黑"/>
      <w:sz w:val="20"/>
      <w:szCs w:val="20"/>
    </w:rPr>
  </w:style>
  <w:style w:type="character" w:styleId="70">
    <w:name w:val="annotation reference"/>
    <w:qFormat/>
    <w:uiPriority w:val="0"/>
    <w:rPr>
      <w:sz w:val="21"/>
      <w:szCs w:val="21"/>
    </w:rPr>
  </w:style>
  <w:style w:type="character" w:styleId="71">
    <w:name w:val="HTML Cite"/>
    <w:qFormat/>
    <w:uiPriority w:val="0"/>
    <w:rPr>
      <w:color w:val="008000"/>
    </w:rPr>
  </w:style>
  <w:style w:type="character" w:styleId="72">
    <w:name w:val="footnote reference"/>
    <w:qFormat/>
    <w:uiPriority w:val="99"/>
    <w:rPr>
      <w:vertAlign w:val="superscript"/>
    </w:rPr>
  </w:style>
  <w:style w:type="character" w:styleId="73">
    <w:name w:val="HTML Keyboard"/>
    <w:unhideWhenUsed/>
    <w:qFormat/>
    <w:uiPriority w:val="99"/>
    <w:rPr>
      <w:rFonts w:hint="eastAsia" w:ascii="微软雅黑" w:hAnsi="微软雅黑" w:eastAsia="微软雅黑" w:cs="微软雅黑"/>
      <w:sz w:val="20"/>
      <w:szCs w:val="20"/>
    </w:rPr>
  </w:style>
  <w:style w:type="character" w:styleId="74">
    <w:name w:val="HTML Sample"/>
    <w:unhideWhenUsed/>
    <w:qFormat/>
    <w:uiPriority w:val="0"/>
    <w:rPr>
      <w:rFonts w:hint="eastAsia" w:ascii="微软雅黑" w:hAnsi="微软雅黑" w:eastAsia="微软雅黑" w:cs="微软雅黑"/>
      <w:szCs w:val="20"/>
    </w:rPr>
  </w:style>
  <w:style w:type="paragraph" w:customStyle="1" w:styleId="75">
    <w:name w:val="正文（缩进）"/>
    <w:basedOn w:val="1"/>
    <w:qFormat/>
    <w:uiPriority w:val="99"/>
    <w:pPr>
      <w:spacing w:before="156" w:after="156"/>
      <w:ind w:firstLine="480"/>
    </w:pPr>
  </w:style>
  <w:style w:type="character" w:customStyle="1" w:styleId="76">
    <w:name w:val="正文文本 字符1"/>
    <w:link w:val="3"/>
    <w:qFormat/>
    <w:uiPriority w:val="0"/>
    <w:rPr>
      <w:rFonts w:ascii="Tahoma" w:hAnsi="Tahoma"/>
      <w:kern w:val="2"/>
      <w:sz w:val="21"/>
      <w:szCs w:val="24"/>
    </w:rPr>
  </w:style>
  <w:style w:type="character" w:customStyle="1" w:styleId="77">
    <w:name w:val="正文文本首行缩进 字符"/>
    <w:link w:val="2"/>
    <w:qFormat/>
    <w:uiPriority w:val="0"/>
    <w:rPr>
      <w:rFonts w:ascii="仿宋_GB2312"/>
      <w:b/>
      <w:sz w:val="32"/>
      <w:szCs w:val="32"/>
    </w:rPr>
  </w:style>
  <w:style w:type="character" w:customStyle="1" w:styleId="78">
    <w:name w:val="宏文本 字符"/>
    <w:link w:val="5"/>
    <w:qFormat/>
    <w:uiPriority w:val="0"/>
    <w:rPr>
      <w:rFonts w:ascii="Courier New" w:hAnsi="Courier New"/>
      <w:kern w:val="2"/>
      <w:sz w:val="24"/>
      <w:szCs w:val="24"/>
      <w:lang w:val="en-US" w:eastAsia="zh-CN" w:bidi="ar-SA"/>
    </w:rPr>
  </w:style>
  <w:style w:type="character" w:customStyle="1" w:styleId="79">
    <w:name w:val="标题 1 字符"/>
    <w:link w:val="6"/>
    <w:qFormat/>
    <w:uiPriority w:val="0"/>
    <w:rPr>
      <w:rFonts w:ascii="楷体_GB2312" w:hAnsi="Tahoma" w:eastAsia="楷体_GB2312"/>
      <w:b/>
      <w:bCs/>
      <w:kern w:val="2"/>
      <w:sz w:val="21"/>
      <w:szCs w:val="24"/>
    </w:rPr>
  </w:style>
  <w:style w:type="character" w:customStyle="1" w:styleId="80">
    <w:name w:val="标题 2 字符"/>
    <w:link w:val="7"/>
    <w:qFormat/>
    <w:uiPriority w:val="0"/>
    <w:rPr>
      <w:rFonts w:ascii="Arial" w:hAnsi="Arial" w:eastAsia="黑体"/>
      <w:b/>
      <w:bCs/>
      <w:kern w:val="2"/>
      <w:sz w:val="32"/>
      <w:szCs w:val="32"/>
    </w:rPr>
  </w:style>
  <w:style w:type="character" w:customStyle="1" w:styleId="81">
    <w:name w:val="标题 3 字符"/>
    <w:link w:val="8"/>
    <w:qFormat/>
    <w:uiPriority w:val="0"/>
    <w:rPr>
      <w:b/>
      <w:bCs/>
      <w:kern w:val="2"/>
      <w:sz w:val="32"/>
      <w:szCs w:val="32"/>
    </w:rPr>
  </w:style>
  <w:style w:type="character" w:customStyle="1" w:styleId="82">
    <w:name w:val="标题 4 字符"/>
    <w:link w:val="9"/>
    <w:qFormat/>
    <w:uiPriority w:val="0"/>
    <w:rPr>
      <w:rFonts w:ascii="Cambria" w:hAnsi="Cambria"/>
      <w:b/>
      <w:bCs/>
      <w:kern w:val="2"/>
      <w:sz w:val="28"/>
      <w:szCs w:val="28"/>
    </w:rPr>
  </w:style>
  <w:style w:type="character" w:customStyle="1" w:styleId="83">
    <w:name w:val="标题 5 字符"/>
    <w:link w:val="10"/>
    <w:qFormat/>
    <w:uiPriority w:val="0"/>
    <w:rPr>
      <w:rFonts w:ascii="仿宋_GB2312" w:hAnsi="Tahoma"/>
      <w:b/>
      <w:bCs/>
      <w:kern w:val="2"/>
      <w:sz w:val="28"/>
      <w:szCs w:val="28"/>
    </w:rPr>
  </w:style>
  <w:style w:type="character" w:customStyle="1" w:styleId="84">
    <w:name w:val="标题 6 字符1"/>
    <w:link w:val="11"/>
    <w:qFormat/>
    <w:uiPriority w:val="0"/>
    <w:rPr>
      <w:rFonts w:ascii="Arial" w:hAnsi="Arial" w:eastAsia="黑体"/>
      <w:b/>
      <w:bCs/>
      <w:kern w:val="2"/>
      <w:sz w:val="24"/>
      <w:szCs w:val="24"/>
    </w:rPr>
  </w:style>
  <w:style w:type="character" w:customStyle="1" w:styleId="85">
    <w:name w:val="标题 7 字符"/>
    <w:link w:val="12"/>
    <w:qFormat/>
    <w:uiPriority w:val="0"/>
    <w:rPr>
      <w:rFonts w:ascii="Arial" w:hAnsi="Arial" w:eastAsia="黑体"/>
      <w:b/>
      <w:sz w:val="21"/>
      <w:szCs w:val="21"/>
    </w:rPr>
  </w:style>
  <w:style w:type="character" w:customStyle="1" w:styleId="86">
    <w:name w:val="标题 8 字符"/>
    <w:link w:val="13"/>
    <w:qFormat/>
    <w:uiPriority w:val="0"/>
    <w:rPr>
      <w:rFonts w:ascii="Arial" w:hAnsi="Arial" w:eastAsia="黑体"/>
      <w:b/>
      <w:sz w:val="24"/>
      <w:szCs w:val="32"/>
    </w:rPr>
  </w:style>
  <w:style w:type="character" w:customStyle="1" w:styleId="87">
    <w:name w:val="标题 9 字符"/>
    <w:link w:val="14"/>
    <w:qFormat/>
    <w:uiPriority w:val="0"/>
    <w:rPr>
      <w:rFonts w:ascii="Arial" w:hAnsi="Arial" w:eastAsia="黑体"/>
      <w:b/>
      <w:sz w:val="21"/>
      <w:szCs w:val="32"/>
    </w:rPr>
  </w:style>
  <w:style w:type="character" w:customStyle="1" w:styleId="88">
    <w:name w:val="注释标题 字符"/>
    <w:link w:val="16"/>
    <w:qFormat/>
    <w:uiPriority w:val="0"/>
    <w:rPr>
      <w:rFonts w:eastAsia="黑体"/>
      <w:kern w:val="2"/>
      <w:sz w:val="28"/>
    </w:rPr>
  </w:style>
  <w:style w:type="character" w:customStyle="1" w:styleId="89">
    <w:name w:val="正文缩进 字符1"/>
    <w:link w:val="18"/>
    <w:qFormat/>
    <w:uiPriority w:val="0"/>
    <w:rPr>
      <w:rFonts w:eastAsia="宋体"/>
      <w:sz w:val="21"/>
      <w:lang w:val="en-US" w:eastAsia="zh-CN" w:bidi="ar-SA"/>
    </w:rPr>
  </w:style>
  <w:style w:type="character" w:customStyle="1" w:styleId="90">
    <w:name w:val="题注 字符"/>
    <w:link w:val="19"/>
    <w:qFormat/>
    <w:uiPriority w:val="0"/>
    <w:rPr>
      <w:rFonts w:ascii="Arial" w:hAnsi="Arial" w:eastAsia="黑体" w:cs="Arial"/>
    </w:rPr>
  </w:style>
  <w:style w:type="character" w:customStyle="1" w:styleId="91">
    <w:name w:val="文档结构图 字符"/>
    <w:link w:val="21"/>
    <w:qFormat/>
    <w:uiPriority w:val="0"/>
    <w:rPr>
      <w:kern w:val="2"/>
      <w:sz w:val="21"/>
      <w:szCs w:val="24"/>
      <w:shd w:val="clear" w:color="auto" w:fill="000080"/>
    </w:rPr>
  </w:style>
  <w:style w:type="character" w:customStyle="1" w:styleId="92">
    <w:name w:val="批注文字 字符1"/>
    <w:link w:val="22"/>
    <w:qFormat/>
    <w:uiPriority w:val="0"/>
    <w:rPr>
      <w:kern w:val="2"/>
      <w:sz w:val="21"/>
      <w:szCs w:val="24"/>
    </w:rPr>
  </w:style>
  <w:style w:type="character" w:customStyle="1" w:styleId="93">
    <w:name w:val="称呼 字符"/>
    <w:link w:val="23"/>
    <w:qFormat/>
    <w:uiPriority w:val="0"/>
    <w:rPr>
      <w:szCs w:val="20"/>
    </w:rPr>
  </w:style>
  <w:style w:type="character" w:customStyle="1" w:styleId="94">
    <w:name w:val="正文文本 3 字符"/>
    <w:link w:val="24"/>
    <w:qFormat/>
    <w:uiPriority w:val="0"/>
    <w:rPr>
      <w:szCs w:val="20"/>
    </w:rPr>
  </w:style>
  <w:style w:type="character" w:customStyle="1" w:styleId="95">
    <w:name w:val="正文文本缩进 字符"/>
    <w:link w:val="25"/>
    <w:qFormat/>
    <w:uiPriority w:val="0"/>
    <w:rPr>
      <w:rFonts w:ascii="宋体" w:hAnsi="宋体"/>
      <w:kern w:val="2"/>
      <w:sz w:val="24"/>
    </w:rPr>
  </w:style>
  <w:style w:type="character" w:customStyle="1" w:styleId="96">
    <w:name w:val="纯文本 字符"/>
    <w:link w:val="32"/>
    <w:qFormat/>
    <w:uiPriority w:val="0"/>
    <w:rPr>
      <w:rFonts w:ascii="宋体" w:hAnsi="Courier New" w:eastAsia="宋体"/>
      <w:kern w:val="2"/>
      <w:sz w:val="21"/>
      <w:lang w:val="en-US" w:eastAsia="zh-CN" w:bidi="ar-SA"/>
    </w:rPr>
  </w:style>
  <w:style w:type="character" w:customStyle="1" w:styleId="97">
    <w:name w:val="日期 字符"/>
    <w:link w:val="35"/>
    <w:qFormat/>
    <w:uiPriority w:val="99"/>
    <w:rPr>
      <w:spacing w:val="12"/>
      <w:kern w:val="2"/>
      <w:sz w:val="24"/>
    </w:rPr>
  </w:style>
  <w:style w:type="character" w:customStyle="1" w:styleId="98">
    <w:name w:val="正文文本缩进 2 字符"/>
    <w:link w:val="36"/>
    <w:qFormat/>
    <w:uiPriority w:val="0"/>
    <w:rPr>
      <w:kern w:val="2"/>
      <w:sz w:val="21"/>
      <w:szCs w:val="24"/>
    </w:rPr>
  </w:style>
  <w:style w:type="character" w:customStyle="1" w:styleId="99">
    <w:name w:val="批注框文本 字符"/>
    <w:link w:val="37"/>
    <w:qFormat/>
    <w:uiPriority w:val="99"/>
    <w:rPr>
      <w:kern w:val="2"/>
      <w:sz w:val="18"/>
      <w:szCs w:val="18"/>
    </w:rPr>
  </w:style>
  <w:style w:type="character" w:customStyle="1" w:styleId="100">
    <w:name w:val="页脚 字符"/>
    <w:link w:val="38"/>
    <w:qFormat/>
    <w:uiPriority w:val="0"/>
    <w:rPr>
      <w:kern w:val="2"/>
      <w:sz w:val="18"/>
      <w:szCs w:val="18"/>
    </w:rPr>
  </w:style>
  <w:style w:type="character" w:customStyle="1" w:styleId="101">
    <w:name w:val="页眉 字符"/>
    <w:link w:val="39"/>
    <w:qFormat/>
    <w:uiPriority w:val="0"/>
    <w:rPr>
      <w:kern w:val="2"/>
      <w:sz w:val="18"/>
      <w:szCs w:val="18"/>
    </w:rPr>
  </w:style>
  <w:style w:type="character" w:customStyle="1" w:styleId="102">
    <w:name w:val="签名 字符"/>
    <w:link w:val="40"/>
    <w:qFormat/>
    <w:uiPriority w:val="0"/>
    <w:rPr>
      <w:rFonts w:ascii="Tahoma" w:hAnsi="Tahoma" w:eastAsia="仿宋_GB2312"/>
      <w:sz w:val="24"/>
      <w:szCs w:val="20"/>
    </w:rPr>
  </w:style>
  <w:style w:type="character" w:customStyle="1" w:styleId="103">
    <w:name w:val="副标题 字符"/>
    <w:link w:val="43"/>
    <w:qFormat/>
    <w:uiPriority w:val="0"/>
    <w:rPr>
      <w:rFonts w:ascii="Cambria" w:hAnsi="Cambria"/>
      <w:b/>
      <w:bCs/>
      <w:kern w:val="28"/>
      <w:sz w:val="32"/>
      <w:szCs w:val="32"/>
    </w:rPr>
  </w:style>
  <w:style w:type="character" w:customStyle="1" w:styleId="104">
    <w:name w:val="脚注文本 字符"/>
    <w:link w:val="46"/>
    <w:qFormat/>
    <w:uiPriority w:val="99"/>
    <w:rPr>
      <w:kern w:val="2"/>
      <w:sz w:val="18"/>
      <w:szCs w:val="18"/>
    </w:rPr>
  </w:style>
  <w:style w:type="character" w:customStyle="1" w:styleId="105">
    <w:name w:val="正文文本缩进 3 字符"/>
    <w:link w:val="47"/>
    <w:qFormat/>
    <w:uiPriority w:val="99"/>
    <w:rPr>
      <w:kern w:val="2"/>
      <w:sz w:val="16"/>
      <w:szCs w:val="16"/>
    </w:rPr>
  </w:style>
  <w:style w:type="character" w:customStyle="1" w:styleId="106">
    <w:name w:val="正文文本 2 字符"/>
    <w:link w:val="50"/>
    <w:qFormat/>
    <w:uiPriority w:val="0"/>
    <w:rPr>
      <w:szCs w:val="20"/>
    </w:rPr>
  </w:style>
  <w:style w:type="character" w:customStyle="1" w:styleId="107">
    <w:name w:val="HTML 预设格式 字符"/>
    <w:link w:val="51"/>
    <w:qFormat/>
    <w:uiPriority w:val="0"/>
    <w:rPr>
      <w:rFonts w:ascii="微软雅黑" w:hAnsi="微软雅黑" w:eastAsia="微软雅黑"/>
      <w:sz w:val="24"/>
      <w:szCs w:val="24"/>
    </w:rPr>
  </w:style>
  <w:style w:type="character" w:customStyle="1" w:styleId="108">
    <w:name w:val="普通(网站) 字符"/>
    <w:link w:val="52"/>
    <w:qFormat/>
    <w:uiPriority w:val="99"/>
    <w:rPr>
      <w:rFonts w:ascii="宋体" w:hAnsi="宋体"/>
      <w:color w:val="000000"/>
      <w:sz w:val="24"/>
      <w:szCs w:val="24"/>
    </w:rPr>
  </w:style>
  <w:style w:type="character" w:customStyle="1" w:styleId="109">
    <w:name w:val="标题 字符"/>
    <w:link w:val="54"/>
    <w:qFormat/>
    <w:uiPriority w:val="0"/>
    <w:rPr>
      <w:rFonts w:ascii="Cambria" w:hAnsi="Cambria"/>
      <w:b/>
      <w:bCs/>
      <w:sz w:val="32"/>
      <w:szCs w:val="32"/>
    </w:rPr>
  </w:style>
  <w:style w:type="character" w:customStyle="1" w:styleId="110">
    <w:name w:val="批注主题 字符"/>
    <w:link w:val="55"/>
    <w:qFormat/>
    <w:uiPriority w:val="0"/>
    <w:rPr>
      <w:b/>
      <w:bCs/>
      <w:kern w:val="2"/>
      <w:sz w:val="21"/>
      <w:szCs w:val="24"/>
    </w:rPr>
  </w:style>
  <w:style w:type="character" w:customStyle="1" w:styleId="111">
    <w:name w:val="正文文本首行缩进 2 字符"/>
    <w:link w:val="26"/>
    <w:qFormat/>
    <w:uiPriority w:val="0"/>
    <w:rPr>
      <w:rFonts w:ascii="宋体" w:hAnsi="宋体"/>
      <w:kern w:val="2"/>
      <w:sz w:val="24"/>
      <w:szCs w:val="24"/>
    </w:rPr>
  </w:style>
  <w:style w:type="paragraph" w:customStyle="1" w:styleId="112">
    <w:name w:val="_Style 3"/>
    <w:basedOn w:val="1"/>
    <w:next w:val="1"/>
    <w:qFormat/>
    <w:locked/>
    <w:uiPriority w:val="0"/>
    <w:rPr>
      <w:rFonts w:ascii="Calibri" w:hAnsi="Calibri"/>
    </w:rPr>
  </w:style>
  <w:style w:type="character" w:customStyle="1" w:styleId="113">
    <w:name w:val="Char Char"/>
    <w:qFormat/>
    <w:uiPriority w:val="0"/>
    <w:rPr>
      <w:rFonts w:ascii="宋体" w:hAnsi="Courier New" w:eastAsia="宋体"/>
      <w:kern w:val="2"/>
      <w:sz w:val="21"/>
      <w:lang w:val="en-US" w:eastAsia="zh-CN" w:bidi="ar-SA"/>
    </w:rPr>
  </w:style>
  <w:style w:type="character" w:customStyle="1" w:styleId="114">
    <w:name w:val="upload"/>
    <w:qFormat/>
    <w:uiPriority w:val="0"/>
    <w:rPr>
      <w:szCs w:val="20"/>
    </w:rPr>
  </w:style>
  <w:style w:type="character" w:customStyle="1" w:styleId="115">
    <w:name w:val="HTML 预设格式 Char2"/>
    <w:semiHidden/>
    <w:qFormat/>
    <w:uiPriority w:val="99"/>
    <w:rPr>
      <w:rFonts w:ascii="Courier New" w:hAnsi="Courier New" w:cs="Courier New"/>
      <w:kern w:val="2"/>
    </w:rPr>
  </w:style>
  <w:style w:type="character" w:customStyle="1" w:styleId="116">
    <w:name w:val="size31"/>
    <w:qFormat/>
    <w:uiPriority w:val="0"/>
    <w:rPr>
      <w:rFonts w:hint="default" w:ascii="Arial" w:hAnsi="Arial" w:cs="Arial"/>
      <w:color w:val="2D2D2D"/>
      <w:spacing w:val="285"/>
      <w:sz w:val="18"/>
      <w:szCs w:val="18"/>
    </w:rPr>
  </w:style>
  <w:style w:type="character" w:customStyle="1" w:styleId="117">
    <w:name w:val="正文靠右 Char"/>
    <w:link w:val="118"/>
    <w:qFormat/>
    <w:uiPriority w:val="0"/>
    <w:rPr>
      <w:kern w:val="2"/>
      <w:sz w:val="21"/>
      <w:szCs w:val="24"/>
    </w:rPr>
  </w:style>
  <w:style w:type="paragraph" w:customStyle="1" w:styleId="118">
    <w:name w:val="正文靠右"/>
    <w:basedOn w:val="1"/>
    <w:link w:val="117"/>
    <w:qFormat/>
    <w:uiPriority w:val="0"/>
    <w:pPr>
      <w:jc w:val="right"/>
    </w:pPr>
  </w:style>
  <w:style w:type="character" w:customStyle="1" w:styleId="119">
    <w:name w:val="正文首行缩进 Char"/>
    <w:qFormat/>
    <w:uiPriority w:val="0"/>
    <w:rPr>
      <w:rFonts w:ascii="仿宋_GB2312" w:eastAsia="宋体"/>
      <w:b/>
      <w:kern w:val="2"/>
      <w:sz w:val="21"/>
      <w:szCs w:val="24"/>
      <w:lang w:val="en-US" w:eastAsia="zh-CN" w:bidi="ar-SA"/>
    </w:rPr>
  </w:style>
  <w:style w:type="character" w:customStyle="1" w:styleId="120">
    <w:name w:val="Char Char20"/>
    <w:qFormat/>
    <w:uiPriority w:val="0"/>
    <w:rPr>
      <w:rFonts w:ascii="仿宋_GB2312" w:eastAsia="仿宋_GB2312"/>
      <w:b/>
      <w:bCs/>
      <w:kern w:val="44"/>
      <w:sz w:val="44"/>
      <w:szCs w:val="44"/>
    </w:rPr>
  </w:style>
  <w:style w:type="character" w:customStyle="1" w:styleId="121">
    <w:name w:val="count"/>
    <w:qFormat/>
    <w:uiPriority w:val="0"/>
  </w:style>
  <w:style w:type="character" w:customStyle="1" w:styleId="122">
    <w:name w:val="样式2 Char Char"/>
    <w:link w:val="123"/>
    <w:qFormat/>
    <w:uiPriority w:val="0"/>
    <w:rPr>
      <w:rFonts w:ascii="宋体" w:hAnsi="宋体"/>
      <w:b/>
      <w:bCs/>
      <w:kern w:val="2"/>
      <w:sz w:val="28"/>
      <w:szCs w:val="28"/>
    </w:rPr>
  </w:style>
  <w:style w:type="paragraph" w:customStyle="1" w:styleId="123">
    <w:name w:val="样式2"/>
    <w:basedOn w:val="7"/>
    <w:link w:val="122"/>
    <w:qFormat/>
    <w:uiPriority w:val="0"/>
    <w:pPr>
      <w:snapToGrid w:val="0"/>
      <w:spacing w:afterLines="50" w:line="480" w:lineRule="exact"/>
      <w:ind w:firstLine="556"/>
    </w:pPr>
    <w:rPr>
      <w:rFonts w:ascii="宋体" w:hAnsi="宋体" w:eastAsia="宋体"/>
      <w:sz w:val="28"/>
      <w:szCs w:val="28"/>
    </w:rPr>
  </w:style>
  <w:style w:type="character" w:customStyle="1" w:styleId="124">
    <w:name w:val="题注 Char1"/>
    <w:qFormat/>
    <w:uiPriority w:val="0"/>
    <w:rPr>
      <w:rFonts w:ascii="Arial" w:hAnsi="Arial" w:eastAsia="黑体" w:cs="Arial"/>
      <w:kern w:val="2"/>
    </w:rPr>
  </w:style>
  <w:style w:type="character" w:customStyle="1" w:styleId="125">
    <w:name w:val="标题 1 Char1"/>
    <w:qFormat/>
    <w:uiPriority w:val="0"/>
    <w:rPr>
      <w:rFonts w:ascii="楷体_GB2312" w:hAnsi="Tahoma" w:eastAsia="楷体_GB2312"/>
      <w:b/>
      <w:bCs/>
      <w:kern w:val="2"/>
      <w:sz w:val="21"/>
      <w:szCs w:val="24"/>
    </w:rPr>
  </w:style>
  <w:style w:type="character" w:customStyle="1" w:styleId="126">
    <w:name w:val="正文文本 2 Char1"/>
    <w:qFormat/>
    <w:uiPriority w:val="0"/>
    <w:rPr>
      <w:rFonts w:ascii="Calibri" w:hAnsi="Calibri" w:cs="黑体"/>
      <w:kern w:val="2"/>
      <w:sz w:val="24"/>
      <w:szCs w:val="22"/>
    </w:rPr>
  </w:style>
  <w:style w:type="character" w:customStyle="1" w:styleId="127">
    <w:name w:val="签名 Char1"/>
    <w:semiHidden/>
    <w:qFormat/>
    <w:uiPriority w:val="99"/>
    <w:rPr>
      <w:kern w:val="2"/>
      <w:sz w:val="21"/>
      <w:szCs w:val="24"/>
    </w:rPr>
  </w:style>
  <w:style w:type="character" w:customStyle="1" w:styleId="128">
    <w:name w:val="pages"/>
    <w:qFormat/>
    <w:uiPriority w:val="0"/>
    <w:rPr>
      <w:color w:val="999999"/>
      <w:szCs w:val="20"/>
    </w:rPr>
  </w:style>
  <w:style w:type="character" w:customStyle="1" w:styleId="129">
    <w:name w:val="明显引用 Char1"/>
    <w:qFormat/>
    <w:uiPriority w:val="99"/>
    <w:rPr>
      <w:rFonts w:ascii="Tahoma" w:hAnsi="Tahoma"/>
      <w:b/>
      <w:bCs/>
      <w:i/>
      <w:iCs/>
      <w:color w:val="4F81BD"/>
      <w:kern w:val="2"/>
      <w:sz w:val="21"/>
      <w:szCs w:val="24"/>
    </w:rPr>
  </w:style>
  <w:style w:type="character" w:customStyle="1" w:styleId="130">
    <w:name w:val="Char Char11"/>
    <w:qFormat/>
    <w:uiPriority w:val="0"/>
    <w:rPr>
      <w:rFonts w:ascii="Times New Roman" w:hAnsi="Times New Roman" w:eastAsia="宋体" w:cs="Times New Roman"/>
      <w:sz w:val="18"/>
      <w:szCs w:val="18"/>
    </w:rPr>
  </w:style>
  <w:style w:type="character" w:customStyle="1" w:styleId="131">
    <w:name w:val="Footer-Even Char1"/>
    <w:qFormat/>
    <w:uiPriority w:val="0"/>
    <w:rPr>
      <w:rFonts w:ascii="仿宋_GB2312" w:eastAsia="宋体"/>
      <w:b/>
      <w:kern w:val="2"/>
      <w:sz w:val="18"/>
      <w:szCs w:val="18"/>
      <w:lang w:val="en-US" w:eastAsia="zh-CN" w:bidi="ar-SA"/>
    </w:rPr>
  </w:style>
  <w:style w:type="character" w:customStyle="1" w:styleId="132">
    <w:name w:val="标题 3 Char"/>
    <w:qFormat/>
    <w:uiPriority w:val="0"/>
    <w:rPr>
      <w:rFonts w:ascii="黑体" w:hAnsi="宋体" w:eastAsia="黑体"/>
      <w:bCs/>
      <w:kern w:val="2"/>
      <w:sz w:val="28"/>
      <w:szCs w:val="28"/>
      <w:lang w:val="en-US" w:eastAsia="zh-CN" w:bidi="ar-SA"/>
    </w:rPr>
  </w:style>
  <w:style w:type="character" w:customStyle="1" w:styleId="133">
    <w:name w:val="正文靠右 Char Char"/>
    <w:qFormat/>
    <w:uiPriority w:val="0"/>
    <w:rPr>
      <w:kern w:val="2"/>
      <w:sz w:val="21"/>
      <w:szCs w:val="24"/>
    </w:rPr>
  </w:style>
  <w:style w:type="character" w:customStyle="1" w:styleId="134">
    <w:name w:val="heading 1 Char1"/>
    <w:qFormat/>
    <w:uiPriority w:val="0"/>
    <w:rPr>
      <w:rFonts w:ascii="仿宋_GB2312" w:eastAsia="宋体"/>
      <w:b/>
      <w:bCs/>
      <w:kern w:val="44"/>
      <w:sz w:val="44"/>
      <w:szCs w:val="44"/>
      <w:lang w:val="en-US" w:eastAsia="zh-CN" w:bidi="ar-SA"/>
    </w:rPr>
  </w:style>
  <w:style w:type="character" w:customStyle="1" w:styleId="135">
    <w:name w:val="Char Char16"/>
    <w:qFormat/>
    <w:uiPriority w:val="0"/>
    <w:rPr>
      <w:rFonts w:ascii="仿宋_GB2312" w:eastAsia="仿宋_GB2312"/>
      <w:b/>
      <w:bCs/>
      <w:kern w:val="2"/>
      <w:sz w:val="28"/>
      <w:szCs w:val="28"/>
    </w:rPr>
  </w:style>
  <w:style w:type="character" w:customStyle="1" w:styleId="136">
    <w:name w:val="页眉注释 Char Char"/>
    <w:qFormat/>
    <w:uiPriority w:val="0"/>
    <w:rPr>
      <w:rFonts w:ascii="华文细黑" w:hAnsi="华文细黑" w:eastAsia="华文细黑"/>
      <w:b/>
      <w:color w:val="FFFFFF"/>
      <w:kern w:val="2"/>
      <w:sz w:val="18"/>
      <w:szCs w:val="18"/>
    </w:rPr>
  </w:style>
  <w:style w:type="character" w:customStyle="1" w:styleId="137">
    <w:name w:val="样式5 Char"/>
    <w:link w:val="138"/>
    <w:qFormat/>
    <w:uiPriority w:val="0"/>
    <w:rPr>
      <w:rFonts w:ascii="仿宋_GB2312"/>
      <w:b/>
      <w:kern w:val="2"/>
      <w:sz w:val="28"/>
      <w:szCs w:val="21"/>
    </w:rPr>
  </w:style>
  <w:style w:type="paragraph" w:customStyle="1" w:styleId="138">
    <w:name w:val="样式5"/>
    <w:basedOn w:val="18"/>
    <w:link w:val="137"/>
    <w:qFormat/>
    <w:uiPriority w:val="0"/>
    <w:pPr>
      <w:adjustRightInd/>
      <w:spacing w:line="360" w:lineRule="auto"/>
      <w:ind w:firstLine="200" w:firstLineChars="200"/>
      <w:textAlignment w:val="auto"/>
    </w:pPr>
    <w:rPr>
      <w:rFonts w:ascii="仿宋_GB2312"/>
      <w:b/>
      <w:kern w:val="2"/>
      <w:sz w:val="28"/>
      <w:szCs w:val="21"/>
    </w:rPr>
  </w:style>
  <w:style w:type="character" w:customStyle="1" w:styleId="139">
    <w:name w:val="小标题 Char"/>
    <w:link w:val="140"/>
    <w:qFormat/>
    <w:uiPriority w:val="0"/>
    <w:rPr>
      <w:rFonts w:eastAsia="黑体"/>
    </w:rPr>
  </w:style>
  <w:style w:type="paragraph" w:customStyle="1" w:styleId="140">
    <w:name w:val="小标题"/>
    <w:basedOn w:val="1"/>
    <w:link w:val="139"/>
    <w:qFormat/>
    <w:uiPriority w:val="0"/>
    <w:pPr>
      <w:autoSpaceDE w:val="0"/>
      <w:autoSpaceDN w:val="0"/>
      <w:adjustRightInd w:val="0"/>
      <w:spacing w:before="120" w:line="360" w:lineRule="atLeast"/>
      <w:ind w:left="1134"/>
      <w:jc w:val="left"/>
      <w:textAlignment w:val="baseline"/>
    </w:pPr>
    <w:rPr>
      <w:rFonts w:eastAsia="黑体"/>
      <w:kern w:val="0"/>
      <w:sz w:val="20"/>
      <w:szCs w:val="20"/>
    </w:rPr>
  </w:style>
  <w:style w:type="character" w:customStyle="1" w:styleId="141">
    <w:name w:val="正文文本 2 Char"/>
    <w:qFormat/>
    <w:uiPriority w:val="0"/>
  </w:style>
  <w:style w:type="character" w:customStyle="1" w:styleId="142">
    <w:name w:val="正文文本 2 Char2"/>
    <w:semiHidden/>
    <w:qFormat/>
    <w:uiPriority w:val="99"/>
    <w:rPr>
      <w:kern w:val="2"/>
      <w:sz w:val="21"/>
      <w:szCs w:val="24"/>
    </w:rPr>
  </w:style>
  <w:style w:type="character" w:customStyle="1" w:styleId="143">
    <w:name w:val="Char Char21"/>
    <w:qFormat/>
    <w:uiPriority w:val="0"/>
    <w:rPr>
      <w:rFonts w:ascii="Times New Roman" w:hAnsi="Times New Roman" w:eastAsia="宋体" w:cs="Times New Roman"/>
      <w:b/>
      <w:bCs/>
      <w:kern w:val="44"/>
      <w:sz w:val="44"/>
      <w:szCs w:val="44"/>
    </w:rPr>
  </w:style>
  <w:style w:type="character" w:customStyle="1" w:styleId="144">
    <w:name w:val="内容文本 Char"/>
    <w:link w:val="145"/>
    <w:qFormat/>
    <w:uiPriority w:val="0"/>
    <w:rPr>
      <w:rFonts w:ascii="宋体" w:hAnsi="宋体"/>
      <w:sz w:val="24"/>
      <w:szCs w:val="24"/>
      <w:lang w:eastAsia="en-US" w:bidi="en-US"/>
    </w:rPr>
  </w:style>
  <w:style w:type="paragraph" w:customStyle="1" w:styleId="145">
    <w:name w:val="内容文本"/>
    <w:basedOn w:val="146"/>
    <w:link w:val="144"/>
    <w:qFormat/>
    <w:uiPriority w:val="0"/>
    <w:pPr>
      <w:spacing w:line="360" w:lineRule="auto"/>
      <w:ind w:firstLine="200"/>
      <w:contextualSpacing/>
      <w:jc w:val="left"/>
    </w:pPr>
    <w:rPr>
      <w:rFonts w:ascii="宋体" w:hAnsi="宋体"/>
      <w:kern w:val="0"/>
      <w:sz w:val="24"/>
      <w:lang w:eastAsia="en-US" w:bidi="en-US"/>
    </w:rPr>
  </w:style>
  <w:style w:type="paragraph" w:customStyle="1" w:styleId="146">
    <w:name w:val="列出段落1"/>
    <w:basedOn w:val="1"/>
    <w:link w:val="147"/>
    <w:qFormat/>
    <w:uiPriority w:val="99"/>
    <w:pPr>
      <w:ind w:firstLine="420" w:firstLineChars="200"/>
    </w:pPr>
  </w:style>
  <w:style w:type="character" w:customStyle="1" w:styleId="147">
    <w:name w:val="列出段落 Char"/>
    <w:link w:val="146"/>
    <w:qFormat/>
    <w:uiPriority w:val="99"/>
    <w:rPr>
      <w:kern w:val="2"/>
      <w:sz w:val="21"/>
      <w:szCs w:val="24"/>
    </w:rPr>
  </w:style>
  <w:style w:type="character" w:customStyle="1" w:styleId="148">
    <w:name w:val="正文缩进 Char1 Char"/>
    <w:qFormat/>
    <w:uiPriority w:val="0"/>
    <w:rPr>
      <w:rFonts w:ascii="仿宋_GB2312" w:eastAsia="宋体"/>
      <w:b/>
      <w:sz w:val="21"/>
      <w:szCs w:val="32"/>
      <w:lang w:val="en-US" w:eastAsia="zh-CN" w:bidi="ar-SA"/>
    </w:rPr>
  </w:style>
  <w:style w:type="character" w:customStyle="1" w:styleId="149">
    <w:name w:val="正文首行缩进 2 Char1"/>
    <w:qFormat/>
    <w:uiPriority w:val="0"/>
  </w:style>
  <w:style w:type="character" w:customStyle="1" w:styleId="150">
    <w:name w:val="NormalCharacter"/>
    <w:qFormat/>
    <w:uiPriority w:val="0"/>
  </w:style>
  <w:style w:type="character" w:customStyle="1" w:styleId="151">
    <w:name w:val="明显强调1"/>
    <w:qFormat/>
    <w:uiPriority w:val="0"/>
    <w:rPr>
      <w:b/>
      <w:bCs/>
      <w:i/>
      <w:iCs/>
      <w:color w:val="4F81BD"/>
    </w:rPr>
  </w:style>
  <w:style w:type="character" w:customStyle="1" w:styleId="152">
    <w:name w:val="PI Char2"/>
    <w:qFormat/>
    <w:uiPriority w:val="0"/>
    <w:rPr>
      <w:rFonts w:ascii="仿宋_GB2312" w:eastAsia="仿宋_GB2312"/>
      <w:b/>
      <w:kern w:val="2"/>
      <w:sz w:val="24"/>
      <w:szCs w:val="24"/>
    </w:rPr>
  </w:style>
  <w:style w:type="character" w:customStyle="1" w:styleId="153">
    <w:name w:val="正文文本缩进 Char"/>
    <w:qFormat/>
    <w:uiPriority w:val="0"/>
    <w:rPr>
      <w:rFonts w:ascii="宋体" w:hAnsi="宋体"/>
      <w:kern w:val="2"/>
      <w:sz w:val="24"/>
    </w:rPr>
  </w:style>
  <w:style w:type="character" w:customStyle="1" w:styleId="154">
    <w:name w:val="Style5"/>
    <w:qFormat/>
    <w:uiPriority w:val="0"/>
    <w:rPr>
      <w:rFonts w:ascii="Calibri" w:hAnsi="宋体" w:eastAsia="宋体" w:cs="Times New Roman"/>
      <w:sz w:val="22"/>
      <w:szCs w:val="22"/>
      <w:lang w:eastAsia="zh-CN"/>
    </w:rPr>
  </w:style>
  <w:style w:type="character" w:customStyle="1" w:styleId="155">
    <w:name w:val="heading 4 Char1"/>
    <w:qFormat/>
    <w:uiPriority w:val="0"/>
    <w:rPr>
      <w:rFonts w:ascii="Cambria" w:hAnsi="Cambria" w:eastAsia="宋体"/>
      <w:b/>
      <w:bCs/>
      <w:kern w:val="2"/>
      <w:sz w:val="28"/>
      <w:szCs w:val="28"/>
      <w:lang w:val="en-US" w:eastAsia="zh-CN" w:bidi="ar-SA"/>
    </w:rPr>
  </w:style>
  <w:style w:type="character" w:customStyle="1" w:styleId="156">
    <w:name w:val="样式 正文文本 Char Char Char"/>
    <w:qFormat/>
    <w:uiPriority w:val="0"/>
    <w:rPr>
      <w:rFonts w:ascii="Arial" w:hAnsi="Arial" w:eastAsia="宋体"/>
      <w:color w:val="000000"/>
      <w:kern w:val="2"/>
      <w:sz w:val="21"/>
      <w:lang w:val="en-US" w:eastAsia="zh-CN" w:bidi="ar-SA"/>
    </w:rPr>
  </w:style>
  <w:style w:type="character" w:customStyle="1" w:styleId="157">
    <w:name w:val="不明显强调1"/>
    <w:qFormat/>
    <w:uiPriority w:val="0"/>
    <w:rPr>
      <w:i/>
      <w:iCs/>
      <w:color w:val="808080"/>
    </w:rPr>
  </w:style>
  <w:style w:type="character" w:customStyle="1" w:styleId="158">
    <w:name w:val="样式 样式 四号 首行缩进:  0.74 厘米 行距: 1.5 倍行距 + 宋体 四号 行距: 1.5 倍行距 Char"/>
    <w:link w:val="159"/>
    <w:qFormat/>
    <w:uiPriority w:val="0"/>
    <w:rPr>
      <w:rFonts w:ascii="宋体" w:hAnsi="宋体" w:cs="宋体"/>
      <w:kern w:val="2"/>
      <w:sz w:val="28"/>
    </w:rPr>
  </w:style>
  <w:style w:type="paragraph" w:customStyle="1" w:styleId="159">
    <w:name w:val="样式 样式 四号 首行缩进:  0.74 厘米 行距: 1.5 倍行距 + 宋体 四号 行距: 1.5 倍行距"/>
    <w:basedOn w:val="1"/>
    <w:link w:val="158"/>
    <w:qFormat/>
    <w:uiPriority w:val="0"/>
    <w:pPr>
      <w:spacing w:line="360" w:lineRule="auto"/>
      <w:ind w:firstLine="560" w:firstLineChars="200"/>
    </w:pPr>
    <w:rPr>
      <w:rFonts w:ascii="宋体" w:hAnsi="宋体"/>
      <w:sz w:val="28"/>
      <w:szCs w:val="20"/>
    </w:rPr>
  </w:style>
  <w:style w:type="character" w:customStyle="1" w:styleId="160">
    <w:name w:val="ändrad Char"/>
    <w:qFormat/>
    <w:uiPriority w:val="0"/>
    <w:rPr>
      <w:rFonts w:ascii="仿宋_GB2312" w:eastAsia="宋体"/>
      <w:b/>
      <w:kern w:val="2"/>
      <w:sz w:val="21"/>
      <w:szCs w:val="24"/>
      <w:lang w:val="en-US" w:eastAsia="zh-CN" w:bidi="ar-SA"/>
    </w:rPr>
  </w:style>
  <w:style w:type="character" w:customStyle="1" w:styleId="161">
    <w:name w:val="强调划线"/>
    <w:qFormat/>
    <w:uiPriority w:val="0"/>
    <w:rPr>
      <w:u w:val="single"/>
    </w:rPr>
  </w:style>
  <w:style w:type="character" w:customStyle="1" w:styleId="162">
    <w:name w:val="正文文本缩进 3 Char"/>
    <w:qFormat/>
    <w:uiPriority w:val="99"/>
    <w:rPr>
      <w:kern w:val="2"/>
      <w:sz w:val="16"/>
      <w:szCs w:val="16"/>
    </w:rPr>
  </w:style>
  <w:style w:type="character" w:customStyle="1" w:styleId="163">
    <w:name w:val="heading 1 Char2"/>
    <w:qFormat/>
    <w:uiPriority w:val="0"/>
    <w:rPr>
      <w:rFonts w:ascii="仿宋_GB2312" w:eastAsia="仿宋_GB2312"/>
      <w:b/>
      <w:bCs/>
      <w:kern w:val="44"/>
      <w:sz w:val="44"/>
      <w:szCs w:val="44"/>
    </w:rPr>
  </w:style>
  <w:style w:type="character" w:customStyle="1" w:styleId="164">
    <w:name w:val="标题 7 Char"/>
    <w:qFormat/>
    <w:uiPriority w:val="0"/>
    <w:rPr>
      <w:rFonts w:ascii="Arial" w:hAnsi="Arial" w:eastAsia="黑体"/>
      <w:b/>
      <w:sz w:val="21"/>
      <w:szCs w:val="21"/>
    </w:rPr>
  </w:style>
  <w:style w:type="character" w:customStyle="1" w:styleId="165">
    <w:name w:val="样式4 Char"/>
    <w:link w:val="166"/>
    <w:qFormat/>
    <w:uiPriority w:val="0"/>
    <w:rPr>
      <w:rFonts w:ascii="Arial" w:hAnsi="Arial" w:eastAsia="黑体"/>
      <w:b/>
      <w:bCs/>
      <w:kern w:val="2"/>
      <w:sz w:val="24"/>
      <w:szCs w:val="28"/>
    </w:rPr>
  </w:style>
  <w:style w:type="paragraph" w:customStyle="1" w:styleId="166">
    <w:name w:val="样式4"/>
    <w:basedOn w:val="167"/>
    <w:next w:val="1"/>
    <w:link w:val="165"/>
    <w:qFormat/>
    <w:uiPriority w:val="0"/>
    <w:pPr>
      <w:spacing w:line="377" w:lineRule="auto"/>
      <w:ind w:left="851" w:right="0" w:rightChars="0"/>
      <w:jc w:val="both"/>
    </w:pPr>
    <w:rPr>
      <w:rFonts w:ascii="Arial" w:hAnsi="Arial"/>
      <w:kern w:val="2"/>
    </w:rPr>
  </w:style>
  <w:style w:type="paragraph" w:customStyle="1" w:styleId="167">
    <w:name w:val="4级"/>
    <w:basedOn w:val="9"/>
    <w:next w:val="26"/>
    <w:qFormat/>
    <w:uiPriority w:val="0"/>
    <w:pPr>
      <w:keepNext w:val="0"/>
      <w:adjustRightInd w:val="0"/>
      <w:spacing w:beforeLines="50" w:afterLines="50" w:line="376" w:lineRule="auto"/>
      <w:ind w:left="3965" w:right="210" w:rightChars="100" w:hanging="851"/>
      <w:jc w:val="left"/>
      <w:textAlignment w:val="baseline"/>
    </w:pPr>
    <w:rPr>
      <w:kern w:val="0"/>
      <w:sz w:val="24"/>
    </w:rPr>
  </w:style>
  <w:style w:type="character" w:customStyle="1" w:styleId="168">
    <w:name w:val="副标题 Char2"/>
    <w:qFormat/>
    <w:uiPriority w:val="11"/>
    <w:rPr>
      <w:rFonts w:ascii="Cambria" w:hAnsi="Cambria" w:cs="Times New Roman"/>
      <w:b/>
      <w:bCs/>
      <w:kern w:val="28"/>
      <w:sz w:val="32"/>
      <w:szCs w:val="32"/>
    </w:rPr>
  </w:style>
  <w:style w:type="character" w:customStyle="1" w:styleId="169">
    <w:name w:val="小标题 Char Char"/>
    <w:qFormat/>
    <w:uiPriority w:val="0"/>
    <w:rPr>
      <w:rFonts w:ascii="黑体" w:hAnsi="黑体" w:eastAsia="黑体"/>
      <w:b/>
      <w:bCs/>
      <w:kern w:val="2"/>
      <w:sz w:val="48"/>
      <w:szCs w:val="48"/>
    </w:rPr>
  </w:style>
  <w:style w:type="character" w:customStyle="1" w:styleId="170">
    <w:name w:val="样式2 Char"/>
    <w:qFormat/>
    <w:uiPriority w:val="0"/>
    <w:rPr>
      <w:rFonts w:ascii="Arial" w:hAnsi="Arial" w:eastAsia="黑体"/>
      <w:b/>
      <w:bCs/>
      <w:sz w:val="36"/>
      <w:szCs w:val="32"/>
    </w:rPr>
  </w:style>
  <w:style w:type="character" w:customStyle="1" w:styleId="171">
    <w:name w:val="称呼 Char1"/>
    <w:semiHidden/>
    <w:qFormat/>
    <w:uiPriority w:val="99"/>
    <w:rPr>
      <w:kern w:val="2"/>
      <w:sz w:val="21"/>
      <w:szCs w:val="24"/>
    </w:rPr>
  </w:style>
  <w:style w:type="character" w:customStyle="1" w:styleId="172">
    <w:name w:val="pt141"/>
    <w:qFormat/>
    <w:uiPriority w:val="0"/>
    <w:rPr>
      <w:rFonts w:ascii="仿宋_GB2312" w:eastAsia="仿宋_GB2312"/>
      <w:b/>
      <w:color w:val="330066"/>
      <w:spacing w:val="450"/>
      <w:sz w:val="22"/>
      <w:szCs w:val="22"/>
    </w:rPr>
  </w:style>
  <w:style w:type="character" w:customStyle="1" w:styleId="173">
    <w:name w:val="目录标题 Char"/>
    <w:link w:val="174"/>
    <w:qFormat/>
    <w:uiPriority w:val="0"/>
    <w:rPr>
      <w:rFonts w:eastAsia="黑体"/>
      <w:b/>
      <w:bCs/>
      <w:kern w:val="2"/>
      <w:sz w:val="44"/>
      <w:szCs w:val="44"/>
    </w:rPr>
  </w:style>
  <w:style w:type="paragraph" w:customStyle="1" w:styleId="174">
    <w:name w:val="目录标题1"/>
    <w:basedOn w:val="1"/>
    <w:link w:val="173"/>
    <w:qFormat/>
    <w:uiPriority w:val="0"/>
    <w:pPr>
      <w:jc w:val="center"/>
    </w:pPr>
    <w:rPr>
      <w:rFonts w:eastAsia="黑体"/>
      <w:b/>
      <w:bCs/>
      <w:sz w:val="44"/>
      <w:szCs w:val="44"/>
    </w:rPr>
  </w:style>
  <w:style w:type="character" w:customStyle="1" w:styleId="175">
    <w:name w:val="Table of contents|1 + Spacing 3 pt"/>
    <w:unhideWhenUsed/>
    <w:qFormat/>
    <w:uiPriority w:val="0"/>
    <w:rPr>
      <w:rFonts w:ascii="PMingLiU" w:hAnsi="PMingLiU" w:eastAsia="PMingLiU" w:cs="PMingLiU"/>
      <w:color w:val="000000"/>
      <w:spacing w:val="60"/>
      <w:w w:val="100"/>
      <w:position w:val="0"/>
      <w:sz w:val="20"/>
      <w:szCs w:val="20"/>
      <w:u w:val="none"/>
      <w:lang w:val="zh-CN" w:eastAsia="zh-CN" w:bidi="zh-CN"/>
    </w:rPr>
  </w:style>
  <w:style w:type="character" w:customStyle="1" w:styleId="176">
    <w:name w:val="页眉 Char"/>
    <w:qFormat/>
    <w:uiPriority w:val="99"/>
    <w:rPr>
      <w:rFonts w:eastAsia="仿宋_GB2312"/>
      <w:kern w:val="2"/>
      <w:sz w:val="18"/>
      <w:szCs w:val="18"/>
      <w:lang w:val="en-US" w:eastAsia="zh-CN" w:bidi="ar-SA"/>
    </w:rPr>
  </w:style>
  <w:style w:type="character" w:customStyle="1" w:styleId="177">
    <w:name w:val="正文首行缩进 Char3"/>
    <w:semiHidden/>
    <w:qFormat/>
    <w:uiPriority w:val="99"/>
    <w:rPr>
      <w:lang w:val="en-US" w:eastAsia="zh-CN" w:bidi="ar-SA"/>
    </w:rPr>
  </w:style>
  <w:style w:type="character" w:customStyle="1" w:styleId="178">
    <w:name w:val="正文文本 Char"/>
    <w:qFormat/>
    <w:uiPriority w:val="99"/>
    <w:rPr>
      <w:rFonts w:ascii="仿宋_GB2312" w:eastAsia="宋体"/>
      <w:b/>
      <w:kern w:val="2"/>
      <w:sz w:val="21"/>
      <w:szCs w:val="24"/>
      <w:lang w:val="en-US" w:eastAsia="zh-CN" w:bidi="ar-SA"/>
    </w:rPr>
  </w:style>
  <w:style w:type="character" w:customStyle="1" w:styleId="179">
    <w:name w:val="栏目标题 Char Char"/>
    <w:qFormat/>
    <w:uiPriority w:val="0"/>
    <w:rPr>
      <w:rFonts w:ascii="黑体" w:hAnsi="黑体" w:eastAsia="黑体"/>
      <w:b/>
      <w:kern w:val="2"/>
      <w:sz w:val="21"/>
      <w:szCs w:val="24"/>
    </w:rPr>
  </w:style>
  <w:style w:type="character" w:customStyle="1" w:styleId="180">
    <w:name w:val="文档结构图 Char1"/>
    <w:qFormat/>
    <w:uiPriority w:val="0"/>
    <w:rPr>
      <w:kern w:val="2"/>
      <w:sz w:val="21"/>
      <w:szCs w:val="24"/>
      <w:shd w:val="clear" w:color="auto" w:fill="000080"/>
    </w:rPr>
  </w:style>
  <w:style w:type="character" w:customStyle="1" w:styleId="181">
    <w:name w:val="A6"/>
    <w:qFormat/>
    <w:uiPriority w:val="0"/>
    <w:rPr>
      <w:rFonts w:cs="Helvetica Neue"/>
      <w:color w:val="3E667A"/>
      <w:sz w:val="14"/>
      <w:szCs w:val="14"/>
    </w:rPr>
  </w:style>
  <w:style w:type="character" w:customStyle="1" w:styleId="182">
    <w:name w:val="样式 标题 3 + 黑体 小四 Char Char"/>
    <w:link w:val="183"/>
    <w:qFormat/>
    <w:uiPriority w:val="0"/>
    <w:rPr>
      <w:rFonts w:ascii="黑体" w:hAnsi="Arial" w:eastAsia="黑体"/>
      <w:bCs/>
      <w:sz w:val="24"/>
      <w:szCs w:val="24"/>
    </w:rPr>
  </w:style>
  <w:style w:type="paragraph" w:customStyle="1" w:styleId="183">
    <w:name w:val="样式 标题 3 + 黑体 小四"/>
    <w:basedOn w:val="8"/>
    <w:link w:val="182"/>
    <w:qFormat/>
    <w:uiPriority w:val="0"/>
    <w:pPr>
      <w:spacing w:line="413" w:lineRule="auto"/>
    </w:pPr>
    <w:rPr>
      <w:rFonts w:ascii="黑体"/>
      <w:b/>
      <w:kern w:val="0"/>
      <w:sz w:val="24"/>
      <w:szCs w:val="24"/>
    </w:rPr>
  </w:style>
  <w:style w:type="character" w:customStyle="1" w:styleId="184">
    <w:name w:val="heading 4 Char2"/>
    <w:qFormat/>
    <w:uiPriority w:val="0"/>
    <w:rPr>
      <w:rFonts w:ascii="Cambria" w:hAnsi="Cambria" w:eastAsia="仿宋_GB2312"/>
      <w:b/>
      <w:bCs/>
      <w:kern w:val="2"/>
      <w:sz w:val="28"/>
      <w:szCs w:val="28"/>
    </w:rPr>
  </w:style>
  <w:style w:type="character" w:customStyle="1" w:styleId="185">
    <w:name w:val="样式 宋体"/>
    <w:qFormat/>
    <w:uiPriority w:val="0"/>
    <w:rPr>
      <w:rFonts w:ascii="宋体" w:hAnsi="宋体" w:eastAsia="宋体"/>
      <w:b/>
      <w:sz w:val="24"/>
      <w:szCs w:val="24"/>
    </w:rPr>
  </w:style>
  <w:style w:type="character" w:customStyle="1" w:styleId="186">
    <w:name w:val="书籍标题1"/>
    <w:qFormat/>
    <w:uiPriority w:val="0"/>
    <w:rPr>
      <w:b/>
      <w:bCs/>
      <w:smallCaps/>
      <w:spacing w:val="5"/>
    </w:rPr>
  </w:style>
  <w:style w:type="character" w:customStyle="1" w:styleId="187">
    <w:name w:val="日期 Char"/>
    <w:qFormat/>
    <w:uiPriority w:val="99"/>
    <w:rPr>
      <w:spacing w:val="12"/>
      <w:kern w:val="2"/>
      <w:sz w:val="24"/>
    </w:rPr>
  </w:style>
  <w:style w:type="character" w:customStyle="1" w:styleId="188">
    <w:name w:val="称呼 Char"/>
    <w:qFormat/>
    <w:uiPriority w:val="0"/>
  </w:style>
  <w:style w:type="character" w:customStyle="1" w:styleId="189">
    <w:name w:val="批注文字 字符"/>
    <w:qFormat/>
    <w:uiPriority w:val="0"/>
    <w:rPr>
      <w:rFonts w:eastAsia="宋体"/>
      <w:kern w:val="2"/>
      <w:sz w:val="36"/>
      <w:szCs w:val="24"/>
      <w:lang w:val="en-US" w:eastAsia="zh-CN" w:bidi="ar-SA"/>
    </w:rPr>
  </w:style>
  <w:style w:type="character" w:customStyle="1" w:styleId="190">
    <w:name w:val="样式 正文文本 Char Char"/>
    <w:link w:val="191"/>
    <w:qFormat/>
    <w:uiPriority w:val="0"/>
    <w:rPr>
      <w:rFonts w:ascii="Arial" w:hAnsi="Arial" w:cs="宋体"/>
      <w:color w:val="000000"/>
      <w:kern w:val="2"/>
      <w:sz w:val="21"/>
    </w:rPr>
  </w:style>
  <w:style w:type="paragraph" w:customStyle="1" w:styleId="191">
    <w:name w:val="样式 正文文本"/>
    <w:basedOn w:val="1"/>
    <w:link w:val="190"/>
    <w:qFormat/>
    <w:uiPriority w:val="0"/>
    <w:pPr>
      <w:adjustRightInd w:val="0"/>
      <w:snapToGrid w:val="0"/>
      <w:spacing w:line="400" w:lineRule="exact"/>
      <w:ind w:firstLine="200" w:firstLineChars="200"/>
    </w:pPr>
    <w:rPr>
      <w:rFonts w:ascii="Arial" w:hAnsi="Arial"/>
      <w:color w:val="000000"/>
      <w:szCs w:val="20"/>
    </w:rPr>
  </w:style>
  <w:style w:type="character" w:customStyle="1" w:styleId="192">
    <w:name w:val="正文居中 Char Char"/>
    <w:qFormat/>
    <w:uiPriority w:val="0"/>
    <w:rPr>
      <w:kern w:val="2"/>
      <w:sz w:val="21"/>
      <w:szCs w:val="24"/>
    </w:rPr>
  </w:style>
  <w:style w:type="character" w:customStyle="1" w:styleId="193">
    <w:name w:val="Plain Text Char"/>
    <w:qFormat/>
    <w:uiPriority w:val="0"/>
    <w:rPr>
      <w:rFonts w:ascii="宋体" w:hAnsi="Courier New" w:eastAsia="宋体" w:cs="Times New Roman"/>
      <w:sz w:val="21"/>
      <w:szCs w:val="21"/>
    </w:rPr>
  </w:style>
  <w:style w:type="character" w:customStyle="1" w:styleId="194">
    <w:name w:val="style111"/>
    <w:qFormat/>
    <w:uiPriority w:val="0"/>
    <w:rPr>
      <w:sz w:val="27"/>
      <w:szCs w:val="27"/>
    </w:rPr>
  </w:style>
  <w:style w:type="character" w:customStyle="1" w:styleId="195">
    <w:name w:val="Char Char211"/>
    <w:qFormat/>
    <w:uiPriority w:val="0"/>
    <w:rPr>
      <w:rFonts w:ascii="Times New Roman" w:hAnsi="Times New Roman" w:eastAsia="宋体" w:cs="Times New Roman"/>
      <w:b/>
      <w:bCs/>
      <w:kern w:val="44"/>
      <w:sz w:val="44"/>
      <w:szCs w:val="44"/>
    </w:rPr>
  </w:style>
  <w:style w:type="character" w:customStyle="1" w:styleId="196">
    <w:name w:val="正文缩进 Char1"/>
    <w:qFormat/>
    <w:uiPriority w:val="0"/>
    <w:rPr>
      <w:sz w:val="21"/>
    </w:rPr>
  </w:style>
  <w:style w:type="character" w:customStyle="1" w:styleId="197">
    <w:name w:val="目录标题 Char Char"/>
    <w:qFormat/>
    <w:uiPriority w:val="0"/>
    <w:rPr>
      <w:rFonts w:eastAsia="黑体"/>
      <w:b/>
      <w:bCs/>
      <w:kern w:val="2"/>
      <w:sz w:val="44"/>
      <w:szCs w:val="44"/>
    </w:rPr>
  </w:style>
  <w:style w:type="character" w:customStyle="1" w:styleId="198">
    <w:name w:val="文档结构图 Char"/>
    <w:qFormat/>
    <w:uiPriority w:val="99"/>
    <w:rPr>
      <w:rFonts w:eastAsia="宋体"/>
      <w:kern w:val="2"/>
      <w:sz w:val="21"/>
      <w:szCs w:val="24"/>
      <w:lang w:val="en-US" w:eastAsia="zh-CN" w:bidi="ar-SA"/>
    </w:rPr>
  </w:style>
  <w:style w:type="character" w:customStyle="1" w:styleId="199">
    <w:name w:val="明显参考1"/>
    <w:qFormat/>
    <w:uiPriority w:val="0"/>
    <w:rPr>
      <w:b/>
      <w:bCs/>
      <w:smallCaps/>
      <w:color w:val="C0504D"/>
      <w:spacing w:val="5"/>
      <w:u w:val="single"/>
    </w:rPr>
  </w:style>
  <w:style w:type="character" w:customStyle="1" w:styleId="200">
    <w:name w:val="纯文本 Char"/>
    <w:qFormat/>
    <w:uiPriority w:val="0"/>
    <w:rPr>
      <w:rFonts w:ascii="仿宋_GB2312" w:hAnsi="Wingdings" w:eastAsia="仿宋_GB2312"/>
      <w:sz w:val="21"/>
      <w:szCs w:val="21"/>
      <w:lang w:val="en-US" w:eastAsia="zh-CN" w:bidi="ar-SA"/>
    </w:rPr>
  </w:style>
  <w:style w:type="character" w:customStyle="1" w:styleId="201">
    <w:name w:val="release-day"/>
    <w:qFormat/>
    <w:uiPriority w:val="0"/>
    <w:rPr>
      <w:szCs w:val="20"/>
      <w:bdr w:val="single" w:color="BDEBB0" w:sz="4" w:space="0"/>
      <w:shd w:val="clear" w:color="auto" w:fill="F5FFF1"/>
    </w:rPr>
  </w:style>
  <w:style w:type="character" w:customStyle="1" w:styleId="202">
    <w:name w:val="正文2 Char"/>
    <w:link w:val="203"/>
    <w:qFormat/>
    <w:uiPriority w:val="0"/>
    <w:rPr>
      <w:sz w:val="24"/>
    </w:rPr>
  </w:style>
  <w:style w:type="paragraph" w:customStyle="1" w:styleId="203">
    <w:name w:val="正文2"/>
    <w:basedOn w:val="1"/>
    <w:link w:val="202"/>
    <w:qFormat/>
    <w:uiPriority w:val="0"/>
    <w:pPr>
      <w:autoSpaceDE w:val="0"/>
      <w:autoSpaceDN w:val="0"/>
      <w:adjustRightInd w:val="0"/>
      <w:spacing w:before="156" w:line="360" w:lineRule="auto"/>
      <w:ind w:firstLine="510" w:firstLineChars="200"/>
      <w:jc w:val="left"/>
    </w:pPr>
    <w:rPr>
      <w:kern w:val="0"/>
      <w:sz w:val="24"/>
      <w:szCs w:val="20"/>
    </w:rPr>
  </w:style>
  <w:style w:type="character" w:customStyle="1" w:styleId="204">
    <w:name w:val="正文文本缩进 3 Char2"/>
    <w:semiHidden/>
    <w:qFormat/>
    <w:uiPriority w:val="99"/>
    <w:rPr>
      <w:kern w:val="2"/>
      <w:sz w:val="16"/>
      <w:szCs w:val="16"/>
    </w:rPr>
  </w:style>
  <w:style w:type="character" w:customStyle="1" w:styleId="205">
    <w:name w:val="Char Char Char Char Char Char Char Char Char"/>
    <w:qFormat/>
    <w:uiPriority w:val="0"/>
    <w:rPr>
      <w:rFonts w:ascii="宋体" w:hAnsi="Courier New" w:eastAsia="宋体"/>
      <w:b/>
      <w:sz w:val="21"/>
      <w:szCs w:val="21"/>
      <w:lang w:val="en-US" w:eastAsia="zh-CN" w:bidi="ar-SA"/>
    </w:rPr>
  </w:style>
  <w:style w:type="character" w:customStyle="1" w:styleId="206">
    <w:name w:val="正文文本 Char Char"/>
    <w:qFormat/>
    <w:uiPriority w:val="0"/>
    <w:rPr>
      <w:rFonts w:ascii="Times New Roman" w:hAnsi="Times New Roman"/>
      <w:kern w:val="2"/>
      <w:sz w:val="21"/>
      <w:szCs w:val="24"/>
    </w:rPr>
  </w:style>
  <w:style w:type="character" w:customStyle="1" w:styleId="207">
    <w:name w:val="页眉 Char1"/>
    <w:qFormat/>
    <w:uiPriority w:val="0"/>
    <w:rPr>
      <w:kern w:val="2"/>
      <w:sz w:val="18"/>
      <w:szCs w:val="18"/>
    </w:rPr>
  </w:style>
  <w:style w:type="character" w:customStyle="1" w:styleId="208">
    <w:name w:val="批注主题 Char1"/>
    <w:qFormat/>
    <w:uiPriority w:val="0"/>
    <w:rPr>
      <w:b/>
      <w:bCs/>
      <w:kern w:val="2"/>
      <w:sz w:val="21"/>
      <w:szCs w:val="24"/>
    </w:rPr>
  </w:style>
  <w:style w:type="character" w:customStyle="1" w:styleId="209">
    <w:name w:val="gray6"/>
    <w:qFormat/>
    <w:uiPriority w:val="0"/>
    <w:rPr>
      <w:rFonts w:ascii="仿宋_GB2312" w:hAnsi="Tahoma" w:eastAsia="仿宋_GB2312"/>
      <w:b/>
      <w:sz w:val="32"/>
      <w:szCs w:val="32"/>
    </w:rPr>
  </w:style>
  <w:style w:type="character" w:customStyle="1" w:styleId="210">
    <w:name w:val="apple-style-span"/>
    <w:qFormat/>
    <w:uiPriority w:val="0"/>
  </w:style>
  <w:style w:type="character" w:customStyle="1" w:styleId="211">
    <w:name w:val="样式 样式 正文首行缩进 + 首行缩进:  2 字符 + 首行缩进:  2 字符 Char"/>
    <w:link w:val="212"/>
    <w:qFormat/>
    <w:uiPriority w:val="0"/>
    <w:rPr>
      <w:rFonts w:cs="宋体"/>
      <w:kern w:val="2"/>
      <w:sz w:val="24"/>
    </w:rPr>
  </w:style>
  <w:style w:type="paragraph" w:customStyle="1" w:styleId="212">
    <w:name w:val="样式 样式 正文首行缩进 + 首行缩进:  2 字符 + 首行缩进:  2 字符"/>
    <w:basedOn w:val="1"/>
    <w:link w:val="211"/>
    <w:qFormat/>
    <w:uiPriority w:val="0"/>
    <w:pPr>
      <w:spacing w:line="440" w:lineRule="exact"/>
      <w:ind w:firstLine="200" w:firstLineChars="200"/>
    </w:pPr>
    <w:rPr>
      <w:sz w:val="24"/>
      <w:szCs w:val="20"/>
    </w:rPr>
  </w:style>
  <w:style w:type="character" w:customStyle="1" w:styleId="213">
    <w:name w:val="标题 2 Char1"/>
    <w:qFormat/>
    <w:uiPriority w:val="0"/>
    <w:rPr>
      <w:rFonts w:ascii="Arial" w:hAnsi="Arial" w:eastAsia="黑体"/>
      <w:b/>
      <w:bCs/>
      <w:kern w:val="2"/>
      <w:sz w:val="32"/>
      <w:szCs w:val="32"/>
    </w:rPr>
  </w:style>
  <w:style w:type="character" w:customStyle="1" w:styleId="214">
    <w:name w:val="Char Char19"/>
    <w:qFormat/>
    <w:uiPriority w:val="0"/>
    <w:rPr>
      <w:rFonts w:ascii="Cambria" w:hAnsi="Cambria" w:eastAsia="仿宋_GB2312"/>
      <w:b/>
      <w:bCs/>
      <w:kern w:val="2"/>
      <w:sz w:val="32"/>
      <w:szCs w:val="32"/>
    </w:rPr>
  </w:style>
  <w:style w:type="character" w:customStyle="1" w:styleId="215">
    <w:name w:val="表格用 Char Char"/>
    <w:link w:val="216"/>
    <w:qFormat/>
    <w:locked/>
    <w:uiPriority w:val="0"/>
    <w:rPr>
      <w:sz w:val="21"/>
      <w:szCs w:val="24"/>
    </w:rPr>
  </w:style>
  <w:style w:type="paragraph" w:customStyle="1" w:styleId="216">
    <w:name w:val="表格用"/>
    <w:basedOn w:val="1"/>
    <w:link w:val="215"/>
    <w:qFormat/>
    <w:uiPriority w:val="0"/>
    <w:rPr>
      <w:kern w:val="0"/>
    </w:rPr>
  </w:style>
  <w:style w:type="character" w:customStyle="1" w:styleId="217">
    <w:name w:val="_正文段落 Char"/>
    <w:link w:val="218"/>
    <w:qFormat/>
    <w:uiPriority w:val="0"/>
    <w:rPr>
      <w:kern w:val="2"/>
      <w:sz w:val="21"/>
      <w:szCs w:val="24"/>
    </w:rPr>
  </w:style>
  <w:style w:type="paragraph" w:customStyle="1" w:styleId="218">
    <w:name w:val="_正文段落"/>
    <w:basedOn w:val="1"/>
    <w:link w:val="217"/>
    <w:qFormat/>
    <w:uiPriority w:val="0"/>
    <w:pPr>
      <w:spacing w:beforeLines="15" w:afterLines="15" w:line="360" w:lineRule="auto"/>
      <w:ind w:firstLine="200" w:firstLineChars="200"/>
    </w:pPr>
  </w:style>
  <w:style w:type="character" w:customStyle="1" w:styleId="219">
    <w:name w:val="Char Char6"/>
    <w:qFormat/>
    <w:uiPriority w:val="0"/>
    <w:rPr>
      <w:rFonts w:ascii="Times New Roman" w:hAnsi="Times New Roman" w:eastAsia="宋体" w:cs="Times New Roman"/>
      <w:szCs w:val="24"/>
    </w:rPr>
  </w:style>
  <w:style w:type="character" w:customStyle="1" w:styleId="220">
    <w:name w:val="注释正文"/>
    <w:qFormat/>
    <w:uiPriority w:val="0"/>
    <w:rPr>
      <w:rFonts w:eastAsia="宋体"/>
      <w:sz w:val="28"/>
      <w:u w:val="single"/>
    </w:rPr>
  </w:style>
  <w:style w:type="character" w:customStyle="1" w:styleId="221">
    <w:name w:val="批注文字 Char2"/>
    <w:semiHidden/>
    <w:qFormat/>
    <w:uiPriority w:val="99"/>
    <w:rPr>
      <w:kern w:val="2"/>
      <w:sz w:val="21"/>
      <w:szCs w:val="24"/>
    </w:rPr>
  </w:style>
  <w:style w:type="character" w:customStyle="1" w:styleId="222">
    <w:name w:val="脚注文本 Char"/>
    <w:qFormat/>
    <w:uiPriority w:val="99"/>
    <w:rPr>
      <w:kern w:val="2"/>
      <w:sz w:val="18"/>
      <w:szCs w:val="18"/>
    </w:rPr>
  </w:style>
  <w:style w:type="character" w:customStyle="1" w:styleId="223">
    <w:name w:val="页脚 Char2"/>
    <w:semiHidden/>
    <w:qFormat/>
    <w:uiPriority w:val="99"/>
    <w:rPr>
      <w:kern w:val="2"/>
      <w:sz w:val="18"/>
      <w:szCs w:val="18"/>
    </w:rPr>
  </w:style>
  <w:style w:type="character" w:customStyle="1" w:styleId="224">
    <w:name w:val="PI Char1"/>
    <w:qFormat/>
    <w:uiPriority w:val="0"/>
    <w:rPr>
      <w:rFonts w:ascii="仿宋_GB2312" w:eastAsia="宋体"/>
      <w:b/>
      <w:kern w:val="2"/>
      <w:sz w:val="24"/>
      <w:szCs w:val="24"/>
      <w:lang w:val="en-US" w:eastAsia="zh-CN" w:bidi="ar-SA"/>
    </w:rPr>
  </w:style>
  <w:style w:type="character" w:customStyle="1" w:styleId="225">
    <w:name w:val="heading 7 Char1"/>
    <w:qFormat/>
    <w:uiPriority w:val="0"/>
    <w:rPr>
      <w:rFonts w:ascii="Arial" w:hAnsi="Arial" w:eastAsia="黑体"/>
      <w:b/>
      <w:sz w:val="21"/>
      <w:szCs w:val="21"/>
      <w:lang w:val="en-US" w:eastAsia="zh-CN" w:bidi="ar-SA"/>
    </w:rPr>
  </w:style>
  <w:style w:type="character" w:customStyle="1" w:styleId="226">
    <w:name w:val="style21"/>
    <w:qFormat/>
    <w:uiPriority w:val="0"/>
    <w:rPr>
      <w:rFonts w:ascii="仿宋_GB2312" w:eastAsia="仿宋_GB2312"/>
      <w:b/>
      <w:sz w:val="15"/>
      <w:szCs w:val="15"/>
    </w:rPr>
  </w:style>
  <w:style w:type="character" w:customStyle="1" w:styleId="227">
    <w:name w:val="Char Char15"/>
    <w:qFormat/>
    <w:uiPriority w:val="0"/>
    <w:rPr>
      <w:rFonts w:ascii="Arial" w:hAnsi="Arial" w:eastAsia="黑体"/>
      <w:b/>
      <w:sz w:val="24"/>
      <w:szCs w:val="24"/>
    </w:rPr>
  </w:style>
  <w:style w:type="character" w:customStyle="1" w:styleId="228">
    <w:name w:val="引用 Char1"/>
    <w:qFormat/>
    <w:uiPriority w:val="99"/>
    <w:rPr>
      <w:rFonts w:ascii="Tahoma" w:hAnsi="Tahoma"/>
      <w:i/>
      <w:iCs/>
      <w:color w:val="000000"/>
      <w:kern w:val="2"/>
      <w:sz w:val="21"/>
      <w:szCs w:val="24"/>
    </w:rPr>
  </w:style>
  <w:style w:type="character" w:customStyle="1" w:styleId="229">
    <w:name w:val="正文首行缩进 2 Char2"/>
    <w:qFormat/>
    <w:uiPriority w:val="0"/>
    <w:rPr>
      <w:rFonts w:ascii="Calibri" w:hAnsi="Calibri" w:cs="黑体"/>
      <w:kern w:val="2"/>
      <w:sz w:val="21"/>
      <w:szCs w:val="24"/>
    </w:rPr>
  </w:style>
  <w:style w:type="character" w:customStyle="1" w:styleId="230">
    <w:name w:val="标题样式 Char"/>
    <w:link w:val="231"/>
    <w:qFormat/>
    <w:uiPriority w:val="0"/>
    <w:rPr>
      <w:b/>
    </w:rPr>
  </w:style>
  <w:style w:type="paragraph" w:customStyle="1" w:styleId="231">
    <w:name w:val="标题样式"/>
    <w:basedOn w:val="1"/>
    <w:link w:val="230"/>
    <w:qFormat/>
    <w:uiPriority w:val="0"/>
    <w:pPr>
      <w:spacing w:beforeLines="50" w:afterLines="50"/>
    </w:pPr>
    <w:rPr>
      <w:b/>
      <w:kern w:val="0"/>
      <w:sz w:val="20"/>
      <w:szCs w:val="20"/>
    </w:rPr>
  </w:style>
  <w:style w:type="character" w:customStyle="1" w:styleId="232">
    <w:name w:val="表正文 Char2"/>
    <w:qFormat/>
    <w:uiPriority w:val="0"/>
    <w:rPr>
      <w:rFonts w:ascii="Times New Roman" w:hAnsi="Times New Roman" w:eastAsia="宋体" w:cs="Times New Roman"/>
      <w:szCs w:val="24"/>
    </w:rPr>
  </w:style>
  <w:style w:type="character" w:customStyle="1" w:styleId="233">
    <w:name w:val="宏文本 Char"/>
    <w:qFormat/>
    <w:uiPriority w:val="0"/>
    <w:rPr>
      <w:rFonts w:ascii="Courier New" w:hAnsi="Courier New"/>
      <w:kern w:val="2"/>
      <w:sz w:val="24"/>
      <w:szCs w:val="24"/>
    </w:rPr>
  </w:style>
  <w:style w:type="character" w:customStyle="1" w:styleId="234">
    <w:name w:val="Ò³Ã¼ Char Char1"/>
    <w:qFormat/>
    <w:uiPriority w:val="0"/>
    <w:rPr>
      <w:rFonts w:ascii="仿宋_GB2312" w:eastAsia="宋体"/>
      <w:b/>
      <w:kern w:val="2"/>
      <w:sz w:val="18"/>
      <w:szCs w:val="18"/>
      <w:lang w:val="en-US" w:eastAsia="zh-CN" w:bidi="ar-SA"/>
    </w:rPr>
  </w:style>
  <w:style w:type="character" w:customStyle="1" w:styleId="235">
    <w:name w:val="Char Char Char"/>
    <w:qFormat/>
    <w:uiPriority w:val="0"/>
    <w:rPr>
      <w:rFonts w:ascii="宋体" w:hAnsi="宋体" w:eastAsia="宋体"/>
      <w:kern w:val="2"/>
      <w:sz w:val="18"/>
      <w:szCs w:val="18"/>
      <w:lang w:val="en-US" w:eastAsia="zh-CN" w:bidi="ar-SA"/>
    </w:rPr>
  </w:style>
  <w:style w:type="character" w:customStyle="1" w:styleId="236">
    <w:name w:val="注释标题 Char"/>
    <w:qFormat/>
    <w:uiPriority w:val="0"/>
    <w:rPr>
      <w:rFonts w:eastAsia="黑体"/>
      <w:kern w:val="2"/>
      <w:sz w:val="28"/>
    </w:rPr>
  </w:style>
  <w:style w:type="character" w:customStyle="1" w:styleId="237">
    <w:name w:val="引用 Char"/>
    <w:link w:val="238"/>
    <w:qFormat/>
    <w:uiPriority w:val="29"/>
    <w:rPr>
      <w:rFonts w:ascii="Calibri" w:hAnsi="Calibri"/>
      <w:b/>
      <w:i/>
      <w:iCs/>
      <w:color w:val="000000"/>
      <w:sz w:val="32"/>
      <w:szCs w:val="32"/>
    </w:rPr>
  </w:style>
  <w:style w:type="paragraph" w:customStyle="1" w:styleId="238">
    <w:name w:val="引用1"/>
    <w:basedOn w:val="1"/>
    <w:next w:val="1"/>
    <w:link w:val="237"/>
    <w:qFormat/>
    <w:uiPriority w:val="29"/>
    <w:rPr>
      <w:rFonts w:ascii="Calibri" w:hAnsi="Calibri"/>
      <w:b/>
      <w:i/>
      <w:iCs/>
      <w:color w:val="000000"/>
      <w:kern w:val="0"/>
      <w:sz w:val="32"/>
      <w:szCs w:val="32"/>
    </w:rPr>
  </w:style>
  <w:style w:type="character" w:customStyle="1" w:styleId="239">
    <w:name w:val="heading 5 Char2"/>
    <w:qFormat/>
    <w:uiPriority w:val="0"/>
    <w:rPr>
      <w:rFonts w:ascii="仿宋_GB2312" w:eastAsia="仿宋_GB2312"/>
      <w:b/>
      <w:bCs/>
      <w:kern w:val="2"/>
      <w:sz w:val="28"/>
      <w:szCs w:val="28"/>
    </w:rPr>
  </w:style>
  <w:style w:type="character" w:customStyle="1" w:styleId="240">
    <w:name w:val="样式 宋体1"/>
    <w:qFormat/>
    <w:uiPriority w:val="0"/>
    <w:rPr>
      <w:rFonts w:ascii="宋体" w:hAnsi="宋体" w:eastAsia="宋体"/>
      <w:sz w:val="24"/>
    </w:rPr>
  </w:style>
  <w:style w:type="character" w:customStyle="1" w:styleId="241">
    <w:name w:val="authcode"/>
    <w:qFormat/>
    <w:uiPriority w:val="0"/>
    <w:rPr>
      <w:szCs w:val="20"/>
    </w:rPr>
  </w:style>
  <w:style w:type="character" w:customStyle="1" w:styleId="242">
    <w:name w:val="正文4 Char Char"/>
    <w:link w:val="243"/>
    <w:qFormat/>
    <w:uiPriority w:val="0"/>
    <w:rPr>
      <w:kern w:val="2"/>
    </w:rPr>
  </w:style>
  <w:style w:type="paragraph" w:customStyle="1" w:styleId="243">
    <w:name w:val="正文4"/>
    <w:basedOn w:val="1"/>
    <w:link w:val="242"/>
    <w:qFormat/>
    <w:uiPriority w:val="0"/>
    <w:pPr>
      <w:tabs>
        <w:tab w:val="left" w:pos="520"/>
      </w:tabs>
      <w:spacing w:before="60" w:after="60" w:line="360" w:lineRule="auto"/>
      <w:ind w:left="520"/>
    </w:pPr>
    <w:rPr>
      <w:sz w:val="20"/>
      <w:szCs w:val="20"/>
    </w:rPr>
  </w:style>
  <w:style w:type="character" w:customStyle="1" w:styleId="244">
    <w:name w:val="正文缩进 Char"/>
    <w:qFormat/>
    <w:uiPriority w:val="99"/>
    <w:rPr>
      <w:rFonts w:eastAsia="仿宋_GB2312"/>
      <w:sz w:val="21"/>
      <w:lang w:val="en-US" w:eastAsia="zh-CN" w:bidi="ar-SA"/>
    </w:rPr>
  </w:style>
  <w:style w:type="character" w:customStyle="1" w:styleId="245">
    <w:name w:val="表格 Char Char"/>
    <w:link w:val="246"/>
    <w:qFormat/>
    <w:uiPriority w:val="0"/>
    <w:rPr>
      <w:rFonts w:ascii="宋体" w:hAnsi="宋体"/>
      <w:b/>
      <w:sz w:val="32"/>
      <w:szCs w:val="32"/>
    </w:rPr>
  </w:style>
  <w:style w:type="paragraph" w:customStyle="1" w:styleId="246">
    <w:name w:val="表格"/>
    <w:basedOn w:val="1"/>
    <w:link w:val="245"/>
    <w:qFormat/>
    <w:uiPriority w:val="0"/>
    <w:pPr>
      <w:autoSpaceDE w:val="0"/>
      <w:autoSpaceDN w:val="0"/>
      <w:adjustRightInd w:val="0"/>
      <w:snapToGrid w:val="0"/>
      <w:ind w:firstLine="42" w:firstLineChars="21"/>
      <w:jc w:val="left"/>
    </w:pPr>
    <w:rPr>
      <w:rFonts w:ascii="宋体" w:hAnsi="宋体"/>
      <w:b/>
      <w:kern w:val="0"/>
      <w:sz w:val="32"/>
      <w:szCs w:val="32"/>
    </w:rPr>
  </w:style>
  <w:style w:type="character" w:customStyle="1" w:styleId="247">
    <w:name w:val="hui"/>
    <w:qFormat/>
    <w:uiPriority w:val="0"/>
    <w:rPr>
      <w:rFonts w:ascii="仿宋_GB2312" w:hAnsi="Tahoma" w:eastAsia="仿宋_GB2312"/>
      <w:b/>
      <w:sz w:val="32"/>
      <w:szCs w:val="32"/>
    </w:rPr>
  </w:style>
  <w:style w:type="character" w:customStyle="1" w:styleId="248">
    <w:name w:val="标书标题 3 Char Char Char"/>
    <w:link w:val="249"/>
    <w:qFormat/>
    <w:uiPriority w:val="0"/>
    <w:rPr>
      <w:rFonts w:ascii="Arial" w:hAnsi="Arial" w:eastAsia="仿宋_GB2312" w:cs="Times New Roman"/>
      <w:b/>
      <w:kern w:val="2"/>
      <w:sz w:val="24"/>
      <w:szCs w:val="32"/>
    </w:rPr>
  </w:style>
  <w:style w:type="paragraph" w:customStyle="1" w:styleId="249">
    <w:name w:val="标书标题 3 Char"/>
    <w:basedOn w:val="1"/>
    <w:link w:val="248"/>
    <w:qFormat/>
    <w:uiPriority w:val="0"/>
    <w:pPr>
      <w:tabs>
        <w:tab w:val="left" w:pos="720"/>
      </w:tabs>
      <w:spacing w:line="360" w:lineRule="auto"/>
      <w:outlineLvl w:val="2"/>
    </w:pPr>
    <w:rPr>
      <w:rFonts w:ascii="Arial" w:hAnsi="Arial" w:eastAsia="仿宋_GB2312"/>
      <w:b/>
      <w:sz w:val="24"/>
      <w:szCs w:val="32"/>
    </w:rPr>
  </w:style>
  <w:style w:type="character" w:customStyle="1" w:styleId="250">
    <w:name w:val="注释正文＋下划线 Char Char"/>
    <w:qFormat/>
    <w:uiPriority w:val="0"/>
    <w:rPr>
      <w:rFonts w:ascii="宋体" w:hAnsi="宋体"/>
      <w:kern w:val="2"/>
      <w:sz w:val="28"/>
      <w:szCs w:val="28"/>
      <w:u w:val="single"/>
    </w:rPr>
  </w:style>
  <w:style w:type="character" w:customStyle="1" w:styleId="251">
    <w:name w:val="纯文本 Char2"/>
    <w:semiHidden/>
    <w:qFormat/>
    <w:uiPriority w:val="99"/>
    <w:rPr>
      <w:rFonts w:ascii="宋体" w:hAnsi="Courier New" w:cs="Courier New"/>
      <w:kern w:val="2"/>
      <w:sz w:val="21"/>
      <w:szCs w:val="21"/>
    </w:rPr>
  </w:style>
  <w:style w:type="character" w:customStyle="1" w:styleId="252">
    <w:name w:val="font161"/>
    <w:qFormat/>
    <w:uiPriority w:val="0"/>
    <w:rPr>
      <w:b/>
      <w:bCs/>
      <w:sz w:val="32"/>
      <w:szCs w:val="32"/>
    </w:rPr>
  </w:style>
  <w:style w:type="character" w:customStyle="1" w:styleId="253">
    <w:name w:val="heading 3 Char"/>
    <w:qFormat/>
    <w:uiPriority w:val="0"/>
    <w:rPr>
      <w:rFonts w:ascii="Arial" w:hAnsi="Arial" w:eastAsia="黑体"/>
      <w:b/>
      <w:sz w:val="28"/>
      <w:szCs w:val="24"/>
    </w:rPr>
  </w:style>
  <w:style w:type="character" w:customStyle="1" w:styleId="254">
    <w:name w:val="正文缩进 字符"/>
    <w:qFormat/>
    <w:uiPriority w:val="0"/>
    <w:rPr>
      <w:rFonts w:eastAsia="宋体"/>
      <w:sz w:val="21"/>
      <w:lang w:val="en-US" w:eastAsia="zh-CN" w:bidi="ar-SA"/>
    </w:rPr>
  </w:style>
  <w:style w:type="character" w:customStyle="1" w:styleId="255">
    <w:name w:val="med1"/>
    <w:qFormat/>
    <w:uiPriority w:val="0"/>
  </w:style>
  <w:style w:type="character" w:customStyle="1" w:styleId="256">
    <w:name w:val="Ò³Ã¼ Char Char2"/>
    <w:qFormat/>
    <w:uiPriority w:val="0"/>
    <w:rPr>
      <w:rFonts w:ascii="仿宋_GB2312" w:eastAsia="仿宋_GB2312"/>
      <w:b/>
      <w:kern w:val="2"/>
      <w:sz w:val="18"/>
      <w:szCs w:val="18"/>
    </w:rPr>
  </w:style>
  <w:style w:type="character" w:customStyle="1" w:styleId="257">
    <w:name w:val="Title1"/>
    <w:qFormat/>
    <w:uiPriority w:val="0"/>
  </w:style>
  <w:style w:type="character" w:customStyle="1" w:styleId="258">
    <w:name w:val="注释正文＋下划线 Char"/>
    <w:link w:val="259"/>
    <w:qFormat/>
    <w:uiPriority w:val="0"/>
    <w:rPr>
      <w:rFonts w:ascii="宋体" w:hAnsi="宋体"/>
      <w:kern w:val="2"/>
      <w:sz w:val="28"/>
      <w:szCs w:val="28"/>
      <w:u w:val="single"/>
    </w:rPr>
  </w:style>
  <w:style w:type="paragraph" w:customStyle="1" w:styleId="259">
    <w:name w:val="注释正文＋下划线"/>
    <w:basedOn w:val="1"/>
    <w:link w:val="258"/>
    <w:qFormat/>
    <w:uiPriority w:val="0"/>
    <w:rPr>
      <w:rFonts w:ascii="宋体" w:hAnsi="宋体"/>
      <w:sz w:val="28"/>
      <w:szCs w:val="28"/>
      <w:u w:val="single"/>
    </w:rPr>
  </w:style>
  <w:style w:type="character" w:customStyle="1" w:styleId="260">
    <w:name w:val="段落 Char"/>
    <w:link w:val="261"/>
    <w:qFormat/>
    <w:uiPriority w:val="0"/>
    <w:rPr>
      <w:kern w:val="2"/>
    </w:rPr>
  </w:style>
  <w:style w:type="paragraph" w:customStyle="1" w:styleId="261">
    <w:name w:val="段落"/>
    <w:basedOn w:val="1"/>
    <w:link w:val="260"/>
    <w:qFormat/>
    <w:uiPriority w:val="0"/>
    <w:pPr>
      <w:spacing w:line="360" w:lineRule="auto"/>
      <w:ind w:firstLine="200" w:firstLineChars="200"/>
    </w:pPr>
    <w:rPr>
      <w:sz w:val="20"/>
      <w:szCs w:val="20"/>
    </w:rPr>
  </w:style>
  <w:style w:type="character" w:customStyle="1" w:styleId="262">
    <w:name w:val="标题 8 Char"/>
    <w:qFormat/>
    <w:uiPriority w:val="0"/>
    <w:rPr>
      <w:rFonts w:ascii="Arial" w:hAnsi="Arial" w:eastAsia="黑体"/>
      <w:b/>
      <w:sz w:val="24"/>
      <w:szCs w:val="32"/>
    </w:rPr>
  </w:style>
  <w:style w:type="character" w:customStyle="1" w:styleId="263">
    <w:name w:val="p91"/>
    <w:qFormat/>
    <w:uiPriority w:val="0"/>
    <w:rPr>
      <w:rFonts w:hint="eastAsia" w:ascii="宋体" w:hAnsi="宋体" w:eastAsia="宋体"/>
      <w:spacing w:val="360"/>
      <w:sz w:val="18"/>
      <w:szCs w:val="18"/>
    </w:rPr>
  </w:style>
  <w:style w:type="character" w:customStyle="1" w:styleId="264">
    <w:name w:val="heading 6 Char1"/>
    <w:qFormat/>
    <w:uiPriority w:val="0"/>
    <w:rPr>
      <w:rFonts w:ascii="Arial" w:hAnsi="Arial" w:eastAsia="黑体"/>
      <w:b/>
      <w:kern w:val="2"/>
      <w:sz w:val="24"/>
      <w:szCs w:val="24"/>
      <w:lang w:val="en-US" w:eastAsia="zh-CN" w:bidi="ar-SA"/>
    </w:rPr>
  </w:style>
  <w:style w:type="character" w:customStyle="1" w:styleId="265">
    <w:name w:val="页脚 Char1"/>
    <w:qFormat/>
    <w:uiPriority w:val="0"/>
    <w:rPr>
      <w:kern w:val="2"/>
      <w:sz w:val="18"/>
      <w:szCs w:val="18"/>
    </w:rPr>
  </w:style>
  <w:style w:type="character" w:customStyle="1" w:styleId="266">
    <w:name w:val="正文（首行缩进2字符） Char"/>
    <w:link w:val="267"/>
    <w:qFormat/>
    <w:uiPriority w:val="0"/>
    <w:rPr>
      <w:kern w:val="2"/>
      <w:sz w:val="22"/>
      <w:szCs w:val="24"/>
    </w:rPr>
  </w:style>
  <w:style w:type="paragraph" w:customStyle="1" w:styleId="267">
    <w:name w:val="正文（首行缩进2字符）"/>
    <w:basedOn w:val="1"/>
    <w:link w:val="266"/>
    <w:qFormat/>
    <w:uiPriority w:val="0"/>
    <w:pPr>
      <w:jc w:val="center"/>
    </w:pPr>
    <w:rPr>
      <w:sz w:val="22"/>
    </w:rPr>
  </w:style>
  <w:style w:type="character" w:customStyle="1" w:styleId="268">
    <w:name w:val="Char1"/>
    <w:qFormat/>
    <w:uiPriority w:val="0"/>
    <w:rPr>
      <w:rFonts w:ascii="宋体" w:hAnsi="宋体" w:eastAsia="宋体"/>
      <w:b/>
      <w:kern w:val="2"/>
      <w:sz w:val="24"/>
      <w:szCs w:val="24"/>
      <w:lang w:val="en-US" w:eastAsia="zh-CN" w:bidi="ar-SA"/>
    </w:rPr>
  </w:style>
  <w:style w:type="character" w:customStyle="1" w:styleId="269">
    <w:name w:val="Style4"/>
    <w:qFormat/>
    <w:uiPriority w:val="0"/>
    <w:rPr>
      <w:rFonts w:ascii="Calibri" w:hAnsi="宋体" w:eastAsia="宋体" w:cs="Times New Roman"/>
      <w:szCs w:val="22"/>
      <w:lang w:eastAsia="zh-CN"/>
    </w:rPr>
  </w:style>
  <w:style w:type="character" w:customStyle="1" w:styleId="270">
    <w:name w:val="Char Char111"/>
    <w:qFormat/>
    <w:uiPriority w:val="0"/>
    <w:rPr>
      <w:rFonts w:ascii="Times New Roman" w:hAnsi="Times New Roman" w:eastAsia="宋体" w:cs="Times New Roman"/>
      <w:sz w:val="18"/>
      <w:szCs w:val="18"/>
    </w:rPr>
  </w:style>
  <w:style w:type="character" w:customStyle="1" w:styleId="271">
    <w:name w:val="heading 4 Char"/>
    <w:qFormat/>
    <w:uiPriority w:val="0"/>
    <w:rPr>
      <w:rFonts w:ascii="Arial" w:hAnsi="Arial" w:eastAsia="黑体" w:cs="Times New Roman"/>
      <w:b/>
      <w:sz w:val="21"/>
      <w:szCs w:val="21"/>
    </w:rPr>
  </w:style>
  <w:style w:type="character" w:customStyle="1" w:styleId="272">
    <w:name w:val="*正文 Char"/>
    <w:link w:val="273"/>
    <w:qFormat/>
    <w:uiPriority w:val="0"/>
    <w:rPr>
      <w:rFonts w:ascii="仿宋_GB2312" w:eastAsia="仿宋_GB2312"/>
      <w:kern w:val="2"/>
      <w:sz w:val="24"/>
      <w:szCs w:val="28"/>
      <w:lang w:val="zh-CN"/>
    </w:rPr>
  </w:style>
  <w:style w:type="paragraph" w:customStyle="1" w:styleId="273">
    <w:name w:val="*正文"/>
    <w:basedOn w:val="1"/>
    <w:link w:val="272"/>
    <w:qFormat/>
    <w:uiPriority w:val="0"/>
    <w:pPr>
      <w:widowControl/>
      <w:spacing w:line="360" w:lineRule="auto"/>
      <w:ind w:firstLine="200" w:firstLineChars="200"/>
      <w:jc w:val="left"/>
    </w:pPr>
    <w:rPr>
      <w:rFonts w:ascii="仿宋_GB2312" w:eastAsia="仿宋_GB2312"/>
      <w:sz w:val="24"/>
      <w:szCs w:val="28"/>
      <w:lang w:val="zh-CN"/>
    </w:rPr>
  </w:style>
  <w:style w:type="character" w:customStyle="1" w:styleId="274">
    <w:name w:val="Char Char2"/>
    <w:qFormat/>
    <w:uiPriority w:val="0"/>
    <w:rPr>
      <w:rFonts w:ascii="Arial" w:hAnsi="Arial" w:eastAsia="黑体"/>
      <w:b/>
      <w:bCs/>
      <w:kern w:val="44"/>
      <w:sz w:val="30"/>
      <w:szCs w:val="44"/>
      <w:lang w:val="en-US" w:eastAsia="zh-CN" w:bidi="ar-SA"/>
    </w:rPr>
  </w:style>
  <w:style w:type="character" w:customStyle="1" w:styleId="275">
    <w:name w:val="标题 6 字符"/>
    <w:qFormat/>
    <w:uiPriority w:val="0"/>
    <w:rPr>
      <w:rFonts w:ascii="黑体" w:hAnsi="黑体" w:eastAsia="黑体" w:cs="黑体"/>
      <w:b/>
      <w:bCs/>
      <w:kern w:val="2"/>
      <w:sz w:val="24"/>
      <w:szCs w:val="28"/>
    </w:rPr>
  </w:style>
  <w:style w:type="character" w:customStyle="1" w:styleId="276">
    <w:name w:val="标题 9 Char"/>
    <w:qFormat/>
    <w:uiPriority w:val="0"/>
    <w:rPr>
      <w:rFonts w:ascii="Arial" w:hAnsi="Arial" w:eastAsia="黑体"/>
      <w:b/>
      <w:sz w:val="21"/>
      <w:szCs w:val="32"/>
    </w:rPr>
  </w:style>
  <w:style w:type="character" w:customStyle="1" w:styleId="277">
    <w:name w:val="注释题目"/>
    <w:qFormat/>
    <w:uiPriority w:val="0"/>
    <w:rPr>
      <w:rFonts w:eastAsia="黑体"/>
      <w:sz w:val="28"/>
      <w:u w:val="none"/>
    </w:rPr>
  </w:style>
  <w:style w:type="character" w:customStyle="1" w:styleId="278">
    <w:name w:val="符号正文缩进 Char"/>
    <w:link w:val="279"/>
    <w:qFormat/>
    <w:uiPriority w:val="0"/>
    <w:rPr>
      <w:sz w:val="24"/>
    </w:rPr>
  </w:style>
  <w:style w:type="paragraph" w:customStyle="1" w:styleId="279">
    <w:name w:val="符号正文缩进"/>
    <w:basedOn w:val="18"/>
    <w:link w:val="278"/>
    <w:qFormat/>
    <w:uiPriority w:val="0"/>
    <w:pPr>
      <w:tabs>
        <w:tab w:val="left" w:pos="1497"/>
      </w:tabs>
      <w:spacing w:line="400" w:lineRule="atLeast"/>
      <w:ind w:left="1497" w:hanging="420"/>
    </w:pPr>
    <w:rPr>
      <w:sz w:val="24"/>
    </w:rPr>
  </w:style>
  <w:style w:type="character" w:customStyle="1" w:styleId="280">
    <w:name w:val="标题1"/>
    <w:qFormat/>
    <w:uiPriority w:val="0"/>
  </w:style>
  <w:style w:type="character" w:customStyle="1" w:styleId="281">
    <w:name w:val="blue1"/>
    <w:qFormat/>
    <w:uiPriority w:val="0"/>
    <w:rPr>
      <w:rFonts w:ascii="仿宋_GB2312" w:hAnsi="Tahoma" w:eastAsia="仿宋_GB2312"/>
      <w:b/>
      <w:sz w:val="32"/>
      <w:szCs w:val="32"/>
    </w:rPr>
  </w:style>
  <w:style w:type="character" w:customStyle="1" w:styleId="282">
    <w:name w:val="注释标题 Char2"/>
    <w:semiHidden/>
    <w:qFormat/>
    <w:uiPriority w:val="99"/>
    <w:rPr>
      <w:kern w:val="2"/>
      <w:sz w:val="21"/>
      <w:szCs w:val="24"/>
    </w:rPr>
  </w:style>
  <w:style w:type="character" w:customStyle="1" w:styleId="283">
    <w:name w:val="副标题 Char1"/>
    <w:qFormat/>
    <w:uiPriority w:val="11"/>
    <w:rPr>
      <w:rFonts w:ascii="Cambria" w:hAnsi="Cambria" w:cs="Times New Roman"/>
      <w:b/>
      <w:bCs/>
      <w:kern w:val="28"/>
      <w:sz w:val="32"/>
      <w:szCs w:val="32"/>
    </w:rPr>
  </w:style>
  <w:style w:type="character" w:customStyle="1" w:styleId="284">
    <w:name w:val="栏目标题 Char"/>
    <w:link w:val="285"/>
    <w:qFormat/>
    <w:uiPriority w:val="0"/>
    <w:rPr>
      <w:rFonts w:ascii="黑体" w:hAnsi="黑体" w:eastAsia="黑体"/>
      <w:b/>
      <w:kern w:val="2"/>
      <w:sz w:val="21"/>
      <w:szCs w:val="24"/>
    </w:rPr>
  </w:style>
  <w:style w:type="paragraph" w:customStyle="1" w:styleId="285">
    <w:name w:val="栏目标题"/>
    <w:basedOn w:val="1"/>
    <w:link w:val="284"/>
    <w:qFormat/>
    <w:uiPriority w:val="0"/>
    <w:pPr>
      <w:jc w:val="center"/>
    </w:pPr>
    <w:rPr>
      <w:rFonts w:ascii="黑体" w:hAnsi="黑体" w:eastAsia="黑体"/>
      <w:b/>
    </w:rPr>
  </w:style>
  <w:style w:type="character" w:customStyle="1" w:styleId="286">
    <w:name w:val="编号正文缩进 Char Char"/>
    <w:qFormat/>
    <w:uiPriority w:val="0"/>
    <w:rPr>
      <w:sz w:val="24"/>
    </w:rPr>
  </w:style>
  <w:style w:type="character" w:customStyle="1" w:styleId="287">
    <w:name w:val="日期 Char2"/>
    <w:semiHidden/>
    <w:qFormat/>
    <w:uiPriority w:val="99"/>
    <w:rPr>
      <w:kern w:val="2"/>
      <w:sz w:val="21"/>
      <w:szCs w:val="24"/>
    </w:rPr>
  </w:style>
  <w:style w:type="character" w:customStyle="1" w:styleId="288">
    <w:name w:val="正文文本缩进 3 Char1"/>
    <w:qFormat/>
    <w:uiPriority w:val="0"/>
    <w:rPr>
      <w:rFonts w:ascii="Calibri" w:hAnsi="Calibri" w:cs="黑体"/>
      <w:kern w:val="2"/>
      <w:sz w:val="16"/>
      <w:szCs w:val="16"/>
    </w:rPr>
  </w:style>
  <w:style w:type="character" w:customStyle="1" w:styleId="289">
    <w:name w:val="批注主题 Char2"/>
    <w:semiHidden/>
    <w:qFormat/>
    <w:uiPriority w:val="99"/>
    <w:rPr>
      <w:b/>
      <w:bCs/>
      <w:kern w:val="2"/>
      <w:sz w:val="21"/>
      <w:szCs w:val="24"/>
    </w:rPr>
  </w:style>
  <w:style w:type="character" w:customStyle="1" w:styleId="290">
    <w:name w:val="普通(网站) Char"/>
    <w:qFormat/>
    <w:uiPriority w:val="99"/>
    <w:rPr>
      <w:rFonts w:ascii="宋体" w:hAnsi="宋体"/>
      <w:color w:val="000000"/>
      <w:sz w:val="24"/>
      <w:szCs w:val="24"/>
    </w:rPr>
  </w:style>
  <w:style w:type="character" w:customStyle="1" w:styleId="291">
    <w:name w:val="1.1.1.1.1 Char"/>
    <w:link w:val="292"/>
    <w:qFormat/>
    <w:uiPriority w:val="0"/>
    <w:rPr>
      <w:rFonts w:ascii="Arial" w:hAnsi="Arial" w:eastAsia="黑体"/>
      <w:b/>
      <w:bCs/>
      <w:kern w:val="2"/>
      <w:sz w:val="24"/>
      <w:szCs w:val="28"/>
    </w:rPr>
  </w:style>
  <w:style w:type="paragraph" w:customStyle="1" w:styleId="292">
    <w:name w:val="1.1.1.1.1"/>
    <w:basedOn w:val="138"/>
    <w:next w:val="18"/>
    <w:link w:val="291"/>
    <w:qFormat/>
    <w:uiPriority w:val="0"/>
    <w:pPr>
      <w:keepLines/>
      <w:spacing w:before="240" w:after="240" w:line="377" w:lineRule="auto"/>
      <w:ind w:left="420" w:firstLine="0" w:firstLineChars="0"/>
      <w:outlineLvl w:val="4"/>
    </w:pPr>
    <w:rPr>
      <w:rFonts w:ascii="Arial" w:hAnsi="Arial" w:eastAsia="黑体"/>
      <w:bCs/>
      <w:sz w:val="24"/>
      <w:szCs w:val="28"/>
    </w:rPr>
  </w:style>
  <w:style w:type="character" w:customStyle="1" w:styleId="293">
    <w:name w:val="图片题注 Char"/>
    <w:link w:val="294"/>
    <w:qFormat/>
    <w:uiPriority w:val="0"/>
    <w:rPr>
      <w:rFonts w:ascii="Calibri Light" w:hAnsi="Calibri Light" w:eastAsia="黑体" w:cs="黑体"/>
      <w:bCs/>
      <w:kern w:val="2"/>
    </w:rPr>
  </w:style>
  <w:style w:type="paragraph" w:customStyle="1" w:styleId="294">
    <w:name w:val="图片题注"/>
    <w:basedOn w:val="19"/>
    <w:link w:val="293"/>
    <w:qFormat/>
    <w:uiPriority w:val="0"/>
    <w:pPr>
      <w:autoSpaceDE/>
      <w:autoSpaceDN/>
      <w:adjustRightInd/>
      <w:spacing w:line="360" w:lineRule="auto"/>
      <w:jc w:val="center"/>
    </w:pPr>
    <w:rPr>
      <w:rFonts w:ascii="Calibri Light" w:hAnsi="Calibri Light"/>
      <w:bCs/>
      <w:kern w:val="2"/>
    </w:rPr>
  </w:style>
  <w:style w:type="character" w:customStyle="1" w:styleId="295">
    <w:name w:val="正文文本缩进 2 Char1"/>
    <w:qFormat/>
    <w:uiPriority w:val="0"/>
    <w:rPr>
      <w:kern w:val="2"/>
      <w:sz w:val="21"/>
      <w:szCs w:val="24"/>
    </w:rPr>
  </w:style>
  <w:style w:type="character" w:customStyle="1" w:styleId="296">
    <w:name w:val="Char Char1"/>
    <w:qFormat/>
    <w:uiPriority w:val="0"/>
    <w:rPr>
      <w:rFonts w:ascii="宋体" w:hAnsi="Courier New" w:eastAsia="宋体"/>
      <w:kern w:val="2"/>
      <w:sz w:val="21"/>
      <w:lang w:val="en-US" w:eastAsia="zh-CN" w:bidi="ar-SA"/>
    </w:rPr>
  </w:style>
  <w:style w:type="character" w:styleId="297">
    <w:name w:val="Placeholder Text"/>
    <w:semiHidden/>
    <w:qFormat/>
    <w:uiPriority w:val="99"/>
    <w:rPr>
      <w:color w:val="808080"/>
    </w:rPr>
  </w:style>
  <w:style w:type="character" w:customStyle="1" w:styleId="298">
    <w:name w:val="签名 Char"/>
    <w:qFormat/>
    <w:uiPriority w:val="0"/>
    <w:rPr>
      <w:rFonts w:ascii="Tahoma" w:hAnsi="Tahoma" w:eastAsia="仿宋_GB2312"/>
      <w:sz w:val="24"/>
    </w:rPr>
  </w:style>
  <w:style w:type="character" w:customStyle="1" w:styleId="299">
    <w:name w:val="标题 4 Char1"/>
    <w:qFormat/>
    <w:uiPriority w:val="0"/>
    <w:rPr>
      <w:rFonts w:ascii="Cambria" w:hAnsi="Cambria"/>
      <w:b/>
      <w:bCs/>
      <w:kern w:val="2"/>
      <w:sz w:val="28"/>
      <w:szCs w:val="28"/>
    </w:rPr>
  </w:style>
  <w:style w:type="character" w:customStyle="1" w:styleId="300">
    <w:name w:val="文档结构图 Char2"/>
    <w:semiHidden/>
    <w:qFormat/>
    <w:uiPriority w:val="0"/>
    <w:rPr>
      <w:rFonts w:ascii="Microsoft YaHei UI" w:eastAsia="Microsoft YaHei UI"/>
      <w:sz w:val="18"/>
      <w:szCs w:val="18"/>
    </w:rPr>
  </w:style>
  <w:style w:type="character" w:customStyle="1" w:styleId="301">
    <w:name w:val="font31"/>
    <w:qFormat/>
    <w:uiPriority w:val="0"/>
    <w:rPr>
      <w:rFonts w:hint="eastAsia" w:ascii="宋体" w:hAnsi="宋体" w:eastAsia="宋体" w:cs="宋体"/>
      <w:color w:val="000000"/>
      <w:sz w:val="20"/>
      <w:szCs w:val="20"/>
      <w:u w:val="none"/>
    </w:rPr>
  </w:style>
  <w:style w:type="character" w:customStyle="1" w:styleId="302">
    <w:name w:val="哈哈正文 Char"/>
    <w:link w:val="303"/>
    <w:qFormat/>
    <w:uiPriority w:val="0"/>
    <w:rPr>
      <w:rFonts w:ascii="宋体" w:hAnsi="宋体" w:cs="宋体"/>
      <w:kern w:val="2"/>
      <w:sz w:val="24"/>
    </w:rPr>
  </w:style>
  <w:style w:type="paragraph" w:customStyle="1" w:styleId="303">
    <w:name w:val="哈哈正文"/>
    <w:basedOn w:val="1"/>
    <w:link w:val="302"/>
    <w:qFormat/>
    <w:uiPriority w:val="0"/>
    <w:pPr>
      <w:spacing w:line="360" w:lineRule="auto"/>
      <w:ind w:firstLine="200" w:firstLineChars="200"/>
    </w:pPr>
    <w:rPr>
      <w:rFonts w:ascii="宋体" w:hAnsi="宋体"/>
      <w:sz w:val="24"/>
      <w:szCs w:val="20"/>
    </w:rPr>
  </w:style>
  <w:style w:type="character" w:customStyle="1" w:styleId="304">
    <w:name w:val="明显引用 Char"/>
    <w:link w:val="305"/>
    <w:qFormat/>
    <w:uiPriority w:val="0"/>
    <w:rPr>
      <w:rFonts w:ascii="Calibri" w:hAnsi="Calibri"/>
      <w:b/>
      <w:bCs/>
      <w:i/>
      <w:iCs/>
      <w:color w:val="4F81BD"/>
      <w:sz w:val="32"/>
      <w:szCs w:val="32"/>
    </w:rPr>
  </w:style>
  <w:style w:type="paragraph" w:customStyle="1" w:styleId="305">
    <w:name w:val="明显引用1"/>
    <w:basedOn w:val="1"/>
    <w:next w:val="1"/>
    <w:link w:val="304"/>
    <w:qFormat/>
    <w:uiPriority w:val="0"/>
    <w:pPr>
      <w:pBdr>
        <w:bottom w:val="single" w:color="4F81BD" w:sz="4" w:space="4"/>
      </w:pBdr>
      <w:spacing w:before="200" w:after="280"/>
      <w:ind w:left="936" w:right="936"/>
    </w:pPr>
    <w:rPr>
      <w:rFonts w:ascii="Calibri" w:hAnsi="Calibri"/>
      <w:b/>
      <w:bCs/>
      <w:i/>
      <w:iCs/>
      <w:color w:val="4F81BD"/>
      <w:kern w:val="0"/>
      <w:sz w:val="32"/>
      <w:szCs w:val="32"/>
    </w:rPr>
  </w:style>
  <w:style w:type="character" w:customStyle="1" w:styleId="306">
    <w:name w:val="表格 Char"/>
    <w:qFormat/>
    <w:uiPriority w:val="0"/>
    <w:rPr>
      <w:rFonts w:ascii="Calibri" w:hAnsi="Calibri" w:cs="黑体"/>
      <w:kern w:val="2"/>
      <w:sz w:val="21"/>
      <w:szCs w:val="21"/>
    </w:rPr>
  </w:style>
  <w:style w:type="character" w:customStyle="1" w:styleId="307">
    <w:name w:val="111 Char"/>
    <w:link w:val="308"/>
    <w:qFormat/>
    <w:uiPriority w:val="0"/>
    <w:rPr>
      <w:kern w:val="2"/>
    </w:rPr>
  </w:style>
  <w:style w:type="paragraph" w:customStyle="1" w:styleId="308">
    <w:name w:val="111"/>
    <w:basedOn w:val="261"/>
    <w:link w:val="307"/>
    <w:qFormat/>
    <w:uiPriority w:val="0"/>
    <w:pPr>
      <w:ind w:left="900" w:firstLine="0" w:firstLineChars="0"/>
    </w:pPr>
  </w:style>
  <w:style w:type="character" w:customStyle="1" w:styleId="309">
    <w:name w:val="标题 1 Char"/>
    <w:qFormat/>
    <w:uiPriority w:val="0"/>
    <w:rPr>
      <w:rFonts w:eastAsia="宋体"/>
      <w:b/>
      <w:bCs/>
      <w:kern w:val="44"/>
      <w:sz w:val="44"/>
      <w:szCs w:val="44"/>
      <w:lang w:val="en-US" w:eastAsia="zh-CN" w:bidi="ar-SA"/>
    </w:rPr>
  </w:style>
  <w:style w:type="character" w:customStyle="1" w:styleId="310">
    <w:name w:val="Char Char17"/>
    <w:qFormat/>
    <w:uiPriority w:val="0"/>
    <w:rPr>
      <w:rFonts w:ascii="Cambria" w:hAnsi="Cambria" w:eastAsia="仿宋_GB2312"/>
      <w:b/>
      <w:bCs/>
      <w:kern w:val="2"/>
      <w:sz w:val="28"/>
      <w:szCs w:val="28"/>
    </w:rPr>
  </w:style>
  <w:style w:type="character" w:customStyle="1" w:styleId="311">
    <w:name w:val="me04"/>
    <w:qFormat/>
    <w:uiPriority w:val="0"/>
    <w:rPr>
      <w:rFonts w:ascii="仿宋_GB2312" w:hAnsi="Tahoma" w:eastAsia="仿宋_GB2312"/>
      <w:b/>
      <w:sz w:val="32"/>
      <w:szCs w:val="32"/>
    </w:rPr>
  </w:style>
  <w:style w:type="character" w:customStyle="1" w:styleId="312">
    <w:name w:val="无间隔 Char"/>
    <w:link w:val="313"/>
    <w:qFormat/>
    <w:uiPriority w:val="0"/>
    <w:rPr>
      <w:sz w:val="22"/>
      <w:szCs w:val="22"/>
      <w:lang w:val="en-US" w:eastAsia="zh-CN" w:bidi="ar-SA"/>
    </w:rPr>
  </w:style>
  <w:style w:type="paragraph" w:customStyle="1" w:styleId="313">
    <w:name w:val="无间隔1"/>
    <w:link w:val="312"/>
    <w:qFormat/>
    <w:uiPriority w:val="0"/>
    <w:rPr>
      <w:rFonts w:ascii="Times New Roman" w:hAnsi="Times New Roman" w:eastAsia="宋体" w:cs="Times New Roman"/>
      <w:sz w:val="22"/>
      <w:szCs w:val="22"/>
      <w:lang w:val="en-US" w:eastAsia="zh-CN" w:bidi="ar-SA"/>
    </w:rPr>
  </w:style>
  <w:style w:type="character" w:customStyle="1" w:styleId="314">
    <w:name w:val="标题 Char"/>
    <w:qFormat/>
    <w:uiPriority w:val="0"/>
    <w:rPr>
      <w:rFonts w:ascii="宋体,Verdana,Arial" w:hAnsi="宋体,Verdana,Arial" w:eastAsia="Cambria"/>
      <w:b/>
      <w:bCs/>
      <w:sz w:val="32"/>
      <w:szCs w:val="32"/>
    </w:rPr>
  </w:style>
  <w:style w:type="character" w:customStyle="1" w:styleId="315">
    <w:name w:val="font12"/>
    <w:qFormat/>
    <w:uiPriority w:val="0"/>
    <w:rPr>
      <w:rFonts w:hint="eastAsia" w:ascii="宋体" w:hAnsi="宋体" w:eastAsia="宋体" w:cs="宋体"/>
      <w:color w:val="000000"/>
      <w:sz w:val="20"/>
      <w:szCs w:val="20"/>
      <w:u w:val="none"/>
    </w:rPr>
  </w:style>
  <w:style w:type="character" w:customStyle="1" w:styleId="316">
    <w:name w:val="纯文本 Char1"/>
    <w:qFormat/>
    <w:uiPriority w:val="0"/>
    <w:rPr>
      <w:rFonts w:ascii="宋体" w:hAnsi="Courier New"/>
      <w:kern w:val="2"/>
      <w:sz w:val="21"/>
    </w:rPr>
  </w:style>
  <w:style w:type="character" w:customStyle="1" w:styleId="317">
    <w:name w:val="Char Char61"/>
    <w:qFormat/>
    <w:uiPriority w:val="0"/>
    <w:rPr>
      <w:rFonts w:ascii="Times New Roman" w:hAnsi="Times New Roman" w:eastAsia="宋体" w:cs="Times New Roman"/>
      <w:szCs w:val="24"/>
    </w:rPr>
  </w:style>
  <w:style w:type="character" w:customStyle="1" w:styleId="318">
    <w:name w:val="正文1 Char Char"/>
    <w:link w:val="319"/>
    <w:qFormat/>
    <w:uiPriority w:val="0"/>
    <w:rPr>
      <w:rFonts w:ascii="宋体" w:hAnsi="宋体" w:cs="宋体"/>
      <w:b/>
      <w:sz w:val="21"/>
      <w:szCs w:val="32"/>
    </w:rPr>
  </w:style>
  <w:style w:type="paragraph" w:customStyle="1" w:styleId="319">
    <w:name w:val="正文1"/>
    <w:basedOn w:val="1"/>
    <w:link w:val="318"/>
    <w:qFormat/>
    <w:uiPriority w:val="0"/>
    <w:pPr>
      <w:widowControl/>
      <w:spacing w:line="360" w:lineRule="auto"/>
      <w:ind w:left="360" w:firstLine="420"/>
      <w:jc w:val="left"/>
    </w:pPr>
    <w:rPr>
      <w:rFonts w:ascii="宋体" w:hAnsi="宋体"/>
      <w:b/>
      <w:kern w:val="0"/>
      <w:szCs w:val="32"/>
    </w:rPr>
  </w:style>
  <w:style w:type="character" w:customStyle="1" w:styleId="320">
    <w:name w:val="box-header-con"/>
    <w:qFormat/>
    <w:uiPriority w:val="0"/>
  </w:style>
  <w:style w:type="character" w:customStyle="1" w:styleId="321">
    <w:name w:val="Style3"/>
    <w:qFormat/>
    <w:uiPriority w:val="0"/>
    <w:rPr>
      <w:rFonts w:ascii="Calibri" w:hAnsi="宋体" w:eastAsia="宋体" w:cs="Times New Roman"/>
      <w:szCs w:val="22"/>
      <w:lang w:eastAsia="zh-CN"/>
    </w:rPr>
  </w:style>
  <w:style w:type="character" w:customStyle="1" w:styleId="322">
    <w:name w:val="正文文本 Char1"/>
    <w:qFormat/>
    <w:uiPriority w:val="0"/>
    <w:rPr>
      <w:rFonts w:ascii="Tahoma" w:hAnsi="Tahoma"/>
      <w:kern w:val="2"/>
      <w:sz w:val="21"/>
      <w:szCs w:val="24"/>
    </w:rPr>
  </w:style>
  <w:style w:type="character" w:customStyle="1" w:styleId="323">
    <w:name w:val="smalltxt1"/>
    <w:qFormat/>
    <w:uiPriority w:val="0"/>
    <w:rPr>
      <w:rFonts w:hint="default" w:ascii="ˎ̥" w:hAnsi="ˎ̥" w:eastAsia="仿宋_GB2312"/>
      <w:b/>
      <w:sz w:val="24"/>
      <w:szCs w:val="24"/>
    </w:rPr>
  </w:style>
  <w:style w:type="character" w:customStyle="1" w:styleId="324">
    <w:name w:val="正文00 Char"/>
    <w:link w:val="325"/>
    <w:qFormat/>
    <w:uiPriority w:val="0"/>
    <w:rPr>
      <w:rFonts w:ascii="宋体" w:hAnsi="宋体"/>
      <w:kern w:val="2"/>
      <w:sz w:val="24"/>
      <w:szCs w:val="24"/>
    </w:rPr>
  </w:style>
  <w:style w:type="paragraph" w:customStyle="1" w:styleId="325">
    <w:name w:val="正文00"/>
    <w:basedOn w:val="1"/>
    <w:link w:val="324"/>
    <w:qFormat/>
    <w:uiPriority w:val="0"/>
    <w:pPr>
      <w:spacing w:line="360" w:lineRule="auto"/>
      <w:ind w:firstLine="480" w:firstLineChars="200"/>
    </w:pPr>
    <w:rPr>
      <w:rFonts w:ascii="宋体" w:hAnsi="宋体"/>
      <w:sz w:val="24"/>
    </w:rPr>
  </w:style>
  <w:style w:type="character" w:customStyle="1" w:styleId="326">
    <w:name w:val="aaaaaaaaaaaaaa Char Char"/>
    <w:link w:val="327"/>
    <w:qFormat/>
    <w:uiPriority w:val="0"/>
    <w:rPr>
      <w:kern w:val="2"/>
    </w:rPr>
  </w:style>
  <w:style w:type="paragraph" w:customStyle="1" w:styleId="327">
    <w:name w:val="aaaaaaaaaaaaaa"/>
    <w:basedOn w:val="1"/>
    <w:link w:val="326"/>
    <w:qFormat/>
    <w:uiPriority w:val="0"/>
    <w:pPr>
      <w:spacing w:line="360" w:lineRule="auto"/>
      <w:ind w:firstLine="485" w:firstLineChars="202"/>
    </w:pPr>
    <w:rPr>
      <w:sz w:val="20"/>
      <w:szCs w:val="20"/>
    </w:rPr>
  </w:style>
  <w:style w:type="character" w:customStyle="1" w:styleId="328">
    <w:name w:val="正文文本缩进 2 Char"/>
    <w:qFormat/>
    <w:uiPriority w:val="0"/>
    <w:rPr>
      <w:kern w:val="2"/>
      <w:sz w:val="21"/>
      <w:szCs w:val="24"/>
    </w:rPr>
  </w:style>
  <w:style w:type="character" w:customStyle="1" w:styleId="329">
    <w:name w:val="正文首行缩进 2 Char3"/>
    <w:semiHidden/>
    <w:qFormat/>
    <w:uiPriority w:val="99"/>
  </w:style>
  <w:style w:type="character" w:customStyle="1" w:styleId="330">
    <w:name w:val="正文文本缩进 Char1"/>
    <w:semiHidden/>
    <w:qFormat/>
    <w:uiPriority w:val="99"/>
    <w:rPr>
      <w:kern w:val="2"/>
      <w:sz w:val="21"/>
      <w:szCs w:val="24"/>
    </w:rPr>
  </w:style>
  <w:style w:type="character" w:customStyle="1" w:styleId="331">
    <w:name w:val="HTML 预设格式 Char"/>
    <w:qFormat/>
    <w:uiPriority w:val="0"/>
    <w:rPr>
      <w:rFonts w:ascii="微软雅黑" w:hAnsi="微软雅黑" w:eastAsia="微软雅黑"/>
      <w:sz w:val="24"/>
      <w:szCs w:val="24"/>
    </w:rPr>
  </w:style>
  <w:style w:type="character" w:customStyle="1" w:styleId="332">
    <w:name w:val="zbggmain style9"/>
    <w:qFormat/>
    <w:uiPriority w:val="0"/>
    <w:rPr>
      <w:szCs w:val="20"/>
    </w:rPr>
  </w:style>
  <w:style w:type="character" w:customStyle="1" w:styleId="333">
    <w:name w:val="num"/>
    <w:qFormat/>
    <w:uiPriority w:val="0"/>
    <w:rPr>
      <w:b/>
      <w:color w:val="FF7800"/>
      <w:szCs w:val="20"/>
    </w:rPr>
  </w:style>
  <w:style w:type="character" w:customStyle="1" w:styleId="334">
    <w:name w:val="批注框文本 Char1"/>
    <w:semiHidden/>
    <w:qFormat/>
    <w:locked/>
    <w:uiPriority w:val="99"/>
    <w:rPr>
      <w:rFonts w:hint="eastAsia" w:ascii="Heiti SC Light" w:hAnsi="宋体" w:eastAsia="Heiti SC Light" w:cs="Times New Roman"/>
      <w:sz w:val="18"/>
      <w:szCs w:val="18"/>
    </w:rPr>
  </w:style>
  <w:style w:type="character" w:customStyle="1" w:styleId="335">
    <w:name w:val="标题 2 Char"/>
    <w:qFormat/>
    <w:uiPriority w:val="0"/>
    <w:rPr>
      <w:rFonts w:ascii="Arial" w:hAnsi="Arial" w:eastAsia="黑体"/>
      <w:b/>
      <w:bCs/>
      <w:kern w:val="2"/>
      <w:sz w:val="32"/>
      <w:szCs w:val="32"/>
      <w:lang w:val="en-US" w:eastAsia="zh-CN" w:bidi="ar-SA"/>
    </w:rPr>
  </w:style>
  <w:style w:type="character" w:customStyle="1" w:styleId="336">
    <w:name w:val="注释标题 Char1"/>
    <w:qFormat/>
    <w:uiPriority w:val="0"/>
    <w:rPr>
      <w:kern w:val="2"/>
      <w:sz w:val="21"/>
      <w:szCs w:val="24"/>
    </w:rPr>
  </w:style>
  <w:style w:type="character" w:customStyle="1" w:styleId="337">
    <w:name w:val="headline-content"/>
    <w:qFormat/>
    <w:uiPriority w:val="0"/>
  </w:style>
  <w:style w:type="character" w:customStyle="1" w:styleId="338">
    <w:name w:val="hover30"/>
    <w:qFormat/>
    <w:uiPriority w:val="0"/>
    <w:rPr>
      <w:szCs w:val="20"/>
    </w:rPr>
  </w:style>
  <w:style w:type="character" w:customStyle="1" w:styleId="339">
    <w:name w:val="大标题 Char"/>
    <w:link w:val="340"/>
    <w:qFormat/>
    <w:uiPriority w:val="0"/>
    <w:rPr>
      <w:rFonts w:ascii="黑体" w:hAnsi="黑体" w:eastAsia="黑体"/>
      <w:b/>
      <w:bCs/>
      <w:kern w:val="2"/>
      <w:sz w:val="72"/>
      <w:szCs w:val="72"/>
    </w:rPr>
  </w:style>
  <w:style w:type="paragraph" w:customStyle="1" w:styleId="340">
    <w:name w:val="大标题"/>
    <w:basedOn w:val="1"/>
    <w:link w:val="339"/>
    <w:qFormat/>
    <w:uiPriority w:val="0"/>
    <w:pPr>
      <w:spacing w:line="40" w:lineRule="atLeast"/>
    </w:pPr>
    <w:rPr>
      <w:rFonts w:ascii="黑体" w:hAnsi="黑体" w:eastAsia="黑体"/>
      <w:b/>
      <w:bCs/>
      <w:sz w:val="72"/>
      <w:szCs w:val="72"/>
    </w:rPr>
  </w:style>
  <w:style w:type="character" w:customStyle="1" w:styleId="341">
    <w:name w:val="页眉注释 Char"/>
    <w:link w:val="342"/>
    <w:qFormat/>
    <w:uiPriority w:val="0"/>
    <w:rPr>
      <w:rFonts w:ascii="华文细黑" w:hAnsi="华文细黑" w:eastAsia="华文细黑"/>
      <w:b/>
      <w:color w:val="FFFFFF"/>
      <w:kern w:val="2"/>
      <w:sz w:val="18"/>
      <w:szCs w:val="18"/>
    </w:rPr>
  </w:style>
  <w:style w:type="paragraph" w:customStyle="1" w:styleId="342">
    <w:name w:val="页眉注释"/>
    <w:basedOn w:val="1"/>
    <w:link w:val="341"/>
    <w:qFormat/>
    <w:uiPriority w:val="0"/>
    <w:pPr>
      <w:spacing w:line="0" w:lineRule="atLeast"/>
      <w:jc w:val="center"/>
    </w:pPr>
    <w:rPr>
      <w:rFonts w:ascii="华文细黑" w:hAnsi="华文细黑" w:eastAsia="华文细黑"/>
      <w:b/>
      <w:color w:val="FFFFFF"/>
      <w:sz w:val="18"/>
      <w:szCs w:val="18"/>
    </w:rPr>
  </w:style>
  <w:style w:type="character" w:customStyle="1" w:styleId="343">
    <w:name w:val="日期 Char1"/>
    <w:qFormat/>
    <w:uiPriority w:val="0"/>
    <w:rPr>
      <w:rFonts w:ascii="Calibri" w:hAnsi="Calibri" w:cs="黑体"/>
      <w:kern w:val="2"/>
      <w:sz w:val="24"/>
      <w:szCs w:val="22"/>
    </w:rPr>
  </w:style>
  <w:style w:type="character" w:customStyle="1" w:styleId="344">
    <w:name w:val="Char Char18"/>
    <w:qFormat/>
    <w:uiPriority w:val="0"/>
    <w:rPr>
      <w:rFonts w:ascii="仿宋_GB2312" w:eastAsia="仿宋_GB2312"/>
      <w:b/>
      <w:bCs/>
      <w:kern w:val="2"/>
      <w:sz w:val="32"/>
      <w:szCs w:val="32"/>
    </w:rPr>
  </w:style>
  <w:style w:type="character" w:customStyle="1" w:styleId="345">
    <w:name w:val="样式1 Char"/>
    <w:link w:val="346"/>
    <w:qFormat/>
    <w:uiPriority w:val="0"/>
    <w:rPr>
      <w:rFonts w:ascii="宋体" w:hAnsi="宋体"/>
      <w:kern w:val="2"/>
      <w:sz w:val="21"/>
      <w:szCs w:val="21"/>
    </w:rPr>
  </w:style>
  <w:style w:type="paragraph" w:customStyle="1" w:styleId="346">
    <w:name w:val="样式1"/>
    <w:basedOn w:val="1"/>
    <w:next w:val="9"/>
    <w:link w:val="345"/>
    <w:qFormat/>
    <w:uiPriority w:val="0"/>
    <w:pPr>
      <w:spacing w:line="360" w:lineRule="auto"/>
      <w:ind w:firstLine="420" w:firstLineChars="200"/>
    </w:pPr>
    <w:rPr>
      <w:rFonts w:ascii="宋体" w:hAnsi="宋体"/>
      <w:szCs w:val="21"/>
    </w:rPr>
  </w:style>
  <w:style w:type="character" w:customStyle="1" w:styleId="347">
    <w:name w:val="font01"/>
    <w:qFormat/>
    <w:uiPriority w:val="0"/>
    <w:rPr>
      <w:rFonts w:hint="eastAsia" w:ascii="宋体" w:hAnsi="宋体" w:eastAsia="宋体" w:cs="宋体"/>
      <w:color w:val="000000"/>
      <w:sz w:val="22"/>
      <w:szCs w:val="22"/>
      <w:u w:val="none"/>
    </w:rPr>
  </w:style>
  <w:style w:type="character" w:customStyle="1" w:styleId="348">
    <w:name w:val="正文缩进 Char2"/>
    <w:qFormat/>
    <w:uiPriority w:val="0"/>
    <w:rPr>
      <w:rFonts w:ascii="Tahoma" w:hAnsi="Tahoma" w:eastAsia="宋体"/>
      <w:b/>
      <w:bCs/>
      <w:kern w:val="2"/>
      <w:sz w:val="24"/>
      <w:szCs w:val="24"/>
      <w:lang w:val="en-US" w:eastAsia="zh-CN" w:bidi="ar-SA"/>
    </w:rPr>
  </w:style>
  <w:style w:type="character" w:customStyle="1" w:styleId="349">
    <w:name w:val="页眉 Char2"/>
    <w:semiHidden/>
    <w:qFormat/>
    <w:uiPriority w:val="99"/>
    <w:rPr>
      <w:kern w:val="2"/>
      <w:sz w:val="18"/>
      <w:szCs w:val="18"/>
    </w:rPr>
  </w:style>
  <w:style w:type="character" w:customStyle="1" w:styleId="350">
    <w:name w:val="标题 Char2"/>
    <w:qFormat/>
    <w:uiPriority w:val="10"/>
    <w:rPr>
      <w:rFonts w:ascii="Cambria" w:hAnsi="Cambria" w:cs="Times New Roman"/>
      <w:b/>
      <w:bCs/>
      <w:kern w:val="2"/>
      <w:sz w:val="32"/>
      <w:szCs w:val="32"/>
    </w:rPr>
  </w:style>
  <w:style w:type="character" w:customStyle="1" w:styleId="351">
    <w:name w:val="标题 5 Char"/>
    <w:qFormat/>
    <w:uiPriority w:val="0"/>
    <w:rPr>
      <w:rFonts w:ascii="仿宋_GB2312" w:hAnsi="Tahoma"/>
      <w:b/>
      <w:bCs/>
      <w:kern w:val="2"/>
      <w:sz w:val="28"/>
      <w:szCs w:val="28"/>
    </w:rPr>
  </w:style>
  <w:style w:type="character" w:customStyle="1" w:styleId="352">
    <w:name w:val="表格标题 Char"/>
    <w:link w:val="353"/>
    <w:qFormat/>
    <w:uiPriority w:val="0"/>
    <w:rPr>
      <w:rFonts w:ascii="黑体" w:hAnsi="黑体" w:eastAsia="黑体"/>
      <w:b/>
      <w:color w:val="FFFFFF"/>
      <w:kern w:val="2"/>
      <w:sz w:val="21"/>
      <w:szCs w:val="24"/>
    </w:rPr>
  </w:style>
  <w:style w:type="paragraph" w:customStyle="1" w:styleId="353">
    <w:name w:val="表格标题"/>
    <w:basedOn w:val="1"/>
    <w:link w:val="352"/>
    <w:qFormat/>
    <w:uiPriority w:val="0"/>
    <w:rPr>
      <w:rFonts w:ascii="黑体" w:hAnsi="黑体" w:eastAsia="黑体"/>
      <w:b/>
      <w:color w:val="FFFFFF"/>
    </w:rPr>
  </w:style>
  <w:style w:type="character" w:customStyle="1" w:styleId="354">
    <w:name w:val="red1"/>
    <w:qFormat/>
    <w:uiPriority w:val="0"/>
    <w:rPr>
      <w:color w:val="FF0000"/>
      <w:szCs w:val="20"/>
    </w:rPr>
  </w:style>
  <w:style w:type="character" w:customStyle="1" w:styleId="355">
    <w:name w:val="legend"/>
    <w:qFormat/>
    <w:uiPriority w:val="0"/>
    <w:rPr>
      <w:rFonts w:ascii="Arial" w:hAnsi="Arial" w:cs="Arial"/>
      <w:b/>
      <w:color w:val="73B304"/>
      <w:sz w:val="16"/>
      <w:szCs w:val="16"/>
      <w:shd w:val="clear" w:color="auto" w:fill="FFFFFF"/>
    </w:rPr>
  </w:style>
  <w:style w:type="character" w:customStyle="1" w:styleId="356">
    <w:name w:val="update"/>
    <w:qFormat/>
    <w:uiPriority w:val="0"/>
    <w:rPr>
      <w:szCs w:val="20"/>
    </w:rPr>
  </w:style>
  <w:style w:type="character" w:customStyle="1" w:styleId="357">
    <w:name w:val="A3"/>
    <w:qFormat/>
    <w:uiPriority w:val="0"/>
    <w:rPr>
      <w:rFonts w:ascii="ZapfDingbatsNr2EFOP-Regular" w:eastAsia="ZapfDingbatsNr2EFOP-Regular" w:cs="ZapfDingbatsNr2EFOP-Regular"/>
      <w:color w:val="211D1E"/>
      <w:sz w:val="14"/>
      <w:szCs w:val="14"/>
    </w:rPr>
  </w:style>
  <w:style w:type="character" w:customStyle="1" w:styleId="358">
    <w:name w:val="heading 2 Char1"/>
    <w:qFormat/>
    <w:uiPriority w:val="0"/>
    <w:rPr>
      <w:rFonts w:ascii="Cambria" w:hAnsi="Cambria" w:eastAsia="宋体"/>
      <w:b/>
      <w:bCs/>
      <w:kern w:val="2"/>
      <w:sz w:val="32"/>
      <w:szCs w:val="32"/>
      <w:lang w:val="en-US" w:eastAsia="zh-CN" w:bidi="ar-SA"/>
    </w:rPr>
  </w:style>
  <w:style w:type="character" w:customStyle="1" w:styleId="359">
    <w:name w:val="font11"/>
    <w:qFormat/>
    <w:uiPriority w:val="0"/>
    <w:rPr>
      <w:rFonts w:hint="eastAsia" w:ascii="宋体" w:hAnsi="宋体" w:eastAsia="宋体" w:cs="宋体"/>
      <w:color w:val="000000"/>
      <w:sz w:val="20"/>
      <w:szCs w:val="20"/>
      <w:u w:val="none"/>
      <w:vertAlign w:val="superscript"/>
    </w:rPr>
  </w:style>
  <w:style w:type="character" w:customStyle="1" w:styleId="360">
    <w:name w:val="PI Char"/>
    <w:qFormat/>
    <w:uiPriority w:val="0"/>
    <w:rPr>
      <w:rFonts w:ascii="宋体" w:hAnsi="宋体" w:eastAsia="仿宋_GB2312"/>
      <w:b/>
      <w:sz w:val="24"/>
      <w:szCs w:val="32"/>
    </w:rPr>
  </w:style>
  <w:style w:type="character" w:customStyle="1" w:styleId="361">
    <w:name w:val="Heading 2 Hidden Char1 Char"/>
    <w:qFormat/>
    <w:uiPriority w:val="0"/>
    <w:rPr>
      <w:rFonts w:ascii="宋体" w:hAnsi="Times New Roman" w:eastAsia="宋体" w:cs="Times New Roman"/>
      <w:kern w:val="0"/>
      <w:sz w:val="24"/>
      <w:szCs w:val="24"/>
    </w:rPr>
  </w:style>
  <w:style w:type="character" w:customStyle="1" w:styleId="362">
    <w:name w:val="题注(图注) Char"/>
    <w:qFormat/>
    <w:uiPriority w:val="0"/>
    <w:rPr>
      <w:rFonts w:ascii="Arial Unicode MS" w:hAnsi="Arial Unicode MS" w:eastAsia="宋体" w:cs="宋体"/>
      <w:szCs w:val="20"/>
      <w:lang w:val="en-US" w:eastAsia="zh-CN"/>
    </w:rPr>
  </w:style>
  <w:style w:type="character" w:customStyle="1" w:styleId="363">
    <w:name w:val="批注主题 Char"/>
    <w:qFormat/>
    <w:uiPriority w:val="99"/>
    <w:rPr>
      <w:rFonts w:eastAsia="宋体"/>
      <w:b/>
      <w:bCs/>
      <w:kern w:val="2"/>
      <w:sz w:val="21"/>
      <w:szCs w:val="24"/>
      <w:lang w:val="en-US" w:eastAsia="zh-CN" w:bidi="ar-SA"/>
    </w:rPr>
  </w:style>
  <w:style w:type="character" w:customStyle="1" w:styleId="364">
    <w:name w:val="Char Char22"/>
    <w:qFormat/>
    <w:uiPriority w:val="0"/>
    <w:rPr>
      <w:rFonts w:ascii="Arial" w:hAnsi="Arial" w:eastAsia="黑体"/>
      <w:b/>
      <w:bCs/>
      <w:kern w:val="44"/>
      <w:sz w:val="30"/>
      <w:szCs w:val="44"/>
      <w:lang w:val="en-US" w:eastAsia="zh-CN" w:bidi="ar-SA"/>
    </w:rPr>
  </w:style>
  <w:style w:type="character" w:customStyle="1" w:styleId="365">
    <w:name w:val="批注文字 Char"/>
    <w:qFormat/>
    <w:uiPriority w:val="0"/>
    <w:rPr>
      <w:rFonts w:eastAsia="宋体"/>
      <w:kern w:val="2"/>
      <w:sz w:val="21"/>
      <w:szCs w:val="24"/>
      <w:lang w:val="en-US" w:eastAsia="zh-CN" w:bidi="ar-SA"/>
    </w:rPr>
  </w:style>
  <w:style w:type="character" w:customStyle="1" w:styleId="366">
    <w:name w:val="2级 Char"/>
    <w:link w:val="367"/>
    <w:qFormat/>
    <w:uiPriority w:val="0"/>
    <w:rPr>
      <w:rFonts w:ascii="Cambria" w:hAnsi="Cambria"/>
      <w:b/>
      <w:bCs/>
      <w:sz w:val="28"/>
      <w:szCs w:val="32"/>
    </w:rPr>
  </w:style>
  <w:style w:type="paragraph" w:customStyle="1" w:styleId="367">
    <w:name w:val="2级"/>
    <w:basedOn w:val="7"/>
    <w:next w:val="26"/>
    <w:link w:val="366"/>
    <w:qFormat/>
    <w:uiPriority w:val="0"/>
    <w:pPr>
      <w:spacing w:line="416" w:lineRule="auto"/>
    </w:pPr>
    <w:rPr>
      <w:rFonts w:ascii="Cambria" w:hAnsi="Cambria" w:eastAsia="宋体"/>
      <w:kern w:val="0"/>
      <w:sz w:val="28"/>
    </w:rPr>
  </w:style>
  <w:style w:type="character" w:customStyle="1" w:styleId="368">
    <w:name w:val="heading 5 Char"/>
    <w:qFormat/>
    <w:uiPriority w:val="0"/>
    <w:rPr>
      <w:rFonts w:ascii="Arial" w:hAnsi="Arial" w:eastAsia="黑体"/>
      <w:b/>
      <w:sz w:val="21"/>
      <w:szCs w:val="21"/>
    </w:rPr>
  </w:style>
  <w:style w:type="character" w:customStyle="1" w:styleId="369">
    <w:name w:val="heading 8 Char1"/>
    <w:qFormat/>
    <w:uiPriority w:val="0"/>
    <w:rPr>
      <w:rFonts w:ascii="Arial" w:hAnsi="Arial" w:eastAsia="黑体"/>
      <w:b/>
      <w:sz w:val="24"/>
      <w:szCs w:val="32"/>
      <w:lang w:val="en-US" w:eastAsia="zh-CN" w:bidi="ar-SA"/>
    </w:rPr>
  </w:style>
  <w:style w:type="character" w:customStyle="1" w:styleId="370">
    <w:name w:val="hover15"/>
    <w:qFormat/>
    <w:uiPriority w:val="0"/>
    <w:rPr>
      <w:szCs w:val="20"/>
      <w:u w:val="single"/>
    </w:rPr>
  </w:style>
  <w:style w:type="character" w:customStyle="1" w:styleId="371">
    <w:name w:val="Ò³Ã¼ Char Char"/>
    <w:qFormat/>
    <w:uiPriority w:val="0"/>
    <w:rPr>
      <w:rFonts w:ascii="仿宋_GB2312" w:eastAsia="仿宋_GB2312"/>
      <w:b/>
      <w:sz w:val="18"/>
      <w:szCs w:val="18"/>
    </w:rPr>
  </w:style>
  <w:style w:type="character" w:customStyle="1" w:styleId="372">
    <w:name w:val="列出段落 Char1"/>
    <w:qFormat/>
    <w:uiPriority w:val="0"/>
    <w:rPr>
      <w:kern w:val="2"/>
      <w:sz w:val="21"/>
    </w:rPr>
  </w:style>
  <w:style w:type="character" w:customStyle="1" w:styleId="373">
    <w:name w:val="heading 5 Char1"/>
    <w:qFormat/>
    <w:uiPriority w:val="0"/>
    <w:rPr>
      <w:rFonts w:ascii="仿宋_GB2312" w:eastAsia="宋体"/>
      <w:b/>
      <w:bCs/>
      <w:kern w:val="2"/>
      <w:sz w:val="28"/>
      <w:szCs w:val="28"/>
      <w:lang w:val="en-US" w:eastAsia="zh-CN" w:bidi="ar-SA"/>
    </w:rPr>
  </w:style>
  <w:style w:type="character" w:customStyle="1" w:styleId="374">
    <w:name w:val="正文居中 Char"/>
    <w:link w:val="375"/>
    <w:qFormat/>
    <w:uiPriority w:val="0"/>
    <w:rPr>
      <w:kern w:val="2"/>
      <w:sz w:val="21"/>
      <w:szCs w:val="24"/>
    </w:rPr>
  </w:style>
  <w:style w:type="paragraph" w:customStyle="1" w:styleId="375">
    <w:name w:val="正文居中"/>
    <w:basedOn w:val="1"/>
    <w:link w:val="374"/>
    <w:qFormat/>
    <w:uiPriority w:val="0"/>
    <w:pPr>
      <w:jc w:val="center"/>
    </w:pPr>
  </w:style>
  <w:style w:type="character" w:customStyle="1" w:styleId="376">
    <w:name w:val="heading 3 Char1"/>
    <w:qFormat/>
    <w:uiPriority w:val="0"/>
    <w:rPr>
      <w:rFonts w:ascii="仿宋_GB2312" w:eastAsia="宋体"/>
      <w:b/>
      <w:bCs/>
      <w:kern w:val="2"/>
      <w:sz w:val="32"/>
      <w:szCs w:val="32"/>
      <w:lang w:val="en-US" w:eastAsia="zh-CN" w:bidi="ar-SA"/>
    </w:rPr>
  </w:style>
  <w:style w:type="character" w:customStyle="1" w:styleId="377">
    <w:name w:val="Footer-Even Char2"/>
    <w:qFormat/>
    <w:uiPriority w:val="0"/>
    <w:rPr>
      <w:rFonts w:ascii="仿宋_GB2312" w:eastAsia="仿宋_GB2312"/>
      <w:b/>
      <w:kern w:val="2"/>
      <w:sz w:val="18"/>
      <w:szCs w:val="18"/>
    </w:rPr>
  </w:style>
  <w:style w:type="character" w:customStyle="1" w:styleId="378">
    <w:name w:val="Style1"/>
    <w:qFormat/>
    <w:uiPriority w:val="0"/>
    <w:rPr>
      <w:rFonts w:ascii="Calibri" w:hAnsi="宋体" w:eastAsia="宋体" w:cs="Times New Roman"/>
      <w:sz w:val="22"/>
      <w:szCs w:val="22"/>
      <w:lang w:eastAsia="zh-CN"/>
    </w:rPr>
  </w:style>
  <w:style w:type="character" w:customStyle="1" w:styleId="379">
    <w:name w:val="文档结构图 Char3"/>
    <w:semiHidden/>
    <w:qFormat/>
    <w:uiPriority w:val="99"/>
    <w:rPr>
      <w:rFonts w:ascii="宋体"/>
      <w:kern w:val="2"/>
      <w:sz w:val="18"/>
      <w:szCs w:val="18"/>
    </w:rPr>
  </w:style>
  <w:style w:type="character" w:customStyle="1" w:styleId="380">
    <w:name w:val="脚注文本 Char1"/>
    <w:semiHidden/>
    <w:qFormat/>
    <w:uiPriority w:val="99"/>
    <w:rPr>
      <w:kern w:val="2"/>
      <w:sz w:val="18"/>
      <w:szCs w:val="18"/>
    </w:rPr>
  </w:style>
  <w:style w:type="character" w:customStyle="1" w:styleId="381">
    <w:name w:val="param_td1"/>
    <w:qFormat/>
    <w:uiPriority w:val="0"/>
    <w:rPr>
      <w:rFonts w:ascii="仿宋_GB2312" w:hAnsi="Tahoma" w:eastAsia="仿宋_GB2312"/>
      <w:b/>
      <w:sz w:val="32"/>
      <w:szCs w:val="32"/>
    </w:rPr>
  </w:style>
  <w:style w:type="character" w:customStyle="1" w:styleId="382">
    <w:name w:val="fr"/>
    <w:qFormat/>
    <w:uiPriority w:val="0"/>
    <w:rPr>
      <w:szCs w:val="20"/>
    </w:rPr>
  </w:style>
  <w:style w:type="character" w:customStyle="1" w:styleId="383">
    <w:name w:val="password"/>
    <w:qFormat/>
    <w:uiPriority w:val="0"/>
    <w:rPr>
      <w:szCs w:val="20"/>
    </w:rPr>
  </w:style>
  <w:style w:type="character" w:customStyle="1" w:styleId="384">
    <w:name w:val="标题 4 Char"/>
    <w:qFormat/>
    <w:uiPriority w:val="9"/>
    <w:rPr>
      <w:rFonts w:ascii="Arial" w:hAnsi="Arial" w:eastAsia="黑体"/>
      <w:b/>
      <w:bCs/>
      <w:kern w:val="2"/>
      <w:sz w:val="28"/>
      <w:szCs w:val="28"/>
      <w:lang w:val="en-US" w:eastAsia="zh-CN" w:bidi="ar-SA"/>
    </w:rPr>
  </w:style>
  <w:style w:type="character" w:customStyle="1" w:styleId="385">
    <w:name w:val="正文文本 3 Char1"/>
    <w:semiHidden/>
    <w:qFormat/>
    <w:uiPriority w:val="99"/>
    <w:rPr>
      <w:kern w:val="2"/>
      <w:sz w:val="16"/>
      <w:szCs w:val="16"/>
    </w:rPr>
  </w:style>
  <w:style w:type="character" w:customStyle="1" w:styleId="386">
    <w:name w:val="投标正文 Char"/>
    <w:link w:val="387"/>
    <w:qFormat/>
    <w:uiPriority w:val="0"/>
    <w:rPr>
      <w:rFonts w:ascii="Calibri" w:hAnsi="Calibri"/>
      <w:sz w:val="24"/>
      <w:szCs w:val="24"/>
    </w:rPr>
  </w:style>
  <w:style w:type="paragraph" w:customStyle="1" w:styleId="387">
    <w:name w:val="投标正文"/>
    <w:basedOn w:val="1"/>
    <w:link w:val="386"/>
    <w:qFormat/>
    <w:uiPriority w:val="0"/>
    <w:pPr>
      <w:spacing w:line="360" w:lineRule="auto"/>
      <w:ind w:left="100" w:firstLine="480" w:firstLineChars="200"/>
    </w:pPr>
    <w:rPr>
      <w:rFonts w:ascii="Calibri" w:hAnsi="Calibri"/>
      <w:kern w:val="0"/>
      <w:sz w:val="24"/>
    </w:rPr>
  </w:style>
  <w:style w:type="character" w:customStyle="1" w:styleId="388">
    <w:name w:val="宏文本 Char2"/>
    <w:semiHidden/>
    <w:qFormat/>
    <w:uiPriority w:val="99"/>
    <w:rPr>
      <w:rFonts w:ascii="Courier New" w:hAnsi="Courier New" w:cs="Courier New"/>
      <w:kern w:val="2"/>
      <w:sz w:val="24"/>
      <w:szCs w:val="24"/>
    </w:rPr>
  </w:style>
  <w:style w:type="character" w:customStyle="1" w:styleId="389">
    <w:name w:val="表格标题 Char Char"/>
    <w:qFormat/>
    <w:uiPriority w:val="0"/>
    <w:rPr>
      <w:rFonts w:ascii="黑体" w:hAnsi="黑体" w:eastAsia="黑体"/>
      <w:b/>
      <w:color w:val="FFFFFF"/>
      <w:kern w:val="2"/>
      <w:sz w:val="21"/>
      <w:szCs w:val="24"/>
    </w:rPr>
  </w:style>
  <w:style w:type="character" w:customStyle="1" w:styleId="390">
    <w:name w:val="正文文本 3 Char"/>
    <w:qFormat/>
    <w:uiPriority w:val="0"/>
  </w:style>
  <w:style w:type="character" w:customStyle="1" w:styleId="391">
    <w:name w:val="heading 2 Char"/>
    <w:qFormat/>
    <w:uiPriority w:val="0"/>
    <w:rPr>
      <w:rFonts w:ascii="Arial" w:hAnsi="Arial" w:eastAsia="黑体" w:cs="Times New Roman"/>
      <w:b/>
      <w:sz w:val="30"/>
      <w:szCs w:val="24"/>
    </w:rPr>
  </w:style>
  <w:style w:type="character" w:customStyle="1" w:styleId="392">
    <w:name w:val="Char Char Char1"/>
    <w:qFormat/>
    <w:uiPriority w:val="0"/>
    <w:rPr>
      <w:rFonts w:ascii="宋体" w:hAnsi="Courier New" w:eastAsia="仿宋_GB2312"/>
      <w:b/>
      <w:sz w:val="21"/>
      <w:szCs w:val="21"/>
    </w:rPr>
  </w:style>
  <w:style w:type="character" w:customStyle="1" w:styleId="393">
    <w:name w:val="op-map-singlepoint-info-right1"/>
    <w:qFormat/>
    <w:uiPriority w:val="0"/>
    <w:rPr>
      <w:szCs w:val="20"/>
    </w:rPr>
  </w:style>
  <w:style w:type="character" w:customStyle="1" w:styleId="394">
    <w:name w:val="Char Char201"/>
    <w:qFormat/>
    <w:uiPriority w:val="0"/>
    <w:rPr>
      <w:rFonts w:ascii="Cambria" w:hAnsi="Cambria" w:eastAsia="宋体" w:cs="Times New Roman"/>
      <w:b/>
      <w:bCs/>
      <w:sz w:val="32"/>
      <w:szCs w:val="32"/>
    </w:rPr>
  </w:style>
  <w:style w:type="character" w:customStyle="1" w:styleId="395">
    <w:name w:val="文档正文 Char"/>
    <w:link w:val="396"/>
    <w:qFormat/>
    <w:locked/>
    <w:uiPriority w:val="0"/>
    <w:rPr>
      <w:sz w:val="24"/>
    </w:rPr>
  </w:style>
  <w:style w:type="paragraph" w:customStyle="1" w:styleId="396">
    <w:name w:val="文档正文"/>
    <w:basedOn w:val="1"/>
    <w:link w:val="395"/>
    <w:qFormat/>
    <w:uiPriority w:val="0"/>
    <w:pPr>
      <w:adjustRightInd w:val="0"/>
      <w:spacing w:line="300" w:lineRule="auto"/>
      <w:ind w:firstLine="567"/>
      <w:textAlignment w:val="baseline"/>
    </w:pPr>
    <w:rPr>
      <w:kern w:val="0"/>
      <w:sz w:val="24"/>
      <w:szCs w:val="20"/>
    </w:rPr>
  </w:style>
  <w:style w:type="character" w:customStyle="1" w:styleId="397">
    <w:name w:val="heading 3 Char2"/>
    <w:qFormat/>
    <w:uiPriority w:val="0"/>
    <w:rPr>
      <w:rFonts w:ascii="仿宋_GB2312" w:eastAsia="仿宋_GB2312"/>
      <w:b/>
      <w:bCs/>
      <w:kern w:val="2"/>
      <w:sz w:val="32"/>
      <w:szCs w:val="32"/>
    </w:rPr>
  </w:style>
  <w:style w:type="character" w:customStyle="1" w:styleId="398">
    <w:name w:val="HTML 预设格式 Char1"/>
    <w:qFormat/>
    <w:uiPriority w:val="99"/>
    <w:rPr>
      <w:rFonts w:ascii="Courier New" w:hAnsi="Courier New" w:cs="Courier New"/>
      <w:kern w:val="2"/>
    </w:rPr>
  </w:style>
  <w:style w:type="character" w:customStyle="1" w:styleId="399">
    <w:name w:val="页脚 Char"/>
    <w:qFormat/>
    <w:uiPriority w:val="99"/>
    <w:rPr>
      <w:rFonts w:eastAsia="仿宋_GB2312"/>
      <w:kern w:val="2"/>
      <w:sz w:val="18"/>
      <w:szCs w:val="18"/>
      <w:lang w:val="en-US" w:eastAsia="zh-CN" w:bidi="ar-SA"/>
    </w:rPr>
  </w:style>
  <w:style w:type="character" w:customStyle="1" w:styleId="400">
    <w:name w:val="大标题 Char Char"/>
    <w:qFormat/>
    <w:uiPriority w:val="0"/>
    <w:rPr>
      <w:rFonts w:ascii="黑体" w:hAnsi="黑体" w:eastAsia="黑体"/>
      <w:b/>
      <w:bCs/>
      <w:kern w:val="2"/>
      <w:sz w:val="72"/>
      <w:szCs w:val="72"/>
    </w:rPr>
  </w:style>
  <w:style w:type="character" w:customStyle="1" w:styleId="401">
    <w:name w:val="3级 Char"/>
    <w:link w:val="402"/>
    <w:qFormat/>
    <w:uiPriority w:val="0"/>
    <w:rPr>
      <w:rFonts w:ascii="Calibri" w:hAnsi="Calibri"/>
      <w:b/>
      <w:bCs/>
      <w:sz w:val="28"/>
      <w:szCs w:val="32"/>
    </w:rPr>
  </w:style>
  <w:style w:type="paragraph" w:customStyle="1" w:styleId="402">
    <w:name w:val="3级"/>
    <w:basedOn w:val="8"/>
    <w:next w:val="2"/>
    <w:link w:val="401"/>
    <w:qFormat/>
    <w:uiPriority w:val="0"/>
    <w:pPr>
      <w:spacing w:line="416" w:lineRule="auto"/>
      <w:ind w:right="100" w:rightChars="100"/>
    </w:pPr>
    <w:rPr>
      <w:rFonts w:ascii="Calibri" w:hAnsi="Calibri"/>
      <w:kern w:val="0"/>
      <w:sz w:val="28"/>
    </w:rPr>
  </w:style>
  <w:style w:type="character" w:customStyle="1" w:styleId="403">
    <w:name w:val="heading 2 Char2"/>
    <w:qFormat/>
    <w:uiPriority w:val="0"/>
    <w:rPr>
      <w:rFonts w:ascii="Cambria" w:hAnsi="Cambria" w:eastAsia="仿宋_GB2312"/>
      <w:b/>
      <w:bCs/>
      <w:kern w:val="2"/>
      <w:sz w:val="32"/>
      <w:szCs w:val="32"/>
    </w:rPr>
  </w:style>
  <w:style w:type="character" w:customStyle="1" w:styleId="404">
    <w:name w:val="doc1"/>
    <w:qFormat/>
    <w:uiPriority w:val="0"/>
    <w:rPr>
      <w:szCs w:val="20"/>
    </w:rPr>
  </w:style>
  <w:style w:type="character" w:customStyle="1" w:styleId="405">
    <w:name w:val="Style2"/>
    <w:qFormat/>
    <w:uiPriority w:val="0"/>
    <w:rPr>
      <w:rFonts w:ascii="Calibri" w:hAnsi="宋体" w:eastAsia="宋体" w:cs="Times New Roman"/>
      <w:sz w:val="22"/>
      <w:szCs w:val="22"/>
      <w:lang w:eastAsia="zh-CN"/>
    </w:rPr>
  </w:style>
  <w:style w:type="character" w:customStyle="1" w:styleId="406">
    <w:name w:val="heading 1 Char"/>
    <w:qFormat/>
    <w:uiPriority w:val="0"/>
    <w:rPr>
      <w:rFonts w:ascii="Arial" w:hAnsi="Arial" w:eastAsia="黑体"/>
      <w:b/>
      <w:sz w:val="36"/>
      <w:szCs w:val="36"/>
    </w:rPr>
  </w:style>
  <w:style w:type="character" w:customStyle="1" w:styleId="407">
    <w:name w:val="编号正文缩进 Char"/>
    <w:link w:val="408"/>
    <w:qFormat/>
    <w:uiPriority w:val="0"/>
    <w:rPr>
      <w:sz w:val="24"/>
    </w:rPr>
  </w:style>
  <w:style w:type="paragraph" w:customStyle="1" w:styleId="408">
    <w:name w:val="编号正文缩进"/>
    <w:basedOn w:val="18"/>
    <w:link w:val="407"/>
    <w:qFormat/>
    <w:uiPriority w:val="0"/>
    <w:pPr>
      <w:tabs>
        <w:tab w:val="left" w:pos="1497"/>
      </w:tabs>
      <w:spacing w:line="400" w:lineRule="atLeast"/>
      <w:ind w:left="1497" w:hanging="420"/>
    </w:pPr>
    <w:rPr>
      <w:sz w:val="24"/>
    </w:rPr>
  </w:style>
  <w:style w:type="character" w:customStyle="1" w:styleId="409">
    <w:name w:val="批注文字 Char1"/>
    <w:qFormat/>
    <w:uiPriority w:val="0"/>
    <w:rPr>
      <w:kern w:val="2"/>
      <w:sz w:val="21"/>
      <w:szCs w:val="24"/>
    </w:rPr>
  </w:style>
  <w:style w:type="character" w:customStyle="1" w:styleId="410">
    <w:name w:val="Footer-Even Char"/>
    <w:qFormat/>
    <w:uiPriority w:val="0"/>
    <w:rPr>
      <w:rFonts w:ascii="仿宋_GB2312" w:eastAsia="仿宋_GB2312"/>
      <w:b/>
      <w:sz w:val="18"/>
      <w:szCs w:val="18"/>
    </w:rPr>
  </w:style>
  <w:style w:type="character" w:customStyle="1" w:styleId="411">
    <w:name w:val="批注框文本 Char2"/>
    <w:semiHidden/>
    <w:qFormat/>
    <w:uiPriority w:val="99"/>
    <w:rPr>
      <w:kern w:val="2"/>
      <w:sz w:val="18"/>
      <w:szCs w:val="18"/>
    </w:rPr>
  </w:style>
  <w:style w:type="character" w:customStyle="1" w:styleId="412">
    <w:name w:val="style41"/>
    <w:qFormat/>
    <w:uiPriority w:val="0"/>
    <w:rPr>
      <w:rFonts w:ascii="仿宋_GB2312" w:eastAsia="仿宋_GB2312"/>
      <w:b/>
      <w:color w:val="auto"/>
      <w:sz w:val="32"/>
      <w:szCs w:val="32"/>
    </w:rPr>
  </w:style>
  <w:style w:type="character" w:customStyle="1" w:styleId="413">
    <w:name w:val="heading 9 Char1"/>
    <w:qFormat/>
    <w:uiPriority w:val="0"/>
    <w:rPr>
      <w:rFonts w:ascii="Arial" w:hAnsi="Arial" w:eastAsia="黑体"/>
      <w:b/>
      <w:sz w:val="21"/>
      <w:szCs w:val="32"/>
      <w:lang w:val="en-US" w:eastAsia="zh-CN" w:bidi="ar-SA"/>
    </w:rPr>
  </w:style>
  <w:style w:type="character" w:customStyle="1" w:styleId="414">
    <w:name w:val="副标题 Char"/>
    <w:qFormat/>
    <w:uiPriority w:val="0"/>
    <w:rPr>
      <w:rFonts w:ascii="Cambria" w:hAnsi="Cambria"/>
      <w:b/>
      <w:bCs/>
      <w:kern w:val="28"/>
      <w:sz w:val="32"/>
      <w:szCs w:val="32"/>
    </w:rPr>
  </w:style>
  <w:style w:type="character" w:customStyle="1" w:styleId="415">
    <w:name w:val="Table Text Char Char"/>
    <w:link w:val="416"/>
    <w:qFormat/>
    <w:uiPriority w:val="0"/>
    <w:rPr>
      <w:sz w:val="24"/>
    </w:rPr>
  </w:style>
  <w:style w:type="paragraph" w:customStyle="1" w:styleId="416">
    <w:name w:val="Table Text"/>
    <w:basedOn w:val="1"/>
    <w:link w:val="415"/>
    <w:qFormat/>
    <w:uiPriority w:val="0"/>
    <w:pPr>
      <w:widowControl/>
      <w:autoSpaceDE w:val="0"/>
      <w:autoSpaceDN w:val="0"/>
      <w:adjustRightInd w:val="0"/>
      <w:spacing w:before="60" w:after="60"/>
      <w:jc w:val="left"/>
    </w:pPr>
    <w:rPr>
      <w:kern w:val="0"/>
      <w:sz w:val="24"/>
      <w:szCs w:val="20"/>
    </w:rPr>
  </w:style>
  <w:style w:type="character" w:customStyle="1" w:styleId="417">
    <w:name w:val="正文首行缩进 Char1"/>
    <w:qFormat/>
    <w:uiPriority w:val="0"/>
    <w:rPr>
      <w:rFonts w:ascii="Tahoma" w:hAnsi="Tahoma"/>
      <w:kern w:val="2"/>
      <w:sz w:val="21"/>
      <w:szCs w:val="24"/>
    </w:rPr>
  </w:style>
  <w:style w:type="character" w:customStyle="1" w:styleId="418">
    <w:name w:val="批注框文本 Char"/>
    <w:qFormat/>
    <w:uiPriority w:val="99"/>
    <w:rPr>
      <w:kern w:val="2"/>
      <w:sz w:val="18"/>
      <w:szCs w:val="18"/>
    </w:rPr>
  </w:style>
  <w:style w:type="character" w:customStyle="1" w:styleId="419">
    <w:name w:val="宏文本 Char1"/>
    <w:semiHidden/>
    <w:qFormat/>
    <w:uiPriority w:val="99"/>
    <w:rPr>
      <w:rFonts w:ascii="Courier New" w:hAnsi="Courier New" w:cs="Courier New"/>
      <w:kern w:val="2"/>
      <w:sz w:val="24"/>
      <w:szCs w:val="24"/>
    </w:rPr>
  </w:style>
  <w:style w:type="character" w:customStyle="1" w:styleId="420">
    <w:name w:val="不明显参考1"/>
    <w:qFormat/>
    <w:uiPriority w:val="0"/>
    <w:rPr>
      <w:smallCaps/>
      <w:color w:val="C0504D"/>
      <w:u w:val="single"/>
    </w:rPr>
  </w:style>
  <w:style w:type="character" w:customStyle="1" w:styleId="421">
    <w:name w:val="red"/>
    <w:qFormat/>
    <w:uiPriority w:val="0"/>
    <w:rPr>
      <w:color w:val="FF0000"/>
      <w:szCs w:val="20"/>
    </w:rPr>
  </w:style>
  <w:style w:type="character" w:customStyle="1" w:styleId="422">
    <w:name w:val="apple-converted-space"/>
    <w:qFormat/>
    <w:uiPriority w:val="0"/>
  </w:style>
  <w:style w:type="character" w:customStyle="1" w:styleId="423">
    <w:name w:val="表格题注 Char"/>
    <w:link w:val="424"/>
    <w:qFormat/>
    <w:uiPriority w:val="0"/>
    <w:rPr>
      <w:rFonts w:ascii="Calibri Light" w:hAnsi="Calibri Light" w:eastAsia="黑体" w:cs="黑体"/>
      <w:bCs/>
      <w:kern w:val="2"/>
      <w:sz w:val="21"/>
      <w:szCs w:val="21"/>
    </w:rPr>
  </w:style>
  <w:style w:type="paragraph" w:customStyle="1" w:styleId="424">
    <w:name w:val="表格题注"/>
    <w:basedOn w:val="19"/>
    <w:link w:val="423"/>
    <w:qFormat/>
    <w:uiPriority w:val="0"/>
    <w:pPr>
      <w:keepNext/>
      <w:autoSpaceDE/>
      <w:autoSpaceDN/>
      <w:adjustRightInd/>
      <w:spacing w:line="360" w:lineRule="auto"/>
      <w:jc w:val="center"/>
    </w:pPr>
    <w:rPr>
      <w:rFonts w:ascii="Calibri Light" w:hAnsi="Calibri Light"/>
      <w:bCs/>
      <w:kern w:val="2"/>
      <w:sz w:val="21"/>
      <w:szCs w:val="21"/>
    </w:rPr>
  </w:style>
  <w:style w:type="character" w:customStyle="1" w:styleId="425">
    <w:name w:val="符号正文缩进 Char Char"/>
    <w:qFormat/>
    <w:uiPriority w:val="0"/>
    <w:rPr>
      <w:sz w:val="24"/>
    </w:rPr>
  </w:style>
  <w:style w:type="character" w:customStyle="1" w:styleId="426">
    <w:name w:val="正文首行缩进 Char2"/>
    <w:qFormat/>
    <w:uiPriority w:val="0"/>
    <w:rPr>
      <w:rFonts w:ascii="仿宋_GB2312"/>
      <w:b/>
      <w:sz w:val="32"/>
      <w:szCs w:val="32"/>
    </w:rPr>
  </w:style>
  <w:style w:type="character" w:customStyle="1" w:styleId="427">
    <w:name w:val="标题 3 Char1"/>
    <w:qFormat/>
    <w:uiPriority w:val="0"/>
    <w:rPr>
      <w:b/>
      <w:bCs/>
      <w:kern w:val="2"/>
      <w:sz w:val="32"/>
      <w:szCs w:val="32"/>
    </w:rPr>
  </w:style>
  <w:style w:type="character" w:customStyle="1" w:styleId="428">
    <w:name w:val="正文文本缩进 2 Char2"/>
    <w:semiHidden/>
    <w:qFormat/>
    <w:uiPriority w:val="99"/>
    <w:rPr>
      <w:kern w:val="2"/>
      <w:sz w:val="21"/>
      <w:szCs w:val="24"/>
    </w:rPr>
  </w:style>
  <w:style w:type="character" w:customStyle="1" w:styleId="429">
    <w:name w:val="普通文字1 Char"/>
    <w:qFormat/>
    <w:uiPriority w:val="0"/>
    <w:rPr>
      <w:rFonts w:ascii="宋体" w:hAnsi="Courier New" w:eastAsia="宋体" w:cs="Courier New"/>
      <w:kern w:val="2"/>
      <w:sz w:val="21"/>
      <w:szCs w:val="21"/>
      <w:lang w:val="en-US" w:eastAsia="zh-CN" w:bidi="ar-SA"/>
    </w:rPr>
  </w:style>
  <w:style w:type="character" w:customStyle="1" w:styleId="430">
    <w:name w:val="正文首行缩进 2 Char"/>
    <w:qFormat/>
    <w:uiPriority w:val="0"/>
    <w:rPr>
      <w:rFonts w:ascii="宋体" w:hAnsi="宋体"/>
      <w:kern w:val="2"/>
      <w:sz w:val="24"/>
      <w:szCs w:val="24"/>
    </w:rPr>
  </w:style>
  <w:style w:type="character" w:customStyle="1" w:styleId="431">
    <w:name w:val="标题 6 Char"/>
    <w:qFormat/>
    <w:uiPriority w:val="0"/>
    <w:rPr>
      <w:rFonts w:ascii="Arial" w:hAnsi="Arial" w:eastAsia="黑体"/>
      <w:b/>
      <w:bCs/>
      <w:kern w:val="2"/>
      <w:sz w:val="24"/>
      <w:szCs w:val="24"/>
    </w:rPr>
  </w:style>
  <w:style w:type="character" w:customStyle="1" w:styleId="432">
    <w:name w:val="Texte Char Char"/>
    <w:qFormat/>
    <w:uiPriority w:val="0"/>
    <w:rPr>
      <w:rFonts w:ascii="宋体" w:hAnsi="Courier New" w:eastAsia="宋体"/>
      <w:b/>
      <w:sz w:val="21"/>
      <w:szCs w:val="21"/>
      <w:lang w:val="en-US" w:eastAsia="zh-CN" w:bidi="ar-SA"/>
    </w:rPr>
  </w:style>
  <w:style w:type="character" w:customStyle="1" w:styleId="433">
    <w:name w:val="doc"/>
    <w:qFormat/>
    <w:uiPriority w:val="0"/>
    <w:rPr>
      <w:szCs w:val="20"/>
    </w:rPr>
  </w:style>
  <w:style w:type="character" w:customStyle="1" w:styleId="434">
    <w:name w:val="标题 Char1"/>
    <w:qFormat/>
    <w:uiPriority w:val="0"/>
    <w:rPr>
      <w:rFonts w:ascii="Cambria" w:hAnsi="Cambria" w:cs="Times New Roman"/>
      <w:b/>
      <w:bCs/>
      <w:kern w:val="2"/>
      <w:sz w:val="32"/>
      <w:szCs w:val="32"/>
    </w:rPr>
  </w:style>
  <w:style w:type="character" w:customStyle="1" w:styleId="435">
    <w:name w:val="dandyren_title1"/>
    <w:qFormat/>
    <w:uiPriority w:val="0"/>
    <w:rPr>
      <w:rFonts w:ascii="仿宋_GB2312" w:eastAsia="仿宋_GB2312"/>
      <w:b/>
      <w:bCs/>
      <w:color w:val="FF6633"/>
      <w:sz w:val="18"/>
      <w:szCs w:val="18"/>
    </w:rPr>
  </w:style>
  <w:style w:type="character" w:customStyle="1" w:styleId="436">
    <w:name w:val="font21"/>
    <w:basedOn w:val="58"/>
    <w:qFormat/>
    <w:uiPriority w:val="0"/>
    <w:rPr>
      <w:rFonts w:hint="default" w:ascii="Times New Roman" w:hAnsi="Times New Roman" w:cs="Times New Roman"/>
      <w:color w:val="000000"/>
      <w:sz w:val="20"/>
      <w:szCs w:val="20"/>
      <w:u w:val="none"/>
    </w:rPr>
  </w:style>
  <w:style w:type="character" w:customStyle="1" w:styleId="437">
    <w:name w:val="正文文本 字符"/>
    <w:qFormat/>
    <w:uiPriority w:val="0"/>
    <w:rPr>
      <w:rFonts w:eastAsia="Cambria"/>
      <w:kern w:val="2"/>
      <w:sz w:val="21"/>
      <w:szCs w:val="24"/>
      <w:lang w:val="en-US" w:eastAsia="zh-CN" w:bidi="ar-SA"/>
    </w:rPr>
  </w:style>
  <w:style w:type="character" w:customStyle="1" w:styleId="438">
    <w:name w:val="题注 Char"/>
    <w:qFormat/>
    <w:uiPriority w:val="0"/>
    <w:rPr>
      <w:rFonts w:ascii="Arial" w:hAnsi="Arial" w:eastAsia="黑体" w:cs="Arial"/>
    </w:rPr>
  </w:style>
  <w:style w:type="character" w:customStyle="1" w:styleId="439">
    <w:name w:val="input"/>
    <w:qFormat/>
    <w:uiPriority w:val="0"/>
    <w:rPr>
      <w:szCs w:val="20"/>
    </w:rPr>
  </w:style>
  <w:style w:type="paragraph" w:customStyle="1" w:styleId="440">
    <w:name w:val="样式 四号 首行缩进:  1 厘米"/>
    <w:basedOn w:val="1"/>
    <w:qFormat/>
    <w:uiPriority w:val="0"/>
    <w:pPr>
      <w:spacing w:line="440" w:lineRule="exact"/>
      <w:ind w:firstLine="567"/>
    </w:pPr>
    <w:rPr>
      <w:rFonts w:cs="宋体"/>
      <w:sz w:val="28"/>
      <w:szCs w:val="20"/>
    </w:rPr>
  </w:style>
  <w:style w:type="paragraph" w:customStyle="1" w:styleId="441">
    <w:name w:val="Char Char1 Char"/>
    <w:basedOn w:val="1"/>
    <w:qFormat/>
    <w:uiPriority w:val="0"/>
    <w:pPr>
      <w:spacing w:line="360" w:lineRule="auto"/>
    </w:pPr>
    <w:rPr>
      <w:sz w:val="24"/>
    </w:rPr>
  </w:style>
  <w:style w:type="paragraph" w:customStyle="1" w:styleId="442">
    <w:name w:val="示例"/>
    <w:next w:val="1"/>
    <w:qFormat/>
    <w:uiPriority w:val="0"/>
    <w:pPr>
      <w:tabs>
        <w:tab w:val="left" w:pos="425"/>
        <w:tab w:val="left" w:pos="816"/>
      </w:tabs>
      <w:ind w:left="425" w:firstLine="419" w:firstLineChars="233"/>
      <w:jc w:val="both"/>
    </w:pPr>
    <w:rPr>
      <w:rFonts w:ascii="宋体" w:hAnsi="Times New Roman" w:eastAsia="宋体" w:cs="Times New Roman"/>
      <w:sz w:val="18"/>
      <w:lang w:val="en-US" w:eastAsia="zh-CN" w:bidi="ar-SA"/>
    </w:rPr>
  </w:style>
  <w:style w:type="paragraph" w:customStyle="1" w:styleId="443">
    <w:name w:val="_Style 11"/>
    <w:basedOn w:val="1"/>
    <w:qFormat/>
    <w:uiPriority w:val="0"/>
    <w:pPr>
      <w:tabs>
        <w:tab w:val="left" w:pos="360"/>
      </w:tabs>
    </w:pPr>
    <w:rPr>
      <w:szCs w:val="22"/>
    </w:rPr>
  </w:style>
  <w:style w:type="paragraph" w:customStyle="1" w:styleId="444">
    <w:name w:val="列项——（一级）"/>
    <w:qFormat/>
    <w:uiPriority w:val="0"/>
    <w:pPr>
      <w:widowControl w:val="0"/>
      <w:tabs>
        <w:tab w:val="left" w:pos="854"/>
        <w:tab w:val="left" w:pos="1260"/>
      </w:tabs>
      <w:ind w:left="1260" w:hanging="420"/>
      <w:jc w:val="both"/>
    </w:pPr>
    <w:rPr>
      <w:rFonts w:ascii="宋体" w:hAnsi="Times New Roman" w:eastAsia="宋体" w:cs="Times New Roman"/>
      <w:sz w:val="21"/>
      <w:lang w:val="en-US" w:eastAsia="zh-CN" w:bidi="ar-SA"/>
    </w:rPr>
  </w:style>
  <w:style w:type="paragraph" w:customStyle="1" w:styleId="44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46">
    <w:name w:val="正文文本 21"/>
    <w:basedOn w:val="1"/>
    <w:qFormat/>
    <w:uiPriority w:val="0"/>
    <w:pPr>
      <w:widowControl/>
      <w:overflowPunct w:val="0"/>
      <w:autoSpaceDE w:val="0"/>
      <w:autoSpaceDN w:val="0"/>
      <w:adjustRightInd w:val="0"/>
      <w:ind w:left="720" w:hanging="720"/>
      <w:jc w:val="left"/>
      <w:textAlignment w:val="baseline"/>
    </w:pPr>
    <w:rPr>
      <w:kern w:val="0"/>
      <w:sz w:val="24"/>
      <w:szCs w:val="20"/>
      <w:lang w:val="en-GB"/>
    </w:rPr>
  </w:style>
  <w:style w:type="paragraph" w:customStyle="1" w:styleId="447">
    <w:name w:val="Char Char Char Char Char Char Char Char Char Char Char Char Char Char Char Char Char Char Char"/>
    <w:basedOn w:val="1"/>
    <w:qFormat/>
    <w:uiPriority w:val="0"/>
    <w:rPr>
      <w:rFonts w:ascii="仿宋_GB2312" w:eastAsia="仿宋_GB2312"/>
      <w:b/>
      <w:sz w:val="32"/>
      <w:szCs w:val="32"/>
    </w:rPr>
  </w:style>
  <w:style w:type="paragraph" w:customStyle="1" w:styleId="448">
    <w:name w:val="1 Char"/>
    <w:basedOn w:val="18"/>
    <w:qFormat/>
    <w:uiPriority w:val="0"/>
    <w:pPr>
      <w:adjustRightInd/>
      <w:spacing w:line="360" w:lineRule="auto"/>
      <w:ind w:firstLine="200" w:firstLineChars="200"/>
      <w:textAlignment w:val="auto"/>
    </w:pPr>
    <w:rPr>
      <w:rFonts w:ascii="仿宋_GB2312"/>
      <w:b/>
      <w:kern w:val="2"/>
      <w:szCs w:val="32"/>
    </w:rPr>
  </w:style>
  <w:style w:type="paragraph" w:customStyle="1" w:styleId="449">
    <w:name w:val="Char2"/>
    <w:basedOn w:val="1"/>
    <w:qFormat/>
    <w:uiPriority w:val="0"/>
    <w:pPr>
      <w:autoSpaceDE w:val="0"/>
      <w:autoSpaceDN w:val="0"/>
      <w:adjustRightInd w:val="0"/>
      <w:jc w:val="left"/>
    </w:pPr>
    <w:rPr>
      <w:rFonts w:ascii="仿宋_GB2312" w:eastAsia="仿宋_GB2312"/>
      <w:b/>
      <w:kern w:val="0"/>
      <w:sz w:val="32"/>
      <w:szCs w:val="32"/>
    </w:rPr>
  </w:style>
  <w:style w:type="paragraph" w:customStyle="1" w:styleId="450">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451">
    <w:name w:val="样式_5"/>
    <w:basedOn w:val="10"/>
    <w:qFormat/>
    <w:uiPriority w:val="0"/>
    <w:pPr>
      <w:adjustRightInd w:val="0"/>
      <w:spacing w:line="376" w:lineRule="auto"/>
      <w:textAlignment w:val="baseline"/>
    </w:pPr>
    <w:rPr>
      <w:rFonts w:ascii="宋体" w:hAnsi="宋体"/>
      <w:kern w:val="0"/>
      <w:sz w:val="18"/>
      <w:szCs w:val="18"/>
    </w:rPr>
  </w:style>
  <w:style w:type="paragraph" w:customStyle="1" w:styleId="452">
    <w:name w:val="xl9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53">
    <w:name w:val="注释"/>
    <w:basedOn w:val="1"/>
    <w:qFormat/>
    <w:uiPriority w:val="0"/>
    <w:pPr>
      <w:adjustRightInd w:val="0"/>
      <w:snapToGrid w:val="0"/>
      <w:spacing w:before="60" w:after="60" w:line="300" w:lineRule="auto"/>
      <w:ind w:firstLine="200" w:firstLineChars="200"/>
    </w:pPr>
    <w:rPr>
      <w:bCs/>
      <w:i/>
      <w:color w:val="3366FF"/>
      <w:sz w:val="24"/>
      <w:szCs w:val="20"/>
    </w:rPr>
  </w:style>
  <w:style w:type="paragraph" w:customStyle="1" w:styleId="454">
    <w:name w:val="标题 2P"/>
    <w:basedOn w:val="7"/>
    <w:next w:val="18"/>
    <w:qFormat/>
    <w:uiPriority w:val="0"/>
    <w:pPr>
      <w:keepNext w:val="0"/>
      <w:tabs>
        <w:tab w:val="left" w:pos="576"/>
        <w:tab w:val="left" w:pos="1800"/>
      </w:tabs>
      <w:adjustRightInd w:val="0"/>
      <w:spacing w:before="240" w:after="120" w:line="360" w:lineRule="auto"/>
      <w:ind w:left="576" w:hanging="576"/>
      <w:textAlignment w:val="baseline"/>
    </w:pPr>
    <w:rPr>
      <w:rFonts w:ascii="Times New Roman" w:hAnsi="Times New Roman" w:cs="宋体"/>
      <w:kern w:val="0"/>
      <w:szCs w:val="20"/>
    </w:rPr>
  </w:style>
  <w:style w:type="paragraph" w:customStyle="1" w:styleId="455">
    <w:name w:val="编号，小四"/>
    <w:basedOn w:val="1"/>
    <w:qFormat/>
    <w:uiPriority w:val="0"/>
    <w:pPr>
      <w:spacing w:line="360" w:lineRule="auto"/>
      <w:ind w:left="420"/>
    </w:pPr>
    <w:rPr>
      <w:rFonts w:ascii="Arial" w:hAnsi="Arial" w:cs="宋体"/>
      <w:sz w:val="24"/>
      <w:szCs w:val="20"/>
    </w:rPr>
  </w:style>
  <w:style w:type="paragraph" w:customStyle="1" w:styleId="456">
    <w:name w:val="样式 标题 4 + 非加粗"/>
    <w:basedOn w:val="9"/>
    <w:qFormat/>
    <w:uiPriority w:val="0"/>
    <w:pPr>
      <w:keepNext w:val="0"/>
      <w:tabs>
        <w:tab w:val="left" w:pos="0"/>
      </w:tabs>
      <w:adjustRightInd w:val="0"/>
      <w:textAlignment w:val="baseline"/>
    </w:pPr>
    <w:rPr>
      <w:rFonts w:ascii="Arial" w:hAnsi="Arial"/>
      <w:sz w:val="24"/>
      <w:szCs w:val="20"/>
    </w:rPr>
  </w:style>
  <w:style w:type="paragraph" w:customStyle="1" w:styleId="457">
    <w:name w:val="xl93"/>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458">
    <w:name w:val="Char Char3"/>
    <w:basedOn w:val="1"/>
    <w:qFormat/>
    <w:uiPriority w:val="0"/>
    <w:rPr>
      <w:rFonts w:ascii="仿宋_GB2312" w:eastAsia="仿宋_GB2312"/>
      <w:b/>
      <w:sz w:val="32"/>
      <w:szCs w:val="32"/>
    </w:rPr>
  </w:style>
  <w:style w:type="paragraph" w:customStyle="1" w:styleId="459">
    <w:name w:val="Char Char Char Char3"/>
    <w:basedOn w:val="21"/>
    <w:qFormat/>
    <w:uiPriority w:val="0"/>
    <w:rPr>
      <w:rFonts w:ascii="Cambria" w:hAnsi="Cambria" w:eastAsia="仿宋_GB2312" w:cs="新宋体"/>
      <w:sz w:val="24"/>
    </w:rPr>
  </w:style>
  <w:style w:type="paragraph" w:styleId="460">
    <w:name w:val="List Paragraph"/>
    <w:basedOn w:val="1"/>
    <w:qFormat/>
    <w:uiPriority w:val="34"/>
    <w:pPr>
      <w:ind w:firstLine="420" w:firstLineChars="200"/>
    </w:pPr>
    <w:rPr>
      <w:rFonts w:ascii="Calibri" w:hAnsi="Calibri"/>
      <w:szCs w:val="22"/>
    </w:rPr>
  </w:style>
  <w:style w:type="paragraph" w:customStyle="1" w:styleId="461">
    <w:name w:val="subtitle 2"/>
    <w:basedOn w:val="1"/>
    <w:qFormat/>
    <w:uiPriority w:val="0"/>
    <w:pPr>
      <w:spacing w:before="240" w:after="240" w:line="312" w:lineRule="atLeast"/>
    </w:pPr>
    <w:rPr>
      <w:rFonts w:eastAsia="黑体"/>
      <w:snapToGrid w:val="0"/>
      <w:kern w:val="0"/>
      <w:sz w:val="24"/>
      <w:szCs w:val="20"/>
    </w:rPr>
  </w:style>
  <w:style w:type="paragraph" w:customStyle="1" w:styleId="462">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463">
    <w:name w:val="※正文"/>
    <w:basedOn w:val="1"/>
    <w:next w:val="1"/>
    <w:qFormat/>
    <w:uiPriority w:val="0"/>
    <w:pPr>
      <w:widowControl/>
      <w:wordWrap w:val="0"/>
      <w:spacing w:line="400" w:lineRule="exact"/>
    </w:pPr>
    <w:rPr>
      <w:rFonts w:ascii="Calibri Light" w:hAnsi="Calibri Light" w:eastAsia="华文仿宋"/>
      <w:sz w:val="28"/>
      <w:szCs w:val="28"/>
    </w:rPr>
  </w:style>
  <w:style w:type="paragraph" w:customStyle="1" w:styleId="464">
    <w:name w:val="font9"/>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465">
    <w:name w:val="Char1 Char Char Char"/>
    <w:basedOn w:val="1"/>
    <w:qFormat/>
    <w:uiPriority w:val="0"/>
    <w:rPr>
      <w:szCs w:val="20"/>
    </w:rPr>
  </w:style>
  <w:style w:type="paragraph" w:customStyle="1" w:styleId="466">
    <w:name w:val="xl82"/>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467">
    <w:name w:val="样式 标题 3h33rd level3Heading 3 - old + 居中 左侧:  9.8 毫米 首行缩进: ...1"/>
    <w:basedOn w:val="8"/>
    <w:qFormat/>
    <w:uiPriority w:val="0"/>
    <w:pPr>
      <w:keepLines w:val="0"/>
      <w:tabs>
        <w:tab w:val="left" w:pos="1275"/>
      </w:tabs>
      <w:spacing w:beforeLines="50" w:afterLines="50" w:line="240" w:lineRule="auto"/>
      <w:ind w:left="1275" w:hanging="720"/>
      <w:jc w:val="center"/>
    </w:pPr>
    <w:rPr>
      <w:rFonts w:ascii="宋体" w:cs="宋体"/>
      <w:sz w:val="28"/>
      <w:szCs w:val="20"/>
    </w:rPr>
  </w:style>
  <w:style w:type="paragraph" w:customStyle="1" w:styleId="468">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69">
    <w:name w:val="纯文本1"/>
    <w:basedOn w:val="1"/>
    <w:qFormat/>
    <w:uiPriority w:val="0"/>
    <w:pPr>
      <w:adjustRightInd w:val="0"/>
      <w:textAlignment w:val="baseline"/>
    </w:pPr>
    <w:rPr>
      <w:rFonts w:ascii="宋体" w:hAnsi="Courier New" w:eastAsia="楷体_GB2312"/>
      <w:sz w:val="26"/>
      <w:szCs w:val="20"/>
    </w:rPr>
  </w:style>
  <w:style w:type="paragraph" w:customStyle="1" w:styleId="470">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471">
    <w:name w:val="样式"/>
    <w:basedOn w:val="1"/>
    <w:qFormat/>
    <w:uiPriority w:val="0"/>
    <w:pPr>
      <w:autoSpaceDE w:val="0"/>
      <w:autoSpaceDN w:val="0"/>
      <w:adjustRightInd w:val="0"/>
      <w:snapToGrid w:val="0"/>
      <w:spacing w:before="120" w:after="120" w:line="360" w:lineRule="auto"/>
      <w:jc w:val="left"/>
    </w:pPr>
    <w:rPr>
      <w:rFonts w:ascii="宋体"/>
      <w:kern w:val="0"/>
      <w:sz w:val="24"/>
      <w:szCs w:val="20"/>
    </w:rPr>
  </w:style>
  <w:style w:type="paragraph" w:customStyle="1" w:styleId="472">
    <w:name w:val="xl96"/>
    <w:basedOn w:val="1"/>
    <w:qFormat/>
    <w:uiPriority w:val="0"/>
    <w:pPr>
      <w:widowControl/>
      <w:pBdr>
        <w:top w:val="single" w:color="auto" w:sz="8" w:space="0"/>
        <w:left w:val="single" w:color="auto" w:sz="8"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473">
    <w:name w:val="普通正文"/>
    <w:basedOn w:val="1"/>
    <w:qFormat/>
    <w:uiPriority w:val="0"/>
    <w:pPr>
      <w:adjustRightInd w:val="0"/>
      <w:spacing w:before="100" w:line="360" w:lineRule="auto"/>
      <w:textAlignment w:val="baseline"/>
    </w:pPr>
    <w:rPr>
      <w:rFonts w:ascii="宋体"/>
      <w:kern w:val="0"/>
      <w:sz w:val="24"/>
      <w:szCs w:val="20"/>
    </w:rPr>
  </w:style>
  <w:style w:type="paragraph" w:customStyle="1" w:styleId="474">
    <w:name w:val="表格文字（大）"/>
    <w:basedOn w:val="1"/>
    <w:qFormat/>
    <w:uiPriority w:val="0"/>
    <w:pPr>
      <w:autoSpaceDE w:val="0"/>
      <w:autoSpaceDN w:val="0"/>
      <w:adjustRightInd w:val="0"/>
      <w:spacing w:before="20" w:after="20"/>
      <w:jc w:val="left"/>
    </w:pPr>
    <w:rPr>
      <w:rFonts w:ascii="Century Gothic" w:hAnsi="Century Gothic" w:cs="Century Gothic"/>
      <w:kern w:val="0"/>
      <w:sz w:val="24"/>
      <w:szCs w:val="20"/>
    </w:rPr>
  </w:style>
  <w:style w:type="paragraph" w:customStyle="1" w:styleId="475">
    <w:name w:val="xl113"/>
    <w:basedOn w:val="1"/>
    <w:qFormat/>
    <w:uiPriority w:val="0"/>
    <w:pPr>
      <w:widowControl/>
      <w:pBdr>
        <w:top w:val="single" w:color="auto" w:sz="4" w:space="0"/>
        <w:left w:val="single" w:color="auto" w:sz="8" w:space="0"/>
        <w:bottom w:val="single" w:color="auto" w:sz="4" w:space="0"/>
        <w:right w:val="single" w:color="auto" w:sz="4"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476">
    <w:name w:val="表格正文"/>
    <w:basedOn w:val="18"/>
    <w:qFormat/>
    <w:uiPriority w:val="0"/>
    <w:pPr>
      <w:adjustRightInd/>
      <w:spacing w:beforeLines="30" w:afterLines="20" w:line="360" w:lineRule="auto"/>
      <w:ind w:firstLine="0"/>
      <w:textAlignment w:val="auto"/>
    </w:pPr>
    <w:rPr>
      <w:rFonts w:ascii="Arial" w:hAnsi="Arial"/>
      <w:kern w:val="2"/>
      <w:szCs w:val="21"/>
    </w:rPr>
  </w:style>
  <w:style w:type="paragraph" w:customStyle="1" w:styleId="477">
    <w:name w:val="xl99"/>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478">
    <w:name w:val="Pa8"/>
    <w:basedOn w:val="1"/>
    <w:next w:val="1"/>
    <w:qFormat/>
    <w:uiPriority w:val="0"/>
    <w:pPr>
      <w:autoSpaceDE w:val="0"/>
      <w:autoSpaceDN w:val="0"/>
      <w:adjustRightInd w:val="0"/>
      <w:spacing w:after="20" w:line="141" w:lineRule="atLeast"/>
      <w:jc w:val="left"/>
    </w:pPr>
    <w:rPr>
      <w:rFonts w:ascii="Univers LT Std 47 Cn Lt" w:eastAsia="Univers LT Std 47 Cn Lt"/>
      <w:kern w:val="0"/>
      <w:sz w:val="24"/>
    </w:rPr>
  </w:style>
  <w:style w:type="paragraph" w:customStyle="1" w:styleId="479">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480">
    <w:name w:val="Char Char Char Char Char Char Char Char Char1 Char"/>
    <w:basedOn w:val="1"/>
    <w:qFormat/>
    <w:uiPriority w:val="0"/>
  </w:style>
  <w:style w:type="paragraph" w:customStyle="1" w:styleId="481">
    <w:name w:val="样式 标题 3 + 黑体 小四 非加粗"/>
    <w:basedOn w:val="8"/>
    <w:qFormat/>
    <w:uiPriority w:val="0"/>
    <w:pPr>
      <w:spacing w:line="413" w:lineRule="auto"/>
    </w:pPr>
    <w:rPr>
      <w:rFonts w:ascii="黑体" w:hAnsi="黑体"/>
      <w:kern w:val="0"/>
      <w:sz w:val="24"/>
    </w:rPr>
  </w:style>
  <w:style w:type="paragraph" w:customStyle="1" w:styleId="482">
    <w:name w:val="列出段落6"/>
    <w:basedOn w:val="1"/>
    <w:qFormat/>
    <w:uiPriority w:val="0"/>
    <w:pPr>
      <w:ind w:firstLine="420" w:firstLineChars="200"/>
    </w:pPr>
  </w:style>
  <w:style w:type="paragraph" w:customStyle="1" w:styleId="483">
    <w:name w:val="xl91"/>
    <w:basedOn w:val="1"/>
    <w:qFormat/>
    <w:uiPriority w:val="0"/>
    <w:pPr>
      <w:widowControl/>
      <w:pBdr>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84">
    <w:name w:val="此正文"/>
    <w:basedOn w:val="1"/>
    <w:qFormat/>
    <w:uiPriority w:val="0"/>
    <w:pPr>
      <w:autoSpaceDE w:val="0"/>
      <w:autoSpaceDN w:val="0"/>
      <w:adjustRightInd w:val="0"/>
      <w:spacing w:line="360" w:lineRule="auto"/>
      <w:ind w:firstLine="200" w:firstLineChars="200"/>
      <w:jc w:val="left"/>
    </w:pPr>
    <w:rPr>
      <w:kern w:val="0"/>
      <w:sz w:val="24"/>
      <w:szCs w:val="20"/>
    </w:rPr>
  </w:style>
  <w:style w:type="paragraph" w:customStyle="1" w:styleId="485">
    <w:name w:val="图表脚注"/>
    <w:next w:val="486"/>
    <w:qFormat/>
    <w:uiPriority w:val="0"/>
    <w:pPr>
      <w:tabs>
        <w:tab w:val="left" w:pos="3080"/>
      </w:tabs>
      <w:ind w:left="300" w:leftChars="200" w:hanging="100" w:hangingChars="100"/>
      <w:jc w:val="both"/>
    </w:pPr>
    <w:rPr>
      <w:rFonts w:ascii="宋体" w:hAnsi="Times New Roman" w:eastAsia="宋体" w:cs="Times New Roman"/>
      <w:sz w:val="18"/>
      <w:lang w:val="en-US" w:eastAsia="zh-CN" w:bidi="ar-SA"/>
    </w:rPr>
  </w:style>
  <w:style w:type="paragraph" w:customStyle="1" w:styleId="48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487">
    <w:name w:val="xl102"/>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488">
    <w:name w:val="方案文档"/>
    <w:basedOn w:val="1"/>
    <w:qFormat/>
    <w:uiPriority w:val="0"/>
    <w:pPr>
      <w:spacing w:before="120" w:after="120" w:line="360" w:lineRule="auto"/>
      <w:ind w:left="210" w:leftChars="100" w:right="210" w:rightChars="100" w:firstLine="567"/>
    </w:pPr>
    <w:rPr>
      <w:rFonts w:ascii="Arial" w:hAnsi="Arial"/>
      <w:sz w:val="24"/>
    </w:rPr>
  </w:style>
  <w:style w:type="paragraph" w:customStyle="1" w:styleId="489">
    <w:name w:val="样式_4"/>
    <w:basedOn w:val="9"/>
    <w:next w:val="9"/>
    <w:qFormat/>
    <w:uiPriority w:val="0"/>
    <w:pPr>
      <w:keepNext w:val="0"/>
      <w:tabs>
        <w:tab w:val="left" w:pos="851"/>
      </w:tabs>
      <w:adjustRightInd w:val="0"/>
      <w:spacing w:line="240" w:lineRule="exact"/>
      <w:ind w:left="851" w:hanging="851"/>
      <w:textAlignment w:val="baseline"/>
    </w:pPr>
    <w:rPr>
      <w:rFonts w:ascii="宋体" w:hAnsi="宋体"/>
      <w:color w:val="000000"/>
      <w:sz w:val="24"/>
    </w:rPr>
  </w:style>
  <w:style w:type="paragraph" w:customStyle="1" w:styleId="490">
    <w:name w:val="图表1"/>
    <w:basedOn w:val="1"/>
    <w:qFormat/>
    <w:uiPriority w:val="0"/>
    <w:pPr>
      <w:jc w:val="center"/>
    </w:pPr>
    <w:rPr>
      <w:sz w:val="20"/>
    </w:rPr>
  </w:style>
  <w:style w:type="paragraph" w:customStyle="1" w:styleId="491">
    <w:name w:val="Table Heading"/>
    <w:qFormat/>
    <w:uiPriority w:val="0"/>
    <w:pPr>
      <w:keepNext/>
      <w:snapToGrid w:val="0"/>
      <w:spacing w:before="80" w:after="80"/>
      <w:jc w:val="center"/>
    </w:pPr>
    <w:rPr>
      <w:rFonts w:ascii="Times New Roman" w:hAnsi="Times New Roman" w:eastAsia="黑体" w:cs="Arial"/>
      <w:kern w:val="2"/>
      <w:sz w:val="18"/>
      <w:szCs w:val="18"/>
      <w:lang w:val="en-US" w:eastAsia="zh-CN" w:bidi="ar-SA"/>
    </w:rPr>
  </w:style>
  <w:style w:type="paragraph" w:customStyle="1" w:styleId="492">
    <w:name w:val="Char3 Char Char Char Char Char Char"/>
    <w:basedOn w:val="1"/>
    <w:qFormat/>
    <w:uiPriority w:val="0"/>
    <w:pPr>
      <w:spacing w:line="360" w:lineRule="auto"/>
    </w:pPr>
    <w:rPr>
      <w:rFonts w:ascii="Arial" w:hAnsi="Arial" w:eastAsia="黑体" w:cs="Arial"/>
      <w:snapToGrid w:val="0"/>
      <w:kern w:val="0"/>
      <w:szCs w:val="21"/>
    </w:rPr>
  </w:style>
  <w:style w:type="paragraph" w:customStyle="1" w:styleId="493">
    <w:name w:val="1级"/>
    <w:basedOn w:val="6"/>
    <w:next w:val="26"/>
    <w:qFormat/>
    <w:uiPriority w:val="0"/>
    <w:pPr>
      <w:keepLines/>
      <w:pageBreakBefore/>
      <w:spacing w:before="340" w:after="330" w:line="578" w:lineRule="auto"/>
      <w:ind w:left="845" w:hanging="425"/>
      <w:jc w:val="left"/>
    </w:pPr>
    <w:rPr>
      <w:rFonts w:ascii="Calibri" w:hAnsi="Calibri" w:eastAsia="宋体"/>
      <w:kern w:val="44"/>
      <w:sz w:val="32"/>
      <w:szCs w:val="32"/>
    </w:rPr>
  </w:style>
  <w:style w:type="paragraph" w:customStyle="1" w:styleId="494">
    <w:name w:val="默认段落字体 Para Char Char Char Char Char Char Char Char Char1 Char Char Char Char Char Char Char"/>
    <w:basedOn w:val="21"/>
    <w:qFormat/>
    <w:uiPriority w:val="0"/>
    <w:rPr>
      <w:rFonts w:ascii="Tahoma" w:hAnsi="Tahoma"/>
      <w:sz w:val="24"/>
    </w:rPr>
  </w:style>
  <w:style w:type="paragraph" w:customStyle="1" w:styleId="49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496">
    <w:name w:val="xl89"/>
    <w:basedOn w:val="1"/>
    <w:qFormat/>
    <w:uiPriority w:val="0"/>
    <w:pPr>
      <w:widowControl/>
      <w:spacing w:before="100" w:beforeAutospacing="1" w:after="100" w:afterAutospacing="1"/>
      <w:jc w:val="left"/>
    </w:pPr>
    <w:rPr>
      <w:rFonts w:ascii="宋体" w:hAnsi="宋体" w:cs="宋体"/>
      <w:kern w:val="0"/>
      <w:sz w:val="24"/>
    </w:rPr>
  </w:style>
  <w:style w:type="paragraph" w:customStyle="1" w:styleId="497">
    <w:name w:val="标题 4P"/>
    <w:basedOn w:val="9"/>
    <w:next w:val="18"/>
    <w:qFormat/>
    <w:uiPriority w:val="0"/>
    <w:pPr>
      <w:keepNext w:val="0"/>
      <w:keepLines w:val="0"/>
      <w:tabs>
        <w:tab w:val="left" w:pos="864"/>
        <w:tab w:val="left" w:pos="1716"/>
        <w:tab w:val="left" w:pos="1800"/>
      </w:tabs>
      <w:adjustRightInd w:val="0"/>
      <w:spacing w:before="0" w:after="0" w:line="240" w:lineRule="atLeast"/>
      <w:ind w:left="482" w:hanging="482" w:hangingChars="200"/>
      <w:textAlignment w:val="baseline"/>
    </w:pPr>
    <w:rPr>
      <w:rFonts w:ascii="Times New Roman" w:hAnsi="Times New Roman" w:cs="宋体"/>
      <w:sz w:val="24"/>
      <w:szCs w:val="24"/>
    </w:rPr>
  </w:style>
  <w:style w:type="paragraph" w:customStyle="1" w:styleId="498">
    <w:name w:val="标题3"/>
    <w:basedOn w:val="8"/>
    <w:qFormat/>
    <w:uiPriority w:val="0"/>
    <w:pPr>
      <w:spacing w:line="416" w:lineRule="auto"/>
      <w:ind w:left="1260" w:hanging="420"/>
      <w:jc w:val="left"/>
    </w:pPr>
    <w:rPr>
      <w:rFonts w:cs="Arial"/>
    </w:rPr>
  </w:style>
  <w:style w:type="paragraph" w:customStyle="1" w:styleId="499">
    <w:name w:val="保留正文"/>
    <w:basedOn w:val="3"/>
    <w:qFormat/>
    <w:uiPriority w:val="0"/>
    <w:pPr>
      <w:keepNext/>
      <w:spacing w:after="160"/>
    </w:pPr>
    <w:rPr>
      <w:rFonts w:ascii="仿宋_GB2312"/>
      <w:b/>
    </w:rPr>
  </w:style>
  <w:style w:type="paragraph" w:customStyle="1" w:styleId="500">
    <w:name w:val="xl35"/>
    <w:basedOn w:val="1"/>
    <w:qFormat/>
    <w:uiPriority w:val="0"/>
    <w:pPr>
      <w:widowControl/>
      <w:pBdr>
        <w:left w:val="single" w:color="auto" w:sz="4" w:space="0"/>
        <w:bottom w:val="single" w:color="auto" w:sz="4" w:space="0"/>
        <w:right w:val="single" w:color="auto" w:sz="4" w:space="0"/>
      </w:pBdr>
      <w:spacing w:before="100" w:beforeAutospacing="1" w:after="100" w:afterAutospacing="1"/>
      <w:textAlignment w:val="center"/>
    </w:pPr>
    <w:rPr>
      <w:rFonts w:ascii="Arial Unicode MS" w:hAnsi="Arial Unicode MS" w:eastAsia="Arial Unicode MS"/>
      <w:kern w:val="0"/>
      <w:sz w:val="24"/>
    </w:rPr>
  </w:style>
  <w:style w:type="paragraph" w:customStyle="1" w:styleId="501">
    <w:name w:val="正文样式 首行缩进:  0.74 厘米"/>
    <w:basedOn w:val="1"/>
    <w:qFormat/>
    <w:uiPriority w:val="0"/>
    <w:pPr>
      <w:autoSpaceDE w:val="0"/>
      <w:autoSpaceDN w:val="0"/>
      <w:adjustRightInd w:val="0"/>
      <w:spacing w:beforeLines="50" w:line="360" w:lineRule="auto"/>
      <w:ind w:firstLine="420"/>
      <w:jc w:val="left"/>
    </w:pPr>
    <w:rPr>
      <w:rFonts w:cs="宋体"/>
      <w:kern w:val="0"/>
      <w:sz w:val="24"/>
      <w:szCs w:val="20"/>
    </w:rPr>
  </w:style>
  <w:style w:type="paragraph" w:customStyle="1" w:styleId="50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50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504">
    <w:name w:val="列表段落1"/>
    <w:basedOn w:val="1"/>
    <w:qFormat/>
    <w:uiPriority w:val="99"/>
    <w:pPr>
      <w:spacing w:before="120" w:after="120"/>
      <w:ind w:firstLine="420"/>
    </w:pPr>
    <w:rPr>
      <w:rFonts w:ascii="宋体" w:hAnsi="宋体" w:eastAsia="仿宋"/>
      <w:sz w:val="24"/>
    </w:rPr>
  </w:style>
  <w:style w:type="paragraph" w:customStyle="1" w:styleId="505">
    <w:name w:val="样式 首行缩进:  2 字符"/>
    <w:basedOn w:val="1"/>
    <w:qFormat/>
    <w:uiPriority w:val="0"/>
    <w:pPr>
      <w:widowControl/>
      <w:tabs>
        <w:tab w:val="left" w:pos="420"/>
      </w:tabs>
      <w:ind w:left="420" w:hanging="420"/>
    </w:pPr>
    <w:rPr>
      <w:rFonts w:ascii="宋体" w:hAnsi="宋体" w:cs="宋体"/>
      <w:bCs/>
      <w:color w:val="000000"/>
      <w:kern w:val="0"/>
      <w:sz w:val="24"/>
    </w:rPr>
  </w:style>
  <w:style w:type="paragraph" w:customStyle="1" w:styleId="506">
    <w:name w:val="xl6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507">
    <w:name w:val="正文段"/>
    <w:basedOn w:val="1"/>
    <w:qFormat/>
    <w:uiPriority w:val="0"/>
    <w:pPr>
      <w:widowControl/>
      <w:snapToGrid w:val="0"/>
      <w:spacing w:afterLines="50"/>
      <w:ind w:firstLine="200" w:firstLineChars="200"/>
    </w:pPr>
    <w:rPr>
      <w:kern w:val="0"/>
      <w:sz w:val="24"/>
      <w:szCs w:val="20"/>
    </w:rPr>
  </w:style>
  <w:style w:type="paragraph" w:customStyle="1" w:styleId="508">
    <w:name w:val="百姓X"/>
    <w:basedOn w:val="1"/>
    <w:qFormat/>
    <w:uiPriority w:val="0"/>
    <w:pPr>
      <w:spacing w:before="120" w:after="120" w:line="360" w:lineRule="auto"/>
      <w:ind w:firstLine="540"/>
    </w:pPr>
    <w:rPr>
      <w:rFonts w:ascii="宋体" w:hAnsi="宋体"/>
      <w:sz w:val="24"/>
      <w:szCs w:val="28"/>
    </w:rPr>
  </w:style>
  <w:style w:type="paragraph" w:customStyle="1" w:styleId="509">
    <w:name w:val="T4"/>
    <w:basedOn w:val="1"/>
    <w:qFormat/>
    <w:uiPriority w:val="0"/>
    <w:pPr>
      <w:adjustRightInd w:val="0"/>
      <w:spacing w:line="360" w:lineRule="atLeast"/>
    </w:pPr>
    <w:rPr>
      <w:rFonts w:ascii="宋体"/>
      <w:kern w:val="0"/>
      <w:sz w:val="22"/>
      <w:szCs w:val="20"/>
    </w:rPr>
  </w:style>
  <w:style w:type="paragraph" w:customStyle="1" w:styleId="510">
    <w:name w:val="1"/>
    <w:basedOn w:val="1"/>
    <w:qFormat/>
    <w:uiPriority w:val="0"/>
  </w:style>
  <w:style w:type="paragraph" w:customStyle="1" w:styleId="511">
    <w:name w:val="Heading #2|1"/>
    <w:basedOn w:val="1"/>
    <w:qFormat/>
    <w:uiPriority w:val="0"/>
    <w:pPr>
      <w:shd w:val="clear" w:color="auto" w:fill="FFFFFF"/>
      <w:spacing w:line="280" w:lineRule="exact"/>
      <w:outlineLvl w:val="1"/>
    </w:pPr>
    <w:rPr>
      <w:rFonts w:ascii="PMingLiU" w:hAnsi="PMingLiU" w:eastAsia="PMingLiU" w:cs="PMingLiU"/>
      <w:b/>
      <w:bCs/>
      <w:spacing w:val="20"/>
      <w:sz w:val="28"/>
      <w:szCs w:val="28"/>
    </w:rPr>
  </w:style>
  <w:style w:type="paragraph" w:customStyle="1" w:styleId="512">
    <w:name w:val="正文5"/>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513">
    <w:name w:val="样式 正文缩进 + 首行缩进:  2 字符"/>
    <w:basedOn w:val="18"/>
    <w:qFormat/>
    <w:uiPriority w:val="0"/>
    <w:pPr>
      <w:adjustRightInd/>
      <w:spacing w:line="360" w:lineRule="auto"/>
      <w:ind w:firstLine="200" w:firstLineChars="200"/>
      <w:textAlignment w:val="auto"/>
    </w:pPr>
    <w:rPr>
      <w:rFonts w:cs="宋体"/>
      <w:kern w:val="2"/>
      <w:sz w:val="24"/>
    </w:rPr>
  </w:style>
  <w:style w:type="paragraph" w:customStyle="1" w:styleId="514">
    <w:name w:val="xl110"/>
    <w:basedOn w:val="1"/>
    <w:qFormat/>
    <w:uiPriority w:val="0"/>
    <w:pPr>
      <w:widowControl/>
      <w:pBdr>
        <w:top w:val="single" w:color="auto" w:sz="4" w:space="0"/>
        <w:left w:val="single" w:color="auto" w:sz="8" w:space="0"/>
        <w:bottom w:val="single" w:color="auto" w:sz="4" w:space="0"/>
        <w:right w:val="single" w:color="auto" w:sz="4"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515">
    <w:name w:val="样式 标题 4正文四级标题 + 宋体 小五 行距: 固定值 12 磅"/>
    <w:basedOn w:val="9"/>
    <w:qFormat/>
    <w:uiPriority w:val="0"/>
    <w:pPr>
      <w:keepNext w:val="0"/>
      <w:tabs>
        <w:tab w:val="left" w:pos="2160"/>
      </w:tabs>
      <w:adjustRightInd w:val="0"/>
      <w:spacing w:line="240" w:lineRule="exact"/>
      <w:ind w:left="2160" w:hanging="420"/>
      <w:textAlignment w:val="baseline"/>
    </w:pPr>
    <w:rPr>
      <w:rFonts w:ascii="宋体" w:hAnsi="宋体" w:cs="宋体"/>
      <w:color w:val="000000"/>
      <w:sz w:val="18"/>
      <w:szCs w:val="32"/>
    </w:rPr>
  </w:style>
  <w:style w:type="paragraph" w:customStyle="1" w:styleId="516">
    <w:name w:val="Char Char12"/>
    <w:basedOn w:val="1"/>
    <w:qFormat/>
    <w:uiPriority w:val="0"/>
    <w:pPr>
      <w:widowControl/>
      <w:spacing w:after="160" w:line="240" w:lineRule="exact"/>
      <w:jc w:val="left"/>
    </w:pPr>
    <w:rPr>
      <w:rFonts w:ascii="Verdana" w:hAnsi="Verdana" w:eastAsia="楷体_GB2312"/>
      <w:b/>
      <w:i/>
      <w:iCs/>
      <w:color w:val="000000"/>
      <w:kern w:val="0"/>
      <w:sz w:val="20"/>
      <w:szCs w:val="20"/>
      <w:lang w:eastAsia="en-US"/>
    </w:rPr>
  </w:style>
  <w:style w:type="paragraph" w:customStyle="1" w:styleId="517">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18">
    <w:name w:val="xl101"/>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center"/>
    </w:pPr>
    <w:rPr>
      <w:rFonts w:ascii="Arial" w:hAnsi="Arial" w:cs="Arial"/>
      <w:kern w:val="0"/>
      <w:sz w:val="22"/>
      <w:szCs w:val="22"/>
    </w:rPr>
  </w:style>
  <w:style w:type="paragraph" w:customStyle="1" w:styleId="519">
    <w:name w:val="xl8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0">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1">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22">
    <w:name w:val="内文正文"/>
    <w:basedOn w:val="32"/>
    <w:qFormat/>
    <w:uiPriority w:val="0"/>
    <w:pPr>
      <w:adjustRightInd w:val="0"/>
      <w:snapToGrid w:val="0"/>
      <w:spacing w:line="400" w:lineRule="exact"/>
      <w:ind w:firstLine="200" w:firstLineChars="200"/>
    </w:pPr>
    <w:rPr>
      <w:rFonts w:ascii="Arial" w:hAnsi="Arial" w:cs="Courier New"/>
      <w:b/>
      <w:color w:val="000000"/>
      <w:kern w:val="0"/>
      <w:szCs w:val="21"/>
    </w:rPr>
  </w:style>
  <w:style w:type="paragraph" w:customStyle="1" w:styleId="523">
    <w:name w:val="features1"/>
    <w:basedOn w:val="1"/>
    <w:qFormat/>
    <w:uiPriority w:val="0"/>
    <w:pPr>
      <w:widowControl/>
      <w:spacing w:before="100" w:beforeAutospacing="1" w:after="100" w:afterAutospacing="1"/>
      <w:jc w:val="left"/>
    </w:pPr>
    <w:rPr>
      <w:rFonts w:ascii="宋体" w:hAnsi="宋体" w:cs="宋体"/>
      <w:b/>
      <w:bCs/>
      <w:kern w:val="0"/>
      <w:sz w:val="18"/>
      <w:szCs w:val="18"/>
    </w:rPr>
  </w:style>
  <w:style w:type="paragraph" w:customStyle="1" w:styleId="524">
    <w:name w:val="样式 四号 行距: 1.5 倍行距"/>
    <w:basedOn w:val="1"/>
    <w:qFormat/>
    <w:uiPriority w:val="0"/>
    <w:pPr>
      <w:spacing w:line="312" w:lineRule="auto"/>
      <w:ind w:firstLine="202" w:firstLineChars="202"/>
    </w:pPr>
    <w:rPr>
      <w:rFonts w:cs="宋体"/>
      <w:sz w:val="24"/>
      <w:szCs w:val="20"/>
    </w:rPr>
  </w:style>
  <w:style w:type="paragraph" w:customStyle="1" w:styleId="525">
    <w:name w:val="默认段落字体 Para Char Char Char Char Char Char Char Char Char1 Char Char Char Char"/>
    <w:basedOn w:val="1"/>
    <w:qFormat/>
    <w:uiPriority w:val="0"/>
    <w:rPr>
      <w:rFonts w:ascii="Tahoma" w:hAnsi="Tahoma"/>
      <w:sz w:val="24"/>
      <w:szCs w:val="20"/>
    </w:rPr>
  </w:style>
  <w:style w:type="paragraph" w:customStyle="1" w:styleId="526">
    <w:name w:val="Char Char Char Char Char Char Char"/>
    <w:basedOn w:val="1"/>
    <w:next w:val="1"/>
    <w:qFormat/>
    <w:uiPriority w:val="0"/>
    <w:pPr>
      <w:tabs>
        <w:tab w:val="left" w:pos="425"/>
      </w:tabs>
      <w:spacing w:beforeLines="50" w:afterLines="100" w:line="360" w:lineRule="auto"/>
      <w:ind w:left="1105" w:hanging="748"/>
      <w:jc w:val="center"/>
    </w:pPr>
    <w:rPr>
      <w:szCs w:val="20"/>
    </w:rPr>
  </w:style>
  <w:style w:type="paragraph" w:customStyle="1" w:styleId="527">
    <w:name w:val="二级条标题"/>
    <w:basedOn w:val="528"/>
    <w:next w:val="1"/>
    <w:qFormat/>
    <w:uiPriority w:val="0"/>
    <w:pPr>
      <w:tabs>
        <w:tab w:val="left" w:pos="360"/>
      </w:tabs>
      <w:outlineLvl w:val="3"/>
    </w:pPr>
  </w:style>
  <w:style w:type="paragraph" w:customStyle="1" w:styleId="528">
    <w:name w:val="一级条标题"/>
    <w:next w:val="1"/>
    <w:qFormat/>
    <w:uiPriority w:val="0"/>
    <w:pPr>
      <w:tabs>
        <w:tab w:val="left" w:pos="360"/>
      </w:tabs>
      <w:outlineLvl w:val="2"/>
    </w:pPr>
    <w:rPr>
      <w:rFonts w:ascii="Times New Roman" w:hAnsi="Times New Roman" w:eastAsia="黑体" w:cs="Times New Roman"/>
      <w:sz w:val="21"/>
      <w:lang w:val="en-US" w:eastAsia="zh-CN" w:bidi="ar-SA"/>
    </w:rPr>
  </w:style>
  <w:style w:type="paragraph" w:customStyle="1" w:styleId="529">
    <w:name w:val="Char12"/>
    <w:basedOn w:val="1"/>
    <w:qFormat/>
    <w:uiPriority w:val="0"/>
    <w:rPr>
      <w:rFonts w:ascii="Tahoma" w:hAnsi="Tahoma"/>
      <w:sz w:val="24"/>
      <w:szCs w:val="20"/>
    </w:rPr>
  </w:style>
  <w:style w:type="paragraph" w:customStyle="1" w:styleId="530">
    <w:name w:val="列表内容"/>
    <w:basedOn w:val="1"/>
    <w:next w:val="1"/>
    <w:qFormat/>
    <w:uiPriority w:val="0"/>
    <w:pPr>
      <w:widowControl/>
      <w:autoSpaceDE w:val="0"/>
      <w:autoSpaceDN w:val="0"/>
      <w:adjustRightInd w:val="0"/>
      <w:ind w:firstLine="200"/>
      <w:jc w:val="left"/>
    </w:pPr>
    <w:rPr>
      <w:kern w:val="0"/>
      <w:sz w:val="18"/>
      <w:szCs w:val="20"/>
    </w:rPr>
  </w:style>
  <w:style w:type="paragraph" w:customStyle="1" w:styleId="531">
    <w:name w:val="部分1"/>
    <w:basedOn w:val="1"/>
    <w:qFormat/>
    <w:uiPriority w:val="0"/>
    <w:pPr>
      <w:keepNext/>
      <w:pageBreakBefore/>
      <w:tabs>
        <w:tab w:val="left" w:pos="720"/>
      </w:tabs>
      <w:autoSpaceDE w:val="0"/>
      <w:autoSpaceDN w:val="0"/>
      <w:adjustRightInd w:val="0"/>
      <w:spacing w:line="360" w:lineRule="auto"/>
      <w:jc w:val="center"/>
      <w:outlineLvl w:val="0"/>
    </w:pPr>
    <w:rPr>
      <w:rFonts w:eastAsia="黑体"/>
      <w:b/>
      <w:kern w:val="44"/>
      <w:sz w:val="36"/>
      <w:szCs w:val="20"/>
    </w:rPr>
  </w:style>
  <w:style w:type="paragraph" w:customStyle="1" w:styleId="532">
    <w:name w:val="Char Char Char Char Char Char Char Char Char Char Char Char Char Char"/>
    <w:basedOn w:val="1"/>
    <w:qFormat/>
    <w:uiPriority w:val="0"/>
    <w:pPr>
      <w:widowControl/>
      <w:spacing w:after="160" w:line="240" w:lineRule="exact"/>
      <w:jc w:val="left"/>
    </w:pPr>
    <w:rPr>
      <w:bCs/>
    </w:rPr>
  </w:style>
  <w:style w:type="paragraph" w:customStyle="1" w:styleId="533">
    <w:name w:val="Char Char1 Char Char Char Char Char Char Char Char Char Char Char Char Char Char"/>
    <w:basedOn w:val="1"/>
    <w:qFormat/>
    <w:uiPriority w:val="0"/>
    <w:pPr>
      <w:widowControl/>
      <w:autoSpaceDE w:val="0"/>
      <w:autoSpaceDN w:val="0"/>
      <w:adjustRightInd w:val="0"/>
      <w:spacing w:after="160" w:line="240" w:lineRule="exact"/>
      <w:jc w:val="left"/>
    </w:pPr>
    <w:rPr>
      <w:kern w:val="0"/>
      <w:sz w:val="20"/>
      <w:szCs w:val="20"/>
    </w:rPr>
  </w:style>
  <w:style w:type="paragraph" w:customStyle="1" w:styleId="534">
    <w:name w:val="样式 标题 1Level 1Level 11h1II+IHeading1H1-Heading 1Header 1..."/>
    <w:basedOn w:val="6"/>
    <w:qFormat/>
    <w:uiPriority w:val="0"/>
    <w:pPr>
      <w:keepLines/>
      <w:pageBreakBefore/>
      <w:spacing w:before="100" w:after="100" w:line="360" w:lineRule="auto"/>
      <w:ind w:left="1680" w:hanging="420"/>
      <w:jc w:val="left"/>
    </w:pPr>
    <w:rPr>
      <w:rFonts w:ascii="Arial" w:hAnsi="Arial" w:eastAsia="黑体" w:cs="宋体"/>
      <w:kern w:val="44"/>
      <w:sz w:val="44"/>
      <w:szCs w:val="20"/>
    </w:rPr>
  </w:style>
  <w:style w:type="paragraph" w:customStyle="1" w:styleId="535">
    <w:name w:val="正文 首行缩进:  2 字符 Char"/>
    <w:basedOn w:val="1"/>
    <w:qFormat/>
    <w:uiPriority w:val="0"/>
    <w:pPr>
      <w:spacing w:line="360" w:lineRule="auto"/>
      <w:ind w:firstLine="480"/>
    </w:pPr>
    <w:rPr>
      <w:rFonts w:cs="宋体"/>
      <w:sz w:val="24"/>
      <w:szCs w:val="20"/>
    </w:rPr>
  </w:style>
  <w:style w:type="paragraph" w:customStyle="1" w:styleId="536">
    <w:name w:val="_Style 341"/>
    <w:next w:val="1"/>
    <w:unhideWhenUsed/>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37">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38">
    <w:name w:val="五级条标题"/>
    <w:basedOn w:val="539"/>
    <w:next w:val="1"/>
    <w:qFormat/>
    <w:uiPriority w:val="0"/>
    <w:pPr>
      <w:tabs>
        <w:tab w:val="left" w:pos="360"/>
      </w:tabs>
      <w:outlineLvl w:val="6"/>
    </w:pPr>
  </w:style>
  <w:style w:type="paragraph" w:customStyle="1" w:styleId="539">
    <w:name w:val="四级条标题"/>
    <w:basedOn w:val="540"/>
    <w:next w:val="1"/>
    <w:qFormat/>
    <w:uiPriority w:val="0"/>
    <w:pPr>
      <w:tabs>
        <w:tab w:val="left" w:pos="360"/>
      </w:tabs>
      <w:outlineLvl w:val="5"/>
    </w:pPr>
  </w:style>
  <w:style w:type="paragraph" w:customStyle="1" w:styleId="540">
    <w:name w:val="三级条标题"/>
    <w:basedOn w:val="527"/>
    <w:next w:val="1"/>
    <w:qFormat/>
    <w:uiPriority w:val="0"/>
    <w:pPr>
      <w:outlineLvl w:val="4"/>
    </w:pPr>
  </w:style>
  <w:style w:type="paragraph" w:customStyle="1" w:styleId="541">
    <w:name w:val="Body text|25"/>
    <w:basedOn w:val="1"/>
    <w:qFormat/>
    <w:uiPriority w:val="0"/>
    <w:pPr>
      <w:shd w:val="clear" w:color="auto" w:fill="FFFFFF"/>
      <w:spacing w:before="120" w:line="341" w:lineRule="exact"/>
      <w:ind w:hanging="100"/>
      <w:jc w:val="distribute"/>
    </w:pPr>
    <w:rPr>
      <w:rFonts w:ascii="PMingLiU" w:hAnsi="PMingLiU" w:eastAsia="PMingLiU" w:cs="PMingLiU"/>
      <w:sz w:val="20"/>
      <w:szCs w:val="20"/>
    </w:rPr>
  </w:style>
  <w:style w:type="paragraph" w:customStyle="1" w:styleId="542">
    <w:name w:val="xl98"/>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center"/>
    </w:pPr>
    <w:rPr>
      <w:rFonts w:ascii="Arial" w:hAnsi="Arial" w:cs="Arial"/>
      <w:b/>
      <w:bCs/>
      <w:kern w:val="0"/>
      <w:sz w:val="24"/>
    </w:rPr>
  </w:style>
  <w:style w:type="paragraph" w:customStyle="1" w:styleId="543">
    <w:name w:val="Pa3"/>
    <w:basedOn w:val="1"/>
    <w:next w:val="1"/>
    <w:qFormat/>
    <w:uiPriority w:val="0"/>
    <w:pPr>
      <w:autoSpaceDE w:val="0"/>
      <w:autoSpaceDN w:val="0"/>
      <w:adjustRightInd w:val="0"/>
      <w:spacing w:line="191" w:lineRule="atLeast"/>
      <w:jc w:val="left"/>
    </w:pPr>
    <w:rPr>
      <w:rFonts w:ascii="Linotype Univers 330 Light" w:eastAsia="Linotype Univers 330 Light"/>
      <w:kern w:val="0"/>
      <w:sz w:val="24"/>
    </w:rPr>
  </w:style>
  <w:style w:type="paragraph" w:customStyle="1" w:styleId="544">
    <w:name w:val="正文缩进2"/>
    <w:basedOn w:val="1"/>
    <w:qFormat/>
    <w:uiPriority w:val="0"/>
    <w:pPr>
      <w:ind w:firstLine="420"/>
    </w:pPr>
    <w:rPr>
      <w:szCs w:val="20"/>
    </w:rPr>
  </w:style>
  <w:style w:type="paragraph" w:customStyle="1" w:styleId="545">
    <w:name w:val="方案"/>
    <w:basedOn w:val="1"/>
    <w:qFormat/>
    <w:uiPriority w:val="0"/>
    <w:pPr>
      <w:jc w:val="right"/>
    </w:pPr>
    <w:rPr>
      <w:rFonts w:eastAsia="黑体"/>
      <w:b/>
      <w:sz w:val="52"/>
    </w:rPr>
  </w:style>
  <w:style w:type="paragraph" w:customStyle="1" w:styleId="546">
    <w:name w:val="样式 首行缩进:  0 字符"/>
    <w:basedOn w:val="1"/>
    <w:qFormat/>
    <w:uiPriority w:val="0"/>
    <w:pPr>
      <w:spacing w:line="360" w:lineRule="auto"/>
      <w:ind w:firstLine="200" w:firstLineChars="200"/>
    </w:pPr>
    <w:rPr>
      <w:rFonts w:ascii="Arial" w:hAnsi="Arial" w:cs="宋体"/>
      <w:sz w:val="24"/>
      <w:szCs w:val="20"/>
    </w:rPr>
  </w:style>
  <w:style w:type="paragraph" w:customStyle="1" w:styleId="547">
    <w:name w:val="标书正文带编号"/>
    <w:basedOn w:val="1"/>
    <w:qFormat/>
    <w:uiPriority w:val="0"/>
    <w:pPr>
      <w:tabs>
        <w:tab w:val="left" w:pos="397"/>
      </w:tabs>
      <w:autoSpaceDE w:val="0"/>
      <w:autoSpaceDN w:val="0"/>
      <w:adjustRightInd w:val="0"/>
      <w:ind w:firstLine="397"/>
      <w:jc w:val="left"/>
    </w:pPr>
    <w:rPr>
      <w:rFonts w:cs="宋体"/>
      <w:kern w:val="0"/>
      <w:sz w:val="20"/>
      <w:szCs w:val="21"/>
    </w:rPr>
  </w:style>
  <w:style w:type="paragraph" w:customStyle="1" w:styleId="548">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549">
    <w:name w:val="Char Char Char Char Char Char Char Char Char Char Char Char Char1"/>
    <w:basedOn w:val="1"/>
    <w:qFormat/>
    <w:uiPriority w:val="0"/>
    <w:rPr>
      <w:rFonts w:ascii="Tahoma" w:hAnsi="Tahoma"/>
      <w:sz w:val="24"/>
      <w:szCs w:val="20"/>
    </w:rPr>
  </w:style>
  <w:style w:type="paragraph" w:customStyle="1" w:styleId="550">
    <w:name w:val="1Text"/>
    <w:basedOn w:val="1"/>
    <w:qFormat/>
    <w:uiPriority w:val="0"/>
    <w:pPr>
      <w:spacing w:beforeLines="50" w:afterLines="50" w:line="360" w:lineRule="auto"/>
      <w:ind w:firstLine="480" w:firstLineChars="200"/>
      <w:jc w:val="left"/>
    </w:pPr>
    <w:rPr>
      <w:rFonts w:ascii="Calibri" w:hAnsi="Calibri"/>
      <w:kern w:val="0"/>
      <w:sz w:val="24"/>
    </w:rPr>
  </w:style>
  <w:style w:type="paragraph" w:customStyle="1" w:styleId="551">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新宋体" w:hAnsi="新宋体" w:eastAsia="新宋体" w:cs="宋体"/>
      <w:b/>
      <w:bCs/>
      <w:color w:val="000000"/>
      <w:kern w:val="0"/>
      <w:sz w:val="24"/>
    </w:rPr>
  </w:style>
  <w:style w:type="paragraph" w:customStyle="1" w:styleId="552">
    <w:name w:val="xl25"/>
    <w:basedOn w:val="1"/>
    <w:qFormat/>
    <w:uiPriority w:val="0"/>
    <w:pPr>
      <w:widowControl/>
      <w:autoSpaceDE w:val="0"/>
      <w:autoSpaceDN w:val="0"/>
      <w:adjustRightInd w:val="0"/>
      <w:spacing w:before="100" w:beforeAutospacing="1" w:after="100" w:afterAutospacing="1"/>
      <w:jc w:val="center"/>
      <w:textAlignment w:val="center"/>
    </w:pPr>
    <w:rPr>
      <w:rFonts w:hint="eastAsia" w:ascii="楷体_GB2312" w:hAnsi="宋体" w:eastAsia="楷体_GB2312"/>
      <w:kern w:val="0"/>
      <w:sz w:val="24"/>
      <w:szCs w:val="20"/>
    </w:rPr>
  </w:style>
  <w:style w:type="paragraph" w:customStyle="1" w:styleId="553">
    <w:name w:val="[Normal]"/>
    <w:qFormat/>
    <w:uiPriority w:val="0"/>
    <w:rPr>
      <w:rFonts w:ascii="宋体" w:hAnsi="宋体" w:eastAsia="宋体" w:cs="Times New Roman"/>
      <w:sz w:val="24"/>
      <w:szCs w:val="22"/>
      <w:lang w:val="zh-CN" w:eastAsia="zh-CN" w:bidi="ar-SA"/>
    </w:rPr>
  </w:style>
  <w:style w:type="paragraph" w:customStyle="1" w:styleId="554">
    <w:name w:val="Table Contents"/>
    <w:basedOn w:val="1"/>
    <w:qFormat/>
    <w:uiPriority w:val="0"/>
    <w:pPr>
      <w:suppressAutoHyphens/>
      <w:autoSpaceDE w:val="0"/>
      <w:autoSpaceDN w:val="0"/>
      <w:adjustRightInd w:val="0"/>
      <w:spacing w:after="120"/>
      <w:jc w:val="left"/>
    </w:pPr>
    <w:rPr>
      <w:rFonts w:ascii="Helvetica" w:hAnsi="Helvetica"/>
      <w:kern w:val="1"/>
      <w:sz w:val="20"/>
      <w:szCs w:val="20"/>
    </w:rPr>
  </w:style>
  <w:style w:type="paragraph" w:customStyle="1" w:styleId="555">
    <w:name w:val="pic-info"/>
    <w:basedOn w:val="1"/>
    <w:qFormat/>
    <w:uiPriority w:val="0"/>
    <w:pPr>
      <w:widowControl/>
      <w:spacing w:before="100" w:beforeAutospacing="1" w:after="100" w:afterAutospacing="1"/>
      <w:jc w:val="left"/>
    </w:pPr>
    <w:rPr>
      <w:rFonts w:ascii="宋体" w:hAnsi="宋体" w:cs="宋体"/>
      <w:kern w:val="0"/>
      <w:sz w:val="24"/>
    </w:rPr>
  </w:style>
  <w:style w:type="paragraph" w:customStyle="1" w:styleId="556">
    <w:name w:val="xl9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557">
    <w:name w:val="xl2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558">
    <w:name w:val="List Paragraph2"/>
    <w:basedOn w:val="1"/>
    <w:qFormat/>
    <w:uiPriority w:val="0"/>
    <w:pPr>
      <w:ind w:firstLine="420" w:firstLineChars="200"/>
    </w:pPr>
  </w:style>
  <w:style w:type="paragraph" w:customStyle="1" w:styleId="559">
    <w:name w:val="正文字缩2字"/>
    <w:basedOn w:val="1"/>
    <w:qFormat/>
    <w:uiPriority w:val="0"/>
    <w:pPr>
      <w:spacing w:before="60" w:after="60" w:line="360" w:lineRule="auto"/>
      <w:ind w:left="200" w:leftChars="200" w:firstLine="200" w:firstLineChars="200"/>
    </w:pPr>
    <w:rPr>
      <w:sz w:val="24"/>
    </w:rPr>
  </w:style>
  <w:style w:type="paragraph" w:customStyle="1" w:styleId="560">
    <w:name w:val="列出段落4"/>
    <w:basedOn w:val="1"/>
    <w:qFormat/>
    <w:uiPriority w:val="0"/>
    <w:pPr>
      <w:ind w:firstLine="420" w:firstLineChars="200"/>
    </w:pPr>
  </w:style>
  <w:style w:type="paragraph" w:customStyle="1" w:styleId="561">
    <w:name w:val="样式 样式 正文文本缩进 + 仿宋_GB2312 小四 首行缩进:  0 厘米 行距: 1.5 倍行距 + (中文) 仿宋_GB... Char Char"/>
    <w:basedOn w:val="1"/>
    <w:qFormat/>
    <w:uiPriority w:val="0"/>
    <w:pPr>
      <w:autoSpaceDE w:val="0"/>
      <w:autoSpaceDN w:val="0"/>
      <w:adjustRightInd w:val="0"/>
      <w:spacing w:line="360" w:lineRule="auto"/>
      <w:ind w:firstLine="480" w:firstLineChars="200"/>
      <w:jc w:val="left"/>
    </w:pPr>
    <w:rPr>
      <w:rFonts w:ascii="仿宋_GB2312" w:eastAsia="新宋体"/>
      <w:kern w:val="0"/>
      <w:sz w:val="24"/>
      <w:szCs w:val="20"/>
    </w:rPr>
  </w:style>
  <w:style w:type="paragraph" w:customStyle="1" w:styleId="562">
    <w:name w:val="列出段落5"/>
    <w:basedOn w:val="1"/>
    <w:qFormat/>
    <w:uiPriority w:val="0"/>
    <w:pPr>
      <w:ind w:firstLine="420" w:firstLineChars="200"/>
    </w:pPr>
  </w:style>
  <w:style w:type="paragraph" w:customStyle="1" w:styleId="563">
    <w:name w:val="Table of contents|1"/>
    <w:basedOn w:val="1"/>
    <w:qFormat/>
    <w:uiPriority w:val="0"/>
    <w:pPr>
      <w:shd w:val="clear" w:color="auto" w:fill="FFFFFF"/>
      <w:spacing w:before="500" w:after="100" w:line="200" w:lineRule="exact"/>
      <w:jc w:val="distribute"/>
    </w:pPr>
    <w:rPr>
      <w:rFonts w:ascii="PMingLiU" w:hAnsi="PMingLiU" w:eastAsia="PMingLiU"/>
      <w:spacing w:val="10"/>
      <w:kern w:val="0"/>
      <w:sz w:val="20"/>
      <w:szCs w:val="20"/>
    </w:rPr>
  </w:style>
  <w:style w:type="paragraph" w:customStyle="1" w:styleId="564">
    <w:name w:val="简单回函地址"/>
    <w:basedOn w:val="1"/>
    <w:qFormat/>
    <w:uiPriority w:val="0"/>
  </w:style>
  <w:style w:type="paragraph" w:customStyle="1" w:styleId="565">
    <w:name w:val="普通 (Web)"/>
    <w:basedOn w:val="1"/>
    <w:qFormat/>
    <w:uiPriority w:val="0"/>
    <w:pPr>
      <w:widowControl/>
      <w:spacing w:before="100" w:after="100"/>
      <w:jc w:val="left"/>
    </w:pPr>
    <w:rPr>
      <w:rFonts w:ascii="宋体" w:hAnsi="宋体"/>
      <w:kern w:val="0"/>
      <w:sz w:val="24"/>
    </w:rPr>
  </w:style>
  <w:style w:type="paragraph" w:customStyle="1" w:styleId="566">
    <w:name w:val="样式 仿宋_GB2312 四号 黑色 行距: 1.5 倍行距"/>
    <w:basedOn w:val="1"/>
    <w:qFormat/>
    <w:uiPriority w:val="0"/>
    <w:pPr>
      <w:suppressAutoHyphens/>
      <w:spacing w:before="156" w:line="360" w:lineRule="auto"/>
      <w:ind w:firstLine="560" w:firstLineChars="200"/>
      <w:jc w:val="left"/>
    </w:pPr>
    <w:rPr>
      <w:rFonts w:ascii="仿宋_GB2312" w:eastAsia="仿宋_GB2312"/>
      <w:color w:val="000000"/>
      <w:kern w:val="1"/>
      <w:sz w:val="28"/>
      <w:szCs w:val="20"/>
      <w:lang w:eastAsia="ar-SA"/>
    </w:rPr>
  </w:style>
  <w:style w:type="paragraph" w:customStyle="1" w:styleId="567">
    <w:name w:val="表格文字加粗"/>
    <w:basedOn w:val="568"/>
    <w:qFormat/>
    <w:uiPriority w:val="0"/>
    <w:pPr>
      <w:spacing w:line="240" w:lineRule="auto"/>
    </w:pPr>
    <w:rPr>
      <w:rFonts w:ascii="宋体" w:hAnsi="宋体" w:cs="宋体"/>
      <w:b/>
      <w:bCs/>
      <w:sz w:val="18"/>
      <w:szCs w:val="18"/>
    </w:rPr>
  </w:style>
  <w:style w:type="paragraph" w:customStyle="1" w:styleId="568">
    <w:name w:val="表格文字"/>
    <w:basedOn w:val="1"/>
    <w:qFormat/>
    <w:uiPriority w:val="0"/>
    <w:pPr>
      <w:spacing w:line="420" w:lineRule="atLeast"/>
      <w:jc w:val="left"/>
    </w:pPr>
    <w:rPr>
      <w:szCs w:val="20"/>
    </w:rPr>
  </w:style>
  <w:style w:type="paragraph" w:customStyle="1" w:styleId="569">
    <w:name w:val="标准段落"/>
    <w:basedOn w:val="1"/>
    <w:qFormat/>
    <w:uiPriority w:val="0"/>
    <w:pPr>
      <w:spacing w:after="120" w:line="360" w:lineRule="auto"/>
      <w:ind w:firstLine="420"/>
    </w:pPr>
    <w:rPr>
      <w:rFonts w:ascii="黑体" w:hAnsi="宋体" w:eastAsia="黑体"/>
      <w:b/>
      <w:spacing w:val="6"/>
      <w:szCs w:val="22"/>
    </w:rPr>
  </w:style>
  <w:style w:type="paragraph" w:customStyle="1" w:styleId="570">
    <w:name w:val="xl8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1">
    <w:name w:val="Char1 Char Char Char1"/>
    <w:basedOn w:val="1"/>
    <w:qFormat/>
    <w:uiPriority w:val="0"/>
    <w:pPr>
      <w:widowControl/>
      <w:spacing w:after="120"/>
      <w:jc w:val="left"/>
    </w:pPr>
    <w:rPr>
      <w:rFonts w:ascii="Verdana" w:hAnsi="Verdana" w:eastAsia="仿宋_GB2312"/>
      <w:szCs w:val="20"/>
      <w:lang w:eastAsia="en-US"/>
    </w:rPr>
  </w:style>
  <w:style w:type="paragraph" w:customStyle="1" w:styleId="57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3">
    <w:name w:val="xl8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74">
    <w:name w:val="标题五"/>
    <w:basedOn w:val="1"/>
    <w:qFormat/>
    <w:uiPriority w:val="0"/>
    <w:pPr>
      <w:tabs>
        <w:tab w:val="left" w:pos="1440"/>
      </w:tabs>
      <w:autoSpaceDE w:val="0"/>
      <w:autoSpaceDN w:val="0"/>
      <w:adjustRightInd w:val="0"/>
      <w:spacing w:beforeLines="50" w:line="360" w:lineRule="auto"/>
      <w:ind w:left="1440" w:hanging="420"/>
      <w:jc w:val="left"/>
    </w:pPr>
    <w:rPr>
      <w:b/>
      <w:kern w:val="0"/>
      <w:sz w:val="24"/>
      <w:szCs w:val="20"/>
    </w:rPr>
  </w:style>
  <w:style w:type="paragraph" w:customStyle="1" w:styleId="575">
    <w:name w:val="列出段落2"/>
    <w:basedOn w:val="1"/>
    <w:qFormat/>
    <w:uiPriority w:val="0"/>
    <w:pPr>
      <w:spacing w:line="360" w:lineRule="auto"/>
      <w:ind w:firstLine="420" w:firstLineChars="200"/>
    </w:pPr>
    <w:rPr>
      <w:rFonts w:ascii="Calibri" w:hAnsi="Calibri"/>
      <w:sz w:val="24"/>
      <w:szCs w:val="22"/>
    </w:rPr>
  </w:style>
  <w:style w:type="paragraph" w:customStyle="1" w:styleId="576">
    <w:name w:val="编号1"/>
    <w:basedOn w:val="1"/>
    <w:qFormat/>
    <w:uiPriority w:val="0"/>
    <w:pPr>
      <w:spacing w:line="360" w:lineRule="auto"/>
      <w:jc w:val="left"/>
    </w:pPr>
    <w:rPr>
      <w:sz w:val="24"/>
    </w:rPr>
  </w:style>
  <w:style w:type="paragraph" w:customStyle="1" w:styleId="577">
    <w:name w:val="样式_5 + 小五"/>
    <w:basedOn w:val="1"/>
    <w:qFormat/>
    <w:uiPriority w:val="0"/>
    <w:pPr>
      <w:keepNext/>
      <w:keepLines/>
      <w:tabs>
        <w:tab w:val="left" w:pos="1088"/>
      </w:tabs>
      <w:spacing w:before="280" w:after="290" w:line="376" w:lineRule="auto"/>
      <w:ind w:left="724" w:hanging="724"/>
      <w:outlineLvl w:val="4"/>
    </w:pPr>
    <w:rPr>
      <w:b/>
      <w:bCs/>
      <w:kern w:val="0"/>
      <w:sz w:val="18"/>
      <w:szCs w:val="18"/>
    </w:rPr>
  </w:style>
  <w:style w:type="paragraph" w:customStyle="1" w:styleId="578">
    <w:name w:val="样式 标题 2 + 居中"/>
    <w:basedOn w:val="7"/>
    <w:qFormat/>
    <w:uiPriority w:val="0"/>
    <w:pPr>
      <w:spacing w:beforeLines="50" w:beforeAutospacing="1" w:afterLines="50" w:afterAutospacing="1" w:line="360" w:lineRule="auto"/>
      <w:jc w:val="center"/>
    </w:pPr>
    <w:rPr>
      <w:rFonts w:cs="宋体"/>
      <w:szCs w:val="20"/>
    </w:rPr>
  </w:style>
  <w:style w:type="paragraph" w:customStyle="1" w:styleId="579">
    <w:name w:val="xl94"/>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left"/>
    </w:pPr>
    <w:rPr>
      <w:rFonts w:ascii="Arial" w:hAnsi="Arial" w:cs="Arial"/>
      <w:b/>
      <w:bCs/>
      <w:kern w:val="0"/>
      <w:sz w:val="24"/>
    </w:rPr>
  </w:style>
  <w:style w:type="paragraph" w:customStyle="1" w:styleId="580">
    <w:name w:val="【注意】"/>
    <w:basedOn w:val="1"/>
    <w:next w:val="1"/>
    <w:qFormat/>
    <w:uiPriority w:val="0"/>
    <w:pPr>
      <w:spacing w:before="120" w:after="120"/>
      <w:jc w:val="left"/>
    </w:pPr>
    <w:rPr>
      <w:rFonts w:ascii="宋体" w:hAnsi="Arial"/>
      <w:szCs w:val="20"/>
    </w:rPr>
  </w:style>
  <w:style w:type="paragraph" w:customStyle="1" w:styleId="581">
    <w:name w:val="符号2"/>
    <w:basedOn w:val="1"/>
    <w:qFormat/>
    <w:uiPriority w:val="0"/>
    <w:pPr>
      <w:widowControl/>
      <w:tabs>
        <w:tab w:val="left" w:pos="1259"/>
      </w:tabs>
      <w:spacing w:line="360" w:lineRule="auto"/>
      <w:ind w:left="1259" w:hanging="420"/>
      <w:jc w:val="left"/>
    </w:pPr>
    <w:rPr>
      <w:rFonts w:ascii="仿宋_GB2312" w:eastAsia="仿宋_GB2312"/>
      <w:sz w:val="28"/>
    </w:rPr>
  </w:style>
  <w:style w:type="paragraph" w:customStyle="1" w:styleId="582">
    <w:name w:val="Char13"/>
    <w:basedOn w:val="1"/>
    <w:qFormat/>
    <w:uiPriority w:val="0"/>
    <w:pPr>
      <w:autoSpaceDE w:val="0"/>
      <w:autoSpaceDN w:val="0"/>
      <w:adjustRightInd w:val="0"/>
      <w:jc w:val="left"/>
    </w:pPr>
    <w:rPr>
      <w:rFonts w:ascii="仿宋_GB2312" w:eastAsia="仿宋_GB2312"/>
      <w:b/>
      <w:kern w:val="0"/>
      <w:sz w:val="32"/>
      <w:szCs w:val="32"/>
    </w:rPr>
  </w:style>
  <w:style w:type="paragraph" w:customStyle="1" w:styleId="583">
    <w:name w:val="H 4"/>
    <w:basedOn w:val="9"/>
    <w:next w:val="1"/>
    <w:qFormat/>
    <w:uiPriority w:val="0"/>
    <w:pPr>
      <w:spacing w:before="120" w:after="120" w:line="240" w:lineRule="auto"/>
    </w:pPr>
    <w:rPr>
      <w:rFonts w:ascii="宋体" w:hAnsi="宋体"/>
      <w:szCs w:val="24"/>
      <w:lang w:val="zh-CN"/>
    </w:rPr>
  </w:style>
  <w:style w:type="paragraph" w:customStyle="1" w:styleId="584">
    <w:name w:val="默认段落字体 Para Char Char Char Char Char Char Char"/>
    <w:basedOn w:val="1"/>
    <w:qFormat/>
    <w:uiPriority w:val="0"/>
    <w:pPr>
      <w:adjustRightInd w:val="0"/>
      <w:spacing w:line="360" w:lineRule="auto"/>
    </w:pPr>
    <w:rPr>
      <w:rFonts w:ascii="Tahoma" w:hAnsi="Tahoma"/>
      <w:kern w:val="0"/>
      <w:sz w:val="24"/>
      <w:szCs w:val="20"/>
    </w:rPr>
  </w:style>
  <w:style w:type="paragraph" w:customStyle="1" w:styleId="585">
    <w:name w:val="内文"/>
    <w:qFormat/>
    <w:uiPriority w:val="0"/>
    <w:pPr>
      <w:adjustRightInd w:val="0"/>
      <w:snapToGrid w:val="0"/>
      <w:spacing w:line="400" w:lineRule="exact"/>
      <w:ind w:firstLine="200" w:firstLineChars="200"/>
      <w:jc w:val="both"/>
    </w:pPr>
    <w:rPr>
      <w:rFonts w:ascii="Arial" w:hAnsi="Arial" w:eastAsia="宋体" w:cs="Times New Roman"/>
      <w:kern w:val="2"/>
      <w:sz w:val="21"/>
      <w:lang w:val="en-US" w:eastAsia="zh-CN" w:bidi="ar-SA"/>
    </w:rPr>
  </w:style>
  <w:style w:type="paragraph" w:customStyle="1" w:styleId="586">
    <w:name w:val="Char"/>
    <w:basedOn w:val="1"/>
    <w:qFormat/>
    <w:uiPriority w:val="0"/>
    <w:pPr>
      <w:widowControl/>
      <w:spacing w:line="400" w:lineRule="exact"/>
      <w:jc w:val="center"/>
    </w:pPr>
    <w:rPr>
      <w:rFonts w:ascii="Verdana" w:hAnsi="Verdana"/>
      <w:kern w:val="0"/>
      <w:szCs w:val="20"/>
      <w:lang w:eastAsia="en-US"/>
    </w:rPr>
  </w:style>
  <w:style w:type="paragraph" w:customStyle="1" w:styleId="587">
    <w:name w:val="默认段落字体 Para Char"/>
    <w:basedOn w:val="1"/>
    <w:qFormat/>
    <w:uiPriority w:val="0"/>
    <w:pPr>
      <w:spacing w:beforeLines="50" w:afterLines="50"/>
    </w:pPr>
    <w:rPr>
      <w:rFonts w:ascii="Tahoma" w:hAnsi="Tahoma"/>
      <w:sz w:val="24"/>
      <w:szCs w:val="20"/>
    </w:rPr>
  </w:style>
  <w:style w:type="paragraph" w:customStyle="1" w:styleId="58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89">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590">
    <w:name w:val="列出段落3"/>
    <w:basedOn w:val="1"/>
    <w:qFormat/>
    <w:uiPriority w:val="0"/>
    <w:pPr>
      <w:spacing w:line="360" w:lineRule="auto"/>
      <w:ind w:firstLine="420" w:firstLineChars="200"/>
    </w:pPr>
    <w:rPr>
      <w:rFonts w:ascii="Calibri" w:hAnsi="Calibri"/>
      <w:sz w:val="24"/>
      <w:szCs w:val="22"/>
    </w:rPr>
  </w:style>
  <w:style w:type="paragraph" w:customStyle="1" w:styleId="591">
    <w:name w:val="List Paragraph1"/>
    <w:basedOn w:val="1"/>
    <w:qFormat/>
    <w:uiPriority w:val="0"/>
    <w:pPr>
      <w:spacing w:line="360" w:lineRule="auto"/>
      <w:ind w:firstLine="420" w:firstLineChars="200"/>
    </w:pPr>
    <w:rPr>
      <w:rFonts w:ascii="Calibri" w:hAnsi="Calibri"/>
      <w:sz w:val="24"/>
      <w:szCs w:val="22"/>
    </w:rPr>
  </w:style>
  <w:style w:type="paragraph" w:customStyle="1" w:styleId="592">
    <w:name w:val="编号正文"/>
    <w:basedOn w:val="3"/>
    <w:qFormat/>
    <w:uiPriority w:val="0"/>
    <w:pPr>
      <w:tabs>
        <w:tab w:val="left" w:pos="454"/>
      </w:tabs>
      <w:adjustRightInd w:val="0"/>
      <w:snapToGrid w:val="0"/>
      <w:spacing w:beforeLines="30" w:after="60" w:line="300" w:lineRule="auto"/>
      <w:ind w:left="454" w:hanging="454"/>
      <w:jc w:val="left"/>
    </w:pPr>
    <w:rPr>
      <w:rFonts w:ascii="Times New Roman" w:hAnsi="Times New Roman"/>
      <w:kern w:val="0"/>
      <w:sz w:val="24"/>
      <w:szCs w:val="20"/>
    </w:rPr>
  </w:style>
  <w:style w:type="paragraph" w:customStyle="1" w:styleId="593">
    <w:name w:val="xl83"/>
    <w:basedOn w:val="1"/>
    <w:qFormat/>
    <w:uiPriority w:val="0"/>
    <w:pPr>
      <w:widowControl/>
      <w:pBdr>
        <w:left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594">
    <w:name w:val="Char Char1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595">
    <w:name w:val="正文文字表格居中"/>
    <w:basedOn w:val="1"/>
    <w:next w:val="50"/>
    <w:qFormat/>
    <w:uiPriority w:val="0"/>
    <w:pPr>
      <w:autoSpaceDE w:val="0"/>
      <w:autoSpaceDN w:val="0"/>
      <w:adjustRightInd w:val="0"/>
      <w:snapToGrid w:val="0"/>
      <w:spacing w:line="360" w:lineRule="auto"/>
      <w:jc w:val="left"/>
    </w:pPr>
    <w:rPr>
      <w:rFonts w:ascii="宋体"/>
      <w:b/>
      <w:kern w:val="0"/>
      <w:sz w:val="24"/>
      <w:szCs w:val="20"/>
    </w:rPr>
  </w:style>
  <w:style w:type="paragraph" w:customStyle="1" w:styleId="596">
    <w:name w:val="Char Char Char Char Char Char Char Char Char Char Char Char Char"/>
    <w:basedOn w:val="1"/>
    <w:qFormat/>
    <w:uiPriority w:val="0"/>
  </w:style>
  <w:style w:type="paragraph" w:customStyle="1" w:styleId="597">
    <w:name w:val="xl109"/>
    <w:basedOn w:val="1"/>
    <w:qFormat/>
    <w:uiPriority w:val="0"/>
    <w:pPr>
      <w:widowControl/>
      <w:pBdr>
        <w:top w:val="single" w:color="auto" w:sz="4" w:space="0"/>
        <w:left w:val="single" w:color="auto" w:sz="4" w:space="0"/>
        <w:bottom w:val="single" w:color="auto" w:sz="4" w:space="0"/>
        <w:right w:val="single" w:color="auto" w:sz="8" w:space="0"/>
      </w:pBdr>
      <w:shd w:val="clear" w:color="000000" w:fill="B7DEE8"/>
      <w:spacing w:before="100" w:beforeAutospacing="1" w:after="100" w:afterAutospacing="1"/>
      <w:jc w:val="center"/>
      <w:textAlignment w:val="top"/>
    </w:pPr>
    <w:rPr>
      <w:rFonts w:ascii="宋体" w:hAnsi="宋体" w:cs="宋体"/>
      <w:kern w:val="0"/>
      <w:sz w:val="24"/>
    </w:rPr>
  </w:style>
  <w:style w:type="paragraph" w:customStyle="1" w:styleId="598">
    <w:name w:val="xl95"/>
    <w:basedOn w:val="1"/>
    <w:qFormat/>
    <w:uiPriority w:val="0"/>
    <w:pPr>
      <w:widowControl/>
      <w:pBdr>
        <w:top w:val="single" w:color="auto" w:sz="8" w:space="0"/>
        <w:left w:val="single" w:color="auto" w:sz="4" w:space="0"/>
        <w:bottom w:val="single" w:color="auto" w:sz="4" w:space="0"/>
        <w:right w:val="single" w:color="auto" w:sz="8" w:space="0"/>
      </w:pBdr>
      <w:shd w:val="clear" w:color="000000" w:fill="92D050"/>
      <w:spacing w:before="100" w:beforeAutospacing="1" w:after="100" w:afterAutospacing="1"/>
      <w:jc w:val="left"/>
    </w:pPr>
    <w:rPr>
      <w:rFonts w:ascii="Arial" w:hAnsi="Arial" w:cs="Arial"/>
      <w:b/>
      <w:bCs/>
      <w:kern w:val="0"/>
      <w:sz w:val="24"/>
    </w:rPr>
  </w:style>
  <w:style w:type="paragraph" w:customStyle="1" w:styleId="599">
    <w:name w:val="Body text|3"/>
    <w:basedOn w:val="1"/>
    <w:qFormat/>
    <w:uiPriority w:val="0"/>
    <w:pPr>
      <w:shd w:val="clear" w:color="auto" w:fill="FFFFFF"/>
      <w:spacing w:before="500" w:after="2360" w:line="280" w:lineRule="exact"/>
    </w:pPr>
    <w:rPr>
      <w:rFonts w:ascii="PMingLiU" w:hAnsi="PMingLiU" w:eastAsia="PMingLiU" w:cs="PMingLiU"/>
      <w:b/>
      <w:bCs/>
      <w:spacing w:val="20"/>
      <w:sz w:val="28"/>
      <w:szCs w:val="28"/>
    </w:rPr>
  </w:style>
  <w:style w:type="paragraph" w:customStyle="1" w:styleId="600">
    <w:name w:val="样式 首行缩进:  2 字符1"/>
    <w:basedOn w:val="1"/>
    <w:qFormat/>
    <w:uiPriority w:val="0"/>
    <w:pPr>
      <w:spacing w:line="360" w:lineRule="auto"/>
      <w:ind w:firstLine="540" w:firstLineChars="225"/>
    </w:pPr>
    <w:rPr>
      <w:sz w:val="24"/>
      <w:szCs w:val="20"/>
    </w:rPr>
  </w:style>
  <w:style w:type="paragraph" w:customStyle="1" w:styleId="601">
    <w:name w:val="Body text|22"/>
    <w:basedOn w:val="1"/>
    <w:qFormat/>
    <w:uiPriority w:val="0"/>
    <w:pPr>
      <w:shd w:val="clear" w:color="auto" w:fill="FFFFFF"/>
      <w:spacing w:before="140" w:line="403" w:lineRule="exact"/>
      <w:ind w:hanging="580"/>
    </w:pPr>
    <w:rPr>
      <w:rFonts w:ascii="PMingLiU" w:hAnsi="PMingLiU" w:eastAsia="PMingLiU"/>
      <w:spacing w:val="20"/>
      <w:kern w:val="0"/>
      <w:sz w:val="20"/>
      <w:szCs w:val="20"/>
    </w:rPr>
  </w:style>
  <w:style w:type="paragraph" w:customStyle="1" w:styleId="602">
    <w:name w:val="文字"/>
    <w:basedOn w:val="1"/>
    <w:qFormat/>
    <w:uiPriority w:val="0"/>
    <w:pPr>
      <w:tabs>
        <w:tab w:val="left" w:pos="8520"/>
      </w:tabs>
      <w:spacing w:line="312" w:lineRule="auto"/>
      <w:ind w:right="-210" w:firstLine="556"/>
    </w:pPr>
    <w:rPr>
      <w:rFonts w:ascii="宋体"/>
      <w:sz w:val="28"/>
      <w:szCs w:val="20"/>
    </w:rPr>
  </w:style>
  <w:style w:type="paragraph" w:customStyle="1" w:styleId="603">
    <w:name w:val="正文－恩普"/>
    <w:basedOn w:val="18"/>
    <w:qFormat/>
    <w:uiPriority w:val="0"/>
    <w:pPr>
      <w:adjustRightInd/>
      <w:spacing w:line="360" w:lineRule="auto"/>
      <w:ind w:firstLine="200" w:firstLineChars="200"/>
      <w:textAlignment w:val="auto"/>
    </w:pPr>
    <w:rPr>
      <w:rFonts w:ascii="仿宋_GB2312"/>
      <w:b/>
      <w:kern w:val="2"/>
      <w:sz w:val="24"/>
      <w:szCs w:val="24"/>
    </w:rPr>
  </w:style>
  <w:style w:type="paragraph" w:customStyle="1" w:styleId="604">
    <w:name w:val="p0"/>
    <w:basedOn w:val="1"/>
    <w:qFormat/>
    <w:uiPriority w:val="0"/>
    <w:pPr>
      <w:widowControl/>
      <w:shd w:val="clear" w:color="auto" w:fill="FFFFFF"/>
      <w:spacing w:before="32" w:line="235" w:lineRule="atLeast"/>
      <w:ind w:left="160"/>
      <w:jc w:val="left"/>
    </w:pPr>
    <w:rPr>
      <w:rFonts w:ascii="宋体" w:hAnsi="宋体" w:cs="宋体"/>
      <w:kern w:val="0"/>
      <w:sz w:val="24"/>
    </w:rPr>
  </w:style>
  <w:style w:type="paragraph" w:customStyle="1" w:styleId="605">
    <w:name w:val="标准小四"/>
    <w:basedOn w:val="1"/>
    <w:qFormat/>
    <w:uiPriority w:val="0"/>
    <w:pPr>
      <w:autoSpaceDE w:val="0"/>
      <w:autoSpaceDN w:val="0"/>
      <w:adjustRightInd w:val="0"/>
      <w:spacing w:line="360" w:lineRule="auto"/>
      <w:ind w:firstLine="480" w:firstLineChars="200"/>
      <w:jc w:val="left"/>
    </w:pPr>
    <w:rPr>
      <w:rFonts w:ascii="Arial" w:hAnsi="Arial"/>
      <w:kern w:val="0"/>
      <w:sz w:val="24"/>
      <w:szCs w:val="21"/>
    </w:rPr>
  </w:style>
  <w:style w:type="paragraph" w:customStyle="1" w:styleId="606">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607">
    <w:name w:val="排列"/>
    <w:basedOn w:val="1"/>
    <w:qFormat/>
    <w:uiPriority w:val="0"/>
    <w:pPr>
      <w:widowControl/>
      <w:autoSpaceDE w:val="0"/>
      <w:autoSpaceDN w:val="0"/>
      <w:adjustRightInd w:val="0"/>
      <w:spacing w:line="360" w:lineRule="auto"/>
      <w:jc w:val="left"/>
    </w:pPr>
    <w:rPr>
      <w:rFonts w:ascii="宋体" w:hAnsi="宋体"/>
      <w:kern w:val="0"/>
      <w:sz w:val="20"/>
      <w:szCs w:val="20"/>
      <w:lang w:val="zh-CN"/>
    </w:rPr>
  </w:style>
  <w:style w:type="paragraph" w:customStyle="1" w:styleId="608">
    <w:name w:val="_Style 256"/>
    <w:next w:val="1"/>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609">
    <w:name w:val="xl76"/>
    <w:basedOn w:val="1"/>
    <w:qFormat/>
    <w:uiPriority w:val="0"/>
    <w:pPr>
      <w:widowControl/>
      <w:pBdr>
        <w:top w:val="single" w:color="auto" w:sz="4" w:space="0"/>
        <w:bottom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10">
    <w:name w:val="Char Char Char Char Char Char Char1"/>
    <w:basedOn w:val="1"/>
    <w:qFormat/>
    <w:uiPriority w:val="0"/>
    <w:pPr>
      <w:widowControl/>
      <w:spacing w:after="160" w:line="240" w:lineRule="exact"/>
      <w:jc w:val="left"/>
    </w:pPr>
    <w:rPr>
      <w:szCs w:val="20"/>
    </w:rPr>
  </w:style>
  <w:style w:type="paragraph" w:customStyle="1" w:styleId="611">
    <w:name w:val="NICMAN Body Text"/>
    <w:basedOn w:val="1"/>
    <w:next w:val="3"/>
    <w:qFormat/>
    <w:uiPriority w:val="0"/>
    <w:pPr>
      <w:autoSpaceDE w:val="0"/>
      <w:autoSpaceDN w:val="0"/>
      <w:adjustRightInd w:val="0"/>
      <w:spacing w:after="120"/>
      <w:jc w:val="left"/>
    </w:pPr>
    <w:rPr>
      <w:kern w:val="0"/>
      <w:sz w:val="20"/>
      <w:szCs w:val="20"/>
    </w:rPr>
  </w:style>
  <w:style w:type="paragraph" w:customStyle="1" w:styleId="612">
    <w:name w:val="Char11"/>
    <w:basedOn w:val="1"/>
    <w:qFormat/>
    <w:uiPriority w:val="0"/>
    <w:rPr>
      <w:rFonts w:ascii="Tahoma" w:hAnsi="Tahoma"/>
      <w:sz w:val="24"/>
      <w:szCs w:val="20"/>
    </w:rPr>
  </w:style>
  <w:style w:type="paragraph" w:customStyle="1" w:styleId="613">
    <w:name w:val="1级编号"/>
    <w:basedOn w:val="1"/>
    <w:qFormat/>
    <w:uiPriority w:val="0"/>
    <w:pPr>
      <w:spacing w:line="276" w:lineRule="auto"/>
      <w:ind w:left="993" w:hanging="573"/>
      <w:jc w:val="left"/>
    </w:pPr>
    <w:rPr>
      <w:rFonts w:ascii="Calibri" w:hAnsi="宋体"/>
      <w:szCs w:val="21"/>
    </w:rPr>
  </w:style>
  <w:style w:type="paragraph" w:customStyle="1" w:styleId="614">
    <w:name w:val="公文正文"/>
    <w:basedOn w:val="1"/>
    <w:qFormat/>
    <w:uiPriority w:val="0"/>
    <w:pPr>
      <w:spacing w:before="156" w:line="360" w:lineRule="auto"/>
      <w:ind w:firstLine="360" w:firstLineChars="200"/>
    </w:pPr>
    <w:rPr>
      <w:rFonts w:ascii="仿宋_GB2312" w:eastAsia="仿宋_GB2312"/>
      <w:sz w:val="24"/>
    </w:rPr>
  </w:style>
  <w:style w:type="paragraph" w:customStyle="1" w:styleId="615">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新宋体" w:hAnsi="新宋体" w:eastAsia="新宋体" w:cs="宋体"/>
      <w:color w:val="000000"/>
      <w:kern w:val="0"/>
      <w:sz w:val="24"/>
    </w:rPr>
  </w:style>
  <w:style w:type="paragraph" w:customStyle="1" w:styleId="616">
    <w:name w:val="项目符号（宋艳）"/>
    <w:basedOn w:val="1"/>
    <w:qFormat/>
    <w:uiPriority w:val="0"/>
    <w:pPr>
      <w:tabs>
        <w:tab w:val="left" w:pos="360"/>
        <w:tab w:val="left" w:pos="840"/>
      </w:tabs>
      <w:spacing w:line="360" w:lineRule="auto"/>
      <w:ind w:left="840" w:firstLine="480"/>
    </w:pPr>
    <w:rPr>
      <w:rFonts w:hAnsi="宋体"/>
      <w:color w:val="000000"/>
      <w:sz w:val="24"/>
      <w:szCs w:val="20"/>
    </w:rPr>
  </w:style>
  <w:style w:type="paragraph" w:customStyle="1" w:styleId="617">
    <w:name w:val="纯文本11"/>
    <w:basedOn w:val="1"/>
    <w:qFormat/>
    <w:uiPriority w:val="0"/>
    <w:pPr>
      <w:adjustRightInd w:val="0"/>
      <w:textAlignment w:val="baseline"/>
    </w:pPr>
    <w:rPr>
      <w:rFonts w:ascii="宋体" w:hAnsi="Courier New" w:eastAsia="楷体_GB2312"/>
      <w:sz w:val="26"/>
      <w:szCs w:val="20"/>
    </w:rPr>
  </w:style>
  <w:style w:type="paragraph" w:customStyle="1" w:styleId="618">
    <w:name w:val="样式 左侧:  0.85 厘米 首行缩进:  0.85 厘米"/>
    <w:basedOn w:val="1"/>
    <w:qFormat/>
    <w:uiPriority w:val="0"/>
    <w:pPr>
      <w:autoSpaceDE w:val="0"/>
      <w:autoSpaceDN w:val="0"/>
      <w:adjustRightInd w:val="0"/>
      <w:spacing w:line="360" w:lineRule="auto"/>
      <w:ind w:firstLine="482"/>
      <w:jc w:val="left"/>
    </w:pPr>
    <w:rPr>
      <w:rFonts w:cs="宋体"/>
      <w:kern w:val="0"/>
      <w:sz w:val="24"/>
      <w:szCs w:val="20"/>
    </w:rPr>
  </w:style>
  <w:style w:type="paragraph" w:customStyle="1" w:styleId="619">
    <w:name w:val="Test2"/>
    <w:basedOn w:val="7"/>
    <w:qFormat/>
    <w:uiPriority w:val="0"/>
    <w:pPr>
      <w:keepNext w:val="0"/>
      <w:keepLines w:val="0"/>
      <w:widowControl/>
      <w:tabs>
        <w:tab w:val="left" w:pos="774"/>
      </w:tabs>
      <w:autoSpaceDE w:val="0"/>
      <w:autoSpaceDN w:val="0"/>
      <w:adjustRightInd w:val="0"/>
      <w:snapToGrid w:val="0"/>
      <w:spacing w:before="360" w:after="360" w:line="240" w:lineRule="atLeast"/>
      <w:ind w:left="774" w:hanging="576"/>
      <w:jc w:val="left"/>
    </w:pPr>
    <w:rPr>
      <w:rFonts w:ascii="宋体" w:eastAsia="宋体"/>
      <w:b w:val="0"/>
      <w:bCs w:val="0"/>
      <w:snapToGrid w:val="0"/>
      <w:kern w:val="0"/>
      <w:sz w:val="28"/>
    </w:rPr>
  </w:style>
  <w:style w:type="paragraph" w:customStyle="1" w:styleId="620">
    <w:name w:val="Char3"/>
    <w:basedOn w:val="1"/>
    <w:qFormat/>
    <w:uiPriority w:val="0"/>
    <w:rPr>
      <w:rFonts w:ascii="Tahoma" w:hAnsi="Tahoma"/>
      <w:sz w:val="24"/>
      <w:szCs w:val="20"/>
    </w:rPr>
  </w:style>
  <w:style w:type="paragraph" w:customStyle="1" w:styleId="621">
    <w:name w:val="xl106"/>
    <w:basedOn w:val="1"/>
    <w:qFormat/>
    <w:uiPriority w:val="0"/>
    <w:pPr>
      <w:widowControl/>
      <w:pBdr>
        <w:top w:val="single" w:color="auto" w:sz="4" w:space="0"/>
        <w:left w:val="single" w:color="auto" w:sz="8" w:space="0"/>
        <w:bottom w:val="single" w:color="auto" w:sz="4" w:space="0"/>
        <w:right w:val="single" w:color="auto" w:sz="4"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22">
    <w:name w:val="xl108"/>
    <w:basedOn w:val="1"/>
    <w:qFormat/>
    <w:uiPriority w:val="0"/>
    <w:pPr>
      <w:widowControl/>
      <w:pBdr>
        <w:top w:val="single" w:color="auto" w:sz="4" w:space="0"/>
        <w:left w:val="single" w:color="auto" w:sz="8"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23">
    <w:name w:val="xl100"/>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center"/>
    </w:pPr>
    <w:rPr>
      <w:rFonts w:ascii="Arial" w:hAnsi="Arial" w:cs="Arial"/>
      <w:kern w:val="0"/>
      <w:sz w:val="22"/>
      <w:szCs w:val="22"/>
    </w:rPr>
  </w:style>
  <w:style w:type="paragraph" w:customStyle="1" w:styleId="624">
    <w:name w:val="默认段落字体 Para Char Char Char Char"/>
    <w:basedOn w:val="1"/>
    <w:qFormat/>
    <w:uiPriority w:val="0"/>
    <w:rPr>
      <w:sz w:val="20"/>
    </w:rPr>
  </w:style>
  <w:style w:type="paragraph" w:customStyle="1" w:styleId="625">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24"/>
    </w:rPr>
  </w:style>
  <w:style w:type="paragraph" w:customStyle="1" w:styleId="626">
    <w:name w:val="Normal Indent1"/>
    <w:basedOn w:val="1"/>
    <w:qFormat/>
    <w:uiPriority w:val="0"/>
    <w:pPr>
      <w:ind w:firstLine="420" w:firstLineChars="200"/>
    </w:pPr>
  </w:style>
  <w:style w:type="paragraph" w:customStyle="1" w:styleId="627">
    <w:name w:val="Char Char Char2"/>
    <w:basedOn w:val="1"/>
    <w:next w:val="1"/>
    <w:qFormat/>
    <w:uiPriority w:val="0"/>
    <w:pPr>
      <w:shd w:val="clear" w:color="auto" w:fill="000080"/>
    </w:pPr>
    <w:rPr>
      <w:rFonts w:ascii="Tahoma" w:hAnsi="Tahoma"/>
      <w:sz w:val="24"/>
    </w:rPr>
  </w:style>
  <w:style w:type="paragraph" w:customStyle="1" w:styleId="628">
    <w:name w:val="样式 标题 3 + 黑色 段前: 5 磅 段后: 5 磅 行距: 1.5 倍行距"/>
    <w:basedOn w:val="1"/>
    <w:qFormat/>
    <w:uiPriority w:val="0"/>
    <w:pPr>
      <w:ind w:left="855" w:hanging="855"/>
    </w:pPr>
    <w:rPr>
      <w:sz w:val="24"/>
      <w:szCs w:val="20"/>
    </w:rPr>
  </w:style>
  <w:style w:type="paragraph" w:customStyle="1" w:styleId="629">
    <w:name w:val="xl7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新宋体" w:hAnsi="新宋体" w:eastAsia="新宋体" w:cs="宋体"/>
      <w:b/>
      <w:bCs/>
      <w:color w:val="FF0000"/>
      <w:kern w:val="0"/>
      <w:sz w:val="24"/>
    </w:rPr>
  </w:style>
  <w:style w:type="paragraph" w:customStyle="1" w:styleId="630">
    <w:name w:val="WW-正文文字缩进 2"/>
    <w:basedOn w:val="1"/>
    <w:qFormat/>
    <w:uiPriority w:val="0"/>
    <w:pPr>
      <w:suppressAutoHyphens/>
      <w:autoSpaceDE w:val="0"/>
      <w:autoSpaceDN w:val="0"/>
      <w:adjustRightInd w:val="0"/>
      <w:ind w:firstLine="420"/>
      <w:jc w:val="left"/>
    </w:pPr>
    <w:rPr>
      <w:kern w:val="1"/>
      <w:sz w:val="20"/>
      <w:szCs w:val="20"/>
    </w:rPr>
  </w:style>
  <w:style w:type="paragraph" w:customStyle="1" w:styleId="631">
    <w:name w:val="修订1"/>
    <w:qFormat/>
    <w:uiPriority w:val="0"/>
    <w:rPr>
      <w:rFonts w:ascii="Times New Roman" w:hAnsi="Times New Roman" w:eastAsia="宋体" w:cs="Times New Roman"/>
      <w:kern w:val="2"/>
      <w:sz w:val="21"/>
      <w:szCs w:val="24"/>
      <w:lang w:val="en-US" w:eastAsia="zh-CN" w:bidi="ar-SA"/>
    </w:rPr>
  </w:style>
  <w:style w:type="paragraph" w:customStyle="1" w:styleId="632">
    <w:name w:val="Char Char Char Char2"/>
    <w:basedOn w:val="21"/>
    <w:qFormat/>
    <w:uiPriority w:val="0"/>
    <w:pPr>
      <w:spacing w:line="360" w:lineRule="auto"/>
    </w:pPr>
    <w:rPr>
      <w:rFonts w:ascii="Tahoma" w:hAnsi="Tahoma"/>
      <w:sz w:val="24"/>
    </w:rPr>
  </w:style>
  <w:style w:type="paragraph" w:customStyle="1" w:styleId="633">
    <w:name w:val="Char Char Char Char11"/>
    <w:basedOn w:val="21"/>
    <w:qFormat/>
    <w:uiPriority w:val="0"/>
    <w:rPr>
      <w:rFonts w:ascii="Tahoma" w:hAnsi="Tahoma"/>
      <w:sz w:val="24"/>
    </w:rPr>
  </w:style>
  <w:style w:type="paragraph" w:customStyle="1" w:styleId="634">
    <w:name w:val="样式 标题 3正文三级标题 + 小五 左 行距: 固定值 12 磅"/>
    <w:basedOn w:val="8"/>
    <w:qFormat/>
    <w:uiPriority w:val="0"/>
    <w:pPr>
      <w:spacing w:line="240" w:lineRule="exact"/>
      <w:jc w:val="left"/>
    </w:pPr>
    <w:rPr>
      <w:rFonts w:cs="宋体"/>
      <w:sz w:val="18"/>
      <w:szCs w:val="20"/>
    </w:rPr>
  </w:style>
  <w:style w:type="paragraph" w:customStyle="1" w:styleId="635">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新宋体" w:hAnsi="新宋体" w:eastAsia="新宋体" w:cs="宋体"/>
      <w:color w:val="000000"/>
      <w:kern w:val="0"/>
      <w:sz w:val="24"/>
    </w:rPr>
  </w:style>
  <w:style w:type="paragraph" w:customStyle="1" w:styleId="636">
    <w:name w:val="样式 标题 1 + 黑体 三号 非加粗 居中 段前: 6 磅 段后: 6 磅 行距: 固定值 20 磅"/>
    <w:basedOn w:val="6"/>
    <w:qFormat/>
    <w:uiPriority w:val="0"/>
    <w:pPr>
      <w:keepLines/>
      <w:spacing w:before="120" w:after="120" w:line="400" w:lineRule="exact"/>
    </w:pPr>
    <w:rPr>
      <w:rFonts w:ascii="黑体" w:hAnsi="黑体" w:eastAsia="黑体" w:cs="宋体"/>
      <w:b w:val="0"/>
      <w:bCs w:val="0"/>
      <w:kern w:val="44"/>
      <w:sz w:val="32"/>
      <w:szCs w:val="20"/>
    </w:rPr>
  </w:style>
  <w:style w:type="paragraph" w:customStyle="1" w:styleId="637">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38">
    <w:name w:val="xl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39">
    <w:name w:val="Char Char Char Char12"/>
    <w:basedOn w:val="1"/>
    <w:qFormat/>
    <w:uiPriority w:val="0"/>
    <w:rPr>
      <w:rFonts w:ascii="Tahoma" w:hAnsi="Tahoma"/>
      <w:sz w:val="24"/>
      <w:szCs w:val="20"/>
    </w:rPr>
  </w:style>
  <w:style w:type="paragraph" w:customStyle="1" w:styleId="640">
    <w:name w:val="xl105"/>
    <w:basedOn w:val="1"/>
    <w:qFormat/>
    <w:uiPriority w:val="0"/>
    <w:pPr>
      <w:widowControl/>
      <w:pBdr>
        <w:top w:val="single" w:color="auto" w:sz="4" w:space="0"/>
        <w:left w:val="single" w:color="auto" w:sz="4" w:space="0"/>
        <w:bottom w:val="single" w:color="auto" w:sz="4" w:space="0"/>
        <w:right w:val="single" w:color="auto" w:sz="8"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641">
    <w:name w:val="album-div"/>
    <w:basedOn w:val="1"/>
    <w:qFormat/>
    <w:uiPriority w:val="0"/>
    <w:pPr>
      <w:widowControl/>
      <w:spacing w:before="100" w:beforeAutospacing="1" w:after="100" w:afterAutospacing="1"/>
      <w:jc w:val="left"/>
    </w:pPr>
    <w:rPr>
      <w:rFonts w:ascii="宋体" w:hAnsi="宋体" w:cs="宋体"/>
      <w:kern w:val="0"/>
      <w:sz w:val="24"/>
    </w:rPr>
  </w:style>
  <w:style w:type="paragraph" w:customStyle="1" w:styleId="642">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643">
    <w:name w:val="Char Char Char Char Char Char Char Char Char Char Char Char Char Char Char Char Char Char Char1"/>
    <w:basedOn w:val="1"/>
    <w:qFormat/>
    <w:uiPriority w:val="0"/>
    <w:rPr>
      <w:rFonts w:ascii="仿宋_GB2312" w:eastAsia="仿宋_GB2312"/>
      <w:b/>
      <w:sz w:val="32"/>
      <w:szCs w:val="32"/>
    </w:rPr>
  </w:style>
  <w:style w:type="paragraph" w:customStyle="1" w:styleId="644">
    <w:name w:val="正文常用"/>
    <w:basedOn w:val="1"/>
    <w:qFormat/>
    <w:uiPriority w:val="0"/>
    <w:pPr>
      <w:spacing w:line="360" w:lineRule="auto"/>
      <w:ind w:firstLine="420"/>
    </w:pPr>
    <w:rPr>
      <w:rFonts w:ascii="宋体" w:hAnsi="宋体"/>
      <w:color w:val="000000"/>
      <w:sz w:val="24"/>
      <w:szCs w:val="21"/>
    </w:rPr>
  </w:style>
  <w:style w:type="paragraph" w:customStyle="1" w:styleId="645">
    <w:name w:val="14"/>
    <w:basedOn w:val="1"/>
    <w:qFormat/>
    <w:uiPriority w:val="0"/>
    <w:pPr>
      <w:snapToGrid w:val="0"/>
      <w:spacing w:beforeLines="30" w:line="288" w:lineRule="auto"/>
      <w:ind w:left="852" w:leftChars="355" w:firstLine="420" w:firstLineChars="175"/>
    </w:pPr>
    <w:rPr>
      <w:rFonts w:ascii="新宋体" w:hAnsi="新宋体"/>
      <w:sz w:val="24"/>
      <w:szCs w:val="20"/>
    </w:rPr>
  </w:style>
  <w:style w:type="paragraph" w:customStyle="1" w:styleId="646">
    <w:name w:val="Char1 Char Char Char Char1"/>
    <w:basedOn w:val="21"/>
    <w:qFormat/>
    <w:uiPriority w:val="0"/>
    <w:rPr>
      <w:rFonts w:ascii="Tahoma" w:hAnsi="Tahoma" w:cs="Tahoma"/>
      <w:kern w:val="0"/>
      <w:sz w:val="18"/>
    </w:rPr>
  </w:style>
  <w:style w:type="paragraph" w:customStyle="1" w:styleId="647">
    <w:name w:val="技术报告正文"/>
    <w:basedOn w:val="1"/>
    <w:qFormat/>
    <w:uiPriority w:val="0"/>
    <w:pPr>
      <w:autoSpaceDE w:val="0"/>
      <w:autoSpaceDN w:val="0"/>
      <w:adjustRightInd w:val="0"/>
      <w:spacing w:beforeLines="50" w:line="440" w:lineRule="exact"/>
      <w:ind w:firstLine="538" w:firstLineChars="192"/>
      <w:jc w:val="left"/>
    </w:pPr>
    <w:rPr>
      <w:rFonts w:cs="Arial"/>
      <w:bCs/>
      <w:kern w:val="0"/>
      <w:sz w:val="28"/>
      <w:szCs w:val="20"/>
    </w:rPr>
  </w:style>
  <w:style w:type="paragraph" w:customStyle="1" w:styleId="648">
    <w:name w:val="样式 (西文) Times New Roman 四号 段后: 6 磅 行距: 固定值 20 磅 首行缩进:  1.92 ..."/>
    <w:basedOn w:val="1"/>
    <w:qFormat/>
    <w:uiPriority w:val="0"/>
    <w:pPr>
      <w:spacing w:beforeLines="50" w:afterLines="50" w:line="360" w:lineRule="auto"/>
      <w:ind w:firstLine="200" w:firstLineChars="200"/>
    </w:pPr>
    <w:rPr>
      <w:rFonts w:cs="宋体"/>
      <w:sz w:val="28"/>
      <w:szCs w:val="20"/>
    </w:rPr>
  </w:style>
  <w:style w:type="paragraph" w:customStyle="1" w:styleId="649">
    <w:name w:val="CM106"/>
    <w:basedOn w:val="588"/>
    <w:next w:val="588"/>
    <w:qFormat/>
    <w:uiPriority w:val="0"/>
    <w:rPr>
      <w:rFonts w:cs="Times New Roman"/>
      <w:color w:val="auto"/>
    </w:rPr>
  </w:style>
  <w:style w:type="paragraph" w:customStyle="1" w:styleId="6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新宋体" w:hAnsi="新宋体" w:eastAsia="新宋体" w:cs="宋体"/>
      <w:color w:val="000000"/>
      <w:kern w:val="0"/>
      <w:sz w:val="24"/>
    </w:rPr>
  </w:style>
  <w:style w:type="paragraph" w:customStyle="1" w:styleId="651">
    <w:name w:val="xl320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b/>
      <w:bCs/>
      <w:kern w:val="0"/>
      <w:sz w:val="24"/>
    </w:rPr>
  </w:style>
  <w:style w:type="paragraph" w:customStyle="1" w:styleId="652">
    <w:name w:val="Table Paragraph"/>
    <w:basedOn w:val="1"/>
    <w:qFormat/>
    <w:uiPriority w:val="1"/>
    <w:pPr>
      <w:autoSpaceDE w:val="0"/>
      <w:autoSpaceDN w:val="0"/>
      <w:adjustRightInd w:val="0"/>
      <w:jc w:val="left"/>
    </w:pPr>
    <w:rPr>
      <w:kern w:val="0"/>
      <w:sz w:val="24"/>
    </w:rPr>
  </w:style>
  <w:style w:type="paragraph" w:customStyle="1" w:styleId="653">
    <w:name w:val="正文文本缩进 31"/>
    <w:basedOn w:val="1"/>
    <w:qFormat/>
    <w:uiPriority w:val="0"/>
    <w:pPr>
      <w:tabs>
        <w:tab w:val="left" w:pos="0"/>
      </w:tabs>
      <w:spacing w:line="360" w:lineRule="auto"/>
      <w:ind w:firstLine="504" w:firstLineChars="209"/>
    </w:pPr>
    <w:rPr>
      <w:rFonts w:ascii="宋体"/>
      <w:b/>
      <w:bCs/>
      <w:sz w:val="24"/>
    </w:rPr>
  </w:style>
  <w:style w:type="paragraph" w:customStyle="1" w:styleId="654">
    <w:name w:val="四级目录 Char Char Char Char Char"/>
    <w:next w:val="1"/>
    <w:qFormat/>
    <w:uiPriority w:val="0"/>
    <w:pPr>
      <w:spacing w:line="360" w:lineRule="auto"/>
      <w:ind w:left="200" w:leftChars="200"/>
    </w:pPr>
    <w:rPr>
      <w:rFonts w:ascii="Times New Roman" w:hAnsi="Times New Roman" w:eastAsia="宋体" w:cs="Times New Roman"/>
      <w:lang w:val="en-US" w:eastAsia="zh-CN" w:bidi="ar-SA"/>
    </w:rPr>
  </w:style>
  <w:style w:type="paragraph" w:customStyle="1" w:styleId="655">
    <w:name w:val="button"/>
    <w:basedOn w:val="1"/>
    <w:qFormat/>
    <w:uiPriority w:val="0"/>
    <w:pPr>
      <w:widowControl/>
      <w:autoSpaceDE w:val="0"/>
      <w:autoSpaceDN w:val="0"/>
      <w:adjustRightInd w:val="0"/>
      <w:spacing w:before="100" w:beforeAutospacing="1" w:after="100" w:afterAutospacing="1"/>
      <w:jc w:val="left"/>
    </w:pPr>
    <w:rPr>
      <w:rFonts w:ascii="Arial Unicode MS" w:hAnsi="Arial Unicode MS"/>
      <w:color w:val="000000"/>
      <w:kern w:val="0"/>
      <w:sz w:val="24"/>
      <w:szCs w:val="20"/>
    </w:rPr>
  </w:style>
  <w:style w:type="paragraph" w:customStyle="1" w:styleId="656">
    <w:name w:val="标题2"/>
    <w:basedOn w:val="7"/>
    <w:qFormat/>
    <w:uiPriority w:val="0"/>
    <w:pPr>
      <w:spacing w:before="240" w:after="240" w:line="360" w:lineRule="auto"/>
      <w:ind w:left="840" w:hanging="420"/>
    </w:pPr>
    <w:rPr>
      <w:rFonts w:ascii="Times New Roman" w:hAnsi="Times New Roman"/>
      <w:sz w:val="36"/>
    </w:rPr>
  </w:style>
  <w:style w:type="paragraph" w:customStyle="1" w:styleId="657">
    <w:name w:val="Char Char Char Char Char Char"/>
    <w:basedOn w:val="1"/>
    <w:qFormat/>
    <w:uiPriority w:val="0"/>
    <w:rPr>
      <w:rFonts w:ascii="Tahoma" w:hAnsi="Tahoma"/>
      <w:sz w:val="24"/>
      <w:szCs w:val="20"/>
    </w:rPr>
  </w:style>
  <w:style w:type="paragraph" w:customStyle="1" w:styleId="658">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659">
    <w:name w:val="TOC 标题1"/>
    <w:basedOn w:val="6"/>
    <w:next w:val="1"/>
    <w:qFormat/>
    <w:uiPriority w:val="39"/>
    <w:pPr>
      <w:keepLines/>
      <w:widowControl/>
      <w:spacing w:before="480" w:line="276" w:lineRule="auto"/>
      <w:jc w:val="left"/>
      <w:outlineLvl w:val="9"/>
    </w:pPr>
    <w:rPr>
      <w:rFonts w:ascii="Cambria" w:hAnsi="Cambria" w:eastAsia="宋体"/>
      <w:color w:val="365F91"/>
      <w:kern w:val="0"/>
      <w:sz w:val="28"/>
      <w:szCs w:val="28"/>
    </w:rPr>
  </w:style>
  <w:style w:type="paragraph" w:customStyle="1" w:styleId="660">
    <w:name w:val="_Style 25"/>
    <w:basedOn w:val="1"/>
    <w:qFormat/>
    <w:uiPriority w:val="0"/>
  </w:style>
  <w:style w:type="paragraph" w:customStyle="1" w:styleId="661">
    <w:name w:val="ÕýÎÄÊ×ÐÐËõ½ø"/>
    <w:basedOn w:val="1"/>
    <w:qFormat/>
    <w:uiPriority w:val="0"/>
    <w:pPr>
      <w:widowControl/>
      <w:overflowPunct w:val="0"/>
      <w:autoSpaceDE w:val="0"/>
      <w:autoSpaceDN w:val="0"/>
      <w:adjustRightInd w:val="0"/>
      <w:spacing w:line="360" w:lineRule="auto"/>
      <w:ind w:left="1134"/>
      <w:jc w:val="left"/>
      <w:textAlignment w:val="baseline"/>
    </w:pPr>
    <w:rPr>
      <w:rFonts w:eastAsia="Times New Roman"/>
      <w:kern w:val="0"/>
      <w:sz w:val="20"/>
      <w:szCs w:val="20"/>
    </w:rPr>
  </w:style>
  <w:style w:type="paragraph" w:customStyle="1" w:styleId="662">
    <w:name w:val="样式 标题 2 +"/>
    <w:basedOn w:val="7"/>
    <w:qFormat/>
    <w:uiPriority w:val="0"/>
    <w:pPr>
      <w:keepNext w:val="0"/>
      <w:keepLines w:val="0"/>
      <w:widowControl/>
      <w:tabs>
        <w:tab w:val="left" w:pos="1134"/>
      </w:tabs>
      <w:spacing w:before="360" w:after="120" w:line="240" w:lineRule="auto"/>
    </w:pPr>
    <w:rPr>
      <w:rFonts w:ascii="黑体" w:hAnsi="宋体" w:eastAsia="宋体"/>
      <w:kern w:val="0"/>
      <w:sz w:val="30"/>
      <w:szCs w:val="30"/>
    </w:rPr>
  </w:style>
  <w:style w:type="paragraph" w:customStyle="1" w:styleId="663">
    <w:name w:val="xl66"/>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b/>
      <w:bCs/>
      <w:color w:val="000000"/>
      <w:kern w:val="0"/>
      <w:sz w:val="24"/>
    </w:rPr>
  </w:style>
  <w:style w:type="paragraph" w:customStyle="1" w:styleId="664">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rFonts w:ascii="宋体" w:hAnsi="宋体" w:cs="宋体"/>
      <w:b/>
      <w:bCs/>
      <w:color w:val="000000"/>
      <w:kern w:val="0"/>
      <w:sz w:val="20"/>
      <w:szCs w:val="20"/>
    </w:rPr>
  </w:style>
  <w:style w:type="paragraph" w:customStyle="1" w:styleId="665">
    <w:name w:val="正文缩进1"/>
    <w:basedOn w:val="1"/>
    <w:next w:val="25"/>
    <w:qFormat/>
    <w:uiPriority w:val="0"/>
    <w:pPr>
      <w:autoSpaceDE w:val="0"/>
      <w:autoSpaceDN w:val="0"/>
      <w:adjustRightInd w:val="0"/>
      <w:snapToGrid w:val="0"/>
      <w:spacing w:after="120" w:line="360" w:lineRule="auto"/>
      <w:ind w:left="420" w:leftChars="200" w:firstLine="480" w:firstLineChars="200"/>
      <w:jc w:val="left"/>
    </w:pPr>
    <w:rPr>
      <w:kern w:val="0"/>
      <w:sz w:val="24"/>
      <w:szCs w:val="21"/>
    </w:rPr>
  </w:style>
  <w:style w:type="paragraph" w:customStyle="1" w:styleId="666">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667">
    <w:name w:val="Char Char1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668">
    <w:name w:val="纯文本2"/>
    <w:basedOn w:val="1"/>
    <w:qFormat/>
    <w:uiPriority w:val="0"/>
    <w:pPr>
      <w:adjustRightInd w:val="0"/>
      <w:snapToGrid w:val="0"/>
      <w:spacing w:line="288" w:lineRule="auto"/>
      <w:ind w:firstLine="200" w:firstLineChars="200"/>
    </w:pPr>
    <w:rPr>
      <w:rFonts w:ascii="宋体" w:hAnsi="Courier New"/>
    </w:rPr>
  </w:style>
  <w:style w:type="paragraph" w:customStyle="1" w:styleId="669">
    <w:name w:val="标题 3H"/>
    <w:basedOn w:val="8"/>
    <w:next w:val="18"/>
    <w:qFormat/>
    <w:uiPriority w:val="0"/>
    <w:pPr>
      <w:keepNext w:val="0"/>
      <w:tabs>
        <w:tab w:val="left" w:pos="862"/>
      </w:tabs>
      <w:adjustRightInd w:val="0"/>
      <w:spacing w:before="120" w:after="0" w:line="360" w:lineRule="auto"/>
      <w:ind w:left="561" w:hanging="561"/>
      <w:textAlignment w:val="baseline"/>
    </w:pPr>
    <w:rPr>
      <w:rFonts w:cs="宋体"/>
      <w:kern w:val="0"/>
      <w:sz w:val="28"/>
      <w:szCs w:val="20"/>
    </w:rPr>
  </w:style>
  <w:style w:type="paragraph" w:customStyle="1" w:styleId="670">
    <w:name w:val="无间隔1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671">
    <w:name w:val="前言、引言标题"/>
    <w:next w:val="1"/>
    <w:qFormat/>
    <w:uiPriority w:val="0"/>
    <w:pPr>
      <w:shd w:val="clear" w:color="FFFFFF" w:fill="FFFFFF"/>
      <w:tabs>
        <w:tab w:val="left" w:pos="360"/>
      </w:tabs>
      <w:spacing w:before="640" w:after="560"/>
      <w:ind w:left="360" w:hanging="360"/>
      <w:jc w:val="center"/>
      <w:outlineLvl w:val="0"/>
    </w:pPr>
    <w:rPr>
      <w:rFonts w:ascii="黑体" w:hAnsi="Times New Roman" w:eastAsia="黑体" w:cs="Times New Roman"/>
      <w:sz w:val="32"/>
      <w:lang w:val="en-US" w:eastAsia="zh-CN" w:bidi="ar-SA"/>
    </w:rPr>
  </w:style>
  <w:style w:type="paragraph" w:customStyle="1" w:styleId="672">
    <w:name w:val="招标文件－标准正文"/>
    <w:basedOn w:val="32"/>
    <w:qFormat/>
    <w:uiPriority w:val="0"/>
    <w:pPr>
      <w:spacing w:line="360" w:lineRule="auto"/>
    </w:pPr>
    <w:rPr>
      <w:rFonts w:ascii="Times New Roman" w:hAnsi="Times New Roman" w:cs="宋体"/>
      <w:color w:val="000000"/>
      <w:sz w:val="24"/>
    </w:rPr>
  </w:style>
  <w:style w:type="paragraph" w:customStyle="1" w:styleId="673">
    <w:name w:val="xl107"/>
    <w:basedOn w:val="1"/>
    <w:qFormat/>
    <w:uiPriority w:val="0"/>
    <w:pPr>
      <w:widowControl/>
      <w:pBdr>
        <w:top w:val="single" w:color="auto" w:sz="4" w:space="0"/>
        <w:left w:val="single" w:color="auto" w:sz="4" w:space="0"/>
        <w:bottom w:val="single" w:color="auto" w:sz="4" w:space="0"/>
        <w:right w:val="single" w:color="auto" w:sz="8" w:space="0"/>
      </w:pBdr>
      <w:shd w:val="clear" w:color="000000" w:fill="92CDDC"/>
      <w:spacing w:before="100" w:beforeAutospacing="1" w:after="100" w:afterAutospacing="1"/>
      <w:jc w:val="center"/>
      <w:textAlignment w:val="top"/>
    </w:pPr>
    <w:rPr>
      <w:rFonts w:ascii="宋体" w:hAnsi="宋体" w:cs="宋体"/>
      <w:kern w:val="0"/>
      <w:sz w:val="24"/>
    </w:rPr>
  </w:style>
  <w:style w:type="paragraph" w:customStyle="1" w:styleId="674">
    <w:name w:val="Char Char Char Char"/>
    <w:basedOn w:val="1"/>
    <w:qFormat/>
    <w:uiPriority w:val="0"/>
    <w:pPr>
      <w:autoSpaceDE w:val="0"/>
      <w:autoSpaceDN w:val="0"/>
      <w:adjustRightInd w:val="0"/>
      <w:jc w:val="left"/>
    </w:pPr>
    <w:rPr>
      <w:rFonts w:ascii="Tahoma" w:hAnsi="Tahoma"/>
      <w:kern w:val="0"/>
      <w:sz w:val="24"/>
      <w:szCs w:val="20"/>
    </w:rPr>
  </w:style>
  <w:style w:type="paragraph" w:customStyle="1" w:styleId="675">
    <w:name w:val="_Style 2"/>
    <w:basedOn w:val="1"/>
    <w:qFormat/>
    <w:uiPriority w:val="34"/>
    <w:pPr>
      <w:ind w:firstLine="420" w:firstLineChars="200"/>
    </w:pPr>
    <w:rPr>
      <w:rFonts w:ascii="等线" w:hAnsi="等线" w:eastAsia="等线"/>
      <w:szCs w:val="22"/>
    </w:rPr>
  </w:style>
  <w:style w:type="paragraph" w:customStyle="1" w:styleId="676">
    <w:name w:val="Blockquote"/>
    <w:basedOn w:val="1"/>
    <w:qFormat/>
    <w:uiPriority w:val="0"/>
    <w:pPr>
      <w:autoSpaceDE w:val="0"/>
      <w:autoSpaceDN w:val="0"/>
      <w:spacing w:before="100" w:after="100"/>
      <w:ind w:left="360" w:right="360"/>
      <w:jc w:val="left"/>
    </w:pPr>
    <w:rPr>
      <w:szCs w:val="20"/>
    </w:rPr>
  </w:style>
  <w:style w:type="paragraph" w:customStyle="1" w:styleId="677">
    <w:name w:val="实施日期"/>
    <w:basedOn w:val="1"/>
    <w:qFormat/>
    <w:uiPriority w:val="0"/>
    <w:pPr>
      <w:widowControl/>
      <w:tabs>
        <w:tab w:val="left" w:pos="2660"/>
      </w:tabs>
      <w:ind w:left="2660" w:hanging="420"/>
      <w:jc w:val="right"/>
    </w:pPr>
    <w:rPr>
      <w:rFonts w:eastAsia="黑体"/>
      <w:kern w:val="0"/>
      <w:sz w:val="28"/>
      <w:szCs w:val="20"/>
    </w:rPr>
  </w:style>
  <w:style w:type="paragraph" w:customStyle="1" w:styleId="678">
    <w:name w:val="章标题"/>
    <w:next w:val="1"/>
    <w:qFormat/>
    <w:uiPriority w:val="0"/>
    <w:pPr>
      <w:tabs>
        <w:tab w:val="left" w:pos="360"/>
      </w:tabs>
      <w:spacing w:beforeLines="50" w:afterLines="50"/>
      <w:jc w:val="both"/>
      <w:outlineLvl w:val="1"/>
    </w:pPr>
    <w:rPr>
      <w:rFonts w:ascii="黑体" w:hAnsi="Times New Roman" w:eastAsia="黑体" w:cs="Times New Roman"/>
      <w:sz w:val="21"/>
      <w:lang w:val="en-US" w:eastAsia="zh-CN" w:bidi="ar-SA"/>
    </w:rPr>
  </w:style>
  <w:style w:type="paragraph" w:customStyle="1" w:styleId="679">
    <w:name w:val="样式 标题 5正文四级标题 + 宋体 小五 行距: 固定值 12 磅1"/>
    <w:basedOn w:val="10"/>
    <w:qFormat/>
    <w:uiPriority w:val="0"/>
    <w:pPr>
      <w:tabs>
        <w:tab w:val="left" w:pos="2580"/>
      </w:tabs>
      <w:adjustRightInd w:val="0"/>
      <w:spacing w:line="240" w:lineRule="exact"/>
      <w:ind w:left="2580" w:hanging="420"/>
      <w:textAlignment w:val="baseline"/>
    </w:pPr>
    <w:rPr>
      <w:rFonts w:ascii="宋体" w:hAnsi="宋体" w:cs="宋体"/>
      <w:kern w:val="0"/>
      <w:sz w:val="18"/>
      <w:szCs w:val="20"/>
    </w:rPr>
  </w:style>
  <w:style w:type="paragraph" w:customStyle="1" w:styleId="680">
    <w:name w:val="Item List in Table"/>
    <w:qFormat/>
    <w:uiPriority w:val="0"/>
    <w:pPr>
      <w:tabs>
        <w:tab w:val="left" w:pos="284"/>
        <w:tab w:val="left" w:pos="720"/>
      </w:tabs>
      <w:spacing w:before="40" w:after="40"/>
      <w:ind w:left="720" w:hanging="720"/>
      <w:jc w:val="both"/>
    </w:pPr>
    <w:rPr>
      <w:rFonts w:ascii="Times New Roman" w:hAnsi="Times New Roman" w:eastAsia="宋体" w:cs="Arial"/>
      <w:kern w:val="2"/>
      <w:sz w:val="18"/>
      <w:szCs w:val="18"/>
      <w:lang w:val="en-US" w:eastAsia="zh-CN" w:bidi="ar-SA"/>
    </w:rPr>
  </w:style>
  <w:style w:type="paragraph" w:customStyle="1" w:styleId="681">
    <w:name w:val="正文（首行缩进）"/>
    <w:basedOn w:val="25"/>
    <w:qFormat/>
    <w:uiPriority w:val="0"/>
    <w:pPr>
      <w:widowControl/>
      <w:overflowPunct w:val="0"/>
      <w:autoSpaceDE w:val="0"/>
      <w:autoSpaceDN w:val="0"/>
      <w:spacing w:beforeLines="50" w:after="120" w:line="400" w:lineRule="exact"/>
      <w:ind w:left="200" w:leftChars="200" w:firstLine="200" w:firstLineChars="200"/>
      <w:textAlignment w:val="baseline"/>
    </w:pPr>
    <w:rPr>
      <w:rFonts w:ascii="仿宋_GB2312" w:hAnsi="Times New Roman"/>
      <w:b/>
      <w:spacing w:val="10"/>
      <w:kern w:val="0"/>
    </w:rPr>
  </w:style>
  <w:style w:type="paragraph" w:customStyle="1" w:styleId="682">
    <w:name w:val="Pa5"/>
    <w:basedOn w:val="588"/>
    <w:next w:val="588"/>
    <w:qFormat/>
    <w:uiPriority w:val="0"/>
    <w:pPr>
      <w:spacing w:after="60" w:line="161" w:lineRule="atLeast"/>
    </w:pPr>
    <w:rPr>
      <w:rFonts w:ascii="Univers LT Std 57 Cn" w:hAnsi="Univers LT Std 57 Cn" w:cs="Times New Roman"/>
      <w:color w:val="auto"/>
    </w:rPr>
  </w:style>
  <w:style w:type="paragraph" w:customStyle="1" w:styleId="683">
    <w:name w:val="Char1 Char Char Char Char"/>
    <w:basedOn w:val="21"/>
    <w:qFormat/>
    <w:uiPriority w:val="0"/>
    <w:rPr>
      <w:rFonts w:ascii="Tahoma" w:hAnsi="Tahoma" w:cs="Tahoma"/>
      <w:kern w:val="0"/>
      <w:sz w:val="18"/>
    </w:rPr>
  </w:style>
  <w:style w:type="paragraph" w:customStyle="1" w:styleId="684">
    <w:name w:val="xl29"/>
    <w:basedOn w:val="1"/>
    <w:qFormat/>
    <w:uiPriority w:val="0"/>
    <w:pPr>
      <w:widowControl/>
      <w:autoSpaceDE w:val="0"/>
      <w:autoSpaceDN w:val="0"/>
      <w:adjustRightInd w:val="0"/>
      <w:spacing w:before="100" w:beforeAutospacing="1" w:after="100" w:afterAutospacing="1"/>
      <w:jc w:val="center"/>
    </w:pPr>
    <w:rPr>
      <w:rFonts w:ascii="Arial Unicode MS" w:hAnsi="Arial Unicode MS" w:eastAsia="Arial Unicode MS"/>
      <w:kern w:val="0"/>
      <w:sz w:val="24"/>
      <w:szCs w:val="20"/>
    </w:rPr>
  </w:style>
  <w:style w:type="paragraph" w:customStyle="1" w:styleId="685">
    <w:name w:val="样式3"/>
    <w:basedOn w:val="9"/>
    <w:qFormat/>
    <w:uiPriority w:val="0"/>
    <w:pPr>
      <w:keepNext w:val="0"/>
      <w:adjustRightInd w:val="0"/>
      <w:spacing w:before="260" w:after="260" w:line="416" w:lineRule="auto"/>
      <w:textAlignment w:val="baseline"/>
    </w:pPr>
    <w:rPr>
      <w:rFonts w:ascii="宋体" w:hAnsi="宋体"/>
      <w:color w:val="000000"/>
      <w:sz w:val="32"/>
      <w:szCs w:val="32"/>
    </w:rPr>
  </w:style>
  <w:style w:type="paragraph" w:customStyle="1" w:styleId="686">
    <w:name w:val="blockquote"/>
    <w:basedOn w:val="1"/>
    <w:qFormat/>
    <w:uiPriority w:val="0"/>
    <w:pPr>
      <w:widowControl/>
      <w:spacing w:before="100" w:beforeAutospacing="1" w:after="100" w:afterAutospacing="1"/>
      <w:jc w:val="left"/>
    </w:pPr>
    <w:rPr>
      <w:rFonts w:ascii="宋体" w:hAnsi="宋体"/>
    </w:rPr>
  </w:style>
  <w:style w:type="paragraph" w:customStyle="1" w:styleId="687">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8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b/>
      <w:bCs/>
      <w:kern w:val="0"/>
      <w:sz w:val="28"/>
      <w:szCs w:val="28"/>
    </w:rPr>
  </w:style>
  <w:style w:type="paragraph" w:customStyle="1" w:styleId="689">
    <w:name w:val="Revision1"/>
    <w:qFormat/>
    <w:uiPriority w:val="99"/>
    <w:rPr>
      <w:rFonts w:ascii="Times New Roman" w:hAnsi="Times New Roman" w:eastAsia="宋体" w:cs="Times New Roman"/>
      <w:kern w:val="2"/>
      <w:sz w:val="21"/>
      <w:szCs w:val="24"/>
      <w:lang w:val="en-US" w:eastAsia="zh-CN" w:bidi="ar-SA"/>
    </w:rPr>
  </w:style>
  <w:style w:type="paragraph" w:customStyle="1" w:styleId="690">
    <w:name w:val="样式6"/>
    <w:basedOn w:val="19"/>
    <w:qFormat/>
    <w:uiPriority w:val="0"/>
    <w:pPr>
      <w:keepNext/>
      <w:autoSpaceDE/>
      <w:autoSpaceDN/>
      <w:adjustRightInd/>
      <w:jc w:val="center"/>
    </w:pPr>
    <w:rPr>
      <w:rFonts w:ascii="宋体" w:hAnsi="宋体" w:eastAsia="宋体"/>
      <w:kern w:val="2"/>
    </w:rPr>
  </w:style>
  <w:style w:type="paragraph" w:customStyle="1" w:styleId="691">
    <w:name w:val="列出段落11"/>
    <w:basedOn w:val="1"/>
    <w:qFormat/>
    <w:uiPriority w:val="0"/>
    <w:pPr>
      <w:ind w:firstLine="420" w:firstLineChars="200"/>
    </w:pPr>
    <w:rPr>
      <w:szCs w:val="20"/>
    </w:rPr>
  </w:style>
  <w:style w:type="paragraph" w:customStyle="1" w:styleId="692">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93">
    <w:name w:val="xl103"/>
    <w:basedOn w:val="1"/>
    <w:qFormat/>
    <w:uiPriority w:val="0"/>
    <w:pPr>
      <w:widowControl/>
      <w:pBdr>
        <w:top w:val="single" w:color="auto" w:sz="4" w:space="0"/>
        <w:left w:val="single" w:color="auto" w:sz="4" w:space="0"/>
        <w:bottom w:val="single" w:color="auto" w:sz="4" w:space="0"/>
        <w:right w:val="single" w:color="auto" w:sz="8" w:space="0"/>
      </w:pBdr>
      <w:shd w:val="clear" w:color="000000" w:fill="FFC000"/>
      <w:spacing w:before="100" w:beforeAutospacing="1" w:after="100" w:afterAutospacing="1"/>
      <w:jc w:val="center"/>
      <w:textAlignment w:val="top"/>
    </w:pPr>
    <w:rPr>
      <w:rFonts w:ascii="宋体" w:hAnsi="宋体" w:cs="宋体"/>
      <w:kern w:val="0"/>
      <w:sz w:val="24"/>
    </w:rPr>
  </w:style>
  <w:style w:type="paragraph" w:customStyle="1" w:styleId="69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695">
    <w:name w:val="样式 标题 4正文四级标题 + 宋体 小五 行距: 固定值 12 磅1"/>
    <w:basedOn w:val="1"/>
    <w:qFormat/>
    <w:uiPriority w:val="0"/>
    <w:pPr>
      <w:tabs>
        <w:tab w:val="left" w:pos="2580"/>
      </w:tabs>
      <w:ind w:left="2580" w:hanging="420"/>
    </w:pPr>
    <w:rPr>
      <w:sz w:val="20"/>
    </w:rPr>
  </w:style>
  <w:style w:type="paragraph" w:customStyle="1" w:styleId="696">
    <w:name w:val="Plain Text1"/>
    <w:basedOn w:val="1"/>
    <w:qFormat/>
    <w:uiPriority w:val="0"/>
    <w:pPr>
      <w:widowControl/>
      <w:overflowPunct w:val="0"/>
      <w:autoSpaceDE w:val="0"/>
      <w:autoSpaceDN w:val="0"/>
      <w:adjustRightInd w:val="0"/>
      <w:jc w:val="left"/>
      <w:textAlignment w:val="baseline"/>
    </w:pPr>
    <w:rPr>
      <w:rFonts w:ascii="仿宋_GB2312" w:hAnsi="Wingdings" w:eastAsia="仿宋_GB2312"/>
      <w:szCs w:val="21"/>
    </w:rPr>
  </w:style>
  <w:style w:type="paragraph" w:customStyle="1" w:styleId="697">
    <w:name w:val="Bulleted List"/>
    <w:basedOn w:val="1"/>
    <w:qFormat/>
    <w:uiPriority w:val="0"/>
    <w:pPr>
      <w:tabs>
        <w:tab w:val="left" w:pos="420"/>
        <w:tab w:val="left" w:pos="780"/>
      </w:tabs>
      <w:ind w:left="780" w:hanging="360"/>
    </w:pPr>
  </w:style>
  <w:style w:type="paragraph" w:customStyle="1" w:styleId="69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新宋体" w:hAnsi="新宋体" w:eastAsia="新宋体" w:cs="宋体"/>
      <w:color w:val="000000"/>
      <w:kern w:val="0"/>
      <w:sz w:val="24"/>
    </w:rPr>
  </w:style>
  <w:style w:type="paragraph" w:customStyle="1" w:styleId="699">
    <w:name w:val="缩正文"/>
    <w:basedOn w:val="26"/>
    <w:qFormat/>
    <w:uiPriority w:val="0"/>
    <w:pPr>
      <w:spacing w:line="240" w:lineRule="auto"/>
      <w:ind w:left="2268" w:leftChars="0" w:firstLine="0" w:firstLineChars="0"/>
    </w:pPr>
    <w:rPr>
      <w:rFonts w:ascii="Times New Roman" w:hAnsi="Times New Roman"/>
      <w:sz w:val="21"/>
      <w:szCs w:val="20"/>
    </w:rPr>
  </w:style>
  <w:style w:type="paragraph" w:customStyle="1" w:styleId="700">
    <w:name w:val="xl97"/>
    <w:basedOn w:val="1"/>
    <w:qFormat/>
    <w:uiPriority w:val="0"/>
    <w:pPr>
      <w:widowControl/>
      <w:pBdr>
        <w:top w:val="single" w:color="auto" w:sz="8"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Arial" w:hAnsi="Arial" w:cs="Arial"/>
      <w:b/>
      <w:bCs/>
      <w:kern w:val="0"/>
      <w:sz w:val="24"/>
    </w:rPr>
  </w:style>
  <w:style w:type="paragraph" w:customStyle="1" w:styleId="701">
    <w:name w:val="Char Char Char Char Char Char Char Char Char Char"/>
    <w:basedOn w:val="1"/>
    <w:qFormat/>
    <w:uiPriority w:val="0"/>
    <w:pPr>
      <w:autoSpaceDE w:val="0"/>
      <w:autoSpaceDN w:val="0"/>
      <w:adjustRightInd w:val="0"/>
      <w:jc w:val="left"/>
    </w:pPr>
    <w:rPr>
      <w:rFonts w:ascii="仿宋_GB2312" w:eastAsia="仿宋_GB2312"/>
      <w:b/>
      <w:kern w:val="0"/>
      <w:sz w:val="32"/>
      <w:szCs w:val="32"/>
    </w:rPr>
  </w:style>
  <w:style w:type="paragraph" w:customStyle="1" w:styleId="702">
    <w:name w:val="样式 标题 3 + (中文) 黑体 小四 非加粗 段前: 7.8 磅 段后: 0 磅 行距: 固定值 20 磅"/>
    <w:basedOn w:val="8"/>
    <w:qFormat/>
    <w:uiPriority w:val="0"/>
    <w:pPr>
      <w:spacing w:before="0" w:after="0" w:line="400" w:lineRule="exact"/>
    </w:pPr>
    <w:rPr>
      <w:rFonts w:ascii="仿宋_GB2312" w:cs="宋体"/>
      <w:sz w:val="24"/>
      <w:szCs w:val="20"/>
    </w:rPr>
  </w:style>
  <w:style w:type="paragraph" w:customStyle="1" w:styleId="703">
    <w:name w:val="项目符1"/>
    <w:basedOn w:val="1"/>
    <w:next w:val="1"/>
    <w:qFormat/>
    <w:uiPriority w:val="0"/>
    <w:pPr>
      <w:tabs>
        <w:tab w:val="left" w:pos="425"/>
      </w:tabs>
      <w:spacing w:before="60" w:line="360" w:lineRule="auto"/>
      <w:ind w:left="425" w:hanging="425"/>
    </w:pPr>
    <w:rPr>
      <w:spacing w:val="6"/>
      <w:szCs w:val="20"/>
    </w:rPr>
  </w:style>
  <w:style w:type="paragraph" w:customStyle="1" w:styleId="704">
    <w:name w:val="font8"/>
    <w:basedOn w:val="1"/>
    <w:qFormat/>
    <w:uiPriority w:val="0"/>
    <w:pPr>
      <w:widowControl/>
      <w:spacing w:before="100" w:beforeAutospacing="1" w:after="100" w:afterAutospacing="1"/>
      <w:jc w:val="left"/>
    </w:pPr>
    <w:rPr>
      <w:rFonts w:ascii="黑体" w:hAnsi="宋体" w:eastAsia="黑体" w:cs="宋体"/>
      <w:color w:val="000000"/>
      <w:kern w:val="0"/>
      <w:sz w:val="20"/>
      <w:szCs w:val="20"/>
    </w:rPr>
  </w:style>
  <w:style w:type="paragraph" w:customStyle="1" w:styleId="705">
    <w:name w:val="_Style 33"/>
    <w:basedOn w:val="1"/>
    <w:qFormat/>
    <w:uiPriority w:val="0"/>
  </w:style>
  <w:style w:type="paragraph" w:customStyle="1" w:styleId="706">
    <w:name w:val="正文内容"/>
    <w:basedOn w:val="1"/>
    <w:qFormat/>
    <w:uiPriority w:val="0"/>
    <w:pPr>
      <w:spacing w:line="360" w:lineRule="auto"/>
      <w:ind w:firstLine="480"/>
    </w:pPr>
    <w:rPr>
      <w:rFonts w:ascii="宋体" w:hAnsi="宋体"/>
      <w:sz w:val="24"/>
      <w:szCs w:val="20"/>
    </w:rPr>
  </w:style>
  <w:style w:type="paragraph" w:customStyle="1" w:styleId="707">
    <w:name w:val="哈哈表格"/>
    <w:basedOn w:val="1"/>
    <w:qFormat/>
    <w:uiPriority w:val="0"/>
    <w:pPr>
      <w:spacing w:line="360" w:lineRule="auto"/>
    </w:pPr>
    <w:rPr>
      <w:rFonts w:ascii="宋体" w:hAnsi="宋体" w:cs="宋体"/>
      <w:sz w:val="24"/>
      <w:szCs w:val="20"/>
    </w:rPr>
  </w:style>
  <w:style w:type="paragraph" w:customStyle="1" w:styleId="708">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top"/>
    </w:pPr>
    <w:rPr>
      <w:rFonts w:ascii="宋体" w:hAnsi="宋体" w:cs="宋体"/>
      <w:kern w:val="0"/>
      <w:sz w:val="20"/>
      <w:szCs w:val="20"/>
    </w:rPr>
  </w:style>
  <w:style w:type="paragraph" w:customStyle="1" w:styleId="709">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710">
    <w:name w:val="xl104"/>
    <w:basedOn w:val="1"/>
    <w:qFormat/>
    <w:uiPriority w:val="0"/>
    <w:pPr>
      <w:widowControl/>
      <w:pBdr>
        <w:top w:val="single" w:color="auto" w:sz="4" w:space="0"/>
        <w:left w:val="single" w:color="auto" w:sz="4" w:space="0"/>
        <w:bottom w:val="single" w:color="auto" w:sz="4" w:space="0"/>
        <w:right w:val="single" w:color="auto" w:sz="4" w:space="0"/>
      </w:pBdr>
      <w:shd w:val="clear" w:color="000000" w:fill="FABF8F"/>
      <w:spacing w:before="100" w:beforeAutospacing="1" w:after="100" w:afterAutospacing="1"/>
      <w:jc w:val="center"/>
      <w:textAlignment w:val="top"/>
    </w:pPr>
    <w:rPr>
      <w:rFonts w:ascii="宋体" w:hAnsi="宋体" w:cs="宋体"/>
      <w:kern w:val="0"/>
      <w:sz w:val="24"/>
    </w:rPr>
  </w:style>
  <w:style w:type="paragraph" w:customStyle="1" w:styleId="711">
    <w:name w:val="Char Char Char Char1"/>
    <w:basedOn w:val="1"/>
    <w:qFormat/>
    <w:uiPriority w:val="0"/>
    <w:rPr>
      <w:szCs w:val="20"/>
    </w:rPr>
  </w:style>
  <w:style w:type="table" w:customStyle="1" w:styleId="712">
    <w:name w:val="浅色列表 - 强调文字颜色 11"/>
    <w:basedOn w:val="56"/>
    <w:qFormat/>
    <w:uiPriority w:val="61"/>
    <w:rPr>
      <w:rFonts w:ascii="Calibri" w:hAnsi="Calibri"/>
      <w:kern w:val="2"/>
      <w:sz w:val="21"/>
      <w:szCs w:val="22"/>
    </w:rPr>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cPr>
        <w:shd w:val="clear" w:color="auto" w:fill="4F81BD"/>
      </w:tcPr>
    </w:tblStylePr>
    <w:tblStylePr w:type="lastRow">
      <w:pPr>
        <w:spacing w:before="0" w:after="0" w:line="240" w:lineRule="auto"/>
      </w:pPr>
      <w:rPr>
        <w:b/>
        <w:bCs/>
      </w:rPr>
      <w:tcPr>
        <w:tcBorders>
          <w:top w:val="double" w:color="4F81BD" w:sz="6" w:space="0"/>
          <w:left w:val="single" w:color="4F81BD" w:sz="8" w:space="0"/>
          <w:bottom w:val="single" w:color="4F81BD" w:sz="8" w:space="0"/>
          <w:right w:val="single" w:color="4F81BD"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Horz">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style>
  <w:style w:type="table" w:customStyle="1" w:styleId="713">
    <w:name w:val="网格表 5 深色 - 着色 21"/>
    <w:basedOn w:val="56"/>
    <w:qFormat/>
    <w:uiPriority w:val="50"/>
    <w:tblPr>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Pr>
    <w:tcPr>
      <w:shd w:val="clear" w:color="auto" w:fill="FBE4D5"/>
    </w:tcPr>
    <w:tblStylePr w:type="firstRow">
      <w:rPr>
        <w:b/>
        <w:bCs/>
        <w:color w:val="FFFFFF"/>
      </w:rPr>
      <w:tcPr>
        <w:tcBorders>
          <w:top w:val="single" w:color="FFFFFF" w:sz="4" w:space="0"/>
          <w:left w:val="single" w:color="FFFFFF" w:sz="4" w:space="0"/>
          <w:bottom w:val="nil"/>
          <w:right w:val="single" w:color="FFFFFF" w:sz="4" w:space="0"/>
          <w:insideH w:val="nil"/>
          <w:insideV w:val="nil"/>
          <w:tl2br w:val="nil"/>
          <w:tr2bl w:val="nil"/>
        </w:tcBorders>
        <w:shd w:val="clear" w:color="auto" w:fill="ED7D31"/>
      </w:tcPr>
    </w:tblStylePr>
    <w:tblStylePr w:type="lastRow">
      <w:rPr>
        <w:b/>
        <w:bCs/>
        <w:color w:val="FFFFFF"/>
      </w:rPr>
      <w:tcPr>
        <w:tcBorders>
          <w:top w:val="nil"/>
          <w:left w:val="single" w:color="FFFFFF" w:sz="4" w:space="0"/>
          <w:bottom w:val="single" w:color="FFFFFF" w:sz="4" w:space="0"/>
          <w:right w:val="single" w:color="FFFFFF" w:sz="4" w:space="0"/>
          <w:insideH w:val="nil"/>
          <w:insideV w:val="nil"/>
          <w:tl2br w:val="nil"/>
          <w:tr2bl w:val="nil"/>
        </w:tcBorders>
        <w:shd w:val="clear" w:color="auto" w:fill="ED7D31"/>
      </w:tcPr>
    </w:tblStylePr>
    <w:tblStylePr w:type="firstCol">
      <w:rPr>
        <w:b/>
        <w:bCs/>
        <w:color w:val="FFFFFF"/>
      </w:rPr>
      <w:tcPr>
        <w:tcBorders>
          <w:top w:val="single" w:color="FFFFFF" w:sz="4" w:space="0"/>
          <w:left w:val="single" w:color="FFFFFF" w:sz="4" w:space="0"/>
          <w:bottom w:val="single" w:color="FFFFFF" w:sz="4" w:space="0"/>
          <w:right w:val="nil"/>
          <w:insideH w:val="nil"/>
          <w:insideV w:val="nil"/>
          <w:tl2br w:val="nil"/>
          <w:tr2bl w:val="nil"/>
        </w:tcBorders>
        <w:shd w:val="clear" w:color="auto" w:fill="ED7D31"/>
      </w:tcPr>
    </w:tblStylePr>
    <w:tblStylePr w:type="lastCol">
      <w:rPr>
        <w:b/>
        <w:bCs/>
        <w:color w:val="FFFFFF"/>
      </w:rPr>
      <w:tcPr>
        <w:tcBorders>
          <w:top w:val="single" w:color="FFFFFF" w:sz="4" w:space="0"/>
          <w:left w:val="nil"/>
          <w:bottom w:val="single" w:color="FFFFFF" w:sz="4" w:space="0"/>
          <w:right w:val="single" w:color="FFFFFF" w:sz="4" w:space="0"/>
          <w:insideH w:val="nil"/>
          <w:insideV w:val="nil"/>
          <w:tl2br w:val="nil"/>
          <w:tr2bl w:val="nil"/>
        </w:tcBorders>
        <w:shd w:val="clear" w:color="auto" w:fill="ED7D31"/>
      </w:tcPr>
    </w:tblStylePr>
    <w:tblStylePr w:type="band1Vert">
      <w:tcPr>
        <w:shd w:val="clear" w:color="auto" w:fill="F7CAAC"/>
      </w:tcPr>
    </w:tblStylePr>
    <w:tblStylePr w:type="band1Horz">
      <w:tcPr>
        <w:shd w:val="clear" w:color="auto" w:fill="F7CAAC"/>
      </w:tcPr>
    </w:tblStylePr>
  </w:style>
  <w:style w:type="table" w:customStyle="1" w:styleId="714">
    <w:name w:val="浅色网格 - 强调文字颜色 11"/>
    <w:basedOn w:val="56"/>
    <w:qFormat/>
    <w:uiPriority w:val="62"/>
    <w:rPr>
      <w:rFonts w:ascii="Calibri" w:hAnsi="Calibri"/>
      <w:kern w:val="2"/>
      <w:sz w:val="21"/>
      <w:szCs w:val="22"/>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eastAsia="Verdana" w:cs="Linotype Univers 330 Light"/>
        <w:b/>
        <w:bCs/>
      </w:rPr>
      <w:tcPr>
        <w:tcBorders>
          <w:top w:val="single" w:color="4F81BD" w:sz="8" w:space="0"/>
          <w:left w:val="single" w:color="4F81BD" w:sz="8" w:space="0"/>
          <w:bottom w:val="single" w:color="4F81BD" w:sz="18" w:space="0"/>
          <w:right w:val="single" w:color="4F81BD" w:sz="8" w:space="0"/>
          <w:insideH w:val="nil"/>
          <w:insideV w:val="single" w:sz="8" w:space="0"/>
          <w:tl2br w:val="nil"/>
          <w:tr2bl w:val="nil"/>
        </w:tcBorders>
      </w:tcPr>
    </w:tblStylePr>
    <w:tblStylePr w:type="lastRow">
      <w:pPr>
        <w:spacing w:before="0" w:after="0" w:line="240" w:lineRule="auto"/>
      </w:pPr>
      <w:rPr>
        <w:rFonts w:eastAsia="Verdana" w:cs="Linotype Univers 330 Light"/>
        <w:b/>
        <w:bCs/>
      </w:rPr>
      <w:tcPr>
        <w:tcBorders>
          <w:top w:val="double" w:color="4F81BD" w:sz="6" w:space="0"/>
          <w:left w:val="single" w:color="4F81BD" w:sz="8" w:space="0"/>
          <w:bottom w:val="single" w:color="4F81BD" w:sz="8" w:space="0"/>
          <w:right w:val="single" w:color="4F81BD" w:sz="8" w:space="0"/>
          <w:insideH w:val="nil"/>
          <w:insideV w:val="single" w:sz="8" w:space="0"/>
          <w:tl2br w:val="nil"/>
          <w:tr2bl w:val="nil"/>
        </w:tcBorders>
      </w:tcPr>
    </w:tblStylePr>
    <w:tblStylePr w:type="firstCol">
      <w:rPr>
        <w:rFonts w:eastAsia="Verdana" w:cs="Linotype Univers 330 Light"/>
        <w:b/>
        <w:bCs/>
      </w:rPr>
    </w:tblStylePr>
    <w:tblStylePr w:type="lastCol">
      <w:rPr>
        <w:rFonts w:eastAsia="Verdana" w:cs="Linotype Univers 330 Light"/>
        <w:b/>
        <w:bCs/>
      </w:rPr>
      <w:tcPr>
        <w:tcBorders>
          <w:top w:val="single" w:color="4F81BD" w:sz="8" w:space="0"/>
          <w:left w:val="single" w:color="4F81BD" w:sz="8" w:space="0"/>
          <w:bottom w:val="single" w:color="4F81BD" w:sz="8" w:space="0"/>
          <w:right w:val="single" w:color="4F81BD" w:sz="8" w:space="0"/>
          <w:insideH w:val="nil"/>
          <w:insideV w:val="nil"/>
          <w:tl2br w:val="nil"/>
          <w:tr2bl w:val="nil"/>
        </w:tcBorders>
      </w:tcPr>
    </w:tblStylePr>
    <w:tblStylePr w:type="band1Vert">
      <w:tcPr>
        <w:tcBorders>
          <w:top w:val="single" w:color="4F81BD" w:sz="8" w:space="0"/>
          <w:left w:val="single" w:color="4F81BD" w:sz="8" w:space="0"/>
          <w:bottom w:val="single" w:color="4F81BD" w:sz="8" w:space="0"/>
          <w:right w:val="single" w:color="4F81BD" w:sz="8" w:space="0"/>
          <w:insideH w:val="nil"/>
          <w:insideV w:val="nil"/>
          <w:tl2br w:val="nil"/>
          <w:tr2bl w:val="nil"/>
        </w:tcBorders>
        <w:shd w:val="clear" w:color="auto" w:fill="D3DFEE"/>
      </w:tcPr>
    </w:tblStylePr>
    <w:tblStylePr w:type="band1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shd w:val="clear" w:color="auto" w:fill="D3DFEE"/>
      </w:tcPr>
    </w:tblStylePr>
    <w:tblStylePr w:type="band2Horz">
      <w:tcPr>
        <w:tcBorders>
          <w:top w:val="single" w:color="4F81BD" w:sz="8" w:space="0"/>
          <w:left w:val="single" w:color="4F81BD" w:sz="8" w:space="0"/>
          <w:bottom w:val="single" w:color="4F81BD" w:sz="8" w:space="0"/>
          <w:right w:val="single" w:color="4F81BD" w:sz="8" w:space="0"/>
          <w:insideH w:val="nil"/>
          <w:insideV w:val="single" w:sz="8" w:space="0"/>
          <w:tl2br w:val="nil"/>
          <w:tr2bl w:val="nil"/>
        </w:tcBorders>
      </w:tcPr>
    </w:tblStylePr>
  </w:style>
  <w:style w:type="table" w:customStyle="1" w:styleId="715">
    <w:name w:val="清单表 3 - 着色 31"/>
    <w:basedOn w:val="56"/>
    <w:qFormat/>
    <w:uiPriority w:val="48"/>
    <w:rPr>
      <w:rFonts w:ascii="Calibri" w:hAnsi="Calibri"/>
      <w:kern w:val="2"/>
      <w:sz w:val="21"/>
      <w:szCs w:val="22"/>
    </w:rPr>
    <w:tblPr>
      <w:tblBorders>
        <w:top w:val="single" w:color="A5A5A5" w:sz="4" w:space="0"/>
        <w:left w:val="single" w:color="A5A5A5" w:sz="4" w:space="0"/>
        <w:bottom w:val="single" w:color="A5A5A5" w:sz="4" w:space="0"/>
        <w:right w:val="single" w:color="A5A5A5" w:sz="4" w:space="0"/>
      </w:tblBorders>
    </w:tblPr>
    <w:tblStylePr w:type="firstRow">
      <w:rPr>
        <w:b/>
        <w:bCs/>
        <w:color w:val="FFFFFF"/>
      </w:rPr>
      <w:tcPr>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A5A5A5" w:sz="4" w:space="0"/>
          <w:bottom w:val="nil"/>
          <w:right w:val="single" w:color="A5A5A5" w:sz="4" w:space="0"/>
          <w:insideH w:val="nil"/>
          <w:insideV w:val="nil"/>
          <w:tl2br w:val="nil"/>
          <w:tr2bl w:val="nil"/>
        </w:tcBorders>
      </w:tcPr>
    </w:tblStylePr>
    <w:tblStylePr w:type="band1Horz">
      <w:tcPr>
        <w:tcBorders>
          <w:top w:val="single" w:color="A5A5A5" w:sz="4" w:space="0"/>
          <w:left w:val="nil"/>
          <w:bottom w:val="single" w:color="A5A5A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A5A5A5" w:sz="4" w:space="0"/>
          <w:left w:val="nil"/>
          <w:bottom w:val="nil"/>
          <w:right w:val="nil"/>
          <w:insideH w:val="nil"/>
          <w:insideV w:val="nil"/>
          <w:tl2br w:val="nil"/>
          <w:tr2bl w:val="nil"/>
        </w:tcBorders>
      </w:tcPr>
    </w:tblStylePr>
    <w:tblStylePr w:type="swCell">
      <w:tcPr>
        <w:tcBorders>
          <w:top w:val="double" w:color="A5A5A5" w:sz="4" w:space="0"/>
          <w:left w:val="nil"/>
          <w:bottom w:val="nil"/>
          <w:right w:val="nil"/>
          <w:insideH w:val="nil"/>
          <w:insideV w:val="nil"/>
          <w:tl2br w:val="nil"/>
          <w:tr2bl w:val="nil"/>
        </w:tcBorders>
      </w:tcPr>
    </w:tblStylePr>
  </w:style>
  <w:style w:type="table" w:customStyle="1" w:styleId="716">
    <w:name w:val="清单表 3 - 着色 11"/>
    <w:basedOn w:val="56"/>
    <w:qFormat/>
    <w:uiPriority w:val="48"/>
    <w:rPr>
      <w:rFonts w:ascii="Calibri" w:hAnsi="Calibri"/>
      <w:kern w:val="2"/>
      <w:sz w:val="21"/>
      <w:szCs w:val="22"/>
    </w:rPr>
    <w:tblPr>
      <w:tblBorders>
        <w:top w:val="single" w:color="5B9BD5" w:sz="4" w:space="0"/>
        <w:left w:val="single" w:color="5B9BD5" w:sz="4" w:space="0"/>
        <w:bottom w:val="single" w:color="5B9BD5" w:sz="4" w:space="0"/>
        <w:right w:val="single" w:color="5B9BD5" w:sz="4" w:space="0"/>
      </w:tblBorders>
    </w:tblPr>
    <w:tblStylePr w:type="firstRow">
      <w:rPr>
        <w:b/>
        <w:bCs/>
        <w:color w:val="FFFFFF"/>
      </w:rPr>
      <w:tcPr>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shd w:val="clear" w:color="auto" w:fill="FFFFFF"/>
      </w:tcPr>
    </w:tblStylePr>
    <w:tblStylePr w:type="firstCol">
      <w:rPr>
        <w:b/>
        <w:bCs/>
      </w:rPr>
      <w:tcPr>
        <w:tcBorders>
          <w:top w:val="nil"/>
          <w:left w:val="nil"/>
          <w:bottom w:val="nil"/>
          <w:right w:val="nil"/>
          <w:insideH w:val="nil"/>
          <w:insideV w:val="nil"/>
          <w:tl2br w:val="nil"/>
          <w:tr2bl w:val="nil"/>
        </w:tcBorders>
        <w:shd w:val="clear" w:color="auto" w:fill="FFFFFF"/>
      </w:tcPr>
    </w:tblStylePr>
    <w:tblStylePr w:type="lastCol">
      <w:rPr>
        <w:b/>
        <w:bCs/>
      </w:rPr>
      <w:tcPr>
        <w:tcBorders>
          <w:top w:val="nil"/>
          <w:left w:val="nil"/>
          <w:bottom w:val="nil"/>
          <w:right w:val="nil"/>
          <w:insideH w:val="nil"/>
          <w:insideV w:val="nil"/>
          <w:tl2br w:val="nil"/>
          <w:tr2bl w:val="nil"/>
        </w:tcBorders>
        <w:shd w:val="clear" w:color="auto" w:fill="FFFFFF"/>
      </w:tcPr>
    </w:tblStylePr>
    <w:tblStylePr w:type="band1Vert">
      <w:tcPr>
        <w:tcBorders>
          <w:top w:val="nil"/>
          <w:left w:val="single" w:color="5B9BD5" w:sz="4" w:space="0"/>
          <w:bottom w:val="nil"/>
          <w:right w:val="single" w:color="5B9BD5" w:sz="4" w:space="0"/>
          <w:insideH w:val="nil"/>
          <w:insideV w:val="nil"/>
          <w:tl2br w:val="nil"/>
          <w:tr2bl w:val="nil"/>
        </w:tcBorders>
      </w:tcPr>
    </w:tblStylePr>
    <w:tblStylePr w:type="band1Horz">
      <w:tcPr>
        <w:tcBorders>
          <w:top w:val="single" w:color="5B9BD5" w:sz="4" w:space="0"/>
          <w:left w:val="nil"/>
          <w:bottom w:val="single" w:color="5B9BD5" w:sz="4" w:space="0"/>
          <w:right w:val="nil"/>
          <w:insideH w:val="nil"/>
          <w:insideV w:val="nil"/>
          <w:tl2br w:val="nil"/>
          <w:tr2bl w:val="nil"/>
        </w:tcBorders>
      </w:tcPr>
    </w:tblStylePr>
    <w:tblStylePr w:type="neCell">
      <w:tcPr>
        <w:tcBorders>
          <w:top w:val="nil"/>
          <w:left w:val="nil"/>
          <w:bottom w:val="nil"/>
          <w:right w:val="nil"/>
          <w:insideH w:val="nil"/>
          <w:insideV w:val="nil"/>
          <w:tl2br w:val="nil"/>
          <w:tr2bl w:val="nil"/>
        </w:tcBorders>
      </w:tcPr>
    </w:tblStylePr>
    <w:tblStylePr w:type="nwCell">
      <w:tcPr>
        <w:tcBorders>
          <w:top w:val="nil"/>
          <w:left w:val="nil"/>
          <w:bottom w:val="nil"/>
          <w:right w:val="nil"/>
          <w:insideH w:val="nil"/>
          <w:insideV w:val="nil"/>
          <w:tl2br w:val="nil"/>
          <w:tr2bl w:val="nil"/>
        </w:tcBorders>
      </w:tcPr>
    </w:tblStylePr>
    <w:tblStylePr w:type="seCell">
      <w:tcPr>
        <w:tcBorders>
          <w:top w:val="double" w:color="5B9BD5" w:sz="4" w:space="0"/>
          <w:left w:val="nil"/>
          <w:bottom w:val="nil"/>
          <w:right w:val="nil"/>
          <w:insideH w:val="nil"/>
          <w:insideV w:val="nil"/>
          <w:tl2br w:val="nil"/>
          <w:tr2bl w:val="nil"/>
        </w:tcBorders>
      </w:tcPr>
    </w:tblStylePr>
    <w:tblStylePr w:type="swCell">
      <w:tcPr>
        <w:tcBorders>
          <w:top w:val="double" w:color="5B9BD5" w:sz="4" w:space="0"/>
          <w:left w:val="nil"/>
          <w:bottom w:val="nil"/>
          <w:right w:val="nil"/>
          <w:insideH w:val="nil"/>
          <w:insideV w:val="nil"/>
          <w:tl2br w:val="nil"/>
          <w:tr2bl w:val="nil"/>
        </w:tcBorders>
      </w:tcPr>
    </w:tblStylePr>
  </w:style>
  <w:style w:type="table" w:customStyle="1" w:styleId="717">
    <w:name w:val="网格型浅色2"/>
    <w:basedOn w:val="56"/>
    <w:qFormat/>
    <w:uiPriority w:val="40"/>
    <w:rPr>
      <w:sz w:val="24"/>
      <w:szCs w:val="24"/>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18">
    <w:name w:val="网格表 4 - 着色 31"/>
    <w:basedOn w:val="56"/>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l2br w:val="nil"/>
          <w:tr2bl w:val="nil"/>
        </w:tcBorders>
        <w:shd w:val="clear" w:color="auto" w:fill="A5A5A5"/>
      </w:tcPr>
    </w:tblStylePr>
    <w:tblStylePr w:type="lastRow">
      <w:rPr>
        <w:b/>
        <w:bCs/>
      </w:rPr>
      <w:tcPr>
        <w:tcBorders>
          <w:top w:val="double" w:color="A5A5A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719">
    <w:name w:val="网格表 4 - 着色 51"/>
    <w:basedOn w:val="56"/>
    <w:qFormat/>
    <w:uiPriority w:val="49"/>
    <w:rPr>
      <w:rFonts w:ascii="Calibri" w:hAnsi="Calibri"/>
      <w:kern w:val="2"/>
      <w:sz w:val="21"/>
      <w:szCs w:val="22"/>
    </w:rPr>
    <w:tblPr>
      <w:tblBorders>
        <w:top w:val="single" w:color="92CDDC" w:sz="4" w:space="0"/>
        <w:left w:val="single" w:color="92CDDC" w:sz="4" w:space="0"/>
        <w:bottom w:val="single" w:color="92CDDC" w:sz="4" w:space="0"/>
        <w:right w:val="single" w:color="92CDDC" w:sz="4" w:space="0"/>
        <w:insideH w:val="single" w:color="92CDDC" w:sz="4" w:space="0"/>
        <w:insideV w:val="single" w:color="92CDDC" w:sz="4" w:space="0"/>
      </w:tblBorders>
    </w:tblPr>
    <w:tblStylePr w:type="firstRow">
      <w:rPr>
        <w:b/>
        <w:bCs/>
        <w:color w:val="FFFFFF"/>
      </w:rPr>
      <w:tcPr>
        <w:tcBorders>
          <w:top w:val="single" w:color="4BACC6" w:sz="4" w:space="0"/>
          <w:left w:val="single" w:color="4BACC6" w:sz="4" w:space="0"/>
          <w:bottom w:val="single" w:color="4BACC6" w:sz="4" w:space="0"/>
          <w:right w:val="single" w:color="4BACC6" w:sz="4" w:space="0"/>
          <w:insideH w:val="nil"/>
          <w:insideV w:val="nil"/>
          <w:tl2br w:val="nil"/>
          <w:tr2bl w:val="nil"/>
        </w:tcBorders>
        <w:shd w:val="clear" w:color="auto" w:fill="4BACC6"/>
      </w:tcPr>
    </w:tblStylePr>
    <w:tblStylePr w:type="lastRow">
      <w:rPr>
        <w:b/>
        <w:bCs/>
      </w:rPr>
      <w:tcPr>
        <w:tcBorders>
          <w:top w:val="double" w:color="4BACC6"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AEEF3"/>
      </w:tcPr>
    </w:tblStylePr>
    <w:tblStylePr w:type="band1Horz">
      <w:tcPr>
        <w:shd w:val="clear" w:color="auto" w:fill="DAEEF3"/>
      </w:tcPr>
    </w:tblStylePr>
  </w:style>
  <w:style w:type="table" w:customStyle="1" w:styleId="720">
    <w:name w:val="浅色底纹1"/>
    <w:basedOn w:val="56"/>
    <w:qFormat/>
    <w:uiPriority w:val="60"/>
    <w:rPr>
      <w:rFonts w:ascii="Calibri" w:hAnsi="Calibri"/>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721">
    <w:name w:val="清单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9CC2E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2">
    <w:name w:val="网格型浅色1"/>
    <w:basedOn w:val="56"/>
    <w:qFormat/>
    <w:uiPriority w:val="40"/>
    <w:rPr>
      <w:rFonts w:ascii="Calibri" w:hAnsi="Calibri"/>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 w:type="table" w:customStyle="1" w:styleId="723">
    <w:name w:val="网格表 4 - 着色 11"/>
    <w:basedOn w:val="56"/>
    <w:qFormat/>
    <w:uiPriority w:val="49"/>
    <w:rPr>
      <w:rFonts w:ascii="Calibri" w:hAnsi="Calibri"/>
      <w:kern w:val="2"/>
      <w:sz w:val="21"/>
      <w:szCs w:val="22"/>
    </w:rPr>
    <w:tblPr>
      <w:tblBorders>
        <w:top w:val="single" w:color="9CC2E5" w:sz="4" w:space="0"/>
        <w:left w:val="single" w:color="9CC2E5" w:sz="4" w:space="0"/>
        <w:bottom w:val="single" w:color="9CC2E5" w:sz="4" w:space="0"/>
        <w:right w:val="single" w:color="9CC2E5" w:sz="4" w:space="0"/>
        <w:insideH w:val="single" w:color="9CC2E5" w:sz="4" w:space="0"/>
        <w:insideV w:val="single" w:color="9CC2E5" w:sz="4" w:space="0"/>
      </w:tblBorders>
    </w:tblPr>
    <w:tblStylePr w:type="firstRow">
      <w:rPr>
        <w:b/>
        <w:bCs/>
        <w:color w:val="FFFFFF"/>
      </w:rPr>
      <w:tcPr>
        <w:tcBorders>
          <w:top w:val="single" w:color="5B9BD5" w:sz="4" w:space="0"/>
          <w:left w:val="single" w:color="5B9BD5" w:sz="4" w:space="0"/>
          <w:bottom w:val="single" w:color="5B9BD5" w:sz="4" w:space="0"/>
          <w:right w:val="single" w:color="5B9BD5" w:sz="4" w:space="0"/>
          <w:insideH w:val="nil"/>
          <w:insideV w:val="nil"/>
          <w:tl2br w:val="nil"/>
          <w:tr2bl w:val="nil"/>
        </w:tcBorders>
        <w:shd w:val="clear" w:color="auto" w:fill="5B9BD5"/>
      </w:tcPr>
    </w:tblStylePr>
    <w:tblStylePr w:type="lastRow">
      <w:rPr>
        <w:b/>
        <w:bCs/>
      </w:rPr>
      <w:tcPr>
        <w:tcBorders>
          <w:top w:val="double" w:color="5B9BD5" w:sz="4"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cPr>
        <w:shd w:val="clear" w:color="auto" w:fill="DEEAF6"/>
      </w:tcPr>
    </w:tblStylePr>
    <w:tblStylePr w:type="band1Horz">
      <w:tcPr>
        <w:shd w:val="clear" w:color="auto" w:fill="DEEAF6"/>
      </w:tcPr>
    </w:tblStylePr>
  </w:style>
  <w:style w:type="table" w:customStyle="1" w:styleId="724">
    <w:name w:val="浅色列表 - 强调文字颜色 51"/>
    <w:basedOn w:val="56"/>
    <w:qFormat/>
    <w:uiPriority w:val="61"/>
    <w:rPr>
      <w:rFonts w:ascii="Calibri" w:hAnsi="Calibri"/>
      <w:kern w:val="2"/>
      <w:sz w:val="21"/>
      <w:szCs w:val="22"/>
    </w:rPr>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cPr>
        <w:shd w:val="clear" w:color="auto" w:fill="4BACC6"/>
      </w:tcPr>
    </w:tblStylePr>
    <w:tblStylePr w:type="lastRow">
      <w:pPr>
        <w:spacing w:before="0" w:after="0" w:line="240" w:lineRule="auto"/>
      </w:pPr>
      <w:rPr>
        <w:b/>
        <w:bCs/>
      </w:rPr>
      <w:tcPr>
        <w:tcBorders>
          <w:top w:val="double" w:color="4BACC6" w:sz="6" w:space="0"/>
          <w:left w:val="single" w:color="4BACC6" w:sz="8" w:space="0"/>
          <w:bottom w:val="single" w:color="4BACC6" w:sz="8" w:space="0"/>
          <w:right w:val="single" w:color="4BACC6" w:sz="8" w:space="0"/>
          <w:insideH w:val="nil"/>
          <w:insideV w:val="nil"/>
          <w:tl2br w:val="nil"/>
          <w:tr2bl w:val="nil"/>
        </w:tcBorders>
      </w:tcPr>
    </w:tblStylePr>
    <w:tblStylePr w:type="firstCol">
      <w:rPr>
        <w:b/>
        <w:bCs/>
      </w:rPr>
    </w:tblStylePr>
    <w:tblStylePr w:type="lastCol">
      <w:rPr>
        <w:b/>
        <w:bCs/>
      </w:rPr>
    </w:tblStylePr>
    <w:tblStylePr w:type="band1Vert">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tblStylePr w:type="band1Horz">
      <w:tcPr>
        <w:tcBorders>
          <w:top w:val="single" w:color="4BACC6" w:sz="8" w:space="0"/>
          <w:left w:val="single" w:color="4BACC6" w:sz="8" w:space="0"/>
          <w:bottom w:val="single" w:color="4BACC6" w:sz="8" w:space="0"/>
          <w:right w:val="single" w:color="4BACC6" w:sz="8" w:space="0"/>
          <w:insideH w:val="nil"/>
          <w:insideV w:val="nil"/>
          <w:tl2br w:val="nil"/>
          <w:tr2bl w:val="nil"/>
        </w:tcBorders>
      </w:tcPr>
    </w:tblStylePr>
  </w:style>
  <w:style w:type="table" w:customStyle="1" w:styleId="725">
    <w:name w:val="中等深浅底纹 2 - 强调文字颜色 11"/>
    <w:basedOn w:val="56"/>
    <w:qFormat/>
    <w:uiPriority w:val="64"/>
    <w:rPr>
      <w:rFonts w:ascii="Calibri" w:hAnsi="Calibri"/>
      <w:kern w:val="2"/>
      <w:sz w:val="21"/>
      <w:szCs w:val="22"/>
    </w:rPr>
    <w:tblPr>
      <w:tblBorders>
        <w:top w:val="single" w:color="auto" w:sz="18" w:space="0"/>
        <w:bottom w:val="single" w:color="auto" w:sz="18" w:space="0"/>
      </w:tblBorders>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l2br w:val="nil"/>
          <w:tr2bl w:val="nil"/>
        </w:tcBorders>
        <w:shd w:val="clear" w:color="auto" w:fill="4F81BD"/>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l2br w:val="nil"/>
          <w:tr2bl w:val="nil"/>
        </w:tcBorders>
        <w:shd w:val="clear" w:color="auto" w:fill="FFFFFF"/>
      </w:tcPr>
    </w:tblStylePr>
    <w:tblStylePr w:type="firstCol">
      <w:rPr>
        <w:b/>
        <w:bCs/>
        <w:color w:val="FFFFFF"/>
      </w:rPr>
      <w:tcPr>
        <w:tcBorders>
          <w:top w:val="nil"/>
          <w:left w:val="nil"/>
          <w:bottom w:val="single" w:color="auto" w:sz="18" w:space="0"/>
          <w:right w:val="nil"/>
          <w:insideH w:val="nil"/>
          <w:insideV w:val="nil"/>
          <w:tl2br w:val="nil"/>
          <w:tr2bl w:val="nil"/>
        </w:tcBorders>
        <w:shd w:val="clear" w:color="auto" w:fill="4F81BD"/>
      </w:tcPr>
    </w:tblStylePr>
    <w:tblStylePr w:type="lastCol">
      <w:rPr>
        <w:b/>
        <w:bCs/>
        <w:color w:val="FFFFFF"/>
      </w:rPr>
      <w:tcPr>
        <w:tcBorders>
          <w:top w:val="nil"/>
          <w:left w:val="nil"/>
          <w:bottom w:val="nil"/>
          <w:right w:val="nil"/>
          <w:insideH w:val="nil"/>
          <w:insideV w:val="nil"/>
          <w:tl2br w:val="nil"/>
          <w:tr2bl w:val="nil"/>
        </w:tcBorders>
        <w:shd w:val="clear" w:color="auto" w:fill="4F81BD"/>
      </w:tcPr>
    </w:tblStylePr>
    <w:tblStylePr w:type="band1Vert">
      <w:tcPr>
        <w:tcBorders>
          <w:top w:val="nil"/>
          <w:left w:val="nil"/>
          <w:bottom w:val="nil"/>
          <w:right w:val="nil"/>
          <w:insideH w:val="nil"/>
          <w:insideV w:val="nil"/>
          <w:tl2br w:val="nil"/>
          <w:tr2bl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l2br w:val="nil"/>
          <w:tr2bl w:val="nil"/>
        </w:tcBorders>
      </w:tcPr>
    </w:tblStylePr>
    <w:tblStylePr w:type="nwCell">
      <w:rPr>
        <w:color w:val="FFFFFF"/>
      </w:rPr>
      <w:tcPr>
        <w:tcBorders>
          <w:top w:val="single" w:color="auto" w:sz="18" w:space="0"/>
          <w:left w:val="nil"/>
          <w:bottom w:val="single" w:color="auto" w:sz="18" w:space="0"/>
          <w:right w:val="nil"/>
          <w:insideH w:val="nil"/>
          <w:insideV w:val="nil"/>
          <w:tl2br w:val="nil"/>
          <w:tr2bl w:val="nil"/>
        </w:tcBorders>
      </w:tcPr>
    </w:tblStylePr>
  </w:style>
  <w:style w:type="paragraph" w:customStyle="1" w:styleId="726">
    <w:name w:val="a文档正文"/>
    <w:basedOn w:val="1"/>
    <w:qFormat/>
    <w:uiPriority w:val="0"/>
    <w:pPr>
      <w:spacing w:line="360" w:lineRule="auto"/>
      <w:ind w:firstLine="480" w:firstLineChars="200"/>
    </w:pPr>
    <w:rPr>
      <w:rFonts w:ascii="Tahoma" w:hAnsi="Tahoma" w:eastAsia="仿宋_GB2312"/>
      <w:sz w:val="28"/>
      <w:szCs w:val="28"/>
    </w:rPr>
  </w:style>
  <w:style w:type="character" w:customStyle="1" w:styleId="727">
    <w:name w:val="15"/>
    <w:qFormat/>
    <w:uiPriority w:val="0"/>
    <w:rPr>
      <w:rFonts w:hint="eastAsia" w:ascii="宋体" w:hAnsi="宋体" w:eastAsia="宋体"/>
      <w:color w:val="000000"/>
      <w:sz w:val="24"/>
      <w:szCs w:val="24"/>
    </w:rPr>
  </w:style>
  <w:style w:type="paragraph" w:customStyle="1" w:styleId="728">
    <w:name w:val="_Style 49"/>
    <w:basedOn w:val="1"/>
    <w:next w:val="32"/>
    <w:qFormat/>
    <w:uiPriority w:val="0"/>
    <w:rPr>
      <w:rFonts w:ascii="宋体" w:hAnsi="Courier New" w:eastAsia="仿宋_GB2312"/>
      <w:kern w:val="0"/>
      <w:sz w:val="24"/>
      <w:szCs w:val="32"/>
    </w:rPr>
  </w:style>
  <w:style w:type="paragraph" w:customStyle="1" w:styleId="729">
    <w:name w:val="图表格式111"/>
    <w:basedOn w:val="1"/>
    <w:qFormat/>
    <w:uiPriority w:val="0"/>
    <w:pPr>
      <w:widowControl/>
      <w:numPr>
        <w:ilvl w:val="0"/>
        <w:numId w:val="1"/>
      </w:numPr>
      <w:spacing w:before="120" w:after="120"/>
      <w:ind w:firstLine="0"/>
      <w:jc w:val="center"/>
    </w:pPr>
    <w:rPr>
      <w:rFonts w:ascii="黑体" w:hAnsi="黑体" w:eastAsia="黑体"/>
      <w:b/>
      <w:bCs/>
      <w:color w:val="0D0D0D"/>
      <w:szCs w:val="21"/>
    </w:rPr>
  </w:style>
  <w:style w:type="table" w:customStyle="1" w:styleId="730">
    <w:name w:val="网格型1"/>
    <w:basedOn w:val="5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31">
    <w:name w:val="bookmark-item"/>
    <w:basedOn w:val="58"/>
    <w:qFormat/>
    <w:uiPriority w:val="0"/>
  </w:style>
  <w:style w:type="paragraph" w:customStyle="1" w:styleId="732">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733">
    <w:name w:val="Fließtext"/>
    <w:basedOn w:val="1"/>
    <w:qFormat/>
    <w:uiPriority w:val="0"/>
    <w:pPr>
      <w:overflowPunct w:val="0"/>
      <w:autoSpaceDE w:val="0"/>
      <w:autoSpaceDN w:val="0"/>
      <w:adjustRightInd w:val="0"/>
    </w:pPr>
    <w:rPr>
      <w:rFonts w:ascii="Times New Roman" w:hAnsi="Times New Roman"/>
      <w:kern w:val="28"/>
      <w:szCs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2D36C3-C252-482B-971D-4788BB7422C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75</Pages>
  <Words>48763</Words>
  <Characters>52832</Characters>
  <Lines>88</Lines>
  <Paragraphs>118</Paragraphs>
  <TotalTime>10</TotalTime>
  <ScaleCrop>false</ScaleCrop>
  <LinksUpToDate>false</LinksUpToDate>
  <CharactersWithSpaces>55176</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2022-06-06T09:19:00Z</dcterms:created>
  <dc:creator>can</dc:creator>
  <cp:lastModifiedBy>黄小茹</cp:lastModifiedBy>
  <cp:lastPrinted>2022-01-27T23:15:00Z</cp:lastPrinted>
  <dcterms:modified xsi:type="dcterms:W3CDTF">2022-07-04T09:25:47Z</dcterms:modified>
  <dc:title>温州市政府集中采购</dc:title>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41719ED1F8DF4534A9C0476112E71716</vt:lpwstr>
  </property>
</Properties>
</file>