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distribute"/>
        <w:textAlignment w:val="bottom"/>
        <w:rPr>
          <w:rFonts w:ascii="宋体" w:hAnsi="宋体"/>
          <w:b/>
          <w:bCs/>
          <w:color w:val="auto"/>
          <w:sz w:val="72"/>
          <w:szCs w:val="72"/>
        </w:rPr>
      </w:pPr>
    </w:p>
    <w:p>
      <w:pPr>
        <w:autoSpaceDE w:val="0"/>
        <w:autoSpaceDN w:val="0"/>
        <w:spacing w:line="500" w:lineRule="atLeast"/>
        <w:jc w:val="distribute"/>
        <w:textAlignment w:val="bottom"/>
        <w:rPr>
          <w:rFonts w:ascii="宋体" w:hAnsi="宋体"/>
          <w:bCs/>
          <w:color w:val="auto"/>
          <w:sz w:val="72"/>
          <w:szCs w:val="72"/>
        </w:rPr>
      </w:pPr>
      <w:r>
        <w:rPr>
          <w:rFonts w:hint="eastAsia" w:ascii="宋体" w:hAnsi="宋体"/>
          <w:b/>
          <w:bCs/>
          <w:color w:val="auto"/>
          <w:sz w:val="72"/>
          <w:szCs w:val="72"/>
        </w:rPr>
        <w:t>温州市政府采购</w:t>
      </w:r>
    </w:p>
    <w:p>
      <w:pPr>
        <w:spacing w:line="400" w:lineRule="atLeast"/>
        <w:jc w:val="center"/>
        <w:rPr>
          <w:rFonts w:ascii="宋体" w:hAnsi="宋体"/>
          <w:b/>
          <w:color w:val="auto"/>
          <w:sz w:val="52"/>
        </w:rPr>
      </w:pPr>
    </w:p>
    <w:p>
      <w:pPr>
        <w:spacing w:line="400" w:lineRule="atLeast"/>
        <w:jc w:val="center"/>
        <w:rPr>
          <w:rFonts w:ascii="宋体" w:hAnsi="宋体"/>
          <w:b/>
          <w:color w:val="auto"/>
          <w:sz w:val="52"/>
        </w:rPr>
      </w:pPr>
    </w:p>
    <w:p>
      <w:pPr>
        <w:spacing w:line="400" w:lineRule="atLeast"/>
        <w:jc w:val="center"/>
        <w:rPr>
          <w:rFonts w:ascii="宋体" w:hAnsi="宋体"/>
          <w:b/>
          <w:color w:val="auto"/>
          <w:sz w:val="52"/>
        </w:rPr>
      </w:pPr>
    </w:p>
    <w:p>
      <w:pPr>
        <w:autoSpaceDE w:val="0"/>
        <w:autoSpaceDN w:val="0"/>
        <w:spacing w:line="500" w:lineRule="atLeast"/>
        <w:jc w:val="center"/>
        <w:textAlignment w:val="bottom"/>
        <w:rPr>
          <w:rFonts w:ascii="宋体" w:hAnsi="宋体"/>
          <w:b/>
          <w:color w:val="auto"/>
          <w:sz w:val="72"/>
          <w:szCs w:val="72"/>
        </w:rPr>
      </w:pPr>
      <w:r>
        <w:rPr>
          <w:rFonts w:hint="eastAsia" w:ascii="宋体" w:hAnsi="宋体"/>
          <w:b/>
          <w:bCs/>
          <w:color w:val="auto"/>
          <w:sz w:val="72"/>
          <w:szCs w:val="72"/>
        </w:rPr>
        <w:t>招 标 文 件</w:t>
      </w:r>
    </w:p>
    <w:p>
      <w:pPr>
        <w:spacing w:line="400" w:lineRule="atLeast"/>
        <w:jc w:val="center"/>
        <w:rPr>
          <w:rFonts w:ascii="宋体" w:hAnsi="宋体"/>
          <w:b/>
          <w:color w:val="auto"/>
          <w:sz w:val="32"/>
        </w:rPr>
      </w:pPr>
    </w:p>
    <w:p>
      <w:pPr>
        <w:jc w:val="center"/>
        <w:rPr>
          <w:rFonts w:ascii="宋体" w:hAnsi="宋体"/>
          <w:b/>
          <w:bCs/>
          <w:color w:val="auto"/>
          <w:sz w:val="24"/>
        </w:rPr>
      </w:pPr>
    </w:p>
    <w:p>
      <w:pPr>
        <w:jc w:val="center"/>
        <w:rPr>
          <w:rFonts w:ascii="宋体" w:hAnsi="宋体"/>
          <w:b/>
          <w:bCs/>
          <w:color w:val="auto"/>
          <w:sz w:val="24"/>
        </w:rPr>
      </w:pPr>
    </w:p>
    <w:p>
      <w:pPr>
        <w:tabs>
          <w:tab w:val="left" w:pos="4860"/>
        </w:tabs>
        <w:spacing w:line="600" w:lineRule="exact"/>
        <w:ind w:right="1143" w:firstLine="1483" w:firstLineChars="389"/>
        <w:jc w:val="left"/>
        <w:rPr>
          <w:rFonts w:ascii="宋体" w:hAnsi="宋体"/>
          <w:b/>
          <w:color w:val="auto"/>
          <w:sz w:val="30"/>
          <w:szCs w:val="30"/>
        </w:rPr>
      </w:pPr>
      <w:r>
        <w:rPr>
          <w:rFonts w:hint="eastAsia" w:ascii="宋体" w:hAnsi="宋体"/>
          <w:b/>
          <w:color w:val="auto"/>
          <w:spacing w:val="40"/>
          <w:sz w:val="30"/>
          <w:szCs w:val="30"/>
        </w:rPr>
        <w:t xml:space="preserve">招 标 编 </w:t>
      </w:r>
      <w:r>
        <w:rPr>
          <w:rFonts w:hint="eastAsia" w:ascii="宋体" w:hAnsi="宋体" w:cs="Arial"/>
          <w:b/>
          <w:color w:val="auto"/>
          <w:spacing w:val="40"/>
          <w:sz w:val="30"/>
          <w:szCs w:val="30"/>
        </w:rPr>
        <w:t>号</w:t>
      </w:r>
      <w:r>
        <w:rPr>
          <w:rFonts w:hint="eastAsia" w:ascii="宋体" w:hAnsi="宋体"/>
          <w:b/>
          <w:color w:val="auto"/>
          <w:sz w:val="30"/>
          <w:szCs w:val="30"/>
        </w:rPr>
        <w:t>：DDZX-20240103012</w:t>
      </w:r>
    </w:p>
    <w:p>
      <w:pPr>
        <w:tabs>
          <w:tab w:val="left" w:pos="5245"/>
          <w:tab w:val="left" w:pos="9660"/>
        </w:tabs>
        <w:spacing w:line="600" w:lineRule="exact"/>
        <w:ind w:right="-22" w:firstLine="1483" w:firstLineChars="389"/>
        <w:jc w:val="left"/>
        <w:rPr>
          <w:rFonts w:ascii="宋体" w:hAnsi="宋体"/>
          <w:b/>
          <w:color w:val="auto"/>
          <w:sz w:val="30"/>
          <w:szCs w:val="30"/>
        </w:rPr>
      </w:pPr>
      <w:r>
        <w:rPr>
          <w:rFonts w:hint="eastAsia" w:ascii="宋体" w:hAnsi="宋体"/>
          <w:b/>
          <w:color w:val="auto"/>
          <w:spacing w:val="40"/>
          <w:sz w:val="30"/>
          <w:szCs w:val="30"/>
        </w:rPr>
        <w:t>招 标 项 目</w:t>
      </w:r>
      <w:r>
        <w:rPr>
          <w:rFonts w:hint="eastAsia" w:ascii="宋体" w:hAnsi="宋体"/>
          <w:b/>
          <w:color w:val="auto"/>
          <w:sz w:val="30"/>
          <w:szCs w:val="30"/>
        </w:rPr>
        <w:t>：交通技术服务运维项目</w:t>
      </w:r>
    </w:p>
    <w:p>
      <w:pPr>
        <w:tabs>
          <w:tab w:val="left" w:pos="4860"/>
        </w:tabs>
        <w:spacing w:line="600" w:lineRule="exact"/>
        <w:ind w:right="1143" w:firstLine="1483" w:firstLineChars="389"/>
        <w:jc w:val="left"/>
        <w:rPr>
          <w:rFonts w:ascii="宋体" w:hAnsi="宋体"/>
          <w:b/>
          <w:color w:val="auto"/>
          <w:spacing w:val="40"/>
          <w:sz w:val="30"/>
          <w:szCs w:val="30"/>
        </w:rPr>
      </w:pPr>
      <w:r>
        <w:rPr>
          <w:rFonts w:hint="eastAsia" w:ascii="宋体" w:hAnsi="宋体"/>
          <w:b/>
          <w:color w:val="auto"/>
          <w:spacing w:val="40"/>
          <w:sz w:val="30"/>
          <w:szCs w:val="30"/>
        </w:rPr>
        <w:t>招 标 方 式</w:t>
      </w:r>
      <w:r>
        <w:rPr>
          <w:rFonts w:hint="eastAsia" w:ascii="宋体" w:hAnsi="宋体"/>
          <w:b/>
          <w:color w:val="auto"/>
          <w:sz w:val="30"/>
          <w:szCs w:val="30"/>
        </w:rPr>
        <w:t>：公 开 招 标</w:t>
      </w:r>
    </w:p>
    <w:p>
      <w:pPr>
        <w:jc w:val="center"/>
        <w:rPr>
          <w:rFonts w:ascii="宋体" w:hAnsi="宋体"/>
          <w:b/>
          <w:bCs/>
          <w:color w:val="auto"/>
          <w:sz w:val="24"/>
        </w:rPr>
      </w:pPr>
    </w:p>
    <w:p>
      <w:pPr>
        <w:jc w:val="center"/>
        <w:rPr>
          <w:rFonts w:ascii="宋体" w:hAnsi="宋体"/>
          <w:b/>
          <w:bCs/>
          <w:color w:val="auto"/>
          <w:sz w:val="24"/>
        </w:rPr>
      </w:pPr>
    </w:p>
    <w:p>
      <w:pPr>
        <w:jc w:val="center"/>
        <w:rPr>
          <w:rFonts w:ascii="宋体" w:hAnsi="宋体"/>
          <w:b/>
          <w:bCs/>
          <w:color w:val="auto"/>
          <w:sz w:val="24"/>
        </w:rPr>
      </w:pPr>
    </w:p>
    <w:p>
      <w:pPr>
        <w:jc w:val="center"/>
        <w:rPr>
          <w:rFonts w:ascii="宋体" w:hAnsi="宋体"/>
          <w:b/>
          <w:bCs/>
          <w:color w:val="auto"/>
          <w:sz w:val="24"/>
        </w:rPr>
      </w:pPr>
    </w:p>
    <w:p>
      <w:pPr>
        <w:jc w:val="center"/>
        <w:rPr>
          <w:rFonts w:ascii="宋体" w:hAnsi="宋体"/>
          <w:b/>
          <w:bCs/>
          <w:color w:val="auto"/>
          <w:sz w:val="24"/>
        </w:rPr>
      </w:pPr>
    </w:p>
    <w:p>
      <w:pPr>
        <w:jc w:val="center"/>
        <w:rPr>
          <w:rFonts w:ascii="宋体" w:hAnsi="宋体"/>
          <w:b/>
          <w:bCs/>
          <w:color w:val="auto"/>
          <w:sz w:val="24"/>
        </w:rPr>
      </w:pPr>
    </w:p>
    <w:p>
      <w:pPr>
        <w:jc w:val="center"/>
        <w:rPr>
          <w:rFonts w:ascii="宋体" w:hAnsi="宋体"/>
          <w:b/>
          <w:bCs/>
          <w:color w:val="auto"/>
          <w:sz w:val="24"/>
        </w:rPr>
      </w:pPr>
    </w:p>
    <w:p>
      <w:pPr>
        <w:jc w:val="center"/>
        <w:rPr>
          <w:rFonts w:ascii="宋体" w:hAnsi="宋体"/>
          <w:b/>
          <w:bCs/>
          <w:color w:val="auto"/>
          <w:sz w:val="24"/>
        </w:rPr>
      </w:pPr>
    </w:p>
    <w:p>
      <w:pPr>
        <w:jc w:val="center"/>
        <w:rPr>
          <w:rFonts w:ascii="宋体" w:hAnsi="宋体"/>
          <w:b/>
          <w:bCs/>
          <w:color w:val="auto"/>
          <w:sz w:val="24"/>
        </w:rPr>
      </w:pPr>
    </w:p>
    <w:p>
      <w:pPr>
        <w:jc w:val="center"/>
        <w:rPr>
          <w:rFonts w:ascii="宋体" w:hAnsi="宋体"/>
          <w:b/>
          <w:bCs/>
          <w:color w:val="auto"/>
          <w:sz w:val="24"/>
        </w:rPr>
      </w:pPr>
    </w:p>
    <w:p>
      <w:pPr>
        <w:jc w:val="center"/>
        <w:rPr>
          <w:rFonts w:ascii="宋体" w:hAnsi="宋体"/>
          <w:b/>
          <w:bCs/>
          <w:color w:val="auto"/>
          <w:sz w:val="24"/>
        </w:rPr>
      </w:pPr>
    </w:p>
    <w:p>
      <w:pPr>
        <w:spacing w:line="600" w:lineRule="exact"/>
        <w:ind w:left="1476" w:leftChars="693" w:hanging="21" w:hangingChars="7"/>
        <w:rPr>
          <w:rFonts w:ascii="宋体" w:hAnsi="宋体"/>
          <w:b/>
          <w:color w:val="auto"/>
          <w:sz w:val="30"/>
          <w:szCs w:val="30"/>
        </w:rPr>
      </w:pPr>
      <w:r>
        <w:rPr>
          <w:rFonts w:hint="eastAsia" w:ascii="宋体" w:hAnsi="宋体"/>
          <w:b/>
          <w:color w:val="auto"/>
          <w:sz w:val="30"/>
          <w:szCs w:val="30"/>
        </w:rPr>
        <w:t>招  标  人：</w:t>
      </w:r>
      <w:r>
        <w:rPr>
          <w:rFonts w:hint="eastAsia" w:ascii="宋体" w:hAnsi="宋体"/>
          <w:b/>
          <w:bCs/>
          <w:color w:val="auto"/>
          <w:sz w:val="30"/>
          <w:szCs w:val="30"/>
        </w:rPr>
        <w:t>温州市交通运输局</w:t>
      </w:r>
    </w:p>
    <w:p>
      <w:pPr>
        <w:spacing w:line="600" w:lineRule="exact"/>
        <w:ind w:left="1482" w:leftChars="693" w:hanging="27" w:hangingChars="7"/>
        <w:rPr>
          <w:rFonts w:ascii="宋体" w:hAnsi="宋体"/>
          <w:b/>
          <w:color w:val="auto"/>
          <w:spacing w:val="12"/>
          <w:sz w:val="30"/>
          <w:szCs w:val="30"/>
        </w:rPr>
      </w:pPr>
      <w:r>
        <w:rPr>
          <w:rFonts w:hint="eastAsia" w:ascii="宋体" w:hAnsi="宋体"/>
          <w:b/>
          <w:color w:val="auto"/>
          <w:spacing w:val="40"/>
          <w:sz w:val="30"/>
          <w:szCs w:val="30"/>
        </w:rPr>
        <w:t>招标代理</w:t>
      </w:r>
      <w:r>
        <w:rPr>
          <w:rFonts w:hint="eastAsia" w:ascii="宋体" w:hAnsi="宋体"/>
          <w:b/>
          <w:color w:val="auto"/>
          <w:sz w:val="30"/>
          <w:szCs w:val="30"/>
        </w:rPr>
        <w:t>：</w:t>
      </w:r>
      <w:r>
        <w:rPr>
          <w:rFonts w:hint="eastAsia" w:ascii="宋体" w:hAnsi="宋体"/>
          <w:b/>
          <w:color w:val="auto"/>
          <w:spacing w:val="12"/>
          <w:sz w:val="30"/>
          <w:szCs w:val="30"/>
        </w:rPr>
        <w:t>大地工程咨询有限公司</w:t>
      </w:r>
    </w:p>
    <w:p>
      <w:pPr>
        <w:spacing w:line="600" w:lineRule="exact"/>
        <w:ind w:left="2130" w:leftChars="1000" w:hanging="30" w:hangingChars="8"/>
        <w:rPr>
          <w:rFonts w:ascii="宋体" w:hAnsi="宋体"/>
          <w:b/>
          <w:color w:val="auto"/>
          <w:spacing w:val="40"/>
          <w:sz w:val="30"/>
          <w:szCs w:val="30"/>
        </w:rPr>
      </w:pPr>
    </w:p>
    <w:p>
      <w:pPr>
        <w:spacing w:line="600" w:lineRule="exact"/>
        <w:jc w:val="center"/>
        <w:rPr>
          <w:rFonts w:ascii="宋体" w:hAnsi="宋体"/>
          <w:b/>
          <w:color w:val="auto"/>
          <w:spacing w:val="40"/>
          <w:sz w:val="30"/>
          <w:szCs w:val="30"/>
        </w:rPr>
      </w:pPr>
      <w:r>
        <w:rPr>
          <w:rFonts w:hint="eastAsia" w:ascii="宋体" w:hAnsi="宋体"/>
          <w:b/>
          <w:color w:val="auto"/>
          <w:spacing w:val="40"/>
          <w:sz w:val="30"/>
          <w:szCs w:val="30"/>
        </w:rPr>
        <w:t>二</w:t>
      </w:r>
      <w:r>
        <w:rPr>
          <w:rFonts w:hint="eastAsia" w:ascii="宋体" w:hAnsi="宋体" w:cs="宋体"/>
          <w:b/>
          <w:color w:val="auto"/>
          <w:spacing w:val="40"/>
          <w:sz w:val="30"/>
          <w:szCs w:val="30"/>
        </w:rPr>
        <w:t>〇</w:t>
      </w:r>
      <w:r>
        <w:rPr>
          <w:rFonts w:hint="eastAsia" w:ascii="宋体" w:hAnsi="宋体"/>
          <w:b/>
          <w:color w:val="auto"/>
          <w:spacing w:val="40"/>
          <w:sz w:val="30"/>
          <w:szCs w:val="30"/>
        </w:rPr>
        <w:t>二</w:t>
      </w:r>
      <w:r>
        <w:rPr>
          <w:rFonts w:hint="eastAsia" w:ascii="宋体" w:hAnsi="宋体" w:cs="宋体"/>
          <w:b/>
          <w:color w:val="auto"/>
          <w:spacing w:val="40"/>
          <w:sz w:val="30"/>
          <w:szCs w:val="30"/>
        </w:rPr>
        <w:t>四</w:t>
      </w:r>
      <w:r>
        <w:rPr>
          <w:rFonts w:hint="eastAsia" w:ascii="宋体" w:hAnsi="宋体" w:cs="仿宋_GB2312"/>
          <w:b/>
          <w:color w:val="auto"/>
          <w:spacing w:val="40"/>
          <w:sz w:val="30"/>
          <w:szCs w:val="30"/>
        </w:rPr>
        <w:t>年</w:t>
      </w:r>
      <w:r>
        <w:rPr>
          <w:rFonts w:hint="eastAsia" w:ascii="宋体" w:hAnsi="宋体" w:cs="仿宋_GB2312"/>
          <w:b/>
          <w:color w:val="auto"/>
          <w:spacing w:val="40"/>
          <w:sz w:val="30"/>
          <w:szCs w:val="30"/>
          <w:lang w:val="en-US" w:eastAsia="zh-CN"/>
        </w:rPr>
        <w:t>三</w:t>
      </w:r>
      <w:r>
        <w:rPr>
          <w:rFonts w:hint="eastAsia" w:ascii="宋体" w:hAnsi="宋体" w:cs="仿宋_GB2312"/>
          <w:b/>
          <w:color w:val="auto"/>
          <w:spacing w:val="40"/>
          <w:sz w:val="30"/>
          <w:szCs w:val="30"/>
        </w:rPr>
        <w:t>月</w:t>
      </w:r>
    </w:p>
    <w:p>
      <w:pPr>
        <w:spacing w:line="600" w:lineRule="exact"/>
        <w:jc w:val="center"/>
        <w:rPr>
          <w:rFonts w:ascii="宋体" w:hAnsi="宋体"/>
          <w:b/>
          <w:bCs/>
          <w:color w:val="auto"/>
          <w:sz w:val="32"/>
          <w:szCs w:val="32"/>
        </w:rPr>
      </w:pPr>
      <w:r>
        <w:rPr>
          <w:rFonts w:hint="eastAsia" w:ascii="宋体" w:hAnsi="宋体"/>
          <w:color w:val="auto"/>
          <w:spacing w:val="40"/>
          <w:sz w:val="30"/>
          <w:szCs w:val="30"/>
        </w:rPr>
        <w:br w:type="page"/>
      </w:r>
      <w:r>
        <w:rPr>
          <w:rFonts w:hint="eastAsia" w:ascii="宋体" w:hAnsi="宋体"/>
          <w:b/>
          <w:bCs/>
          <w:color w:val="auto"/>
          <w:sz w:val="32"/>
          <w:szCs w:val="32"/>
        </w:rPr>
        <w:t>目    录</w:t>
      </w:r>
    </w:p>
    <w:p>
      <w:pPr>
        <w:spacing w:line="600" w:lineRule="exact"/>
        <w:jc w:val="center"/>
        <w:rPr>
          <w:rFonts w:ascii="宋体" w:hAnsi="宋体"/>
          <w:b/>
          <w:bCs/>
          <w:color w:val="auto"/>
          <w:sz w:val="24"/>
        </w:rPr>
      </w:pPr>
    </w:p>
    <w:p>
      <w:pPr>
        <w:pStyle w:val="46"/>
        <w:tabs>
          <w:tab w:val="right" w:leader="dot" w:pos="9638"/>
          <w:tab w:val="clear" w:pos="9628"/>
        </w:tabs>
        <w:jc w:val="left"/>
        <w:rPr>
          <w:color w:val="auto"/>
        </w:rPr>
      </w:pPr>
      <w:r>
        <w:rPr>
          <w:rFonts w:hint="eastAsia" w:ascii="宋体" w:hAnsi="宋体" w:eastAsia="宋体"/>
          <w:b/>
          <w:bCs w:val="0"/>
          <w:color w:val="auto"/>
        </w:rPr>
        <w:fldChar w:fldCharType="begin"/>
      </w:r>
      <w:r>
        <w:rPr>
          <w:rFonts w:hint="eastAsia" w:ascii="宋体" w:hAnsi="宋体" w:eastAsia="宋体"/>
          <w:b/>
          <w:bCs w:val="0"/>
          <w:color w:val="auto"/>
        </w:rPr>
        <w:instrText xml:space="preserve"> TOC \o "1-3" \h \z \u </w:instrText>
      </w:r>
      <w:r>
        <w:rPr>
          <w:rFonts w:hint="eastAsia" w:ascii="宋体" w:hAnsi="宋体" w:eastAsia="宋体"/>
          <w:b/>
          <w:bCs w:val="0"/>
          <w:color w:val="auto"/>
        </w:rPr>
        <w:fldChar w:fldCharType="separate"/>
      </w:r>
      <w:r>
        <w:rPr>
          <w:color w:val="auto"/>
        </w:rPr>
        <w:fldChar w:fldCharType="begin"/>
      </w:r>
      <w:r>
        <w:rPr>
          <w:color w:val="auto"/>
        </w:rPr>
        <w:instrText xml:space="preserve"> HYPERLINK \l "_Toc6342" </w:instrText>
      </w:r>
      <w:r>
        <w:rPr>
          <w:color w:val="auto"/>
        </w:rPr>
        <w:fldChar w:fldCharType="separate"/>
      </w:r>
      <w:r>
        <w:rPr>
          <w:rFonts w:hint="eastAsia" w:ascii="宋体" w:hAnsi="宋体" w:eastAsia="宋体"/>
          <w:color w:val="auto"/>
          <w:szCs w:val="30"/>
        </w:rPr>
        <w:t>大地工程咨询有限公司关于交通技术服务运维项目的公开招标公告</w:t>
      </w:r>
      <w:r>
        <w:rPr>
          <w:color w:val="auto"/>
        </w:rPr>
        <w:tab/>
      </w:r>
      <w:r>
        <w:rPr>
          <w:color w:val="auto"/>
        </w:rPr>
        <w:fldChar w:fldCharType="begin"/>
      </w:r>
      <w:r>
        <w:rPr>
          <w:color w:val="auto"/>
        </w:rPr>
        <w:instrText xml:space="preserve"> PAGEREF _Toc6342 \h </w:instrText>
      </w:r>
      <w:r>
        <w:rPr>
          <w:color w:val="auto"/>
        </w:rPr>
        <w:fldChar w:fldCharType="separate"/>
      </w:r>
      <w:r>
        <w:rPr>
          <w:color w:val="auto"/>
        </w:rPr>
        <w:t>3</w:t>
      </w:r>
      <w:r>
        <w:rPr>
          <w:color w:val="auto"/>
        </w:rPr>
        <w:fldChar w:fldCharType="end"/>
      </w:r>
      <w:r>
        <w:rPr>
          <w:color w:val="auto"/>
        </w:rPr>
        <w:fldChar w:fldCharType="end"/>
      </w:r>
    </w:p>
    <w:p>
      <w:pPr>
        <w:pStyle w:val="46"/>
        <w:tabs>
          <w:tab w:val="right" w:leader="dot" w:pos="9638"/>
          <w:tab w:val="clear" w:pos="9628"/>
        </w:tabs>
        <w:jc w:val="left"/>
        <w:rPr>
          <w:color w:val="auto"/>
        </w:rPr>
      </w:pPr>
      <w:r>
        <w:rPr>
          <w:color w:val="auto"/>
        </w:rPr>
        <w:fldChar w:fldCharType="begin"/>
      </w:r>
      <w:r>
        <w:rPr>
          <w:color w:val="auto"/>
        </w:rPr>
        <w:instrText xml:space="preserve"> HYPERLINK \l "_Toc27654" </w:instrText>
      </w:r>
      <w:r>
        <w:rPr>
          <w:color w:val="auto"/>
        </w:rPr>
        <w:fldChar w:fldCharType="separate"/>
      </w:r>
      <w:r>
        <w:rPr>
          <w:rFonts w:hint="eastAsia" w:ascii="宋体" w:hAnsi="宋体" w:eastAsia="宋体"/>
          <w:color w:val="auto"/>
          <w:szCs w:val="36"/>
        </w:rPr>
        <w:t>第一部分    投标人须知</w:t>
      </w:r>
      <w:r>
        <w:rPr>
          <w:color w:val="auto"/>
        </w:rPr>
        <w:tab/>
      </w:r>
      <w:r>
        <w:rPr>
          <w:color w:val="auto"/>
        </w:rPr>
        <w:fldChar w:fldCharType="begin"/>
      </w:r>
      <w:r>
        <w:rPr>
          <w:color w:val="auto"/>
        </w:rPr>
        <w:instrText xml:space="preserve"> PAGEREF _Toc27654 \h </w:instrText>
      </w:r>
      <w:r>
        <w:rPr>
          <w:color w:val="auto"/>
        </w:rPr>
        <w:fldChar w:fldCharType="separate"/>
      </w:r>
      <w:r>
        <w:rPr>
          <w:color w:val="auto"/>
        </w:rPr>
        <w:t>6</w:t>
      </w:r>
      <w:r>
        <w:rPr>
          <w:color w:val="auto"/>
        </w:rPr>
        <w:fldChar w:fldCharType="end"/>
      </w:r>
      <w:r>
        <w:rPr>
          <w:color w:val="auto"/>
        </w:rPr>
        <w:fldChar w:fldCharType="end"/>
      </w:r>
    </w:p>
    <w:p>
      <w:pPr>
        <w:pStyle w:val="46"/>
        <w:tabs>
          <w:tab w:val="right" w:leader="dot" w:pos="9638"/>
          <w:tab w:val="clear" w:pos="9628"/>
        </w:tabs>
        <w:ind w:left="420" w:leftChars="200"/>
        <w:jc w:val="left"/>
        <w:rPr>
          <w:rFonts w:ascii="宋体" w:hAnsi="宋体" w:eastAsia="宋体"/>
          <w:color w:val="auto"/>
          <w:szCs w:val="26"/>
        </w:rPr>
      </w:pPr>
      <w:r>
        <w:rPr>
          <w:color w:val="auto"/>
        </w:rPr>
        <w:fldChar w:fldCharType="begin"/>
      </w:r>
      <w:r>
        <w:rPr>
          <w:color w:val="auto"/>
        </w:rPr>
        <w:instrText xml:space="preserve"> HYPERLINK \l "_Toc8675" </w:instrText>
      </w:r>
      <w:r>
        <w:rPr>
          <w:color w:val="auto"/>
        </w:rPr>
        <w:fldChar w:fldCharType="separate"/>
      </w:r>
      <w:r>
        <w:rPr>
          <w:rFonts w:hint="eastAsia" w:ascii="宋体" w:hAnsi="宋体" w:eastAsia="宋体"/>
          <w:color w:val="auto"/>
          <w:szCs w:val="26"/>
        </w:rPr>
        <w:t>一、须知前附表</w:t>
      </w:r>
      <w:r>
        <w:rPr>
          <w:rFonts w:hint="eastAsia" w:ascii="宋体" w:hAnsi="宋体" w:eastAsia="宋体"/>
          <w:color w:val="auto"/>
          <w:szCs w:val="26"/>
        </w:rPr>
        <w:tab/>
      </w:r>
      <w:r>
        <w:rPr>
          <w:rFonts w:hint="eastAsia" w:ascii="宋体" w:hAnsi="宋体" w:eastAsia="宋体"/>
          <w:color w:val="auto"/>
          <w:szCs w:val="26"/>
        </w:rPr>
        <w:fldChar w:fldCharType="begin"/>
      </w:r>
      <w:r>
        <w:rPr>
          <w:rFonts w:hint="eastAsia" w:ascii="宋体" w:hAnsi="宋体" w:eastAsia="宋体"/>
          <w:color w:val="auto"/>
          <w:szCs w:val="26"/>
        </w:rPr>
        <w:instrText xml:space="preserve"> PAGEREF _Toc8675 \h </w:instrText>
      </w:r>
      <w:r>
        <w:rPr>
          <w:rFonts w:hint="eastAsia" w:ascii="宋体" w:hAnsi="宋体" w:eastAsia="宋体"/>
          <w:color w:val="auto"/>
          <w:szCs w:val="26"/>
        </w:rPr>
        <w:fldChar w:fldCharType="separate"/>
      </w:r>
      <w:r>
        <w:rPr>
          <w:rFonts w:hint="eastAsia" w:ascii="宋体" w:hAnsi="宋体" w:eastAsia="宋体"/>
          <w:color w:val="auto"/>
          <w:szCs w:val="26"/>
        </w:rPr>
        <w:t>6</w:t>
      </w:r>
      <w:r>
        <w:rPr>
          <w:rFonts w:hint="eastAsia" w:ascii="宋体" w:hAnsi="宋体" w:eastAsia="宋体"/>
          <w:color w:val="auto"/>
          <w:szCs w:val="26"/>
        </w:rPr>
        <w:fldChar w:fldCharType="end"/>
      </w:r>
      <w:r>
        <w:rPr>
          <w:rFonts w:hint="eastAsia" w:ascii="宋体" w:hAnsi="宋体" w:eastAsia="宋体"/>
          <w:color w:val="auto"/>
          <w:szCs w:val="26"/>
        </w:rPr>
        <w:fldChar w:fldCharType="end"/>
      </w:r>
    </w:p>
    <w:p>
      <w:pPr>
        <w:pStyle w:val="46"/>
        <w:tabs>
          <w:tab w:val="right" w:leader="dot" w:pos="9638"/>
          <w:tab w:val="clear" w:pos="9628"/>
        </w:tabs>
        <w:ind w:left="420" w:leftChars="200"/>
        <w:jc w:val="left"/>
        <w:rPr>
          <w:rFonts w:ascii="宋体" w:hAnsi="宋体" w:eastAsia="宋体"/>
          <w:color w:val="auto"/>
          <w:szCs w:val="26"/>
        </w:rPr>
      </w:pPr>
      <w:r>
        <w:rPr>
          <w:color w:val="auto"/>
        </w:rPr>
        <w:fldChar w:fldCharType="begin"/>
      </w:r>
      <w:r>
        <w:rPr>
          <w:color w:val="auto"/>
        </w:rPr>
        <w:instrText xml:space="preserve"> HYPERLINK \l "_Toc29666" </w:instrText>
      </w:r>
      <w:r>
        <w:rPr>
          <w:color w:val="auto"/>
        </w:rPr>
        <w:fldChar w:fldCharType="separate"/>
      </w:r>
      <w:r>
        <w:rPr>
          <w:rFonts w:hint="eastAsia" w:ascii="宋体" w:hAnsi="宋体" w:eastAsia="宋体"/>
          <w:color w:val="auto"/>
          <w:szCs w:val="26"/>
        </w:rPr>
        <w:t>二、  说明</w:t>
      </w:r>
      <w:r>
        <w:rPr>
          <w:rFonts w:hint="eastAsia" w:ascii="宋体" w:hAnsi="宋体" w:eastAsia="宋体"/>
          <w:color w:val="auto"/>
          <w:szCs w:val="26"/>
        </w:rPr>
        <w:tab/>
      </w:r>
      <w:r>
        <w:rPr>
          <w:rFonts w:hint="eastAsia" w:ascii="宋体" w:hAnsi="宋体" w:eastAsia="宋体"/>
          <w:color w:val="auto"/>
          <w:szCs w:val="26"/>
        </w:rPr>
        <w:fldChar w:fldCharType="begin"/>
      </w:r>
      <w:r>
        <w:rPr>
          <w:rFonts w:hint="eastAsia" w:ascii="宋体" w:hAnsi="宋体" w:eastAsia="宋体"/>
          <w:color w:val="auto"/>
          <w:szCs w:val="26"/>
        </w:rPr>
        <w:instrText xml:space="preserve"> PAGEREF _Toc29666 \h </w:instrText>
      </w:r>
      <w:r>
        <w:rPr>
          <w:rFonts w:hint="eastAsia" w:ascii="宋体" w:hAnsi="宋体" w:eastAsia="宋体"/>
          <w:color w:val="auto"/>
          <w:szCs w:val="26"/>
        </w:rPr>
        <w:fldChar w:fldCharType="separate"/>
      </w:r>
      <w:r>
        <w:rPr>
          <w:rFonts w:hint="eastAsia" w:ascii="宋体" w:hAnsi="宋体" w:eastAsia="宋体"/>
          <w:color w:val="auto"/>
          <w:szCs w:val="26"/>
        </w:rPr>
        <w:t>10</w:t>
      </w:r>
      <w:r>
        <w:rPr>
          <w:rFonts w:hint="eastAsia" w:ascii="宋体" w:hAnsi="宋体" w:eastAsia="宋体"/>
          <w:color w:val="auto"/>
          <w:szCs w:val="26"/>
        </w:rPr>
        <w:fldChar w:fldCharType="end"/>
      </w:r>
      <w:r>
        <w:rPr>
          <w:rFonts w:hint="eastAsia" w:ascii="宋体" w:hAnsi="宋体" w:eastAsia="宋体"/>
          <w:color w:val="auto"/>
          <w:szCs w:val="26"/>
        </w:rPr>
        <w:fldChar w:fldCharType="end"/>
      </w:r>
    </w:p>
    <w:p>
      <w:pPr>
        <w:pStyle w:val="46"/>
        <w:tabs>
          <w:tab w:val="right" w:leader="dot" w:pos="9638"/>
          <w:tab w:val="clear" w:pos="9628"/>
        </w:tabs>
        <w:ind w:left="420" w:leftChars="200"/>
        <w:jc w:val="left"/>
        <w:rPr>
          <w:rFonts w:ascii="宋体" w:hAnsi="宋体" w:eastAsia="宋体"/>
          <w:color w:val="auto"/>
          <w:szCs w:val="26"/>
        </w:rPr>
      </w:pPr>
      <w:r>
        <w:rPr>
          <w:color w:val="auto"/>
        </w:rPr>
        <w:fldChar w:fldCharType="begin"/>
      </w:r>
      <w:r>
        <w:rPr>
          <w:color w:val="auto"/>
        </w:rPr>
        <w:instrText xml:space="preserve"> HYPERLINK \l "_Toc23506" </w:instrText>
      </w:r>
      <w:r>
        <w:rPr>
          <w:color w:val="auto"/>
        </w:rPr>
        <w:fldChar w:fldCharType="separate"/>
      </w:r>
      <w:r>
        <w:rPr>
          <w:rFonts w:hint="eastAsia" w:ascii="宋体" w:hAnsi="宋体" w:eastAsia="宋体"/>
          <w:color w:val="auto"/>
          <w:szCs w:val="26"/>
        </w:rPr>
        <w:t>三、 招标文件</w:t>
      </w:r>
      <w:r>
        <w:rPr>
          <w:rFonts w:hint="eastAsia" w:ascii="宋体" w:hAnsi="宋体" w:eastAsia="宋体"/>
          <w:color w:val="auto"/>
          <w:szCs w:val="26"/>
        </w:rPr>
        <w:tab/>
      </w:r>
      <w:r>
        <w:rPr>
          <w:rFonts w:hint="eastAsia" w:ascii="宋体" w:hAnsi="宋体" w:eastAsia="宋体"/>
          <w:color w:val="auto"/>
          <w:szCs w:val="26"/>
        </w:rPr>
        <w:fldChar w:fldCharType="begin"/>
      </w:r>
      <w:r>
        <w:rPr>
          <w:rFonts w:hint="eastAsia" w:ascii="宋体" w:hAnsi="宋体" w:eastAsia="宋体"/>
          <w:color w:val="auto"/>
          <w:szCs w:val="26"/>
        </w:rPr>
        <w:instrText xml:space="preserve"> PAGEREF _Toc23506 \h </w:instrText>
      </w:r>
      <w:r>
        <w:rPr>
          <w:rFonts w:hint="eastAsia" w:ascii="宋体" w:hAnsi="宋体" w:eastAsia="宋体"/>
          <w:color w:val="auto"/>
          <w:szCs w:val="26"/>
        </w:rPr>
        <w:fldChar w:fldCharType="separate"/>
      </w:r>
      <w:r>
        <w:rPr>
          <w:rFonts w:hint="eastAsia" w:ascii="宋体" w:hAnsi="宋体" w:eastAsia="宋体"/>
          <w:color w:val="auto"/>
          <w:szCs w:val="26"/>
        </w:rPr>
        <w:t>11</w:t>
      </w:r>
      <w:r>
        <w:rPr>
          <w:rFonts w:hint="eastAsia" w:ascii="宋体" w:hAnsi="宋体" w:eastAsia="宋体"/>
          <w:color w:val="auto"/>
          <w:szCs w:val="26"/>
        </w:rPr>
        <w:fldChar w:fldCharType="end"/>
      </w:r>
      <w:r>
        <w:rPr>
          <w:rFonts w:hint="eastAsia" w:ascii="宋体" w:hAnsi="宋体" w:eastAsia="宋体"/>
          <w:color w:val="auto"/>
          <w:szCs w:val="26"/>
        </w:rPr>
        <w:fldChar w:fldCharType="end"/>
      </w:r>
    </w:p>
    <w:p>
      <w:pPr>
        <w:pStyle w:val="46"/>
        <w:tabs>
          <w:tab w:val="right" w:leader="dot" w:pos="9638"/>
          <w:tab w:val="clear" w:pos="9628"/>
        </w:tabs>
        <w:ind w:left="420" w:leftChars="200"/>
        <w:jc w:val="left"/>
        <w:rPr>
          <w:rFonts w:ascii="宋体" w:hAnsi="宋体" w:eastAsia="宋体"/>
          <w:color w:val="auto"/>
          <w:szCs w:val="26"/>
        </w:rPr>
      </w:pPr>
      <w:r>
        <w:rPr>
          <w:color w:val="auto"/>
        </w:rPr>
        <w:fldChar w:fldCharType="begin"/>
      </w:r>
      <w:r>
        <w:rPr>
          <w:color w:val="auto"/>
        </w:rPr>
        <w:instrText xml:space="preserve"> HYPERLINK \l "_Toc8234" </w:instrText>
      </w:r>
      <w:r>
        <w:rPr>
          <w:color w:val="auto"/>
        </w:rPr>
        <w:fldChar w:fldCharType="separate"/>
      </w:r>
      <w:r>
        <w:rPr>
          <w:rFonts w:hint="eastAsia" w:ascii="宋体" w:hAnsi="宋体" w:eastAsia="宋体"/>
          <w:color w:val="auto"/>
          <w:szCs w:val="26"/>
        </w:rPr>
        <w:t>四、 投标文件的编制</w:t>
      </w:r>
      <w:r>
        <w:rPr>
          <w:rFonts w:hint="eastAsia" w:ascii="宋体" w:hAnsi="宋体" w:eastAsia="宋体"/>
          <w:color w:val="auto"/>
          <w:szCs w:val="26"/>
        </w:rPr>
        <w:tab/>
      </w:r>
      <w:r>
        <w:rPr>
          <w:rFonts w:hint="eastAsia" w:ascii="宋体" w:hAnsi="宋体" w:eastAsia="宋体"/>
          <w:color w:val="auto"/>
          <w:szCs w:val="26"/>
        </w:rPr>
        <w:fldChar w:fldCharType="begin"/>
      </w:r>
      <w:r>
        <w:rPr>
          <w:rFonts w:hint="eastAsia" w:ascii="宋体" w:hAnsi="宋体" w:eastAsia="宋体"/>
          <w:color w:val="auto"/>
          <w:szCs w:val="26"/>
        </w:rPr>
        <w:instrText xml:space="preserve"> PAGEREF _Toc8234 \h </w:instrText>
      </w:r>
      <w:r>
        <w:rPr>
          <w:rFonts w:hint="eastAsia" w:ascii="宋体" w:hAnsi="宋体" w:eastAsia="宋体"/>
          <w:color w:val="auto"/>
          <w:szCs w:val="26"/>
        </w:rPr>
        <w:fldChar w:fldCharType="separate"/>
      </w:r>
      <w:r>
        <w:rPr>
          <w:rFonts w:hint="eastAsia" w:ascii="宋体" w:hAnsi="宋体" w:eastAsia="宋体"/>
          <w:color w:val="auto"/>
          <w:szCs w:val="26"/>
        </w:rPr>
        <w:t>12</w:t>
      </w:r>
      <w:r>
        <w:rPr>
          <w:rFonts w:hint="eastAsia" w:ascii="宋体" w:hAnsi="宋体" w:eastAsia="宋体"/>
          <w:color w:val="auto"/>
          <w:szCs w:val="26"/>
        </w:rPr>
        <w:fldChar w:fldCharType="end"/>
      </w:r>
      <w:r>
        <w:rPr>
          <w:rFonts w:hint="eastAsia" w:ascii="宋体" w:hAnsi="宋体" w:eastAsia="宋体"/>
          <w:color w:val="auto"/>
          <w:szCs w:val="26"/>
        </w:rPr>
        <w:fldChar w:fldCharType="end"/>
      </w:r>
    </w:p>
    <w:p>
      <w:pPr>
        <w:pStyle w:val="46"/>
        <w:tabs>
          <w:tab w:val="right" w:leader="dot" w:pos="9638"/>
          <w:tab w:val="clear" w:pos="9628"/>
        </w:tabs>
        <w:ind w:left="420" w:leftChars="200"/>
        <w:jc w:val="left"/>
        <w:rPr>
          <w:rFonts w:ascii="宋体" w:hAnsi="宋体" w:eastAsia="宋体"/>
          <w:color w:val="auto"/>
          <w:szCs w:val="26"/>
        </w:rPr>
      </w:pPr>
      <w:r>
        <w:rPr>
          <w:color w:val="auto"/>
        </w:rPr>
        <w:fldChar w:fldCharType="begin"/>
      </w:r>
      <w:r>
        <w:rPr>
          <w:color w:val="auto"/>
        </w:rPr>
        <w:instrText xml:space="preserve"> HYPERLINK \l "_Toc23764" </w:instrText>
      </w:r>
      <w:r>
        <w:rPr>
          <w:color w:val="auto"/>
        </w:rPr>
        <w:fldChar w:fldCharType="separate"/>
      </w:r>
      <w:r>
        <w:rPr>
          <w:rFonts w:hint="eastAsia" w:ascii="宋体" w:hAnsi="宋体" w:eastAsia="宋体"/>
          <w:color w:val="auto"/>
          <w:szCs w:val="26"/>
        </w:rPr>
        <w:t>五、 投标文件的递交</w:t>
      </w:r>
      <w:r>
        <w:rPr>
          <w:rFonts w:hint="eastAsia" w:ascii="宋体" w:hAnsi="宋体" w:eastAsia="宋体"/>
          <w:color w:val="auto"/>
          <w:szCs w:val="26"/>
        </w:rPr>
        <w:tab/>
      </w:r>
      <w:r>
        <w:rPr>
          <w:rFonts w:hint="eastAsia" w:ascii="宋体" w:hAnsi="宋体" w:eastAsia="宋体"/>
          <w:color w:val="auto"/>
          <w:szCs w:val="26"/>
        </w:rPr>
        <w:fldChar w:fldCharType="begin"/>
      </w:r>
      <w:r>
        <w:rPr>
          <w:rFonts w:hint="eastAsia" w:ascii="宋体" w:hAnsi="宋体" w:eastAsia="宋体"/>
          <w:color w:val="auto"/>
          <w:szCs w:val="26"/>
        </w:rPr>
        <w:instrText xml:space="preserve"> PAGEREF _Toc23764 \h </w:instrText>
      </w:r>
      <w:r>
        <w:rPr>
          <w:rFonts w:hint="eastAsia" w:ascii="宋体" w:hAnsi="宋体" w:eastAsia="宋体"/>
          <w:color w:val="auto"/>
          <w:szCs w:val="26"/>
        </w:rPr>
        <w:fldChar w:fldCharType="separate"/>
      </w:r>
      <w:r>
        <w:rPr>
          <w:rFonts w:hint="eastAsia" w:ascii="宋体" w:hAnsi="宋体" w:eastAsia="宋体"/>
          <w:color w:val="auto"/>
          <w:szCs w:val="26"/>
        </w:rPr>
        <w:t>15</w:t>
      </w:r>
      <w:r>
        <w:rPr>
          <w:rFonts w:hint="eastAsia" w:ascii="宋体" w:hAnsi="宋体" w:eastAsia="宋体"/>
          <w:color w:val="auto"/>
          <w:szCs w:val="26"/>
        </w:rPr>
        <w:fldChar w:fldCharType="end"/>
      </w:r>
      <w:r>
        <w:rPr>
          <w:rFonts w:hint="eastAsia" w:ascii="宋体" w:hAnsi="宋体" w:eastAsia="宋体"/>
          <w:color w:val="auto"/>
          <w:szCs w:val="26"/>
        </w:rPr>
        <w:fldChar w:fldCharType="end"/>
      </w:r>
    </w:p>
    <w:p>
      <w:pPr>
        <w:pStyle w:val="46"/>
        <w:tabs>
          <w:tab w:val="right" w:leader="dot" w:pos="9638"/>
          <w:tab w:val="clear" w:pos="9628"/>
        </w:tabs>
        <w:ind w:left="420" w:leftChars="200"/>
        <w:jc w:val="left"/>
        <w:rPr>
          <w:rFonts w:ascii="宋体" w:hAnsi="宋体" w:eastAsia="宋体"/>
          <w:color w:val="auto"/>
          <w:szCs w:val="26"/>
        </w:rPr>
      </w:pPr>
      <w:r>
        <w:rPr>
          <w:color w:val="auto"/>
        </w:rPr>
        <w:fldChar w:fldCharType="begin"/>
      </w:r>
      <w:r>
        <w:rPr>
          <w:color w:val="auto"/>
        </w:rPr>
        <w:instrText xml:space="preserve"> HYPERLINK \l "_Toc20271" </w:instrText>
      </w:r>
      <w:r>
        <w:rPr>
          <w:color w:val="auto"/>
        </w:rPr>
        <w:fldChar w:fldCharType="separate"/>
      </w:r>
      <w:r>
        <w:rPr>
          <w:rFonts w:hint="eastAsia" w:ascii="宋体" w:hAnsi="宋体" w:eastAsia="宋体"/>
          <w:color w:val="auto"/>
          <w:szCs w:val="26"/>
        </w:rPr>
        <w:t>六、 开标</w:t>
      </w:r>
      <w:r>
        <w:rPr>
          <w:rFonts w:hint="eastAsia" w:ascii="宋体" w:hAnsi="宋体" w:eastAsia="宋体"/>
          <w:color w:val="auto"/>
          <w:szCs w:val="26"/>
        </w:rPr>
        <w:tab/>
      </w:r>
      <w:r>
        <w:rPr>
          <w:rFonts w:hint="eastAsia" w:ascii="宋体" w:hAnsi="宋体" w:eastAsia="宋体"/>
          <w:color w:val="auto"/>
          <w:szCs w:val="26"/>
        </w:rPr>
        <w:fldChar w:fldCharType="begin"/>
      </w:r>
      <w:r>
        <w:rPr>
          <w:rFonts w:hint="eastAsia" w:ascii="宋体" w:hAnsi="宋体" w:eastAsia="宋体"/>
          <w:color w:val="auto"/>
          <w:szCs w:val="26"/>
        </w:rPr>
        <w:instrText xml:space="preserve"> PAGEREF _Toc20271 \h </w:instrText>
      </w:r>
      <w:r>
        <w:rPr>
          <w:rFonts w:hint="eastAsia" w:ascii="宋体" w:hAnsi="宋体" w:eastAsia="宋体"/>
          <w:color w:val="auto"/>
          <w:szCs w:val="26"/>
        </w:rPr>
        <w:fldChar w:fldCharType="separate"/>
      </w:r>
      <w:r>
        <w:rPr>
          <w:rFonts w:hint="eastAsia" w:ascii="宋体" w:hAnsi="宋体" w:eastAsia="宋体"/>
          <w:color w:val="auto"/>
          <w:szCs w:val="26"/>
        </w:rPr>
        <w:t>16</w:t>
      </w:r>
      <w:r>
        <w:rPr>
          <w:rFonts w:hint="eastAsia" w:ascii="宋体" w:hAnsi="宋体" w:eastAsia="宋体"/>
          <w:color w:val="auto"/>
          <w:szCs w:val="26"/>
        </w:rPr>
        <w:fldChar w:fldCharType="end"/>
      </w:r>
      <w:r>
        <w:rPr>
          <w:rFonts w:hint="eastAsia" w:ascii="宋体" w:hAnsi="宋体" w:eastAsia="宋体"/>
          <w:color w:val="auto"/>
          <w:szCs w:val="26"/>
        </w:rPr>
        <w:fldChar w:fldCharType="end"/>
      </w:r>
    </w:p>
    <w:p>
      <w:pPr>
        <w:pStyle w:val="46"/>
        <w:tabs>
          <w:tab w:val="right" w:leader="dot" w:pos="9638"/>
          <w:tab w:val="clear" w:pos="9628"/>
        </w:tabs>
        <w:ind w:left="420" w:leftChars="200"/>
        <w:jc w:val="left"/>
        <w:rPr>
          <w:rFonts w:ascii="宋体" w:hAnsi="宋体" w:eastAsia="宋体"/>
          <w:color w:val="auto"/>
          <w:szCs w:val="26"/>
        </w:rPr>
      </w:pPr>
      <w:r>
        <w:rPr>
          <w:color w:val="auto"/>
        </w:rPr>
        <w:fldChar w:fldCharType="begin"/>
      </w:r>
      <w:r>
        <w:rPr>
          <w:color w:val="auto"/>
        </w:rPr>
        <w:instrText xml:space="preserve"> HYPERLINK \l "_Toc28360" </w:instrText>
      </w:r>
      <w:r>
        <w:rPr>
          <w:color w:val="auto"/>
        </w:rPr>
        <w:fldChar w:fldCharType="separate"/>
      </w:r>
      <w:r>
        <w:rPr>
          <w:rFonts w:hint="eastAsia" w:ascii="宋体" w:hAnsi="宋体" w:eastAsia="宋体"/>
          <w:color w:val="auto"/>
          <w:szCs w:val="26"/>
        </w:rPr>
        <w:t>七、 评标</w:t>
      </w:r>
      <w:r>
        <w:rPr>
          <w:rFonts w:hint="eastAsia" w:ascii="宋体" w:hAnsi="宋体" w:eastAsia="宋体"/>
          <w:color w:val="auto"/>
          <w:szCs w:val="26"/>
        </w:rPr>
        <w:tab/>
      </w:r>
      <w:r>
        <w:rPr>
          <w:rFonts w:hint="eastAsia" w:ascii="宋体" w:hAnsi="宋体" w:eastAsia="宋体"/>
          <w:color w:val="auto"/>
          <w:szCs w:val="26"/>
        </w:rPr>
        <w:fldChar w:fldCharType="begin"/>
      </w:r>
      <w:r>
        <w:rPr>
          <w:rFonts w:hint="eastAsia" w:ascii="宋体" w:hAnsi="宋体" w:eastAsia="宋体"/>
          <w:color w:val="auto"/>
          <w:szCs w:val="26"/>
        </w:rPr>
        <w:instrText xml:space="preserve"> PAGEREF _Toc28360 \h </w:instrText>
      </w:r>
      <w:r>
        <w:rPr>
          <w:rFonts w:hint="eastAsia" w:ascii="宋体" w:hAnsi="宋体" w:eastAsia="宋体"/>
          <w:color w:val="auto"/>
          <w:szCs w:val="26"/>
        </w:rPr>
        <w:fldChar w:fldCharType="separate"/>
      </w:r>
      <w:r>
        <w:rPr>
          <w:rFonts w:hint="eastAsia" w:ascii="宋体" w:hAnsi="宋体" w:eastAsia="宋体"/>
          <w:color w:val="auto"/>
          <w:szCs w:val="26"/>
        </w:rPr>
        <w:t>17</w:t>
      </w:r>
      <w:r>
        <w:rPr>
          <w:rFonts w:hint="eastAsia" w:ascii="宋体" w:hAnsi="宋体" w:eastAsia="宋体"/>
          <w:color w:val="auto"/>
          <w:szCs w:val="26"/>
        </w:rPr>
        <w:fldChar w:fldCharType="end"/>
      </w:r>
      <w:r>
        <w:rPr>
          <w:rFonts w:hint="eastAsia" w:ascii="宋体" w:hAnsi="宋体" w:eastAsia="宋体"/>
          <w:color w:val="auto"/>
          <w:szCs w:val="26"/>
        </w:rPr>
        <w:fldChar w:fldCharType="end"/>
      </w:r>
    </w:p>
    <w:p>
      <w:pPr>
        <w:pStyle w:val="46"/>
        <w:tabs>
          <w:tab w:val="right" w:leader="dot" w:pos="9638"/>
          <w:tab w:val="clear" w:pos="9628"/>
        </w:tabs>
        <w:ind w:left="420" w:leftChars="200"/>
        <w:jc w:val="left"/>
        <w:rPr>
          <w:rFonts w:ascii="宋体" w:hAnsi="宋体" w:eastAsia="宋体"/>
          <w:color w:val="auto"/>
          <w:szCs w:val="26"/>
        </w:rPr>
      </w:pPr>
      <w:r>
        <w:rPr>
          <w:color w:val="auto"/>
        </w:rPr>
        <w:fldChar w:fldCharType="begin"/>
      </w:r>
      <w:r>
        <w:rPr>
          <w:color w:val="auto"/>
        </w:rPr>
        <w:instrText xml:space="preserve"> HYPERLINK \l "_Toc7414" </w:instrText>
      </w:r>
      <w:r>
        <w:rPr>
          <w:color w:val="auto"/>
        </w:rPr>
        <w:fldChar w:fldCharType="separate"/>
      </w:r>
      <w:r>
        <w:rPr>
          <w:rFonts w:hint="eastAsia" w:ascii="宋体" w:hAnsi="宋体" w:eastAsia="宋体"/>
          <w:color w:val="auto"/>
          <w:szCs w:val="26"/>
        </w:rPr>
        <w:t>八、 授予合同</w:t>
      </w:r>
      <w:r>
        <w:rPr>
          <w:rFonts w:hint="eastAsia" w:ascii="宋体" w:hAnsi="宋体" w:eastAsia="宋体"/>
          <w:color w:val="auto"/>
          <w:szCs w:val="26"/>
        </w:rPr>
        <w:tab/>
      </w:r>
      <w:r>
        <w:rPr>
          <w:rFonts w:hint="eastAsia" w:ascii="宋体" w:hAnsi="宋体" w:eastAsia="宋体"/>
          <w:color w:val="auto"/>
          <w:szCs w:val="26"/>
        </w:rPr>
        <w:fldChar w:fldCharType="begin"/>
      </w:r>
      <w:r>
        <w:rPr>
          <w:rFonts w:hint="eastAsia" w:ascii="宋体" w:hAnsi="宋体" w:eastAsia="宋体"/>
          <w:color w:val="auto"/>
          <w:szCs w:val="26"/>
        </w:rPr>
        <w:instrText xml:space="preserve"> PAGEREF _Toc7414 \h </w:instrText>
      </w:r>
      <w:r>
        <w:rPr>
          <w:rFonts w:hint="eastAsia" w:ascii="宋体" w:hAnsi="宋体" w:eastAsia="宋体"/>
          <w:color w:val="auto"/>
          <w:szCs w:val="26"/>
        </w:rPr>
        <w:fldChar w:fldCharType="separate"/>
      </w:r>
      <w:r>
        <w:rPr>
          <w:rFonts w:hint="eastAsia" w:ascii="宋体" w:hAnsi="宋体" w:eastAsia="宋体"/>
          <w:color w:val="auto"/>
          <w:szCs w:val="26"/>
        </w:rPr>
        <w:t>21</w:t>
      </w:r>
      <w:r>
        <w:rPr>
          <w:rFonts w:hint="eastAsia" w:ascii="宋体" w:hAnsi="宋体" w:eastAsia="宋体"/>
          <w:color w:val="auto"/>
          <w:szCs w:val="26"/>
        </w:rPr>
        <w:fldChar w:fldCharType="end"/>
      </w:r>
      <w:r>
        <w:rPr>
          <w:rFonts w:hint="eastAsia" w:ascii="宋体" w:hAnsi="宋体" w:eastAsia="宋体"/>
          <w:color w:val="auto"/>
          <w:szCs w:val="26"/>
        </w:rPr>
        <w:fldChar w:fldCharType="end"/>
      </w:r>
    </w:p>
    <w:p>
      <w:pPr>
        <w:pStyle w:val="46"/>
        <w:tabs>
          <w:tab w:val="right" w:leader="dot" w:pos="9638"/>
          <w:tab w:val="clear" w:pos="9628"/>
        </w:tabs>
        <w:ind w:left="420" w:leftChars="200"/>
        <w:jc w:val="left"/>
        <w:rPr>
          <w:color w:val="auto"/>
        </w:rPr>
      </w:pPr>
      <w:r>
        <w:rPr>
          <w:color w:val="auto"/>
        </w:rPr>
        <w:fldChar w:fldCharType="begin"/>
      </w:r>
      <w:r>
        <w:rPr>
          <w:color w:val="auto"/>
        </w:rPr>
        <w:instrText xml:space="preserve"> HYPERLINK \l "_Toc22702" </w:instrText>
      </w:r>
      <w:r>
        <w:rPr>
          <w:color w:val="auto"/>
        </w:rPr>
        <w:fldChar w:fldCharType="separate"/>
      </w:r>
      <w:r>
        <w:rPr>
          <w:rFonts w:hint="eastAsia" w:ascii="宋体" w:hAnsi="宋体" w:eastAsia="宋体"/>
          <w:color w:val="auto"/>
          <w:szCs w:val="26"/>
        </w:rPr>
        <w:t>九、验收</w:t>
      </w:r>
      <w:r>
        <w:rPr>
          <w:rFonts w:hint="eastAsia" w:ascii="宋体" w:hAnsi="宋体" w:eastAsia="宋体"/>
          <w:color w:val="auto"/>
          <w:szCs w:val="26"/>
        </w:rPr>
        <w:tab/>
      </w:r>
      <w:r>
        <w:rPr>
          <w:rFonts w:hint="eastAsia" w:ascii="宋体" w:hAnsi="宋体" w:eastAsia="宋体"/>
          <w:color w:val="auto"/>
          <w:szCs w:val="26"/>
        </w:rPr>
        <w:fldChar w:fldCharType="begin"/>
      </w:r>
      <w:r>
        <w:rPr>
          <w:rFonts w:hint="eastAsia" w:ascii="宋体" w:hAnsi="宋体" w:eastAsia="宋体"/>
          <w:color w:val="auto"/>
          <w:szCs w:val="26"/>
        </w:rPr>
        <w:instrText xml:space="preserve"> PAGEREF _Toc22702 \h </w:instrText>
      </w:r>
      <w:r>
        <w:rPr>
          <w:rFonts w:hint="eastAsia" w:ascii="宋体" w:hAnsi="宋体" w:eastAsia="宋体"/>
          <w:color w:val="auto"/>
          <w:szCs w:val="26"/>
        </w:rPr>
        <w:fldChar w:fldCharType="separate"/>
      </w:r>
      <w:r>
        <w:rPr>
          <w:rFonts w:hint="eastAsia" w:ascii="宋体" w:hAnsi="宋体" w:eastAsia="宋体"/>
          <w:color w:val="auto"/>
          <w:szCs w:val="26"/>
        </w:rPr>
        <w:t>22</w:t>
      </w:r>
      <w:r>
        <w:rPr>
          <w:rFonts w:hint="eastAsia" w:ascii="宋体" w:hAnsi="宋体" w:eastAsia="宋体"/>
          <w:color w:val="auto"/>
          <w:szCs w:val="26"/>
        </w:rPr>
        <w:fldChar w:fldCharType="end"/>
      </w:r>
      <w:r>
        <w:rPr>
          <w:rFonts w:hint="eastAsia" w:ascii="宋体" w:hAnsi="宋体" w:eastAsia="宋体"/>
          <w:color w:val="auto"/>
          <w:szCs w:val="26"/>
        </w:rPr>
        <w:fldChar w:fldCharType="end"/>
      </w:r>
    </w:p>
    <w:p>
      <w:pPr>
        <w:pStyle w:val="46"/>
        <w:tabs>
          <w:tab w:val="right" w:leader="dot" w:pos="9638"/>
          <w:tab w:val="clear" w:pos="9628"/>
        </w:tabs>
        <w:jc w:val="left"/>
        <w:rPr>
          <w:color w:val="auto"/>
        </w:rPr>
      </w:pPr>
      <w:r>
        <w:rPr>
          <w:color w:val="auto"/>
        </w:rPr>
        <w:fldChar w:fldCharType="begin"/>
      </w:r>
      <w:r>
        <w:rPr>
          <w:color w:val="auto"/>
        </w:rPr>
        <w:instrText xml:space="preserve"> HYPERLINK \l "_Toc19245" </w:instrText>
      </w:r>
      <w:r>
        <w:rPr>
          <w:color w:val="auto"/>
        </w:rPr>
        <w:fldChar w:fldCharType="separate"/>
      </w:r>
      <w:r>
        <w:rPr>
          <w:rFonts w:hint="eastAsia" w:ascii="宋体" w:hAnsi="宋体" w:eastAsia="宋体" w:cs="宋体"/>
          <w:color w:val="auto"/>
          <w:szCs w:val="36"/>
        </w:rPr>
        <w:t>第二部分   招标内容及要求</w:t>
      </w:r>
      <w:r>
        <w:rPr>
          <w:color w:val="auto"/>
        </w:rPr>
        <w:tab/>
      </w:r>
      <w:r>
        <w:rPr>
          <w:color w:val="auto"/>
        </w:rPr>
        <w:fldChar w:fldCharType="begin"/>
      </w:r>
      <w:r>
        <w:rPr>
          <w:color w:val="auto"/>
        </w:rPr>
        <w:instrText xml:space="preserve"> PAGEREF _Toc19245 \h </w:instrText>
      </w:r>
      <w:r>
        <w:rPr>
          <w:color w:val="auto"/>
        </w:rPr>
        <w:fldChar w:fldCharType="separate"/>
      </w:r>
      <w:r>
        <w:rPr>
          <w:color w:val="auto"/>
        </w:rPr>
        <w:t>23</w:t>
      </w:r>
      <w:r>
        <w:rPr>
          <w:color w:val="auto"/>
        </w:rPr>
        <w:fldChar w:fldCharType="end"/>
      </w:r>
      <w:r>
        <w:rPr>
          <w:color w:val="auto"/>
        </w:rPr>
        <w:fldChar w:fldCharType="end"/>
      </w:r>
    </w:p>
    <w:p>
      <w:pPr>
        <w:pStyle w:val="46"/>
        <w:tabs>
          <w:tab w:val="right" w:leader="dot" w:pos="9638"/>
          <w:tab w:val="clear" w:pos="9628"/>
        </w:tabs>
        <w:jc w:val="left"/>
        <w:rPr>
          <w:color w:val="auto"/>
        </w:rPr>
      </w:pPr>
      <w:r>
        <w:rPr>
          <w:color w:val="auto"/>
        </w:rPr>
        <w:fldChar w:fldCharType="begin"/>
      </w:r>
      <w:r>
        <w:rPr>
          <w:color w:val="auto"/>
        </w:rPr>
        <w:instrText xml:space="preserve"> HYPERLINK \l "_Toc10956" </w:instrText>
      </w:r>
      <w:r>
        <w:rPr>
          <w:color w:val="auto"/>
        </w:rPr>
        <w:fldChar w:fldCharType="separate"/>
      </w:r>
      <w:r>
        <w:rPr>
          <w:rFonts w:hint="eastAsia" w:ascii="宋体" w:hAnsi="宋体" w:eastAsia="宋体"/>
          <w:color w:val="auto"/>
          <w:szCs w:val="36"/>
        </w:rPr>
        <w:t>第三部分   评标原则及方法</w:t>
      </w:r>
      <w:r>
        <w:rPr>
          <w:color w:val="auto"/>
        </w:rPr>
        <w:tab/>
      </w:r>
      <w:r>
        <w:rPr>
          <w:color w:val="auto"/>
        </w:rPr>
        <w:fldChar w:fldCharType="begin"/>
      </w:r>
      <w:r>
        <w:rPr>
          <w:color w:val="auto"/>
        </w:rPr>
        <w:instrText xml:space="preserve"> PAGEREF _Toc10956 \h </w:instrText>
      </w:r>
      <w:r>
        <w:rPr>
          <w:color w:val="auto"/>
        </w:rPr>
        <w:fldChar w:fldCharType="separate"/>
      </w:r>
      <w:r>
        <w:rPr>
          <w:color w:val="auto"/>
        </w:rPr>
        <w:t>35</w:t>
      </w:r>
      <w:r>
        <w:rPr>
          <w:color w:val="auto"/>
        </w:rPr>
        <w:fldChar w:fldCharType="end"/>
      </w:r>
      <w:r>
        <w:rPr>
          <w:color w:val="auto"/>
        </w:rPr>
        <w:fldChar w:fldCharType="end"/>
      </w:r>
    </w:p>
    <w:p>
      <w:pPr>
        <w:pStyle w:val="46"/>
        <w:tabs>
          <w:tab w:val="right" w:leader="dot" w:pos="9638"/>
          <w:tab w:val="clear" w:pos="9628"/>
        </w:tabs>
        <w:jc w:val="left"/>
        <w:rPr>
          <w:color w:val="auto"/>
        </w:rPr>
      </w:pPr>
      <w:r>
        <w:rPr>
          <w:color w:val="auto"/>
        </w:rPr>
        <w:fldChar w:fldCharType="begin"/>
      </w:r>
      <w:r>
        <w:rPr>
          <w:color w:val="auto"/>
        </w:rPr>
        <w:instrText xml:space="preserve"> HYPERLINK \l "_Toc10781" </w:instrText>
      </w:r>
      <w:r>
        <w:rPr>
          <w:color w:val="auto"/>
        </w:rPr>
        <w:fldChar w:fldCharType="separate"/>
      </w:r>
      <w:r>
        <w:rPr>
          <w:rFonts w:hint="eastAsia" w:ascii="宋体" w:hAnsi="宋体" w:eastAsia="宋体"/>
          <w:color w:val="auto"/>
          <w:szCs w:val="36"/>
        </w:rPr>
        <w:t>第四部分   合同主要条款</w:t>
      </w:r>
      <w:r>
        <w:rPr>
          <w:color w:val="auto"/>
        </w:rPr>
        <w:tab/>
      </w:r>
      <w:r>
        <w:rPr>
          <w:color w:val="auto"/>
        </w:rPr>
        <w:fldChar w:fldCharType="begin"/>
      </w:r>
      <w:r>
        <w:rPr>
          <w:color w:val="auto"/>
        </w:rPr>
        <w:instrText xml:space="preserve"> PAGEREF _Toc10781 \h </w:instrText>
      </w:r>
      <w:r>
        <w:rPr>
          <w:color w:val="auto"/>
        </w:rPr>
        <w:fldChar w:fldCharType="separate"/>
      </w:r>
      <w:r>
        <w:rPr>
          <w:color w:val="auto"/>
        </w:rPr>
        <w:t>38</w:t>
      </w:r>
      <w:r>
        <w:rPr>
          <w:color w:val="auto"/>
        </w:rPr>
        <w:fldChar w:fldCharType="end"/>
      </w:r>
      <w:r>
        <w:rPr>
          <w:color w:val="auto"/>
        </w:rPr>
        <w:fldChar w:fldCharType="end"/>
      </w:r>
    </w:p>
    <w:p>
      <w:pPr>
        <w:pStyle w:val="46"/>
        <w:tabs>
          <w:tab w:val="right" w:leader="dot" w:pos="9638"/>
          <w:tab w:val="clear" w:pos="9628"/>
        </w:tabs>
        <w:jc w:val="left"/>
        <w:rPr>
          <w:color w:val="auto"/>
        </w:rPr>
      </w:pPr>
      <w:r>
        <w:rPr>
          <w:color w:val="auto"/>
        </w:rPr>
        <w:fldChar w:fldCharType="begin"/>
      </w:r>
      <w:r>
        <w:rPr>
          <w:color w:val="auto"/>
        </w:rPr>
        <w:instrText xml:space="preserve"> HYPERLINK \l "_Toc22293" </w:instrText>
      </w:r>
      <w:r>
        <w:rPr>
          <w:color w:val="auto"/>
        </w:rPr>
        <w:fldChar w:fldCharType="separate"/>
      </w:r>
      <w:r>
        <w:rPr>
          <w:rFonts w:hint="eastAsia" w:ascii="宋体" w:hAnsi="宋体" w:eastAsia="宋体"/>
          <w:color w:val="auto"/>
          <w:szCs w:val="36"/>
        </w:rPr>
        <w:t>第五部分   附件</w:t>
      </w:r>
      <w:r>
        <w:rPr>
          <w:color w:val="auto"/>
        </w:rPr>
        <w:tab/>
      </w:r>
      <w:r>
        <w:rPr>
          <w:color w:val="auto"/>
        </w:rPr>
        <w:fldChar w:fldCharType="begin"/>
      </w:r>
      <w:r>
        <w:rPr>
          <w:color w:val="auto"/>
        </w:rPr>
        <w:instrText xml:space="preserve"> PAGEREF _Toc22293 \h </w:instrText>
      </w:r>
      <w:r>
        <w:rPr>
          <w:color w:val="auto"/>
        </w:rPr>
        <w:fldChar w:fldCharType="separate"/>
      </w:r>
      <w:r>
        <w:rPr>
          <w:color w:val="auto"/>
        </w:rPr>
        <w:t>42</w:t>
      </w:r>
      <w:r>
        <w:rPr>
          <w:color w:val="auto"/>
        </w:rPr>
        <w:fldChar w:fldCharType="end"/>
      </w:r>
      <w:r>
        <w:rPr>
          <w:color w:val="auto"/>
        </w:rPr>
        <w:fldChar w:fldCharType="end"/>
      </w:r>
    </w:p>
    <w:p>
      <w:pPr>
        <w:spacing w:line="480" w:lineRule="auto"/>
        <w:jc w:val="left"/>
        <w:rPr>
          <w:rFonts w:ascii="宋体" w:hAnsi="宋体"/>
          <w:b/>
          <w:bCs/>
          <w:color w:val="auto"/>
          <w:sz w:val="22"/>
          <w:szCs w:val="22"/>
        </w:rPr>
      </w:pPr>
      <w:r>
        <w:rPr>
          <w:rFonts w:hint="eastAsia" w:ascii="宋体" w:hAnsi="宋体"/>
          <w:bCs/>
          <w:color w:val="auto"/>
        </w:rPr>
        <w:fldChar w:fldCharType="end"/>
      </w:r>
    </w:p>
    <w:p>
      <w:pPr>
        <w:spacing w:line="480" w:lineRule="auto"/>
        <w:jc w:val="left"/>
        <w:rPr>
          <w:rFonts w:ascii="宋体" w:hAnsi="宋体"/>
          <w:b/>
          <w:bCs/>
          <w:color w:val="auto"/>
          <w:sz w:val="22"/>
          <w:szCs w:val="22"/>
        </w:rPr>
      </w:pPr>
      <w:r>
        <w:rPr>
          <w:rFonts w:hint="eastAsia" w:ascii="宋体" w:hAnsi="宋体"/>
          <w:b/>
          <w:bCs/>
          <w:color w:val="auto"/>
          <w:sz w:val="22"/>
          <w:szCs w:val="22"/>
        </w:rPr>
        <w:t>注：</w:t>
      </w:r>
      <w:r>
        <w:rPr>
          <w:rFonts w:hint="eastAsia" w:ascii="宋体" w:hAnsi="宋体"/>
          <w:b/>
          <w:bCs/>
          <w:color w:val="auto"/>
          <w:sz w:val="24"/>
          <w:u w:val="single"/>
        </w:rPr>
        <w:t>招标文件中部分加“▲”且加下划线的条款，为招标的实质性要求和条件，着重提醒各投标人注意，并认真查看招标文件中的每一个条款及要求，因误读招标文件而造成的后果，招标人概不负责。</w:t>
      </w:r>
    </w:p>
    <w:p>
      <w:pPr>
        <w:widowControl/>
        <w:jc w:val="left"/>
        <w:rPr>
          <w:rFonts w:ascii="宋体" w:hAnsi="宋体"/>
          <w:b/>
          <w:bCs/>
          <w:color w:val="auto"/>
        </w:rPr>
      </w:pPr>
      <w:r>
        <w:rPr>
          <w:rFonts w:ascii="宋体" w:hAnsi="宋体"/>
          <w:color w:val="auto"/>
        </w:rPr>
        <w:br w:type="page"/>
      </w:r>
    </w:p>
    <w:p>
      <w:pPr>
        <w:pStyle w:val="4"/>
        <w:rPr>
          <w:rFonts w:ascii="宋体" w:hAnsi="宋体" w:eastAsia="宋体" w:cs="Arial"/>
          <w:b w:val="0"/>
          <w:bCs w:val="0"/>
          <w:color w:val="auto"/>
          <w:kern w:val="0"/>
          <w:sz w:val="30"/>
          <w:szCs w:val="30"/>
        </w:rPr>
      </w:pPr>
      <w:bookmarkStart w:id="0" w:name="_Toc492496682"/>
      <w:bookmarkStart w:id="1" w:name="_Toc398293639"/>
      <w:bookmarkStart w:id="2" w:name="_Toc6342"/>
      <w:bookmarkStart w:id="3" w:name="_Toc246261260"/>
      <w:bookmarkStart w:id="4" w:name="_Toc221356881"/>
      <w:bookmarkStart w:id="5" w:name="_Toc221423613"/>
      <w:bookmarkStart w:id="6" w:name="_Toc249758859"/>
      <w:bookmarkStart w:id="7" w:name="_Toc245191309"/>
      <w:bookmarkStart w:id="8" w:name="_Toc222114874"/>
      <w:bookmarkStart w:id="9" w:name="_Toc337660883"/>
      <w:bookmarkStart w:id="10" w:name="_Toc223715993"/>
      <w:bookmarkStart w:id="11" w:name="_Toc221356945"/>
      <w:bookmarkStart w:id="12" w:name="_Toc249758707"/>
      <w:bookmarkStart w:id="13" w:name="_Toc245722276"/>
      <w:bookmarkStart w:id="14" w:name="_Toc239145349"/>
      <w:bookmarkStart w:id="15" w:name="_Toc262105498"/>
      <w:bookmarkStart w:id="16" w:name="_Toc222114873"/>
      <w:bookmarkStart w:id="17" w:name="_Toc221374621"/>
      <w:bookmarkStart w:id="18" w:name="_Toc241404197"/>
      <w:bookmarkStart w:id="19" w:name="_Toc221356946"/>
      <w:bookmarkStart w:id="20" w:name="_Toc221356880"/>
      <w:bookmarkStart w:id="21" w:name="_Toc348800908"/>
      <w:bookmarkStart w:id="22" w:name="_Toc223715992"/>
      <w:bookmarkStart w:id="23" w:name="_Toc221423614"/>
      <w:bookmarkStart w:id="24" w:name="_Toc221374620"/>
      <w:bookmarkStart w:id="25" w:name="_Toc262049413"/>
      <w:r>
        <w:rPr>
          <w:rFonts w:hint="eastAsia" w:ascii="宋体" w:hAnsi="宋体" w:eastAsia="宋体" w:cs="Arial"/>
          <w:color w:val="auto"/>
          <w:sz w:val="30"/>
          <w:szCs w:val="30"/>
        </w:rPr>
        <w:t>大地工程咨询有限公司关于交通技术服务运维项目的公开招标公告</w:t>
      </w:r>
      <w:bookmarkEnd w:id="0"/>
      <w:bookmarkEnd w:id="1"/>
      <w:bookmarkEnd w:id="2"/>
    </w:p>
    <w:p>
      <w:pPr>
        <w:pBdr>
          <w:top w:val="single" w:color="auto" w:sz="4" w:space="1"/>
          <w:left w:val="single" w:color="auto" w:sz="4" w:space="4"/>
          <w:bottom w:val="single" w:color="auto" w:sz="4" w:space="1"/>
          <w:right w:val="single" w:color="auto" w:sz="4" w:space="4"/>
        </w:pBdr>
        <w:ind w:firstLine="440" w:firstLineChars="200"/>
        <w:rPr>
          <w:rFonts w:ascii="宋体"/>
          <w:color w:val="auto"/>
          <w:sz w:val="22"/>
          <w:szCs w:val="22"/>
        </w:rPr>
      </w:pPr>
      <w:r>
        <w:rPr>
          <w:rFonts w:hint="eastAsia" w:ascii="宋体" w:hAnsi="宋体"/>
          <w:color w:val="auto"/>
          <w:sz w:val="22"/>
          <w:szCs w:val="22"/>
        </w:rPr>
        <w:t>项目概况</w:t>
      </w:r>
    </w:p>
    <w:p>
      <w:pPr>
        <w:pBdr>
          <w:top w:val="single" w:color="auto" w:sz="4" w:space="1"/>
          <w:left w:val="single" w:color="auto" w:sz="4" w:space="4"/>
          <w:bottom w:val="single" w:color="auto" w:sz="4" w:space="1"/>
          <w:right w:val="single" w:color="auto" w:sz="4" w:space="4"/>
        </w:pBdr>
        <w:ind w:firstLine="440" w:firstLineChars="200"/>
        <w:rPr>
          <w:rFonts w:ascii="宋体" w:hAnsi="宋体"/>
          <w:color w:val="auto"/>
          <w:sz w:val="22"/>
          <w:szCs w:val="22"/>
        </w:rPr>
      </w:pPr>
      <w:r>
        <w:rPr>
          <w:rFonts w:hint="eastAsia" w:ascii="宋体" w:hAnsi="宋体"/>
          <w:color w:val="auto"/>
          <w:sz w:val="22"/>
          <w:szCs w:val="22"/>
          <w:u w:val="single"/>
        </w:rPr>
        <w:t>交通技术服务运维项目的潜在投标人应在政采云平台（www.zcygov.cn）获取（下载）采购文件，并于2024年</w:t>
      </w:r>
      <w:r>
        <w:rPr>
          <w:rFonts w:hint="eastAsia" w:ascii="宋体" w:hAnsi="宋体"/>
          <w:color w:val="auto"/>
          <w:sz w:val="22"/>
          <w:szCs w:val="22"/>
          <w:u w:val="single"/>
          <w:lang w:val="en-US" w:eastAsia="zh-CN"/>
        </w:rPr>
        <w:t>4</w:t>
      </w:r>
      <w:r>
        <w:rPr>
          <w:rFonts w:hint="eastAsia" w:ascii="宋体" w:hAnsi="宋体"/>
          <w:color w:val="auto"/>
          <w:sz w:val="22"/>
          <w:szCs w:val="22"/>
          <w:u w:val="single"/>
        </w:rPr>
        <w:t>月</w:t>
      </w:r>
      <w:r>
        <w:rPr>
          <w:rFonts w:hint="eastAsia" w:ascii="宋体" w:hAnsi="宋体"/>
          <w:color w:val="auto"/>
          <w:sz w:val="22"/>
          <w:szCs w:val="22"/>
          <w:u w:val="single"/>
          <w:lang w:val="en-US" w:eastAsia="zh-CN"/>
        </w:rPr>
        <w:t>16</w:t>
      </w:r>
      <w:r>
        <w:rPr>
          <w:rFonts w:hint="eastAsia" w:ascii="宋体" w:hAnsi="宋体"/>
          <w:color w:val="auto"/>
          <w:sz w:val="22"/>
          <w:szCs w:val="22"/>
          <w:u w:val="single"/>
        </w:rPr>
        <w:t>日14:30（北京时间）前提交（上传）响应文件。</w:t>
      </w:r>
    </w:p>
    <w:p>
      <w:pPr>
        <w:widowControl/>
        <w:spacing w:before="60" w:after="60" w:line="360" w:lineRule="exact"/>
        <w:ind w:left="60" w:right="60"/>
        <w:jc w:val="left"/>
        <w:rPr>
          <w:rFonts w:ascii="宋体" w:hAnsi="宋体" w:cs="宋体"/>
          <w:b/>
          <w:color w:val="auto"/>
          <w:kern w:val="0"/>
          <w:sz w:val="22"/>
          <w:szCs w:val="22"/>
        </w:rPr>
      </w:pPr>
      <w:r>
        <w:rPr>
          <w:rFonts w:hint="eastAsia" w:ascii="宋体" w:hAnsi="宋体" w:cs="宋体"/>
          <w:b/>
          <w:color w:val="auto"/>
          <w:kern w:val="0"/>
          <w:sz w:val="22"/>
          <w:szCs w:val="22"/>
        </w:rPr>
        <w:t>一、项目基本情况</w:t>
      </w:r>
    </w:p>
    <w:p>
      <w:pPr>
        <w:widowControl/>
        <w:spacing w:before="60" w:after="60" w:line="360" w:lineRule="exact"/>
        <w:ind w:right="60" w:firstLine="418" w:firstLineChars="190"/>
        <w:jc w:val="left"/>
        <w:rPr>
          <w:rFonts w:ascii="宋体" w:hAnsi="宋体" w:cs="宋体"/>
          <w:bCs/>
          <w:color w:val="auto"/>
          <w:kern w:val="0"/>
          <w:sz w:val="22"/>
          <w:szCs w:val="22"/>
        </w:rPr>
      </w:pPr>
      <w:r>
        <w:rPr>
          <w:rFonts w:hint="eastAsia" w:ascii="宋体" w:hAnsi="宋体" w:cs="宋体"/>
          <w:bCs/>
          <w:color w:val="auto"/>
          <w:kern w:val="0"/>
          <w:sz w:val="22"/>
          <w:szCs w:val="22"/>
        </w:rPr>
        <w:t xml:space="preserve">项目编号：DDZX-20240103012 </w:t>
      </w:r>
    </w:p>
    <w:p>
      <w:pPr>
        <w:widowControl/>
        <w:spacing w:before="60" w:after="60" w:line="360" w:lineRule="exact"/>
        <w:ind w:right="60" w:firstLine="418" w:firstLineChars="190"/>
        <w:jc w:val="left"/>
        <w:rPr>
          <w:rFonts w:ascii="宋体" w:hAnsi="宋体" w:cs="宋体"/>
          <w:bCs/>
          <w:color w:val="auto"/>
          <w:kern w:val="0"/>
          <w:sz w:val="22"/>
          <w:szCs w:val="22"/>
        </w:rPr>
      </w:pPr>
      <w:r>
        <w:rPr>
          <w:rFonts w:hint="eastAsia" w:ascii="宋体" w:hAnsi="宋体" w:cs="宋体"/>
          <w:bCs/>
          <w:color w:val="auto"/>
          <w:kern w:val="0"/>
          <w:sz w:val="22"/>
          <w:szCs w:val="22"/>
        </w:rPr>
        <w:t xml:space="preserve">项目名称：交通技术服务运维项目 </w:t>
      </w:r>
    </w:p>
    <w:p>
      <w:pPr>
        <w:widowControl/>
        <w:spacing w:before="60" w:after="60" w:line="360" w:lineRule="exact"/>
        <w:ind w:right="60" w:firstLine="418" w:firstLineChars="190"/>
        <w:jc w:val="left"/>
        <w:rPr>
          <w:rFonts w:ascii="宋体" w:hAnsi="宋体" w:cs="宋体"/>
          <w:bCs/>
          <w:color w:val="auto"/>
          <w:kern w:val="0"/>
          <w:sz w:val="22"/>
          <w:szCs w:val="22"/>
        </w:rPr>
      </w:pPr>
      <w:r>
        <w:rPr>
          <w:rFonts w:hint="eastAsia" w:ascii="宋体" w:hAnsi="宋体" w:cs="宋体"/>
          <w:bCs/>
          <w:color w:val="auto"/>
          <w:kern w:val="0"/>
          <w:sz w:val="22"/>
          <w:szCs w:val="22"/>
        </w:rPr>
        <w:t xml:space="preserve">采购方式：公开招标 </w:t>
      </w:r>
    </w:p>
    <w:p>
      <w:pPr>
        <w:widowControl/>
        <w:spacing w:before="60" w:after="60" w:line="360" w:lineRule="exact"/>
        <w:ind w:right="60" w:firstLine="418" w:firstLineChars="190"/>
        <w:jc w:val="left"/>
        <w:rPr>
          <w:rFonts w:ascii="宋体" w:hAnsi="宋体" w:cs="宋体"/>
          <w:bCs/>
          <w:color w:val="auto"/>
          <w:kern w:val="0"/>
          <w:sz w:val="22"/>
          <w:szCs w:val="22"/>
        </w:rPr>
      </w:pPr>
      <w:r>
        <w:rPr>
          <w:rFonts w:hint="eastAsia" w:ascii="宋体" w:hAnsi="宋体" w:cs="宋体"/>
          <w:bCs/>
          <w:color w:val="auto"/>
          <w:kern w:val="0"/>
          <w:sz w:val="22"/>
          <w:szCs w:val="22"/>
        </w:rPr>
        <w:t>预算金额（元）：2818300</w:t>
      </w:r>
    </w:p>
    <w:p>
      <w:pPr>
        <w:widowControl/>
        <w:spacing w:before="60" w:after="60" w:line="360" w:lineRule="exact"/>
        <w:ind w:right="60" w:firstLine="418" w:firstLineChars="190"/>
        <w:jc w:val="left"/>
        <w:rPr>
          <w:rFonts w:ascii="宋体" w:hAnsi="宋体" w:cs="宋体"/>
          <w:bCs/>
          <w:color w:val="auto"/>
          <w:kern w:val="0"/>
          <w:sz w:val="22"/>
          <w:szCs w:val="22"/>
        </w:rPr>
      </w:pPr>
      <w:r>
        <w:rPr>
          <w:rFonts w:hint="eastAsia" w:ascii="宋体" w:hAnsi="宋体" w:cs="宋体"/>
          <w:bCs/>
          <w:color w:val="auto"/>
          <w:kern w:val="0"/>
          <w:sz w:val="22"/>
          <w:szCs w:val="22"/>
        </w:rPr>
        <w:t>简要规格描述：</w:t>
      </w:r>
      <w:r>
        <w:rPr>
          <w:rFonts w:hint="eastAsia" w:ascii="宋体" w:hAnsi="宋体" w:cs="宋体"/>
          <w:color w:val="auto"/>
          <w:sz w:val="22"/>
        </w:rPr>
        <w:t>信息化技术外</w:t>
      </w:r>
      <w:r>
        <w:rPr>
          <w:rFonts w:hint="eastAsia" w:ascii="宋体" w:hAnsi="宋体" w:cs="宋体"/>
          <w:bCs/>
          <w:color w:val="auto"/>
          <w:kern w:val="0"/>
          <w:sz w:val="22"/>
          <w:szCs w:val="22"/>
        </w:rPr>
        <w:t>包服务、智慧交通专网及云服务器租用、数据中心容灾服务等，具体采购内容及要求详见招标文件相关部分。</w:t>
      </w:r>
    </w:p>
    <w:p>
      <w:pPr>
        <w:widowControl/>
        <w:spacing w:before="60" w:after="60" w:line="360" w:lineRule="exact"/>
        <w:ind w:right="60" w:firstLine="418" w:firstLineChars="190"/>
        <w:jc w:val="left"/>
        <w:rPr>
          <w:rFonts w:ascii="宋体" w:hAnsi="宋体" w:cs="宋体"/>
          <w:bCs/>
          <w:color w:val="auto"/>
          <w:kern w:val="0"/>
          <w:sz w:val="22"/>
          <w:szCs w:val="22"/>
        </w:rPr>
      </w:pPr>
      <w:r>
        <w:rPr>
          <w:rFonts w:hint="eastAsia" w:ascii="宋体" w:hAnsi="宋体" w:cs="宋体"/>
          <w:bCs/>
          <w:color w:val="auto"/>
          <w:kern w:val="0"/>
          <w:sz w:val="22"/>
          <w:szCs w:val="22"/>
        </w:rPr>
        <w:t>合同履约期限：1年。</w:t>
      </w:r>
    </w:p>
    <w:p>
      <w:pPr>
        <w:widowControl/>
        <w:spacing w:before="60" w:after="60" w:line="360" w:lineRule="exact"/>
        <w:ind w:right="60" w:firstLine="418" w:firstLineChars="190"/>
        <w:jc w:val="left"/>
        <w:rPr>
          <w:rFonts w:ascii="宋体" w:hAnsi="宋体" w:cs="宋体"/>
          <w:bCs/>
          <w:color w:val="auto"/>
          <w:kern w:val="0"/>
          <w:sz w:val="22"/>
          <w:szCs w:val="22"/>
        </w:rPr>
      </w:pPr>
      <w:r>
        <w:rPr>
          <w:rFonts w:hint="eastAsia" w:ascii="宋体" w:hAnsi="宋体" w:cs="宋体"/>
          <w:color w:val="auto"/>
          <w:kern w:val="0"/>
          <w:sz w:val="22"/>
          <w:szCs w:val="22"/>
        </w:rPr>
        <w:t>本项目（是）接受联合体投标。</w:t>
      </w:r>
    </w:p>
    <w:p>
      <w:pPr>
        <w:widowControl/>
        <w:spacing w:before="60" w:after="60" w:line="360" w:lineRule="exact"/>
        <w:ind w:left="60" w:right="60"/>
        <w:jc w:val="left"/>
        <w:rPr>
          <w:rFonts w:ascii="宋体" w:hAnsi="宋体" w:cs="宋体"/>
          <w:color w:val="auto"/>
          <w:kern w:val="0"/>
          <w:sz w:val="22"/>
          <w:szCs w:val="22"/>
        </w:rPr>
      </w:pPr>
      <w:r>
        <w:rPr>
          <w:rFonts w:hint="eastAsia" w:ascii="宋体" w:hAnsi="宋体" w:cs="宋体"/>
          <w:b/>
          <w:color w:val="auto"/>
          <w:kern w:val="0"/>
          <w:sz w:val="22"/>
          <w:szCs w:val="22"/>
        </w:rPr>
        <w:t>二、申请人的资格要求</w:t>
      </w:r>
    </w:p>
    <w:p>
      <w:pPr>
        <w:widowControl/>
        <w:spacing w:before="60" w:after="60" w:line="360" w:lineRule="exact"/>
        <w:ind w:left="708" w:leftChars="285" w:right="60" w:hanging="110" w:hangingChars="50"/>
        <w:jc w:val="left"/>
        <w:rPr>
          <w:rFonts w:ascii="宋体" w:hAnsi="宋体" w:cs="hakuyoxingshu7000"/>
          <w:bCs/>
          <w:color w:val="auto"/>
          <w:kern w:val="0"/>
          <w:sz w:val="22"/>
          <w:szCs w:val="22"/>
        </w:rPr>
      </w:pPr>
      <w:r>
        <w:rPr>
          <w:rFonts w:hint="eastAsia" w:ascii="宋体" w:hAnsi="宋体" w:cs="hakuyoxingshu7000"/>
          <w:bCs/>
          <w:color w:val="auto"/>
          <w:kern w:val="0"/>
          <w:sz w:val="22"/>
          <w:szCs w:val="22"/>
        </w:rPr>
        <w:t>1.满足《中华人民共和国政府采购法》第二十二条的规定；未被“信用中国”（www.creditchina.gov.cn)、中国政府采购网（www.ccgp.gov.cn）列入失信被执行人、重大税收违法案件当事人名单、政府采购严重违法失信行为记录名单。</w:t>
      </w:r>
    </w:p>
    <w:p>
      <w:pPr>
        <w:widowControl/>
        <w:spacing w:before="60" w:after="60" w:line="360" w:lineRule="exact"/>
        <w:ind w:left="708" w:leftChars="285" w:right="60" w:hanging="110" w:hangingChars="50"/>
        <w:jc w:val="left"/>
        <w:rPr>
          <w:rFonts w:ascii="宋体" w:hAnsi="宋体" w:cs="新宋体"/>
          <w:bCs/>
          <w:color w:val="auto"/>
          <w:sz w:val="22"/>
        </w:rPr>
      </w:pPr>
      <w:r>
        <w:rPr>
          <w:rFonts w:hint="eastAsia" w:ascii="宋体" w:hAnsi="宋体" w:cs="hakuyoxingshu7000"/>
          <w:bCs/>
          <w:color w:val="auto"/>
          <w:kern w:val="0"/>
          <w:sz w:val="22"/>
          <w:szCs w:val="22"/>
        </w:rPr>
        <w:t>2.落实政府采购政策需满足的资格要求：无；</w:t>
      </w:r>
    </w:p>
    <w:p>
      <w:pPr>
        <w:widowControl/>
        <w:spacing w:before="60" w:after="60" w:line="360" w:lineRule="exact"/>
        <w:ind w:left="708" w:leftChars="285" w:right="60" w:hanging="110" w:hangingChars="50"/>
        <w:jc w:val="left"/>
        <w:rPr>
          <w:rFonts w:ascii="宋体" w:hAnsi="宋体" w:cs="hakuyoxingshu7000"/>
          <w:bCs/>
          <w:color w:val="auto"/>
          <w:kern w:val="0"/>
          <w:sz w:val="22"/>
          <w:szCs w:val="22"/>
        </w:rPr>
      </w:pPr>
      <w:r>
        <w:rPr>
          <w:rFonts w:hint="eastAsia" w:ascii="宋体" w:hAnsi="宋体" w:cs="hakuyoxingshu7000"/>
          <w:bCs/>
          <w:color w:val="auto"/>
          <w:kern w:val="0"/>
          <w:sz w:val="22"/>
          <w:szCs w:val="22"/>
        </w:rPr>
        <w:t>3.本项目的特定资格要求：</w:t>
      </w:r>
      <w:r>
        <w:rPr>
          <w:rFonts w:hint="eastAsia" w:ascii="宋体" w:hAnsi="宋体" w:cs="宋体"/>
          <w:bCs/>
          <w:color w:val="auto"/>
          <w:kern w:val="0"/>
          <w:sz w:val="22"/>
          <w:szCs w:val="22"/>
        </w:rPr>
        <w:t>无</w:t>
      </w:r>
      <w:r>
        <w:rPr>
          <w:rFonts w:hint="eastAsia" w:ascii="宋体" w:hAnsi="宋体" w:cs="hakuyoxingshu7000"/>
          <w:bCs/>
          <w:color w:val="auto"/>
          <w:kern w:val="0"/>
          <w:sz w:val="22"/>
          <w:szCs w:val="22"/>
        </w:rPr>
        <w:t>。</w:t>
      </w:r>
    </w:p>
    <w:p>
      <w:pPr>
        <w:widowControl/>
        <w:spacing w:before="60" w:after="60" w:line="360" w:lineRule="exact"/>
        <w:ind w:left="60" w:right="60"/>
        <w:jc w:val="left"/>
        <w:rPr>
          <w:rFonts w:ascii="宋体" w:hAnsi="宋体" w:cs="宋体"/>
          <w:b/>
          <w:color w:val="auto"/>
          <w:kern w:val="0"/>
          <w:sz w:val="22"/>
          <w:szCs w:val="22"/>
        </w:rPr>
      </w:pPr>
      <w:r>
        <w:rPr>
          <w:rFonts w:hint="eastAsia" w:ascii="宋体" w:hAnsi="宋体" w:cs="宋体"/>
          <w:b/>
          <w:color w:val="auto"/>
          <w:kern w:val="0"/>
          <w:sz w:val="22"/>
          <w:szCs w:val="22"/>
        </w:rPr>
        <w:t>三、获取招标文件</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1.时间：公告发布之日起至投标截止时间前，每天上午08:30-11:30，下午14:30-17:30（节假日除外）。</w:t>
      </w:r>
    </w:p>
    <w:p>
      <w:pPr>
        <w:widowControl/>
        <w:spacing w:before="60" w:after="60" w:line="360" w:lineRule="exact"/>
        <w:ind w:right="60" w:firstLine="440"/>
        <w:jc w:val="left"/>
        <w:rPr>
          <w:rFonts w:ascii="宋体" w:hAnsi="宋体" w:cs="hakuyoxingshu7000"/>
          <w:color w:val="auto"/>
          <w:kern w:val="0"/>
          <w:sz w:val="22"/>
          <w:szCs w:val="22"/>
        </w:rPr>
      </w:pPr>
      <w:r>
        <w:rPr>
          <w:rFonts w:hint="eastAsia" w:ascii="宋体" w:hAnsi="宋体" w:cs="宋体"/>
          <w:color w:val="auto"/>
          <w:kern w:val="0"/>
          <w:sz w:val="22"/>
          <w:szCs w:val="22"/>
        </w:rPr>
        <w:t>2.地点：</w:t>
      </w:r>
      <w:r>
        <w:rPr>
          <w:rFonts w:hint="eastAsia" w:ascii="宋体" w:hAnsi="宋体" w:cs="hakuyoxingshu7000"/>
          <w:color w:val="auto"/>
          <w:kern w:val="0"/>
          <w:sz w:val="22"/>
          <w:szCs w:val="22"/>
        </w:rPr>
        <w:t>在政采云平台（www.zcygov.cn）</w:t>
      </w:r>
    </w:p>
    <w:p>
      <w:pPr>
        <w:widowControl/>
        <w:spacing w:before="60" w:after="60" w:line="360" w:lineRule="exact"/>
        <w:ind w:right="60" w:firstLine="440"/>
        <w:jc w:val="left"/>
        <w:rPr>
          <w:rFonts w:ascii="宋体" w:hAnsi="宋体"/>
          <w:color w:val="auto"/>
          <w:sz w:val="22"/>
          <w:szCs w:val="22"/>
        </w:rPr>
      </w:pPr>
      <w:r>
        <w:rPr>
          <w:rFonts w:hint="eastAsia" w:ascii="宋体" w:hAnsi="宋体" w:cs="宋体"/>
          <w:color w:val="auto"/>
          <w:kern w:val="0"/>
          <w:sz w:val="22"/>
          <w:szCs w:val="22"/>
        </w:rPr>
        <w:t>3.方式：</w:t>
      </w:r>
      <w:r>
        <w:rPr>
          <w:rFonts w:ascii="宋体" w:hAnsi="宋体"/>
          <w:color w:val="auto"/>
          <w:sz w:val="22"/>
          <w:szCs w:val="22"/>
        </w:rPr>
        <w:t>潜在投标人登陆政采云平台</w:t>
      </w:r>
      <w:r>
        <w:rPr>
          <w:rFonts w:hint="eastAsia" w:ascii="宋体" w:hAnsi="宋体" w:cs="hakuyoxingshu7000"/>
          <w:color w:val="auto"/>
          <w:kern w:val="0"/>
          <w:sz w:val="22"/>
          <w:szCs w:val="22"/>
        </w:rPr>
        <w:t>（www.zcygov.cn）</w:t>
      </w:r>
      <w:r>
        <w:rPr>
          <w:rFonts w:ascii="宋体" w:hAnsi="宋体"/>
          <w:color w:val="auto"/>
          <w:sz w:val="22"/>
          <w:szCs w:val="22"/>
        </w:rPr>
        <w:t>，在线申请获取</w:t>
      </w:r>
      <w:r>
        <w:rPr>
          <w:rFonts w:hint="eastAsia" w:ascii="宋体" w:hAnsi="宋体"/>
          <w:color w:val="auto"/>
          <w:sz w:val="22"/>
          <w:szCs w:val="22"/>
        </w:rPr>
        <w:t>采购文件</w:t>
      </w:r>
      <w:r>
        <w:rPr>
          <w:rFonts w:ascii="宋体" w:hAnsi="宋体"/>
          <w:color w:val="auto"/>
          <w:sz w:val="22"/>
          <w:szCs w:val="22"/>
        </w:rPr>
        <w:t>（</w:t>
      </w:r>
      <w:r>
        <w:rPr>
          <w:rFonts w:hint="eastAsia" w:ascii="宋体" w:hAnsi="宋体"/>
          <w:color w:val="auto"/>
          <w:sz w:val="22"/>
          <w:szCs w:val="22"/>
        </w:rPr>
        <w:t>进入</w:t>
      </w:r>
      <w:r>
        <w:rPr>
          <w:rFonts w:hint="eastAsia" w:ascii="宋体"/>
          <w:color w:val="auto"/>
          <w:sz w:val="22"/>
          <w:szCs w:val="22"/>
        </w:rPr>
        <w:t>“</w:t>
      </w:r>
      <w:r>
        <w:rPr>
          <w:rFonts w:hint="eastAsia" w:ascii="宋体" w:hAnsi="宋体"/>
          <w:color w:val="auto"/>
          <w:sz w:val="22"/>
          <w:szCs w:val="22"/>
        </w:rPr>
        <w:t>项目采购</w:t>
      </w:r>
      <w:r>
        <w:rPr>
          <w:rFonts w:hint="eastAsia" w:ascii="宋体"/>
          <w:color w:val="auto"/>
          <w:sz w:val="22"/>
          <w:szCs w:val="22"/>
        </w:rPr>
        <w:t>”</w:t>
      </w:r>
      <w:r>
        <w:rPr>
          <w:rFonts w:hint="eastAsia" w:ascii="宋体" w:hAnsi="宋体"/>
          <w:color w:val="auto"/>
          <w:sz w:val="22"/>
          <w:szCs w:val="22"/>
        </w:rPr>
        <w:t>应用，在获取采购文件菜单中选择项目，申请获取采购文件；仅需浏览采购文件的投标人可点击</w:t>
      </w:r>
      <w:r>
        <w:rPr>
          <w:rFonts w:hint="eastAsia" w:ascii="宋体"/>
          <w:color w:val="auto"/>
          <w:sz w:val="22"/>
          <w:szCs w:val="22"/>
        </w:rPr>
        <w:t>“</w:t>
      </w:r>
      <w:r>
        <w:rPr>
          <w:rFonts w:hint="eastAsia" w:ascii="宋体" w:hAnsi="宋体"/>
          <w:color w:val="auto"/>
          <w:sz w:val="22"/>
          <w:szCs w:val="22"/>
        </w:rPr>
        <w:t>游客，浏览采购文件</w:t>
      </w:r>
      <w:r>
        <w:rPr>
          <w:rFonts w:hint="eastAsia" w:ascii="宋体"/>
          <w:color w:val="auto"/>
          <w:sz w:val="22"/>
          <w:szCs w:val="22"/>
        </w:rPr>
        <w:t>”</w:t>
      </w:r>
      <w:r>
        <w:rPr>
          <w:rFonts w:hint="eastAsia" w:ascii="宋体" w:hAnsi="宋体"/>
          <w:color w:val="auto"/>
          <w:sz w:val="22"/>
          <w:szCs w:val="22"/>
        </w:rPr>
        <w:t>直接下载采购文件浏览</w:t>
      </w:r>
      <w:r>
        <w:rPr>
          <w:rFonts w:ascii="宋体" w:hAnsi="宋体"/>
          <w:color w:val="auto"/>
          <w:sz w:val="22"/>
          <w:szCs w:val="22"/>
        </w:rPr>
        <w:t>）。</w:t>
      </w:r>
    </w:p>
    <w:p>
      <w:pPr>
        <w:widowControl/>
        <w:spacing w:before="60" w:after="60" w:line="360" w:lineRule="exact"/>
        <w:ind w:right="60" w:firstLine="440"/>
        <w:jc w:val="left"/>
        <w:rPr>
          <w:rFonts w:ascii="宋体"/>
          <w:color w:val="auto"/>
          <w:sz w:val="22"/>
          <w:szCs w:val="22"/>
        </w:rPr>
      </w:pPr>
      <w:r>
        <w:rPr>
          <w:rFonts w:hint="eastAsia" w:ascii="宋体" w:hAnsi="宋体" w:cs="宋体"/>
          <w:b/>
          <w:color w:val="auto"/>
          <w:kern w:val="0"/>
          <w:sz w:val="22"/>
          <w:szCs w:val="22"/>
        </w:rPr>
        <w:t>投标人只有在“政采云平台”完成获取采购文件申请并下载了采购文件后才视作依法获取采购文件（法律法规所指的投标人获取采购文件时间以投标人完成获取采购文件申请后下载采购文件的时间为准）。未依法获取采购文件的潜在投标人对采购文件提起质疑投诉，不予受理。</w:t>
      </w:r>
    </w:p>
    <w:p>
      <w:pPr>
        <w:widowControl/>
        <w:spacing w:before="60" w:after="60" w:line="360" w:lineRule="exact"/>
        <w:ind w:right="60" w:firstLine="440"/>
        <w:jc w:val="left"/>
        <w:rPr>
          <w:rFonts w:ascii="宋体" w:cs="宋体"/>
          <w:b/>
          <w:color w:val="auto"/>
          <w:kern w:val="0"/>
          <w:sz w:val="22"/>
          <w:szCs w:val="22"/>
        </w:rPr>
      </w:pPr>
      <w:r>
        <w:rPr>
          <w:rFonts w:ascii="宋体" w:hAnsi="宋体" w:cs="宋体"/>
          <w:color w:val="auto"/>
          <w:kern w:val="0"/>
          <w:sz w:val="22"/>
          <w:szCs w:val="22"/>
        </w:rPr>
        <w:t>4</w:t>
      </w:r>
      <w:r>
        <w:rPr>
          <w:rFonts w:hint="eastAsia" w:ascii="宋体" w:hAnsi="宋体" w:cs="宋体"/>
          <w:color w:val="auto"/>
          <w:kern w:val="0"/>
          <w:sz w:val="22"/>
          <w:szCs w:val="22"/>
        </w:rPr>
        <w:t>．售价（元）：0</w:t>
      </w:r>
    </w:p>
    <w:p>
      <w:pPr>
        <w:widowControl/>
        <w:spacing w:before="60" w:after="60" w:line="360" w:lineRule="exact"/>
        <w:ind w:left="60" w:right="60"/>
        <w:jc w:val="left"/>
        <w:rPr>
          <w:rFonts w:ascii="宋体" w:hAnsi="宋体" w:cs="宋体"/>
          <w:b/>
          <w:bCs/>
          <w:color w:val="auto"/>
          <w:kern w:val="0"/>
          <w:sz w:val="22"/>
          <w:szCs w:val="22"/>
        </w:rPr>
      </w:pPr>
      <w:r>
        <w:rPr>
          <w:rFonts w:hint="eastAsia" w:ascii="宋体" w:hAnsi="宋体" w:cs="宋体"/>
          <w:b/>
          <w:bCs/>
          <w:color w:val="auto"/>
          <w:kern w:val="0"/>
          <w:sz w:val="22"/>
          <w:szCs w:val="22"/>
        </w:rPr>
        <w:t>四、提交投标文件截止时间、开标时间和地点</w:t>
      </w:r>
    </w:p>
    <w:p>
      <w:pPr>
        <w:widowControl/>
        <w:spacing w:before="60" w:after="60" w:line="360" w:lineRule="exact"/>
        <w:ind w:left="61" w:leftChars="29" w:right="60" w:firstLine="431" w:firstLineChars="196"/>
        <w:jc w:val="left"/>
        <w:rPr>
          <w:rFonts w:ascii="宋体" w:hAnsi="宋体" w:cs="宋体"/>
          <w:color w:val="auto"/>
          <w:kern w:val="0"/>
          <w:sz w:val="22"/>
          <w:szCs w:val="22"/>
        </w:rPr>
      </w:pPr>
      <w:r>
        <w:rPr>
          <w:rFonts w:hint="eastAsia" w:ascii="宋体" w:hAnsi="宋体" w:cs="宋体"/>
          <w:color w:val="auto"/>
          <w:kern w:val="0"/>
          <w:sz w:val="22"/>
          <w:szCs w:val="22"/>
        </w:rPr>
        <w:t>投标文件提交截止时间：2024年</w:t>
      </w: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月</w:t>
      </w:r>
      <w:r>
        <w:rPr>
          <w:rFonts w:hint="eastAsia" w:ascii="宋体" w:hAnsi="宋体" w:cs="宋体"/>
          <w:color w:val="auto"/>
          <w:kern w:val="0"/>
          <w:sz w:val="22"/>
          <w:szCs w:val="22"/>
          <w:lang w:val="en-US" w:eastAsia="zh-CN"/>
        </w:rPr>
        <w:t>16</w:t>
      </w:r>
      <w:r>
        <w:rPr>
          <w:rFonts w:hint="eastAsia" w:ascii="宋体" w:hAnsi="宋体" w:cs="宋体"/>
          <w:color w:val="auto"/>
          <w:kern w:val="0"/>
          <w:sz w:val="22"/>
          <w:szCs w:val="22"/>
        </w:rPr>
        <w:t>日14:30（北京时间）</w:t>
      </w:r>
    </w:p>
    <w:p>
      <w:pPr>
        <w:widowControl/>
        <w:spacing w:before="60" w:after="60" w:line="360" w:lineRule="exact"/>
        <w:ind w:left="61" w:leftChars="29" w:right="60" w:firstLine="431" w:firstLineChars="196"/>
        <w:jc w:val="left"/>
        <w:rPr>
          <w:rFonts w:ascii="宋体" w:hAnsi="宋体" w:cs="宋体"/>
          <w:color w:val="auto"/>
          <w:kern w:val="0"/>
          <w:sz w:val="22"/>
          <w:szCs w:val="22"/>
        </w:rPr>
      </w:pPr>
      <w:r>
        <w:rPr>
          <w:rFonts w:hint="eastAsia" w:ascii="宋体" w:hAnsi="宋体" w:cs="宋体"/>
          <w:color w:val="auto"/>
          <w:kern w:val="0"/>
          <w:sz w:val="22"/>
          <w:szCs w:val="22"/>
        </w:rPr>
        <w:t xml:space="preserve">投标地点（网址）：政府采购云平台（www.zcygov.cn） </w:t>
      </w:r>
    </w:p>
    <w:p>
      <w:pPr>
        <w:widowControl/>
        <w:spacing w:before="60" w:after="60" w:line="360" w:lineRule="exact"/>
        <w:ind w:left="61" w:leftChars="29" w:right="60" w:firstLine="431" w:firstLineChars="196"/>
        <w:jc w:val="left"/>
        <w:rPr>
          <w:rFonts w:ascii="宋体" w:hAnsi="宋体" w:cs="宋体"/>
          <w:color w:val="auto"/>
          <w:kern w:val="0"/>
          <w:sz w:val="22"/>
          <w:szCs w:val="22"/>
        </w:rPr>
      </w:pPr>
      <w:r>
        <w:rPr>
          <w:rFonts w:hint="eastAsia" w:ascii="宋体" w:hAnsi="宋体" w:cs="宋体"/>
          <w:color w:val="auto"/>
          <w:kern w:val="0"/>
          <w:sz w:val="22"/>
          <w:szCs w:val="22"/>
        </w:rPr>
        <w:t>开标时间：2024年</w:t>
      </w:r>
      <w:r>
        <w:rPr>
          <w:rFonts w:hint="eastAsia" w:ascii="宋体" w:hAnsi="宋体" w:cs="宋体"/>
          <w:color w:val="auto"/>
          <w:kern w:val="0"/>
          <w:sz w:val="22"/>
          <w:szCs w:val="22"/>
          <w:lang w:val="en-US" w:eastAsia="zh-CN"/>
        </w:rPr>
        <w:t>4</w:t>
      </w:r>
      <w:r>
        <w:rPr>
          <w:rFonts w:hint="eastAsia" w:ascii="宋体" w:hAnsi="宋体" w:cs="宋体"/>
          <w:color w:val="auto"/>
          <w:kern w:val="0"/>
          <w:sz w:val="22"/>
          <w:szCs w:val="22"/>
        </w:rPr>
        <w:t>月</w:t>
      </w:r>
      <w:r>
        <w:rPr>
          <w:rFonts w:hint="eastAsia" w:ascii="宋体" w:hAnsi="宋体" w:cs="宋体"/>
          <w:color w:val="auto"/>
          <w:kern w:val="0"/>
          <w:sz w:val="22"/>
          <w:szCs w:val="22"/>
          <w:lang w:val="en-US" w:eastAsia="zh-CN"/>
        </w:rPr>
        <w:t>16</w:t>
      </w:r>
      <w:r>
        <w:rPr>
          <w:rFonts w:hint="eastAsia" w:ascii="宋体" w:hAnsi="宋体" w:cs="宋体"/>
          <w:color w:val="auto"/>
          <w:kern w:val="0"/>
          <w:sz w:val="22"/>
          <w:szCs w:val="22"/>
        </w:rPr>
        <w:t>日14:30</w:t>
      </w:r>
    </w:p>
    <w:p>
      <w:pPr>
        <w:widowControl/>
        <w:spacing w:before="60" w:after="60" w:line="360" w:lineRule="exact"/>
        <w:ind w:left="61" w:leftChars="29" w:right="60" w:firstLine="431" w:firstLineChars="196"/>
        <w:jc w:val="left"/>
        <w:rPr>
          <w:rFonts w:ascii="宋体" w:hAnsi="宋体" w:cs="宋体"/>
          <w:color w:val="auto"/>
          <w:kern w:val="0"/>
          <w:sz w:val="22"/>
          <w:szCs w:val="22"/>
        </w:rPr>
      </w:pPr>
      <w:r>
        <w:rPr>
          <w:rFonts w:hint="eastAsia" w:ascii="宋体" w:hAnsi="宋体" w:cs="宋体"/>
          <w:color w:val="auto"/>
          <w:kern w:val="0"/>
          <w:sz w:val="22"/>
          <w:szCs w:val="22"/>
        </w:rPr>
        <w:t>开标地点（网址）：政府采购云平台（</w:t>
      </w:r>
      <w:r>
        <w:rPr>
          <w:rFonts w:ascii="宋体" w:hAnsi="宋体" w:cs="宋体"/>
          <w:color w:val="auto"/>
          <w:kern w:val="0"/>
          <w:sz w:val="22"/>
          <w:szCs w:val="22"/>
        </w:rPr>
        <w:t>www.zcygov.cn</w:t>
      </w:r>
      <w:r>
        <w:rPr>
          <w:rFonts w:hint="eastAsia" w:ascii="宋体" w:hAnsi="宋体" w:cs="宋体"/>
          <w:color w:val="auto"/>
          <w:kern w:val="0"/>
          <w:sz w:val="22"/>
          <w:szCs w:val="22"/>
        </w:rPr>
        <w:t>）</w:t>
      </w:r>
    </w:p>
    <w:p>
      <w:pPr>
        <w:widowControl/>
        <w:spacing w:before="60" w:after="60" w:line="360" w:lineRule="exact"/>
        <w:ind w:left="60" w:right="60"/>
        <w:jc w:val="left"/>
        <w:rPr>
          <w:rFonts w:ascii="宋体" w:hAnsi="宋体" w:cs="宋体"/>
          <w:b/>
          <w:color w:val="auto"/>
          <w:kern w:val="0"/>
          <w:sz w:val="22"/>
          <w:szCs w:val="22"/>
        </w:rPr>
      </w:pPr>
      <w:r>
        <w:rPr>
          <w:rFonts w:hint="eastAsia" w:ascii="宋体" w:hAnsi="宋体" w:cs="宋体"/>
          <w:b/>
          <w:color w:val="auto"/>
          <w:kern w:val="0"/>
          <w:sz w:val="22"/>
          <w:szCs w:val="22"/>
        </w:rPr>
        <w:t>五、公告期限</w:t>
      </w:r>
    </w:p>
    <w:p>
      <w:pPr>
        <w:widowControl/>
        <w:spacing w:before="60" w:after="60" w:line="360" w:lineRule="exact"/>
        <w:ind w:left="61" w:leftChars="29" w:right="60" w:firstLine="323" w:firstLineChars="147"/>
        <w:jc w:val="left"/>
        <w:rPr>
          <w:rFonts w:ascii="宋体" w:hAnsi="宋体" w:cs="宋体"/>
          <w:color w:val="auto"/>
          <w:kern w:val="0"/>
          <w:sz w:val="22"/>
          <w:szCs w:val="22"/>
        </w:rPr>
      </w:pPr>
      <w:r>
        <w:rPr>
          <w:rFonts w:hint="eastAsia" w:ascii="宋体" w:hAnsi="宋体" w:cs="宋体"/>
          <w:color w:val="auto"/>
          <w:kern w:val="0"/>
          <w:sz w:val="22"/>
          <w:szCs w:val="22"/>
        </w:rPr>
        <w:t>自本公告发布之日起5个工作日。</w:t>
      </w:r>
    </w:p>
    <w:p>
      <w:pPr>
        <w:widowControl/>
        <w:spacing w:before="60" w:after="60" w:line="360" w:lineRule="exact"/>
        <w:ind w:left="60" w:right="60"/>
        <w:jc w:val="left"/>
        <w:rPr>
          <w:rFonts w:ascii="宋体" w:hAnsi="宋体" w:cs="宋体"/>
          <w:b/>
          <w:color w:val="auto"/>
          <w:kern w:val="0"/>
          <w:sz w:val="22"/>
          <w:szCs w:val="22"/>
        </w:rPr>
      </w:pPr>
      <w:r>
        <w:rPr>
          <w:rFonts w:hint="eastAsia" w:ascii="宋体" w:hAnsi="宋体" w:cs="宋体"/>
          <w:b/>
          <w:color w:val="auto"/>
          <w:kern w:val="0"/>
          <w:sz w:val="22"/>
          <w:szCs w:val="22"/>
        </w:rPr>
        <w:t>六、其他补充事宜</w:t>
      </w:r>
    </w:p>
    <w:p>
      <w:pPr>
        <w:widowControl/>
        <w:spacing w:line="36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1.投标人认为招标文件使自己的权益受到损害的，可以自获取招标文件之日或者招标公告期限届满之日（公告期限届满后获取招标文件的，以公告期限届满之日为准）起7个工作日内，对招标文件需求的以书面形式向采购人提出质疑，对其他内容的以书面形式向采购人和采购代理机构提出质疑。质疑人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36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2.《浙江省财政厅关于进一步加大政府采购支持中小企业力度助力扎实稳住经济的通知》(浙财采监〔2022〕8号)、《浙江省财政厅关于进一步发挥政府采购政策功能全力推动经济稳进提质的通知》（浙财采监（2022）3号）、《浙江省财政厅关于进一步促进政府采购公平竞争打造最优营商环境的通知》（浙财采监（2021）22号）已分别于2022年7月1日、2022年1月29日和2022年2月1日开始实施，此前有关规定与上述文件内容不一致的，按上述文件要求执行。</w:t>
      </w:r>
    </w:p>
    <w:p>
      <w:pPr>
        <w:widowControl/>
        <w:spacing w:line="36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widowControl/>
        <w:spacing w:line="36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4.其他事项：（1）电子招投标：本项目以数据电文形式，依托“政采云平台（www.zcygov.cn）”进行招投标活动，各投标人应按照本项目招标文件和政采云平台的要求编制、加密并递交投标文件，不接受纸质投标文件。</w:t>
      </w:r>
    </w:p>
    <w:p>
      <w:pPr>
        <w:widowControl/>
        <w:spacing w:line="360" w:lineRule="exact"/>
        <w:jc w:val="left"/>
        <w:rPr>
          <w:rFonts w:ascii="宋体" w:hAnsi="宋体" w:cs="宋体"/>
          <w:color w:val="auto"/>
          <w:sz w:val="22"/>
          <w:szCs w:val="22"/>
        </w:rPr>
      </w:pPr>
      <w:r>
        <w:rPr>
          <w:rFonts w:hint="eastAsia" w:ascii="宋体" w:hAnsi="宋体" w:cs="宋体"/>
          <w:color w:val="auto"/>
          <w:sz w:val="22"/>
          <w:szCs w:val="22"/>
        </w:rPr>
        <w:t>（2）投标准备：</w:t>
      </w:r>
    </w:p>
    <w:p>
      <w:pPr>
        <w:widowControl/>
        <w:spacing w:line="360" w:lineRule="exact"/>
        <w:jc w:val="left"/>
        <w:rPr>
          <w:rFonts w:ascii="宋体" w:hAnsi="宋体" w:cs="宋体"/>
          <w:color w:val="auto"/>
          <w:sz w:val="22"/>
          <w:szCs w:val="22"/>
        </w:rPr>
      </w:pPr>
      <w:r>
        <w:rPr>
          <w:rFonts w:hint="eastAsia" w:ascii="宋体" w:hAnsi="宋体" w:cs="宋体"/>
          <w:color w:val="auto"/>
          <w:sz w:val="22"/>
          <w:szCs w:val="22"/>
        </w:rPr>
        <w:t>1)注册账号--点击“商家入驻”，进行政府采购供应商资料填写，通过审核后可成为正式供应商；</w:t>
      </w:r>
    </w:p>
    <w:p>
      <w:pPr>
        <w:widowControl/>
        <w:spacing w:line="360" w:lineRule="exact"/>
        <w:jc w:val="left"/>
        <w:rPr>
          <w:rFonts w:ascii="宋体" w:hAnsi="宋体" w:cs="宋体"/>
          <w:color w:val="auto"/>
          <w:sz w:val="22"/>
          <w:szCs w:val="22"/>
        </w:rPr>
      </w:pPr>
      <w:r>
        <w:rPr>
          <w:rFonts w:hint="eastAsia" w:ascii="宋体" w:hAnsi="宋体" w:cs="宋体"/>
          <w:color w:val="auto"/>
          <w:sz w:val="22"/>
          <w:szCs w:val="22"/>
        </w:rPr>
        <w:t>2)申领CA数字证书---申领流程详见“浙江政府采购网-下载专区-电子交易客户端-CA驱动和申领流程”：投标人应在开标前完成CA数字证书办理，完成CA数字证书办理预计1-2周左右，各投标人应充分考虑办理时间等因素。</w:t>
      </w:r>
    </w:p>
    <w:p>
      <w:pPr>
        <w:widowControl/>
        <w:spacing w:line="360" w:lineRule="exact"/>
        <w:jc w:val="left"/>
        <w:rPr>
          <w:rFonts w:ascii="宋体" w:hAnsi="宋体" w:cs="宋体"/>
          <w:color w:val="auto"/>
          <w:sz w:val="22"/>
          <w:szCs w:val="22"/>
        </w:rPr>
      </w:pPr>
      <w:r>
        <w:rPr>
          <w:rFonts w:hint="eastAsia" w:ascii="宋体" w:hAnsi="宋体" w:cs="宋体"/>
          <w:color w:val="auto"/>
          <w:sz w:val="22"/>
          <w:szCs w:val="22"/>
        </w:rPr>
        <w:t>办理流程详见:《CA证书办理操作指南》https://service.zcygov.cn/#/knowledges/cm2eqWwBFdiHxlNd_otq/lwV6GXABiyELHE-oVMj3</w:t>
      </w:r>
    </w:p>
    <w:p>
      <w:pPr>
        <w:widowControl/>
        <w:spacing w:line="360" w:lineRule="exact"/>
        <w:jc w:val="left"/>
        <w:rPr>
          <w:rFonts w:ascii="宋体" w:hAnsi="宋体" w:cs="宋体"/>
          <w:color w:val="auto"/>
          <w:sz w:val="22"/>
          <w:szCs w:val="22"/>
        </w:rPr>
      </w:pPr>
      <w:r>
        <w:rPr>
          <w:rFonts w:hint="eastAsia" w:ascii="宋体" w:hAnsi="宋体" w:cs="宋体"/>
          <w:color w:val="auto"/>
          <w:sz w:val="22"/>
          <w:szCs w:val="22"/>
        </w:rPr>
        <w:t>CA热点问题汇总：https://service.zcygov.cn/#/knowledges/depk120BkjoVoiMyPhAJ/8QejCnEBiyELHE-ohzp-</w:t>
      </w:r>
    </w:p>
    <w:p>
      <w:pPr>
        <w:widowControl/>
        <w:spacing w:line="360" w:lineRule="exact"/>
        <w:jc w:val="left"/>
        <w:rPr>
          <w:rFonts w:ascii="宋体" w:hAnsi="宋体" w:cs="宋体"/>
          <w:color w:val="auto"/>
          <w:sz w:val="22"/>
          <w:szCs w:val="22"/>
        </w:rPr>
      </w:pPr>
      <w:r>
        <w:rPr>
          <w:rFonts w:hint="eastAsia" w:ascii="宋体" w:hAnsi="宋体" w:cs="宋体"/>
          <w:color w:val="auto"/>
          <w:sz w:val="22"/>
          <w:szCs w:val="22"/>
        </w:rPr>
        <w:t>3)安装“政采云电子交易客户端”----投标人通过政采云平台电子投标工具制作投标文件，前往“浙江政府采购网-下载专区-电子交易客户端”进行下载并安装。政采云电子交易客户端：http://zfcg.czt.zj.gov.cn/bidClientTemplate/2019-05-27/12946.html</w:t>
      </w:r>
    </w:p>
    <w:p>
      <w:pPr>
        <w:widowControl/>
        <w:spacing w:line="360" w:lineRule="exact"/>
        <w:jc w:val="left"/>
        <w:rPr>
          <w:rFonts w:ascii="宋体" w:hAnsi="宋体" w:cs="宋体"/>
          <w:color w:val="auto"/>
          <w:sz w:val="22"/>
          <w:szCs w:val="22"/>
        </w:rPr>
      </w:pPr>
      <w:r>
        <w:rPr>
          <w:rFonts w:hint="eastAsia" w:ascii="宋体" w:hAnsi="宋体" w:cs="宋体"/>
          <w:color w:val="auto"/>
          <w:sz w:val="22"/>
          <w:szCs w:val="22"/>
        </w:rPr>
        <w:t>（3）投标文件的制作：在“政采云电子交易客户端”中完成“填写基本信息”、“导入投标文件”、“标书关联”、“标书检查”、“电子签名”、“生成电子标书”等操作。</w:t>
      </w:r>
    </w:p>
    <w:p>
      <w:pPr>
        <w:widowControl/>
        <w:spacing w:line="360" w:lineRule="exact"/>
        <w:jc w:val="left"/>
        <w:rPr>
          <w:rFonts w:ascii="宋体" w:hAnsi="宋体" w:cs="宋体"/>
          <w:color w:val="auto"/>
          <w:sz w:val="22"/>
          <w:szCs w:val="22"/>
        </w:rPr>
      </w:pPr>
      <w:r>
        <w:rPr>
          <w:rFonts w:hint="eastAsia" w:ascii="宋体" w:hAnsi="宋体" w:cs="宋体"/>
          <w:color w:val="auto"/>
          <w:sz w:val="22"/>
          <w:szCs w:val="22"/>
        </w:rPr>
        <w:t>（4）投标文件的传输递交：投标人在投标截止时间前将加密的投标文件上传至政采云平台。</w:t>
      </w:r>
    </w:p>
    <w:p>
      <w:pPr>
        <w:widowControl/>
        <w:spacing w:line="360" w:lineRule="exact"/>
        <w:jc w:val="left"/>
        <w:rPr>
          <w:rFonts w:ascii="宋体" w:hAnsi="宋体" w:cs="宋体"/>
          <w:color w:val="auto"/>
          <w:sz w:val="22"/>
          <w:szCs w:val="22"/>
        </w:rPr>
      </w:pPr>
      <w:r>
        <w:rPr>
          <w:rFonts w:hint="eastAsia" w:ascii="宋体" w:hAnsi="宋体" w:cs="宋体"/>
          <w:color w:val="auto"/>
          <w:sz w:val="22"/>
          <w:szCs w:val="22"/>
        </w:rPr>
        <w:t>（5）投标文件的解密：投标人按照平台提示和招标文件的规定在开标时间起30分钟内完成在线解密。</w:t>
      </w:r>
    </w:p>
    <w:p>
      <w:pPr>
        <w:widowControl/>
        <w:spacing w:line="360" w:lineRule="exact"/>
        <w:jc w:val="left"/>
        <w:rPr>
          <w:rFonts w:ascii="宋体" w:hAnsi="宋体" w:cs="宋体"/>
          <w:color w:val="auto"/>
          <w:sz w:val="22"/>
          <w:szCs w:val="22"/>
        </w:rPr>
      </w:pPr>
      <w:r>
        <w:rPr>
          <w:rFonts w:hint="eastAsia" w:ascii="宋体" w:hAnsi="宋体" w:cs="宋体"/>
          <w:color w:val="auto"/>
          <w:sz w:val="22"/>
          <w:szCs w:val="22"/>
        </w:rPr>
        <w:t>（6）具体操作指南：详见政采云平台“服务中心-帮助文档-项目采购-操作流程-电子招投标-政府采购项目电子交易管理操作指南-供应商”：浙江省政府采购项目政采云平台学习专题https://edu.zcygov.cn/luban/e-biding。</w:t>
      </w:r>
    </w:p>
    <w:p>
      <w:pPr>
        <w:widowControl/>
        <w:spacing w:before="60" w:after="60" w:line="360" w:lineRule="exact"/>
        <w:ind w:left="60" w:right="60"/>
        <w:jc w:val="left"/>
        <w:rPr>
          <w:rFonts w:ascii="宋体" w:hAnsi="宋体" w:cs="宋体"/>
          <w:color w:val="auto"/>
          <w:kern w:val="0"/>
          <w:sz w:val="22"/>
          <w:szCs w:val="22"/>
        </w:rPr>
      </w:pPr>
      <w:r>
        <w:rPr>
          <w:rFonts w:hint="eastAsia" w:ascii="宋体" w:hAnsi="宋体" w:cs="宋体"/>
          <w:b/>
          <w:color w:val="auto"/>
          <w:kern w:val="0"/>
          <w:sz w:val="22"/>
          <w:szCs w:val="22"/>
        </w:rPr>
        <w:t>七、</w:t>
      </w:r>
      <w:r>
        <w:rPr>
          <w:rFonts w:ascii="宋体" w:hAnsi="宋体" w:cs="宋体"/>
          <w:b/>
          <w:bCs/>
          <w:color w:val="auto"/>
          <w:kern w:val="0"/>
          <w:sz w:val="22"/>
          <w:szCs w:val="22"/>
        </w:rPr>
        <w:t>对本次招标提出询问、质疑、投诉，请按以下方式联系</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1.采购人信息</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名   称：温州市交通运输局 </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地   址：浙江省温州市龙湾区新三路16号高新大厦</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传   真：/ </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项目联系人（询问）：</w:t>
      </w:r>
      <w:r>
        <w:rPr>
          <w:rFonts w:hint="eastAsia" w:cs="宋体"/>
          <w:color w:val="auto"/>
          <w:sz w:val="22"/>
          <w:szCs w:val="22"/>
        </w:rPr>
        <w:t>程先生</w:t>
      </w:r>
      <w:r>
        <w:rPr>
          <w:rFonts w:hint="eastAsia" w:ascii="宋体" w:hAnsi="宋体" w:cs="宋体"/>
          <w:color w:val="auto"/>
          <w:kern w:val="0"/>
          <w:sz w:val="22"/>
          <w:szCs w:val="22"/>
        </w:rPr>
        <w:t xml:space="preserve"> </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 xml:space="preserve">项目联系方式（询问）：0577-88869967 </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 xml:space="preserve">项目质疑联系人：赵先生  </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 xml:space="preserve">质疑联系方式： 0577-88607912  </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2.采购代理机构信息</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名   称：大地工程咨询有限公司</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地   址：温州市龙湾区温州大道823号爱好数字园C栋5楼</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传   真：/</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项目联系人（询问）：陈先生</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项目联系方式（询问）：13566132267</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质疑联系人：陈先生</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质疑联系方式：13295875767</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3.同级政府采购监督管理部门</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名  称：</w:t>
      </w:r>
      <w:r>
        <w:rPr>
          <w:rFonts w:hint="eastAsia" w:cs="宋体"/>
          <w:color w:val="auto"/>
          <w:sz w:val="22"/>
          <w:szCs w:val="22"/>
        </w:rPr>
        <w:t>温州市财政局政府采购监管处</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地  址：</w:t>
      </w:r>
      <w:r>
        <w:rPr>
          <w:rFonts w:hint="eastAsia" w:cs="宋体"/>
          <w:color w:val="auto"/>
          <w:sz w:val="22"/>
          <w:szCs w:val="22"/>
        </w:rPr>
        <w:t>温州市鹿城区绣山路299号</w:t>
      </w:r>
    </w:p>
    <w:p>
      <w:pPr>
        <w:widowControl/>
        <w:spacing w:before="60" w:after="60" w:line="360" w:lineRule="exact"/>
        <w:ind w:right="60" w:firstLine="440"/>
        <w:jc w:val="left"/>
        <w:rPr>
          <w:rFonts w:ascii="宋体" w:hAnsi="宋体" w:cs="宋体"/>
          <w:color w:val="auto"/>
          <w:kern w:val="0"/>
          <w:sz w:val="22"/>
          <w:szCs w:val="22"/>
        </w:rPr>
      </w:pPr>
      <w:r>
        <w:rPr>
          <w:rFonts w:hint="eastAsia" w:ascii="宋体" w:hAnsi="宋体" w:cs="宋体"/>
          <w:color w:val="auto"/>
          <w:kern w:val="0"/>
          <w:sz w:val="22"/>
          <w:szCs w:val="22"/>
        </w:rPr>
        <w:t>联系人：</w:t>
      </w:r>
      <w:r>
        <w:rPr>
          <w:rFonts w:hint="eastAsia" w:cs="宋体"/>
          <w:color w:val="auto"/>
          <w:sz w:val="22"/>
          <w:szCs w:val="22"/>
        </w:rPr>
        <w:t>项先生、蔡女士</w:t>
      </w:r>
    </w:p>
    <w:p>
      <w:pPr>
        <w:widowControl/>
        <w:spacing w:before="60" w:after="60" w:line="360" w:lineRule="exact"/>
        <w:ind w:right="60" w:firstLine="440"/>
        <w:jc w:val="left"/>
        <w:rPr>
          <w:rFonts w:ascii="宋体" w:hAnsi="宋体" w:cs="Arial"/>
          <w:b/>
          <w:bCs/>
          <w:color w:val="auto"/>
          <w:sz w:val="36"/>
          <w:szCs w:val="36"/>
        </w:rPr>
      </w:pPr>
      <w:r>
        <w:rPr>
          <w:rFonts w:hint="eastAsia" w:ascii="宋体" w:hAnsi="宋体" w:cs="宋体"/>
          <w:color w:val="auto"/>
          <w:kern w:val="0"/>
          <w:sz w:val="22"/>
          <w:szCs w:val="22"/>
        </w:rPr>
        <w:t>联系电话：</w:t>
      </w:r>
      <w:r>
        <w:rPr>
          <w:rFonts w:hint="eastAsia" w:cs="宋体"/>
          <w:color w:val="auto"/>
          <w:sz w:val="22"/>
          <w:szCs w:val="22"/>
        </w:rPr>
        <w:t>0577-88532725、88521948</w:t>
      </w:r>
    </w:p>
    <w:p>
      <w:pPr>
        <w:pStyle w:val="77"/>
        <w:rPr>
          <w:rFonts w:ascii="宋体" w:hAnsi="宋体" w:cs="Arial"/>
          <w:b/>
          <w:bCs/>
          <w:color w:val="auto"/>
          <w:sz w:val="36"/>
          <w:szCs w:val="36"/>
        </w:rPr>
      </w:pPr>
    </w:p>
    <w:p>
      <w:pPr>
        <w:pStyle w:val="77"/>
        <w:rPr>
          <w:rFonts w:ascii="宋体" w:hAnsi="宋体" w:cs="Arial"/>
          <w:b/>
          <w:bCs/>
          <w:color w:val="auto"/>
          <w:sz w:val="36"/>
          <w:szCs w:val="36"/>
        </w:rPr>
      </w:pPr>
    </w:p>
    <w:p>
      <w:pPr>
        <w:pStyle w:val="4"/>
        <w:rPr>
          <w:rFonts w:ascii="宋体" w:hAnsi="宋体" w:eastAsia="宋体" w:cs="Arial"/>
          <w:color w:val="auto"/>
          <w:sz w:val="36"/>
          <w:szCs w:val="36"/>
        </w:rPr>
      </w:pPr>
      <w:r>
        <w:rPr>
          <w:rFonts w:ascii="宋体" w:hAnsi="宋体" w:eastAsia="宋体" w:cs="Arial"/>
          <w:b w:val="0"/>
          <w:bCs w:val="0"/>
          <w:color w:val="auto"/>
          <w:sz w:val="36"/>
          <w:szCs w:val="36"/>
        </w:rPr>
        <w:br w:type="page"/>
      </w:r>
      <w:bookmarkStart w:id="26" w:name="_Toc221423615"/>
      <w:bookmarkStart w:id="27" w:name="_Toc221356947"/>
      <w:bookmarkStart w:id="28" w:name="_Toc246261261"/>
      <w:bookmarkStart w:id="29" w:name="_Toc249758708"/>
      <w:bookmarkStart w:id="30" w:name="_Toc221374622"/>
      <w:bookmarkStart w:id="31" w:name="_Toc221356882"/>
      <w:bookmarkStart w:id="32" w:name="_Toc239145350"/>
      <w:bookmarkStart w:id="33" w:name="_Toc262105499"/>
      <w:bookmarkStart w:id="34" w:name="_Toc241404198"/>
      <w:bookmarkStart w:id="35" w:name="_Toc262049414"/>
      <w:bookmarkStart w:id="36" w:name="_Toc245191310"/>
      <w:bookmarkStart w:id="37" w:name="_Toc222114875"/>
      <w:bookmarkStart w:id="38" w:name="_Toc223715994"/>
      <w:bookmarkStart w:id="39" w:name="_Toc245722277"/>
      <w:bookmarkStart w:id="40" w:name="_Toc249758860"/>
      <w:bookmarkStart w:id="41" w:name="_Toc27654"/>
      <w:bookmarkStart w:id="42" w:name="_Toc22767"/>
      <w:bookmarkStart w:id="43" w:name="_Toc27051"/>
      <w:r>
        <w:rPr>
          <w:rFonts w:hint="eastAsia" w:ascii="宋体" w:hAnsi="宋体" w:eastAsia="宋体" w:cs="Arial"/>
          <w:color w:val="auto"/>
          <w:sz w:val="36"/>
          <w:szCs w:val="36"/>
        </w:rPr>
        <w:t>第一部分    投标人须知</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4"/>
        <w:spacing w:before="120" w:after="120"/>
        <w:rPr>
          <w:rFonts w:ascii="宋体" w:hAnsi="宋体" w:eastAsia="宋体"/>
          <w:color w:val="auto"/>
          <w:sz w:val="26"/>
          <w:szCs w:val="26"/>
        </w:rPr>
      </w:pPr>
    </w:p>
    <w:p>
      <w:pPr>
        <w:pStyle w:val="4"/>
        <w:spacing w:before="120" w:after="120"/>
        <w:rPr>
          <w:rFonts w:ascii="宋体" w:hAnsi="宋体" w:eastAsia="宋体"/>
          <w:color w:val="auto"/>
          <w:sz w:val="26"/>
          <w:szCs w:val="26"/>
        </w:rPr>
      </w:pPr>
      <w:bookmarkStart w:id="44" w:name="_Toc8675"/>
      <w:r>
        <w:rPr>
          <w:rFonts w:hint="eastAsia" w:ascii="宋体" w:hAnsi="宋体" w:eastAsia="宋体"/>
          <w:color w:val="auto"/>
          <w:sz w:val="26"/>
          <w:szCs w:val="26"/>
        </w:rPr>
        <w:t>一、须知前附表</w:t>
      </w:r>
      <w:bookmarkEnd w:id="42"/>
      <w:bookmarkEnd w:id="43"/>
      <w:bookmarkEnd w:id="44"/>
    </w:p>
    <w:tbl>
      <w:tblPr>
        <w:tblStyle w:val="63"/>
        <w:tblW w:w="9842" w:type="dxa"/>
        <w:tblInd w:w="0" w:type="dxa"/>
        <w:tblLayout w:type="fixed"/>
        <w:tblCellMar>
          <w:top w:w="0" w:type="dxa"/>
          <w:left w:w="108" w:type="dxa"/>
          <w:bottom w:w="0" w:type="dxa"/>
          <w:right w:w="108" w:type="dxa"/>
        </w:tblCellMar>
      </w:tblPr>
      <w:tblGrid>
        <w:gridCol w:w="1041"/>
        <w:gridCol w:w="1467"/>
        <w:gridCol w:w="7334"/>
      </w:tblGrid>
      <w:tr>
        <w:tblPrEx>
          <w:tblCellMar>
            <w:top w:w="0" w:type="dxa"/>
            <w:left w:w="108" w:type="dxa"/>
            <w:bottom w:w="0" w:type="dxa"/>
            <w:right w:w="108" w:type="dxa"/>
          </w:tblCellMar>
        </w:tblPrEx>
        <w:trPr>
          <w:trHeight w:val="567"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序号</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条款名称</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编列内容</w:t>
            </w:r>
          </w:p>
        </w:tc>
      </w:tr>
      <w:tr>
        <w:tblPrEx>
          <w:tblCellMar>
            <w:top w:w="0" w:type="dxa"/>
            <w:left w:w="108" w:type="dxa"/>
            <w:bottom w:w="0" w:type="dxa"/>
            <w:right w:w="108" w:type="dxa"/>
          </w:tblCellMar>
        </w:tblPrEx>
        <w:trPr>
          <w:trHeight w:val="967"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采购人</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ascii="宋体" w:hAnsi="宋体" w:cs="新宋体"/>
                <w:bCs/>
                <w:color w:val="auto"/>
                <w:kern w:val="0"/>
                <w:sz w:val="22"/>
                <w:szCs w:val="22"/>
              </w:rPr>
            </w:pPr>
            <w:r>
              <w:rPr>
                <w:rFonts w:hint="eastAsia" w:ascii="宋体" w:hAnsi="宋体" w:cs="新宋体"/>
                <w:bCs/>
                <w:color w:val="auto"/>
                <w:kern w:val="0"/>
                <w:sz w:val="22"/>
                <w:szCs w:val="22"/>
              </w:rPr>
              <w:t>采购人名称：温州市交通运输局</w:t>
            </w:r>
          </w:p>
          <w:p>
            <w:pPr>
              <w:spacing w:line="300" w:lineRule="exact"/>
              <w:rPr>
                <w:rFonts w:ascii="宋体" w:hAnsi="宋体" w:cs="新宋体"/>
                <w:bCs/>
                <w:color w:val="auto"/>
                <w:kern w:val="0"/>
                <w:sz w:val="22"/>
                <w:szCs w:val="22"/>
              </w:rPr>
            </w:pPr>
            <w:r>
              <w:rPr>
                <w:rFonts w:hint="eastAsia" w:ascii="宋体" w:hAnsi="宋体" w:cs="新宋体"/>
                <w:bCs/>
                <w:color w:val="auto"/>
                <w:kern w:val="0"/>
                <w:sz w:val="22"/>
                <w:szCs w:val="22"/>
              </w:rPr>
              <w:t>联系地址：浙江省温州市龙湾区新三路16号高新大厦</w:t>
            </w:r>
          </w:p>
          <w:p>
            <w:pPr>
              <w:spacing w:line="300" w:lineRule="exact"/>
              <w:rPr>
                <w:rFonts w:ascii="宋体" w:hAnsi="宋体" w:cs="新宋体"/>
                <w:bCs/>
                <w:color w:val="auto"/>
                <w:kern w:val="0"/>
                <w:sz w:val="22"/>
                <w:szCs w:val="22"/>
              </w:rPr>
            </w:pPr>
            <w:r>
              <w:rPr>
                <w:rFonts w:hint="eastAsia" w:ascii="宋体" w:hAnsi="宋体" w:cs="新宋体"/>
                <w:bCs/>
                <w:color w:val="auto"/>
                <w:kern w:val="0"/>
                <w:sz w:val="22"/>
                <w:szCs w:val="22"/>
              </w:rPr>
              <w:t>联系人：</w:t>
            </w:r>
            <w:r>
              <w:rPr>
                <w:rFonts w:hint="eastAsia" w:cs="宋体"/>
                <w:color w:val="auto"/>
                <w:sz w:val="22"/>
                <w:szCs w:val="22"/>
              </w:rPr>
              <w:t>程先生</w:t>
            </w:r>
          </w:p>
          <w:p>
            <w:pPr>
              <w:spacing w:line="300" w:lineRule="exact"/>
              <w:rPr>
                <w:rFonts w:ascii="宋体" w:hAnsi="宋体" w:cs="宋体"/>
                <w:color w:val="auto"/>
                <w:kern w:val="0"/>
                <w:sz w:val="22"/>
                <w:szCs w:val="22"/>
              </w:rPr>
            </w:pPr>
            <w:r>
              <w:rPr>
                <w:rFonts w:hint="eastAsia" w:ascii="宋体" w:hAnsi="宋体" w:cs="新宋体"/>
                <w:bCs/>
                <w:color w:val="auto"/>
                <w:kern w:val="0"/>
                <w:sz w:val="22"/>
                <w:szCs w:val="22"/>
              </w:rPr>
              <w:t>联系电话：0577-88869967</w:t>
            </w:r>
          </w:p>
        </w:tc>
      </w:tr>
      <w:tr>
        <w:tblPrEx>
          <w:tblCellMar>
            <w:top w:w="0" w:type="dxa"/>
            <w:left w:w="108" w:type="dxa"/>
            <w:bottom w:w="0" w:type="dxa"/>
            <w:right w:w="108" w:type="dxa"/>
          </w:tblCellMar>
        </w:tblPrEx>
        <w:trPr>
          <w:trHeight w:val="98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2</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采购代理机构</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00" w:lineRule="exact"/>
              <w:rPr>
                <w:rFonts w:ascii="宋体" w:hAnsi="宋体" w:cs="宋体"/>
                <w:color w:val="auto"/>
                <w:sz w:val="22"/>
                <w:szCs w:val="22"/>
              </w:rPr>
            </w:pPr>
            <w:r>
              <w:rPr>
                <w:rFonts w:hint="eastAsia" w:ascii="宋体" w:hAnsi="宋体" w:cs="宋体"/>
                <w:color w:val="auto"/>
                <w:sz w:val="22"/>
                <w:szCs w:val="22"/>
              </w:rPr>
              <w:t>采购代理机构名称：大地工程咨询有限公司</w:t>
            </w:r>
          </w:p>
          <w:p>
            <w:pPr>
              <w:spacing w:line="300" w:lineRule="exact"/>
              <w:rPr>
                <w:rFonts w:ascii="宋体" w:hAnsi="宋体" w:cs="宋体"/>
                <w:color w:val="auto"/>
                <w:sz w:val="22"/>
                <w:szCs w:val="22"/>
              </w:rPr>
            </w:pPr>
            <w:r>
              <w:rPr>
                <w:rFonts w:hint="eastAsia" w:ascii="宋体" w:hAnsi="宋体" w:cs="宋体"/>
                <w:color w:val="auto"/>
                <w:sz w:val="22"/>
                <w:szCs w:val="22"/>
              </w:rPr>
              <w:t>地 址：温州市龙湾区温州大道823号爱好数字园C栋5楼。</w:t>
            </w:r>
          </w:p>
          <w:p>
            <w:pPr>
              <w:spacing w:line="300" w:lineRule="exact"/>
              <w:rPr>
                <w:rFonts w:ascii="宋体" w:hAnsi="宋体" w:cs="宋体"/>
                <w:color w:val="auto"/>
                <w:sz w:val="22"/>
                <w:szCs w:val="22"/>
              </w:rPr>
            </w:pPr>
            <w:r>
              <w:rPr>
                <w:rFonts w:hint="eastAsia" w:ascii="宋体" w:hAnsi="宋体" w:cs="宋体"/>
                <w:color w:val="auto"/>
                <w:sz w:val="22"/>
                <w:szCs w:val="22"/>
              </w:rPr>
              <w:t>联系人：陈先生</w:t>
            </w:r>
          </w:p>
          <w:p>
            <w:pPr>
              <w:spacing w:line="300" w:lineRule="exact"/>
              <w:rPr>
                <w:rFonts w:ascii="宋体" w:hAnsi="宋体" w:cs="宋体"/>
                <w:color w:val="auto"/>
                <w:sz w:val="22"/>
                <w:szCs w:val="22"/>
              </w:rPr>
            </w:pPr>
            <w:r>
              <w:rPr>
                <w:rFonts w:hint="eastAsia" w:ascii="宋体" w:hAnsi="宋体" w:cs="宋体"/>
                <w:color w:val="auto"/>
                <w:sz w:val="22"/>
                <w:szCs w:val="22"/>
              </w:rPr>
              <w:t>联系电话：13566132267</w:t>
            </w:r>
          </w:p>
        </w:tc>
      </w:tr>
      <w:tr>
        <w:tblPrEx>
          <w:tblCellMar>
            <w:top w:w="0" w:type="dxa"/>
            <w:left w:w="108" w:type="dxa"/>
            <w:bottom w:w="0" w:type="dxa"/>
            <w:right w:w="108" w:type="dxa"/>
          </w:tblCellMar>
        </w:tblPrEx>
        <w:trPr>
          <w:trHeight w:val="75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3</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采购名称</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rPr>
            </w:pPr>
            <w:r>
              <w:rPr>
                <w:rFonts w:hint="eastAsia" w:ascii="宋体" w:hAnsi="宋体" w:cs="宋体"/>
                <w:color w:val="auto"/>
                <w:sz w:val="22"/>
                <w:szCs w:val="22"/>
              </w:rPr>
              <w:t>项目名称：</w:t>
            </w:r>
            <w:r>
              <w:rPr>
                <w:rFonts w:hint="eastAsia" w:ascii="宋体" w:hAnsi="宋体" w:cs="宋体"/>
                <w:bCs/>
                <w:color w:val="auto"/>
                <w:kern w:val="0"/>
                <w:sz w:val="22"/>
                <w:szCs w:val="22"/>
              </w:rPr>
              <w:t>交通技术服务运维项目</w:t>
            </w:r>
          </w:p>
          <w:p>
            <w:pPr>
              <w:spacing w:line="400" w:lineRule="exact"/>
              <w:rPr>
                <w:rFonts w:ascii="宋体" w:hAnsi="宋体" w:cs="宋体"/>
                <w:color w:val="auto"/>
                <w:sz w:val="22"/>
                <w:szCs w:val="22"/>
              </w:rPr>
            </w:pPr>
            <w:r>
              <w:rPr>
                <w:rFonts w:hint="eastAsia" w:ascii="宋体" w:hAnsi="宋体" w:cs="宋体"/>
                <w:color w:val="auto"/>
                <w:sz w:val="22"/>
                <w:szCs w:val="22"/>
              </w:rPr>
              <w:t>项目编号：</w:t>
            </w:r>
            <w:r>
              <w:rPr>
                <w:rFonts w:hint="eastAsia" w:ascii="宋体" w:hAnsi="宋体" w:cs="宋体"/>
                <w:bCs/>
                <w:color w:val="auto"/>
                <w:kern w:val="0"/>
                <w:sz w:val="22"/>
                <w:szCs w:val="22"/>
              </w:rPr>
              <w:t>DDZX-20240103012</w:t>
            </w:r>
          </w:p>
        </w:tc>
      </w:tr>
      <w:tr>
        <w:tblPrEx>
          <w:tblCellMar>
            <w:top w:w="0" w:type="dxa"/>
            <w:left w:w="108" w:type="dxa"/>
            <w:bottom w:w="0" w:type="dxa"/>
            <w:right w:w="108" w:type="dxa"/>
          </w:tblCellMar>
        </w:tblPrEx>
        <w:trPr>
          <w:trHeight w:val="75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4</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采购内容</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ind w:right="-34"/>
              <w:rPr>
                <w:rFonts w:ascii="宋体" w:hAnsi="宋体" w:cs="宋体"/>
                <w:color w:val="auto"/>
                <w:kern w:val="0"/>
                <w:sz w:val="22"/>
                <w:szCs w:val="22"/>
                <w:lang w:val="zh-CN"/>
              </w:rPr>
            </w:pPr>
            <w:r>
              <w:rPr>
                <w:rFonts w:hint="eastAsia" w:ascii="宋体" w:hAnsi="宋体" w:cs="宋体"/>
                <w:color w:val="auto"/>
                <w:kern w:val="0"/>
                <w:sz w:val="22"/>
                <w:szCs w:val="22"/>
                <w:lang w:val="zh-CN"/>
              </w:rPr>
              <w:t>具体内容及要求见</w:t>
            </w:r>
            <w:r>
              <w:rPr>
                <w:rFonts w:hint="eastAsia" w:ascii="宋体" w:hAnsi="宋体" w:cs="宋体"/>
                <w:color w:val="auto"/>
                <w:kern w:val="0"/>
                <w:sz w:val="22"/>
                <w:szCs w:val="22"/>
              </w:rPr>
              <w:t>招标</w:t>
            </w:r>
            <w:r>
              <w:rPr>
                <w:rFonts w:hint="eastAsia" w:ascii="宋体" w:hAnsi="宋体" w:cs="宋体"/>
                <w:color w:val="auto"/>
                <w:kern w:val="0"/>
                <w:sz w:val="22"/>
                <w:szCs w:val="22"/>
                <w:lang w:val="zh-CN"/>
              </w:rPr>
              <w:t>文件。</w:t>
            </w:r>
          </w:p>
        </w:tc>
      </w:tr>
      <w:tr>
        <w:tblPrEx>
          <w:tblCellMar>
            <w:top w:w="0" w:type="dxa"/>
            <w:left w:w="108" w:type="dxa"/>
            <w:bottom w:w="0" w:type="dxa"/>
            <w:right w:w="108" w:type="dxa"/>
          </w:tblCellMar>
        </w:tblPrEx>
        <w:trPr>
          <w:trHeight w:val="75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5</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exact"/>
              <w:rPr>
                <w:rFonts w:ascii="宋体" w:hAnsi="宋体" w:cs="宋体"/>
                <w:color w:val="auto"/>
                <w:kern w:val="0"/>
                <w:sz w:val="22"/>
                <w:szCs w:val="22"/>
                <w:lang w:val="zh-CN"/>
              </w:rPr>
            </w:pPr>
            <w:r>
              <w:rPr>
                <w:rFonts w:hint="eastAsia" w:ascii="宋体" w:hAnsi="宋体" w:cs="宋体"/>
                <w:b/>
                <w:color w:val="auto"/>
                <w:kern w:val="0"/>
                <w:sz w:val="22"/>
                <w:szCs w:val="22"/>
              </w:rPr>
              <w:t>核心产品</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360" w:lineRule="exact"/>
              <w:rPr>
                <w:rFonts w:ascii="宋体" w:hAnsi="宋体" w:cs="宋体"/>
                <w:b/>
                <w:bCs/>
                <w:color w:val="auto"/>
                <w:kern w:val="0"/>
                <w:sz w:val="22"/>
                <w:szCs w:val="22"/>
              </w:rPr>
            </w:pPr>
            <w:r>
              <w:rPr>
                <w:rFonts w:hint="eastAsia" w:ascii="宋体" w:hAnsi="宋体" w:cs="宋体"/>
                <w:b/>
                <w:bCs/>
                <w:color w:val="auto"/>
                <w:kern w:val="0"/>
                <w:sz w:val="22"/>
                <w:szCs w:val="22"/>
              </w:rPr>
              <w:t>本项目为服务类招标项目，无核心产品。</w:t>
            </w:r>
          </w:p>
        </w:tc>
      </w:tr>
      <w:tr>
        <w:tblPrEx>
          <w:tblCellMar>
            <w:top w:w="0" w:type="dxa"/>
            <w:left w:w="108" w:type="dxa"/>
            <w:bottom w:w="0" w:type="dxa"/>
            <w:right w:w="108" w:type="dxa"/>
          </w:tblCellMar>
        </w:tblPrEx>
        <w:trPr>
          <w:trHeight w:val="951"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6</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u w:val="single"/>
                <w:lang w:val="zh-CN"/>
              </w:rPr>
              <w:t>▲</w:t>
            </w:r>
            <w:r>
              <w:rPr>
                <w:rFonts w:hint="eastAsia" w:ascii="宋体" w:hAnsi="宋体" w:cs="宋体"/>
                <w:b/>
                <w:bCs/>
                <w:color w:val="auto"/>
                <w:kern w:val="0"/>
                <w:sz w:val="22"/>
                <w:szCs w:val="22"/>
                <w:u w:val="single"/>
              </w:rPr>
              <w:t>投标人</w:t>
            </w:r>
            <w:r>
              <w:rPr>
                <w:rFonts w:hint="eastAsia" w:ascii="宋体" w:hAnsi="宋体" w:cs="宋体"/>
                <w:b/>
                <w:bCs/>
                <w:color w:val="auto"/>
                <w:kern w:val="0"/>
                <w:sz w:val="22"/>
                <w:szCs w:val="22"/>
                <w:u w:val="single"/>
                <w:lang w:val="zh-CN"/>
              </w:rPr>
              <w:t>资质格要求</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spacing w:before="60" w:after="60" w:line="360" w:lineRule="exact"/>
              <w:ind w:right="60"/>
              <w:jc w:val="left"/>
              <w:rPr>
                <w:rFonts w:ascii="宋体" w:hAnsi="宋体" w:cs="宋体"/>
                <w:bCs/>
                <w:color w:val="auto"/>
                <w:kern w:val="0"/>
                <w:sz w:val="22"/>
                <w:szCs w:val="22"/>
              </w:rPr>
            </w:pPr>
            <w:r>
              <w:rPr>
                <w:rFonts w:hint="eastAsia" w:ascii="宋体" w:hAnsi="宋体" w:cs="宋体"/>
                <w:bCs/>
                <w:color w:val="auto"/>
                <w:kern w:val="0"/>
                <w:sz w:val="22"/>
                <w:szCs w:val="22"/>
              </w:rPr>
              <w:t>详见招标公告。</w:t>
            </w:r>
          </w:p>
        </w:tc>
      </w:tr>
      <w:tr>
        <w:tblPrEx>
          <w:tblCellMar>
            <w:top w:w="0" w:type="dxa"/>
            <w:left w:w="108" w:type="dxa"/>
            <w:bottom w:w="0" w:type="dxa"/>
            <w:right w:w="108" w:type="dxa"/>
          </w:tblCellMar>
        </w:tblPrEx>
        <w:trPr>
          <w:trHeight w:val="73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7</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是否接受联合体投标</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color w:val="auto"/>
                <w:lang w:val="zh-CN"/>
              </w:rPr>
            </w:pPr>
            <w:r>
              <w:rPr>
                <w:rFonts w:hint="eastAsia"/>
                <w:color w:val="auto"/>
              </w:rPr>
              <w:sym w:font="Wingdings" w:char="00A8"/>
            </w:r>
            <w:r>
              <w:rPr>
                <w:rFonts w:hint="eastAsia"/>
                <w:color w:val="auto"/>
                <w:lang w:val="zh-CN"/>
              </w:rPr>
              <w:t>不接受</w:t>
            </w:r>
          </w:p>
          <w:p>
            <w:pPr>
              <w:autoSpaceDE w:val="0"/>
              <w:autoSpaceDN w:val="0"/>
              <w:adjustRightInd w:val="0"/>
              <w:spacing w:line="400" w:lineRule="exact"/>
              <w:rPr>
                <w:rFonts w:ascii="宋体" w:hAnsi="宋体" w:cs="宋体"/>
                <w:color w:val="auto"/>
                <w:kern w:val="0"/>
                <w:sz w:val="22"/>
                <w:szCs w:val="22"/>
              </w:rPr>
            </w:pPr>
            <w:r>
              <w:rPr>
                <w:rFonts w:hint="eastAsia"/>
                <w:b/>
                <w:bCs/>
                <w:color w:val="auto"/>
                <w:lang w:val="zh-CN"/>
              </w:rPr>
              <w:sym w:font="Wingdings 2" w:char="0052"/>
            </w:r>
            <w:r>
              <w:rPr>
                <w:rFonts w:hint="eastAsia"/>
                <w:b/>
                <w:bCs/>
                <w:color w:val="auto"/>
                <w:lang w:val="zh-CN"/>
              </w:rPr>
              <w:t>接受</w:t>
            </w:r>
            <w:r>
              <w:rPr>
                <w:rFonts w:hint="eastAsia" w:ascii="宋体" w:hAnsi="宋体" w:cs="宋体"/>
                <w:color w:val="auto"/>
                <w:kern w:val="0"/>
                <w:sz w:val="22"/>
                <w:szCs w:val="22"/>
              </w:rPr>
              <w:t>，应满足下列要求：</w:t>
            </w:r>
          </w:p>
          <w:p>
            <w:pPr>
              <w:spacing w:line="300" w:lineRule="exact"/>
              <w:rPr>
                <w:rFonts w:ascii="宋体" w:hAnsi="宋体" w:cs="宋体"/>
                <w:color w:val="auto"/>
                <w:kern w:val="0"/>
                <w:sz w:val="22"/>
                <w:szCs w:val="22"/>
              </w:rPr>
            </w:pPr>
            <w:r>
              <w:rPr>
                <w:rFonts w:hint="eastAsia" w:ascii="宋体" w:hAnsi="宋体" w:cs="宋体"/>
                <w:color w:val="auto"/>
                <w:kern w:val="0"/>
                <w:sz w:val="22"/>
                <w:szCs w:val="22"/>
              </w:rPr>
              <w:t>（1）允许大中型企业与小微企业组成联合体参与投标；</w:t>
            </w:r>
          </w:p>
          <w:p>
            <w:pPr>
              <w:spacing w:line="300" w:lineRule="exact"/>
              <w:rPr>
                <w:rFonts w:ascii="宋体" w:hAnsi="宋体" w:cs="宋体"/>
                <w:color w:val="auto"/>
                <w:kern w:val="0"/>
                <w:sz w:val="22"/>
                <w:szCs w:val="22"/>
              </w:rPr>
            </w:pPr>
            <w:r>
              <w:rPr>
                <w:rFonts w:hint="eastAsia" w:ascii="宋体" w:hAnsi="宋体" w:cs="宋体"/>
                <w:color w:val="auto"/>
                <w:kern w:val="0"/>
                <w:sz w:val="22"/>
                <w:szCs w:val="22"/>
              </w:rPr>
              <w:t>（2）需提供联合体协议书，明确双方各自责任与义务；</w:t>
            </w:r>
          </w:p>
          <w:p>
            <w:pPr>
              <w:pStyle w:val="34"/>
              <w:rPr>
                <w:color w:val="auto"/>
                <w:lang w:val="zh-CN"/>
              </w:rPr>
            </w:pPr>
            <w:r>
              <w:rPr>
                <w:rFonts w:hint="eastAsia" w:hAnsi="宋体" w:cs="宋体"/>
                <w:color w:val="auto"/>
                <w:sz w:val="22"/>
                <w:szCs w:val="22"/>
              </w:rPr>
              <w:t>（3）联合体成员不超过两家。</w:t>
            </w:r>
          </w:p>
        </w:tc>
      </w:tr>
      <w:tr>
        <w:tblPrEx>
          <w:tblCellMar>
            <w:top w:w="0" w:type="dxa"/>
            <w:left w:w="108" w:type="dxa"/>
            <w:bottom w:w="0" w:type="dxa"/>
            <w:right w:w="108" w:type="dxa"/>
          </w:tblCellMar>
        </w:tblPrEx>
        <w:trPr>
          <w:trHeight w:val="73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8</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踏勘现场</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□组织</w:t>
            </w:r>
          </w:p>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b/>
                <w:snapToGrid w:val="0"/>
                <w:color w:val="auto"/>
                <w:sz w:val="22"/>
                <w:szCs w:val="22"/>
              </w:rPr>
              <w:sym w:font="Wingdings" w:char="F0FE"/>
            </w:r>
            <w:r>
              <w:rPr>
                <w:rFonts w:hint="eastAsia" w:ascii="宋体" w:hAnsi="宋体" w:cs="宋体"/>
                <w:color w:val="auto"/>
                <w:kern w:val="0"/>
                <w:sz w:val="22"/>
                <w:szCs w:val="22"/>
                <w:lang w:val="zh-CN"/>
              </w:rPr>
              <w:t>不组织</w:t>
            </w:r>
          </w:p>
        </w:tc>
      </w:tr>
      <w:tr>
        <w:tblPrEx>
          <w:tblCellMar>
            <w:top w:w="0" w:type="dxa"/>
            <w:left w:w="108" w:type="dxa"/>
            <w:bottom w:w="0" w:type="dxa"/>
            <w:right w:w="108" w:type="dxa"/>
          </w:tblCellMar>
        </w:tblPrEx>
        <w:trPr>
          <w:trHeight w:val="73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9</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投标预备会</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□召开</w:t>
            </w:r>
          </w:p>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b/>
                <w:snapToGrid w:val="0"/>
                <w:color w:val="auto"/>
                <w:sz w:val="22"/>
                <w:szCs w:val="22"/>
              </w:rPr>
              <w:sym w:font="Wingdings" w:char="F0FE"/>
            </w:r>
            <w:r>
              <w:rPr>
                <w:rFonts w:hint="eastAsia" w:ascii="宋体" w:hAnsi="宋体" w:cs="宋体"/>
                <w:color w:val="auto"/>
                <w:kern w:val="0"/>
                <w:sz w:val="22"/>
                <w:szCs w:val="22"/>
                <w:lang w:val="zh-CN"/>
              </w:rPr>
              <w:t>不召开</w:t>
            </w:r>
          </w:p>
        </w:tc>
      </w:tr>
      <w:tr>
        <w:tblPrEx>
          <w:tblCellMar>
            <w:top w:w="0" w:type="dxa"/>
            <w:left w:w="108" w:type="dxa"/>
            <w:bottom w:w="0" w:type="dxa"/>
            <w:right w:w="108" w:type="dxa"/>
          </w:tblCellMar>
        </w:tblPrEx>
        <w:trPr>
          <w:trHeight w:val="73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10</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投标</w:t>
            </w:r>
            <w:r>
              <w:rPr>
                <w:rFonts w:hint="eastAsia" w:ascii="宋体" w:hAnsi="宋体" w:cs="宋体"/>
                <w:color w:val="auto"/>
                <w:kern w:val="0"/>
                <w:sz w:val="22"/>
                <w:szCs w:val="22"/>
              </w:rPr>
              <w:t>响应</w:t>
            </w:r>
            <w:r>
              <w:rPr>
                <w:rFonts w:hint="eastAsia" w:ascii="宋体" w:hAnsi="宋体" w:cs="宋体"/>
                <w:color w:val="auto"/>
                <w:kern w:val="0"/>
                <w:sz w:val="22"/>
                <w:szCs w:val="22"/>
                <w:lang w:val="zh-CN"/>
              </w:rPr>
              <w:t>截止时间</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rPr>
            </w:pPr>
            <w:r>
              <w:rPr>
                <w:rFonts w:hint="eastAsia" w:ascii="宋体" w:hAnsi="宋体" w:cs="宋体"/>
                <w:bCs/>
                <w:color w:val="auto"/>
                <w:kern w:val="0"/>
                <w:sz w:val="22"/>
                <w:szCs w:val="22"/>
              </w:rPr>
              <w:t>见招标公告</w:t>
            </w:r>
          </w:p>
        </w:tc>
      </w:tr>
      <w:tr>
        <w:tblPrEx>
          <w:tblCellMar>
            <w:top w:w="0" w:type="dxa"/>
            <w:left w:w="108" w:type="dxa"/>
            <w:bottom w:w="0" w:type="dxa"/>
            <w:right w:w="108" w:type="dxa"/>
          </w:tblCellMar>
        </w:tblPrEx>
        <w:trPr>
          <w:trHeight w:val="73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11</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分包</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color w:val="auto"/>
                <w:lang w:val="zh-CN"/>
              </w:rPr>
            </w:pPr>
            <w:r>
              <w:rPr>
                <w:rFonts w:hint="eastAsia" w:ascii="宋体" w:hAnsi="宋体" w:cs="宋体"/>
                <w:color w:val="auto"/>
                <w:kern w:val="0"/>
                <w:sz w:val="22"/>
                <w:szCs w:val="22"/>
                <w:lang w:val="zh-CN"/>
              </w:rPr>
              <w:t>□</w:t>
            </w:r>
            <w:r>
              <w:rPr>
                <w:rFonts w:hint="eastAsia"/>
                <w:color w:val="auto"/>
                <w:lang w:val="zh-CN"/>
              </w:rPr>
              <w:t>不允许</w:t>
            </w:r>
          </w:p>
          <w:p>
            <w:pPr>
              <w:autoSpaceDE w:val="0"/>
              <w:autoSpaceDN w:val="0"/>
              <w:adjustRightInd w:val="0"/>
              <w:spacing w:line="400" w:lineRule="exact"/>
              <w:rPr>
                <w:color w:val="auto"/>
                <w:lang w:val="zh-CN"/>
              </w:rPr>
            </w:pPr>
            <w:r>
              <w:rPr>
                <w:rFonts w:hint="eastAsia" w:ascii="宋体" w:hAnsi="宋体" w:cs="宋体"/>
                <w:b/>
                <w:snapToGrid w:val="0"/>
                <w:color w:val="auto"/>
                <w:sz w:val="22"/>
                <w:szCs w:val="22"/>
                <w:highlight w:val="none"/>
              </w:rPr>
              <w:sym w:font="Wingdings" w:char="F0FE"/>
            </w:r>
            <w:r>
              <w:rPr>
                <w:rFonts w:hint="eastAsia"/>
                <w:color w:val="auto"/>
                <w:highlight w:val="none"/>
                <w:lang w:val="zh-CN"/>
              </w:rPr>
              <w:t>允许</w:t>
            </w:r>
            <w:r>
              <w:rPr>
                <w:rFonts w:hint="eastAsia" w:ascii="宋体" w:hAnsi="宋体" w:cs="宋体"/>
                <w:color w:val="auto"/>
                <w:kern w:val="0"/>
                <w:sz w:val="22"/>
                <w:szCs w:val="22"/>
                <w:highlight w:val="none"/>
              </w:rPr>
              <w:t>大</w:t>
            </w:r>
            <w:r>
              <w:rPr>
                <w:rFonts w:hint="eastAsia" w:ascii="宋体" w:hAnsi="宋体" w:cs="宋体"/>
                <w:color w:val="auto"/>
                <w:kern w:val="0"/>
                <w:sz w:val="22"/>
                <w:szCs w:val="22"/>
              </w:rPr>
              <w:t>中型企业向小微企业合理分包，若分包需在投标文件内提供分包意向书，明确分包内容及金额比例。</w:t>
            </w:r>
          </w:p>
        </w:tc>
      </w:tr>
      <w:tr>
        <w:tblPrEx>
          <w:tblCellMar>
            <w:top w:w="0" w:type="dxa"/>
            <w:left w:w="108" w:type="dxa"/>
            <w:bottom w:w="0" w:type="dxa"/>
            <w:right w:w="108" w:type="dxa"/>
          </w:tblCellMar>
        </w:tblPrEx>
        <w:trPr>
          <w:trHeight w:val="108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12</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偏离</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strike/>
                <w:color w:val="auto"/>
                <w:kern w:val="0"/>
                <w:sz w:val="22"/>
                <w:szCs w:val="22"/>
                <w:lang w:val="zh-CN"/>
              </w:rPr>
            </w:pPr>
            <w:r>
              <w:rPr>
                <w:rFonts w:hint="eastAsia" w:ascii="宋体" w:hAnsi="宋体" w:cs="宋体"/>
                <w:color w:val="auto"/>
                <w:kern w:val="0"/>
                <w:sz w:val="22"/>
                <w:szCs w:val="22"/>
                <w:lang w:val="zh-CN"/>
              </w:rPr>
              <w:t>偏差允许幅度及其处理方法：允许细微偏差，不允许重大偏差。由评标委员会判断，细微偏差要求投标人在评标结束前予以澄清、说明或补正，不接受要求进行的，</w:t>
            </w:r>
            <w:r>
              <w:rPr>
                <w:rFonts w:hint="eastAsia" w:ascii="宋体" w:hAnsi="宋体" w:cs="宋体"/>
                <w:color w:val="auto"/>
                <w:kern w:val="0"/>
                <w:sz w:val="22"/>
                <w:szCs w:val="22"/>
              </w:rPr>
              <w:t>评标委员会</w:t>
            </w:r>
            <w:r>
              <w:rPr>
                <w:rFonts w:hint="eastAsia" w:ascii="宋体" w:hAnsi="宋体" w:cs="宋体"/>
                <w:color w:val="auto"/>
                <w:kern w:val="0"/>
                <w:sz w:val="22"/>
                <w:szCs w:val="22"/>
                <w:lang w:val="zh-CN"/>
              </w:rPr>
              <w:t>有权做无效标处理，详见评标办法。</w:t>
            </w:r>
          </w:p>
        </w:tc>
      </w:tr>
      <w:tr>
        <w:tblPrEx>
          <w:tblCellMar>
            <w:top w:w="0" w:type="dxa"/>
            <w:left w:w="108" w:type="dxa"/>
            <w:bottom w:w="0" w:type="dxa"/>
            <w:right w:w="108" w:type="dxa"/>
          </w:tblCellMar>
        </w:tblPrEx>
        <w:trPr>
          <w:trHeight w:val="68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13</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投标有效期</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自投标</w:t>
            </w:r>
            <w:r>
              <w:rPr>
                <w:rFonts w:hint="eastAsia" w:ascii="宋体" w:hAnsi="宋体" w:cs="宋体"/>
                <w:color w:val="auto"/>
                <w:kern w:val="0"/>
                <w:sz w:val="22"/>
                <w:szCs w:val="22"/>
              </w:rPr>
              <w:t>响应</w:t>
            </w:r>
            <w:r>
              <w:rPr>
                <w:rFonts w:hint="eastAsia" w:ascii="宋体" w:hAnsi="宋体" w:cs="宋体"/>
                <w:color w:val="auto"/>
                <w:kern w:val="0"/>
                <w:sz w:val="22"/>
                <w:szCs w:val="22"/>
                <w:lang w:val="zh-CN"/>
              </w:rPr>
              <w:t>截止时间起生效，有效期90天。</w:t>
            </w:r>
          </w:p>
        </w:tc>
      </w:tr>
      <w:tr>
        <w:tblPrEx>
          <w:tblCellMar>
            <w:top w:w="0" w:type="dxa"/>
            <w:left w:w="108" w:type="dxa"/>
            <w:bottom w:w="0" w:type="dxa"/>
            <w:right w:w="108" w:type="dxa"/>
          </w:tblCellMar>
        </w:tblPrEx>
        <w:trPr>
          <w:trHeight w:val="846"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14</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投标保证金</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b/>
                <w:bCs/>
                <w:color w:val="auto"/>
                <w:sz w:val="22"/>
                <w:szCs w:val="22"/>
              </w:rPr>
            </w:pPr>
            <w:r>
              <w:rPr>
                <w:rFonts w:hint="eastAsia" w:ascii="宋体" w:hAnsi="宋体" w:cs="宋体"/>
                <w:color w:val="auto"/>
                <w:sz w:val="22"/>
                <w:szCs w:val="22"/>
              </w:rPr>
              <w:t>无需提交</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15</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rPr>
              <w:t>响应文件</w:t>
            </w:r>
            <w:r>
              <w:rPr>
                <w:rFonts w:hint="eastAsia" w:ascii="宋体" w:hAnsi="宋体" w:cs="宋体"/>
                <w:color w:val="auto"/>
                <w:kern w:val="0"/>
                <w:sz w:val="22"/>
                <w:szCs w:val="22"/>
                <w:lang w:val="zh-CN"/>
              </w:rPr>
              <w:t>的组成</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由“资格响应文件”、“</w:t>
            </w:r>
            <w:r>
              <w:rPr>
                <w:rFonts w:hint="eastAsia" w:ascii="宋体" w:hAnsi="宋体" w:cs="宋体"/>
                <w:color w:val="auto"/>
                <w:kern w:val="0"/>
                <w:sz w:val="22"/>
                <w:szCs w:val="22"/>
              </w:rPr>
              <w:t>商务技术响应文件</w:t>
            </w:r>
            <w:r>
              <w:rPr>
                <w:rFonts w:hint="eastAsia" w:ascii="宋体" w:hAnsi="宋体" w:cs="宋体"/>
                <w:color w:val="auto"/>
                <w:kern w:val="0"/>
                <w:sz w:val="22"/>
                <w:szCs w:val="22"/>
                <w:lang w:val="zh-CN"/>
              </w:rPr>
              <w:t>”和“报价响应文件”三个部分组成。</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16</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rPr>
              <w:t>响应文件</w:t>
            </w:r>
            <w:r>
              <w:rPr>
                <w:rFonts w:hint="eastAsia" w:ascii="宋体" w:hAnsi="宋体" w:cs="宋体"/>
                <w:color w:val="auto"/>
                <w:kern w:val="0"/>
                <w:sz w:val="22"/>
                <w:szCs w:val="22"/>
                <w:lang w:val="zh-CN"/>
              </w:rPr>
              <w:t>的编制</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投标人应先安装“政采云</w:t>
            </w:r>
            <w:r>
              <w:rPr>
                <w:rFonts w:hint="eastAsia" w:ascii="宋体" w:hAnsi="宋体" w:cs="宋体"/>
                <w:color w:val="auto"/>
                <w:kern w:val="0"/>
                <w:sz w:val="22"/>
                <w:szCs w:val="22"/>
              </w:rPr>
              <w:t>投标</w:t>
            </w:r>
            <w:r>
              <w:rPr>
                <w:rFonts w:hint="eastAsia" w:ascii="宋体" w:hAnsi="宋体" w:cs="宋体"/>
                <w:color w:val="auto"/>
                <w:kern w:val="0"/>
                <w:sz w:val="22"/>
                <w:szCs w:val="22"/>
                <w:lang w:val="zh-CN"/>
              </w:rPr>
              <w:t>客户端”，并按照本</w:t>
            </w:r>
            <w:r>
              <w:rPr>
                <w:rFonts w:hint="eastAsia" w:ascii="宋体" w:hAnsi="宋体" w:cs="宋体"/>
                <w:color w:val="auto"/>
                <w:kern w:val="0"/>
                <w:sz w:val="22"/>
                <w:szCs w:val="22"/>
              </w:rPr>
              <w:t>招标文件</w:t>
            </w:r>
            <w:r>
              <w:rPr>
                <w:rFonts w:hint="eastAsia" w:ascii="宋体" w:hAnsi="宋体" w:cs="宋体"/>
                <w:color w:val="auto"/>
                <w:kern w:val="0"/>
                <w:sz w:val="22"/>
                <w:szCs w:val="22"/>
                <w:lang w:val="zh-CN"/>
              </w:rPr>
              <w:t>和“《政府采购项目电子交易管理操作指南-投标人》”的要求，编制并加密</w:t>
            </w:r>
            <w:r>
              <w:rPr>
                <w:rFonts w:hint="eastAsia" w:ascii="宋体" w:hAnsi="宋体" w:cs="宋体"/>
                <w:color w:val="auto"/>
                <w:kern w:val="0"/>
                <w:sz w:val="22"/>
                <w:szCs w:val="22"/>
              </w:rPr>
              <w:t>响应</w:t>
            </w:r>
            <w:r>
              <w:rPr>
                <w:rFonts w:hint="eastAsia" w:ascii="宋体" w:hAnsi="宋体" w:cs="宋体"/>
                <w:color w:val="auto"/>
                <w:kern w:val="0"/>
                <w:sz w:val="22"/>
                <w:szCs w:val="22"/>
                <w:lang w:val="zh-CN"/>
              </w:rPr>
              <w:t>文件。</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17</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开标时间</w:t>
            </w:r>
          </w:p>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lang w:val="zh-CN"/>
              </w:rPr>
              <w:t>和地点</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rPr>
            </w:pPr>
            <w:r>
              <w:rPr>
                <w:rFonts w:hint="eastAsia" w:ascii="宋体" w:hAnsi="宋体" w:cs="宋体"/>
                <w:color w:val="auto"/>
                <w:sz w:val="22"/>
                <w:szCs w:val="22"/>
              </w:rPr>
              <w:t>详见招标公告</w:t>
            </w:r>
          </w:p>
          <w:p>
            <w:pPr>
              <w:pStyle w:val="25"/>
              <w:spacing w:line="400" w:lineRule="exact"/>
              <w:ind w:firstLine="420"/>
              <w:rPr>
                <w:rFonts w:ascii="宋体" w:hAnsi="宋体" w:cs="宋体"/>
                <w:color w:val="auto"/>
                <w:sz w:val="22"/>
                <w:szCs w:val="22"/>
                <w:lang w:val="zh-CN"/>
              </w:rPr>
            </w:pPr>
            <w:r>
              <w:rPr>
                <w:rFonts w:hint="eastAsia" w:ascii="宋体" w:hAnsi="宋体" w:cs="宋体"/>
                <w:color w:val="auto"/>
                <w:sz w:val="22"/>
                <w:szCs w:val="22"/>
                <w:lang w:val="zh-CN"/>
              </w:rPr>
              <w:t>注：本项目为电子招投标，相关的招投标流程（</w:t>
            </w:r>
            <w:r>
              <w:rPr>
                <w:rFonts w:hint="eastAsia" w:ascii="宋体" w:hAnsi="宋体" w:cs="宋体"/>
                <w:color w:val="auto"/>
                <w:sz w:val="22"/>
                <w:szCs w:val="22"/>
              </w:rPr>
              <w:t>招标</w:t>
            </w:r>
            <w:r>
              <w:rPr>
                <w:rFonts w:hint="eastAsia" w:ascii="宋体" w:hAnsi="宋体" w:cs="宋体"/>
                <w:color w:val="auto"/>
                <w:sz w:val="22"/>
                <w:szCs w:val="22"/>
                <w:lang w:val="zh-CN"/>
              </w:rPr>
              <w:t>文件下载、电子</w:t>
            </w:r>
            <w:r>
              <w:rPr>
                <w:rFonts w:hint="eastAsia" w:ascii="宋体" w:hAnsi="宋体" w:cs="宋体"/>
                <w:color w:val="auto"/>
                <w:sz w:val="22"/>
                <w:szCs w:val="22"/>
              </w:rPr>
              <w:t>响应</w:t>
            </w:r>
            <w:r>
              <w:rPr>
                <w:rFonts w:hint="eastAsia" w:ascii="宋体" w:hAnsi="宋体" w:cs="宋体"/>
                <w:color w:val="auto"/>
                <w:sz w:val="22"/>
                <w:szCs w:val="22"/>
                <w:lang w:val="zh-CN"/>
              </w:rPr>
              <w:t>文件上传、</w:t>
            </w:r>
            <w:r>
              <w:rPr>
                <w:rFonts w:hint="eastAsia" w:ascii="宋体" w:hAnsi="宋体" w:cs="宋体"/>
                <w:color w:val="auto"/>
                <w:sz w:val="22"/>
                <w:szCs w:val="22"/>
              </w:rPr>
              <w:t>评标</w:t>
            </w:r>
            <w:r>
              <w:rPr>
                <w:rFonts w:hint="eastAsia" w:ascii="宋体" w:hAnsi="宋体" w:cs="宋体"/>
                <w:color w:val="auto"/>
                <w:sz w:val="22"/>
                <w:szCs w:val="22"/>
                <w:lang w:val="zh-CN"/>
              </w:rPr>
              <w:t>等程序）均在浙江政府采购网“政府采购云平台”进行，</w:t>
            </w:r>
            <w:r>
              <w:rPr>
                <w:rFonts w:hint="eastAsia" w:ascii="宋体" w:hAnsi="宋体" w:cs="宋体"/>
                <w:color w:val="auto"/>
                <w:sz w:val="22"/>
                <w:szCs w:val="22"/>
              </w:rPr>
              <w:t>供应商</w:t>
            </w:r>
            <w:r>
              <w:rPr>
                <w:rFonts w:hint="eastAsia" w:ascii="宋体" w:hAnsi="宋体" w:cs="宋体"/>
                <w:color w:val="auto"/>
                <w:sz w:val="22"/>
                <w:szCs w:val="22"/>
                <w:lang w:val="zh-CN"/>
              </w:rPr>
              <w:t>不必前往现场进行</w:t>
            </w:r>
            <w:r>
              <w:rPr>
                <w:rFonts w:hint="eastAsia" w:ascii="宋体" w:hAnsi="宋体" w:cs="宋体"/>
                <w:color w:val="auto"/>
                <w:sz w:val="22"/>
                <w:szCs w:val="22"/>
              </w:rPr>
              <w:t>投标</w:t>
            </w:r>
            <w:r>
              <w:rPr>
                <w:rFonts w:hint="eastAsia" w:ascii="宋体" w:hAnsi="宋体" w:cs="宋体"/>
                <w:color w:val="auto"/>
                <w:sz w:val="22"/>
                <w:szCs w:val="22"/>
                <w:lang w:val="zh-CN"/>
              </w:rPr>
              <w:t>活动等事宜</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18</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lang w:val="zh-CN"/>
              </w:rPr>
            </w:pPr>
            <w:r>
              <w:rPr>
                <w:rFonts w:hint="eastAsia" w:ascii="宋体" w:hAnsi="宋体" w:cs="宋体"/>
                <w:color w:val="auto"/>
                <w:kern w:val="0"/>
                <w:sz w:val="22"/>
                <w:szCs w:val="22"/>
              </w:rPr>
              <w:t>询标澄清</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pStyle w:val="25"/>
              <w:numPr>
                <w:ilvl w:val="0"/>
                <w:numId w:val="2"/>
              </w:numPr>
              <w:spacing w:line="400" w:lineRule="exact"/>
              <w:rPr>
                <w:rFonts w:ascii="宋体" w:hAnsi="宋体" w:cs="宋体"/>
                <w:color w:val="auto"/>
                <w:sz w:val="22"/>
                <w:szCs w:val="22"/>
                <w:lang w:val="zh-CN"/>
              </w:rPr>
            </w:pPr>
            <w:r>
              <w:rPr>
                <w:rFonts w:hint="eastAsia" w:ascii="宋体" w:hAnsi="宋体" w:cs="宋体"/>
                <w:color w:val="auto"/>
                <w:sz w:val="22"/>
                <w:szCs w:val="22"/>
                <w:lang w:val="zh-CN"/>
              </w:rPr>
              <w:t>在评标过程中，如评审小组对供应商递交的电子响应文件存有疑问要求供应商进行澄清或根据评审需求需要与供应商进行评审的，将采用在政采云系统上向供应商发起询标函的方式进行。供应商须在“规定时间”内登录政采云系统根据标项回复询标函，具体操作流程详见《政府采购项目电子交易管理操作指南-供应商》（供应商自行去政采云系统上进行下载）.</w:t>
            </w:r>
          </w:p>
          <w:p>
            <w:pPr>
              <w:pStyle w:val="25"/>
              <w:numPr>
                <w:ilvl w:val="0"/>
                <w:numId w:val="2"/>
              </w:numPr>
              <w:spacing w:line="400" w:lineRule="exact"/>
              <w:rPr>
                <w:rFonts w:ascii="宋体" w:hAnsi="宋体" w:cs="宋体"/>
                <w:color w:val="auto"/>
                <w:sz w:val="22"/>
                <w:szCs w:val="22"/>
                <w:lang w:val="zh-CN"/>
              </w:rPr>
            </w:pPr>
            <w:r>
              <w:rPr>
                <w:rFonts w:hint="eastAsia" w:ascii="宋体" w:hAnsi="宋体" w:cs="宋体"/>
                <w:color w:val="auto"/>
                <w:sz w:val="22"/>
                <w:szCs w:val="22"/>
                <w:lang w:val="zh-CN"/>
              </w:rPr>
              <w:t>本项目采购过程中，涉及的供应商联系方式（如手机号码、</w:t>
            </w:r>
            <w:r>
              <w:rPr>
                <w:rFonts w:hint="eastAsia" w:ascii="宋体" w:hAnsi="宋体" w:cs="宋体"/>
                <w:color w:val="auto"/>
                <w:sz w:val="22"/>
                <w:szCs w:val="22"/>
              </w:rPr>
              <w:t>响应</w:t>
            </w:r>
            <w:r>
              <w:rPr>
                <w:rFonts w:hint="eastAsia" w:ascii="宋体" w:hAnsi="宋体" w:cs="宋体"/>
                <w:color w:val="auto"/>
                <w:sz w:val="22"/>
                <w:szCs w:val="22"/>
                <w:lang w:val="zh-CN"/>
              </w:rPr>
              <w:t>文件中预留的邮箱、供应商地址），均以供应商递交的电子</w:t>
            </w:r>
            <w:r>
              <w:rPr>
                <w:rFonts w:hint="eastAsia" w:ascii="宋体" w:hAnsi="宋体" w:cs="宋体"/>
                <w:color w:val="auto"/>
                <w:sz w:val="22"/>
                <w:szCs w:val="22"/>
              </w:rPr>
              <w:t>响应</w:t>
            </w:r>
            <w:r>
              <w:rPr>
                <w:rFonts w:hint="eastAsia" w:ascii="宋体" w:hAnsi="宋体" w:cs="宋体"/>
                <w:color w:val="auto"/>
                <w:sz w:val="22"/>
                <w:szCs w:val="22"/>
                <w:lang w:val="zh-CN"/>
              </w:rPr>
              <w:t>文件中《法定代表人资格声明书》或《法定代表人授权委托书》上注明的联系方式为准。</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19</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rPr>
            </w:pPr>
            <w:r>
              <w:rPr>
                <w:rFonts w:hint="eastAsia" w:ascii="宋体" w:hAnsi="宋体" w:cs="宋体"/>
                <w:color w:val="auto"/>
                <w:kern w:val="0"/>
                <w:sz w:val="22"/>
                <w:szCs w:val="22"/>
              </w:rPr>
              <w:t>评标委员会</w:t>
            </w:r>
          </w:p>
          <w:p>
            <w:pPr>
              <w:spacing w:line="400" w:lineRule="exact"/>
              <w:rPr>
                <w:rFonts w:ascii="宋体" w:hAnsi="宋体" w:cs="宋体"/>
                <w:color w:val="auto"/>
                <w:kern w:val="0"/>
                <w:sz w:val="22"/>
                <w:szCs w:val="22"/>
                <w:lang w:val="zh-CN"/>
              </w:rPr>
            </w:pPr>
            <w:r>
              <w:rPr>
                <w:rFonts w:hint="eastAsia" w:ascii="宋体" w:hAnsi="宋体" w:cs="宋体"/>
                <w:color w:val="auto"/>
                <w:kern w:val="0"/>
                <w:sz w:val="22"/>
                <w:szCs w:val="22"/>
              </w:rPr>
              <w:t>的组建</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lang w:val="zh-CN"/>
              </w:rPr>
            </w:pPr>
            <w:r>
              <w:rPr>
                <w:rFonts w:hint="eastAsia" w:ascii="宋体" w:hAnsi="宋体" w:cs="宋体"/>
                <w:color w:val="auto"/>
                <w:sz w:val="22"/>
                <w:szCs w:val="22"/>
              </w:rPr>
              <w:t>采购人按照《中华人民共和国政府采购法》等有关法律、法规的规定组建评标委员会，评标委员会由采购人代表和有关技术、经济等方面的专家组成，成员人数为5人（含）以上单数，除采购人代表外的专家将在评标专家库中随机抽取产生。</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20</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lang w:val="zh-CN"/>
              </w:rPr>
            </w:pPr>
            <w:r>
              <w:rPr>
                <w:rFonts w:hint="eastAsia" w:ascii="宋体" w:hAnsi="宋体" w:cs="宋体"/>
                <w:color w:val="auto"/>
                <w:kern w:val="0"/>
                <w:sz w:val="22"/>
                <w:szCs w:val="22"/>
              </w:rPr>
              <w:t>履约担保</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rPr>
            </w:pPr>
            <w:r>
              <w:rPr>
                <w:rFonts w:hint="eastAsia" w:ascii="宋体" w:hAnsi="宋体" w:cs="宋体"/>
                <w:color w:val="auto"/>
                <w:kern w:val="0"/>
                <w:sz w:val="22"/>
                <w:szCs w:val="22"/>
              </w:rPr>
              <w:fldChar w:fldCharType="begin"/>
            </w:r>
            <w:r>
              <w:rPr>
                <w:rFonts w:hint="eastAsia" w:ascii="宋体" w:hAnsi="宋体" w:cs="宋体"/>
                <w:color w:val="auto"/>
                <w:kern w:val="0"/>
                <w:sz w:val="22"/>
                <w:szCs w:val="22"/>
              </w:rPr>
              <w:instrText xml:space="preserve"> eq \o\ac(</w:instrText>
            </w:r>
            <w:r>
              <w:rPr>
                <w:rFonts w:hint="eastAsia" w:ascii="宋体" w:hAnsi="宋体" w:cs="宋体"/>
                <w:color w:val="auto"/>
                <w:kern w:val="0"/>
                <w:position w:val="-4"/>
                <w:sz w:val="22"/>
                <w:szCs w:val="22"/>
              </w:rPr>
              <w:instrText xml:space="preserve">□</w:instrText>
            </w:r>
            <w:r>
              <w:rPr>
                <w:rFonts w:hint="eastAsia" w:ascii="宋体" w:hAnsi="宋体" w:cs="宋体"/>
                <w:color w:val="auto"/>
                <w:kern w:val="0"/>
                <w:sz w:val="22"/>
                <w:szCs w:val="22"/>
              </w:rPr>
              <w:instrText xml:space="preserve">)</w:instrText>
            </w:r>
            <w:r>
              <w:rPr>
                <w:rFonts w:hint="eastAsia" w:ascii="宋体" w:hAnsi="宋体" w:cs="宋体"/>
                <w:color w:val="auto"/>
                <w:kern w:val="0"/>
                <w:sz w:val="22"/>
                <w:szCs w:val="22"/>
              </w:rPr>
              <w:fldChar w:fldCharType="end"/>
            </w:r>
            <w:r>
              <w:rPr>
                <w:rFonts w:hint="eastAsia" w:ascii="宋体" w:hAnsi="宋体" w:cs="宋体"/>
                <w:color w:val="auto"/>
                <w:kern w:val="0"/>
                <w:sz w:val="22"/>
                <w:szCs w:val="22"/>
              </w:rPr>
              <w:t>需要</w:t>
            </w:r>
          </w:p>
          <w:p>
            <w:pPr>
              <w:spacing w:line="400" w:lineRule="exact"/>
              <w:rPr>
                <w:rFonts w:ascii="宋体" w:hAnsi="宋体" w:cs="宋体"/>
                <w:color w:val="auto"/>
                <w:kern w:val="0"/>
                <w:sz w:val="22"/>
                <w:szCs w:val="22"/>
                <w:lang w:val="zh-CN"/>
              </w:rPr>
            </w:pPr>
            <w:r>
              <w:rPr>
                <w:rFonts w:hint="eastAsia" w:ascii="宋体" w:hAnsi="宋体" w:cs="宋体"/>
                <w:b/>
                <w:bCs/>
                <w:color w:val="auto"/>
                <w:kern w:val="0"/>
                <w:sz w:val="22"/>
                <w:szCs w:val="22"/>
              </w:rPr>
              <w:fldChar w:fldCharType="begin"/>
            </w:r>
            <w:r>
              <w:rPr>
                <w:rFonts w:hint="eastAsia" w:ascii="宋体" w:hAnsi="宋体" w:cs="宋体"/>
                <w:b/>
                <w:bCs/>
                <w:color w:val="auto"/>
                <w:kern w:val="0"/>
                <w:sz w:val="22"/>
                <w:szCs w:val="22"/>
              </w:rPr>
              <w:instrText xml:space="preserve"> eq \o\ac(</w:instrText>
            </w:r>
            <w:r>
              <w:rPr>
                <w:rFonts w:hint="eastAsia" w:ascii="宋体" w:hAnsi="宋体" w:cs="宋体"/>
                <w:b/>
                <w:bCs/>
                <w:color w:val="auto"/>
                <w:kern w:val="0"/>
                <w:position w:val="-4"/>
                <w:sz w:val="22"/>
                <w:szCs w:val="22"/>
              </w:rPr>
              <w:instrText xml:space="preserve">□,</w:instrText>
            </w:r>
            <w:r>
              <w:rPr>
                <w:rFonts w:hint="eastAsia" w:ascii="宋体" w:hAnsi="宋体" w:cs="宋体"/>
                <w:b/>
                <w:bCs/>
                <w:color w:val="auto"/>
                <w:kern w:val="0"/>
                <w:position w:val="-1"/>
                <w:sz w:val="15"/>
                <w:szCs w:val="22"/>
              </w:rPr>
              <w:instrText xml:space="preserve">√</w:instrText>
            </w:r>
            <w:r>
              <w:rPr>
                <w:rFonts w:hint="eastAsia" w:ascii="宋体" w:hAnsi="宋体" w:cs="宋体"/>
                <w:b/>
                <w:bCs/>
                <w:color w:val="auto"/>
                <w:kern w:val="0"/>
                <w:sz w:val="22"/>
                <w:szCs w:val="22"/>
              </w:rPr>
              <w:instrText xml:space="preserve">)</w:instrText>
            </w:r>
            <w:r>
              <w:rPr>
                <w:rFonts w:hint="eastAsia" w:ascii="宋体" w:hAnsi="宋体" w:cs="宋体"/>
                <w:b/>
                <w:bCs/>
                <w:color w:val="auto"/>
                <w:kern w:val="0"/>
                <w:sz w:val="22"/>
                <w:szCs w:val="22"/>
              </w:rPr>
              <w:fldChar w:fldCharType="end"/>
            </w:r>
            <w:r>
              <w:rPr>
                <w:rFonts w:hint="eastAsia" w:ascii="宋体" w:hAnsi="宋体" w:cs="宋体"/>
                <w:b/>
                <w:bCs/>
                <w:color w:val="auto"/>
                <w:kern w:val="0"/>
                <w:sz w:val="22"/>
                <w:szCs w:val="22"/>
              </w:rPr>
              <w:t>不需要</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lang w:val="zh-CN"/>
              </w:rPr>
              <w:t>21</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djustRightInd w:val="0"/>
              <w:spacing w:line="400" w:lineRule="exact"/>
              <w:jc w:val="center"/>
              <w:rPr>
                <w:rFonts w:ascii="宋体" w:hAnsi="宋体" w:cs="宋体"/>
                <w:color w:val="auto"/>
                <w:sz w:val="22"/>
                <w:szCs w:val="22"/>
              </w:rPr>
            </w:pPr>
            <w:r>
              <w:rPr>
                <w:rFonts w:hint="eastAsia" w:ascii="宋体" w:hAnsi="宋体" w:cs="宋体"/>
                <w:color w:val="auto"/>
                <w:sz w:val="22"/>
                <w:szCs w:val="22"/>
              </w:rPr>
              <w:t>政府采购</w:t>
            </w:r>
          </w:p>
          <w:p>
            <w:pPr>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sz w:val="22"/>
                <w:szCs w:val="22"/>
              </w:rPr>
              <w:t>扶持政策</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3"/>
              </w:numPr>
              <w:autoSpaceDE w:val="0"/>
              <w:autoSpaceDN w:val="0"/>
              <w:adjustRightInd w:val="0"/>
              <w:spacing w:line="400" w:lineRule="exact"/>
              <w:rPr>
                <w:color w:val="auto"/>
                <w:sz w:val="22"/>
                <w:szCs w:val="22"/>
              </w:rPr>
            </w:pPr>
            <w:r>
              <w:rPr>
                <w:rFonts w:hint="eastAsia"/>
                <w:color w:val="auto"/>
                <w:sz w:val="22"/>
                <w:szCs w:val="22"/>
              </w:rPr>
              <w:t>中小微企业扶持政策</w:t>
            </w:r>
          </w:p>
          <w:p>
            <w:pPr>
              <w:numPr>
                <w:ilvl w:val="0"/>
                <w:numId w:val="4"/>
              </w:numPr>
              <w:autoSpaceDE w:val="0"/>
              <w:autoSpaceDN w:val="0"/>
              <w:adjustRightInd w:val="0"/>
              <w:spacing w:line="400" w:lineRule="exact"/>
              <w:rPr>
                <w:b/>
                <w:bCs/>
                <w:color w:val="auto"/>
                <w:sz w:val="22"/>
                <w:szCs w:val="22"/>
                <w:lang w:val="zh-CN"/>
              </w:rPr>
            </w:pPr>
            <w:r>
              <w:rPr>
                <w:rFonts w:hint="eastAsia"/>
                <w:color w:val="auto"/>
                <w:sz w:val="22"/>
                <w:szCs w:val="22"/>
                <w:lang w:val="zh-CN"/>
              </w:rPr>
              <w:t>本次采购为</w:t>
            </w:r>
            <w:r>
              <w:rPr>
                <w:rFonts w:hint="eastAsia"/>
                <w:b/>
                <w:bCs/>
                <w:color w:val="auto"/>
                <w:sz w:val="22"/>
                <w:szCs w:val="22"/>
                <w:u w:val="single"/>
                <w:lang w:val="zh-CN"/>
              </w:rPr>
              <w:t xml:space="preserve"> 否 </w:t>
            </w:r>
            <w:r>
              <w:rPr>
                <w:rFonts w:hint="eastAsia"/>
                <w:color w:val="auto"/>
                <w:sz w:val="22"/>
                <w:szCs w:val="22"/>
                <w:lang w:val="zh-CN"/>
              </w:rPr>
              <w:t>专门面向中小企业预留采购份额的采购项目。</w:t>
            </w:r>
            <w:r>
              <w:rPr>
                <w:rFonts w:ascii="宋体" w:hAnsi="宋体" w:cs="新宋体"/>
                <w:b/>
                <w:bCs/>
                <w:color w:val="auto"/>
                <w:kern w:val="0"/>
                <w:sz w:val="22"/>
                <w:szCs w:val="22"/>
                <w:lang w:val="zh-CN"/>
              </w:rPr>
              <w:t>参加本次采购活动的</w:t>
            </w:r>
            <w:r>
              <w:rPr>
                <w:rFonts w:hint="eastAsia" w:ascii="宋体" w:hAnsi="宋体" w:cs="新宋体"/>
                <w:b/>
                <w:bCs/>
                <w:color w:val="auto"/>
                <w:kern w:val="0"/>
                <w:sz w:val="22"/>
                <w:szCs w:val="22"/>
                <w:lang w:val="zh-CN"/>
              </w:rPr>
              <w:t>投标人为</w:t>
            </w:r>
            <w:r>
              <w:rPr>
                <w:rFonts w:ascii="宋体" w:hAnsi="宋体" w:cs="新宋体"/>
                <w:b/>
                <w:bCs/>
                <w:color w:val="auto"/>
                <w:kern w:val="0"/>
                <w:sz w:val="22"/>
                <w:szCs w:val="22"/>
                <w:lang w:val="zh-CN"/>
              </w:rPr>
              <w:t>小微企业</w:t>
            </w:r>
            <w:r>
              <w:rPr>
                <w:rFonts w:hint="eastAsia" w:ascii="宋体" w:hAnsi="宋体" w:cs="新宋体"/>
                <w:b/>
                <w:bCs/>
                <w:color w:val="auto"/>
                <w:kern w:val="0"/>
                <w:sz w:val="22"/>
                <w:szCs w:val="22"/>
                <w:lang w:val="zh-CN"/>
              </w:rPr>
              <w:t>（即提供服务的人员为</w:t>
            </w:r>
            <w:r>
              <w:rPr>
                <w:rFonts w:ascii="宋体" w:hAnsi="宋体" w:cs="新宋体"/>
                <w:b/>
                <w:bCs/>
                <w:color w:val="auto"/>
                <w:kern w:val="0"/>
                <w:sz w:val="22"/>
                <w:szCs w:val="22"/>
                <w:lang w:val="zh-CN"/>
              </w:rPr>
              <w:t>小微企业</w:t>
            </w:r>
            <w:r>
              <w:rPr>
                <w:rFonts w:hint="eastAsia" w:ascii="宋体" w:hAnsi="宋体" w:cs="新宋体"/>
                <w:b/>
                <w:bCs/>
                <w:color w:val="auto"/>
                <w:kern w:val="0"/>
                <w:sz w:val="22"/>
                <w:szCs w:val="22"/>
                <w:lang w:val="zh-CN"/>
              </w:rPr>
              <w:t>依照《中华人民共和国劳动合同法》订立劳动合同的从业人员。）</w:t>
            </w:r>
            <w:r>
              <w:rPr>
                <w:rFonts w:ascii="宋体" w:hAnsi="宋体" w:cs="新宋体"/>
                <w:b/>
                <w:bCs/>
                <w:color w:val="auto"/>
                <w:kern w:val="0"/>
                <w:sz w:val="22"/>
                <w:szCs w:val="22"/>
                <w:lang w:val="zh-CN"/>
              </w:rPr>
              <w:t>其报价给予</w:t>
            </w:r>
            <w:r>
              <w:rPr>
                <w:rFonts w:hint="eastAsia" w:ascii="宋体" w:hAnsi="宋体" w:cs="新宋体"/>
                <w:b/>
                <w:bCs/>
                <w:color w:val="auto"/>
                <w:kern w:val="0"/>
                <w:sz w:val="22"/>
                <w:szCs w:val="22"/>
              </w:rPr>
              <w:t>10</w:t>
            </w:r>
            <w:r>
              <w:rPr>
                <w:rFonts w:hint="eastAsia" w:ascii="宋体" w:hAnsi="宋体" w:cs="新宋体"/>
                <w:b/>
                <w:bCs/>
                <w:color w:val="auto"/>
                <w:kern w:val="0"/>
                <w:sz w:val="22"/>
                <w:szCs w:val="22"/>
                <w:lang w:val="zh-CN"/>
              </w:rPr>
              <w:t>%</w:t>
            </w:r>
            <w:r>
              <w:rPr>
                <w:rFonts w:ascii="宋体" w:hAnsi="宋体" w:cs="新宋体"/>
                <w:b/>
                <w:bCs/>
                <w:color w:val="auto"/>
                <w:kern w:val="0"/>
                <w:sz w:val="22"/>
                <w:szCs w:val="22"/>
                <w:lang w:val="zh-CN"/>
              </w:rPr>
              <w:t>的扣除，用扣除后的价格参加评审</w:t>
            </w:r>
            <w:r>
              <w:rPr>
                <w:rFonts w:hint="eastAsia" w:ascii="宋体" w:hAnsi="宋体" w:cs="新宋体"/>
                <w:b/>
                <w:bCs/>
                <w:color w:val="auto"/>
                <w:kern w:val="0"/>
                <w:sz w:val="22"/>
                <w:szCs w:val="22"/>
                <w:lang w:val="zh-CN"/>
              </w:rPr>
              <w:t>。</w:t>
            </w:r>
          </w:p>
          <w:p>
            <w:pPr>
              <w:numPr>
                <w:ilvl w:val="0"/>
                <w:numId w:val="4"/>
              </w:numPr>
              <w:autoSpaceDE w:val="0"/>
              <w:autoSpaceDN w:val="0"/>
              <w:adjustRightInd w:val="0"/>
              <w:spacing w:line="400" w:lineRule="exact"/>
              <w:rPr>
                <w:b/>
                <w:bCs/>
                <w:color w:val="auto"/>
                <w:sz w:val="22"/>
                <w:szCs w:val="22"/>
                <w:lang w:val="zh-CN"/>
              </w:rPr>
            </w:pPr>
            <w:r>
              <w:rPr>
                <w:rFonts w:hint="eastAsia"/>
                <w:b/>
                <w:bCs/>
                <w:color w:val="auto"/>
                <w:sz w:val="22"/>
                <w:szCs w:val="22"/>
                <w:lang w:val="zh-CN"/>
              </w:rPr>
              <w:t>对于联合体协议或者分包意向协议约定小微企业合同份额占到合同总金额30%以上的，对其投标报价给予</w:t>
            </w:r>
            <w:r>
              <w:rPr>
                <w:rFonts w:hint="eastAsia"/>
                <w:b/>
                <w:bCs/>
                <w:color w:val="auto"/>
                <w:sz w:val="22"/>
                <w:szCs w:val="22"/>
              </w:rPr>
              <w:t>6</w:t>
            </w:r>
            <w:r>
              <w:rPr>
                <w:rFonts w:hint="eastAsia"/>
                <w:b/>
                <w:bCs/>
                <w:color w:val="auto"/>
                <w:sz w:val="22"/>
                <w:szCs w:val="22"/>
                <w:lang w:val="zh-CN"/>
              </w:rPr>
              <w:t>%的扣除，用扣除后的价格参与评审。</w:t>
            </w:r>
          </w:p>
          <w:p>
            <w:pPr>
              <w:numPr>
                <w:ilvl w:val="0"/>
                <w:numId w:val="4"/>
              </w:numPr>
              <w:autoSpaceDE w:val="0"/>
              <w:autoSpaceDN w:val="0"/>
              <w:adjustRightInd w:val="0"/>
              <w:spacing w:line="400" w:lineRule="exact"/>
              <w:rPr>
                <w:color w:val="auto"/>
                <w:sz w:val="22"/>
                <w:szCs w:val="22"/>
                <w:lang w:val="zh-CN"/>
              </w:rPr>
            </w:pPr>
            <w:r>
              <w:rPr>
                <w:rFonts w:hint="eastAsia"/>
                <w:color w:val="auto"/>
                <w:sz w:val="22"/>
                <w:szCs w:val="22"/>
                <w:lang w:val="zh-CN"/>
              </w:rPr>
              <w:t>本采购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numPr>
                <w:ilvl w:val="0"/>
                <w:numId w:val="4"/>
              </w:numPr>
              <w:autoSpaceDE w:val="0"/>
              <w:autoSpaceDN w:val="0"/>
              <w:adjustRightInd w:val="0"/>
              <w:spacing w:line="400" w:lineRule="exact"/>
              <w:rPr>
                <w:color w:val="auto"/>
                <w:sz w:val="22"/>
                <w:szCs w:val="22"/>
                <w:lang w:val="zh-CN"/>
              </w:rPr>
            </w:pPr>
            <w:r>
              <w:rPr>
                <w:rFonts w:ascii="宋体" w:hAnsi="宋体" w:cs="新宋体"/>
                <w:color w:val="auto"/>
                <w:kern w:val="0"/>
                <w:sz w:val="22"/>
                <w:lang w:val="zh-CN"/>
              </w:rPr>
              <w:t>本次采购标的为</w:t>
            </w:r>
            <w:r>
              <w:rPr>
                <w:rFonts w:hint="eastAsia" w:ascii="宋体" w:hAnsi="宋体" w:cs="新宋体"/>
                <w:b/>
                <w:bCs/>
                <w:color w:val="auto"/>
                <w:kern w:val="0"/>
                <w:sz w:val="22"/>
                <w:u w:val="single"/>
                <w:lang w:val="zh-CN"/>
              </w:rPr>
              <w:t>服务</w:t>
            </w:r>
            <w:r>
              <w:rPr>
                <w:rFonts w:ascii="宋体" w:hAnsi="宋体" w:cs="新宋体"/>
                <w:color w:val="auto"/>
                <w:kern w:val="0"/>
                <w:sz w:val="22"/>
                <w:lang w:val="zh-CN"/>
              </w:rPr>
              <w:t>，对应的中小企业划分标准所属行业是：</w:t>
            </w:r>
            <w:r>
              <w:rPr>
                <w:rFonts w:hint="eastAsia" w:ascii="宋体" w:hAnsi="宋体" w:cs="新宋体"/>
                <w:b/>
                <w:bCs/>
                <w:color w:val="auto"/>
                <w:kern w:val="0"/>
                <w:sz w:val="22"/>
                <w:u w:val="single"/>
                <w:lang w:val="zh-CN"/>
              </w:rPr>
              <w:t>软件和信息技术服务业</w:t>
            </w:r>
            <w:r>
              <w:rPr>
                <w:rFonts w:ascii="宋体" w:hAnsi="宋体" w:cs="新宋体"/>
                <w:color w:val="auto"/>
                <w:kern w:val="0"/>
                <w:sz w:val="22"/>
                <w:lang w:val="zh-CN"/>
              </w:rPr>
              <w:t>（</w:t>
            </w:r>
            <w:r>
              <w:rPr>
                <w:rFonts w:hint="eastAsia" w:ascii="宋体" w:hAnsi="宋体" w:cs="新宋体"/>
                <w:color w:val="auto"/>
                <w:kern w:val="0"/>
                <w:sz w:val="22"/>
                <w:lang w:val="zh-CN"/>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宋体" w:hAnsi="宋体" w:cs="新宋体"/>
                <w:color w:val="auto"/>
                <w:kern w:val="0"/>
                <w:sz w:val="22"/>
                <w:lang w:val="zh-CN"/>
              </w:rPr>
              <w:t>）</w:t>
            </w:r>
          </w:p>
          <w:p>
            <w:pPr>
              <w:numPr>
                <w:ilvl w:val="0"/>
                <w:numId w:val="4"/>
              </w:numPr>
              <w:autoSpaceDE w:val="0"/>
              <w:autoSpaceDN w:val="0"/>
              <w:adjustRightInd w:val="0"/>
              <w:spacing w:line="400" w:lineRule="exact"/>
              <w:rPr>
                <w:color w:val="auto"/>
                <w:sz w:val="22"/>
                <w:szCs w:val="22"/>
                <w:lang w:val="zh-CN"/>
              </w:rPr>
            </w:pPr>
            <w:r>
              <w:rPr>
                <w:rFonts w:hint="eastAsia"/>
                <w:color w:val="auto"/>
                <w:sz w:val="22"/>
                <w:szCs w:val="22"/>
                <w:lang w:val="zh-CN"/>
              </w:rPr>
              <w:t>以联合体形式参加政府采购活动，联合体各方均为中小企业的，联合体视同中小企业。其中，联合体各方均为小微企业的，联合体视同小微企业。</w:t>
            </w:r>
          </w:p>
          <w:p>
            <w:pPr>
              <w:numPr>
                <w:ilvl w:val="0"/>
                <w:numId w:val="4"/>
              </w:numPr>
              <w:autoSpaceDE w:val="0"/>
              <w:autoSpaceDN w:val="0"/>
              <w:adjustRightInd w:val="0"/>
              <w:spacing w:line="400" w:lineRule="exact"/>
              <w:rPr>
                <w:color w:val="auto"/>
                <w:sz w:val="22"/>
                <w:szCs w:val="22"/>
                <w:lang w:val="zh-CN"/>
              </w:rPr>
            </w:pPr>
            <w:r>
              <w:rPr>
                <w:rFonts w:hint="eastAsia"/>
                <w:color w:val="auto"/>
                <w:sz w:val="22"/>
                <w:szCs w:val="22"/>
                <w:lang w:val="zh-CN"/>
              </w:rPr>
              <w:t>投标人应当出具《中小企业声明函》，否则其报价不予扣除。</w:t>
            </w:r>
          </w:p>
          <w:p>
            <w:pPr>
              <w:numPr>
                <w:ilvl w:val="0"/>
                <w:numId w:val="4"/>
              </w:numPr>
              <w:autoSpaceDE w:val="0"/>
              <w:autoSpaceDN w:val="0"/>
              <w:adjustRightInd w:val="0"/>
              <w:spacing w:line="400" w:lineRule="exact"/>
              <w:rPr>
                <w:color w:val="auto"/>
                <w:sz w:val="22"/>
                <w:szCs w:val="22"/>
                <w:lang w:val="zh-CN"/>
              </w:rPr>
            </w:pPr>
            <w:r>
              <w:rPr>
                <w:rFonts w:hint="eastAsia"/>
                <w:color w:val="auto"/>
                <w:sz w:val="22"/>
                <w:szCs w:val="22"/>
                <w:lang w:val="zh-CN"/>
              </w:rPr>
              <w:t>残疾人福利性单位视同小微企业，享受小微企业同等的价格扣除。残疾人福利性单位参加政府采购活动时，应当提供《残疾人福利性单位声明函》。</w:t>
            </w:r>
          </w:p>
          <w:p>
            <w:pPr>
              <w:numPr>
                <w:ilvl w:val="0"/>
                <w:numId w:val="4"/>
              </w:numPr>
              <w:autoSpaceDE w:val="0"/>
              <w:autoSpaceDN w:val="0"/>
              <w:adjustRightInd w:val="0"/>
              <w:spacing w:line="400" w:lineRule="exact"/>
              <w:rPr>
                <w:color w:val="auto"/>
                <w:sz w:val="22"/>
                <w:szCs w:val="22"/>
                <w:lang w:val="zh-CN"/>
              </w:rPr>
            </w:pPr>
            <w:r>
              <w:rPr>
                <w:rFonts w:hint="eastAsia"/>
                <w:color w:val="auto"/>
                <w:sz w:val="22"/>
                <w:szCs w:val="22"/>
                <w:lang w:val="zh-CN"/>
              </w:rPr>
              <w:t>监狱企业视同小微企业，享受小微企业同等的价格扣除。监狱企业参加政府采购活动时，应当提供监狱企业声明函。</w:t>
            </w:r>
          </w:p>
          <w:p>
            <w:pPr>
              <w:numPr>
                <w:ilvl w:val="0"/>
                <w:numId w:val="4"/>
              </w:numPr>
              <w:autoSpaceDE w:val="0"/>
              <w:autoSpaceDN w:val="0"/>
              <w:adjustRightInd w:val="0"/>
              <w:spacing w:line="400" w:lineRule="exact"/>
              <w:rPr>
                <w:color w:val="auto"/>
                <w:lang w:val="zh-CN"/>
              </w:rPr>
            </w:pPr>
            <w:r>
              <w:rPr>
                <w:rFonts w:ascii="宋体" w:hAnsi="宋体" w:cs="新宋体"/>
                <w:color w:val="auto"/>
                <w:kern w:val="0"/>
                <w:sz w:val="22"/>
                <w:szCs w:val="22"/>
                <w:lang w:val="zh-CN"/>
              </w:rPr>
              <w:t>符合小微企业划分标准的个体工商户，视同小微企业。</w:t>
            </w:r>
          </w:p>
          <w:p>
            <w:pPr>
              <w:numPr>
                <w:ilvl w:val="0"/>
                <w:numId w:val="3"/>
              </w:numPr>
              <w:autoSpaceDE w:val="0"/>
              <w:autoSpaceDN w:val="0"/>
              <w:adjustRightInd w:val="0"/>
              <w:spacing w:line="400" w:lineRule="exact"/>
              <w:rPr>
                <w:color w:val="auto"/>
                <w:sz w:val="22"/>
                <w:szCs w:val="22"/>
                <w:lang w:val="zh-CN"/>
              </w:rPr>
            </w:pPr>
            <w:r>
              <w:rPr>
                <w:rFonts w:hint="eastAsia"/>
                <w:color w:val="auto"/>
                <w:sz w:val="22"/>
                <w:szCs w:val="22"/>
                <w:lang w:val="zh-CN"/>
              </w:rPr>
              <w:t>政府采购金融服务相关信息告知函</w:t>
            </w:r>
          </w:p>
          <w:p>
            <w:pPr>
              <w:autoSpaceDE w:val="0"/>
              <w:autoSpaceDN w:val="0"/>
              <w:adjustRightInd w:val="0"/>
              <w:spacing w:line="400" w:lineRule="exact"/>
              <w:ind w:firstLine="440" w:firstLineChars="200"/>
              <w:rPr>
                <w:color w:val="auto"/>
                <w:sz w:val="22"/>
                <w:szCs w:val="22"/>
                <w:lang w:val="zh-CN"/>
              </w:rPr>
            </w:pPr>
            <w:r>
              <w:rPr>
                <w:rFonts w:hint="eastAsia"/>
                <w:color w:val="auto"/>
                <w:sz w:val="22"/>
                <w:szCs w:val="22"/>
                <w:lang w:val="zh-CN"/>
              </w:rPr>
              <w:t>为优化政府采购营商环境，缓解投标人资金难题，助力打赢疫情防控阻击战，根据浙江省财政厅印发《关于坚决打赢疫情防控阻击战进一步做好政府采购资金支持企业发展工作的通知（浙财采监【2020】3号）》文件的精神，现将政府采购金融服务相关信息予以告知。</w:t>
            </w:r>
          </w:p>
          <w:p>
            <w:pPr>
              <w:autoSpaceDE w:val="0"/>
              <w:autoSpaceDN w:val="0"/>
              <w:adjustRightInd w:val="0"/>
              <w:spacing w:line="400" w:lineRule="exact"/>
              <w:ind w:firstLine="440" w:firstLineChars="200"/>
              <w:rPr>
                <w:color w:val="auto"/>
                <w:lang w:val="zh-CN"/>
              </w:rPr>
            </w:pPr>
            <w:r>
              <w:rPr>
                <w:rFonts w:hint="eastAsia"/>
                <w:color w:val="auto"/>
                <w:sz w:val="22"/>
                <w:szCs w:val="22"/>
                <w:lang w:val="zh-CN"/>
              </w:rPr>
              <w:t>为支持和促进中小企业发展，进一步发挥政府采购政策功能，温州市财政局出台了《温州市财政局关于温州市政府采购支持中小企业信用融资的通知》（温财采〔2020〕3号），投标人若有融资意向，可直接登录http://jinrong.zcygov.cn，查看信用融资政策文件及各相关银行服务方案，也可直接向各银行咨询相关业务。</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rPr>
              <w:t>22</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lang w:val="zh-CN"/>
              </w:rPr>
            </w:pPr>
            <w:r>
              <w:rPr>
                <w:rFonts w:hint="eastAsia" w:ascii="宋体" w:hAnsi="宋体" w:cs="宋体"/>
                <w:color w:val="auto"/>
                <w:sz w:val="22"/>
                <w:szCs w:val="22"/>
              </w:rPr>
              <w:t>供应商信用查询</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left"/>
              <w:rPr>
                <w:rFonts w:ascii="宋体" w:hAnsi="宋体" w:cs="宋体"/>
                <w:color w:val="auto"/>
                <w:sz w:val="22"/>
                <w:szCs w:val="22"/>
              </w:rPr>
            </w:pPr>
            <w:r>
              <w:rPr>
                <w:rFonts w:hint="eastAsia" w:ascii="宋体" w:hAnsi="宋体" w:cs="宋体"/>
                <w:color w:val="auto"/>
                <w:sz w:val="22"/>
                <w:szCs w:val="22"/>
              </w:rPr>
              <w:t>（1）供应商信用信息查询的查询渠道：“信用中国”(</w:t>
            </w:r>
            <w:r>
              <w:rPr>
                <w:color w:val="auto"/>
              </w:rPr>
              <w:fldChar w:fldCharType="begin"/>
            </w:r>
            <w:r>
              <w:rPr>
                <w:color w:val="auto"/>
              </w:rPr>
              <w:instrText xml:space="preserve"> HYPERLINK "http://www.creditchina.gov.cn" </w:instrText>
            </w:r>
            <w:r>
              <w:rPr>
                <w:color w:val="auto"/>
              </w:rPr>
              <w:fldChar w:fldCharType="separate"/>
            </w:r>
            <w:r>
              <w:rPr>
                <w:rFonts w:hint="eastAsia" w:ascii="宋体" w:hAnsi="宋体" w:cs="宋体"/>
                <w:color w:val="auto"/>
                <w:sz w:val="22"/>
                <w:szCs w:val="22"/>
              </w:rPr>
              <w:t>www.creditchina.gov.cn</w:t>
            </w:r>
            <w:r>
              <w:rPr>
                <w:rFonts w:hint="eastAsia" w:ascii="宋体" w:hAnsi="宋体" w:cs="宋体"/>
                <w:color w:val="auto"/>
                <w:sz w:val="22"/>
                <w:szCs w:val="22"/>
              </w:rPr>
              <w:fldChar w:fldCharType="end"/>
            </w:r>
            <w:r>
              <w:rPr>
                <w:rFonts w:hint="eastAsia" w:ascii="宋体" w:hAnsi="宋体" w:cs="宋体"/>
                <w:color w:val="auto"/>
                <w:sz w:val="22"/>
                <w:szCs w:val="22"/>
              </w:rPr>
              <w:t>)；“中国政府采购网”（http://www.ccgp.gov.cn/）；</w:t>
            </w:r>
          </w:p>
          <w:p>
            <w:pPr>
              <w:spacing w:line="400" w:lineRule="exact"/>
              <w:jc w:val="left"/>
              <w:rPr>
                <w:rFonts w:ascii="宋体" w:hAnsi="宋体" w:cs="宋体"/>
                <w:color w:val="auto"/>
                <w:sz w:val="22"/>
                <w:szCs w:val="22"/>
              </w:rPr>
            </w:pPr>
            <w:r>
              <w:rPr>
                <w:rFonts w:hint="eastAsia" w:ascii="宋体" w:hAnsi="宋体" w:cs="宋体"/>
                <w:color w:val="auto"/>
                <w:sz w:val="22"/>
                <w:szCs w:val="22"/>
              </w:rPr>
              <w:t>（2）供应商信用信息查询记录和证据留存的具体方式：网页截图打印；</w:t>
            </w:r>
          </w:p>
          <w:p>
            <w:pPr>
              <w:spacing w:line="400" w:lineRule="exact"/>
              <w:jc w:val="left"/>
              <w:rPr>
                <w:rFonts w:ascii="宋体" w:hAnsi="宋体" w:cs="宋体"/>
                <w:color w:val="auto"/>
                <w:sz w:val="22"/>
                <w:szCs w:val="22"/>
              </w:rPr>
            </w:pPr>
            <w:r>
              <w:rPr>
                <w:rFonts w:hint="eastAsia" w:ascii="宋体" w:hAnsi="宋体" w:cs="宋体"/>
                <w:color w:val="auto"/>
                <w:sz w:val="22"/>
                <w:szCs w:val="22"/>
              </w:rPr>
              <w:t>（3）信用信息的使用规则：</w:t>
            </w:r>
          </w:p>
          <w:p>
            <w:pPr>
              <w:spacing w:line="400" w:lineRule="exact"/>
              <w:jc w:val="left"/>
              <w:rPr>
                <w:rFonts w:ascii="宋体" w:hAnsi="宋体" w:cs="宋体"/>
                <w:color w:val="auto"/>
                <w:sz w:val="22"/>
                <w:szCs w:val="22"/>
              </w:rPr>
            </w:pPr>
            <w:r>
              <w:rPr>
                <w:rFonts w:hint="eastAsia" w:ascii="宋体" w:hAnsi="宋体" w:cs="宋体"/>
                <w:color w:val="auto"/>
                <w:sz w:val="22"/>
                <w:szCs w:val="22"/>
              </w:rPr>
              <w:t>①在“信用中国”具有负面记录：列入失信被执行人、重大税收违法案件当事人名单、政府采购严重违法失信行为名单；</w:t>
            </w:r>
          </w:p>
          <w:p>
            <w:pPr>
              <w:spacing w:line="400" w:lineRule="exact"/>
              <w:jc w:val="left"/>
              <w:rPr>
                <w:rFonts w:ascii="宋体" w:hAnsi="宋体" w:cs="宋体"/>
                <w:color w:val="auto"/>
                <w:sz w:val="22"/>
                <w:szCs w:val="22"/>
              </w:rPr>
            </w:pPr>
            <w:r>
              <w:rPr>
                <w:rFonts w:hint="eastAsia" w:ascii="宋体" w:hAnsi="宋体" w:cs="宋体"/>
                <w:color w:val="auto"/>
                <w:sz w:val="22"/>
                <w:szCs w:val="22"/>
              </w:rPr>
              <w:t>②被“中国政府采购网”(www.ccgp.gov.cn)列入政府采购严重违法失信行为记录名单。</w:t>
            </w:r>
          </w:p>
          <w:p>
            <w:pPr>
              <w:spacing w:line="400" w:lineRule="exact"/>
              <w:jc w:val="left"/>
              <w:rPr>
                <w:rFonts w:ascii="宋体" w:hAnsi="宋体" w:cs="宋体"/>
                <w:color w:val="auto"/>
                <w:kern w:val="0"/>
                <w:sz w:val="22"/>
                <w:szCs w:val="22"/>
                <w:lang w:val="zh-CN"/>
              </w:rPr>
            </w:pPr>
            <w:r>
              <w:rPr>
                <w:rFonts w:hint="eastAsia" w:ascii="宋体" w:hAnsi="宋体" w:cs="宋体"/>
                <w:color w:val="auto"/>
                <w:sz w:val="22"/>
                <w:szCs w:val="22"/>
              </w:rPr>
              <w:t>（4）具有以上（3）所述信息记录的供应商，其投标做无效投标处理。</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23</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lang w:val="zh-CN"/>
              </w:rPr>
            </w:pPr>
            <w:r>
              <w:rPr>
                <w:rFonts w:hint="eastAsia" w:ascii="宋体" w:hAnsi="宋体" w:cs="宋体"/>
                <w:color w:val="auto"/>
                <w:sz w:val="22"/>
                <w:szCs w:val="22"/>
              </w:rPr>
              <w:t>合同备案</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left"/>
              <w:rPr>
                <w:rFonts w:ascii="宋体" w:hAnsi="宋体" w:cs="宋体"/>
                <w:color w:val="auto"/>
                <w:sz w:val="22"/>
                <w:szCs w:val="22"/>
              </w:rPr>
            </w:pPr>
            <w:r>
              <w:rPr>
                <w:rFonts w:hint="eastAsia" w:ascii="宋体" w:hAnsi="宋体" w:cs="宋体"/>
                <w:color w:val="auto"/>
                <w:sz w:val="22"/>
                <w:szCs w:val="22"/>
              </w:rPr>
              <w:t>（1）中标供应商在中标通知书发出之日起30日历天内与采购人签订合同。</w:t>
            </w:r>
          </w:p>
          <w:p>
            <w:pPr>
              <w:spacing w:line="400" w:lineRule="exact"/>
              <w:jc w:val="left"/>
              <w:rPr>
                <w:rFonts w:ascii="宋体" w:hAnsi="宋体" w:cs="宋体"/>
                <w:color w:val="auto"/>
                <w:kern w:val="0"/>
                <w:sz w:val="22"/>
                <w:szCs w:val="22"/>
              </w:rPr>
            </w:pPr>
            <w:r>
              <w:rPr>
                <w:rFonts w:hint="eastAsia" w:ascii="宋体" w:hAnsi="宋体" w:cs="宋体"/>
                <w:color w:val="auto"/>
                <w:sz w:val="22"/>
                <w:szCs w:val="22"/>
              </w:rPr>
              <w:t>（2）中标供应商与采购人签订合同后，2日历天内将合同扫描件电子版发给采购代理机构：邮箱：</w:t>
            </w:r>
            <w:r>
              <w:rPr>
                <w:rFonts w:hint="eastAsia" w:ascii="宋体" w:hAnsi="宋体" w:cs="宋体"/>
                <w:b/>
                <w:color w:val="auto"/>
                <w:sz w:val="22"/>
                <w:szCs w:val="22"/>
                <w:u w:val="single"/>
              </w:rPr>
              <w:t>2441880975@qq.com</w:t>
            </w:r>
            <w:r>
              <w:rPr>
                <w:rFonts w:hint="eastAsia" w:ascii="宋体" w:hAnsi="宋体" w:cs="宋体"/>
                <w:color w:val="auto"/>
                <w:sz w:val="22"/>
                <w:szCs w:val="22"/>
              </w:rPr>
              <w:t>。</w:t>
            </w:r>
          </w:p>
        </w:tc>
      </w:tr>
      <w:tr>
        <w:tblPrEx>
          <w:tblCellMar>
            <w:top w:w="0" w:type="dxa"/>
            <w:left w:w="108" w:type="dxa"/>
            <w:bottom w:w="0" w:type="dxa"/>
            <w:right w:w="108" w:type="dxa"/>
          </w:tblCellMar>
        </w:tblPrEx>
        <w:trPr>
          <w:trHeight w:val="795"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24</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lang w:val="zh-CN"/>
              </w:rPr>
            </w:pPr>
            <w:r>
              <w:rPr>
                <w:rFonts w:hint="eastAsia" w:ascii="宋体" w:hAnsi="宋体" w:cs="宋体"/>
                <w:color w:val="auto"/>
                <w:sz w:val="22"/>
                <w:szCs w:val="22"/>
              </w:rPr>
              <w:t>合同履约管理</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left"/>
              <w:rPr>
                <w:rFonts w:ascii="宋体" w:hAnsi="宋体" w:cs="宋体"/>
                <w:color w:val="auto"/>
                <w:kern w:val="0"/>
                <w:sz w:val="22"/>
                <w:szCs w:val="22"/>
                <w:lang w:val="zh-CN"/>
              </w:rPr>
            </w:pPr>
            <w:r>
              <w:rPr>
                <w:rFonts w:hint="eastAsia" w:ascii="宋体" w:hAnsi="宋体" w:cs="宋体"/>
                <w:color w:val="auto"/>
                <w:sz w:val="22"/>
                <w:szCs w:val="22"/>
              </w:rPr>
              <w:t>合同签订后，采购人依法加强对合同履约进行管理，并在中标单位服务、项目验收等重要关节，如实填写《合同验收报告》（或考核资料），并及时向同级财政部门报告验收过程中遇到的问题。</w:t>
            </w:r>
          </w:p>
        </w:tc>
      </w:tr>
      <w:tr>
        <w:tblPrEx>
          <w:tblCellMar>
            <w:top w:w="0" w:type="dxa"/>
            <w:left w:w="108" w:type="dxa"/>
            <w:bottom w:w="0" w:type="dxa"/>
            <w:right w:w="108" w:type="dxa"/>
          </w:tblCellMar>
        </w:tblPrEx>
        <w:trPr>
          <w:trHeight w:val="90"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rPr>
              <w:t>25</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lang w:val="zh-CN"/>
              </w:rPr>
            </w:pPr>
            <w:r>
              <w:rPr>
                <w:rFonts w:hint="eastAsia" w:ascii="宋体" w:hAnsi="宋体" w:cs="宋体"/>
                <w:color w:val="auto"/>
                <w:sz w:val="22"/>
                <w:szCs w:val="22"/>
              </w:rPr>
              <w:t>解释权</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lang w:val="zh-CN"/>
              </w:rPr>
            </w:pPr>
            <w:r>
              <w:rPr>
                <w:rFonts w:hint="eastAsia" w:ascii="宋体" w:hAnsi="宋体" w:cs="宋体"/>
                <w:color w:val="auto"/>
                <w:sz w:val="22"/>
                <w:szCs w:val="22"/>
              </w:rPr>
              <w:t>构成本招标文件的各个组成文件应互为解释，互为说明；如有不明确或不一致，构成合同文件组成内容的，以合同文件约定内容为准，且以专用合同条款约定的合同文件优先顺序解释；仅适用于采购投标阶段的约定，按招标公告、供应商须知、评标办法、响应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CellMar>
            <w:top w:w="0" w:type="dxa"/>
            <w:left w:w="108" w:type="dxa"/>
            <w:bottom w:w="0" w:type="dxa"/>
            <w:right w:w="108" w:type="dxa"/>
          </w:tblCellMar>
        </w:tblPrEx>
        <w:trPr>
          <w:trHeight w:val="1063"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lang w:val="zh-CN"/>
              </w:rPr>
            </w:pPr>
            <w:r>
              <w:rPr>
                <w:rFonts w:hint="eastAsia" w:ascii="宋体" w:hAnsi="宋体" w:cs="宋体"/>
                <w:color w:val="auto"/>
                <w:kern w:val="0"/>
                <w:sz w:val="22"/>
                <w:szCs w:val="22"/>
              </w:rPr>
              <w:t>26</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lang w:val="zh-CN"/>
              </w:rPr>
            </w:pPr>
            <w:r>
              <w:rPr>
                <w:rFonts w:hint="eastAsia" w:ascii="宋体" w:hAnsi="宋体" w:cs="宋体"/>
                <w:color w:val="auto"/>
                <w:sz w:val="22"/>
                <w:szCs w:val="22"/>
              </w:rPr>
              <w:t>联合体投标相关说明</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rPr>
            </w:pPr>
            <w:r>
              <w:rPr>
                <w:rFonts w:hint="eastAsia" w:ascii="宋体" w:hAnsi="宋体" w:cs="宋体"/>
                <w:color w:val="auto"/>
                <w:sz w:val="22"/>
                <w:szCs w:val="22"/>
              </w:rPr>
              <w:t>（1）投标人如为联合体，必须提供双方签章的联合体协议书，明确联合体牵头人和各方权利义务，并承诺就成交项目向采购人承担连带责任。</w:t>
            </w:r>
          </w:p>
          <w:p>
            <w:pPr>
              <w:spacing w:line="400" w:lineRule="exact"/>
              <w:rPr>
                <w:rFonts w:ascii="宋体" w:hAnsi="宋体" w:cs="宋体"/>
                <w:color w:val="auto"/>
                <w:sz w:val="22"/>
                <w:szCs w:val="22"/>
              </w:rPr>
            </w:pPr>
            <w:r>
              <w:rPr>
                <w:rFonts w:hint="eastAsia" w:ascii="宋体" w:hAnsi="宋体" w:cs="宋体"/>
                <w:color w:val="auto"/>
                <w:sz w:val="22"/>
                <w:szCs w:val="22"/>
              </w:rPr>
              <w:t>（2）投标人如为联合体，联合体成员各方资格审查资料、企业证书、人员证书、业绩证明材料等复印件应由联合体成员各自盖章。</w:t>
            </w:r>
          </w:p>
          <w:p>
            <w:pPr>
              <w:spacing w:line="400" w:lineRule="exact"/>
              <w:rPr>
                <w:rFonts w:ascii="宋体" w:hAnsi="宋体" w:cs="宋体"/>
                <w:color w:val="auto"/>
                <w:sz w:val="22"/>
                <w:szCs w:val="22"/>
              </w:rPr>
            </w:pPr>
            <w:r>
              <w:rPr>
                <w:rFonts w:hint="eastAsia" w:ascii="宋体" w:hAnsi="宋体" w:cs="宋体"/>
                <w:color w:val="auto"/>
                <w:sz w:val="22"/>
                <w:szCs w:val="22"/>
              </w:rPr>
              <w:t>（3）由同一专业的单位组成的联合体，按照资质等级较低的单位确定资质等级。</w:t>
            </w:r>
          </w:p>
          <w:p>
            <w:pPr>
              <w:spacing w:line="400" w:lineRule="exact"/>
              <w:rPr>
                <w:rFonts w:ascii="宋体" w:hAnsi="宋体" w:cs="宋体"/>
                <w:color w:val="auto"/>
                <w:sz w:val="22"/>
                <w:szCs w:val="22"/>
              </w:rPr>
            </w:pPr>
            <w:r>
              <w:rPr>
                <w:rFonts w:hint="eastAsia" w:ascii="宋体" w:hAnsi="宋体" w:cs="宋体"/>
                <w:color w:val="auto"/>
                <w:sz w:val="22"/>
                <w:szCs w:val="22"/>
              </w:rPr>
              <w:t>（4）其他文件可由联合体牵头方盖章。</w:t>
            </w:r>
          </w:p>
          <w:p>
            <w:pPr>
              <w:spacing w:line="400" w:lineRule="exact"/>
              <w:rPr>
                <w:rFonts w:ascii="宋体" w:hAnsi="宋体" w:cs="宋体"/>
                <w:color w:val="auto"/>
                <w:sz w:val="22"/>
                <w:szCs w:val="22"/>
              </w:rPr>
            </w:pPr>
            <w:r>
              <w:rPr>
                <w:rFonts w:hint="eastAsia" w:ascii="宋体" w:hAnsi="宋体" w:cs="宋体"/>
                <w:color w:val="auto"/>
                <w:sz w:val="22"/>
                <w:szCs w:val="22"/>
              </w:rPr>
              <w:t>（5）投标人若为联合体，电子投标工作由联合体牵头方的账号制作电子投标文件并提交。</w:t>
            </w:r>
          </w:p>
          <w:p>
            <w:pPr>
              <w:spacing w:line="400" w:lineRule="exact"/>
              <w:rPr>
                <w:rFonts w:ascii="宋体" w:hAnsi="宋体" w:cs="宋体"/>
                <w:color w:val="auto"/>
                <w:sz w:val="22"/>
                <w:szCs w:val="22"/>
              </w:rPr>
            </w:pPr>
            <w:r>
              <w:rPr>
                <w:rFonts w:hint="eastAsia" w:ascii="宋体" w:hAnsi="宋体" w:cs="宋体"/>
                <w:color w:val="auto"/>
                <w:sz w:val="22"/>
                <w:szCs w:val="22"/>
              </w:rPr>
              <w:t>（6）联合体各方不得再以自己名义单独或参加其他联合体在本项目中投标，否则各相关投标均无效。</w:t>
            </w:r>
          </w:p>
          <w:p>
            <w:pPr>
              <w:spacing w:line="400" w:lineRule="exact"/>
              <w:rPr>
                <w:rFonts w:ascii="宋体" w:hAnsi="宋体" w:cs="宋体"/>
                <w:color w:val="auto"/>
                <w:sz w:val="22"/>
                <w:szCs w:val="22"/>
              </w:rPr>
            </w:pPr>
            <w:r>
              <w:rPr>
                <w:rFonts w:hint="eastAsia" w:ascii="宋体" w:hAnsi="宋体" w:cs="宋体"/>
                <w:color w:val="auto"/>
                <w:sz w:val="22"/>
                <w:szCs w:val="22"/>
              </w:rPr>
              <w:t>（7）中标后，联合体各方根据联合体协议约定承担的项目采购内容与项目采购人签订政府采购合同。</w:t>
            </w:r>
          </w:p>
        </w:tc>
      </w:tr>
      <w:tr>
        <w:tblPrEx>
          <w:tblCellMar>
            <w:top w:w="0" w:type="dxa"/>
            <w:left w:w="108" w:type="dxa"/>
            <w:bottom w:w="0" w:type="dxa"/>
            <w:right w:w="108" w:type="dxa"/>
          </w:tblCellMar>
        </w:tblPrEx>
        <w:trPr>
          <w:trHeight w:val="988" w:hRule="atLeast"/>
        </w:trPr>
        <w:tc>
          <w:tcPr>
            <w:tcW w:w="104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27</w:t>
            </w:r>
          </w:p>
        </w:tc>
        <w:tc>
          <w:tcPr>
            <w:tcW w:w="146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lang w:val="zh-CN"/>
              </w:rPr>
            </w:pPr>
            <w:r>
              <w:rPr>
                <w:rFonts w:hint="eastAsia" w:ascii="宋体" w:hAnsi="宋体" w:cs="宋体"/>
                <w:color w:val="auto"/>
                <w:sz w:val="22"/>
                <w:szCs w:val="22"/>
              </w:rPr>
              <w:t>采购代理服务费</w:t>
            </w:r>
          </w:p>
        </w:tc>
        <w:tc>
          <w:tcPr>
            <w:tcW w:w="7334"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rPr>
            </w:pPr>
            <w:r>
              <w:rPr>
                <w:rFonts w:hint="eastAsia" w:ascii="宋体" w:hAnsi="宋体" w:cs="宋体"/>
                <w:color w:val="auto"/>
                <w:sz w:val="22"/>
                <w:szCs w:val="22"/>
              </w:rPr>
              <w:t>（1）本次采购代理服务费按固定金额贰万贰仟元整收取，由中标（成交）单位一次性支付给采购代理机构，投标人在报价时应充分考虑该部分费用；</w:t>
            </w:r>
          </w:p>
          <w:p>
            <w:pPr>
              <w:spacing w:line="400" w:lineRule="exact"/>
              <w:rPr>
                <w:rFonts w:ascii="宋体" w:hAnsi="宋体" w:cs="宋体"/>
                <w:color w:val="auto"/>
                <w:sz w:val="22"/>
                <w:szCs w:val="22"/>
                <w:lang w:val="zh-CN"/>
              </w:rPr>
            </w:pPr>
            <w:r>
              <w:rPr>
                <w:rFonts w:hint="eastAsia" w:ascii="宋体" w:hAnsi="宋体" w:cs="宋体"/>
                <w:color w:val="auto"/>
                <w:sz w:val="22"/>
                <w:szCs w:val="22"/>
              </w:rPr>
              <w:t>（2）采购代理服务费可以是现金、支票或汇票。</w:t>
            </w:r>
          </w:p>
        </w:tc>
      </w:t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tbl>
    <w:p>
      <w:pPr>
        <w:spacing w:before="100" w:beforeAutospacing="1" w:after="100" w:afterAutospacing="1" w:line="440" w:lineRule="exact"/>
        <w:jc w:val="center"/>
        <w:outlineLvl w:val="0"/>
        <w:rPr>
          <w:rFonts w:ascii="宋体" w:hAnsi="宋体"/>
          <w:b/>
          <w:bCs/>
          <w:color w:val="auto"/>
          <w:sz w:val="26"/>
          <w:szCs w:val="26"/>
        </w:rPr>
      </w:pPr>
      <w:bookmarkStart w:id="45" w:name="_Toc245191311"/>
      <w:bookmarkStart w:id="46" w:name="_Toc221356883"/>
      <w:bookmarkStart w:id="47" w:name="_Toc241404199"/>
      <w:bookmarkStart w:id="48" w:name="_Toc262049415"/>
      <w:bookmarkStart w:id="49" w:name="_Toc221423616"/>
      <w:bookmarkStart w:id="50" w:name="_Toc221374623"/>
      <w:bookmarkStart w:id="51" w:name="_Toc262105500"/>
      <w:bookmarkStart w:id="52" w:name="_Toc249758709"/>
      <w:bookmarkStart w:id="53" w:name="_Toc246261262"/>
      <w:bookmarkStart w:id="54" w:name="_Toc222114876"/>
      <w:bookmarkStart w:id="55" w:name="_Toc223715995"/>
      <w:bookmarkStart w:id="56" w:name="_Toc249758861"/>
      <w:bookmarkStart w:id="57" w:name="_Toc221356948"/>
      <w:bookmarkStart w:id="58" w:name="_Toc245722278"/>
      <w:bookmarkStart w:id="59" w:name="_Toc239145351"/>
    </w:p>
    <w:p>
      <w:pPr>
        <w:spacing w:before="100" w:beforeAutospacing="1" w:after="100" w:afterAutospacing="1" w:line="440" w:lineRule="exact"/>
        <w:jc w:val="center"/>
        <w:outlineLvl w:val="0"/>
        <w:rPr>
          <w:rFonts w:ascii="宋体" w:hAnsi="宋体"/>
          <w:b/>
          <w:bCs/>
          <w:color w:val="auto"/>
          <w:sz w:val="26"/>
          <w:szCs w:val="26"/>
        </w:rPr>
      </w:pPr>
      <w:bookmarkStart w:id="60" w:name="_Toc29666"/>
      <w:r>
        <w:rPr>
          <w:rFonts w:hint="eastAsia" w:ascii="宋体" w:hAnsi="宋体"/>
          <w:b/>
          <w:bCs/>
          <w:color w:val="auto"/>
          <w:sz w:val="26"/>
          <w:szCs w:val="26"/>
        </w:rPr>
        <w:t>二、  说明</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numPr>
          <w:ilvl w:val="0"/>
          <w:numId w:val="5"/>
        </w:numPr>
        <w:tabs>
          <w:tab w:val="left" w:pos="540"/>
          <w:tab w:val="left" w:pos="900"/>
          <w:tab w:val="clear" w:pos="420"/>
        </w:tabs>
        <w:spacing w:line="460" w:lineRule="exact"/>
        <w:ind w:left="540" w:hanging="540"/>
        <w:rPr>
          <w:rFonts w:ascii="宋体" w:hAnsi="宋体" w:cs="Arial"/>
          <w:color w:val="auto"/>
          <w:sz w:val="22"/>
          <w:szCs w:val="22"/>
        </w:rPr>
      </w:pPr>
      <w:bookmarkStart w:id="61" w:name="_Toc262049416"/>
      <w:bookmarkStart w:id="62" w:name="_Toc221356949"/>
      <w:bookmarkStart w:id="63" w:name="_Toc223715996"/>
      <w:bookmarkStart w:id="64" w:name="_Toc246261263"/>
      <w:bookmarkStart w:id="65" w:name="_Toc245191312"/>
      <w:bookmarkStart w:id="66" w:name="_Toc221423617"/>
      <w:bookmarkStart w:id="67" w:name="_Toc262105501"/>
      <w:bookmarkStart w:id="68" w:name="_Toc222114877"/>
      <w:bookmarkStart w:id="69" w:name="_Toc221356884"/>
      <w:bookmarkStart w:id="70" w:name="_Toc239145352"/>
      <w:bookmarkStart w:id="71" w:name="_Toc221374624"/>
      <w:bookmarkStart w:id="72" w:name="_Toc241404200"/>
      <w:bookmarkStart w:id="73" w:name="_Toc249758862"/>
      <w:bookmarkStart w:id="74" w:name="_Toc249758710"/>
      <w:bookmarkStart w:id="75" w:name="_Toc245722279"/>
      <w:r>
        <w:rPr>
          <w:rFonts w:hint="eastAsia" w:ascii="宋体" w:hAnsi="宋体" w:cs="Arial"/>
          <w:color w:val="auto"/>
          <w:sz w:val="22"/>
          <w:szCs w:val="22"/>
        </w:rPr>
        <w:t>本次招标是按照《中华人民共和国政府采购法》、《中华人民共和国政府采购法实施条例》、《政府采购货物和服务招标投标管理办法》和《关于进一步规范政府采购活动的若干意见》等法律及有关法规组织和实施的。</w:t>
      </w:r>
    </w:p>
    <w:p>
      <w:pPr>
        <w:numPr>
          <w:ilvl w:val="0"/>
          <w:numId w:val="5"/>
        </w:numPr>
        <w:tabs>
          <w:tab w:val="left" w:pos="540"/>
          <w:tab w:val="left" w:pos="900"/>
          <w:tab w:val="clear" w:pos="420"/>
        </w:tabs>
        <w:spacing w:line="460" w:lineRule="exact"/>
        <w:ind w:left="540" w:hanging="540"/>
        <w:rPr>
          <w:rFonts w:ascii="宋体" w:hAnsi="宋体" w:cs="Arial"/>
          <w:color w:val="auto"/>
          <w:sz w:val="22"/>
          <w:szCs w:val="22"/>
        </w:rPr>
      </w:pPr>
      <w:r>
        <w:rPr>
          <w:rFonts w:hint="eastAsia" w:ascii="宋体" w:hAnsi="宋体" w:cs="Arial"/>
          <w:color w:val="auto"/>
          <w:sz w:val="22"/>
          <w:szCs w:val="22"/>
        </w:rPr>
        <w:t>合格投标人要求以招标公告对投标人资格条件要求的表述为准。</w:t>
      </w:r>
    </w:p>
    <w:p>
      <w:pPr>
        <w:numPr>
          <w:ilvl w:val="0"/>
          <w:numId w:val="5"/>
        </w:numPr>
        <w:tabs>
          <w:tab w:val="left" w:pos="540"/>
          <w:tab w:val="left" w:pos="900"/>
          <w:tab w:val="clear" w:pos="420"/>
        </w:tabs>
        <w:spacing w:line="460" w:lineRule="exact"/>
        <w:ind w:left="540" w:hanging="540"/>
        <w:rPr>
          <w:rFonts w:ascii="宋体" w:hAnsi="宋体" w:cs="Arial"/>
          <w:color w:val="auto"/>
          <w:sz w:val="22"/>
          <w:szCs w:val="22"/>
        </w:rPr>
      </w:pPr>
      <w:r>
        <w:rPr>
          <w:rFonts w:hint="eastAsia" w:ascii="宋体" w:hAnsi="宋体" w:cs="Arial"/>
          <w:color w:val="auto"/>
          <w:sz w:val="22"/>
          <w:szCs w:val="22"/>
        </w:rPr>
        <w:t>投标人代表</w:t>
      </w:r>
    </w:p>
    <w:p>
      <w:pPr>
        <w:spacing w:line="400" w:lineRule="exact"/>
        <w:ind w:firstLine="440" w:firstLineChars="200"/>
        <w:rPr>
          <w:rFonts w:ascii="宋体" w:hAnsi="宋体" w:cs="宋体"/>
          <w:color w:val="auto"/>
          <w:sz w:val="22"/>
          <w:szCs w:val="22"/>
        </w:rPr>
      </w:pPr>
      <w:r>
        <w:rPr>
          <w:rFonts w:hint="eastAsia" w:ascii="宋体" w:hAnsi="宋体" w:cs="宋体"/>
          <w:color w:val="auto"/>
          <w:sz w:val="22"/>
          <w:szCs w:val="22"/>
        </w:rPr>
        <w:t>指全权代表投标人参加投标活动并签署投标文件的人。如果投标人代表不是法定代表人，须持有《法定代表人授权书》。</w:t>
      </w:r>
    </w:p>
    <w:p>
      <w:pPr>
        <w:numPr>
          <w:ilvl w:val="0"/>
          <w:numId w:val="5"/>
        </w:numPr>
        <w:tabs>
          <w:tab w:val="left" w:pos="540"/>
          <w:tab w:val="left" w:pos="900"/>
          <w:tab w:val="clear" w:pos="420"/>
        </w:tabs>
        <w:spacing w:line="460" w:lineRule="exact"/>
        <w:ind w:left="540" w:hanging="540"/>
        <w:rPr>
          <w:rFonts w:ascii="宋体" w:hAnsi="宋体" w:cs="Arial"/>
          <w:color w:val="auto"/>
          <w:sz w:val="22"/>
          <w:szCs w:val="22"/>
        </w:rPr>
      </w:pPr>
      <w:r>
        <w:rPr>
          <w:rFonts w:hint="eastAsia" w:ascii="宋体" w:hAnsi="宋体" w:cs="Arial"/>
          <w:color w:val="auto"/>
          <w:sz w:val="22"/>
          <w:szCs w:val="22"/>
        </w:rPr>
        <w:t>投标费用</w:t>
      </w:r>
    </w:p>
    <w:p>
      <w:pPr>
        <w:spacing w:line="400" w:lineRule="exact"/>
        <w:ind w:firstLine="440" w:firstLineChars="200"/>
        <w:rPr>
          <w:rFonts w:ascii="宋体" w:hAnsi="宋体" w:cs="宋体"/>
          <w:color w:val="auto"/>
          <w:sz w:val="22"/>
          <w:szCs w:val="22"/>
        </w:rPr>
      </w:pPr>
      <w:r>
        <w:rPr>
          <w:rFonts w:hint="eastAsia" w:ascii="宋体" w:hAnsi="宋体" w:cs="宋体"/>
          <w:color w:val="auto"/>
          <w:sz w:val="22"/>
          <w:szCs w:val="22"/>
        </w:rPr>
        <w:t>投标人应承担所有与准备和参加投标有关费用，不论投标的结果如何，采购人和招标代理机构均无义务和责任承担这些费用。</w:t>
      </w:r>
    </w:p>
    <w:p>
      <w:pPr>
        <w:numPr>
          <w:ilvl w:val="0"/>
          <w:numId w:val="5"/>
        </w:numPr>
        <w:tabs>
          <w:tab w:val="left" w:pos="540"/>
          <w:tab w:val="left" w:pos="900"/>
          <w:tab w:val="clear" w:pos="420"/>
        </w:tabs>
        <w:spacing w:line="460" w:lineRule="exact"/>
        <w:ind w:left="540" w:hanging="540"/>
        <w:rPr>
          <w:rFonts w:ascii="宋体" w:hAnsi="宋体" w:cs="Arial"/>
          <w:color w:val="auto"/>
          <w:sz w:val="22"/>
          <w:szCs w:val="22"/>
        </w:rPr>
      </w:pPr>
      <w:r>
        <w:rPr>
          <w:rFonts w:hint="eastAsia" w:ascii="宋体" w:hAnsi="宋体" w:cs="Arial"/>
          <w:color w:val="auto"/>
          <w:sz w:val="22"/>
          <w:szCs w:val="22"/>
        </w:rPr>
        <w:t>优化政府采购金融服务</w:t>
      </w:r>
    </w:p>
    <w:p>
      <w:pPr>
        <w:spacing w:line="400" w:lineRule="exact"/>
        <w:rPr>
          <w:rFonts w:ascii="宋体" w:hAnsi="宋体" w:cs="宋体"/>
          <w:bCs/>
          <w:color w:val="auto"/>
          <w:spacing w:val="6"/>
          <w:sz w:val="22"/>
        </w:rPr>
      </w:pPr>
      <w:r>
        <w:rPr>
          <w:rFonts w:hint="eastAsia" w:ascii="宋体" w:hAnsi="宋体" w:cs="宋体"/>
          <w:bCs/>
          <w:color w:val="auto"/>
          <w:spacing w:val="6"/>
          <w:sz w:val="22"/>
          <w:szCs w:val="22"/>
        </w:rPr>
        <w:t xml:space="preserve">  为支持和促进中小企业发展，进一步发挥政府采购政策功能，温州市财政局出台了《温州市</w:t>
      </w:r>
      <w:bookmarkStart w:id="245" w:name="_GoBack"/>
      <w:bookmarkEnd w:id="245"/>
      <w:r>
        <w:rPr>
          <w:rFonts w:hint="eastAsia" w:ascii="宋体" w:hAnsi="宋体" w:cs="宋体"/>
          <w:bCs/>
          <w:color w:val="auto"/>
          <w:spacing w:val="6"/>
          <w:sz w:val="22"/>
          <w:szCs w:val="22"/>
        </w:rPr>
        <w:t>财政局关于温州市政府采购支持中小企业信用融资的通知》（温财采〔2020〕3号），投标人若有融资意向，可直接登录http://jinrong.zcygov.cn，查看信用融资政策文件及各相关银行服务方案，也可直接向各银行咨询相关业务。</w:t>
      </w:r>
    </w:p>
    <w:p>
      <w:pPr>
        <w:numPr>
          <w:ilvl w:val="0"/>
          <w:numId w:val="5"/>
        </w:numPr>
        <w:tabs>
          <w:tab w:val="left" w:pos="540"/>
          <w:tab w:val="left" w:pos="900"/>
          <w:tab w:val="clear" w:pos="420"/>
        </w:tabs>
        <w:spacing w:line="460" w:lineRule="exact"/>
        <w:ind w:left="540" w:hanging="540"/>
        <w:rPr>
          <w:rFonts w:ascii="宋体" w:hAnsi="宋体" w:cs="Arial"/>
          <w:color w:val="auto"/>
          <w:sz w:val="22"/>
          <w:szCs w:val="22"/>
        </w:rPr>
      </w:pPr>
      <w:r>
        <w:rPr>
          <w:rFonts w:hint="eastAsia" w:ascii="宋体" w:hAnsi="宋体" w:cs="Arial"/>
          <w:color w:val="auto"/>
          <w:sz w:val="22"/>
          <w:szCs w:val="22"/>
        </w:rPr>
        <w:t>特别说明：</w:t>
      </w:r>
    </w:p>
    <w:p>
      <w:pPr>
        <w:numPr>
          <w:ilvl w:val="1"/>
          <w:numId w:val="6"/>
        </w:numPr>
        <w:tabs>
          <w:tab w:val="left" w:pos="360"/>
          <w:tab w:val="clear" w:pos="992"/>
        </w:tabs>
        <w:spacing w:line="460" w:lineRule="exact"/>
        <w:ind w:left="418" w:leftChars="-68" w:hanging="561" w:hangingChars="255"/>
        <w:rPr>
          <w:rFonts w:ascii="宋体" w:hAnsi="宋体" w:cs="Arial"/>
          <w:color w:val="auto"/>
          <w:sz w:val="22"/>
          <w:szCs w:val="22"/>
        </w:rPr>
      </w:pPr>
      <w:r>
        <w:rPr>
          <w:rFonts w:hint="eastAsia" w:ascii="宋体" w:hAnsi="宋体" w:cs="Arial"/>
          <w:color w:val="auto"/>
          <w:sz w:val="22"/>
          <w:szCs w:val="22"/>
        </w:rPr>
        <w:t>投标人应仔细阅读招标文件的所有内容，按照招标文件的要求提交投标文件，并对所提供的全部资料的真实性承担法律责任。</w:t>
      </w:r>
    </w:p>
    <w:p>
      <w:pPr>
        <w:numPr>
          <w:ilvl w:val="1"/>
          <w:numId w:val="6"/>
        </w:numPr>
        <w:tabs>
          <w:tab w:val="left" w:pos="360"/>
          <w:tab w:val="clear" w:pos="992"/>
        </w:tabs>
        <w:spacing w:line="460" w:lineRule="exact"/>
        <w:ind w:left="418" w:leftChars="-68" w:hanging="561" w:hangingChars="255"/>
        <w:rPr>
          <w:rFonts w:ascii="宋体" w:hAnsi="宋体" w:cs="Arial"/>
          <w:color w:val="auto"/>
          <w:sz w:val="22"/>
          <w:szCs w:val="22"/>
        </w:rPr>
      </w:pPr>
      <w:bookmarkStart w:id="76" w:name="_Hlk37697637"/>
      <w:r>
        <w:rPr>
          <w:rFonts w:hint="eastAsia" w:ascii="宋体" w:hAnsi="宋体" w:cs="Arial"/>
          <w:color w:val="auto"/>
          <w:sz w:val="22"/>
          <w:szCs w:val="22"/>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00" w:lineRule="exact"/>
        <w:ind w:left="448" w:leftChars="-68" w:hanging="591" w:hangingChars="255"/>
        <w:rPr>
          <w:rFonts w:ascii="宋体" w:hAnsi="宋体" w:cs="宋体"/>
          <w:bCs/>
          <w:color w:val="auto"/>
          <w:spacing w:val="6"/>
          <w:sz w:val="22"/>
        </w:rPr>
      </w:pPr>
      <w:r>
        <w:rPr>
          <w:rFonts w:hint="eastAsia" w:ascii="宋体" w:hAnsi="宋体" w:cs="宋体"/>
          <w:bCs/>
          <w:color w:val="auto"/>
          <w:spacing w:val="6"/>
          <w:sz w:val="22"/>
          <w:szCs w:val="22"/>
        </w:rPr>
        <w:t>非单一产品采购项目，采购人应当根据采购项目技术构成、产品价格比重等合理确定核心产品，并在招标文件中载明。多家投标人提供的核心产品品牌相同的，按前两款规定处理。</w:t>
      </w:r>
      <w:bookmarkEnd w:id="76"/>
    </w:p>
    <w:p>
      <w:pPr>
        <w:numPr>
          <w:ilvl w:val="1"/>
          <w:numId w:val="6"/>
        </w:numPr>
        <w:tabs>
          <w:tab w:val="left" w:pos="360"/>
          <w:tab w:val="clear" w:pos="992"/>
        </w:tabs>
        <w:spacing w:line="460" w:lineRule="exact"/>
        <w:ind w:left="418" w:leftChars="-68" w:hanging="561" w:hangingChars="255"/>
        <w:rPr>
          <w:rFonts w:ascii="宋体" w:hAnsi="宋体" w:cs="Arial"/>
          <w:color w:val="auto"/>
          <w:sz w:val="22"/>
          <w:szCs w:val="22"/>
        </w:rPr>
      </w:pPr>
      <w:r>
        <w:rPr>
          <w:rFonts w:hint="eastAsia" w:ascii="宋体" w:hAnsi="宋体" w:cs="Arial"/>
          <w:color w:val="auto"/>
          <w:sz w:val="22"/>
          <w:szCs w:val="22"/>
        </w:rPr>
        <w:t>单位负责人为同一人或者存在直接控股、管理关系的不同投标人，不得参加同一合同项下的政府采购活动。为采购项目提供整体设计、规范编制或者项目管理、监理、检测等服务的投标人，不得再参加该采购项目的其他采购活动。</w:t>
      </w:r>
    </w:p>
    <w:p>
      <w:pPr>
        <w:numPr>
          <w:ilvl w:val="1"/>
          <w:numId w:val="6"/>
        </w:numPr>
        <w:tabs>
          <w:tab w:val="left" w:pos="360"/>
          <w:tab w:val="clear" w:pos="992"/>
        </w:tabs>
        <w:spacing w:line="460" w:lineRule="exact"/>
        <w:ind w:left="418" w:leftChars="-68" w:hanging="561" w:hangingChars="255"/>
        <w:rPr>
          <w:rFonts w:ascii="宋体" w:hAnsi="宋体" w:cs="Arial"/>
          <w:color w:val="auto"/>
          <w:sz w:val="22"/>
          <w:szCs w:val="22"/>
        </w:rPr>
      </w:pPr>
      <w:r>
        <w:rPr>
          <w:rFonts w:hint="eastAsia" w:ascii="宋体" w:hAnsi="宋体" w:cs="Arial"/>
          <w:color w:val="auto"/>
          <w:sz w:val="22"/>
          <w:szCs w:val="22"/>
        </w:rPr>
        <w:t>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numPr>
          <w:ilvl w:val="1"/>
          <w:numId w:val="6"/>
        </w:numPr>
        <w:tabs>
          <w:tab w:val="left" w:pos="360"/>
          <w:tab w:val="clear" w:pos="992"/>
        </w:tabs>
        <w:spacing w:line="460" w:lineRule="exact"/>
        <w:ind w:left="418" w:leftChars="-68" w:hanging="561" w:hangingChars="255"/>
        <w:rPr>
          <w:rFonts w:ascii="宋体" w:hAnsi="宋体" w:cs="Arial"/>
          <w:color w:val="auto"/>
          <w:sz w:val="22"/>
          <w:szCs w:val="22"/>
        </w:rPr>
      </w:pPr>
      <w:r>
        <w:rPr>
          <w:rFonts w:hint="eastAsia" w:ascii="宋体" w:hAnsi="宋体" w:cs="Arial"/>
          <w:color w:val="auto"/>
          <w:sz w:val="22"/>
          <w:szCs w:val="22"/>
          <w:lang w:val="zh-CN"/>
        </w:rPr>
        <w:t>非浙江政府采购网注册的投标人或发生变更且未及时更新的投标人，应当在规定时间内按照《浙江省政府采购投标人注册及诚信管理暂行办法》（浙财采监字［2009］28号）的相关规定及时办理更新或投标人注册事项。一旦被确定为中标人的，在合同签订前按本办法的规定完成注册并成为正式注册投标人。</w:t>
      </w:r>
    </w:p>
    <w:p>
      <w:pPr>
        <w:spacing w:before="100" w:beforeAutospacing="1" w:after="100" w:afterAutospacing="1" w:line="440" w:lineRule="exact"/>
        <w:jc w:val="center"/>
        <w:outlineLvl w:val="0"/>
        <w:rPr>
          <w:rFonts w:ascii="宋体" w:hAnsi="宋体"/>
          <w:b/>
          <w:bCs/>
          <w:color w:val="auto"/>
          <w:sz w:val="26"/>
          <w:szCs w:val="26"/>
        </w:rPr>
      </w:pPr>
      <w:bookmarkStart w:id="77" w:name="_Toc23506"/>
      <w:r>
        <w:rPr>
          <w:rFonts w:hint="eastAsia" w:ascii="宋体" w:hAnsi="宋体"/>
          <w:b/>
          <w:bCs/>
          <w:color w:val="auto"/>
          <w:sz w:val="26"/>
          <w:szCs w:val="26"/>
        </w:rPr>
        <w:t>三、 招标文件</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7"/>
    </w:p>
    <w:p>
      <w:pPr>
        <w:numPr>
          <w:ilvl w:val="0"/>
          <w:numId w:val="7"/>
        </w:numPr>
        <w:tabs>
          <w:tab w:val="left" w:pos="540"/>
          <w:tab w:val="clear" w:pos="420"/>
        </w:tabs>
        <w:spacing w:line="460" w:lineRule="exact"/>
        <w:ind w:left="540" w:hanging="540"/>
        <w:rPr>
          <w:rFonts w:ascii="宋体" w:hAnsi="宋体" w:cs="Arial"/>
          <w:color w:val="auto"/>
          <w:sz w:val="22"/>
          <w:szCs w:val="22"/>
        </w:rPr>
      </w:pPr>
      <w:r>
        <w:rPr>
          <w:rFonts w:hint="eastAsia" w:ascii="宋体" w:hAnsi="宋体" w:cs="Arial"/>
          <w:color w:val="auto"/>
          <w:sz w:val="22"/>
          <w:szCs w:val="22"/>
        </w:rPr>
        <w:t>招标文件由招标文件目录所列内容及相关资料组成。</w:t>
      </w:r>
    </w:p>
    <w:p>
      <w:pPr>
        <w:numPr>
          <w:ilvl w:val="0"/>
          <w:numId w:val="7"/>
        </w:numPr>
        <w:tabs>
          <w:tab w:val="left" w:pos="540"/>
          <w:tab w:val="clear" w:pos="420"/>
        </w:tabs>
        <w:spacing w:line="460" w:lineRule="exact"/>
        <w:ind w:left="540" w:hanging="540"/>
        <w:rPr>
          <w:rFonts w:ascii="宋体" w:hAnsi="宋体" w:cs="Arial"/>
          <w:color w:val="auto"/>
          <w:sz w:val="22"/>
          <w:szCs w:val="22"/>
        </w:rPr>
      </w:pPr>
      <w:r>
        <w:rPr>
          <w:rFonts w:hint="eastAsia" w:ascii="宋体" w:hAnsi="宋体" w:cs="Arial"/>
          <w:color w:val="auto"/>
          <w:sz w:val="22"/>
          <w:szCs w:val="22"/>
        </w:rPr>
        <w:t>质疑</w:t>
      </w:r>
    </w:p>
    <w:p>
      <w:pPr>
        <w:numPr>
          <w:ilvl w:val="1"/>
          <w:numId w:val="8"/>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投标人认为招标文件、采购过程、中标或者成交结果使自己的权益受到损害的，可以在知道或者应知其权益受到损害之日起7个工作日内，以书面形式向采购人、采购代理机构提出质疑。逾期提出的，采购组织机构将不予受理、答复。</w:t>
      </w:r>
    </w:p>
    <w:p>
      <w:pPr>
        <w:numPr>
          <w:ilvl w:val="1"/>
          <w:numId w:val="8"/>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投标人提出质疑应当提交质疑函和必要的证明材料，质疑函范本请到“浙江政府采购网下载专区”下载，质疑函内容及签署等相关要求请参看《政府采购质疑和投诉办法》相关规定。</w:t>
      </w:r>
    </w:p>
    <w:p>
      <w:pPr>
        <w:numPr>
          <w:ilvl w:val="1"/>
          <w:numId w:val="8"/>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提出质疑的投标人应当是参与本项目招标活动的投标人。投标人在法定质疑期内一次性提出针对同一采购程序环节的质疑。</w:t>
      </w:r>
    </w:p>
    <w:p>
      <w:pPr>
        <w:numPr>
          <w:ilvl w:val="1"/>
          <w:numId w:val="8"/>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根据《政府采购质疑和投诉办法》第三十七条的规定，投诉人在全国范围12个月内三次以上投诉查无实据的，由财政部门列入不良行为记录名单。</w:t>
      </w:r>
    </w:p>
    <w:p>
      <w:pPr>
        <w:numPr>
          <w:ilvl w:val="0"/>
          <w:numId w:val="7"/>
        </w:numPr>
        <w:tabs>
          <w:tab w:val="left" w:pos="540"/>
          <w:tab w:val="clear" w:pos="420"/>
        </w:tabs>
        <w:spacing w:line="460" w:lineRule="exact"/>
        <w:ind w:left="540" w:hanging="540"/>
        <w:rPr>
          <w:rFonts w:ascii="宋体" w:hAnsi="宋体" w:cs="Arial"/>
          <w:color w:val="auto"/>
          <w:sz w:val="22"/>
          <w:szCs w:val="22"/>
        </w:rPr>
      </w:pPr>
      <w:r>
        <w:rPr>
          <w:rFonts w:hint="eastAsia" w:ascii="宋体" w:hAnsi="宋体" w:cs="Arial"/>
          <w:color w:val="auto"/>
          <w:sz w:val="22"/>
          <w:szCs w:val="22"/>
        </w:rPr>
        <w:t>投诉</w:t>
      </w:r>
    </w:p>
    <w:p>
      <w:pPr>
        <w:tabs>
          <w:tab w:val="left" w:pos="540"/>
        </w:tabs>
        <w:spacing w:line="400" w:lineRule="exact"/>
        <w:ind w:firstLine="464" w:firstLineChars="200"/>
        <w:rPr>
          <w:rFonts w:ascii="宋体" w:hAnsi="宋体" w:cs="宋体"/>
          <w:color w:val="auto"/>
          <w:sz w:val="22"/>
          <w:szCs w:val="22"/>
        </w:rPr>
      </w:pPr>
      <w:r>
        <w:rPr>
          <w:rFonts w:hint="eastAsia" w:ascii="宋体" w:hAnsi="宋体" w:cs="宋体"/>
          <w:color w:val="auto"/>
          <w:spacing w:val="6"/>
          <w:sz w:val="22"/>
        </w:rPr>
        <w:t>质疑投标人对采购人、采购代理机构的答复不满意或者采购人、采购代理机构未在规定的时间内作出答复的，可以在答复期满后十五个工作日内向同级政府采购监督部门投诉。投诉书范本请到“浙江政府采购网下载专区”下载。</w:t>
      </w:r>
    </w:p>
    <w:p>
      <w:pPr>
        <w:numPr>
          <w:ilvl w:val="0"/>
          <w:numId w:val="7"/>
        </w:numPr>
        <w:tabs>
          <w:tab w:val="left" w:pos="540"/>
          <w:tab w:val="clear" w:pos="420"/>
        </w:tabs>
        <w:spacing w:line="460" w:lineRule="exact"/>
        <w:ind w:left="540" w:hanging="540"/>
        <w:rPr>
          <w:rFonts w:ascii="宋体" w:hAnsi="宋体" w:cs="Arial"/>
          <w:color w:val="auto"/>
          <w:sz w:val="22"/>
          <w:szCs w:val="22"/>
        </w:rPr>
      </w:pPr>
      <w:r>
        <w:rPr>
          <w:rFonts w:hint="eastAsia" w:ascii="宋体" w:hAnsi="宋体" w:cs="Arial"/>
          <w:color w:val="auto"/>
          <w:sz w:val="22"/>
          <w:szCs w:val="22"/>
        </w:rPr>
        <w:t>招标文件的澄清或修改</w:t>
      </w:r>
    </w:p>
    <w:p>
      <w:pPr>
        <w:numPr>
          <w:ilvl w:val="1"/>
          <w:numId w:val="9"/>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采购人或者采购代理机构可以对已发出的招标文件进行必要的澄清或者修改。澄清或者修改在浙江政府采购网上发布公告，同时政采云系统会向所有已按招标文件规定方式获取招标文件的潜在投标人发送更正提醒信息，潜在投标人请自行到浙江省政府采购网上下载公告附件，潜在投标人在收到该公告附件后应于1日内，以书面或传真形式（签署意见并加盖公章）向采购代理机构回函给予确认。过期未回复的，视为默认接受。澄清或者修改的内容为招标文件的组成部分。</w:t>
      </w:r>
    </w:p>
    <w:p>
      <w:pPr>
        <w:numPr>
          <w:ilvl w:val="1"/>
          <w:numId w:val="9"/>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澄清或者修改的内容可能影响投标文件编制的，采购人或者采购代理机构应当在投标截止时间至少15日前，以书面形式（在浙江政府采购网上发布公告）通知所有获取招标文件的潜在投标人；不足15日的，采购人或者采购代理机构应当顺延提交投标文件的截止时间。</w:t>
      </w:r>
    </w:p>
    <w:p>
      <w:pPr>
        <w:numPr>
          <w:ilvl w:val="1"/>
          <w:numId w:val="9"/>
        </w:numPr>
        <w:tabs>
          <w:tab w:val="left" w:pos="360"/>
          <w:tab w:val="clear" w:pos="992"/>
        </w:tabs>
        <w:spacing w:line="460" w:lineRule="exact"/>
        <w:ind w:left="640"/>
        <w:rPr>
          <w:rFonts w:ascii="宋体" w:hAnsi="宋体" w:cs="宋体"/>
          <w:color w:val="auto"/>
          <w:sz w:val="22"/>
          <w:szCs w:val="22"/>
        </w:rPr>
      </w:pPr>
      <w:r>
        <w:rPr>
          <w:rFonts w:hint="eastAsia" w:ascii="宋体" w:hAnsi="宋体" w:cs="Arial"/>
          <w:color w:val="auto"/>
          <w:sz w:val="22"/>
          <w:szCs w:val="22"/>
        </w:rPr>
        <w:t>招标文件如有补充更正均见“浙江政府采购”（https://zfcg.czt.zj.gov.cn/）。投标人须在开标</w:t>
      </w:r>
      <w:r>
        <w:rPr>
          <w:rFonts w:hint="eastAsia" w:ascii="宋体" w:hAnsi="宋体" w:cs="宋体"/>
          <w:color w:val="auto"/>
          <w:spacing w:val="6"/>
          <w:sz w:val="22"/>
        </w:rPr>
        <w:t>前一日自行查看是否有补充更正文件，并按补充更正文件要求投标，否则责任自负。</w:t>
      </w:r>
    </w:p>
    <w:p>
      <w:pPr>
        <w:spacing w:before="100" w:beforeAutospacing="1" w:after="100" w:afterAutospacing="1" w:line="440" w:lineRule="exact"/>
        <w:jc w:val="center"/>
        <w:outlineLvl w:val="0"/>
        <w:rPr>
          <w:rFonts w:ascii="宋体" w:hAnsi="宋体"/>
          <w:b/>
          <w:bCs/>
          <w:color w:val="auto"/>
          <w:sz w:val="26"/>
          <w:szCs w:val="26"/>
        </w:rPr>
      </w:pPr>
      <w:bookmarkStart w:id="78" w:name="_Toc221423618"/>
      <w:bookmarkStart w:id="79" w:name="_Toc262049417"/>
      <w:bookmarkStart w:id="80" w:name="_Toc249758711"/>
      <w:bookmarkStart w:id="81" w:name="_Toc239145353"/>
      <w:bookmarkStart w:id="82" w:name="_Toc221374625"/>
      <w:bookmarkStart w:id="83" w:name="_Toc221356950"/>
      <w:bookmarkStart w:id="84" w:name="_Toc8234"/>
      <w:bookmarkStart w:id="85" w:name="_Toc245722280"/>
      <w:bookmarkStart w:id="86" w:name="_Toc241404201"/>
      <w:bookmarkStart w:id="87" w:name="_Toc245191313"/>
      <w:bookmarkStart w:id="88" w:name="_Toc249758863"/>
      <w:bookmarkStart w:id="89" w:name="_Toc221356885"/>
      <w:bookmarkStart w:id="90" w:name="_Toc262105502"/>
      <w:bookmarkStart w:id="91" w:name="_Toc222114878"/>
      <w:bookmarkStart w:id="92" w:name="_Toc246261264"/>
      <w:bookmarkStart w:id="93" w:name="_Toc223715997"/>
      <w:r>
        <w:rPr>
          <w:rFonts w:hint="eastAsia" w:ascii="宋体" w:hAnsi="宋体"/>
          <w:b/>
          <w:bCs/>
          <w:color w:val="auto"/>
          <w:sz w:val="26"/>
          <w:szCs w:val="26"/>
        </w:rPr>
        <w:t>四、 投标文件的编制</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numPr>
          <w:ilvl w:val="0"/>
          <w:numId w:val="10"/>
        </w:numPr>
        <w:tabs>
          <w:tab w:val="left" w:pos="540"/>
          <w:tab w:val="clear" w:pos="420"/>
        </w:tabs>
        <w:spacing w:line="460" w:lineRule="exact"/>
        <w:ind w:left="540" w:hanging="540"/>
        <w:rPr>
          <w:rFonts w:ascii="宋体" w:hAnsi="宋体"/>
          <w:color w:val="auto"/>
          <w:sz w:val="22"/>
          <w:szCs w:val="22"/>
        </w:rPr>
      </w:pPr>
      <w:r>
        <w:rPr>
          <w:rFonts w:hint="eastAsia" w:ascii="宋体" w:hAnsi="宋体" w:cs="Arial"/>
          <w:color w:val="auto"/>
          <w:sz w:val="22"/>
          <w:szCs w:val="22"/>
        </w:rPr>
        <w:t>投标人应认真阅读招标文件中所有事项格式、条款和技术规范等。</w:t>
      </w:r>
      <w:r>
        <w:rPr>
          <w:rFonts w:hint="eastAsia" w:ascii="宋体" w:hAnsi="宋体" w:cs="Arial"/>
          <w:b/>
          <w:color w:val="auto"/>
          <w:sz w:val="22"/>
          <w:szCs w:val="22"/>
        </w:rPr>
        <w:t>投标人没有按照招标文件要求提交全部资料，或者没有对招标文件各个方面做出实质性响应，导致投标被拒绝的风险由投标人自行承担。</w:t>
      </w:r>
    </w:p>
    <w:p>
      <w:pPr>
        <w:numPr>
          <w:ilvl w:val="0"/>
          <w:numId w:val="10"/>
        </w:numPr>
        <w:tabs>
          <w:tab w:val="left" w:pos="540"/>
          <w:tab w:val="clear" w:pos="420"/>
        </w:tabs>
        <w:spacing w:line="460" w:lineRule="exact"/>
        <w:ind w:left="540" w:hanging="540"/>
        <w:rPr>
          <w:rFonts w:ascii="宋体" w:hAnsi="宋体"/>
          <w:bCs/>
          <w:color w:val="auto"/>
          <w:sz w:val="22"/>
          <w:szCs w:val="22"/>
        </w:rPr>
      </w:pPr>
      <w:r>
        <w:rPr>
          <w:rFonts w:hint="eastAsia" w:ascii="宋体" w:hAnsi="宋体"/>
          <w:bCs/>
          <w:color w:val="auto"/>
          <w:sz w:val="22"/>
          <w:szCs w:val="22"/>
        </w:rPr>
        <w:t>投标文件的构成</w:t>
      </w:r>
    </w:p>
    <w:p>
      <w:pPr>
        <w:tabs>
          <w:tab w:val="left" w:pos="540"/>
        </w:tabs>
        <w:spacing w:line="460" w:lineRule="exact"/>
        <w:ind w:firstLine="442" w:firstLineChars="200"/>
        <w:rPr>
          <w:rFonts w:ascii="宋体" w:hAnsi="宋体" w:cs="Arial"/>
          <w:b/>
          <w:color w:val="auto"/>
          <w:sz w:val="22"/>
          <w:szCs w:val="22"/>
          <w:u w:val="single"/>
        </w:rPr>
      </w:pPr>
      <w:r>
        <w:rPr>
          <w:rFonts w:hint="eastAsia" w:ascii="宋体" w:hAnsi="宋体" w:cs="Arial"/>
          <w:b/>
          <w:color w:val="auto"/>
          <w:sz w:val="22"/>
          <w:szCs w:val="22"/>
          <w:u w:val="single"/>
        </w:rPr>
        <w:t>投标文件由资格文件、商务技术文件、报价文件三部分构成：</w:t>
      </w:r>
    </w:p>
    <w:p>
      <w:pPr>
        <w:spacing w:line="430" w:lineRule="exact"/>
        <w:ind w:left="187" w:leftChars="85" w:hanging="9" w:hangingChars="4"/>
        <w:rPr>
          <w:rFonts w:ascii="宋体" w:cs="hakuyoxingshu7000"/>
          <w:b/>
          <w:color w:val="auto"/>
          <w:sz w:val="22"/>
          <w:szCs w:val="22"/>
        </w:rPr>
      </w:pPr>
      <w:r>
        <w:rPr>
          <w:rFonts w:hint="eastAsia" w:ascii="宋体" w:hAnsi="宋体" w:cs="hakuyoxingshu7000"/>
          <w:b/>
          <w:color w:val="auto"/>
          <w:sz w:val="22"/>
          <w:szCs w:val="22"/>
        </w:rPr>
        <w:t>（</w:t>
      </w:r>
      <w:r>
        <w:rPr>
          <w:rFonts w:ascii="宋体" w:hAnsi="宋体" w:cs="hakuyoxingshu7000"/>
          <w:b/>
          <w:color w:val="auto"/>
          <w:sz w:val="22"/>
          <w:szCs w:val="22"/>
        </w:rPr>
        <w:t>1</w:t>
      </w:r>
      <w:r>
        <w:rPr>
          <w:rFonts w:hint="eastAsia" w:ascii="宋体" w:hAnsi="宋体" w:cs="hakuyoxingshu7000"/>
          <w:b/>
          <w:color w:val="auto"/>
          <w:sz w:val="22"/>
          <w:szCs w:val="22"/>
        </w:rPr>
        <w:t>）资格文件</w:t>
      </w:r>
    </w:p>
    <w:tbl>
      <w:tblPr>
        <w:tblStyle w:val="6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514"/>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
                <w:color w:val="auto"/>
                <w:sz w:val="22"/>
                <w:szCs w:val="22"/>
              </w:rPr>
            </w:pPr>
            <w:r>
              <w:rPr>
                <w:rFonts w:hint="eastAsia" w:ascii="宋体" w:hAnsi="宋体" w:cs="新宋体"/>
                <w:b/>
                <w:color w:val="auto"/>
                <w:sz w:val="22"/>
                <w:szCs w:val="22"/>
              </w:rPr>
              <w:t>序号</w:t>
            </w:r>
          </w:p>
        </w:tc>
        <w:tc>
          <w:tcPr>
            <w:tcW w:w="7514" w:type="dxa"/>
            <w:vAlign w:val="center"/>
          </w:tcPr>
          <w:p>
            <w:pPr>
              <w:overflowPunct w:val="0"/>
              <w:spacing w:line="430" w:lineRule="exact"/>
              <w:jc w:val="center"/>
              <w:rPr>
                <w:rFonts w:ascii="宋体" w:cs="新宋体"/>
                <w:b/>
                <w:color w:val="auto"/>
                <w:sz w:val="22"/>
                <w:szCs w:val="22"/>
              </w:rPr>
            </w:pPr>
            <w:r>
              <w:rPr>
                <w:rFonts w:hint="eastAsia" w:ascii="宋体" w:hAnsi="宋体" w:cs="新宋体"/>
                <w:b/>
                <w:color w:val="auto"/>
                <w:sz w:val="22"/>
                <w:szCs w:val="22"/>
              </w:rPr>
              <w:t>内容</w:t>
            </w:r>
          </w:p>
        </w:tc>
        <w:tc>
          <w:tcPr>
            <w:tcW w:w="1523" w:type="dxa"/>
            <w:vAlign w:val="center"/>
          </w:tcPr>
          <w:p>
            <w:pPr>
              <w:overflowPunct w:val="0"/>
              <w:spacing w:line="430" w:lineRule="exact"/>
              <w:jc w:val="center"/>
              <w:rPr>
                <w:rFonts w:ascii="宋体" w:cs="新宋体"/>
                <w:b/>
                <w:color w:val="auto"/>
                <w:sz w:val="22"/>
                <w:szCs w:val="22"/>
              </w:rPr>
            </w:pPr>
            <w:r>
              <w:rPr>
                <w:rFonts w:hint="eastAsia" w:ascii="宋体" w:hAnsi="宋体" w:cs="新宋体"/>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rPr>
            </w:pPr>
            <w:r>
              <w:rPr>
                <w:rFonts w:ascii="宋体" w:hAnsi="宋体" w:cs="新宋体"/>
                <w:bCs/>
                <w:color w:val="auto"/>
                <w:sz w:val="22"/>
                <w:szCs w:val="22"/>
              </w:rPr>
              <w:t>1</w:t>
            </w:r>
          </w:p>
        </w:tc>
        <w:tc>
          <w:tcPr>
            <w:tcW w:w="7514" w:type="dxa"/>
            <w:vAlign w:val="center"/>
          </w:tcPr>
          <w:p>
            <w:pPr>
              <w:rPr>
                <w:rFonts w:ascii="宋体" w:cs="新宋体"/>
                <w:bCs/>
                <w:color w:val="auto"/>
                <w:sz w:val="22"/>
                <w:szCs w:val="22"/>
              </w:rPr>
            </w:pPr>
            <w:r>
              <w:rPr>
                <w:rFonts w:hint="eastAsia" w:ascii="宋体" w:hAnsi="宋体"/>
                <w:color w:val="auto"/>
                <w:sz w:val="22"/>
                <w:szCs w:val="22"/>
              </w:rPr>
              <w:t>营业执照</w:t>
            </w:r>
            <w:r>
              <w:rPr>
                <w:rFonts w:ascii="宋体" w:hAnsi="宋体"/>
                <w:color w:val="auto"/>
                <w:sz w:val="22"/>
                <w:szCs w:val="22"/>
              </w:rPr>
              <w:t>(</w:t>
            </w:r>
            <w:r>
              <w:rPr>
                <w:rFonts w:hint="eastAsia" w:ascii="宋体" w:hAnsi="宋体"/>
                <w:color w:val="auto"/>
                <w:sz w:val="22"/>
                <w:szCs w:val="22"/>
              </w:rPr>
              <w:t>或事业法人登记证书或其它工商等登记证明材料；自然人参与政府采购，提供身份证</w:t>
            </w:r>
            <w:r>
              <w:rPr>
                <w:rFonts w:ascii="宋体" w:hAnsi="宋体"/>
                <w:color w:val="auto"/>
                <w:sz w:val="22"/>
                <w:szCs w:val="22"/>
              </w:rPr>
              <w:t>)</w:t>
            </w:r>
            <w:r>
              <w:rPr>
                <w:rFonts w:hint="eastAsia" w:ascii="宋体" w:hAnsi="宋体"/>
                <w:color w:val="auto"/>
                <w:sz w:val="22"/>
                <w:szCs w:val="22"/>
              </w:rPr>
              <w:t>复印件、税务登记证</w:t>
            </w:r>
            <w:r>
              <w:rPr>
                <w:rFonts w:ascii="宋体" w:hAnsi="宋体"/>
                <w:color w:val="auto"/>
                <w:sz w:val="22"/>
                <w:szCs w:val="22"/>
              </w:rPr>
              <w:t>(</w:t>
            </w:r>
            <w:r>
              <w:rPr>
                <w:rFonts w:hint="eastAsia" w:ascii="宋体" w:hAnsi="宋体"/>
                <w:color w:val="auto"/>
                <w:sz w:val="22"/>
                <w:szCs w:val="22"/>
              </w:rPr>
              <w:t>或其它缴纳证明材料</w:t>
            </w:r>
            <w:r>
              <w:rPr>
                <w:rFonts w:ascii="宋体" w:hAnsi="宋体"/>
                <w:color w:val="auto"/>
                <w:sz w:val="22"/>
                <w:szCs w:val="22"/>
              </w:rPr>
              <w:t>)</w:t>
            </w:r>
            <w:r>
              <w:rPr>
                <w:rFonts w:hint="eastAsia" w:ascii="宋体" w:hAnsi="宋体"/>
                <w:color w:val="auto"/>
                <w:sz w:val="22"/>
                <w:szCs w:val="22"/>
              </w:rPr>
              <w:t>复印件、社保登记证（或其它缴纳证明材料）复印件；实施“五证合一、一照一码”登记制度改革的，只需提供改革后取得的营业执照复印件；</w:t>
            </w:r>
          </w:p>
        </w:tc>
        <w:tc>
          <w:tcPr>
            <w:tcW w:w="1523" w:type="dxa"/>
            <w:vAlign w:val="center"/>
          </w:tcPr>
          <w:p>
            <w:pPr>
              <w:overflowPunct w:val="0"/>
              <w:spacing w:line="430" w:lineRule="exact"/>
              <w:jc w:val="center"/>
              <w:rPr>
                <w:rFonts w:ascii="宋体" w:cs="新宋体"/>
                <w:b/>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rPr>
            </w:pPr>
            <w:r>
              <w:rPr>
                <w:rFonts w:ascii="宋体" w:hAnsi="宋体" w:cs="新宋体"/>
                <w:bCs/>
                <w:color w:val="auto"/>
                <w:sz w:val="22"/>
                <w:szCs w:val="22"/>
              </w:rPr>
              <w:t>2</w:t>
            </w:r>
          </w:p>
        </w:tc>
        <w:tc>
          <w:tcPr>
            <w:tcW w:w="7514" w:type="dxa"/>
            <w:vAlign w:val="center"/>
          </w:tcPr>
          <w:p>
            <w:pPr>
              <w:rPr>
                <w:rFonts w:ascii="宋体" w:hAnsi="宋体" w:cs="宋体"/>
                <w:color w:val="auto"/>
                <w:kern w:val="0"/>
                <w:sz w:val="22"/>
                <w:szCs w:val="22"/>
              </w:rPr>
            </w:pPr>
            <w:r>
              <w:rPr>
                <w:rFonts w:hint="eastAsia" w:ascii="宋体" w:hAnsi="宋体" w:cs="宋体"/>
                <w:color w:val="auto"/>
                <w:kern w:val="0"/>
                <w:sz w:val="22"/>
                <w:szCs w:val="22"/>
              </w:rPr>
              <w:t>联合体协议书（如有，非联合体无需提供）、分包意向协议（如有）</w:t>
            </w:r>
          </w:p>
        </w:tc>
        <w:tc>
          <w:tcPr>
            <w:tcW w:w="1523" w:type="dxa"/>
            <w:vMerge w:val="restart"/>
            <w:vAlign w:val="center"/>
          </w:tcPr>
          <w:p>
            <w:pPr>
              <w:jc w:val="center"/>
              <w:rPr>
                <w:rFonts w:ascii="宋体" w:cs="新宋体"/>
                <w:bCs/>
                <w:color w:val="auto"/>
                <w:sz w:val="22"/>
                <w:szCs w:val="22"/>
              </w:rPr>
            </w:pPr>
            <w:r>
              <w:rPr>
                <w:rFonts w:hint="eastAsia" w:ascii="宋体" w:hAnsi="宋体" w:cs="新宋体"/>
                <w:bCs/>
                <w:color w:val="auto"/>
                <w:sz w:val="22"/>
                <w:szCs w:val="22"/>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rPr>
            </w:pPr>
            <w:r>
              <w:rPr>
                <w:rFonts w:ascii="宋体" w:hAnsi="宋体" w:cs="新宋体"/>
                <w:bCs/>
                <w:color w:val="auto"/>
                <w:sz w:val="22"/>
                <w:szCs w:val="22"/>
              </w:rPr>
              <w:t>3</w:t>
            </w:r>
          </w:p>
        </w:tc>
        <w:tc>
          <w:tcPr>
            <w:tcW w:w="7514" w:type="dxa"/>
            <w:vAlign w:val="center"/>
          </w:tcPr>
          <w:p>
            <w:pPr>
              <w:rPr>
                <w:rFonts w:ascii="宋体" w:cs="新宋体"/>
                <w:bCs/>
                <w:color w:val="auto"/>
                <w:sz w:val="22"/>
                <w:szCs w:val="22"/>
              </w:rPr>
            </w:pPr>
            <w:r>
              <w:rPr>
                <w:rFonts w:hint="eastAsia" w:ascii="宋体" w:cs="新宋体"/>
                <w:bCs/>
                <w:color w:val="auto"/>
                <w:sz w:val="22"/>
                <w:szCs w:val="22"/>
              </w:rPr>
              <w:t>法定代表人声明书或法定代表人授权书</w:t>
            </w:r>
          </w:p>
        </w:tc>
        <w:tc>
          <w:tcPr>
            <w:tcW w:w="1523" w:type="dxa"/>
            <w:vMerge w:val="continue"/>
            <w:vAlign w:val="center"/>
          </w:tcPr>
          <w:p>
            <w:pPr>
              <w:jc w:val="center"/>
              <w:rPr>
                <w:rFonts w:ascii="宋体" w:cs="新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rPr>
            </w:pPr>
            <w:r>
              <w:rPr>
                <w:rFonts w:ascii="宋体" w:hAnsi="宋体" w:cs="新宋体"/>
                <w:bCs/>
                <w:color w:val="auto"/>
                <w:sz w:val="22"/>
                <w:szCs w:val="22"/>
              </w:rPr>
              <w:t>4</w:t>
            </w:r>
          </w:p>
        </w:tc>
        <w:tc>
          <w:tcPr>
            <w:tcW w:w="7514" w:type="dxa"/>
            <w:vAlign w:val="center"/>
          </w:tcPr>
          <w:p>
            <w:pPr>
              <w:rPr>
                <w:rFonts w:ascii="宋体" w:cs="新宋体"/>
                <w:bCs/>
                <w:color w:val="auto"/>
                <w:sz w:val="22"/>
                <w:szCs w:val="22"/>
              </w:rPr>
            </w:pPr>
            <w:r>
              <w:rPr>
                <w:rFonts w:hint="eastAsia" w:ascii="宋体" w:cs="新宋体"/>
                <w:bCs/>
                <w:color w:val="auto"/>
                <w:sz w:val="22"/>
                <w:szCs w:val="22"/>
              </w:rPr>
              <w:t>投标人参与政府采购活动投标资格声明函</w:t>
            </w:r>
          </w:p>
        </w:tc>
        <w:tc>
          <w:tcPr>
            <w:tcW w:w="1523" w:type="dxa"/>
            <w:vMerge w:val="continue"/>
            <w:vAlign w:val="center"/>
          </w:tcPr>
          <w:p>
            <w:pPr>
              <w:spacing w:line="400" w:lineRule="exact"/>
              <w:jc w:val="center"/>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rPr>
            </w:pPr>
            <w:r>
              <w:rPr>
                <w:rFonts w:hint="eastAsia" w:ascii="宋体" w:cs="新宋体"/>
                <w:bCs/>
                <w:color w:val="auto"/>
                <w:sz w:val="22"/>
                <w:szCs w:val="22"/>
              </w:rPr>
              <w:t>5</w:t>
            </w:r>
          </w:p>
        </w:tc>
        <w:tc>
          <w:tcPr>
            <w:tcW w:w="7514" w:type="dxa"/>
            <w:vAlign w:val="center"/>
          </w:tcPr>
          <w:p>
            <w:pPr>
              <w:rPr>
                <w:rFonts w:ascii="宋体" w:cs="新宋体"/>
                <w:bCs/>
                <w:color w:val="auto"/>
                <w:sz w:val="22"/>
                <w:szCs w:val="22"/>
              </w:rPr>
            </w:pPr>
            <w:r>
              <w:rPr>
                <w:rFonts w:hint="eastAsia" w:ascii="宋体" w:cs="新宋体"/>
                <w:bCs/>
                <w:color w:val="auto"/>
                <w:sz w:val="22"/>
                <w:szCs w:val="22"/>
              </w:rPr>
              <w:t>诚信投标承诺书</w:t>
            </w:r>
          </w:p>
        </w:tc>
        <w:tc>
          <w:tcPr>
            <w:tcW w:w="1523" w:type="dxa"/>
            <w:vMerge w:val="continue"/>
            <w:vAlign w:val="center"/>
          </w:tcPr>
          <w:p>
            <w:pPr>
              <w:spacing w:line="400" w:lineRule="exact"/>
              <w:jc w:val="center"/>
              <w:rPr>
                <w:rFonts w:asci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rPr>
            </w:pPr>
            <w:r>
              <w:rPr>
                <w:rFonts w:hint="eastAsia" w:ascii="宋体" w:cs="新宋体"/>
                <w:bCs/>
                <w:color w:val="auto"/>
                <w:sz w:val="22"/>
                <w:szCs w:val="22"/>
              </w:rPr>
              <w:t>6</w:t>
            </w:r>
          </w:p>
        </w:tc>
        <w:tc>
          <w:tcPr>
            <w:tcW w:w="7514" w:type="dxa"/>
            <w:vAlign w:val="center"/>
          </w:tcPr>
          <w:p>
            <w:pPr>
              <w:rPr>
                <w:rFonts w:ascii="宋体" w:cs="新宋体"/>
                <w:bCs/>
                <w:color w:val="auto"/>
                <w:sz w:val="22"/>
                <w:szCs w:val="22"/>
              </w:rPr>
            </w:pPr>
            <w:r>
              <w:rPr>
                <w:rFonts w:hint="eastAsia" w:ascii="宋体" w:hAnsi="宋体" w:cs="新宋体"/>
                <w:bCs/>
                <w:color w:val="auto"/>
                <w:sz w:val="22"/>
                <w:szCs w:val="22"/>
              </w:rPr>
              <w:t>投标人“信用中国”</w:t>
            </w:r>
            <w:r>
              <w:rPr>
                <w:rFonts w:ascii="宋体" w:hAnsi="宋体" w:cs="新宋体"/>
                <w:bCs/>
                <w:color w:val="auto"/>
                <w:sz w:val="22"/>
                <w:szCs w:val="22"/>
              </w:rPr>
              <w:t>(www.creditchina.gov.cn)</w:t>
            </w:r>
            <w:r>
              <w:rPr>
                <w:rFonts w:hint="eastAsia" w:ascii="宋体" w:hAnsi="宋体" w:cs="新宋体"/>
                <w:bCs/>
                <w:color w:val="auto"/>
                <w:sz w:val="22"/>
                <w:szCs w:val="22"/>
              </w:rPr>
              <w:t>；“中国政府采购网”（</w:t>
            </w:r>
            <w:r>
              <w:rPr>
                <w:rFonts w:ascii="宋体" w:hAnsi="宋体" w:cs="新宋体"/>
                <w:bCs/>
                <w:color w:val="auto"/>
                <w:sz w:val="22"/>
                <w:szCs w:val="22"/>
              </w:rPr>
              <w:t>http://www.ccgp.gov.cn/</w:t>
            </w:r>
            <w:r>
              <w:rPr>
                <w:rFonts w:hint="eastAsia" w:ascii="宋体" w:hAnsi="宋体" w:cs="新宋体"/>
                <w:bCs/>
                <w:color w:val="auto"/>
                <w:sz w:val="22"/>
                <w:szCs w:val="22"/>
              </w:rPr>
              <w:t>）信用记录网页截图（采购公告发布之日至投标截止时间前）；</w:t>
            </w:r>
          </w:p>
        </w:tc>
        <w:tc>
          <w:tcPr>
            <w:tcW w:w="1523" w:type="dxa"/>
            <w:vAlign w:val="center"/>
          </w:tcPr>
          <w:p>
            <w:pPr>
              <w:jc w:val="center"/>
              <w:rPr>
                <w:rFonts w:ascii="宋体" w:cs="新宋体"/>
                <w:bCs/>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17" w:type="dxa"/>
            <w:vAlign w:val="center"/>
          </w:tcPr>
          <w:p>
            <w:pPr>
              <w:overflowPunct w:val="0"/>
              <w:spacing w:line="430" w:lineRule="exact"/>
              <w:jc w:val="center"/>
              <w:rPr>
                <w:rFonts w:ascii="宋体" w:cs="新宋体"/>
                <w:bCs/>
                <w:color w:val="auto"/>
                <w:sz w:val="22"/>
                <w:szCs w:val="22"/>
              </w:rPr>
            </w:pPr>
            <w:r>
              <w:rPr>
                <w:rFonts w:hint="eastAsia" w:ascii="宋体" w:cs="新宋体"/>
                <w:bCs/>
                <w:color w:val="auto"/>
                <w:sz w:val="22"/>
                <w:szCs w:val="22"/>
              </w:rPr>
              <w:t>7</w:t>
            </w:r>
          </w:p>
        </w:tc>
        <w:tc>
          <w:tcPr>
            <w:tcW w:w="7514" w:type="dxa"/>
            <w:vAlign w:val="center"/>
          </w:tcPr>
          <w:p>
            <w:pPr>
              <w:rPr>
                <w:rFonts w:ascii="宋体" w:hAnsi="宋体" w:cs="新宋体"/>
                <w:bCs/>
                <w:color w:val="auto"/>
                <w:sz w:val="22"/>
                <w:szCs w:val="22"/>
              </w:rPr>
            </w:pPr>
            <w:r>
              <w:rPr>
                <w:rFonts w:hint="eastAsia" w:ascii="宋体" w:hAnsi="宋体" w:cs="新宋体"/>
                <w:bCs/>
                <w:color w:val="auto"/>
                <w:sz w:val="22"/>
                <w:szCs w:val="22"/>
              </w:rPr>
              <w:t>投标人认为其他需要提交的资料</w:t>
            </w:r>
          </w:p>
        </w:tc>
        <w:tc>
          <w:tcPr>
            <w:tcW w:w="1523" w:type="dxa"/>
            <w:vAlign w:val="center"/>
          </w:tcPr>
          <w:p>
            <w:pPr>
              <w:jc w:val="center"/>
              <w:rPr>
                <w:rFonts w:ascii="宋体" w:cs="新宋体"/>
                <w:bCs/>
                <w:color w:val="auto"/>
                <w:sz w:val="22"/>
                <w:szCs w:val="22"/>
              </w:rPr>
            </w:pPr>
          </w:p>
        </w:tc>
      </w:tr>
    </w:tbl>
    <w:p>
      <w:pPr>
        <w:spacing w:line="430" w:lineRule="exact"/>
        <w:ind w:left="187" w:leftChars="85" w:hanging="9" w:hangingChars="4"/>
        <w:rPr>
          <w:rFonts w:ascii="宋体" w:cs="楷体"/>
          <w:b/>
          <w:color w:val="auto"/>
          <w:sz w:val="22"/>
          <w:szCs w:val="22"/>
        </w:rPr>
      </w:pPr>
      <w:r>
        <w:rPr>
          <w:rFonts w:hint="eastAsia" w:ascii="宋体" w:hAnsi="宋体" w:cs="楷体"/>
          <w:b/>
          <w:color w:val="auto"/>
          <w:sz w:val="22"/>
          <w:szCs w:val="22"/>
        </w:rPr>
        <w:t>备注：</w:t>
      </w:r>
    </w:p>
    <w:p>
      <w:pPr>
        <w:numPr>
          <w:ilvl w:val="0"/>
          <w:numId w:val="11"/>
        </w:numPr>
        <w:spacing w:line="430" w:lineRule="exact"/>
        <w:rPr>
          <w:rFonts w:ascii="宋体" w:cs="楷体"/>
          <w:b/>
          <w:color w:val="auto"/>
          <w:sz w:val="22"/>
          <w:szCs w:val="22"/>
        </w:rPr>
      </w:pPr>
      <w:r>
        <w:rPr>
          <w:rFonts w:hint="eastAsia" w:ascii="宋体" w:hAnsi="宋体" w:cs="新宋体"/>
          <w:color w:val="auto"/>
          <w:sz w:val="22"/>
          <w:szCs w:val="22"/>
        </w:rPr>
        <w:t>金融、保险、通讯等特定行业的全国性企业所设立的区域性分支机构，以及个体工商户、个人独资企业、合伙企业，如果已经依法办理了工商、税务和社保登记手续，并且获得</w:t>
      </w:r>
      <w:r>
        <w:rPr>
          <w:rFonts w:hint="eastAsia" w:ascii="宋体" w:hAnsi="宋体" w:cs="新宋体"/>
          <w:b/>
          <w:bCs/>
          <w:color w:val="auto"/>
          <w:sz w:val="22"/>
          <w:szCs w:val="22"/>
        </w:rPr>
        <w:t>总公司（总机构）授权或能够提供房产权证或其他有效财产证明材料（在投标文件中提供相关材料）</w:t>
      </w:r>
      <w:r>
        <w:rPr>
          <w:rFonts w:hint="eastAsia" w:ascii="宋体" w:hAnsi="宋体" w:cs="新宋体"/>
          <w:color w:val="auto"/>
          <w:sz w:val="22"/>
          <w:szCs w:val="22"/>
        </w:rPr>
        <w:t>，证明其具备实际承担责任的能力和法定的缔结合同能力，可以独立参加政府采购活动，由单位负责人签署相关文件材料；</w:t>
      </w:r>
    </w:p>
    <w:p>
      <w:pPr>
        <w:numPr>
          <w:ilvl w:val="0"/>
          <w:numId w:val="11"/>
        </w:numPr>
        <w:spacing w:line="430" w:lineRule="exact"/>
        <w:rPr>
          <w:rFonts w:ascii="宋体" w:hAnsi="宋体" w:cs="宋体"/>
          <w:color w:val="auto"/>
        </w:rPr>
      </w:pPr>
      <w:r>
        <w:rPr>
          <w:rFonts w:hint="eastAsia" w:ascii="宋体" w:hAnsi="宋体" w:cs="宋体"/>
          <w:b/>
          <w:bCs/>
          <w:color w:val="auto"/>
          <w:sz w:val="22"/>
          <w:szCs w:val="22"/>
        </w:rPr>
        <w:t>如为联合体，1与3至6项材料联合体双方均需提供。</w:t>
      </w:r>
    </w:p>
    <w:p>
      <w:pPr>
        <w:spacing w:line="430" w:lineRule="exact"/>
        <w:rPr>
          <w:rFonts w:ascii="宋体" w:cs="hakuyoxingshu7000"/>
          <w:b/>
          <w:color w:val="auto"/>
          <w:kern w:val="0"/>
          <w:sz w:val="22"/>
          <w:szCs w:val="22"/>
        </w:rPr>
      </w:pPr>
      <w:r>
        <w:rPr>
          <w:rFonts w:hint="eastAsia" w:ascii="宋体" w:hAnsi="宋体" w:cs="hakuyoxingshu7000"/>
          <w:b/>
          <w:color w:val="auto"/>
          <w:sz w:val="22"/>
          <w:szCs w:val="22"/>
        </w:rPr>
        <w:t>（</w:t>
      </w:r>
      <w:r>
        <w:rPr>
          <w:rFonts w:ascii="宋体" w:hAnsi="宋体" w:cs="hakuyoxingshu7000"/>
          <w:b/>
          <w:color w:val="auto"/>
          <w:sz w:val="22"/>
          <w:szCs w:val="22"/>
        </w:rPr>
        <w:t>2</w:t>
      </w:r>
      <w:r>
        <w:rPr>
          <w:rFonts w:hint="eastAsia" w:ascii="宋体" w:hAnsi="宋体" w:cs="hakuyoxingshu7000"/>
          <w:b/>
          <w:color w:val="auto"/>
          <w:sz w:val="22"/>
          <w:szCs w:val="22"/>
        </w:rPr>
        <w:t>）</w:t>
      </w:r>
      <w:r>
        <w:rPr>
          <w:rFonts w:hint="eastAsia" w:ascii="宋体" w:hAnsi="宋体" w:cs="hakuyoxingshu7000"/>
          <w:b/>
          <w:color w:val="auto"/>
          <w:kern w:val="0"/>
          <w:sz w:val="22"/>
          <w:szCs w:val="22"/>
        </w:rPr>
        <w:t>报价文件</w:t>
      </w:r>
    </w:p>
    <w:tbl>
      <w:tblPr>
        <w:tblStyle w:val="6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513"/>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30" w:lineRule="exact"/>
              <w:jc w:val="center"/>
              <w:rPr>
                <w:rFonts w:ascii="宋体" w:cs="hakuyoxingshu7000"/>
                <w:color w:val="auto"/>
                <w:kern w:val="0"/>
                <w:sz w:val="22"/>
                <w:szCs w:val="22"/>
              </w:rPr>
            </w:pPr>
            <w:r>
              <w:rPr>
                <w:rFonts w:hint="eastAsia" w:ascii="宋体" w:hAnsi="宋体" w:cs="hakuyoxingshu7000"/>
                <w:color w:val="auto"/>
                <w:kern w:val="0"/>
                <w:sz w:val="22"/>
                <w:szCs w:val="22"/>
              </w:rPr>
              <w:t>序号</w:t>
            </w:r>
          </w:p>
        </w:tc>
        <w:tc>
          <w:tcPr>
            <w:tcW w:w="7513" w:type="dxa"/>
            <w:vAlign w:val="center"/>
          </w:tcPr>
          <w:p>
            <w:pPr>
              <w:spacing w:line="430" w:lineRule="exact"/>
              <w:rPr>
                <w:rFonts w:ascii="宋体" w:cs="hakuyoxingshu7000"/>
                <w:color w:val="auto"/>
                <w:kern w:val="0"/>
                <w:sz w:val="22"/>
                <w:szCs w:val="22"/>
              </w:rPr>
            </w:pPr>
            <w:r>
              <w:rPr>
                <w:rFonts w:hint="eastAsia" w:ascii="宋体" w:hAnsi="宋体" w:cs="hakuyoxingshu7000"/>
                <w:color w:val="auto"/>
                <w:kern w:val="0"/>
                <w:sz w:val="22"/>
                <w:szCs w:val="22"/>
              </w:rPr>
              <w:t>内容</w:t>
            </w:r>
          </w:p>
        </w:tc>
        <w:tc>
          <w:tcPr>
            <w:tcW w:w="1524" w:type="dxa"/>
            <w:vAlign w:val="center"/>
          </w:tcPr>
          <w:p>
            <w:pPr>
              <w:spacing w:line="430" w:lineRule="exact"/>
              <w:jc w:val="center"/>
              <w:rPr>
                <w:rFonts w:ascii="宋体" w:cs="hakuyoxingshu7000"/>
                <w:color w:val="auto"/>
                <w:kern w:val="0"/>
                <w:sz w:val="22"/>
                <w:szCs w:val="22"/>
              </w:rPr>
            </w:pPr>
            <w:r>
              <w:rPr>
                <w:rFonts w:hint="eastAsia" w:ascii="宋体" w:hAnsi="宋体" w:cs="hakuyoxingshu7000"/>
                <w:color w:val="auto"/>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30" w:lineRule="exact"/>
              <w:jc w:val="center"/>
              <w:rPr>
                <w:rFonts w:ascii="宋体" w:cs="hakuyoxingshu7000"/>
                <w:color w:val="auto"/>
                <w:kern w:val="0"/>
                <w:sz w:val="22"/>
                <w:szCs w:val="22"/>
              </w:rPr>
            </w:pPr>
            <w:r>
              <w:rPr>
                <w:rFonts w:ascii="宋体" w:hAnsi="宋体" w:cs="hakuyoxingshu7000"/>
                <w:color w:val="auto"/>
                <w:kern w:val="0"/>
                <w:sz w:val="22"/>
                <w:szCs w:val="22"/>
              </w:rPr>
              <w:t>1)</w:t>
            </w:r>
          </w:p>
        </w:tc>
        <w:tc>
          <w:tcPr>
            <w:tcW w:w="7513" w:type="dxa"/>
            <w:vAlign w:val="center"/>
          </w:tcPr>
          <w:p>
            <w:pPr>
              <w:spacing w:line="430" w:lineRule="exact"/>
              <w:rPr>
                <w:rFonts w:ascii="宋体" w:cs="hakuyoxingshu7000"/>
                <w:color w:val="auto"/>
                <w:kern w:val="0"/>
                <w:sz w:val="22"/>
                <w:szCs w:val="22"/>
              </w:rPr>
            </w:pPr>
            <w:r>
              <w:rPr>
                <w:rFonts w:hint="eastAsia" w:ascii="宋体" w:hAnsi="宋体" w:cs="hakuyoxingshu7000"/>
                <w:color w:val="auto"/>
                <w:kern w:val="0"/>
                <w:sz w:val="22"/>
                <w:szCs w:val="22"/>
              </w:rPr>
              <w:t>开标一览表</w:t>
            </w:r>
          </w:p>
        </w:tc>
        <w:tc>
          <w:tcPr>
            <w:tcW w:w="1524" w:type="dxa"/>
            <w:vMerge w:val="restart"/>
            <w:vAlign w:val="center"/>
          </w:tcPr>
          <w:p>
            <w:pPr>
              <w:spacing w:line="430" w:lineRule="exact"/>
              <w:jc w:val="center"/>
              <w:rPr>
                <w:rFonts w:ascii="宋体" w:cs="hakuyoxingshu7000"/>
                <w:color w:val="auto"/>
                <w:kern w:val="0"/>
                <w:sz w:val="22"/>
                <w:szCs w:val="22"/>
              </w:rPr>
            </w:pPr>
            <w:r>
              <w:rPr>
                <w:rFonts w:hint="eastAsia" w:ascii="宋体" w:hAnsi="宋体" w:cs="hakuyoxingshu7000"/>
                <w:color w:val="auto"/>
                <w:kern w:val="0"/>
                <w:sz w:val="22"/>
                <w:szCs w:val="22"/>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30" w:lineRule="exact"/>
              <w:jc w:val="center"/>
              <w:rPr>
                <w:rFonts w:ascii="宋体" w:cs="hakuyoxingshu7000"/>
                <w:color w:val="auto"/>
                <w:kern w:val="0"/>
                <w:sz w:val="22"/>
                <w:szCs w:val="22"/>
              </w:rPr>
            </w:pPr>
            <w:r>
              <w:rPr>
                <w:rFonts w:ascii="宋体" w:hAnsi="宋体" w:cs="hakuyoxingshu7000"/>
                <w:color w:val="auto"/>
                <w:kern w:val="0"/>
                <w:sz w:val="22"/>
                <w:szCs w:val="22"/>
              </w:rPr>
              <w:t>2</w:t>
            </w:r>
            <w:r>
              <w:rPr>
                <w:rFonts w:hint="eastAsia" w:ascii="宋体" w:hAnsi="宋体" w:cs="hakuyoxingshu7000"/>
                <w:color w:val="auto"/>
                <w:kern w:val="0"/>
                <w:sz w:val="22"/>
                <w:szCs w:val="22"/>
              </w:rPr>
              <w:t>）</w:t>
            </w:r>
          </w:p>
        </w:tc>
        <w:tc>
          <w:tcPr>
            <w:tcW w:w="7513" w:type="dxa"/>
            <w:vAlign w:val="center"/>
          </w:tcPr>
          <w:p>
            <w:pPr>
              <w:spacing w:line="430" w:lineRule="exact"/>
              <w:jc w:val="left"/>
              <w:rPr>
                <w:rFonts w:ascii="宋体" w:cs="hakuyoxingshu7000"/>
                <w:color w:val="auto"/>
                <w:kern w:val="0"/>
                <w:sz w:val="22"/>
                <w:szCs w:val="22"/>
              </w:rPr>
            </w:pPr>
            <w:r>
              <w:rPr>
                <w:rFonts w:hint="eastAsia" w:ascii="宋体" w:hAnsi="宋体" w:cs="hakuyoxingshu7000"/>
                <w:color w:val="auto"/>
                <w:kern w:val="0"/>
                <w:sz w:val="22"/>
                <w:szCs w:val="22"/>
              </w:rPr>
              <w:t>分项报价表</w:t>
            </w:r>
          </w:p>
        </w:tc>
        <w:tc>
          <w:tcPr>
            <w:tcW w:w="1524" w:type="dxa"/>
            <w:vMerge w:val="continue"/>
            <w:vAlign w:val="center"/>
          </w:tcPr>
          <w:p>
            <w:pPr>
              <w:spacing w:line="430" w:lineRule="exact"/>
              <w:jc w:val="center"/>
              <w:rPr>
                <w:rFonts w:ascii="宋体" w:cs="hakuyoxingshu7000"/>
                <w:color w:val="auto"/>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spacing w:line="430" w:lineRule="exact"/>
              <w:jc w:val="center"/>
              <w:rPr>
                <w:rFonts w:ascii="宋体" w:hAnsi="宋体" w:cs="hakuyoxingshu7000"/>
                <w:color w:val="auto"/>
                <w:kern w:val="0"/>
                <w:sz w:val="22"/>
                <w:szCs w:val="22"/>
              </w:rPr>
            </w:pPr>
            <w:r>
              <w:rPr>
                <w:rFonts w:hint="eastAsia" w:ascii="宋体" w:hAnsi="宋体" w:cs="仿宋"/>
                <w:color w:val="auto"/>
                <w:sz w:val="22"/>
                <w:szCs w:val="22"/>
              </w:rPr>
              <w:t>3）</w:t>
            </w:r>
          </w:p>
        </w:tc>
        <w:tc>
          <w:tcPr>
            <w:tcW w:w="7513" w:type="dxa"/>
            <w:vAlign w:val="center"/>
          </w:tcPr>
          <w:p>
            <w:pPr>
              <w:rPr>
                <w:rFonts w:ascii="宋体" w:hAnsi="宋体" w:cs="新宋体"/>
                <w:bCs/>
                <w:color w:val="auto"/>
                <w:sz w:val="22"/>
                <w:szCs w:val="22"/>
              </w:rPr>
            </w:pPr>
            <w:r>
              <w:rPr>
                <w:rFonts w:hint="eastAsia" w:ascii="宋体" w:cs="新宋体"/>
                <w:bCs/>
                <w:color w:val="auto"/>
                <w:sz w:val="22"/>
                <w:szCs w:val="22"/>
              </w:rPr>
              <w:t>小微企业（或监狱企业、残疾人福利单位）声明函</w:t>
            </w:r>
          </w:p>
        </w:tc>
        <w:tc>
          <w:tcPr>
            <w:tcW w:w="1524" w:type="dxa"/>
            <w:vAlign w:val="center"/>
          </w:tcPr>
          <w:p>
            <w:pPr>
              <w:spacing w:line="430" w:lineRule="exact"/>
              <w:jc w:val="center"/>
              <w:rPr>
                <w:rFonts w:hint="eastAsia" w:ascii="宋体" w:hAnsi="宋体" w:eastAsia="宋体" w:cs="hakuyoxingshu7000"/>
                <w:color w:val="auto"/>
                <w:kern w:val="0"/>
                <w:sz w:val="22"/>
                <w:szCs w:val="22"/>
                <w:lang w:val="en-US" w:eastAsia="zh-CN"/>
              </w:rPr>
            </w:pPr>
            <w:r>
              <w:rPr>
                <w:rFonts w:hint="eastAsia" w:ascii="宋体" w:hAnsi="宋体" w:cs="hakuyoxingshu7000"/>
                <w:color w:val="auto"/>
                <w:kern w:val="0"/>
                <w:sz w:val="22"/>
                <w:szCs w:val="22"/>
              </w:rPr>
              <w:t>附件</w:t>
            </w:r>
            <w:r>
              <w:rPr>
                <w:rFonts w:hint="eastAsia" w:ascii="宋体" w:hAnsi="宋体" w:cs="hakuyoxingshu7000"/>
                <w:color w:val="auto"/>
                <w:kern w:val="0"/>
                <w:sz w:val="22"/>
                <w:szCs w:val="22"/>
                <w:lang w:val="en-US" w:eastAsia="zh-CN"/>
              </w:rPr>
              <w:t>五</w:t>
            </w:r>
          </w:p>
        </w:tc>
      </w:tr>
    </w:tbl>
    <w:p>
      <w:pPr>
        <w:spacing w:line="430" w:lineRule="exact"/>
        <w:ind w:left="187" w:leftChars="85" w:hanging="9" w:hangingChars="4"/>
        <w:rPr>
          <w:rFonts w:ascii="宋体" w:cs="hakuyoxingshu7000"/>
          <w:b/>
          <w:color w:val="auto"/>
          <w:sz w:val="22"/>
          <w:szCs w:val="22"/>
        </w:rPr>
      </w:pPr>
      <w:r>
        <w:rPr>
          <w:rFonts w:hint="eastAsia" w:ascii="宋体" w:hAnsi="宋体" w:cs="hakuyoxingshu7000"/>
          <w:b/>
          <w:color w:val="auto"/>
          <w:kern w:val="0"/>
          <w:sz w:val="22"/>
          <w:szCs w:val="22"/>
        </w:rPr>
        <w:t>（</w:t>
      </w:r>
      <w:r>
        <w:rPr>
          <w:rFonts w:ascii="宋体" w:hAnsi="宋体" w:cs="hakuyoxingshu7000"/>
          <w:b/>
          <w:color w:val="auto"/>
          <w:kern w:val="0"/>
          <w:sz w:val="22"/>
          <w:szCs w:val="22"/>
        </w:rPr>
        <w:t>3</w:t>
      </w:r>
      <w:r>
        <w:rPr>
          <w:rFonts w:hint="eastAsia" w:ascii="宋体" w:hAnsi="宋体" w:cs="hakuyoxingshu7000"/>
          <w:b/>
          <w:color w:val="auto"/>
          <w:kern w:val="0"/>
          <w:sz w:val="22"/>
          <w:szCs w:val="22"/>
        </w:rPr>
        <w:t>）</w:t>
      </w:r>
      <w:r>
        <w:rPr>
          <w:rFonts w:hint="eastAsia" w:ascii="宋体" w:hAnsi="宋体" w:cs="hakuyoxingshu7000"/>
          <w:b/>
          <w:color w:val="auto"/>
          <w:sz w:val="22"/>
          <w:szCs w:val="22"/>
        </w:rPr>
        <w:t>商务技术文件</w:t>
      </w:r>
    </w:p>
    <w:tbl>
      <w:tblPr>
        <w:tblStyle w:val="6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513"/>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17" w:type="dxa"/>
            <w:vAlign w:val="center"/>
          </w:tcPr>
          <w:p>
            <w:pPr>
              <w:spacing w:line="430" w:lineRule="exact"/>
              <w:jc w:val="center"/>
              <w:rPr>
                <w:rFonts w:ascii="宋体" w:cs="仿宋"/>
                <w:b/>
                <w:color w:val="auto"/>
                <w:sz w:val="22"/>
                <w:szCs w:val="22"/>
              </w:rPr>
            </w:pPr>
            <w:r>
              <w:rPr>
                <w:rFonts w:hint="eastAsia" w:ascii="宋体" w:hAnsi="宋体" w:cs="仿宋"/>
                <w:b/>
                <w:color w:val="auto"/>
                <w:sz w:val="22"/>
                <w:szCs w:val="22"/>
              </w:rPr>
              <w:t>序号</w:t>
            </w:r>
          </w:p>
        </w:tc>
        <w:tc>
          <w:tcPr>
            <w:tcW w:w="7513" w:type="dxa"/>
            <w:vAlign w:val="center"/>
          </w:tcPr>
          <w:p>
            <w:pPr>
              <w:spacing w:line="430" w:lineRule="exact"/>
              <w:rPr>
                <w:rFonts w:ascii="宋体" w:cs="仿宋"/>
                <w:b/>
                <w:color w:val="auto"/>
                <w:sz w:val="22"/>
                <w:szCs w:val="22"/>
              </w:rPr>
            </w:pPr>
            <w:r>
              <w:rPr>
                <w:rFonts w:hint="eastAsia" w:ascii="宋体" w:hAnsi="宋体" w:cs="仿宋"/>
                <w:b/>
                <w:color w:val="auto"/>
                <w:sz w:val="22"/>
                <w:szCs w:val="22"/>
              </w:rPr>
              <w:t>内容</w:t>
            </w:r>
          </w:p>
        </w:tc>
        <w:tc>
          <w:tcPr>
            <w:tcW w:w="1524" w:type="dxa"/>
            <w:vAlign w:val="center"/>
          </w:tcPr>
          <w:p>
            <w:pPr>
              <w:spacing w:line="430" w:lineRule="exact"/>
              <w:jc w:val="center"/>
              <w:rPr>
                <w:rFonts w:ascii="宋体" w:cs="仿宋"/>
                <w:b/>
                <w:color w:val="auto"/>
                <w:sz w:val="22"/>
                <w:szCs w:val="22"/>
              </w:rPr>
            </w:pPr>
            <w:r>
              <w:rPr>
                <w:rFonts w:hint="eastAsia" w:ascii="宋体" w:hAnsi="宋体" w:cs="仿宋"/>
                <w:b/>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pacing w:line="430" w:lineRule="exact"/>
              <w:jc w:val="center"/>
              <w:rPr>
                <w:rFonts w:ascii="宋体" w:cs="仿宋"/>
                <w:color w:val="auto"/>
                <w:sz w:val="22"/>
                <w:szCs w:val="22"/>
              </w:rPr>
            </w:pPr>
            <w:r>
              <w:rPr>
                <w:rFonts w:ascii="宋体" w:hAnsi="宋体" w:cs="仿宋"/>
                <w:color w:val="auto"/>
                <w:sz w:val="22"/>
                <w:szCs w:val="22"/>
              </w:rPr>
              <w:t>1</w:t>
            </w:r>
            <w:r>
              <w:rPr>
                <w:rFonts w:hint="eastAsia" w:ascii="宋体" w:hAnsi="宋体" w:cs="仿宋"/>
                <w:color w:val="auto"/>
                <w:sz w:val="22"/>
                <w:szCs w:val="22"/>
              </w:rPr>
              <w:t>）</w:t>
            </w:r>
          </w:p>
        </w:tc>
        <w:tc>
          <w:tcPr>
            <w:tcW w:w="7513" w:type="dxa"/>
            <w:vAlign w:val="center"/>
          </w:tcPr>
          <w:p>
            <w:pPr>
              <w:spacing w:line="430" w:lineRule="exact"/>
              <w:rPr>
                <w:rFonts w:ascii="宋体" w:cs="仿宋"/>
                <w:color w:val="auto"/>
                <w:sz w:val="22"/>
                <w:szCs w:val="22"/>
              </w:rPr>
            </w:pPr>
            <w:r>
              <w:rPr>
                <w:rFonts w:hint="eastAsia" w:ascii="宋体" w:hAnsi="宋体" w:cs="仿宋"/>
                <w:color w:val="auto"/>
                <w:sz w:val="22"/>
                <w:szCs w:val="22"/>
              </w:rPr>
              <w:t>投标函</w:t>
            </w:r>
          </w:p>
        </w:tc>
        <w:tc>
          <w:tcPr>
            <w:tcW w:w="1524" w:type="dxa"/>
            <w:vAlign w:val="center"/>
          </w:tcPr>
          <w:p>
            <w:pPr>
              <w:spacing w:line="430" w:lineRule="exact"/>
              <w:jc w:val="center"/>
              <w:rPr>
                <w:rFonts w:ascii="宋体" w:cs="hakuyoxingshu7000"/>
                <w:color w:val="auto"/>
                <w:kern w:val="0"/>
                <w:sz w:val="22"/>
                <w:szCs w:val="22"/>
              </w:rPr>
            </w:pPr>
            <w:r>
              <w:rPr>
                <w:rFonts w:hint="eastAsia" w:ascii="宋体" w:hAnsi="宋体" w:cs="hakuyoxingshu7000"/>
                <w:color w:val="auto"/>
                <w:kern w:val="0"/>
                <w:sz w:val="22"/>
                <w:szCs w:val="22"/>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pacing w:line="430" w:lineRule="exact"/>
              <w:jc w:val="center"/>
              <w:rPr>
                <w:rFonts w:ascii="宋体" w:cs="仿宋"/>
                <w:color w:val="auto"/>
                <w:sz w:val="22"/>
                <w:szCs w:val="22"/>
              </w:rPr>
            </w:pPr>
            <w:r>
              <w:rPr>
                <w:rFonts w:ascii="宋体" w:hAnsi="宋体" w:cs="仿宋"/>
                <w:color w:val="auto"/>
                <w:sz w:val="22"/>
                <w:szCs w:val="22"/>
              </w:rPr>
              <w:t>2</w:t>
            </w:r>
            <w:r>
              <w:rPr>
                <w:rFonts w:hint="eastAsia" w:ascii="宋体" w:hAnsi="宋体" w:cs="仿宋"/>
                <w:color w:val="auto"/>
                <w:sz w:val="22"/>
                <w:szCs w:val="22"/>
              </w:rPr>
              <w:t>）</w:t>
            </w:r>
          </w:p>
        </w:tc>
        <w:tc>
          <w:tcPr>
            <w:tcW w:w="7513" w:type="dxa"/>
            <w:vAlign w:val="center"/>
          </w:tcPr>
          <w:p>
            <w:pPr>
              <w:spacing w:line="430" w:lineRule="exact"/>
              <w:rPr>
                <w:rFonts w:ascii="宋体" w:cs="仿宋"/>
                <w:color w:val="auto"/>
                <w:sz w:val="22"/>
                <w:szCs w:val="22"/>
              </w:rPr>
            </w:pPr>
            <w:r>
              <w:rPr>
                <w:rFonts w:hint="eastAsia" w:ascii="宋体" w:hAnsi="宋体" w:cs="仿宋"/>
                <w:color w:val="auto"/>
                <w:sz w:val="22"/>
                <w:szCs w:val="22"/>
              </w:rPr>
              <w:t>技术规格、商务条款偏离表</w:t>
            </w:r>
          </w:p>
        </w:tc>
        <w:tc>
          <w:tcPr>
            <w:tcW w:w="1524" w:type="dxa"/>
            <w:vAlign w:val="center"/>
          </w:tcPr>
          <w:p>
            <w:pPr>
              <w:spacing w:line="430" w:lineRule="exact"/>
              <w:jc w:val="center"/>
              <w:rPr>
                <w:rFonts w:ascii="宋体" w:cs="仿宋"/>
                <w:color w:val="auto"/>
                <w:sz w:val="22"/>
                <w:szCs w:val="22"/>
              </w:rPr>
            </w:pPr>
            <w:r>
              <w:rPr>
                <w:rFonts w:hint="eastAsia" w:ascii="宋体" w:hAnsi="宋体" w:cs="仿宋"/>
                <w:color w:val="auto"/>
                <w:sz w:val="22"/>
                <w:szCs w:val="22"/>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pacing w:line="430" w:lineRule="exact"/>
              <w:jc w:val="center"/>
              <w:rPr>
                <w:rFonts w:ascii="宋体" w:cs="仿宋"/>
                <w:color w:val="auto"/>
                <w:sz w:val="22"/>
                <w:szCs w:val="22"/>
              </w:rPr>
            </w:pPr>
            <w:r>
              <w:rPr>
                <w:rFonts w:ascii="宋体" w:hAnsi="宋体" w:cs="仿宋"/>
                <w:color w:val="auto"/>
                <w:sz w:val="22"/>
                <w:szCs w:val="22"/>
              </w:rPr>
              <w:t>3</w:t>
            </w:r>
            <w:r>
              <w:rPr>
                <w:rFonts w:hint="eastAsia" w:ascii="宋体" w:hAnsi="宋体" w:cs="仿宋"/>
                <w:color w:val="auto"/>
                <w:sz w:val="22"/>
                <w:szCs w:val="22"/>
              </w:rPr>
              <w:t>）</w:t>
            </w:r>
          </w:p>
        </w:tc>
        <w:tc>
          <w:tcPr>
            <w:tcW w:w="7513" w:type="dxa"/>
            <w:vAlign w:val="center"/>
          </w:tcPr>
          <w:p>
            <w:pPr>
              <w:spacing w:line="430" w:lineRule="exact"/>
              <w:rPr>
                <w:rFonts w:ascii="宋体" w:hAnsi="宋体" w:cs="仿宋"/>
                <w:color w:val="auto"/>
                <w:sz w:val="22"/>
                <w:szCs w:val="22"/>
              </w:rPr>
            </w:pPr>
            <w:r>
              <w:rPr>
                <w:rFonts w:hint="eastAsia" w:ascii="宋体" w:hAnsi="宋体" w:cs="新宋体"/>
                <w:b/>
                <w:bCs/>
                <w:color w:val="auto"/>
                <w:sz w:val="22"/>
                <w:szCs w:val="22"/>
              </w:rPr>
              <w:t>投标技术方案（按“评标细则”相关评分内容逐项编制，格式自拟）</w:t>
            </w:r>
          </w:p>
        </w:tc>
        <w:tc>
          <w:tcPr>
            <w:tcW w:w="1524" w:type="dxa"/>
            <w:vAlign w:val="center"/>
          </w:tcPr>
          <w:p>
            <w:pPr>
              <w:spacing w:line="430" w:lineRule="exact"/>
              <w:jc w:val="center"/>
              <w:rPr>
                <w:rFonts w:ascii="宋体" w:cs="仿宋"/>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pacing w:line="430" w:lineRule="exact"/>
              <w:jc w:val="center"/>
              <w:rPr>
                <w:rFonts w:ascii="宋体" w:cs="宋体"/>
                <w:color w:val="auto"/>
                <w:sz w:val="22"/>
                <w:szCs w:val="22"/>
              </w:rPr>
            </w:pPr>
            <w:r>
              <w:rPr>
                <w:rFonts w:ascii="宋体" w:hAnsi="宋体" w:cs="宋体"/>
                <w:color w:val="auto"/>
                <w:sz w:val="22"/>
                <w:szCs w:val="22"/>
              </w:rPr>
              <w:t>4</w:t>
            </w:r>
            <w:r>
              <w:rPr>
                <w:rFonts w:hint="eastAsia" w:ascii="宋体" w:hAnsi="宋体" w:cs="宋体"/>
                <w:color w:val="auto"/>
                <w:sz w:val="22"/>
                <w:szCs w:val="22"/>
              </w:rPr>
              <w:t>）</w:t>
            </w:r>
          </w:p>
        </w:tc>
        <w:tc>
          <w:tcPr>
            <w:tcW w:w="7513" w:type="dxa"/>
            <w:vAlign w:val="center"/>
          </w:tcPr>
          <w:p>
            <w:pPr>
              <w:spacing w:line="430" w:lineRule="exact"/>
              <w:rPr>
                <w:rFonts w:ascii="宋体" w:hAnsi="宋体" w:cs="仿宋"/>
                <w:color w:val="auto"/>
                <w:sz w:val="22"/>
                <w:szCs w:val="22"/>
              </w:rPr>
            </w:pPr>
            <w:r>
              <w:rPr>
                <w:rFonts w:hint="eastAsia" w:ascii="宋体" w:hAnsi="宋体" w:cs="新宋体"/>
                <w:b/>
                <w:color w:val="auto"/>
                <w:sz w:val="22"/>
                <w:szCs w:val="22"/>
              </w:rPr>
              <w:t>资信证明文件（本部分为</w:t>
            </w:r>
            <w:r>
              <w:rPr>
                <w:rFonts w:hint="eastAsia" w:ascii="宋体" w:hAnsi="宋体" w:cs="新宋体"/>
                <w:b/>
                <w:bCs/>
                <w:color w:val="auto"/>
                <w:sz w:val="22"/>
                <w:szCs w:val="22"/>
              </w:rPr>
              <w:t>商务技术文件</w:t>
            </w:r>
            <w:r>
              <w:rPr>
                <w:rFonts w:hint="eastAsia" w:ascii="宋体" w:hAnsi="宋体" w:cs="新宋体"/>
                <w:b/>
                <w:color w:val="auto"/>
                <w:sz w:val="22"/>
                <w:szCs w:val="22"/>
              </w:rPr>
              <w:t>评分内容，各投标人参照评分标准根据自身情况提供）</w:t>
            </w:r>
          </w:p>
        </w:tc>
        <w:tc>
          <w:tcPr>
            <w:tcW w:w="1524" w:type="dxa"/>
            <w:vAlign w:val="center"/>
          </w:tcPr>
          <w:p>
            <w:pPr>
              <w:spacing w:line="430" w:lineRule="exact"/>
              <w:jc w:val="center"/>
              <w:rPr>
                <w:rFonts w:asci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spacing w:line="430" w:lineRule="exact"/>
              <w:jc w:val="center"/>
              <w:rPr>
                <w:rFonts w:ascii="宋体" w:cs="仿宋"/>
                <w:color w:val="auto"/>
                <w:sz w:val="22"/>
                <w:szCs w:val="22"/>
              </w:rPr>
            </w:pPr>
            <w:r>
              <w:rPr>
                <w:rFonts w:ascii="宋体" w:hAnsi="宋体" w:cs="仿宋"/>
                <w:color w:val="auto"/>
                <w:sz w:val="22"/>
                <w:szCs w:val="22"/>
              </w:rPr>
              <w:t>5)</w:t>
            </w:r>
          </w:p>
        </w:tc>
        <w:tc>
          <w:tcPr>
            <w:tcW w:w="7513" w:type="dxa"/>
            <w:vAlign w:val="center"/>
          </w:tcPr>
          <w:p>
            <w:pPr>
              <w:spacing w:line="430" w:lineRule="exact"/>
              <w:rPr>
                <w:rFonts w:ascii="宋体" w:hAnsi="宋体" w:cs="仿宋"/>
                <w:color w:val="auto"/>
                <w:sz w:val="22"/>
                <w:szCs w:val="22"/>
              </w:rPr>
            </w:pPr>
            <w:r>
              <w:rPr>
                <w:rFonts w:hint="eastAsia" w:ascii="宋体" w:hAnsi="宋体" w:cs="仿宋"/>
                <w:color w:val="auto"/>
                <w:sz w:val="22"/>
                <w:szCs w:val="22"/>
              </w:rPr>
              <w:t>结合招标文件评分细则投标人认为需要提供的其他技术资料</w:t>
            </w:r>
          </w:p>
        </w:tc>
        <w:tc>
          <w:tcPr>
            <w:tcW w:w="1524" w:type="dxa"/>
            <w:vAlign w:val="center"/>
          </w:tcPr>
          <w:p>
            <w:pPr>
              <w:spacing w:line="430" w:lineRule="exact"/>
              <w:jc w:val="center"/>
              <w:rPr>
                <w:rFonts w:ascii="宋体" w:cs="仿宋"/>
                <w:color w:val="auto"/>
                <w:sz w:val="22"/>
                <w:szCs w:val="22"/>
              </w:rPr>
            </w:pPr>
          </w:p>
        </w:tc>
      </w:tr>
    </w:tbl>
    <w:p>
      <w:pPr>
        <w:spacing w:line="400" w:lineRule="exact"/>
        <w:rPr>
          <w:rFonts w:ascii="宋体" w:hAnsi="宋体" w:cs="宋体"/>
          <w:b/>
          <w:color w:val="auto"/>
          <w:sz w:val="22"/>
          <w:szCs w:val="22"/>
        </w:rPr>
      </w:pPr>
      <w:r>
        <w:rPr>
          <w:rFonts w:hint="eastAsia" w:ascii="宋体" w:hAnsi="宋体" w:cs="宋体"/>
          <w:b/>
          <w:color w:val="auto"/>
          <w:sz w:val="22"/>
          <w:szCs w:val="22"/>
        </w:rPr>
        <w:t>备注：</w:t>
      </w:r>
    </w:p>
    <w:p>
      <w:pPr>
        <w:numPr>
          <w:ilvl w:val="0"/>
          <w:numId w:val="12"/>
        </w:numPr>
        <w:spacing w:line="400" w:lineRule="exact"/>
        <w:rPr>
          <w:rFonts w:ascii="宋体" w:hAnsi="宋体" w:cs="宋体"/>
          <w:color w:val="auto"/>
          <w:sz w:val="22"/>
          <w:szCs w:val="22"/>
        </w:rPr>
      </w:pPr>
      <w:r>
        <w:rPr>
          <w:rFonts w:hint="eastAsia" w:ascii="宋体" w:hAnsi="宋体" w:cs="宋体"/>
          <w:color w:val="auto"/>
          <w:sz w:val="22"/>
          <w:szCs w:val="22"/>
        </w:rPr>
        <w:t>投标人可根据招标文件中的采购内容及需求和商务技术文件评分细则，提供投标人认为需要提供的文件和资料。</w:t>
      </w:r>
    </w:p>
    <w:p>
      <w:pPr>
        <w:numPr>
          <w:ilvl w:val="0"/>
          <w:numId w:val="12"/>
        </w:numPr>
        <w:spacing w:line="400" w:lineRule="exact"/>
        <w:rPr>
          <w:rFonts w:ascii="宋体" w:hAnsi="宋体" w:cs="宋体"/>
          <w:color w:val="auto"/>
          <w:sz w:val="22"/>
          <w:szCs w:val="22"/>
        </w:rPr>
      </w:pPr>
      <w:r>
        <w:rPr>
          <w:rFonts w:hint="eastAsia" w:ascii="宋体" w:hAnsi="宋体" w:cs="宋体"/>
          <w:color w:val="auto"/>
          <w:sz w:val="22"/>
          <w:szCs w:val="22"/>
        </w:rPr>
        <w:t>投标文件中应承诺：投标人所提供的技术资料的所有权归采购人所有。如若发生第三方侵权事件，其侵权责任与采购人及采购代理机构无关，由投标人承担全部责任。侵权造成的所有相关费用，均由投标人支付，保证不伤害采购人的利益。</w:t>
      </w:r>
    </w:p>
    <w:p>
      <w:pPr>
        <w:numPr>
          <w:ilvl w:val="0"/>
          <w:numId w:val="12"/>
        </w:numPr>
        <w:spacing w:line="400" w:lineRule="exact"/>
        <w:rPr>
          <w:rFonts w:ascii="宋体" w:hAnsi="宋体" w:cs="宋体"/>
          <w:color w:val="auto"/>
          <w:sz w:val="22"/>
          <w:szCs w:val="22"/>
        </w:rPr>
      </w:pPr>
      <w:r>
        <w:rPr>
          <w:rFonts w:hint="eastAsia" w:ascii="宋体" w:hAnsi="宋体" w:cs="宋体"/>
          <w:color w:val="auto"/>
          <w:sz w:val="22"/>
          <w:szCs w:val="22"/>
        </w:rPr>
        <w:t>以上所需的各种证书、证件、证明等若系复印件、扫描件，须加盖投标人有效的公章。</w:t>
      </w:r>
    </w:p>
    <w:p>
      <w:pPr>
        <w:numPr>
          <w:ilvl w:val="0"/>
          <w:numId w:val="12"/>
        </w:numPr>
        <w:spacing w:line="400" w:lineRule="exact"/>
        <w:rPr>
          <w:rFonts w:ascii="宋体" w:hAnsi="宋体" w:cs="宋体"/>
          <w:color w:val="auto"/>
          <w:sz w:val="22"/>
          <w:szCs w:val="22"/>
        </w:rPr>
      </w:pPr>
      <w:r>
        <w:rPr>
          <w:rFonts w:hint="eastAsia" w:ascii="宋体" w:hAnsi="宋体" w:cs="宋体"/>
          <w:color w:val="auto"/>
          <w:sz w:val="22"/>
          <w:szCs w:val="22"/>
        </w:rPr>
        <w:t>相关证书、报告等如遇年检或换证等特殊情况须按要求提供相应的证明材料。</w:t>
      </w:r>
    </w:p>
    <w:p>
      <w:pPr>
        <w:numPr>
          <w:ilvl w:val="0"/>
          <w:numId w:val="10"/>
        </w:numPr>
        <w:tabs>
          <w:tab w:val="left" w:pos="540"/>
          <w:tab w:val="clear" w:pos="420"/>
        </w:tabs>
        <w:spacing w:line="460" w:lineRule="exact"/>
        <w:ind w:left="540" w:hanging="540"/>
        <w:rPr>
          <w:rFonts w:ascii="宋体" w:hAnsi="宋体"/>
          <w:bCs/>
          <w:color w:val="auto"/>
          <w:sz w:val="22"/>
          <w:szCs w:val="22"/>
        </w:rPr>
      </w:pPr>
      <w:bookmarkStart w:id="94" w:name="_Toc221374626"/>
      <w:bookmarkStart w:id="95" w:name="_Toc249758712"/>
      <w:bookmarkStart w:id="96" w:name="_Toc249758864"/>
      <w:bookmarkStart w:id="97" w:name="_Toc221356951"/>
      <w:bookmarkStart w:id="98" w:name="_Toc222114879"/>
      <w:bookmarkStart w:id="99" w:name="_Toc221356887"/>
      <w:bookmarkStart w:id="100" w:name="_Toc245191314"/>
      <w:bookmarkStart w:id="101" w:name="_Toc245722281"/>
      <w:bookmarkStart w:id="102" w:name="_Toc223715998"/>
      <w:bookmarkStart w:id="103" w:name="_Toc262049418"/>
      <w:bookmarkStart w:id="104" w:name="_Toc239145354"/>
      <w:bookmarkStart w:id="105" w:name="_Toc241404202"/>
      <w:bookmarkStart w:id="106" w:name="_Toc246261265"/>
      <w:bookmarkStart w:id="107" w:name="_Toc262105503"/>
      <w:bookmarkStart w:id="108" w:name="_Toc221423619"/>
      <w:r>
        <w:rPr>
          <w:rFonts w:hint="eastAsia" w:ascii="宋体" w:hAnsi="宋体"/>
          <w:bCs/>
          <w:color w:val="auto"/>
          <w:sz w:val="22"/>
          <w:szCs w:val="22"/>
        </w:rPr>
        <w:t>投标文件编制</w:t>
      </w:r>
    </w:p>
    <w:p>
      <w:pPr>
        <w:numPr>
          <w:ilvl w:val="1"/>
          <w:numId w:val="13"/>
        </w:numPr>
        <w:tabs>
          <w:tab w:val="left" w:pos="540"/>
          <w:tab w:val="clear" w:pos="992"/>
        </w:tabs>
        <w:spacing w:line="460" w:lineRule="exact"/>
        <w:ind w:left="540" w:hanging="540"/>
        <w:rPr>
          <w:rFonts w:ascii="宋体" w:hAnsi="宋体"/>
          <w:bCs/>
          <w:color w:val="auto"/>
          <w:sz w:val="22"/>
          <w:szCs w:val="22"/>
        </w:rPr>
      </w:pPr>
      <w:r>
        <w:rPr>
          <w:rFonts w:hint="eastAsia" w:ascii="宋体" w:hAnsi="宋体"/>
          <w:bCs/>
          <w:color w:val="auto"/>
          <w:sz w:val="22"/>
          <w:szCs w:val="22"/>
        </w:rPr>
        <w:t>本项目通过“政采云平台（www.zcygov.cn）”实行在线投标响应（电子投标）。投标人应通过“政采云电子交易客户端”，并按照本招标文件和“政采云平台”的要求编制并加密投标文件。</w:t>
      </w:r>
    </w:p>
    <w:p>
      <w:pPr>
        <w:numPr>
          <w:ilvl w:val="1"/>
          <w:numId w:val="13"/>
        </w:numPr>
        <w:tabs>
          <w:tab w:val="left" w:pos="540"/>
          <w:tab w:val="clear" w:pos="992"/>
        </w:tabs>
        <w:spacing w:line="460" w:lineRule="exact"/>
        <w:ind w:left="540" w:hanging="540"/>
        <w:rPr>
          <w:rFonts w:ascii="宋体" w:hAnsi="宋体"/>
          <w:bCs/>
          <w:color w:val="auto"/>
          <w:sz w:val="22"/>
          <w:szCs w:val="22"/>
        </w:rPr>
      </w:pPr>
      <w:r>
        <w:rPr>
          <w:rFonts w:hint="eastAsia" w:ascii="宋体" w:hAnsi="宋体"/>
          <w:b/>
          <w:color w:val="auto"/>
          <w:sz w:val="22"/>
          <w:szCs w:val="22"/>
          <w:u w:val="single"/>
        </w:rPr>
        <w:t>▲投标人提供的联系方式（手机号码、联系邮箱、联系地址），均以法定代表人声明书或法定代表人授权委托书上注明的联系方式为准，投标人必须保障其联系方式保持畅通。否则由此造成的后果均有投标人自行承担。</w:t>
      </w:r>
    </w:p>
    <w:p>
      <w:pPr>
        <w:numPr>
          <w:ilvl w:val="1"/>
          <w:numId w:val="13"/>
        </w:numPr>
        <w:tabs>
          <w:tab w:val="left" w:pos="540"/>
          <w:tab w:val="clear" w:pos="992"/>
        </w:tabs>
        <w:spacing w:line="460" w:lineRule="exact"/>
        <w:ind w:left="540" w:hanging="540"/>
        <w:rPr>
          <w:rFonts w:ascii="宋体" w:hAnsi="宋体"/>
          <w:bCs/>
          <w:color w:val="auto"/>
          <w:sz w:val="22"/>
          <w:szCs w:val="22"/>
        </w:rPr>
      </w:pPr>
      <w:r>
        <w:rPr>
          <w:rFonts w:hint="eastAsia" w:ascii="宋体" w:hAnsi="宋体"/>
          <w:bCs/>
          <w:color w:val="auto"/>
          <w:sz w:val="22"/>
          <w:szCs w:val="22"/>
        </w:rPr>
        <w:t>本招标文件附件部分中有提供格式的，投标人须参照格式进行编制（格式中要求提供相关证明材料的还需后附相关证明材料），并按格式要求在指定位置根据要求进行签章，否则视为未提供；本文件未提供格式的，请各投标单位自行拟定格式，并加盖单位公章并由法定代表人或其授权代表签署（签字或盖章），否则视为未提供。</w:t>
      </w:r>
    </w:p>
    <w:p>
      <w:pPr>
        <w:numPr>
          <w:ilvl w:val="1"/>
          <w:numId w:val="13"/>
        </w:numPr>
        <w:tabs>
          <w:tab w:val="left" w:pos="540"/>
          <w:tab w:val="clear" w:pos="992"/>
        </w:tabs>
        <w:spacing w:line="460" w:lineRule="exact"/>
        <w:ind w:left="540" w:hanging="540"/>
        <w:rPr>
          <w:rFonts w:ascii="宋体" w:hAnsi="宋体"/>
          <w:bCs/>
          <w:color w:val="auto"/>
          <w:sz w:val="22"/>
          <w:szCs w:val="22"/>
        </w:rPr>
      </w:pPr>
      <w:r>
        <w:rPr>
          <w:rFonts w:hint="eastAsia" w:ascii="宋体" w:hAnsi="宋体"/>
          <w:bCs/>
          <w:color w:val="auto"/>
          <w:sz w:val="22"/>
          <w:szCs w:val="22"/>
        </w:rPr>
        <w:t>投标文件内容不完整、编排混乱导致投标文件被误读、漏读或者查找不到相关内容的，是投标人的责任。</w:t>
      </w:r>
    </w:p>
    <w:p>
      <w:pPr>
        <w:numPr>
          <w:ilvl w:val="1"/>
          <w:numId w:val="13"/>
        </w:numPr>
        <w:tabs>
          <w:tab w:val="left" w:pos="540"/>
          <w:tab w:val="clear" w:pos="992"/>
        </w:tabs>
        <w:spacing w:line="460" w:lineRule="exact"/>
        <w:ind w:left="540" w:hanging="540"/>
        <w:rPr>
          <w:rFonts w:ascii="宋体" w:hAnsi="宋体"/>
          <w:bCs/>
          <w:color w:val="auto"/>
          <w:sz w:val="22"/>
          <w:szCs w:val="22"/>
        </w:rPr>
      </w:pPr>
      <w:r>
        <w:rPr>
          <w:rFonts w:hint="eastAsia" w:ascii="宋体" w:hAnsi="宋体"/>
          <w:bCs/>
          <w:color w:val="auto"/>
          <w:sz w:val="22"/>
          <w:szCs w:val="22"/>
        </w:rPr>
        <w:t>投标文件因字迹潦草或表达不清所引起的后果由投标人负责。</w:t>
      </w:r>
    </w:p>
    <w:p>
      <w:pPr>
        <w:numPr>
          <w:ilvl w:val="1"/>
          <w:numId w:val="13"/>
        </w:numPr>
        <w:tabs>
          <w:tab w:val="left" w:pos="540"/>
          <w:tab w:val="clear" w:pos="992"/>
        </w:tabs>
        <w:spacing w:line="460" w:lineRule="exact"/>
        <w:ind w:left="540" w:hanging="540"/>
        <w:rPr>
          <w:rFonts w:ascii="宋体" w:hAnsi="宋体"/>
          <w:bCs/>
          <w:color w:val="auto"/>
          <w:sz w:val="22"/>
          <w:szCs w:val="22"/>
        </w:rPr>
      </w:pPr>
      <w:r>
        <w:rPr>
          <w:rFonts w:hint="eastAsia" w:ascii="宋体" w:hAnsi="宋体"/>
          <w:bCs/>
          <w:color w:val="auto"/>
          <w:sz w:val="22"/>
          <w:szCs w:val="22"/>
        </w:rPr>
        <w:t>投标人没有按照本章节 “投标文件组成”要求提供全部资料，或者没有仔细阅读招标文件，或者没有对招标文件在各方面的要求作出实质性响应是投标人的风险，由此造成的一切后果由投标人自行承担。</w:t>
      </w:r>
    </w:p>
    <w:p>
      <w:pPr>
        <w:numPr>
          <w:ilvl w:val="0"/>
          <w:numId w:val="10"/>
        </w:numPr>
        <w:tabs>
          <w:tab w:val="left" w:pos="540"/>
          <w:tab w:val="clear" w:pos="420"/>
        </w:tabs>
        <w:spacing w:line="460" w:lineRule="exact"/>
        <w:ind w:left="540" w:hanging="540"/>
        <w:rPr>
          <w:rFonts w:ascii="宋体" w:hAnsi="宋体"/>
          <w:bCs/>
          <w:color w:val="auto"/>
          <w:sz w:val="22"/>
          <w:szCs w:val="22"/>
        </w:rPr>
      </w:pPr>
      <w:r>
        <w:rPr>
          <w:rFonts w:hint="eastAsia" w:ascii="宋体" w:hAnsi="宋体"/>
          <w:bCs/>
          <w:color w:val="auto"/>
          <w:sz w:val="22"/>
          <w:szCs w:val="22"/>
        </w:rPr>
        <w:t>投标文件的签章</w:t>
      </w:r>
    </w:p>
    <w:p>
      <w:pPr>
        <w:numPr>
          <w:ilvl w:val="1"/>
          <w:numId w:val="14"/>
        </w:numPr>
        <w:tabs>
          <w:tab w:val="left" w:pos="360"/>
          <w:tab w:val="clear" w:pos="992"/>
        </w:tabs>
        <w:spacing w:line="460" w:lineRule="exact"/>
        <w:ind w:left="640"/>
        <w:rPr>
          <w:rFonts w:ascii="宋体" w:hAnsi="宋体" w:cs="宋体"/>
          <w:color w:val="auto"/>
          <w:kern w:val="0"/>
          <w:sz w:val="22"/>
          <w:szCs w:val="22"/>
          <w:lang w:val="zh-CN"/>
        </w:rPr>
      </w:pPr>
      <w:r>
        <w:rPr>
          <w:rFonts w:hint="eastAsia" w:ascii="宋体" w:hAnsi="宋体" w:cs="宋体"/>
          <w:color w:val="auto"/>
          <w:kern w:val="0"/>
          <w:sz w:val="22"/>
          <w:szCs w:val="22"/>
          <w:lang w:val="zh-CN"/>
        </w:rPr>
        <w:t>单位公章：电子投标响应文件中所须加盖公章部分均采用CA电子签章，</w:t>
      </w:r>
      <w:r>
        <w:rPr>
          <w:rFonts w:hint="eastAsia" w:ascii="宋体" w:hAnsi="宋体" w:cs="宋体"/>
          <w:color w:val="auto"/>
          <w:kern w:val="0"/>
          <w:sz w:val="22"/>
          <w:szCs w:val="22"/>
        </w:rPr>
        <w:t>如供应商以联合体形式参与投标的，由联合体牵头人进行</w:t>
      </w:r>
      <w:r>
        <w:rPr>
          <w:rFonts w:hint="eastAsia" w:ascii="宋体" w:hAnsi="宋体" w:cs="宋体"/>
          <w:color w:val="auto"/>
          <w:kern w:val="0"/>
          <w:sz w:val="22"/>
          <w:szCs w:val="22"/>
          <w:lang w:val="zh-CN"/>
        </w:rPr>
        <w:t>CA</w:t>
      </w:r>
      <w:r>
        <w:rPr>
          <w:rFonts w:hint="eastAsia" w:ascii="宋体" w:hAnsi="宋体" w:cs="宋体"/>
          <w:color w:val="auto"/>
          <w:kern w:val="0"/>
          <w:sz w:val="22"/>
          <w:szCs w:val="22"/>
        </w:rPr>
        <w:t>电子签章</w:t>
      </w:r>
      <w:r>
        <w:rPr>
          <w:rFonts w:hint="eastAsia" w:ascii="宋体" w:hAnsi="宋体" w:cs="宋体"/>
          <w:color w:val="auto"/>
          <w:kern w:val="0"/>
          <w:sz w:val="22"/>
          <w:szCs w:val="22"/>
          <w:lang w:val="zh-CN"/>
        </w:rPr>
        <w:t>；</w:t>
      </w:r>
    </w:p>
    <w:p>
      <w:pPr>
        <w:numPr>
          <w:ilvl w:val="1"/>
          <w:numId w:val="14"/>
        </w:numPr>
        <w:tabs>
          <w:tab w:val="left" w:pos="360"/>
          <w:tab w:val="clear" w:pos="992"/>
        </w:tabs>
        <w:spacing w:line="460" w:lineRule="exact"/>
        <w:ind w:left="640"/>
        <w:rPr>
          <w:rFonts w:ascii="宋体" w:hAnsi="宋体" w:cs="宋体"/>
          <w:color w:val="auto"/>
          <w:kern w:val="0"/>
          <w:sz w:val="22"/>
          <w:szCs w:val="22"/>
        </w:rPr>
      </w:pPr>
      <w:r>
        <w:rPr>
          <w:rFonts w:hint="eastAsia" w:ascii="宋体" w:hAnsi="宋体" w:cs="宋体"/>
          <w:color w:val="auto"/>
          <w:kern w:val="0"/>
          <w:sz w:val="22"/>
          <w:szCs w:val="22"/>
        </w:rPr>
        <w:t xml:space="preserve">  如供应商已办理法人CA电子签章的，投标文件应由投标人法定代表人或其授权代表签章（电子签章），并同时加盖投标人公章（电子签章）；如供应商未办理法人CA电子签章的</w:t>
      </w:r>
      <w:r>
        <w:rPr>
          <w:rFonts w:hint="eastAsia" w:ascii="宋体" w:hAnsi="宋体" w:cs="宋体"/>
          <w:color w:val="auto"/>
          <w:kern w:val="0"/>
          <w:sz w:val="22"/>
          <w:szCs w:val="22"/>
          <w:lang w:val="zh-CN"/>
        </w:rPr>
        <w:t>，</w:t>
      </w:r>
      <w:r>
        <w:rPr>
          <w:rFonts w:hint="eastAsia" w:ascii="宋体" w:hAnsi="宋体" w:cs="宋体"/>
          <w:color w:val="auto"/>
          <w:kern w:val="0"/>
          <w:sz w:val="22"/>
          <w:szCs w:val="22"/>
        </w:rPr>
        <w:t>需</w:t>
      </w:r>
      <w:r>
        <w:rPr>
          <w:rFonts w:hint="eastAsia" w:ascii="宋体" w:hAnsi="宋体" w:cs="宋体"/>
          <w:color w:val="auto"/>
          <w:kern w:val="0"/>
          <w:sz w:val="22"/>
          <w:szCs w:val="22"/>
          <w:lang w:val="zh-CN"/>
        </w:rPr>
        <w:t>先制作word版打印，相应位置签字或盖章后再扫描上传。</w:t>
      </w:r>
    </w:p>
    <w:p>
      <w:pPr>
        <w:numPr>
          <w:ilvl w:val="1"/>
          <w:numId w:val="14"/>
        </w:numPr>
        <w:tabs>
          <w:tab w:val="left" w:pos="360"/>
          <w:tab w:val="clear" w:pos="992"/>
        </w:tabs>
        <w:spacing w:line="460" w:lineRule="exact"/>
        <w:ind w:left="640"/>
        <w:rPr>
          <w:rFonts w:ascii="宋体" w:hAnsi="宋体" w:cs="宋体"/>
          <w:color w:val="auto"/>
          <w:kern w:val="0"/>
          <w:sz w:val="22"/>
          <w:szCs w:val="22"/>
        </w:rPr>
      </w:pPr>
      <w:r>
        <w:rPr>
          <w:rFonts w:hint="eastAsia" w:ascii="宋体" w:hAnsi="宋体" w:cs="宋体"/>
          <w:color w:val="auto"/>
          <w:kern w:val="0"/>
          <w:sz w:val="22"/>
          <w:szCs w:val="22"/>
          <w:lang w:val="zh-CN"/>
        </w:rPr>
        <w:t>政采云系统平台有新的操作流程的，按其规定。</w:t>
      </w:r>
    </w:p>
    <w:p>
      <w:pPr>
        <w:numPr>
          <w:ilvl w:val="0"/>
          <w:numId w:val="10"/>
        </w:numPr>
        <w:tabs>
          <w:tab w:val="left" w:pos="540"/>
          <w:tab w:val="clear" w:pos="420"/>
        </w:tabs>
        <w:spacing w:line="460" w:lineRule="exact"/>
        <w:ind w:left="540" w:hanging="540"/>
        <w:rPr>
          <w:rFonts w:ascii="宋体" w:hAnsi="宋体"/>
          <w:bCs/>
          <w:color w:val="auto"/>
          <w:sz w:val="22"/>
          <w:szCs w:val="22"/>
        </w:rPr>
      </w:pPr>
      <w:r>
        <w:rPr>
          <w:rFonts w:hint="eastAsia" w:ascii="宋体" w:hAnsi="宋体"/>
          <w:bCs/>
          <w:color w:val="auto"/>
          <w:sz w:val="22"/>
          <w:szCs w:val="22"/>
        </w:rPr>
        <w:t>投标文件的形式</w:t>
      </w:r>
    </w:p>
    <w:p>
      <w:pPr>
        <w:numPr>
          <w:ilvl w:val="1"/>
          <w:numId w:val="15"/>
        </w:numPr>
        <w:tabs>
          <w:tab w:val="left" w:pos="360"/>
          <w:tab w:val="left" w:pos="640"/>
          <w:tab w:val="clear" w:pos="992"/>
        </w:tabs>
        <w:spacing w:line="460" w:lineRule="exact"/>
        <w:ind w:left="640"/>
        <w:rPr>
          <w:rFonts w:ascii="宋体" w:hAnsi="宋体" w:cs="Arial"/>
          <w:color w:val="auto"/>
          <w:sz w:val="22"/>
          <w:szCs w:val="22"/>
          <w:lang w:val="zh-CN"/>
        </w:rPr>
      </w:pPr>
      <w:r>
        <w:rPr>
          <w:rFonts w:hint="eastAsia" w:ascii="宋体" w:hAnsi="宋体" w:cs="Arial"/>
          <w:color w:val="auto"/>
          <w:sz w:val="22"/>
          <w:szCs w:val="22"/>
          <w:lang w:val="zh-CN"/>
        </w:rPr>
        <w:t>“电子响应文件”是指通过“政采云电子交易客户端”完成投标响应文件编制后生成并加密的数据电文形式的</w:t>
      </w:r>
      <w:r>
        <w:rPr>
          <w:rFonts w:hint="eastAsia" w:ascii="宋体" w:hAnsi="宋体" w:cs="Arial"/>
          <w:color w:val="auto"/>
          <w:sz w:val="22"/>
          <w:szCs w:val="22"/>
        </w:rPr>
        <w:t>加密标书,加密标书文件后缀格式为.jmbs</w:t>
      </w:r>
      <w:r>
        <w:rPr>
          <w:rFonts w:hint="eastAsia" w:ascii="宋体" w:hAnsi="宋体" w:cs="Arial"/>
          <w:color w:val="auto"/>
          <w:sz w:val="22"/>
          <w:szCs w:val="22"/>
          <w:lang w:val="zh-CN"/>
        </w:rPr>
        <w:t>。</w:t>
      </w:r>
    </w:p>
    <w:p>
      <w:pPr>
        <w:numPr>
          <w:ilvl w:val="1"/>
          <w:numId w:val="15"/>
        </w:numPr>
        <w:tabs>
          <w:tab w:val="left" w:pos="360"/>
          <w:tab w:val="left" w:pos="64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lang w:val="zh-CN"/>
        </w:rPr>
        <w:t>“备份响应文件”是指与“</w:t>
      </w:r>
      <w:r>
        <w:rPr>
          <w:rFonts w:hint="eastAsia" w:ascii="宋体" w:hAnsi="宋体" w:cs="Arial"/>
          <w:color w:val="auto"/>
          <w:sz w:val="22"/>
          <w:szCs w:val="22"/>
        </w:rPr>
        <w:t>加密标书</w:t>
      </w:r>
      <w:r>
        <w:rPr>
          <w:rFonts w:hint="eastAsia" w:ascii="宋体" w:hAnsi="宋体" w:cs="Arial"/>
          <w:color w:val="auto"/>
          <w:sz w:val="22"/>
          <w:szCs w:val="22"/>
          <w:lang w:val="zh-CN"/>
        </w:rPr>
        <w:t>”同时生成的数据电文形式的电子文件（备份标书），备份标书文件后缀格式为.bfbs</w:t>
      </w:r>
      <w:r>
        <w:rPr>
          <w:rFonts w:hint="eastAsia" w:ascii="宋体" w:hAnsi="宋体" w:cs="Arial"/>
          <w:color w:val="auto"/>
          <w:sz w:val="22"/>
          <w:szCs w:val="22"/>
        </w:rPr>
        <w:t>,</w:t>
      </w:r>
      <w:r>
        <w:rPr>
          <w:rFonts w:hint="eastAsia" w:ascii="宋体" w:hAnsi="宋体" w:cs="Arial"/>
          <w:color w:val="auto"/>
          <w:sz w:val="22"/>
          <w:szCs w:val="22"/>
          <w:lang w:val="zh-CN"/>
        </w:rPr>
        <w:t>其他方式编制的备份响应文件视为无效备份响应文件。</w:t>
      </w:r>
    </w:p>
    <w:p>
      <w:pPr>
        <w:numPr>
          <w:ilvl w:val="0"/>
          <w:numId w:val="10"/>
        </w:numPr>
        <w:tabs>
          <w:tab w:val="left" w:pos="540"/>
          <w:tab w:val="clear" w:pos="420"/>
        </w:tabs>
        <w:spacing w:line="460" w:lineRule="exact"/>
        <w:ind w:left="540" w:hanging="540"/>
        <w:rPr>
          <w:rFonts w:ascii="宋体" w:hAnsi="宋体"/>
          <w:bCs/>
          <w:color w:val="auto"/>
          <w:sz w:val="22"/>
          <w:szCs w:val="22"/>
        </w:rPr>
      </w:pPr>
      <w:r>
        <w:rPr>
          <w:rFonts w:hint="eastAsia" w:ascii="宋体" w:hAnsi="宋体"/>
          <w:bCs/>
          <w:color w:val="auto"/>
          <w:sz w:val="22"/>
          <w:szCs w:val="22"/>
        </w:rPr>
        <w:t>政采云系统默认投标人自动放弃的情形</w:t>
      </w:r>
    </w:p>
    <w:p>
      <w:pPr>
        <w:numPr>
          <w:ilvl w:val="1"/>
          <w:numId w:val="16"/>
        </w:numPr>
        <w:tabs>
          <w:tab w:val="left" w:pos="360"/>
          <w:tab w:val="left" w:pos="640"/>
          <w:tab w:val="clear" w:pos="992"/>
        </w:tabs>
        <w:spacing w:line="460" w:lineRule="exact"/>
        <w:ind w:left="640"/>
        <w:rPr>
          <w:rFonts w:ascii="宋体" w:hAnsi="宋体" w:cs="Arial"/>
          <w:color w:val="auto"/>
          <w:sz w:val="22"/>
          <w:szCs w:val="22"/>
          <w:lang w:val="zh-CN"/>
        </w:rPr>
      </w:pPr>
      <w:r>
        <w:rPr>
          <w:rFonts w:hint="eastAsia" w:ascii="宋体" w:hAnsi="宋体" w:cs="Arial"/>
          <w:color w:val="auto"/>
          <w:sz w:val="22"/>
          <w:szCs w:val="22"/>
          <w:lang w:val="zh-CN"/>
        </w:rPr>
        <w:t>供应商未按规定上传电子响应文件的；</w:t>
      </w:r>
    </w:p>
    <w:p>
      <w:pPr>
        <w:numPr>
          <w:ilvl w:val="1"/>
          <w:numId w:val="16"/>
        </w:numPr>
        <w:tabs>
          <w:tab w:val="left" w:pos="360"/>
          <w:tab w:val="left" w:pos="640"/>
          <w:tab w:val="clear" w:pos="992"/>
        </w:tabs>
        <w:spacing w:line="460" w:lineRule="exact"/>
        <w:ind w:left="640"/>
        <w:rPr>
          <w:rFonts w:ascii="宋体" w:hAnsi="宋体" w:cs="Arial"/>
          <w:color w:val="auto"/>
          <w:sz w:val="22"/>
          <w:szCs w:val="22"/>
          <w:lang w:val="zh-CN"/>
        </w:rPr>
      </w:pPr>
      <w:r>
        <w:rPr>
          <w:rFonts w:hint="eastAsia" w:ascii="宋体" w:hAnsi="宋体" w:cs="Arial"/>
          <w:color w:val="auto"/>
          <w:sz w:val="22"/>
          <w:szCs w:val="22"/>
          <w:lang w:val="zh-CN"/>
        </w:rPr>
        <w:t>在解密期限内供应商电子响应文件解密失败，且经异常处理后政采云电子交易系统仍未能解决的。</w:t>
      </w:r>
    </w:p>
    <w:p>
      <w:pPr>
        <w:numPr>
          <w:ilvl w:val="0"/>
          <w:numId w:val="10"/>
        </w:numPr>
        <w:tabs>
          <w:tab w:val="left" w:pos="540"/>
          <w:tab w:val="clear" w:pos="420"/>
        </w:tabs>
        <w:spacing w:line="460" w:lineRule="exact"/>
        <w:ind w:left="540" w:hanging="540"/>
        <w:rPr>
          <w:rFonts w:ascii="宋体" w:hAnsi="宋体"/>
          <w:bCs/>
          <w:color w:val="auto"/>
          <w:sz w:val="22"/>
          <w:szCs w:val="22"/>
        </w:rPr>
      </w:pPr>
      <w:r>
        <w:rPr>
          <w:rFonts w:hint="eastAsia" w:ascii="宋体" w:hAnsi="宋体"/>
          <w:bCs/>
          <w:color w:val="auto"/>
          <w:sz w:val="22"/>
          <w:szCs w:val="22"/>
        </w:rPr>
        <w:t>投标报价</w:t>
      </w:r>
    </w:p>
    <w:p>
      <w:pPr>
        <w:numPr>
          <w:ilvl w:val="1"/>
          <w:numId w:val="17"/>
        </w:numPr>
        <w:tabs>
          <w:tab w:val="left" w:pos="360"/>
          <w:tab w:val="clear" w:pos="992"/>
        </w:tabs>
        <w:spacing w:line="460" w:lineRule="exact"/>
        <w:ind w:left="640"/>
        <w:rPr>
          <w:rFonts w:ascii="宋体" w:hAnsi="宋体" w:cs="Arial"/>
          <w:b/>
          <w:bCs/>
          <w:color w:val="auto"/>
          <w:sz w:val="22"/>
          <w:szCs w:val="22"/>
          <w:u w:val="single"/>
        </w:rPr>
      </w:pPr>
      <w:r>
        <w:rPr>
          <w:rFonts w:hint="eastAsia" w:ascii="宋体" w:hAnsi="宋体"/>
          <w:color w:val="auto"/>
          <w:sz w:val="22"/>
          <w:szCs w:val="22"/>
        </w:rPr>
        <w:t>投标报价是指中标投标人在正确地完全履行合同义务后甲方应支付给乙方的价款。</w:t>
      </w:r>
      <w:r>
        <w:rPr>
          <w:rFonts w:hint="eastAsia" w:ascii="宋体" w:hAnsi="宋体"/>
          <w:b/>
          <w:bCs/>
          <w:color w:val="auto"/>
          <w:sz w:val="22"/>
          <w:szCs w:val="22"/>
        </w:rPr>
        <w:t>即系统软件平台的设计、开发、调试、运行、维护/升级费用、税金、完成本项目所需的人工费以及招标代理服务费等全部费用，实行固定费用总包干，投标人应根据上述因素自行考虑含入投标总价。</w:t>
      </w:r>
    </w:p>
    <w:p>
      <w:pPr>
        <w:numPr>
          <w:ilvl w:val="1"/>
          <w:numId w:val="17"/>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投标人须认真阅读、充分理解招标文件，如有疑问可在询疑截止时间前送达（或传真）招标代理机构，招标代理机构将会统一解答。任何因对本项目招标文件理解不清、产生歧义等由此产生的费用，视作以含在投标总价中。</w:t>
      </w:r>
    </w:p>
    <w:p>
      <w:pPr>
        <w:numPr>
          <w:ilvl w:val="1"/>
          <w:numId w:val="17"/>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投标人必须按招标文件规定的开标一览表（统一格式）、投标分项报价表（统一格式）的内容填写单价、合价及其他事项，并由法定代表人或授权代表签署。</w:t>
      </w:r>
    </w:p>
    <w:p>
      <w:pPr>
        <w:numPr>
          <w:ilvl w:val="1"/>
          <w:numId w:val="17"/>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所有投标报价均以人民币报价。</w:t>
      </w:r>
    </w:p>
    <w:p>
      <w:pPr>
        <w:numPr>
          <w:ilvl w:val="1"/>
          <w:numId w:val="17"/>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采购人不接受任何选择报价，对每一项货物/服务只允许一个报价。</w:t>
      </w:r>
    </w:p>
    <w:p>
      <w:pPr>
        <w:numPr>
          <w:ilvl w:val="1"/>
          <w:numId w:val="17"/>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采购人要求分类报价是为了方便评标，但在任何情况下不限制采购人以其认为最合适的条款、条件签订合同的权利。</w:t>
      </w:r>
    </w:p>
    <w:p>
      <w:pPr>
        <w:numPr>
          <w:ilvl w:val="1"/>
          <w:numId w:val="17"/>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报价是成交的一个重要因素，但最低报价不是成交的唯一依据。</w:t>
      </w:r>
    </w:p>
    <w:p>
      <w:pPr>
        <w:numPr>
          <w:ilvl w:val="0"/>
          <w:numId w:val="10"/>
        </w:numPr>
        <w:tabs>
          <w:tab w:val="left" w:pos="540"/>
          <w:tab w:val="clear" w:pos="420"/>
        </w:tabs>
        <w:spacing w:line="460" w:lineRule="exact"/>
        <w:ind w:left="540" w:hanging="540"/>
        <w:rPr>
          <w:rFonts w:ascii="宋体" w:hAnsi="宋体"/>
          <w:bCs/>
          <w:color w:val="auto"/>
          <w:sz w:val="22"/>
          <w:szCs w:val="22"/>
        </w:rPr>
      </w:pPr>
      <w:r>
        <w:rPr>
          <w:rFonts w:hint="eastAsia" w:ascii="宋体" w:hAnsi="宋体"/>
          <w:bCs/>
          <w:color w:val="auto"/>
          <w:sz w:val="22"/>
          <w:szCs w:val="22"/>
        </w:rPr>
        <w:t>投标人如发生下列情况之一，将上报同级政府采购监督管理部门，追究其责任：</w:t>
      </w:r>
    </w:p>
    <w:p>
      <w:pPr>
        <w:numPr>
          <w:ilvl w:val="0"/>
          <w:numId w:val="18"/>
        </w:numPr>
        <w:tabs>
          <w:tab w:val="left" w:pos="360"/>
          <w:tab w:val="clear" w:pos="420"/>
        </w:tabs>
        <w:spacing w:line="440" w:lineRule="exact"/>
        <w:ind w:left="720" w:hanging="720"/>
        <w:rPr>
          <w:rFonts w:ascii="宋体" w:hAnsi="宋体" w:cs="宋体"/>
          <w:color w:val="auto"/>
          <w:sz w:val="22"/>
          <w:szCs w:val="22"/>
        </w:rPr>
      </w:pPr>
      <w:r>
        <w:rPr>
          <w:rFonts w:hint="eastAsia" w:ascii="宋体" w:hAnsi="宋体" w:cs="宋体"/>
          <w:color w:val="auto"/>
          <w:sz w:val="22"/>
          <w:szCs w:val="22"/>
        </w:rPr>
        <w:t>投标人在招标文件规定的投标有效期内撤回投标；</w:t>
      </w:r>
    </w:p>
    <w:p>
      <w:pPr>
        <w:numPr>
          <w:ilvl w:val="0"/>
          <w:numId w:val="18"/>
        </w:numPr>
        <w:tabs>
          <w:tab w:val="left" w:pos="360"/>
          <w:tab w:val="clear" w:pos="420"/>
        </w:tabs>
        <w:spacing w:line="440" w:lineRule="exact"/>
        <w:ind w:left="720" w:hanging="720"/>
        <w:rPr>
          <w:rFonts w:ascii="宋体" w:hAnsi="宋体" w:cs="宋体"/>
          <w:color w:val="auto"/>
          <w:sz w:val="22"/>
          <w:szCs w:val="22"/>
        </w:rPr>
      </w:pPr>
      <w:r>
        <w:rPr>
          <w:rFonts w:hint="eastAsia" w:ascii="宋体" w:hAnsi="宋体" w:cs="宋体"/>
          <w:color w:val="auto"/>
          <w:sz w:val="22"/>
          <w:szCs w:val="22"/>
        </w:rPr>
        <w:t>中标人未按中标通知书中规定的时间与采购人签订合同；</w:t>
      </w:r>
    </w:p>
    <w:p>
      <w:pPr>
        <w:numPr>
          <w:ilvl w:val="0"/>
          <w:numId w:val="18"/>
        </w:numPr>
        <w:tabs>
          <w:tab w:val="left" w:pos="360"/>
          <w:tab w:val="clear" w:pos="420"/>
        </w:tabs>
        <w:spacing w:line="440" w:lineRule="exact"/>
        <w:ind w:left="720" w:hanging="720"/>
        <w:rPr>
          <w:rFonts w:ascii="宋体" w:hAnsi="宋体" w:cs="宋体"/>
          <w:color w:val="auto"/>
          <w:sz w:val="22"/>
          <w:szCs w:val="22"/>
        </w:rPr>
      </w:pPr>
      <w:r>
        <w:rPr>
          <w:rFonts w:hint="eastAsia" w:ascii="宋体" w:hAnsi="宋体" w:cs="宋体"/>
          <w:color w:val="auto"/>
          <w:sz w:val="22"/>
          <w:szCs w:val="22"/>
        </w:rPr>
        <w:t>投标人在招标文件中提供虚假技术指标及参数，经评标委员会确认属实的。</w:t>
      </w:r>
    </w:p>
    <w:p>
      <w:pPr>
        <w:numPr>
          <w:ilvl w:val="0"/>
          <w:numId w:val="18"/>
        </w:numPr>
        <w:tabs>
          <w:tab w:val="left" w:pos="360"/>
          <w:tab w:val="clear" w:pos="420"/>
        </w:tabs>
        <w:spacing w:line="440" w:lineRule="exact"/>
        <w:ind w:left="720" w:hanging="720"/>
        <w:rPr>
          <w:rFonts w:ascii="宋体" w:hAnsi="宋体" w:cs="宋体"/>
          <w:color w:val="auto"/>
          <w:sz w:val="22"/>
          <w:szCs w:val="22"/>
        </w:rPr>
      </w:pPr>
      <w:r>
        <w:rPr>
          <w:rFonts w:hint="eastAsia" w:ascii="宋体" w:hAnsi="宋体" w:cs="宋体"/>
          <w:color w:val="auto"/>
          <w:sz w:val="22"/>
          <w:szCs w:val="22"/>
        </w:rPr>
        <w:t>经同级政府采购监督管理部门审查认定投标人有违反《中华人民共和国政府采购法》等有关法律法规的行为。</w:t>
      </w:r>
    </w:p>
    <w:p>
      <w:pPr>
        <w:numPr>
          <w:ilvl w:val="0"/>
          <w:numId w:val="10"/>
        </w:numPr>
        <w:tabs>
          <w:tab w:val="left" w:pos="540"/>
          <w:tab w:val="clear" w:pos="420"/>
        </w:tabs>
        <w:spacing w:line="460" w:lineRule="exact"/>
        <w:ind w:left="540" w:hanging="540"/>
        <w:rPr>
          <w:rFonts w:ascii="宋体" w:hAnsi="宋体"/>
          <w:bCs/>
          <w:color w:val="auto"/>
          <w:sz w:val="22"/>
          <w:szCs w:val="22"/>
        </w:rPr>
      </w:pPr>
      <w:r>
        <w:rPr>
          <w:rFonts w:hint="eastAsia" w:ascii="宋体" w:hAnsi="宋体"/>
          <w:bCs/>
          <w:color w:val="auto"/>
          <w:sz w:val="22"/>
          <w:szCs w:val="22"/>
        </w:rPr>
        <w:t>投标有效期</w:t>
      </w:r>
    </w:p>
    <w:p>
      <w:pPr>
        <w:numPr>
          <w:ilvl w:val="1"/>
          <w:numId w:val="19"/>
        </w:numPr>
        <w:tabs>
          <w:tab w:val="left" w:pos="360"/>
          <w:tab w:val="clear" w:pos="992"/>
        </w:tabs>
        <w:spacing w:line="460" w:lineRule="exact"/>
        <w:ind w:left="420"/>
        <w:rPr>
          <w:rFonts w:ascii="宋体" w:hAnsi="宋体" w:cs="Arial"/>
          <w:color w:val="auto"/>
          <w:sz w:val="22"/>
          <w:szCs w:val="22"/>
        </w:rPr>
      </w:pPr>
      <w:r>
        <w:rPr>
          <w:rFonts w:hint="eastAsia" w:ascii="宋体" w:hAnsi="宋体" w:cs="Arial"/>
          <w:color w:val="auto"/>
          <w:sz w:val="22"/>
          <w:szCs w:val="22"/>
        </w:rPr>
        <w:t>自开标之日起 90天内投标应保持有效。投标有效期短于这个规定期限的投标将视为非响应性投标而予以拒绝。</w:t>
      </w:r>
    </w:p>
    <w:p>
      <w:pPr>
        <w:numPr>
          <w:ilvl w:val="1"/>
          <w:numId w:val="19"/>
        </w:numPr>
        <w:tabs>
          <w:tab w:val="left" w:pos="360"/>
          <w:tab w:val="clear" w:pos="992"/>
        </w:tabs>
        <w:spacing w:line="460" w:lineRule="exact"/>
        <w:ind w:left="420"/>
        <w:rPr>
          <w:rFonts w:ascii="宋体" w:hAnsi="宋体" w:cs="Arial"/>
          <w:color w:val="auto"/>
          <w:sz w:val="22"/>
          <w:szCs w:val="22"/>
        </w:rPr>
      </w:pPr>
      <w:r>
        <w:rPr>
          <w:rFonts w:hint="eastAsia" w:ascii="宋体" w:hAnsi="宋体" w:cs="Arial"/>
          <w:color w:val="auto"/>
          <w:sz w:val="22"/>
          <w:szCs w:val="22"/>
        </w:rPr>
        <w:t>特殊情况下，在原投标有效期截止前，采购人可与投标人协商延长投标有效期，这种要求和答复均以书面形式进行。投标人可拒绝接受延期要求。同意延长投标有效期的投标人不得修改投标文件。</w:t>
      </w:r>
    </w:p>
    <w:p>
      <w:pPr>
        <w:spacing w:before="100" w:beforeAutospacing="1" w:after="100" w:afterAutospacing="1" w:line="440" w:lineRule="exact"/>
        <w:ind w:left="783" w:hanging="783" w:hangingChars="300"/>
        <w:jc w:val="center"/>
        <w:outlineLvl w:val="0"/>
        <w:rPr>
          <w:rFonts w:ascii="宋体" w:hAnsi="宋体"/>
          <w:color w:val="auto"/>
          <w:sz w:val="22"/>
          <w:szCs w:val="22"/>
        </w:rPr>
      </w:pPr>
      <w:bookmarkStart w:id="109" w:name="_Toc23764"/>
      <w:r>
        <w:rPr>
          <w:rFonts w:hint="eastAsia" w:ascii="宋体" w:hAnsi="宋体"/>
          <w:b/>
          <w:bCs/>
          <w:color w:val="auto"/>
          <w:sz w:val="26"/>
          <w:szCs w:val="26"/>
        </w:rPr>
        <w:t>五、 投标文件的递交</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numPr>
          <w:ilvl w:val="0"/>
          <w:numId w:val="20"/>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投标文件的递交</w:t>
      </w:r>
    </w:p>
    <w:p>
      <w:pPr>
        <w:numPr>
          <w:ilvl w:val="1"/>
          <w:numId w:val="21"/>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“电子响应文件”的上传、递交，具体详见《政府采购项目电子交易管理操作指南-供应商》（供应商自行去政采云系统上进行下载）：</w:t>
      </w:r>
    </w:p>
    <w:p>
      <w:pPr>
        <w:pStyle w:val="26"/>
        <w:numPr>
          <w:ilvl w:val="0"/>
          <w:numId w:val="22"/>
        </w:numPr>
        <w:autoSpaceDE w:val="0"/>
        <w:autoSpaceDN w:val="0"/>
        <w:adjustRightInd w:val="0"/>
        <w:spacing w:after="0" w:line="400" w:lineRule="exact"/>
        <w:ind w:left="218" w:leftChars="104" w:firstLine="0" w:firstLineChars="0"/>
        <w:jc w:val="left"/>
        <w:rPr>
          <w:rFonts w:ascii="宋体" w:hAnsi="宋体" w:cs="宋体"/>
          <w:color w:val="auto"/>
          <w:sz w:val="22"/>
          <w:szCs w:val="22"/>
        </w:rPr>
      </w:pPr>
      <w:r>
        <w:rPr>
          <w:rFonts w:hint="eastAsia" w:ascii="宋体" w:hAnsi="宋体" w:cs="宋体"/>
          <w:color w:val="auto"/>
          <w:sz w:val="22"/>
          <w:szCs w:val="22"/>
        </w:rPr>
        <w:t>电子响应文件制作完成并生成加密标书，在投标响应截止时间前，供应商需将加密的响应文件上传至政采云平台，接到解密通知后，解密投标响应文件。</w:t>
      </w:r>
    </w:p>
    <w:p>
      <w:pPr>
        <w:pStyle w:val="26"/>
        <w:numPr>
          <w:ilvl w:val="0"/>
          <w:numId w:val="22"/>
        </w:numPr>
        <w:autoSpaceDE w:val="0"/>
        <w:autoSpaceDN w:val="0"/>
        <w:adjustRightInd w:val="0"/>
        <w:spacing w:after="0" w:line="400" w:lineRule="exact"/>
        <w:ind w:left="218" w:leftChars="104" w:firstLine="0" w:firstLineChars="0"/>
        <w:jc w:val="left"/>
        <w:rPr>
          <w:rFonts w:ascii="宋体" w:hAnsi="宋体" w:cs="宋体"/>
          <w:color w:val="auto"/>
          <w:sz w:val="22"/>
          <w:szCs w:val="22"/>
        </w:rPr>
      </w:pPr>
      <w:r>
        <w:rPr>
          <w:rFonts w:hint="eastAsia" w:ascii="宋体" w:hAnsi="宋体" w:cs="宋体"/>
          <w:color w:val="auto"/>
          <w:sz w:val="22"/>
          <w:szCs w:val="22"/>
        </w:rPr>
        <w:t>电子响应文件上传成功后，在“投标响应文件上传-进行中”标签页下，显示状态为“已上传”。可在此处下载打印投标回执；在投标响应截止时间前，供应商可撤回投标响应文件，修改内容。</w:t>
      </w:r>
    </w:p>
    <w:p>
      <w:pPr>
        <w:numPr>
          <w:ilvl w:val="1"/>
          <w:numId w:val="21"/>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 xml:space="preserve"> “备份响应文件”的递交：</w:t>
      </w:r>
    </w:p>
    <w:p>
      <w:pPr>
        <w:pStyle w:val="26"/>
        <w:numPr>
          <w:ilvl w:val="0"/>
          <w:numId w:val="23"/>
        </w:numPr>
        <w:autoSpaceDE w:val="0"/>
        <w:autoSpaceDN w:val="0"/>
        <w:adjustRightInd w:val="0"/>
        <w:spacing w:after="0" w:line="400" w:lineRule="exact"/>
        <w:ind w:left="218" w:leftChars="104" w:firstLine="0" w:firstLineChars="0"/>
        <w:jc w:val="left"/>
        <w:rPr>
          <w:rFonts w:ascii="宋体" w:hAnsi="宋体" w:cs="宋体"/>
          <w:color w:val="auto"/>
          <w:sz w:val="22"/>
          <w:szCs w:val="22"/>
        </w:rPr>
      </w:pPr>
      <w:r>
        <w:rPr>
          <w:rFonts w:hint="eastAsia" w:ascii="宋体" w:hAnsi="宋体" w:cs="宋体"/>
          <w:color w:val="auto"/>
          <w:sz w:val="22"/>
          <w:szCs w:val="22"/>
        </w:rPr>
        <w:t>备份响应文件的递交：</w:t>
      </w:r>
      <w:r>
        <w:rPr>
          <w:color w:val="auto"/>
        </w:rPr>
        <w:fldChar w:fldCharType="begin"/>
      </w:r>
      <w:r>
        <w:rPr>
          <w:color w:val="auto"/>
        </w:rPr>
        <w:instrText xml:space="preserve"> HYPERLINK "mailto:供应商在制作电子标书时，标书生成后有两份，一份为加密标书（用于供应商投标上传），一份为备份标书，其中加密标书文件后缀格式为.jmbs；备份标书文件后缀格式为.bfbs；供应商在系统里上传好加密标书后，应在投标截止时间前将备份标书发送至代理机构邮箱471870577@qq.com。" </w:instrText>
      </w:r>
      <w:r>
        <w:rPr>
          <w:color w:val="auto"/>
        </w:rPr>
        <w:fldChar w:fldCharType="separate"/>
      </w:r>
      <w:r>
        <w:rPr>
          <w:rFonts w:hint="eastAsia" w:ascii="宋体" w:hAnsi="宋体" w:cs="宋体"/>
          <w:color w:val="auto"/>
          <w:sz w:val="22"/>
          <w:szCs w:val="22"/>
        </w:rPr>
        <w:t>供应商在系统里上传好加密标书后，可以（建议）在投标响应截止时间前将系统生成的备份标书（后缀格式为.bfbs）以电子邮件形式传送至采购代理机构邮箱2441880975@qq.com，</w:t>
      </w:r>
      <w:r>
        <w:rPr>
          <w:rFonts w:hint="eastAsia" w:ascii="宋体" w:hAnsi="宋体" w:cs="宋体"/>
          <w:color w:val="auto"/>
          <w:sz w:val="22"/>
          <w:szCs w:val="22"/>
        </w:rPr>
        <w:fldChar w:fldCharType="end"/>
      </w:r>
      <w:r>
        <w:rPr>
          <w:rFonts w:hint="eastAsia" w:ascii="宋体" w:hAnsi="宋体" w:cs="宋体"/>
          <w:color w:val="auto"/>
          <w:sz w:val="22"/>
          <w:szCs w:val="22"/>
        </w:rPr>
        <w:t>传送的备份标书需打包压缩并加密，加密密码由供应商自行保管。</w:t>
      </w:r>
    </w:p>
    <w:p>
      <w:pPr>
        <w:pStyle w:val="26"/>
        <w:numPr>
          <w:ilvl w:val="0"/>
          <w:numId w:val="23"/>
        </w:numPr>
        <w:autoSpaceDE w:val="0"/>
        <w:autoSpaceDN w:val="0"/>
        <w:adjustRightInd w:val="0"/>
        <w:spacing w:after="0" w:line="400" w:lineRule="exact"/>
        <w:ind w:left="218" w:leftChars="104" w:firstLine="0" w:firstLineChars="0"/>
        <w:jc w:val="left"/>
        <w:rPr>
          <w:rFonts w:ascii="宋体" w:hAnsi="宋体" w:cs="宋体"/>
          <w:color w:val="auto"/>
          <w:sz w:val="22"/>
          <w:szCs w:val="22"/>
        </w:rPr>
      </w:pPr>
      <w:r>
        <w:rPr>
          <w:rFonts w:hint="eastAsia" w:ascii="宋体" w:hAnsi="宋体" w:cs="宋体"/>
          <w:color w:val="auto"/>
          <w:sz w:val="22"/>
          <w:szCs w:val="22"/>
        </w:rPr>
        <w:t>通过“政府采购云平台”上传递交的“电子响应文件”无法按时解密，供应商递交了备份响应文件的，以备份响应文件为依据，否则视为响应文件撤回。 通过“政府采购云平台”上传递交的“电子响应文件”已按时解密的，“备份响应文件”自动失效。供应商仅递交备份响应文件的，投标无效；</w:t>
      </w:r>
    </w:p>
    <w:p>
      <w:pPr>
        <w:numPr>
          <w:ilvl w:val="1"/>
          <w:numId w:val="21"/>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 xml:space="preserve"> 供应商需保证上传的电子响应文件与提交的备份响应文件必须同时生成且内容完全一致；。</w:t>
      </w:r>
    </w:p>
    <w:p>
      <w:pPr>
        <w:numPr>
          <w:ilvl w:val="0"/>
          <w:numId w:val="20"/>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“电子加密投标文件”解密和异常情况处理。</w:t>
      </w:r>
    </w:p>
    <w:p>
      <w:pPr>
        <w:numPr>
          <w:ilvl w:val="1"/>
          <w:numId w:val="24"/>
        </w:numPr>
        <w:tabs>
          <w:tab w:val="left" w:pos="360"/>
          <w:tab w:val="clear" w:pos="992"/>
        </w:tabs>
        <w:spacing w:line="460" w:lineRule="exact"/>
        <w:ind w:left="640"/>
        <w:rPr>
          <w:rFonts w:ascii="宋体" w:hAnsi="宋体" w:cs="Arial"/>
          <w:color w:val="auto"/>
          <w:sz w:val="22"/>
          <w:szCs w:val="22"/>
          <w:lang w:val="zh-CN"/>
        </w:rPr>
      </w:pPr>
      <w:r>
        <w:rPr>
          <w:rFonts w:hint="eastAsia" w:ascii="宋体" w:hAnsi="宋体" w:cs="Arial"/>
          <w:color w:val="auto"/>
          <w:sz w:val="22"/>
          <w:szCs w:val="22"/>
          <w:lang w:val="zh-CN"/>
        </w:rPr>
        <w:t>投标</w:t>
      </w:r>
      <w:r>
        <w:rPr>
          <w:rFonts w:hint="eastAsia" w:ascii="宋体" w:hAnsi="宋体" w:cs="Arial"/>
          <w:color w:val="auto"/>
          <w:sz w:val="22"/>
          <w:szCs w:val="22"/>
        </w:rPr>
        <w:t>响应</w:t>
      </w:r>
      <w:r>
        <w:rPr>
          <w:rFonts w:hint="eastAsia" w:ascii="宋体" w:hAnsi="宋体" w:cs="Arial"/>
          <w:color w:val="auto"/>
          <w:sz w:val="22"/>
          <w:szCs w:val="22"/>
          <w:lang w:val="zh-CN"/>
        </w:rPr>
        <w:t>截止时间后，采购组织机构将向各供应商发出解密通知，各供应商代表应当在接到解密通知后登录政采云平台，对电子响应文件进行在线解密（解密</w:t>
      </w:r>
      <w:r>
        <w:rPr>
          <w:rFonts w:hint="eastAsia" w:ascii="宋体" w:hAnsi="宋体" w:cs="Arial"/>
          <w:color w:val="auto"/>
          <w:sz w:val="22"/>
          <w:szCs w:val="22"/>
        </w:rPr>
        <w:t>电子响应</w:t>
      </w:r>
      <w:r>
        <w:rPr>
          <w:rFonts w:hint="eastAsia" w:ascii="宋体" w:hAnsi="宋体" w:cs="Arial"/>
          <w:color w:val="auto"/>
          <w:sz w:val="22"/>
          <w:szCs w:val="22"/>
          <w:lang w:val="zh-CN"/>
        </w:rPr>
        <w:t>文件必须插入CA），在线解密电子响应文件时间为接到解密通知后</w:t>
      </w:r>
      <w:r>
        <w:rPr>
          <w:rFonts w:hint="eastAsia" w:ascii="宋体" w:hAnsi="宋体" w:cs="Arial"/>
          <w:color w:val="auto"/>
          <w:sz w:val="22"/>
          <w:szCs w:val="22"/>
        </w:rPr>
        <w:t>3</w:t>
      </w:r>
      <w:r>
        <w:rPr>
          <w:rFonts w:hint="eastAsia" w:ascii="宋体" w:hAnsi="宋体" w:cs="Arial"/>
          <w:color w:val="auto"/>
          <w:sz w:val="22"/>
          <w:szCs w:val="22"/>
          <w:lang w:val="zh-CN"/>
        </w:rPr>
        <w:t>0分钟内。</w:t>
      </w:r>
    </w:p>
    <w:p>
      <w:pPr>
        <w:numPr>
          <w:ilvl w:val="1"/>
          <w:numId w:val="24"/>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lang w:val="zh-CN"/>
        </w:rPr>
        <w:t>异常处理</w:t>
      </w:r>
      <w:r>
        <w:rPr>
          <w:rFonts w:hint="eastAsia" w:ascii="宋体" w:hAnsi="宋体" w:cs="Arial"/>
          <w:color w:val="auto"/>
          <w:sz w:val="22"/>
          <w:szCs w:val="22"/>
        </w:rPr>
        <w:t>：</w:t>
      </w:r>
      <w:r>
        <w:rPr>
          <w:rFonts w:hint="eastAsia" w:ascii="宋体" w:hAnsi="宋体" w:cs="Arial"/>
          <w:color w:val="auto"/>
          <w:sz w:val="22"/>
          <w:szCs w:val="22"/>
          <w:lang w:val="zh-CN"/>
        </w:rPr>
        <w:t>如政采云上电子响应文件出现解密失败情况</w:t>
      </w:r>
      <w:r>
        <w:rPr>
          <w:rFonts w:hint="eastAsia" w:ascii="宋体" w:hAnsi="宋体" w:cs="Arial"/>
          <w:color w:val="auto"/>
          <w:sz w:val="22"/>
          <w:szCs w:val="22"/>
        </w:rPr>
        <w:t>，</w:t>
      </w:r>
      <w:r>
        <w:rPr>
          <w:rFonts w:hint="eastAsia" w:ascii="宋体" w:hAnsi="宋体" w:cs="Arial"/>
          <w:color w:val="auto"/>
          <w:sz w:val="22"/>
          <w:szCs w:val="22"/>
          <w:lang w:val="zh-CN"/>
        </w:rPr>
        <w:t>供应商可根据自身意愿确认是否将备份标书压缩包的解密密码传送至采购代理机构邮箱</w:t>
      </w:r>
      <w:r>
        <w:rPr>
          <w:rFonts w:hint="eastAsia" w:ascii="宋体" w:hAnsi="宋体" w:cs="Arial"/>
          <w:color w:val="auto"/>
          <w:sz w:val="22"/>
          <w:szCs w:val="22"/>
        </w:rPr>
        <w:t>2441880975@qq.com,</w:t>
      </w:r>
      <w:r>
        <w:rPr>
          <w:rFonts w:hint="eastAsia" w:ascii="宋体" w:hAnsi="宋体" w:cs="Arial"/>
          <w:color w:val="auto"/>
          <w:sz w:val="22"/>
          <w:szCs w:val="22"/>
          <w:lang w:val="zh-CN"/>
        </w:rPr>
        <w:t>采购代理机构收到解密密码后通过【异常处理】的端口对供应商的备份响应文件进行上传</w:t>
      </w:r>
      <w:r>
        <w:rPr>
          <w:rFonts w:hint="eastAsia" w:ascii="宋体" w:hAnsi="宋体" w:cs="Arial"/>
          <w:color w:val="auto"/>
          <w:sz w:val="22"/>
          <w:szCs w:val="22"/>
        </w:rPr>
        <w:t>（</w:t>
      </w:r>
      <w:r>
        <w:rPr>
          <w:rFonts w:hint="eastAsia" w:ascii="宋体" w:hAnsi="宋体" w:cs="Arial"/>
          <w:color w:val="auto"/>
          <w:sz w:val="22"/>
          <w:szCs w:val="22"/>
          <w:lang w:val="zh-CN"/>
        </w:rPr>
        <w:t>上传成功后</w:t>
      </w:r>
      <w:r>
        <w:rPr>
          <w:rFonts w:hint="eastAsia" w:ascii="宋体" w:hAnsi="宋体" w:cs="Arial"/>
          <w:color w:val="auto"/>
          <w:sz w:val="22"/>
          <w:szCs w:val="22"/>
        </w:rPr>
        <w:t>，“</w:t>
      </w:r>
      <w:r>
        <w:rPr>
          <w:rFonts w:hint="eastAsia" w:ascii="宋体" w:hAnsi="宋体" w:cs="Arial"/>
          <w:color w:val="auto"/>
          <w:sz w:val="22"/>
          <w:szCs w:val="22"/>
          <w:lang w:val="zh-CN"/>
        </w:rPr>
        <w:t>电子</w:t>
      </w:r>
      <w:r>
        <w:rPr>
          <w:rFonts w:hint="eastAsia" w:ascii="宋体" w:hAnsi="宋体" w:cs="Arial"/>
          <w:color w:val="auto"/>
          <w:sz w:val="22"/>
          <w:szCs w:val="22"/>
        </w:rPr>
        <w:t>响应</w:t>
      </w:r>
      <w:r>
        <w:rPr>
          <w:rFonts w:hint="eastAsia" w:ascii="宋体" w:hAnsi="宋体" w:cs="Arial"/>
          <w:color w:val="auto"/>
          <w:sz w:val="22"/>
          <w:szCs w:val="22"/>
          <w:lang w:val="zh-CN"/>
        </w:rPr>
        <w:t>文件</w:t>
      </w:r>
      <w:r>
        <w:rPr>
          <w:rFonts w:hint="eastAsia" w:ascii="宋体" w:hAnsi="宋体" w:cs="Arial"/>
          <w:color w:val="auto"/>
          <w:sz w:val="22"/>
          <w:szCs w:val="22"/>
        </w:rPr>
        <w:t>”</w:t>
      </w:r>
      <w:r>
        <w:rPr>
          <w:rFonts w:hint="eastAsia" w:ascii="宋体" w:hAnsi="宋体" w:cs="Arial"/>
          <w:color w:val="auto"/>
          <w:sz w:val="22"/>
          <w:szCs w:val="22"/>
          <w:lang w:val="zh-CN"/>
        </w:rPr>
        <w:t>自动失效</w:t>
      </w:r>
      <w:r>
        <w:rPr>
          <w:rFonts w:hint="eastAsia" w:ascii="宋体" w:hAnsi="宋体" w:cs="Arial"/>
          <w:color w:val="auto"/>
          <w:sz w:val="22"/>
          <w:szCs w:val="22"/>
        </w:rPr>
        <w:t>），</w:t>
      </w:r>
      <w:r>
        <w:rPr>
          <w:rFonts w:hint="eastAsia" w:ascii="宋体" w:hAnsi="宋体" w:cs="Arial"/>
          <w:color w:val="auto"/>
          <w:sz w:val="22"/>
          <w:szCs w:val="22"/>
          <w:lang w:val="zh-CN"/>
        </w:rPr>
        <w:t>不能成功上传的视为</w:t>
      </w:r>
      <w:r>
        <w:rPr>
          <w:rFonts w:hint="eastAsia" w:ascii="宋体" w:hAnsi="宋体" w:cs="Arial"/>
          <w:color w:val="auto"/>
          <w:sz w:val="22"/>
          <w:szCs w:val="22"/>
        </w:rPr>
        <w:t>响应</w:t>
      </w:r>
      <w:r>
        <w:rPr>
          <w:rFonts w:hint="eastAsia" w:ascii="宋体" w:hAnsi="宋体" w:cs="Arial"/>
          <w:color w:val="auto"/>
          <w:sz w:val="22"/>
          <w:szCs w:val="22"/>
          <w:lang w:val="zh-CN"/>
        </w:rPr>
        <w:t>文件撤回</w:t>
      </w:r>
      <w:r>
        <w:rPr>
          <w:rFonts w:hint="eastAsia" w:ascii="宋体" w:hAnsi="宋体" w:cs="Arial"/>
          <w:color w:val="auto"/>
          <w:sz w:val="22"/>
          <w:szCs w:val="22"/>
        </w:rPr>
        <w:t>）</w:t>
      </w:r>
      <w:r>
        <w:rPr>
          <w:rFonts w:hint="eastAsia" w:ascii="宋体" w:hAnsi="宋体" w:cs="Arial"/>
          <w:color w:val="auto"/>
          <w:sz w:val="22"/>
          <w:szCs w:val="22"/>
          <w:lang w:val="zh-CN"/>
        </w:rPr>
        <w:t>。</w:t>
      </w:r>
    </w:p>
    <w:p>
      <w:pPr>
        <w:numPr>
          <w:ilvl w:val="1"/>
          <w:numId w:val="24"/>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 xml:space="preserve">  响应</w:t>
      </w:r>
      <w:r>
        <w:rPr>
          <w:rFonts w:hint="eastAsia" w:ascii="宋体" w:hAnsi="宋体" w:cs="Arial"/>
          <w:color w:val="auto"/>
          <w:sz w:val="22"/>
          <w:szCs w:val="22"/>
          <w:lang w:val="zh-CN"/>
        </w:rPr>
        <w:t>文件的启用，按先后顺序分别为电子响应文件、以电子邮件形式的备份响应文件，在下一顺位的</w:t>
      </w:r>
      <w:r>
        <w:rPr>
          <w:rFonts w:hint="eastAsia" w:ascii="宋体" w:hAnsi="宋体" w:cs="Arial"/>
          <w:color w:val="auto"/>
          <w:sz w:val="22"/>
          <w:szCs w:val="22"/>
        </w:rPr>
        <w:t>响应</w:t>
      </w:r>
      <w:r>
        <w:rPr>
          <w:rFonts w:hint="eastAsia" w:ascii="宋体" w:hAnsi="宋体" w:cs="Arial"/>
          <w:color w:val="auto"/>
          <w:sz w:val="22"/>
          <w:szCs w:val="22"/>
          <w:lang w:val="zh-CN"/>
        </w:rPr>
        <w:t>文件启用之后，前一顺位的</w:t>
      </w:r>
      <w:r>
        <w:rPr>
          <w:rFonts w:hint="eastAsia" w:ascii="宋体" w:hAnsi="宋体" w:cs="Arial"/>
          <w:color w:val="auto"/>
          <w:sz w:val="22"/>
          <w:szCs w:val="22"/>
        </w:rPr>
        <w:t>响应</w:t>
      </w:r>
      <w:r>
        <w:rPr>
          <w:rFonts w:hint="eastAsia" w:ascii="宋体" w:hAnsi="宋体" w:cs="Arial"/>
          <w:color w:val="auto"/>
          <w:sz w:val="22"/>
          <w:szCs w:val="22"/>
          <w:lang w:val="zh-CN"/>
        </w:rPr>
        <w:t>文件自动失效。</w:t>
      </w:r>
    </w:p>
    <w:p>
      <w:pPr>
        <w:numPr>
          <w:ilvl w:val="0"/>
          <w:numId w:val="20"/>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投标文件的补充、修改或撤回</w:t>
      </w:r>
    </w:p>
    <w:p>
      <w:pPr>
        <w:numPr>
          <w:ilvl w:val="1"/>
          <w:numId w:val="25"/>
        </w:numPr>
        <w:tabs>
          <w:tab w:val="left" w:pos="540"/>
          <w:tab w:val="clear" w:pos="992"/>
        </w:tabs>
        <w:spacing w:line="460" w:lineRule="exact"/>
        <w:ind w:left="540" w:hanging="540"/>
        <w:rPr>
          <w:rFonts w:ascii="宋体" w:hAnsi="宋体"/>
          <w:bCs/>
          <w:color w:val="auto"/>
          <w:sz w:val="22"/>
          <w:szCs w:val="22"/>
        </w:rPr>
      </w:pPr>
      <w:r>
        <w:rPr>
          <w:rFonts w:hint="eastAsia" w:ascii="宋体" w:hAnsi="宋体"/>
          <w:bCs/>
          <w:color w:val="auto"/>
          <w:sz w:val="22"/>
          <w:szCs w:val="22"/>
        </w:rPr>
        <w:t>投标人应当在投标文件递交截止时间前完成投标文件的上传、递交，并可以补充、修改或者撤回投标文件。补充或者修改投标文件的，应当先行撤回原文件，补充、修改后重新上传、递交。投标文件递交截止时间前未完成上传、递交的，视为撤回投标文件。投标文件递交截止时间后递交的投标文件，“政采云平台”将予以拒收。</w:t>
      </w:r>
    </w:p>
    <w:p>
      <w:pPr>
        <w:numPr>
          <w:ilvl w:val="1"/>
          <w:numId w:val="25"/>
        </w:numPr>
        <w:tabs>
          <w:tab w:val="left" w:pos="540"/>
          <w:tab w:val="clear" w:pos="992"/>
        </w:tabs>
        <w:spacing w:line="460" w:lineRule="exact"/>
        <w:ind w:left="540" w:hanging="540"/>
        <w:rPr>
          <w:rFonts w:ascii="宋体" w:hAnsi="宋体"/>
          <w:bCs/>
          <w:color w:val="auto"/>
          <w:sz w:val="22"/>
          <w:szCs w:val="22"/>
        </w:rPr>
      </w:pPr>
      <w:r>
        <w:rPr>
          <w:rFonts w:hint="eastAsia" w:ascii="宋体" w:hAnsi="宋体"/>
          <w:bCs/>
          <w:color w:val="auto"/>
          <w:sz w:val="22"/>
          <w:szCs w:val="22"/>
        </w:rPr>
        <w:t>投标文件递交截止时间后，投标人不得撤回、修改投标文件。</w:t>
      </w:r>
    </w:p>
    <w:p>
      <w:pPr>
        <w:numPr>
          <w:ilvl w:val="0"/>
          <w:numId w:val="20"/>
        </w:numPr>
        <w:tabs>
          <w:tab w:val="left" w:pos="540"/>
          <w:tab w:val="clear" w:pos="420"/>
        </w:tabs>
        <w:spacing w:line="460" w:lineRule="exact"/>
        <w:rPr>
          <w:rFonts w:ascii="宋体" w:hAnsi="宋体" w:cs="Arial"/>
          <w:bCs/>
          <w:color w:val="auto"/>
          <w:sz w:val="22"/>
          <w:szCs w:val="22"/>
        </w:rPr>
      </w:pPr>
      <w:r>
        <w:rPr>
          <w:rFonts w:hint="eastAsia" w:ascii="宋体" w:hAnsi="宋体" w:cs="Arial"/>
          <w:b/>
          <w:color w:val="auto"/>
          <w:sz w:val="22"/>
          <w:szCs w:val="22"/>
          <w:u w:val="single"/>
        </w:rPr>
        <w:t>▲发生下列情况之一的投标文件将不予受理：</w:t>
      </w:r>
    </w:p>
    <w:p>
      <w:pPr>
        <w:numPr>
          <w:ilvl w:val="1"/>
          <w:numId w:val="26"/>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在投标截止时间以后上传的投标文件；</w:t>
      </w:r>
    </w:p>
    <w:p>
      <w:pPr>
        <w:numPr>
          <w:ilvl w:val="1"/>
          <w:numId w:val="26"/>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仅递交了“备份投标文件”而未将电子加密投标文件上传至“政府采购云平台”的；</w:t>
      </w:r>
    </w:p>
    <w:p>
      <w:pPr>
        <w:numPr>
          <w:ilvl w:val="1"/>
          <w:numId w:val="26"/>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未在规定时间解密，或者，解密失败且经异常处理政采云系统仍未能识别的；</w:t>
      </w:r>
    </w:p>
    <w:p>
      <w:pPr>
        <w:numPr>
          <w:ilvl w:val="1"/>
          <w:numId w:val="26"/>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以纸质形式提交的；</w:t>
      </w:r>
    </w:p>
    <w:p>
      <w:pPr>
        <w:tabs>
          <w:tab w:val="left" w:pos="360"/>
          <w:tab w:val="left" w:pos="540"/>
          <w:tab w:val="left" w:pos="1260"/>
        </w:tabs>
        <w:spacing w:before="100" w:beforeAutospacing="1" w:after="100" w:afterAutospacing="1" w:line="440" w:lineRule="exact"/>
        <w:ind w:left="919" w:hanging="919" w:hangingChars="352"/>
        <w:jc w:val="center"/>
        <w:outlineLvl w:val="0"/>
        <w:rPr>
          <w:rFonts w:ascii="宋体" w:hAnsi="宋体"/>
          <w:color w:val="auto"/>
          <w:sz w:val="22"/>
          <w:szCs w:val="22"/>
        </w:rPr>
      </w:pPr>
      <w:bookmarkStart w:id="110" w:name="_Toc221423620"/>
      <w:bookmarkStart w:id="111" w:name="_Toc262049419"/>
      <w:bookmarkStart w:id="112" w:name="_Toc262105504"/>
      <w:bookmarkStart w:id="113" w:name="_Toc221356888"/>
      <w:bookmarkStart w:id="114" w:name="_Toc222114880"/>
      <w:bookmarkStart w:id="115" w:name="_Toc223715999"/>
      <w:bookmarkStart w:id="116" w:name="_Toc245191315"/>
      <w:bookmarkStart w:id="117" w:name="_Toc239145355"/>
      <w:bookmarkStart w:id="118" w:name="_Toc221374627"/>
      <w:bookmarkStart w:id="119" w:name="_Toc249758865"/>
      <w:bookmarkStart w:id="120" w:name="_Toc245722282"/>
      <w:bookmarkStart w:id="121" w:name="_Toc221356952"/>
      <w:bookmarkStart w:id="122" w:name="_Toc241404203"/>
      <w:bookmarkStart w:id="123" w:name="_Toc20271"/>
      <w:bookmarkStart w:id="124" w:name="_Toc249758713"/>
      <w:bookmarkStart w:id="125" w:name="_Toc246261266"/>
      <w:r>
        <w:rPr>
          <w:rFonts w:hint="eastAsia" w:ascii="宋体" w:hAnsi="宋体"/>
          <w:b/>
          <w:bCs/>
          <w:color w:val="auto"/>
          <w:sz w:val="26"/>
          <w:szCs w:val="26"/>
        </w:rPr>
        <w:t>六、 开标</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numPr>
          <w:ilvl w:val="0"/>
          <w:numId w:val="27"/>
        </w:numPr>
        <w:tabs>
          <w:tab w:val="left" w:pos="540"/>
          <w:tab w:val="clear" w:pos="420"/>
        </w:tabs>
        <w:spacing w:line="460" w:lineRule="exact"/>
        <w:rPr>
          <w:rFonts w:ascii="宋体" w:hAnsi="宋体" w:cs="Arial"/>
          <w:bCs/>
          <w:color w:val="auto"/>
          <w:sz w:val="22"/>
          <w:szCs w:val="22"/>
        </w:rPr>
      </w:pPr>
      <w:bookmarkStart w:id="126" w:name="_Toc241404204"/>
      <w:bookmarkStart w:id="127" w:name="_Toc223716000"/>
      <w:bookmarkStart w:id="128" w:name="_Toc221356889"/>
      <w:bookmarkStart w:id="129" w:name="_Toc246261267"/>
      <w:bookmarkStart w:id="130" w:name="_Toc262105505"/>
      <w:bookmarkStart w:id="131" w:name="_Toc221374628"/>
      <w:bookmarkStart w:id="132" w:name="_Toc221356953"/>
      <w:bookmarkStart w:id="133" w:name="_Toc245191316"/>
      <w:bookmarkStart w:id="134" w:name="_Toc221423621"/>
      <w:bookmarkStart w:id="135" w:name="_Toc262049420"/>
      <w:bookmarkStart w:id="136" w:name="_Toc245722283"/>
      <w:bookmarkStart w:id="137" w:name="_Toc249758866"/>
      <w:bookmarkStart w:id="138" w:name="_Toc249758714"/>
      <w:bookmarkStart w:id="139" w:name="_Toc222114881"/>
      <w:bookmarkStart w:id="140" w:name="_Toc239145356"/>
      <w:r>
        <w:rPr>
          <w:rFonts w:hint="eastAsia" w:ascii="宋体" w:hAnsi="宋体" w:cs="Arial"/>
          <w:bCs/>
          <w:color w:val="auto"/>
          <w:sz w:val="22"/>
          <w:szCs w:val="22"/>
        </w:rPr>
        <w:t>开标形式</w:t>
      </w:r>
    </w:p>
    <w:p>
      <w:pPr>
        <w:tabs>
          <w:tab w:val="left" w:pos="540"/>
        </w:tabs>
        <w:spacing w:line="460" w:lineRule="exact"/>
        <w:ind w:firstLine="440" w:firstLineChars="200"/>
        <w:rPr>
          <w:rFonts w:ascii="宋体" w:hAnsi="宋体" w:cs="宋体"/>
          <w:bCs/>
          <w:color w:val="auto"/>
          <w:kern w:val="0"/>
          <w:sz w:val="22"/>
          <w:szCs w:val="22"/>
        </w:rPr>
      </w:pPr>
      <w:r>
        <w:rPr>
          <w:rFonts w:hint="eastAsia" w:ascii="宋体" w:hAnsi="宋体" w:cs="宋体"/>
          <w:bCs/>
          <w:color w:val="auto"/>
          <w:kern w:val="0"/>
          <w:sz w:val="22"/>
          <w:szCs w:val="22"/>
        </w:rPr>
        <w:t>采购组织机构将按照招标文件规定的时间通过“政采云平台”组织开标、开启投标文件，所有投标人均应当准时在线参加。</w:t>
      </w:r>
    </w:p>
    <w:p>
      <w:pPr>
        <w:numPr>
          <w:ilvl w:val="0"/>
          <w:numId w:val="27"/>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开标准备</w:t>
      </w:r>
    </w:p>
    <w:p>
      <w:pPr>
        <w:numPr>
          <w:ilvl w:val="1"/>
          <w:numId w:val="28"/>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开标的准备工作由采购组织机构负责落实。</w:t>
      </w:r>
    </w:p>
    <w:p>
      <w:pPr>
        <w:numPr>
          <w:ilvl w:val="1"/>
          <w:numId w:val="28"/>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采购组织机构将按照招标文件规定的时间通过“政采云平台”组织开标、开启投标文件，所有投标人均应当准时在线参加。投标人如不参加开标大会的，视同认可开标结果，事后不得对采购相关人员、开标过程和开标结果提出异议，同时投标人因未在线参加开标而导致投标文件无法按时解密等一切后果由投标人自己承担。</w:t>
      </w:r>
    </w:p>
    <w:p>
      <w:pPr>
        <w:numPr>
          <w:ilvl w:val="0"/>
          <w:numId w:val="27"/>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开标流程</w:t>
      </w:r>
    </w:p>
    <w:p>
      <w:pPr>
        <w:numPr>
          <w:ilvl w:val="1"/>
          <w:numId w:val="29"/>
        </w:numPr>
        <w:tabs>
          <w:tab w:val="left" w:pos="540"/>
          <w:tab w:val="clear" w:pos="992"/>
        </w:tabs>
        <w:spacing w:line="460" w:lineRule="exact"/>
        <w:ind w:left="540" w:hanging="540"/>
        <w:rPr>
          <w:rFonts w:ascii="宋体" w:hAnsi="宋体"/>
          <w:bCs/>
          <w:color w:val="auto"/>
          <w:sz w:val="22"/>
          <w:szCs w:val="22"/>
        </w:rPr>
      </w:pPr>
      <w:r>
        <w:rPr>
          <w:rFonts w:hint="eastAsia" w:ascii="宋体" w:hAnsi="宋体"/>
          <w:bCs/>
          <w:color w:val="auto"/>
          <w:sz w:val="22"/>
          <w:szCs w:val="22"/>
        </w:rPr>
        <w:t>按采购文件规定的时间、地点开启各投标人的投标文件。开标前，首先检查投标文件的密封情况，确认无误后开启投标文件（资格文件、商务技术文件、报价文件）</w:t>
      </w:r>
    </w:p>
    <w:p>
      <w:pPr>
        <w:numPr>
          <w:ilvl w:val="1"/>
          <w:numId w:val="29"/>
        </w:numPr>
        <w:tabs>
          <w:tab w:val="left" w:pos="540"/>
          <w:tab w:val="clear" w:pos="992"/>
        </w:tabs>
        <w:spacing w:line="460" w:lineRule="exact"/>
        <w:ind w:left="540" w:hanging="540"/>
        <w:rPr>
          <w:rFonts w:ascii="宋体" w:hAnsi="宋体"/>
          <w:bCs/>
          <w:color w:val="auto"/>
          <w:sz w:val="22"/>
          <w:szCs w:val="22"/>
        </w:rPr>
      </w:pPr>
      <w:r>
        <w:rPr>
          <w:rFonts w:hint="eastAsia" w:ascii="宋体" w:hAnsi="宋体"/>
          <w:bCs/>
          <w:color w:val="auto"/>
          <w:sz w:val="22"/>
          <w:szCs w:val="22"/>
        </w:rPr>
        <w:t>电子招投标开标及评审程序</w:t>
      </w:r>
    </w:p>
    <w:p>
      <w:pPr>
        <w:numPr>
          <w:ilvl w:val="0"/>
          <w:numId w:val="30"/>
        </w:numPr>
        <w:overflowPunct w:val="0"/>
        <w:spacing w:line="440" w:lineRule="exact"/>
        <w:rPr>
          <w:rFonts w:ascii="宋体" w:hAnsi="宋体" w:cs="宋体"/>
          <w:bCs/>
          <w:color w:val="auto"/>
          <w:sz w:val="22"/>
          <w:szCs w:val="22"/>
        </w:rPr>
      </w:pPr>
      <w:r>
        <w:rPr>
          <w:rFonts w:hint="eastAsia" w:ascii="宋体" w:hAnsi="宋体" w:cs="宋体"/>
          <w:bCs/>
          <w:color w:val="auto"/>
          <w:sz w:val="22"/>
          <w:szCs w:val="22"/>
        </w:rPr>
        <w:t>投标截止时间后，投标人登录政采云平台，用“项目采购-开标评标”功能对电子投标文件进行在线解密。在线解密电子投标文件时间为开标时间起30分钟内。</w:t>
      </w:r>
    </w:p>
    <w:p>
      <w:pPr>
        <w:numPr>
          <w:ilvl w:val="0"/>
          <w:numId w:val="30"/>
        </w:numPr>
        <w:overflowPunct w:val="0"/>
        <w:spacing w:line="440" w:lineRule="exact"/>
        <w:rPr>
          <w:rFonts w:ascii="宋体" w:hAnsi="宋体" w:cs="宋体"/>
          <w:bCs/>
          <w:color w:val="auto"/>
          <w:sz w:val="22"/>
          <w:szCs w:val="22"/>
        </w:rPr>
      </w:pPr>
      <w:r>
        <w:rPr>
          <w:rFonts w:hint="eastAsia" w:ascii="宋体" w:hAnsi="宋体" w:cs="宋体"/>
          <w:bCs/>
          <w:color w:val="auto"/>
          <w:sz w:val="22"/>
          <w:szCs w:val="22"/>
        </w:rPr>
        <w:t>在系统上公布各投标人名称、投标报价及招标文件规定的需要宣布的其他内容。</w:t>
      </w:r>
    </w:p>
    <w:p>
      <w:pPr>
        <w:numPr>
          <w:ilvl w:val="0"/>
          <w:numId w:val="30"/>
        </w:numPr>
        <w:overflowPunct w:val="0"/>
        <w:spacing w:line="440" w:lineRule="exact"/>
        <w:rPr>
          <w:rFonts w:ascii="宋体" w:hAnsi="宋体" w:cs="宋体"/>
          <w:bCs/>
          <w:color w:val="auto"/>
          <w:sz w:val="22"/>
          <w:szCs w:val="22"/>
        </w:rPr>
      </w:pPr>
      <w:r>
        <w:rPr>
          <w:rFonts w:hint="eastAsia" w:ascii="宋体" w:hAnsi="宋体" w:cs="宋体"/>
          <w:bCs/>
          <w:color w:val="auto"/>
          <w:sz w:val="22"/>
          <w:szCs w:val="22"/>
        </w:rPr>
        <w:t>评标委员会对资格文件和商务技术文件进行评审。</w:t>
      </w:r>
    </w:p>
    <w:p>
      <w:pPr>
        <w:numPr>
          <w:ilvl w:val="0"/>
          <w:numId w:val="30"/>
        </w:numPr>
        <w:overflowPunct w:val="0"/>
        <w:spacing w:line="440" w:lineRule="exact"/>
        <w:rPr>
          <w:rFonts w:ascii="宋体" w:hAnsi="宋体" w:cs="宋体"/>
          <w:bCs/>
          <w:color w:val="auto"/>
          <w:sz w:val="22"/>
          <w:szCs w:val="22"/>
        </w:rPr>
      </w:pPr>
      <w:r>
        <w:rPr>
          <w:rFonts w:hint="eastAsia" w:ascii="宋体" w:hAnsi="宋体" w:cs="宋体"/>
          <w:bCs/>
          <w:color w:val="auto"/>
          <w:sz w:val="22"/>
          <w:szCs w:val="22"/>
        </w:rPr>
        <w:t>在系统上公开资格和商务技术评审结果。</w:t>
      </w:r>
    </w:p>
    <w:p>
      <w:pPr>
        <w:numPr>
          <w:ilvl w:val="0"/>
          <w:numId w:val="30"/>
        </w:numPr>
        <w:overflowPunct w:val="0"/>
        <w:spacing w:line="440" w:lineRule="exact"/>
        <w:rPr>
          <w:rFonts w:ascii="宋体" w:hAnsi="宋体" w:cs="宋体"/>
          <w:bCs/>
          <w:color w:val="auto"/>
          <w:sz w:val="22"/>
          <w:szCs w:val="22"/>
        </w:rPr>
      </w:pPr>
      <w:r>
        <w:rPr>
          <w:rFonts w:hint="eastAsia" w:ascii="宋体" w:hAnsi="宋体" w:cs="宋体"/>
          <w:bCs/>
          <w:color w:val="auto"/>
          <w:sz w:val="22"/>
          <w:szCs w:val="22"/>
        </w:rPr>
        <w:t>评标委员会对报价文件进行评审。</w:t>
      </w:r>
    </w:p>
    <w:p>
      <w:pPr>
        <w:numPr>
          <w:ilvl w:val="0"/>
          <w:numId w:val="30"/>
        </w:numPr>
        <w:overflowPunct w:val="0"/>
        <w:spacing w:line="440" w:lineRule="exact"/>
        <w:rPr>
          <w:rFonts w:ascii="宋体" w:hAnsi="宋体" w:cs="宋体"/>
          <w:bCs/>
          <w:color w:val="auto"/>
          <w:sz w:val="22"/>
          <w:szCs w:val="22"/>
        </w:rPr>
      </w:pPr>
      <w:r>
        <w:rPr>
          <w:rFonts w:hint="eastAsia" w:ascii="宋体" w:hAnsi="宋体" w:cs="宋体"/>
          <w:bCs/>
          <w:color w:val="auto"/>
          <w:sz w:val="22"/>
          <w:szCs w:val="22"/>
        </w:rPr>
        <w:t>在系统上公布评审结果。</w:t>
      </w:r>
    </w:p>
    <w:p>
      <w:pPr>
        <w:overflowPunct w:val="0"/>
        <w:spacing w:line="440" w:lineRule="exact"/>
        <w:ind w:left="110"/>
        <w:rPr>
          <w:rFonts w:ascii="宋体" w:hAnsi="宋体" w:cs="宋体"/>
          <w:b/>
          <w:bCs/>
          <w:color w:val="auto"/>
          <w:sz w:val="22"/>
          <w:szCs w:val="22"/>
        </w:rPr>
      </w:pPr>
      <w:r>
        <w:rPr>
          <w:rFonts w:hint="eastAsia" w:ascii="宋体" w:hAnsi="宋体" w:cs="宋体"/>
          <w:b/>
          <w:bCs/>
          <w:color w:val="auto"/>
          <w:sz w:val="22"/>
          <w:szCs w:val="22"/>
        </w:rPr>
        <w:t>特别说明：1、政采云公司如对电子化开标及评审程序有调整的，按调整后的程序操作。</w:t>
      </w:r>
    </w:p>
    <w:p>
      <w:pPr>
        <w:overflowPunct w:val="0"/>
        <w:spacing w:line="440" w:lineRule="exact"/>
        <w:ind w:firstLine="1281" w:firstLineChars="580"/>
        <w:rPr>
          <w:rFonts w:ascii="宋体" w:hAnsi="宋体" w:cs="宋体"/>
          <w:b/>
          <w:bCs/>
          <w:color w:val="auto"/>
          <w:sz w:val="22"/>
          <w:szCs w:val="22"/>
        </w:rPr>
      </w:pPr>
      <w:r>
        <w:rPr>
          <w:rFonts w:hint="eastAsia" w:ascii="宋体" w:hAnsi="宋体" w:cs="宋体"/>
          <w:b/>
          <w:bCs/>
          <w:color w:val="auto"/>
          <w:sz w:val="22"/>
          <w:szCs w:val="22"/>
        </w:rPr>
        <w:t>2、目前政府采购全流程电子化交易，投标人须在规定时间内自行解密。</w:t>
      </w:r>
    </w:p>
    <w:p>
      <w:pPr>
        <w:numPr>
          <w:ilvl w:val="1"/>
          <w:numId w:val="29"/>
        </w:numPr>
        <w:tabs>
          <w:tab w:val="left" w:pos="540"/>
          <w:tab w:val="clear" w:pos="992"/>
        </w:tabs>
        <w:spacing w:line="460" w:lineRule="exact"/>
        <w:ind w:left="540" w:hanging="540"/>
        <w:rPr>
          <w:rFonts w:ascii="宋体" w:hAnsi="宋体"/>
          <w:b/>
          <w:color w:val="auto"/>
          <w:sz w:val="22"/>
          <w:szCs w:val="22"/>
          <w:u w:val="single"/>
        </w:rPr>
      </w:pPr>
      <w:r>
        <w:rPr>
          <w:rFonts w:hint="eastAsia" w:ascii="宋体" w:hAnsi="宋体"/>
          <w:b/>
          <w:color w:val="auto"/>
          <w:sz w:val="22"/>
          <w:szCs w:val="22"/>
          <w:u w:val="single"/>
        </w:rPr>
        <w:t>电子响应文件解密结束后，各投标人签署《政府采购活动现场确认声明书》（见附件）后将扫描件发送至采购代理机构邮箱2441880975@qq.com。</w:t>
      </w:r>
    </w:p>
    <w:p>
      <w:pPr>
        <w:numPr>
          <w:ilvl w:val="1"/>
          <w:numId w:val="29"/>
        </w:numPr>
        <w:tabs>
          <w:tab w:val="left" w:pos="540"/>
          <w:tab w:val="clear" w:pos="992"/>
        </w:tabs>
        <w:spacing w:line="460" w:lineRule="exact"/>
        <w:ind w:left="540" w:hanging="540"/>
        <w:rPr>
          <w:rFonts w:ascii="宋体" w:hAnsi="宋体"/>
          <w:b/>
          <w:color w:val="auto"/>
          <w:sz w:val="22"/>
          <w:szCs w:val="22"/>
        </w:rPr>
      </w:pPr>
      <w:r>
        <w:rPr>
          <w:rFonts w:hint="eastAsia" w:ascii="宋体" w:hAnsi="宋体"/>
          <w:b/>
          <w:color w:val="auto"/>
          <w:sz w:val="22"/>
          <w:szCs w:val="22"/>
        </w:rPr>
        <w:t>评审结束后，在“政采云平台”系统平台上公布个采购人的详细情况及中标（成交）候选投标人名单的公告等。</w:t>
      </w:r>
    </w:p>
    <w:p>
      <w:pPr>
        <w:tabs>
          <w:tab w:val="left" w:pos="540"/>
        </w:tabs>
        <w:spacing w:line="460" w:lineRule="exact"/>
        <w:rPr>
          <w:rFonts w:ascii="宋体" w:hAnsi="宋体" w:cs="宋体"/>
          <w:b/>
          <w:bCs/>
          <w:color w:val="auto"/>
          <w:kern w:val="0"/>
          <w:sz w:val="22"/>
          <w:szCs w:val="22"/>
        </w:rPr>
      </w:pPr>
      <w:r>
        <w:rPr>
          <w:rFonts w:hint="eastAsia" w:ascii="宋体" w:hAnsi="宋体" w:cs="宋体"/>
          <w:b/>
          <w:bCs/>
          <w:color w:val="auto"/>
          <w:kern w:val="0"/>
          <w:sz w:val="22"/>
          <w:szCs w:val="22"/>
        </w:rPr>
        <w:t>特别说明：如遇“政采云平台”电子化开标或评审程序调整的，按调整后程序执行。</w:t>
      </w:r>
    </w:p>
    <w:p>
      <w:pPr>
        <w:spacing w:before="100" w:beforeAutospacing="1" w:after="100" w:afterAutospacing="1" w:line="440" w:lineRule="exact"/>
        <w:ind w:left="-6"/>
        <w:jc w:val="center"/>
        <w:outlineLvl w:val="0"/>
        <w:rPr>
          <w:rFonts w:ascii="宋体" w:hAnsi="宋体"/>
          <w:b/>
          <w:bCs/>
          <w:color w:val="auto"/>
          <w:sz w:val="26"/>
          <w:szCs w:val="26"/>
        </w:rPr>
      </w:pPr>
      <w:bookmarkStart w:id="141" w:name="_Toc28360"/>
      <w:r>
        <w:rPr>
          <w:rFonts w:hint="eastAsia" w:ascii="宋体" w:hAnsi="宋体"/>
          <w:b/>
          <w:bCs/>
          <w:color w:val="auto"/>
          <w:sz w:val="26"/>
          <w:szCs w:val="26"/>
        </w:rPr>
        <w:t>七、 评标</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numPr>
          <w:ilvl w:val="0"/>
          <w:numId w:val="31"/>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评标委员会</w:t>
      </w:r>
    </w:p>
    <w:p>
      <w:pPr>
        <w:spacing w:line="460" w:lineRule="exact"/>
        <w:ind w:firstLine="440" w:firstLineChars="200"/>
        <w:rPr>
          <w:rFonts w:ascii="宋体" w:hAnsi="宋体" w:cs="宋体"/>
          <w:color w:val="auto"/>
          <w:kern w:val="0"/>
          <w:sz w:val="22"/>
          <w:szCs w:val="22"/>
        </w:rPr>
      </w:pPr>
      <w:r>
        <w:rPr>
          <w:rFonts w:hint="eastAsia" w:ascii="宋体" w:hAnsi="宋体" w:cs="宋体"/>
          <w:color w:val="auto"/>
          <w:kern w:val="0"/>
          <w:sz w:val="22"/>
          <w:szCs w:val="22"/>
        </w:rPr>
        <w:t>采购人按照《中华人民共和国政府采购法》等有关法律、法规的规定组建评标委员会，评标委员会成员由采购人代表和有关技术、经济等方面的专家组成，成员人数为5人（含）以上单数，除采购人代表外的专家将在评标专家库中随机抽取产生。</w:t>
      </w:r>
    </w:p>
    <w:p>
      <w:pPr>
        <w:numPr>
          <w:ilvl w:val="0"/>
          <w:numId w:val="31"/>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评标过程的保密性</w:t>
      </w:r>
    </w:p>
    <w:p>
      <w:pPr>
        <w:spacing w:line="460" w:lineRule="exact"/>
        <w:ind w:firstLine="440" w:firstLineChars="200"/>
        <w:rPr>
          <w:rFonts w:ascii="宋体" w:hAnsi="宋体" w:cs="宋体"/>
          <w:color w:val="auto"/>
          <w:kern w:val="0"/>
          <w:sz w:val="22"/>
          <w:szCs w:val="22"/>
        </w:rPr>
      </w:pPr>
      <w:r>
        <w:rPr>
          <w:rFonts w:hint="eastAsia" w:ascii="宋体" w:hAnsi="宋体" w:cs="宋体"/>
          <w:color w:val="auto"/>
          <w:kern w:val="0"/>
          <w:sz w:val="22"/>
          <w:szCs w:val="22"/>
        </w:rPr>
        <w:t>开标后直至向中标人授予合同时止，凡与评审有关的资料均不得向投标人及与评标无关人员透露。如果投标人在评标过程中试图向采购人和招标代理机构施加影响，其投标将被拒绝。</w:t>
      </w:r>
    </w:p>
    <w:p>
      <w:pPr>
        <w:numPr>
          <w:ilvl w:val="0"/>
          <w:numId w:val="31"/>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投标文件的初审。初审分为资格性审查和符合性检查。</w:t>
      </w:r>
    </w:p>
    <w:p>
      <w:pPr>
        <w:numPr>
          <w:ilvl w:val="1"/>
          <w:numId w:val="32"/>
        </w:numPr>
        <w:tabs>
          <w:tab w:val="left" w:pos="540"/>
          <w:tab w:val="clear" w:pos="992"/>
        </w:tabs>
        <w:spacing w:line="460" w:lineRule="exact"/>
        <w:ind w:left="540" w:hanging="540"/>
        <w:rPr>
          <w:rFonts w:ascii="宋体" w:hAnsi="宋体"/>
          <w:bCs/>
          <w:color w:val="auto"/>
          <w:sz w:val="22"/>
          <w:szCs w:val="22"/>
        </w:rPr>
      </w:pPr>
      <w:r>
        <w:rPr>
          <w:rFonts w:hint="eastAsia" w:ascii="宋体" w:hAnsi="宋体"/>
          <w:bCs/>
          <w:color w:val="auto"/>
          <w:sz w:val="22"/>
          <w:szCs w:val="22"/>
        </w:rPr>
        <w:t>资格性审查。</w:t>
      </w:r>
    </w:p>
    <w:p>
      <w:pPr>
        <w:pStyle w:val="123"/>
        <w:numPr>
          <w:ilvl w:val="0"/>
          <w:numId w:val="33"/>
        </w:numPr>
        <w:tabs>
          <w:tab w:val="left" w:pos="425"/>
        </w:tabs>
        <w:overflowPunct w:val="0"/>
        <w:spacing w:line="440" w:lineRule="exact"/>
        <w:ind w:hanging="136" w:firstLineChars="0"/>
        <w:rPr>
          <w:rFonts w:ascii="宋体" w:hAnsi="宋体" w:cs="宋体"/>
          <w:bCs/>
          <w:color w:val="auto"/>
          <w:sz w:val="22"/>
          <w:szCs w:val="22"/>
        </w:rPr>
      </w:pPr>
      <w:r>
        <w:rPr>
          <w:rFonts w:hint="eastAsia" w:ascii="宋体" w:hAnsi="宋体" w:cs="宋体"/>
          <w:bCs/>
          <w:color w:val="auto"/>
          <w:sz w:val="22"/>
          <w:szCs w:val="22"/>
        </w:rPr>
        <w:t>依据法律、法规和采购文件的规定，采购人或采购代理机构在开启各投标人资格证明文件后，对各投标人进行投标资格审查，审查内容包括但不仅限于投标文件所提交证明材料是否能证明符合本项目对合格投标人的实质性要求。采购人或采购代理机构对投标人所提供的资格证明材料仅负审核的责任。如发现投标人所提供的资格证明材料不合法或不真实，采购人可取消其中标资格并追究法律责任。通过资格审查视作具备投标资格，审查不合格的投标文件将不进入后续详细评审。</w:t>
      </w:r>
    </w:p>
    <w:p>
      <w:pPr>
        <w:pStyle w:val="123"/>
        <w:numPr>
          <w:ilvl w:val="0"/>
          <w:numId w:val="33"/>
        </w:numPr>
        <w:tabs>
          <w:tab w:val="left" w:pos="425"/>
        </w:tabs>
        <w:overflowPunct w:val="0"/>
        <w:spacing w:line="440" w:lineRule="exact"/>
        <w:ind w:hanging="136" w:firstLineChars="0"/>
        <w:rPr>
          <w:rFonts w:ascii="宋体" w:hAnsi="宋体" w:cs="宋体"/>
          <w:b/>
          <w:bCs/>
          <w:color w:val="auto"/>
          <w:sz w:val="22"/>
          <w:szCs w:val="22"/>
        </w:rPr>
      </w:pPr>
      <w:r>
        <w:rPr>
          <w:rFonts w:hint="eastAsia" w:ascii="宋体" w:hAnsi="宋体" w:cs="宋体"/>
          <w:b/>
          <w:bCs/>
          <w:color w:val="auto"/>
          <w:sz w:val="22"/>
          <w:szCs w:val="22"/>
        </w:rPr>
        <w:t>在资格审查过程中，若对投标人的资格审查文件有疑问，采购组织机构将在系统上向投标人发起询标函</w:t>
      </w:r>
    </w:p>
    <w:p>
      <w:pPr>
        <w:numPr>
          <w:ilvl w:val="1"/>
          <w:numId w:val="32"/>
        </w:numPr>
        <w:tabs>
          <w:tab w:val="left" w:pos="540"/>
          <w:tab w:val="clear" w:pos="992"/>
        </w:tabs>
        <w:spacing w:line="460" w:lineRule="exact"/>
        <w:ind w:left="540" w:hanging="540"/>
        <w:rPr>
          <w:rFonts w:ascii="宋体" w:hAnsi="宋体"/>
          <w:bCs/>
          <w:color w:val="auto"/>
          <w:sz w:val="22"/>
          <w:szCs w:val="22"/>
        </w:rPr>
      </w:pPr>
      <w:r>
        <w:rPr>
          <w:rFonts w:hint="eastAsia" w:ascii="宋体" w:hAnsi="宋体"/>
          <w:bCs/>
          <w:color w:val="auto"/>
          <w:sz w:val="22"/>
          <w:szCs w:val="22"/>
        </w:rPr>
        <w:t>符合性检查。依据招标文件的规定，从投标文件中的有效性、完整性和对招标文件的响应程度进行审查，并在“政采云系统-符合性评审”中录入投标人的符合性审查情况。</w:t>
      </w:r>
    </w:p>
    <w:p>
      <w:pPr>
        <w:numPr>
          <w:ilvl w:val="1"/>
          <w:numId w:val="32"/>
        </w:numPr>
        <w:tabs>
          <w:tab w:val="left" w:pos="540"/>
          <w:tab w:val="clear" w:pos="992"/>
        </w:tabs>
        <w:spacing w:line="460" w:lineRule="exact"/>
        <w:ind w:left="540" w:hanging="540"/>
        <w:rPr>
          <w:rFonts w:ascii="宋体" w:hAnsi="宋体"/>
          <w:b/>
          <w:color w:val="auto"/>
          <w:sz w:val="22"/>
          <w:szCs w:val="22"/>
          <w:u w:val="single"/>
        </w:rPr>
      </w:pPr>
      <w:r>
        <w:rPr>
          <w:rFonts w:hint="eastAsia" w:ascii="宋体" w:hAnsi="宋体"/>
          <w:b/>
          <w:color w:val="auto"/>
          <w:sz w:val="22"/>
          <w:szCs w:val="22"/>
          <w:u w:val="single"/>
        </w:rPr>
        <w:t>▲通过资格性审查与符合性审查的商务技术文件由评委进行综合评审，审查确认未通过的商务技术文件不予评审。</w:t>
      </w:r>
    </w:p>
    <w:p>
      <w:pPr>
        <w:numPr>
          <w:ilvl w:val="0"/>
          <w:numId w:val="31"/>
        </w:numPr>
        <w:tabs>
          <w:tab w:val="left" w:pos="540"/>
          <w:tab w:val="clear" w:pos="420"/>
        </w:tabs>
        <w:spacing w:line="460" w:lineRule="exact"/>
        <w:rPr>
          <w:rFonts w:ascii="宋体" w:hAnsi="宋体" w:cs="Arial"/>
          <w:b/>
          <w:color w:val="auto"/>
          <w:sz w:val="22"/>
          <w:szCs w:val="22"/>
        </w:rPr>
      </w:pPr>
      <w:r>
        <w:rPr>
          <w:rFonts w:hint="eastAsia" w:ascii="宋体" w:hAnsi="宋体" w:cs="Arial"/>
          <w:b/>
          <w:color w:val="auto"/>
          <w:sz w:val="22"/>
          <w:szCs w:val="22"/>
        </w:rPr>
        <w:t>无效标认定</w:t>
      </w:r>
    </w:p>
    <w:p>
      <w:pPr>
        <w:numPr>
          <w:ilvl w:val="1"/>
          <w:numId w:val="34"/>
        </w:numPr>
        <w:tabs>
          <w:tab w:val="left" w:pos="360"/>
          <w:tab w:val="clear" w:pos="992"/>
        </w:tabs>
        <w:spacing w:line="460" w:lineRule="exact"/>
        <w:ind w:left="640"/>
        <w:rPr>
          <w:rFonts w:ascii="宋体" w:hAnsi="宋体" w:cs="Arial"/>
          <w:b/>
          <w:bCs/>
          <w:color w:val="auto"/>
          <w:sz w:val="22"/>
          <w:szCs w:val="22"/>
          <w:u w:val="single"/>
        </w:rPr>
      </w:pPr>
      <w:r>
        <w:rPr>
          <w:rFonts w:hint="eastAsia" w:ascii="宋体" w:hAnsi="宋体" w:cs="Arial"/>
          <w:b/>
          <w:bCs/>
          <w:color w:val="auto"/>
          <w:sz w:val="22"/>
          <w:szCs w:val="22"/>
          <w:u w:val="single"/>
        </w:rPr>
        <w:t>▲在对各投标人的投标文件进行综合评审时，投标文件有下列情况之一的，经评标委员会认定后按无效标处理：</w:t>
      </w:r>
    </w:p>
    <w:p>
      <w:pPr>
        <w:numPr>
          <w:ilvl w:val="0"/>
          <w:numId w:val="35"/>
        </w:numPr>
        <w:spacing w:line="440" w:lineRule="exact"/>
        <w:rPr>
          <w:rFonts w:ascii="宋体" w:hAnsi="宋体" w:cs="宋体"/>
          <w:bCs/>
          <w:color w:val="auto"/>
          <w:kern w:val="0"/>
          <w:sz w:val="22"/>
          <w:szCs w:val="22"/>
          <w:u w:val="single"/>
        </w:rPr>
      </w:pPr>
      <w:r>
        <w:rPr>
          <w:rFonts w:hint="eastAsia" w:ascii="宋体" w:hAnsi="宋体" w:cs="宋体"/>
          <w:bCs/>
          <w:color w:val="auto"/>
          <w:kern w:val="0"/>
          <w:sz w:val="22"/>
          <w:szCs w:val="22"/>
          <w:u w:val="single"/>
        </w:rPr>
        <w:t>电子投标文件未按规定进行CA签章；</w:t>
      </w:r>
    </w:p>
    <w:p>
      <w:pPr>
        <w:numPr>
          <w:ilvl w:val="0"/>
          <w:numId w:val="35"/>
        </w:numPr>
        <w:spacing w:line="440" w:lineRule="exact"/>
        <w:rPr>
          <w:rFonts w:ascii="宋体" w:hAnsi="宋体" w:cs="宋体"/>
          <w:bCs/>
          <w:color w:val="auto"/>
          <w:kern w:val="0"/>
          <w:sz w:val="22"/>
          <w:szCs w:val="22"/>
          <w:u w:val="single"/>
        </w:rPr>
      </w:pPr>
      <w:r>
        <w:rPr>
          <w:rFonts w:hint="eastAsia" w:ascii="宋体" w:hAnsi="宋体" w:cs="宋体"/>
          <w:bCs/>
          <w:color w:val="auto"/>
          <w:kern w:val="0"/>
          <w:sz w:val="22"/>
          <w:szCs w:val="22"/>
          <w:u w:val="single"/>
        </w:rPr>
        <w:t>投标文件中要求投标人法定代表人或授权代表签字的地方无法定代表人签字或其授权代表签字的；</w:t>
      </w:r>
    </w:p>
    <w:p>
      <w:pPr>
        <w:numPr>
          <w:ilvl w:val="0"/>
          <w:numId w:val="35"/>
        </w:numPr>
        <w:spacing w:line="440" w:lineRule="exact"/>
        <w:rPr>
          <w:rFonts w:ascii="宋体" w:hAnsi="宋体" w:cs="宋体"/>
          <w:bCs/>
          <w:color w:val="auto"/>
          <w:kern w:val="0"/>
          <w:sz w:val="22"/>
          <w:szCs w:val="22"/>
          <w:u w:val="single"/>
        </w:rPr>
      </w:pPr>
      <w:r>
        <w:rPr>
          <w:rFonts w:hint="eastAsia" w:ascii="宋体" w:hAnsi="宋体" w:cs="宋体"/>
          <w:bCs/>
          <w:color w:val="auto"/>
          <w:kern w:val="0"/>
          <w:sz w:val="22"/>
          <w:szCs w:val="22"/>
          <w:u w:val="single"/>
        </w:rPr>
        <w:t>不具备招标文件中规定的资格要求的；</w:t>
      </w:r>
    </w:p>
    <w:p>
      <w:pPr>
        <w:numPr>
          <w:ilvl w:val="0"/>
          <w:numId w:val="35"/>
        </w:numPr>
        <w:spacing w:line="440" w:lineRule="exact"/>
        <w:rPr>
          <w:rFonts w:ascii="宋体" w:hAnsi="宋体" w:cs="宋体"/>
          <w:bCs/>
          <w:color w:val="auto"/>
          <w:kern w:val="0"/>
          <w:sz w:val="22"/>
          <w:szCs w:val="22"/>
          <w:u w:val="single"/>
        </w:rPr>
      </w:pPr>
      <w:r>
        <w:rPr>
          <w:rFonts w:hint="eastAsia" w:ascii="宋体" w:hAnsi="宋体" w:cs="宋体"/>
          <w:bCs/>
          <w:color w:val="auto"/>
          <w:kern w:val="0"/>
          <w:sz w:val="22"/>
          <w:szCs w:val="22"/>
          <w:u w:val="single"/>
        </w:rPr>
        <w:t>报价超过招标文件中规定的预算金额或者最高限价的；</w:t>
      </w:r>
    </w:p>
    <w:p>
      <w:pPr>
        <w:numPr>
          <w:ilvl w:val="0"/>
          <w:numId w:val="35"/>
        </w:numPr>
        <w:spacing w:line="440" w:lineRule="exact"/>
        <w:rPr>
          <w:rFonts w:ascii="宋体" w:hAnsi="宋体" w:cs="宋体"/>
          <w:bCs/>
          <w:color w:val="auto"/>
          <w:kern w:val="0"/>
          <w:sz w:val="22"/>
          <w:szCs w:val="22"/>
          <w:u w:val="single"/>
        </w:rPr>
      </w:pPr>
      <w:r>
        <w:rPr>
          <w:rFonts w:hint="eastAsia" w:ascii="宋体" w:hAnsi="宋体" w:cs="宋体"/>
          <w:bCs/>
          <w:color w:val="auto"/>
          <w:kern w:val="0"/>
          <w:sz w:val="22"/>
          <w:szCs w:val="22"/>
          <w:u w:val="single"/>
        </w:rPr>
        <w:t>投标文件含有采购人不能接受的附加条件的；</w:t>
      </w:r>
    </w:p>
    <w:p>
      <w:pPr>
        <w:numPr>
          <w:ilvl w:val="0"/>
          <w:numId w:val="35"/>
        </w:numPr>
        <w:spacing w:line="440" w:lineRule="exact"/>
        <w:rPr>
          <w:rFonts w:ascii="宋体" w:hAnsi="宋体" w:cs="宋体"/>
          <w:bCs/>
          <w:color w:val="auto"/>
          <w:kern w:val="0"/>
          <w:sz w:val="22"/>
          <w:szCs w:val="22"/>
          <w:u w:val="single"/>
        </w:rPr>
      </w:pPr>
      <w:r>
        <w:rPr>
          <w:rFonts w:hint="eastAsia" w:ascii="宋体" w:hAnsi="宋体" w:cs="宋体"/>
          <w:bCs/>
          <w:color w:val="auto"/>
          <w:kern w:val="0"/>
          <w:sz w:val="22"/>
          <w:szCs w:val="22"/>
          <w:u w:val="single"/>
        </w:rPr>
        <w:t>经评标委员会认定投标人串通投标的；</w:t>
      </w:r>
    </w:p>
    <w:p>
      <w:pPr>
        <w:numPr>
          <w:ilvl w:val="0"/>
          <w:numId w:val="35"/>
        </w:numPr>
        <w:spacing w:line="440" w:lineRule="exact"/>
        <w:rPr>
          <w:rFonts w:ascii="宋体" w:hAnsi="宋体" w:cs="宋体"/>
          <w:bCs/>
          <w:color w:val="auto"/>
          <w:kern w:val="0"/>
          <w:sz w:val="22"/>
          <w:szCs w:val="22"/>
          <w:u w:val="single"/>
        </w:rPr>
      </w:pPr>
      <w:r>
        <w:rPr>
          <w:rFonts w:hint="eastAsia" w:ascii="宋体" w:hAnsi="宋体" w:cs="宋体"/>
          <w:bCs/>
          <w:color w:val="auto"/>
          <w:kern w:val="0"/>
          <w:sz w:val="22"/>
          <w:szCs w:val="22"/>
          <w:u w:val="single"/>
        </w:rPr>
        <w:t>同时出现两种及以上不一致价格且修正后投标人不确认报价的；</w:t>
      </w:r>
    </w:p>
    <w:p>
      <w:pPr>
        <w:numPr>
          <w:ilvl w:val="0"/>
          <w:numId w:val="35"/>
        </w:numPr>
        <w:spacing w:line="440" w:lineRule="exact"/>
        <w:rPr>
          <w:rFonts w:ascii="宋体" w:hAnsi="宋体" w:cs="宋体"/>
          <w:bCs/>
          <w:color w:val="auto"/>
          <w:kern w:val="0"/>
          <w:sz w:val="22"/>
          <w:szCs w:val="22"/>
          <w:u w:val="single"/>
        </w:rPr>
      </w:pPr>
      <w:r>
        <w:rPr>
          <w:rFonts w:hint="eastAsia" w:ascii="宋体" w:hAnsi="宋体" w:cs="宋体"/>
          <w:bCs/>
          <w:color w:val="auto"/>
          <w:kern w:val="0"/>
          <w:sz w:val="22"/>
          <w:szCs w:val="22"/>
          <w:u w:val="single"/>
        </w:rPr>
        <w:t>报价明显低于其他通过符合性审查投标人的报价，且在评标现场合理的时间内不能证明其报价合理性的；</w:t>
      </w:r>
    </w:p>
    <w:p>
      <w:pPr>
        <w:numPr>
          <w:ilvl w:val="0"/>
          <w:numId w:val="35"/>
        </w:numPr>
        <w:spacing w:line="440" w:lineRule="exact"/>
        <w:rPr>
          <w:rFonts w:ascii="宋体" w:hAnsi="宋体" w:cs="宋体"/>
          <w:bCs/>
          <w:color w:val="auto"/>
          <w:kern w:val="0"/>
          <w:sz w:val="22"/>
          <w:szCs w:val="22"/>
          <w:u w:val="single"/>
        </w:rPr>
      </w:pPr>
      <w:r>
        <w:rPr>
          <w:rFonts w:hint="eastAsia" w:ascii="宋体" w:hAnsi="宋体" w:cs="宋体"/>
          <w:bCs/>
          <w:color w:val="auto"/>
          <w:kern w:val="0"/>
          <w:sz w:val="22"/>
          <w:szCs w:val="22"/>
          <w:u w:val="single"/>
        </w:rPr>
        <w:t>授权代表无法定代表人合法、有效委托的；</w:t>
      </w:r>
    </w:p>
    <w:p>
      <w:pPr>
        <w:numPr>
          <w:ilvl w:val="0"/>
          <w:numId w:val="35"/>
        </w:numPr>
        <w:spacing w:line="440" w:lineRule="exact"/>
        <w:rPr>
          <w:rFonts w:ascii="宋体" w:hAnsi="宋体" w:cs="宋体"/>
          <w:bCs/>
          <w:color w:val="auto"/>
          <w:kern w:val="0"/>
          <w:sz w:val="22"/>
          <w:szCs w:val="22"/>
          <w:u w:val="single"/>
        </w:rPr>
      </w:pPr>
      <w:r>
        <w:rPr>
          <w:rFonts w:hint="eastAsia" w:ascii="宋体" w:hAnsi="宋体" w:cs="宋体"/>
          <w:bCs/>
          <w:color w:val="auto"/>
          <w:sz w:val="22"/>
          <w:szCs w:val="22"/>
          <w:u w:val="single"/>
        </w:rPr>
        <w:t>规定时间内解密失败且经异常处理但政采云电子交易系统仍未能识别备份投标文件的；</w:t>
      </w:r>
    </w:p>
    <w:p>
      <w:pPr>
        <w:numPr>
          <w:ilvl w:val="0"/>
          <w:numId w:val="35"/>
        </w:numPr>
        <w:spacing w:line="440" w:lineRule="exact"/>
        <w:rPr>
          <w:rFonts w:ascii="宋体" w:hAnsi="宋体" w:cs="宋体"/>
          <w:bCs/>
          <w:color w:val="auto"/>
          <w:kern w:val="0"/>
          <w:sz w:val="22"/>
          <w:szCs w:val="22"/>
          <w:u w:val="single"/>
        </w:rPr>
      </w:pPr>
      <w:r>
        <w:rPr>
          <w:rFonts w:hint="eastAsia" w:ascii="宋体" w:hAnsi="宋体" w:cs="宋体"/>
          <w:bCs/>
          <w:color w:val="auto"/>
          <w:kern w:val="0"/>
          <w:sz w:val="22"/>
          <w:szCs w:val="22"/>
          <w:u w:val="single"/>
        </w:rPr>
        <w:t>评标委员会认定不符合法律、法规和招标文件中规定的其他实质性要求的。</w:t>
      </w:r>
    </w:p>
    <w:p>
      <w:pPr>
        <w:numPr>
          <w:ilvl w:val="1"/>
          <w:numId w:val="34"/>
        </w:numPr>
        <w:tabs>
          <w:tab w:val="left" w:pos="360"/>
          <w:tab w:val="clear" w:pos="992"/>
        </w:tabs>
        <w:spacing w:line="460" w:lineRule="exact"/>
        <w:ind w:left="640"/>
        <w:rPr>
          <w:rFonts w:ascii="宋体" w:hAnsi="宋体" w:cs="Arial"/>
          <w:color w:val="auto"/>
          <w:sz w:val="22"/>
          <w:szCs w:val="22"/>
        </w:rPr>
      </w:pPr>
      <w:r>
        <w:rPr>
          <w:rFonts w:hint="eastAsia" w:ascii="宋体" w:hAnsi="宋体" w:cs="Arial"/>
          <w:b/>
          <w:bCs/>
          <w:color w:val="auto"/>
          <w:sz w:val="22"/>
          <w:szCs w:val="22"/>
          <w:u w:val="single"/>
        </w:rPr>
        <w:t>▲评标委员会发现投标文件有下列情形之一的属于重大偏差(评标委员会按少数服从多数原则认定),按照无效投标处理：</w:t>
      </w:r>
    </w:p>
    <w:p>
      <w:pPr>
        <w:spacing w:line="460" w:lineRule="exact"/>
        <w:ind w:firstLine="418" w:firstLineChars="190"/>
        <w:rPr>
          <w:rFonts w:ascii="宋体" w:hAnsi="宋体" w:cs="宋体"/>
          <w:color w:val="auto"/>
          <w:kern w:val="0"/>
          <w:sz w:val="22"/>
          <w:szCs w:val="22"/>
          <w:u w:val="single"/>
        </w:rPr>
      </w:pPr>
      <w:r>
        <w:rPr>
          <w:rFonts w:hint="eastAsia" w:ascii="宋体" w:hAnsi="宋体" w:cs="宋体"/>
          <w:color w:val="auto"/>
          <w:kern w:val="0"/>
          <w:sz w:val="22"/>
          <w:szCs w:val="22"/>
          <w:u w:val="single"/>
        </w:rPr>
        <w:t>1）未按招标文件要求编制或字迹模糊、辨认不清的投标文件；</w:t>
      </w:r>
    </w:p>
    <w:p>
      <w:pPr>
        <w:spacing w:line="460" w:lineRule="exact"/>
        <w:ind w:firstLine="418" w:firstLineChars="190"/>
        <w:rPr>
          <w:rFonts w:ascii="宋体" w:hAnsi="宋体" w:cs="宋体"/>
          <w:color w:val="auto"/>
          <w:kern w:val="0"/>
          <w:sz w:val="22"/>
          <w:szCs w:val="22"/>
          <w:u w:val="single"/>
        </w:rPr>
      </w:pPr>
      <w:r>
        <w:rPr>
          <w:rFonts w:hint="eastAsia" w:ascii="宋体" w:hAnsi="宋体" w:cs="宋体"/>
          <w:color w:val="auto"/>
          <w:kern w:val="0"/>
          <w:sz w:val="22"/>
          <w:szCs w:val="22"/>
          <w:u w:val="single"/>
        </w:rPr>
        <w:t>2）出现明显不符合技术规格、技术标准的要求或不满足招标文件技术规格书中的主要参数的投标文件；</w:t>
      </w:r>
    </w:p>
    <w:p>
      <w:pPr>
        <w:spacing w:line="460" w:lineRule="exact"/>
        <w:ind w:firstLine="418" w:firstLineChars="190"/>
        <w:rPr>
          <w:rFonts w:ascii="宋体" w:hAnsi="宋体" w:cs="宋体"/>
          <w:color w:val="auto"/>
          <w:kern w:val="0"/>
          <w:sz w:val="22"/>
          <w:szCs w:val="22"/>
          <w:u w:val="single"/>
        </w:rPr>
      </w:pPr>
      <w:r>
        <w:rPr>
          <w:rFonts w:hint="eastAsia" w:ascii="宋体" w:hAnsi="宋体" w:cs="宋体"/>
          <w:color w:val="auto"/>
          <w:kern w:val="0"/>
          <w:sz w:val="22"/>
          <w:szCs w:val="22"/>
          <w:u w:val="single"/>
        </w:rPr>
        <w:t>3）出现投标项目数量与招标文件对比出现较大偏差；商务报价明细表计算错误，出现较大差错；</w:t>
      </w:r>
    </w:p>
    <w:p>
      <w:pPr>
        <w:spacing w:line="460" w:lineRule="exact"/>
        <w:ind w:firstLine="418" w:firstLineChars="190"/>
        <w:rPr>
          <w:rFonts w:ascii="宋体" w:hAnsi="宋体" w:cs="宋体"/>
          <w:color w:val="auto"/>
          <w:kern w:val="0"/>
          <w:sz w:val="22"/>
          <w:szCs w:val="22"/>
          <w:u w:val="single"/>
        </w:rPr>
      </w:pPr>
      <w:r>
        <w:rPr>
          <w:rFonts w:hint="eastAsia" w:ascii="宋体" w:hAnsi="宋体" w:cs="宋体"/>
          <w:color w:val="auto"/>
          <w:kern w:val="0"/>
          <w:sz w:val="22"/>
          <w:szCs w:val="22"/>
          <w:u w:val="single"/>
        </w:rPr>
        <w:t>4）出现其它不符合招标文件中规定的实质性要求的投标文件，是否为偏离实质性要求由评标委员会认定。</w:t>
      </w:r>
    </w:p>
    <w:p>
      <w:pPr>
        <w:numPr>
          <w:ilvl w:val="1"/>
          <w:numId w:val="34"/>
        </w:numPr>
        <w:tabs>
          <w:tab w:val="left" w:pos="360"/>
          <w:tab w:val="clear" w:pos="992"/>
        </w:tabs>
        <w:spacing w:line="460" w:lineRule="exact"/>
        <w:ind w:left="640"/>
        <w:rPr>
          <w:rFonts w:ascii="宋体" w:hAnsi="宋体" w:cs="Arial"/>
          <w:b/>
          <w:bCs/>
          <w:color w:val="auto"/>
          <w:sz w:val="22"/>
          <w:szCs w:val="22"/>
          <w:u w:val="single"/>
        </w:rPr>
      </w:pPr>
      <w:r>
        <w:rPr>
          <w:rFonts w:hint="eastAsia" w:ascii="宋体" w:hAnsi="宋体" w:cs="Arial"/>
          <w:b/>
          <w:bCs/>
          <w:color w:val="auto"/>
          <w:sz w:val="22"/>
          <w:szCs w:val="22"/>
          <w:u w:val="single"/>
        </w:rPr>
        <w:t>▲有下列情形之一的，视为投标人串通投标，其投标无效：</w:t>
      </w:r>
    </w:p>
    <w:p>
      <w:pPr>
        <w:spacing w:line="460" w:lineRule="exact"/>
        <w:ind w:firstLine="418" w:firstLineChars="190"/>
        <w:rPr>
          <w:rFonts w:ascii="宋体" w:hAnsi="宋体" w:cs="宋体"/>
          <w:color w:val="auto"/>
          <w:kern w:val="0"/>
          <w:sz w:val="22"/>
          <w:szCs w:val="22"/>
          <w:u w:val="single"/>
        </w:rPr>
      </w:pPr>
      <w:r>
        <w:rPr>
          <w:rFonts w:hint="eastAsia" w:ascii="宋体" w:hAnsi="宋体" w:cs="宋体"/>
          <w:color w:val="auto"/>
          <w:kern w:val="0"/>
          <w:sz w:val="22"/>
          <w:szCs w:val="22"/>
          <w:u w:val="single"/>
        </w:rPr>
        <w:t>1)不同投标人的投标文件由同一单位或者个人编制；</w:t>
      </w:r>
    </w:p>
    <w:p>
      <w:pPr>
        <w:spacing w:line="460" w:lineRule="exact"/>
        <w:ind w:firstLine="418" w:firstLineChars="190"/>
        <w:rPr>
          <w:rFonts w:ascii="宋体" w:hAnsi="宋体" w:cs="宋体"/>
          <w:color w:val="auto"/>
          <w:kern w:val="0"/>
          <w:sz w:val="22"/>
          <w:szCs w:val="22"/>
          <w:u w:val="single"/>
        </w:rPr>
      </w:pPr>
      <w:r>
        <w:rPr>
          <w:rFonts w:hint="eastAsia" w:ascii="宋体" w:hAnsi="宋体" w:cs="宋体"/>
          <w:color w:val="auto"/>
          <w:kern w:val="0"/>
          <w:sz w:val="22"/>
          <w:szCs w:val="22"/>
          <w:u w:val="single"/>
        </w:rPr>
        <w:t>2)不同投标人委托同一单位或者个人办理投标事宜；</w:t>
      </w:r>
    </w:p>
    <w:p>
      <w:pPr>
        <w:spacing w:line="460" w:lineRule="exact"/>
        <w:ind w:firstLine="418" w:firstLineChars="190"/>
        <w:rPr>
          <w:rFonts w:ascii="宋体" w:hAnsi="宋体" w:cs="宋体"/>
          <w:color w:val="auto"/>
          <w:kern w:val="0"/>
          <w:sz w:val="22"/>
          <w:szCs w:val="22"/>
          <w:u w:val="single"/>
        </w:rPr>
      </w:pPr>
      <w:r>
        <w:rPr>
          <w:rFonts w:hint="eastAsia" w:ascii="宋体" w:hAnsi="宋体" w:cs="宋体"/>
          <w:color w:val="auto"/>
          <w:kern w:val="0"/>
          <w:sz w:val="22"/>
          <w:szCs w:val="22"/>
          <w:u w:val="single"/>
        </w:rPr>
        <w:t>3)不同投标人的投标文件载明的项目管理成员或者联系人员为同一人；</w:t>
      </w:r>
    </w:p>
    <w:p>
      <w:pPr>
        <w:spacing w:line="460" w:lineRule="exact"/>
        <w:ind w:firstLine="418" w:firstLineChars="190"/>
        <w:rPr>
          <w:rFonts w:ascii="宋体" w:hAnsi="宋体" w:cs="宋体"/>
          <w:color w:val="auto"/>
          <w:kern w:val="0"/>
          <w:sz w:val="22"/>
          <w:szCs w:val="22"/>
          <w:u w:val="single"/>
        </w:rPr>
      </w:pPr>
      <w:r>
        <w:rPr>
          <w:rFonts w:hint="eastAsia" w:ascii="宋体" w:hAnsi="宋体" w:cs="宋体"/>
          <w:color w:val="auto"/>
          <w:kern w:val="0"/>
          <w:sz w:val="22"/>
          <w:szCs w:val="22"/>
          <w:u w:val="single"/>
        </w:rPr>
        <w:t>4）不同投标人的投标文件异常一致或者投标报价呈规律性差异；</w:t>
      </w:r>
    </w:p>
    <w:p>
      <w:pPr>
        <w:spacing w:line="460" w:lineRule="exact"/>
        <w:ind w:firstLine="418" w:firstLineChars="190"/>
        <w:rPr>
          <w:rFonts w:ascii="宋体" w:hAnsi="宋体" w:cs="宋体"/>
          <w:color w:val="auto"/>
          <w:kern w:val="0"/>
          <w:sz w:val="22"/>
          <w:szCs w:val="22"/>
          <w:u w:val="single"/>
        </w:rPr>
      </w:pPr>
      <w:r>
        <w:rPr>
          <w:rFonts w:hint="eastAsia" w:ascii="宋体" w:hAnsi="宋体" w:cs="宋体"/>
          <w:color w:val="auto"/>
          <w:kern w:val="0"/>
          <w:sz w:val="22"/>
          <w:szCs w:val="22"/>
          <w:u w:val="single"/>
        </w:rPr>
        <w:t>5）不同投标人的投标文件相互混装；</w:t>
      </w:r>
    </w:p>
    <w:p>
      <w:pPr>
        <w:numPr>
          <w:ilvl w:val="1"/>
          <w:numId w:val="34"/>
        </w:numPr>
        <w:tabs>
          <w:tab w:val="left" w:pos="360"/>
          <w:tab w:val="clear" w:pos="992"/>
        </w:tabs>
        <w:spacing w:line="460" w:lineRule="exact"/>
        <w:ind w:left="640"/>
        <w:rPr>
          <w:rFonts w:ascii="宋体" w:hAnsi="宋体" w:cs="Arial"/>
          <w:b/>
          <w:bCs/>
          <w:color w:val="auto"/>
          <w:sz w:val="22"/>
          <w:szCs w:val="22"/>
          <w:u w:val="single"/>
        </w:rPr>
      </w:pPr>
      <w:r>
        <w:rPr>
          <w:rFonts w:hint="eastAsia" w:ascii="宋体" w:hAnsi="宋体" w:cs="Arial"/>
          <w:b/>
          <w:bCs/>
          <w:color w:val="auto"/>
          <w:sz w:val="22"/>
          <w:szCs w:val="22"/>
          <w:u w:val="single"/>
        </w:rPr>
        <w:t>▲本项目采用政采云电子招投标开标及评审程序，如有以下情形之一的，按以下情况处理：</w:t>
      </w:r>
    </w:p>
    <w:p>
      <w:pPr>
        <w:numPr>
          <w:ilvl w:val="0"/>
          <w:numId w:val="36"/>
        </w:numPr>
        <w:spacing w:line="360" w:lineRule="auto"/>
        <w:rPr>
          <w:rFonts w:ascii="宋体" w:hAnsi="宋体" w:cs="宋体"/>
          <w:color w:val="auto"/>
          <w:sz w:val="22"/>
          <w:szCs w:val="22"/>
          <w:u w:val="single"/>
        </w:rPr>
      </w:pPr>
      <w:r>
        <w:rPr>
          <w:rFonts w:hint="eastAsia" w:ascii="宋体" w:hAnsi="宋体" w:cs="宋体"/>
          <w:color w:val="auto"/>
          <w:sz w:val="22"/>
          <w:szCs w:val="22"/>
          <w:u w:val="single"/>
        </w:rPr>
        <w:t>投标人在规定时间内无法解密或解密失败的作无效投标处理。解密成功的投标人不足三家的，本项目流标重新组织采购活动。</w:t>
      </w:r>
    </w:p>
    <w:p>
      <w:pPr>
        <w:numPr>
          <w:ilvl w:val="0"/>
          <w:numId w:val="36"/>
        </w:numPr>
        <w:spacing w:line="360" w:lineRule="auto"/>
        <w:rPr>
          <w:rFonts w:ascii="宋体" w:hAnsi="宋体" w:cs="宋体"/>
          <w:color w:val="auto"/>
          <w:sz w:val="22"/>
          <w:szCs w:val="22"/>
          <w:u w:val="single"/>
        </w:rPr>
      </w:pPr>
      <w:r>
        <w:rPr>
          <w:rFonts w:hint="eastAsia" w:ascii="宋体" w:hAnsi="宋体" w:cs="宋体"/>
          <w:color w:val="auto"/>
          <w:sz w:val="22"/>
          <w:szCs w:val="22"/>
          <w:u w:val="single"/>
        </w:rPr>
        <w:t>因政采云平台原因无法读取或电子开评标无法正常进行，采购机构将情况上报行业监管部门同意后，重新组织采购活动。</w:t>
      </w:r>
    </w:p>
    <w:p>
      <w:pPr>
        <w:numPr>
          <w:ilvl w:val="0"/>
          <w:numId w:val="36"/>
        </w:numPr>
        <w:spacing w:line="360" w:lineRule="auto"/>
        <w:rPr>
          <w:rFonts w:ascii="宋体" w:hAnsi="宋体" w:cs="宋体"/>
          <w:color w:val="auto"/>
          <w:sz w:val="22"/>
          <w:szCs w:val="22"/>
          <w:u w:val="single"/>
        </w:rPr>
      </w:pPr>
      <w:r>
        <w:rPr>
          <w:rFonts w:hint="eastAsia" w:ascii="宋体" w:hAnsi="宋体" w:cs="宋体"/>
          <w:color w:val="auto"/>
          <w:sz w:val="22"/>
          <w:szCs w:val="22"/>
          <w:u w:val="single"/>
        </w:rPr>
        <w:t>符合专业条件的投标人或者对招标文件作实质响应的投标人不足3家的，本次招标按废标处理，重新组织招标。</w:t>
      </w:r>
    </w:p>
    <w:p>
      <w:pPr>
        <w:numPr>
          <w:ilvl w:val="1"/>
          <w:numId w:val="34"/>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在详细评标之前，评标委员会要审查每份投标文件是否实质上响应了招标文件的要求。实质上响应的投标应该是与招标文件要求的全部条款、条件和规格基本相符。没有重大偏离。</w:t>
      </w:r>
    </w:p>
    <w:p>
      <w:pPr>
        <w:numPr>
          <w:ilvl w:val="1"/>
          <w:numId w:val="34"/>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实质上没有响应招标文件要求的投标将被否决，投标人不得通过修正或撤消不合要求的偏离或保留从而使其投标成为实质上响应的投标。</w:t>
      </w:r>
    </w:p>
    <w:p>
      <w:pPr>
        <w:numPr>
          <w:ilvl w:val="0"/>
          <w:numId w:val="31"/>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投标文件的澄清</w:t>
      </w:r>
    </w:p>
    <w:p>
      <w:pPr>
        <w:numPr>
          <w:ilvl w:val="1"/>
          <w:numId w:val="37"/>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凡属于评标小组在评标中发现的计算错误并进行核实的修改不在此列。</w:t>
      </w:r>
    </w:p>
    <w:p>
      <w:pPr>
        <w:numPr>
          <w:ilvl w:val="1"/>
          <w:numId w:val="37"/>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若投标文件中所提交的证书、证明等材料若出现已过有效期、时间或其他主要信息不明确，且投标人书面澄清（书面澄清仅限在投标文件递交截止时间前所提交投标文件及相关材料中未被评标委员会审查出的内容）亦不明确的，评审过程中将不予认可，不再寻求外部证据（外部证据包括投标人在澄清过程中申请补交的证明材料或网络查询结果等非投标文件本身内容）。</w:t>
      </w:r>
    </w:p>
    <w:p>
      <w:pPr>
        <w:numPr>
          <w:ilvl w:val="1"/>
          <w:numId w:val="37"/>
        </w:numPr>
        <w:tabs>
          <w:tab w:val="left" w:pos="360"/>
          <w:tab w:val="clear" w:pos="992"/>
        </w:tabs>
        <w:spacing w:line="460" w:lineRule="exact"/>
        <w:ind w:left="640"/>
        <w:rPr>
          <w:rFonts w:ascii="宋体" w:hAnsi="宋体" w:cs="Arial"/>
          <w:b/>
          <w:bCs/>
          <w:color w:val="auto"/>
          <w:sz w:val="22"/>
          <w:szCs w:val="22"/>
        </w:rPr>
      </w:pPr>
      <w:r>
        <w:rPr>
          <w:rFonts w:hint="eastAsia" w:ascii="宋体" w:hAnsi="宋体" w:cs="Arial"/>
          <w:b/>
          <w:bCs/>
          <w:color w:val="auto"/>
          <w:sz w:val="22"/>
          <w:szCs w:val="22"/>
        </w:rPr>
        <w:t>投标文件报价出现前后不一致的，除招标文件另有规定外，按照下列规定修正：</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1）</w:t>
      </w:r>
      <w:r>
        <w:rPr>
          <w:rFonts w:hint="eastAsia" w:ascii="宋体" w:hAnsi="宋体" w:cs="宋体"/>
          <w:color w:val="auto"/>
          <w:sz w:val="22"/>
        </w:rPr>
        <w:t>投标文件中开标一览表（报价表）内容与投标文件中相应内容不一致的，以开标一览表（报价表）为准</w:t>
      </w:r>
      <w:r>
        <w:rPr>
          <w:rFonts w:hint="eastAsia" w:ascii="宋体" w:hAnsi="宋体" w:cs="宋体"/>
          <w:color w:val="auto"/>
          <w:kern w:val="0"/>
          <w:sz w:val="22"/>
          <w:szCs w:val="22"/>
        </w:rPr>
        <w:t>。</w:t>
      </w:r>
    </w:p>
    <w:p>
      <w:pPr>
        <w:spacing w:line="460" w:lineRule="exact"/>
        <w:ind w:firstLine="418" w:firstLineChars="190"/>
        <w:rPr>
          <w:rFonts w:ascii="宋体" w:hAnsi="宋体" w:cs="宋体"/>
          <w:color w:val="auto"/>
          <w:sz w:val="22"/>
        </w:rPr>
      </w:pPr>
      <w:r>
        <w:rPr>
          <w:rFonts w:hint="eastAsia" w:ascii="宋体" w:hAnsi="宋体" w:cs="宋体"/>
          <w:color w:val="auto"/>
          <w:kern w:val="0"/>
          <w:sz w:val="22"/>
          <w:szCs w:val="22"/>
        </w:rPr>
        <w:t>2）</w:t>
      </w:r>
      <w:r>
        <w:rPr>
          <w:rFonts w:hint="eastAsia" w:ascii="宋体" w:hAnsi="宋体" w:cs="宋体"/>
          <w:color w:val="auto"/>
          <w:sz w:val="22"/>
        </w:rPr>
        <w:t>大写金额和小写金额不一致的，以大写金额为准。</w:t>
      </w:r>
    </w:p>
    <w:p>
      <w:pPr>
        <w:spacing w:line="460" w:lineRule="exact"/>
        <w:ind w:firstLine="418" w:firstLineChars="190"/>
        <w:rPr>
          <w:rFonts w:ascii="宋体" w:hAnsi="宋体" w:cs="宋体"/>
          <w:color w:val="auto"/>
          <w:sz w:val="22"/>
        </w:rPr>
      </w:pPr>
      <w:r>
        <w:rPr>
          <w:rFonts w:hint="eastAsia" w:ascii="宋体" w:hAnsi="宋体" w:cs="宋体"/>
          <w:color w:val="auto"/>
          <w:sz w:val="22"/>
        </w:rPr>
        <w:t>3）单价金额小数点或者百分比有明显错位的，以开标一览表的总价为准，并修改单价。</w:t>
      </w:r>
    </w:p>
    <w:p>
      <w:pPr>
        <w:spacing w:line="460" w:lineRule="exact"/>
        <w:ind w:firstLine="418" w:firstLineChars="190"/>
        <w:rPr>
          <w:rFonts w:ascii="宋体" w:hAnsi="宋体" w:cs="宋体"/>
          <w:color w:val="auto"/>
          <w:sz w:val="22"/>
        </w:rPr>
      </w:pPr>
      <w:r>
        <w:rPr>
          <w:rFonts w:hint="eastAsia" w:ascii="宋体" w:hAnsi="宋体" w:cs="宋体"/>
          <w:color w:val="auto"/>
          <w:sz w:val="22"/>
        </w:rPr>
        <w:t>4）总价金额与按单价汇总金额不一致的，以单价金额计算结果为准。</w:t>
      </w:r>
    </w:p>
    <w:p>
      <w:pPr>
        <w:spacing w:line="460" w:lineRule="exact"/>
        <w:ind w:firstLine="418" w:firstLineChars="190"/>
        <w:rPr>
          <w:rFonts w:ascii="宋体" w:hAnsi="宋体" w:cs="宋体"/>
          <w:b/>
          <w:bCs/>
          <w:color w:val="auto"/>
          <w:sz w:val="22"/>
        </w:rPr>
      </w:pPr>
      <w:r>
        <w:rPr>
          <w:rFonts w:hint="eastAsia" w:ascii="宋体" w:hAnsi="宋体" w:cs="宋体"/>
          <w:color w:val="auto"/>
          <w:sz w:val="22"/>
        </w:rPr>
        <w:t>5）</w:t>
      </w:r>
      <w:r>
        <w:rPr>
          <w:rFonts w:hint="eastAsia" w:ascii="宋体" w:hAnsi="宋体" w:cs="宋体"/>
          <w:b/>
          <w:bCs/>
          <w:color w:val="auto"/>
          <w:sz w:val="22"/>
        </w:rPr>
        <w:t>同时出现两种以上不一致的，按照前款规定的顺序修正。修正后的报价按照本招标文件规定经投标人确认后产生约束力，投标人不确认的，其投标无效。</w:t>
      </w:r>
    </w:p>
    <w:p>
      <w:pPr>
        <w:numPr>
          <w:ilvl w:val="1"/>
          <w:numId w:val="37"/>
        </w:numPr>
        <w:tabs>
          <w:tab w:val="left" w:pos="360"/>
          <w:tab w:val="clear" w:pos="992"/>
        </w:tabs>
        <w:spacing w:line="460" w:lineRule="exact"/>
        <w:ind w:left="640"/>
        <w:rPr>
          <w:rFonts w:ascii="宋体" w:hAnsi="宋体" w:cs="Arial"/>
          <w:b/>
          <w:bCs/>
          <w:color w:val="auto"/>
          <w:sz w:val="22"/>
          <w:szCs w:val="22"/>
        </w:rPr>
      </w:pPr>
      <w:r>
        <w:rPr>
          <w:rFonts w:hint="eastAsia" w:ascii="宋体" w:hAnsi="宋体" w:cs="宋体"/>
          <w:color w:val="auto"/>
          <w:kern w:val="0"/>
          <w:sz w:val="22"/>
          <w:szCs w:val="22"/>
        </w:rPr>
        <w:t>▲</w:t>
      </w:r>
      <w:r>
        <w:rPr>
          <w:rFonts w:hint="eastAsia" w:ascii="宋体" w:hAnsi="宋体" w:cs="宋体"/>
          <w:b/>
          <w:bCs/>
          <w:color w:val="auto"/>
          <w:kern w:val="0"/>
          <w:sz w:val="22"/>
          <w:szCs w:val="22"/>
        </w:rPr>
        <w:t>评标委员会认为投标人的报价明显低于其他通过符合性审查投标人的报价，有可能影响产品质</w:t>
      </w:r>
      <w:r>
        <w:rPr>
          <w:rFonts w:hint="eastAsia" w:ascii="宋体" w:hAnsi="宋体" w:cs="Arial"/>
          <w:b/>
          <w:bCs/>
          <w:color w:val="auto"/>
          <w:sz w:val="22"/>
          <w:szCs w:val="22"/>
        </w:rPr>
        <w:t>量或者不能诚信履约的，将要求其在合理时间内在“政采云平台”上作出在线澄清并提供书面说明，必要时提交相关证明材料；投标人不能证明其报价合理性的，评标委员会应当将其作为无效投标处理。</w:t>
      </w:r>
    </w:p>
    <w:p>
      <w:pPr>
        <w:numPr>
          <w:ilvl w:val="1"/>
          <w:numId w:val="37"/>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如果投标人代表拒绝按评标委员会要求在“政采云平台”作出在线回复且无其他有效回复方式的，评标委员会可以对其作出否决投标处理。</w:t>
      </w:r>
    </w:p>
    <w:p>
      <w:pPr>
        <w:numPr>
          <w:ilvl w:val="1"/>
          <w:numId w:val="37"/>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经澄清后，若偏差仍存在，且不可接受，则投标文件将被认定为“没有实质性响应招标文件要求”，按无效投标处理，不再进入下一步评审。</w:t>
      </w:r>
    </w:p>
    <w:p>
      <w:pPr>
        <w:numPr>
          <w:ilvl w:val="0"/>
          <w:numId w:val="31"/>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评标原则和评标办法</w:t>
      </w:r>
    </w:p>
    <w:p>
      <w:pPr>
        <w:numPr>
          <w:ilvl w:val="1"/>
          <w:numId w:val="38"/>
        </w:numPr>
        <w:tabs>
          <w:tab w:val="left" w:pos="360"/>
          <w:tab w:val="clear" w:pos="992"/>
        </w:tabs>
        <w:spacing w:line="460" w:lineRule="exact"/>
        <w:ind w:left="418" w:leftChars="-68" w:hanging="561" w:hangingChars="255"/>
        <w:rPr>
          <w:rFonts w:ascii="宋体" w:hAnsi="宋体" w:cs="Arial"/>
          <w:color w:val="auto"/>
          <w:sz w:val="22"/>
          <w:szCs w:val="22"/>
        </w:rPr>
      </w:pPr>
      <w:r>
        <w:rPr>
          <w:rFonts w:hint="eastAsia" w:ascii="宋体" w:hAnsi="宋体" w:cs="Arial"/>
          <w:color w:val="auto"/>
          <w:sz w:val="22"/>
          <w:szCs w:val="22"/>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pPr>
        <w:numPr>
          <w:ilvl w:val="1"/>
          <w:numId w:val="38"/>
        </w:numPr>
        <w:tabs>
          <w:tab w:val="left" w:pos="360"/>
          <w:tab w:val="clear" w:pos="992"/>
        </w:tabs>
        <w:spacing w:line="460" w:lineRule="exact"/>
        <w:ind w:left="418" w:leftChars="-68" w:hanging="561" w:hangingChars="255"/>
        <w:rPr>
          <w:rFonts w:ascii="宋体" w:hAnsi="宋体" w:cs="Arial"/>
          <w:color w:val="auto"/>
          <w:sz w:val="22"/>
          <w:szCs w:val="22"/>
        </w:rPr>
      </w:pPr>
      <w:r>
        <w:rPr>
          <w:rFonts w:hint="eastAsia" w:ascii="宋体" w:hAnsi="宋体" w:cs="Arial"/>
          <w:color w:val="auto"/>
          <w:sz w:val="22"/>
          <w:szCs w:val="22"/>
        </w:rPr>
        <w:t>评标中因评标委员会成员缺席、回避或者健康等特殊原因导致评标委员会组成不符合规定的，依法补足后继续评标。被更换的评标委员会成员所作出的评标意见无效。</w:t>
      </w:r>
    </w:p>
    <w:p>
      <w:pPr>
        <w:numPr>
          <w:ilvl w:val="1"/>
          <w:numId w:val="38"/>
        </w:numPr>
        <w:tabs>
          <w:tab w:val="left" w:pos="360"/>
          <w:tab w:val="clear" w:pos="992"/>
        </w:tabs>
        <w:spacing w:line="460" w:lineRule="exact"/>
        <w:ind w:left="418" w:leftChars="-68" w:hanging="561" w:hangingChars="255"/>
        <w:rPr>
          <w:rFonts w:ascii="宋体" w:hAnsi="宋体" w:cs="Arial"/>
          <w:color w:val="auto"/>
          <w:sz w:val="22"/>
          <w:szCs w:val="22"/>
        </w:rPr>
      </w:pPr>
      <w:r>
        <w:rPr>
          <w:rFonts w:hint="eastAsia" w:ascii="宋体" w:hAnsi="宋体" w:cs="Arial"/>
          <w:color w:val="auto"/>
          <w:sz w:val="22"/>
          <w:szCs w:val="22"/>
        </w:rPr>
        <w:t>评标委员会成员对需要共同认定的事项存在争议的，应当按照少数服从多数的原则作出结论。持不同意见的评标委员会成员应当在评标报告上签署不同意见及理由，否则视为同意评标报告。</w:t>
      </w:r>
    </w:p>
    <w:p>
      <w:pPr>
        <w:numPr>
          <w:ilvl w:val="1"/>
          <w:numId w:val="38"/>
        </w:numPr>
        <w:tabs>
          <w:tab w:val="left" w:pos="360"/>
          <w:tab w:val="clear" w:pos="992"/>
        </w:tabs>
        <w:spacing w:line="460" w:lineRule="exact"/>
        <w:ind w:left="418" w:leftChars="-68" w:hanging="561" w:hangingChars="255"/>
        <w:rPr>
          <w:rFonts w:ascii="宋体" w:hAnsi="宋体" w:cs="Arial"/>
          <w:color w:val="auto"/>
          <w:sz w:val="22"/>
          <w:szCs w:val="22"/>
        </w:rPr>
      </w:pPr>
      <w:r>
        <w:rPr>
          <w:rFonts w:hint="eastAsia" w:ascii="宋体" w:hAnsi="宋体" w:cs="Arial"/>
          <w:color w:val="auto"/>
          <w:sz w:val="22"/>
          <w:szCs w:val="22"/>
        </w:rPr>
        <w:t>本项目评标办法是综合评分法，具体评标内容及评分标准等详见第三部分“评标原则及方法”。</w:t>
      </w:r>
    </w:p>
    <w:p>
      <w:pPr>
        <w:numPr>
          <w:ilvl w:val="1"/>
          <w:numId w:val="38"/>
        </w:numPr>
        <w:tabs>
          <w:tab w:val="left" w:pos="360"/>
          <w:tab w:val="clear" w:pos="992"/>
        </w:tabs>
        <w:spacing w:line="460" w:lineRule="exact"/>
        <w:ind w:left="418" w:leftChars="-68" w:hanging="561" w:hangingChars="255"/>
        <w:rPr>
          <w:rFonts w:ascii="宋体" w:hAnsi="宋体" w:cs="Arial"/>
          <w:color w:val="auto"/>
          <w:sz w:val="22"/>
          <w:szCs w:val="22"/>
        </w:rPr>
      </w:pPr>
      <w:r>
        <w:rPr>
          <w:rFonts w:hint="eastAsia" w:ascii="宋体" w:hAnsi="宋体" w:cs="Arial"/>
          <w:color w:val="auto"/>
          <w:sz w:val="22"/>
          <w:szCs w:val="22"/>
        </w:rPr>
        <w:t>评标过程中遇到特殊情况，由评标委员会遵循公开、公正原则，采取投票方式按照少数服从多数原则决定。</w:t>
      </w:r>
    </w:p>
    <w:p>
      <w:pPr>
        <w:numPr>
          <w:ilvl w:val="0"/>
          <w:numId w:val="31"/>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确定中标候选人</w:t>
      </w:r>
    </w:p>
    <w:p>
      <w:pPr>
        <w:numPr>
          <w:ilvl w:val="1"/>
          <w:numId w:val="39"/>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本次招标由评标委员会推荐中标候选人，采购人根据评标委员会的推荐结果进行最终确认。</w:t>
      </w:r>
    </w:p>
    <w:p>
      <w:pPr>
        <w:numPr>
          <w:ilvl w:val="1"/>
          <w:numId w:val="39"/>
        </w:numPr>
        <w:tabs>
          <w:tab w:val="left" w:pos="360"/>
          <w:tab w:val="clear" w:pos="992"/>
        </w:tabs>
        <w:spacing w:line="460" w:lineRule="exact"/>
        <w:ind w:left="640"/>
        <w:rPr>
          <w:rFonts w:ascii="宋体" w:hAnsi="宋体" w:cs="宋体"/>
          <w:color w:val="auto"/>
          <w:kern w:val="0"/>
          <w:sz w:val="22"/>
          <w:szCs w:val="22"/>
        </w:rPr>
      </w:pPr>
      <w:r>
        <w:rPr>
          <w:rFonts w:hint="eastAsia" w:ascii="宋体" w:hAnsi="宋体" w:cs="Arial"/>
          <w:color w:val="auto"/>
          <w:sz w:val="22"/>
          <w:szCs w:val="22"/>
        </w:rPr>
        <w:t>评标委员会依据法律、法规及采购文件有关规定在有效标中按投标人的综合得分（商务技术分</w:t>
      </w:r>
      <w:r>
        <w:rPr>
          <w:rFonts w:hint="eastAsia" w:ascii="宋体" w:hAnsi="宋体" w:cs="宋体"/>
          <w:b/>
          <w:bCs/>
          <w:color w:val="auto"/>
          <w:kern w:val="0"/>
          <w:sz w:val="22"/>
          <w:szCs w:val="22"/>
        </w:rPr>
        <w:t>及报价分之各）高低进行排序，综合得分前二名投标人依次作为第一中标候选人和第二中标候选人向采购人推荐，并提交评标报告。综合得分相同的以报价分得分高的优先；综合得分相同且报价分得分相同的，由评标委员会随机抽签决定排序。</w:t>
      </w:r>
    </w:p>
    <w:p>
      <w:pPr>
        <w:numPr>
          <w:ilvl w:val="1"/>
          <w:numId w:val="39"/>
        </w:numPr>
        <w:tabs>
          <w:tab w:val="left" w:pos="360"/>
          <w:tab w:val="clear" w:pos="992"/>
        </w:tabs>
        <w:spacing w:line="460" w:lineRule="exact"/>
        <w:ind w:left="640"/>
        <w:rPr>
          <w:rFonts w:ascii="宋体" w:hAnsi="宋体" w:cs="Arial"/>
          <w:color w:val="auto"/>
          <w:sz w:val="22"/>
          <w:szCs w:val="22"/>
        </w:rPr>
      </w:pPr>
      <w:r>
        <w:rPr>
          <w:rFonts w:hint="eastAsia" w:ascii="宋体" w:hAnsi="宋体" w:cs="Arial"/>
          <w:b/>
          <w:bCs/>
          <w:color w:val="auto"/>
          <w:sz w:val="22"/>
          <w:szCs w:val="22"/>
          <w:u w:val="single"/>
        </w:rPr>
        <w:t>若出现以下情形之一，采购人可视具体情况确定是否由备选中标人为中标人或重新组织招标：</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1）中标候选人放弃中标资格；</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2）中标候选人因不可抗力提出不能履行合同；</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3）中标候选人未能在规定时间内与采购单位签订合同；</w:t>
      </w:r>
    </w:p>
    <w:p>
      <w:pPr>
        <w:spacing w:line="460" w:lineRule="exact"/>
        <w:ind w:firstLine="418" w:firstLineChars="190"/>
        <w:rPr>
          <w:rFonts w:ascii="宋体" w:hAnsi="宋体" w:cs="宋体"/>
          <w:color w:val="auto"/>
          <w:kern w:val="0"/>
          <w:sz w:val="22"/>
          <w:szCs w:val="22"/>
        </w:rPr>
      </w:pPr>
      <w:r>
        <w:rPr>
          <w:rFonts w:hint="eastAsia" w:ascii="宋体" w:hAnsi="宋体" w:cs="宋体"/>
          <w:color w:val="auto"/>
          <w:kern w:val="0"/>
          <w:sz w:val="22"/>
          <w:szCs w:val="22"/>
        </w:rPr>
        <w:t>4）经质疑，采购人审查后，中标候选人确实在本次采购活动中存在违法违规行为或其他原因使质疑成立的。</w:t>
      </w:r>
    </w:p>
    <w:p>
      <w:pPr>
        <w:numPr>
          <w:ilvl w:val="1"/>
          <w:numId w:val="39"/>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采购人、采购代理机构及评标委员会对未中标的投标人不作解释。</w:t>
      </w:r>
    </w:p>
    <w:p>
      <w:pPr>
        <w:numPr>
          <w:ilvl w:val="0"/>
          <w:numId w:val="31"/>
        </w:numPr>
        <w:tabs>
          <w:tab w:val="left" w:pos="540"/>
          <w:tab w:val="clear" w:pos="420"/>
        </w:tabs>
        <w:spacing w:line="460" w:lineRule="exact"/>
        <w:rPr>
          <w:rFonts w:ascii="宋体" w:hAnsi="宋体" w:cs="Arial"/>
          <w:bCs/>
          <w:color w:val="auto"/>
          <w:sz w:val="22"/>
          <w:szCs w:val="22"/>
        </w:rPr>
      </w:pPr>
      <w:bookmarkStart w:id="142" w:name="_Toc34221901"/>
      <w:bookmarkStart w:id="143" w:name="_Toc34508136"/>
      <w:bookmarkStart w:id="144" w:name="_Toc306613654"/>
      <w:r>
        <w:rPr>
          <w:rFonts w:hint="eastAsia" w:ascii="宋体" w:hAnsi="宋体" w:cs="Arial"/>
          <w:bCs/>
          <w:color w:val="auto"/>
          <w:sz w:val="22"/>
          <w:szCs w:val="22"/>
        </w:rPr>
        <w:t xml:space="preserve"> 可中止电子交易活动的情形</w:t>
      </w:r>
    </w:p>
    <w:p>
      <w:pPr>
        <w:numPr>
          <w:ilvl w:val="1"/>
          <w:numId w:val="40"/>
        </w:numPr>
        <w:tabs>
          <w:tab w:val="left" w:pos="640"/>
          <w:tab w:val="clear" w:pos="992"/>
        </w:tabs>
        <w:spacing w:line="460" w:lineRule="exact"/>
        <w:ind w:left="640"/>
        <w:rPr>
          <w:rFonts w:ascii="宋体" w:hAnsi="宋体" w:cs="Arial"/>
          <w:b/>
          <w:bCs/>
          <w:color w:val="auto"/>
          <w:sz w:val="22"/>
          <w:szCs w:val="22"/>
        </w:rPr>
      </w:pPr>
      <w:r>
        <w:rPr>
          <w:rFonts w:hint="eastAsia" w:ascii="宋体" w:hAnsi="宋体" w:cs="Arial"/>
          <w:b/>
          <w:bCs/>
          <w:color w:val="auto"/>
          <w:sz w:val="22"/>
          <w:szCs w:val="22"/>
        </w:rPr>
        <w:t>采购过程中出现以下情形，导致电子交易平台无法正常运行，或者无法保证电子交易的公平、公正和安全时，采购组织机构可中止电子交易活动：</w:t>
      </w:r>
    </w:p>
    <w:p>
      <w:pPr>
        <w:numPr>
          <w:ilvl w:val="2"/>
          <w:numId w:val="41"/>
        </w:numPr>
        <w:tabs>
          <w:tab w:val="left" w:pos="993"/>
        </w:tabs>
        <w:spacing w:line="460" w:lineRule="exact"/>
        <w:ind w:left="993" w:hanging="426"/>
        <w:rPr>
          <w:rFonts w:ascii="宋体" w:hAnsi="宋体" w:cs="宋体"/>
          <w:color w:val="auto"/>
          <w:kern w:val="0"/>
          <w:sz w:val="22"/>
          <w:szCs w:val="22"/>
        </w:rPr>
      </w:pPr>
      <w:r>
        <w:rPr>
          <w:rFonts w:hint="eastAsia" w:ascii="宋体" w:hAnsi="宋体" w:cs="宋体"/>
          <w:color w:val="auto"/>
          <w:kern w:val="0"/>
          <w:sz w:val="22"/>
          <w:szCs w:val="22"/>
        </w:rPr>
        <w:t>电子交易平台发生故障而无法登录访问的；</w:t>
      </w:r>
    </w:p>
    <w:p>
      <w:pPr>
        <w:numPr>
          <w:ilvl w:val="2"/>
          <w:numId w:val="41"/>
        </w:numPr>
        <w:tabs>
          <w:tab w:val="left" w:pos="993"/>
        </w:tabs>
        <w:spacing w:line="460" w:lineRule="exact"/>
        <w:ind w:left="993" w:hanging="426"/>
        <w:rPr>
          <w:rFonts w:ascii="宋体" w:hAnsi="宋体" w:cs="宋体"/>
          <w:color w:val="auto"/>
          <w:kern w:val="0"/>
          <w:sz w:val="22"/>
          <w:szCs w:val="22"/>
        </w:rPr>
      </w:pPr>
      <w:r>
        <w:rPr>
          <w:rFonts w:hint="eastAsia" w:ascii="宋体" w:hAnsi="宋体" w:cs="宋体"/>
          <w:color w:val="auto"/>
          <w:kern w:val="0"/>
          <w:sz w:val="22"/>
          <w:szCs w:val="22"/>
        </w:rPr>
        <w:t>电子交易平台应用或数据库出现错误，不能进行正常操作的；</w:t>
      </w:r>
    </w:p>
    <w:p>
      <w:pPr>
        <w:numPr>
          <w:ilvl w:val="2"/>
          <w:numId w:val="41"/>
        </w:numPr>
        <w:tabs>
          <w:tab w:val="left" w:pos="993"/>
        </w:tabs>
        <w:spacing w:line="460" w:lineRule="exact"/>
        <w:ind w:left="993" w:hanging="426"/>
        <w:rPr>
          <w:rFonts w:ascii="宋体" w:hAnsi="宋体" w:cs="宋体"/>
          <w:color w:val="auto"/>
          <w:kern w:val="0"/>
          <w:sz w:val="22"/>
          <w:szCs w:val="22"/>
        </w:rPr>
      </w:pPr>
      <w:r>
        <w:rPr>
          <w:rFonts w:hint="eastAsia" w:ascii="宋体" w:hAnsi="宋体" w:cs="宋体"/>
          <w:color w:val="auto"/>
          <w:kern w:val="0"/>
          <w:sz w:val="22"/>
          <w:szCs w:val="22"/>
        </w:rPr>
        <w:t>电子交易平台发现严重安全漏洞，有潜在泄密危险的；</w:t>
      </w:r>
    </w:p>
    <w:p>
      <w:pPr>
        <w:numPr>
          <w:ilvl w:val="2"/>
          <w:numId w:val="41"/>
        </w:numPr>
        <w:tabs>
          <w:tab w:val="left" w:pos="993"/>
        </w:tabs>
        <w:spacing w:line="460" w:lineRule="exact"/>
        <w:ind w:left="993" w:hanging="426"/>
        <w:rPr>
          <w:rFonts w:ascii="宋体" w:hAnsi="宋体" w:cs="宋体"/>
          <w:color w:val="auto"/>
          <w:kern w:val="0"/>
          <w:sz w:val="22"/>
          <w:szCs w:val="22"/>
        </w:rPr>
      </w:pPr>
      <w:r>
        <w:rPr>
          <w:rFonts w:hint="eastAsia" w:ascii="宋体" w:hAnsi="宋体" w:cs="宋体"/>
          <w:color w:val="auto"/>
          <w:kern w:val="0"/>
          <w:sz w:val="22"/>
          <w:szCs w:val="22"/>
        </w:rPr>
        <w:t>病毒发作导致不能进行正常操作的；</w:t>
      </w:r>
    </w:p>
    <w:p>
      <w:pPr>
        <w:numPr>
          <w:ilvl w:val="2"/>
          <w:numId w:val="41"/>
        </w:numPr>
        <w:tabs>
          <w:tab w:val="left" w:pos="993"/>
        </w:tabs>
        <w:spacing w:line="460" w:lineRule="exact"/>
        <w:ind w:left="993" w:hanging="426"/>
        <w:rPr>
          <w:rFonts w:ascii="宋体" w:hAnsi="宋体" w:cs="宋体"/>
          <w:color w:val="auto"/>
          <w:kern w:val="0"/>
          <w:sz w:val="22"/>
          <w:szCs w:val="22"/>
        </w:rPr>
      </w:pPr>
      <w:r>
        <w:rPr>
          <w:rFonts w:hint="eastAsia" w:ascii="宋体" w:hAnsi="宋体" w:cs="宋体"/>
          <w:color w:val="auto"/>
          <w:kern w:val="0"/>
          <w:sz w:val="22"/>
          <w:szCs w:val="22"/>
        </w:rPr>
        <w:t>其他无法保证电子交易的公平、公正和安全的情况。</w:t>
      </w:r>
    </w:p>
    <w:p>
      <w:pPr>
        <w:numPr>
          <w:ilvl w:val="1"/>
          <w:numId w:val="40"/>
        </w:numPr>
        <w:tabs>
          <w:tab w:val="left" w:pos="64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出现前款规定情形，不影响采购公平、公正性的，采购组织机构可以待上述情形消除后继续组织电子交易活动；影响或可能影响采购公平、公正性的，应当重新采购。</w:t>
      </w:r>
    </w:p>
    <w:p>
      <w:pPr>
        <w:pStyle w:val="2"/>
        <w:ind w:left="420"/>
        <w:jc w:val="center"/>
        <w:rPr>
          <w:rFonts w:ascii="宋体" w:hAnsi="宋体"/>
          <w:color w:val="auto"/>
          <w:sz w:val="26"/>
          <w:szCs w:val="26"/>
        </w:rPr>
      </w:pPr>
      <w:bookmarkStart w:id="145" w:name="_Toc7414"/>
      <w:r>
        <w:rPr>
          <w:rFonts w:hint="eastAsia" w:ascii="宋体" w:hAnsi="宋体"/>
          <w:color w:val="auto"/>
          <w:sz w:val="26"/>
          <w:szCs w:val="26"/>
        </w:rPr>
        <w:t xml:space="preserve">八、 </w:t>
      </w:r>
      <w:bookmarkStart w:id="146" w:name="_Toc32607"/>
      <w:r>
        <w:rPr>
          <w:rFonts w:hint="eastAsia" w:ascii="宋体" w:hAnsi="宋体"/>
          <w:color w:val="auto"/>
          <w:sz w:val="26"/>
          <w:szCs w:val="26"/>
        </w:rPr>
        <w:t>授予合同</w:t>
      </w:r>
      <w:bookmarkEnd w:id="142"/>
      <w:bookmarkEnd w:id="143"/>
      <w:bookmarkEnd w:id="144"/>
      <w:bookmarkEnd w:id="145"/>
      <w:bookmarkEnd w:id="146"/>
    </w:p>
    <w:p>
      <w:pPr>
        <w:numPr>
          <w:ilvl w:val="0"/>
          <w:numId w:val="42"/>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确定中标人</w:t>
      </w:r>
    </w:p>
    <w:p>
      <w:pPr>
        <w:numPr>
          <w:ilvl w:val="1"/>
          <w:numId w:val="43"/>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采购人自收到评标报告之日起5个工作日内，在评标报告确定的中标候选人名单中按顺序确定中标人。</w:t>
      </w:r>
    </w:p>
    <w:p>
      <w:pPr>
        <w:numPr>
          <w:ilvl w:val="1"/>
          <w:numId w:val="43"/>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中标人确定之日起2个工作日内，在“政采云”平台上公示中标结果，中标公告期限为1个工作日；</w:t>
      </w:r>
    </w:p>
    <w:p>
      <w:pPr>
        <w:numPr>
          <w:ilvl w:val="1"/>
          <w:numId w:val="43"/>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在公告中标结果的同时，采购人向中标人发出中标通知书。</w:t>
      </w:r>
    </w:p>
    <w:p>
      <w:pPr>
        <w:numPr>
          <w:ilvl w:val="1"/>
          <w:numId w:val="43"/>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各投标人对评标结果如有异议，可在中标结果公示之日起7个工作日内以书面形式向采购人进行署名投诉或提出质疑，但需对投诉或质疑内容的真实性承担法律责任。</w:t>
      </w:r>
    </w:p>
    <w:p>
      <w:pPr>
        <w:numPr>
          <w:ilvl w:val="0"/>
          <w:numId w:val="42"/>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签订合同</w:t>
      </w:r>
    </w:p>
    <w:p>
      <w:pPr>
        <w:numPr>
          <w:ilvl w:val="1"/>
          <w:numId w:val="44"/>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公示期结束后，中标人须在5个工作日内主动联系采购人或采购机构领取中标通知书。中标人应当在中标通知书发出之日起30日内与采购人签订合同。中标人未经采购人许可，在规定时间内未到采购人处与采购人签订合同，则视为拒签合同。</w:t>
      </w:r>
    </w:p>
    <w:p>
      <w:pPr>
        <w:numPr>
          <w:ilvl w:val="1"/>
          <w:numId w:val="44"/>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招标文件、中标人的投标文件及投标修改文件、评标过程中有关澄清文件及经双方签字的询标纪要（承诺）和中标通知书均作为合同附件。</w:t>
      </w:r>
    </w:p>
    <w:p>
      <w:pPr>
        <w:numPr>
          <w:ilvl w:val="1"/>
          <w:numId w:val="44"/>
        </w:numPr>
        <w:tabs>
          <w:tab w:val="left" w:pos="360"/>
          <w:tab w:val="clear" w:pos="992"/>
        </w:tabs>
        <w:spacing w:line="460" w:lineRule="exact"/>
        <w:ind w:left="640"/>
        <w:rPr>
          <w:rFonts w:ascii="宋体" w:hAnsi="宋体" w:cs="Arial"/>
          <w:b/>
          <w:bCs/>
          <w:color w:val="auto"/>
          <w:sz w:val="22"/>
          <w:szCs w:val="22"/>
        </w:rPr>
      </w:pPr>
      <w:r>
        <w:rPr>
          <w:rFonts w:hint="eastAsia" w:ascii="宋体" w:hAnsi="宋体" w:cs="Arial"/>
          <w:b/>
          <w:bCs/>
          <w:color w:val="auto"/>
          <w:sz w:val="22"/>
          <w:szCs w:val="22"/>
        </w:rPr>
        <w:t>中标投标人应在合同签订后2个工作日内提交一份合同文本扫描件报招标代理机构备案。</w:t>
      </w:r>
    </w:p>
    <w:p>
      <w:pPr>
        <w:numPr>
          <w:ilvl w:val="1"/>
          <w:numId w:val="44"/>
        </w:numPr>
        <w:tabs>
          <w:tab w:val="left" w:pos="360"/>
          <w:tab w:val="clear" w:pos="992"/>
        </w:tabs>
        <w:spacing w:line="460" w:lineRule="exact"/>
        <w:ind w:left="640"/>
        <w:rPr>
          <w:rFonts w:ascii="宋体" w:hAnsi="宋体" w:cs="Arial"/>
          <w:color w:val="auto"/>
          <w:sz w:val="22"/>
          <w:szCs w:val="22"/>
        </w:rPr>
      </w:pPr>
      <w:r>
        <w:rPr>
          <w:rFonts w:hint="eastAsia" w:ascii="宋体" w:hAnsi="宋体" w:cs="Arial"/>
          <w:color w:val="auto"/>
          <w:sz w:val="22"/>
          <w:szCs w:val="22"/>
        </w:rPr>
        <w:t>中标人在规定时间内（30日历天）借故否认已经承诺的条件、拒签合同，以投标违约处理，并赔偿采购人由此造成的直接经济损失；采购人重新组织招标的，所需费用由原中标人承担。</w:t>
      </w:r>
    </w:p>
    <w:p>
      <w:pPr>
        <w:numPr>
          <w:ilvl w:val="0"/>
          <w:numId w:val="42"/>
        </w:numPr>
        <w:tabs>
          <w:tab w:val="left" w:pos="540"/>
          <w:tab w:val="clear" w:pos="420"/>
        </w:tabs>
        <w:spacing w:line="460" w:lineRule="exact"/>
        <w:rPr>
          <w:rFonts w:ascii="宋体" w:hAnsi="宋体" w:cs="Arial"/>
          <w:bCs/>
          <w:color w:val="auto"/>
          <w:sz w:val="22"/>
          <w:szCs w:val="22"/>
        </w:rPr>
      </w:pPr>
      <w:r>
        <w:rPr>
          <w:rFonts w:hint="eastAsia" w:ascii="宋体" w:hAnsi="宋体" w:cs="Arial"/>
          <w:b/>
          <w:color w:val="auto"/>
          <w:sz w:val="22"/>
          <w:szCs w:val="22"/>
        </w:rPr>
        <w:t>根据《浙江省财政厅关于明确政府采购保证金管理工作的通知》（浙财采监〔2019〕5号）规定“供应商在政府采购活动中违反政府采购相关规定给采购组织机构造成损失的，采购组织机构可按照采购文件约定要求供应商承担赔偿责任。”的规定，对因</w:t>
      </w:r>
      <w:r>
        <w:rPr>
          <w:rFonts w:hint="eastAsia" w:ascii="宋体" w:hAnsi="宋体" w:cs="宋体"/>
          <w:b/>
          <w:color w:val="auto"/>
          <w:kern w:val="0"/>
          <w:sz w:val="22"/>
          <w:szCs w:val="22"/>
        </w:rPr>
        <w:t>违法违规行为或其他原因取消</w:t>
      </w:r>
      <w:r>
        <w:rPr>
          <w:rFonts w:hint="eastAsia" w:ascii="宋体" w:hAnsi="宋体" w:cs="Arial"/>
          <w:b/>
          <w:color w:val="auto"/>
          <w:sz w:val="22"/>
          <w:szCs w:val="22"/>
        </w:rPr>
        <w:t>中标（成交）资格，或自愿放弃中标（成交）资格的供应商，需承担代理费和专家评审费等费用。</w:t>
      </w:r>
    </w:p>
    <w:p>
      <w:pPr>
        <w:pStyle w:val="2"/>
        <w:ind w:left="420"/>
        <w:jc w:val="center"/>
        <w:rPr>
          <w:rFonts w:ascii="宋体" w:hAnsi="宋体"/>
          <w:color w:val="auto"/>
          <w:sz w:val="26"/>
          <w:szCs w:val="26"/>
        </w:rPr>
      </w:pPr>
      <w:bookmarkStart w:id="147" w:name="_Toc22702"/>
      <w:bookmarkStart w:id="148" w:name="_Toc25540"/>
      <w:bookmarkStart w:id="149" w:name="_Toc18423"/>
      <w:r>
        <w:rPr>
          <w:rFonts w:hint="eastAsia" w:ascii="宋体" w:hAnsi="宋体"/>
          <w:color w:val="auto"/>
          <w:sz w:val="26"/>
          <w:szCs w:val="26"/>
        </w:rPr>
        <w:t>九、验收</w:t>
      </w:r>
      <w:bookmarkEnd w:id="147"/>
      <w:bookmarkEnd w:id="148"/>
      <w:bookmarkEnd w:id="149"/>
    </w:p>
    <w:p>
      <w:pPr>
        <w:numPr>
          <w:ilvl w:val="0"/>
          <w:numId w:val="45"/>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numPr>
          <w:ilvl w:val="0"/>
          <w:numId w:val="45"/>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采购人可以邀请参加本项目的其他供应商或者第三方机构参与验收。参与验收的供应商或者第三方机构的意见作为验收书的参考资料一并存档。</w:t>
      </w:r>
    </w:p>
    <w:p>
      <w:pPr>
        <w:numPr>
          <w:ilvl w:val="0"/>
          <w:numId w:val="45"/>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条件挂钩。履约验收的各项资料应当存档备查。</w:t>
      </w:r>
    </w:p>
    <w:p>
      <w:pPr>
        <w:numPr>
          <w:ilvl w:val="0"/>
          <w:numId w:val="45"/>
        </w:numPr>
        <w:tabs>
          <w:tab w:val="left" w:pos="540"/>
          <w:tab w:val="clear" w:pos="420"/>
        </w:tabs>
        <w:spacing w:line="460" w:lineRule="exact"/>
        <w:rPr>
          <w:rFonts w:ascii="宋体" w:hAnsi="宋体" w:cs="Arial"/>
          <w:bCs/>
          <w:color w:val="auto"/>
          <w:sz w:val="22"/>
          <w:szCs w:val="22"/>
        </w:rPr>
      </w:pPr>
      <w:r>
        <w:rPr>
          <w:rFonts w:hint="eastAsia" w:ascii="宋体" w:hAnsi="宋体" w:cs="Arial"/>
          <w:bCs/>
          <w:color w:val="auto"/>
          <w:sz w:val="22"/>
          <w:szCs w:val="22"/>
        </w:rPr>
        <w:t>验收合格的项目，采购人将根据采购合同的约定及时向供应商支付采购资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numPr>
          <w:ilvl w:val="0"/>
          <w:numId w:val="45"/>
        </w:numPr>
        <w:tabs>
          <w:tab w:val="left" w:pos="540"/>
          <w:tab w:val="clear" w:pos="420"/>
        </w:tabs>
        <w:spacing w:line="460" w:lineRule="exact"/>
        <w:rPr>
          <w:rFonts w:ascii="宋体" w:hAnsi="宋体" w:cs="Arial"/>
          <w:b/>
          <w:color w:val="auto"/>
          <w:sz w:val="22"/>
          <w:szCs w:val="22"/>
        </w:rPr>
      </w:pPr>
      <w:bookmarkStart w:id="150" w:name="_Hlt74729768"/>
      <w:bookmarkEnd w:id="150"/>
      <w:bookmarkStart w:id="151" w:name="_Hlt75236101"/>
      <w:bookmarkEnd w:id="151"/>
      <w:bookmarkStart w:id="152" w:name="_Hlt74707468"/>
      <w:bookmarkEnd w:id="152"/>
      <w:bookmarkStart w:id="153" w:name="_Hlt68057669"/>
      <w:bookmarkEnd w:id="153"/>
      <w:bookmarkStart w:id="154" w:name="_Hlt75236011"/>
      <w:bookmarkEnd w:id="154"/>
      <w:bookmarkStart w:id="155" w:name="_Hlt68073093"/>
      <w:bookmarkEnd w:id="155"/>
      <w:bookmarkStart w:id="156" w:name="_Hlt68072998"/>
      <w:bookmarkEnd w:id="156"/>
      <w:bookmarkStart w:id="157" w:name="_Hlt75236290"/>
      <w:bookmarkEnd w:id="157"/>
      <w:bookmarkStart w:id="158" w:name="_Hlt68072990"/>
      <w:bookmarkEnd w:id="158"/>
      <w:bookmarkStart w:id="159" w:name="_Hlt74730295"/>
      <w:bookmarkEnd w:id="159"/>
      <w:bookmarkStart w:id="160" w:name="_Hlt68403820"/>
      <w:bookmarkEnd w:id="160"/>
      <w:bookmarkStart w:id="161" w:name="_Hlt74714665"/>
      <w:bookmarkEnd w:id="161"/>
      <w:r>
        <w:rPr>
          <w:rFonts w:hint="eastAsia" w:ascii="宋体" w:hAnsi="宋体" w:cs="Arial"/>
          <w:b/>
          <w:color w:val="auto"/>
          <w:sz w:val="22"/>
          <w:szCs w:val="22"/>
        </w:rPr>
        <w:t>履约验收费用由供应商承担，因供应商原因造成验收不通过的，再次验收的费用仍由供应商承担。如采用简易验收的，则不需要支付该笔费用。</w:t>
      </w:r>
    </w:p>
    <w:p>
      <w:pPr>
        <w:pStyle w:val="4"/>
        <w:rPr>
          <w:color w:val="auto"/>
        </w:rPr>
      </w:pPr>
    </w:p>
    <w:p>
      <w:pPr>
        <w:pStyle w:val="25"/>
        <w:rPr>
          <w:color w:val="auto"/>
        </w:rPr>
      </w:pPr>
    </w:p>
    <w:p>
      <w:pPr>
        <w:pStyle w:val="77"/>
        <w:rPr>
          <w:rFonts w:ascii="宋体" w:hAnsi="宋体"/>
          <w:color w:val="auto"/>
          <w:sz w:val="22"/>
          <w:szCs w:val="22"/>
        </w:rPr>
      </w:pPr>
    </w:p>
    <w:p>
      <w:pPr>
        <w:widowControl/>
        <w:spacing w:before="60" w:after="60" w:line="400" w:lineRule="exact"/>
        <w:ind w:left="424" w:leftChars="202" w:right="60" w:firstLine="440" w:firstLineChars="200"/>
        <w:jc w:val="center"/>
        <w:rPr>
          <w:rFonts w:ascii="宋体" w:hAnsi="宋体"/>
          <w:color w:val="auto"/>
          <w:sz w:val="22"/>
          <w:szCs w:val="22"/>
        </w:rPr>
      </w:pPr>
    </w:p>
    <w:p>
      <w:pPr>
        <w:widowControl/>
        <w:spacing w:before="60" w:after="60" w:line="400" w:lineRule="exact"/>
        <w:ind w:left="424" w:leftChars="202" w:right="60" w:firstLine="440" w:firstLineChars="200"/>
        <w:jc w:val="center"/>
        <w:rPr>
          <w:rStyle w:val="78"/>
          <w:rFonts w:ascii="宋体" w:hAnsi="宋体" w:eastAsia="宋体" w:cs="宋体"/>
          <w:color w:val="auto"/>
          <w:sz w:val="36"/>
          <w:szCs w:val="36"/>
        </w:rPr>
      </w:pPr>
      <w:r>
        <w:rPr>
          <w:rFonts w:hint="eastAsia" w:ascii="宋体" w:hAnsi="宋体"/>
          <w:color w:val="auto"/>
          <w:sz w:val="22"/>
          <w:szCs w:val="22"/>
        </w:rPr>
        <w:br w:type="page"/>
      </w:r>
      <w:bookmarkStart w:id="162" w:name="_Toc19245"/>
      <w:bookmarkStart w:id="163" w:name="_Toc221374629"/>
      <w:bookmarkStart w:id="164" w:name="_Toc249758867"/>
      <w:bookmarkStart w:id="165" w:name="_Toc262105506"/>
      <w:bookmarkStart w:id="166" w:name="_Toc221356954"/>
      <w:bookmarkStart w:id="167" w:name="_Toc245722284"/>
      <w:bookmarkStart w:id="168" w:name="_Toc246261268"/>
      <w:bookmarkStart w:id="169" w:name="_Toc221356890"/>
      <w:bookmarkStart w:id="170" w:name="_Toc239145357"/>
      <w:bookmarkStart w:id="171" w:name="_Toc245191317"/>
      <w:bookmarkStart w:id="172" w:name="_Toc262049421"/>
      <w:bookmarkStart w:id="173" w:name="_Toc241404205"/>
      <w:bookmarkStart w:id="174" w:name="_Toc221423622"/>
      <w:bookmarkStart w:id="175" w:name="_Toc249758715"/>
      <w:bookmarkStart w:id="176" w:name="_Toc223716001"/>
      <w:bookmarkStart w:id="177" w:name="_Toc222114882"/>
      <w:r>
        <w:rPr>
          <w:rStyle w:val="78"/>
          <w:rFonts w:hint="eastAsia" w:ascii="宋体" w:hAnsi="宋体" w:eastAsia="宋体" w:cs="宋体"/>
          <w:color w:val="auto"/>
          <w:sz w:val="36"/>
          <w:szCs w:val="36"/>
        </w:rPr>
        <w:t>第二部分   招标内容及要求</w:t>
      </w:r>
    </w:p>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Pr>
        <w:spacing w:after="120" w:line="360" w:lineRule="auto"/>
        <w:rPr>
          <w:rFonts w:ascii="宋体" w:hAnsi="宋体" w:cs="宋体"/>
          <w:b/>
          <w:bCs/>
          <w:color w:val="auto"/>
          <w:kern w:val="0"/>
          <w:sz w:val="22"/>
          <w:szCs w:val="22"/>
        </w:rPr>
      </w:pPr>
      <w:bookmarkStart w:id="178" w:name="_Toc58438895"/>
      <w:bookmarkStart w:id="179" w:name="_Toc249758718"/>
      <w:bookmarkStart w:id="180" w:name="_Toc245191319"/>
      <w:bookmarkStart w:id="181" w:name="_Toc262105509"/>
      <w:bookmarkStart w:id="182" w:name="_Toc249758870"/>
      <w:bookmarkStart w:id="183" w:name="_Toc221356892"/>
      <w:bookmarkStart w:id="184" w:name="_Toc222114884"/>
      <w:bookmarkStart w:id="185" w:name="_Toc221356956"/>
      <w:bookmarkStart w:id="186" w:name="_Toc246261270"/>
      <w:bookmarkStart w:id="187" w:name="_Toc223716003"/>
      <w:bookmarkStart w:id="188" w:name="_Toc221374631"/>
      <w:bookmarkStart w:id="189" w:name="_Toc262049424"/>
      <w:bookmarkStart w:id="190" w:name="_Toc221423624"/>
      <w:bookmarkStart w:id="191" w:name="_Toc239145359"/>
      <w:bookmarkStart w:id="192" w:name="_Toc241404207"/>
      <w:bookmarkStart w:id="193" w:name="_Toc249758719"/>
      <w:bookmarkStart w:id="194" w:name="_Toc245722286"/>
    </w:p>
    <w:bookmarkEnd w:id="178"/>
    <w:p>
      <w:pPr>
        <w:numPr>
          <w:ilvl w:val="0"/>
          <w:numId w:val="46"/>
        </w:numPr>
        <w:spacing w:after="120" w:line="400" w:lineRule="exact"/>
        <w:rPr>
          <w:rFonts w:ascii="宋体" w:hAnsi="宋体" w:cs="宋体"/>
          <w:b/>
          <w:bCs/>
          <w:color w:val="auto"/>
          <w:kern w:val="0"/>
          <w:sz w:val="28"/>
          <w:szCs w:val="28"/>
        </w:rPr>
      </w:pPr>
      <w:r>
        <w:rPr>
          <w:rFonts w:hint="eastAsia" w:ascii="宋体" w:hAnsi="宋体" w:cs="宋体"/>
          <w:b/>
          <w:bCs/>
          <w:color w:val="auto"/>
          <w:kern w:val="0"/>
          <w:sz w:val="28"/>
          <w:szCs w:val="28"/>
        </w:rPr>
        <w:t>服务内容清单</w:t>
      </w:r>
    </w:p>
    <w:tbl>
      <w:tblPr>
        <w:tblStyle w:val="64"/>
        <w:tblW w:w="500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1"/>
        <w:gridCol w:w="68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522" w:type="pct"/>
            <w:vAlign w:val="center"/>
          </w:tcPr>
          <w:p>
            <w:pPr>
              <w:pStyle w:val="4"/>
              <w:outlineLvl w:val="0"/>
              <w:rPr>
                <w:rFonts w:ascii="宋体" w:hAnsi="宋体" w:eastAsia="宋体" w:cs="宋体"/>
                <w:color w:val="auto"/>
                <w:sz w:val="22"/>
                <w:szCs w:val="22"/>
              </w:rPr>
            </w:pPr>
            <w:bookmarkStart w:id="195" w:name="_Toc22893"/>
            <w:r>
              <w:rPr>
                <w:rFonts w:hint="eastAsia" w:ascii="宋体" w:hAnsi="宋体" w:eastAsia="宋体" w:cs="宋体"/>
                <w:color w:val="auto"/>
                <w:sz w:val="22"/>
                <w:szCs w:val="22"/>
              </w:rPr>
              <w:t>序号</w:t>
            </w:r>
            <w:bookmarkEnd w:id="195"/>
          </w:p>
        </w:tc>
        <w:tc>
          <w:tcPr>
            <w:tcW w:w="3477" w:type="pct"/>
            <w:vAlign w:val="center"/>
          </w:tcPr>
          <w:p>
            <w:pPr>
              <w:pStyle w:val="4"/>
              <w:outlineLvl w:val="0"/>
              <w:rPr>
                <w:rFonts w:ascii="宋体" w:hAnsi="宋体" w:eastAsia="宋体" w:cs="宋体"/>
                <w:color w:val="auto"/>
                <w:sz w:val="22"/>
                <w:szCs w:val="22"/>
              </w:rPr>
            </w:pPr>
            <w:bookmarkStart w:id="196" w:name="_Toc14691"/>
            <w:r>
              <w:rPr>
                <w:rFonts w:hint="eastAsia" w:ascii="宋体" w:hAnsi="宋体" w:eastAsia="宋体" w:cs="宋体"/>
                <w:color w:val="auto"/>
                <w:sz w:val="22"/>
                <w:szCs w:val="22"/>
              </w:rPr>
              <w:t>服务内容</w:t>
            </w:r>
            <w:bookmarkEnd w:id="19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522" w:type="pct"/>
            <w:vAlign w:val="center"/>
          </w:tcPr>
          <w:p>
            <w:pPr>
              <w:pStyle w:val="4"/>
              <w:outlineLvl w:val="0"/>
              <w:rPr>
                <w:rFonts w:ascii="宋体" w:hAnsi="宋体" w:eastAsia="宋体" w:cs="宋体"/>
                <w:b w:val="0"/>
                <w:bCs w:val="0"/>
                <w:color w:val="auto"/>
                <w:sz w:val="22"/>
                <w:szCs w:val="22"/>
              </w:rPr>
            </w:pPr>
            <w:bookmarkStart w:id="197" w:name="_Toc1425"/>
            <w:r>
              <w:rPr>
                <w:rFonts w:hint="eastAsia" w:ascii="宋体" w:hAnsi="宋体" w:eastAsia="宋体" w:cs="宋体"/>
                <w:b w:val="0"/>
                <w:bCs w:val="0"/>
                <w:color w:val="auto"/>
                <w:sz w:val="22"/>
                <w:szCs w:val="22"/>
              </w:rPr>
              <w:t>1</w:t>
            </w:r>
            <w:bookmarkEnd w:id="197"/>
          </w:p>
        </w:tc>
        <w:tc>
          <w:tcPr>
            <w:tcW w:w="3477" w:type="pct"/>
            <w:vAlign w:val="center"/>
          </w:tcPr>
          <w:p>
            <w:pPr>
              <w:pStyle w:val="4"/>
              <w:outlineLvl w:val="0"/>
              <w:rPr>
                <w:rFonts w:ascii="宋体" w:hAnsi="宋体" w:eastAsia="宋体" w:cs="宋体"/>
                <w:b w:val="0"/>
                <w:bCs w:val="0"/>
                <w:color w:val="auto"/>
                <w:sz w:val="22"/>
                <w:szCs w:val="22"/>
              </w:rPr>
            </w:pPr>
            <w:bookmarkStart w:id="198" w:name="_Toc30792"/>
            <w:r>
              <w:rPr>
                <w:rFonts w:hint="eastAsia" w:ascii="宋体" w:hAnsi="宋体" w:eastAsia="宋体" w:cs="宋体"/>
                <w:b w:val="0"/>
                <w:bCs w:val="0"/>
                <w:color w:val="auto"/>
                <w:sz w:val="22"/>
                <w:szCs w:val="22"/>
              </w:rPr>
              <w:t>信息化技术外包服务</w:t>
            </w:r>
            <w:bookmarkEnd w:id="19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522" w:type="pct"/>
            <w:vAlign w:val="center"/>
          </w:tcPr>
          <w:p>
            <w:pPr>
              <w:pStyle w:val="4"/>
              <w:outlineLvl w:val="0"/>
              <w:rPr>
                <w:rFonts w:ascii="宋体" w:hAnsi="宋体" w:eastAsia="宋体" w:cs="宋体"/>
                <w:b w:val="0"/>
                <w:bCs w:val="0"/>
                <w:color w:val="auto"/>
                <w:sz w:val="22"/>
                <w:szCs w:val="22"/>
              </w:rPr>
            </w:pPr>
            <w:bookmarkStart w:id="199" w:name="_Toc2068"/>
            <w:r>
              <w:rPr>
                <w:rFonts w:hint="eastAsia" w:ascii="宋体" w:hAnsi="宋体" w:eastAsia="宋体" w:cs="宋体"/>
                <w:b w:val="0"/>
                <w:bCs w:val="0"/>
                <w:color w:val="auto"/>
                <w:sz w:val="22"/>
                <w:szCs w:val="22"/>
              </w:rPr>
              <w:t>2</w:t>
            </w:r>
            <w:bookmarkEnd w:id="199"/>
          </w:p>
        </w:tc>
        <w:tc>
          <w:tcPr>
            <w:tcW w:w="3477" w:type="pct"/>
            <w:vAlign w:val="center"/>
          </w:tcPr>
          <w:p>
            <w:pPr>
              <w:pStyle w:val="4"/>
              <w:outlineLvl w:val="0"/>
              <w:rPr>
                <w:rFonts w:ascii="宋体" w:hAnsi="宋体" w:eastAsia="宋体" w:cs="宋体"/>
                <w:b w:val="0"/>
                <w:bCs w:val="0"/>
                <w:color w:val="auto"/>
                <w:sz w:val="22"/>
                <w:szCs w:val="22"/>
              </w:rPr>
            </w:pPr>
            <w:bookmarkStart w:id="200" w:name="_Toc6092"/>
            <w:r>
              <w:rPr>
                <w:rFonts w:hint="eastAsia" w:ascii="宋体" w:hAnsi="宋体" w:eastAsia="宋体" w:cs="宋体"/>
                <w:b w:val="0"/>
                <w:bCs w:val="0"/>
                <w:snapToGrid w:val="0"/>
                <w:color w:val="auto"/>
                <w:kern w:val="0"/>
                <w:sz w:val="22"/>
                <w:szCs w:val="22"/>
              </w:rPr>
              <w:t>智慧交通专网及云服务器租用</w:t>
            </w:r>
            <w:bookmarkEnd w:id="20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522" w:type="pct"/>
            <w:vAlign w:val="center"/>
          </w:tcPr>
          <w:p>
            <w:pPr>
              <w:pStyle w:val="4"/>
              <w:outlineLvl w:val="0"/>
              <w:rPr>
                <w:rFonts w:ascii="宋体" w:hAnsi="宋体" w:eastAsia="宋体" w:cs="宋体"/>
                <w:b w:val="0"/>
                <w:bCs w:val="0"/>
                <w:color w:val="auto"/>
                <w:sz w:val="22"/>
                <w:szCs w:val="22"/>
              </w:rPr>
            </w:pPr>
            <w:bookmarkStart w:id="201" w:name="_Toc1660"/>
            <w:r>
              <w:rPr>
                <w:rFonts w:hint="eastAsia" w:ascii="宋体" w:hAnsi="宋体" w:eastAsia="宋体" w:cs="宋体"/>
                <w:b w:val="0"/>
                <w:bCs w:val="0"/>
                <w:color w:val="auto"/>
                <w:sz w:val="22"/>
                <w:szCs w:val="22"/>
              </w:rPr>
              <w:t>3</w:t>
            </w:r>
            <w:bookmarkEnd w:id="201"/>
          </w:p>
        </w:tc>
        <w:tc>
          <w:tcPr>
            <w:tcW w:w="3477" w:type="pct"/>
            <w:vAlign w:val="center"/>
          </w:tcPr>
          <w:p>
            <w:pPr>
              <w:pStyle w:val="4"/>
              <w:outlineLvl w:val="0"/>
              <w:rPr>
                <w:rFonts w:ascii="宋体" w:hAnsi="宋体" w:eastAsia="宋体" w:cs="宋体"/>
                <w:b w:val="0"/>
                <w:bCs w:val="0"/>
                <w:color w:val="auto"/>
                <w:sz w:val="22"/>
                <w:szCs w:val="22"/>
              </w:rPr>
            </w:pPr>
            <w:r>
              <w:rPr>
                <w:rFonts w:hint="eastAsia" w:ascii="宋体" w:hAnsi="宋体" w:eastAsia="宋体" w:cs="宋体"/>
                <w:b w:val="0"/>
                <w:bCs w:val="0"/>
                <w:color w:val="auto"/>
                <w:sz w:val="22"/>
                <w:szCs w:val="22"/>
              </w:rPr>
              <w:t>数据中心灾备服务</w:t>
            </w:r>
          </w:p>
        </w:tc>
      </w:tr>
    </w:tbl>
    <w:p>
      <w:pPr>
        <w:pStyle w:val="4"/>
        <w:jc w:val="both"/>
        <w:rPr>
          <w:color w:val="auto"/>
        </w:rPr>
      </w:pPr>
    </w:p>
    <w:p>
      <w:pPr>
        <w:numPr>
          <w:ilvl w:val="0"/>
          <w:numId w:val="46"/>
        </w:numPr>
        <w:spacing w:after="120" w:line="400" w:lineRule="exact"/>
        <w:rPr>
          <w:rFonts w:ascii="宋体" w:hAnsi="宋体" w:cs="宋体"/>
          <w:b/>
          <w:bCs/>
          <w:color w:val="auto"/>
          <w:kern w:val="0"/>
          <w:sz w:val="28"/>
          <w:szCs w:val="28"/>
        </w:rPr>
      </w:pPr>
      <w:r>
        <w:rPr>
          <w:rFonts w:hint="eastAsia" w:ascii="宋体" w:hAnsi="宋体" w:cs="宋体"/>
          <w:b/>
          <w:bCs/>
          <w:color w:val="auto"/>
          <w:kern w:val="0"/>
          <w:sz w:val="28"/>
          <w:szCs w:val="28"/>
        </w:rPr>
        <w:t>信息化技术外包服务详细内容及要求</w:t>
      </w:r>
    </w:p>
    <w:p>
      <w:pPr>
        <w:snapToGrid w:val="0"/>
        <w:spacing w:line="400" w:lineRule="exact"/>
        <w:ind w:firstLine="440" w:firstLineChars="200"/>
        <w:rPr>
          <w:rFonts w:ascii="宋体" w:hAnsi="宋体" w:cs="宋体"/>
          <w:color w:val="auto"/>
          <w:sz w:val="22"/>
          <w:szCs w:val="22"/>
        </w:rPr>
      </w:pPr>
      <w:r>
        <w:rPr>
          <w:rFonts w:hint="eastAsia" w:ascii="宋体" w:hAnsi="宋体" w:cs="宋体"/>
          <w:color w:val="auto"/>
          <w:sz w:val="22"/>
          <w:szCs w:val="22"/>
        </w:rPr>
        <w:t>信息化技术外包服务是为温州市交通运输局及其直属的市交通</w:t>
      </w:r>
      <w:r>
        <w:rPr>
          <w:rFonts w:hint="eastAsia" w:ascii="宋体" w:hAnsi="宋体" w:cs="宋体"/>
          <w:color w:val="auto"/>
          <w:sz w:val="22"/>
          <w:szCs w:val="22"/>
          <w:highlight w:val="none"/>
        </w:rPr>
        <w:t>综合</w:t>
      </w:r>
      <w:r>
        <w:rPr>
          <w:rFonts w:hint="eastAsia" w:ascii="宋体" w:hAnsi="宋体" w:cs="宋体"/>
          <w:color w:val="auto"/>
          <w:sz w:val="22"/>
          <w:szCs w:val="22"/>
        </w:rPr>
        <w:t>行政执法队、市公路与运输管理中心、市港航管理中心、市交通工程管理中心（以下简称：局与一队三中心）提供信息化技术外包服务。项目的内容主要包括：交通数据中心管理与运维保障，系统安全管理，系统设备、系统集成及网络管理、业务系统运维保障、信息化项目管理、信息化终端设备管理维护等工作。</w:t>
      </w:r>
    </w:p>
    <w:p>
      <w:pPr>
        <w:pStyle w:val="123"/>
        <w:numPr>
          <w:ilvl w:val="0"/>
          <w:numId w:val="47"/>
        </w:numPr>
        <w:snapToGrid w:val="0"/>
        <w:spacing w:line="400" w:lineRule="exact"/>
        <w:ind w:hanging="5" w:firstLineChars="0"/>
        <w:rPr>
          <w:rFonts w:ascii="宋体" w:hAnsi="宋体" w:cs="宋体"/>
          <w:b/>
          <w:color w:val="auto"/>
          <w:sz w:val="22"/>
          <w:szCs w:val="22"/>
        </w:rPr>
      </w:pPr>
      <w:r>
        <w:rPr>
          <w:rFonts w:hint="eastAsia" w:ascii="宋体" w:hAnsi="宋体" w:cs="宋体"/>
          <w:b/>
          <w:color w:val="auto"/>
          <w:sz w:val="22"/>
          <w:szCs w:val="22"/>
        </w:rPr>
        <w:t>信息化技术外包服务范围</w:t>
      </w:r>
    </w:p>
    <w:p>
      <w:pPr>
        <w:snapToGrid w:val="0"/>
        <w:spacing w:line="400" w:lineRule="exact"/>
        <w:ind w:left="567"/>
        <w:rPr>
          <w:rFonts w:ascii="宋体" w:hAnsi="宋体" w:cs="宋体"/>
          <w:bCs/>
          <w:color w:val="auto"/>
          <w:sz w:val="22"/>
          <w:szCs w:val="22"/>
        </w:rPr>
      </w:pPr>
      <w:r>
        <w:rPr>
          <w:rFonts w:hint="eastAsia" w:ascii="宋体" w:hAnsi="宋体" w:cs="宋体"/>
          <w:bCs/>
          <w:color w:val="auto"/>
          <w:sz w:val="22"/>
          <w:szCs w:val="22"/>
        </w:rPr>
        <w:t>局与一队三中心的信息化技术外包服务主要包括：</w:t>
      </w:r>
    </w:p>
    <w:p>
      <w:pPr>
        <w:pStyle w:val="123"/>
        <w:numPr>
          <w:ilvl w:val="0"/>
          <w:numId w:val="48"/>
        </w:numPr>
        <w:snapToGrid w:val="0"/>
        <w:spacing w:line="400" w:lineRule="exact"/>
        <w:ind w:left="1160" w:hanging="720" w:firstLineChars="0"/>
        <w:rPr>
          <w:rFonts w:hint="eastAsia" w:ascii="宋体" w:hAnsi="宋体" w:cs="宋体"/>
          <w:bCs/>
          <w:color w:val="auto"/>
          <w:sz w:val="22"/>
          <w:szCs w:val="22"/>
        </w:rPr>
      </w:pPr>
      <w:r>
        <w:rPr>
          <w:rFonts w:hint="eastAsia" w:ascii="宋体" w:hAnsi="宋体" w:cs="宋体"/>
          <w:bCs/>
          <w:color w:val="auto"/>
          <w:sz w:val="22"/>
          <w:szCs w:val="22"/>
        </w:rPr>
        <w:t>信息化系统：主要有智慧交通</w:t>
      </w:r>
      <w:r>
        <w:rPr>
          <w:rFonts w:hint="eastAsia" w:ascii="宋体" w:hAnsi="宋体" w:cs="宋体"/>
          <w:bCs/>
          <w:color w:val="auto"/>
          <w:sz w:val="22"/>
          <w:szCs w:val="22"/>
          <w:lang w:val="en-US" w:eastAsia="zh-CN"/>
        </w:rPr>
        <w:t>综合信息中心</w:t>
      </w:r>
      <w:r>
        <w:rPr>
          <w:rFonts w:hint="eastAsia" w:ascii="宋体" w:hAnsi="宋体" w:cs="宋体"/>
          <w:bCs/>
          <w:color w:val="auto"/>
          <w:sz w:val="22"/>
          <w:szCs w:val="22"/>
        </w:rPr>
        <w:t>、温州市智慧交通综合执法分应用、温州市重点车辆协同监控系统等</w:t>
      </w:r>
      <w:r>
        <w:rPr>
          <w:rFonts w:hint="eastAsia" w:ascii="宋体" w:hAnsi="宋体" w:cs="宋体"/>
          <w:bCs/>
          <w:color w:val="auto"/>
          <w:sz w:val="22"/>
          <w:szCs w:val="22"/>
          <w:lang w:eastAsia="zh-CN"/>
        </w:rPr>
        <w:t>1</w:t>
      </w:r>
      <w:r>
        <w:rPr>
          <w:rFonts w:hint="eastAsia" w:ascii="宋体" w:hAnsi="宋体" w:cs="宋体"/>
          <w:bCs/>
          <w:color w:val="auto"/>
          <w:sz w:val="22"/>
          <w:szCs w:val="22"/>
          <w:lang w:val="en-US" w:eastAsia="zh-CN"/>
        </w:rPr>
        <w:t>5</w:t>
      </w:r>
      <w:r>
        <w:rPr>
          <w:rFonts w:hint="eastAsia" w:ascii="宋体" w:hAnsi="宋体" w:cs="宋体"/>
          <w:bCs/>
          <w:color w:val="auto"/>
          <w:sz w:val="22"/>
          <w:szCs w:val="22"/>
        </w:rPr>
        <w:t>个自建系统(详见附件)；省建处罚系统  省建许可系统  省建行业监管系统</w:t>
      </w:r>
      <w:r>
        <w:rPr>
          <w:rFonts w:hint="eastAsia" w:ascii="宋体" w:hAnsi="宋体" w:cs="宋体"/>
          <w:bCs/>
          <w:color w:val="auto"/>
          <w:sz w:val="22"/>
          <w:szCs w:val="22"/>
          <w:lang w:val="en-US" w:eastAsia="zh-CN"/>
        </w:rPr>
        <w:t>等省建及其他业务系统</w:t>
      </w:r>
      <w:r>
        <w:rPr>
          <w:rFonts w:hint="eastAsia" w:ascii="宋体" w:hAnsi="宋体" w:cs="宋体"/>
          <w:bCs/>
          <w:color w:val="auto"/>
          <w:sz w:val="22"/>
          <w:szCs w:val="22"/>
        </w:rPr>
        <w:t>；</w:t>
      </w:r>
    </w:p>
    <w:p>
      <w:pPr>
        <w:pStyle w:val="123"/>
        <w:snapToGrid w:val="0"/>
        <w:spacing w:line="400" w:lineRule="exact"/>
        <w:ind w:left="1160" w:hanging="720" w:firstLineChars="0"/>
        <w:rPr>
          <w:rFonts w:ascii="宋体" w:hAnsi="宋体" w:cs="宋体"/>
          <w:bCs/>
          <w:color w:val="auto"/>
          <w:sz w:val="22"/>
          <w:szCs w:val="22"/>
        </w:rPr>
      </w:pPr>
      <w:r>
        <w:rPr>
          <w:rFonts w:ascii="宋体" w:hAnsi="宋体" w:cs="宋体"/>
          <w:bCs/>
          <w:color w:val="auto"/>
          <w:sz w:val="22"/>
          <w:szCs w:val="22"/>
        </w:rPr>
        <w:t>（二）</w:t>
      </w:r>
      <w:r>
        <w:rPr>
          <w:rFonts w:hint="eastAsia" w:ascii="宋体" w:hAnsi="宋体" w:cs="宋体"/>
          <w:bCs/>
          <w:color w:val="auto"/>
          <w:sz w:val="22"/>
          <w:szCs w:val="22"/>
        </w:rPr>
        <w:t>中心机房及配套设施：交通中心机房、市交通综合行政执法队7楼中心机房及配套设施；</w:t>
      </w:r>
    </w:p>
    <w:p>
      <w:pPr>
        <w:pStyle w:val="123"/>
        <w:snapToGrid w:val="0"/>
        <w:spacing w:line="400" w:lineRule="exact"/>
        <w:ind w:left="1262" w:leftChars="601" w:firstLine="129" w:firstLineChars="59"/>
        <w:rPr>
          <w:rFonts w:ascii="宋体" w:hAnsi="宋体" w:cs="宋体"/>
          <w:bCs/>
          <w:color w:val="auto"/>
          <w:sz w:val="22"/>
          <w:szCs w:val="22"/>
        </w:rPr>
      </w:pPr>
      <w:r>
        <w:rPr>
          <w:rFonts w:hint="eastAsia" w:ascii="宋体" w:hAnsi="宋体" w:cs="宋体"/>
          <w:bCs/>
          <w:color w:val="auto"/>
          <w:sz w:val="22"/>
          <w:szCs w:val="22"/>
        </w:rPr>
        <w:t xml:space="preserve"> 系统设备：物理服务器</w:t>
      </w:r>
      <w:r>
        <w:rPr>
          <w:rFonts w:ascii="宋体" w:hAnsi="宋体" w:cs="宋体"/>
          <w:bCs/>
          <w:color w:val="auto"/>
          <w:sz w:val="22"/>
          <w:szCs w:val="22"/>
        </w:rPr>
        <w:t>100台、虚拟机105台、云主机27台、存储7台；三层网络交换机25台、防火墙20台、隔离网闸6台、路由器4台和其它安全设备8台。</w:t>
      </w:r>
      <w:r>
        <w:rPr>
          <w:rFonts w:hint="eastAsia" w:ascii="宋体" w:hAnsi="宋体" w:cs="宋体"/>
          <w:bCs/>
          <w:color w:val="auto"/>
          <w:sz w:val="22"/>
          <w:szCs w:val="22"/>
        </w:rPr>
        <w:t>（包括但不限于上述设备及数量）</w:t>
      </w:r>
    </w:p>
    <w:p>
      <w:pPr>
        <w:pStyle w:val="123"/>
        <w:snapToGrid w:val="0"/>
        <w:spacing w:line="400" w:lineRule="exact"/>
        <w:ind w:left="1160" w:hanging="720" w:firstLineChars="0"/>
        <w:rPr>
          <w:rFonts w:ascii="宋体" w:hAnsi="宋体" w:cs="宋体"/>
          <w:bCs/>
          <w:color w:val="auto"/>
          <w:sz w:val="22"/>
          <w:szCs w:val="22"/>
        </w:rPr>
      </w:pPr>
      <w:r>
        <w:rPr>
          <w:rFonts w:ascii="宋体" w:hAnsi="宋体" w:cs="宋体"/>
          <w:bCs/>
          <w:color w:val="auto"/>
          <w:sz w:val="22"/>
          <w:szCs w:val="22"/>
        </w:rPr>
        <w:t>（</w:t>
      </w:r>
      <w:r>
        <w:rPr>
          <w:rFonts w:hint="eastAsia" w:ascii="宋体" w:hAnsi="宋体" w:cs="宋体"/>
          <w:bCs/>
          <w:color w:val="auto"/>
          <w:sz w:val="22"/>
          <w:szCs w:val="22"/>
        </w:rPr>
        <w:t>三</w:t>
      </w:r>
      <w:r>
        <w:rPr>
          <w:rFonts w:ascii="宋体" w:hAnsi="宋体" w:cs="宋体"/>
          <w:bCs/>
          <w:color w:val="auto"/>
          <w:sz w:val="22"/>
          <w:szCs w:val="22"/>
        </w:rPr>
        <w:t>）</w:t>
      </w:r>
      <w:r>
        <w:rPr>
          <w:rFonts w:hint="eastAsia" w:ascii="宋体" w:hAnsi="宋体" w:cs="宋体"/>
          <w:bCs/>
          <w:color w:val="auto"/>
          <w:sz w:val="22"/>
          <w:szCs w:val="22"/>
        </w:rPr>
        <w:t>系统网络：交通政务外网、交通互联网。</w:t>
      </w:r>
    </w:p>
    <w:p>
      <w:pPr>
        <w:pStyle w:val="123"/>
        <w:snapToGrid w:val="0"/>
        <w:spacing w:line="400" w:lineRule="exact"/>
        <w:ind w:left="1160" w:hanging="720" w:firstLineChars="0"/>
        <w:rPr>
          <w:rFonts w:ascii="宋体" w:hAnsi="宋体" w:cs="宋体"/>
          <w:bCs/>
          <w:color w:val="auto"/>
          <w:sz w:val="22"/>
          <w:szCs w:val="22"/>
        </w:rPr>
      </w:pPr>
      <w:r>
        <w:rPr>
          <w:rFonts w:ascii="宋体" w:hAnsi="宋体" w:cs="宋体"/>
          <w:bCs/>
          <w:color w:val="auto"/>
          <w:sz w:val="22"/>
          <w:szCs w:val="22"/>
        </w:rPr>
        <w:t>（</w:t>
      </w:r>
      <w:r>
        <w:rPr>
          <w:rFonts w:hint="eastAsia" w:ascii="宋体" w:hAnsi="宋体" w:cs="宋体"/>
          <w:bCs/>
          <w:color w:val="auto"/>
          <w:sz w:val="22"/>
          <w:szCs w:val="22"/>
        </w:rPr>
        <w:t>四</w:t>
      </w:r>
      <w:r>
        <w:rPr>
          <w:rFonts w:ascii="宋体" w:hAnsi="宋体" w:cs="宋体"/>
          <w:bCs/>
          <w:color w:val="auto"/>
          <w:sz w:val="22"/>
          <w:szCs w:val="22"/>
        </w:rPr>
        <w:t>）</w:t>
      </w:r>
      <w:r>
        <w:rPr>
          <w:rFonts w:hint="eastAsia" w:ascii="宋体" w:hAnsi="宋体" w:cs="宋体"/>
          <w:bCs/>
          <w:color w:val="auto"/>
          <w:sz w:val="22"/>
          <w:szCs w:val="22"/>
        </w:rPr>
        <w:t>办公运维：温州市交通运输</w:t>
      </w:r>
      <w:r>
        <w:rPr>
          <w:rFonts w:hint="eastAsia" w:ascii="宋体" w:hAnsi="宋体" w:cs="宋体"/>
          <w:bCs/>
          <w:color w:val="auto"/>
          <w:sz w:val="22"/>
          <w:szCs w:val="22"/>
          <w:highlight w:val="none"/>
        </w:rPr>
        <w:t>综合</w:t>
      </w:r>
      <w:r>
        <w:rPr>
          <w:rFonts w:hint="eastAsia" w:ascii="宋体" w:hAnsi="宋体" w:cs="宋体"/>
          <w:bCs/>
          <w:color w:val="auto"/>
          <w:sz w:val="22"/>
          <w:szCs w:val="22"/>
        </w:rPr>
        <w:t>行政执法队机关及各执法队（含中队）</w:t>
      </w:r>
    </w:p>
    <w:p>
      <w:pPr>
        <w:pStyle w:val="123"/>
        <w:snapToGrid w:val="0"/>
        <w:spacing w:line="400" w:lineRule="exact"/>
        <w:ind w:firstLine="2200" w:firstLineChars="1000"/>
        <w:rPr>
          <w:rFonts w:ascii="宋体" w:hAnsi="宋体" w:cs="宋体"/>
          <w:bCs/>
          <w:color w:val="auto"/>
          <w:sz w:val="22"/>
          <w:szCs w:val="22"/>
        </w:rPr>
      </w:pPr>
      <w:r>
        <w:rPr>
          <w:rFonts w:hint="eastAsia" w:ascii="宋体" w:hAnsi="宋体" w:cs="宋体"/>
          <w:bCs/>
          <w:color w:val="auto"/>
          <w:sz w:val="22"/>
          <w:szCs w:val="22"/>
        </w:rPr>
        <w:t>高新大厦交通办公区域:办公网络及安全保障维护（不含终端及办公设备）</w:t>
      </w:r>
    </w:p>
    <w:p>
      <w:pPr>
        <w:pStyle w:val="123"/>
        <w:numPr>
          <w:ilvl w:val="0"/>
          <w:numId w:val="47"/>
        </w:numPr>
        <w:snapToGrid w:val="0"/>
        <w:spacing w:line="400" w:lineRule="exact"/>
        <w:ind w:hanging="5" w:firstLineChars="0"/>
        <w:rPr>
          <w:rFonts w:ascii="宋体" w:hAnsi="宋体" w:cs="宋体"/>
          <w:b/>
          <w:color w:val="auto"/>
          <w:sz w:val="22"/>
          <w:szCs w:val="22"/>
        </w:rPr>
      </w:pPr>
      <w:r>
        <w:rPr>
          <w:rFonts w:hint="eastAsia" w:ascii="宋体" w:hAnsi="宋体" w:cs="宋体"/>
          <w:b/>
          <w:color w:val="auto"/>
          <w:sz w:val="22"/>
          <w:szCs w:val="22"/>
        </w:rPr>
        <w:t>信息化技术外包服务内容</w:t>
      </w:r>
    </w:p>
    <w:p>
      <w:pPr>
        <w:snapToGrid w:val="0"/>
        <w:spacing w:line="400" w:lineRule="exact"/>
        <w:ind w:firstLine="440" w:firstLineChars="200"/>
        <w:rPr>
          <w:rFonts w:ascii="宋体" w:hAnsi="宋体" w:cs="宋体"/>
          <w:bCs/>
          <w:color w:val="auto"/>
          <w:sz w:val="22"/>
          <w:szCs w:val="22"/>
        </w:rPr>
      </w:pPr>
      <w:r>
        <w:rPr>
          <w:rFonts w:ascii="宋体" w:hAnsi="宋体" w:cs="宋体"/>
          <w:bCs/>
          <w:color w:val="auto"/>
          <w:sz w:val="22"/>
          <w:szCs w:val="22"/>
        </w:rPr>
        <w:t>（</w:t>
      </w:r>
      <w:r>
        <w:rPr>
          <w:rFonts w:hint="eastAsia" w:ascii="宋体" w:hAnsi="宋体" w:cs="宋体"/>
          <w:bCs/>
          <w:color w:val="auto"/>
          <w:sz w:val="22"/>
          <w:szCs w:val="22"/>
        </w:rPr>
        <w:t>一</w:t>
      </w:r>
      <w:r>
        <w:rPr>
          <w:rFonts w:ascii="宋体" w:hAnsi="宋体" w:cs="宋体"/>
          <w:bCs/>
          <w:color w:val="auto"/>
          <w:sz w:val="22"/>
          <w:szCs w:val="22"/>
        </w:rPr>
        <w:t>）</w:t>
      </w:r>
      <w:r>
        <w:rPr>
          <w:rFonts w:hint="eastAsia" w:ascii="宋体" w:hAnsi="宋体" w:cs="宋体"/>
          <w:bCs/>
          <w:color w:val="auto"/>
          <w:sz w:val="22"/>
          <w:szCs w:val="22"/>
        </w:rPr>
        <w:t>交通数据中心管理工作：一是负责交通数据中心的数据质量监管、数据清理和数据保护工作，保障数据中心正常运行；二是负责数据采集、存储、集成、预处理。三是负责编写交通运输指标计算服务，维护指标计算服务正常运行，对分析结果进行可视化展示。</w:t>
      </w:r>
    </w:p>
    <w:p>
      <w:pPr>
        <w:snapToGrid w:val="0"/>
        <w:spacing w:line="400" w:lineRule="exact"/>
        <w:ind w:firstLine="440" w:firstLineChars="200"/>
        <w:rPr>
          <w:rFonts w:ascii="宋体" w:hAnsi="宋体" w:cs="宋体"/>
          <w:bCs/>
          <w:color w:val="auto"/>
          <w:sz w:val="22"/>
          <w:szCs w:val="22"/>
        </w:rPr>
      </w:pPr>
      <w:r>
        <w:rPr>
          <w:rFonts w:hint="eastAsia" w:ascii="宋体" w:hAnsi="宋体" w:cs="宋体"/>
          <w:bCs/>
          <w:color w:val="auto"/>
          <w:sz w:val="22"/>
          <w:szCs w:val="22"/>
        </w:rPr>
        <w:t>（二）网络系统安全管理工作：一是负责核心信息化设备、主机和信息平台安全加固工作，负责信息系统安全等级保护工作；二是负责网络安全宣传、培训和演练工作，负责网络态势安全监测和通报工作。</w:t>
      </w:r>
    </w:p>
    <w:p>
      <w:pPr>
        <w:snapToGrid w:val="0"/>
        <w:spacing w:line="400" w:lineRule="exact"/>
        <w:ind w:firstLine="440" w:firstLineChars="200"/>
        <w:rPr>
          <w:rFonts w:ascii="宋体" w:hAnsi="宋体" w:cs="宋体"/>
          <w:bCs/>
          <w:color w:val="auto"/>
          <w:sz w:val="22"/>
          <w:szCs w:val="22"/>
        </w:rPr>
      </w:pPr>
      <w:r>
        <w:rPr>
          <w:rFonts w:hint="eastAsia" w:ascii="宋体" w:hAnsi="宋体" w:cs="宋体"/>
          <w:bCs/>
          <w:color w:val="auto"/>
          <w:sz w:val="22"/>
          <w:szCs w:val="22"/>
        </w:rPr>
        <w:t>（三）系统集成网络规划管理工作：一是负责网络规划、配置优化工作，负责保障网络通讯正常，畅通；二是负责交通基础云平台与系统集成管理，负责交通局M层中心机房、市交通综合行政执法队7楼中心机房日常管理、资源优化工作，配合机房维保公司做好巡检维护和重大会议活动及节假日网络安全保障工作，保障网络及系统正常运行；三是负责交通运输局政务云资源申请、优化和维护工作。</w:t>
      </w:r>
    </w:p>
    <w:p>
      <w:pPr>
        <w:snapToGrid w:val="0"/>
        <w:spacing w:line="400" w:lineRule="exact"/>
        <w:ind w:firstLine="440" w:firstLineChars="200"/>
        <w:rPr>
          <w:rFonts w:ascii="宋体" w:hAnsi="宋体" w:cs="宋体"/>
          <w:bCs/>
          <w:color w:val="auto"/>
          <w:sz w:val="22"/>
          <w:szCs w:val="22"/>
        </w:rPr>
      </w:pPr>
      <w:r>
        <w:rPr>
          <w:rFonts w:hint="eastAsia" w:ascii="宋体" w:hAnsi="宋体" w:cs="宋体"/>
          <w:bCs/>
          <w:color w:val="auto"/>
          <w:sz w:val="22"/>
          <w:szCs w:val="22"/>
        </w:rPr>
        <w:t>（四）业务系统运维保障工作：一是负责保障业务系统运行正常，负责处理业务部门反映的系统问题，配合做好业务系统推广应用；二是负责交通视频平台的管理，负责视频资源接入，共享、转发等工作，确保平台稳定运行。</w:t>
      </w:r>
    </w:p>
    <w:p>
      <w:pPr>
        <w:snapToGrid w:val="0"/>
        <w:spacing w:line="400" w:lineRule="exact"/>
        <w:ind w:firstLine="440" w:firstLineChars="200"/>
        <w:rPr>
          <w:rFonts w:ascii="宋体" w:hAnsi="宋体" w:cs="宋体"/>
          <w:bCs/>
          <w:color w:val="auto"/>
          <w:sz w:val="22"/>
          <w:szCs w:val="22"/>
        </w:rPr>
      </w:pPr>
      <w:r>
        <w:rPr>
          <w:rFonts w:hint="eastAsia" w:ascii="宋体" w:hAnsi="宋体" w:cs="宋体"/>
          <w:bCs/>
          <w:color w:val="auto"/>
          <w:sz w:val="22"/>
          <w:szCs w:val="22"/>
        </w:rPr>
        <w:t>（五）项目管理工作：配合做好项目建设方案编制、立项申报、采购、建设管理、验收、整理存档项目资料。</w:t>
      </w:r>
    </w:p>
    <w:p>
      <w:pPr>
        <w:snapToGrid w:val="0"/>
        <w:spacing w:line="400" w:lineRule="exact"/>
        <w:ind w:firstLine="440" w:firstLineChars="200"/>
        <w:rPr>
          <w:rFonts w:ascii="宋体" w:hAnsi="宋体" w:cs="宋体"/>
          <w:color w:val="auto"/>
          <w:sz w:val="22"/>
          <w:szCs w:val="22"/>
        </w:rPr>
      </w:pPr>
      <w:r>
        <w:rPr>
          <w:rFonts w:hint="eastAsia" w:ascii="宋体" w:hAnsi="宋体" w:cs="宋体"/>
          <w:bCs/>
          <w:color w:val="auto"/>
          <w:sz w:val="22"/>
          <w:szCs w:val="22"/>
        </w:rPr>
        <w:t>（六）办公运维：信息化终端、设备管理维护：负责执法科技装备、办公信息化设备与耗材的采购、分配、日常管理及维护；受理解决设备使用中的各种技术问题，定期巡检和指导操作人员对执法科技装备和办公信息化设备的使用。包含队机关及各执法队（含中队）的办公电脑、笔记本电脑、打印传真扫描设备、科技执法设备（含移动办公及单兵车载等）、办公网络等。高新大厦2层、&lt;9层&gt;16-22层:办公网络及安全保障维护（不含终端及办公设备）。</w:t>
      </w:r>
    </w:p>
    <w:p>
      <w:pPr>
        <w:pStyle w:val="123"/>
        <w:numPr>
          <w:ilvl w:val="0"/>
          <w:numId w:val="47"/>
        </w:numPr>
        <w:snapToGrid w:val="0"/>
        <w:spacing w:line="400" w:lineRule="exact"/>
        <w:ind w:hanging="5" w:firstLineChars="0"/>
        <w:rPr>
          <w:rFonts w:ascii="宋体" w:hAnsi="宋体" w:cs="宋体"/>
          <w:b/>
          <w:color w:val="auto"/>
          <w:sz w:val="22"/>
          <w:szCs w:val="22"/>
        </w:rPr>
      </w:pPr>
      <w:r>
        <w:rPr>
          <w:rFonts w:hint="eastAsia" w:ascii="宋体" w:hAnsi="宋体" w:cs="宋体"/>
          <w:b/>
          <w:color w:val="auto"/>
          <w:sz w:val="22"/>
          <w:szCs w:val="22"/>
        </w:rPr>
        <w:t>信息化技术外包服务要求</w:t>
      </w:r>
    </w:p>
    <w:p>
      <w:pPr>
        <w:snapToGrid w:val="0"/>
        <w:spacing w:line="480" w:lineRule="exact"/>
        <w:ind w:firstLine="440" w:firstLineChars="200"/>
        <w:rPr>
          <w:rFonts w:ascii="宋体" w:cs="宋体"/>
          <w:color w:val="auto"/>
          <w:sz w:val="22"/>
        </w:rPr>
      </w:pPr>
      <w:r>
        <w:rPr>
          <w:rFonts w:hint="eastAsia" w:ascii="宋体" w:cs="宋体"/>
          <w:color w:val="auto"/>
          <w:sz w:val="22"/>
        </w:rPr>
        <w:t>（一）信息化技术外包服务的时间</w:t>
      </w:r>
    </w:p>
    <w:p>
      <w:pPr>
        <w:snapToGrid w:val="0"/>
        <w:spacing w:line="480" w:lineRule="exact"/>
        <w:ind w:firstLine="440" w:firstLineChars="200"/>
        <w:rPr>
          <w:rFonts w:ascii="宋体" w:cs="宋体"/>
          <w:color w:val="auto"/>
          <w:sz w:val="22"/>
        </w:rPr>
      </w:pPr>
      <w:r>
        <w:rPr>
          <w:rFonts w:hint="eastAsia" w:ascii="宋体" w:cs="宋体"/>
          <w:color w:val="auto"/>
          <w:sz w:val="22"/>
        </w:rPr>
        <w:t>信息化技术外包服务的时间为2024年1月1日至2024年12月31日。</w:t>
      </w:r>
    </w:p>
    <w:p>
      <w:pPr>
        <w:snapToGrid w:val="0"/>
        <w:spacing w:line="480" w:lineRule="exact"/>
        <w:ind w:firstLine="440" w:firstLineChars="200"/>
        <w:rPr>
          <w:rFonts w:ascii="宋体" w:cs="宋体"/>
          <w:color w:val="auto"/>
          <w:sz w:val="22"/>
        </w:rPr>
      </w:pPr>
      <w:r>
        <w:rPr>
          <w:rFonts w:hint="eastAsia" w:ascii="宋体" w:cs="宋体"/>
          <w:color w:val="auto"/>
          <w:sz w:val="22"/>
        </w:rPr>
        <w:t>（二）信息化技术外包服务团队与人员的管理</w:t>
      </w:r>
    </w:p>
    <w:p>
      <w:pPr>
        <w:snapToGrid w:val="0"/>
        <w:spacing w:line="480" w:lineRule="exact"/>
        <w:ind w:firstLine="440" w:firstLineChars="200"/>
        <w:rPr>
          <w:rFonts w:ascii="宋体" w:cs="宋体"/>
          <w:color w:val="auto"/>
          <w:sz w:val="22"/>
        </w:rPr>
      </w:pPr>
      <w:r>
        <w:rPr>
          <w:rFonts w:hint="eastAsia" w:ascii="宋体" w:cs="宋体"/>
          <w:color w:val="auto"/>
          <w:sz w:val="22"/>
        </w:rPr>
        <w:t>1.</w:t>
      </w:r>
      <w:r>
        <w:rPr>
          <w:rFonts w:ascii="宋体" w:cs="宋体"/>
          <w:color w:val="auto"/>
          <w:sz w:val="22"/>
        </w:rPr>
        <w:t>中标单位</w:t>
      </w:r>
      <w:r>
        <w:rPr>
          <w:rFonts w:hint="eastAsia" w:ascii="宋体" w:cs="宋体"/>
          <w:color w:val="auto"/>
          <w:sz w:val="22"/>
        </w:rPr>
        <w:t>必须按照采购人要求完成组建信息化技术外包服务团队（以下简称：团队）派驻采购人单位，落实专人负责团队的管理，制定完善的管理、考核制度，确保服务质量。团队人员不少于10人（含项目负责人）。对团队人员进行每月量化考核，每月考核情况汇总成年度考核情况，根据考核结果给团队人员发放年终奖金。</w:t>
      </w:r>
    </w:p>
    <w:p>
      <w:pPr>
        <w:snapToGrid w:val="0"/>
        <w:spacing w:line="480" w:lineRule="exact"/>
        <w:ind w:firstLine="440" w:firstLineChars="200"/>
        <w:rPr>
          <w:rFonts w:ascii="宋体" w:cs="宋体"/>
          <w:color w:val="auto"/>
          <w:sz w:val="22"/>
        </w:rPr>
      </w:pPr>
      <w:r>
        <w:rPr>
          <w:rFonts w:hint="eastAsia" w:ascii="宋体" w:cs="宋体"/>
          <w:color w:val="auto"/>
          <w:sz w:val="22"/>
        </w:rPr>
        <w:t>2.</w:t>
      </w:r>
      <w:r>
        <w:rPr>
          <w:rFonts w:ascii="宋体" w:cs="宋体"/>
          <w:color w:val="auto"/>
          <w:sz w:val="22"/>
        </w:rPr>
        <w:t>中标单位</w:t>
      </w:r>
      <w:r>
        <w:rPr>
          <w:rFonts w:hint="eastAsia" w:ascii="宋体" w:cs="宋体"/>
          <w:color w:val="auto"/>
          <w:sz w:val="22"/>
        </w:rPr>
        <w:t>要确保团队人员的稳定性，派驻技术人员由采购人根据需要安排办公地点，遵守采购人工作纪律，人员考勤由采购人管理。加强技术服务人员培训，未经采购人同意，不得擅自更换技术服务人员。</w:t>
      </w:r>
    </w:p>
    <w:p>
      <w:pPr>
        <w:snapToGrid w:val="0"/>
        <w:spacing w:line="480" w:lineRule="exact"/>
        <w:ind w:firstLine="440" w:firstLineChars="200"/>
        <w:rPr>
          <w:rFonts w:ascii="宋体" w:cs="宋体"/>
          <w:color w:val="auto"/>
          <w:sz w:val="22"/>
        </w:rPr>
      </w:pPr>
      <w:r>
        <w:rPr>
          <w:rFonts w:hint="eastAsia" w:ascii="宋体" w:cs="宋体"/>
          <w:color w:val="auto"/>
          <w:sz w:val="22"/>
        </w:rPr>
        <w:t>3.</w:t>
      </w:r>
      <w:r>
        <w:rPr>
          <w:rFonts w:ascii="宋体" w:cs="宋体"/>
          <w:color w:val="auto"/>
          <w:sz w:val="22"/>
        </w:rPr>
        <w:t>中标单位</w:t>
      </w:r>
      <w:r>
        <w:rPr>
          <w:rFonts w:hint="eastAsia" w:ascii="宋体" w:cs="宋体"/>
          <w:color w:val="auto"/>
          <w:sz w:val="22"/>
        </w:rPr>
        <w:t>必须给团队人员缴纳社保五险一金（公积金、失业、养老、医保等），负责派驻技术人员在采购人单位就餐费用。因采购人工作需要出差，派驻技术人员的差旅费由采购人负责。</w:t>
      </w:r>
    </w:p>
    <w:p>
      <w:pPr>
        <w:snapToGrid w:val="0"/>
        <w:spacing w:line="480" w:lineRule="exact"/>
        <w:ind w:firstLine="440" w:firstLineChars="200"/>
        <w:rPr>
          <w:rFonts w:ascii="宋体" w:cs="宋体"/>
          <w:color w:val="auto"/>
          <w:sz w:val="22"/>
        </w:rPr>
      </w:pPr>
      <w:r>
        <w:rPr>
          <w:rFonts w:ascii="宋体" w:cs="宋体"/>
          <w:color w:val="auto"/>
          <w:sz w:val="22"/>
        </w:rPr>
        <w:t>4</w:t>
      </w:r>
      <w:r>
        <w:rPr>
          <w:rFonts w:hint="eastAsia" w:ascii="宋体" w:cs="宋体"/>
          <w:color w:val="auto"/>
          <w:sz w:val="22"/>
        </w:rPr>
        <w:t>.为保障局与一队三中心信息化技术服务的稳定与安全，中标单位要充分考虑继续留用现有信息化服务外包人员，中标单位如需更换技术人员，必须在投标文件技术资信标中给出详细的人员更</w:t>
      </w:r>
      <w:r>
        <w:rPr>
          <w:rFonts w:hint="eastAsia" w:ascii="宋体" w:cs="宋体"/>
          <w:color w:val="auto"/>
          <w:szCs w:val="21"/>
        </w:rPr>
        <w:t>换方案，包括并不仅限</w:t>
      </w:r>
      <w:r>
        <w:rPr>
          <w:rFonts w:hint="eastAsia" w:ascii="宋体" w:cs="宋体"/>
          <w:color w:val="auto"/>
          <w:sz w:val="22"/>
        </w:rPr>
        <w:t>于：现有人员的安置方案、新老技术服务人员工作交接方案等。中标单位在本项目公告期间，可向采购人了解现有人员薪资待遇具体情况。</w:t>
      </w:r>
    </w:p>
    <w:p>
      <w:pPr>
        <w:snapToGrid w:val="0"/>
        <w:spacing w:line="480" w:lineRule="exact"/>
        <w:ind w:firstLine="440" w:firstLineChars="200"/>
        <w:rPr>
          <w:rFonts w:ascii="宋体" w:cs="宋体"/>
          <w:color w:val="auto"/>
          <w:sz w:val="22"/>
        </w:rPr>
      </w:pPr>
      <w:r>
        <w:rPr>
          <w:rFonts w:hint="eastAsia" w:ascii="宋体" w:cs="宋体"/>
          <w:color w:val="auto"/>
          <w:sz w:val="22"/>
          <w:lang w:eastAsia="zh-CN"/>
        </w:rPr>
        <w:t>5</w:t>
      </w:r>
      <w:r>
        <w:rPr>
          <w:rFonts w:hint="eastAsia" w:ascii="宋体" w:cs="宋体"/>
          <w:color w:val="auto"/>
          <w:sz w:val="22"/>
        </w:rPr>
        <w:t>.▲投标单位须在投标时明确承诺，若中标，外包技术人员薪资待遇支出费用不低于中标金额的91%，且其支出与使用必须在采购人的认可与监督下方可进行。</w:t>
      </w:r>
    </w:p>
    <w:p>
      <w:pPr>
        <w:snapToGrid w:val="0"/>
        <w:spacing w:line="480" w:lineRule="exact"/>
        <w:ind w:firstLine="440" w:firstLineChars="200"/>
        <w:rPr>
          <w:rFonts w:ascii="宋体" w:cs="宋体"/>
          <w:color w:val="auto"/>
          <w:sz w:val="22"/>
        </w:rPr>
      </w:pPr>
      <w:r>
        <w:rPr>
          <w:rFonts w:hint="eastAsia" w:ascii="宋体" w:cs="宋体"/>
          <w:color w:val="auto"/>
          <w:sz w:val="22"/>
          <w:lang w:val="en-US" w:eastAsia="zh-CN"/>
        </w:rPr>
        <w:t>6</w:t>
      </w:r>
      <w:r>
        <w:rPr>
          <w:rFonts w:hint="eastAsia" w:ascii="宋体" w:cs="宋体"/>
          <w:color w:val="auto"/>
          <w:sz w:val="22"/>
        </w:rPr>
        <w:t>.中标单位必须做好采购人信息化系统和数据保密工作，未经允许不得对外透露采购人相关的设备、网络及系统的信息，未经允许不得复制外传与工作相关的数据与信息。</w:t>
      </w:r>
    </w:p>
    <w:p>
      <w:pPr>
        <w:snapToGrid w:val="0"/>
        <w:spacing w:line="480" w:lineRule="exact"/>
        <w:ind w:firstLine="440" w:firstLineChars="200"/>
        <w:rPr>
          <w:rFonts w:ascii="宋体" w:cs="宋体"/>
          <w:color w:val="auto"/>
          <w:sz w:val="22"/>
        </w:rPr>
      </w:pPr>
      <w:r>
        <w:rPr>
          <w:rFonts w:hint="eastAsia" w:ascii="宋体" w:cs="宋体"/>
          <w:color w:val="auto"/>
          <w:sz w:val="22"/>
          <w:lang w:val="en-US" w:eastAsia="zh-CN"/>
        </w:rPr>
        <w:t>7</w:t>
      </w:r>
      <w:r>
        <w:rPr>
          <w:rFonts w:hint="eastAsia" w:ascii="宋体" w:cs="宋体"/>
          <w:color w:val="auto"/>
          <w:sz w:val="22"/>
        </w:rPr>
        <w:t>.信息化技术外包服务期间存在以下四种情况的，采购人有权提前终止合同，</w:t>
      </w:r>
      <w:r>
        <w:rPr>
          <w:rFonts w:ascii="宋体" w:cs="宋体"/>
          <w:color w:val="auto"/>
          <w:sz w:val="22"/>
        </w:rPr>
        <w:t>并</w:t>
      </w:r>
      <w:r>
        <w:rPr>
          <w:rFonts w:hint="eastAsia" w:ascii="宋体" w:cs="宋体"/>
          <w:color w:val="auto"/>
          <w:sz w:val="22"/>
        </w:rPr>
        <w:t>不支付外包服务费用。</w:t>
      </w:r>
      <w:r>
        <w:rPr>
          <w:rFonts w:ascii="宋体" w:cs="宋体"/>
          <w:color w:val="auto"/>
          <w:sz w:val="22"/>
        </w:rPr>
        <w:t>如</w:t>
      </w:r>
      <w:r>
        <w:rPr>
          <w:rFonts w:hint="eastAsia" w:ascii="宋体" w:cs="宋体"/>
          <w:color w:val="auto"/>
          <w:sz w:val="22"/>
        </w:rPr>
        <w:t>造成采购人经济损失的，中标单位应予赔偿。情节严重的，将予追究法律责任。</w:t>
      </w:r>
    </w:p>
    <w:p>
      <w:pPr>
        <w:snapToGrid w:val="0"/>
        <w:spacing w:line="480" w:lineRule="exact"/>
        <w:ind w:firstLine="440" w:firstLineChars="200"/>
        <w:rPr>
          <w:rFonts w:ascii="宋体" w:cs="宋体"/>
          <w:color w:val="auto"/>
          <w:sz w:val="22"/>
        </w:rPr>
      </w:pPr>
      <w:r>
        <w:rPr>
          <w:rFonts w:hint="eastAsia" w:ascii="宋体" w:cs="宋体"/>
          <w:color w:val="auto"/>
          <w:sz w:val="22"/>
        </w:rPr>
        <w:t>①团队人员的流动率（采购人建议更换的除外）高于25%的；</w:t>
      </w:r>
    </w:p>
    <w:p>
      <w:pPr>
        <w:snapToGrid w:val="0"/>
        <w:spacing w:line="480" w:lineRule="exact"/>
        <w:ind w:firstLine="440" w:firstLineChars="200"/>
        <w:rPr>
          <w:rFonts w:ascii="宋体" w:cs="宋体"/>
          <w:color w:val="auto"/>
          <w:sz w:val="22"/>
        </w:rPr>
      </w:pPr>
      <w:r>
        <w:rPr>
          <w:rFonts w:hint="eastAsia" w:ascii="宋体" w:cs="宋体"/>
          <w:color w:val="auto"/>
          <w:sz w:val="22"/>
        </w:rPr>
        <w:t>②未按照要求组建团队并上岗到位的；</w:t>
      </w:r>
    </w:p>
    <w:p>
      <w:pPr>
        <w:snapToGrid w:val="0"/>
        <w:spacing w:line="480" w:lineRule="exact"/>
        <w:ind w:firstLine="440" w:firstLineChars="200"/>
        <w:rPr>
          <w:rFonts w:ascii="宋体" w:cs="宋体"/>
          <w:bCs/>
          <w:color w:val="auto"/>
          <w:sz w:val="22"/>
        </w:rPr>
      </w:pPr>
      <w:r>
        <w:rPr>
          <w:rFonts w:hint="eastAsia" w:ascii="宋体" w:cs="宋体"/>
          <w:color w:val="auto"/>
          <w:sz w:val="22"/>
        </w:rPr>
        <w:t>③团队因工作失误或未按照规定做好信</w:t>
      </w:r>
      <w:r>
        <w:rPr>
          <w:rFonts w:hint="eastAsia" w:ascii="宋体" w:cs="宋体"/>
          <w:bCs/>
          <w:color w:val="auto"/>
          <w:sz w:val="22"/>
        </w:rPr>
        <w:t>息系统和数据保密工作，給采购人的信息系统造成重大故障或造成恶劣影响的；</w:t>
      </w:r>
    </w:p>
    <w:p>
      <w:pPr>
        <w:snapToGrid w:val="0"/>
        <w:spacing w:line="480" w:lineRule="exact"/>
        <w:ind w:firstLine="440" w:firstLineChars="200"/>
        <w:rPr>
          <w:rFonts w:ascii="宋体" w:cs="宋体"/>
          <w:bCs/>
          <w:color w:val="auto"/>
          <w:sz w:val="22"/>
        </w:rPr>
      </w:pPr>
      <w:r>
        <w:rPr>
          <w:rFonts w:hint="eastAsia" w:ascii="宋体" w:cs="宋体"/>
          <w:bCs/>
          <w:color w:val="auto"/>
          <w:sz w:val="22"/>
        </w:rPr>
        <w:t>④未按照合同及招标要求做好服务，并在收到告诫通知后一个月内未整改到位的。</w:t>
      </w:r>
    </w:p>
    <w:p>
      <w:pPr>
        <w:widowControl/>
        <w:spacing w:line="500" w:lineRule="exact"/>
        <w:ind w:firstLine="440" w:firstLineChars="200"/>
        <w:jc w:val="left"/>
        <w:rPr>
          <w:rFonts w:ascii="宋体"/>
          <w:bCs/>
          <w:color w:val="auto"/>
          <w:kern w:val="0"/>
          <w:sz w:val="22"/>
          <w:szCs w:val="22"/>
        </w:rPr>
      </w:pPr>
      <w:r>
        <w:rPr>
          <w:rFonts w:hint="eastAsia" w:ascii="宋体"/>
          <w:bCs/>
          <w:color w:val="auto"/>
          <w:kern w:val="0"/>
          <w:sz w:val="22"/>
          <w:szCs w:val="22"/>
          <w:lang w:val="en-US" w:eastAsia="zh-CN"/>
        </w:rPr>
        <w:t>8</w:t>
      </w:r>
      <w:r>
        <w:rPr>
          <w:rFonts w:hint="eastAsia" w:ascii="宋体"/>
          <w:bCs/>
          <w:color w:val="auto"/>
          <w:kern w:val="0"/>
          <w:sz w:val="22"/>
          <w:szCs w:val="22"/>
        </w:rPr>
        <w:t>.由于上一年度项目截止后，财政预算未下达，自2024年1月份至中标单位接手时止这段时间的技术服务费用由中标单位支付（该技术服务费用金额=（该时间月数/12）*2024年中标运维金额）。</w:t>
      </w:r>
    </w:p>
    <w:p>
      <w:pPr>
        <w:snapToGrid w:val="0"/>
        <w:spacing w:line="480" w:lineRule="exact"/>
        <w:ind w:firstLine="440" w:firstLineChars="200"/>
        <w:rPr>
          <w:rFonts w:ascii="宋体" w:cs="宋体"/>
          <w:color w:val="auto"/>
          <w:sz w:val="22"/>
        </w:rPr>
      </w:pPr>
      <w:r>
        <w:rPr>
          <w:rFonts w:hint="eastAsia" w:ascii="宋体" w:cs="宋体"/>
          <w:color w:val="auto"/>
          <w:sz w:val="22"/>
          <w:lang w:val="en-US" w:eastAsia="zh-CN"/>
        </w:rPr>
        <w:t>9</w:t>
      </w:r>
      <w:r>
        <w:rPr>
          <w:rFonts w:hint="eastAsia" w:ascii="宋体" w:cs="宋体"/>
          <w:color w:val="auto"/>
          <w:sz w:val="22"/>
        </w:rPr>
        <w:t>.运维服务质量考核要求</w:t>
      </w:r>
    </w:p>
    <w:p>
      <w:pPr>
        <w:snapToGrid w:val="0"/>
        <w:spacing w:line="480" w:lineRule="exact"/>
        <w:ind w:firstLine="440" w:firstLineChars="200"/>
        <w:rPr>
          <w:rFonts w:ascii="宋体" w:cs="宋体"/>
          <w:color w:val="auto"/>
          <w:sz w:val="22"/>
        </w:rPr>
      </w:pPr>
      <w:r>
        <w:rPr>
          <w:rFonts w:hint="eastAsia" w:ascii="宋体" w:cs="宋体"/>
          <w:color w:val="auto"/>
          <w:sz w:val="22"/>
        </w:rPr>
        <w:t>①每月技术服务整体情况进行服务满意度调查表，输出服务满意度调查表。</w:t>
      </w:r>
    </w:p>
    <w:p>
      <w:pPr>
        <w:snapToGrid w:val="0"/>
        <w:spacing w:line="480" w:lineRule="exact"/>
        <w:ind w:firstLine="440" w:firstLineChars="200"/>
        <w:rPr>
          <w:rFonts w:ascii="宋体" w:cs="宋体"/>
          <w:color w:val="auto"/>
          <w:sz w:val="22"/>
        </w:rPr>
      </w:pPr>
      <w:r>
        <w:rPr>
          <w:rFonts w:hint="eastAsia" w:ascii="宋体" w:cs="宋体"/>
          <w:color w:val="auto"/>
          <w:sz w:val="22"/>
        </w:rPr>
        <w:t>②每周驻场技术人员每人提供周报，周报内容包含所有工作内容，如巡检、技术服务、故障排除、技术方案、项目管理等全部工作内容</w:t>
      </w:r>
    </w:p>
    <w:p>
      <w:pPr>
        <w:pStyle w:val="76"/>
        <w:ind w:firstLine="440"/>
        <w:rPr>
          <w:rFonts w:cs="宋体"/>
          <w:color w:val="auto"/>
          <w:sz w:val="22"/>
          <w:lang w:val="en-US"/>
        </w:rPr>
      </w:pPr>
      <w:r>
        <w:rPr>
          <w:rFonts w:hint="eastAsia" w:cs="宋体"/>
          <w:color w:val="auto"/>
          <w:sz w:val="22"/>
          <w:lang w:val="en-US"/>
        </w:rPr>
        <w:t>③每月对所有驻场技术人员进行考核，对每个人员使用外包人员管理考核表进行打分。</w:t>
      </w:r>
    </w:p>
    <w:p>
      <w:pPr>
        <w:spacing w:line="400" w:lineRule="exact"/>
        <w:rPr>
          <w:rFonts w:ascii="宋体" w:hAnsi="宋体" w:cs="宋体"/>
          <w:b/>
          <w:bCs/>
          <w:color w:val="auto"/>
          <w:sz w:val="22"/>
          <w:szCs w:val="22"/>
        </w:rPr>
      </w:pPr>
      <w:r>
        <w:rPr>
          <w:rFonts w:hint="eastAsia" w:ascii="宋体" w:hAnsi="宋体" w:cs="宋体"/>
          <w:b/>
          <w:bCs/>
          <w:color w:val="auto"/>
          <w:sz w:val="22"/>
          <w:szCs w:val="22"/>
        </w:rPr>
        <w:t>附件：</w:t>
      </w:r>
    </w:p>
    <w:p>
      <w:pPr>
        <w:spacing w:line="400" w:lineRule="exact"/>
        <w:jc w:val="center"/>
        <w:rPr>
          <w:rFonts w:ascii="宋体" w:hAnsi="宋体" w:cs="宋体"/>
          <w:b/>
          <w:bCs/>
          <w:color w:val="auto"/>
          <w:sz w:val="24"/>
        </w:rPr>
      </w:pPr>
      <w:r>
        <w:rPr>
          <w:rFonts w:hint="eastAsia" w:ascii="宋体" w:hAnsi="宋体" w:cs="宋体"/>
          <w:b/>
          <w:bCs/>
          <w:color w:val="auto"/>
          <w:sz w:val="24"/>
        </w:rPr>
        <w:t>（1）系统清单</w:t>
      </w:r>
    </w:p>
    <w:tbl>
      <w:tblPr>
        <w:tblStyle w:val="63"/>
        <w:tblW w:w="4949" w:type="pct"/>
        <w:jc w:val="center"/>
        <w:tblLayout w:type="autofit"/>
        <w:tblCellMar>
          <w:top w:w="0" w:type="dxa"/>
          <w:left w:w="108" w:type="dxa"/>
          <w:bottom w:w="0" w:type="dxa"/>
          <w:right w:w="108" w:type="dxa"/>
        </w:tblCellMar>
      </w:tblPr>
      <w:tblGrid>
        <w:gridCol w:w="856"/>
        <w:gridCol w:w="6275"/>
        <w:gridCol w:w="2622"/>
      </w:tblGrid>
      <w:tr>
        <w:tblPrEx>
          <w:tblCellMar>
            <w:top w:w="0" w:type="dxa"/>
            <w:left w:w="108" w:type="dxa"/>
            <w:bottom w:w="0" w:type="dxa"/>
            <w:right w:w="108" w:type="dxa"/>
          </w:tblCellMar>
        </w:tblPrEx>
        <w:trPr>
          <w:trHeight w:val="520"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color w:val="auto"/>
                <w:kern w:val="0"/>
                <w:sz w:val="22"/>
                <w:szCs w:val="22"/>
              </w:rPr>
            </w:pPr>
            <w:r>
              <w:rPr>
                <w:rFonts w:hint="eastAsia" w:ascii="宋体" w:hAnsi="宋体" w:cs="宋体"/>
                <w:b/>
                <w:bCs/>
                <w:color w:val="auto"/>
                <w:kern w:val="0"/>
                <w:sz w:val="22"/>
                <w:szCs w:val="22"/>
              </w:rPr>
              <w:t>在用业务系统信息表</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b/>
                <w:bCs/>
                <w:color w:val="auto"/>
                <w:kern w:val="0"/>
                <w:sz w:val="22"/>
                <w:szCs w:val="22"/>
              </w:rPr>
            </w:pPr>
            <w:r>
              <w:rPr>
                <w:rFonts w:hint="eastAsia" w:ascii="宋体" w:hAnsi="宋体" w:cs="宋体"/>
                <w:b/>
                <w:bCs/>
                <w:color w:val="auto"/>
                <w:kern w:val="0"/>
                <w:sz w:val="22"/>
                <w:szCs w:val="22"/>
              </w:rPr>
              <w:t>序号</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bCs/>
                <w:color w:val="auto"/>
                <w:kern w:val="0"/>
                <w:sz w:val="22"/>
                <w:szCs w:val="22"/>
              </w:rPr>
            </w:pPr>
            <w:r>
              <w:rPr>
                <w:rFonts w:hint="eastAsia" w:ascii="宋体" w:hAnsi="宋体" w:cs="宋体"/>
                <w:b/>
                <w:bCs/>
                <w:color w:val="auto"/>
                <w:kern w:val="0"/>
                <w:sz w:val="22"/>
                <w:szCs w:val="22"/>
              </w:rPr>
              <w:t>系统名称</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b/>
                <w:bCs/>
                <w:color w:val="auto"/>
                <w:kern w:val="0"/>
                <w:sz w:val="22"/>
                <w:szCs w:val="22"/>
              </w:rPr>
            </w:pPr>
            <w:r>
              <w:rPr>
                <w:rFonts w:hint="eastAsia" w:ascii="宋体" w:hAnsi="宋体" w:cs="宋体"/>
                <w:b/>
                <w:bCs/>
                <w:color w:val="auto"/>
                <w:kern w:val="0"/>
                <w:sz w:val="22"/>
                <w:szCs w:val="22"/>
              </w:rPr>
              <w:t>是否自建</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1</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温州市便行温州数字服务</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2</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温州市智慧交通综合执法分应用</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3</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温州市区道路交通运行指数系统</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4</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温州市重点车辆协同监控系统</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5</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温州市智慧交通综合信息系统</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6</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温州交通执法数字化监管系统</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7</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温州市出租网约监管系统</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8</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温州12328监督服务热线系统</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9</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温州交通重点区域非现场数字化监管系统</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10</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温州市公路应急指挥系统</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11</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温州智慧港航数据中心及应用系统</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12</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温州巡游车移动端应用</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13</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温州瓯江数字航道服务与管理系统</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14</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温州市网络预约出租汽车申报服务管理系统</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r>
        <w:tblPrEx>
          <w:tblCellMar>
            <w:top w:w="0" w:type="dxa"/>
            <w:left w:w="108" w:type="dxa"/>
            <w:bottom w:w="0" w:type="dxa"/>
            <w:right w:w="108" w:type="dxa"/>
          </w:tblCellMar>
        </w:tblPrEx>
        <w:trPr>
          <w:trHeight w:val="270" w:hRule="atLeast"/>
          <w:jc w:val="center"/>
        </w:trPr>
        <w:tc>
          <w:tcPr>
            <w:tcW w:w="439" w:type="pct"/>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15</w:t>
            </w:r>
          </w:p>
        </w:tc>
        <w:tc>
          <w:tcPr>
            <w:tcW w:w="3217"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color w:val="auto"/>
              </w:rPr>
              <w:t>温州市船舶流量监管系统</w:t>
            </w:r>
          </w:p>
        </w:tc>
        <w:tc>
          <w:tcPr>
            <w:tcW w:w="1342" w:type="pct"/>
            <w:tcBorders>
              <w:top w:val="nil"/>
              <w:left w:val="nil"/>
              <w:bottom w:val="single" w:color="auto" w:sz="4" w:space="0"/>
              <w:right w:val="single" w:color="auto" w:sz="4" w:space="0"/>
            </w:tcBorders>
            <w:vAlign w:val="center"/>
          </w:tcPr>
          <w:p>
            <w:pPr>
              <w:widowControl/>
              <w:spacing w:line="400" w:lineRule="exact"/>
              <w:jc w:val="center"/>
              <w:rPr>
                <w:rFonts w:ascii="宋体" w:hAnsi="宋体" w:cs="宋体"/>
                <w:color w:val="auto"/>
                <w:kern w:val="0"/>
                <w:sz w:val="22"/>
                <w:szCs w:val="22"/>
              </w:rPr>
            </w:pPr>
            <w:r>
              <w:rPr>
                <w:rFonts w:hint="eastAsia" w:ascii="宋体" w:hAnsi="宋体" w:cs="宋体"/>
                <w:color w:val="auto"/>
                <w:kern w:val="0"/>
                <w:sz w:val="22"/>
                <w:szCs w:val="22"/>
              </w:rPr>
              <w:t>是</w:t>
            </w:r>
          </w:p>
        </w:tc>
      </w:tr>
    </w:tbl>
    <w:p>
      <w:pPr>
        <w:spacing w:line="400" w:lineRule="exact"/>
        <w:ind w:firstLine="241" w:firstLineChars="100"/>
        <w:jc w:val="center"/>
        <w:rPr>
          <w:rFonts w:ascii="宋体" w:hAnsi="宋体" w:cs="宋体"/>
          <w:color w:val="auto"/>
          <w:sz w:val="22"/>
          <w:szCs w:val="22"/>
        </w:rPr>
      </w:pPr>
      <w:r>
        <w:rPr>
          <w:rFonts w:hint="eastAsia" w:ascii="宋体" w:hAnsi="宋体" w:cs="宋体"/>
          <w:b/>
          <w:bCs/>
          <w:color w:val="auto"/>
          <w:sz w:val="24"/>
        </w:rPr>
        <w:t>（</w:t>
      </w:r>
      <w:r>
        <w:rPr>
          <w:rFonts w:ascii="宋体" w:hAnsi="宋体" w:cs="宋体"/>
          <w:b/>
          <w:bCs/>
          <w:color w:val="auto"/>
          <w:sz w:val="24"/>
        </w:rPr>
        <w:t>2）外包人员管理考核表</w:t>
      </w:r>
    </w:p>
    <w:p>
      <w:pPr>
        <w:spacing w:line="400" w:lineRule="exact"/>
        <w:rPr>
          <w:rFonts w:ascii="宋体" w:hAnsi="宋体" w:cs="宋体"/>
          <w:color w:val="auto"/>
          <w:sz w:val="22"/>
          <w:szCs w:val="22"/>
        </w:rPr>
      </w:pPr>
      <w:r>
        <w:rPr>
          <w:rFonts w:hint="eastAsia" w:ascii="宋体" w:hAnsi="宋体" w:cs="宋体"/>
          <w:color w:val="auto"/>
          <w:sz w:val="22"/>
          <w:szCs w:val="22"/>
        </w:rPr>
        <w:t>被考核人：</w:t>
      </w:r>
      <w:r>
        <w:rPr>
          <w:rFonts w:ascii="宋体" w:hAnsi="宋体" w:cs="宋体"/>
          <w:color w:val="auto"/>
          <w:sz w:val="22"/>
          <w:szCs w:val="22"/>
        </w:rPr>
        <w:t xml:space="preserve">                             </w:t>
      </w:r>
      <w:r>
        <w:rPr>
          <w:rFonts w:hint="eastAsia" w:ascii="宋体" w:hAnsi="宋体" w:cs="宋体"/>
          <w:color w:val="auto"/>
          <w:sz w:val="22"/>
          <w:szCs w:val="22"/>
        </w:rPr>
        <w:t>考核时间：</w:t>
      </w:r>
      <w:r>
        <w:rPr>
          <w:rFonts w:ascii="宋体" w:hAnsi="宋体" w:cs="宋体"/>
          <w:color w:val="auto"/>
          <w:sz w:val="22"/>
          <w:szCs w:val="22"/>
        </w:rPr>
        <w:t xml:space="preserve">      </w:t>
      </w:r>
      <w:r>
        <w:rPr>
          <w:rFonts w:hint="eastAsia" w:ascii="宋体" w:hAnsi="宋体" w:cs="宋体"/>
          <w:color w:val="auto"/>
          <w:sz w:val="22"/>
          <w:szCs w:val="22"/>
        </w:rPr>
        <w:t>年</w:t>
      </w:r>
      <w:r>
        <w:rPr>
          <w:rFonts w:ascii="宋体" w:hAnsi="宋体" w:cs="宋体"/>
          <w:color w:val="auto"/>
          <w:sz w:val="22"/>
          <w:szCs w:val="22"/>
        </w:rPr>
        <w:t xml:space="preserve">     </w:t>
      </w:r>
      <w:r>
        <w:rPr>
          <w:rFonts w:hint="eastAsia" w:ascii="宋体" w:hAnsi="宋体" w:cs="宋体"/>
          <w:color w:val="auto"/>
          <w:sz w:val="22"/>
          <w:szCs w:val="22"/>
        </w:rPr>
        <w:t>月</w:t>
      </w:r>
    </w:p>
    <w:tbl>
      <w:tblPr>
        <w:tblStyle w:val="63"/>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
        <w:gridCol w:w="999"/>
        <w:gridCol w:w="1001"/>
        <w:gridCol w:w="4667"/>
        <w:gridCol w:w="999"/>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Borders>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考核指标</w:t>
            </w:r>
          </w:p>
        </w:tc>
        <w:tc>
          <w:tcPr>
            <w:tcW w:w="850" w:type="dxa"/>
            <w:tcBorders>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指标分值</w:t>
            </w:r>
          </w:p>
        </w:tc>
        <w:tc>
          <w:tcPr>
            <w:tcW w:w="851" w:type="dxa"/>
            <w:tcBorders>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项目序号</w:t>
            </w:r>
          </w:p>
        </w:tc>
        <w:tc>
          <w:tcPr>
            <w:tcW w:w="3969" w:type="dxa"/>
            <w:tcBorders>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考核内容</w:t>
            </w:r>
          </w:p>
        </w:tc>
        <w:tc>
          <w:tcPr>
            <w:tcW w:w="850" w:type="dxa"/>
            <w:tcBorders>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最高分值</w:t>
            </w:r>
          </w:p>
        </w:tc>
        <w:tc>
          <w:tcPr>
            <w:tcW w:w="930" w:type="dxa"/>
            <w:tcBorders>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本月工作业绩</w:t>
            </w:r>
          </w:p>
        </w:tc>
        <w:tc>
          <w:tcPr>
            <w:tcW w:w="850"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50</w:t>
            </w:r>
          </w:p>
        </w:tc>
        <w:tc>
          <w:tcPr>
            <w:tcW w:w="851"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1</w:t>
            </w:r>
          </w:p>
        </w:tc>
        <w:tc>
          <w:tcPr>
            <w:tcW w:w="3969"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日常工作完成情况，工作效率与工作计划要求是否相符。工作质量是否符合职责要求，是否出现重大失误</w:t>
            </w:r>
          </w:p>
        </w:tc>
        <w:tc>
          <w:tcPr>
            <w:tcW w:w="85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25</w:t>
            </w:r>
          </w:p>
        </w:tc>
        <w:tc>
          <w:tcPr>
            <w:tcW w:w="93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Merge w:val="continue"/>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c>
          <w:tcPr>
            <w:tcW w:w="850" w:type="dxa"/>
            <w:vMerge w:val="continue"/>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c>
          <w:tcPr>
            <w:tcW w:w="851"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2</w:t>
            </w:r>
          </w:p>
        </w:tc>
        <w:tc>
          <w:tcPr>
            <w:tcW w:w="3969"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项目工作完成情况，工作效率与工作计划要求是否相符。工作质量是否符合职责要求，是否出现重大失误。</w:t>
            </w:r>
          </w:p>
        </w:tc>
        <w:tc>
          <w:tcPr>
            <w:tcW w:w="85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25</w:t>
            </w:r>
          </w:p>
        </w:tc>
        <w:tc>
          <w:tcPr>
            <w:tcW w:w="93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846"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工作能力</w:t>
            </w:r>
          </w:p>
        </w:tc>
        <w:tc>
          <w:tcPr>
            <w:tcW w:w="850"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10</w:t>
            </w:r>
          </w:p>
        </w:tc>
        <w:tc>
          <w:tcPr>
            <w:tcW w:w="851"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1</w:t>
            </w:r>
          </w:p>
        </w:tc>
        <w:tc>
          <w:tcPr>
            <w:tcW w:w="3969"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是否主动解决工作中遇到的问题。</w:t>
            </w:r>
          </w:p>
        </w:tc>
        <w:tc>
          <w:tcPr>
            <w:tcW w:w="85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5</w:t>
            </w:r>
          </w:p>
        </w:tc>
        <w:tc>
          <w:tcPr>
            <w:tcW w:w="93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846" w:type="dxa"/>
            <w:vMerge w:val="continue"/>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c>
          <w:tcPr>
            <w:tcW w:w="850" w:type="dxa"/>
            <w:vMerge w:val="continue"/>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c>
          <w:tcPr>
            <w:tcW w:w="851"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2</w:t>
            </w:r>
          </w:p>
        </w:tc>
        <w:tc>
          <w:tcPr>
            <w:tcW w:w="3969"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独立完成工作能力是否符合要求。</w:t>
            </w:r>
          </w:p>
        </w:tc>
        <w:tc>
          <w:tcPr>
            <w:tcW w:w="85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5</w:t>
            </w:r>
          </w:p>
        </w:tc>
        <w:tc>
          <w:tcPr>
            <w:tcW w:w="93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6"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工作态度</w:t>
            </w:r>
          </w:p>
        </w:tc>
        <w:tc>
          <w:tcPr>
            <w:tcW w:w="850"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20</w:t>
            </w:r>
          </w:p>
        </w:tc>
        <w:tc>
          <w:tcPr>
            <w:tcW w:w="851"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1</w:t>
            </w:r>
          </w:p>
        </w:tc>
        <w:tc>
          <w:tcPr>
            <w:tcW w:w="3969"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工作是否有自觉性，积极性。积极主动完成领导交办的工作。</w:t>
            </w:r>
          </w:p>
        </w:tc>
        <w:tc>
          <w:tcPr>
            <w:tcW w:w="85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10</w:t>
            </w:r>
          </w:p>
        </w:tc>
        <w:tc>
          <w:tcPr>
            <w:tcW w:w="93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6" w:type="dxa"/>
            <w:vMerge w:val="continue"/>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c>
          <w:tcPr>
            <w:tcW w:w="850" w:type="dxa"/>
            <w:vMerge w:val="continue"/>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c>
          <w:tcPr>
            <w:tcW w:w="851"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2</w:t>
            </w:r>
          </w:p>
        </w:tc>
        <w:tc>
          <w:tcPr>
            <w:tcW w:w="3969"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是否团结协作，是否尊重他人和集体荣誉感。</w:t>
            </w:r>
          </w:p>
        </w:tc>
        <w:tc>
          <w:tcPr>
            <w:tcW w:w="85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10</w:t>
            </w:r>
          </w:p>
        </w:tc>
        <w:tc>
          <w:tcPr>
            <w:tcW w:w="93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46"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劳动纪律</w:t>
            </w:r>
          </w:p>
        </w:tc>
        <w:tc>
          <w:tcPr>
            <w:tcW w:w="850" w:type="dxa"/>
            <w:vMerge w:val="restart"/>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20</w:t>
            </w:r>
          </w:p>
        </w:tc>
        <w:tc>
          <w:tcPr>
            <w:tcW w:w="851"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1</w:t>
            </w:r>
          </w:p>
        </w:tc>
        <w:tc>
          <w:tcPr>
            <w:tcW w:w="3969"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自觉遵守劳动纪律和各种规章制度，没有迟到早退现象。</w:t>
            </w:r>
          </w:p>
        </w:tc>
        <w:tc>
          <w:tcPr>
            <w:tcW w:w="85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10</w:t>
            </w:r>
          </w:p>
        </w:tc>
        <w:tc>
          <w:tcPr>
            <w:tcW w:w="93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46" w:type="dxa"/>
            <w:vMerge w:val="continue"/>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c>
          <w:tcPr>
            <w:tcW w:w="850" w:type="dxa"/>
            <w:vMerge w:val="continue"/>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c>
          <w:tcPr>
            <w:tcW w:w="851"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2</w:t>
            </w:r>
          </w:p>
        </w:tc>
        <w:tc>
          <w:tcPr>
            <w:tcW w:w="3969"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服从管理，服从调配，没有不良记录。</w:t>
            </w:r>
          </w:p>
        </w:tc>
        <w:tc>
          <w:tcPr>
            <w:tcW w:w="85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ascii="宋体" w:hAnsi="宋体" w:cs="宋体"/>
                <w:color w:val="auto"/>
                <w:sz w:val="22"/>
                <w:szCs w:val="22"/>
              </w:rPr>
              <w:t>10</w:t>
            </w:r>
          </w:p>
        </w:tc>
        <w:tc>
          <w:tcPr>
            <w:tcW w:w="93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547" w:type="dxa"/>
            <w:gridSpan w:val="3"/>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r>
              <w:rPr>
                <w:rFonts w:hint="eastAsia" w:ascii="宋体" w:hAnsi="宋体" w:cs="宋体"/>
                <w:color w:val="auto"/>
                <w:sz w:val="22"/>
                <w:szCs w:val="22"/>
              </w:rPr>
              <w:t>合计得分</w:t>
            </w:r>
          </w:p>
        </w:tc>
        <w:tc>
          <w:tcPr>
            <w:tcW w:w="3969"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c>
          <w:tcPr>
            <w:tcW w:w="85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c>
          <w:tcPr>
            <w:tcW w:w="930" w:type="dxa"/>
            <w:tcBorders>
              <w:top w:val="single" w:color="auto" w:sz="4" w:space="0"/>
              <w:left w:val="single" w:color="auto" w:sz="4" w:space="0"/>
              <w:right w:val="single" w:color="auto" w:sz="4" w:space="0"/>
            </w:tcBorders>
            <w:vAlign w:val="center"/>
          </w:tcPr>
          <w:p>
            <w:pPr>
              <w:spacing w:line="400" w:lineRule="exact"/>
              <w:rPr>
                <w:rFonts w:ascii="宋体" w:hAnsi="宋体" w:cs="宋体"/>
                <w:color w:val="auto"/>
                <w:sz w:val="22"/>
                <w:szCs w:val="22"/>
              </w:rPr>
            </w:pPr>
          </w:p>
        </w:tc>
      </w:tr>
    </w:tbl>
    <w:p>
      <w:pPr>
        <w:spacing w:line="400" w:lineRule="exact"/>
        <w:rPr>
          <w:rFonts w:ascii="宋体" w:hAnsi="宋体" w:cs="宋体"/>
          <w:color w:val="auto"/>
          <w:sz w:val="22"/>
          <w:szCs w:val="22"/>
        </w:rPr>
      </w:pPr>
      <w:r>
        <w:rPr>
          <w:rFonts w:hint="eastAsia" w:ascii="宋体" w:hAnsi="宋体" w:cs="宋体"/>
          <w:color w:val="auto"/>
          <w:sz w:val="22"/>
          <w:szCs w:val="22"/>
        </w:rPr>
        <w:t>服务单位审核签字</w:t>
      </w:r>
      <w:r>
        <w:rPr>
          <w:rFonts w:ascii="宋体" w:hAnsi="宋体" w:cs="宋体"/>
          <w:color w:val="auto"/>
          <w:sz w:val="22"/>
          <w:szCs w:val="22"/>
        </w:rPr>
        <w:t>:</w:t>
      </w:r>
    </w:p>
    <w:p>
      <w:pPr>
        <w:spacing w:line="400" w:lineRule="exact"/>
        <w:rPr>
          <w:rFonts w:ascii="宋体" w:hAnsi="宋体" w:cs="宋体"/>
          <w:color w:val="auto"/>
          <w:sz w:val="22"/>
          <w:szCs w:val="22"/>
        </w:rPr>
      </w:pPr>
      <w:r>
        <w:rPr>
          <w:rFonts w:hint="eastAsia" w:ascii="宋体" w:hAnsi="宋体" w:cs="宋体"/>
          <w:color w:val="auto"/>
          <w:sz w:val="22"/>
          <w:szCs w:val="22"/>
        </w:rPr>
        <w:t>注:</w:t>
      </w:r>
    </w:p>
    <w:p>
      <w:pPr>
        <w:spacing w:line="400" w:lineRule="exact"/>
        <w:rPr>
          <w:rFonts w:ascii="宋体" w:hAnsi="宋体" w:cs="宋体"/>
          <w:color w:val="auto"/>
          <w:sz w:val="22"/>
          <w:szCs w:val="22"/>
        </w:rPr>
      </w:pPr>
      <w:r>
        <w:rPr>
          <w:rFonts w:hint="eastAsia" w:ascii="宋体" w:hAnsi="宋体" w:cs="宋体"/>
          <w:color w:val="auto"/>
          <w:sz w:val="22"/>
          <w:szCs w:val="22"/>
        </w:rPr>
        <w:t>日常工作出现重大失误，扣1-10分；</w:t>
      </w:r>
    </w:p>
    <w:p>
      <w:pPr>
        <w:spacing w:line="400" w:lineRule="exact"/>
        <w:rPr>
          <w:rFonts w:ascii="宋体" w:hAnsi="宋体" w:cs="宋体"/>
          <w:color w:val="auto"/>
          <w:sz w:val="22"/>
          <w:szCs w:val="22"/>
        </w:rPr>
      </w:pPr>
      <w:r>
        <w:rPr>
          <w:rFonts w:hint="eastAsia" w:ascii="宋体" w:hAnsi="宋体" w:cs="宋体"/>
          <w:color w:val="auto"/>
          <w:sz w:val="22"/>
          <w:szCs w:val="22"/>
        </w:rPr>
        <w:t>负责的项目出现重大失误，扣1-10分；</w:t>
      </w:r>
    </w:p>
    <w:p>
      <w:pPr>
        <w:spacing w:line="400" w:lineRule="exact"/>
        <w:rPr>
          <w:rFonts w:ascii="宋体" w:hAnsi="宋体" w:cs="宋体"/>
          <w:color w:val="auto"/>
          <w:sz w:val="22"/>
          <w:szCs w:val="22"/>
        </w:rPr>
      </w:pPr>
      <w:r>
        <w:rPr>
          <w:rFonts w:hint="eastAsia" w:ascii="宋体" w:hAnsi="宋体" w:cs="宋体"/>
          <w:color w:val="auto"/>
          <w:sz w:val="22"/>
          <w:szCs w:val="22"/>
        </w:rPr>
        <w:t>工作能力提升，获得与工作相关证书，初级证书加1</w:t>
      </w:r>
      <w:r>
        <w:rPr>
          <w:rFonts w:ascii="宋体" w:hAnsi="宋体" w:cs="宋体"/>
          <w:color w:val="auto"/>
          <w:sz w:val="22"/>
          <w:szCs w:val="22"/>
        </w:rPr>
        <w:t>分</w:t>
      </w:r>
      <w:r>
        <w:rPr>
          <w:rFonts w:hint="eastAsia" w:ascii="宋体" w:hAnsi="宋体" w:cs="宋体"/>
          <w:color w:val="auto"/>
          <w:sz w:val="22"/>
          <w:szCs w:val="22"/>
        </w:rPr>
        <w:t>，中级证书加3分，高级证书加5分；</w:t>
      </w:r>
    </w:p>
    <w:p>
      <w:pPr>
        <w:spacing w:line="400" w:lineRule="exact"/>
        <w:rPr>
          <w:rFonts w:ascii="宋体" w:hAnsi="宋体" w:cs="宋体"/>
          <w:color w:val="auto"/>
          <w:sz w:val="22"/>
          <w:szCs w:val="22"/>
        </w:rPr>
      </w:pPr>
      <w:r>
        <w:rPr>
          <w:rFonts w:hint="eastAsia" w:ascii="宋体" w:hAnsi="宋体" w:cs="宋体"/>
          <w:color w:val="auto"/>
          <w:sz w:val="22"/>
          <w:szCs w:val="22"/>
        </w:rPr>
        <w:t>劳动纪律同局里相关制度，迟到早退发现一次扣1分；</w:t>
      </w:r>
    </w:p>
    <w:p>
      <w:pPr>
        <w:pStyle w:val="25"/>
        <w:rPr>
          <w:color w:val="auto"/>
        </w:rPr>
      </w:pPr>
    </w:p>
    <w:p>
      <w:pPr>
        <w:spacing w:line="400" w:lineRule="exact"/>
        <w:jc w:val="center"/>
        <w:rPr>
          <w:rFonts w:ascii="宋体" w:hAnsi="宋体" w:cs="宋体"/>
          <w:b/>
          <w:bCs/>
          <w:color w:val="auto"/>
          <w:sz w:val="24"/>
        </w:rPr>
      </w:pPr>
      <w:r>
        <w:rPr>
          <w:rFonts w:hint="eastAsia" w:ascii="宋体" w:hAnsi="宋体" w:cs="宋体"/>
          <w:b/>
          <w:bCs/>
          <w:color w:val="auto"/>
          <w:sz w:val="24"/>
        </w:rPr>
        <w:t>（3）相应服务报表要求见下表：</w:t>
      </w:r>
    </w:p>
    <w:tbl>
      <w:tblPr>
        <w:tblStyle w:val="63"/>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3826"/>
        <w:gridCol w:w="3887"/>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Borders>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序号</w:t>
            </w:r>
          </w:p>
        </w:tc>
        <w:tc>
          <w:tcPr>
            <w:tcW w:w="3231" w:type="dxa"/>
            <w:tcBorders>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服务内容</w:t>
            </w:r>
          </w:p>
        </w:tc>
        <w:tc>
          <w:tcPr>
            <w:tcW w:w="3283" w:type="dxa"/>
            <w:tcBorders>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输出台账</w:t>
            </w:r>
          </w:p>
        </w:tc>
        <w:tc>
          <w:tcPr>
            <w:tcW w:w="856" w:type="dxa"/>
            <w:tcBorders>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869" w:type="dxa"/>
            <w:tcBorders>
              <w:top w:val="single" w:color="auto" w:sz="4" w:space="0"/>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1</w:t>
            </w:r>
          </w:p>
        </w:tc>
        <w:tc>
          <w:tcPr>
            <w:tcW w:w="3231" w:type="dxa"/>
            <w:tcBorders>
              <w:top w:val="single" w:color="auto" w:sz="4" w:space="0"/>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信息化技术服务</w:t>
            </w:r>
          </w:p>
        </w:tc>
        <w:tc>
          <w:tcPr>
            <w:tcW w:w="3283" w:type="dxa"/>
            <w:tcBorders>
              <w:top w:val="single" w:color="auto" w:sz="4" w:space="0"/>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驻场人员周报</w:t>
            </w:r>
          </w:p>
        </w:tc>
        <w:tc>
          <w:tcPr>
            <w:tcW w:w="856" w:type="dxa"/>
            <w:tcBorders>
              <w:top w:val="single" w:color="auto" w:sz="4" w:space="0"/>
              <w:left w:val="single" w:color="auto" w:sz="4" w:space="0"/>
              <w:right w:val="single" w:color="auto" w:sz="4" w:space="0"/>
            </w:tcBorders>
          </w:tcPr>
          <w:p>
            <w:pPr>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2</w:t>
            </w:r>
          </w:p>
        </w:tc>
        <w:tc>
          <w:tcPr>
            <w:tcW w:w="323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信息化技术服务</w:t>
            </w:r>
          </w:p>
        </w:tc>
        <w:tc>
          <w:tcPr>
            <w:tcW w:w="328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满意度调查表</w:t>
            </w:r>
          </w:p>
        </w:tc>
        <w:tc>
          <w:tcPr>
            <w:tcW w:w="85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3</w:t>
            </w:r>
          </w:p>
        </w:tc>
        <w:tc>
          <w:tcPr>
            <w:tcW w:w="3231"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信息化技术服务</w:t>
            </w:r>
          </w:p>
        </w:tc>
        <w:tc>
          <w:tcPr>
            <w:tcW w:w="3283"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外包人员管理考核表</w:t>
            </w:r>
          </w:p>
        </w:tc>
        <w:tc>
          <w:tcPr>
            <w:tcW w:w="856"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Borders>
              <w:top w:val="single" w:color="auto" w:sz="4" w:space="0"/>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4</w:t>
            </w:r>
          </w:p>
        </w:tc>
        <w:tc>
          <w:tcPr>
            <w:tcW w:w="3231" w:type="dxa"/>
            <w:tcBorders>
              <w:top w:val="single" w:color="auto" w:sz="4" w:space="0"/>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信息化技术服务</w:t>
            </w:r>
          </w:p>
        </w:tc>
        <w:tc>
          <w:tcPr>
            <w:tcW w:w="3283" w:type="dxa"/>
            <w:tcBorders>
              <w:top w:val="single" w:color="auto" w:sz="4" w:space="0"/>
              <w:left w:val="single" w:color="auto" w:sz="4" w:space="0"/>
              <w:right w:val="single" w:color="auto" w:sz="4" w:space="0"/>
            </w:tcBorders>
          </w:tcPr>
          <w:p>
            <w:pPr>
              <w:spacing w:line="400" w:lineRule="exact"/>
              <w:rPr>
                <w:rFonts w:ascii="宋体" w:hAnsi="宋体" w:cs="宋体"/>
                <w:color w:val="auto"/>
                <w:sz w:val="22"/>
                <w:szCs w:val="22"/>
              </w:rPr>
            </w:pPr>
            <w:r>
              <w:rPr>
                <w:rFonts w:hint="eastAsia" w:ascii="宋体" w:hAnsi="宋体" w:cs="宋体"/>
                <w:color w:val="auto"/>
                <w:sz w:val="22"/>
                <w:szCs w:val="22"/>
              </w:rPr>
              <w:t>年度总结报告</w:t>
            </w:r>
          </w:p>
        </w:tc>
        <w:tc>
          <w:tcPr>
            <w:tcW w:w="856" w:type="dxa"/>
            <w:tcBorders>
              <w:top w:val="single" w:color="auto" w:sz="4" w:space="0"/>
              <w:left w:val="single" w:color="auto" w:sz="4" w:space="0"/>
              <w:right w:val="single" w:color="auto" w:sz="4" w:space="0"/>
            </w:tcBorders>
          </w:tcPr>
          <w:p>
            <w:pPr>
              <w:spacing w:line="400" w:lineRule="exact"/>
              <w:rPr>
                <w:rFonts w:ascii="宋体" w:hAnsi="宋体" w:cs="宋体"/>
                <w:color w:val="auto"/>
                <w:sz w:val="22"/>
                <w:szCs w:val="22"/>
              </w:rPr>
            </w:pPr>
          </w:p>
        </w:tc>
      </w:tr>
    </w:tbl>
    <w:p>
      <w:pPr>
        <w:spacing w:line="400" w:lineRule="exact"/>
        <w:rPr>
          <w:rFonts w:ascii="宋体" w:hAnsi="宋体" w:cs="宋体"/>
          <w:color w:val="auto"/>
          <w:sz w:val="22"/>
          <w:szCs w:val="22"/>
        </w:rPr>
      </w:pPr>
    </w:p>
    <w:p>
      <w:pPr>
        <w:numPr>
          <w:ilvl w:val="0"/>
          <w:numId w:val="46"/>
        </w:numPr>
        <w:spacing w:after="120" w:line="400" w:lineRule="exact"/>
        <w:rPr>
          <w:rFonts w:ascii="宋体" w:hAnsi="宋体" w:cs="宋体"/>
          <w:b/>
          <w:bCs/>
          <w:color w:val="auto"/>
          <w:kern w:val="0"/>
          <w:sz w:val="28"/>
          <w:szCs w:val="28"/>
        </w:rPr>
      </w:pPr>
      <w:r>
        <w:rPr>
          <w:rFonts w:hint="eastAsia" w:ascii="宋体" w:hAnsi="宋体" w:cs="宋体"/>
          <w:b/>
          <w:bCs/>
          <w:color w:val="auto"/>
          <w:kern w:val="0"/>
          <w:sz w:val="28"/>
          <w:szCs w:val="28"/>
        </w:rPr>
        <w:t>智慧交通专网及云服务器租用详细内容及要求</w:t>
      </w:r>
    </w:p>
    <w:p>
      <w:pPr>
        <w:tabs>
          <w:tab w:val="left" w:pos="720"/>
          <w:tab w:val="left" w:pos="5355"/>
        </w:tabs>
        <w:spacing w:line="400" w:lineRule="exact"/>
        <w:rPr>
          <w:rFonts w:ascii="宋体" w:hAnsi="宋体" w:cs="宋体"/>
          <w:b/>
          <w:bCs/>
          <w:color w:val="auto"/>
          <w:kern w:val="0"/>
          <w:sz w:val="22"/>
          <w:szCs w:val="22"/>
        </w:rPr>
      </w:pPr>
      <w:r>
        <w:rPr>
          <w:rFonts w:hint="eastAsia" w:ascii="宋体" w:hAnsi="宋体" w:cs="宋体"/>
          <w:b/>
          <w:bCs/>
          <w:color w:val="auto"/>
          <w:kern w:val="0"/>
          <w:sz w:val="22"/>
          <w:szCs w:val="22"/>
        </w:rPr>
        <w:t>（一）采购要求</w:t>
      </w:r>
    </w:p>
    <w:p>
      <w:pPr>
        <w:tabs>
          <w:tab w:val="left" w:pos="720"/>
          <w:tab w:val="left" w:pos="5355"/>
        </w:tabs>
        <w:spacing w:line="400" w:lineRule="exact"/>
        <w:rPr>
          <w:rFonts w:ascii="宋体" w:hAnsi="宋体" w:cs="宋体"/>
          <w:color w:val="auto"/>
          <w:kern w:val="0"/>
          <w:sz w:val="22"/>
          <w:szCs w:val="22"/>
        </w:rPr>
      </w:pPr>
      <w:bookmarkStart w:id="202" w:name="_Toc463709293"/>
      <w:r>
        <w:rPr>
          <w:rFonts w:hint="eastAsia" w:ascii="宋体" w:hAnsi="宋体" w:cs="宋体"/>
          <w:color w:val="auto"/>
          <w:kern w:val="0"/>
          <w:sz w:val="22"/>
          <w:szCs w:val="22"/>
        </w:rPr>
        <w:t>1、采购人通过租用</w:t>
      </w:r>
      <w:r>
        <w:rPr>
          <w:rFonts w:hint="eastAsia" w:ascii="宋体" w:hAnsi="宋体" w:cs="宋体"/>
          <w:color w:val="auto"/>
          <w:kern w:val="0"/>
          <w:sz w:val="22"/>
          <w:szCs w:val="22"/>
          <w:lang w:val="en-US" w:eastAsia="zh-CN"/>
        </w:rPr>
        <w:t>中标单位</w:t>
      </w:r>
      <w:r>
        <w:rPr>
          <w:rFonts w:hint="eastAsia" w:ascii="宋体" w:hAnsi="宋体" w:cs="宋体"/>
          <w:color w:val="auto"/>
          <w:kern w:val="0"/>
          <w:sz w:val="22"/>
          <w:szCs w:val="22"/>
        </w:rPr>
        <w:t>以下电路及公有云服务器，免收手续费、调测费，其接入光纤、光电转换设备、光纤模块的投资、建设、调试和维护均由</w:t>
      </w:r>
      <w:r>
        <w:rPr>
          <w:rFonts w:hint="eastAsia" w:ascii="宋体" w:hAnsi="宋体" w:cs="宋体"/>
          <w:color w:val="auto"/>
          <w:kern w:val="0"/>
          <w:sz w:val="22"/>
          <w:szCs w:val="22"/>
          <w:lang w:val="en-US" w:eastAsia="zh-CN"/>
        </w:rPr>
        <w:t>中标单位</w:t>
      </w:r>
      <w:r>
        <w:rPr>
          <w:rFonts w:hint="eastAsia" w:ascii="宋体" w:hAnsi="宋体" w:cs="宋体"/>
          <w:color w:val="auto"/>
          <w:kern w:val="0"/>
          <w:sz w:val="22"/>
          <w:szCs w:val="22"/>
        </w:rPr>
        <w:t>负责。</w:t>
      </w:r>
    </w:p>
    <w:p>
      <w:pPr>
        <w:tabs>
          <w:tab w:val="left" w:pos="720"/>
          <w:tab w:val="left" w:pos="5355"/>
        </w:tabs>
        <w:spacing w:line="400" w:lineRule="exact"/>
        <w:rPr>
          <w:rFonts w:ascii="宋体" w:hAnsi="宋体" w:cs="宋体"/>
          <w:color w:val="auto"/>
          <w:kern w:val="0"/>
          <w:sz w:val="22"/>
          <w:szCs w:val="22"/>
        </w:rPr>
      </w:pPr>
      <w:r>
        <w:rPr>
          <w:rFonts w:hint="eastAsia" w:ascii="宋体" w:hAnsi="宋体" w:cs="宋体"/>
          <w:color w:val="auto"/>
          <w:kern w:val="0"/>
          <w:sz w:val="22"/>
          <w:szCs w:val="22"/>
        </w:rPr>
        <w:t>2、采购清单：</w:t>
      </w:r>
    </w:p>
    <w:tbl>
      <w:tblPr>
        <w:tblStyle w:val="63"/>
        <w:tblW w:w="4950" w:type="pct"/>
        <w:jc w:val="center"/>
        <w:tblLayout w:type="fixed"/>
        <w:tblCellMar>
          <w:top w:w="0" w:type="dxa"/>
          <w:left w:w="108" w:type="dxa"/>
          <w:bottom w:w="0" w:type="dxa"/>
          <w:right w:w="108" w:type="dxa"/>
        </w:tblCellMar>
      </w:tblPr>
      <w:tblGrid>
        <w:gridCol w:w="823"/>
        <w:gridCol w:w="1915"/>
        <w:gridCol w:w="4992"/>
        <w:gridCol w:w="2025"/>
      </w:tblGrid>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sz w:val="22"/>
                <w:szCs w:val="22"/>
              </w:rPr>
              <w:t>序号</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sz w:val="22"/>
                <w:szCs w:val="22"/>
              </w:rPr>
              <w:t>类型</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sz w:val="22"/>
                <w:szCs w:val="22"/>
              </w:rPr>
              <w:t>名称</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jc w:val="center"/>
              <w:rPr>
                <w:rFonts w:asciiTheme="majorEastAsia" w:hAnsiTheme="majorEastAsia" w:eastAsiaTheme="majorEastAsia" w:cstheme="majorEastAsia"/>
                <w:b/>
                <w:bCs/>
                <w:color w:val="auto"/>
                <w:sz w:val="22"/>
                <w:szCs w:val="22"/>
              </w:rPr>
            </w:pPr>
            <w:r>
              <w:rPr>
                <w:rFonts w:hint="eastAsia" w:asciiTheme="majorEastAsia" w:hAnsiTheme="majorEastAsia" w:eastAsiaTheme="majorEastAsia" w:cstheme="majorEastAsia"/>
                <w:b/>
                <w:bCs/>
                <w:color w:val="auto"/>
                <w:sz w:val="22"/>
                <w:szCs w:val="22"/>
              </w:rPr>
              <w:t>用途</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1</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数字电路100M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val="en-US" w:eastAsia="zh-CN" w:bidi="ar"/>
              </w:rPr>
              <w:t>市</w:t>
            </w:r>
            <w:r>
              <w:rPr>
                <w:rFonts w:hint="eastAsia" w:asciiTheme="majorEastAsia" w:hAnsiTheme="majorEastAsia" w:eastAsiaTheme="majorEastAsia" w:cstheme="majorEastAsia"/>
                <w:color w:val="auto"/>
                <w:kern w:val="0"/>
                <w:sz w:val="22"/>
                <w:szCs w:val="22"/>
                <w:lang w:bidi="ar"/>
              </w:rPr>
              <w:t>交通机房-温州北管理站</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2</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数字电路100M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val="en-US" w:eastAsia="zh-CN" w:bidi="ar"/>
              </w:rPr>
              <w:t>市</w:t>
            </w:r>
            <w:r>
              <w:rPr>
                <w:rFonts w:hint="eastAsia" w:asciiTheme="majorEastAsia" w:hAnsiTheme="majorEastAsia" w:eastAsiaTheme="majorEastAsia" w:cstheme="majorEastAsia"/>
                <w:color w:val="auto"/>
                <w:kern w:val="0"/>
                <w:sz w:val="22"/>
                <w:szCs w:val="22"/>
                <w:lang w:bidi="ar"/>
              </w:rPr>
              <w:t>交通机房-移动云机房</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移动云专线（OA）</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3</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数字电路100M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val="en-US" w:eastAsia="zh-CN" w:bidi="ar"/>
              </w:rPr>
              <w:t>市</w:t>
            </w:r>
            <w:r>
              <w:rPr>
                <w:rFonts w:hint="eastAsia" w:asciiTheme="majorEastAsia" w:hAnsiTheme="majorEastAsia" w:eastAsiaTheme="majorEastAsia" w:cstheme="majorEastAsia"/>
                <w:color w:val="auto"/>
                <w:kern w:val="0"/>
                <w:sz w:val="22"/>
                <w:szCs w:val="22"/>
                <w:lang w:bidi="ar"/>
              </w:rPr>
              <w:t>交通机房</w:t>
            </w:r>
            <w:r>
              <w:rPr>
                <w:rFonts w:asciiTheme="majorEastAsia" w:hAnsiTheme="majorEastAsia" w:eastAsiaTheme="majorEastAsia" w:cstheme="majorEastAsia"/>
                <w:color w:val="auto"/>
                <w:kern w:val="0"/>
                <w:sz w:val="22"/>
                <w:szCs w:val="22"/>
                <w:lang w:bidi="ar"/>
              </w:rPr>
              <w:t>-永嘉管理站（峙口）</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4</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数字电路100M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val="en-US" w:eastAsia="zh-CN" w:bidi="ar"/>
              </w:rPr>
              <w:t>市</w:t>
            </w:r>
            <w:r>
              <w:rPr>
                <w:rFonts w:hint="eastAsia" w:asciiTheme="majorEastAsia" w:hAnsiTheme="majorEastAsia" w:eastAsiaTheme="majorEastAsia" w:cstheme="majorEastAsia"/>
                <w:color w:val="auto"/>
                <w:kern w:val="0"/>
                <w:sz w:val="22"/>
                <w:szCs w:val="22"/>
                <w:lang w:bidi="ar"/>
              </w:rPr>
              <w:t>交通机房-甬台温高速管理站（南白象）</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5</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数字电路100M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val="en-US" w:eastAsia="zh-CN" w:bidi="ar"/>
              </w:rPr>
              <w:t>市</w:t>
            </w:r>
            <w:r>
              <w:rPr>
                <w:rFonts w:hint="eastAsia" w:asciiTheme="majorEastAsia" w:hAnsiTheme="majorEastAsia" w:eastAsiaTheme="majorEastAsia" w:cstheme="majorEastAsia"/>
                <w:color w:val="auto"/>
                <w:kern w:val="0"/>
                <w:sz w:val="22"/>
                <w:szCs w:val="22"/>
                <w:lang w:bidi="ar"/>
              </w:rPr>
              <w:t>交通机房-执法队机房</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数据专线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6</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裸光纤</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val="en-US" w:eastAsia="zh-CN" w:bidi="ar"/>
              </w:rPr>
              <w:t>市</w:t>
            </w:r>
            <w:r>
              <w:rPr>
                <w:rFonts w:hint="eastAsia" w:asciiTheme="majorEastAsia" w:hAnsiTheme="majorEastAsia" w:eastAsiaTheme="majorEastAsia" w:cstheme="majorEastAsia"/>
                <w:color w:val="auto"/>
                <w:kern w:val="0"/>
                <w:sz w:val="22"/>
                <w:szCs w:val="22"/>
                <w:lang w:bidi="ar"/>
              </w:rPr>
              <w:t>交通机房-执法队机房</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数据容灾专线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7</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裸光纤</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val="en-US" w:eastAsia="zh-CN" w:bidi="ar"/>
              </w:rPr>
              <w:t>市</w:t>
            </w:r>
            <w:r>
              <w:rPr>
                <w:rFonts w:hint="eastAsia" w:asciiTheme="majorEastAsia" w:hAnsiTheme="majorEastAsia" w:eastAsiaTheme="majorEastAsia" w:cstheme="majorEastAsia"/>
                <w:color w:val="auto"/>
                <w:kern w:val="0"/>
                <w:sz w:val="22"/>
                <w:szCs w:val="22"/>
                <w:lang w:bidi="ar"/>
              </w:rPr>
              <w:t>交通机房-高新大厦</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办公专线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8</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裸光纤</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val="en-US" w:eastAsia="zh-CN" w:bidi="ar"/>
              </w:rPr>
              <w:t>市</w:t>
            </w:r>
            <w:r>
              <w:rPr>
                <w:rFonts w:hint="eastAsia" w:asciiTheme="majorEastAsia" w:hAnsiTheme="majorEastAsia" w:eastAsiaTheme="majorEastAsia" w:cstheme="majorEastAsia"/>
                <w:color w:val="auto"/>
                <w:kern w:val="0"/>
                <w:sz w:val="22"/>
                <w:szCs w:val="22"/>
                <w:lang w:bidi="ar"/>
              </w:rPr>
              <w:t>交通机房-执法队机房</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灾备专线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9</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APN10M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val="en-US" w:eastAsia="zh-CN" w:bidi="ar"/>
              </w:rPr>
              <w:t>市</w:t>
            </w:r>
            <w:r>
              <w:rPr>
                <w:rFonts w:hint="eastAsia" w:asciiTheme="majorEastAsia" w:hAnsiTheme="majorEastAsia" w:eastAsiaTheme="majorEastAsia" w:cstheme="majorEastAsia"/>
                <w:color w:val="auto"/>
                <w:kern w:val="0"/>
                <w:sz w:val="22"/>
                <w:szCs w:val="22"/>
                <w:lang w:bidi="ar"/>
              </w:rPr>
              <w:t>交通机房</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前端感知5G专线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10</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VPN1000M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交通局主节点</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前端感知设备移动主节点</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11</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金丽温高速管理站</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12</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绕城高速温州大桥</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13</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VPN20M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温州市瓯海区104国道K1937+220瓯海卡口</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龙门架专线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14</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VPN20M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温州市鹿城区330国道K110+510临江辖区</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龙门架专线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15</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VPN20M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温州市苍南县s232省道K1+620</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龙门架专线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16</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VPN20M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温州市苍南县104国道K2005+970苍南监控</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龙门架专线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17</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VPN20M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温州乐清市104国道K1811+660乐清卡口</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龙门架专线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18</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VPN20M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温州瑞安市330省道K23+960瑞安卡口</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龙门架专线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19</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VPN20M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温州市泰顺县58省道K3+470泰顺辖区</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龙门架专线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20</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VPN20M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温州市泰顺县58省道K56+730泰顺卡口</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龙门架专线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21</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VPN20M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温州市永嘉县104国道K1884+0永嘉卡口</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龙门架专线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22</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VPN20M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温州市永嘉县S223省道K34+780(仙永隧道)</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龙门架专线</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23</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u w:val="single"/>
              </w:rPr>
            </w:pPr>
            <w:r>
              <w:rPr>
                <w:rFonts w:hint="eastAsia" w:asciiTheme="majorEastAsia" w:hAnsiTheme="majorEastAsia" w:eastAsiaTheme="majorEastAsia" w:cstheme="majorEastAsia"/>
                <w:color w:val="auto"/>
                <w:kern w:val="0"/>
                <w:sz w:val="22"/>
                <w:szCs w:val="22"/>
                <w:lang w:bidi="ar"/>
              </w:rPr>
              <w:t>动车南站二楼</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24</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u w:val="single"/>
              </w:rPr>
            </w:pPr>
            <w:r>
              <w:rPr>
                <w:color w:val="auto"/>
              </w:rPr>
              <w:fldChar w:fldCharType="begin"/>
            </w:r>
            <w:r>
              <w:rPr>
                <w:color w:val="auto"/>
              </w:rPr>
              <w:instrText xml:space="preserve"> HYPERLINK "mailto:浙江省@温州市@永嘉县@上塘镇@温州市永嘉县上塘镇S223省道温州市交通运输局办公楼1楼" </w:instrText>
            </w:r>
            <w:r>
              <w:rPr>
                <w:color w:val="auto"/>
              </w:rPr>
              <w:fldChar w:fldCharType="separate"/>
            </w:r>
            <w:r>
              <w:rPr>
                <w:rStyle w:val="73"/>
                <w:rFonts w:hint="eastAsia" w:asciiTheme="majorEastAsia" w:hAnsiTheme="majorEastAsia" w:eastAsiaTheme="majorEastAsia" w:cstheme="majorEastAsia"/>
                <w:color w:val="auto"/>
                <w:sz w:val="22"/>
                <w:szCs w:val="22"/>
              </w:rPr>
              <w:t>浙江省@温州市@永嘉县@上塘镇@温州市永嘉县上塘镇S223省道温州市交通运输局办公楼1楼</w:t>
            </w:r>
            <w:r>
              <w:rPr>
                <w:rStyle w:val="73"/>
                <w:rFonts w:hint="eastAsia" w:asciiTheme="majorEastAsia" w:hAnsiTheme="majorEastAsia" w:eastAsiaTheme="majorEastAsia" w:cstheme="majorEastAsia"/>
                <w:color w:val="auto"/>
                <w:sz w:val="22"/>
                <w:szCs w:val="22"/>
              </w:rPr>
              <w:fldChar w:fldCharType="end"/>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25</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u w:val="single"/>
              </w:rPr>
            </w:pPr>
            <w:r>
              <w:rPr>
                <w:color w:val="auto"/>
              </w:rPr>
              <w:fldChar w:fldCharType="begin"/>
            </w:r>
            <w:r>
              <w:rPr>
                <w:color w:val="auto"/>
              </w:rPr>
              <w:instrText xml:space="preserve"> HYPERLINK "mailto:浙江省@温州市@乐清市@象阳镇@温州市乐清市雁楠线筋竹岭隧道K2+500" </w:instrText>
            </w:r>
            <w:r>
              <w:rPr>
                <w:color w:val="auto"/>
              </w:rPr>
              <w:fldChar w:fldCharType="separate"/>
            </w:r>
            <w:r>
              <w:rPr>
                <w:rStyle w:val="73"/>
                <w:rFonts w:hint="eastAsia" w:asciiTheme="majorEastAsia" w:hAnsiTheme="majorEastAsia" w:eastAsiaTheme="majorEastAsia" w:cstheme="majorEastAsia"/>
                <w:color w:val="auto"/>
                <w:sz w:val="22"/>
                <w:szCs w:val="22"/>
              </w:rPr>
              <w:t>浙江省@温州市@乐清市@象阳镇@温州市乐清市雁楠线筋竹岭隧道K2+500</w:t>
            </w:r>
            <w:r>
              <w:rPr>
                <w:rStyle w:val="73"/>
                <w:rFonts w:hint="eastAsia" w:asciiTheme="majorEastAsia" w:hAnsiTheme="majorEastAsia" w:eastAsiaTheme="majorEastAsia" w:cstheme="majorEastAsia"/>
                <w:color w:val="auto"/>
                <w:sz w:val="22"/>
                <w:szCs w:val="22"/>
              </w:rPr>
              <w:fldChar w:fldCharType="end"/>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26</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u w:val="single"/>
              </w:rPr>
            </w:pPr>
            <w:r>
              <w:rPr>
                <w:color w:val="auto"/>
              </w:rPr>
              <w:fldChar w:fldCharType="begin"/>
            </w:r>
            <w:r>
              <w:rPr>
                <w:color w:val="auto"/>
              </w:rPr>
              <w:instrText xml:space="preserve"> HYPERLINK "mailto:浙江省@温州市@平阳县@钱仓镇@包田村综合办公楼北" </w:instrText>
            </w:r>
            <w:r>
              <w:rPr>
                <w:color w:val="auto"/>
              </w:rPr>
              <w:fldChar w:fldCharType="separate"/>
            </w:r>
            <w:r>
              <w:rPr>
                <w:rStyle w:val="73"/>
                <w:rFonts w:hint="eastAsia" w:asciiTheme="majorEastAsia" w:hAnsiTheme="majorEastAsia" w:eastAsiaTheme="majorEastAsia" w:cstheme="majorEastAsia"/>
                <w:color w:val="auto"/>
                <w:sz w:val="22"/>
                <w:szCs w:val="22"/>
              </w:rPr>
              <w:t>浙江省@温州市@平阳县@钱仓镇@包田村综合办公楼北</w:t>
            </w:r>
            <w:r>
              <w:rPr>
                <w:rStyle w:val="73"/>
                <w:rFonts w:hint="eastAsia" w:asciiTheme="majorEastAsia" w:hAnsiTheme="majorEastAsia" w:eastAsiaTheme="majorEastAsia" w:cstheme="majorEastAsia"/>
                <w:color w:val="auto"/>
                <w:sz w:val="22"/>
                <w:szCs w:val="22"/>
              </w:rPr>
              <w:fldChar w:fldCharType="end"/>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27</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u w:val="single"/>
              </w:rPr>
            </w:pPr>
            <w:r>
              <w:rPr>
                <w:color w:val="auto"/>
              </w:rPr>
              <w:fldChar w:fldCharType="begin"/>
            </w:r>
            <w:r>
              <w:rPr>
                <w:color w:val="auto"/>
              </w:rPr>
              <w:instrText xml:space="preserve"> HYPERLINK "mailto:浙江省@温州市@洞头县@北岙镇@温州市洞头县X809大翁线K12+600" </w:instrText>
            </w:r>
            <w:r>
              <w:rPr>
                <w:color w:val="auto"/>
              </w:rPr>
              <w:fldChar w:fldCharType="separate"/>
            </w:r>
            <w:r>
              <w:rPr>
                <w:rStyle w:val="73"/>
                <w:rFonts w:hint="eastAsia" w:asciiTheme="majorEastAsia" w:hAnsiTheme="majorEastAsia" w:eastAsiaTheme="majorEastAsia" w:cstheme="majorEastAsia"/>
                <w:color w:val="auto"/>
                <w:sz w:val="22"/>
                <w:szCs w:val="22"/>
              </w:rPr>
              <w:t>浙江省@温州市@洞头县@北岙镇@温州市洞头县X809大翁线K12+600</w:t>
            </w:r>
            <w:r>
              <w:rPr>
                <w:rStyle w:val="73"/>
                <w:rFonts w:hint="eastAsia" w:asciiTheme="majorEastAsia" w:hAnsiTheme="majorEastAsia" w:eastAsiaTheme="majorEastAsia" w:cstheme="majorEastAsia"/>
                <w:color w:val="auto"/>
                <w:sz w:val="22"/>
                <w:szCs w:val="22"/>
              </w:rPr>
              <w:fldChar w:fldCharType="end"/>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28</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u w:val="single"/>
              </w:rPr>
            </w:pPr>
            <w:r>
              <w:rPr>
                <w:color w:val="auto"/>
              </w:rPr>
              <w:fldChar w:fldCharType="begin"/>
            </w:r>
            <w:r>
              <w:rPr>
                <w:color w:val="auto"/>
              </w:rPr>
              <w:instrText xml:space="preserve"> HYPERLINK "mailto:浙江省@温州市@永嘉县@五尺乡@温州市永嘉县s26a诸永延伸线K231+475.5（另一端）" </w:instrText>
            </w:r>
            <w:r>
              <w:rPr>
                <w:color w:val="auto"/>
              </w:rPr>
              <w:fldChar w:fldCharType="separate"/>
            </w:r>
            <w:r>
              <w:rPr>
                <w:rStyle w:val="73"/>
                <w:rFonts w:hint="eastAsia" w:asciiTheme="majorEastAsia" w:hAnsiTheme="majorEastAsia" w:eastAsiaTheme="majorEastAsia" w:cstheme="majorEastAsia"/>
                <w:color w:val="auto"/>
                <w:sz w:val="22"/>
                <w:szCs w:val="22"/>
              </w:rPr>
              <w:t>浙江省@温州市@永嘉县@五尺乡@温州市永嘉县s26a诸永延伸线K231+475.5（另一端）</w:t>
            </w:r>
            <w:r>
              <w:rPr>
                <w:rStyle w:val="73"/>
                <w:rFonts w:hint="eastAsia" w:asciiTheme="majorEastAsia" w:hAnsiTheme="majorEastAsia" w:eastAsiaTheme="majorEastAsia" w:cstheme="majorEastAsia"/>
                <w:color w:val="auto"/>
                <w:sz w:val="22"/>
                <w:szCs w:val="22"/>
              </w:rPr>
              <w:fldChar w:fldCharType="end"/>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29</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u w:val="single"/>
              </w:rPr>
            </w:pPr>
            <w:r>
              <w:rPr>
                <w:color w:val="auto"/>
              </w:rPr>
              <w:fldChar w:fldCharType="begin"/>
            </w:r>
            <w:r>
              <w:rPr>
                <w:color w:val="auto"/>
              </w:rPr>
              <w:instrText xml:space="preserve"> HYPERLINK "mailto:浙江省@温州市@永嘉县@五尺乡@温州市永嘉县s26a诸永延伸线K231+475.5" </w:instrText>
            </w:r>
            <w:r>
              <w:rPr>
                <w:color w:val="auto"/>
              </w:rPr>
              <w:fldChar w:fldCharType="separate"/>
            </w:r>
            <w:r>
              <w:rPr>
                <w:rStyle w:val="73"/>
                <w:rFonts w:hint="eastAsia" w:asciiTheme="majorEastAsia" w:hAnsiTheme="majorEastAsia" w:eastAsiaTheme="majorEastAsia" w:cstheme="majorEastAsia"/>
                <w:color w:val="auto"/>
                <w:sz w:val="22"/>
                <w:szCs w:val="22"/>
              </w:rPr>
              <w:t>浙江省@温州市@永嘉县@五尺乡@温州市永嘉县s26a诸永延伸线K231+475.5</w:t>
            </w:r>
            <w:r>
              <w:rPr>
                <w:rStyle w:val="73"/>
                <w:rFonts w:hint="eastAsia" w:asciiTheme="majorEastAsia" w:hAnsiTheme="majorEastAsia" w:eastAsiaTheme="majorEastAsia" w:cstheme="majorEastAsia"/>
                <w:color w:val="auto"/>
                <w:sz w:val="22"/>
                <w:szCs w:val="22"/>
              </w:rPr>
              <w:fldChar w:fldCharType="end"/>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30</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u w:val="single"/>
              </w:rPr>
            </w:pPr>
            <w:r>
              <w:rPr>
                <w:color w:val="auto"/>
              </w:rPr>
              <w:fldChar w:fldCharType="begin"/>
            </w:r>
            <w:r>
              <w:rPr>
                <w:color w:val="auto"/>
              </w:rPr>
              <w:instrText xml:space="preserve"> HYPERLINK "mailto:浙江省@温州市@鹿城区@洪殿街道@上堡公寓6幢2楼数字城管信息中心" </w:instrText>
            </w:r>
            <w:r>
              <w:rPr>
                <w:color w:val="auto"/>
              </w:rPr>
              <w:fldChar w:fldCharType="separate"/>
            </w:r>
            <w:r>
              <w:rPr>
                <w:rStyle w:val="73"/>
                <w:rFonts w:hint="eastAsia" w:asciiTheme="majorEastAsia" w:hAnsiTheme="majorEastAsia" w:eastAsiaTheme="majorEastAsia" w:cstheme="majorEastAsia"/>
                <w:color w:val="auto"/>
                <w:sz w:val="22"/>
                <w:szCs w:val="22"/>
              </w:rPr>
              <w:t>浙江省@温州市@鹿城区@洪殿街道@上堡公寓6幢2楼数字城管信息中心</w:t>
            </w:r>
            <w:r>
              <w:rPr>
                <w:rStyle w:val="73"/>
                <w:rFonts w:hint="eastAsia" w:asciiTheme="majorEastAsia" w:hAnsiTheme="majorEastAsia" w:eastAsiaTheme="majorEastAsia" w:cstheme="majorEastAsia"/>
                <w:color w:val="auto"/>
                <w:sz w:val="22"/>
                <w:szCs w:val="22"/>
              </w:rPr>
              <w:fldChar w:fldCharType="end"/>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31</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u w:val="single"/>
              </w:rPr>
            </w:pPr>
            <w:r>
              <w:rPr>
                <w:color w:val="auto"/>
              </w:rPr>
              <w:fldChar w:fldCharType="begin"/>
            </w:r>
            <w:r>
              <w:rPr>
                <w:color w:val="auto"/>
              </w:rPr>
              <w:instrText xml:space="preserve"> HYPERLINK "mailto:浙江省@温州市@洞头县@北岙镇@77省道延伸线内深门隧道口" </w:instrText>
            </w:r>
            <w:r>
              <w:rPr>
                <w:color w:val="auto"/>
              </w:rPr>
              <w:fldChar w:fldCharType="separate"/>
            </w:r>
            <w:r>
              <w:rPr>
                <w:rStyle w:val="73"/>
                <w:rFonts w:hint="eastAsia" w:asciiTheme="majorEastAsia" w:hAnsiTheme="majorEastAsia" w:eastAsiaTheme="majorEastAsia" w:cstheme="majorEastAsia"/>
                <w:color w:val="auto"/>
                <w:sz w:val="22"/>
                <w:szCs w:val="22"/>
              </w:rPr>
              <w:t>浙江省@温州市@洞头县@北岙镇@77省道延伸线内深门隧道口</w:t>
            </w:r>
            <w:r>
              <w:rPr>
                <w:rStyle w:val="73"/>
                <w:rFonts w:hint="eastAsia" w:asciiTheme="majorEastAsia" w:hAnsiTheme="majorEastAsia" w:eastAsiaTheme="majorEastAsia" w:cstheme="majorEastAsia"/>
                <w:color w:val="auto"/>
                <w:sz w:val="22"/>
                <w:szCs w:val="22"/>
              </w:rPr>
              <w:fldChar w:fldCharType="end"/>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32</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u w:val="single"/>
              </w:rPr>
            </w:pPr>
            <w:r>
              <w:rPr>
                <w:color w:val="auto"/>
              </w:rPr>
              <w:fldChar w:fldCharType="begin"/>
            </w:r>
            <w:r>
              <w:rPr>
                <w:color w:val="auto"/>
              </w:rPr>
              <w:instrText xml:space="preserve"> HYPERLINK "mailto:浙江省@温州市@文成县@百丈漈镇@S330%20瑞东线%20K44+850" </w:instrText>
            </w:r>
            <w:r>
              <w:rPr>
                <w:color w:val="auto"/>
              </w:rPr>
              <w:fldChar w:fldCharType="separate"/>
            </w:r>
            <w:r>
              <w:rPr>
                <w:rStyle w:val="73"/>
                <w:rFonts w:hint="eastAsia" w:asciiTheme="majorEastAsia" w:hAnsiTheme="majorEastAsia" w:eastAsiaTheme="majorEastAsia" w:cstheme="majorEastAsia"/>
                <w:color w:val="auto"/>
                <w:sz w:val="22"/>
                <w:szCs w:val="22"/>
              </w:rPr>
              <w:t>浙江省@温州市@文成县@百丈漈镇@S330 瑞东线 K44+850</w:t>
            </w:r>
            <w:r>
              <w:rPr>
                <w:rStyle w:val="73"/>
                <w:rFonts w:hint="eastAsia" w:asciiTheme="majorEastAsia" w:hAnsiTheme="majorEastAsia" w:eastAsiaTheme="majorEastAsia" w:cstheme="majorEastAsia"/>
                <w:color w:val="auto"/>
                <w:sz w:val="22"/>
                <w:szCs w:val="22"/>
              </w:rPr>
              <w:fldChar w:fldCharType="end"/>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33</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u w:val="single"/>
              </w:rPr>
            </w:pPr>
            <w:r>
              <w:rPr>
                <w:color w:val="auto"/>
              </w:rPr>
              <w:fldChar w:fldCharType="begin"/>
            </w:r>
            <w:r>
              <w:rPr>
                <w:color w:val="auto"/>
              </w:rPr>
              <w:instrText xml:space="preserve"> HYPERLINK "mailto:浙江省@温州市@乐清市@北白象镇@温州市乐清市G104%20京福线K1846+100" </w:instrText>
            </w:r>
            <w:r>
              <w:rPr>
                <w:color w:val="auto"/>
              </w:rPr>
              <w:fldChar w:fldCharType="separate"/>
            </w:r>
            <w:r>
              <w:rPr>
                <w:rStyle w:val="73"/>
                <w:rFonts w:hint="eastAsia" w:asciiTheme="majorEastAsia" w:hAnsiTheme="majorEastAsia" w:eastAsiaTheme="majorEastAsia" w:cstheme="majorEastAsia"/>
                <w:color w:val="auto"/>
                <w:sz w:val="22"/>
                <w:szCs w:val="22"/>
              </w:rPr>
              <w:t>浙江省@温州市@乐清市@北白象镇@温州市乐清市G104 京福线K1846+100</w:t>
            </w:r>
            <w:r>
              <w:rPr>
                <w:rStyle w:val="73"/>
                <w:rFonts w:hint="eastAsia" w:asciiTheme="majorEastAsia" w:hAnsiTheme="majorEastAsia" w:eastAsiaTheme="majorEastAsia" w:cstheme="majorEastAsia"/>
                <w:color w:val="auto"/>
                <w:sz w:val="22"/>
                <w:szCs w:val="22"/>
              </w:rPr>
              <w:fldChar w:fldCharType="end"/>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34</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u w:val="single"/>
              </w:rPr>
            </w:pPr>
            <w:r>
              <w:rPr>
                <w:color w:val="auto"/>
              </w:rPr>
              <w:fldChar w:fldCharType="begin"/>
            </w:r>
            <w:r>
              <w:rPr>
                <w:color w:val="auto"/>
              </w:rPr>
              <w:instrText xml:space="preserve"> HYPERLINK "mailto:浙江省@温州市@乐清市@雁湖乡@温州市乐清市雁楠线兰樟田隧道K17+198" </w:instrText>
            </w:r>
            <w:r>
              <w:rPr>
                <w:color w:val="auto"/>
              </w:rPr>
              <w:fldChar w:fldCharType="separate"/>
            </w:r>
            <w:r>
              <w:rPr>
                <w:rStyle w:val="73"/>
                <w:rFonts w:hint="eastAsia" w:asciiTheme="majorEastAsia" w:hAnsiTheme="majorEastAsia" w:eastAsiaTheme="majorEastAsia" w:cstheme="majorEastAsia"/>
                <w:color w:val="auto"/>
                <w:sz w:val="22"/>
                <w:szCs w:val="22"/>
              </w:rPr>
              <w:t>浙江省@温州市@乐清市@雁湖乡@温州市乐清市雁楠线兰樟田隧道K17+198</w:t>
            </w:r>
            <w:r>
              <w:rPr>
                <w:rStyle w:val="73"/>
                <w:rFonts w:hint="eastAsia" w:asciiTheme="majorEastAsia" w:hAnsiTheme="majorEastAsia" w:eastAsiaTheme="majorEastAsia" w:cstheme="majorEastAsia"/>
                <w:color w:val="auto"/>
                <w:sz w:val="22"/>
                <w:szCs w:val="22"/>
              </w:rPr>
              <w:fldChar w:fldCharType="end"/>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35</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sz w:val="22"/>
                <w:szCs w:val="22"/>
              </w:rPr>
            </w:pPr>
            <w:r>
              <w:rPr>
                <w:color w:val="auto"/>
              </w:rPr>
              <w:fldChar w:fldCharType="begin"/>
            </w:r>
            <w:r>
              <w:rPr>
                <w:color w:val="auto"/>
              </w:rPr>
              <w:instrText xml:space="preserve"> HYPERLINK "mailto:浙江省@温州市@文成县@百丈漈镇@S330%20瑞东线%20K90+000" </w:instrText>
            </w:r>
            <w:r>
              <w:rPr>
                <w:color w:val="auto"/>
              </w:rPr>
              <w:fldChar w:fldCharType="separate"/>
            </w:r>
            <w:r>
              <w:rPr>
                <w:rStyle w:val="73"/>
                <w:rFonts w:hint="eastAsia" w:asciiTheme="majorEastAsia" w:hAnsiTheme="majorEastAsia" w:eastAsiaTheme="majorEastAsia" w:cstheme="majorEastAsia"/>
                <w:color w:val="auto"/>
                <w:sz w:val="22"/>
                <w:szCs w:val="22"/>
              </w:rPr>
              <w:t>浙江省@温州市@文成县@百丈漈镇@S330 瑞东线 K90+000</w:t>
            </w:r>
            <w:r>
              <w:rPr>
                <w:rStyle w:val="73"/>
                <w:rFonts w:hint="eastAsia" w:asciiTheme="majorEastAsia" w:hAnsiTheme="majorEastAsia" w:eastAsiaTheme="majorEastAsia" w:cstheme="majorEastAsia"/>
                <w:color w:val="auto"/>
                <w:sz w:val="22"/>
                <w:szCs w:val="22"/>
              </w:rPr>
              <w:fldChar w:fldCharType="end"/>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36</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互联网专线50M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u w:val="single"/>
              </w:rPr>
            </w:pPr>
            <w:r>
              <w:rPr>
                <w:rFonts w:hint="eastAsia" w:asciiTheme="majorEastAsia" w:hAnsiTheme="majorEastAsia" w:eastAsiaTheme="majorEastAsia" w:cstheme="majorEastAsia"/>
                <w:color w:val="auto"/>
                <w:kern w:val="0"/>
                <w:sz w:val="22"/>
                <w:szCs w:val="22"/>
                <w:lang w:bidi="ar"/>
              </w:rPr>
              <w:t>浙江省温州市, 温州航区航运职工学校（交通综合办公大楼）温州市中心区A-06地块</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VPN专线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37</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裸光纤</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龙湾区新三路16号高新大厦16楼机房--鹿城区瓯江路1155号交通大楼M层中心机房</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办公网络备线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38</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裸光纤</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瓯江路1155号温州交通大楼m层机房--温州大道1792号市交通综合执法队7楼机房</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数据灾备线路</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39</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裸光纤</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瓯江路1155号温州交通大楼m层机房--温州大道1792号市交通综合执法队7楼机房</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数据灾备线路</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40</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裸光纤</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浙江省温州市, 滨海云计算中心--温州市瓯江路1155号交通局大楼</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政务云专线</w:t>
            </w:r>
          </w:p>
        </w:tc>
      </w:tr>
      <w:tr>
        <w:tblPrEx>
          <w:tblCellMar>
            <w:top w:w="0" w:type="dxa"/>
            <w:left w:w="108" w:type="dxa"/>
            <w:bottom w:w="0" w:type="dxa"/>
            <w:right w:w="108" w:type="dxa"/>
          </w:tblCellMar>
        </w:tblPrEx>
        <w:trPr>
          <w:trHeight w:val="94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41</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数字链路100M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温州市龙湾区状元街道富春江路2号2号电信机房（视联网）---温州市龙湾区蒲州街道新三路16号高新大厦21楼会议室</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视联网备线</w:t>
            </w:r>
          </w:p>
        </w:tc>
      </w:tr>
      <w:tr>
        <w:tblPrEx>
          <w:tblCellMar>
            <w:top w:w="0" w:type="dxa"/>
            <w:left w:w="108" w:type="dxa"/>
            <w:bottom w:w="0" w:type="dxa"/>
            <w:right w:w="108" w:type="dxa"/>
          </w:tblCellMar>
        </w:tblPrEx>
        <w:trPr>
          <w:trHeight w:val="94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42</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数字链路100M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温州市龙湾区状元街道富春江路2号2号电信机房（视联网）---温州市龙湾区蒲州街道新三路16号高新大厦2楼会议室</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视联网备线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43</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裸光纤</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温州市龙湾区蒲州街道温州高新技术产业开发区新三路高新大厦2层</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视联网专线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44</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裸光纤</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温州市龙湾区蒲州街道温州高新技术产业开发区新三路高新大厦21层</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视联网专线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45</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数字链路100M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温州市瓯江路1155号交通局大楼--明珠路788号滨海云计算</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交运视频专线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46</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数字链路10M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温州市瓯江路1155号交通局大楼--明珠路788号滨海云计算</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bottom"/>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公交一卡通加密机专线</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47</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状元街道天运码头</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监控，自动录制船舶到港作业</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48</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状元街道易通码头</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监控，自动录制船舶到港作业</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49</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状元街道中石化码头</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监控，自动录制船舶到港作业</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50</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状元街道燃料公司码头</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监控，自动录制船舶到港作业</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51</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瑶溪街道白楼下东海码头</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监控，自动录制船舶到港作业</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52</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瑶溪街道白楼下交通（建力）码头</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监控，自动录制船舶到港作业</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53</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瑶溪街道温州港集团龙湾作业区白楼下码头（西边泊位）</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监控，自动录制船舶到港作业</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54</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瑶溪街道温州港集团龙湾作业区万吨码头(东边滚装码头泊位）</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监控，自动录制船舶到港作业</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55</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瑶溪街道温州港口石化码头</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监控，自动录制船舶到港作业</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56</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海滨街道永兴能源码头</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监控，自动录制船舶到港作业</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57</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金海化工市场停车场1</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监控，自动录制船舶到港作业</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58</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金海化工市场停车场2</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监控，自动录制船舶到港作业</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59</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金海化工市场道路</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危货市场监管</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60</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仰义高速口</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危货市场监管</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61</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双屿高速口1</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危货市场监管</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62</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双屿高速口2</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危货市场监管</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63</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温州南高速口（增加1台）</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危货市场监管</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64</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温州南服务区1</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站外组客治理</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65</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温州南服务区2</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站外组客治理</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66</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潘桥高速口</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站外组客治理</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67</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娄桥高速口</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站外组客治理</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68</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温州东高速口</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站外组客治理</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69</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104国道仙岩段口</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站外组客治理</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70</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三溪高速口（新增点位）</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站外组客治理</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71</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大桥北收费站1</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站外组客治理</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72</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大桥北收费站2</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站外组客治理</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73</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永嘉三江G104瓯越大桥交叉口西南</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站外组客治理</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74</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永嘉瓯北长岙-2</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铁塔高位监控</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75</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瓯海丽岙第六人民医院南</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铁塔高位监控</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76</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温州瓯海104国道丽岙路段</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铁塔高位监控</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77</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瓯海丽岙新花鸟市场</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铁塔高位监控</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78</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瑞安华表西搬迁</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铁塔高位监控</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79</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瑞安汀田华表北</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铁塔高位监控</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80</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瑞安瑞安汀田大典下北</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铁塔高位监控</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81</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瑞安塘下岑头</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铁塔高位监控</w:t>
            </w:r>
          </w:p>
        </w:tc>
      </w:tr>
      <w:tr>
        <w:tblPrEx>
          <w:tblCellMar>
            <w:top w:w="0" w:type="dxa"/>
            <w:left w:w="108" w:type="dxa"/>
            <w:bottom w:w="0" w:type="dxa"/>
            <w:right w:w="108" w:type="dxa"/>
          </w:tblCellMar>
        </w:tblPrEx>
        <w:trPr>
          <w:trHeight w:val="32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82</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VPN 10M</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塘下高速出口</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lang w:bidi="ar"/>
              </w:rPr>
              <w:t>铁塔高位监控</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83</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rPr>
              <w:t>公有云服务器租用</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rPr>
              <w:t>监测数据接入服务器</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rPr>
              <w:t>监测数据接入服务器</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84</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rPr>
              <w:t>公有云服务器租用</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rPr>
              <w:t>公众服务发布服务器</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rPr>
              <w:t>公众服务发布服务器</w:t>
            </w:r>
          </w:p>
        </w:tc>
      </w:tr>
      <w:tr>
        <w:tblPrEx>
          <w:tblCellMar>
            <w:top w:w="0" w:type="dxa"/>
            <w:left w:w="108" w:type="dxa"/>
            <w:bottom w:w="0" w:type="dxa"/>
            <w:right w:w="108" w:type="dxa"/>
          </w:tblCellMar>
        </w:tblPrEx>
        <w:trPr>
          <w:trHeight w:val="635"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85</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rPr>
              <w:t>公有云服务器租用</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rPr>
              <w:t>视频接入服务器</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rPr>
              <w:t>视频接入服务器</w:t>
            </w:r>
          </w:p>
        </w:tc>
      </w:tr>
      <w:tr>
        <w:tblPrEx>
          <w:tblCellMar>
            <w:top w:w="0" w:type="dxa"/>
            <w:left w:w="108" w:type="dxa"/>
            <w:bottom w:w="0" w:type="dxa"/>
            <w:right w:w="108" w:type="dxa"/>
          </w:tblCellMar>
        </w:tblPrEx>
        <w:trPr>
          <w:trHeight w:val="650" w:hRule="atLeast"/>
          <w:jc w:val="center"/>
        </w:trPr>
        <w:tc>
          <w:tcPr>
            <w:tcW w:w="714"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center"/>
              <w:rPr>
                <w:rFonts w:asciiTheme="majorEastAsia" w:hAnsiTheme="majorEastAsia" w:eastAsiaTheme="majorEastAsia" w:cstheme="majorEastAsia"/>
                <w:color w:val="auto"/>
                <w:sz w:val="22"/>
                <w:szCs w:val="22"/>
              </w:rPr>
            </w:pPr>
            <w:r>
              <w:rPr>
                <w:rFonts w:hint="eastAsia" w:asciiTheme="majorEastAsia" w:hAnsiTheme="majorEastAsia" w:eastAsiaTheme="majorEastAsia" w:cstheme="majorEastAsia"/>
                <w:color w:val="auto"/>
                <w:kern w:val="0"/>
                <w:sz w:val="22"/>
                <w:szCs w:val="22"/>
                <w:lang w:bidi="ar"/>
              </w:rPr>
              <w:t>86</w:t>
            </w:r>
          </w:p>
        </w:tc>
        <w:tc>
          <w:tcPr>
            <w:tcW w:w="1660" w:type="dxa"/>
            <w:tcBorders>
              <w:top w:val="single" w:color="auto" w:sz="6" w:space="0"/>
              <w:left w:val="single" w:color="auto" w:sz="6" w:space="0"/>
              <w:bottom w:val="single" w:color="auto" w:sz="6" w:space="0"/>
              <w:right w:val="single" w:color="auto" w:sz="6" w:space="0"/>
              <w:tl2br w:val="nil"/>
              <w:tr2bl w:val="nil"/>
            </w:tcBorders>
            <w:vAlign w:val="center"/>
          </w:tcPr>
          <w:p>
            <w:pPr>
              <w:widowControl/>
              <w:jc w:val="center"/>
              <w:textAlignment w:val="bottom"/>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rPr>
              <w:t>公有云服务器租用</w:t>
            </w:r>
          </w:p>
        </w:tc>
        <w:tc>
          <w:tcPr>
            <w:tcW w:w="4328"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rPr>
              <w:t>流媒体服务器</w:t>
            </w:r>
          </w:p>
        </w:tc>
        <w:tc>
          <w:tcPr>
            <w:tcW w:w="1756" w:type="dxa"/>
            <w:tcBorders>
              <w:top w:val="single" w:color="auto" w:sz="6" w:space="0"/>
              <w:left w:val="single" w:color="auto" w:sz="6" w:space="0"/>
              <w:bottom w:val="single" w:color="auto" w:sz="6" w:space="0"/>
              <w:right w:val="single" w:color="auto" w:sz="6" w:space="0"/>
              <w:tl2br w:val="nil"/>
              <w:tr2bl w:val="nil"/>
            </w:tcBorders>
            <w:vAlign w:val="center"/>
          </w:tcPr>
          <w:p>
            <w:pPr>
              <w:widowControl/>
              <w:textAlignment w:val="center"/>
              <w:rPr>
                <w:rFonts w:asciiTheme="majorEastAsia" w:hAnsiTheme="majorEastAsia" w:eastAsiaTheme="majorEastAsia" w:cstheme="majorEastAsia"/>
                <w:color w:val="auto"/>
                <w:kern w:val="0"/>
                <w:sz w:val="22"/>
                <w:szCs w:val="22"/>
                <w:lang w:bidi="ar"/>
              </w:rPr>
            </w:pPr>
            <w:r>
              <w:rPr>
                <w:rFonts w:hint="eastAsia" w:asciiTheme="majorEastAsia" w:hAnsiTheme="majorEastAsia" w:eastAsiaTheme="majorEastAsia" w:cstheme="majorEastAsia"/>
                <w:color w:val="auto"/>
                <w:kern w:val="0"/>
                <w:sz w:val="22"/>
                <w:szCs w:val="22"/>
              </w:rPr>
              <w:t>流媒体服务器</w:t>
            </w:r>
          </w:p>
        </w:tc>
      </w:tr>
    </w:tbl>
    <w:p>
      <w:pPr>
        <w:tabs>
          <w:tab w:val="left" w:pos="720"/>
          <w:tab w:val="left" w:pos="5355"/>
        </w:tabs>
        <w:spacing w:line="400" w:lineRule="exact"/>
        <w:rPr>
          <w:rFonts w:ascii="宋体" w:hAnsi="宋体" w:cs="宋体"/>
          <w:color w:val="auto"/>
          <w:kern w:val="0"/>
          <w:sz w:val="22"/>
          <w:szCs w:val="22"/>
        </w:rPr>
      </w:pPr>
      <w:r>
        <w:rPr>
          <w:rFonts w:hint="eastAsia" w:ascii="宋体" w:hAnsi="宋体" w:cs="宋体"/>
          <w:color w:val="auto"/>
          <w:kern w:val="0"/>
          <w:sz w:val="22"/>
          <w:szCs w:val="22"/>
        </w:rPr>
        <w:t>3、采购人部分链路涉及高速公路和国、省道公路，要求中标单位具有相应施工资质并遵守相关规定，及时向相关单位（高速公路业主、路政、交警等）办理施工许可，根据影响交通流大小及危险程度，按相应的规范施工。</w:t>
      </w:r>
    </w:p>
    <w:p>
      <w:pPr>
        <w:tabs>
          <w:tab w:val="left" w:pos="720"/>
          <w:tab w:val="left" w:pos="5355"/>
        </w:tabs>
        <w:spacing w:line="400" w:lineRule="exact"/>
        <w:rPr>
          <w:rFonts w:ascii="宋体" w:hAnsi="宋体" w:cs="宋体"/>
          <w:color w:val="auto"/>
          <w:kern w:val="0"/>
          <w:sz w:val="22"/>
          <w:szCs w:val="22"/>
        </w:rPr>
      </w:pPr>
      <w:r>
        <w:rPr>
          <w:rFonts w:hint="eastAsia" w:ascii="宋体" w:hAnsi="宋体" w:cs="宋体"/>
          <w:color w:val="auto"/>
          <w:kern w:val="0"/>
          <w:sz w:val="22"/>
          <w:szCs w:val="22"/>
        </w:rPr>
        <w:t>4、</w:t>
      </w:r>
      <w:r>
        <w:rPr>
          <w:rFonts w:hint="eastAsia" w:ascii="宋体" w:hAnsi="宋体" w:cs="宋体"/>
          <w:color w:val="auto"/>
          <w:kern w:val="0"/>
          <w:sz w:val="22"/>
          <w:szCs w:val="22"/>
          <w:u w:val="single"/>
        </w:rPr>
        <w:t>采购人线路具有特殊性，请需要了解的详情的联系采购人咨询</w:t>
      </w:r>
    </w:p>
    <w:p>
      <w:pPr>
        <w:tabs>
          <w:tab w:val="left" w:pos="720"/>
          <w:tab w:val="left" w:pos="5355"/>
        </w:tabs>
        <w:spacing w:line="400" w:lineRule="exact"/>
        <w:rPr>
          <w:rFonts w:ascii="宋体" w:hAnsi="宋体" w:cs="宋体"/>
          <w:b/>
          <w:bCs/>
          <w:color w:val="auto"/>
          <w:kern w:val="0"/>
          <w:sz w:val="22"/>
          <w:szCs w:val="22"/>
        </w:rPr>
      </w:pPr>
      <w:r>
        <w:rPr>
          <w:rFonts w:hint="eastAsia" w:ascii="宋体" w:hAnsi="宋体" w:cs="宋体"/>
          <w:b/>
          <w:bCs/>
          <w:color w:val="auto"/>
          <w:kern w:val="0"/>
          <w:sz w:val="22"/>
          <w:szCs w:val="22"/>
          <w:u w:val="wave"/>
        </w:rPr>
        <w:t>5、为避免采购</w:t>
      </w:r>
      <w:r>
        <w:rPr>
          <w:rFonts w:hint="eastAsia" w:ascii="宋体" w:hAnsi="宋体" w:cs="宋体"/>
          <w:b/>
          <w:bCs/>
          <w:color w:val="auto"/>
          <w:kern w:val="0"/>
          <w:sz w:val="22"/>
          <w:szCs w:val="22"/>
          <w:u w:val="wave"/>
          <w:lang w:val="en-US" w:eastAsia="zh-CN"/>
        </w:rPr>
        <w:t>人</w:t>
      </w:r>
      <w:r>
        <w:rPr>
          <w:rFonts w:hint="eastAsia" w:ascii="宋体" w:hAnsi="宋体" w:cs="宋体"/>
          <w:b/>
          <w:bCs/>
          <w:color w:val="auto"/>
          <w:kern w:val="0"/>
          <w:sz w:val="22"/>
          <w:szCs w:val="22"/>
          <w:u w:val="wave"/>
        </w:rPr>
        <w:t>的日常业务受影响，要求中标单位充分知晓采购内容及风险，遵守施工管理规定，预中标公示后15天内无法满足所有线路正常使用的，中标</w:t>
      </w:r>
      <w:r>
        <w:rPr>
          <w:rFonts w:hint="eastAsia" w:ascii="宋体" w:hAnsi="宋体" w:cs="宋体"/>
          <w:b/>
          <w:bCs/>
          <w:color w:val="auto"/>
          <w:kern w:val="0"/>
          <w:sz w:val="22"/>
          <w:szCs w:val="22"/>
          <w:u w:val="wave"/>
          <w:lang w:val="en-US" w:eastAsia="zh-CN"/>
        </w:rPr>
        <w:t>单位</w:t>
      </w:r>
      <w:r>
        <w:rPr>
          <w:rFonts w:hint="eastAsia" w:ascii="宋体" w:hAnsi="宋体" w:cs="宋体"/>
          <w:b/>
          <w:bCs/>
          <w:color w:val="auto"/>
          <w:kern w:val="0"/>
          <w:sz w:val="22"/>
          <w:szCs w:val="22"/>
          <w:u w:val="wave"/>
        </w:rPr>
        <w:t>失去资格并</w:t>
      </w:r>
      <w:r>
        <w:rPr>
          <w:rFonts w:hint="eastAsia" w:ascii="宋体" w:hAnsi="宋体" w:cs="宋体"/>
          <w:b/>
          <w:bCs/>
          <w:color w:val="auto"/>
          <w:kern w:val="0"/>
          <w:sz w:val="22"/>
          <w:szCs w:val="22"/>
        </w:rPr>
        <w:t>向原租赁单位支付延期产生的费用。</w:t>
      </w:r>
    </w:p>
    <w:p>
      <w:pPr>
        <w:tabs>
          <w:tab w:val="left" w:pos="720"/>
          <w:tab w:val="left" w:pos="5355"/>
        </w:tabs>
        <w:spacing w:line="400" w:lineRule="exact"/>
        <w:rPr>
          <w:rFonts w:ascii="宋体" w:hAnsi="宋体" w:cs="宋体"/>
          <w:color w:val="auto"/>
          <w:kern w:val="0"/>
          <w:sz w:val="22"/>
          <w:szCs w:val="22"/>
        </w:rPr>
      </w:pPr>
      <w:r>
        <w:rPr>
          <w:rFonts w:hint="eastAsia" w:ascii="宋体" w:hAnsi="宋体" w:cs="宋体"/>
          <w:color w:val="auto"/>
          <w:kern w:val="0"/>
          <w:sz w:val="22"/>
          <w:szCs w:val="22"/>
        </w:rPr>
        <w:t>6、</w:t>
      </w:r>
      <w:r>
        <w:rPr>
          <w:rFonts w:hint="eastAsia" w:ascii="宋体" w:hAnsi="宋体" w:cs="宋体"/>
          <w:color w:val="auto"/>
          <w:kern w:val="0"/>
          <w:sz w:val="22"/>
          <w:szCs w:val="22"/>
          <w:lang w:val="en-US" w:eastAsia="zh-CN"/>
        </w:rPr>
        <w:t>中标单位</w:t>
      </w:r>
      <w:r>
        <w:rPr>
          <w:rFonts w:hint="eastAsia" w:ascii="宋体" w:hAnsi="宋体" w:cs="宋体"/>
          <w:color w:val="auto"/>
          <w:kern w:val="0"/>
          <w:sz w:val="22"/>
          <w:szCs w:val="22"/>
        </w:rPr>
        <w:t>需承诺采购人的数据通信全网年正常可用率不低于99%，当采购人的数据通信出现故障时，</w:t>
      </w:r>
      <w:r>
        <w:rPr>
          <w:rFonts w:hint="eastAsia" w:ascii="宋体" w:hAnsi="宋体" w:cs="宋体"/>
          <w:color w:val="auto"/>
          <w:kern w:val="0"/>
          <w:sz w:val="22"/>
          <w:szCs w:val="22"/>
          <w:lang w:val="en-US" w:eastAsia="zh-CN"/>
        </w:rPr>
        <w:t>中标单位</w:t>
      </w:r>
      <w:r>
        <w:rPr>
          <w:rFonts w:hint="eastAsia" w:ascii="宋体" w:hAnsi="宋体" w:cs="宋体"/>
          <w:color w:val="auto"/>
          <w:kern w:val="0"/>
          <w:sz w:val="22"/>
          <w:szCs w:val="22"/>
        </w:rPr>
        <w:t>在接到甲方申告后2小时内应立即作出响应，排除故障。</w:t>
      </w:r>
    </w:p>
    <w:p>
      <w:pPr>
        <w:tabs>
          <w:tab w:val="left" w:pos="720"/>
          <w:tab w:val="left" w:pos="5355"/>
        </w:tabs>
        <w:spacing w:line="400" w:lineRule="exact"/>
        <w:rPr>
          <w:rFonts w:ascii="宋体" w:hAnsi="宋体" w:cs="宋体"/>
          <w:color w:val="auto"/>
          <w:kern w:val="0"/>
          <w:sz w:val="22"/>
          <w:szCs w:val="22"/>
        </w:rPr>
      </w:pPr>
      <w:r>
        <w:rPr>
          <w:rFonts w:hint="eastAsia" w:ascii="宋体" w:hAnsi="宋体" w:cs="宋体"/>
          <w:color w:val="auto"/>
          <w:kern w:val="0"/>
          <w:sz w:val="22"/>
          <w:szCs w:val="22"/>
        </w:rPr>
        <w:t>7.由于上一年度项目截止后，财政预算未下达，自2024年1月份至中标单位接手时止这段时间的租赁费用由中标单位支付（该租赁费用金额=（该时间月数/12）*2024年中标金额）</w:t>
      </w:r>
      <w:r>
        <w:rPr>
          <w:rFonts w:hint="eastAsia" w:ascii="宋体" w:hAnsi="宋体" w:cs="宋体"/>
          <w:bCs/>
          <w:color w:val="auto"/>
          <w:kern w:val="0"/>
          <w:szCs w:val="21"/>
        </w:rPr>
        <w:t>。</w:t>
      </w:r>
    </w:p>
    <w:bookmarkEnd w:id="202"/>
    <w:p>
      <w:pPr>
        <w:tabs>
          <w:tab w:val="left" w:pos="720"/>
          <w:tab w:val="left" w:pos="5355"/>
        </w:tabs>
        <w:spacing w:line="400" w:lineRule="exact"/>
        <w:rPr>
          <w:rFonts w:ascii="宋体" w:hAnsi="宋体" w:cs="宋体"/>
          <w:b/>
          <w:bCs/>
          <w:color w:val="auto"/>
          <w:kern w:val="0"/>
          <w:sz w:val="22"/>
          <w:szCs w:val="22"/>
        </w:rPr>
      </w:pPr>
      <w:r>
        <w:rPr>
          <w:rFonts w:hint="eastAsia" w:ascii="宋体" w:hAnsi="宋体" w:cs="宋体"/>
          <w:b/>
          <w:bCs/>
          <w:color w:val="auto"/>
          <w:kern w:val="0"/>
          <w:sz w:val="22"/>
          <w:szCs w:val="22"/>
        </w:rPr>
        <w:t>（二）保密原则</w:t>
      </w:r>
    </w:p>
    <w:p>
      <w:pPr>
        <w:tabs>
          <w:tab w:val="left" w:pos="720"/>
          <w:tab w:val="left" w:pos="5355"/>
        </w:tabs>
        <w:spacing w:line="400" w:lineRule="exact"/>
        <w:rPr>
          <w:rFonts w:ascii="宋体" w:hAnsi="宋体" w:cs="宋体"/>
          <w:color w:val="auto"/>
          <w:kern w:val="0"/>
          <w:sz w:val="22"/>
          <w:szCs w:val="22"/>
        </w:rPr>
      </w:pPr>
      <w:r>
        <w:rPr>
          <w:rFonts w:hint="eastAsia" w:ascii="宋体" w:hAnsi="宋体" w:cs="宋体"/>
          <w:color w:val="auto"/>
          <w:kern w:val="0"/>
          <w:sz w:val="22"/>
          <w:szCs w:val="22"/>
        </w:rPr>
        <w:t>1、未经双方书面许可，任何一方不得向第三方提供或披露对方的资料和信息。</w:t>
      </w:r>
    </w:p>
    <w:p>
      <w:pPr>
        <w:tabs>
          <w:tab w:val="left" w:pos="720"/>
          <w:tab w:val="left" w:pos="5355"/>
        </w:tabs>
        <w:spacing w:line="400" w:lineRule="exact"/>
        <w:rPr>
          <w:rFonts w:ascii="宋体" w:hAnsi="宋体" w:cs="宋体"/>
          <w:b/>
          <w:bCs/>
          <w:color w:val="auto"/>
          <w:kern w:val="0"/>
          <w:sz w:val="22"/>
          <w:szCs w:val="22"/>
        </w:rPr>
      </w:pPr>
      <w:r>
        <w:rPr>
          <w:rFonts w:hint="eastAsia" w:ascii="宋体" w:hAnsi="宋体" w:cs="宋体"/>
          <w:color w:val="auto"/>
          <w:kern w:val="0"/>
          <w:sz w:val="22"/>
          <w:szCs w:val="22"/>
        </w:rPr>
        <w:t>2、双方实施本项目了解到对方的有关网络组织、业务发展、价格策略等商业机密时，双方均有义务为对方保密。</w:t>
      </w:r>
    </w:p>
    <w:p>
      <w:pPr>
        <w:spacing w:after="120" w:line="400" w:lineRule="exact"/>
        <w:rPr>
          <w:rFonts w:ascii="宋体" w:hAnsi="宋体" w:cs="宋体"/>
          <w:b/>
          <w:bCs/>
          <w:color w:val="auto"/>
          <w:kern w:val="0"/>
          <w:sz w:val="24"/>
        </w:rPr>
      </w:pPr>
      <w:r>
        <w:rPr>
          <w:rFonts w:hint="eastAsia" w:ascii="宋体" w:hAnsi="宋体" w:cs="宋体"/>
          <w:b/>
          <w:bCs/>
          <w:color w:val="auto"/>
          <w:kern w:val="0"/>
          <w:sz w:val="24"/>
        </w:rPr>
        <w:t>四</w:t>
      </w:r>
      <w:r>
        <w:rPr>
          <w:rFonts w:hint="eastAsia" w:ascii="宋体" w:hAnsi="宋体" w:cs="宋体"/>
          <w:b/>
          <w:bCs/>
          <w:color w:val="auto"/>
          <w:kern w:val="0"/>
          <w:sz w:val="28"/>
          <w:szCs w:val="28"/>
        </w:rPr>
        <w:t>、数据中心灾备服务详细内容及要求</w:t>
      </w:r>
    </w:p>
    <w:p>
      <w:pPr>
        <w:tabs>
          <w:tab w:val="left" w:pos="720"/>
          <w:tab w:val="left" w:pos="5355"/>
        </w:tabs>
        <w:spacing w:line="400" w:lineRule="exact"/>
        <w:rPr>
          <w:rFonts w:ascii="宋体" w:hAnsi="宋体" w:cs="宋体"/>
          <w:color w:val="auto"/>
          <w:kern w:val="0"/>
          <w:sz w:val="22"/>
          <w:szCs w:val="22"/>
        </w:rPr>
      </w:pPr>
      <w:r>
        <w:rPr>
          <w:rFonts w:hint="eastAsia" w:ascii="宋体" w:hAnsi="宋体" w:cs="宋体"/>
          <w:b/>
          <w:bCs/>
          <w:color w:val="auto"/>
          <w:kern w:val="0"/>
          <w:sz w:val="22"/>
          <w:szCs w:val="22"/>
        </w:rPr>
        <w:t>（一）</w:t>
      </w:r>
      <w:r>
        <w:rPr>
          <w:rFonts w:hint="eastAsia" w:ascii="宋体" w:hAnsi="宋体" w:cs="宋体"/>
          <w:color w:val="auto"/>
          <w:kern w:val="0"/>
          <w:sz w:val="22"/>
          <w:szCs w:val="22"/>
        </w:rPr>
        <w:t xml:space="preserve"> </w:t>
      </w:r>
      <w:r>
        <w:rPr>
          <w:rFonts w:hint="eastAsia" w:ascii="宋体" w:hAnsi="宋体" w:cs="宋体"/>
          <w:b/>
          <w:bCs/>
          <w:color w:val="auto"/>
          <w:kern w:val="0"/>
          <w:sz w:val="22"/>
          <w:szCs w:val="22"/>
        </w:rPr>
        <w:t>数据中心灾备服务内容</w:t>
      </w:r>
    </w:p>
    <w:p>
      <w:pPr>
        <w:tabs>
          <w:tab w:val="left" w:pos="720"/>
          <w:tab w:val="left" w:pos="5355"/>
        </w:tabs>
        <w:spacing w:line="400" w:lineRule="exact"/>
        <w:ind w:firstLine="220" w:firstLineChars="100"/>
        <w:rPr>
          <w:rFonts w:ascii="宋体" w:hAnsi="宋体" w:cs="宋体"/>
          <w:color w:val="auto"/>
          <w:kern w:val="0"/>
          <w:sz w:val="22"/>
          <w:szCs w:val="22"/>
        </w:rPr>
      </w:pPr>
      <w:r>
        <w:rPr>
          <w:rFonts w:hint="eastAsia" w:ascii="宋体" w:hAnsi="宋体" w:cs="宋体"/>
          <w:color w:val="auto"/>
          <w:kern w:val="0"/>
          <w:sz w:val="22"/>
          <w:szCs w:val="22"/>
        </w:rPr>
        <w:t>温州市交通运输局数据库及业务系统灾备需利用两台双活存储、备份软件及容灾管理软件实现存储双活，本次采购以租赁服务的形式来实现数据灾备（租赁服务满三年，所提供的设备产权归甲方所有）。本次租赁服务时间为：</w:t>
      </w:r>
      <w:r>
        <w:rPr>
          <w:rFonts w:ascii="宋体" w:hAnsi="宋体" w:cs="宋体"/>
          <w:color w:val="auto"/>
          <w:kern w:val="0"/>
          <w:sz w:val="22"/>
          <w:szCs w:val="22"/>
        </w:rPr>
        <w:t>2024年11月1日至2025年10月31日。</w:t>
      </w:r>
    </w:p>
    <w:tbl>
      <w:tblPr>
        <w:tblStyle w:val="63"/>
        <w:tblW w:w="4950" w:type="pct"/>
        <w:tblInd w:w="0" w:type="dxa"/>
        <w:tblLayout w:type="fixed"/>
        <w:tblCellMar>
          <w:top w:w="0" w:type="dxa"/>
          <w:left w:w="108" w:type="dxa"/>
          <w:bottom w:w="0" w:type="dxa"/>
          <w:right w:w="108" w:type="dxa"/>
        </w:tblCellMar>
      </w:tblPr>
      <w:tblGrid>
        <w:gridCol w:w="1225"/>
        <w:gridCol w:w="3241"/>
        <w:gridCol w:w="1226"/>
        <w:gridCol w:w="1226"/>
        <w:gridCol w:w="2837"/>
      </w:tblGrid>
      <w:tr>
        <w:tblPrEx>
          <w:tblCellMar>
            <w:top w:w="0" w:type="dxa"/>
            <w:left w:w="108" w:type="dxa"/>
            <w:bottom w:w="0" w:type="dxa"/>
            <w:right w:w="108" w:type="dxa"/>
          </w:tblCellMar>
        </w:tblPrEx>
        <w:trPr>
          <w:trHeight w:val="272" w:hRule="atLeast"/>
        </w:trPr>
        <w:tc>
          <w:tcPr>
            <w:tcW w:w="1143"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s="宋体"/>
                <w:b/>
                <w:bCs/>
                <w:color w:val="auto"/>
                <w:sz w:val="22"/>
                <w:szCs w:val="22"/>
              </w:rPr>
            </w:pPr>
            <w:r>
              <w:rPr>
                <w:rFonts w:hint="eastAsia" w:ascii="宋体" w:hAnsi="宋体" w:cs="宋体"/>
                <w:b/>
                <w:bCs/>
                <w:color w:val="auto"/>
                <w:sz w:val="22"/>
                <w:szCs w:val="22"/>
              </w:rPr>
              <w:t>序号</w:t>
            </w:r>
          </w:p>
        </w:tc>
        <w:tc>
          <w:tcPr>
            <w:tcW w:w="3022" w:type="dxa"/>
            <w:tcBorders>
              <w:top w:val="single" w:color="auto" w:sz="8" w:space="0"/>
              <w:left w:val="nil"/>
              <w:bottom w:val="single" w:color="auto" w:sz="8" w:space="0"/>
              <w:right w:val="single" w:color="auto" w:sz="8" w:space="0"/>
            </w:tcBorders>
            <w:vAlign w:val="center"/>
          </w:tcPr>
          <w:p>
            <w:pPr>
              <w:jc w:val="center"/>
              <w:rPr>
                <w:rFonts w:ascii="宋体" w:hAnsi="宋体" w:cs="宋体"/>
                <w:b/>
                <w:bCs/>
                <w:color w:val="auto"/>
                <w:sz w:val="22"/>
                <w:szCs w:val="22"/>
              </w:rPr>
            </w:pPr>
            <w:r>
              <w:rPr>
                <w:rFonts w:hint="eastAsia" w:ascii="宋体" w:hAnsi="宋体" w:cs="宋体"/>
                <w:b/>
                <w:bCs/>
                <w:color w:val="auto"/>
                <w:sz w:val="22"/>
                <w:szCs w:val="22"/>
              </w:rPr>
              <w:t>设备名称</w:t>
            </w:r>
          </w:p>
        </w:tc>
        <w:tc>
          <w:tcPr>
            <w:tcW w:w="1143" w:type="dxa"/>
            <w:tcBorders>
              <w:top w:val="single" w:color="auto" w:sz="8" w:space="0"/>
              <w:left w:val="nil"/>
              <w:bottom w:val="single" w:color="auto" w:sz="8" w:space="0"/>
              <w:right w:val="single" w:color="auto" w:sz="8" w:space="0"/>
            </w:tcBorders>
            <w:vAlign w:val="center"/>
          </w:tcPr>
          <w:p>
            <w:pPr>
              <w:jc w:val="center"/>
              <w:rPr>
                <w:rFonts w:ascii="宋体" w:hAnsi="宋体" w:cs="宋体"/>
                <w:b/>
                <w:bCs/>
                <w:color w:val="auto"/>
                <w:sz w:val="22"/>
                <w:szCs w:val="22"/>
              </w:rPr>
            </w:pPr>
            <w:r>
              <w:rPr>
                <w:rFonts w:hint="eastAsia" w:ascii="宋体" w:hAnsi="宋体" w:cs="宋体"/>
                <w:b/>
                <w:bCs/>
                <w:color w:val="auto"/>
                <w:sz w:val="22"/>
                <w:szCs w:val="22"/>
              </w:rPr>
              <w:t>数量</w:t>
            </w:r>
          </w:p>
        </w:tc>
        <w:tc>
          <w:tcPr>
            <w:tcW w:w="1143" w:type="dxa"/>
            <w:tcBorders>
              <w:top w:val="single" w:color="auto" w:sz="8" w:space="0"/>
              <w:left w:val="nil"/>
              <w:bottom w:val="single" w:color="auto" w:sz="8" w:space="0"/>
              <w:right w:val="single" w:color="auto" w:sz="8" w:space="0"/>
            </w:tcBorders>
            <w:vAlign w:val="center"/>
          </w:tcPr>
          <w:p>
            <w:pPr>
              <w:jc w:val="center"/>
              <w:rPr>
                <w:rFonts w:ascii="宋体" w:hAnsi="宋体" w:cs="宋体"/>
                <w:b/>
                <w:bCs/>
                <w:color w:val="auto"/>
                <w:sz w:val="22"/>
                <w:szCs w:val="22"/>
              </w:rPr>
            </w:pPr>
            <w:r>
              <w:rPr>
                <w:rFonts w:hint="eastAsia" w:ascii="宋体" w:hAnsi="宋体" w:cs="宋体"/>
                <w:b/>
                <w:bCs/>
                <w:color w:val="auto"/>
                <w:sz w:val="22"/>
                <w:szCs w:val="22"/>
              </w:rPr>
              <w:t>单位</w:t>
            </w:r>
          </w:p>
        </w:tc>
        <w:tc>
          <w:tcPr>
            <w:tcW w:w="2646" w:type="dxa"/>
            <w:tcBorders>
              <w:top w:val="single" w:color="auto" w:sz="8" w:space="0"/>
              <w:left w:val="nil"/>
              <w:bottom w:val="single" w:color="auto" w:sz="8" w:space="0"/>
              <w:right w:val="single" w:color="auto" w:sz="8" w:space="0"/>
            </w:tcBorders>
            <w:vAlign w:val="center"/>
          </w:tcPr>
          <w:p>
            <w:pPr>
              <w:jc w:val="center"/>
              <w:rPr>
                <w:rFonts w:ascii="宋体" w:hAnsi="宋体" w:cs="宋体"/>
                <w:b/>
                <w:bCs/>
                <w:color w:val="auto"/>
                <w:sz w:val="22"/>
                <w:szCs w:val="22"/>
              </w:rPr>
            </w:pPr>
            <w:r>
              <w:rPr>
                <w:rFonts w:hint="eastAsia" w:ascii="宋体" w:hAnsi="宋体" w:cs="宋体"/>
                <w:b/>
                <w:bCs/>
                <w:color w:val="auto"/>
                <w:sz w:val="22"/>
                <w:szCs w:val="22"/>
              </w:rPr>
              <w:t>技术参数</w:t>
            </w:r>
          </w:p>
        </w:tc>
      </w:tr>
      <w:tr>
        <w:tblPrEx>
          <w:tblCellMar>
            <w:top w:w="0" w:type="dxa"/>
            <w:left w:w="108" w:type="dxa"/>
            <w:bottom w:w="0" w:type="dxa"/>
            <w:right w:w="108" w:type="dxa"/>
          </w:tblCellMar>
        </w:tblPrEx>
        <w:trPr>
          <w:trHeight w:val="272" w:hRule="atLeast"/>
        </w:trPr>
        <w:tc>
          <w:tcPr>
            <w:tcW w:w="1143" w:type="dxa"/>
            <w:tcBorders>
              <w:top w:val="nil"/>
              <w:left w:val="single" w:color="auto" w:sz="8" w:space="0"/>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1</w:t>
            </w:r>
          </w:p>
        </w:tc>
        <w:tc>
          <w:tcPr>
            <w:tcW w:w="3022" w:type="dxa"/>
            <w:tcBorders>
              <w:top w:val="nil"/>
              <w:left w:val="nil"/>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交通局运输局双活存储</w:t>
            </w:r>
          </w:p>
        </w:tc>
        <w:tc>
          <w:tcPr>
            <w:tcW w:w="1143" w:type="dxa"/>
            <w:tcBorders>
              <w:top w:val="nil"/>
              <w:left w:val="nil"/>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2</w:t>
            </w:r>
          </w:p>
        </w:tc>
        <w:tc>
          <w:tcPr>
            <w:tcW w:w="1143" w:type="dxa"/>
            <w:tcBorders>
              <w:top w:val="nil"/>
              <w:left w:val="nil"/>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台</w:t>
            </w:r>
          </w:p>
        </w:tc>
        <w:tc>
          <w:tcPr>
            <w:tcW w:w="2646" w:type="dxa"/>
            <w:tcBorders>
              <w:top w:val="nil"/>
              <w:left w:val="nil"/>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详见指标要求</w:t>
            </w:r>
          </w:p>
        </w:tc>
      </w:tr>
      <w:tr>
        <w:tblPrEx>
          <w:tblCellMar>
            <w:top w:w="0" w:type="dxa"/>
            <w:left w:w="108" w:type="dxa"/>
            <w:bottom w:w="0" w:type="dxa"/>
            <w:right w:w="108" w:type="dxa"/>
          </w:tblCellMar>
        </w:tblPrEx>
        <w:trPr>
          <w:trHeight w:val="272" w:hRule="atLeast"/>
        </w:trPr>
        <w:tc>
          <w:tcPr>
            <w:tcW w:w="1143" w:type="dxa"/>
            <w:tcBorders>
              <w:top w:val="nil"/>
              <w:left w:val="single" w:color="auto" w:sz="8" w:space="0"/>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2</w:t>
            </w:r>
          </w:p>
        </w:tc>
        <w:tc>
          <w:tcPr>
            <w:tcW w:w="3022" w:type="dxa"/>
            <w:tcBorders>
              <w:top w:val="nil"/>
              <w:left w:val="nil"/>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备份软件</w:t>
            </w:r>
          </w:p>
        </w:tc>
        <w:tc>
          <w:tcPr>
            <w:tcW w:w="1143" w:type="dxa"/>
            <w:tcBorders>
              <w:top w:val="nil"/>
              <w:left w:val="nil"/>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1</w:t>
            </w:r>
          </w:p>
        </w:tc>
        <w:tc>
          <w:tcPr>
            <w:tcW w:w="1143" w:type="dxa"/>
            <w:tcBorders>
              <w:top w:val="nil"/>
              <w:left w:val="nil"/>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套</w:t>
            </w:r>
          </w:p>
        </w:tc>
        <w:tc>
          <w:tcPr>
            <w:tcW w:w="2646" w:type="dxa"/>
            <w:tcBorders>
              <w:top w:val="nil"/>
              <w:left w:val="nil"/>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详见指标要求</w:t>
            </w:r>
          </w:p>
        </w:tc>
      </w:tr>
      <w:tr>
        <w:tblPrEx>
          <w:tblCellMar>
            <w:top w:w="0" w:type="dxa"/>
            <w:left w:w="108" w:type="dxa"/>
            <w:bottom w:w="0" w:type="dxa"/>
            <w:right w:w="108" w:type="dxa"/>
          </w:tblCellMar>
        </w:tblPrEx>
        <w:trPr>
          <w:trHeight w:val="272" w:hRule="atLeast"/>
        </w:trPr>
        <w:tc>
          <w:tcPr>
            <w:tcW w:w="1143" w:type="dxa"/>
            <w:tcBorders>
              <w:top w:val="nil"/>
              <w:left w:val="single" w:color="auto" w:sz="8" w:space="0"/>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3</w:t>
            </w:r>
          </w:p>
        </w:tc>
        <w:tc>
          <w:tcPr>
            <w:tcW w:w="3022" w:type="dxa"/>
            <w:tcBorders>
              <w:top w:val="nil"/>
              <w:left w:val="nil"/>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容灾管理软件</w:t>
            </w:r>
          </w:p>
        </w:tc>
        <w:tc>
          <w:tcPr>
            <w:tcW w:w="1143" w:type="dxa"/>
            <w:tcBorders>
              <w:top w:val="nil"/>
              <w:left w:val="nil"/>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1</w:t>
            </w:r>
          </w:p>
        </w:tc>
        <w:tc>
          <w:tcPr>
            <w:tcW w:w="1143" w:type="dxa"/>
            <w:tcBorders>
              <w:top w:val="nil"/>
              <w:left w:val="nil"/>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套</w:t>
            </w:r>
          </w:p>
        </w:tc>
        <w:tc>
          <w:tcPr>
            <w:tcW w:w="2646" w:type="dxa"/>
            <w:tcBorders>
              <w:top w:val="nil"/>
              <w:left w:val="nil"/>
              <w:bottom w:val="single" w:color="auto" w:sz="8" w:space="0"/>
              <w:right w:val="single" w:color="auto" w:sz="8" w:space="0"/>
            </w:tcBorders>
            <w:vAlign w:val="center"/>
          </w:tcPr>
          <w:p>
            <w:pPr>
              <w:jc w:val="center"/>
              <w:rPr>
                <w:rFonts w:ascii="宋体" w:hAnsi="宋体" w:cs="宋体"/>
                <w:color w:val="auto"/>
                <w:sz w:val="22"/>
                <w:szCs w:val="22"/>
              </w:rPr>
            </w:pPr>
            <w:r>
              <w:rPr>
                <w:rFonts w:hint="eastAsia" w:ascii="宋体" w:hAnsi="宋体" w:cs="宋体"/>
                <w:color w:val="auto"/>
                <w:sz w:val="22"/>
                <w:szCs w:val="22"/>
              </w:rPr>
              <w:t>详见指标要求</w:t>
            </w:r>
          </w:p>
        </w:tc>
      </w:tr>
    </w:tbl>
    <w:p>
      <w:pPr>
        <w:ind w:left="360" w:firstLine="482" w:firstLineChars="200"/>
        <w:jc w:val="center"/>
        <w:rPr>
          <w:rFonts w:ascii="宋体" w:hAnsi="宋体" w:cs="宋体"/>
          <w:b/>
          <w:bCs/>
          <w:color w:val="auto"/>
          <w:sz w:val="24"/>
        </w:rPr>
      </w:pPr>
      <w:r>
        <w:rPr>
          <w:rFonts w:hint="eastAsia" w:ascii="宋体" w:hAnsi="宋体" w:cs="宋体"/>
          <w:b/>
          <w:bCs/>
          <w:color w:val="auto"/>
          <w:sz w:val="24"/>
        </w:rPr>
        <w:t>1.交通运输局双活存储</w:t>
      </w:r>
    </w:p>
    <w:tbl>
      <w:tblPr>
        <w:tblStyle w:val="63"/>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334"/>
        <w:gridCol w:w="7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trPr>
        <w:tc>
          <w:tcPr>
            <w:tcW w:w="768" w:type="dxa"/>
            <w:tcBorders>
              <w:tl2br w:val="nil"/>
              <w:tr2bl w:val="nil"/>
            </w:tcBorders>
            <w:shd w:val="clear" w:color="000000" w:fill="FFFFFF"/>
            <w:vAlign w:val="center"/>
          </w:tcPr>
          <w:p>
            <w:pPr>
              <w:jc w:val="center"/>
              <w:rPr>
                <w:rFonts w:ascii="宋体" w:hAnsi="宋体" w:cs="宋体"/>
                <w:b/>
                <w:bCs/>
                <w:color w:val="auto"/>
                <w:sz w:val="22"/>
                <w:szCs w:val="22"/>
              </w:rPr>
            </w:pPr>
            <w:r>
              <w:rPr>
                <w:rFonts w:hint="eastAsia" w:ascii="宋体" w:hAnsi="宋体" w:cs="宋体"/>
                <w:b/>
                <w:bCs/>
                <w:color w:val="auto"/>
                <w:sz w:val="22"/>
                <w:szCs w:val="22"/>
              </w:rPr>
              <w:t>序号</w:t>
            </w:r>
          </w:p>
        </w:tc>
        <w:tc>
          <w:tcPr>
            <w:tcW w:w="1240" w:type="dxa"/>
            <w:tcBorders>
              <w:tl2br w:val="nil"/>
              <w:tr2bl w:val="nil"/>
            </w:tcBorders>
            <w:shd w:val="clear" w:color="000000" w:fill="FFFFFF"/>
            <w:vAlign w:val="center"/>
          </w:tcPr>
          <w:p>
            <w:pPr>
              <w:jc w:val="center"/>
              <w:rPr>
                <w:rFonts w:ascii="宋体" w:hAnsi="宋体" w:cs="宋体"/>
                <w:b/>
                <w:bCs/>
                <w:color w:val="auto"/>
                <w:sz w:val="22"/>
                <w:szCs w:val="22"/>
              </w:rPr>
            </w:pPr>
            <w:r>
              <w:rPr>
                <w:rFonts w:hint="eastAsia" w:ascii="宋体" w:hAnsi="宋体" w:cs="宋体"/>
                <w:b/>
                <w:bCs/>
                <w:color w:val="auto"/>
                <w:sz w:val="22"/>
                <w:szCs w:val="22"/>
              </w:rPr>
              <w:t>指标项</w:t>
            </w:r>
          </w:p>
        </w:tc>
        <w:tc>
          <w:tcPr>
            <w:tcW w:w="7063" w:type="dxa"/>
            <w:tcBorders>
              <w:tl2br w:val="nil"/>
              <w:tr2bl w:val="nil"/>
            </w:tcBorders>
            <w:shd w:val="clear" w:color="000000" w:fill="FFFFFF"/>
            <w:vAlign w:val="center"/>
          </w:tcPr>
          <w:p>
            <w:pPr>
              <w:jc w:val="center"/>
              <w:rPr>
                <w:rFonts w:ascii="宋体" w:hAnsi="宋体" w:cs="宋体"/>
                <w:b/>
                <w:bCs/>
                <w:color w:val="auto"/>
                <w:sz w:val="22"/>
                <w:szCs w:val="22"/>
              </w:rPr>
            </w:pPr>
            <w:r>
              <w:rPr>
                <w:rFonts w:hint="eastAsia" w:ascii="宋体" w:hAnsi="宋体" w:cs="宋体"/>
                <w:b/>
                <w:bCs/>
                <w:color w:val="auto"/>
                <w:sz w:val="22"/>
                <w:szCs w:val="22"/>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体系架构</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支持SAN与NAS统一存储，配置NAS协议（包括NFS和CIFS）、IP SAN和FC SAN协议，不需额外配置NAS网关，存储操作界面同时支持块存储和文件存储功能。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2</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控制器扩展能力</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支持控制器扩展，最大支持≥8控。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3</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控制器配置</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配置双Active-Active控制器；采用2U盘控一体架构，控制器框提供≥25个硬盘槽位。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4</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控制器处理器</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采用多核处理器，配置控制器处理器总物理核心数≥40核。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5</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存储缓存容量</w:t>
            </w:r>
          </w:p>
        </w:tc>
        <w:tc>
          <w:tcPr>
            <w:tcW w:w="7063" w:type="dxa"/>
            <w:tcBorders>
              <w:tl2br w:val="nil"/>
              <w:tr2bl w:val="nil"/>
            </w:tcBorders>
            <w:shd w:val="clear" w:color="000000" w:fill="FFFFFF"/>
            <w:vAlign w:val="center"/>
          </w:tcPr>
          <w:p>
            <w:pPr>
              <w:rPr>
                <w:rFonts w:hint="eastAsia" w:ascii="宋体" w:hAnsi="宋体" w:eastAsia="宋体" w:cs="宋体"/>
                <w:color w:val="auto"/>
                <w:sz w:val="22"/>
                <w:szCs w:val="22"/>
                <w:lang w:eastAsia="zh-CN"/>
              </w:rPr>
            </w:pPr>
            <w:r>
              <w:rPr>
                <w:rFonts w:hint="eastAsia" w:ascii="宋体" w:hAnsi="宋体" w:cs="宋体"/>
                <w:color w:val="auto"/>
                <w:sz w:val="22"/>
                <w:szCs w:val="22"/>
              </w:rPr>
              <w:t>本次配置双控制器，缓存≥128G，且每控制器缓存≥64G（不含任何性能加速模块、FlashCache、PAM卡，SSD Cache、SCM等）。</w:t>
            </w:r>
          </w:p>
          <w:p>
            <w:pPr>
              <w:rPr>
                <w:rFonts w:ascii="宋体" w:hAnsi="宋体" w:cs="宋体"/>
                <w:color w:val="auto"/>
                <w:sz w:val="22"/>
                <w:szCs w:val="22"/>
              </w:rPr>
            </w:pPr>
            <w:r>
              <w:rPr>
                <w:rFonts w:hint="eastAsia" w:ascii="宋体" w:hAnsi="宋体" w:cs="宋体"/>
                <w:color w:val="auto"/>
                <w:sz w:val="22"/>
                <w:szCs w:val="22"/>
              </w:rPr>
              <w:t>控制器缓存均具备断电保护功能， 在出现电源故障时，可提供充足的电源，将高速缓存内容转储至非易失性内部存储设备上（非通用服务器架构）。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6</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前端主机通道接口</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配置：≥8*1Gb ETH接口+4*10Gb ETH接口+8*1 6Gb FC接口（万兆和FC接口满配多模光模块）。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7</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主机接口卡</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双控制器最大提供≥4个PCIE插槽，用于主机接口扩展。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8</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后端磁盘通道</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配置后端磁盘通道带宽≥192Gbps。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9</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支持硬盘类型</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支持SAS SSD、SAS、NLSAS硬盘，并支持混插。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10</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配置硬盘</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配置不少于4块SSD硬盘，单盘容量≥1.92TB；配置不少于35块SAS硬盘，单盘容量≥2.4TB；配置不少于24块NL SAS硬盘，单盘容量≥10TB。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11</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最大硬盘数</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最大支持磁盘插槽个数≥1000。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12</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支持RAID</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支持RAID 1、RAID3、RAID 10、RAID50、RAID 5、RAID6等可选配置。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13</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本地数据保护</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支持并配置数据快照功能，恢复某个时间点的快照，其他时间点快照不丢失。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14</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智能数据迁移</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支持并配置数据迁移功能，能够在不中断主机业务的情况下实现源LUN上的业务完整地迁移至目标LUN，并在迁移结束后使目标LUN完全替代源LUN并承载业务，而用户无感知。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15</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智能数据缓存</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支持并配置SSD Cache功能，使用SSD Cache对热点数据提升响应速度，支持SmarCache 资源池分区，最大支持≥8个分区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16</w:t>
            </w:r>
          </w:p>
        </w:tc>
        <w:tc>
          <w:tcPr>
            <w:tcW w:w="1240"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自动分级</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支持并配置自动分级存储，能够以512 KB～1MB的热点颗粒度为单位进行自动分级调整，提供图形化的自动分层策略调整工具，能够对数据分层的时间窗口和分层方式进行调整，提高存储资源利用效率，即支持在特定的时间段（定时），开启I/O监控热点数据，自动进行数据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17</w:t>
            </w:r>
          </w:p>
        </w:tc>
        <w:tc>
          <w:tcPr>
            <w:tcW w:w="1240" w:type="dxa"/>
            <w:vMerge w:val="restart"/>
            <w:tcBorders>
              <w:tl2br w:val="nil"/>
              <w:tr2bl w:val="nil"/>
            </w:tcBorders>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存储双活</w:t>
            </w: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配置A-A免网关双活许可，容量不少于实配硬盘。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18</w:t>
            </w:r>
          </w:p>
        </w:tc>
        <w:tc>
          <w:tcPr>
            <w:tcW w:w="1240" w:type="dxa"/>
            <w:vMerge w:val="continue"/>
            <w:tcBorders>
              <w:tl2br w:val="nil"/>
              <w:tr2bl w:val="nil"/>
            </w:tcBorders>
            <w:vAlign w:val="center"/>
          </w:tcPr>
          <w:p>
            <w:pPr>
              <w:rPr>
                <w:rFonts w:ascii="宋体" w:hAnsi="宋体" w:cs="宋体"/>
                <w:color w:val="auto"/>
                <w:sz w:val="22"/>
                <w:szCs w:val="22"/>
              </w:rPr>
            </w:pP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提供A-A免网关双活架构，无需额外配置双活网关设备，实现两套存储设备数据双活（主机能够并发读写同一双活卷），任何一套设备宕机均不影响上层业务系统运行。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19</w:t>
            </w:r>
          </w:p>
        </w:tc>
        <w:tc>
          <w:tcPr>
            <w:tcW w:w="1240" w:type="dxa"/>
            <w:vMerge w:val="continue"/>
            <w:tcBorders>
              <w:tl2br w:val="nil"/>
              <w:tr2bl w:val="nil"/>
            </w:tcBorders>
            <w:vAlign w:val="center"/>
          </w:tcPr>
          <w:p>
            <w:pPr>
              <w:rPr>
                <w:rFonts w:ascii="宋体" w:hAnsi="宋体" w:cs="宋体"/>
                <w:color w:val="auto"/>
                <w:sz w:val="22"/>
                <w:szCs w:val="22"/>
              </w:rPr>
            </w:pP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双活引擎采用集群冗余架构，双活引擎数据传送必须采用FC/IP协议和链路双活。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20</w:t>
            </w:r>
          </w:p>
        </w:tc>
        <w:tc>
          <w:tcPr>
            <w:tcW w:w="1240" w:type="dxa"/>
            <w:vMerge w:val="continue"/>
            <w:tcBorders>
              <w:tl2br w:val="nil"/>
              <w:tr2bl w:val="nil"/>
            </w:tcBorders>
            <w:vAlign w:val="center"/>
          </w:tcPr>
          <w:p>
            <w:pPr>
              <w:rPr>
                <w:rFonts w:ascii="宋体" w:hAnsi="宋体" w:cs="宋体"/>
                <w:color w:val="auto"/>
                <w:sz w:val="22"/>
                <w:szCs w:val="22"/>
              </w:rPr>
            </w:pP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支持在不暂停业务的情况下对LUN进行扩容，即LUN扩容不会导致容灾暂停。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21</w:t>
            </w:r>
          </w:p>
        </w:tc>
        <w:tc>
          <w:tcPr>
            <w:tcW w:w="1240" w:type="dxa"/>
            <w:vMerge w:val="continue"/>
            <w:tcBorders>
              <w:tl2br w:val="nil"/>
              <w:tr2bl w:val="nil"/>
            </w:tcBorders>
            <w:vAlign w:val="center"/>
          </w:tcPr>
          <w:p>
            <w:pPr>
              <w:rPr>
                <w:rFonts w:ascii="宋体" w:hAnsi="宋体" w:cs="宋体"/>
                <w:color w:val="auto"/>
                <w:sz w:val="22"/>
                <w:szCs w:val="22"/>
              </w:rPr>
            </w:pP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双活特性故障后能自动恢复，如在阵列间所有链路故障后，主机业务不受影响；故障的链路恢复后，双活特性能立即恢复且不需要人工介入。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22</w:t>
            </w:r>
          </w:p>
        </w:tc>
        <w:tc>
          <w:tcPr>
            <w:tcW w:w="1240" w:type="dxa"/>
            <w:vMerge w:val="restart"/>
            <w:tcBorders>
              <w:tl2br w:val="nil"/>
              <w:tr2bl w:val="nil"/>
            </w:tcBorders>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异构虚拟化</w:t>
            </w:r>
          </w:p>
        </w:tc>
        <w:tc>
          <w:tcPr>
            <w:tcW w:w="7063" w:type="dxa"/>
            <w:tcBorders>
              <w:tl2br w:val="nil"/>
              <w:tr2bl w:val="nil"/>
            </w:tcBorders>
            <w:shd w:val="clear" w:color="000000" w:fill="FFFFFF"/>
            <w:vAlign w:val="center"/>
          </w:tcPr>
          <w:p>
            <w:pPr>
              <w:rPr>
                <w:rFonts w:hint="eastAsia" w:ascii="宋体" w:hAnsi="宋体" w:eastAsia="宋体" w:cs="宋体"/>
                <w:color w:val="auto"/>
                <w:sz w:val="22"/>
                <w:szCs w:val="22"/>
                <w:lang w:eastAsia="zh-CN"/>
              </w:rPr>
            </w:pPr>
            <w:r>
              <w:rPr>
                <w:rFonts w:hint="eastAsia" w:ascii="宋体" w:hAnsi="宋体" w:cs="宋体"/>
                <w:color w:val="auto"/>
                <w:sz w:val="22"/>
                <w:szCs w:val="22"/>
              </w:rPr>
              <w:t>支持并配置异构虚拟化许可</w:t>
            </w:r>
          </w:p>
          <w:p>
            <w:pPr>
              <w:rPr>
                <w:rFonts w:hint="eastAsia" w:ascii="宋体" w:hAnsi="宋体" w:eastAsia="宋体" w:cs="宋体"/>
                <w:color w:val="auto"/>
                <w:sz w:val="22"/>
                <w:szCs w:val="22"/>
                <w:lang w:eastAsia="zh-CN"/>
              </w:rPr>
            </w:pPr>
            <w:r>
              <w:rPr>
                <w:rFonts w:hint="eastAsia" w:ascii="宋体" w:hAnsi="宋体" w:cs="宋体"/>
                <w:color w:val="auto"/>
                <w:sz w:val="22"/>
                <w:szCs w:val="22"/>
              </w:rPr>
              <w:t>1）提供异构虚拟化功能，能够提供异构存储虚拟化整合功能，能接管现网异构存储，无需破坏或者改变现有数据格式，构成异构资源池，进行统一的资源调配和管理。</w:t>
            </w:r>
          </w:p>
          <w:p>
            <w:pPr>
              <w:rPr>
                <w:rFonts w:hint="eastAsia" w:ascii="宋体" w:hAnsi="宋体" w:eastAsia="宋体" w:cs="宋体"/>
                <w:color w:val="auto"/>
                <w:sz w:val="22"/>
                <w:szCs w:val="22"/>
                <w:lang w:eastAsia="zh-CN"/>
              </w:rPr>
            </w:pPr>
            <w:r>
              <w:rPr>
                <w:rFonts w:hint="eastAsia" w:ascii="宋体" w:hAnsi="宋体" w:cs="宋体"/>
                <w:color w:val="auto"/>
                <w:sz w:val="22"/>
                <w:szCs w:val="22"/>
              </w:rPr>
              <w:t>2）异构虚拟化兼容业界主流存储（如EMC、HPE、Hitachi、IBM、Huawei、NetApp等多个厂家的阵列）</w:t>
            </w:r>
          </w:p>
          <w:p>
            <w:pPr>
              <w:rPr>
                <w:rFonts w:hint="eastAsia" w:ascii="宋体" w:hAnsi="宋体" w:eastAsia="宋体" w:cs="宋体"/>
                <w:color w:val="auto"/>
                <w:sz w:val="22"/>
                <w:szCs w:val="22"/>
                <w:lang w:eastAsia="zh-CN"/>
              </w:rPr>
            </w:pPr>
            <w:r>
              <w:rPr>
                <w:rFonts w:hint="eastAsia" w:ascii="宋体" w:hAnsi="宋体" w:cs="宋体"/>
                <w:color w:val="auto"/>
                <w:sz w:val="22"/>
                <w:szCs w:val="22"/>
              </w:rPr>
              <w:t>3）提供快速回退功能，即被接管的阵列可直接映射给业务主机使用，防止由于虚拟化失败或者虚拟化不能快速回退造成的数据丢失，导致业务系统不可恢复；</w:t>
            </w:r>
          </w:p>
          <w:p>
            <w:pPr>
              <w:rPr>
                <w:rFonts w:hint="eastAsia" w:ascii="宋体" w:hAnsi="宋体" w:eastAsia="宋体" w:cs="宋体"/>
                <w:color w:val="auto"/>
                <w:sz w:val="22"/>
                <w:szCs w:val="22"/>
                <w:lang w:eastAsia="zh-CN"/>
              </w:rPr>
            </w:pPr>
            <w:r>
              <w:rPr>
                <w:rFonts w:hint="eastAsia" w:ascii="宋体" w:hAnsi="宋体" w:cs="宋体"/>
                <w:color w:val="auto"/>
                <w:sz w:val="22"/>
                <w:szCs w:val="22"/>
              </w:rPr>
              <w:t>4）异构虚拟化引擎配置容量许可，容量不少于1PB，阵列不少于1台；</w:t>
            </w:r>
          </w:p>
          <w:p>
            <w:pPr>
              <w:rPr>
                <w:rFonts w:hint="eastAsia" w:ascii="宋体" w:hAnsi="宋体" w:eastAsia="宋体" w:cs="宋体"/>
                <w:color w:val="auto"/>
                <w:sz w:val="22"/>
                <w:szCs w:val="22"/>
                <w:lang w:eastAsia="zh-CN"/>
              </w:rPr>
            </w:pPr>
            <w:r>
              <w:rPr>
                <w:rFonts w:hint="eastAsia" w:ascii="宋体" w:hAnsi="宋体" w:cs="宋体"/>
                <w:color w:val="auto"/>
                <w:sz w:val="22"/>
                <w:szCs w:val="22"/>
              </w:rPr>
              <w:t>5）异构虚拟化平台提供对异构存储的快照功能</w:t>
            </w:r>
          </w:p>
          <w:p>
            <w:pPr>
              <w:rPr>
                <w:rFonts w:hint="eastAsia" w:ascii="宋体" w:hAnsi="宋体" w:eastAsia="宋体" w:cs="宋体"/>
                <w:color w:val="auto"/>
                <w:sz w:val="22"/>
                <w:szCs w:val="22"/>
                <w:lang w:eastAsia="zh-CN"/>
              </w:rPr>
            </w:pPr>
            <w:r>
              <w:rPr>
                <w:rFonts w:hint="eastAsia" w:ascii="宋体" w:hAnsi="宋体" w:cs="宋体"/>
                <w:color w:val="auto"/>
                <w:sz w:val="22"/>
                <w:szCs w:val="22"/>
              </w:rPr>
              <w:t>6）异构虚拟化平台支持提供异构存储之间的数据镜像功能；</w:t>
            </w:r>
          </w:p>
          <w:p>
            <w:pPr>
              <w:rPr>
                <w:rFonts w:hint="eastAsia" w:ascii="宋体" w:hAnsi="宋体" w:eastAsia="宋体" w:cs="宋体"/>
                <w:color w:val="auto"/>
                <w:sz w:val="22"/>
                <w:szCs w:val="22"/>
                <w:lang w:eastAsia="zh-CN"/>
              </w:rPr>
            </w:pPr>
            <w:r>
              <w:rPr>
                <w:rFonts w:hint="eastAsia" w:ascii="宋体" w:hAnsi="宋体" w:cs="宋体"/>
                <w:color w:val="auto"/>
                <w:sz w:val="22"/>
                <w:szCs w:val="22"/>
              </w:rPr>
              <w:t>7）异构虚拟化平台支持提供异构存储之间的双活应用；</w:t>
            </w:r>
          </w:p>
          <w:p>
            <w:pPr>
              <w:rPr>
                <w:rFonts w:hint="eastAsia" w:ascii="宋体" w:hAnsi="宋体" w:eastAsia="宋体" w:cs="宋体"/>
                <w:color w:val="auto"/>
                <w:sz w:val="22"/>
                <w:szCs w:val="22"/>
                <w:lang w:eastAsia="zh-CN"/>
              </w:rPr>
            </w:pPr>
            <w:r>
              <w:rPr>
                <w:rFonts w:hint="eastAsia" w:ascii="宋体" w:hAnsi="宋体" w:cs="宋体"/>
                <w:color w:val="auto"/>
                <w:sz w:val="22"/>
                <w:szCs w:val="22"/>
              </w:rPr>
              <w:t>8）支持对异构存储创建FC和iSCSI链路，进行数据传输，并管理异构LUN；</w:t>
            </w:r>
          </w:p>
          <w:p>
            <w:pPr>
              <w:rPr>
                <w:rFonts w:ascii="宋体" w:hAnsi="宋体" w:cs="宋体"/>
                <w:color w:val="auto"/>
                <w:sz w:val="22"/>
                <w:szCs w:val="22"/>
              </w:rPr>
            </w:pPr>
            <w:r>
              <w:rPr>
                <w:rFonts w:hint="eastAsia" w:ascii="宋体" w:hAnsi="宋体" w:cs="宋体"/>
                <w:color w:val="auto"/>
                <w:sz w:val="22"/>
                <w:szCs w:val="22"/>
              </w:rPr>
              <w:t>具备异构虚拟化能力，并支持对异构存储的快照、复制、双活、卷镜像功能。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23</w:t>
            </w:r>
          </w:p>
        </w:tc>
        <w:tc>
          <w:tcPr>
            <w:tcW w:w="1240" w:type="dxa"/>
            <w:vMerge w:val="continue"/>
            <w:tcBorders>
              <w:tl2br w:val="nil"/>
              <w:tr2bl w:val="nil"/>
            </w:tcBorders>
            <w:vAlign w:val="center"/>
          </w:tcPr>
          <w:p>
            <w:pPr>
              <w:rPr>
                <w:rFonts w:ascii="宋体" w:hAnsi="宋体" w:cs="宋体"/>
                <w:color w:val="auto"/>
                <w:sz w:val="22"/>
                <w:szCs w:val="22"/>
              </w:rPr>
            </w:pPr>
          </w:p>
        </w:tc>
        <w:tc>
          <w:tcPr>
            <w:tcW w:w="7063"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支持将接管的第三方存储的数据在线迁移至本地存储空间。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24</w:t>
            </w:r>
          </w:p>
        </w:tc>
        <w:tc>
          <w:tcPr>
            <w:tcW w:w="1240" w:type="dxa"/>
            <w:tcBorders>
              <w:tl2br w:val="nil"/>
              <w:tr2bl w:val="nil"/>
            </w:tcBorders>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远程复制</w:t>
            </w:r>
          </w:p>
        </w:tc>
        <w:tc>
          <w:tcPr>
            <w:tcW w:w="7063" w:type="dxa"/>
            <w:tcBorders>
              <w:tl2br w:val="nil"/>
              <w:tr2bl w:val="nil"/>
            </w:tcBorders>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配置基于存储产品自身的同步和异步复制软件许可，提供基于FC接口的同步复制功能，基于FC链路复制功能。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25</w:t>
            </w:r>
          </w:p>
        </w:tc>
        <w:tc>
          <w:tcPr>
            <w:tcW w:w="1240" w:type="dxa"/>
            <w:tcBorders>
              <w:tl2br w:val="nil"/>
              <w:tr2bl w:val="nil"/>
            </w:tcBorders>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容灾管理</w:t>
            </w:r>
          </w:p>
        </w:tc>
        <w:tc>
          <w:tcPr>
            <w:tcW w:w="7063" w:type="dxa"/>
            <w:tcBorders>
              <w:tl2br w:val="nil"/>
              <w:tr2bl w:val="nil"/>
            </w:tcBorders>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提供与双活存储设备相同品牌的容灾管理软件。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26</w:t>
            </w:r>
          </w:p>
        </w:tc>
        <w:tc>
          <w:tcPr>
            <w:tcW w:w="1240" w:type="dxa"/>
            <w:tcBorders>
              <w:tl2br w:val="nil"/>
              <w:tr2bl w:val="nil"/>
            </w:tcBorders>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多租户</w:t>
            </w:r>
          </w:p>
        </w:tc>
        <w:tc>
          <w:tcPr>
            <w:tcW w:w="7063" w:type="dxa"/>
            <w:tcBorders>
              <w:tl2br w:val="nil"/>
              <w:tr2bl w:val="nil"/>
            </w:tcBorders>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支持并配置文件系统多租户功能，实现隔离租户间的资源。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27</w:t>
            </w:r>
          </w:p>
        </w:tc>
        <w:tc>
          <w:tcPr>
            <w:tcW w:w="1240" w:type="dxa"/>
            <w:tcBorders>
              <w:tl2br w:val="nil"/>
              <w:tr2bl w:val="nil"/>
            </w:tcBorders>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存储专用多路径软件</w:t>
            </w:r>
          </w:p>
        </w:tc>
        <w:tc>
          <w:tcPr>
            <w:tcW w:w="7063" w:type="dxa"/>
            <w:tcBorders>
              <w:tl2br w:val="nil"/>
              <w:tr2bl w:val="nil"/>
            </w:tcBorders>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存储厂商提供专有多路径（非操作系统自带多路径）软件，提供故障切换和负载均衡功能，支持Windows/Linux。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68" w:type="dxa"/>
            <w:tcBorders>
              <w:tl2br w:val="nil"/>
              <w:tr2bl w:val="nil"/>
            </w:tcBorders>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28</w:t>
            </w:r>
          </w:p>
        </w:tc>
        <w:tc>
          <w:tcPr>
            <w:tcW w:w="1240" w:type="dxa"/>
            <w:tcBorders>
              <w:tl2br w:val="nil"/>
              <w:tr2bl w:val="nil"/>
            </w:tcBorders>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售后服务</w:t>
            </w:r>
          </w:p>
        </w:tc>
        <w:tc>
          <w:tcPr>
            <w:tcW w:w="7063" w:type="dxa"/>
            <w:tcBorders>
              <w:tl2br w:val="nil"/>
              <w:tr2bl w:val="nil"/>
            </w:tcBorders>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提供3年原厂维保；设备生产厂商需在国内设有400技术服务热线。投标时提供原厂售后服务承诺函盖鲜章原件，最终用户为温州市交通运输管理局。</w:t>
            </w:r>
          </w:p>
        </w:tc>
      </w:tr>
    </w:tbl>
    <w:p>
      <w:pPr>
        <w:rPr>
          <w:rFonts w:eastAsia="仿宋_GB2312"/>
          <w:color w:val="auto"/>
        </w:rPr>
      </w:pPr>
    </w:p>
    <w:p>
      <w:pPr>
        <w:jc w:val="center"/>
        <w:rPr>
          <w:rFonts w:eastAsia="仿宋_GB2312"/>
          <w:b/>
          <w:bCs/>
          <w:color w:val="auto"/>
          <w:sz w:val="30"/>
          <w:szCs w:val="30"/>
        </w:rPr>
      </w:pPr>
      <w:r>
        <w:rPr>
          <w:rFonts w:hint="eastAsia" w:ascii="宋体" w:hAnsi="宋体" w:cs="宋体"/>
          <w:b/>
          <w:bCs/>
          <w:color w:val="auto"/>
          <w:sz w:val="24"/>
        </w:rPr>
        <w:t>2.容灾管理软件</w:t>
      </w:r>
    </w:p>
    <w:tbl>
      <w:tblPr>
        <w:tblStyle w:val="63"/>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34"/>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0" w:type="dxa"/>
            <w:shd w:val="clear" w:color="000000" w:fill="FFFFFF"/>
            <w:vAlign w:val="center"/>
          </w:tcPr>
          <w:p>
            <w:pPr>
              <w:jc w:val="center"/>
              <w:rPr>
                <w:rFonts w:ascii="宋体" w:hAnsi="宋体" w:cs="宋体"/>
                <w:b/>
                <w:bCs/>
                <w:color w:val="auto"/>
                <w:sz w:val="22"/>
                <w:szCs w:val="22"/>
              </w:rPr>
            </w:pPr>
            <w:r>
              <w:rPr>
                <w:rFonts w:hint="eastAsia" w:ascii="宋体" w:hAnsi="宋体" w:cs="宋体"/>
                <w:b/>
                <w:bCs/>
                <w:color w:val="auto"/>
                <w:sz w:val="22"/>
                <w:szCs w:val="22"/>
              </w:rPr>
              <w:t>序号</w:t>
            </w:r>
          </w:p>
        </w:tc>
        <w:tc>
          <w:tcPr>
            <w:tcW w:w="1240" w:type="dxa"/>
            <w:shd w:val="clear" w:color="000000" w:fill="FFFFFF"/>
            <w:vAlign w:val="center"/>
          </w:tcPr>
          <w:p>
            <w:pPr>
              <w:jc w:val="center"/>
              <w:rPr>
                <w:rFonts w:ascii="宋体" w:hAnsi="宋体" w:cs="宋体"/>
                <w:b/>
                <w:bCs/>
                <w:color w:val="auto"/>
                <w:sz w:val="22"/>
                <w:szCs w:val="22"/>
              </w:rPr>
            </w:pPr>
            <w:r>
              <w:rPr>
                <w:rFonts w:hint="eastAsia" w:ascii="宋体" w:hAnsi="宋体" w:cs="宋体"/>
                <w:b/>
                <w:bCs/>
                <w:color w:val="auto"/>
                <w:sz w:val="22"/>
                <w:szCs w:val="22"/>
              </w:rPr>
              <w:t>指标项</w:t>
            </w:r>
          </w:p>
        </w:tc>
        <w:tc>
          <w:tcPr>
            <w:tcW w:w="7061" w:type="dxa"/>
            <w:shd w:val="clear" w:color="000000" w:fill="FFFFFF"/>
            <w:vAlign w:val="center"/>
          </w:tcPr>
          <w:p>
            <w:pPr>
              <w:jc w:val="center"/>
              <w:rPr>
                <w:rFonts w:ascii="宋体" w:hAnsi="宋体" w:cs="宋体"/>
                <w:b/>
                <w:bCs/>
                <w:color w:val="auto"/>
                <w:sz w:val="22"/>
                <w:szCs w:val="22"/>
              </w:rPr>
            </w:pPr>
            <w:r>
              <w:rPr>
                <w:rFonts w:hint="eastAsia" w:ascii="宋体" w:hAnsi="宋体" w:cs="宋体"/>
                <w:b/>
                <w:bCs/>
                <w:color w:val="auto"/>
                <w:sz w:val="22"/>
                <w:szCs w:val="22"/>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 xml:space="preserve">容灾场景 </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满足对主备、ROBO、两地三中心、双活数据中心、本地保护、本地高可用等容灾场景等管理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2</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基于策略的自动化容灾保护</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 xml:space="preserve">支持自定义容灾保护策略，可制定不同的保护策略自动完成应用保护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3</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 xml:space="preserve">自定义容灾恢复策略 </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 xml:space="preserve">支持自定义恢复策略：恢复顺序、优先级、以及恢复步骤等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4</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 xml:space="preserve">容灾测试 </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支持一键式容灾测试与清理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5</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 xml:space="preserve">容灾切换 </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支持一键式计划性迁移与故障恢复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6</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 xml:space="preserve">重保护 </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支持容灾切换后，可对应用自动建立反向的容灾保护关系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7</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 xml:space="preserve">可视化容灾监控 </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 xml:space="preserve">端到端的容灾拓扑：监控网元与组网故障点；容灾保护与恢复流程可视化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8</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 xml:space="preserve">RPO满足度、RTO统计 </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能够实时监控应用RPO是否满足，支持RTO统计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9</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 xml:space="preserve">容灾报表 </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支持RPO遵从性报表、容灾保护、恢复报表展示与导出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10</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系统架构</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 xml:space="preserve">支持基于BS架构，可兼容多种浏览器；支持物理与虚拟化部署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77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11</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分权分域</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支持自定义角色和权限，可以限制用户对资源的访问，实现基于角色的精细访问控制并增强安全性和灵活性。</w:t>
            </w:r>
          </w:p>
        </w:tc>
      </w:tr>
    </w:tbl>
    <w:p>
      <w:pPr>
        <w:jc w:val="center"/>
        <w:rPr>
          <w:rFonts w:ascii="宋体" w:hAnsi="宋体" w:cs="宋体"/>
          <w:b/>
          <w:bCs/>
          <w:color w:val="auto"/>
          <w:sz w:val="24"/>
        </w:rPr>
      </w:pPr>
    </w:p>
    <w:p>
      <w:pPr>
        <w:jc w:val="center"/>
        <w:rPr>
          <w:rFonts w:ascii="宋体" w:hAnsi="宋体" w:cs="宋体"/>
          <w:b/>
          <w:bCs/>
          <w:color w:val="auto"/>
          <w:sz w:val="24"/>
        </w:rPr>
      </w:pPr>
      <w:r>
        <w:rPr>
          <w:rFonts w:hint="eastAsia" w:ascii="宋体" w:hAnsi="宋体" w:cs="宋体"/>
          <w:b/>
          <w:bCs/>
          <w:color w:val="auto"/>
          <w:sz w:val="24"/>
        </w:rPr>
        <w:t>3.备份软件</w:t>
      </w:r>
    </w:p>
    <w:tbl>
      <w:tblPr>
        <w:tblStyle w:val="63"/>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34"/>
        <w:gridCol w:w="7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70" w:type="dxa"/>
            <w:shd w:val="clear" w:color="auto" w:fill="auto"/>
            <w:vAlign w:val="center"/>
          </w:tcPr>
          <w:p>
            <w:pPr>
              <w:jc w:val="center"/>
              <w:rPr>
                <w:rFonts w:ascii="宋体" w:hAnsi="宋体" w:cs="宋体"/>
                <w:color w:val="auto"/>
                <w:sz w:val="22"/>
                <w:szCs w:val="22"/>
              </w:rPr>
            </w:pPr>
            <w:r>
              <w:rPr>
                <w:rFonts w:hint="eastAsia" w:ascii="宋体" w:hAnsi="宋体" w:cs="宋体"/>
                <w:b/>
                <w:bCs/>
                <w:color w:val="auto"/>
                <w:sz w:val="22"/>
                <w:szCs w:val="22"/>
              </w:rPr>
              <w:t>序号</w:t>
            </w:r>
          </w:p>
        </w:tc>
        <w:tc>
          <w:tcPr>
            <w:tcW w:w="1240" w:type="dxa"/>
            <w:shd w:val="clear" w:color="auto" w:fill="auto"/>
            <w:vAlign w:val="center"/>
          </w:tcPr>
          <w:p>
            <w:pPr>
              <w:jc w:val="center"/>
              <w:rPr>
                <w:rFonts w:ascii="宋体" w:hAnsi="宋体" w:cs="宋体"/>
                <w:color w:val="auto"/>
                <w:sz w:val="22"/>
                <w:szCs w:val="22"/>
              </w:rPr>
            </w:pPr>
            <w:r>
              <w:rPr>
                <w:rFonts w:hint="eastAsia" w:ascii="宋体" w:hAnsi="宋体" w:cs="宋体"/>
                <w:b/>
                <w:bCs/>
                <w:color w:val="auto"/>
                <w:sz w:val="22"/>
                <w:szCs w:val="22"/>
              </w:rPr>
              <w:t>指标项</w:t>
            </w:r>
          </w:p>
        </w:tc>
        <w:tc>
          <w:tcPr>
            <w:tcW w:w="7061" w:type="dxa"/>
            <w:shd w:val="clear" w:color="auto" w:fill="auto"/>
            <w:vAlign w:val="center"/>
          </w:tcPr>
          <w:p>
            <w:pPr>
              <w:jc w:val="center"/>
              <w:rPr>
                <w:rFonts w:ascii="宋体" w:hAnsi="宋体" w:cs="宋体"/>
                <w:color w:val="auto"/>
                <w:sz w:val="22"/>
                <w:szCs w:val="22"/>
              </w:rPr>
            </w:pPr>
            <w:r>
              <w:rPr>
                <w:rFonts w:hint="eastAsia" w:ascii="宋体" w:hAnsi="宋体" w:cs="宋体"/>
                <w:b/>
                <w:bCs/>
                <w:color w:val="auto"/>
                <w:sz w:val="22"/>
                <w:szCs w:val="22"/>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70"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1</w:t>
            </w:r>
          </w:p>
        </w:tc>
        <w:tc>
          <w:tcPr>
            <w:tcW w:w="1240"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数据库及应用保护</w:t>
            </w:r>
          </w:p>
        </w:tc>
        <w:tc>
          <w:tcPr>
            <w:tcW w:w="7061"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支持对Oracle、SQL Server、DB2、MySQL、SAP HANA、Sybase、PostgreSQL、MangoDB、Gbase、达梦等数据库进行在线备份保护，备份任务配置过程全部图形化操作，无需编写脚本。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70"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2</w:t>
            </w:r>
          </w:p>
        </w:tc>
        <w:tc>
          <w:tcPr>
            <w:tcW w:w="1240"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文件系统备份</w:t>
            </w:r>
          </w:p>
        </w:tc>
        <w:tc>
          <w:tcPr>
            <w:tcW w:w="7061"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支持Windows、Redhat、SuSE、CentOS、Debian、Ubuntu、AIX、Solaris、HPUX、中标麒麟、银河麒麟、普华、统信、中科方德和红旗的文件系统备份恢复。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70"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3</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国产化支持</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支持对Windows、Linux操作系统进行在线备份和裸机还原。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trPr>
        <w:tc>
          <w:tcPr>
            <w:tcW w:w="770"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4</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虚拟化备份</w:t>
            </w:r>
          </w:p>
        </w:tc>
        <w:tc>
          <w:tcPr>
            <w:tcW w:w="7061" w:type="dxa"/>
            <w:shd w:val="clear" w:color="000000" w:fill="FFFFFF"/>
            <w:vAlign w:val="center"/>
          </w:tcPr>
          <w:p>
            <w:pPr>
              <w:rPr>
                <w:rFonts w:hint="eastAsia" w:ascii="宋体" w:hAnsi="宋体" w:eastAsia="宋体" w:cs="宋体"/>
                <w:color w:val="auto"/>
                <w:sz w:val="22"/>
                <w:szCs w:val="22"/>
                <w:lang w:eastAsia="zh-CN"/>
              </w:rPr>
            </w:pPr>
            <w:r>
              <w:rPr>
                <w:rFonts w:hint="eastAsia" w:ascii="宋体" w:hAnsi="宋体" w:cs="宋体"/>
                <w:color w:val="auto"/>
                <w:sz w:val="22"/>
                <w:szCs w:val="22"/>
              </w:rPr>
              <w:t>支持对VMware vSphere、XenServer、Hyper-V、H3C CAS、华为Fusionsphere等主流虚拟化平台的无代理备份，支持单机和集群部署环境。以上虚拟化应用均支持以虚拟机、资源池和整个集群为单位进行备份保护保护，无需在虚拟机内部安装任何代理软件。</w:t>
            </w:r>
          </w:p>
          <w:p>
            <w:pPr>
              <w:rPr>
                <w:rFonts w:ascii="宋体" w:hAnsi="宋体" w:cs="宋体"/>
                <w:color w:val="auto"/>
                <w:sz w:val="22"/>
                <w:szCs w:val="22"/>
              </w:rPr>
            </w:pPr>
            <w:r>
              <w:rPr>
                <w:rFonts w:hint="eastAsia" w:ascii="宋体" w:hAnsi="宋体" w:cs="宋体"/>
                <w:color w:val="auto"/>
                <w:sz w:val="22"/>
                <w:szCs w:val="22"/>
              </w:rPr>
              <w:t>支持虚拟机并发备份和恢复功能，支持在管理页面中设置单个备份和恢复任务中的虚拟机并发备份和恢复数量，可大幅提高备份恢复效率。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trPr>
        <w:tc>
          <w:tcPr>
            <w:tcW w:w="770"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5</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重复数据删除</w:t>
            </w:r>
          </w:p>
        </w:tc>
        <w:tc>
          <w:tcPr>
            <w:tcW w:w="7061" w:type="dxa"/>
            <w:shd w:val="clear" w:color="000000" w:fill="FFFFFF"/>
            <w:vAlign w:val="center"/>
          </w:tcPr>
          <w:p>
            <w:pPr>
              <w:rPr>
                <w:rFonts w:hint="eastAsia" w:ascii="宋体" w:hAnsi="宋体" w:eastAsia="宋体" w:cs="宋体"/>
                <w:color w:val="auto"/>
                <w:sz w:val="22"/>
                <w:szCs w:val="22"/>
                <w:lang w:eastAsia="zh-CN"/>
              </w:rPr>
            </w:pPr>
            <w:r>
              <w:rPr>
                <w:rFonts w:hint="eastAsia" w:ascii="宋体" w:hAnsi="宋体" w:cs="宋体"/>
                <w:color w:val="auto"/>
                <w:sz w:val="22"/>
                <w:szCs w:val="22"/>
              </w:rPr>
              <w:t>支持基于源端的智能切片的重复数据删除技术，多个备份任务可以共享同一个重复数据删除指纹池，也可以根据数据的不同单独设置专属指纹池，最大限度的提升重复数据删除效率，减轻带宽压力，降低传输数据量和备份数据存储成本。</w:t>
            </w:r>
          </w:p>
          <w:p>
            <w:pPr>
              <w:rPr>
                <w:rFonts w:hint="eastAsia" w:ascii="宋体" w:hAnsi="宋体" w:eastAsia="宋体" w:cs="宋体"/>
                <w:color w:val="auto"/>
                <w:sz w:val="22"/>
                <w:szCs w:val="22"/>
                <w:lang w:eastAsia="zh-CN"/>
              </w:rPr>
            </w:pPr>
            <w:r>
              <w:rPr>
                <w:rFonts w:hint="eastAsia" w:ascii="宋体" w:hAnsi="宋体" w:cs="宋体"/>
                <w:color w:val="auto"/>
                <w:sz w:val="22"/>
                <w:szCs w:val="22"/>
              </w:rPr>
              <w:t>支持并行重复数据删除，通过在多个不同的节点上构建指纹池，并将指纹并行分布于多个节点，有效解决单点性能和存储空间压力问题。</w:t>
            </w:r>
          </w:p>
          <w:p>
            <w:pPr>
              <w:rPr>
                <w:rFonts w:ascii="宋体" w:hAnsi="宋体" w:cs="宋体"/>
                <w:color w:val="auto"/>
                <w:sz w:val="22"/>
                <w:szCs w:val="22"/>
              </w:rPr>
            </w:pPr>
            <w:r>
              <w:rPr>
                <w:rFonts w:hint="eastAsia" w:ascii="宋体" w:hAnsi="宋体" w:cs="宋体"/>
                <w:color w:val="auto"/>
                <w:sz w:val="22"/>
                <w:szCs w:val="22"/>
              </w:rPr>
              <w:t>支持基于内容的变长数据切分算法，能够达到更高的数据去重比率。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770"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6</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数据安全性</w:t>
            </w:r>
          </w:p>
        </w:tc>
        <w:tc>
          <w:tcPr>
            <w:tcW w:w="7061" w:type="dxa"/>
            <w:shd w:val="clear" w:color="000000" w:fill="FFFFFF"/>
            <w:vAlign w:val="center"/>
          </w:tcPr>
          <w:p>
            <w:pPr>
              <w:rPr>
                <w:rFonts w:hint="eastAsia" w:ascii="宋体" w:hAnsi="宋体" w:eastAsia="宋体" w:cs="宋体"/>
                <w:color w:val="auto"/>
                <w:sz w:val="22"/>
                <w:szCs w:val="22"/>
                <w:lang w:eastAsia="zh-CN"/>
              </w:rPr>
            </w:pPr>
            <w:r>
              <w:rPr>
                <w:rFonts w:hint="eastAsia" w:ascii="宋体" w:hAnsi="宋体" w:cs="宋体"/>
                <w:color w:val="auto"/>
                <w:sz w:val="22"/>
                <w:szCs w:val="22"/>
              </w:rPr>
              <w:t>支持客户端加密，传输加密，存储加密等多种加密方式，确保数据安全；</w:t>
            </w:r>
          </w:p>
          <w:p>
            <w:pPr>
              <w:rPr>
                <w:rFonts w:ascii="宋体" w:hAnsi="宋体" w:cs="宋体"/>
                <w:color w:val="auto"/>
                <w:sz w:val="22"/>
                <w:szCs w:val="22"/>
              </w:rPr>
            </w:pPr>
            <w:r>
              <w:rPr>
                <w:rFonts w:hint="eastAsia" w:ascii="宋体" w:hAnsi="宋体" w:cs="宋体"/>
                <w:color w:val="auto"/>
                <w:sz w:val="22"/>
                <w:szCs w:val="22"/>
              </w:rPr>
              <w:t>加密算法支持AES-256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70"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7</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永久增量备份</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永久增量备份技术，初次备份对所有数据进行完全备份，之后只对新增加或改动过的数据做增量备份。每个增量备份的数据副本将自动合成为完全副本，能够大幅度减少备份时间，节省备份数据所需的存储空间，且提升了恢复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70"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8</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远程复制</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远程复制，支持将本地备份数据1对1、1对多、多对1，级联方式进行远程复制，复制支持断点续传，流量限速及固定时段暂停传输，异地备份数据具有安全管理机制，异地备份存储系统需要得到本地授权许可后，才可以浏览、恢复本地传输过去的备份数据，最大限度避免备份数据的泄密可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70" w:type="dxa"/>
            <w:shd w:val="clear" w:color="auto" w:fill="auto"/>
            <w:vAlign w:val="center"/>
          </w:tcPr>
          <w:p>
            <w:pPr>
              <w:rPr>
                <w:rFonts w:ascii="宋体" w:hAnsi="宋体" w:cs="宋体"/>
                <w:color w:val="auto"/>
                <w:sz w:val="22"/>
                <w:szCs w:val="22"/>
              </w:rPr>
            </w:pPr>
            <w:r>
              <w:rPr>
                <w:rFonts w:hint="eastAsia" w:ascii="宋体" w:hAnsi="宋体" w:cs="宋体"/>
                <w:color w:val="auto"/>
                <w:sz w:val="22"/>
                <w:szCs w:val="22"/>
              </w:rPr>
              <w:t>9</w:t>
            </w:r>
          </w:p>
        </w:tc>
        <w:tc>
          <w:tcPr>
            <w:tcW w:w="1240"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持续备份</w:t>
            </w:r>
          </w:p>
        </w:tc>
        <w:tc>
          <w:tcPr>
            <w:tcW w:w="7061" w:type="dxa"/>
            <w:shd w:val="clear" w:color="000000" w:fill="FFFFFF"/>
            <w:vAlign w:val="center"/>
          </w:tcPr>
          <w:p>
            <w:pPr>
              <w:rPr>
                <w:rFonts w:ascii="宋体" w:hAnsi="宋体" w:cs="宋体"/>
                <w:color w:val="auto"/>
                <w:sz w:val="22"/>
                <w:szCs w:val="22"/>
              </w:rPr>
            </w:pPr>
            <w:r>
              <w:rPr>
                <w:rFonts w:hint="eastAsia" w:ascii="宋体" w:hAnsi="宋体" w:cs="宋体"/>
                <w:color w:val="auto"/>
                <w:sz w:val="22"/>
                <w:szCs w:val="22"/>
              </w:rPr>
              <w:t>支持Windows和Linux卷的持续数据备份功能，支持IO级备份和任意时间点恢复。</w:t>
            </w:r>
          </w:p>
        </w:tc>
      </w:tr>
    </w:tbl>
    <w:p>
      <w:pPr>
        <w:spacing w:line="400" w:lineRule="exact"/>
        <w:ind w:firstLine="1100" w:firstLineChars="500"/>
        <w:rPr>
          <w:rFonts w:ascii="宋体" w:hAnsi="宋体" w:cs="宋体"/>
          <w:color w:val="auto"/>
          <w:sz w:val="22"/>
          <w:szCs w:val="22"/>
        </w:rPr>
      </w:pPr>
    </w:p>
    <w:p>
      <w:pPr>
        <w:rPr>
          <w:b/>
          <w:bCs/>
          <w:color w:val="auto"/>
          <w:sz w:val="22"/>
          <w:szCs w:val="28"/>
        </w:rPr>
      </w:pPr>
      <w:r>
        <w:rPr>
          <w:rFonts w:hint="eastAsia"/>
          <w:b/>
          <w:bCs/>
          <w:color w:val="auto"/>
          <w:sz w:val="22"/>
          <w:szCs w:val="28"/>
        </w:rPr>
        <w:t>（二）服务内容</w:t>
      </w:r>
    </w:p>
    <w:p>
      <w:pPr>
        <w:ind w:firstLine="220" w:firstLineChars="100"/>
        <w:rPr>
          <w:rFonts w:ascii="宋体" w:hAnsi="宋体" w:cs="宋体"/>
          <w:color w:val="auto"/>
          <w:sz w:val="22"/>
          <w:szCs w:val="22"/>
        </w:rPr>
      </w:pPr>
      <w:r>
        <w:rPr>
          <w:rFonts w:hint="eastAsia" w:ascii="宋体" w:hAnsi="宋体" w:cs="宋体"/>
          <w:color w:val="auto"/>
          <w:sz w:val="22"/>
          <w:szCs w:val="22"/>
        </w:rPr>
        <w:t>1.7×24小时电话服务</w:t>
      </w:r>
    </w:p>
    <w:p>
      <w:pPr>
        <w:ind w:firstLine="440" w:firstLineChars="200"/>
        <w:rPr>
          <w:rFonts w:ascii="宋体" w:hAnsi="宋体" w:cs="宋体"/>
          <w:color w:val="auto"/>
          <w:sz w:val="22"/>
          <w:szCs w:val="22"/>
        </w:rPr>
      </w:pPr>
      <w:r>
        <w:rPr>
          <w:rFonts w:hint="eastAsia" w:ascii="宋体" w:hAnsi="宋体" w:cs="宋体"/>
          <w:color w:val="auto"/>
          <w:sz w:val="22"/>
          <w:szCs w:val="22"/>
        </w:rPr>
        <w:t>提供7×24小时的免费技术支持。支持范围包括产品的功能、配置、安装、调试、客户使用中遇到的各种技术问题的一般性咨询，并随时准备处理各种突发事件，提供400或其它热线电话支持服务。若出现重大问题，技术人员可根据需求在6小时内赶赴现场处理。</w:t>
      </w:r>
    </w:p>
    <w:p>
      <w:pPr>
        <w:rPr>
          <w:rFonts w:ascii="宋体" w:hAnsi="宋体" w:cs="宋体"/>
          <w:color w:val="auto"/>
          <w:sz w:val="22"/>
          <w:szCs w:val="22"/>
        </w:rPr>
      </w:pPr>
      <w:r>
        <w:rPr>
          <w:rFonts w:hint="eastAsia" w:ascii="宋体" w:hAnsi="宋体" w:cs="宋体"/>
          <w:color w:val="auto"/>
          <w:sz w:val="22"/>
          <w:szCs w:val="22"/>
        </w:rPr>
        <w:t xml:space="preserve">  2.应急备件服务</w:t>
      </w:r>
      <w:r>
        <w:rPr>
          <w:rFonts w:hint="eastAsia" w:ascii="宋体" w:hAnsi="宋体" w:cs="宋体"/>
          <w:color w:val="auto"/>
          <w:sz w:val="22"/>
          <w:szCs w:val="22"/>
        </w:rPr>
        <w:tab/>
      </w:r>
    </w:p>
    <w:p>
      <w:pPr>
        <w:ind w:firstLine="440" w:firstLineChars="200"/>
        <w:rPr>
          <w:rFonts w:ascii="宋体" w:hAnsi="宋体" w:cs="宋体"/>
          <w:color w:val="auto"/>
          <w:sz w:val="22"/>
          <w:szCs w:val="22"/>
        </w:rPr>
      </w:pPr>
      <w:r>
        <w:rPr>
          <w:rFonts w:hint="eastAsia" w:ascii="宋体" w:hAnsi="宋体" w:cs="宋体"/>
          <w:color w:val="auto"/>
          <w:sz w:val="22"/>
          <w:szCs w:val="22"/>
        </w:rPr>
        <w:t>应急备件服务：提供如光交、光模块等易损件的备件服务，如出现问题及时更换易损件，保障设备正常稳定运行。</w:t>
      </w:r>
    </w:p>
    <w:p>
      <w:pPr>
        <w:ind w:firstLine="220" w:firstLineChars="100"/>
        <w:rPr>
          <w:rFonts w:ascii="宋体" w:hAnsi="宋体" w:cs="宋体"/>
          <w:color w:val="auto"/>
          <w:sz w:val="22"/>
          <w:szCs w:val="22"/>
        </w:rPr>
      </w:pPr>
      <w:r>
        <w:rPr>
          <w:rFonts w:hint="eastAsia" w:ascii="宋体" w:hAnsi="宋体" w:cs="宋体"/>
          <w:color w:val="auto"/>
          <w:sz w:val="22"/>
          <w:szCs w:val="22"/>
        </w:rPr>
        <w:t>3.保证对灾备服务提供的灾备设备每月至少一次现场巡检，并出具巡检报告；遇重大活动和重要保障任务时，接通知后应立即安排技术人员现场或远程支持，并对灾备设备进行巡检。</w:t>
      </w:r>
    </w:p>
    <w:p>
      <w:pPr>
        <w:ind w:firstLine="220" w:firstLineChars="100"/>
        <w:rPr>
          <w:rFonts w:ascii="宋体" w:hAnsi="宋体" w:cs="宋体"/>
          <w:color w:val="auto"/>
          <w:sz w:val="22"/>
          <w:szCs w:val="22"/>
        </w:rPr>
      </w:pPr>
      <w:r>
        <w:rPr>
          <w:rFonts w:hint="eastAsia" w:ascii="宋体" w:hAnsi="宋体" w:cs="宋体"/>
          <w:color w:val="auto"/>
          <w:sz w:val="22"/>
          <w:szCs w:val="22"/>
        </w:rPr>
        <w:t>4.每月对提供的服务质量进行考核，输出服务质量考核表，考核表满分为100分，对服务质量要求不达标的每次扣一分，每分按照合同金额的千分之一扣款。</w:t>
      </w:r>
    </w:p>
    <w:p>
      <w:pPr>
        <w:rPr>
          <w:rFonts w:ascii="宋体" w:hAnsi="宋体" w:cs="宋体"/>
          <w:color w:val="auto"/>
          <w:sz w:val="22"/>
          <w:szCs w:val="22"/>
        </w:rPr>
      </w:pPr>
      <w:r>
        <w:rPr>
          <w:rFonts w:hint="eastAsia" w:ascii="宋体" w:hAnsi="宋体" w:cs="宋体"/>
          <w:color w:val="auto"/>
          <w:sz w:val="22"/>
          <w:szCs w:val="22"/>
        </w:rPr>
        <w:t xml:space="preserve">  三、相应服务报表要求见下表：</w:t>
      </w:r>
    </w:p>
    <w:tbl>
      <w:tblPr>
        <w:tblStyle w:val="63"/>
        <w:tblW w:w="495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0"/>
        <w:gridCol w:w="3831"/>
        <w:gridCol w:w="3893"/>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Pr>
          <w:p>
            <w:pPr>
              <w:rPr>
                <w:rFonts w:ascii="宋体" w:hAnsi="宋体" w:cs="宋体"/>
                <w:color w:val="auto"/>
                <w:sz w:val="22"/>
                <w:szCs w:val="22"/>
              </w:rPr>
            </w:pPr>
            <w:r>
              <w:rPr>
                <w:rFonts w:hint="eastAsia" w:ascii="宋体" w:hAnsi="宋体" w:cs="宋体"/>
                <w:color w:val="auto"/>
                <w:sz w:val="22"/>
                <w:szCs w:val="22"/>
              </w:rPr>
              <w:t>序号</w:t>
            </w:r>
          </w:p>
        </w:tc>
        <w:tc>
          <w:tcPr>
            <w:tcW w:w="3231" w:type="dxa"/>
          </w:tcPr>
          <w:p>
            <w:pPr>
              <w:rPr>
                <w:rFonts w:ascii="宋体" w:hAnsi="宋体" w:cs="宋体"/>
                <w:color w:val="auto"/>
                <w:sz w:val="22"/>
                <w:szCs w:val="22"/>
              </w:rPr>
            </w:pPr>
            <w:r>
              <w:rPr>
                <w:rFonts w:hint="eastAsia" w:ascii="宋体" w:hAnsi="宋体" w:cs="宋体"/>
                <w:color w:val="auto"/>
                <w:sz w:val="22"/>
                <w:szCs w:val="22"/>
              </w:rPr>
              <w:t>服务内容</w:t>
            </w:r>
          </w:p>
        </w:tc>
        <w:tc>
          <w:tcPr>
            <w:tcW w:w="3283" w:type="dxa"/>
          </w:tcPr>
          <w:p>
            <w:pPr>
              <w:rPr>
                <w:rFonts w:ascii="宋体" w:hAnsi="宋体" w:cs="宋体"/>
                <w:color w:val="auto"/>
                <w:sz w:val="22"/>
                <w:szCs w:val="22"/>
              </w:rPr>
            </w:pPr>
            <w:r>
              <w:rPr>
                <w:rFonts w:hint="eastAsia" w:ascii="宋体" w:hAnsi="宋体" w:cs="宋体"/>
                <w:color w:val="auto"/>
                <w:sz w:val="22"/>
                <w:szCs w:val="22"/>
              </w:rPr>
              <w:t>输出台账</w:t>
            </w:r>
          </w:p>
        </w:tc>
        <w:tc>
          <w:tcPr>
            <w:tcW w:w="844" w:type="dxa"/>
          </w:tcPr>
          <w:p>
            <w:pPr>
              <w:rPr>
                <w:rFonts w:ascii="宋体" w:hAnsi="宋体" w:cs="宋体"/>
                <w:color w:val="auto"/>
                <w:sz w:val="22"/>
                <w:szCs w:val="22"/>
              </w:rPr>
            </w:pPr>
            <w:r>
              <w:rPr>
                <w:rFonts w:hint="eastAsia" w:ascii="宋体" w:hAnsi="宋体" w:cs="宋体"/>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69" w:type="dxa"/>
            <w:tcBorders>
              <w:top w:val="single" w:color="auto" w:sz="4" w:space="0"/>
              <w:left w:val="single" w:color="auto" w:sz="4" w:space="0"/>
              <w:right w:val="single" w:color="auto" w:sz="4" w:space="0"/>
            </w:tcBorders>
          </w:tcPr>
          <w:p>
            <w:pPr>
              <w:rPr>
                <w:rFonts w:ascii="宋体" w:hAnsi="宋体" w:cs="宋体"/>
                <w:color w:val="auto"/>
                <w:sz w:val="22"/>
                <w:szCs w:val="22"/>
              </w:rPr>
            </w:pPr>
            <w:r>
              <w:rPr>
                <w:rFonts w:hint="eastAsia" w:ascii="宋体" w:hAnsi="宋体" w:cs="宋体"/>
                <w:color w:val="auto"/>
                <w:sz w:val="22"/>
                <w:szCs w:val="22"/>
              </w:rPr>
              <w:t>1</w:t>
            </w:r>
          </w:p>
        </w:tc>
        <w:tc>
          <w:tcPr>
            <w:tcW w:w="3231" w:type="dxa"/>
            <w:tcBorders>
              <w:top w:val="single" w:color="auto" w:sz="4" w:space="0"/>
              <w:left w:val="single" w:color="auto" w:sz="4" w:space="0"/>
              <w:right w:val="single" w:color="auto" w:sz="4" w:space="0"/>
            </w:tcBorders>
          </w:tcPr>
          <w:p>
            <w:pPr>
              <w:rPr>
                <w:rFonts w:ascii="宋体" w:hAnsi="宋体" w:cs="宋体"/>
                <w:color w:val="auto"/>
                <w:sz w:val="22"/>
                <w:szCs w:val="22"/>
              </w:rPr>
            </w:pPr>
            <w:r>
              <w:rPr>
                <w:rFonts w:hint="eastAsia" w:ascii="宋体" w:hAnsi="宋体" w:cs="宋体"/>
                <w:color w:val="auto"/>
                <w:sz w:val="22"/>
                <w:szCs w:val="22"/>
              </w:rPr>
              <w:t>数据容灾设备巡检</w:t>
            </w:r>
          </w:p>
        </w:tc>
        <w:tc>
          <w:tcPr>
            <w:tcW w:w="3283" w:type="dxa"/>
            <w:tcBorders>
              <w:top w:val="single" w:color="auto" w:sz="4" w:space="0"/>
              <w:left w:val="single" w:color="auto" w:sz="4" w:space="0"/>
              <w:right w:val="single" w:color="auto" w:sz="4" w:space="0"/>
            </w:tcBorders>
          </w:tcPr>
          <w:p>
            <w:pPr>
              <w:rPr>
                <w:rFonts w:ascii="宋体" w:hAnsi="宋体" w:cs="宋体"/>
                <w:color w:val="auto"/>
                <w:sz w:val="22"/>
                <w:szCs w:val="22"/>
              </w:rPr>
            </w:pPr>
            <w:r>
              <w:rPr>
                <w:rFonts w:hint="eastAsia" w:ascii="宋体" w:hAnsi="宋体" w:cs="宋体"/>
                <w:color w:val="auto"/>
                <w:sz w:val="22"/>
                <w:szCs w:val="22"/>
              </w:rPr>
              <w:t>容灾设备巡检月报</w:t>
            </w:r>
          </w:p>
        </w:tc>
        <w:tc>
          <w:tcPr>
            <w:tcW w:w="844" w:type="dxa"/>
            <w:tcBorders>
              <w:top w:val="single" w:color="auto" w:sz="4" w:space="0"/>
              <w:left w:val="single" w:color="auto" w:sz="4" w:space="0"/>
              <w:right w:val="single" w:color="auto" w:sz="4" w:space="0"/>
            </w:tcBorders>
          </w:tcPr>
          <w:p>
            <w:pP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869" w:type="dxa"/>
            <w:tcBorders>
              <w:top w:val="single" w:color="auto" w:sz="4" w:space="0"/>
              <w:left w:val="single" w:color="auto" w:sz="4" w:space="0"/>
              <w:right w:val="single" w:color="auto" w:sz="4" w:space="0"/>
            </w:tcBorders>
          </w:tcPr>
          <w:p>
            <w:pPr>
              <w:rPr>
                <w:rFonts w:ascii="宋体" w:hAnsi="宋体" w:cs="宋体"/>
                <w:color w:val="auto"/>
                <w:sz w:val="22"/>
                <w:szCs w:val="22"/>
              </w:rPr>
            </w:pPr>
            <w:r>
              <w:rPr>
                <w:rFonts w:hint="eastAsia" w:ascii="宋体" w:hAnsi="宋体" w:cs="宋体"/>
                <w:color w:val="auto"/>
                <w:sz w:val="22"/>
                <w:szCs w:val="22"/>
              </w:rPr>
              <w:t>2</w:t>
            </w:r>
          </w:p>
        </w:tc>
        <w:tc>
          <w:tcPr>
            <w:tcW w:w="3231" w:type="dxa"/>
            <w:tcBorders>
              <w:top w:val="single" w:color="auto" w:sz="4" w:space="0"/>
              <w:left w:val="single" w:color="auto" w:sz="4" w:space="0"/>
              <w:right w:val="single" w:color="auto" w:sz="4" w:space="0"/>
            </w:tcBorders>
          </w:tcPr>
          <w:p>
            <w:pPr>
              <w:rPr>
                <w:rFonts w:ascii="宋体" w:hAnsi="宋体" w:cs="宋体"/>
                <w:color w:val="auto"/>
                <w:sz w:val="22"/>
                <w:szCs w:val="22"/>
              </w:rPr>
            </w:pPr>
            <w:r>
              <w:rPr>
                <w:rFonts w:hint="eastAsia" w:ascii="宋体" w:hAnsi="宋体" w:cs="宋体"/>
                <w:color w:val="auto"/>
                <w:sz w:val="22"/>
                <w:szCs w:val="22"/>
              </w:rPr>
              <w:t>数据灾备服务</w:t>
            </w:r>
          </w:p>
        </w:tc>
        <w:tc>
          <w:tcPr>
            <w:tcW w:w="3283" w:type="dxa"/>
            <w:tcBorders>
              <w:top w:val="single" w:color="auto" w:sz="4" w:space="0"/>
              <w:left w:val="single" w:color="auto" w:sz="4" w:space="0"/>
              <w:right w:val="single" w:color="auto" w:sz="4" w:space="0"/>
            </w:tcBorders>
          </w:tcPr>
          <w:p>
            <w:pPr>
              <w:rPr>
                <w:rFonts w:ascii="宋体" w:hAnsi="宋体" w:cs="宋体"/>
                <w:color w:val="auto"/>
                <w:sz w:val="22"/>
                <w:szCs w:val="22"/>
              </w:rPr>
            </w:pPr>
            <w:r>
              <w:rPr>
                <w:rFonts w:hint="eastAsia" w:ascii="宋体" w:hAnsi="宋体" w:cs="宋体"/>
                <w:color w:val="auto"/>
                <w:sz w:val="22"/>
                <w:szCs w:val="22"/>
              </w:rPr>
              <w:t>故障处理表</w:t>
            </w:r>
          </w:p>
        </w:tc>
        <w:tc>
          <w:tcPr>
            <w:tcW w:w="844" w:type="dxa"/>
            <w:tcBorders>
              <w:top w:val="single" w:color="auto" w:sz="4" w:space="0"/>
              <w:left w:val="single" w:color="auto" w:sz="4" w:space="0"/>
              <w:right w:val="single" w:color="auto" w:sz="4" w:space="0"/>
            </w:tcBorders>
          </w:tcPr>
          <w:p>
            <w:pP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Borders>
              <w:top w:val="single" w:color="auto" w:sz="4" w:space="0"/>
              <w:left w:val="single" w:color="auto" w:sz="4" w:space="0"/>
              <w:right w:val="single" w:color="auto" w:sz="4" w:space="0"/>
            </w:tcBorders>
          </w:tcPr>
          <w:p>
            <w:pPr>
              <w:rPr>
                <w:rFonts w:ascii="宋体" w:hAnsi="宋体" w:cs="宋体"/>
                <w:color w:val="auto"/>
                <w:sz w:val="22"/>
                <w:szCs w:val="22"/>
              </w:rPr>
            </w:pPr>
            <w:r>
              <w:rPr>
                <w:rFonts w:hint="eastAsia" w:ascii="宋体" w:hAnsi="宋体" w:cs="宋体"/>
                <w:color w:val="auto"/>
                <w:sz w:val="22"/>
                <w:szCs w:val="22"/>
              </w:rPr>
              <w:t>3</w:t>
            </w:r>
          </w:p>
        </w:tc>
        <w:tc>
          <w:tcPr>
            <w:tcW w:w="3231" w:type="dxa"/>
            <w:tcBorders>
              <w:top w:val="single" w:color="auto" w:sz="4" w:space="0"/>
              <w:left w:val="single" w:color="auto" w:sz="4" w:space="0"/>
              <w:right w:val="single" w:color="auto" w:sz="4" w:space="0"/>
            </w:tcBorders>
          </w:tcPr>
          <w:p>
            <w:pPr>
              <w:rPr>
                <w:rFonts w:ascii="宋体" w:hAnsi="宋体" w:cs="宋体"/>
                <w:color w:val="auto"/>
                <w:sz w:val="22"/>
                <w:szCs w:val="22"/>
              </w:rPr>
            </w:pPr>
            <w:r>
              <w:rPr>
                <w:rFonts w:hint="eastAsia" w:ascii="宋体" w:hAnsi="宋体" w:cs="宋体"/>
                <w:color w:val="auto"/>
                <w:sz w:val="22"/>
                <w:szCs w:val="22"/>
              </w:rPr>
              <w:t>数据灾备服务</w:t>
            </w:r>
          </w:p>
        </w:tc>
        <w:tc>
          <w:tcPr>
            <w:tcW w:w="3283" w:type="dxa"/>
            <w:tcBorders>
              <w:top w:val="single" w:color="auto" w:sz="4" w:space="0"/>
              <w:left w:val="single" w:color="auto" w:sz="4" w:space="0"/>
              <w:right w:val="single" w:color="auto" w:sz="4" w:space="0"/>
            </w:tcBorders>
          </w:tcPr>
          <w:p>
            <w:pPr>
              <w:rPr>
                <w:rFonts w:ascii="宋体" w:hAnsi="宋体" w:cs="宋体"/>
                <w:color w:val="auto"/>
                <w:sz w:val="22"/>
                <w:szCs w:val="22"/>
              </w:rPr>
            </w:pPr>
            <w:r>
              <w:rPr>
                <w:rFonts w:hint="eastAsia" w:ascii="宋体" w:hAnsi="宋体" w:cs="宋体"/>
                <w:color w:val="auto"/>
                <w:sz w:val="22"/>
                <w:szCs w:val="22"/>
              </w:rPr>
              <w:t>服务质量考核表</w:t>
            </w:r>
          </w:p>
        </w:tc>
        <w:tc>
          <w:tcPr>
            <w:tcW w:w="844" w:type="dxa"/>
            <w:tcBorders>
              <w:top w:val="single" w:color="auto" w:sz="4" w:space="0"/>
              <w:left w:val="single" w:color="auto" w:sz="4" w:space="0"/>
              <w:right w:val="single" w:color="auto" w:sz="4" w:space="0"/>
            </w:tcBorders>
          </w:tcPr>
          <w:p>
            <w:pPr>
              <w:rPr>
                <w:rFonts w:ascii="宋体" w:hAnsi="宋体" w:cs="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9" w:type="dxa"/>
            <w:tcBorders>
              <w:top w:val="single" w:color="auto" w:sz="4" w:space="0"/>
              <w:left w:val="single" w:color="auto" w:sz="4" w:space="0"/>
              <w:right w:val="single" w:color="auto" w:sz="4" w:space="0"/>
            </w:tcBorders>
          </w:tcPr>
          <w:p>
            <w:pPr>
              <w:rPr>
                <w:rFonts w:ascii="宋体" w:hAnsi="宋体" w:cs="宋体"/>
                <w:color w:val="auto"/>
                <w:sz w:val="22"/>
                <w:szCs w:val="22"/>
              </w:rPr>
            </w:pPr>
            <w:r>
              <w:rPr>
                <w:rFonts w:hint="eastAsia" w:ascii="宋体" w:hAnsi="宋体" w:cs="宋体"/>
                <w:color w:val="auto"/>
                <w:sz w:val="22"/>
                <w:szCs w:val="22"/>
              </w:rPr>
              <w:t>4</w:t>
            </w:r>
          </w:p>
        </w:tc>
        <w:tc>
          <w:tcPr>
            <w:tcW w:w="3231" w:type="dxa"/>
            <w:tcBorders>
              <w:top w:val="single" w:color="auto" w:sz="4" w:space="0"/>
              <w:left w:val="single" w:color="auto" w:sz="4" w:space="0"/>
              <w:right w:val="single" w:color="auto" w:sz="4" w:space="0"/>
            </w:tcBorders>
          </w:tcPr>
          <w:p>
            <w:pPr>
              <w:rPr>
                <w:rFonts w:ascii="宋体" w:hAnsi="宋体" w:cs="宋体"/>
                <w:color w:val="auto"/>
                <w:sz w:val="22"/>
                <w:szCs w:val="22"/>
              </w:rPr>
            </w:pPr>
            <w:r>
              <w:rPr>
                <w:rFonts w:hint="eastAsia" w:ascii="宋体" w:hAnsi="宋体" w:cs="宋体"/>
                <w:color w:val="auto"/>
                <w:sz w:val="22"/>
                <w:szCs w:val="22"/>
              </w:rPr>
              <w:t>数据灾备服务</w:t>
            </w:r>
          </w:p>
        </w:tc>
        <w:tc>
          <w:tcPr>
            <w:tcW w:w="3283" w:type="dxa"/>
            <w:tcBorders>
              <w:top w:val="single" w:color="auto" w:sz="4" w:space="0"/>
              <w:left w:val="single" w:color="auto" w:sz="4" w:space="0"/>
              <w:right w:val="single" w:color="auto" w:sz="4" w:space="0"/>
            </w:tcBorders>
          </w:tcPr>
          <w:p>
            <w:pPr>
              <w:rPr>
                <w:rFonts w:ascii="宋体" w:hAnsi="宋体" w:cs="宋体"/>
                <w:color w:val="auto"/>
                <w:sz w:val="22"/>
                <w:szCs w:val="22"/>
              </w:rPr>
            </w:pPr>
            <w:r>
              <w:rPr>
                <w:rFonts w:hint="eastAsia" w:ascii="宋体" w:hAnsi="宋体" w:cs="宋体"/>
                <w:color w:val="auto"/>
                <w:sz w:val="22"/>
                <w:szCs w:val="22"/>
              </w:rPr>
              <w:t>年度总结报告</w:t>
            </w:r>
          </w:p>
        </w:tc>
        <w:tc>
          <w:tcPr>
            <w:tcW w:w="844" w:type="dxa"/>
            <w:tcBorders>
              <w:top w:val="single" w:color="auto" w:sz="4" w:space="0"/>
              <w:left w:val="single" w:color="auto" w:sz="4" w:space="0"/>
              <w:right w:val="single" w:color="auto" w:sz="4" w:space="0"/>
            </w:tcBorders>
          </w:tcPr>
          <w:p>
            <w:pPr>
              <w:rPr>
                <w:rFonts w:ascii="宋体" w:hAnsi="宋体" w:cs="宋体"/>
                <w:color w:val="auto"/>
                <w:sz w:val="22"/>
                <w:szCs w:val="22"/>
              </w:rPr>
            </w:pPr>
          </w:p>
        </w:tc>
      </w:tr>
    </w:tbl>
    <w:p>
      <w:pPr>
        <w:rPr>
          <w:color w:val="auto"/>
        </w:rPr>
      </w:pPr>
    </w:p>
    <w:p>
      <w:pPr>
        <w:spacing w:line="360" w:lineRule="auto"/>
        <w:rPr>
          <w:rFonts w:ascii="宋体" w:hAnsi="宋体" w:cs="宋体"/>
          <w:color w:val="auto"/>
          <w:sz w:val="22"/>
          <w:szCs w:val="22"/>
        </w:rPr>
      </w:pPr>
    </w:p>
    <w:p>
      <w:pPr>
        <w:pStyle w:val="4"/>
        <w:rPr>
          <w:color w:val="auto"/>
        </w:rPr>
      </w:pPr>
    </w:p>
    <w:p>
      <w:pPr>
        <w:rPr>
          <w:color w:val="auto"/>
        </w:rPr>
      </w:pPr>
      <w:r>
        <w:rPr>
          <w:color w:val="auto"/>
        </w:rPr>
        <w:br w:type="page"/>
      </w:r>
    </w:p>
    <w:p>
      <w:pPr>
        <w:rPr>
          <w:color w:val="auto"/>
        </w:rPr>
      </w:pPr>
    </w:p>
    <w:p>
      <w:pPr>
        <w:pStyle w:val="4"/>
        <w:rPr>
          <w:rFonts w:ascii="宋体" w:hAnsi="宋体" w:eastAsia="宋体" w:cs="Arial"/>
          <w:color w:val="auto"/>
          <w:sz w:val="36"/>
          <w:szCs w:val="36"/>
        </w:rPr>
      </w:pPr>
      <w:bookmarkStart w:id="203" w:name="_Toc10956"/>
      <w:r>
        <w:rPr>
          <w:rFonts w:hint="eastAsia" w:ascii="宋体" w:hAnsi="宋体" w:eastAsia="宋体" w:cs="Arial"/>
          <w:color w:val="auto"/>
          <w:sz w:val="36"/>
          <w:szCs w:val="36"/>
        </w:rPr>
        <w:t xml:space="preserve">第三部分   </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Fonts w:hint="eastAsia" w:ascii="宋体" w:hAnsi="宋体" w:eastAsia="宋体" w:cs="Arial"/>
          <w:color w:val="auto"/>
          <w:sz w:val="36"/>
          <w:szCs w:val="36"/>
        </w:rPr>
        <w:t>评标原则及方法</w:t>
      </w:r>
      <w:bookmarkEnd w:id="203"/>
    </w:p>
    <w:p>
      <w:pPr>
        <w:spacing w:line="420" w:lineRule="exact"/>
        <w:ind w:left="439" w:leftChars="209"/>
        <w:rPr>
          <w:rFonts w:ascii="宋体" w:hAnsi="宋体"/>
          <w:b/>
          <w:color w:val="auto"/>
          <w:sz w:val="22"/>
          <w:szCs w:val="22"/>
        </w:rPr>
      </w:pPr>
      <w:r>
        <w:rPr>
          <w:rFonts w:hint="eastAsia" w:ascii="宋体" w:hAnsi="宋体"/>
          <w:b/>
          <w:color w:val="auto"/>
          <w:sz w:val="22"/>
          <w:szCs w:val="22"/>
        </w:rPr>
        <w:t>据《中华人民共和国政府采购法》等相关法规特制定以下评标办法。</w:t>
      </w:r>
    </w:p>
    <w:p>
      <w:pPr>
        <w:pStyle w:val="25"/>
        <w:spacing w:before="120" w:beforeLines="50" w:afterLines="50"/>
        <w:rPr>
          <w:rFonts w:ascii="宋体" w:hAnsi="宋体" w:cs="Arial"/>
          <w:b/>
          <w:color w:val="auto"/>
        </w:rPr>
      </w:pPr>
      <w:bookmarkStart w:id="204" w:name="_Toc221356898"/>
      <w:bookmarkStart w:id="205" w:name="_Toc221356961"/>
      <w:r>
        <w:rPr>
          <w:rFonts w:hint="eastAsia" w:ascii="宋体" w:hAnsi="宋体" w:cs="Arial"/>
          <w:b/>
          <w:color w:val="auto"/>
        </w:rPr>
        <w:t>一. 总  则</w:t>
      </w:r>
      <w:bookmarkEnd w:id="204"/>
      <w:bookmarkEnd w:id="205"/>
    </w:p>
    <w:p>
      <w:pPr>
        <w:spacing w:line="420" w:lineRule="exact"/>
        <w:ind w:left="439" w:leftChars="209"/>
        <w:rPr>
          <w:rFonts w:ascii="宋体" w:hAnsi="宋体" w:cs="Arial"/>
          <w:color w:val="auto"/>
          <w:sz w:val="22"/>
          <w:szCs w:val="22"/>
        </w:rPr>
      </w:pPr>
      <w:r>
        <w:rPr>
          <w:rFonts w:hint="eastAsia" w:ascii="宋体" w:hAnsi="宋体" w:cs="Arial"/>
          <w:color w:val="auto"/>
          <w:sz w:val="22"/>
          <w:szCs w:val="22"/>
        </w:rPr>
        <w:t>评标工作遵循公平、公正、科学、择优原则和诚实、信誉、效率的服务原则。本着科学、严谨的态度，认真进行评标。择优选用，推进技术进步，确保工程质量、交货期，节约投资，最大限度的保护当事人权益，严格按照招标文件的商务、技术要求，对投标文件进行综合评定，提出优选方案，编写评标报告。对落标单位，评委会不作任何落标解释。投标人不得以任何方式干扰招投标工作的进行，一经发现其投标文件将被拒绝。</w:t>
      </w:r>
    </w:p>
    <w:p>
      <w:pPr>
        <w:spacing w:line="420" w:lineRule="exact"/>
        <w:rPr>
          <w:rFonts w:ascii="宋体" w:hAnsi="宋体" w:cs="Arial"/>
          <w:b/>
          <w:color w:val="auto"/>
          <w:sz w:val="22"/>
        </w:rPr>
      </w:pPr>
      <w:r>
        <w:rPr>
          <w:rFonts w:hint="eastAsia" w:ascii="宋体" w:hAnsi="宋体" w:cs="Arial"/>
          <w:b/>
          <w:color w:val="auto"/>
          <w:sz w:val="22"/>
        </w:rPr>
        <w:t>二、评标组织</w:t>
      </w:r>
    </w:p>
    <w:p>
      <w:pPr>
        <w:spacing w:line="420" w:lineRule="exact"/>
        <w:ind w:left="439" w:leftChars="209"/>
        <w:rPr>
          <w:rFonts w:ascii="宋体" w:hAnsi="宋体" w:cs="Arial"/>
          <w:color w:val="auto"/>
          <w:sz w:val="22"/>
          <w:szCs w:val="22"/>
        </w:rPr>
      </w:pPr>
      <w:r>
        <w:rPr>
          <w:rFonts w:hint="eastAsia" w:ascii="宋体" w:hAnsi="宋体"/>
          <w:color w:val="auto"/>
          <w:sz w:val="22"/>
          <w:szCs w:val="22"/>
        </w:rPr>
        <w:t>评标工作由招标人依法组建的评标委员会负责，评标全过程由有关部门指导监督。</w:t>
      </w:r>
    </w:p>
    <w:p>
      <w:pPr>
        <w:spacing w:line="420" w:lineRule="exact"/>
        <w:rPr>
          <w:rFonts w:ascii="宋体" w:hAnsi="宋体" w:cs="Arial"/>
          <w:b/>
          <w:color w:val="auto"/>
          <w:sz w:val="22"/>
        </w:rPr>
      </w:pPr>
      <w:r>
        <w:rPr>
          <w:rFonts w:hint="eastAsia" w:ascii="宋体" w:hAnsi="宋体" w:cs="Arial"/>
          <w:b/>
          <w:color w:val="auto"/>
          <w:sz w:val="22"/>
        </w:rPr>
        <w:t>三、评标办法</w:t>
      </w:r>
    </w:p>
    <w:p>
      <w:pPr>
        <w:spacing w:line="400" w:lineRule="exact"/>
        <w:ind w:left="439" w:leftChars="209"/>
        <w:rPr>
          <w:rFonts w:ascii="宋体" w:hAnsi="宋体" w:cs="Arial"/>
          <w:b/>
          <w:color w:val="auto"/>
          <w:sz w:val="22"/>
        </w:rPr>
      </w:pPr>
      <w:r>
        <w:rPr>
          <w:rFonts w:hint="eastAsia" w:ascii="宋体" w:hAnsi="宋体" w:cs="Arial"/>
          <w:color w:val="auto"/>
          <w:sz w:val="22"/>
        </w:rPr>
        <w:t>本次采购采用综合评分法，即投标人最大限度地满足招标文件实质性要求的基础上，按照招标文件的各项因素进行综合评审后，以评标总得分最高的投标人和次高的投标人作为第一和第二排序的中标候选人的评标方法。根据采购要求，</w:t>
      </w:r>
      <w:r>
        <w:rPr>
          <w:rFonts w:hint="eastAsia" w:ascii="宋体" w:hAnsi="宋体" w:cs="Arial"/>
          <w:b/>
          <w:color w:val="auto"/>
          <w:sz w:val="22"/>
        </w:rPr>
        <w:t>总分设定为100分；其中商务技术文件80分，报价文件（报价）20分。</w:t>
      </w:r>
    </w:p>
    <w:p>
      <w:pPr>
        <w:spacing w:line="420" w:lineRule="exact"/>
        <w:rPr>
          <w:rFonts w:ascii="宋体" w:hAnsi="宋体" w:cs="Arial"/>
          <w:b/>
          <w:color w:val="auto"/>
          <w:sz w:val="22"/>
        </w:rPr>
      </w:pPr>
      <w:bookmarkStart w:id="206" w:name="_Toc221356902"/>
      <w:bookmarkStart w:id="207" w:name="_Toc221356965"/>
      <w:r>
        <w:rPr>
          <w:rFonts w:hint="eastAsia" w:ascii="宋体" w:hAnsi="宋体" w:cs="Arial"/>
          <w:b/>
          <w:color w:val="auto"/>
          <w:sz w:val="22"/>
        </w:rPr>
        <w:t>四、评分细则</w:t>
      </w:r>
      <w:bookmarkEnd w:id="206"/>
      <w:bookmarkEnd w:id="207"/>
    </w:p>
    <w:p>
      <w:pPr>
        <w:spacing w:line="400" w:lineRule="exact"/>
        <w:rPr>
          <w:rFonts w:ascii="宋体" w:hAnsi="宋体" w:cs="Arial"/>
          <w:color w:val="auto"/>
          <w:sz w:val="22"/>
        </w:rPr>
      </w:pPr>
      <w:bookmarkStart w:id="208" w:name="_Toc221356903"/>
      <w:bookmarkStart w:id="209" w:name="_Toc221356966"/>
      <w:r>
        <w:rPr>
          <w:rFonts w:hint="eastAsia" w:ascii="宋体" w:hAnsi="宋体" w:cs="Arial"/>
          <w:color w:val="auto"/>
          <w:sz w:val="22"/>
        </w:rPr>
        <w:t>1、商务技术分的评定（80分）</w:t>
      </w:r>
    </w:p>
    <w:p>
      <w:pPr>
        <w:spacing w:line="400" w:lineRule="exact"/>
        <w:ind w:left="439" w:leftChars="209"/>
        <w:rPr>
          <w:rFonts w:ascii="宋体" w:hAnsi="宋体" w:cs="Arial"/>
          <w:color w:val="auto"/>
          <w:sz w:val="22"/>
        </w:rPr>
      </w:pPr>
      <w:r>
        <w:rPr>
          <w:rFonts w:hint="eastAsia" w:ascii="宋体" w:hAnsi="宋体" w:cs="Arial"/>
          <w:color w:val="auto"/>
          <w:sz w:val="22"/>
        </w:rPr>
        <w:t>各评委成员按下列评分项目进行评定，每人一张评分计算表，由评标委员会成员各自评定打分并记实名。如任何一张表的一项评分内容分值超过规定的范围，则该张表无效。评标委员会成员对各投标人的各项评分内容评分的合计分的算术平均值为该投标人技术分的最终得分（四舍五入，保留小数点后二位）。</w:t>
      </w:r>
    </w:p>
    <w:tbl>
      <w:tblPr>
        <w:tblStyle w:val="63"/>
        <w:tblW w:w="4948" w:type="pct"/>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901"/>
        <w:gridCol w:w="768"/>
        <w:gridCol w:w="756"/>
        <w:gridCol w:w="6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2" w:type="dxa"/>
            <w:shd w:val="clear" w:color="auto" w:fill="auto"/>
            <w:vAlign w:val="center"/>
          </w:tcPr>
          <w:p>
            <w:pPr>
              <w:jc w:val="center"/>
              <w:rPr>
                <w:b/>
                <w:bCs/>
                <w:color w:val="auto"/>
              </w:rPr>
            </w:pPr>
            <w:r>
              <w:rPr>
                <w:rFonts w:hint="eastAsia"/>
                <w:b/>
                <w:bCs/>
                <w:color w:val="auto"/>
              </w:rPr>
              <w:t>序号</w:t>
            </w:r>
          </w:p>
        </w:tc>
        <w:tc>
          <w:tcPr>
            <w:tcW w:w="1669" w:type="dxa"/>
            <w:gridSpan w:val="2"/>
            <w:shd w:val="clear" w:color="auto" w:fill="auto"/>
            <w:vAlign w:val="center"/>
          </w:tcPr>
          <w:p>
            <w:pPr>
              <w:jc w:val="center"/>
              <w:rPr>
                <w:b/>
                <w:bCs/>
                <w:color w:val="auto"/>
              </w:rPr>
            </w:pPr>
            <w:r>
              <w:rPr>
                <w:rFonts w:hint="eastAsia"/>
                <w:b/>
                <w:bCs/>
                <w:color w:val="auto"/>
              </w:rPr>
              <w:t>评分内容</w:t>
            </w:r>
          </w:p>
        </w:tc>
        <w:tc>
          <w:tcPr>
            <w:tcW w:w="756" w:type="dxa"/>
            <w:shd w:val="clear" w:color="auto" w:fill="auto"/>
            <w:vAlign w:val="center"/>
          </w:tcPr>
          <w:p>
            <w:pPr>
              <w:jc w:val="center"/>
              <w:rPr>
                <w:b/>
                <w:bCs/>
                <w:color w:val="auto"/>
              </w:rPr>
            </w:pPr>
            <w:r>
              <w:rPr>
                <w:rFonts w:hint="eastAsia"/>
                <w:b/>
                <w:bCs/>
                <w:color w:val="auto"/>
              </w:rPr>
              <w:t>分值</w:t>
            </w:r>
          </w:p>
        </w:tc>
        <w:tc>
          <w:tcPr>
            <w:tcW w:w="6775" w:type="dxa"/>
            <w:shd w:val="clear" w:color="auto" w:fill="FFFFFF"/>
            <w:vAlign w:val="center"/>
          </w:tcPr>
          <w:p>
            <w:pPr>
              <w:jc w:val="center"/>
              <w:rPr>
                <w:b/>
                <w:bCs/>
                <w:color w:val="auto"/>
              </w:rPr>
            </w:pPr>
            <w:r>
              <w:rPr>
                <w:rFonts w:hint="eastAsia"/>
                <w:b/>
                <w:bCs/>
                <w:color w:val="auto"/>
              </w:rPr>
              <w:t>评分标准说明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2" w:type="dxa"/>
            <w:vMerge w:val="restart"/>
            <w:shd w:val="clear" w:color="auto" w:fill="auto"/>
            <w:vAlign w:val="center"/>
          </w:tcPr>
          <w:p>
            <w:pPr>
              <w:rPr>
                <w:color w:val="auto"/>
              </w:rPr>
            </w:pPr>
            <w:r>
              <w:rPr>
                <w:rFonts w:hint="eastAsia"/>
                <w:color w:val="auto"/>
              </w:rPr>
              <w:t>1</w:t>
            </w:r>
          </w:p>
        </w:tc>
        <w:tc>
          <w:tcPr>
            <w:tcW w:w="901" w:type="dxa"/>
            <w:vMerge w:val="restart"/>
            <w:shd w:val="clear" w:color="auto" w:fill="auto"/>
            <w:vAlign w:val="center"/>
          </w:tcPr>
          <w:p>
            <w:pPr>
              <w:jc w:val="center"/>
              <w:rPr>
                <w:color w:val="auto"/>
              </w:rPr>
            </w:pPr>
            <w:r>
              <w:rPr>
                <w:rFonts w:hint="eastAsia"/>
                <w:color w:val="auto"/>
              </w:rPr>
              <w:t>投标人实力</w:t>
            </w:r>
          </w:p>
        </w:tc>
        <w:tc>
          <w:tcPr>
            <w:tcW w:w="768" w:type="dxa"/>
            <w:shd w:val="clear" w:color="auto" w:fill="FFFFFF"/>
            <w:vAlign w:val="center"/>
          </w:tcPr>
          <w:p>
            <w:pPr>
              <w:jc w:val="center"/>
              <w:rPr>
                <w:color w:val="auto"/>
              </w:rPr>
            </w:pPr>
            <w:r>
              <w:rPr>
                <w:rFonts w:hint="eastAsia"/>
                <w:color w:val="auto"/>
              </w:rPr>
              <w:t>综合实力</w:t>
            </w:r>
          </w:p>
        </w:tc>
        <w:tc>
          <w:tcPr>
            <w:tcW w:w="756" w:type="dxa"/>
            <w:shd w:val="clear" w:color="auto" w:fill="FFFFFF"/>
            <w:vAlign w:val="center"/>
          </w:tcPr>
          <w:p>
            <w:pPr>
              <w:jc w:val="center"/>
              <w:rPr>
                <w:color w:val="auto"/>
              </w:rPr>
            </w:pPr>
            <w:r>
              <w:rPr>
                <w:rFonts w:hint="eastAsia"/>
                <w:color w:val="auto"/>
              </w:rPr>
              <w:t>5</w:t>
            </w:r>
          </w:p>
        </w:tc>
        <w:tc>
          <w:tcPr>
            <w:tcW w:w="6775" w:type="dxa"/>
            <w:shd w:val="clear" w:color="auto" w:fill="FFFFFF"/>
            <w:vAlign w:val="center"/>
          </w:tcPr>
          <w:p>
            <w:pPr>
              <w:rPr>
                <w:color w:val="auto"/>
              </w:rPr>
            </w:pPr>
            <w:r>
              <w:rPr>
                <w:rFonts w:hint="eastAsia"/>
                <w:color w:val="auto"/>
              </w:rPr>
              <w:t>根据投标人在行业中的综合实力（含市场知名度、商业信誉、履约能力、获得荣誉等）情况，综合评分：</w:t>
            </w:r>
          </w:p>
          <w:p>
            <w:pPr>
              <w:rPr>
                <w:color w:val="auto"/>
              </w:rPr>
            </w:pPr>
            <w:r>
              <w:rPr>
                <w:rFonts w:hint="eastAsia"/>
                <w:color w:val="auto"/>
              </w:rPr>
              <w:t>一档（5-4.1分）：市场知名度高、商业信誉良好、履约能力强、荣誉多；</w:t>
            </w:r>
          </w:p>
          <w:p>
            <w:pPr>
              <w:rPr>
                <w:color w:val="auto"/>
              </w:rPr>
            </w:pPr>
            <w:r>
              <w:rPr>
                <w:rFonts w:hint="eastAsia"/>
                <w:color w:val="auto"/>
              </w:rPr>
              <w:t>二档（4-2.1分）：市场知名度较高、商业信誉良好、履约能力较强、荣誉较多；</w:t>
            </w:r>
          </w:p>
          <w:p>
            <w:pPr>
              <w:rPr>
                <w:color w:val="auto"/>
              </w:rPr>
            </w:pPr>
            <w:r>
              <w:rPr>
                <w:rFonts w:hint="eastAsia"/>
                <w:color w:val="auto"/>
              </w:rPr>
              <w:t>三档（2-0分）：市场知名度一般、履约能力一般、荣誉少。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2" w:type="dxa"/>
            <w:vMerge w:val="continue"/>
            <w:shd w:val="clear" w:color="auto" w:fill="auto"/>
            <w:vAlign w:val="center"/>
          </w:tcPr>
          <w:p>
            <w:pPr>
              <w:rPr>
                <w:color w:val="auto"/>
              </w:rPr>
            </w:pPr>
          </w:p>
        </w:tc>
        <w:tc>
          <w:tcPr>
            <w:tcW w:w="901" w:type="dxa"/>
            <w:vMerge w:val="continue"/>
            <w:shd w:val="clear" w:color="auto" w:fill="auto"/>
            <w:vAlign w:val="center"/>
          </w:tcPr>
          <w:p>
            <w:pPr>
              <w:jc w:val="center"/>
              <w:rPr>
                <w:color w:val="auto"/>
              </w:rPr>
            </w:pPr>
          </w:p>
        </w:tc>
        <w:tc>
          <w:tcPr>
            <w:tcW w:w="768" w:type="dxa"/>
            <w:shd w:val="clear" w:color="auto" w:fill="auto"/>
            <w:vAlign w:val="center"/>
          </w:tcPr>
          <w:p>
            <w:pPr>
              <w:jc w:val="center"/>
              <w:rPr>
                <w:color w:val="auto"/>
              </w:rPr>
            </w:pPr>
            <w:r>
              <w:rPr>
                <w:rFonts w:hint="eastAsia"/>
                <w:color w:val="auto"/>
              </w:rPr>
              <w:t>投标人认证</w:t>
            </w:r>
          </w:p>
        </w:tc>
        <w:tc>
          <w:tcPr>
            <w:tcW w:w="756" w:type="dxa"/>
            <w:shd w:val="clear" w:color="auto" w:fill="auto"/>
            <w:vAlign w:val="center"/>
          </w:tcPr>
          <w:p>
            <w:pPr>
              <w:jc w:val="center"/>
              <w:rPr>
                <w:color w:val="auto"/>
              </w:rPr>
            </w:pPr>
            <w:r>
              <w:rPr>
                <w:rFonts w:hint="eastAsia"/>
                <w:color w:val="auto"/>
              </w:rPr>
              <w:t>12</w:t>
            </w:r>
          </w:p>
        </w:tc>
        <w:tc>
          <w:tcPr>
            <w:tcW w:w="6775" w:type="dxa"/>
            <w:shd w:val="clear" w:color="auto" w:fill="FFFFFF"/>
            <w:vAlign w:val="center"/>
          </w:tcPr>
          <w:p>
            <w:pPr>
              <w:rPr>
                <w:color w:val="auto"/>
              </w:rPr>
            </w:pPr>
            <w:r>
              <w:rPr>
                <w:rFonts w:hint="eastAsia"/>
                <w:color w:val="auto"/>
              </w:rPr>
              <w:t>1.投标人具有在有效期内的质量管理体系认证证书得2分；</w:t>
            </w:r>
          </w:p>
          <w:p>
            <w:pPr>
              <w:rPr>
                <w:color w:val="auto"/>
              </w:rPr>
            </w:pPr>
            <w:r>
              <w:rPr>
                <w:rFonts w:hint="eastAsia"/>
                <w:color w:val="auto"/>
              </w:rPr>
              <w:t>2.投标人具有在有效期内的环境管理体系认证证书得2分；</w:t>
            </w:r>
          </w:p>
          <w:p>
            <w:pPr>
              <w:rPr>
                <w:color w:val="auto"/>
              </w:rPr>
            </w:pPr>
            <w:r>
              <w:rPr>
                <w:rFonts w:hint="eastAsia"/>
                <w:color w:val="auto"/>
              </w:rPr>
              <w:t>3.投标人具有在有效期内的职业健康管理体系认证证书得2分；</w:t>
            </w:r>
          </w:p>
          <w:p>
            <w:pPr>
              <w:rPr>
                <w:color w:val="auto"/>
              </w:rPr>
            </w:pPr>
            <w:r>
              <w:rPr>
                <w:rFonts w:hint="eastAsia"/>
                <w:color w:val="auto"/>
              </w:rPr>
              <w:t>4.投标人具有在有效期内的信息安全管理体系认证证书得2分；</w:t>
            </w:r>
          </w:p>
          <w:p>
            <w:pPr>
              <w:rPr>
                <w:color w:val="auto"/>
              </w:rPr>
            </w:pPr>
            <w:r>
              <w:rPr>
                <w:rFonts w:hint="eastAsia"/>
                <w:color w:val="auto"/>
              </w:rPr>
              <w:t>5.投标人具有在有效期内的信息技术服务管理体系认证证书得2分。</w:t>
            </w:r>
          </w:p>
          <w:p>
            <w:pPr>
              <w:rPr>
                <w:color w:val="auto"/>
              </w:rPr>
            </w:pPr>
            <w:r>
              <w:rPr>
                <w:rFonts w:hint="eastAsia"/>
                <w:color w:val="auto"/>
              </w:rPr>
              <w:t>6.投标人具有在有效期内的信息技术服务运行维护符合性证书得2分；</w:t>
            </w:r>
          </w:p>
          <w:p>
            <w:pPr>
              <w:rPr>
                <w:color w:val="auto"/>
              </w:rPr>
            </w:pPr>
            <w:r>
              <w:rPr>
                <w:rFonts w:hint="eastAsia"/>
                <w:color w:val="auto"/>
              </w:rPr>
              <w:t>注:以上证书提供证书扫描件加盖公章，不提供不得分。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2" w:type="dxa"/>
            <w:vMerge w:val="restart"/>
            <w:shd w:val="clear" w:color="auto" w:fill="auto"/>
            <w:vAlign w:val="center"/>
          </w:tcPr>
          <w:p>
            <w:pPr>
              <w:rPr>
                <w:color w:val="auto"/>
              </w:rPr>
            </w:pPr>
            <w:r>
              <w:rPr>
                <w:rFonts w:hint="eastAsia"/>
                <w:color w:val="auto"/>
              </w:rPr>
              <w:t>2</w:t>
            </w:r>
          </w:p>
        </w:tc>
        <w:tc>
          <w:tcPr>
            <w:tcW w:w="901" w:type="dxa"/>
            <w:vMerge w:val="restart"/>
            <w:shd w:val="clear" w:color="auto" w:fill="auto"/>
            <w:vAlign w:val="center"/>
          </w:tcPr>
          <w:p>
            <w:pPr>
              <w:jc w:val="center"/>
              <w:rPr>
                <w:color w:val="auto"/>
              </w:rPr>
            </w:pPr>
            <w:r>
              <w:rPr>
                <w:rFonts w:hint="eastAsia"/>
                <w:color w:val="auto"/>
              </w:rPr>
              <w:t>针对本项目的方案</w:t>
            </w:r>
          </w:p>
        </w:tc>
        <w:tc>
          <w:tcPr>
            <w:tcW w:w="768" w:type="dxa"/>
            <w:shd w:val="clear" w:color="auto" w:fill="FFFFFF"/>
            <w:vAlign w:val="center"/>
          </w:tcPr>
          <w:p>
            <w:pPr>
              <w:jc w:val="center"/>
              <w:rPr>
                <w:color w:val="auto"/>
              </w:rPr>
            </w:pPr>
            <w:r>
              <w:rPr>
                <w:rFonts w:hint="eastAsia"/>
                <w:color w:val="auto"/>
              </w:rPr>
              <w:t>技术外包现有情况分析</w:t>
            </w:r>
          </w:p>
        </w:tc>
        <w:tc>
          <w:tcPr>
            <w:tcW w:w="756" w:type="dxa"/>
            <w:shd w:val="clear" w:color="auto" w:fill="FFFFFF"/>
            <w:vAlign w:val="center"/>
          </w:tcPr>
          <w:p>
            <w:pPr>
              <w:jc w:val="center"/>
              <w:rPr>
                <w:color w:val="auto"/>
              </w:rPr>
            </w:pPr>
            <w:r>
              <w:rPr>
                <w:rFonts w:hint="eastAsia"/>
                <w:color w:val="auto"/>
              </w:rPr>
              <w:t>6</w:t>
            </w:r>
          </w:p>
        </w:tc>
        <w:tc>
          <w:tcPr>
            <w:tcW w:w="6775" w:type="dxa"/>
            <w:shd w:val="clear" w:color="auto" w:fill="FFFFFF"/>
            <w:vAlign w:val="center"/>
          </w:tcPr>
          <w:p>
            <w:pPr>
              <w:rPr>
                <w:color w:val="auto"/>
              </w:rPr>
            </w:pPr>
            <w:r>
              <w:rPr>
                <w:rFonts w:hint="eastAsia"/>
                <w:color w:val="auto"/>
              </w:rPr>
              <w:t>根据投标人对信息化技术外包服务现有情况（交通运输局相关维护平台、系统、技术）的熟悉程度，综合评分：</w:t>
            </w:r>
          </w:p>
          <w:p>
            <w:pPr>
              <w:rPr>
                <w:color w:val="auto"/>
              </w:rPr>
            </w:pPr>
            <w:r>
              <w:rPr>
                <w:rFonts w:hint="eastAsia"/>
                <w:color w:val="auto"/>
              </w:rPr>
              <w:t>一档（6-4.1分）：对交通运输局相关维护平台、系统、技术的现有情况非常熟悉；</w:t>
            </w:r>
          </w:p>
          <w:p>
            <w:pPr>
              <w:rPr>
                <w:color w:val="auto"/>
              </w:rPr>
            </w:pPr>
            <w:r>
              <w:rPr>
                <w:rFonts w:hint="eastAsia"/>
                <w:color w:val="auto"/>
              </w:rPr>
              <w:t>二档（4-2.1分）：对交通运输局相关维护平台、系统、技术的现有情况较为熟悉；</w:t>
            </w:r>
          </w:p>
          <w:p>
            <w:pPr>
              <w:rPr>
                <w:color w:val="auto"/>
              </w:rPr>
            </w:pPr>
            <w:r>
              <w:rPr>
                <w:rFonts w:hint="eastAsia"/>
                <w:color w:val="auto"/>
              </w:rPr>
              <w:t>三档（2-0分）：对交通运输局相关维护平台、系统、技术的现有情况不熟悉。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2" w:type="dxa"/>
            <w:vMerge w:val="continue"/>
            <w:shd w:val="clear" w:color="auto" w:fill="auto"/>
            <w:vAlign w:val="center"/>
          </w:tcPr>
          <w:p>
            <w:pPr>
              <w:rPr>
                <w:color w:val="auto"/>
              </w:rPr>
            </w:pPr>
          </w:p>
        </w:tc>
        <w:tc>
          <w:tcPr>
            <w:tcW w:w="901" w:type="dxa"/>
            <w:vMerge w:val="continue"/>
            <w:shd w:val="clear" w:color="auto" w:fill="auto"/>
            <w:vAlign w:val="center"/>
          </w:tcPr>
          <w:p>
            <w:pPr>
              <w:jc w:val="center"/>
              <w:rPr>
                <w:color w:val="auto"/>
              </w:rPr>
            </w:pPr>
          </w:p>
        </w:tc>
        <w:tc>
          <w:tcPr>
            <w:tcW w:w="768" w:type="dxa"/>
            <w:shd w:val="clear" w:color="auto" w:fill="FFFFFF"/>
            <w:vAlign w:val="center"/>
          </w:tcPr>
          <w:p>
            <w:pPr>
              <w:jc w:val="center"/>
              <w:rPr>
                <w:color w:val="auto"/>
              </w:rPr>
            </w:pPr>
            <w:r>
              <w:rPr>
                <w:rFonts w:hint="eastAsia"/>
                <w:color w:val="auto"/>
              </w:rPr>
              <w:t>技术外包服务方案内容</w:t>
            </w:r>
          </w:p>
        </w:tc>
        <w:tc>
          <w:tcPr>
            <w:tcW w:w="756" w:type="dxa"/>
            <w:shd w:val="clear" w:color="auto" w:fill="FFFFFF"/>
            <w:vAlign w:val="center"/>
          </w:tcPr>
          <w:p>
            <w:pPr>
              <w:jc w:val="center"/>
              <w:rPr>
                <w:color w:val="auto"/>
              </w:rPr>
            </w:pPr>
            <w:r>
              <w:rPr>
                <w:rFonts w:hint="eastAsia"/>
                <w:color w:val="auto"/>
              </w:rPr>
              <w:t>6</w:t>
            </w:r>
          </w:p>
        </w:tc>
        <w:tc>
          <w:tcPr>
            <w:tcW w:w="6775" w:type="dxa"/>
            <w:shd w:val="clear" w:color="auto" w:fill="FFFFFF"/>
            <w:vAlign w:val="center"/>
          </w:tcPr>
          <w:p>
            <w:pPr>
              <w:rPr>
                <w:color w:val="auto"/>
              </w:rPr>
            </w:pPr>
            <w:r>
              <w:rPr>
                <w:rFonts w:hint="eastAsia"/>
                <w:color w:val="auto"/>
              </w:rPr>
              <w:t>根据投标人所提供的信息化技术外包服务方案内容，综合评分：</w:t>
            </w:r>
          </w:p>
          <w:p>
            <w:pPr>
              <w:rPr>
                <w:color w:val="auto"/>
              </w:rPr>
            </w:pPr>
            <w:r>
              <w:rPr>
                <w:rFonts w:hint="eastAsia"/>
                <w:color w:val="auto"/>
              </w:rPr>
              <w:t>一档（6-4.1分）：技术外包服务方案内容完整、严密、合理；</w:t>
            </w:r>
          </w:p>
          <w:p>
            <w:pPr>
              <w:rPr>
                <w:color w:val="auto"/>
              </w:rPr>
            </w:pPr>
            <w:r>
              <w:rPr>
                <w:rFonts w:hint="eastAsia"/>
                <w:color w:val="auto"/>
              </w:rPr>
              <w:t>二档（4-2.1分）：技术外包服务方案内容较为完整、严密、合理；</w:t>
            </w:r>
          </w:p>
          <w:p>
            <w:pPr>
              <w:rPr>
                <w:color w:val="auto"/>
              </w:rPr>
            </w:pPr>
            <w:r>
              <w:rPr>
                <w:rFonts w:hint="eastAsia"/>
                <w:color w:val="auto"/>
              </w:rPr>
              <w:t>三档（2-0分）：技术外包服务方案内容不完整、不合理。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2" w:type="dxa"/>
            <w:vMerge w:val="continue"/>
            <w:shd w:val="clear" w:color="auto" w:fill="auto"/>
            <w:vAlign w:val="center"/>
          </w:tcPr>
          <w:p>
            <w:pPr>
              <w:rPr>
                <w:color w:val="auto"/>
              </w:rPr>
            </w:pPr>
          </w:p>
        </w:tc>
        <w:tc>
          <w:tcPr>
            <w:tcW w:w="901" w:type="dxa"/>
            <w:vMerge w:val="continue"/>
            <w:shd w:val="clear" w:color="auto" w:fill="auto"/>
            <w:vAlign w:val="center"/>
          </w:tcPr>
          <w:p>
            <w:pPr>
              <w:jc w:val="center"/>
              <w:rPr>
                <w:color w:val="auto"/>
              </w:rPr>
            </w:pPr>
          </w:p>
        </w:tc>
        <w:tc>
          <w:tcPr>
            <w:tcW w:w="768" w:type="dxa"/>
            <w:shd w:val="clear" w:color="auto" w:fill="auto"/>
            <w:vAlign w:val="center"/>
          </w:tcPr>
          <w:p>
            <w:pPr>
              <w:jc w:val="center"/>
              <w:rPr>
                <w:color w:val="auto"/>
              </w:rPr>
            </w:pPr>
            <w:r>
              <w:rPr>
                <w:rFonts w:hint="eastAsia"/>
                <w:color w:val="auto"/>
              </w:rPr>
              <w:t>技术外包服务管理制度</w:t>
            </w:r>
          </w:p>
        </w:tc>
        <w:tc>
          <w:tcPr>
            <w:tcW w:w="756" w:type="dxa"/>
            <w:shd w:val="clear" w:color="auto" w:fill="auto"/>
            <w:vAlign w:val="center"/>
          </w:tcPr>
          <w:p>
            <w:pPr>
              <w:jc w:val="center"/>
              <w:rPr>
                <w:color w:val="auto"/>
              </w:rPr>
            </w:pPr>
            <w:r>
              <w:rPr>
                <w:rFonts w:hint="eastAsia"/>
                <w:color w:val="auto"/>
              </w:rPr>
              <w:t>6</w:t>
            </w:r>
          </w:p>
        </w:tc>
        <w:tc>
          <w:tcPr>
            <w:tcW w:w="6775" w:type="dxa"/>
            <w:shd w:val="clear" w:color="auto" w:fill="FFFFFF"/>
            <w:vAlign w:val="center"/>
          </w:tcPr>
          <w:p>
            <w:pPr>
              <w:rPr>
                <w:color w:val="auto"/>
              </w:rPr>
            </w:pPr>
            <w:r>
              <w:rPr>
                <w:rFonts w:hint="eastAsia"/>
                <w:color w:val="auto"/>
              </w:rPr>
              <w:t>根据投标人提供的技术外包服务管理制度、维保操作规程、考核办法、维护文档管理，综合评分：</w:t>
            </w:r>
          </w:p>
          <w:p>
            <w:pPr>
              <w:rPr>
                <w:color w:val="auto"/>
              </w:rPr>
            </w:pPr>
            <w:r>
              <w:rPr>
                <w:rFonts w:hint="eastAsia"/>
                <w:color w:val="auto"/>
              </w:rPr>
              <w:t>一档（6-4.1分）：服务管理制度完善、维保操作规程完善、考核办法切实可行、文档管理规范；</w:t>
            </w:r>
          </w:p>
          <w:p>
            <w:pPr>
              <w:rPr>
                <w:color w:val="auto"/>
              </w:rPr>
            </w:pPr>
            <w:r>
              <w:rPr>
                <w:rFonts w:hint="eastAsia"/>
                <w:color w:val="auto"/>
              </w:rPr>
              <w:t>二档（4-2.1分）：服务管理制度较为完善、维保操作规程较为完善、考核办法可行、文档管理较为规范；</w:t>
            </w:r>
          </w:p>
          <w:p>
            <w:pPr>
              <w:rPr>
                <w:color w:val="auto"/>
              </w:rPr>
            </w:pPr>
            <w:r>
              <w:rPr>
                <w:rFonts w:hint="eastAsia"/>
                <w:color w:val="auto"/>
              </w:rPr>
              <w:t>三档（2-0分）：服务管理制度不完善、维保操作规程不完善、考核办法不合理、文档管理不规范。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2" w:type="dxa"/>
            <w:vMerge w:val="continue"/>
            <w:shd w:val="clear" w:color="auto" w:fill="auto"/>
            <w:vAlign w:val="center"/>
          </w:tcPr>
          <w:p>
            <w:pPr>
              <w:rPr>
                <w:color w:val="auto"/>
              </w:rPr>
            </w:pPr>
          </w:p>
        </w:tc>
        <w:tc>
          <w:tcPr>
            <w:tcW w:w="901" w:type="dxa"/>
            <w:vMerge w:val="continue"/>
            <w:shd w:val="clear" w:color="auto" w:fill="auto"/>
            <w:vAlign w:val="center"/>
          </w:tcPr>
          <w:p>
            <w:pPr>
              <w:jc w:val="center"/>
              <w:rPr>
                <w:color w:val="auto"/>
              </w:rPr>
            </w:pPr>
          </w:p>
        </w:tc>
        <w:tc>
          <w:tcPr>
            <w:tcW w:w="768" w:type="dxa"/>
            <w:shd w:val="clear" w:color="auto" w:fill="auto"/>
            <w:vAlign w:val="center"/>
          </w:tcPr>
          <w:p>
            <w:pPr>
              <w:jc w:val="center"/>
              <w:rPr>
                <w:color w:val="auto"/>
              </w:rPr>
            </w:pPr>
            <w:r>
              <w:rPr>
                <w:rFonts w:hint="eastAsia"/>
                <w:color w:val="auto"/>
              </w:rPr>
              <w:t>智慧交通专网及云服务器租用</w:t>
            </w:r>
          </w:p>
        </w:tc>
        <w:tc>
          <w:tcPr>
            <w:tcW w:w="756" w:type="dxa"/>
            <w:shd w:val="clear" w:color="auto" w:fill="auto"/>
            <w:vAlign w:val="center"/>
          </w:tcPr>
          <w:p>
            <w:pPr>
              <w:jc w:val="center"/>
              <w:rPr>
                <w:color w:val="auto"/>
              </w:rPr>
            </w:pPr>
            <w:r>
              <w:rPr>
                <w:rFonts w:hint="eastAsia"/>
                <w:color w:val="auto"/>
              </w:rPr>
              <w:t>8</w:t>
            </w:r>
          </w:p>
        </w:tc>
        <w:tc>
          <w:tcPr>
            <w:tcW w:w="6775" w:type="dxa"/>
            <w:shd w:val="clear" w:color="auto" w:fill="FFFFFF"/>
            <w:vAlign w:val="center"/>
          </w:tcPr>
          <w:p>
            <w:pPr>
              <w:rPr>
                <w:rFonts w:hint="eastAsia" w:eastAsia="宋体"/>
                <w:color w:val="auto"/>
                <w:lang w:eastAsia="zh-CN"/>
              </w:rPr>
            </w:pPr>
            <w:r>
              <w:rPr>
                <w:rFonts w:hint="eastAsia"/>
                <w:color w:val="auto"/>
              </w:rPr>
              <w:t>1、根据投标人光纤资源提供能力情况打分，</w:t>
            </w:r>
            <w:r>
              <w:rPr>
                <w:rFonts w:hint="eastAsia" w:ascii="宋体" w:hAnsi="宋体" w:cs="宋体"/>
                <w:color w:val="auto"/>
                <w:kern w:val="0"/>
                <w:sz w:val="22"/>
                <w:szCs w:val="22"/>
                <w:lang w:val="en-US" w:eastAsia="zh-CN"/>
              </w:rPr>
              <w:t>供应商</w:t>
            </w:r>
            <w:r>
              <w:rPr>
                <w:rFonts w:hint="eastAsia"/>
                <w:color w:val="auto"/>
              </w:rPr>
              <w:t>具备自有光纤资源能力，提供相应证明文件得3分；租赁第三方光纤网络资源的，提供租赁协议得1分；没提供证明文件或协议不得分。</w:t>
            </w:r>
          </w:p>
          <w:p>
            <w:pPr>
              <w:rPr>
                <w:color w:val="auto"/>
              </w:rPr>
            </w:pPr>
            <w:r>
              <w:rPr>
                <w:rFonts w:hint="eastAsia"/>
                <w:color w:val="auto"/>
              </w:rPr>
              <w:t>2、针对项目网络链路维护、移机、故障处置、应急保障等，提出应急解决方案；横向比较综合打分:一档（5-3.1分）:针对性、可行性强的、科学合理的；二档（3-2.1分）:</w:t>
            </w:r>
            <w:r>
              <w:rPr>
                <w:rFonts w:hint="eastAsia" w:ascii="宋体" w:hAnsi="宋体" w:cs="宋体"/>
                <w:color w:val="auto"/>
                <w:szCs w:val="21"/>
              </w:rPr>
              <w:t>针对性、可行性尚可、较为科学合理的得</w:t>
            </w:r>
            <w:r>
              <w:rPr>
                <w:rFonts w:hint="eastAsia"/>
                <w:color w:val="auto"/>
              </w:rPr>
              <w:t>;三档（2-0分）:缺项或针对性、可行性低的。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552" w:type="dxa"/>
            <w:vMerge w:val="continue"/>
            <w:shd w:val="clear" w:color="auto" w:fill="auto"/>
            <w:vAlign w:val="center"/>
          </w:tcPr>
          <w:p>
            <w:pPr>
              <w:rPr>
                <w:color w:val="auto"/>
              </w:rPr>
            </w:pPr>
          </w:p>
        </w:tc>
        <w:tc>
          <w:tcPr>
            <w:tcW w:w="901" w:type="dxa"/>
            <w:vMerge w:val="continue"/>
            <w:shd w:val="clear" w:color="auto" w:fill="auto"/>
            <w:vAlign w:val="center"/>
          </w:tcPr>
          <w:p>
            <w:pPr>
              <w:jc w:val="center"/>
              <w:rPr>
                <w:color w:val="auto"/>
              </w:rPr>
            </w:pPr>
          </w:p>
        </w:tc>
        <w:tc>
          <w:tcPr>
            <w:tcW w:w="768" w:type="dxa"/>
            <w:shd w:val="clear" w:color="auto" w:fill="auto"/>
            <w:vAlign w:val="center"/>
          </w:tcPr>
          <w:p>
            <w:pPr>
              <w:jc w:val="center"/>
              <w:rPr>
                <w:color w:val="auto"/>
              </w:rPr>
            </w:pPr>
            <w:r>
              <w:rPr>
                <w:rFonts w:hint="eastAsia"/>
                <w:color w:val="auto"/>
              </w:rPr>
              <w:t>数据中心灾备服务</w:t>
            </w:r>
          </w:p>
        </w:tc>
        <w:tc>
          <w:tcPr>
            <w:tcW w:w="756" w:type="dxa"/>
            <w:shd w:val="clear" w:color="auto" w:fill="auto"/>
            <w:vAlign w:val="center"/>
          </w:tcPr>
          <w:p>
            <w:pPr>
              <w:jc w:val="center"/>
              <w:rPr>
                <w:color w:val="auto"/>
              </w:rPr>
            </w:pPr>
            <w:r>
              <w:rPr>
                <w:rFonts w:hint="eastAsia"/>
                <w:color w:val="auto"/>
              </w:rPr>
              <w:t>6</w:t>
            </w:r>
          </w:p>
        </w:tc>
        <w:tc>
          <w:tcPr>
            <w:tcW w:w="6775" w:type="dxa"/>
            <w:shd w:val="clear" w:color="auto" w:fill="FFFFFF"/>
            <w:vAlign w:val="center"/>
          </w:tcPr>
          <w:p>
            <w:pPr>
              <w:rPr>
                <w:rFonts w:hint="eastAsia" w:eastAsia="宋体"/>
                <w:color w:val="auto"/>
                <w:lang w:eastAsia="zh-CN"/>
              </w:rPr>
            </w:pPr>
            <w:r>
              <w:rPr>
                <w:rFonts w:hint="eastAsia"/>
                <w:color w:val="auto"/>
              </w:rPr>
              <w:t>根据投标人所提供的数据中心灾备服务方案内容，综合评分：</w:t>
            </w:r>
          </w:p>
          <w:p>
            <w:pPr>
              <w:rPr>
                <w:rFonts w:hint="eastAsia" w:eastAsia="宋体"/>
                <w:color w:val="auto"/>
                <w:lang w:eastAsia="zh-CN"/>
              </w:rPr>
            </w:pPr>
            <w:r>
              <w:rPr>
                <w:rFonts w:hint="eastAsia"/>
                <w:color w:val="auto"/>
              </w:rPr>
              <w:t>一档（6-4.1分）：数据中心灾备服务方案内容完整、严密、合理；</w:t>
            </w:r>
          </w:p>
          <w:p>
            <w:pPr>
              <w:rPr>
                <w:rFonts w:hint="eastAsia" w:eastAsia="宋体"/>
                <w:color w:val="auto"/>
                <w:lang w:eastAsia="zh-CN"/>
              </w:rPr>
            </w:pPr>
            <w:r>
              <w:rPr>
                <w:rFonts w:hint="eastAsia"/>
                <w:color w:val="auto"/>
              </w:rPr>
              <w:t>二档（4-2.1分）：数据中心灾备服务内容较为完整、严密、合理；</w:t>
            </w:r>
          </w:p>
          <w:p>
            <w:pPr>
              <w:rPr>
                <w:color w:val="auto"/>
              </w:rPr>
            </w:pPr>
            <w:r>
              <w:rPr>
                <w:rFonts w:hint="eastAsia"/>
                <w:color w:val="auto"/>
              </w:rPr>
              <w:t>三档（2-0分）：数据中心灾备服务方案内容不完整、不合理。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2" w:type="dxa"/>
            <w:shd w:val="clear" w:color="auto" w:fill="auto"/>
            <w:vAlign w:val="center"/>
          </w:tcPr>
          <w:p>
            <w:pPr>
              <w:rPr>
                <w:color w:val="auto"/>
              </w:rPr>
            </w:pPr>
            <w:r>
              <w:rPr>
                <w:rFonts w:hint="eastAsia"/>
                <w:color w:val="auto"/>
              </w:rPr>
              <w:t>3</w:t>
            </w:r>
          </w:p>
        </w:tc>
        <w:tc>
          <w:tcPr>
            <w:tcW w:w="1669" w:type="dxa"/>
            <w:gridSpan w:val="2"/>
            <w:shd w:val="clear" w:color="auto" w:fill="FFFFFF"/>
            <w:vAlign w:val="center"/>
          </w:tcPr>
          <w:p>
            <w:pPr>
              <w:jc w:val="center"/>
              <w:rPr>
                <w:color w:val="auto"/>
              </w:rPr>
            </w:pPr>
            <w:r>
              <w:rPr>
                <w:rFonts w:hint="eastAsia"/>
                <w:color w:val="auto"/>
              </w:rPr>
              <w:t>技术服务及力量保障</w:t>
            </w:r>
          </w:p>
        </w:tc>
        <w:tc>
          <w:tcPr>
            <w:tcW w:w="756" w:type="dxa"/>
            <w:shd w:val="clear" w:color="auto" w:fill="FFFFFF"/>
            <w:vAlign w:val="center"/>
          </w:tcPr>
          <w:p>
            <w:pPr>
              <w:jc w:val="center"/>
              <w:rPr>
                <w:color w:val="auto"/>
              </w:rPr>
            </w:pPr>
            <w:r>
              <w:rPr>
                <w:rFonts w:hint="eastAsia"/>
                <w:color w:val="auto"/>
              </w:rPr>
              <w:t>14</w:t>
            </w:r>
          </w:p>
        </w:tc>
        <w:tc>
          <w:tcPr>
            <w:tcW w:w="6775" w:type="dxa"/>
            <w:shd w:val="clear" w:color="auto" w:fill="FFFFFF"/>
            <w:vAlign w:val="center"/>
          </w:tcPr>
          <w:p>
            <w:pPr>
              <w:rPr>
                <w:color w:val="auto"/>
              </w:rPr>
            </w:pPr>
            <w:r>
              <w:rPr>
                <w:rFonts w:hint="eastAsia"/>
                <w:color w:val="auto"/>
              </w:rPr>
              <w:t>根据投标人提供的项目组实施人员专业人员素质、技术能力、专业分布、经验等情况等进行打分：</w:t>
            </w:r>
          </w:p>
          <w:p>
            <w:pPr>
              <w:rPr>
                <w:color w:val="auto"/>
              </w:rPr>
            </w:pPr>
            <w:r>
              <w:rPr>
                <w:rFonts w:hint="eastAsia"/>
                <w:color w:val="auto"/>
              </w:rPr>
              <w:t>1.项目技术负责人（1名）:具有高级工程师(信息技术系统集成专业)、信息安全保障人员认证证书（安全集成方向）、信息系统项目管理师,每提供一个证书得1分，最高得3分（0-3分）；</w:t>
            </w:r>
          </w:p>
          <w:p>
            <w:pPr>
              <w:rPr>
                <w:color w:val="auto"/>
              </w:rPr>
            </w:pPr>
            <w:r>
              <w:rPr>
                <w:rFonts w:hint="eastAsia"/>
                <w:color w:val="auto"/>
              </w:rPr>
              <w:t>2.项目安全负责人（1名）同时具有CISA信息系统审计师、CISP（注册信息安全专业人员）证书、信息系统监理师证书，得3分，没有不得分（0-3分）；</w:t>
            </w:r>
          </w:p>
          <w:p>
            <w:pPr>
              <w:rPr>
                <w:color w:val="auto"/>
              </w:rPr>
            </w:pPr>
            <w:r>
              <w:rPr>
                <w:rFonts w:hint="eastAsia"/>
                <w:color w:val="auto"/>
              </w:rPr>
              <w:t>3.项目组成员能提供持有RHCA(红帽认证架构师)证书的工程师，每提供一名得2分, 没有不得分（0-2分）；</w:t>
            </w:r>
          </w:p>
          <w:p>
            <w:pPr>
              <w:rPr>
                <w:color w:val="auto"/>
              </w:rPr>
            </w:pPr>
            <w:r>
              <w:rPr>
                <w:rFonts w:hint="eastAsia"/>
                <w:color w:val="auto"/>
              </w:rPr>
              <w:t>4.项目组成员能提供持有OCM证书的工程师，得2分, 没有不得分（0-2分）；</w:t>
            </w:r>
          </w:p>
          <w:p>
            <w:pPr>
              <w:rPr>
                <w:color w:val="auto"/>
              </w:rPr>
            </w:pPr>
            <w:r>
              <w:rPr>
                <w:rFonts w:hint="eastAsia"/>
                <w:color w:val="auto"/>
              </w:rPr>
              <w:t>5.项目组成员具备项目管理相关认证或网络工程师认证证书，每个得1分，最高得4分（0-4分）。</w:t>
            </w:r>
          </w:p>
          <w:p>
            <w:pPr>
              <w:rPr>
                <w:color w:val="auto"/>
              </w:rPr>
            </w:pPr>
            <w:r>
              <w:rPr>
                <w:rFonts w:hint="eastAsia"/>
                <w:color w:val="auto"/>
              </w:rPr>
              <w:t>注：以上人员需提供相关证书扫描件及所在投标人单位的近三个月社保证明。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2" w:type="dxa"/>
            <w:shd w:val="clear" w:color="auto" w:fill="auto"/>
            <w:vAlign w:val="center"/>
          </w:tcPr>
          <w:p>
            <w:pPr>
              <w:rPr>
                <w:color w:val="auto"/>
              </w:rPr>
            </w:pPr>
            <w:r>
              <w:rPr>
                <w:rFonts w:hint="eastAsia"/>
                <w:color w:val="auto"/>
              </w:rPr>
              <w:t>4</w:t>
            </w:r>
          </w:p>
        </w:tc>
        <w:tc>
          <w:tcPr>
            <w:tcW w:w="1669" w:type="dxa"/>
            <w:gridSpan w:val="2"/>
            <w:shd w:val="clear" w:color="auto" w:fill="FFFFFF"/>
            <w:vAlign w:val="center"/>
          </w:tcPr>
          <w:p>
            <w:pPr>
              <w:jc w:val="center"/>
              <w:rPr>
                <w:color w:val="auto"/>
              </w:rPr>
            </w:pPr>
            <w:r>
              <w:rPr>
                <w:rFonts w:hint="eastAsia"/>
                <w:color w:val="auto"/>
              </w:rPr>
              <w:t>同类项目业绩</w:t>
            </w:r>
          </w:p>
        </w:tc>
        <w:tc>
          <w:tcPr>
            <w:tcW w:w="756" w:type="dxa"/>
            <w:shd w:val="clear" w:color="auto" w:fill="FFFFFF"/>
            <w:vAlign w:val="center"/>
          </w:tcPr>
          <w:p>
            <w:pPr>
              <w:jc w:val="center"/>
              <w:rPr>
                <w:color w:val="auto"/>
              </w:rPr>
            </w:pPr>
            <w:r>
              <w:rPr>
                <w:rFonts w:hint="eastAsia"/>
                <w:color w:val="auto"/>
              </w:rPr>
              <w:t>2</w:t>
            </w:r>
          </w:p>
        </w:tc>
        <w:tc>
          <w:tcPr>
            <w:tcW w:w="6775" w:type="dxa"/>
            <w:shd w:val="clear" w:color="auto" w:fill="FFFFFF"/>
            <w:vAlign w:val="center"/>
          </w:tcPr>
          <w:p>
            <w:pPr>
              <w:rPr>
                <w:color w:val="auto"/>
              </w:rPr>
            </w:pPr>
            <w:r>
              <w:rPr>
                <w:rFonts w:hint="eastAsia"/>
                <w:color w:val="auto"/>
              </w:rPr>
              <w:t>提供信息化技术外包服务类项目案例</w:t>
            </w:r>
            <w:r>
              <w:rPr>
                <w:color w:val="auto"/>
              </w:rPr>
              <w:t>(</w:t>
            </w:r>
            <w:r>
              <w:rPr>
                <w:rFonts w:hint="eastAsia"/>
                <w:color w:val="auto"/>
              </w:rPr>
              <w:t>驻点服务</w:t>
            </w:r>
            <w:r>
              <w:rPr>
                <w:color w:val="auto"/>
              </w:rPr>
              <w:t>)</w:t>
            </w:r>
            <w:r>
              <w:rPr>
                <w:rFonts w:hint="eastAsia"/>
                <w:color w:val="auto"/>
              </w:rPr>
              <w:t>，每提供一个有效业绩得</w:t>
            </w:r>
            <w:r>
              <w:rPr>
                <w:color w:val="auto"/>
              </w:rPr>
              <w:t>1</w:t>
            </w:r>
            <w:r>
              <w:rPr>
                <w:rFonts w:hint="eastAsia"/>
                <w:color w:val="auto"/>
              </w:rPr>
              <w:t>分，最高得</w:t>
            </w:r>
            <w:r>
              <w:rPr>
                <w:color w:val="auto"/>
              </w:rPr>
              <w:t>2</w:t>
            </w:r>
            <w:r>
              <w:rPr>
                <w:rFonts w:hint="eastAsia"/>
                <w:color w:val="auto"/>
              </w:rPr>
              <w:t>分。</w:t>
            </w:r>
          </w:p>
          <w:p>
            <w:pPr>
              <w:rPr>
                <w:color w:val="auto"/>
              </w:rPr>
            </w:pPr>
            <w:r>
              <w:rPr>
                <w:rFonts w:hint="eastAsia"/>
                <w:color w:val="auto"/>
              </w:rPr>
              <w:t>须提供合同扫描件为证明材料，合同内需体现相关信息，未按要求提供证明材料的不予认可。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2" w:type="dxa"/>
            <w:shd w:val="clear" w:color="auto" w:fill="auto"/>
            <w:vAlign w:val="center"/>
          </w:tcPr>
          <w:p>
            <w:pPr>
              <w:rPr>
                <w:color w:val="auto"/>
              </w:rPr>
            </w:pPr>
            <w:r>
              <w:rPr>
                <w:rFonts w:hint="eastAsia"/>
                <w:color w:val="auto"/>
              </w:rPr>
              <w:t>5</w:t>
            </w:r>
          </w:p>
        </w:tc>
        <w:tc>
          <w:tcPr>
            <w:tcW w:w="1669" w:type="dxa"/>
            <w:gridSpan w:val="2"/>
            <w:shd w:val="clear" w:color="auto" w:fill="auto"/>
            <w:vAlign w:val="center"/>
          </w:tcPr>
          <w:p>
            <w:pPr>
              <w:jc w:val="center"/>
              <w:rPr>
                <w:color w:val="auto"/>
              </w:rPr>
            </w:pPr>
            <w:r>
              <w:rPr>
                <w:rFonts w:hint="eastAsia"/>
                <w:color w:val="auto"/>
              </w:rPr>
              <w:t>培训方案</w:t>
            </w:r>
          </w:p>
        </w:tc>
        <w:tc>
          <w:tcPr>
            <w:tcW w:w="756" w:type="dxa"/>
            <w:shd w:val="clear" w:color="auto" w:fill="FFFFFF"/>
            <w:vAlign w:val="center"/>
          </w:tcPr>
          <w:p>
            <w:pPr>
              <w:jc w:val="center"/>
              <w:rPr>
                <w:color w:val="auto"/>
              </w:rPr>
            </w:pPr>
            <w:r>
              <w:rPr>
                <w:rFonts w:hint="eastAsia"/>
                <w:color w:val="auto"/>
              </w:rPr>
              <w:t>5</w:t>
            </w:r>
          </w:p>
        </w:tc>
        <w:tc>
          <w:tcPr>
            <w:tcW w:w="6775" w:type="dxa"/>
            <w:shd w:val="clear" w:color="auto" w:fill="FFFFFF"/>
            <w:vAlign w:val="center"/>
          </w:tcPr>
          <w:p>
            <w:pPr>
              <w:rPr>
                <w:color w:val="auto"/>
              </w:rPr>
            </w:pPr>
            <w:r>
              <w:rPr>
                <w:rFonts w:hint="eastAsia"/>
                <w:color w:val="auto"/>
              </w:rPr>
              <w:t>是否有针对本次项目建立专业的培训计划及培训质量：</w:t>
            </w:r>
          </w:p>
          <w:p>
            <w:pPr>
              <w:rPr>
                <w:color w:val="auto"/>
              </w:rPr>
            </w:pPr>
            <w:r>
              <w:rPr>
                <w:rFonts w:hint="eastAsia"/>
                <w:color w:val="auto"/>
              </w:rPr>
              <w:t>充分了解项目需求，非常合理5-4.1分；对项目比较了解，比较合理4-2.1分；对项目了解一般，合理性一般2-0分。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52" w:type="dxa"/>
            <w:shd w:val="clear" w:color="auto" w:fill="auto"/>
            <w:vAlign w:val="center"/>
          </w:tcPr>
          <w:p>
            <w:pPr>
              <w:rPr>
                <w:color w:val="auto"/>
              </w:rPr>
            </w:pPr>
            <w:r>
              <w:rPr>
                <w:rFonts w:hint="eastAsia"/>
                <w:color w:val="auto"/>
              </w:rPr>
              <w:t>6</w:t>
            </w:r>
          </w:p>
        </w:tc>
        <w:tc>
          <w:tcPr>
            <w:tcW w:w="1669" w:type="dxa"/>
            <w:gridSpan w:val="2"/>
            <w:shd w:val="clear" w:color="auto" w:fill="auto"/>
            <w:vAlign w:val="center"/>
          </w:tcPr>
          <w:p>
            <w:pPr>
              <w:jc w:val="center"/>
              <w:rPr>
                <w:color w:val="auto"/>
              </w:rPr>
            </w:pPr>
            <w:r>
              <w:rPr>
                <w:rFonts w:hint="eastAsia"/>
                <w:color w:val="auto"/>
              </w:rPr>
              <w:t>服务质量保障</w:t>
            </w:r>
          </w:p>
        </w:tc>
        <w:tc>
          <w:tcPr>
            <w:tcW w:w="756" w:type="dxa"/>
            <w:shd w:val="clear" w:color="auto" w:fill="FFFFFF"/>
            <w:vAlign w:val="center"/>
          </w:tcPr>
          <w:p>
            <w:pPr>
              <w:jc w:val="center"/>
              <w:rPr>
                <w:color w:val="auto"/>
              </w:rPr>
            </w:pPr>
            <w:r>
              <w:rPr>
                <w:rFonts w:hint="eastAsia"/>
                <w:color w:val="auto"/>
              </w:rPr>
              <w:t>5</w:t>
            </w:r>
          </w:p>
        </w:tc>
        <w:tc>
          <w:tcPr>
            <w:tcW w:w="6775" w:type="dxa"/>
            <w:shd w:val="clear" w:color="auto" w:fill="FFFFFF"/>
            <w:vAlign w:val="center"/>
          </w:tcPr>
          <w:p>
            <w:pPr>
              <w:rPr>
                <w:rFonts w:hint="eastAsia"/>
                <w:color w:val="auto"/>
              </w:rPr>
            </w:pPr>
            <w:r>
              <w:rPr>
                <w:rFonts w:hint="eastAsia"/>
                <w:color w:val="auto"/>
              </w:rPr>
              <w:t>本地化服务能力配置情况。根据投标人本地化服务能力及相关配置情况等综合比较打分。</w:t>
            </w:r>
          </w:p>
          <w:p>
            <w:pPr>
              <w:rPr>
                <w:color w:val="auto"/>
              </w:rPr>
            </w:pPr>
            <w:r>
              <w:rPr>
                <w:rFonts w:hint="eastAsia"/>
                <w:color w:val="auto"/>
              </w:rPr>
              <w:t>一档（5-4.1分）：服务保障能力优的得；二档（4-2.1分）：服务保障能力尚可的得；三档（2-0分）：缺项或服务保障能力低的。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52" w:type="dxa"/>
            <w:shd w:val="clear" w:color="auto" w:fill="auto"/>
            <w:vAlign w:val="center"/>
          </w:tcPr>
          <w:p>
            <w:pPr>
              <w:rPr>
                <w:color w:val="auto"/>
              </w:rPr>
            </w:pPr>
            <w:r>
              <w:rPr>
                <w:rFonts w:hint="eastAsia"/>
                <w:color w:val="auto"/>
              </w:rPr>
              <w:t>7</w:t>
            </w:r>
          </w:p>
        </w:tc>
        <w:tc>
          <w:tcPr>
            <w:tcW w:w="1669" w:type="dxa"/>
            <w:gridSpan w:val="2"/>
            <w:shd w:val="clear" w:color="auto" w:fill="auto"/>
            <w:vAlign w:val="center"/>
          </w:tcPr>
          <w:p>
            <w:pPr>
              <w:jc w:val="center"/>
              <w:rPr>
                <w:color w:val="auto"/>
              </w:rPr>
            </w:pPr>
            <w:r>
              <w:rPr>
                <w:rFonts w:hint="eastAsia"/>
                <w:color w:val="auto"/>
              </w:rPr>
              <w:t>售后服务</w:t>
            </w:r>
          </w:p>
        </w:tc>
        <w:tc>
          <w:tcPr>
            <w:tcW w:w="756" w:type="dxa"/>
            <w:shd w:val="clear" w:color="auto" w:fill="FFFFFF"/>
            <w:vAlign w:val="center"/>
          </w:tcPr>
          <w:p>
            <w:pPr>
              <w:jc w:val="center"/>
              <w:rPr>
                <w:color w:val="auto"/>
              </w:rPr>
            </w:pPr>
            <w:r>
              <w:rPr>
                <w:rFonts w:hint="eastAsia"/>
                <w:color w:val="auto"/>
              </w:rPr>
              <w:t>5</w:t>
            </w:r>
          </w:p>
        </w:tc>
        <w:tc>
          <w:tcPr>
            <w:tcW w:w="6775" w:type="dxa"/>
            <w:shd w:val="clear" w:color="auto" w:fill="FFFFFF"/>
            <w:vAlign w:val="center"/>
          </w:tcPr>
          <w:p>
            <w:pPr>
              <w:rPr>
                <w:color w:val="auto"/>
              </w:rPr>
            </w:pPr>
            <w:r>
              <w:rPr>
                <w:rFonts w:hint="eastAsia"/>
                <w:color w:val="auto"/>
              </w:rPr>
              <w:t>根据售后服务承诺的范围和完善程度（包括服务人员配备，及保障措施综合打分：</w:t>
            </w:r>
          </w:p>
          <w:p>
            <w:pPr>
              <w:rPr>
                <w:color w:val="auto"/>
              </w:rPr>
            </w:pPr>
            <w:r>
              <w:rPr>
                <w:rFonts w:hint="eastAsia"/>
                <w:color w:val="auto"/>
              </w:rPr>
              <w:t>一档（5-4.1分）：充分了解项目需求，非常合理;5-4.1分二档（4-2.1分）：对项目比较了解，比较合理;三档（2-0分）：对项目了解一般，合理性一般。</w:t>
            </w:r>
          </w:p>
        </w:tc>
      </w:tr>
    </w:tbl>
    <w:p>
      <w:pPr>
        <w:pStyle w:val="4"/>
        <w:rPr>
          <w:rFonts w:ascii="宋体" w:hAnsi="宋体" w:cs="Arial"/>
          <w:color w:val="auto"/>
          <w:sz w:val="22"/>
        </w:rPr>
      </w:pPr>
    </w:p>
    <w:p>
      <w:pPr>
        <w:spacing w:line="400" w:lineRule="exact"/>
        <w:rPr>
          <w:rFonts w:ascii="宋体" w:hAnsi="宋体" w:cs="Arial"/>
          <w:color w:val="auto"/>
          <w:sz w:val="22"/>
        </w:rPr>
      </w:pPr>
      <w:r>
        <w:rPr>
          <w:rFonts w:hint="eastAsia" w:ascii="宋体" w:hAnsi="宋体" w:cs="Arial"/>
          <w:color w:val="auto"/>
          <w:sz w:val="22"/>
        </w:rPr>
        <w:t>2、</w:t>
      </w:r>
      <w:r>
        <w:rPr>
          <w:rFonts w:hint="eastAsia" w:ascii="宋体" w:hAnsi="宋体" w:cs="Arial"/>
          <w:b/>
          <w:color w:val="auto"/>
          <w:sz w:val="22"/>
        </w:rPr>
        <w:t>商务评分（20分）</w:t>
      </w:r>
      <w:r>
        <w:rPr>
          <w:rFonts w:hint="eastAsia" w:ascii="宋体" w:hAnsi="宋体" w:cs="Arial"/>
          <w:color w:val="auto"/>
          <w:sz w:val="22"/>
        </w:rPr>
        <w:t>：</w:t>
      </w:r>
    </w:p>
    <w:p>
      <w:pPr>
        <w:spacing w:line="400" w:lineRule="exact"/>
        <w:ind w:left="328" w:leftChars="156"/>
        <w:rPr>
          <w:rFonts w:ascii="宋体" w:hAnsi="宋体" w:cs="Arial"/>
          <w:color w:val="auto"/>
          <w:sz w:val="22"/>
        </w:rPr>
      </w:pPr>
      <w:r>
        <w:rPr>
          <w:rFonts w:hint="eastAsia" w:ascii="宋体" w:hAnsi="宋体" w:cs="Arial"/>
          <w:color w:val="auto"/>
          <w:sz w:val="22"/>
        </w:rPr>
        <w:t>满足招标文件要求且报价最低的投标报价为评标基准价。</w:t>
      </w:r>
    </w:p>
    <w:p>
      <w:pPr>
        <w:spacing w:line="400" w:lineRule="exact"/>
        <w:ind w:firstLine="330" w:firstLineChars="150"/>
        <w:rPr>
          <w:rFonts w:ascii="宋体" w:hAnsi="宋体" w:cs="Arial"/>
          <w:color w:val="auto"/>
          <w:sz w:val="22"/>
        </w:rPr>
      </w:pPr>
      <w:r>
        <w:rPr>
          <w:rFonts w:hint="eastAsia" w:ascii="宋体" w:hAnsi="宋体" w:cs="Arial"/>
          <w:color w:val="auto"/>
          <w:sz w:val="22"/>
        </w:rPr>
        <w:t>1）有效投标人的投标报价等于评标基准价时其商务分为满分20分；</w:t>
      </w:r>
    </w:p>
    <w:p>
      <w:pPr>
        <w:spacing w:line="400" w:lineRule="exact"/>
        <w:ind w:firstLine="330" w:firstLineChars="150"/>
        <w:rPr>
          <w:rFonts w:ascii="宋体" w:hAnsi="宋体" w:cs="Arial"/>
          <w:color w:val="auto"/>
          <w:sz w:val="22"/>
        </w:rPr>
      </w:pPr>
      <w:r>
        <w:rPr>
          <w:rFonts w:hint="eastAsia" w:ascii="宋体" w:hAnsi="宋体" w:cs="Arial"/>
          <w:color w:val="auto"/>
          <w:sz w:val="22"/>
        </w:rPr>
        <w:t>2）其他投标人的价格分按以下公式计算：</w:t>
      </w:r>
    </w:p>
    <w:p>
      <w:pPr>
        <w:spacing w:line="400" w:lineRule="exact"/>
        <w:ind w:left="657" w:leftChars="313"/>
        <w:rPr>
          <w:rFonts w:ascii="宋体" w:hAnsi="宋体" w:cs="Arial"/>
          <w:color w:val="auto"/>
          <w:sz w:val="22"/>
        </w:rPr>
      </w:pPr>
      <w:r>
        <w:rPr>
          <w:rFonts w:hint="eastAsia" w:ascii="宋体" w:hAnsi="宋体" w:cs="Arial"/>
          <w:color w:val="auto"/>
          <w:sz w:val="22"/>
        </w:rPr>
        <w:t>商务分得分=（评标基准价/投标人投标总价）×20% ×100（四舍五入后保留小数2位）</w:t>
      </w:r>
    </w:p>
    <w:p>
      <w:pPr>
        <w:spacing w:line="400" w:lineRule="exact"/>
        <w:ind w:firstLine="221" w:firstLineChars="100"/>
        <w:rPr>
          <w:rFonts w:ascii="宋体" w:hAnsi="宋体" w:cs="宋体"/>
          <w:b/>
          <w:color w:val="auto"/>
          <w:sz w:val="22"/>
          <w:szCs w:val="22"/>
        </w:rPr>
      </w:pPr>
      <w:r>
        <w:rPr>
          <w:rFonts w:hint="eastAsia" w:ascii="宋体" w:hAnsi="宋体" w:cs="宋体"/>
          <w:b/>
          <w:color w:val="auto"/>
          <w:sz w:val="22"/>
          <w:szCs w:val="22"/>
        </w:rPr>
        <w:t>3）本项目为对应的中小企业划分标准所属行业：</w:t>
      </w:r>
      <w:r>
        <w:rPr>
          <w:rFonts w:hint="eastAsia" w:ascii="宋体" w:hAnsi="宋体" w:cs="新宋体"/>
          <w:b/>
          <w:bCs/>
          <w:color w:val="auto"/>
          <w:kern w:val="0"/>
          <w:sz w:val="22"/>
          <w:u w:val="single"/>
          <w:lang w:val="zh-CN"/>
        </w:rPr>
        <w:t>软件和信息技术服务业</w:t>
      </w:r>
      <w:r>
        <w:rPr>
          <w:rFonts w:hint="eastAsia" w:ascii="宋体" w:hAnsi="宋体" w:cs="宋体"/>
          <w:b/>
          <w:color w:val="auto"/>
          <w:sz w:val="22"/>
          <w:szCs w:val="22"/>
        </w:rPr>
        <w:t>。对于符合招标文件规定的小、微企业（或监狱企业、残疾人福利单位），对其投标报价给予10%的扣除，用扣除后的价格（即价格的 90% ）参与评审。</w:t>
      </w:r>
    </w:p>
    <w:p>
      <w:pPr>
        <w:spacing w:line="400" w:lineRule="exact"/>
        <w:ind w:firstLine="221" w:firstLineChars="100"/>
        <w:rPr>
          <w:rFonts w:ascii="宋体" w:hAnsi="宋体" w:cs="Arial"/>
          <w:color w:val="auto"/>
          <w:sz w:val="22"/>
        </w:rPr>
      </w:pPr>
      <w:r>
        <w:rPr>
          <w:rFonts w:hint="eastAsia" w:ascii="宋体" w:hAnsi="宋体" w:cs="宋体"/>
          <w:b/>
          <w:color w:val="auto"/>
          <w:sz w:val="22"/>
          <w:szCs w:val="22"/>
        </w:rPr>
        <w:t>4）对于联合体协议或者分包意向协议约定小微企业合同份额占到合同总金额30%以上的，对其投标报价给予6%的扣除，用扣除后的价格（即价格的 94% ）参与评审。</w:t>
      </w:r>
    </w:p>
    <w:p>
      <w:pPr>
        <w:spacing w:line="400" w:lineRule="exact"/>
        <w:rPr>
          <w:rFonts w:ascii="宋体" w:hAnsi="宋体" w:cs="Arial"/>
          <w:color w:val="auto"/>
          <w:sz w:val="22"/>
        </w:rPr>
      </w:pPr>
      <w:r>
        <w:rPr>
          <w:rFonts w:hint="eastAsia" w:ascii="宋体" w:hAnsi="宋体" w:cs="Arial"/>
          <w:color w:val="auto"/>
          <w:sz w:val="22"/>
        </w:rPr>
        <w:t xml:space="preserve">  5）</w:t>
      </w:r>
      <w:r>
        <w:rPr>
          <w:rFonts w:hint="eastAsia" w:ascii="宋体" w:hAnsi="宋体"/>
          <w:b/>
          <w:bCs/>
          <w:color w:val="auto"/>
          <w:sz w:val="22"/>
          <w:szCs w:val="22"/>
        </w:rPr>
        <w:t>▲</w:t>
      </w:r>
      <w:r>
        <w:rPr>
          <w:rFonts w:hint="eastAsia" w:ascii="宋体" w:hAnsi="宋体" w:cs="Arial"/>
          <w:b/>
          <w:color w:val="auto"/>
          <w:sz w:val="22"/>
          <w:szCs w:val="22"/>
          <w:u w:val="single"/>
        </w:rPr>
        <w:t>本项目采购预算为2818300元，其中信息化技术外包服务1540000元、数据中心灾备服务650000元、智慧交通专网及云服务器租用628300元，</w:t>
      </w:r>
      <w:r>
        <w:rPr>
          <w:rFonts w:hint="eastAsia" w:ascii="宋体" w:hAnsi="宋体"/>
          <w:b/>
          <w:color w:val="auto"/>
          <w:sz w:val="22"/>
          <w:szCs w:val="22"/>
          <w:u w:val="single"/>
        </w:rPr>
        <w:t>如投标人报价超过采购预算，其投标文件作无效标处理</w:t>
      </w:r>
      <w:r>
        <w:rPr>
          <w:rFonts w:hint="eastAsia" w:ascii="宋体" w:hAnsi="宋体" w:cs="Arial"/>
          <w:color w:val="auto"/>
          <w:sz w:val="22"/>
        </w:rPr>
        <w:t>。</w:t>
      </w:r>
    </w:p>
    <w:p>
      <w:pPr>
        <w:spacing w:line="400" w:lineRule="exact"/>
        <w:ind w:firstLine="220" w:firstLineChars="100"/>
        <w:rPr>
          <w:rFonts w:ascii="宋体" w:hAnsi="宋体" w:cs="Arial"/>
          <w:b/>
          <w:color w:val="auto"/>
          <w:sz w:val="22"/>
          <w:szCs w:val="22"/>
          <w:u w:val="single"/>
        </w:rPr>
      </w:pPr>
      <w:r>
        <w:rPr>
          <w:rFonts w:hint="eastAsia" w:ascii="宋体" w:hAnsi="宋体" w:cs="Arial"/>
          <w:color w:val="auto"/>
          <w:sz w:val="22"/>
        </w:rPr>
        <w:t>6）</w:t>
      </w:r>
      <w:r>
        <w:rPr>
          <w:rFonts w:hint="eastAsia" w:ascii="宋体" w:hAnsi="宋体" w:cs="Arial"/>
          <w:color w:val="auto"/>
          <w:sz w:val="22"/>
          <w:szCs w:val="22"/>
        </w:rPr>
        <w:t>所有投标人商务报价均超采购预算，</w:t>
      </w:r>
      <w:r>
        <w:rPr>
          <w:rFonts w:hint="eastAsia" w:ascii="宋体" w:hAnsi="宋体"/>
          <w:color w:val="auto"/>
          <w:sz w:val="22"/>
          <w:szCs w:val="22"/>
        </w:rPr>
        <w:t>采购人无法支付的,</w:t>
      </w:r>
      <w:r>
        <w:rPr>
          <w:rFonts w:hint="eastAsia" w:ascii="宋体" w:hAnsi="宋体" w:cs="Arial"/>
          <w:color w:val="auto"/>
          <w:sz w:val="22"/>
          <w:szCs w:val="22"/>
        </w:rPr>
        <w:t>重新组织招标</w:t>
      </w:r>
      <w:r>
        <w:rPr>
          <w:rFonts w:hint="eastAsia" w:ascii="宋体" w:hAnsi="宋体" w:cs="Arial"/>
          <w:color w:val="auto"/>
          <w:sz w:val="22"/>
        </w:rPr>
        <w:t>。</w:t>
      </w:r>
    </w:p>
    <w:p>
      <w:pPr>
        <w:spacing w:line="400" w:lineRule="exact"/>
        <w:rPr>
          <w:rFonts w:ascii="宋体" w:hAnsi="宋体" w:cs="Arial"/>
          <w:color w:val="auto"/>
          <w:sz w:val="22"/>
        </w:rPr>
      </w:pPr>
      <w:r>
        <w:rPr>
          <w:rFonts w:hint="eastAsia" w:ascii="宋体" w:hAnsi="宋体" w:cs="Arial"/>
          <w:color w:val="auto"/>
          <w:sz w:val="22"/>
        </w:rPr>
        <w:t>3、 有效投标人的综合得分为技术资信分和商务（报价）分的总和。</w:t>
      </w:r>
    </w:p>
    <w:p>
      <w:pPr>
        <w:rPr>
          <w:rFonts w:ascii="宋体" w:hAnsi="宋体" w:cs="Arial"/>
          <w:color w:val="auto"/>
          <w:sz w:val="22"/>
        </w:rPr>
      </w:pPr>
      <w:r>
        <w:rPr>
          <w:rFonts w:hint="eastAsia" w:ascii="宋体" w:hAnsi="宋体" w:cs="Arial"/>
          <w:color w:val="auto"/>
          <w:sz w:val="22"/>
        </w:rPr>
        <w:br w:type="page"/>
      </w:r>
    </w:p>
    <w:p>
      <w:pPr>
        <w:pStyle w:val="25"/>
        <w:rPr>
          <w:color w:val="auto"/>
        </w:rPr>
      </w:pPr>
    </w:p>
    <w:bookmarkEnd w:id="208"/>
    <w:bookmarkEnd w:id="209"/>
    <w:p>
      <w:pPr>
        <w:pStyle w:val="4"/>
        <w:rPr>
          <w:rFonts w:ascii="宋体" w:hAnsi="宋体" w:eastAsia="宋体" w:cs="Arial"/>
          <w:color w:val="auto"/>
          <w:sz w:val="36"/>
          <w:szCs w:val="36"/>
        </w:rPr>
      </w:pPr>
      <w:bookmarkStart w:id="210" w:name="_Toc221356894"/>
      <w:bookmarkStart w:id="211" w:name="_Toc245722287"/>
      <w:bookmarkStart w:id="212" w:name="_Toc222114885"/>
      <w:bookmarkStart w:id="213" w:name="_Toc246261271"/>
      <w:bookmarkStart w:id="214" w:name="_Toc249758871"/>
      <w:bookmarkStart w:id="215" w:name="_Toc223716004"/>
      <w:bookmarkStart w:id="216" w:name="_Toc10781"/>
      <w:bookmarkStart w:id="217" w:name="_Toc221356957"/>
      <w:bookmarkStart w:id="218" w:name="_Toc245191320"/>
      <w:bookmarkStart w:id="219" w:name="_Toc221423625"/>
      <w:bookmarkStart w:id="220" w:name="_Toc262049425"/>
      <w:bookmarkStart w:id="221" w:name="_Toc262105510"/>
      <w:bookmarkStart w:id="222" w:name="_Toc221374632"/>
      <w:bookmarkStart w:id="223" w:name="_Toc249758721"/>
      <w:bookmarkStart w:id="224" w:name="_Toc239145360"/>
      <w:bookmarkStart w:id="225" w:name="_Toc241404208"/>
      <w:r>
        <w:rPr>
          <w:rFonts w:hint="eastAsia" w:ascii="宋体" w:hAnsi="宋体" w:eastAsia="宋体" w:cs="Arial"/>
          <w:color w:val="auto"/>
          <w:sz w:val="36"/>
          <w:szCs w:val="36"/>
        </w:rPr>
        <w:t>第四部分   合同主要条款</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rPr>
          <w:color w:val="auto"/>
        </w:rPr>
      </w:pPr>
      <w:bookmarkStart w:id="226" w:name="_Toc221356897"/>
      <w:bookmarkStart w:id="227" w:name="_Toc221374633"/>
      <w:bookmarkStart w:id="228" w:name="_Toc221356960"/>
    </w:p>
    <w:p>
      <w:pPr>
        <w:snapToGrid w:val="0"/>
        <w:spacing w:line="360" w:lineRule="auto"/>
        <w:jc w:val="left"/>
        <w:rPr>
          <w:rFonts w:ascii="宋体" w:hAnsi="宋体" w:cs="Arial"/>
          <w:color w:val="auto"/>
          <w:sz w:val="22"/>
          <w:szCs w:val="22"/>
        </w:rPr>
      </w:pPr>
    </w:p>
    <w:p>
      <w:pPr>
        <w:spacing w:line="400" w:lineRule="exact"/>
        <w:ind w:firstLine="440" w:firstLineChars="200"/>
        <w:rPr>
          <w:rFonts w:ascii="宋体" w:hAnsi="宋体" w:cs="Arial"/>
          <w:color w:val="auto"/>
          <w:sz w:val="22"/>
          <w:szCs w:val="22"/>
        </w:rPr>
      </w:pPr>
      <w:r>
        <w:rPr>
          <w:rFonts w:hint="eastAsia" w:ascii="宋体" w:hAnsi="宋体" w:cs="Arial"/>
          <w:color w:val="auto"/>
          <w:sz w:val="22"/>
          <w:szCs w:val="22"/>
        </w:rPr>
        <w:t>本条款为甲乙双方必须遵守的基本条款，也可根据实际情况另签合同条款，正式合同以双方签字盖章的文本为准。</w:t>
      </w:r>
    </w:p>
    <w:p>
      <w:pPr>
        <w:spacing w:line="400" w:lineRule="exact"/>
        <w:ind w:firstLine="440" w:firstLineChars="200"/>
        <w:rPr>
          <w:rFonts w:ascii="宋体" w:hAnsi="宋体" w:cs="Arial"/>
          <w:color w:val="auto"/>
          <w:sz w:val="22"/>
          <w:szCs w:val="22"/>
        </w:rPr>
      </w:pP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为了明确甲、乙双方的权利和义务，履行各自的职责，高效优质地完成本项目方案。按照《中华人民共和国民法典》的有关规定，经甲乙双方在平等、自愿的基础上共同协商一致，现签订合同如下。</w:t>
      </w:r>
    </w:p>
    <w:p>
      <w:pPr>
        <w:spacing w:line="460" w:lineRule="exact"/>
        <w:rPr>
          <w:rFonts w:ascii="宋体" w:hAnsi="宋体" w:cs="宋体"/>
          <w:b/>
          <w:color w:val="auto"/>
          <w:sz w:val="22"/>
          <w:szCs w:val="22"/>
        </w:rPr>
      </w:pPr>
      <w:r>
        <w:rPr>
          <w:rFonts w:hint="eastAsia" w:ascii="宋体" w:hAnsi="宋体" w:cs="宋体"/>
          <w:b/>
          <w:color w:val="auto"/>
          <w:sz w:val="22"/>
          <w:szCs w:val="22"/>
        </w:rPr>
        <w:t>第一条  合同名称</w:t>
      </w:r>
    </w:p>
    <w:p>
      <w:pPr>
        <w:spacing w:line="460" w:lineRule="exact"/>
        <w:ind w:firstLine="539" w:firstLineChars="245"/>
        <w:rPr>
          <w:rFonts w:ascii="宋体" w:hAnsi="宋体" w:cs="宋体"/>
          <w:bCs/>
          <w:color w:val="auto"/>
          <w:sz w:val="22"/>
          <w:szCs w:val="22"/>
        </w:rPr>
      </w:pPr>
    </w:p>
    <w:p>
      <w:pPr>
        <w:spacing w:line="460" w:lineRule="exact"/>
        <w:rPr>
          <w:rFonts w:ascii="宋体" w:hAnsi="宋体" w:cs="宋体"/>
          <w:b/>
          <w:color w:val="auto"/>
          <w:sz w:val="22"/>
          <w:szCs w:val="22"/>
        </w:rPr>
      </w:pPr>
      <w:r>
        <w:rPr>
          <w:rFonts w:hint="eastAsia" w:ascii="宋体" w:hAnsi="宋体" w:cs="宋体"/>
          <w:b/>
          <w:color w:val="auto"/>
          <w:sz w:val="22"/>
          <w:szCs w:val="22"/>
        </w:rPr>
        <w:t>第二条 合同方案项目主要服务内容</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乙方为甲方提供</w:t>
      </w:r>
      <w:r>
        <w:rPr>
          <w:rFonts w:hint="eastAsia" w:ascii="宋体" w:hAnsi="宋体" w:cs="宋体"/>
          <w:color w:val="auto"/>
          <w:sz w:val="22"/>
          <w:szCs w:val="22"/>
        </w:rPr>
        <w:t>温州市交通运输局交通技术服务运维</w:t>
      </w:r>
      <w:r>
        <w:rPr>
          <w:rFonts w:hint="eastAsia" w:ascii="宋体" w:hAnsi="宋体" w:cs="宋体"/>
          <w:bCs/>
          <w:color w:val="auto"/>
          <w:sz w:val="22"/>
          <w:szCs w:val="22"/>
        </w:rPr>
        <w:t>（见招标文件）。</w:t>
      </w:r>
    </w:p>
    <w:p>
      <w:pPr>
        <w:spacing w:line="460" w:lineRule="exact"/>
        <w:rPr>
          <w:rFonts w:ascii="宋体" w:hAnsi="宋体" w:cs="宋体"/>
          <w:b/>
          <w:color w:val="auto"/>
          <w:sz w:val="22"/>
          <w:szCs w:val="22"/>
        </w:rPr>
      </w:pPr>
      <w:r>
        <w:rPr>
          <w:rFonts w:hint="eastAsia" w:ascii="宋体" w:hAnsi="宋体" w:cs="宋体"/>
          <w:b/>
          <w:color w:val="auto"/>
          <w:sz w:val="22"/>
          <w:szCs w:val="22"/>
        </w:rPr>
        <w:t>第三条  本合同承包期限:</w:t>
      </w:r>
    </w:p>
    <w:p>
      <w:pPr>
        <w:spacing w:line="460" w:lineRule="exact"/>
        <w:ind w:firstLine="539" w:firstLineChars="245"/>
        <w:rPr>
          <w:rFonts w:ascii="宋体" w:hAnsi="宋体" w:cs="宋体"/>
          <w:color w:val="auto"/>
          <w:sz w:val="22"/>
          <w:szCs w:val="22"/>
        </w:rPr>
      </w:pPr>
      <w:r>
        <w:rPr>
          <w:rFonts w:hint="eastAsia" w:ascii="宋体" w:hAnsi="宋体" w:cs="宋体"/>
          <w:color w:val="auto"/>
          <w:sz w:val="22"/>
          <w:szCs w:val="22"/>
        </w:rPr>
        <w:t>信息化技术服务外包时间为 年 月 日至 年 月 日。</w:t>
      </w:r>
    </w:p>
    <w:p>
      <w:pPr>
        <w:spacing w:line="460" w:lineRule="exact"/>
        <w:ind w:firstLine="539" w:firstLineChars="245"/>
        <w:rPr>
          <w:rFonts w:ascii="宋体" w:hAnsi="宋体" w:cs="宋体"/>
          <w:color w:val="auto"/>
          <w:sz w:val="22"/>
          <w:szCs w:val="22"/>
        </w:rPr>
      </w:pPr>
      <w:r>
        <w:rPr>
          <w:rFonts w:hint="eastAsia" w:ascii="宋体" w:hAnsi="宋体" w:cs="宋体"/>
          <w:color w:val="auto"/>
          <w:sz w:val="22"/>
          <w:szCs w:val="22"/>
        </w:rPr>
        <w:t>2.由于上一年度项目截止后，财政预算未下达，自2024年1月1日至乙方接手时止这段时间的运维费用由乙方支付（该运维费用金额=（该时间月数/12）*2024年中标运维金额）。</w:t>
      </w:r>
    </w:p>
    <w:p>
      <w:pPr>
        <w:spacing w:line="460" w:lineRule="exact"/>
        <w:rPr>
          <w:rFonts w:ascii="宋体" w:hAnsi="宋体" w:cs="宋体"/>
          <w:b/>
          <w:color w:val="auto"/>
          <w:sz w:val="22"/>
          <w:szCs w:val="22"/>
        </w:rPr>
      </w:pPr>
      <w:r>
        <w:rPr>
          <w:rFonts w:hint="eastAsia" w:ascii="宋体" w:hAnsi="宋体" w:cs="宋体"/>
          <w:b/>
          <w:color w:val="auto"/>
          <w:sz w:val="22"/>
          <w:szCs w:val="22"/>
        </w:rPr>
        <w:t>第四条：结算及付款方式：</w:t>
      </w:r>
    </w:p>
    <w:p>
      <w:pPr>
        <w:numPr>
          <w:ilvl w:val="0"/>
          <w:numId w:val="49"/>
        </w:numPr>
        <w:tabs>
          <w:tab w:val="clear" w:pos="860"/>
        </w:tabs>
        <w:spacing w:line="460" w:lineRule="exact"/>
        <w:ind w:left="959"/>
        <w:rPr>
          <w:rFonts w:ascii="宋体" w:hAnsi="宋体" w:cs="宋体"/>
          <w:color w:val="auto"/>
          <w:sz w:val="22"/>
          <w:szCs w:val="22"/>
        </w:rPr>
      </w:pPr>
      <w:r>
        <w:rPr>
          <w:rFonts w:hint="eastAsia" w:ascii="宋体" w:hAnsi="宋体" w:cs="宋体"/>
          <w:color w:val="auto"/>
          <w:sz w:val="22"/>
          <w:szCs w:val="22"/>
        </w:rPr>
        <w:t xml:space="preserve">本项目合同价款为 </w:t>
      </w:r>
      <w:r>
        <w:rPr>
          <w:rFonts w:hint="eastAsia" w:ascii="宋体" w:hAnsi="宋体" w:cs="宋体"/>
          <w:color w:val="auto"/>
          <w:sz w:val="22"/>
          <w:szCs w:val="22"/>
          <w:u w:val="single"/>
        </w:rPr>
        <w:t xml:space="preserve">      </w:t>
      </w:r>
      <w:r>
        <w:rPr>
          <w:rFonts w:hint="eastAsia" w:ascii="宋体" w:hAnsi="宋体" w:cs="宋体"/>
          <w:color w:val="auto"/>
          <w:sz w:val="22"/>
          <w:szCs w:val="22"/>
        </w:rPr>
        <w:t>元；</w:t>
      </w:r>
    </w:p>
    <w:p>
      <w:pPr>
        <w:numPr>
          <w:ilvl w:val="0"/>
          <w:numId w:val="49"/>
        </w:numPr>
        <w:tabs>
          <w:tab w:val="clear" w:pos="860"/>
        </w:tabs>
        <w:spacing w:line="460" w:lineRule="exact"/>
        <w:ind w:left="959"/>
        <w:rPr>
          <w:rFonts w:ascii="宋体" w:hAnsi="宋体" w:cs="宋体"/>
          <w:color w:val="auto"/>
          <w:sz w:val="22"/>
          <w:szCs w:val="22"/>
          <w:highlight w:val="none"/>
        </w:rPr>
      </w:pPr>
      <w:r>
        <w:rPr>
          <w:rFonts w:hint="eastAsia" w:ascii="宋体" w:hAnsi="宋体" w:cs="宋体"/>
          <w:color w:val="auto"/>
          <w:sz w:val="22"/>
          <w:szCs w:val="22"/>
          <w:highlight w:val="none"/>
        </w:rPr>
        <w:t>合同签订后7个工作日内，甲方向乙方支付合同总额50%（乙方需出具相应金额的发票）；</w:t>
      </w:r>
    </w:p>
    <w:p>
      <w:pPr>
        <w:numPr>
          <w:ilvl w:val="0"/>
          <w:numId w:val="49"/>
        </w:numPr>
        <w:tabs>
          <w:tab w:val="clear" w:pos="860"/>
        </w:tabs>
        <w:spacing w:line="460" w:lineRule="exact"/>
        <w:ind w:left="959"/>
        <w:rPr>
          <w:rFonts w:ascii="宋体" w:hAnsi="宋体" w:cs="宋体"/>
          <w:color w:val="auto"/>
          <w:sz w:val="22"/>
          <w:szCs w:val="22"/>
          <w:highlight w:val="none"/>
        </w:rPr>
      </w:pPr>
      <w:r>
        <w:rPr>
          <w:rFonts w:hint="eastAsia" w:ascii="宋体" w:hAnsi="宋体" w:cs="宋体"/>
          <w:color w:val="auto"/>
          <w:sz w:val="22"/>
          <w:szCs w:val="22"/>
          <w:highlight w:val="none"/>
        </w:rPr>
        <w:t>服务期至2024年6月30日后7个工作日内，甲方向乙方支付合同总额40%（乙方需出具相应金额的发票）；</w:t>
      </w:r>
    </w:p>
    <w:p>
      <w:pPr>
        <w:numPr>
          <w:ilvl w:val="0"/>
          <w:numId w:val="49"/>
        </w:numPr>
        <w:tabs>
          <w:tab w:val="clear" w:pos="860"/>
        </w:tabs>
        <w:spacing w:line="460" w:lineRule="exact"/>
        <w:ind w:left="959"/>
        <w:rPr>
          <w:rFonts w:ascii="宋体" w:hAnsi="宋体" w:cs="宋体"/>
          <w:color w:val="auto"/>
          <w:sz w:val="22"/>
          <w:szCs w:val="22"/>
          <w:highlight w:val="none"/>
        </w:rPr>
      </w:pPr>
      <w:r>
        <w:rPr>
          <w:rFonts w:hint="eastAsia" w:ascii="宋体" w:hAnsi="宋体" w:cs="宋体"/>
          <w:color w:val="auto"/>
          <w:sz w:val="22"/>
          <w:szCs w:val="22"/>
          <w:highlight w:val="none"/>
        </w:rPr>
        <w:t>服务期至2024年11月1日后7个工作日内，甲方向乙方支付合同总额10%（乙方需出具相应金额的发票）。</w:t>
      </w:r>
    </w:p>
    <w:p>
      <w:pPr>
        <w:numPr>
          <w:ilvl w:val="0"/>
          <w:numId w:val="49"/>
        </w:numPr>
        <w:tabs>
          <w:tab w:val="clear" w:pos="860"/>
        </w:tabs>
        <w:spacing w:line="460" w:lineRule="exact"/>
        <w:ind w:left="959"/>
        <w:rPr>
          <w:rFonts w:ascii="宋体" w:hAnsi="宋体" w:cs="宋体"/>
          <w:color w:val="auto"/>
          <w:sz w:val="22"/>
          <w:szCs w:val="22"/>
        </w:rPr>
      </w:pPr>
      <w:r>
        <w:rPr>
          <w:rFonts w:hint="eastAsia" w:ascii="宋体" w:hAnsi="宋体" w:cs="宋体"/>
          <w:color w:val="auto"/>
          <w:sz w:val="22"/>
          <w:szCs w:val="22"/>
        </w:rPr>
        <w:t>合同价款介入乙方指定银行账户，银行账户信息为：</w:t>
      </w:r>
    </w:p>
    <w:p>
      <w:pPr>
        <w:pStyle w:val="152"/>
        <w:spacing w:line="400" w:lineRule="exact"/>
        <w:ind w:firstLine="1058" w:firstLineChars="481"/>
        <w:rPr>
          <w:rFonts w:hAnsi="宋体" w:eastAsia="宋体"/>
          <w:color w:val="auto"/>
          <w:sz w:val="22"/>
          <w:szCs w:val="22"/>
        </w:rPr>
      </w:pPr>
      <w:r>
        <w:rPr>
          <w:rFonts w:hint="eastAsia" w:hAnsi="宋体" w:eastAsia="宋体"/>
          <w:color w:val="auto"/>
          <w:sz w:val="22"/>
          <w:szCs w:val="22"/>
        </w:rPr>
        <w:t>账户名称：</w:t>
      </w:r>
    </w:p>
    <w:p>
      <w:pPr>
        <w:pStyle w:val="152"/>
        <w:spacing w:line="400" w:lineRule="exact"/>
        <w:ind w:firstLine="1058" w:firstLineChars="481"/>
        <w:rPr>
          <w:rFonts w:hAnsi="宋体" w:eastAsia="宋体"/>
          <w:color w:val="auto"/>
          <w:sz w:val="22"/>
          <w:szCs w:val="22"/>
        </w:rPr>
      </w:pPr>
      <w:r>
        <w:rPr>
          <w:rFonts w:hint="eastAsia" w:hAnsi="宋体" w:eastAsia="宋体"/>
          <w:color w:val="auto"/>
          <w:sz w:val="22"/>
          <w:szCs w:val="22"/>
        </w:rPr>
        <w:t>开户行：</w:t>
      </w:r>
    </w:p>
    <w:p>
      <w:pPr>
        <w:pStyle w:val="152"/>
        <w:spacing w:line="400" w:lineRule="exact"/>
        <w:ind w:firstLine="1058" w:firstLineChars="481"/>
        <w:rPr>
          <w:color w:val="auto"/>
        </w:rPr>
      </w:pPr>
      <w:r>
        <w:rPr>
          <w:rFonts w:hint="eastAsia" w:hAnsi="宋体" w:eastAsia="宋体"/>
          <w:color w:val="auto"/>
          <w:sz w:val="22"/>
          <w:szCs w:val="22"/>
        </w:rPr>
        <w:t>银行账号：</w:t>
      </w:r>
    </w:p>
    <w:p>
      <w:pPr>
        <w:spacing w:line="460" w:lineRule="exact"/>
        <w:rPr>
          <w:rFonts w:ascii="宋体" w:hAnsi="宋体" w:cs="宋体"/>
          <w:b/>
          <w:color w:val="auto"/>
          <w:sz w:val="22"/>
          <w:szCs w:val="22"/>
        </w:rPr>
      </w:pPr>
      <w:r>
        <w:rPr>
          <w:rFonts w:hint="eastAsia" w:ascii="宋体" w:hAnsi="宋体" w:cs="宋体"/>
          <w:b/>
          <w:color w:val="auto"/>
          <w:sz w:val="22"/>
          <w:szCs w:val="22"/>
        </w:rPr>
        <w:t>第五条  考评办法</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乙方应严格按照甲方具体要求及《招标文件》的规定，认真实施本项目，同时，甲方按《招标文件》要求及乙方在《投标文件》中做出的承诺性条款对乙方的项目实施质量及人员安全作业、工资、岗位津贴、福利待遇、社会保险和公积金落实进行检查考评。</w:t>
      </w:r>
    </w:p>
    <w:p>
      <w:pPr>
        <w:spacing w:line="460" w:lineRule="exact"/>
        <w:rPr>
          <w:rFonts w:ascii="宋体" w:hAnsi="宋体" w:cs="宋体"/>
          <w:b/>
          <w:color w:val="auto"/>
          <w:sz w:val="22"/>
          <w:szCs w:val="22"/>
        </w:rPr>
      </w:pPr>
      <w:r>
        <w:rPr>
          <w:rFonts w:hint="eastAsia" w:ascii="宋体" w:hAnsi="宋体" w:cs="宋体"/>
          <w:b/>
          <w:color w:val="auto"/>
          <w:sz w:val="22"/>
          <w:szCs w:val="22"/>
        </w:rPr>
        <w:t>第六条  权利和义务</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（一）甲方权利与义务</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1、甲方有权对乙方的项目实施业务进行全面的技术指导、检查、管理和监督，对检查中发现的问题及时向乙方提出书面或口头改进意见。乙方每季度应将所属人员的工资、岗位津贴、福利待遇、社会保险和公积金等待遇由银行支付并盖章的清单提供给甲方，甲方对乙方落实情况进行检查和监督，对检查中如发现未落实以上待遇的问题有权要求乙方限期予以整改，一个月内未完成整改的甲方有权单方终止本合同而不承担任何违约责任，由乙方承担一切经济损失和法律责任。</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2、甲方有权对乙方不符合本项目要求（见招标文件）规定的行为进行处罚。</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3、甲方监督检查乙方对员工进行培训的情况，以提高</w:t>
      </w:r>
      <w:r>
        <w:rPr>
          <w:rFonts w:hint="eastAsia" w:ascii="宋体" w:hAnsi="宋体" w:cs="宋体"/>
          <w:color w:val="auto"/>
          <w:sz w:val="22"/>
          <w:szCs w:val="22"/>
        </w:rPr>
        <w:t>温州市交通运输局信息化服务外包(2021)</w:t>
      </w:r>
      <w:r>
        <w:rPr>
          <w:rFonts w:hint="eastAsia" w:ascii="宋体" w:hAnsi="宋体" w:cs="宋体"/>
          <w:bCs/>
          <w:color w:val="auto"/>
          <w:sz w:val="22"/>
          <w:szCs w:val="22"/>
        </w:rPr>
        <w:t>的技术水平。</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4、甲方应按项目实施质量和考核结果计算经费，扣除乙方因检查不合格应扣款后，将经费按期支付给乙方。</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5、甲方可要求乙方调整不合格员工，并于15日内调整到位。</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6、甲方应当向乙方提供必要的工作条件，包括必要的技术资料、技术准备、工作空间，协助乙方做好维护服务。</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（二）乙方权利和义务</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1、乙方保证维护工作的过程未侵犯第三方合法权益。</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2、经乙方维护更新后的软件，其任何部分如被依法认定为侵犯第三方合法权利，或者任何由乙方授予的权利被认定为侵权，乙方应当承担相应的责任，并尽力用相等功能的合法软件替换软件，或者取得相关授权，以使甲方能够继续享有本合同所规定的各项权利，并且乙方应当赔偿甲方由此而造成的损失。</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3、乙方有权对管理工作提出建议。</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4、乙方有履行承诺的义务（包括按照投标文件的承诺，安排实际上岗人数和人员福利待遇等），并参加由甲方组织的检查和综合考评。</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5、乙方应接受甲方的检查监督及指导，完成甲方交办的各类工作任务。</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6、按甲方的要求开展工作，如有改变，乙方应提出书面申请，并征得甲方的书面同意。</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7、乙方根据本合同所承担的服务内容，按实际上岗人数自行到有关部门申办用工手续、员工劳动保险手续和暂住证手续等。乙方应严格按照劳工法律各条规定逐条落实派驻人员工资、岗位津贴、福利待遇、社会保险和公积金等要求，安排好属下人员的住宿和教育管理工作，如发生违纪违法事件，由乙方承担一切经济责任和法律责任。</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8、必须按相关规定为员工购买社会保险。</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9、乙方负责项目实施过程中的事故处理和一切费用。</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10、乙方应遵守法律、法规和政策的规定，因以上原因使合同性质发生改变，甲方不负赔偿责任。</w:t>
      </w:r>
    </w:p>
    <w:p>
      <w:pPr>
        <w:spacing w:line="460" w:lineRule="exact"/>
        <w:rPr>
          <w:rFonts w:ascii="宋体" w:hAnsi="宋体" w:cs="宋体"/>
          <w:b/>
          <w:color w:val="auto"/>
          <w:sz w:val="22"/>
          <w:szCs w:val="22"/>
        </w:rPr>
      </w:pPr>
      <w:r>
        <w:rPr>
          <w:rFonts w:hint="eastAsia" w:ascii="宋体" w:hAnsi="宋体" w:cs="宋体"/>
          <w:b/>
          <w:color w:val="auto"/>
          <w:sz w:val="22"/>
          <w:szCs w:val="22"/>
        </w:rPr>
        <w:t>第七条  违约责任</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一）乙方未能履行以上义务，未遵守《投标文件》中所承诺的服务内容，违反甲方具体要求及《投标文件》规定的行为均属违约行为。甲方根据上述规定条款，视乙方违约行为的情节轻重，做出批评教育、警告、扣罚经费等处理，情节严重者，甲方有权单方终止本合同而不承担任何违约责任，由乙方承担一切经济损失和法律责任。因乙方违约造成甲方损失的，甲方有权向乙方要求补偿。</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（二）乙方因人员，技术等跟不上管理需要影响工作，未达到质量标准，连续3个月出现月评分不达标的，甲方有权单方终止本合同，由乙方承担一切经济损失和法律责任。</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（三）乙方不能保质保量完成合同规定业务，除承担相关责任外，甲方可相应扣减合同尾款；</w:t>
      </w:r>
    </w:p>
    <w:p>
      <w:pPr>
        <w:spacing w:line="460" w:lineRule="exact"/>
        <w:rPr>
          <w:rFonts w:ascii="宋体" w:hAnsi="宋体" w:cs="宋体"/>
          <w:bCs/>
          <w:color w:val="auto"/>
          <w:sz w:val="22"/>
          <w:szCs w:val="22"/>
        </w:rPr>
      </w:pPr>
      <w:r>
        <w:rPr>
          <w:rFonts w:hint="eastAsia" w:ascii="宋体" w:hAnsi="宋体" w:cs="宋体"/>
          <w:bCs/>
          <w:color w:val="auto"/>
          <w:sz w:val="22"/>
          <w:szCs w:val="22"/>
        </w:rPr>
        <w:t>第八条  争议的解决</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合同未尽事宜，应双方友好协调解决。协商不一致，任何一方均可提起仲裁或诉讼，仲裁或诉讼按合同履行地原则。</w:t>
      </w:r>
    </w:p>
    <w:p>
      <w:pPr>
        <w:spacing w:line="460" w:lineRule="exact"/>
        <w:rPr>
          <w:rFonts w:ascii="宋体" w:hAnsi="宋体" w:cs="宋体"/>
          <w:bCs/>
          <w:color w:val="auto"/>
          <w:sz w:val="22"/>
          <w:szCs w:val="22"/>
        </w:rPr>
      </w:pPr>
      <w:r>
        <w:rPr>
          <w:rFonts w:hint="eastAsia" w:ascii="宋体" w:hAnsi="宋体" w:cs="宋体"/>
          <w:bCs/>
          <w:color w:val="auto"/>
          <w:sz w:val="22"/>
          <w:szCs w:val="22"/>
        </w:rPr>
        <w:t>第十条  合同生效及终止</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（一）合同生效：本合同自甲乙双方法定代表人签字、盖章之日起生效。</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（二）合同终止：本合同出现以下情况时终止。</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1、期限届满时自行终止。</w:t>
      </w:r>
    </w:p>
    <w:p>
      <w:pPr>
        <w:spacing w:line="460" w:lineRule="exact"/>
        <w:ind w:firstLine="541" w:firstLineChars="245"/>
        <w:rPr>
          <w:rFonts w:ascii="宋体" w:hAnsi="宋体" w:cs="宋体"/>
          <w:b/>
          <w:bCs/>
          <w:color w:val="auto"/>
          <w:sz w:val="22"/>
          <w:szCs w:val="22"/>
        </w:rPr>
      </w:pPr>
      <w:r>
        <w:rPr>
          <w:rFonts w:hint="eastAsia" w:ascii="宋体" w:hAnsi="宋体" w:cs="宋体"/>
          <w:b/>
          <w:bCs/>
          <w:color w:val="auto"/>
          <w:sz w:val="22"/>
          <w:szCs w:val="22"/>
        </w:rPr>
        <w:t>2、乙方在签定合同15日内，未能按照投标文件的要求，完成组建温州市交通运输局信息化服务团队上岗，甲方有权单方终止合同。</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3、有以下行为之一的：</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（1）违反管理规定，造成重大伤亡或重大损失。</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（2）因管理不善造成恶劣影响。</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（3）擅自将合同转包给第三者。</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（4）违反劳动法或其他相关法律法规，造成恶劣影响。</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（5）《投标文件》承诺项目未落实到位的，弄虚作假及其他不正当行为。</w:t>
      </w:r>
    </w:p>
    <w:p>
      <w:pPr>
        <w:spacing w:line="460" w:lineRule="exact"/>
        <w:rPr>
          <w:rFonts w:ascii="宋体" w:hAnsi="宋体" w:cs="宋体"/>
          <w:bCs/>
          <w:color w:val="auto"/>
          <w:sz w:val="22"/>
          <w:szCs w:val="22"/>
        </w:rPr>
      </w:pPr>
      <w:r>
        <w:rPr>
          <w:rFonts w:hint="eastAsia" w:ascii="宋体" w:hAnsi="宋体" w:cs="宋体"/>
          <w:bCs/>
          <w:color w:val="auto"/>
          <w:sz w:val="22"/>
          <w:szCs w:val="22"/>
        </w:rPr>
        <w:t>第九条  合同的解释</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本合同的解释权在温州市交通运输局.</w:t>
      </w:r>
    </w:p>
    <w:p>
      <w:pPr>
        <w:spacing w:line="460" w:lineRule="exact"/>
        <w:rPr>
          <w:rFonts w:ascii="宋体" w:hAnsi="宋体" w:cs="宋体"/>
          <w:bCs/>
          <w:color w:val="auto"/>
          <w:sz w:val="22"/>
          <w:szCs w:val="22"/>
        </w:rPr>
      </w:pPr>
      <w:r>
        <w:rPr>
          <w:rFonts w:hint="eastAsia" w:ascii="宋体" w:hAnsi="宋体" w:cs="宋体"/>
          <w:bCs/>
          <w:color w:val="auto"/>
          <w:sz w:val="22"/>
          <w:szCs w:val="22"/>
        </w:rPr>
        <w:t>第十条  合同的份数</w:t>
      </w:r>
    </w:p>
    <w:p>
      <w:pPr>
        <w:spacing w:line="460" w:lineRule="exact"/>
        <w:ind w:firstLine="539" w:firstLineChars="245"/>
        <w:rPr>
          <w:rFonts w:ascii="宋体" w:hAnsi="宋体" w:cs="宋体"/>
          <w:bCs/>
          <w:color w:val="auto"/>
          <w:sz w:val="22"/>
          <w:szCs w:val="22"/>
        </w:rPr>
      </w:pPr>
      <w:r>
        <w:rPr>
          <w:rFonts w:hint="eastAsia" w:ascii="宋体" w:hAnsi="宋体" w:cs="宋体"/>
          <w:bCs/>
          <w:color w:val="auto"/>
          <w:sz w:val="22"/>
          <w:szCs w:val="22"/>
        </w:rPr>
        <w:t>本合同一式四份，双方各执贰份，具有同等法律效力。自双方法定代表人或代表人签字并加盖公章之日起生效。</w:t>
      </w:r>
    </w:p>
    <w:p>
      <w:pPr>
        <w:snapToGrid w:val="0"/>
        <w:spacing w:line="400" w:lineRule="exact"/>
        <w:ind w:left="420" w:hanging="420"/>
        <w:rPr>
          <w:rFonts w:ascii="宋体" w:hAnsi="宋体"/>
          <w:bCs/>
          <w:color w:val="auto"/>
          <w:sz w:val="22"/>
          <w:szCs w:val="22"/>
        </w:rPr>
      </w:pPr>
    </w:p>
    <w:p>
      <w:pPr>
        <w:snapToGrid w:val="0"/>
        <w:spacing w:line="400" w:lineRule="exact"/>
        <w:ind w:left="420" w:hanging="420"/>
        <w:rPr>
          <w:rFonts w:ascii="宋体" w:hAnsi="宋体" w:cs="宋体"/>
          <w:color w:val="auto"/>
          <w:sz w:val="22"/>
          <w:szCs w:val="22"/>
        </w:rPr>
      </w:pPr>
      <w:r>
        <w:rPr>
          <w:rFonts w:hint="eastAsia" w:ascii="宋体" w:hAnsi="宋体" w:cs="宋体"/>
          <w:color w:val="auto"/>
          <w:sz w:val="22"/>
          <w:szCs w:val="22"/>
        </w:rPr>
        <w:t>（本行以下无正文）</w:t>
      </w:r>
    </w:p>
    <w:p>
      <w:pPr>
        <w:spacing w:line="400" w:lineRule="exact"/>
        <w:rPr>
          <w:rFonts w:ascii="宋体" w:hAnsi="宋体"/>
          <w:color w:val="auto"/>
          <w:sz w:val="22"/>
          <w:szCs w:val="22"/>
        </w:rPr>
      </w:pPr>
    </w:p>
    <w:p>
      <w:pPr>
        <w:spacing w:line="400" w:lineRule="exact"/>
        <w:ind w:left="540"/>
        <w:rPr>
          <w:rFonts w:ascii="宋体" w:hAnsi="宋体"/>
          <w:b/>
          <w:color w:val="auto"/>
          <w:sz w:val="22"/>
          <w:szCs w:val="22"/>
        </w:rPr>
      </w:pPr>
      <w:r>
        <w:rPr>
          <w:rFonts w:hint="eastAsia" w:ascii="宋体" w:hAnsi="宋体"/>
          <w:b/>
          <w:color w:val="auto"/>
          <w:sz w:val="22"/>
          <w:szCs w:val="22"/>
        </w:rPr>
        <w:t>下列文件构成本合同的组成部分：</w:t>
      </w:r>
    </w:p>
    <w:p>
      <w:pPr>
        <w:spacing w:line="400" w:lineRule="exact"/>
        <w:ind w:firstLine="440" w:firstLineChars="200"/>
        <w:rPr>
          <w:rFonts w:ascii="宋体" w:hAnsi="宋体"/>
          <w:color w:val="auto"/>
          <w:sz w:val="22"/>
          <w:szCs w:val="22"/>
        </w:rPr>
      </w:pPr>
      <w:r>
        <w:rPr>
          <w:rFonts w:hint="eastAsia" w:ascii="宋体" w:hAnsi="宋体"/>
          <w:color w:val="auto"/>
          <w:sz w:val="22"/>
          <w:szCs w:val="22"/>
        </w:rPr>
        <w:t xml:space="preserve">  （1）合同主要条款                 （2）合同的特殊条款</w:t>
      </w:r>
    </w:p>
    <w:p>
      <w:pPr>
        <w:spacing w:line="400" w:lineRule="exact"/>
        <w:ind w:firstLine="440" w:firstLineChars="200"/>
        <w:rPr>
          <w:rFonts w:ascii="宋体" w:hAnsi="宋体"/>
          <w:color w:val="auto"/>
          <w:sz w:val="22"/>
          <w:szCs w:val="22"/>
        </w:rPr>
      </w:pPr>
      <w:r>
        <w:rPr>
          <w:rFonts w:hint="eastAsia" w:ascii="宋体" w:hAnsi="宋体"/>
          <w:color w:val="auto"/>
          <w:sz w:val="22"/>
          <w:szCs w:val="22"/>
        </w:rPr>
        <w:t xml:space="preserve">  （3）售后服务条款                 （4）中标通知书</w:t>
      </w:r>
    </w:p>
    <w:p>
      <w:pPr>
        <w:spacing w:line="400" w:lineRule="exact"/>
        <w:ind w:firstLine="440" w:firstLineChars="200"/>
        <w:rPr>
          <w:rFonts w:ascii="宋体" w:hAnsi="宋体"/>
          <w:color w:val="auto"/>
          <w:sz w:val="22"/>
          <w:szCs w:val="22"/>
        </w:rPr>
      </w:pPr>
      <w:r>
        <w:rPr>
          <w:rFonts w:hint="eastAsia" w:ascii="宋体" w:hAnsi="宋体"/>
          <w:color w:val="auto"/>
          <w:sz w:val="22"/>
          <w:szCs w:val="22"/>
        </w:rPr>
        <w:t xml:space="preserve">   (5) 投标分项报价表                (6) 技术规格、商务条款偏离表</w:t>
      </w:r>
    </w:p>
    <w:p>
      <w:pPr>
        <w:spacing w:line="400" w:lineRule="exact"/>
        <w:ind w:firstLine="440" w:firstLineChars="200"/>
        <w:rPr>
          <w:rFonts w:ascii="宋体" w:hAnsi="宋体"/>
          <w:color w:val="auto"/>
          <w:sz w:val="22"/>
          <w:szCs w:val="22"/>
        </w:rPr>
      </w:pPr>
      <w:r>
        <w:rPr>
          <w:rFonts w:hint="eastAsia" w:ascii="宋体" w:hAnsi="宋体"/>
          <w:color w:val="auto"/>
          <w:sz w:val="22"/>
          <w:szCs w:val="22"/>
        </w:rPr>
        <w:t xml:space="preserve">   (7) 招标内容及要求               （8）合同补充条款或说明（如有的话）</w:t>
      </w:r>
    </w:p>
    <w:p>
      <w:pPr>
        <w:spacing w:line="400" w:lineRule="exact"/>
        <w:ind w:firstLine="440" w:firstLineChars="200"/>
        <w:rPr>
          <w:rFonts w:ascii="宋体" w:hAnsi="宋体"/>
          <w:color w:val="auto"/>
          <w:sz w:val="22"/>
          <w:szCs w:val="22"/>
        </w:rPr>
      </w:pPr>
      <w:r>
        <w:rPr>
          <w:rFonts w:hint="eastAsia" w:ascii="宋体" w:hAnsi="宋体"/>
          <w:color w:val="auto"/>
          <w:sz w:val="22"/>
          <w:szCs w:val="22"/>
        </w:rPr>
        <w:t xml:space="preserve">   (9)承诺书 （含询标记录和优惠条件）</w:t>
      </w:r>
    </w:p>
    <w:p>
      <w:pPr>
        <w:pStyle w:val="34"/>
        <w:tabs>
          <w:tab w:val="left" w:pos="7935"/>
        </w:tabs>
        <w:snapToGrid w:val="0"/>
        <w:spacing w:line="400" w:lineRule="exact"/>
        <w:rPr>
          <w:rFonts w:hAnsi="宋体" w:cs="Arial"/>
          <w:color w:val="auto"/>
          <w:sz w:val="22"/>
          <w:szCs w:val="22"/>
        </w:rPr>
      </w:pPr>
    </w:p>
    <w:p>
      <w:pPr>
        <w:pStyle w:val="34"/>
        <w:tabs>
          <w:tab w:val="left" w:pos="7935"/>
        </w:tabs>
        <w:snapToGrid w:val="0"/>
        <w:spacing w:line="400" w:lineRule="exact"/>
        <w:rPr>
          <w:rFonts w:hAnsi="宋体" w:cs="Arial"/>
          <w:color w:val="auto"/>
          <w:sz w:val="22"/>
          <w:szCs w:val="22"/>
        </w:rPr>
      </w:pPr>
      <w:r>
        <w:rPr>
          <w:rFonts w:hint="eastAsia" w:hAnsi="宋体" w:cs="Arial"/>
          <w:color w:val="auto"/>
          <w:sz w:val="22"/>
          <w:szCs w:val="22"/>
        </w:rPr>
        <w:t>甲方：                                                 乙方：</w:t>
      </w:r>
      <w:r>
        <w:rPr>
          <w:rFonts w:hint="eastAsia" w:hAnsi="宋体" w:cs="Arial"/>
          <w:color w:val="auto"/>
          <w:sz w:val="22"/>
          <w:szCs w:val="22"/>
        </w:rPr>
        <w:tab/>
      </w:r>
    </w:p>
    <w:p>
      <w:pPr>
        <w:pStyle w:val="34"/>
        <w:snapToGrid w:val="0"/>
        <w:spacing w:line="400" w:lineRule="exact"/>
        <w:rPr>
          <w:rFonts w:hAnsi="宋体" w:cs="Arial"/>
          <w:color w:val="auto"/>
          <w:sz w:val="22"/>
          <w:szCs w:val="22"/>
        </w:rPr>
      </w:pPr>
      <w:r>
        <w:rPr>
          <w:rFonts w:hint="eastAsia" w:hAnsi="宋体" w:cs="Arial"/>
          <w:color w:val="auto"/>
          <w:sz w:val="22"/>
          <w:szCs w:val="22"/>
        </w:rPr>
        <w:t>（盖章）                                              （盖章）</w:t>
      </w:r>
    </w:p>
    <w:p>
      <w:pPr>
        <w:pStyle w:val="34"/>
        <w:snapToGrid w:val="0"/>
        <w:spacing w:line="400" w:lineRule="exact"/>
        <w:rPr>
          <w:rFonts w:hAnsi="宋体" w:cs="Arial"/>
          <w:color w:val="auto"/>
          <w:sz w:val="22"/>
          <w:szCs w:val="22"/>
        </w:rPr>
      </w:pPr>
      <w:r>
        <w:rPr>
          <w:rFonts w:hint="eastAsia" w:hAnsi="宋体" w:cs="Arial"/>
          <w:color w:val="auto"/>
          <w:sz w:val="22"/>
          <w:szCs w:val="22"/>
        </w:rPr>
        <w:t>授权代表（签字）：                                     授权代表（签字）：</w:t>
      </w:r>
    </w:p>
    <w:p>
      <w:pPr>
        <w:pStyle w:val="34"/>
        <w:snapToGrid w:val="0"/>
        <w:spacing w:line="400" w:lineRule="exact"/>
        <w:rPr>
          <w:rFonts w:hAnsi="宋体" w:cs="Arial"/>
          <w:color w:val="auto"/>
          <w:sz w:val="22"/>
          <w:szCs w:val="22"/>
        </w:rPr>
      </w:pPr>
      <w:r>
        <w:rPr>
          <w:rFonts w:hint="eastAsia" w:hAnsi="宋体" w:cs="Arial"/>
          <w:color w:val="auto"/>
          <w:sz w:val="22"/>
          <w:szCs w:val="22"/>
        </w:rPr>
        <w:t>地址：                                                 地址：</w:t>
      </w:r>
    </w:p>
    <w:p>
      <w:pPr>
        <w:spacing w:line="400" w:lineRule="exact"/>
        <w:rPr>
          <w:rFonts w:ascii="宋体" w:hAnsi="宋体" w:cs="Arial"/>
          <w:color w:val="auto"/>
          <w:sz w:val="22"/>
          <w:szCs w:val="22"/>
        </w:rPr>
      </w:pPr>
    </w:p>
    <w:p>
      <w:pPr>
        <w:spacing w:line="400" w:lineRule="exact"/>
        <w:rPr>
          <w:rFonts w:ascii="宋体" w:hAnsi="宋体" w:cs="Arial"/>
          <w:color w:val="auto"/>
          <w:sz w:val="22"/>
          <w:szCs w:val="22"/>
        </w:rPr>
      </w:pPr>
    </w:p>
    <w:p>
      <w:pPr>
        <w:spacing w:line="400" w:lineRule="exact"/>
        <w:rPr>
          <w:rFonts w:ascii="宋体" w:hAnsi="宋体" w:cs="Arial"/>
          <w:color w:val="auto"/>
          <w:sz w:val="22"/>
          <w:szCs w:val="22"/>
        </w:rPr>
      </w:pPr>
    </w:p>
    <w:p>
      <w:pPr>
        <w:snapToGrid w:val="0"/>
        <w:spacing w:line="360" w:lineRule="auto"/>
        <w:jc w:val="left"/>
        <w:rPr>
          <w:rFonts w:ascii="仿宋_GB2312" w:hAnsi="宋体"/>
          <w:b/>
          <w:bCs/>
          <w:color w:val="auto"/>
          <w:sz w:val="24"/>
          <w:u w:val="single"/>
        </w:rPr>
      </w:pPr>
      <w:r>
        <w:rPr>
          <w:rFonts w:hint="eastAsia" w:ascii="仿宋_GB2312" w:hAnsi="宋体"/>
          <w:b/>
          <w:bCs/>
          <w:color w:val="auto"/>
          <w:sz w:val="24"/>
          <w:u w:val="single"/>
        </w:rPr>
        <w:t>注：本合同作为示范文本，具体以中标人与招标人所签定正式合同为准。</w:t>
      </w:r>
    </w:p>
    <w:p>
      <w:pPr>
        <w:spacing w:line="440" w:lineRule="exact"/>
        <w:ind w:firstLine="440" w:firstLineChars="200"/>
        <w:rPr>
          <w:rFonts w:ascii="宋体" w:hAnsi="宋体" w:cs="Arial"/>
          <w:b/>
          <w:color w:val="auto"/>
          <w:sz w:val="36"/>
          <w:szCs w:val="36"/>
        </w:rPr>
      </w:pPr>
      <w:r>
        <w:rPr>
          <w:rFonts w:ascii="宋体" w:hAnsi="宋体" w:cs="Arial"/>
          <w:color w:val="auto"/>
          <w:sz w:val="22"/>
          <w:szCs w:val="22"/>
        </w:rPr>
        <w:br w:type="page"/>
      </w:r>
      <w:bookmarkStart w:id="229" w:name="_Toc249758722"/>
      <w:bookmarkStart w:id="230" w:name="_Toc262105511"/>
      <w:bookmarkStart w:id="231" w:name="_Toc223716005"/>
      <w:bookmarkStart w:id="232" w:name="_Toc245722288"/>
      <w:bookmarkStart w:id="233" w:name="_Toc245191321"/>
      <w:bookmarkStart w:id="234" w:name="_Toc249758872"/>
      <w:bookmarkStart w:id="235" w:name="_Toc262049426"/>
      <w:bookmarkStart w:id="236" w:name="_Toc239145361"/>
      <w:bookmarkStart w:id="237" w:name="_Toc246261272"/>
      <w:bookmarkStart w:id="238" w:name="_Toc241404209"/>
      <w:bookmarkStart w:id="239" w:name="_Toc222114886"/>
      <w:bookmarkStart w:id="240" w:name="_Toc221423626"/>
    </w:p>
    <w:p>
      <w:pPr>
        <w:pStyle w:val="4"/>
        <w:rPr>
          <w:rFonts w:ascii="宋体" w:hAnsi="宋体" w:eastAsia="宋体" w:cs="Arial"/>
          <w:color w:val="auto"/>
          <w:sz w:val="36"/>
          <w:szCs w:val="36"/>
        </w:rPr>
      </w:pPr>
      <w:bookmarkStart w:id="241" w:name="_Toc22293"/>
      <w:r>
        <w:rPr>
          <w:rFonts w:hint="eastAsia" w:ascii="宋体" w:hAnsi="宋体" w:eastAsia="宋体" w:cs="Arial"/>
          <w:color w:val="auto"/>
          <w:sz w:val="36"/>
          <w:szCs w:val="36"/>
        </w:rPr>
        <w:t xml:space="preserve">第五部分   </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Fonts w:hint="eastAsia" w:ascii="宋体" w:hAnsi="宋体" w:eastAsia="宋体" w:cs="Arial"/>
          <w:color w:val="auto"/>
          <w:sz w:val="36"/>
          <w:szCs w:val="36"/>
        </w:rPr>
        <w:t>附件</w:t>
      </w:r>
      <w:bookmarkEnd w:id="241"/>
    </w:p>
    <w:p>
      <w:pPr>
        <w:rPr>
          <w:rFonts w:ascii="宋体" w:hAnsi="宋体"/>
          <w:color w:val="auto"/>
        </w:rPr>
      </w:pPr>
    </w:p>
    <w:p>
      <w:pPr>
        <w:spacing w:line="460" w:lineRule="exact"/>
        <w:rPr>
          <w:rFonts w:ascii="宋体" w:hAnsi="宋体"/>
          <w:b/>
          <w:bCs/>
          <w:color w:val="auto"/>
          <w:sz w:val="22"/>
          <w:szCs w:val="22"/>
        </w:rPr>
      </w:pPr>
      <w:r>
        <w:rPr>
          <w:rFonts w:hint="eastAsia" w:ascii="宋体" w:hAnsi="宋体"/>
          <w:b/>
          <w:bCs/>
          <w:color w:val="auto"/>
          <w:sz w:val="22"/>
          <w:szCs w:val="22"/>
        </w:rPr>
        <w:t>附件一</w:t>
      </w:r>
    </w:p>
    <w:p>
      <w:pPr>
        <w:spacing w:line="460" w:lineRule="exact"/>
        <w:jc w:val="center"/>
        <w:rPr>
          <w:rFonts w:ascii="宋体" w:hAnsi="宋体" w:cs="仿宋"/>
          <w:b/>
          <w:bCs/>
          <w:color w:val="auto"/>
          <w:sz w:val="28"/>
          <w:szCs w:val="28"/>
        </w:rPr>
      </w:pPr>
      <w:r>
        <w:rPr>
          <w:rFonts w:hint="eastAsia" w:ascii="宋体" w:hAnsi="宋体" w:cs="仿宋"/>
          <w:b/>
          <w:bCs/>
          <w:color w:val="auto"/>
          <w:sz w:val="28"/>
          <w:szCs w:val="28"/>
        </w:rPr>
        <w:t>资格审查料</w:t>
      </w:r>
    </w:p>
    <w:p>
      <w:pPr>
        <w:spacing w:line="460" w:lineRule="exact"/>
        <w:jc w:val="center"/>
        <w:rPr>
          <w:rFonts w:ascii="宋体" w:hAnsi="宋体" w:cs="仿宋"/>
          <w:color w:val="auto"/>
          <w:sz w:val="28"/>
          <w:szCs w:val="28"/>
        </w:rPr>
      </w:pPr>
    </w:p>
    <w:p>
      <w:pPr>
        <w:spacing w:line="380" w:lineRule="exact"/>
        <w:jc w:val="center"/>
        <w:rPr>
          <w:rFonts w:ascii="宋体" w:hAnsi="宋体" w:cs="仿宋"/>
          <w:b/>
          <w:color w:val="auto"/>
          <w:sz w:val="22"/>
          <w:szCs w:val="22"/>
        </w:rPr>
      </w:pPr>
      <w:r>
        <w:rPr>
          <w:rFonts w:hint="eastAsia" w:ascii="宋体" w:hAnsi="宋体" w:cs="仿宋"/>
          <w:b/>
          <w:color w:val="auto"/>
          <w:sz w:val="22"/>
          <w:szCs w:val="22"/>
        </w:rPr>
        <w:t>（1-1）法定代表人声明书</w:t>
      </w:r>
    </w:p>
    <w:p>
      <w:pPr>
        <w:spacing w:line="400" w:lineRule="exact"/>
        <w:rPr>
          <w:rFonts w:ascii="宋体" w:hAnsi="宋体"/>
          <w:color w:val="auto"/>
        </w:rPr>
      </w:pPr>
    </w:p>
    <w:p>
      <w:pPr>
        <w:spacing w:line="420" w:lineRule="exact"/>
        <w:rPr>
          <w:rFonts w:ascii="宋体" w:hAnsi="宋体"/>
          <w:color w:val="auto"/>
          <w:sz w:val="22"/>
          <w:szCs w:val="22"/>
        </w:rPr>
      </w:pPr>
      <w:r>
        <w:rPr>
          <w:rFonts w:hint="eastAsia" w:ascii="宋体" w:hAnsi="宋体"/>
          <w:bCs/>
          <w:color w:val="auto"/>
          <w:sz w:val="22"/>
          <w:szCs w:val="22"/>
        </w:rPr>
        <w:t>温州市交通运输局</w:t>
      </w:r>
      <w:r>
        <w:rPr>
          <w:rFonts w:hint="eastAsia" w:ascii="宋体" w:hAnsi="宋体"/>
          <w:color w:val="auto"/>
          <w:sz w:val="22"/>
          <w:szCs w:val="22"/>
        </w:rPr>
        <w:t>：</w:t>
      </w:r>
    </w:p>
    <w:p>
      <w:pPr>
        <w:spacing w:line="420" w:lineRule="exact"/>
        <w:rPr>
          <w:rFonts w:ascii="宋体" w:hAnsi="宋体"/>
          <w:color w:val="auto"/>
          <w:sz w:val="22"/>
          <w:szCs w:val="22"/>
        </w:rPr>
      </w:pPr>
      <w:r>
        <w:rPr>
          <w:rFonts w:hint="eastAsia" w:ascii="宋体" w:hAnsi="宋体"/>
          <w:color w:val="auto"/>
          <w:sz w:val="22"/>
          <w:szCs w:val="22"/>
        </w:rPr>
        <w:t>大地工程咨询有限公司：</w:t>
      </w:r>
    </w:p>
    <w:p>
      <w:pPr>
        <w:spacing w:line="460" w:lineRule="exact"/>
        <w:rPr>
          <w:rFonts w:ascii="宋体" w:hAnsi="宋体"/>
          <w:color w:val="auto"/>
          <w:sz w:val="22"/>
          <w:szCs w:val="22"/>
          <w:u w:val="single"/>
        </w:rPr>
      </w:pPr>
    </w:p>
    <w:p>
      <w:pPr>
        <w:spacing w:line="460" w:lineRule="exact"/>
        <w:ind w:firstLine="220" w:firstLineChars="100"/>
        <w:rPr>
          <w:rFonts w:ascii="宋体" w:hAnsi="宋体"/>
          <w:color w:val="auto"/>
          <w:sz w:val="22"/>
          <w:szCs w:val="22"/>
        </w:rPr>
      </w:pPr>
      <w:r>
        <w:rPr>
          <w:rFonts w:hint="eastAsia" w:ascii="宋体" w:hAnsi="宋体"/>
          <w:color w:val="auto"/>
          <w:sz w:val="22"/>
          <w:szCs w:val="22"/>
        </w:rPr>
        <w:t>本人</w:t>
      </w:r>
      <w:r>
        <w:rPr>
          <w:rFonts w:hint="eastAsia" w:ascii="宋体" w:hAnsi="宋体"/>
          <w:color w:val="auto"/>
          <w:sz w:val="22"/>
          <w:szCs w:val="22"/>
          <w:u w:val="single"/>
        </w:rPr>
        <w:t>（法定代表人姓名）</w:t>
      </w:r>
      <w:r>
        <w:rPr>
          <w:rFonts w:hint="eastAsia" w:ascii="宋体" w:hAnsi="宋体"/>
          <w:color w:val="auto"/>
          <w:sz w:val="22"/>
          <w:szCs w:val="22"/>
        </w:rPr>
        <w:t>为</w:t>
      </w:r>
      <w:r>
        <w:rPr>
          <w:rFonts w:hint="eastAsia" w:ascii="宋体" w:hAnsi="宋体"/>
          <w:color w:val="auto"/>
          <w:sz w:val="22"/>
          <w:szCs w:val="22"/>
          <w:u w:val="single"/>
        </w:rPr>
        <w:t>（投标人全称）</w:t>
      </w:r>
      <w:r>
        <w:rPr>
          <w:rFonts w:hint="eastAsia" w:ascii="宋体" w:hAnsi="宋体"/>
          <w:color w:val="auto"/>
          <w:sz w:val="22"/>
          <w:szCs w:val="22"/>
        </w:rPr>
        <w:t>的法定代表人。我公司参加贵处组织的</w:t>
      </w:r>
      <w:r>
        <w:rPr>
          <w:rFonts w:hint="eastAsia" w:ascii="宋体" w:hAnsi="宋体"/>
          <w:color w:val="auto"/>
          <w:sz w:val="22"/>
          <w:szCs w:val="22"/>
          <w:u w:val="single"/>
        </w:rPr>
        <w:t>（招标项目名称、招标编号）</w:t>
      </w:r>
      <w:r>
        <w:rPr>
          <w:rFonts w:hint="eastAsia" w:ascii="宋体" w:hAnsi="宋体"/>
          <w:color w:val="auto"/>
          <w:sz w:val="22"/>
          <w:szCs w:val="22"/>
        </w:rPr>
        <w:t>的招标活动，由我本人全权代表我方处理招标活动中的一切事宜。联系方式如下：</w:t>
      </w:r>
      <w:r>
        <w:rPr>
          <w:rFonts w:hint="eastAsia" w:ascii="宋体" w:hAnsi="宋体"/>
          <w:color w:val="auto"/>
          <w:sz w:val="22"/>
          <w:szCs w:val="22"/>
          <w:u w:val="single"/>
        </w:rPr>
        <w:t xml:space="preserve">手机号码：       联系邮箱:         详细通讯地址：             </w:t>
      </w:r>
      <w:r>
        <w:rPr>
          <w:rFonts w:hint="eastAsia" w:ascii="宋体" w:hAnsi="宋体"/>
          <w:color w:val="auto"/>
          <w:sz w:val="22"/>
          <w:szCs w:val="22"/>
        </w:rPr>
        <w:t xml:space="preserve"> 。  </w:t>
      </w:r>
    </w:p>
    <w:p>
      <w:pPr>
        <w:spacing w:line="400" w:lineRule="exact"/>
        <w:rPr>
          <w:rFonts w:ascii="宋体" w:hAnsi="宋体"/>
          <w:color w:val="auto"/>
        </w:rPr>
      </w:pPr>
    </w:p>
    <w:p>
      <w:pPr>
        <w:spacing w:line="400" w:lineRule="exact"/>
        <w:rPr>
          <w:rFonts w:ascii="宋体" w:hAnsi="宋体"/>
          <w:color w:val="auto"/>
        </w:rPr>
      </w:pPr>
    </w:p>
    <w:p>
      <w:pPr>
        <w:spacing w:line="400" w:lineRule="exact"/>
        <w:rPr>
          <w:rFonts w:ascii="宋体" w:hAnsi="宋体"/>
          <w:color w:val="auto"/>
        </w:rPr>
      </w:pPr>
    </w:p>
    <w:p>
      <w:pPr>
        <w:spacing w:line="460" w:lineRule="exact"/>
        <w:ind w:firstLine="3971" w:firstLineChars="1805"/>
        <w:rPr>
          <w:rFonts w:ascii="宋体" w:hAnsi="宋体"/>
          <w:color w:val="auto"/>
          <w:sz w:val="22"/>
          <w:szCs w:val="22"/>
        </w:rPr>
      </w:pPr>
    </w:p>
    <w:p>
      <w:pPr>
        <w:spacing w:line="460" w:lineRule="exact"/>
        <w:ind w:firstLine="2955"/>
        <w:rPr>
          <w:rFonts w:ascii="宋体" w:hAnsi="宋体"/>
          <w:color w:val="auto"/>
          <w:sz w:val="22"/>
          <w:szCs w:val="22"/>
        </w:rPr>
      </w:pPr>
      <w:r>
        <w:rPr>
          <w:rFonts w:hint="eastAsia" w:ascii="宋体" w:hAnsi="宋体"/>
          <w:color w:val="auto"/>
          <w:sz w:val="22"/>
          <w:szCs w:val="22"/>
        </w:rPr>
        <w:t xml:space="preserve">         投标人全称（公章）：</w:t>
      </w:r>
    </w:p>
    <w:p>
      <w:pPr>
        <w:spacing w:line="460" w:lineRule="exact"/>
        <w:ind w:firstLine="2955"/>
        <w:rPr>
          <w:rFonts w:ascii="宋体" w:hAnsi="宋体"/>
          <w:color w:val="auto"/>
          <w:sz w:val="22"/>
          <w:szCs w:val="22"/>
        </w:rPr>
      </w:pPr>
      <w:r>
        <w:rPr>
          <w:rFonts w:hint="eastAsia" w:ascii="宋体" w:hAnsi="宋体"/>
          <w:color w:val="auto"/>
          <w:sz w:val="22"/>
          <w:szCs w:val="22"/>
        </w:rPr>
        <w:t xml:space="preserve">         日期：     年    月   日</w:t>
      </w:r>
    </w:p>
    <w:p>
      <w:pPr>
        <w:spacing w:line="460" w:lineRule="exact"/>
        <w:rPr>
          <w:rFonts w:ascii="宋体" w:hAnsi="宋体"/>
          <w:color w:val="auto"/>
          <w:sz w:val="22"/>
          <w:szCs w:val="22"/>
        </w:rPr>
      </w:pPr>
    </w:p>
    <w:p>
      <w:pPr>
        <w:widowControl/>
        <w:jc w:val="left"/>
        <w:rPr>
          <w:rFonts w:ascii="Arial" w:hAnsi="Arial" w:cs="Arial"/>
          <w:color w:val="auto"/>
          <w:szCs w:val="21"/>
        </w:rPr>
      </w:pPr>
    </w:p>
    <w:p>
      <w:pPr>
        <w:widowControl/>
        <w:jc w:val="left"/>
        <w:rPr>
          <w:rFonts w:ascii="Arial" w:hAnsi="Arial" w:cs="Arial"/>
          <w:color w:val="auto"/>
          <w:szCs w:val="21"/>
        </w:rPr>
      </w:pPr>
    </w:p>
    <w:p>
      <w:pPr>
        <w:widowControl/>
        <w:jc w:val="left"/>
        <w:rPr>
          <w:rFonts w:ascii="Arial" w:hAnsi="Arial" w:cs="Arial"/>
          <w:color w:val="auto"/>
          <w:szCs w:val="21"/>
        </w:rPr>
      </w:pPr>
      <w:r>
        <w:rPr>
          <w:rFonts w:hint="eastAsia" w:ascii="宋体" w:hAnsi="宋体"/>
          <w:b/>
          <w:color w:val="auto"/>
          <w:sz w:val="22"/>
          <w:szCs w:val="22"/>
        </w:rPr>
        <w:t>附：法定代表人</w:t>
      </w:r>
      <w:r>
        <w:rPr>
          <w:rFonts w:ascii="宋体" w:hAnsi="宋体"/>
          <w:b/>
          <w:color w:val="auto"/>
          <w:sz w:val="22"/>
          <w:szCs w:val="22"/>
        </w:rPr>
        <w:t>身</w:t>
      </w:r>
      <w:r>
        <w:rPr>
          <w:rFonts w:ascii="宋体" w:hAnsi="宋体" w:cs="Courier New"/>
          <w:b/>
          <w:color w:val="auto"/>
          <w:sz w:val="22"/>
          <w:szCs w:val="22"/>
        </w:rPr>
        <w:t>份证正反面复印件</w:t>
      </w:r>
      <w:r>
        <w:rPr>
          <w:rFonts w:ascii="Arial" w:hAnsi="Arial" w:cs="Arial"/>
          <w:color w:val="auto"/>
          <w:szCs w:val="21"/>
        </w:rPr>
        <w:br w:type="page"/>
      </w:r>
    </w:p>
    <w:p>
      <w:pPr>
        <w:spacing w:line="360" w:lineRule="exact"/>
        <w:rPr>
          <w:rFonts w:ascii="Arial" w:hAnsi="Arial" w:cs="Arial"/>
          <w:color w:val="auto"/>
          <w:szCs w:val="21"/>
        </w:rPr>
      </w:pPr>
    </w:p>
    <w:p>
      <w:pPr>
        <w:spacing w:line="380" w:lineRule="exact"/>
        <w:jc w:val="center"/>
        <w:rPr>
          <w:rFonts w:ascii="宋体" w:hAnsi="宋体" w:cs="仿宋"/>
          <w:b/>
          <w:color w:val="auto"/>
          <w:sz w:val="22"/>
          <w:szCs w:val="22"/>
        </w:rPr>
      </w:pPr>
    </w:p>
    <w:p>
      <w:pPr>
        <w:spacing w:line="380" w:lineRule="exact"/>
        <w:jc w:val="center"/>
        <w:rPr>
          <w:rFonts w:ascii="宋体" w:hAnsi="宋体" w:cs="仿宋"/>
          <w:b/>
          <w:color w:val="auto"/>
          <w:sz w:val="22"/>
          <w:szCs w:val="22"/>
        </w:rPr>
      </w:pPr>
      <w:r>
        <w:rPr>
          <w:rFonts w:hint="eastAsia" w:ascii="宋体" w:hAnsi="宋体" w:cs="仿宋"/>
          <w:b/>
          <w:color w:val="auto"/>
          <w:sz w:val="22"/>
          <w:szCs w:val="22"/>
        </w:rPr>
        <w:t>（1-2）法定代表人授权书</w:t>
      </w:r>
    </w:p>
    <w:p>
      <w:pPr>
        <w:spacing w:line="400" w:lineRule="exact"/>
        <w:jc w:val="center"/>
        <w:rPr>
          <w:rFonts w:ascii="宋体" w:hAnsi="宋体"/>
          <w:b/>
          <w:bCs/>
          <w:color w:val="auto"/>
          <w:sz w:val="28"/>
          <w:szCs w:val="28"/>
        </w:rPr>
      </w:pPr>
    </w:p>
    <w:p>
      <w:pPr>
        <w:spacing w:line="420" w:lineRule="exact"/>
        <w:rPr>
          <w:rFonts w:ascii="宋体" w:hAnsi="宋体"/>
          <w:color w:val="auto"/>
          <w:sz w:val="22"/>
          <w:szCs w:val="22"/>
        </w:rPr>
      </w:pPr>
      <w:r>
        <w:rPr>
          <w:rFonts w:hint="eastAsia" w:ascii="宋体" w:hAnsi="宋体"/>
          <w:bCs/>
          <w:color w:val="auto"/>
          <w:sz w:val="22"/>
          <w:szCs w:val="22"/>
        </w:rPr>
        <w:t>温州市交通运输局</w:t>
      </w:r>
      <w:r>
        <w:rPr>
          <w:rFonts w:hint="eastAsia" w:ascii="宋体" w:hAnsi="宋体"/>
          <w:color w:val="auto"/>
          <w:sz w:val="22"/>
          <w:szCs w:val="22"/>
        </w:rPr>
        <w:t>：</w:t>
      </w:r>
    </w:p>
    <w:p>
      <w:pPr>
        <w:spacing w:line="420" w:lineRule="exact"/>
        <w:rPr>
          <w:rFonts w:ascii="宋体" w:hAnsi="宋体"/>
          <w:color w:val="auto"/>
          <w:sz w:val="22"/>
          <w:szCs w:val="22"/>
        </w:rPr>
      </w:pPr>
      <w:r>
        <w:rPr>
          <w:rFonts w:hint="eastAsia" w:ascii="宋体" w:hAnsi="宋体"/>
          <w:color w:val="auto"/>
          <w:sz w:val="22"/>
          <w:szCs w:val="22"/>
        </w:rPr>
        <w:t>大地工程咨询有限公司：</w:t>
      </w:r>
    </w:p>
    <w:p>
      <w:pPr>
        <w:spacing w:line="460" w:lineRule="exact"/>
        <w:rPr>
          <w:rFonts w:ascii="宋体" w:hAnsi="宋体"/>
          <w:color w:val="auto"/>
          <w:sz w:val="22"/>
          <w:szCs w:val="22"/>
          <w:u w:val="single"/>
        </w:rPr>
      </w:pPr>
    </w:p>
    <w:p>
      <w:pPr>
        <w:spacing w:line="460" w:lineRule="exact"/>
        <w:ind w:firstLine="220" w:firstLineChars="100"/>
        <w:rPr>
          <w:rFonts w:ascii="宋体" w:hAnsi="宋体"/>
          <w:color w:val="auto"/>
          <w:sz w:val="22"/>
          <w:szCs w:val="22"/>
        </w:rPr>
      </w:pPr>
      <w:r>
        <w:rPr>
          <w:rFonts w:hint="eastAsia" w:ascii="宋体" w:hAnsi="宋体"/>
          <w:color w:val="auto"/>
          <w:sz w:val="22"/>
          <w:szCs w:val="22"/>
          <w:u w:val="single"/>
        </w:rPr>
        <w:t>（投标人全称）</w:t>
      </w:r>
      <w:r>
        <w:rPr>
          <w:rFonts w:hint="eastAsia" w:ascii="宋体" w:hAnsi="宋体"/>
          <w:color w:val="auto"/>
          <w:sz w:val="22"/>
          <w:szCs w:val="22"/>
        </w:rPr>
        <w:t xml:space="preserve">法定代表人 </w:t>
      </w:r>
      <w:r>
        <w:rPr>
          <w:rFonts w:hint="eastAsia" w:ascii="宋体" w:hAnsi="宋体"/>
          <w:color w:val="auto"/>
          <w:sz w:val="22"/>
          <w:szCs w:val="22"/>
          <w:u w:val="single"/>
        </w:rPr>
        <w:t>（法定代表人姓名）</w:t>
      </w:r>
      <w:r>
        <w:rPr>
          <w:rFonts w:hint="eastAsia" w:ascii="宋体" w:hAnsi="宋体"/>
          <w:color w:val="auto"/>
          <w:sz w:val="22"/>
          <w:szCs w:val="22"/>
        </w:rPr>
        <w:t xml:space="preserve"> 授权</w:t>
      </w:r>
      <w:r>
        <w:rPr>
          <w:rFonts w:hint="eastAsia" w:ascii="宋体" w:hAnsi="宋体"/>
          <w:color w:val="auto"/>
          <w:sz w:val="22"/>
          <w:szCs w:val="22"/>
          <w:u w:val="single"/>
        </w:rPr>
        <w:t>（全权代表姓名）</w:t>
      </w:r>
      <w:r>
        <w:rPr>
          <w:rFonts w:hint="eastAsia" w:ascii="宋体" w:hAnsi="宋体"/>
          <w:color w:val="auto"/>
          <w:sz w:val="22"/>
          <w:szCs w:val="22"/>
        </w:rPr>
        <w:t>为本项目全权代表，参加贵处组织的</w:t>
      </w:r>
      <w:r>
        <w:rPr>
          <w:rFonts w:hint="eastAsia" w:ascii="宋体" w:hAnsi="宋体"/>
          <w:color w:val="auto"/>
          <w:sz w:val="22"/>
          <w:szCs w:val="22"/>
          <w:u w:val="single"/>
        </w:rPr>
        <w:t>（招标项目名称、招标编号）</w:t>
      </w:r>
      <w:r>
        <w:rPr>
          <w:rFonts w:hint="eastAsia" w:ascii="宋体" w:hAnsi="宋体"/>
          <w:color w:val="auto"/>
          <w:sz w:val="22"/>
          <w:szCs w:val="22"/>
        </w:rPr>
        <w:t>的招标活动，全权代表我方处理招标活动中的一切事宜。联系方式如下：</w:t>
      </w:r>
      <w:r>
        <w:rPr>
          <w:rFonts w:hint="eastAsia" w:ascii="宋体" w:hAnsi="宋体"/>
          <w:color w:val="auto"/>
          <w:sz w:val="22"/>
          <w:szCs w:val="22"/>
          <w:u w:val="single"/>
        </w:rPr>
        <w:t xml:space="preserve">手机号码：       联系邮箱:         详细通讯地址：             </w:t>
      </w:r>
      <w:r>
        <w:rPr>
          <w:rFonts w:hint="eastAsia" w:ascii="宋体" w:hAnsi="宋体"/>
          <w:color w:val="auto"/>
          <w:sz w:val="22"/>
          <w:szCs w:val="22"/>
        </w:rPr>
        <w:t xml:space="preserve"> 。  </w:t>
      </w:r>
    </w:p>
    <w:p>
      <w:pPr>
        <w:spacing w:line="460" w:lineRule="exact"/>
        <w:ind w:firstLine="220" w:firstLineChars="100"/>
        <w:rPr>
          <w:rFonts w:ascii="宋体" w:hAnsi="宋体"/>
          <w:color w:val="auto"/>
          <w:sz w:val="22"/>
          <w:szCs w:val="22"/>
        </w:rPr>
      </w:pPr>
    </w:p>
    <w:p>
      <w:pPr>
        <w:spacing w:line="460" w:lineRule="exact"/>
        <w:ind w:firstLine="550" w:firstLineChars="250"/>
        <w:rPr>
          <w:rFonts w:ascii="宋体" w:hAnsi="宋体"/>
          <w:color w:val="auto"/>
          <w:sz w:val="22"/>
          <w:szCs w:val="22"/>
        </w:rPr>
      </w:pPr>
    </w:p>
    <w:p>
      <w:pPr>
        <w:spacing w:line="460" w:lineRule="exact"/>
        <w:ind w:firstLine="2955"/>
        <w:rPr>
          <w:rFonts w:ascii="宋体" w:hAnsi="宋体"/>
          <w:color w:val="auto"/>
          <w:sz w:val="22"/>
          <w:szCs w:val="22"/>
        </w:rPr>
      </w:pPr>
    </w:p>
    <w:p>
      <w:pPr>
        <w:spacing w:line="460" w:lineRule="exact"/>
        <w:ind w:firstLine="3971" w:firstLineChars="1805"/>
        <w:rPr>
          <w:rFonts w:ascii="宋体" w:hAnsi="宋体"/>
          <w:color w:val="auto"/>
          <w:sz w:val="22"/>
          <w:szCs w:val="22"/>
        </w:rPr>
      </w:pPr>
      <w:r>
        <w:rPr>
          <w:rFonts w:hint="eastAsia" w:ascii="宋体" w:hAnsi="宋体"/>
          <w:color w:val="auto"/>
          <w:sz w:val="22"/>
          <w:szCs w:val="22"/>
        </w:rPr>
        <w:t>法定代表人 (签字或盖章)：</w:t>
      </w:r>
    </w:p>
    <w:p>
      <w:pPr>
        <w:spacing w:line="460" w:lineRule="exact"/>
        <w:ind w:firstLine="2955"/>
        <w:rPr>
          <w:rFonts w:ascii="宋体" w:hAnsi="宋体"/>
          <w:color w:val="auto"/>
          <w:sz w:val="22"/>
          <w:szCs w:val="22"/>
        </w:rPr>
      </w:pPr>
      <w:r>
        <w:rPr>
          <w:rFonts w:hint="eastAsia" w:ascii="宋体" w:hAnsi="宋体"/>
          <w:color w:val="auto"/>
          <w:sz w:val="22"/>
          <w:szCs w:val="22"/>
        </w:rPr>
        <w:t xml:space="preserve">         投标人全称（公章）：</w:t>
      </w:r>
    </w:p>
    <w:p>
      <w:pPr>
        <w:spacing w:line="460" w:lineRule="exact"/>
        <w:ind w:firstLine="2955"/>
        <w:rPr>
          <w:rFonts w:ascii="宋体" w:hAnsi="宋体"/>
          <w:color w:val="auto"/>
          <w:sz w:val="22"/>
          <w:szCs w:val="22"/>
        </w:rPr>
      </w:pPr>
      <w:r>
        <w:rPr>
          <w:rFonts w:hint="eastAsia" w:ascii="宋体" w:hAnsi="宋体"/>
          <w:color w:val="auto"/>
          <w:sz w:val="22"/>
          <w:szCs w:val="22"/>
        </w:rPr>
        <w:t xml:space="preserve">         日期：     年    月   日</w:t>
      </w:r>
    </w:p>
    <w:p>
      <w:pPr>
        <w:spacing w:line="460" w:lineRule="exact"/>
        <w:rPr>
          <w:rFonts w:ascii="宋体" w:hAnsi="宋体"/>
          <w:color w:val="auto"/>
          <w:sz w:val="22"/>
          <w:szCs w:val="22"/>
        </w:rPr>
      </w:pPr>
    </w:p>
    <w:p>
      <w:pPr>
        <w:spacing w:line="460" w:lineRule="exact"/>
        <w:rPr>
          <w:rFonts w:ascii="宋体" w:hAnsi="宋体"/>
          <w:color w:val="auto"/>
          <w:sz w:val="22"/>
          <w:szCs w:val="22"/>
        </w:rPr>
      </w:pPr>
    </w:p>
    <w:p>
      <w:pPr>
        <w:spacing w:line="460" w:lineRule="exact"/>
        <w:rPr>
          <w:rFonts w:ascii="宋体" w:hAnsi="宋体"/>
          <w:color w:val="auto"/>
          <w:sz w:val="22"/>
          <w:szCs w:val="22"/>
        </w:rPr>
      </w:pPr>
      <w:r>
        <w:rPr>
          <w:rFonts w:hint="eastAsia" w:ascii="宋体" w:hAnsi="宋体"/>
          <w:b/>
          <w:color w:val="auto"/>
          <w:sz w:val="22"/>
          <w:szCs w:val="22"/>
        </w:rPr>
        <w:t>附：法定代表人及授权代表的</w:t>
      </w:r>
      <w:r>
        <w:rPr>
          <w:rFonts w:ascii="宋体" w:hAnsi="宋体" w:cs="Courier New"/>
          <w:b/>
          <w:color w:val="auto"/>
          <w:sz w:val="22"/>
          <w:szCs w:val="22"/>
        </w:rPr>
        <w:t>身份证</w:t>
      </w:r>
      <w:r>
        <w:rPr>
          <w:rFonts w:hint="eastAsia" w:ascii="宋体" w:hAnsi="宋体"/>
          <w:b/>
          <w:color w:val="auto"/>
          <w:sz w:val="22"/>
          <w:szCs w:val="22"/>
        </w:rPr>
        <w:t>正反面复印件</w:t>
      </w:r>
    </w:p>
    <w:p>
      <w:pPr>
        <w:widowControl/>
        <w:jc w:val="left"/>
        <w:rPr>
          <w:rFonts w:ascii="宋体" w:hAnsi="宋体"/>
          <w:b/>
          <w:bCs/>
          <w:color w:val="auto"/>
        </w:rPr>
      </w:pPr>
    </w:p>
    <w:p>
      <w:pPr>
        <w:widowControl/>
        <w:jc w:val="left"/>
        <w:rPr>
          <w:rFonts w:ascii="宋体" w:hAnsi="宋体"/>
          <w:b/>
          <w:bCs/>
          <w:color w:val="auto"/>
        </w:rPr>
      </w:pPr>
    </w:p>
    <w:p>
      <w:pPr>
        <w:widowControl/>
        <w:jc w:val="left"/>
        <w:rPr>
          <w:rFonts w:ascii="宋体" w:hAnsi="宋体"/>
          <w:b/>
          <w:bCs/>
          <w:color w:val="auto"/>
        </w:rPr>
      </w:pPr>
    </w:p>
    <w:p>
      <w:pPr>
        <w:widowControl/>
        <w:jc w:val="left"/>
        <w:rPr>
          <w:rFonts w:ascii="宋体" w:hAnsi="宋体"/>
          <w:b/>
          <w:bCs/>
          <w:color w:val="auto"/>
        </w:rPr>
      </w:pPr>
    </w:p>
    <w:p>
      <w:pPr>
        <w:widowControl/>
        <w:jc w:val="left"/>
        <w:rPr>
          <w:rFonts w:ascii="宋体" w:hAnsi="宋体"/>
          <w:b/>
          <w:bCs/>
          <w:color w:val="auto"/>
        </w:rPr>
      </w:pPr>
    </w:p>
    <w:p>
      <w:pPr>
        <w:widowControl/>
        <w:jc w:val="left"/>
        <w:rPr>
          <w:rFonts w:ascii="宋体" w:hAnsi="宋体"/>
          <w:b/>
          <w:bCs/>
          <w:color w:val="auto"/>
        </w:rPr>
      </w:pPr>
    </w:p>
    <w:p>
      <w:pPr>
        <w:widowControl/>
        <w:jc w:val="left"/>
        <w:rPr>
          <w:rFonts w:ascii="宋体" w:hAnsi="宋体"/>
          <w:b/>
          <w:bCs/>
          <w:color w:val="auto"/>
        </w:rPr>
      </w:pPr>
    </w:p>
    <w:p>
      <w:pPr>
        <w:widowControl/>
        <w:jc w:val="left"/>
        <w:rPr>
          <w:rFonts w:ascii="宋体" w:hAnsi="宋体"/>
          <w:b/>
          <w:bCs/>
          <w:color w:val="auto"/>
        </w:rPr>
      </w:pPr>
    </w:p>
    <w:p>
      <w:pPr>
        <w:spacing w:line="460" w:lineRule="exact"/>
        <w:rPr>
          <w:rFonts w:ascii="宋体" w:hAnsi="宋体"/>
          <w:color w:val="auto"/>
          <w:sz w:val="22"/>
          <w:szCs w:val="22"/>
        </w:rPr>
      </w:pPr>
      <w:r>
        <w:rPr>
          <w:rFonts w:hint="eastAsia" w:ascii="宋体" w:hAnsi="宋体"/>
          <w:color w:val="auto"/>
          <w:sz w:val="22"/>
          <w:szCs w:val="22"/>
        </w:rPr>
        <w:t>说明：</w:t>
      </w:r>
    </w:p>
    <w:p>
      <w:pPr>
        <w:spacing w:line="460" w:lineRule="exact"/>
        <w:rPr>
          <w:rFonts w:ascii="宋体" w:hAnsi="宋体"/>
          <w:color w:val="auto"/>
          <w:sz w:val="22"/>
          <w:szCs w:val="22"/>
        </w:rPr>
      </w:pPr>
      <w:r>
        <w:rPr>
          <w:rFonts w:hint="eastAsia" w:ascii="宋体" w:hAnsi="宋体" w:cs="Courier New"/>
          <w:b/>
          <w:color w:val="auto"/>
          <w:sz w:val="22"/>
          <w:szCs w:val="22"/>
        </w:rPr>
        <w:t>1、</w:t>
      </w:r>
      <w:r>
        <w:rPr>
          <w:rFonts w:ascii="宋体" w:hAnsi="宋体" w:cs="Courier New"/>
          <w:b/>
          <w:color w:val="auto"/>
          <w:sz w:val="22"/>
          <w:szCs w:val="22"/>
        </w:rPr>
        <w:t>若投标人代表为</w:t>
      </w:r>
      <w:r>
        <w:rPr>
          <w:rFonts w:hint="eastAsia" w:ascii="宋体" w:hAnsi="宋体"/>
          <w:b/>
          <w:color w:val="auto"/>
          <w:sz w:val="22"/>
          <w:szCs w:val="22"/>
        </w:rPr>
        <w:t>法定代表人</w:t>
      </w:r>
      <w:r>
        <w:rPr>
          <w:rFonts w:ascii="宋体" w:hAnsi="宋体" w:cs="Courier New"/>
          <w:b/>
          <w:color w:val="auto"/>
          <w:sz w:val="22"/>
          <w:szCs w:val="22"/>
        </w:rPr>
        <w:t>，应提供</w:t>
      </w:r>
      <w:r>
        <w:rPr>
          <w:rFonts w:hint="eastAsia" w:ascii="宋体" w:hAnsi="宋体" w:cs="Courier New"/>
          <w:b/>
          <w:color w:val="auto"/>
          <w:sz w:val="22"/>
          <w:szCs w:val="22"/>
        </w:rPr>
        <w:t>声明</w:t>
      </w:r>
      <w:r>
        <w:rPr>
          <w:rFonts w:ascii="宋体" w:hAnsi="宋体" w:cs="Courier New"/>
          <w:b/>
          <w:color w:val="auto"/>
          <w:sz w:val="22"/>
          <w:szCs w:val="22"/>
        </w:rPr>
        <w:t>书（1-1）</w:t>
      </w:r>
      <w:r>
        <w:rPr>
          <w:rFonts w:hint="eastAsia" w:ascii="宋体" w:hAnsi="宋体" w:cs="Courier New"/>
          <w:b/>
          <w:color w:val="auto"/>
          <w:sz w:val="22"/>
          <w:szCs w:val="22"/>
        </w:rPr>
        <w:t>并提</w:t>
      </w:r>
      <w:r>
        <w:rPr>
          <w:rFonts w:ascii="宋体" w:hAnsi="宋体" w:cs="Courier New"/>
          <w:b/>
          <w:color w:val="auto"/>
          <w:sz w:val="22"/>
          <w:szCs w:val="22"/>
        </w:rPr>
        <w:t>交</w:t>
      </w:r>
      <w:r>
        <w:rPr>
          <w:rFonts w:hint="eastAsia" w:ascii="宋体" w:hAnsi="宋体"/>
          <w:b/>
          <w:color w:val="auto"/>
          <w:sz w:val="22"/>
          <w:szCs w:val="22"/>
        </w:rPr>
        <w:t>法定代表人</w:t>
      </w:r>
      <w:r>
        <w:rPr>
          <w:rFonts w:ascii="宋体" w:hAnsi="宋体" w:cs="Courier New"/>
          <w:b/>
          <w:color w:val="auto"/>
          <w:sz w:val="22"/>
          <w:szCs w:val="22"/>
        </w:rPr>
        <w:t>身份证正反面复印件</w:t>
      </w:r>
      <w:r>
        <w:rPr>
          <w:rFonts w:hint="eastAsia" w:ascii="宋体" w:hAnsi="宋体"/>
          <w:b/>
          <w:color w:val="auto"/>
          <w:sz w:val="22"/>
          <w:szCs w:val="22"/>
        </w:rPr>
        <w:t>；</w:t>
      </w:r>
    </w:p>
    <w:p>
      <w:pPr>
        <w:spacing w:line="460" w:lineRule="exact"/>
        <w:rPr>
          <w:rFonts w:ascii="宋体" w:hAnsi="宋体"/>
          <w:color w:val="auto"/>
          <w:sz w:val="22"/>
          <w:szCs w:val="22"/>
        </w:rPr>
      </w:pPr>
      <w:r>
        <w:rPr>
          <w:rFonts w:ascii="宋体" w:hAnsi="宋体" w:cs="Courier New"/>
          <w:b/>
          <w:color w:val="auto"/>
          <w:sz w:val="22"/>
          <w:szCs w:val="22"/>
        </w:rPr>
        <w:t>2</w:t>
      </w:r>
      <w:r>
        <w:rPr>
          <w:rFonts w:hint="eastAsia" w:ascii="宋体" w:hAnsi="宋体" w:cs="Courier New"/>
          <w:b/>
          <w:color w:val="auto"/>
          <w:sz w:val="22"/>
          <w:szCs w:val="22"/>
        </w:rPr>
        <w:t>、</w:t>
      </w:r>
      <w:r>
        <w:rPr>
          <w:rFonts w:ascii="宋体" w:hAnsi="宋体" w:cs="Courier New"/>
          <w:b/>
          <w:color w:val="auto"/>
          <w:sz w:val="22"/>
          <w:szCs w:val="22"/>
        </w:rPr>
        <w:t>若投标人代表为</w:t>
      </w:r>
      <w:r>
        <w:rPr>
          <w:rFonts w:hint="eastAsia" w:ascii="宋体" w:hAnsi="宋体"/>
          <w:b/>
          <w:color w:val="auto"/>
          <w:sz w:val="22"/>
          <w:szCs w:val="22"/>
        </w:rPr>
        <w:t>法定代表人</w:t>
      </w:r>
      <w:r>
        <w:rPr>
          <w:rFonts w:ascii="宋体" w:hAnsi="宋体" w:cs="Courier New"/>
          <w:b/>
          <w:color w:val="auto"/>
          <w:sz w:val="22"/>
          <w:szCs w:val="22"/>
        </w:rPr>
        <w:t>授权的委托代理人，应提供授权书（1-2）</w:t>
      </w:r>
      <w:r>
        <w:rPr>
          <w:rFonts w:hint="eastAsia" w:ascii="宋体" w:hAnsi="宋体" w:cs="Courier New"/>
          <w:b/>
          <w:color w:val="auto"/>
          <w:sz w:val="22"/>
          <w:szCs w:val="22"/>
        </w:rPr>
        <w:t>，并附</w:t>
      </w:r>
      <w:r>
        <w:rPr>
          <w:rFonts w:hint="eastAsia" w:ascii="宋体" w:hAnsi="宋体"/>
          <w:b/>
          <w:color w:val="auto"/>
          <w:sz w:val="22"/>
          <w:szCs w:val="22"/>
        </w:rPr>
        <w:t>法定代表人及授权代表的</w:t>
      </w:r>
      <w:r>
        <w:rPr>
          <w:rFonts w:ascii="宋体" w:hAnsi="宋体" w:cs="Courier New"/>
          <w:b/>
          <w:color w:val="auto"/>
          <w:sz w:val="22"/>
          <w:szCs w:val="22"/>
        </w:rPr>
        <w:t>身份证</w:t>
      </w:r>
      <w:r>
        <w:rPr>
          <w:rFonts w:hint="eastAsia" w:ascii="宋体" w:hAnsi="宋体"/>
          <w:b/>
          <w:color w:val="auto"/>
          <w:sz w:val="22"/>
          <w:szCs w:val="22"/>
        </w:rPr>
        <w:t>正反面复印件</w:t>
      </w:r>
      <w:r>
        <w:rPr>
          <w:rFonts w:hint="eastAsia" w:ascii="宋体" w:hAnsi="宋体" w:cs="Courier New"/>
          <w:b/>
          <w:color w:val="auto"/>
          <w:sz w:val="22"/>
          <w:szCs w:val="22"/>
        </w:rPr>
        <w:t>。</w:t>
      </w:r>
    </w:p>
    <w:p>
      <w:pPr>
        <w:spacing w:line="460" w:lineRule="exact"/>
        <w:rPr>
          <w:rFonts w:ascii="宋体" w:hAnsi="宋体"/>
          <w:color w:val="auto"/>
          <w:sz w:val="22"/>
          <w:szCs w:val="22"/>
        </w:rPr>
      </w:pPr>
    </w:p>
    <w:p>
      <w:pPr>
        <w:spacing w:line="380" w:lineRule="exact"/>
        <w:jc w:val="center"/>
        <w:rPr>
          <w:rFonts w:ascii="宋体" w:hAnsi="宋体"/>
          <w:b/>
          <w:bCs/>
          <w:color w:val="auto"/>
          <w:sz w:val="32"/>
        </w:rPr>
      </w:pPr>
      <w:r>
        <w:rPr>
          <w:rFonts w:hint="eastAsia" w:ascii="宋体" w:hAnsi="宋体"/>
          <w:b/>
          <w:bCs/>
          <w:color w:val="auto"/>
          <w:sz w:val="32"/>
        </w:rPr>
        <w:br w:type="page"/>
      </w:r>
    </w:p>
    <w:p>
      <w:pPr>
        <w:spacing w:line="380" w:lineRule="exact"/>
        <w:jc w:val="center"/>
        <w:rPr>
          <w:rFonts w:ascii="宋体" w:hAnsi="宋体"/>
          <w:b/>
          <w:bCs/>
          <w:color w:val="auto"/>
          <w:sz w:val="32"/>
        </w:rPr>
      </w:pPr>
    </w:p>
    <w:p>
      <w:pPr>
        <w:widowControl/>
        <w:adjustRightInd w:val="0"/>
        <w:snapToGrid w:val="0"/>
        <w:spacing w:line="360" w:lineRule="auto"/>
        <w:jc w:val="center"/>
        <w:rPr>
          <w:rFonts w:ascii="宋体" w:hAnsi="宋体"/>
          <w:b/>
          <w:color w:val="auto"/>
          <w:sz w:val="22"/>
          <w:szCs w:val="22"/>
        </w:rPr>
      </w:pPr>
      <w:r>
        <w:rPr>
          <w:rFonts w:hint="eastAsia" w:ascii="宋体" w:hAnsi="宋体"/>
          <w:b/>
          <w:color w:val="auto"/>
          <w:sz w:val="22"/>
          <w:szCs w:val="22"/>
        </w:rPr>
        <w:t>（</w:t>
      </w:r>
      <w:r>
        <w:rPr>
          <w:rFonts w:ascii="宋体" w:hAnsi="宋体"/>
          <w:b/>
          <w:color w:val="auto"/>
          <w:sz w:val="22"/>
          <w:szCs w:val="22"/>
        </w:rPr>
        <w:t>2</w:t>
      </w:r>
      <w:r>
        <w:rPr>
          <w:rFonts w:hint="eastAsia" w:ascii="宋体" w:hAnsi="宋体"/>
          <w:b/>
          <w:color w:val="auto"/>
          <w:sz w:val="22"/>
          <w:szCs w:val="22"/>
        </w:rPr>
        <w:t>）投标人参与政府采购活动投标资格声明函</w:t>
      </w:r>
    </w:p>
    <w:p>
      <w:pPr>
        <w:widowControl/>
        <w:adjustRightInd w:val="0"/>
        <w:snapToGrid w:val="0"/>
        <w:spacing w:line="360" w:lineRule="auto"/>
        <w:jc w:val="left"/>
        <w:rPr>
          <w:rFonts w:ascii="宋体" w:hAnsi="宋体" w:cs="新宋体"/>
          <w:color w:val="auto"/>
          <w:kern w:val="0"/>
          <w:sz w:val="22"/>
          <w:szCs w:val="22"/>
        </w:rPr>
      </w:pPr>
    </w:p>
    <w:p>
      <w:pPr>
        <w:widowControl/>
        <w:adjustRightInd w:val="0"/>
        <w:snapToGrid w:val="0"/>
        <w:spacing w:line="360" w:lineRule="auto"/>
        <w:jc w:val="left"/>
        <w:rPr>
          <w:rFonts w:ascii="宋体" w:hAnsi="宋体" w:cs="宋体"/>
          <w:color w:val="auto"/>
          <w:kern w:val="0"/>
          <w:sz w:val="22"/>
          <w:szCs w:val="22"/>
        </w:rPr>
      </w:pPr>
      <w:r>
        <w:rPr>
          <w:rFonts w:hint="eastAsia" w:ascii="宋体" w:hAnsi="宋体"/>
          <w:color w:val="auto"/>
          <w:sz w:val="22"/>
          <w:szCs w:val="22"/>
        </w:rPr>
        <w:t>温州市交通运输局</w:t>
      </w:r>
      <w:r>
        <w:rPr>
          <w:rFonts w:hint="eastAsia" w:ascii="宋体" w:hAnsi="宋体" w:cs="宋体"/>
          <w:color w:val="auto"/>
          <w:kern w:val="0"/>
          <w:sz w:val="22"/>
          <w:szCs w:val="22"/>
        </w:rPr>
        <w:t>：</w:t>
      </w:r>
    </w:p>
    <w:p>
      <w:pPr>
        <w:widowControl/>
        <w:adjustRightInd w:val="0"/>
        <w:snapToGrid w:val="0"/>
        <w:spacing w:line="360" w:lineRule="auto"/>
        <w:jc w:val="left"/>
        <w:rPr>
          <w:rFonts w:ascii="宋体" w:hAnsi="宋体" w:cs="宋体"/>
          <w:color w:val="auto"/>
          <w:kern w:val="0"/>
          <w:sz w:val="22"/>
          <w:szCs w:val="22"/>
        </w:rPr>
      </w:pPr>
      <w:r>
        <w:rPr>
          <w:rFonts w:hint="eastAsia" w:ascii="宋体" w:hAnsi="宋体" w:cs="宋体"/>
          <w:color w:val="auto"/>
          <w:kern w:val="0"/>
          <w:sz w:val="22"/>
          <w:szCs w:val="22"/>
        </w:rPr>
        <w:t>大地工程咨询有限公司：</w:t>
      </w:r>
    </w:p>
    <w:p>
      <w:pPr>
        <w:widowControl/>
        <w:adjustRightInd w:val="0"/>
        <w:snapToGrid w:val="0"/>
        <w:spacing w:line="360" w:lineRule="auto"/>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我单位参与</w:t>
      </w:r>
      <w:r>
        <w:rPr>
          <w:rFonts w:hint="eastAsia" w:ascii="宋体" w:hAnsi="宋体"/>
          <w:color w:val="auto"/>
          <w:sz w:val="22"/>
          <w:szCs w:val="22"/>
          <w:u w:val="single"/>
        </w:rPr>
        <w:t xml:space="preserve">（项目名称） </w:t>
      </w:r>
      <w:r>
        <w:rPr>
          <w:rFonts w:hint="eastAsia" w:ascii="宋体" w:hAnsi="宋体" w:cs="宋体"/>
          <w:color w:val="auto"/>
          <w:kern w:val="0"/>
          <w:sz w:val="22"/>
          <w:szCs w:val="22"/>
        </w:rPr>
        <w:t>项目的采购活动，现声明如下：</w:t>
      </w:r>
    </w:p>
    <w:p>
      <w:pPr>
        <w:widowControl/>
        <w:adjustRightInd w:val="0"/>
        <w:snapToGrid w:val="0"/>
        <w:spacing w:line="360" w:lineRule="auto"/>
        <w:ind w:left="216" w:leftChars="103" w:firstLine="200" w:firstLineChars="91"/>
        <w:jc w:val="left"/>
        <w:rPr>
          <w:rFonts w:ascii="宋体" w:hAnsi="宋体" w:cs="宋体"/>
          <w:color w:val="auto"/>
          <w:kern w:val="0"/>
          <w:sz w:val="22"/>
          <w:szCs w:val="22"/>
        </w:rPr>
      </w:pPr>
      <w:r>
        <w:rPr>
          <w:rFonts w:hint="eastAsia" w:ascii="宋体" w:hAnsi="宋体" w:cs="宋体"/>
          <w:color w:val="auto"/>
          <w:kern w:val="0"/>
          <w:sz w:val="22"/>
          <w:szCs w:val="22"/>
        </w:rPr>
        <w:t>1、我单位具有独立承担民事责任的能力。</w:t>
      </w:r>
    </w:p>
    <w:p>
      <w:pPr>
        <w:widowControl/>
        <w:adjustRightInd w:val="0"/>
        <w:snapToGrid w:val="0"/>
        <w:spacing w:line="360" w:lineRule="auto"/>
        <w:ind w:left="216" w:leftChars="103" w:firstLine="200" w:firstLineChars="91"/>
        <w:jc w:val="left"/>
        <w:rPr>
          <w:rFonts w:ascii="宋体" w:hAnsi="宋体" w:cs="宋体"/>
          <w:color w:val="auto"/>
          <w:kern w:val="0"/>
          <w:sz w:val="22"/>
          <w:szCs w:val="22"/>
        </w:rPr>
      </w:pPr>
      <w:r>
        <w:rPr>
          <w:rFonts w:hint="eastAsia" w:ascii="宋体" w:hAnsi="宋体" w:cs="宋体"/>
          <w:color w:val="auto"/>
          <w:kern w:val="0"/>
          <w:sz w:val="22"/>
          <w:szCs w:val="22"/>
        </w:rPr>
        <w:t>2、我单位具有良好的商业信誉和健全的财务会计制度。</w:t>
      </w:r>
    </w:p>
    <w:p>
      <w:pPr>
        <w:widowControl/>
        <w:adjustRightInd w:val="0"/>
        <w:snapToGrid w:val="0"/>
        <w:spacing w:line="360" w:lineRule="auto"/>
        <w:ind w:left="216" w:leftChars="103" w:firstLine="200" w:firstLineChars="91"/>
        <w:jc w:val="left"/>
        <w:rPr>
          <w:rFonts w:ascii="宋体" w:hAnsi="宋体" w:cs="宋体"/>
          <w:color w:val="auto"/>
          <w:kern w:val="0"/>
          <w:sz w:val="22"/>
          <w:szCs w:val="22"/>
        </w:rPr>
      </w:pPr>
      <w:r>
        <w:rPr>
          <w:rFonts w:hint="eastAsia" w:ascii="宋体" w:hAnsi="宋体" w:cs="宋体"/>
          <w:color w:val="auto"/>
          <w:kern w:val="0"/>
          <w:sz w:val="22"/>
          <w:szCs w:val="22"/>
        </w:rPr>
        <w:t>3、我单位具有依法缴纳税收和社会保障资金的良好记录。</w:t>
      </w:r>
    </w:p>
    <w:p>
      <w:pPr>
        <w:widowControl/>
        <w:adjustRightInd w:val="0"/>
        <w:snapToGrid w:val="0"/>
        <w:spacing w:line="360" w:lineRule="auto"/>
        <w:ind w:left="216" w:leftChars="103" w:firstLine="200" w:firstLineChars="91"/>
        <w:jc w:val="left"/>
        <w:rPr>
          <w:rFonts w:ascii="宋体" w:hAnsi="宋体" w:cs="宋体"/>
          <w:color w:val="auto"/>
          <w:kern w:val="0"/>
          <w:sz w:val="22"/>
          <w:szCs w:val="22"/>
        </w:rPr>
      </w:pPr>
      <w:r>
        <w:rPr>
          <w:rFonts w:hint="eastAsia" w:ascii="宋体" w:hAnsi="宋体" w:cs="宋体"/>
          <w:color w:val="auto"/>
          <w:kern w:val="0"/>
          <w:sz w:val="22"/>
          <w:szCs w:val="22"/>
        </w:rPr>
        <w:t>4、我单位具有履行本项目政府采购合同所必需的设备和专业技术能力。</w:t>
      </w:r>
    </w:p>
    <w:p>
      <w:pPr>
        <w:widowControl/>
        <w:adjustRightInd w:val="0"/>
        <w:snapToGrid w:val="0"/>
        <w:spacing w:line="360" w:lineRule="auto"/>
        <w:ind w:left="216" w:leftChars="103" w:firstLine="200" w:firstLineChars="91"/>
        <w:jc w:val="left"/>
        <w:rPr>
          <w:rFonts w:ascii="宋体" w:hAnsi="宋体" w:cs="宋体"/>
          <w:color w:val="auto"/>
          <w:kern w:val="0"/>
          <w:sz w:val="22"/>
          <w:szCs w:val="22"/>
        </w:rPr>
      </w:pPr>
      <w:r>
        <w:rPr>
          <w:rFonts w:hint="eastAsia" w:ascii="宋体" w:hAnsi="宋体" w:cs="宋体"/>
          <w:color w:val="auto"/>
          <w:kern w:val="0"/>
          <w:sz w:val="22"/>
          <w:szCs w:val="22"/>
        </w:rPr>
        <w:t>5、我单位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w:t>
      </w:r>
    </w:p>
    <w:p>
      <w:pPr>
        <w:widowControl/>
        <w:adjustRightInd w:val="0"/>
        <w:snapToGrid w:val="0"/>
        <w:spacing w:line="360" w:lineRule="auto"/>
        <w:ind w:left="216" w:leftChars="103" w:firstLine="200" w:firstLineChars="91"/>
        <w:jc w:val="left"/>
        <w:rPr>
          <w:rFonts w:ascii="宋体" w:hAnsi="宋体" w:cs="宋体"/>
          <w:color w:val="auto"/>
          <w:kern w:val="0"/>
          <w:sz w:val="22"/>
          <w:szCs w:val="22"/>
        </w:rPr>
      </w:pPr>
      <w:r>
        <w:rPr>
          <w:rFonts w:hint="eastAsia" w:ascii="宋体" w:hAnsi="宋体" w:cs="宋体"/>
          <w:color w:val="auto"/>
          <w:kern w:val="0"/>
          <w:sz w:val="22"/>
          <w:szCs w:val="22"/>
        </w:rPr>
        <w:t>6、我单位未与单位负责人为同一人或者存在直接控股、管理关系的其他投标人，一起参加本项目的政府采购活动。</w:t>
      </w:r>
    </w:p>
    <w:p>
      <w:pPr>
        <w:widowControl/>
        <w:adjustRightInd w:val="0"/>
        <w:snapToGrid w:val="0"/>
        <w:spacing w:line="360" w:lineRule="auto"/>
        <w:ind w:left="216" w:leftChars="103" w:firstLine="200" w:firstLineChars="91"/>
        <w:jc w:val="left"/>
        <w:rPr>
          <w:rFonts w:ascii="宋体" w:hAnsi="宋体" w:cs="宋体"/>
          <w:color w:val="auto"/>
          <w:kern w:val="0"/>
          <w:sz w:val="22"/>
          <w:szCs w:val="22"/>
        </w:rPr>
      </w:pPr>
      <w:r>
        <w:rPr>
          <w:rFonts w:hint="eastAsia" w:ascii="宋体" w:hAnsi="宋体" w:cs="宋体"/>
          <w:color w:val="auto"/>
          <w:kern w:val="0"/>
          <w:sz w:val="22"/>
          <w:szCs w:val="22"/>
        </w:rPr>
        <w:t>7、我单位符合本项目特定资格条件： 的要求，并在谈判响应文件中提供了相应的证明材料（采购文件没有要求特定资格条件的，本条款空格处可以空白）</w:t>
      </w:r>
    </w:p>
    <w:p>
      <w:pPr>
        <w:widowControl/>
        <w:adjustRightInd w:val="0"/>
        <w:snapToGrid w:val="0"/>
        <w:spacing w:line="360" w:lineRule="auto"/>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以上事项如有虚假，采购人可取消我方任何资格（投标/中标/签订合同），我方对此无任何异议。</w:t>
      </w:r>
    </w:p>
    <w:p>
      <w:pPr>
        <w:widowControl/>
        <w:adjustRightInd w:val="0"/>
        <w:snapToGrid w:val="0"/>
        <w:spacing w:line="360" w:lineRule="auto"/>
        <w:ind w:firstLine="440" w:firstLineChars="200"/>
        <w:jc w:val="left"/>
        <w:rPr>
          <w:rFonts w:ascii="宋体" w:hAnsi="宋体" w:cs="宋体"/>
          <w:color w:val="auto"/>
          <w:kern w:val="0"/>
          <w:sz w:val="22"/>
          <w:szCs w:val="22"/>
        </w:rPr>
      </w:pPr>
    </w:p>
    <w:p>
      <w:pPr>
        <w:widowControl/>
        <w:adjustRightInd w:val="0"/>
        <w:snapToGrid w:val="0"/>
        <w:spacing w:line="360" w:lineRule="auto"/>
        <w:ind w:firstLine="440" w:firstLineChars="200"/>
        <w:jc w:val="left"/>
        <w:rPr>
          <w:rFonts w:ascii="宋体" w:hAnsi="宋体" w:cs="宋体"/>
          <w:color w:val="auto"/>
          <w:kern w:val="0"/>
          <w:sz w:val="22"/>
          <w:szCs w:val="22"/>
        </w:rPr>
      </w:pPr>
      <w:r>
        <w:rPr>
          <w:rFonts w:hint="eastAsia" w:ascii="宋体" w:hAnsi="宋体" w:cs="宋体"/>
          <w:color w:val="auto"/>
          <w:kern w:val="0"/>
          <w:sz w:val="22"/>
          <w:szCs w:val="22"/>
        </w:rPr>
        <w:t>特此承诺！</w:t>
      </w:r>
    </w:p>
    <w:p>
      <w:pPr>
        <w:widowControl/>
        <w:adjustRightInd w:val="0"/>
        <w:snapToGrid w:val="0"/>
        <w:spacing w:line="360" w:lineRule="auto"/>
        <w:ind w:firstLine="440" w:firstLineChars="200"/>
        <w:jc w:val="left"/>
        <w:rPr>
          <w:rFonts w:ascii="宋体" w:hAnsi="宋体" w:cs="新宋体"/>
          <w:color w:val="auto"/>
          <w:kern w:val="0"/>
          <w:sz w:val="22"/>
          <w:szCs w:val="22"/>
        </w:rPr>
      </w:pPr>
    </w:p>
    <w:p>
      <w:pPr>
        <w:pStyle w:val="25"/>
        <w:rPr>
          <w:color w:val="auto"/>
        </w:rPr>
      </w:pPr>
    </w:p>
    <w:p>
      <w:pPr>
        <w:widowControl/>
        <w:adjustRightInd w:val="0"/>
        <w:snapToGrid w:val="0"/>
        <w:spacing w:line="440" w:lineRule="exact"/>
        <w:ind w:firstLine="440" w:firstLineChars="200"/>
        <w:jc w:val="left"/>
        <w:rPr>
          <w:rFonts w:ascii="宋体" w:cs="Arial"/>
          <w:color w:val="auto"/>
          <w:kern w:val="0"/>
          <w:sz w:val="22"/>
          <w:szCs w:val="22"/>
        </w:rPr>
      </w:pPr>
      <w:r>
        <w:rPr>
          <w:rFonts w:hint="eastAsia" w:ascii="宋体" w:hAnsi="宋体" w:cs="Arial"/>
          <w:color w:val="auto"/>
          <w:kern w:val="0"/>
          <w:sz w:val="22"/>
          <w:szCs w:val="22"/>
        </w:rPr>
        <w:t>投标人名称（盖章）：</w:t>
      </w:r>
    </w:p>
    <w:p>
      <w:pPr>
        <w:widowControl/>
        <w:adjustRightInd w:val="0"/>
        <w:snapToGrid w:val="0"/>
        <w:spacing w:line="440" w:lineRule="exact"/>
        <w:ind w:firstLine="440" w:firstLineChars="200"/>
        <w:jc w:val="left"/>
        <w:rPr>
          <w:rFonts w:ascii="宋体" w:cs="Arial"/>
          <w:color w:val="auto"/>
          <w:kern w:val="0"/>
          <w:sz w:val="22"/>
          <w:szCs w:val="22"/>
        </w:rPr>
      </w:pPr>
      <w:r>
        <w:rPr>
          <w:rFonts w:hint="eastAsia" w:ascii="宋体" w:hAnsi="宋体" w:cs="Arial"/>
          <w:color w:val="auto"/>
          <w:kern w:val="0"/>
          <w:sz w:val="22"/>
          <w:szCs w:val="22"/>
        </w:rPr>
        <w:t>法定代表人（负责人）或其授权代表（签字或盖章）：</w:t>
      </w:r>
    </w:p>
    <w:p>
      <w:pPr>
        <w:widowControl/>
        <w:adjustRightInd w:val="0"/>
        <w:snapToGrid w:val="0"/>
        <w:spacing w:line="440" w:lineRule="exact"/>
        <w:ind w:firstLine="440" w:firstLineChars="200"/>
        <w:jc w:val="left"/>
        <w:rPr>
          <w:rFonts w:ascii="宋体" w:cs="Arial"/>
          <w:color w:val="auto"/>
          <w:kern w:val="0"/>
          <w:sz w:val="22"/>
          <w:szCs w:val="22"/>
        </w:rPr>
      </w:pPr>
      <w:r>
        <w:rPr>
          <w:rFonts w:hint="eastAsia" w:ascii="宋体" w:hAnsi="宋体" w:cs="Arial"/>
          <w:color w:val="auto"/>
          <w:kern w:val="0"/>
          <w:sz w:val="22"/>
          <w:szCs w:val="22"/>
        </w:rPr>
        <w:t>日期：年月日</w:t>
      </w:r>
    </w:p>
    <w:p>
      <w:pPr>
        <w:pStyle w:val="25"/>
        <w:rPr>
          <w:color w:val="auto"/>
        </w:rPr>
      </w:pPr>
    </w:p>
    <w:p>
      <w:pPr>
        <w:widowControl/>
        <w:adjustRightInd w:val="0"/>
        <w:snapToGrid w:val="0"/>
        <w:spacing w:line="360" w:lineRule="auto"/>
        <w:jc w:val="left"/>
        <w:rPr>
          <w:rFonts w:ascii="宋体" w:hAnsi="宋体"/>
          <w:color w:val="auto"/>
          <w:sz w:val="22"/>
          <w:szCs w:val="22"/>
        </w:rPr>
      </w:pPr>
      <w:r>
        <w:rPr>
          <w:rFonts w:ascii="宋体" w:hAnsi="宋体" w:cs="新宋体"/>
          <w:color w:val="auto"/>
          <w:kern w:val="0"/>
          <w:sz w:val="22"/>
          <w:szCs w:val="22"/>
        </w:rPr>
        <w:br w:type="page"/>
      </w:r>
    </w:p>
    <w:p>
      <w:pPr>
        <w:pStyle w:val="34"/>
        <w:snapToGrid w:val="0"/>
        <w:spacing w:line="324" w:lineRule="auto"/>
        <w:jc w:val="center"/>
        <w:rPr>
          <w:rFonts w:hAnsi="宋体"/>
          <w:b/>
          <w:bCs/>
          <w:color w:val="auto"/>
          <w:sz w:val="22"/>
          <w:szCs w:val="22"/>
        </w:rPr>
      </w:pPr>
      <w:r>
        <w:rPr>
          <w:rFonts w:hint="eastAsia" w:hAnsi="宋体"/>
          <w:b/>
          <w:bCs/>
          <w:color w:val="auto"/>
          <w:sz w:val="22"/>
          <w:szCs w:val="22"/>
        </w:rPr>
        <w:t>（3）诚信投标承诺书</w:t>
      </w:r>
    </w:p>
    <w:p>
      <w:pPr>
        <w:ind w:right="-153" w:rightChars="-73"/>
        <w:jc w:val="center"/>
        <w:rPr>
          <w:rFonts w:ascii="宋体" w:hAnsi="宋体"/>
          <w:color w:val="auto"/>
          <w:sz w:val="22"/>
          <w:szCs w:val="22"/>
        </w:rPr>
      </w:pPr>
    </w:p>
    <w:p>
      <w:pPr>
        <w:spacing w:line="520" w:lineRule="exact"/>
        <w:ind w:right="-153" w:rightChars="-73"/>
        <w:rPr>
          <w:rFonts w:ascii="宋体" w:hAnsi="宋体"/>
          <w:color w:val="auto"/>
          <w:sz w:val="22"/>
          <w:szCs w:val="22"/>
        </w:rPr>
      </w:pPr>
      <w:r>
        <w:rPr>
          <w:rFonts w:hint="eastAsia" w:ascii="宋体" w:hAnsi="宋体"/>
          <w:color w:val="auto"/>
          <w:sz w:val="22"/>
          <w:szCs w:val="22"/>
        </w:rPr>
        <w:t>本企业郑重承诺：</w:t>
      </w:r>
    </w:p>
    <w:p>
      <w:pPr>
        <w:spacing w:line="500" w:lineRule="exact"/>
        <w:ind w:firstLine="440" w:firstLineChars="200"/>
        <w:rPr>
          <w:rFonts w:ascii="宋体" w:hAnsi="宋体"/>
          <w:color w:val="auto"/>
          <w:sz w:val="22"/>
          <w:szCs w:val="22"/>
        </w:rPr>
      </w:pPr>
      <w:r>
        <w:rPr>
          <w:rFonts w:hint="eastAsia" w:ascii="宋体" w:hAnsi="宋体"/>
          <w:color w:val="auto"/>
          <w:sz w:val="22"/>
          <w:szCs w:val="22"/>
        </w:rPr>
        <w:t>为了积极配合贵公司组织的</w:t>
      </w:r>
      <w:r>
        <w:rPr>
          <w:rFonts w:hint="eastAsia" w:ascii="宋体" w:hAnsi="宋体"/>
          <w:color w:val="auto"/>
          <w:sz w:val="22"/>
          <w:szCs w:val="22"/>
          <w:u w:val="single"/>
        </w:rPr>
        <w:t xml:space="preserve"> （项目名称） </w:t>
      </w:r>
      <w:r>
        <w:rPr>
          <w:rFonts w:hint="eastAsia" w:ascii="宋体" w:hAnsi="宋体"/>
          <w:color w:val="auto"/>
          <w:sz w:val="22"/>
          <w:szCs w:val="22"/>
        </w:rPr>
        <w:t>招标工作，有效遏制不公平竞争和违规违纪问题的发生，确保招标工作的公平、公正、公开，我们保证认真贯彻</w:t>
      </w:r>
      <w:r>
        <w:rPr>
          <w:rFonts w:hint="eastAsia" w:ascii="宋体" w:hAnsi="宋体" w:cs="Century Gothic"/>
          <w:color w:val="auto"/>
          <w:sz w:val="22"/>
          <w:szCs w:val="22"/>
        </w:rPr>
        <w:t>《中华人民共和国政府采购法》、《中华人民共和国政府采购法实施条例》、《政府采购货物和服务招标投标管理办法》和《关于进一步规范政府采购活动的若干意见》等法律及有关法规</w:t>
      </w:r>
      <w:r>
        <w:rPr>
          <w:rFonts w:hint="eastAsia" w:ascii="宋体" w:hAnsi="宋体"/>
          <w:color w:val="auto"/>
          <w:sz w:val="22"/>
          <w:szCs w:val="22"/>
        </w:rPr>
        <w:t>相关规定以及有关廉洁要求，特承诺如下事项：</w:t>
      </w:r>
    </w:p>
    <w:p>
      <w:pPr>
        <w:numPr>
          <w:ilvl w:val="0"/>
          <w:numId w:val="50"/>
        </w:numPr>
        <w:snapToGrid w:val="0"/>
        <w:spacing w:line="500" w:lineRule="exact"/>
        <w:ind w:left="0" w:firstLine="385"/>
        <w:rPr>
          <w:rFonts w:ascii="宋体" w:hAnsi="宋体"/>
          <w:color w:val="auto"/>
          <w:sz w:val="22"/>
          <w:szCs w:val="22"/>
        </w:rPr>
      </w:pPr>
      <w:r>
        <w:rPr>
          <w:rFonts w:hint="eastAsia" w:ascii="宋体" w:hAnsi="宋体"/>
          <w:color w:val="auto"/>
          <w:sz w:val="22"/>
          <w:szCs w:val="22"/>
        </w:rPr>
        <w:t>自觉遵守国家法律法规及有关廉政建设制度。</w:t>
      </w:r>
    </w:p>
    <w:p>
      <w:pPr>
        <w:numPr>
          <w:ilvl w:val="0"/>
          <w:numId w:val="50"/>
        </w:numPr>
        <w:snapToGrid w:val="0"/>
        <w:spacing w:line="500" w:lineRule="exact"/>
        <w:ind w:left="0" w:firstLine="385"/>
        <w:rPr>
          <w:rFonts w:ascii="宋体" w:hAnsi="宋体"/>
          <w:color w:val="auto"/>
          <w:sz w:val="22"/>
          <w:szCs w:val="22"/>
        </w:rPr>
      </w:pPr>
      <w:r>
        <w:rPr>
          <w:rFonts w:hint="eastAsia" w:ascii="宋体" w:hAnsi="宋体"/>
          <w:color w:val="auto"/>
          <w:sz w:val="22"/>
          <w:szCs w:val="22"/>
        </w:rPr>
        <w:t>主动了解采购人招投标纪律，积极配合采购人执行招投标廉政建设的有关规定。</w:t>
      </w:r>
    </w:p>
    <w:p>
      <w:pPr>
        <w:numPr>
          <w:ilvl w:val="0"/>
          <w:numId w:val="50"/>
        </w:numPr>
        <w:snapToGrid w:val="0"/>
        <w:spacing w:line="500" w:lineRule="exact"/>
        <w:ind w:left="0" w:firstLine="385"/>
        <w:rPr>
          <w:rFonts w:ascii="宋体" w:hAnsi="宋体"/>
          <w:color w:val="auto"/>
          <w:sz w:val="22"/>
          <w:szCs w:val="22"/>
        </w:rPr>
      </w:pPr>
      <w:r>
        <w:rPr>
          <w:rFonts w:hint="eastAsia" w:ascii="宋体" w:hAnsi="宋体"/>
          <w:color w:val="auto"/>
          <w:sz w:val="22"/>
          <w:szCs w:val="22"/>
        </w:rPr>
        <w:t>不使用不正当手段妨碍、排挤其它投标人或串通投标。</w:t>
      </w:r>
    </w:p>
    <w:p>
      <w:pPr>
        <w:numPr>
          <w:ilvl w:val="0"/>
          <w:numId w:val="50"/>
        </w:numPr>
        <w:snapToGrid w:val="0"/>
        <w:spacing w:line="500" w:lineRule="exact"/>
        <w:ind w:left="0" w:firstLine="385"/>
        <w:rPr>
          <w:rFonts w:ascii="宋体" w:hAnsi="宋体"/>
          <w:color w:val="auto"/>
          <w:sz w:val="22"/>
          <w:szCs w:val="22"/>
        </w:rPr>
      </w:pPr>
      <w:r>
        <w:rPr>
          <w:rFonts w:hint="eastAsia" w:ascii="宋体" w:hAnsi="宋体"/>
          <w:color w:val="auto"/>
          <w:sz w:val="22"/>
          <w:szCs w:val="22"/>
        </w:rPr>
        <w:t>按照本招标文件规定的方式进行投标，不隐瞒本单位投标资质的真实情况，投标资质符合规定。</w:t>
      </w:r>
    </w:p>
    <w:p>
      <w:pPr>
        <w:numPr>
          <w:ilvl w:val="0"/>
          <w:numId w:val="50"/>
        </w:numPr>
        <w:snapToGrid w:val="0"/>
        <w:spacing w:line="500" w:lineRule="exact"/>
        <w:ind w:left="0" w:firstLine="385"/>
        <w:rPr>
          <w:rFonts w:ascii="宋体" w:hAnsi="宋体"/>
          <w:color w:val="auto"/>
          <w:sz w:val="22"/>
          <w:szCs w:val="22"/>
        </w:rPr>
      </w:pPr>
      <w:r>
        <w:rPr>
          <w:rFonts w:hint="eastAsia" w:ascii="宋体" w:hAnsi="宋体"/>
          <w:color w:val="auto"/>
          <w:sz w:val="22"/>
          <w:szCs w:val="22"/>
        </w:rPr>
        <w:t>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numPr>
          <w:ilvl w:val="0"/>
          <w:numId w:val="50"/>
        </w:numPr>
        <w:snapToGrid w:val="0"/>
        <w:spacing w:line="500" w:lineRule="exact"/>
        <w:ind w:left="0" w:firstLine="385"/>
        <w:rPr>
          <w:rFonts w:ascii="宋体" w:hAnsi="宋体"/>
          <w:color w:val="auto"/>
          <w:sz w:val="22"/>
          <w:szCs w:val="22"/>
        </w:rPr>
      </w:pPr>
      <w:r>
        <w:rPr>
          <w:rFonts w:hint="eastAsia" w:ascii="宋体" w:hAnsi="宋体"/>
          <w:color w:val="auto"/>
          <w:sz w:val="22"/>
          <w:szCs w:val="22"/>
        </w:rPr>
        <w:t>不向采购人及个人购置或提供通讯工具、交通工具和高档办公用品等。</w:t>
      </w:r>
    </w:p>
    <w:p>
      <w:pPr>
        <w:numPr>
          <w:ilvl w:val="0"/>
          <w:numId w:val="50"/>
        </w:numPr>
        <w:snapToGrid w:val="0"/>
        <w:spacing w:line="500" w:lineRule="exact"/>
        <w:ind w:left="0" w:firstLine="385"/>
        <w:rPr>
          <w:rFonts w:ascii="宋体" w:hAnsi="宋体"/>
          <w:color w:val="auto"/>
          <w:sz w:val="22"/>
          <w:szCs w:val="22"/>
        </w:rPr>
      </w:pPr>
      <w:r>
        <w:rPr>
          <w:rFonts w:hint="eastAsia" w:ascii="宋体" w:hAnsi="宋体"/>
          <w:color w:val="auto"/>
          <w:sz w:val="22"/>
          <w:szCs w:val="22"/>
        </w:rPr>
        <w:t>不向采购人涉及招标的人员的配偶、子女分包此次招标项目。</w:t>
      </w:r>
    </w:p>
    <w:p>
      <w:pPr>
        <w:numPr>
          <w:ilvl w:val="0"/>
          <w:numId w:val="50"/>
        </w:numPr>
        <w:snapToGrid w:val="0"/>
        <w:spacing w:line="500" w:lineRule="exact"/>
        <w:ind w:left="0" w:firstLine="385"/>
        <w:rPr>
          <w:rFonts w:ascii="宋体" w:hAnsi="宋体"/>
          <w:color w:val="auto"/>
          <w:sz w:val="22"/>
          <w:szCs w:val="22"/>
        </w:rPr>
      </w:pPr>
      <w:r>
        <w:rPr>
          <w:rFonts w:hint="eastAsia" w:ascii="宋体" w:hAnsi="宋体"/>
          <w:color w:val="auto"/>
          <w:sz w:val="22"/>
          <w:szCs w:val="22"/>
        </w:rPr>
        <w:t>不向采购人及个人支付好处费、介绍费。</w:t>
      </w:r>
    </w:p>
    <w:p>
      <w:pPr>
        <w:numPr>
          <w:ilvl w:val="0"/>
          <w:numId w:val="50"/>
        </w:numPr>
        <w:snapToGrid w:val="0"/>
        <w:spacing w:line="500" w:lineRule="exact"/>
        <w:ind w:left="0" w:firstLine="385"/>
        <w:rPr>
          <w:rFonts w:ascii="宋体" w:hAnsi="宋体"/>
          <w:color w:val="auto"/>
          <w:sz w:val="22"/>
          <w:szCs w:val="22"/>
        </w:rPr>
      </w:pPr>
      <w:r>
        <w:rPr>
          <w:rFonts w:hint="eastAsia" w:ascii="宋体" w:hAnsi="宋体"/>
          <w:color w:val="auto"/>
          <w:sz w:val="22"/>
          <w:szCs w:val="22"/>
        </w:rPr>
        <w:t>一旦发现相关人员在招标过程中的索要财物等不廉洁行为，坚决予以抵制，并及时向有关纪检监察部门举报。</w:t>
      </w:r>
    </w:p>
    <w:p>
      <w:pPr>
        <w:numPr>
          <w:ilvl w:val="0"/>
          <w:numId w:val="50"/>
        </w:numPr>
        <w:snapToGrid w:val="0"/>
        <w:spacing w:line="500" w:lineRule="exact"/>
        <w:ind w:left="0" w:firstLine="385"/>
        <w:rPr>
          <w:rFonts w:ascii="宋体" w:hAnsi="宋体"/>
          <w:color w:val="auto"/>
          <w:sz w:val="22"/>
          <w:szCs w:val="22"/>
        </w:rPr>
      </w:pPr>
      <w:r>
        <w:rPr>
          <w:rFonts w:hint="eastAsia" w:ascii="宋体" w:hAnsi="宋体"/>
          <w:color w:val="auto"/>
          <w:sz w:val="22"/>
          <w:szCs w:val="22"/>
        </w:rPr>
        <w:t>我们若违反上述承诺，愿接受取消投标人资格及其他任何形式的处理。</w:t>
      </w:r>
    </w:p>
    <w:p>
      <w:pPr>
        <w:snapToGrid w:val="0"/>
        <w:spacing w:line="500" w:lineRule="exact"/>
        <w:ind w:firstLine="385" w:firstLineChars="175"/>
        <w:rPr>
          <w:rFonts w:ascii="宋体" w:hAnsi="宋体"/>
          <w:color w:val="auto"/>
          <w:sz w:val="22"/>
          <w:szCs w:val="22"/>
        </w:rPr>
      </w:pPr>
    </w:p>
    <w:p>
      <w:pPr>
        <w:widowControl/>
        <w:adjustRightInd w:val="0"/>
        <w:snapToGrid w:val="0"/>
        <w:spacing w:line="440" w:lineRule="exact"/>
        <w:ind w:firstLine="440" w:firstLineChars="200"/>
        <w:jc w:val="left"/>
        <w:rPr>
          <w:rFonts w:ascii="宋体" w:cs="Arial"/>
          <w:color w:val="auto"/>
          <w:kern w:val="0"/>
          <w:sz w:val="22"/>
          <w:szCs w:val="22"/>
        </w:rPr>
      </w:pPr>
      <w:r>
        <w:rPr>
          <w:rFonts w:hint="eastAsia" w:ascii="宋体" w:hAnsi="宋体" w:cs="Arial"/>
          <w:color w:val="auto"/>
          <w:kern w:val="0"/>
          <w:sz w:val="22"/>
          <w:szCs w:val="22"/>
        </w:rPr>
        <w:t>投标人名称（盖章）：</w:t>
      </w:r>
    </w:p>
    <w:p>
      <w:pPr>
        <w:widowControl/>
        <w:adjustRightInd w:val="0"/>
        <w:snapToGrid w:val="0"/>
        <w:spacing w:line="440" w:lineRule="exact"/>
        <w:ind w:firstLine="440" w:firstLineChars="200"/>
        <w:jc w:val="left"/>
        <w:rPr>
          <w:rFonts w:ascii="宋体" w:cs="Arial"/>
          <w:color w:val="auto"/>
          <w:kern w:val="0"/>
          <w:sz w:val="22"/>
          <w:szCs w:val="22"/>
        </w:rPr>
      </w:pPr>
      <w:r>
        <w:rPr>
          <w:rFonts w:hint="eastAsia" w:ascii="宋体" w:hAnsi="宋体" w:cs="Arial"/>
          <w:color w:val="auto"/>
          <w:kern w:val="0"/>
          <w:sz w:val="22"/>
          <w:szCs w:val="22"/>
        </w:rPr>
        <w:t>法定代表人（负责人）或其授权代表（签字或盖章）：</w:t>
      </w:r>
    </w:p>
    <w:p>
      <w:pPr>
        <w:widowControl/>
        <w:adjustRightInd w:val="0"/>
        <w:snapToGrid w:val="0"/>
        <w:spacing w:line="440" w:lineRule="exact"/>
        <w:ind w:firstLine="440" w:firstLineChars="200"/>
        <w:jc w:val="left"/>
        <w:rPr>
          <w:rFonts w:ascii="宋体" w:cs="Arial"/>
          <w:color w:val="auto"/>
          <w:kern w:val="0"/>
          <w:sz w:val="22"/>
          <w:szCs w:val="22"/>
        </w:rPr>
      </w:pPr>
      <w:r>
        <w:rPr>
          <w:rFonts w:hint="eastAsia" w:ascii="宋体" w:hAnsi="宋体" w:cs="Arial"/>
          <w:color w:val="auto"/>
          <w:kern w:val="0"/>
          <w:sz w:val="22"/>
          <w:szCs w:val="22"/>
        </w:rPr>
        <w:t>日期：年月日</w:t>
      </w:r>
    </w:p>
    <w:p>
      <w:pPr>
        <w:rPr>
          <w:rFonts w:ascii="宋体"/>
          <w:b/>
          <w:bCs/>
          <w:color w:val="auto"/>
          <w:sz w:val="22"/>
          <w:szCs w:val="22"/>
        </w:rPr>
      </w:pPr>
      <w:r>
        <w:rPr>
          <w:rFonts w:ascii="宋体"/>
          <w:b/>
          <w:bCs/>
          <w:color w:val="auto"/>
          <w:sz w:val="22"/>
          <w:szCs w:val="22"/>
        </w:rPr>
        <w:br w:type="page"/>
      </w:r>
    </w:p>
    <w:p>
      <w:pPr>
        <w:pStyle w:val="34"/>
        <w:snapToGrid w:val="0"/>
        <w:spacing w:line="324" w:lineRule="auto"/>
        <w:jc w:val="center"/>
        <w:rPr>
          <w:rFonts w:hAnsi="宋体"/>
          <w:b/>
          <w:bCs/>
          <w:color w:val="auto"/>
          <w:sz w:val="22"/>
          <w:szCs w:val="22"/>
        </w:rPr>
      </w:pPr>
      <w:r>
        <w:rPr>
          <w:rFonts w:hint="eastAsia" w:hAnsi="宋体"/>
          <w:b/>
          <w:bCs/>
          <w:color w:val="auto"/>
          <w:sz w:val="22"/>
          <w:szCs w:val="22"/>
        </w:rPr>
        <w:t>（4）联合体协议书</w:t>
      </w:r>
    </w:p>
    <w:p>
      <w:pPr>
        <w:pStyle w:val="25"/>
        <w:spacing w:line="400" w:lineRule="exact"/>
        <w:jc w:val="center"/>
        <w:rPr>
          <w:rFonts w:ascii="宋体" w:hAnsi="宋体"/>
          <w:color w:val="auto"/>
          <w:szCs w:val="21"/>
        </w:rPr>
      </w:pPr>
      <w:r>
        <w:rPr>
          <w:rFonts w:hint="eastAsia" w:ascii="宋体" w:hAnsi="宋体"/>
          <w:color w:val="auto"/>
          <w:szCs w:val="21"/>
        </w:rPr>
        <w:t>（适用于联合体）</w:t>
      </w:r>
    </w:p>
    <w:p>
      <w:pPr>
        <w:pStyle w:val="26"/>
        <w:ind w:firstLine="220"/>
        <w:rPr>
          <w:color w:val="auto"/>
          <w:sz w:val="22"/>
          <w:szCs w:val="22"/>
        </w:rPr>
      </w:pPr>
    </w:p>
    <w:p>
      <w:pPr>
        <w:widowControl/>
        <w:tabs>
          <w:tab w:val="left" w:pos="482"/>
          <w:tab w:val="left" w:pos="2183"/>
          <w:tab w:val="left" w:pos="3884"/>
          <w:tab w:val="left" w:pos="5585"/>
        </w:tabs>
        <w:adjustRightInd w:val="0"/>
        <w:spacing w:line="400" w:lineRule="exact"/>
        <w:ind w:firstLine="440" w:firstLineChars="200"/>
        <w:jc w:val="left"/>
        <w:textAlignment w:val="baseline"/>
        <w:rPr>
          <w:rFonts w:hint="eastAsia" w:ascii="宋体" w:hAnsi="宋体" w:eastAsia="宋体" w:cs="宋体"/>
          <w:color w:val="auto"/>
          <w:sz w:val="22"/>
          <w:szCs w:val="22"/>
          <w:lang w:eastAsia="zh-CN"/>
        </w:rPr>
      </w:pPr>
      <w:r>
        <w:rPr>
          <w:rFonts w:hint="eastAsia" w:ascii="宋体" w:hAnsi="宋体" w:cs="宋体"/>
          <w:color w:val="auto"/>
          <w:sz w:val="22"/>
          <w:szCs w:val="22"/>
          <w:u w:val="single"/>
        </w:rPr>
        <w:t xml:space="preserve">     （所有成员单位名称）    </w:t>
      </w:r>
      <w:r>
        <w:rPr>
          <w:rFonts w:hint="eastAsia" w:ascii="宋体" w:hAnsi="宋体" w:cs="宋体"/>
          <w:color w:val="auto"/>
          <w:sz w:val="22"/>
          <w:szCs w:val="22"/>
        </w:rPr>
        <w:t>自愿组成联合体，参加</w:t>
      </w:r>
      <w:r>
        <w:rPr>
          <w:rFonts w:hint="eastAsia" w:ascii="宋体" w:hAnsi="宋体" w:cs="宋体"/>
          <w:color w:val="auto"/>
          <w:sz w:val="22"/>
          <w:szCs w:val="22"/>
          <w:u w:val="single"/>
        </w:rPr>
        <w:t xml:space="preserve">      （项目名称）</w:t>
      </w:r>
      <w:r>
        <w:rPr>
          <w:rFonts w:hint="eastAsia" w:ascii="宋体" w:hAnsi="宋体" w:cs="宋体"/>
          <w:color w:val="auto"/>
          <w:sz w:val="22"/>
          <w:szCs w:val="22"/>
        </w:rPr>
        <w:t>投标。现就有关事宜订立协议如下：</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u w:val="single"/>
        </w:rPr>
      </w:pPr>
      <w:r>
        <w:rPr>
          <w:rFonts w:hint="eastAsia" w:ascii="宋体" w:hAnsi="宋体" w:cs="宋体"/>
          <w:color w:val="auto"/>
          <w:sz w:val="22"/>
          <w:szCs w:val="22"/>
        </w:rPr>
        <w:t xml:space="preserve">    1．为联合体牵头人，</w:t>
      </w:r>
      <w:r>
        <w:rPr>
          <w:rFonts w:hint="eastAsia" w:ascii="宋体" w:hAnsi="宋体" w:cs="宋体"/>
          <w:color w:val="auto"/>
          <w:sz w:val="22"/>
          <w:szCs w:val="22"/>
          <w:lang w:val="zh-CN" w:bidi="zh-CN"/>
        </w:rPr>
        <w:t>属于</w:t>
      </w:r>
      <w:r>
        <w:rPr>
          <w:rFonts w:hint="eastAsia" w:ascii="宋体" w:hAnsi="宋体" w:cs="宋体"/>
          <w:color w:val="auto"/>
          <w:sz w:val="22"/>
          <w:szCs w:val="22"/>
          <w:u w:val="single"/>
          <w:lang w:val="zh-CN" w:bidi="zh-CN"/>
        </w:rPr>
        <w:t>（</w:t>
      </w:r>
      <w:r>
        <w:rPr>
          <w:rFonts w:hint="eastAsia" w:ascii="宋体" w:hAnsi="宋体" w:cs="宋体"/>
          <w:color w:val="auto"/>
          <w:sz w:val="22"/>
          <w:szCs w:val="22"/>
          <w:u w:val="single"/>
          <w:lang w:bidi="zh-CN"/>
        </w:rPr>
        <w:t>大</w:t>
      </w:r>
      <w:r>
        <w:rPr>
          <w:rFonts w:hint="eastAsia" w:ascii="宋体" w:hAnsi="宋体" w:cs="宋体"/>
          <w:color w:val="auto"/>
          <w:sz w:val="22"/>
          <w:szCs w:val="22"/>
          <w:u w:val="single"/>
          <w:lang w:val="zh-CN" w:bidi="zh-CN"/>
        </w:rPr>
        <w:t>型企业</w:t>
      </w:r>
      <w:r>
        <w:rPr>
          <w:rFonts w:hint="eastAsia" w:ascii="宋体" w:hAnsi="宋体" w:cs="宋体"/>
          <w:color w:val="auto"/>
          <w:sz w:val="22"/>
          <w:szCs w:val="22"/>
          <w:u w:val="single"/>
          <w:lang w:bidi="zh-CN"/>
        </w:rPr>
        <w:t>/</w:t>
      </w:r>
      <w:r>
        <w:rPr>
          <w:rFonts w:hint="eastAsia" w:ascii="宋体" w:hAnsi="宋体" w:cs="宋体"/>
          <w:color w:val="auto"/>
          <w:sz w:val="22"/>
          <w:szCs w:val="22"/>
          <w:u w:val="single"/>
          <w:lang w:val="zh-CN" w:bidi="zh-CN"/>
        </w:rPr>
        <w:t>中型企业</w:t>
      </w:r>
      <w:r>
        <w:rPr>
          <w:rFonts w:hint="eastAsia" w:ascii="宋体" w:hAnsi="宋体" w:cs="宋体"/>
          <w:color w:val="auto"/>
          <w:sz w:val="22"/>
          <w:szCs w:val="22"/>
          <w:u w:val="single"/>
          <w:lang w:bidi="zh-CN"/>
        </w:rPr>
        <w:t>/</w:t>
      </w:r>
      <w:r>
        <w:rPr>
          <w:rFonts w:hint="eastAsia" w:ascii="宋体" w:hAnsi="宋体" w:cs="宋体"/>
          <w:color w:val="auto"/>
          <w:sz w:val="22"/>
          <w:szCs w:val="22"/>
          <w:u w:val="single"/>
          <w:lang w:val="zh-CN" w:bidi="zh-CN"/>
        </w:rPr>
        <w:t>小型企业</w:t>
      </w:r>
      <w:r>
        <w:rPr>
          <w:rFonts w:hint="eastAsia" w:ascii="宋体" w:hAnsi="宋体" w:cs="宋体"/>
          <w:color w:val="auto"/>
          <w:sz w:val="22"/>
          <w:szCs w:val="22"/>
          <w:u w:val="single"/>
          <w:lang w:bidi="zh-CN"/>
        </w:rPr>
        <w:t>/</w:t>
      </w:r>
      <w:r>
        <w:rPr>
          <w:rFonts w:hint="eastAsia" w:ascii="宋体" w:hAnsi="宋体" w:cs="宋体"/>
          <w:color w:val="auto"/>
          <w:sz w:val="22"/>
          <w:szCs w:val="22"/>
          <w:u w:val="single"/>
          <w:lang w:val="zh-CN" w:bidi="zh-CN"/>
        </w:rPr>
        <w:t>微型企业）</w:t>
      </w:r>
      <w:r>
        <w:rPr>
          <w:rFonts w:hint="eastAsia" w:ascii="宋体" w:hAnsi="宋体" w:cs="宋体"/>
          <w:color w:val="auto"/>
          <w:sz w:val="22"/>
          <w:szCs w:val="22"/>
          <w:lang w:val="zh-CN" w:bidi="zh-CN"/>
        </w:rPr>
        <w:t>；</w:t>
      </w:r>
      <w:r>
        <w:rPr>
          <w:rFonts w:hint="eastAsia" w:ascii="宋体" w:hAnsi="宋体" w:cs="宋体"/>
          <w:color w:val="auto"/>
          <w:sz w:val="22"/>
          <w:szCs w:val="22"/>
        </w:rPr>
        <w:t>为联合体成员，</w:t>
      </w:r>
      <w:r>
        <w:rPr>
          <w:rFonts w:hint="eastAsia" w:ascii="宋体" w:hAnsi="宋体" w:cs="宋体"/>
          <w:color w:val="auto"/>
          <w:sz w:val="22"/>
          <w:szCs w:val="22"/>
          <w:lang w:val="zh-CN" w:bidi="zh-CN"/>
        </w:rPr>
        <w:t>属于</w:t>
      </w:r>
      <w:r>
        <w:rPr>
          <w:rFonts w:hint="eastAsia" w:ascii="宋体" w:hAnsi="宋体" w:cs="宋体"/>
          <w:color w:val="auto"/>
          <w:sz w:val="22"/>
          <w:szCs w:val="22"/>
          <w:u w:val="single"/>
          <w:lang w:val="zh-CN" w:bidi="zh-CN"/>
        </w:rPr>
        <w:t>（</w:t>
      </w:r>
      <w:r>
        <w:rPr>
          <w:rFonts w:hint="eastAsia" w:ascii="宋体" w:hAnsi="宋体" w:cs="宋体"/>
          <w:color w:val="auto"/>
          <w:sz w:val="22"/>
          <w:szCs w:val="22"/>
          <w:u w:val="single"/>
          <w:lang w:bidi="zh-CN"/>
        </w:rPr>
        <w:t>大</w:t>
      </w:r>
      <w:r>
        <w:rPr>
          <w:rFonts w:hint="eastAsia" w:ascii="宋体" w:hAnsi="宋体" w:cs="宋体"/>
          <w:color w:val="auto"/>
          <w:sz w:val="22"/>
          <w:szCs w:val="22"/>
          <w:u w:val="single"/>
          <w:lang w:val="zh-CN" w:bidi="zh-CN"/>
        </w:rPr>
        <w:t>型企业</w:t>
      </w:r>
      <w:r>
        <w:rPr>
          <w:rFonts w:hint="eastAsia" w:ascii="宋体" w:hAnsi="宋体" w:cs="宋体"/>
          <w:color w:val="auto"/>
          <w:sz w:val="22"/>
          <w:szCs w:val="22"/>
          <w:u w:val="single"/>
          <w:lang w:bidi="zh-CN"/>
        </w:rPr>
        <w:t>/</w:t>
      </w:r>
      <w:r>
        <w:rPr>
          <w:rFonts w:hint="eastAsia" w:ascii="宋体" w:hAnsi="宋体" w:cs="宋体"/>
          <w:color w:val="auto"/>
          <w:sz w:val="22"/>
          <w:szCs w:val="22"/>
          <w:u w:val="single"/>
          <w:lang w:val="zh-CN" w:bidi="zh-CN"/>
        </w:rPr>
        <w:t>中型企业</w:t>
      </w:r>
      <w:r>
        <w:rPr>
          <w:rFonts w:hint="eastAsia" w:ascii="宋体" w:hAnsi="宋体" w:cs="宋体"/>
          <w:color w:val="auto"/>
          <w:sz w:val="22"/>
          <w:szCs w:val="22"/>
          <w:u w:val="single"/>
          <w:lang w:bidi="zh-CN"/>
        </w:rPr>
        <w:t>/</w:t>
      </w:r>
      <w:r>
        <w:rPr>
          <w:rFonts w:hint="eastAsia" w:ascii="宋体" w:hAnsi="宋体" w:cs="宋体"/>
          <w:color w:val="auto"/>
          <w:sz w:val="22"/>
          <w:szCs w:val="22"/>
          <w:u w:val="single"/>
          <w:lang w:val="zh-CN" w:bidi="zh-CN"/>
        </w:rPr>
        <w:t>小型企业</w:t>
      </w:r>
      <w:r>
        <w:rPr>
          <w:rFonts w:hint="eastAsia" w:ascii="宋体" w:hAnsi="宋体" w:cs="宋体"/>
          <w:color w:val="auto"/>
          <w:sz w:val="22"/>
          <w:szCs w:val="22"/>
          <w:u w:val="single"/>
          <w:lang w:bidi="zh-CN"/>
        </w:rPr>
        <w:t>/</w:t>
      </w:r>
      <w:r>
        <w:rPr>
          <w:rFonts w:hint="eastAsia" w:ascii="宋体" w:hAnsi="宋体" w:cs="宋体"/>
          <w:color w:val="auto"/>
          <w:sz w:val="22"/>
          <w:szCs w:val="22"/>
          <w:u w:val="single"/>
          <w:lang w:val="zh-CN" w:bidi="zh-CN"/>
        </w:rPr>
        <w:t>微型企业）</w:t>
      </w:r>
      <w:r>
        <w:rPr>
          <w:rFonts w:hint="eastAsia" w:ascii="宋体" w:hAnsi="宋体" w:cs="宋体"/>
          <w:color w:val="auto"/>
          <w:sz w:val="22"/>
          <w:szCs w:val="22"/>
        </w:rPr>
        <w:t>；</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rPr>
      </w:pPr>
      <w:r>
        <w:rPr>
          <w:rFonts w:hint="eastAsia" w:ascii="宋体" w:hAnsi="宋体" w:cs="宋体"/>
          <w:color w:val="auto"/>
          <w:sz w:val="22"/>
          <w:szCs w:val="22"/>
        </w:rPr>
        <w:t>2．联合体内部有关事项规定如下：</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rPr>
      </w:pPr>
      <w:r>
        <w:rPr>
          <w:rFonts w:hint="eastAsia" w:ascii="宋体" w:hAnsi="宋体" w:cs="宋体"/>
          <w:color w:val="auto"/>
          <w:sz w:val="22"/>
          <w:szCs w:val="22"/>
        </w:rPr>
        <w:t>（1）联合体由牵头人负责与业主联系；</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rPr>
      </w:pPr>
      <w:r>
        <w:rPr>
          <w:rFonts w:hint="eastAsia" w:ascii="宋体" w:hAnsi="宋体" w:cs="宋体"/>
          <w:color w:val="auto"/>
          <w:sz w:val="22"/>
          <w:szCs w:val="22"/>
        </w:rPr>
        <w:t>（2）投标工作由联合体牵头人负责，由双方组成的投标小组具体实施；联合体牵头人负责对投标文件进行签字或盖章；</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rPr>
      </w:pPr>
      <w:r>
        <w:rPr>
          <w:rFonts w:hint="eastAsia" w:ascii="宋体" w:hAnsi="宋体" w:cs="宋体"/>
          <w:color w:val="auto"/>
          <w:sz w:val="22"/>
          <w:szCs w:val="22"/>
        </w:rPr>
        <w:t>（3）联合体将严格按照招标文件的各项要求，递交投标文件，切实执行一切合同文件，共同承担合同规定的一切义务和责任，同时按照内部职责的划分，承担自身所负的责任和风险；</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u w:val="single"/>
        </w:rPr>
      </w:pPr>
      <w:r>
        <w:rPr>
          <w:rFonts w:hint="eastAsia" w:ascii="宋体" w:hAnsi="宋体" w:cs="宋体"/>
          <w:color w:val="auto"/>
          <w:sz w:val="22"/>
          <w:szCs w:val="22"/>
        </w:rPr>
        <w:t>（4）联合体各成员单位内部的职责分工如下：</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rPr>
      </w:pPr>
      <w:r>
        <w:rPr>
          <w:rFonts w:hint="eastAsia" w:ascii="宋体" w:hAnsi="宋体" w:cs="宋体"/>
          <w:color w:val="auto"/>
          <w:sz w:val="22"/>
          <w:szCs w:val="22"/>
        </w:rPr>
        <w:t>（5）联合体各成员约定</w:t>
      </w:r>
      <w:r>
        <w:rPr>
          <w:rFonts w:hint="eastAsia" w:ascii="宋体" w:hAnsi="宋体" w:cs="宋体"/>
          <w:color w:val="auto"/>
          <w:sz w:val="22"/>
          <w:szCs w:val="22"/>
          <w:u w:val="single"/>
        </w:rPr>
        <w:t xml:space="preserve">     （联合体成员）      </w:t>
      </w:r>
      <w:r>
        <w:rPr>
          <w:rFonts w:hint="eastAsia" w:ascii="宋体" w:hAnsi="宋体" w:cs="宋体"/>
          <w:color w:val="auto"/>
          <w:sz w:val="22"/>
          <w:szCs w:val="22"/>
        </w:rPr>
        <w:t>的</w:t>
      </w:r>
      <w:r>
        <w:rPr>
          <w:rFonts w:hint="eastAsia"/>
          <w:color w:val="auto"/>
          <w:sz w:val="22"/>
          <w:szCs w:val="22"/>
          <w:lang w:val="zh-CN"/>
        </w:rPr>
        <w:t>合同份额占到合同总金额</w:t>
      </w:r>
      <w:r>
        <w:rPr>
          <w:rFonts w:hint="eastAsia"/>
          <w:color w:val="auto"/>
          <w:sz w:val="22"/>
          <w:szCs w:val="22"/>
        </w:rPr>
        <w:t>的</w:t>
      </w:r>
      <w:r>
        <w:rPr>
          <w:rFonts w:hint="eastAsia"/>
          <w:color w:val="auto"/>
          <w:sz w:val="22"/>
          <w:szCs w:val="22"/>
          <w:lang w:val="zh-CN"/>
        </w:rPr>
        <w:t>%；</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u w:val="single"/>
        </w:rPr>
      </w:pPr>
      <w:r>
        <w:rPr>
          <w:rFonts w:hint="eastAsia" w:ascii="宋体" w:hAnsi="宋体" w:cs="宋体"/>
          <w:color w:val="auto"/>
          <w:sz w:val="22"/>
          <w:szCs w:val="22"/>
        </w:rPr>
        <w:t>（6）投标工作和联合体在中标后工程实施过程中的有关费用按各自承担的工作量分摊。</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rPr>
      </w:pPr>
      <w:r>
        <w:rPr>
          <w:rFonts w:hint="eastAsia" w:ascii="宋体" w:hAnsi="宋体" w:cs="宋体"/>
          <w:color w:val="auto"/>
          <w:sz w:val="22"/>
          <w:szCs w:val="22"/>
        </w:rPr>
        <w:t>3．本协议书自签署之日起生效，合同履行完毕后自动失效。</w:t>
      </w:r>
    </w:p>
    <w:p>
      <w:pPr>
        <w:widowControl/>
        <w:tabs>
          <w:tab w:val="left" w:pos="482"/>
          <w:tab w:val="left" w:pos="2183"/>
          <w:tab w:val="left" w:pos="3884"/>
          <w:tab w:val="left" w:pos="5585"/>
        </w:tabs>
        <w:adjustRightInd w:val="0"/>
        <w:spacing w:line="400" w:lineRule="exact"/>
        <w:ind w:firstLine="440" w:firstLineChars="200"/>
        <w:jc w:val="left"/>
        <w:textAlignment w:val="baseline"/>
        <w:rPr>
          <w:rFonts w:ascii="宋体" w:hAnsi="宋体" w:cs="宋体"/>
          <w:color w:val="auto"/>
          <w:sz w:val="22"/>
          <w:szCs w:val="22"/>
        </w:rPr>
      </w:pPr>
    </w:p>
    <w:p>
      <w:pPr>
        <w:widowControl/>
        <w:tabs>
          <w:tab w:val="left" w:pos="482"/>
          <w:tab w:val="left" w:pos="2183"/>
          <w:tab w:val="left" w:pos="3884"/>
          <w:tab w:val="left" w:pos="5585"/>
        </w:tabs>
        <w:spacing w:before="100" w:beforeAutospacing="1" w:after="100" w:afterAutospacing="1" w:line="4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 xml:space="preserve">联合体牵头人名称（盖章）：       </w:t>
      </w:r>
    </w:p>
    <w:p>
      <w:pPr>
        <w:widowControl/>
        <w:tabs>
          <w:tab w:val="left" w:pos="482"/>
          <w:tab w:val="left" w:pos="2183"/>
          <w:tab w:val="left" w:pos="3884"/>
          <w:tab w:val="left" w:pos="5585"/>
        </w:tabs>
        <w:spacing w:before="100" w:beforeAutospacing="1" w:after="100" w:afterAutospacing="1" w:line="400" w:lineRule="exact"/>
        <w:ind w:firstLine="440" w:firstLineChars="200"/>
        <w:jc w:val="left"/>
        <w:rPr>
          <w:rFonts w:ascii="宋体" w:hAnsi="宋体" w:cs="宋体"/>
          <w:color w:val="auto"/>
          <w:sz w:val="22"/>
          <w:szCs w:val="22"/>
        </w:rPr>
      </w:pPr>
      <w:r>
        <w:rPr>
          <w:rFonts w:hint="eastAsia" w:ascii="宋体" w:hAnsi="宋体" w:cs="宋体"/>
          <w:color w:val="auto"/>
          <w:sz w:val="22"/>
          <w:szCs w:val="22"/>
        </w:rPr>
        <w:t>法定代表人（签字或盖章）</w:t>
      </w:r>
    </w:p>
    <w:p>
      <w:pPr>
        <w:widowControl/>
        <w:tabs>
          <w:tab w:val="left" w:pos="482"/>
          <w:tab w:val="left" w:pos="2183"/>
          <w:tab w:val="left" w:pos="3884"/>
          <w:tab w:val="left" w:pos="5585"/>
        </w:tabs>
        <w:spacing w:before="100" w:beforeAutospacing="1" w:after="100" w:afterAutospacing="1" w:line="400" w:lineRule="exact"/>
        <w:jc w:val="left"/>
        <w:rPr>
          <w:rFonts w:ascii="宋体" w:hAnsi="宋体" w:cs="宋体"/>
          <w:color w:val="auto"/>
          <w:sz w:val="22"/>
          <w:szCs w:val="22"/>
        </w:rPr>
      </w:pPr>
    </w:p>
    <w:p>
      <w:pPr>
        <w:tabs>
          <w:tab w:val="left" w:pos="482"/>
          <w:tab w:val="left" w:pos="2183"/>
          <w:tab w:val="left" w:pos="3884"/>
          <w:tab w:val="left" w:pos="5585"/>
        </w:tabs>
        <w:ind w:firstLine="440" w:firstLineChars="200"/>
        <w:jc w:val="left"/>
        <w:rPr>
          <w:rFonts w:ascii="宋体" w:hAnsi="宋体" w:cs="宋体"/>
          <w:color w:val="auto"/>
          <w:sz w:val="22"/>
          <w:szCs w:val="22"/>
        </w:rPr>
      </w:pPr>
      <w:r>
        <w:rPr>
          <w:rFonts w:hint="eastAsia" w:ascii="宋体" w:hAnsi="宋体" w:cs="宋体"/>
          <w:color w:val="auto"/>
          <w:sz w:val="22"/>
          <w:szCs w:val="22"/>
        </w:rPr>
        <w:t>联合体成员名称（盖章）：</w:t>
      </w:r>
    </w:p>
    <w:p>
      <w:pPr>
        <w:tabs>
          <w:tab w:val="left" w:pos="482"/>
          <w:tab w:val="left" w:pos="2183"/>
          <w:tab w:val="left" w:pos="3884"/>
          <w:tab w:val="left" w:pos="5585"/>
        </w:tabs>
        <w:ind w:firstLine="440" w:firstLineChars="200"/>
        <w:jc w:val="left"/>
        <w:rPr>
          <w:rFonts w:ascii="宋体" w:hAnsi="宋体" w:cs="宋体"/>
          <w:color w:val="auto"/>
          <w:sz w:val="22"/>
          <w:szCs w:val="22"/>
        </w:rPr>
      </w:pPr>
    </w:p>
    <w:p>
      <w:pPr>
        <w:tabs>
          <w:tab w:val="left" w:pos="482"/>
          <w:tab w:val="left" w:pos="2183"/>
          <w:tab w:val="left" w:pos="3884"/>
          <w:tab w:val="left" w:pos="5585"/>
        </w:tabs>
        <w:jc w:val="left"/>
        <w:rPr>
          <w:rFonts w:ascii="宋体" w:hAnsi="宋体" w:cs="宋体"/>
          <w:color w:val="auto"/>
          <w:sz w:val="22"/>
          <w:szCs w:val="22"/>
        </w:rPr>
      </w:pPr>
      <w:r>
        <w:rPr>
          <w:rFonts w:hint="eastAsia" w:ascii="宋体" w:hAnsi="宋体" w:cs="宋体"/>
          <w:color w:val="auto"/>
          <w:sz w:val="22"/>
          <w:szCs w:val="22"/>
        </w:rPr>
        <w:t xml:space="preserve">    法定代表人（签字或盖章）</w:t>
      </w:r>
    </w:p>
    <w:p>
      <w:pPr>
        <w:tabs>
          <w:tab w:val="left" w:pos="482"/>
          <w:tab w:val="left" w:pos="2183"/>
          <w:tab w:val="left" w:pos="3884"/>
          <w:tab w:val="left" w:pos="5585"/>
        </w:tabs>
        <w:jc w:val="left"/>
        <w:rPr>
          <w:rFonts w:ascii="宋体" w:hAnsi="宋体" w:cs="宋体"/>
          <w:color w:val="auto"/>
          <w:sz w:val="22"/>
          <w:szCs w:val="22"/>
        </w:rPr>
      </w:pPr>
    </w:p>
    <w:p>
      <w:pPr>
        <w:widowControl/>
        <w:tabs>
          <w:tab w:val="left" w:pos="482"/>
          <w:tab w:val="left" w:pos="2183"/>
          <w:tab w:val="left" w:pos="3884"/>
          <w:tab w:val="left" w:pos="5585"/>
        </w:tabs>
        <w:wordWrap w:val="0"/>
        <w:autoSpaceDE w:val="0"/>
        <w:autoSpaceDN w:val="0"/>
        <w:ind w:left="262"/>
        <w:jc w:val="right"/>
        <w:rPr>
          <w:rFonts w:ascii="宋体" w:hAnsi="宋体" w:cs="宋体"/>
          <w:color w:val="auto"/>
          <w:sz w:val="22"/>
          <w:szCs w:val="22"/>
        </w:rPr>
      </w:pPr>
    </w:p>
    <w:p>
      <w:pPr>
        <w:widowControl/>
        <w:tabs>
          <w:tab w:val="left" w:pos="482"/>
          <w:tab w:val="left" w:pos="2183"/>
          <w:tab w:val="left" w:pos="3884"/>
          <w:tab w:val="left" w:pos="5585"/>
        </w:tabs>
        <w:wordWrap w:val="0"/>
        <w:autoSpaceDE w:val="0"/>
        <w:autoSpaceDN w:val="0"/>
        <w:ind w:left="262"/>
        <w:jc w:val="right"/>
        <w:rPr>
          <w:rFonts w:ascii="宋体" w:hAnsi="宋体"/>
          <w:color w:val="auto"/>
          <w:sz w:val="22"/>
          <w:szCs w:val="22"/>
        </w:rPr>
      </w:pPr>
      <w:r>
        <w:rPr>
          <w:rFonts w:hint="eastAsia" w:ascii="宋体" w:hAnsi="宋体" w:cs="宋体"/>
          <w:color w:val="auto"/>
          <w:sz w:val="22"/>
          <w:szCs w:val="22"/>
        </w:rPr>
        <w:t>年    月    日</w:t>
      </w:r>
    </w:p>
    <w:p>
      <w:pPr>
        <w:pStyle w:val="7"/>
        <w:rPr>
          <w:color w:val="auto"/>
          <w:sz w:val="22"/>
          <w:szCs w:val="22"/>
        </w:rPr>
      </w:pPr>
    </w:p>
    <w:p>
      <w:pPr>
        <w:spacing w:line="380" w:lineRule="exact"/>
        <w:rPr>
          <w:rFonts w:ascii="宋体"/>
          <w:b/>
          <w:bCs/>
          <w:color w:val="auto"/>
          <w:sz w:val="22"/>
          <w:szCs w:val="22"/>
        </w:rPr>
      </w:pPr>
    </w:p>
    <w:p>
      <w:pPr>
        <w:rPr>
          <w:rFonts w:ascii="宋体"/>
          <w:b/>
          <w:bCs/>
          <w:color w:val="auto"/>
          <w:sz w:val="22"/>
          <w:szCs w:val="22"/>
        </w:rPr>
      </w:pPr>
      <w:r>
        <w:rPr>
          <w:rFonts w:ascii="宋体"/>
          <w:b/>
          <w:bCs/>
          <w:color w:val="auto"/>
          <w:sz w:val="22"/>
          <w:szCs w:val="22"/>
        </w:rPr>
        <w:br w:type="page"/>
      </w:r>
    </w:p>
    <w:p>
      <w:pPr>
        <w:pStyle w:val="25"/>
        <w:rPr>
          <w:color w:val="auto"/>
        </w:rPr>
      </w:pPr>
    </w:p>
    <w:p>
      <w:pPr>
        <w:spacing w:line="460" w:lineRule="exact"/>
        <w:jc w:val="center"/>
        <w:rPr>
          <w:rFonts w:ascii="宋体" w:hAnsi="宋体"/>
          <w:b/>
          <w:bCs/>
          <w:color w:val="auto"/>
          <w:sz w:val="28"/>
          <w:szCs w:val="28"/>
        </w:rPr>
      </w:pPr>
    </w:p>
    <w:p>
      <w:pPr>
        <w:spacing w:line="380" w:lineRule="exact"/>
        <w:rPr>
          <w:rFonts w:ascii="宋体" w:hAnsi="宋体"/>
          <w:b/>
          <w:bCs/>
          <w:color w:val="auto"/>
          <w:sz w:val="22"/>
          <w:szCs w:val="22"/>
        </w:rPr>
      </w:pPr>
      <w:r>
        <w:rPr>
          <w:rFonts w:hint="eastAsia" w:ascii="宋体" w:hAnsi="宋体"/>
          <w:b/>
          <w:bCs/>
          <w:color w:val="auto"/>
          <w:sz w:val="22"/>
          <w:szCs w:val="22"/>
        </w:rPr>
        <w:t xml:space="preserve">附件二 </w:t>
      </w:r>
    </w:p>
    <w:p>
      <w:pPr>
        <w:spacing w:line="460" w:lineRule="exact"/>
        <w:jc w:val="center"/>
        <w:rPr>
          <w:rFonts w:ascii="宋体" w:hAnsi="宋体"/>
          <w:b/>
          <w:bCs/>
          <w:color w:val="auto"/>
          <w:sz w:val="28"/>
          <w:szCs w:val="28"/>
        </w:rPr>
      </w:pPr>
      <w:r>
        <w:rPr>
          <w:rFonts w:hint="eastAsia" w:ascii="宋体" w:hAnsi="宋体"/>
          <w:b/>
          <w:bCs/>
          <w:color w:val="auto"/>
          <w:sz w:val="28"/>
          <w:szCs w:val="28"/>
        </w:rPr>
        <w:t>（1）开标一览表</w:t>
      </w:r>
    </w:p>
    <w:p>
      <w:pPr>
        <w:spacing w:line="380" w:lineRule="exact"/>
        <w:jc w:val="center"/>
        <w:rPr>
          <w:rFonts w:ascii="宋体" w:hAnsi="宋体"/>
          <w:b/>
          <w:bCs/>
          <w:color w:val="auto"/>
          <w:sz w:val="28"/>
        </w:rPr>
      </w:pPr>
    </w:p>
    <w:p>
      <w:pPr>
        <w:spacing w:line="380" w:lineRule="exact"/>
        <w:ind w:right="349" w:rightChars="166"/>
        <w:rPr>
          <w:rFonts w:ascii="宋体" w:hAnsi="宋体"/>
          <w:b/>
          <w:color w:val="auto"/>
          <w:sz w:val="22"/>
        </w:rPr>
      </w:pPr>
      <w:r>
        <w:rPr>
          <w:rFonts w:hint="eastAsia" w:ascii="宋体" w:hAnsi="宋体"/>
          <w:b/>
          <w:color w:val="auto"/>
          <w:sz w:val="22"/>
        </w:rPr>
        <w:t xml:space="preserve">                                                             单位：人民币元</w:t>
      </w:r>
    </w:p>
    <w:tbl>
      <w:tblPr>
        <w:tblStyle w:val="63"/>
        <w:tblW w:w="9468"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98"/>
        <w:gridCol w:w="2017"/>
        <w:gridCol w:w="444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8" w:hRule="exact"/>
        </w:trPr>
        <w:tc>
          <w:tcPr>
            <w:tcW w:w="710" w:type="dxa"/>
            <w:vAlign w:val="center"/>
          </w:tcPr>
          <w:p>
            <w:pPr>
              <w:spacing w:line="460" w:lineRule="exact"/>
              <w:jc w:val="center"/>
              <w:rPr>
                <w:rFonts w:ascii="宋体" w:hAnsi="宋体" w:cs="Arial"/>
                <w:b/>
                <w:snapToGrid w:val="0"/>
                <w:color w:val="auto"/>
                <w:kern w:val="0"/>
                <w:sz w:val="22"/>
                <w:szCs w:val="22"/>
              </w:rPr>
            </w:pPr>
            <w:r>
              <w:rPr>
                <w:rFonts w:ascii="宋体" w:hAnsi="宋体" w:cs="Arial"/>
                <w:b/>
                <w:snapToGrid w:val="0"/>
                <w:color w:val="auto"/>
                <w:kern w:val="0"/>
                <w:sz w:val="22"/>
                <w:szCs w:val="22"/>
              </w:rPr>
              <w:t>序号</w:t>
            </w:r>
          </w:p>
        </w:tc>
        <w:tc>
          <w:tcPr>
            <w:tcW w:w="4315" w:type="dxa"/>
            <w:gridSpan w:val="2"/>
            <w:vAlign w:val="center"/>
          </w:tcPr>
          <w:p>
            <w:pPr>
              <w:spacing w:line="460" w:lineRule="exact"/>
              <w:jc w:val="center"/>
              <w:rPr>
                <w:rFonts w:ascii="宋体" w:hAnsi="宋体" w:cs="Arial"/>
                <w:b/>
                <w:snapToGrid w:val="0"/>
                <w:color w:val="auto"/>
                <w:kern w:val="0"/>
                <w:sz w:val="22"/>
                <w:szCs w:val="22"/>
              </w:rPr>
            </w:pPr>
            <w:r>
              <w:rPr>
                <w:rFonts w:hint="eastAsia" w:ascii="宋体" w:hAnsi="宋体" w:cs="Arial"/>
                <w:b/>
                <w:snapToGrid w:val="0"/>
                <w:color w:val="auto"/>
                <w:kern w:val="0"/>
                <w:sz w:val="22"/>
                <w:szCs w:val="22"/>
              </w:rPr>
              <w:t>项目</w:t>
            </w:r>
            <w:r>
              <w:rPr>
                <w:rFonts w:ascii="宋体" w:hAnsi="宋体" w:cs="Arial"/>
                <w:b/>
                <w:snapToGrid w:val="0"/>
                <w:color w:val="auto"/>
                <w:kern w:val="0"/>
                <w:sz w:val="22"/>
                <w:szCs w:val="22"/>
              </w:rPr>
              <w:t>名称</w:t>
            </w:r>
          </w:p>
        </w:tc>
        <w:tc>
          <w:tcPr>
            <w:tcW w:w="4443" w:type="dxa"/>
            <w:vAlign w:val="center"/>
          </w:tcPr>
          <w:p>
            <w:pPr>
              <w:spacing w:line="460" w:lineRule="exact"/>
              <w:jc w:val="center"/>
              <w:rPr>
                <w:rFonts w:ascii="宋体" w:hAnsi="宋体" w:cs="Arial"/>
                <w:b/>
                <w:snapToGrid w:val="0"/>
                <w:color w:val="auto"/>
                <w:kern w:val="0"/>
                <w:sz w:val="22"/>
                <w:szCs w:val="22"/>
              </w:rPr>
            </w:pPr>
            <w:r>
              <w:rPr>
                <w:rFonts w:hint="eastAsia" w:ascii="宋体" w:hAnsi="宋体" w:cs="Arial"/>
                <w:b/>
                <w:snapToGrid w:val="0"/>
                <w:color w:val="auto"/>
                <w:kern w:val="0"/>
                <w:sz w:val="22"/>
                <w:szCs w:val="22"/>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710" w:type="dxa"/>
            <w:vAlign w:val="center"/>
          </w:tcPr>
          <w:p>
            <w:pPr>
              <w:spacing w:line="460" w:lineRule="exact"/>
              <w:jc w:val="center"/>
              <w:rPr>
                <w:rFonts w:ascii="宋体" w:hAnsi="宋体" w:cs="Arial"/>
                <w:b/>
                <w:snapToGrid w:val="0"/>
                <w:color w:val="auto"/>
                <w:kern w:val="0"/>
                <w:sz w:val="22"/>
                <w:szCs w:val="22"/>
              </w:rPr>
            </w:pPr>
            <w:r>
              <w:rPr>
                <w:rFonts w:ascii="宋体" w:hAnsi="宋体" w:cs="Arial"/>
                <w:b/>
                <w:snapToGrid w:val="0"/>
                <w:color w:val="auto"/>
                <w:kern w:val="0"/>
                <w:sz w:val="22"/>
                <w:szCs w:val="22"/>
              </w:rPr>
              <w:t>1</w:t>
            </w:r>
          </w:p>
        </w:tc>
        <w:tc>
          <w:tcPr>
            <w:tcW w:w="4315" w:type="dxa"/>
            <w:gridSpan w:val="2"/>
            <w:vAlign w:val="center"/>
          </w:tcPr>
          <w:p>
            <w:pPr>
              <w:spacing w:line="460" w:lineRule="exact"/>
              <w:jc w:val="center"/>
              <w:rPr>
                <w:rFonts w:ascii="宋体" w:hAnsi="宋体" w:cs="Arial"/>
                <w:snapToGrid w:val="0"/>
                <w:color w:val="auto"/>
                <w:kern w:val="0"/>
                <w:sz w:val="22"/>
                <w:szCs w:val="22"/>
              </w:rPr>
            </w:pPr>
          </w:p>
        </w:tc>
        <w:tc>
          <w:tcPr>
            <w:tcW w:w="4443" w:type="dxa"/>
            <w:vAlign w:val="center"/>
          </w:tcPr>
          <w:p>
            <w:pPr>
              <w:spacing w:line="460" w:lineRule="exact"/>
              <w:jc w:val="center"/>
              <w:rPr>
                <w:rFonts w:ascii="宋体" w:hAnsi="宋体" w:cs="Arial"/>
                <w:b/>
                <w:snapToGrid w:val="0"/>
                <w:color w:val="auto"/>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2" w:hRule="atLeast"/>
        </w:trPr>
        <w:tc>
          <w:tcPr>
            <w:tcW w:w="3008" w:type="dxa"/>
            <w:gridSpan w:val="2"/>
            <w:vAlign w:val="center"/>
          </w:tcPr>
          <w:p>
            <w:pPr>
              <w:spacing w:line="460" w:lineRule="exact"/>
              <w:jc w:val="center"/>
              <w:rPr>
                <w:rFonts w:ascii="宋体" w:hAnsi="宋体" w:cs="Arial"/>
                <w:b/>
                <w:snapToGrid w:val="0"/>
                <w:color w:val="auto"/>
                <w:kern w:val="0"/>
                <w:sz w:val="22"/>
                <w:szCs w:val="22"/>
              </w:rPr>
            </w:pPr>
            <w:r>
              <w:rPr>
                <w:rFonts w:ascii="宋体" w:hAnsi="宋体" w:cs="Arial"/>
                <w:b/>
                <w:snapToGrid w:val="0"/>
                <w:color w:val="auto"/>
                <w:kern w:val="0"/>
                <w:sz w:val="22"/>
                <w:szCs w:val="22"/>
              </w:rPr>
              <w:t>投标</w:t>
            </w:r>
            <w:r>
              <w:rPr>
                <w:rFonts w:hint="eastAsia" w:ascii="宋体" w:hAnsi="宋体" w:cs="Arial"/>
                <w:b/>
                <w:snapToGrid w:val="0"/>
                <w:color w:val="auto"/>
                <w:kern w:val="0"/>
                <w:sz w:val="22"/>
                <w:szCs w:val="22"/>
              </w:rPr>
              <w:t>报价</w:t>
            </w:r>
          </w:p>
        </w:tc>
        <w:tc>
          <w:tcPr>
            <w:tcW w:w="6460" w:type="dxa"/>
            <w:gridSpan w:val="2"/>
            <w:vAlign w:val="center"/>
          </w:tcPr>
          <w:p>
            <w:pPr>
              <w:spacing w:line="460" w:lineRule="exact"/>
              <w:rPr>
                <w:rFonts w:ascii="宋体" w:hAnsi="宋体" w:cs="Arial"/>
                <w:b/>
                <w:snapToGrid w:val="0"/>
                <w:color w:val="auto"/>
                <w:kern w:val="0"/>
                <w:sz w:val="22"/>
                <w:szCs w:val="22"/>
              </w:rPr>
            </w:pPr>
            <w:r>
              <w:rPr>
                <w:rFonts w:ascii="宋体" w:hAnsi="宋体" w:cs="Arial"/>
                <w:b/>
                <w:snapToGrid w:val="0"/>
                <w:color w:val="auto"/>
                <w:kern w:val="0"/>
                <w:sz w:val="22"/>
                <w:szCs w:val="22"/>
              </w:rPr>
              <w:t xml:space="preserve">大写：    </w:t>
            </w:r>
          </w:p>
          <w:p>
            <w:pPr>
              <w:spacing w:line="460" w:lineRule="exact"/>
              <w:rPr>
                <w:rFonts w:ascii="宋体" w:hAnsi="宋体" w:cs="Arial"/>
                <w:b/>
                <w:snapToGrid w:val="0"/>
                <w:color w:val="auto"/>
                <w:kern w:val="0"/>
                <w:sz w:val="22"/>
                <w:szCs w:val="22"/>
              </w:rPr>
            </w:pPr>
            <w:r>
              <w:rPr>
                <w:rFonts w:ascii="宋体" w:hAnsi="宋体" w:cs="Arial"/>
                <w:b/>
                <w:snapToGrid w:val="0"/>
                <w:color w:val="auto"/>
                <w:kern w:val="0"/>
                <w:sz w:val="22"/>
                <w:szCs w:val="22"/>
              </w:rPr>
              <w:t xml:space="preserve">小写（￥）：      </w:t>
            </w:r>
          </w:p>
        </w:tc>
      </w:tr>
    </w:tbl>
    <w:p>
      <w:pPr>
        <w:spacing w:line="460" w:lineRule="exact"/>
        <w:rPr>
          <w:rFonts w:ascii="宋体" w:hAnsi="宋体"/>
          <w:color w:val="auto"/>
          <w:sz w:val="22"/>
          <w:szCs w:val="22"/>
        </w:rPr>
      </w:pPr>
    </w:p>
    <w:p>
      <w:pPr>
        <w:spacing w:line="380" w:lineRule="exact"/>
        <w:ind w:right="349" w:rightChars="166" w:firstLine="331" w:firstLineChars="150"/>
        <w:rPr>
          <w:rFonts w:ascii="宋体" w:hAnsi="宋体"/>
          <w:b/>
          <w:color w:val="auto"/>
          <w:sz w:val="22"/>
        </w:rPr>
      </w:pPr>
    </w:p>
    <w:p>
      <w:pPr>
        <w:spacing w:line="380" w:lineRule="exact"/>
        <w:ind w:left="528" w:leftChars="-15" w:hanging="559" w:hangingChars="253"/>
        <w:rPr>
          <w:rFonts w:ascii="宋体" w:hAnsi="宋体"/>
          <w:b/>
          <w:color w:val="auto"/>
          <w:sz w:val="22"/>
        </w:rPr>
      </w:pPr>
      <w:r>
        <w:rPr>
          <w:rFonts w:hint="eastAsia" w:ascii="宋体" w:hAnsi="宋体"/>
          <w:b/>
          <w:color w:val="auto"/>
          <w:sz w:val="22"/>
        </w:rPr>
        <w:t>说明：</w:t>
      </w:r>
    </w:p>
    <w:p>
      <w:pPr>
        <w:spacing w:line="380" w:lineRule="exact"/>
        <w:ind w:left="528" w:leftChars="-15" w:hanging="559" w:hangingChars="253"/>
        <w:rPr>
          <w:rFonts w:ascii="宋体" w:hAnsi="宋体" w:cs="Arial"/>
          <w:b/>
          <w:bCs/>
          <w:color w:val="auto"/>
          <w:sz w:val="22"/>
          <w:szCs w:val="22"/>
        </w:rPr>
      </w:pPr>
      <w:r>
        <w:rPr>
          <w:rFonts w:hint="eastAsia" w:ascii="宋体" w:hAnsi="宋体" w:cs="Arial"/>
          <w:b/>
          <w:bCs/>
          <w:color w:val="auto"/>
          <w:sz w:val="22"/>
          <w:szCs w:val="22"/>
        </w:rPr>
        <w:t>1、《开标一览表》中“投标报价”应与（2）</w:t>
      </w:r>
      <w:r>
        <w:rPr>
          <w:rFonts w:hint="eastAsia" w:ascii="宋体" w:hAnsi="宋体"/>
          <w:b/>
          <w:color w:val="auto"/>
          <w:sz w:val="22"/>
        </w:rPr>
        <w:t>《投标分项报价表》中“投标总价”相一致</w:t>
      </w:r>
      <w:r>
        <w:rPr>
          <w:rFonts w:hint="eastAsia" w:ascii="宋体" w:hAnsi="宋体" w:cs="Arial"/>
          <w:b/>
          <w:bCs/>
          <w:color w:val="auto"/>
          <w:sz w:val="22"/>
          <w:szCs w:val="22"/>
        </w:rPr>
        <w:t xml:space="preserve">。 </w:t>
      </w:r>
    </w:p>
    <w:p>
      <w:pPr>
        <w:spacing w:line="380" w:lineRule="exact"/>
        <w:ind w:left="532" w:leftChars="-66" w:hanging="671" w:hangingChars="304"/>
        <w:rPr>
          <w:rFonts w:ascii="宋体" w:hAnsi="宋体"/>
          <w:b/>
          <w:color w:val="auto"/>
          <w:sz w:val="22"/>
        </w:rPr>
      </w:pPr>
      <w:r>
        <w:rPr>
          <w:rFonts w:hint="eastAsia" w:ascii="宋体" w:hAnsi="宋体" w:cs="Arial"/>
          <w:b/>
          <w:bCs/>
          <w:color w:val="auto"/>
          <w:sz w:val="22"/>
          <w:szCs w:val="22"/>
        </w:rPr>
        <w:t>2、▲</w:t>
      </w:r>
      <w:r>
        <w:rPr>
          <w:rFonts w:hint="eastAsia" w:ascii="宋体" w:hAnsi="宋体" w:cs="Arial"/>
          <w:b/>
          <w:color w:val="auto"/>
          <w:sz w:val="22"/>
          <w:szCs w:val="22"/>
          <w:u w:val="single"/>
        </w:rPr>
        <w:t>不按要求提供开标一览表的投标文件将被视为未实质性响应招标文件</w:t>
      </w:r>
      <w:r>
        <w:rPr>
          <w:rFonts w:hint="eastAsia" w:ascii="宋体" w:hAnsi="宋体"/>
          <w:b/>
          <w:color w:val="auto"/>
          <w:sz w:val="22"/>
          <w:u w:val="single"/>
        </w:rPr>
        <w:t>。</w:t>
      </w:r>
    </w:p>
    <w:p>
      <w:pPr>
        <w:spacing w:line="380" w:lineRule="exact"/>
        <w:ind w:firstLine="660" w:firstLineChars="300"/>
        <w:rPr>
          <w:rFonts w:ascii="宋体" w:hAnsi="宋体"/>
          <w:color w:val="auto"/>
          <w:sz w:val="22"/>
          <w:szCs w:val="22"/>
        </w:rPr>
      </w:pPr>
    </w:p>
    <w:p>
      <w:pPr>
        <w:spacing w:line="380" w:lineRule="exact"/>
        <w:rPr>
          <w:rFonts w:ascii="宋体" w:hAnsi="宋体"/>
          <w:color w:val="auto"/>
          <w:sz w:val="22"/>
          <w:szCs w:val="22"/>
        </w:rPr>
      </w:pPr>
      <w:r>
        <w:rPr>
          <w:rFonts w:hint="eastAsia" w:ascii="宋体" w:hAnsi="宋体"/>
          <w:color w:val="auto"/>
          <w:sz w:val="22"/>
          <w:szCs w:val="22"/>
        </w:rPr>
        <w:t>投标人全称（盖章）：</w:t>
      </w:r>
    </w:p>
    <w:p>
      <w:pPr>
        <w:spacing w:line="380" w:lineRule="exact"/>
        <w:rPr>
          <w:rFonts w:ascii="宋体" w:hAnsi="宋体"/>
          <w:color w:val="auto"/>
          <w:sz w:val="22"/>
          <w:szCs w:val="22"/>
        </w:rPr>
      </w:pPr>
      <w:r>
        <w:rPr>
          <w:rFonts w:hint="eastAsia" w:ascii="宋体" w:hAnsi="宋体"/>
          <w:color w:val="auto"/>
          <w:sz w:val="22"/>
          <w:szCs w:val="22"/>
        </w:rPr>
        <w:t>法定代表人或授权代表（签字或盖章）：</w:t>
      </w:r>
    </w:p>
    <w:p>
      <w:pPr>
        <w:spacing w:line="380" w:lineRule="exact"/>
        <w:rPr>
          <w:rFonts w:ascii="宋体" w:hAnsi="宋体"/>
          <w:color w:val="auto"/>
          <w:sz w:val="22"/>
          <w:szCs w:val="22"/>
        </w:rPr>
      </w:pPr>
      <w:r>
        <w:rPr>
          <w:rFonts w:hint="eastAsia" w:ascii="宋体" w:hAnsi="宋体"/>
          <w:color w:val="auto"/>
          <w:sz w:val="22"/>
          <w:szCs w:val="22"/>
        </w:rPr>
        <w:t>日 期：  年  月  日</w:t>
      </w:r>
    </w:p>
    <w:p>
      <w:pPr>
        <w:spacing w:line="460" w:lineRule="exact"/>
        <w:rPr>
          <w:rFonts w:ascii="宋体" w:hAnsi="宋体"/>
          <w:b/>
          <w:bCs/>
          <w:color w:val="auto"/>
          <w:sz w:val="22"/>
          <w:szCs w:val="22"/>
        </w:rPr>
      </w:pPr>
      <w:r>
        <w:rPr>
          <w:rFonts w:hint="eastAsia" w:ascii="宋体" w:hAnsi="宋体"/>
          <w:color w:val="auto"/>
          <w:sz w:val="22"/>
          <w:szCs w:val="22"/>
        </w:rPr>
        <w:br w:type="page"/>
      </w:r>
    </w:p>
    <w:p>
      <w:pPr>
        <w:spacing w:line="380" w:lineRule="exact"/>
        <w:jc w:val="center"/>
        <w:rPr>
          <w:rFonts w:ascii="宋体" w:hAnsi="宋体"/>
          <w:b/>
          <w:bCs/>
          <w:color w:val="auto"/>
          <w:sz w:val="28"/>
          <w:szCs w:val="28"/>
        </w:rPr>
      </w:pPr>
      <w:r>
        <w:rPr>
          <w:rFonts w:hint="eastAsia" w:ascii="宋体" w:hAnsi="宋体"/>
          <w:b/>
          <w:bCs/>
          <w:color w:val="auto"/>
          <w:sz w:val="28"/>
          <w:szCs w:val="28"/>
        </w:rPr>
        <w:t>（2）</w:t>
      </w:r>
      <w:r>
        <w:rPr>
          <w:rFonts w:ascii="宋体" w:hAnsi="宋体"/>
          <w:b/>
          <w:bCs/>
          <w:color w:val="auto"/>
          <w:sz w:val="28"/>
          <w:szCs w:val="28"/>
        </w:rPr>
        <w:t>投标分项报价表</w:t>
      </w:r>
    </w:p>
    <w:p>
      <w:pPr>
        <w:spacing w:line="380" w:lineRule="exact"/>
        <w:jc w:val="center"/>
        <w:rPr>
          <w:rFonts w:ascii="宋体" w:hAnsi="宋体"/>
          <w:b/>
          <w:bCs/>
          <w:color w:val="auto"/>
          <w:sz w:val="28"/>
          <w:szCs w:val="28"/>
        </w:rPr>
      </w:pPr>
    </w:p>
    <w:tbl>
      <w:tblPr>
        <w:tblStyle w:val="63"/>
        <w:tblW w:w="99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3815"/>
        <w:gridCol w:w="2656"/>
        <w:gridCol w:w="2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810" w:type="dxa"/>
            <w:vAlign w:val="center"/>
          </w:tcPr>
          <w:p>
            <w:pPr>
              <w:jc w:val="center"/>
              <w:rPr>
                <w:rFonts w:ascii="宋体" w:hAnsi="宋体"/>
                <w:color w:val="auto"/>
                <w:sz w:val="22"/>
                <w:szCs w:val="22"/>
              </w:rPr>
            </w:pPr>
            <w:r>
              <w:rPr>
                <w:rFonts w:hint="eastAsia" w:ascii="宋体" w:hAnsi="宋体"/>
                <w:color w:val="auto"/>
                <w:sz w:val="22"/>
                <w:szCs w:val="22"/>
              </w:rPr>
              <w:t>序号</w:t>
            </w:r>
          </w:p>
        </w:tc>
        <w:tc>
          <w:tcPr>
            <w:tcW w:w="3815" w:type="dxa"/>
            <w:vAlign w:val="center"/>
          </w:tcPr>
          <w:p>
            <w:pPr>
              <w:jc w:val="center"/>
              <w:rPr>
                <w:rFonts w:ascii="宋体" w:hAnsi="宋体"/>
                <w:color w:val="auto"/>
                <w:sz w:val="22"/>
                <w:szCs w:val="22"/>
              </w:rPr>
            </w:pPr>
            <w:r>
              <w:rPr>
                <w:rFonts w:hint="eastAsia" w:ascii="宋体" w:hAnsi="宋体"/>
                <w:color w:val="auto"/>
                <w:sz w:val="22"/>
                <w:szCs w:val="22"/>
              </w:rPr>
              <w:t>项目内容</w:t>
            </w:r>
          </w:p>
        </w:tc>
        <w:tc>
          <w:tcPr>
            <w:tcW w:w="2656" w:type="dxa"/>
            <w:vAlign w:val="center"/>
          </w:tcPr>
          <w:p>
            <w:pPr>
              <w:jc w:val="center"/>
              <w:rPr>
                <w:rFonts w:ascii="宋体" w:hAnsi="宋体"/>
                <w:color w:val="auto"/>
                <w:sz w:val="22"/>
                <w:szCs w:val="22"/>
              </w:rPr>
            </w:pPr>
            <w:r>
              <w:rPr>
                <w:rFonts w:hint="eastAsia" w:ascii="宋体" w:hAnsi="宋体"/>
                <w:color w:val="auto"/>
                <w:sz w:val="22"/>
                <w:szCs w:val="22"/>
              </w:rPr>
              <w:t>描述</w:t>
            </w:r>
          </w:p>
        </w:tc>
        <w:tc>
          <w:tcPr>
            <w:tcW w:w="2656" w:type="dxa"/>
            <w:vAlign w:val="center"/>
          </w:tcPr>
          <w:p>
            <w:pPr>
              <w:jc w:val="center"/>
              <w:rPr>
                <w:rFonts w:ascii="宋体" w:hAnsi="宋体"/>
                <w:color w:val="auto"/>
                <w:sz w:val="22"/>
                <w:szCs w:val="22"/>
              </w:rPr>
            </w:pPr>
            <w:r>
              <w:rPr>
                <w:rFonts w:hint="eastAsia" w:ascii="宋体" w:hAnsi="宋体"/>
                <w:color w:val="auto"/>
                <w:sz w:val="22"/>
                <w:szCs w:val="22"/>
              </w:rPr>
              <w:t>报价（人民币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0" w:type="dxa"/>
            <w:vAlign w:val="center"/>
          </w:tcPr>
          <w:p>
            <w:pPr>
              <w:jc w:val="center"/>
              <w:rPr>
                <w:rFonts w:ascii="宋体" w:hAnsi="宋体"/>
                <w:color w:val="auto"/>
                <w:sz w:val="22"/>
                <w:szCs w:val="22"/>
              </w:rPr>
            </w:pPr>
            <w:r>
              <w:rPr>
                <w:rFonts w:hint="eastAsia" w:ascii="宋体" w:hAnsi="宋体"/>
                <w:color w:val="auto"/>
                <w:sz w:val="22"/>
                <w:szCs w:val="22"/>
              </w:rPr>
              <w:t>1</w:t>
            </w:r>
          </w:p>
        </w:tc>
        <w:tc>
          <w:tcPr>
            <w:tcW w:w="3815" w:type="dxa"/>
            <w:vAlign w:val="center"/>
          </w:tcPr>
          <w:p>
            <w:pPr>
              <w:jc w:val="center"/>
              <w:rPr>
                <w:rFonts w:ascii="宋体" w:hAnsi="宋体"/>
                <w:color w:val="auto"/>
                <w:sz w:val="22"/>
                <w:szCs w:val="22"/>
              </w:rPr>
            </w:pPr>
            <w:r>
              <w:rPr>
                <w:rFonts w:hint="eastAsia" w:ascii="宋体" w:hAnsi="宋体"/>
                <w:color w:val="auto"/>
                <w:sz w:val="22"/>
                <w:szCs w:val="22"/>
              </w:rPr>
              <w:t>信息化技术外包</w:t>
            </w:r>
          </w:p>
        </w:tc>
        <w:tc>
          <w:tcPr>
            <w:tcW w:w="2656" w:type="dxa"/>
            <w:vAlign w:val="center"/>
          </w:tcPr>
          <w:p>
            <w:pPr>
              <w:jc w:val="center"/>
              <w:rPr>
                <w:rFonts w:ascii="宋体" w:hAnsi="宋体"/>
                <w:color w:val="auto"/>
                <w:sz w:val="22"/>
                <w:szCs w:val="22"/>
              </w:rPr>
            </w:pPr>
          </w:p>
        </w:tc>
        <w:tc>
          <w:tcPr>
            <w:tcW w:w="2656" w:type="dxa"/>
            <w:vAlign w:val="center"/>
          </w:tcPr>
          <w:p>
            <w:pPr>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0" w:type="dxa"/>
            <w:vAlign w:val="center"/>
          </w:tcPr>
          <w:p>
            <w:pPr>
              <w:jc w:val="center"/>
              <w:rPr>
                <w:rFonts w:ascii="宋体" w:hAnsi="宋体"/>
                <w:color w:val="auto"/>
                <w:sz w:val="22"/>
                <w:szCs w:val="22"/>
              </w:rPr>
            </w:pPr>
            <w:r>
              <w:rPr>
                <w:rFonts w:hint="eastAsia" w:ascii="宋体" w:hAnsi="宋体"/>
                <w:color w:val="auto"/>
                <w:sz w:val="22"/>
                <w:szCs w:val="22"/>
              </w:rPr>
              <w:t>2</w:t>
            </w:r>
          </w:p>
        </w:tc>
        <w:tc>
          <w:tcPr>
            <w:tcW w:w="3815" w:type="dxa"/>
            <w:vAlign w:val="center"/>
          </w:tcPr>
          <w:p>
            <w:pPr>
              <w:jc w:val="center"/>
              <w:rPr>
                <w:rFonts w:ascii="宋体" w:hAnsi="宋体"/>
                <w:color w:val="auto"/>
                <w:sz w:val="22"/>
                <w:szCs w:val="22"/>
              </w:rPr>
            </w:pPr>
            <w:r>
              <w:rPr>
                <w:rFonts w:hint="eastAsia" w:ascii="宋体" w:hAnsi="宋体"/>
                <w:color w:val="auto"/>
                <w:sz w:val="22"/>
                <w:szCs w:val="22"/>
              </w:rPr>
              <w:t>智慧交通专网及云服务器租用</w:t>
            </w:r>
          </w:p>
        </w:tc>
        <w:tc>
          <w:tcPr>
            <w:tcW w:w="2656" w:type="dxa"/>
            <w:vAlign w:val="center"/>
          </w:tcPr>
          <w:p>
            <w:pPr>
              <w:jc w:val="center"/>
              <w:rPr>
                <w:rFonts w:ascii="宋体" w:hAnsi="宋体"/>
                <w:color w:val="auto"/>
                <w:sz w:val="22"/>
                <w:szCs w:val="22"/>
              </w:rPr>
            </w:pPr>
          </w:p>
        </w:tc>
        <w:tc>
          <w:tcPr>
            <w:tcW w:w="2656" w:type="dxa"/>
            <w:vAlign w:val="center"/>
          </w:tcPr>
          <w:p>
            <w:pPr>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0" w:type="dxa"/>
            <w:vAlign w:val="center"/>
          </w:tcPr>
          <w:p>
            <w:pPr>
              <w:jc w:val="center"/>
              <w:rPr>
                <w:rFonts w:ascii="宋体" w:hAnsi="宋体"/>
                <w:color w:val="auto"/>
                <w:sz w:val="22"/>
                <w:szCs w:val="22"/>
              </w:rPr>
            </w:pPr>
            <w:r>
              <w:rPr>
                <w:rFonts w:hint="eastAsia" w:ascii="宋体" w:hAnsi="宋体"/>
                <w:color w:val="auto"/>
                <w:sz w:val="22"/>
                <w:szCs w:val="22"/>
              </w:rPr>
              <w:t>3</w:t>
            </w:r>
          </w:p>
        </w:tc>
        <w:tc>
          <w:tcPr>
            <w:tcW w:w="3815" w:type="dxa"/>
            <w:vAlign w:val="center"/>
          </w:tcPr>
          <w:p>
            <w:pPr>
              <w:jc w:val="center"/>
              <w:rPr>
                <w:rFonts w:ascii="宋体" w:hAnsi="宋体"/>
                <w:color w:val="auto"/>
                <w:sz w:val="22"/>
                <w:szCs w:val="22"/>
                <w:lang w:val="en-GB"/>
              </w:rPr>
            </w:pPr>
            <w:r>
              <w:rPr>
                <w:rFonts w:hint="eastAsia" w:ascii="宋体" w:hAnsi="宋体"/>
                <w:color w:val="auto"/>
                <w:sz w:val="22"/>
                <w:szCs w:val="22"/>
                <w:lang w:val="en-GB"/>
              </w:rPr>
              <w:t>数据中心灾备服</w:t>
            </w:r>
          </w:p>
        </w:tc>
        <w:tc>
          <w:tcPr>
            <w:tcW w:w="2656" w:type="dxa"/>
            <w:vAlign w:val="center"/>
          </w:tcPr>
          <w:p>
            <w:pPr>
              <w:jc w:val="center"/>
              <w:rPr>
                <w:rFonts w:ascii="宋体" w:hAnsi="宋体"/>
                <w:color w:val="auto"/>
                <w:sz w:val="22"/>
                <w:szCs w:val="22"/>
              </w:rPr>
            </w:pPr>
          </w:p>
        </w:tc>
        <w:tc>
          <w:tcPr>
            <w:tcW w:w="2656" w:type="dxa"/>
            <w:vAlign w:val="center"/>
          </w:tcPr>
          <w:p>
            <w:pPr>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0" w:type="dxa"/>
            <w:vAlign w:val="center"/>
          </w:tcPr>
          <w:p>
            <w:pPr>
              <w:jc w:val="center"/>
              <w:rPr>
                <w:rFonts w:ascii="宋体" w:hAnsi="宋体"/>
                <w:color w:val="auto"/>
                <w:sz w:val="22"/>
                <w:szCs w:val="22"/>
              </w:rPr>
            </w:pPr>
            <w:r>
              <w:rPr>
                <w:rFonts w:hint="eastAsia" w:ascii="宋体" w:hAnsi="宋体"/>
                <w:color w:val="auto"/>
                <w:sz w:val="22"/>
                <w:szCs w:val="22"/>
              </w:rPr>
              <w:t>4</w:t>
            </w:r>
          </w:p>
        </w:tc>
        <w:tc>
          <w:tcPr>
            <w:tcW w:w="3815" w:type="dxa"/>
            <w:vAlign w:val="center"/>
          </w:tcPr>
          <w:p>
            <w:pPr>
              <w:jc w:val="center"/>
              <w:rPr>
                <w:rFonts w:ascii="宋体" w:hAnsi="宋体"/>
                <w:color w:val="auto"/>
                <w:sz w:val="22"/>
                <w:szCs w:val="22"/>
                <w:lang w:val="en-GB"/>
              </w:rPr>
            </w:pPr>
          </w:p>
        </w:tc>
        <w:tc>
          <w:tcPr>
            <w:tcW w:w="2656" w:type="dxa"/>
            <w:vAlign w:val="center"/>
          </w:tcPr>
          <w:p>
            <w:pPr>
              <w:jc w:val="center"/>
              <w:rPr>
                <w:rFonts w:ascii="宋体" w:hAnsi="宋体"/>
                <w:color w:val="auto"/>
                <w:sz w:val="22"/>
                <w:szCs w:val="22"/>
              </w:rPr>
            </w:pPr>
          </w:p>
        </w:tc>
        <w:tc>
          <w:tcPr>
            <w:tcW w:w="2656" w:type="dxa"/>
            <w:vAlign w:val="center"/>
          </w:tcPr>
          <w:p>
            <w:pPr>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0" w:type="dxa"/>
            <w:vAlign w:val="center"/>
          </w:tcPr>
          <w:p>
            <w:pPr>
              <w:jc w:val="center"/>
              <w:rPr>
                <w:rFonts w:ascii="宋体" w:hAnsi="宋体"/>
                <w:color w:val="auto"/>
                <w:sz w:val="22"/>
                <w:szCs w:val="22"/>
              </w:rPr>
            </w:pPr>
            <w:r>
              <w:rPr>
                <w:rFonts w:hint="eastAsia" w:ascii="宋体" w:hAnsi="宋体"/>
                <w:color w:val="auto"/>
                <w:sz w:val="22"/>
                <w:szCs w:val="22"/>
              </w:rPr>
              <w:t>5</w:t>
            </w:r>
          </w:p>
        </w:tc>
        <w:tc>
          <w:tcPr>
            <w:tcW w:w="3815" w:type="dxa"/>
            <w:vAlign w:val="center"/>
          </w:tcPr>
          <w:p>
            <w:pPr>
              <w:jc w:val="center"/>
              <w:rPr>
                <w:rFonts w:ascii="宋体" w:hAnsi="宋体"/>
                <w:color w:val="auto"/>
                <w:sz w:val="22"/>
                <w:szCs w:val="22"/>
                <w:lang w:val="en-GB"/>
              </w:rPr>
            </w:pPr>
          </w:p>
        </w:tc>
        <w:tc>
          <w:tcPr>
            <w:tcW w:w="2656" w:type="dxa"/>
            <w:vAlign w:val="center"/>
          </w:tcPr>
          <w:p>
            <w:pPr>
              <w:jc w:val="center"/>
              <w:rPr>
                <w:rFonts w:ascii="宋体" w:hAnsi="宋体"/>
                <w:color w:val="auto"/>
                <w:sz w:val="22"/>
                <w:szCs w:val="22"/>
              </w:rPr>
            </w:pPr>
          </w:p>
        </w:tc>
        <w:tc>
          <w:tcPr>
            <w:tcW w:w="2656" w:type="dxa"/>
            <w:vAlign w:val="center"/>
          </w:tcPr>
          <w:p>
            <w:pPr>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trPr>
        <w:tc>
          <w:tcPr>
            <w:tcW w:w="810" w:type="dxa"/>
            <w:vAlign w:val="center"/>
          </w:tcPr>
          <w:p>
            <w:pPr>
              <w:jc w:val="center"/>
              <w:rPr>
                <w:rFonts w:ascii="宋体" w:hAnsi="宋体"/>
                <w:color w:val="auto"/>
                <w:sz w:val="22"/>
                <w:szCs w:val="22"/>
              </w:rPr>
            </w:pPr>
            <w:r>
              <w:rPr>
                <w:rFonts w:hint="eastAsia" w:ascii="宋体" w:hAnsi="宋体"/>
                <w:color w:val="auto"/>
                <w:sz w:val="22"/>
                <w:szCs w:val="22"/>
              </w:rPr>
              <w:t>……</w:t>
            </w:r>
          </w:p>
        </w:tc>
        <w:tc>
          <w:tcPr>
            <w:tcW w:w="3815" w:type="dxa"/>
            <w:vAlign w:val="center"/>
          </w:tcPr>
          <w:p>
            <w:pPr>
              <w:jc w:val="center"/>
              <w:rPr>
                <w:rFonts w:ascii="宋体" w:hAnsi="宋体"/>
                <w:color w:val="auto"/>
                <w:sz w:val="22"/>
                <w:szCs w:val="22"/>
              </w:rPr>
            </w:pPr>
          </w:p>
        </w:tc>
        <w:tc>
          <w:tcPr>
            <w:tcW w:w="2656" w:type="dxa"/>
            <w:vAlign w:val="center"/>
          </w:tcPr>
          <w:p>
            <w:pPr>
              <w:jc w:val="center"/>
              <w:rPr>
                <w:rFonts w:ascii="宋体" w:hAnsi="宋体"/>
                <w:color w:val="auto"/>
                <w:sz w:val="22"/>
                <w:szCs w:val="22"/>
              </w:rPr>
            </w:pPr>
          </w:p>
        </w:tc>
        <w:tc>
          <w:tcPr>
            <w:tcW w:w="2656" w:type="dxa"/>
            <w:vAlign w:val="center"/>
          </w:tcPr>
          <w:p>
            <w:pPr>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4625" w:type="dxa"/>
            <w:gridSpan w:val="2"/>
            <w:vAlign w:val="center"/>
          </w:tcPr>
          <w:p>
            <w:pPr>
              <w:jc w:val="center"/>
              <w:rPr>
                <w:rFonts w:ascii="宋体" w:hAnsi="宋体"/>
                <w:color w:val="auto"/>
                <w:sz w:val="22"/>
                <w:szCs w:val="22"/>
              </w:rPr>
            </w:pPr>
            <w:r>
              <w:rPr>
                <w:rFonts w:hint="eastAsia" w:ascii="宋体" w:hAnsi="宋体"/>
                <w:color w:val="auto"/>
                <w:sz w:val="22"/>
                <w:szCs w:val="22"/>
              </w:rPr>
              <w:t>投标总价</w:t>
            </w:r>
          </w:p>
        </w:tc>
        <w:tc>
          <w:tcPr>
            <w:tcW w:w="5312" w:type="dxa"/>
            <w:gridSpan w:val="2"/>
          </w:tcPr>
          <w:p>
            <w:pPr>
              <w:spacing w:line="360" w:lineRule="auto"/>
              <w:jc w:val="left"/>
              <w:rPr>
                <w:rFonts w:ascii="宋体" w:hAnsi="宋体"/>
                <w:color w:val="auto"/>
                <w:sz w:val="22"/>
                <w:szCs w:val="22"/>
              </w:rPr>
            </w:pPr>
          </w:p>
        </w:tc>
      </w:tr>
    </w:tbl>
    <w:p>
      <w:pPr>
        <w:spacing w:line="360" w:lineRule="auto"/>
        <w:rPr>
          <w:rFonts w:ascii="宋体" w:hAnsi="宋体" w:cs="宋体"/>
          <w:color w:val="auto"/>
          <w:kern w:val="0"/>
          <w:szCs w:val="21"/>
        </w:rPr>
      </w:pPr>
    </w:p>
    <w:p>
      <w:pPr>
        <w:spacing w:line="360" w:lineRule="exact"/>
        <w:rPr>
          <w:rFonts w:ascii="宋体" w:hAnsi="宋体"/>
          <w:b/>
          <w:color w:val="auto"/>
          <w:sz w:val="22"/>
          <w:szCs w:val="22"/>
        </w:rPr>
      </w:pPr>
      <w:r>
        <w:rPr>
          <w:rFonts w:hint="eastAsia" w:ascii="宋体" w:hAnsi="宋体"/>
          <w:b/>
          <w:bCs/>
          <w:color w:val="auto"/>
          <w:sz w:val="22"/>
          <w:szCs w:val="22"/>
        </w:rPr>
        <w:t>说明：</w:t>
      </w:r>
      <w:r>
        <w:rPr>
          <w:rFonts w:hint="eastAsia" w:ascii="宋体" w:hAnsi="宋体"/>
          <w:b/>
          <w:color w:val="auto"/>
          <w:sz w:val="22"/>
          <w:szCs w:val="22"/>
        </w:rPr>
        <w:t>1、此表内投标总价应与（1）“开标一览表”投标报价相一致。</w:t>
      </w:r>
    </w:p>
    <w:p>
      <w:pPr>
        <w:spacing w:line="360" w:lineRule="exact"/>
        <w:ind w:firstLine="663" w:firstLineChars="300"/>
        <w:rPr>
          <w:rFonts w:ascii="宋体" w:hAnsi="宋体"/>
          <w:b/>
          <w:color w:val="auto"/>
          <w:sz w:val="22"/>
          <w:szCs w:val="22"/>
        </w:rPr>
      </w:pPr>
      <w:r>
        <w:rPr>
          <w:rFonts w:hint="eastAsia" w:ascii="宋体" w:hAnsi="宋体"/>
          <w:b/>
          <w:color w:val="auto"/>
          <w:sz w:val="22"/>
          <w:szCs w:val="22"/>
        </w:rPr>
        <w:t>2、</w:t>
      </w:r>
      <w:r>
        <w:rPr>
          <w:rFonts w:hint="eastAsia" w:ascii="宋体" w:hAnsi="宋体" w:cs="Arial"/>
          <w:b/>
          <w:bCs/>
          <w:color w:val="auto"/>
          <w:sz w:val="22"/>
          <w:szCs w:val="22"/>
        </w:rPr>
        <w:t>▲</w:t>
      </w:r>
      <w:r>
        <w:rPr>
          <w:rFonts w:hint="eastAsia" w:ascii="宋体" w:hAnsi="宋体"/>
          <w:b/>
          <w:color w:val="auto"/>
          <w:sz w:val="22"/>
          <w:szCs w:val="22"/>
          <w:u w:val="single"/>
        </w:rPr>
        <w:t>不提供投标分项报价表，视为没有实质性响应采购文件要求。</w:t>
      </w:r>
    </w:p>
    <w:p>
      <w:pPr>
        <w:spacing w:line="380" w:lineRule="exact"/>
        <w:ind w:firstLine="663" w:firstLineChars="300"/>
        <w:rPr>
          <w:rFonts w:ascii="宋体" w:hAnsi="宋体" w:cs="宋体"/>
          <w:color w:val="auto"/>
          <w:sz w:val="22"/>
          <w:szCs w:val="22"/>
        </w:rPr>
      </w:pPr>
      <w:r>
        <w:rPr>
          <w:rFonts w:ascii="宋体" w:hAnsi="宋体" w:cs="宋体"/>
          <w:b/>
          <w:color w:val="auto"/>
          <w:sz w:val="22"/>
          <w:szCs w:val="22"/>
        </w:rPr>
        <w:t>3</w:t>
      </w:r>
      <w:r>
        <w:rPr>
          <w:rFonts w:hint="eastAsia" w:ascii="宋体" w:hAnsi="宋体" w:cs="宋体"/>
          <w:b/>
          <w:color w:val="auto"/>
          <w:sz w:val="22"/>
          <w:szCs w:val="22"/>
        </w:rPr>
        <w:t xml:space="preserve">. </w:t>
      </w:r>
      <w:r>
        <w:rPr>
          <w:rFonts w:hint="eastAsia" w:ascii="宋体" w:hAnsi="宋体" w:cs="宋体"/>
          <w:color w:val="auto"/>
          <w:sz w:val="22"/>
          <w:szCs w:val="22"/>
        </w:rPr>
        <w:t>本表可在不改变格式的情况下根据具体需要自行增减。</w:t>
      </w:r>
    </w:p>
    <w:p>
      <w:pPr>
        <w:spacing w:line="360" w:lineRule="auto"/>
        <w:ind w:firstLine="420" w:firstLineChars="200"/>
        <w:rPr>
          <w:rFonts w:ascii="宋体" w:hAnsi="宋体"/>
          <w:color w:val="auto"/>
          <w:szCs w:val="21"/>
        </w:rPr>
      </w:pPr>
    </w:p>
    <w:p>
      <w:pPr>
        <w:spacing w:line="380" w:lineRule="exact"/>
        <w:ind w:firstLine="420" w:firstLineChars="200"/>
        <w:rPr>
          <w:rFonts w:ascii="宋体" w:hAnsi="宋体"/>
          <w:color w:val="auto"/>
          <w:szCs w:val="21"/>
        </w:rPr>
      </w:pPr>
    </w:p>
    <w:p>
      <w:pPr>
        <w:pStyle w:val="25"/>
        <w:rPr>
          <w:rFonts w:ascii="宋体" w:hAnsi="宋体"/>
          <w:color w:val="auto"/>
          <w:szCs w:val="21"/>
        </w:rPr>
      </w:pPr>
    </w:p>
    <w:p>
      <w:pPr>
        <w:pStyle w:val="26"/>
        <w:ind w:firstLine="210"/>
        <w:rPr>
          <w:rFonts w:ascii="宋体" w:hAnsi="宋体"/>
          <w:color w:val="auto"/>
          <w:szCs w:val="21"/>
        </w:rPr>
      </w:pPr>
    </w:p>
    <w:p>
      <w:pPr>
        <w:rPr>
          <w:color w:val="auto"/>
        </w:rPr>
      </w:pPr>
    </w:p>
    <w:p>
      <w:pPr>
        <w:spacing w:line="380" w:lineRule="exact"/>
        <w:rPr>
          <w:rFonts w:ascii="宋体" w:hAnsi="宋体"/>
          <w:color w:val="auto"/>
          <w:sz w:val="22"/>
          <w:szCs w:val="22"/>
        </w:rPr>
      </w:pPr>
      <w:r>
        <w:rPr>
          <w:rFonts w:hint="eastAsia" w:ascii="宋体" w:hAnsi="宋体"/>
          <w:color w:val="auto"/>
          <w:sz w:val="22"/>
          <w:szCs w:val="22"/>
        </w:rPr>
        <w:t>投标人全称（盖章）：</w:t>
      </w:r>
    </w:p>
    <w:p>
      <w:pPr>
        <w:spacing w:line="380" w:lineRule="exact"/>
        <w:rPr>
          <w:rFonts w:ascii="宋体" w:hAnsi="宋体"/>
          <w:color w:val="auto"/>
          <w:sz w:val="22"/>
          <w:szCs w:val="22"/>
        </w:rPr>
      </w:pPr>
      <w:r>
        <w:rPr>
          <w:rFonts w:hint="eastAsia" w:ascii="宋体" w:hAnsi="宋体"/>
          <w:color w:val="auto"/>
          <w:sz w:val="22"/>
          <w:szCs w:val="22"/>
        </w:rPr>
        <w:t>法定代表人或授权代表（签字或盖章）：</w:t>
      </w:r>
    </w:p>
    <w:p>
      <w:pPr>
        <w:spacing w:line="380" w:lineRule="exact"/>
        <w:jc w:val="left"/>
        <w:rPr>
          <w:rFonts w:ascii="宋体" w:hAnsi="宋体" w:cs="Arial"/>
          <w:b/>
          <w:bCs/>
          <w:color w:val="auto"/>
          <w:sz w:val="22"/>
          <w:szCs w:val="22"/>
        </w:rPr>
      </w:pPr>
      <w:r>
        <w:rPr>
          <w:rFonts w:hint="eastAsia" w:ascii="宋体" w:hAnsi="宋体"/>
          <w:color w:val="auto"/>
          <w:sz w:val="22"/>
          <w:szCs w:val="22"/>
        </w:rPr>
        <w:t>日期：</w:t>
      </w:r>
    </w:p>
    <w:p>
      <w:pPr>
        <w:spacing w:line="460" w:lineRule="exact"/>
        <w:rPr>
          <w:rFonts w:ascii="宋体" w:hAnsi="宋体"/>
          <w:b/>
          <w:bCs/>
          <w:color w:val="auto"/>
          <w:sz w:val="22"/>
          <w:szCs w:val="22"/>
        </w:rPr>
      </w:pPr>
      <w:r>
        <w:rPr>
          <w:rFonts w:ascii="宋体" w:hAnsi="宋体" w:cs="Arial"/>
          <w:b/>
          <w:bCs/>
          <w:color w:val="auto"/>
          <w:szCs w:val="21"/>
        </w:rPr>
        <w:br w:type="page"/>
      </w:r>
      <w:r>
        <w:rPr>
          <w:rFonts w:hint="eastAsia" w:ascii="宋体" w:hAnsi="宋体"/>
          <w:b/>
          <w:bCs/>
          <w:color w:val="auto"/>
          <w:sz w:val="22"/>
          <w:szCs w:val="22"/>
        </w:rPr>
        <w:t>附件三</w:t>
      </w:r>
    </w:p>
    <w:p>
      <w:pPr>
        <w:spacing w:line="460" w:lineRule="exact"/>
        <w:rPr>
          <w:rFonts w:ascii="宋体" w:hAnsi="宋体"/>
          <w:b/>
          <w:bCs/>
          <w:color w:val="auto"/>
        </w:rPr>
      </w:pPr>
    </w:p>
    <w:p>
      <w:pPr>
        <w:spacing w:line="460" w:lineRule="exact"/>
        <w:jc w:val="center"/>
        <w:rPr>
          <w:rFonts w:ascii="宋体" w:hAnsi="宋体"/>
          <w:b/>
          <w:bCs/>
          <w:color w:val="auto"/>
          <w:sz w:val="28"/>
          <w:szCs w:val="28"/>
        </w:rPr>
      </w:pPr>
      <w:r>
        <w:rPr>
          <w:rFonts w:hint="eastAsia" w:ascii="宋体" w:hAnsi="宋体"/>
          <w:b/>
          <w:bCs/>
          <w:color w:val="auto"/>
          <w:sz w:val="28"/>
          <w:szCs w:val="28"/>
        </w:rPr>
        <w:t>投 标 函</w:t>
      </w:r>
    </w:p>
    <w:p>
      <w:pPr>
        <w:spacing w:line="420" w:lineRule="exact"/>
        <w:rPr>
          <w:rFonts w:ascii="宋体" w:hAnsi="宋体"/>
          <w:color w:val="auto"/>
          <w:sz w:val="22"/>
          <w:szCs w:val="22"/>
        </w:rPr>
      </w:pPr>
      <w:r>
        <w:rPr>
          <w:rFonts w:hint="eastAsia" w:ascii="宋体" w:hAnsi="宋体"/>
          <w:bCs/>
          <w:color w:val="auto"/>
          <w:sz w:val="22"/>
          <w:szCs w:val="22"/>
        </w:rPr>
        <w:t>温州市交通运输局</w:t>
      </w:r>
      <w:r>
        <w:rPr>
          <w:rFonts w:hint="eastAsia" w:ascii="宋体" w:hAnsi="宋体"/>
          <w:color w:val="auto"/>
          <w:sz w:val="22"/>
          <w:szCs w:val="22"/>
        </w:rPr>
        <w:t>：</w:t>
      </w:r>
    </w:p>
    <w:p>
      <w:pPr>
        <w:spacing w:line="420" w:lineRule="exact"/>
        <w:rPr>
          <w:rFonts w:ascii="宋体" w:hAnsi="宋体"/>
          <w:color w:val="auto"/>
          <w:sz w:val="22"/>
          <w:szCs w:val="22"/>
        </w:rPr>
      </w:pPr>
      <w:r>
        <w:rPr>
          <w:rFonts w:hint="eastAsia" w:ascii="宋体" w:hAnsi="宋体"/>
          <w:color w:val="auto"/>
          <w:sz w:val="22"/>
          <w:szCs w:val="22"/>
        </w:rPr>
        <w:t>大地工程咨询有限公司：</w:t>
      </w:r>
    </w:p>
    <w:p>
      <w:pPr>
        <w:spacing w:line="420" w:lineRule="exact"/>
        <w:ind w:firstLine="440" w:firstLineChars="200"/>
        <w:rPr>
          <w:rFonts w:ascii="宋体" w:hAnsi="宋体"/>
          <w:color w:val="auto"/>
          <w:sz w:val="22"/>
          <w:szCs w:val="22"/>
        </w:rPr>
      </w:pPr>
      <w:r>
        <w:rPr>
          <w:rFonts w:hint="eastAsia" w:ascii="宋体" w:hAnsi="宋体"/>
          <w:color w:val="auto"/>
          <w:sz w:val="22"/>
          <w:szCs w:val="22"/>
        </w:rPr>
        <w:t>根据贵方为项目（招标编号：）的投标邀请，我方</w:t>
      </w:r>
      <w:r>
        <w:rPr>
          <w:rFonts w:hint="eastAsia" w:ascii="宋体" w:hAnsi="宋体"/>
          <w:color w:val="auto"/>
          <w:sz w:val="22"/>
          <w:szCs w:val="22"/>
          <w:u w:val="single"/>
        </w:rPr>
        <w:t xml:space="preserve">           　　</w:t>
      </w:r>
      <w:r>
        <w:rPr>
          <w:rFonts w:hint="eastAsia" w:ascii="宋体" w:hAnsi="宋体"/>
          <w:color w:val="auto"/>
          <w:sz w:val="22"/>
          <w:szCs w:val="22"/>
        </w:rPr>
        <w:t>（投标人名称）作为投标人正式授权</w:t>
      </w:r>
      <w:r>
        <w:rPr>
          <w:rFonts w:hint="eastAsia" w:ascii="宋体" w:hAnsi="宋体"/>
          <w:color w:val="auto"/>
          <w:sz w:val="22"/>
          <w:szCs w:val="22"/>
          <w:u w:val="single"/>
        </w:rPr>
        <w:t xml:space="preserve">　           </w:t>
      </w:r>
      <w:r>
        <w:rPr>
          <w:rFonts w:hint="eastAsia" w:ascii="宋体" w:hAnsi="宋体"/>
          <w:color w:val="auto"/>
          <w:sz w:val="22"/>
          <w:szCs w:val="22"/>
        </w:rPr>
        <w:t>（授权代表全名，职务）代表我方处理有关本投标的一切事宜。</w:t>
      </w:r>
    </w:p>
    <w:p>
      <w:pPr>
        <w:pStyle w:val="16"/>
        <w:spacing w:line="360" w:lineRule="exact"/>
        <w:ind w:firstLine="440" w:firstLineChars="200"/>
        <w:rPr>
          <w:rFonts w:ascii="宋体" w:hAnsi="宋体" w:cs="hakuyoxingshu7000"/>
          <w:color w:val="auto"/>
          <w:sz w:val="22"/>
        </w:rPr>
      </w:pPr>
      <w:r>
        <w:rPr>
          <w:rFonts w:hint="eastAsia" w:ascii="宋体" w:hAnsi="宋体" w:cs="hakuyoxingshu7000"/>
          <w:color w:val="auto"/>
          <w:sz w:val="22"/>
          <w:szCs w:val="22"/>
        </w:rPr>
        <w:t>在此提交的投标文件中，包括如下内</w:t>
      </w:r>
      <w:r>
        <w:rPr>
          <w:rFonts w:hint="eastAsia" w:ascii="宋体" w:hAnsi="宋体" w:cs="hakuyoxingshu7000"/>
          <w:color w:val="auto"/>
          <w:sz w:val="22"/>
        </w:rPr>
        <w:t>容：</w:t>
      </w:r>
    </w:p>
    <w:p>
      <w:pPr>
        <w:spacing w:line="360" w:lineRule="exact"/>
        <w:ind w:firstLine="440" w:firstLineChars="200"/>
        <w:rPr>
          <w:rFonts w:ascii="宋体" w:hAnsi="宋体" w:cs="hakuyoxingshu7000"/>
          <w:color w:val="auto"/>
          <w:sz w:val="22"/>
        </w:rPr>
      </w:pPr>
      <w:r>
        <w:rPr>
          <w:rFonts w:hint="eastAsia" w:ascii="宋体" w:hAnsi="宋体" w:cs="hakuyoxingshu7000"/>
          <w:color w:val="auto"/>
          <w:sz w:val="22"/>
        </w:rPr>
        <w:t>1、</w:t>
      </w:r>
      <w:r>
        <w:rPr>
          <w:rFonts w:hint="eastAsia" w:ascii="宋体" w:hAnsi="宋体" w:cs="新宋体"/>
          <w:color w:val="auto"/>
          <w:sz w:val="22"/>
        </w:rPr>
        <w:t>按“投标人须知”要求编制的投标文件资格文件；</w:t>
      </w:r>
    </w:p>
    <w:p>
      <w:pPr>
        <w:spacing w:line="360" w:lineRule="exact"/>
        <w:ind w:firstLine="440" w:firstLineChars="200"/>
        <w:rPr>
          <w:rFonts w:ascii="宋体" w:hAnsi="宋体" w:cs="hakuyoxingshu7000"/>
          <w:color w:val="auto"/>
          <w:sz w:val="22"/>
        </w:rPr>
      </w:pPr>
      <w:r>
        <w:rPr>
          <w:rFonts w:hint="eastAsia" w:ascii="宋体" w:hAnsi="宋体" w:cs="hakuyoxingshu7000"/>
          <w:color w:val="auto"/>
          <w:sz w:val="22"/>
        </w:rPr>
        <w:t>2、按“投标人须知”要求编制的投标文件商务技术文件；</w:t>
      </w:r>
    </w:p>
    <w:p>
      <w:pPr>
        <w:spacing w:line="360" w:lineRule="exact"/>
        <w:ind w:firstLine="440" w:firstLineChars="200"/>
        <w:rPr>
          <w:rFonts w:ascii="宋体" w:hAnsi="宋体" w:cs="hakuyoxingshu7000"/>
          <w:color w:val="auto"/>
          <w:sz w:val="22"/>
        </w:rPr>
      </w:pPr>
      <w:r>
        <w:rPr>
          <w:rFonts w:hint="eastAsia" w:ascii="宋体" w:hAnsi="宋体" w:cs="hakuyoxingshu7000"/>
          <w:color w:val="auto"/>
          <w:sz w:val="22"/>
        </w:rPr>
        <w:t>3、按“投标人须知”要求编制的投标文件报价文件；</w:t>
      </w:r>
    </w:p>
    <w:p>
      <w:pPr>
        <w:spacing w:line="360" w:lineRule="exact"/>
        <w:ind w:firstLine="440" w:firstLineChars="200"/>
        <w:rPr>
          <w:rFonts w:ascii="宋体" w:hAnsi="宋体" w:cs="hakuyoxingshu7000"/>
          <w:color w:val="auto"/>
          <w:sz w:val="22"/>
        </w:rPr>
      </w:pPr>
      <w:r>
        <w:rPr>
          <w:rFonts w:hint="eastAsia" w:ascii="宋体" w:hAnsi="宋体" w:cs="hakuyoxingshu7000"/>
          <w:color w:val="auto"/>
          <w:sz w:val="22"/>
        </w:rPr>
        <w:t>我方己完全明白招标文件的所有条款要求，并重申以下几点：</w:t>
      </w:r>
    </w:p>
    <w:p>
      <w:pPr>
        <w:pStyle w:val="123"/>
        <w:numPr>
          <w:ilvl w:val="1"/>
          <w:numId w:val="51"/>
        </w:numPr>
        <w:spacing w:line="360" w:lineRule="exact"/>
        <w:ind w:left="567" w:hanging="283" w:firstLineChars="0"/>
        <w:rPr>
          <w:rFonts w:ascii="宋体" w:hAnsi="宋体" w:cs="hakuyoxingshu7000"/>
          <w:color w:val="auto"/>
          <w:sz w:val="22"/>
        </w:rPr>
      </w:pPr>
      <w:r>
        <w:rPr>
          <w:rFonts w:hint="eastAsia" w:ascii="宋体" w:hAnsi="宋体" w:cs="hakuyoxingshu7000"/>
          <w:color w:val="auto"/>
          <w:sz w:val="22"/>
        </w:rPr>
        <w:t>本投标文件的有效期自投标截止日起  90 天内有效，如中标，有效期将延至合同终止日为止；</w:t>
      </w:r>
    </w:p>
    <w:p>
      <w:pPr>
        <w:pStyle w:val="123"/>
        <w:numPr>
          <w:ilvl w:val="1"/>
          <w:numId w:val="51"/>
        </w:numPr>
        <w:spacing w:line="360" w:lineRule="exact"/>
        <w:ind w:left="567" w:hanging="283" w:firstLineChars="0"/>
        <w:rPr>
          <w:rFonts w:ascii="宋体" w:hAnsi="宋体" w:cs="hakuyoxingshu7000"/>
          <w:color w:val="auto"/>
          <w:sz w:val="22"/>
        </w:rPr>
      </w:pPr>
      <w:r>
        <w:rPr>
          <w:rFonts w:hint="eastAsia" w:ascii="宋体" w:hAnsi="宋体" w:cs="hakuyoxingshu7000"/>
          <w:color w:val="auto"/>
          <w:sz w:val="22"/>
        </w:rPr>
        <w:t>我方已详细研究了招标文件的所有内容包括修改书（如有）和所有已提供的参考资料以及有关附件，我方完全理解并同意放弃在此方面提出含糊意见或误解的一切权力；</w:t>
      </w:r>
    </w:p>
    <w:p>
      <w:pPr>
        <w:pStyle w:val="123"/>
        <w:numPr>
          <w:ilvl w:val="1"/>
          <w:numId w:val="51"/>
        </w:numPr>
        <w:spacing w:line="360" w:lineRule="exact"/>
        <w:ind w:left="567" w:hanging="283" w:firstLineChars="0"/>
        <w:rPr>
          <w:rFonts w:ascii="宋体" w:hAnsi="宋体" w:cs="hakuyoxingshu7000"/>
          <w:color w:val="auto"/>
          <w:sz w:val="22"/>
        </w:rPr>
      </w:pPr>
      <w:r>
        <w:rPr>
          <w:rFonts w:hint="eastAsia" w:ascii="宋体" w:hAnsi="宋体" w:cs="hakuyoxingshu7000"/>
          <w:color w:val="auto"/>
          <w:sz w:val="22"/>
        </w:rPr>
        <w:t>我方郑重承诺所提供的“信用中国网站”、“中国政府采购网”信用查询证明文件真实有效；</w:t>
      </w:r>
    </w:p>
    <w:p>
      <w:pPr>
        <w:pStyle w:val="123"/>
        <w:numPr>
          <w:ilvl w:val="1"/>
          <w:numId w:val="51"/>
        </w:numPr>
        <w:spacing w:line="360" w:lineRule="exact"/>
        <w:ind w:left="567" w:hanging="283" w:firstLineChars="0"/>
        <w:rPr>
          <w:rFonts w:ascii="宋体" w:hAnsi="宋体" w:cs="hakuyoxingshu7000"/>
          <w:color w:val="auto"/>
          <w:sz w:val="22"/>
        </w:rPr>
      </w:pPr>
      <w:r>
        <w:rPr>
          <w:rFonts w:hint="eastAsia" w:ascii="宋体" w:hAnsi="宋体" w:cs="hakuyoxingshu7000"/>
          <w:color w:val="auto"/>
          <w:sz w:val="22"/>
        </w:rPr>
        <w:t>我方在参加本项目前三年内</w:t>
      </w:r>
      <w:r>
        <w:rPr>
          <w:rFonts w:hint="eastAsia" w:ascii="宋体" w:hAnsi="宋体" w:cs="hakuyoxingshu7000"/>
          <w:color w:val="auto"/>
          <w:sz w:val="22"/>
          <w:u w:val="single"/>
        </w:rPr>
        <w:t>（被通报或者处罚的违法行为有：               ）</w:t>
      </w:r>
      <w:r>
        <w:rPr>
          <w:rFonts w:hint="eastAsia" w:ascii="宋体" w:hAnsi="宋体" w:cs="hakuyoxingshu7000"/>
          <w:color w:val="auto"/>
          <w:sz w:val="22"/>
        </w:rPr>
        <w:t>或（</w:t>
      </w:r>
      <w:r>
        <w:rPr>
          <w:rFonts w:hint="eastAsia" w:ascii="宋体" w:hAnsi="宋体" w:cs="hakuyoxingshu7000"/>
          <w:color w:val="auto"/>
          <w:sz w:val="22"/>
          <w:u w:val="single"/>
        </w:rPr>
        <w:t>没有因违法经营受到刑事处罚或者责令停产停业、吊销许可证或者执照、较大数额罚款等行政处罚或处罚）</w:t>
      </w:r>
      <w:r>
        <w:rPr>
          <w:rFonts w:hint="eastAsia" w:ascii="宋体" w:hAnsi="宋体" w:cs="hakuyoxingshu7000"/>
          <w:color w:val="auto"/>
          <w:sz w:val="22"/>
        </w:rPr>
        <w:t>或</w:t>
      </w:r>
      <w:r>
        <w:rPr>
          <w:rFonts w:hint="eastAsia" w:ascii="宋体" w:hAnsi="宋体" w:cs="hakuyoxingshu7000"/>
          <w:color w:val="auto"/>
          <w:sz w:val="22"/>
          <w:u w:val="single"/>
        </w:rPr>
        <w:t>（在  至  期间禁止参加政府采购活动但是期限届满，须附相关证明文件）</w:t>
      </w:r>
      <w:r>
        <w:rPr>
          <w:rFonts w:hint="eastAsia" w:ascii="宋体" w:hAnsi="宋体" w:cs="hakuyoxingshu7000"/>
          <w:color w:val="auto"/>
          <w:sz w:val="22"/>
        </w:rPr>
        <w:t>；</w:t>
      </w:r>
    </w:p>
    <w:p>
      <w:pPr>
        <w:pStyle w:val="123"/>
        <w:numPr>
          <w:ilvl w:val="1"/>
          <w:numId w:val="51"/>
        </w:numPr>
        <w:spacing w:line="360" w:lineRule="exact"/>
        <w:ind w:left="567" w:hanging="283" w:firstLineChars="0"/>
        <w:rPr>
          <w:rFonts w:ascii="宋体" w:hAnsi="宋体" w:cs="hakuyoxingshu7000"/>
          <w:color w:val="auto"/>
          <w:sz w:val="22"/>
        </w:rPr>
      </w:pPr>
      <w:r>
        <w:rPr>
          <w:rFonts w:hint="eastAsia" w:ascii="宋体" w:hAnsi="宋体" w:cs="hakuyoxingshu7000"/>
          <w:color w:val="auto"/>
          <w:sz w:val="22"/>
        </w:rPr>
        <w:t>我方同意提供按照贵方可能要求的与投标有关的一切数据或资料；</w:t>
      </w:r>
    </w:p>
    <w:p>
      <w:pPr>
        <w:pStyle w:val="123"/>
        <w:numPr>
          <w:ilvl w:val="1"/>
          <w:numId w:val="51"/>
        </w:numPr>
        <w:spacing w:line="360" w:lineRule="exact"/>
        <w:ind w:left="567" w:hanging="283" w:firstLineChars="0"/>
        <w:rPr>
          <w:rFonts w:ascii="宋体" w:hAnsi="宋体" w:cs="hakuyoxingshu7000"/>
          <w:color w:val="auto"/>
          <w:sz w:val="22"/>
        </w:rPr>
      </w:pPr>
      <w:r>
        <w:rPr>
          <w:rFonts w:hint="eastAsia" w:ascii="宋体" w:hAnsi="宋体" w:cs="hakuyoxingshu7000"/>
          <w:color w:val="auto"/>
          <w:sz w:val="22"/>
        </w:rPr>
        <w:t>我方理解贵方不一定接受最低报价。</w:t>
      </w:r>
      <w:r>
        <w:rPr>
          <w:rFonts w:ascii="宋体" w:hAnsi="宋体" w:cs="hakuyoxingshu7000"/>
          <w:color w:val="auto"/>
          <w:sz w:val="22"/>
        </w:rPr>
        <w:tab/>
      </w:r>
    </w:p>
    <w:p>
      <w:pPr>
        <w:pStyle w:val="123"/>
        <w:numPr>
          <w:ilvl w:val="1"/>
          <w:numId w:val="51"/>
        </w:numPr>
        <w:spacing w:line="360" w:lineRule="exact"/>
        <w:ind w:left="567" w:hanging="283" w:firstLineChars="0"/>
        <w:rPr>
          <w:rFonts w:ascii="宋体" w:hAnsi="宋体" w:cs="hakuyoxingshu7000"/>
          <w:color w:val="auto"/>
          <w:sz w:val="22"/>
        </w:rPr>
      </w:pPr>
      <w:r>
        <w:rPr>
          <w:rFonts w:hint="eastAsia" w:ascii="宋体" w:hAnsi="宋体" w:cs="hakuyoxingshu7000"/>
          <w:color w:val="auto"/>
          <w:sz w:val="22"/>
        </w:rPr>
        <w:t>我方如果中标，将保证履行招标文件以及招标文件修改书（如有）中的全部责任和义务，按质、按量、按期完成《合同书》中的全部任务。</w:t>
      </w:r>
    </w:p>
    <w:p>
      <w:pPr>
        <w:pStyle w:val="123"/>
        <w:numPr>
          <w:ilvl w:val="1"/>
          <w:numId w:val="51"/>
        </w:numPr>
        <w:spacing w:line="360" w:lineRule="exact"/>
        <w:ind w:left="567" w:hanging="283" w:firstLineChars="0"/>
        <w:rPr>
          <w:rFonts w:ascii="宋体" w:hAnsi="宋体" w:cs="hakuyoxingshu7000"/>
          <w:color w:val="auto"/>
          <w:sz w:val="22"/>
        </w:rPr>
      </w:pPr>
      <w:r>
        <w:rPr>
          <w:rFonts w:hint="eastAsia" w:ascii="宋体" w:hAnsi="宋体" w:cs="hakuyoxingshu7000"/>
          <w:color w:val="auto"/>
          <w:sz w:val="22"/>
        </w:rPr>
        <w:t>所有与本投标有关的函件请发往下列地址：</w:t>
      </w:r>
    </w:p>
    <w:p>
      <w:pPr>
        <w:spacing w:line="360" w:lineRule="exact"/>
        <w:ind w:firstLine="435"/>
        <w:rPr>
          <w:rFonts w:ascii="宋体" w:hAnsi="宋体" w:cs="hakuyoxingshu7000"/>
          <w:color w:val="auto"/>
          <w:sz w:val="22"/>
          <w:szCs w:val="22"/>
        </w:rPr>
      </w:pPr>
      <w:r>
        <w:rPr>
          <w:rFonts w:hint="eastAsia" w:ascii="宋体" w:hAnsi="宋体" w:cs="hakuyoxingshu7000"/>
          <w:color w:val="auto"/>
          <w:sz w:val="22"/>
          <w:szCs w:val="22"/>
        </w:rPr>
        <w:t xml:space="preserve">   地址</w:t>
      </w:r>
    </w:p>
    <w:p>
      <w:pPr>
        <w:spacing w:line="360" w:lineRule="exact"/>
        <w:ind w:firstLine="435"/>
        <w:rPr>
          <w:rFonts w:ascii="宋体" w:hAnsi="宋体" w:cs="hakuyoxingshu7000"/>
          <w:color w:val="auto"/>
          <w:sz w:val="22"/>
          <w:szCs w:val="22"/>
        </w:rPr>
      </w:pPr>
      <w:r>
        <w:rPr>
          <w:rFonts w:hint="eastAsia" w:ascii="宋体" w:hAnsi="宋体" w:cs="hakuyoxingshu7000"/>
          <w:color w:val="auto"/>
          <w:sz w:val="22"/>
          <w:szCs w:val="22"/>
        </w:rPr>
        <w:t xml:space="preserve">   电话</w:t>
      </w:r>
    </w:p>
    <w:p>
      <w:pPr>
        <w:spacing w:line="360" w:lineRule="exact"/>
        <w:ind w:firstLine="435"/>
        <w:rPr>
          <w:rFonts w:ascii="宋体" w:hAnsi="宋体" w:cs="hakuyoxingshu7000"/>
          <w:color w:val="auto"/>
          <w:sz w:val="22"/>
          <w:szCs w:val="22"/>
          <w:u w:val="single"/>
        </w:rPr>
      </w:pPr>
      <w:r>
        <w:rPr>
          <w:rFonts w:hint="eastAsia" w:ascii="宋体" w:hAnsi="宋体" w:cs="hakuyoxingshu7000"/>
          <w:color w:val="auto"/>
          <w:sz w:val="22"/>
          <w:szCs w:val="22"/>
        </w:rPr>
        <w:t xml:space="preserve">   传真</w:t>
      </w:r>
    </w:p>
    <w:p>
      <w:pPr>
        <w:spacing w:line="360" w:lineRule="exact"/>
        <w:ind w:firstLine="770" w:firstLineChars="350"/>
        <w:rPr>
          <w:rFonts w:ascii="宋体" w:hAnsi="宋体" w:cs="hakuyoxingshu7000"/>
          <w:color w:val="auto"/>
          <w:sz w:val="22"/>
          <w:szCs w:val="22"/>
          <w:u w:val="single"/>
        </w:rPr>
      </w:pPr>
      <w:r>
        <w:rPr>
          <w:rFonts w:hint="eastAsia" w:ascii="宋体" w:hAnsi="宋体" w:cs="hakuyoxingshu7000"/>
          <w:color w:val="auto"/>
          <w:sz w:val="22"/>
          <w:szCs w:val="22"/>
        </w:rPr>
        <w:t>电子邮件</w:t>
      </w:r>
    </w:p>
    <w:p>
      <w:pPr>
        <w:spacing w:line="420" w:lineRule="exact"/>
        <w:ind w:firstLine="435"/>
        <w:rPr>
          <w:rFonts w:ascii="宋体" w:hAnsi="宋体"/>
          <w:color w:val="auto"/>
          <w:sz w:val="22"/>
          <w:szCs w:val="22"/>
        </w:rPr>
      </w:pPr>
    </w:p>
    <w:p>
      <w:pPr>
        <w:spacing w:line="420" w:lineRule="exact"/>
        <w:ind w:firstLine="435"/>
        <w:rPr>
          <w:rFonts w:ascii="宋体" w:hAnsi="宋体"/>
          <w:color w:val="auto"/>
          <w:sz w:val="22"/>
          <w:szCs w:val="22"/>
        </w:rPr>
      </w:pPr>
      <w:r>
        <w:rPr>
          <w:rFonts w:hint="eastAsia" w:ascii="宋体" w:hAnsi="宋体"/>
          <w:color w:val="auto"/>
          <w:sz w:val="22"/>
          <w:szCs w:val="22"/>
        </w:rPr>
        <w:t xml:space="preserve">                                   投标人名称（盖章）</w:t>
      </w:r>
    </w:p>
    <w:p>
      <w:pPr>
        <w:spacing w:line="420" w:lineRule="exact"/>
        <w:ind w:firstLine="435"/>
        <w:rPr>
          <w:rFonts w:ascii="宋体" w:hAnsi="宋体"/>
          <w:color w:val="auto"/>
          <w:sz w:val="22"/>
          <w:szCs w:val="22"/>
        </w:rPr>
      </w:pPr>
      <w:r>
        <w:rPr>
          <w:rFonts w:hint="eastAsia" w:ascii="宋体" w:hAnsi="宋体"/>
          <w:color w:val="auto"/>
          <w:sz w:val="22"/>
          <w:szCs w:val="22"/>
        </w:rPr>
        <w:t xml:space="preserve">                                   投标人代表（签字或盖章）</w:t>
      </w:r>
    </w:p>
    <w:p>
      <w:pPr>
        <w:spacing w:line="460" w:lineRule="exact"/>
        <w:ind w:firstLine="435"/>
        <w:rPr>
          <w:rFonts w:ascii="宋体" w:hAnsi="宋体"/>
          <w:color w:val="auto"/>
          <w:sz w:val="22"/>
          <w:szCs w:val="22"/>
          <w:u w:val="single"/>
        </w:rPr>
        <w:sectPr>
          <w:footerReference r:id="rId6" w:type="first"/>
          <w:headerReference r:id="rId3" w:type="default"/>
          <w:footerReference r:id="rId4" w:type="default"/>
          <w:footerReference r:id="rId5" w:type="even"/>
          <w:type w:val="nextColumn"/>
          <w:pgSz w:w="11906" w:h="16838"/>
          <w:pgMar w:top="1134" w:right="1134" w:bottom="1134" w:left="1134" w:header="851" w:footer="851" w:gutter="0"/>
          <w:cols w:space="720" w:num="1"/>
          <w:titlePg/>
          <w:docGrid w:linePitch="312" w:charSpace="0"/>
        </w:sectPr>
      </w:pPr>
      <w:r>
        <w:rPr>
          <w:rFonts w:hint="eastAsia" w:ascii="宋体" w:hAnsi="宋体"/>
          <w:color w:val="auto"/>
          <w:sz w:val="22"/>
          <w:szCs w:val="22"/>
        </w:rPr>
        <w:t xml:space="preserve">                                   日    期</w:t>
      </w:r>
    </w:p>
    <w:p>
      <w:pPr>
        <w:spacing w:line="460" w:lineRule="exact"/>
        <w:rPr>
          <w:rFonts w:ascii="宋体" w:hAnsi="宋体"/>
          <w:color w:val="auto"/>
        </w:rPr>
      </w:pPr>
      <w:r>
        <w:rPr>
          <w:rFonts w:hint="eastAsia" w:ascii="宋体" w:hAnsi="宋体"/>
          <w:b/>
          <w:bCs/>
          <w:color w:val="auto"/>
          <w:sz w:val="22"/>
          <w:szCs w:val="22"/>
        </w:rPr>
        <w:t>附件四</w:t>
      </w:r>
    </w:p>
    <w:p>
      <w:pPr>
        <w:spacing w:line="460" w:lineRule="exact"/>
        <w:rPr>
          <w:rFonts w:ascii="宋体" w:hAnsi="宋体"/>
          <w:b/>
          <w:color w:val="auto"/>
          <w:sz w:val="22"/>
          <w:szCs w:val="22"/>
        </w:rPr>
      </w:pPr>
    </w:p>
    <w:p>
      <w:pPr>
        <w:spacing w:line="460" w:lineRule="exact"/>
        <w:ind w:firstLine="437"/>
        <w:jc w:val="center"/>
        <w:rPr>
          <w:rFonts w:ascii="宋体" w:hAnsi="宋体"/>
          <w:b/>
          <w:bCs/>
          <w:color w:val="auto"/>
          <w:sz w:val="28"/>
          <w:szCs w:val="28"/>
        </w:rPr>
      </w:pPr>
      <w:r>
        <w:rPr>
          <w:rFonts w:hint="eastAsia" w:ascii="宋体" w:hAnsi="宋体"/>
          <w:b/>
          <w:bCs/>
          <w:color w:val="auto"/>
          <w:sz w:val="28"/>
          <w:szCs w:val="28"/>
        </w:rPr>
        <w:t>技术规格、商务条款偏离表</w:t>
      </w:r>
    </w:p>
    <w:p>
      <w:pPr>
        <w:spacing w:line="380" w:lineRule="exact"/>
        <w:rPr>
          <w:rFonts w:ascii="宋体" w:hAnsi="宋体"/>
          <w:b/>
          <w:bCs/>
          <w:color w:val="auto"/>
          <w:sz w:val="22"/>
          <w:szCs w:val="22"/>
        </w:rPr>
      </w:pPr>
      <w:r>
        <w:rPr>
          <w:rFonts w:hint="eastAsia" w:ascii="宋体" w:hAnsi="宋体"/>
          <w:b/>
          <w:bCs/>
          <w:color w:val="auto"/>
          <w:sz w:val="22"/>
          <w:szCs w:val="22"/>
        </w:rPr>
        <w:t>投标人名称：                                          招标编号：</w:t>
      </w:r>
    </w:p>
    <w:tbl>
      <w:tblPr>
        <w:tblStyle w:val="63"/>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364"/>
        <w:gridCol w:w="2097"/>
        <w:gridCol w:w="1992"/>
        <w:gridCol w:w="1866"/>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943" w:type="dxa"/>
          </w:tcPr>
          <w:p>
            <w:pPr>
              <w:spacing w:line="380" w:lineRule="exact"/>
              <w:jc w:val="center"/>
              <w:rPr>
                <w:rFonts w:ascii="宋体" w:hAnsi="宋体"/>
                <w:color w:val="auto"/>
                <w:sz w:val="22"/>
                <w:szCs w:val="22"/>
              </w:rPr>
            </w:pPr>
          </w:p>
        </w:tc>
        <w:tc>
          <w:tcPr>
            <w:tcW w:w="1364" w:type="dxa"/>
            <w:vAlign w:val="center"/>
          </w:tcPr>
          <w:p>
            <w:pPr>
              <w:spacing w:line="380" w:lineRule="exact"/>
              <w:jc w:val="center"/>
              <w:rPr>
                <w:rFonts w:ascii="宋体" w:hAnsi="宋体"/>
                <w:color w:val="auto"/>
                <w:sz w:val="22"/>
                <w:szCs w:val="22"/>
              </w:rPr>
            </w:pPr>
            <w:r>
              <w:rPr>
                <w:rFonts w:hint="eastAsia" w:ascii="宋体" w:hAnsi="宋体"/>
                <w:color w:val="auto"/>
                <w:sz w:val="22"/>
                <w:szCs w:val="22"/>
              </w:rPr>
              <w:t>序号</w:t>
            </w:r>
          </w:p>
        </w:tc>
        <w:tc>
          <w:tcPr>
            <w:tcW w:w="2097" w:type="dxa"/>
            <w:vAlign w:val="center"/>
          </w:tcPr>
          <w:p>
            <w:pPr>
              <w:spacing w:line="380" w:lineRule="exact"/>
              <w:jc w:val="center"/>
              <w:rPr>
                <w:rFonts w:ascii="宋体" w:hAnsi="宋体"/>
                <w:color w:val="auto"/>
                <w:sz w:val="22"/>
                <w:szCs w:val="22"/>
              </w:rPr>
            </w:pPr>
            <w:r>
              <w:rPr>
                <w:rFonts w:hint="eastAsia" w:ascii="宋体" w:hAnsi="宋体"/>
                <w:color w:val="auto"/>
                <w:sz w:val="22"/>
                <w:szCs w:val="22"/>
              </w:rPr>
              <w:t>招标文件</w:t>
            </w:r>
          </w:p>
          <w:p>
            <w:pPr>
              <w:spacing w:line="380" w:lineRule="exact"/>
              <w:jc w:val="center"/>
              <w:rPr>
                <w:rFonts w:ascii="宋体" w:hAnsi="宋体"/>
                <w:color w:val="auto"/>
                <w:sz w:val="22"/>
                <w:szCs w:val="22"/>
              </w:rPr>
            </w:pPr>
            <w:r>
              <w:rPr>
                <w:rFonts w:hint="eastAsia" w:ascii="宋体" w:hAnsi="宋体"/>
                <w:color w:val="auto"/>
                <w:sz w:val="22"/>
                <w:szCs w:val="22"/>
              </w:rPr>
              <w:t>条目号</w:t>
            </w:r>
          </w:p>
        </w:tc>
        <w:tc>
          <w:tcPr>
            <w:tcW w:w="1992" w:type="dxa"/>
            <w:vAlign w:val="center"/>
          </w:tcPr>
          <w:p>
            <w:pPr>
              <w:spacing w:line="380" w:lineRule="exact"/>
              <w:jc w:val="center"/>
              <w:rPr>
                <w:rFonts w:ascii="宋体" w:hAnsi="宋体"/>
                <w:color w:val="auto"/>
                <w:sz w:val="22"/>
                <w:szCs w:val="22"/>
              </w:rPr>
            </w:pPr>
            <w:r>
              <w:rPr>
                <w:rFonts w:hint="eastAsia" w:ascii="宋体" w:hAnsi="宋体"/>
                <w:color w:val="auto"/>
                <w:sz w:val="22"/>
                <w:szCs w:val="22"/>
              </w:rPr>
              <w:t>招标文件</w:t>
            </w:r>
          </w:p>
          <w:p>
            <w:pPr>
              <w:spacing w:line="380" w:lineRule="exact"/>
              <w:jc w:val="center"/>
              <w:rPr>
                <w:rFonts w:ascii="宋体" w:hAnsi="宋体"/>
                <w:color w:val="auto"/>
                <w:sz w:val="22"/>
                <w:szCs w:val="22"/>
              </w:rPr>
            </w:pPr>
            <w:r>
              <w:rPr>
                <w:rFonts w:hint="eastAsia" w:ascii="宋体" w:hAnsi="宋体"/>
                <w:color w:val="auto"/>
                <w:sz w:val="22"/>
                <w:szCs w:val="22"/>
              </w:rPr>
              <w:t>规范要求</w:t>
            </w:r>
          </w:p>
        </w:tc>
        <w:tc>
          <w:tcPr>
            <w:tcW w:w="1866" w:type="dxa"/>
            <w:vAlign w:val="center"/>
          </w:tcPr>
          <w:p>
            <w:pPr>
              <w:spacing w:line="380" w:lineRule="exact"/>
              <w:jc w:val="center"/>
              <w:rPr>
                <w:rFonts w:ascii="宋体" w:hAnsi="宋体"/>
                <w:color w:val="auto"/>
                <w:sz w:val="22"/>
                <w:szCs w:val="22"/>
              </w:rPr>
            </w:pPr>
            <w:r>
              <w:rPr>
                <w:rFonts w:hint="eastAsia" w:ascii="宋体" w:hAnsi="宋体"/>
                <w:color w:val="auto"/>
                <w:sz w:val="22"/>
                <w:szCs w:val="22"/>
              </w:rPr>
              <w:t>投标文件</w:t>
            </w:r>
          </w:p>
          <w:p>
            <w:pPr>
              <w:spacing w:line="380" w:lineRule="exact"/>
              <w:jc w:val="center"/>
              <w:rPr>
                <w:rFonts w:ascii="宋体" w:hAnsi="宋体"/>
                <w:color w:val="auto"/>
                <w:sz w:val="22"/>
                <w:szCs w:val="22"/>
              </w:rPr>
            </w:pPr>
            <w:r>
              <w:rPr>
                <w:rFonts w:hint="eastAsia" w:ascii="宋体" w:hAnsi="宋体"/>
                <w:color w:val="auto"/>
                <w:sz w:val="22"/>
                <w:szCs w:val="22"/>
              </w:rPr>
              <w:t>对应规范</w:t>
            </w:r>
          </w:p>
        </w:tc>
        <w:tc>
          <w:tcPr>
            <w:tcW w:w="1592" w:type="dxa"/>
            <w:vAlign w:val="center"/>
          </w:tcPr>
          <w:p>
            <w:pPr>
              <w:spacing w:line="380" w:lineRule="exact"/>
              <w:jc w:val="center"/>
              <w:rPr>
                <w:rFonts w:ascii="宋体" w:hAnsi="宋体"/>
                <w:color w:val="auto"/>
                <w:sz w:val="22"/>
                <w:szCs w:val="22"/>
              </w:rPr>
            </w:pPr>
            <w:r>
              <w:rPr>
                <w:rFonts w:hint="eastAsia" w:ascii="宋体" w:hAnsi="宋体"/>
                <w:color w:val="auto"/>
                <w:sz w:val="22"/>
                <w:szCs w:val="22"/>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943" w:type="dxa"/>
            <w:vMerge w:val="restart"/>
            <w:vAlign w:val="center"/>
          </w:tcPr>
          <w:p>
            <w:pPr>
              <w:spacing w:line="380" w:lineRule="exact"/>
              <w:jc w:val="center"/>
              <w:rPr>
                <w:rFonts w:ascii="宋体" w:hAnsi="宋体"/>
                <w:color w:val="auto"/>
                <w:sz w:val="22"/>
                <w:szCs w:val="22"/>
              </w:rPr>
            </w:pPr>
            <w:r>
              <w:rPr>
                <w:rFonts w:hint="eastAsia" w:ascii="宋体" w:hAnsi="宋体"/>
                <w:color w:val="auto"/>
                <w:sz w:val="22"/>
                <w:szCs w:val="22"/>
              </w:rPr>
              <w:t>技</w:t>
            </w:r>
          </w:p>
          <w:p>
            <w:pPr>
              <w:spacing w:line="380" w:lineRule="exact"/>
              <w:jc w:val="center"/>
              <w:rPr>
                <w:rFonts w:ascii="宋体" w:hAnsi="宋体"/>
                <w:color w:val="auto"/>
                <w:sz w:val="22"/>
                <w:szCs w:val="22"/>
              </w:rPr>
            </w:pPr>
            <w:r>
              <w:rPr>
                <w:rFonts w:hint="eastAsia" w:ascii="宋体" w:hAnsi="宋体"/>
                <w:color w:val="auto"/>
                <w:sz w:val="22"/>
                <w:szCs w:val="22"/>
              </w:rPr>
              <w:t>术</w:t>
            </w:r>
          </w:p>
          <w:p>
            <w:pPr>
              <w:spacing w:line="380" w:lineRule="exact"/>
              <w:jc w:val="center"/>
              <w:rPr>
                <w:rFonts w:ascii="宋体" w:hAnsi="宋体"/>
                <w:color w:val="auto"/>
                <w:sz w:val="22"/>
                <w:szCs w:val="22"/>
              </w:rPr>
            </w:pPr>
            <w:r>
              <w:rPr>
                <w:rFonts w:hint="eastAsia" w:ascii="宋体" w:hAnsi="宋体"/>
                <w:color w:val="auto"/>
                <w:sz w:val="22"/>
                <w:szCs w:val="22"/>
              </w:rPr>
              <w:t>规</w:t>
            </w:r>
          </w:p>
          <w:p>
            <w:pPr>
              <w:spacing w:line="380" w:lineRule="exact"/>
              <w:jc w:val="center"/>
              <w:rPr>
                <w:rFonts w:ascii="宋体" w:hAnsi="宋体"/>
                <w:color w:val="auto"/>
                <w:sz w:val="22"/>
                <w:szCs w:val="22"/>
              </w:rPr>
            </w:pPr>
            <w:r>
              <w:rPr>
                <w:rFonts w:hint="eastAsia" w:ascii="宋体" w:hAnsi="宋体"/>
                <w:color w:val="auto"/>
                <w:sz w:val="22"/>
                <w:szCs w:val="22"/>
              </w:rPr>
              <w:t>格</w:t>
            </w:r>
          </w:p>
        </w:tc>
        <w:tc>
          <w:tcPr>
            <w:tcW w:w="1364" w:type="dxa"/>
            <w:vAlign w:val="center"/>
          </w:tcPr>
          <w:p>
            <w:pPr>
              <w:spacing w:line="380" w:lineRule="exact"/>
              <w:jc w:val="center"/>
              <w:rPr>
                <w:rFonts w:ascii="宋体" w:hAnsi="宋体"/>
                <w:color w:val="auto"/>
                <w:sz w:val="22"/>
                <w:szCs w:val="22"/>
              </w:rPr>
            </w:pPr>
          </w:p>
        </w:tc>
        <w:tc>
          <w:tcPr>
            <w:tcW w:w="2097" w:type="dxa"/>
            <w:vAlign w:val="center"/>
          </w:tcPr>
          <w:p>
            <w:pPr>
              <w:spacing w:line="380" w:lineRule="exact"/>
              <w:jc w:val="center"/>
              <w:rPr>
                <w:rFonts w:ascii="宋体" w:hAnsi="宋体"/>
                <w:color w:val="auto"/>
                <w:sz w:val="22"/>
                <w:szCs w:val="22"/>
              </w:rPr>
            </w:pPr>
          </w:p>
        </w:tc>
        <w:tc>
          <w:tcPr>
            <w:tcW w:w="1992" w:type="dxa"/>
            <w:vAlign w:val="center"/>
          </w:tcPr>
          <w:p>
            <w:pPr>
              <w:spacing w:line="380" w:lineRule="exact"/>
              <w:jc w:val="center"/>
              <w:rPr>
                <w:rFonts w:ascii="宋体" w:hAnsi="宋体"/>
                <w:color w:val="auto"/>
                <w:sz w:val="22"/>
                <w:szCs w:val="22"/>
              </w:rPr>
            </w:pPr>
          </w:p>
        </w:tc>
        <w:tc>
          <w:tcPr>
            <w:tcW w:w="1866" w:type="dxa"/>
            <w:vAlign w:val="center"/>
          </w:tcPr>
          <w:p>
            <w:pPr>
              <w:spacing w:line="380" w:lineRule="exact"/>
              <w:jc w:val="center"/>
              <w:rPr>
                <w:rFonts w:ascii="宋体" w:hAnsi="宋体"/>
                <w:color w:val="auto"/>
                <w:sz w:val="22"/>
                <w:szCs w:val="22"/>
              </w:rPr>
            </w:pPr>
          </w:p>
        </w:tc>
        <w:tc>
          <w:tcPr>
            <w:tcW w:w="1592" w:type="dxa"/>
            <w:vAlign w:val="center"/>
          </w:tcPr>
          <w:p>
            <w:pPr>
              <w:spacing w:line="380" w:lineRule="exact"/>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ind w:firstLine="220" w:firstLineChars="100"/>
              <w:rPr>
                <w:rFonts w:ascii="宋体" w:hAnsi="宋体"/>
                <w:color w:val="auto"/>
                <w:sz w:val="22"/>
                <w:szCs w:val="22"/>
              </w:rPr>
            </w:pPr>
          </w:p>
        </w:tc>
        <w:tc>
          <w:tcPr>
            <w:tcW w:w="1364" w:type="dxa"/>
            <w:vAlign w:val="center"/>
          </w:tcPr>
          <w:p>
            <w:pPr>
              <w:spacing w:line="380" w:lineRule="exact"/>
              <w:jc w:val="center"/>
              <w:rPr>
                <w:rFonts w:ascii="宋体" w:hAnsi="宋体"/>
                <w:color w:val="auto"/>
                <w:sz w:val="22"/>
                <w:szCs w:val="22"/>
              </w:rPr>
            </w:pPr>
          </w:p>
        </w:tc>
        <w:tc>
          <w:tcPr>
            <w:tcW w:w="2097" w:type="dxa"/>
            <w:vAlign w:val="center"/>
          </w:tcPr>
          <w:p>
            <w:pPr>
              <w:spacing w:line="380" w:lineRule="exact"/>
              <w:jc w:val="center"/>
              <w:rPr>
                <w:rFonts w:ascii="宋体" w:hAnsi="宋体"/>
                <w:color w:val="auto"/>
                <w:sz w:val="22"/>
                <w:szCs w:val="22"/>
              </w:rPr>
            </w:pPr>
          </w:p>
        </w:tc>
        <w:tc>
          <w:tcPr>
            <w:tcW w:w="1992" w:type="dxa"/>
            <w:vAlign w:val="center"/>
          </w:tcPr>
          <w:p>
            <w:pPr>
              <w:spacing w:line="380" w:lineRule="exact"/>
              <w:jc w:val="center"/>
              <w:rPr>
                <w:rFonts w:ascii="宋体" w:hAnsi="宋体"/>
                <w:color w:val="auto"/>
                <w:sz w:val="22"/>
                <w:szCs w:val="22"/>
              </w:rPr>
            </w:pPr>
          </w:p>
        </w:tc>
        <w:tc>
          <w:tcPr>
            <w:tcW w:w="1866" w:type="dxa"/>
            <w:vAlign w:val="center"/>
          </w:tcPr>
          <w:p>
            <w:pPr>
              <w:spacing w:line="380" w:lineRule="exact"/>
              <w:jc w:val="center"/>
              <w:rPr>
                <w:rFonts w:ascii="宋体" w:hAnsi="宋体"/>
                <w:color w:val="auto"/>
                <w:sz w:val="22"/>
                <w:szCs w:val="22"/>
              </w:rPr>
            </w:pPr>
          </w:p>
        </w:tc>
        <w:tc>
          <w:tcPr>
            <w:tcW w:w="1592" w:type="dxa"/>
            <w:vAlign w:val="center"/>
          </w:tcPr>
          <w:p>
            <w:pPr>
              <w:spacing w:line="380" w:lineRule="exact"/>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rPr>
            </w:pPr>
          </w:p>
        </w:tc>
        <w:tc>
          <w:tcPr>
            <w:tcW w:w="1364" w:type="dxa"/>
            <w:vAlign w:val="center"/>
          </w:tcPr>
          <w:p>
            <w:pPr>
              <w:spacing w:line="380" w:lineRule="exact"/>
              <w:jc w:val="center"/>
              <w:rPr>
                <w:rFonts w:ascii="宋体" w:hAnsi="宋体"/>
                <w:color w:val="auto"/>
                <w:sz w:val="22"/>
                <w:szCs w:val="22"/>
              </w:rPr>
            </w:pPr>
          </w:p>
        </w:tc>
        <w:tc>
          <w:tcPr>
            <w:tcW w:w="2097" w:type="dxa"/>
            <w:vAlign w:val="center"/>
          </w:tcPr>
          <w:p>
            <w:pPr>
              <w:spacing w:line="380" w:lineRule="exact"/>
              <w:jc w:val="center"/>
              <w:rPr>
                <w:rFonts w:ascii="宋体" w:hAnsi="宋体"/>
                <w:color w:val="auto"/>
                <w:sz w:val="22"/>
                <w:szCs w:val="22"/>
              </w:rPr>
            </w:pPr>
          </w:p>
        </w:tc>
        <w:tc>
          <w:tcPr>
            <w:tcW w:w="1992" w:type="dxa"/>
            <w:vAlign w:val="center"/>
          </w:tcPr>
          <w:p>
            <w:pPr>
              <w:spacing w:line="380" w:lineRule="exact"/>
              <w:jc w:val="center"/>
              <w:rPr>
                <w:rFonts w:ascii="宋体" w:hAnsi="宋体"/>
                <w:color w:val="auto"/>
                <w:sz w:val="22"/>
                <w:szCs w:val="22"/>
              </w:rPr>
            </w:pPr>
          </w:p>
        </w:tc>
        <w:tc>
          <w:tcPr>
            <w:tcW w:w="1866" w:type="dxa"/>
            <w:vAlign w:val="center"/>
          </w:tcPr>
          <w:p>
            <w:pPr>
              <w:spacing w:line="380" w:lineRule="exact"/>
              <w:jc w:val="center"/>
              <w:rPr>
                <w:rFonts w:ascii="宋体" w:hAnsi="宋体"/>
                <w:color w:val="auto"/>
                <w:sz w:val="22"/>
                <w:szCs w:val="22"/>
              </w:rPr>
            </w:pPr>
          </w:p>
        </w:tc>
        <w:tc>
          <w:tcPr>
            <w:tcW w:w="1592" w:type="dxa"/>
            <w:vAlign w:val="center"/>
          </w:tcPr>
          <w:p>
            <w:pPr>
              <w:spacing w:line="380" w:lineRule="exact"/>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rPr>
            </w:pPr>
          </w:p>
        </w:tc>
        <w:tc>
          <w:tcPr>
            <w:tcW w:w="1364" w:type="dxa"/>
            <w:vAlign w:val="center"/>
          </w:tcPr>
          <w:p>
            <w:pPr>
              <w:spacing w:line="380" w:lineRule="exact"/>
              <w:jc w:val="center"/>
              <w:rPr>
                <w:rFonts w:ascii="宋体" w:hAnsi="宋体"/>
                <w:color w:val="auto"/>
                <w:sz w:val="22"/>
                <w:szCs w:val="22"/>
              </w:rPr>
            </w:pPr>
          </w:p>
        </w:tc>
        <w:tc>
          <w:tcPr>
            <w:tcW w:w="2097" w:type="dxa"/>
            <w:vAlign w:val="center"/>
          </w:tcPr>
          <w:p>
            <w:pPr>
              <w:spacing w:line="380" w:lineRule="exact"/>
              <w:jc w:val="center"/>
              <w:rPr>
                <w:rFonts w:ascii="宋体" w:hAnsi="宋体"/>
                <w:color w:val="auto"/>
                <w:sz w:val="22"/>
                <w:szCs w:val="22"/>
              </w:rPr>
            </w:pPr>
          </w:p>
        </w:tc>
        <w:tc>
          <w:tcPr>
            <w:tcW w:w="1992" w:type="dxa"/>
            <w:vAlign w:val="center"/>
          </w:tcPr>
          <w:p>
            <w:pPr>
              <w:spacing w:line="380" w:lineRule="exact"/>
              <w:jc w:val="center"/>
              <w:rPr>
                <w:rFonts w:ascii="宋体" w:hAnsi="宋体"/>
                <w:color w:val="auto"/>
                <w:sz w:val="22"/>
                <w:szCs w:val="22"/>
              </w:rPr>
            </w:pPr>
          </w:p>
        </w:tc>
        <w:tc>
          <w:tcPr>
            <w:tcW w:w="1866" w:type="dxa"/>
            <w:vAlign w:val="center"/>
          </w:tcPr>
          <w:p>
            <w:pPr>
              <w:spacing w:line="380" w:lineRule="exact"/>
              <w:jc w:val="center"/>
              <w:rPr>
                <w:rFonts w:ascii="宋体" w:hAnsi="宋体"/>
                <w:color w:val="auto"/>
                <w:sz w:val="22"/>
                <w:szCs w:val="22"/>
              </w:rPr>
            </w:pPr>
          </w:p>
        </w:tc>
        <w:tc>
          <w:tcPr>
            <w:tcW w:w="1592" w:type="dxa"/>
            <w:vAlign w:val="center"/>
          </w:tcPr>
          <w:p>
            <w:pPr>
              <w:spacing w:line="380" w:lineRule="exact"/>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rPr>
            </w:pPr>
          </w:p>
        </w:tc>
        <w:tc>
          <w:tcPr>
            <w:tcW w:w="1364" w:type="dxa"/>
            <w:vAlign w:val="center"/>
          </w:tcPr>
          <w:p>
            <w:pPr>
              <w:spacing w:line="380" w:lineRule="exact"/>
              <w:jc w:val="center"/>
              <w:rPr>
                <w:rFonts w:ascii="宋体" w:hAnsi="宋体"/>
                <w:color w:val="auto"/>
                <w:sz w:val="22"/>
                <w:szCs w:val="22"/>
              </w:rPr>
            </w:pPr>
          </w:p>
        </w:tc>
        <w:tc>
          <w:tcPr>
            <w:tcW w:w="2097" w:type="dxa"/>
            <w:vAlign w:val="center"/>
          </w:tcPr>
          <w:p>
            <w:pPr>
              <w:spacing w:line="380" w:lineRule="exact"/>
              <w:jc w:val="center"/>
              <w:rPr>
                <w:rFonts w:ascii="宋体" w:hAnsi="宋体"/>
                <w:color w:val="auto"/>
                <w:sz w:val="22"/>
                <w:szCs w:val="22"/>
              </w:rPr>
            </w:pPr>
          </w:p>
        </w:tc>
        <w:tc>
          <w:tcPr>
            <w:tcW w:w="1992" w:type="dxa"/>
            <w:vAlign w:val="center"/>
          </w:tcPr>
          <w:p>
            <w:pPr>
              <w:spacing w:line="380" w:lineRule="exact"/>
              <w:jc w:val="center"/>
              <w:rPr>
                <w:rFonts w:ascii="宋体" w:hAnsi="宋体"/>
                <w:color w:val="auto"/>
                <w:sz w:val="22"/>
                <w:szCs w:val="22"/>
              </w:rPr>
            </w:pPr>
          </w:p>
        </w:tc>
        <w:tc>
          <w:tcPr>
            <w:tcW w:w="1866" w:type="dxa"/>
            <w:vAlign w:val="center"/>
          </w:tcPr>
          <w:p>
            <w:pPr>
              <w:spacing w:line="380" w:lineRule="exact"/>
              <w:jc w:val="center"/>
              <w:rPr>
                <w:rFonts w:ascii="宋体" w:hAnsi="宋体"/>
                <w:color w:val="auto"/>
                <w:sz w:val="22"/>
                <w:szCs w:val="22"/>
              </w:rPr>
            </w:pPr>
          </w:p>
        </w:tc>
        <w:tc>
          <w:tcPr>
            <w:tcW w:w="1592" w:type="dxa"/>
            <w:vAlign w:val="center"/>
          </w:tcPr>
          <w:p>
            <w:pPr>
              <w:spacing w:line="380" w:lineRule="exact"/>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943" w:type="dxa"/>
            <w:vMerge w:val="restart"/>
            <w:vAlign w:val="center"/>
          </w:tcPr>
          <w:p>
            <w:pPr>
              <w:spacing w:line="380" w:lineRule="exact"/>
              <w:jc w:val="center"/>
              <w:rPr>
                <w:rFonts w:ascii="宋体" w:hAnsi="宋体"/>
                <w:color w:val="auto"/>
                <w:sz w:val="22"/>
                <w:szCs w:val="22"/>
              </w:rPr>
            </w:pPr>
            <w:r>
              <w:rPr>
                <w:rFonts w:hint="eastAsia" w:ascii="宋体" w:hAnsi="宋体"/>
                <w:color w:val="auto"/>
                <w:sz w:val="22"/>
                <w:szCs w:val="22"/>
              </w:rPr>
              <w:t>商</w:t>
            </w:r>
          </w:p>
          <w:p>
            <w:pPr>
              <w:spacing w:line="380" w:lineRule="exact"/>
              <w:jc w:val="center"/>
              <w:rPr>
                <w:rFonts w:ascii="宋体" w:hAnsi="宋体"/>
                <w:color w:val="auto"/>
                <w:sz w:val="22"/>
                <w:szCs w:val="22"/>
              </w:rPr>
            </w:pPr>
            <w:r>
              <w:rPr>
                <w:rFonts w:hint="eastAsia" w:ascii="宋体" w:hAnsi="宋体"/>
                <w:color w:val="auto"/>
                <w:sz w:val="22"/>
                <w:szCs w:val="22"/>
              </w:rPr>
              <w:t>务</w:t>
            </w:r>
          </w:p>
          <w:p>
            <w:pPr>
              <w:spacing w:line="380" w:lineRule="exact"/>
              <w:jc w:val="center"/>
              <w:rPr>
                <w:rFonts w:ascii="宋体" w:hAnsi="宋体"/>
                <w:color w:val="auto"/>
                <w:sz w:val="22"/>
                <w:szCs w:val="22"/>
              </w:rPr>
            </w:pPr>
            <w:r>
              <w:rPr>
                <w:rFonts w:hint="eastAsia" w:ascii="宋体" w:hAnsi="宋体"/>
                <w:color w:val="auto"/>
                <w:sz w:val="22"/>
                <w:szCs w:val="22"/>
              </w:rPr>
              <w:t>条</w:t>
            </w:r>
          </w:p>
          <w:p>
            <w:pPr>
              <w:spacing w:line="380" w:lineRule="exact"/>
              <w:jc w:val="center"/>
              <w:rPr>
                <w:rFonts w:ascii="宋体" w:hAnsi="宋体"/>
                <w:color w:val="auto"/>
                <w:sz w:val="22"/>
                <w:szCs w:val="22"/>
              </w:rPr>
            </w:pPr>
            <w:r>
              <w:rPr>
                <w:rFonts w:hint="eastAsia" w:ascii="宋体" w:hAnsi="宋体"/>
                <w:color w:val="auto"/>
                <w:sz w:val="22"/>
                <w:szCs w:val="22"/>
              </w:rPr>
              <w:t>款</w:t>
            </w:r>
          </w:p>
        </w:tc>
        <w:tc>
          <w:tcPr>
            <w:tcW w:w="1364" w:type="dxa"/>
            <w:vAlign w:val="center"/>
          </w:tcPr>
          <w:p>
            <w:pPr>
              <w:spacing w:line="380" w:lineRule="exact"/>
              <w:jc w:val="center"/>
              <w:rPr>
                <w:rFonts w:ascii="宋体" w:hAnsi="宋体"/>
                <w:color w:val="auto"/>
                <w:sz w:val="22"/>
                <w:szCs w:val="22"/>
              </w:rPr>
            </w:pPr>
          </w:p>
        </w:tc>
        <w:tc>
          <w:tcPr>
            <w:tcW w:w="2097" w:type="dxa"/>
            <w:vAlign w:val="center"/>
          </w:tcPr>
          <w:p>
            <w:pPr>
              <w:spacing w:line="380" w:lineRule="exact"/>
              <w:jc w:val="center"/>
              <w:rPr>
                <w:rFonts w:ascii="宋体" w:hAnsi="宋体"/>
                <w:color w:val="auto"/>
                <w:sz w:val="22"/>
                <w:szCs w:val="22"/>
              </w:rPr>
            </w:pPr>
          </w:p>
        </w:tc>
        <w:tc>
          <w:tcPr>
            <w:tcW w:w="1992" w:type="dxa"/>
            <w:vAlign w:val="center"/>
          </w:tcPr>
          <w:p>
            <w:pPr>
              <w:spacing w:line="380" w:lineRule="exact"/>
              <w:jc w:val="center"/>
              <w:rPr>
                <w:rFonts w:ascii="宋体" w:hAnsi="宋体"/>
                <w:color w:val="auto"/>
                <w:sz w:val="22"/>
                <w:szCs w:val="22"/>
              </w:rPr>
            </w:pPr>
          </w:p>
        </w:tc>
        <w:tc>
          <w:tcPr>
            <w:tcW w:w="1866" w:type="dxa"/>
            <w:vAlign w:val="center"/>
          </w:tcPr>
          <w:p>
            <w:pPr>
              <w:spacing w:line="380" w:lineRule="exact"/>
              <w:jc w:val="center"/>
              <w:rPr>
                <w:rFonts w:ascii="宋体" w:hAnsi="宋体"/>
                <w:color w:val="auto"/>
                <w:sz w:val="22"/>
                <w:szCs w:val="22"/>
              </w:rPr>
            </w:pPr>
          </w:p>
        </w:tc>
        <w:tc>
          <w:tcPr>
            <w:tcW w:w="1592" w:type="dxa"/>
            <w:vAlign w:val="center"/>
          </w:tcPr>
          <w:p>
            <w:pPr>
              <w:spacing w:line="380" w:lineRule="exact"/>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rPr>
            </w:pPr>
          </w:p>
        </w:tc>
        <w:tc>
          <w:tcPr>
            <w:tcW w:w="1364" w:type="dxa"/>
            <w:vAlign w:val="center"/>
          </w:tcPr>
          <w:p>
            <w:pPr>
              <w:spacing w:line="380" w:lineRule="exact"/>
              <w:jc w:val="center"/>
              <w:rPr>
                <w:rFonts w:ascii="宋体" w:hAnsi="宋体"/>
                <w:color w:val="auto"/>
                <w:sz w:val="22"/>
                <w:szCs w:val="22"/>
              </w:rPr>
            </w:pPr>
          </w:p>
        </w:tc>
        <w:tc>
          <w:tcPr>
            <w:tcW w:w="2097" w:type="dxa"/>
            <w:vAlign w:val="center"/>
          </w:tcPr>
          <w:p>
            <w:pPr>
              <w:spacing w:line="380" w:lineRule="exact"/>
              <w:jc w:val="center"/>
              <w:rPr>
                <w:rFonts w:ascii="宋体" w:hAnsi="宋体"/>
                <w:color w:val="auto"/>
                <w:sz w:val="22"/>
                <w:szCs w:val="22"/>
              </w:rPr>
            </w:pPr>
          </w:p>
        </w:tc>
        <w:tc>
          <w:tcPr>
            <w:tcW w:w="1992" w:type="dxa"/>
            <w:vAlign w:val="center"/>
          </w:tcPr>
          <w:p>
            <w:pPr>
              <w:spacing w:line="380" w:lineRule="exact"/>
              <w:jc w:val="center"/>
              <w:rPr>
                <w:rFonts w:ascii="宋体" w:hAnsi="宋体"/>
                <w:color w:val="auto"/>
                <w:sz w:val="22"/>
                <w:szCs w:val="22"/>
              </w:rPr>
            </w:pPr>
          </w:p>
        </w:tc>
        <w:tc>
          <w:tcPr>
            <w:tcW w:w="1866" w:type="dxa"/>
            <w:vAlign w:val="center"/>
          </w:tcPr>
          <w:p>
            <w:pPr>
              <w:spacing w:line="380" w:lineRule="exact"/>
              <w:jc w:val="center"/>
              <w:rPr>
                <w:rFonts w:ascii="宋体" w:hAnsi="宋体"/>
                <w:color w:val="auto"/>
                <w:sz w:val="22"/>
                <w:szCs w:val="22"/>
              </w:rPr>
            </w:pPr>
          </w:p>
        </w:tc>
        <w:tc>
          <w:tcPr>
            <w:tcW w:w="1592" w:type="dxa"/>
            <w:vAlign w:val="center"/>
          </w:tcPr>
          <w:p>
            <w:pPr>
              <w:spacing w:line="380" w:lineRule="exact"/>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rPr>
            </w:pPr>
          </w:p>
        </w:tc>
        <w:tc>
          <w:tcPr>
            <w:tcW w:w="1364" w:type="dxa"/>
            <w:vAlign w:val="center"/>
          </w:tcPr>
          <w:p>
            <w:pPr>
              <w:spacing w:line="380" w:lineRule="exact"/>
              <w:jc w:val="center"/>
              <w:rPr>
                <w:rFonts w:ascii="宋体" w:hAnsi="宋体"/>
                <w:color w:val="auto"/>
                <w:sz w:val="22"/>
                <w:szCs w:val="22"/>
              </w:rPr>
            </w:pPr>
          </w:p>
        </w:tc>
        <w:tc>
          <w:tcPr>
            <w:tcW w:w="2097" w:type="dxa"/>
            <w:vAlign w:val="center"/>
          </w:tcPr>
          <w:p>
            <w:pPr>
              <w:spacing w:line="380" w:lineRule="exact"/>
              <w:jc w:val="center"/>
              <w:rPr>
                <w:rFonts w:ascii="宋体" w:hAnsi="宋体"/>
                <w:color w:val="auto"/>
                <w:sz w:val="22"/>
                <w:szCs w:val="22"/>
              </w:rPr>
            </w:pPr>
          </w:p>
        </w:tc>
        <w:tc>
          <w:tcPr>
            <w:tcW w:w="1992" w:type="dxa"/>
            <w:vAlign w:val="center"/>
          </w:tcPr>
          <w:p>
            <w:pPr>
              <w:spacing w:line="380" w:lineRule="exact"/>
              <w:jc w:val="center"/>
              <w:rPr>
                <w:rFonts w:ascii="宋体" w:hAnsi="宋体"/>
                <w:color w:val="auto"/>
                <w:sz w:val="22"/>
                <w:szCs w:val="22"/>
              </w:rPr>
            </w:pPr>
          </w:p>
        </w:tc>
        <w:tc>
          <w:tcPr>
            <w:tcW w:w="1866" w:type="dxa"/>
            <w:vAlign w:val="center"/>
          </w:tcPr>
          <w:p>
            <w:pPr>
              <w:spacing w:line="380" w:lineRule="exact"/>
              <w:jc w:val="center"/>
              <w:rPr>
                <w:rFonts w:ascii="宋体" w:hAnsi="宋体"/>
                <w:color w:val="auto"/>
                <w:sz w:val="22"/>
                <w:szCs w:val="22"/>
              </w:rPr>
            </w:pPr>
          </w:p>
        </w:tc>
        <w:tc>
          <w:tcPr>
            <w:tcW w:w="1592" w:type="dxa"/>
            <w:vAlign w:val="center"/>
          </w:tcPr>
          <w:p>
            <w:pPr>
              <w:spacing w:line="380" w:lineRule="exact"/>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rPr>
            </w:pPr>
          </w:p>
        </w:tc>
        <w:tc>
          <w:tcPr>
            <w:tcW w:w="1364" w:type="dxa"/>
            <w:vAlign w:val="center"/>
          </w:tcPr>
          <w:p>
            <w:pPr>
              <w:spacing w:line="380" w:lineRule="exact"/>
              <w:jc w:val="center"/>
              <w:rPr>
                <w:rFonts w:ascii="宋体" w:hAnsi="宋体"/>
                <w:color w:val="auto"/>
                <w:sz w:val="22"/>
                <w:szCs w:val="22"/>
              </w:rPr>
            </w:pPr>
          </w:p>
        </w:tc>
        <w:tc>
          <w:tcPr>
            <w:tcW w:w="2097" w:type="dxa"/>
            <w:vAlign w:val="center"/>
          </w:tcPr>
          <w:p>
            <w:pPr>
              <w:spacing w:line="380" w:lineRule="exact"/>
              <w:jc w:val="center"/>
              <w:rPr>
                <w:rFonts w:ascii="宋体" w:hAnsi="宋体"/>
                <w:color w:val="auto"/>
                <w:sz w:val="22"/>
                <w:szCs w:val="22"/>
              </w:rPr>
            </w:pPr>
          </w:p>
        </w:tc>
        <w:tc>
          <w:tcPr>
            <w:tcW w:w="1992" w:type="dxa"/>
            <w:vAlign w:val="center"/>
          </w:tcPr>
          <w:p>
            <w:pPr>
              <w:spacing w:line="380" w:lineRule="exact"/>
              <w:jc w:val="center"/>
              <w:rPr>
                <w:rFonts w:ascii="宋体" w:hAnsi="宋体"/>
                <w:color w:val="auto"/>
                <w:sz w:val="22"/>
                <w:szCs w:val="22"/>
              </w:rPr>
            </w:pPr>
          </w:p>
        </w:tc>
        <w:tc>
          <w:tcPr>
            <w:tcW w:w="1866" w:type="dxa"/>
            <w:vAlign w:val="center"/>
          </w:tcPr>
          <w:p>
            <w:pPr>
              <w:spacing w:line="380" w:lineRule="exact"/>
              <w:jc w:val="center"/>
              <w:rPr>
                <w:rFonts w:ascii="宋体" w:hAnsi="宋体"/>
                <w:color w:val="auto"/>
                <w:sz w:val="22"/>
                <w:szCs w:val="22"/>
              </w:rPr>
            </w:pPr>
          </w:p>
        </w:tc>
        <w:tc>
          <w:tcPr>
            <w:tcW w:w="1592" w:type="dxa"/>
            <w:vAlign w:val="center"/>
          </w:tcPr>
          <w:p>
            <w:pPr>
              <w:spacing w:line="380" w:lineRule="exact"/>
              <w:jc w:val="center"/>
              <w:rPr>
                <w:rFonts w:ascii="宋体" w:hAnsi="宋体"/>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olor w:val="auto"/>
                <w:sz w:val="22"/>
                <w:szCs w:val="22"/>
              </w:rPr>
            </w:pPr>
          </w:p>
        </w:tc>
        <w:tc>
          <w:tcPr>
            <w:tcW w:w="1364" w:type="dxa"/>
            <w:vAlign w:val="center"/>
          </w:tcPr>
          <w:p>
            <w:pPr>
              <w:spacing w:line="380" w:lineRule="exact"/>
              <w:jc w:val="center"/>
              <w:rPr>
                <w:rFonts w:ascii="宋体" w:hAnsi="宋体"/>
                <w:color w:val="auto"/>
                <w:sz w:val="22"/>
                <w:szCs w:val="22"/>
              </w:rPr>
            </w:pPr>
          </w:p>
        </w:tc>
        <w:tc>
          <w:tcPr>
            <w:tcW w:w="2097" w:type="dxa"/>
            <w:vAlign w:val="center"/>
          </w:tcPr>
          <w:p>
            <w:pPr>
              <w:spacing w:line="380" w:lineRule="exact"/>
              <w:jc w:val="center"/>
              <w:rPr>
                <w:rFonts w:ascii="宋体" w:hAnsi="宋体"/>
                <w:color w:val="auto"/>
                <w:sz w:val="22"/>
                <w:szCs w:val="22"/>
              </w:rPr>
            </w:pPr>
          </w:p>
        </w:tc>
        <w:tc>
          <w:tcPr>
            <w:tcW w:w="1992" w:type="dxa"/>
            <w:vAlign w:val="center"/>
          </w:tcPr>
          <w:p>
            <w:pPr>
              <w:spacing w:line="380" w:lineRule="exact"/>
              <w:jc w:val="center"/>
              <w:rPr>
                <w:rFonts w:ascii="宋体" w:hAnsi="宋体"/>
                <w:color w:val="auto"/>
                <w:sz w:val="22"/>
                <w:szCs w:val="22"/>
              </w:rPr>
            </w:pPr>
          </w:p>
        </w:tc>
        <w:tc>
          <w:tcPr>
            <w:tcW w:w="1866" w:type="dxa"/>
            <w:vAlign w:val="center"/>
          </w:tcPr>
          <w:p>
            <w:pPr>
              <w:spacing w:line="380" w:lineRule="exact"/>
              <w:jc w:val="center"/>
              <w:rPr>
                <w:rFonts w:ascii="宋体" w:hAnsi="宋体"/>
                <w:color w:val="auto"/>
                <w:sz w:val="22"/>
                <w:szCs w:val="22"/>
              </w:rPr>
            </w:pPr>
          </w:p>
        </w:tc>
        <w:tc>
          <w:tcPr>
            <w:tcW w:w="1592" w:type="dxa"/>
            <w:vAlign w:val="center"/>
          </w:tcPr>
          <w:p>
            <w:pPr>
              <w:spacing w:line="380" w:lineRule="exact"/>
              <w:jc w:val="center"/>
              <w:rPr>
                <w:rFonts w:ascii="宋体" w:hAnsi="宋体"/>
                <w:color w:val="auto"/>
                <w:sz w:val="22"/>
                <w:szCs w:val="22"/>
              </w:rPr>
            </w:pPr>
          </w:p>
        </w:tc>
      </w:tr>
    </w:tbl>
    <w:p>
      <w:pPr>
        <w:spacing w:line="380" w:lineRule="exact"/>
        <w:rPr>
          <w:rFonts w:ascii="宋体" w:hAnsi="宋体"/>
          <w:b/>
          <w:color w:val="auto"/>
          <w:sz w:val="22"/>
          <w:szCs w:val="22"/>
        </w:rPr>
      </w:pPr>
      <w:r>
        <w:rPr>
          <w:rFonts w:hint="eastAsia" w:ascii="宋体" w:hAnsi="宋体"/>
          <w:b/>
          <w:color w:val="auto"/>
          <w:sz w:val="22"/>
          <w:szCs w:val="22"/>
        </w:rPr>
        <w:t>注：</w:t>
      </w:r>
      <w:r>
        <w:rPr>
          <w:rFonts w:hint="eastAsia" w:ascii="宋体" w:hAnsi="宋体"/>
          <w:b/>
          <w:color w:val="auto"/>
        </w:rPr>
        <w:t>不填写此表视为完全响应招标文件内容。</w:t>
      </w:r>
    </w:p>
    <w:p>
      <w:pPr>
        <w:spacing w:line="380" w:lineRule="exact"/>
        <w:ind w:firstLine="4417" w:firstLineChars="2000"/>
        <w:rPr>
          <w:rFonts w:ascii="宋体" w:hAnsi="宋体"/>
          <w:b/>
          <w:color w:val="auto"/>
          <w:sz w:val="22"/>
          <w:szCs w:val="22"/>
        </w:rPr>
      </w:pPr>
    </w:p>
    <w:p>
      <w:pPr>
        <w:spacing w:line="380" w:lineRule="exact"/>
        <w:ind w:firstLine="4400" w:firstLineChars="2000"/>
        <w:rPr>
          <w:rFonts w:ascii="宋体" w:hAnsi="宋体"/>
          <w:color w:val="auto"/>
          <w:sz w:val="22"/>
          <w:szCs w:val="22"/>
        </w:rPr>
      </w:pPr>
      <w:r>
        <w:rPr>
          <w:rFonts w:hint="eastAsia" w:ascii="宋体" w:hAnsi="宋体"/>
          <w:color w:val="auto"/>
          <w:sz w:val="22"/>
          <w:szCs w:val="22"/>
        </w:rPr>
        <w:t>投标人全称（盖章）：</w:t>
      </w:r>
    </w:p>
    <w:p>
      <w:pPr>
        <w:spacing w:line="380" w:lineRule="exact"/>
        <w:ind w:firstLine="4400" w:firstLineChars="2000"/>
        <w:rPr>
          <w:rFonts w:ascii="宋体" w:hAnsi="宋体"/>
          <w:color w:val="auto"/>
          <w:sz w:val="22"/>
          <w:szCs w:val="22"/>
        </w:rPr>
      </w:pPr>
      <w:r>
        <w:rPr>
          <w:rFonts w:hint="eastAsia" w:ascii="宋体" w:hAnsi="宋体"/>
          <w:color w:val="auto"/>
          <w:sz w:val="22"/>
          <w:szCs w:val="22"/>
        </w:rPr>
        <w:t>法定代表人或授权代表（签字或盖章）：</w:t>
      </w:r>
    </w:p>
    <w:p>
      <w:pPr>
        <w:spacing w:line="380" w:lineRule="exact"/>
        <w:ind w:firstLine="4400" w:firstLineChars="2000"/>
        <w:rPr>
          <w:rFonts w:ascii="宋体" w:hAnsi="宋体"/>
          <w:color w:val="auto"/>
          <w:sz w:val="22"/>
          <w:szCs w:val="22"/>
        </w:rPr>
      </w:pPr>
      <w:r>
        <w:rPr>
          <w:rFonts w:hint="eastAsia" w:ascii="宋体" w:hAnsi="宋体"/>
          <w:color w:val="auto"/>
          <w:sz w:val="22"/>
          <w:szCs w:val="22"/>
        </w:rPr>
        <w:t>日期：  年   月  日</w:t>
      </w:r>
    </w:p>
    <w:p>
      <w:pPr>
        <w:spacing w:line="400" w:lineRule="exact"/>
        <w:rPr>
          <w:rFonts w:ascii="宋体" w:hAnsi="宋体"/>
          <w:color w:val="auto"/>
          <w:sz w:val="22"/>
          <w:szCs w:val="22"/>
        </w:rPr>
      </w:pPr>
    </w:p>
    <w:p>
      <w:pPr>
        <w:spacing w:line="460" w:lineRule="exact"/>
        <w:rPr>
          <w:rFonts w:ascii="宋体" w:hAnsi="宋体"/>
          <w:b/>
          <w:color w:val="auto"/>
          <w:sz w:val="22"/>
          <w:szCs w:val="22"/>
        </w:rPr>
      </w:pPr>
      <w:r>
        <w:rPr>
          <w:rFonts w:hint="eastAsia" w:ascii="宋体" w:hAnsi="宋体"/>
          <w:color w:val="auto"/>
        </w:rPr>
        <w:br w:type="page"/>
      </w:r>
    </w:p>
    <w:p>
      <w:pPr>
        <w:spacing w:line="460" w:lineRule="exact"/>
        <w:rPr>
          <w:rFonts w:hAnsi="宋体"/>
          <w:b/>
          <w:bCs/>
          <w:color w:val="auto"/>
        </w:rPr>
      </w:pPr>
      <w:r>
        <w:rPr>
          <w:rFonts w:hint="eastAsia" w:ascii="宋体" w:hAnsi="宋体"/>
          <w:b/>
          <w:color w:val="auto"/>
          <w:sz w:val="22"/>
          <w:szCs w:val="22"/>
        </w:rPr>
        <w:t>附件五</w:t>
      </w:r>
    </w:p>
    <w:p>
      <w:pPr>
        <w:spacing w:line="440" w:lineRule="atLeast"/>
        <w:jc w:val="center"/>
        <w:rPr>
          <w:rFonts w:ascii="宋体"/>
          <w:b/>
          <w:color w:val="auto"/>
          <w:sz w:val="22"/>
          <w:szCs w:val="22"/>
        </w:rPr>
      </w:pPr>
      <w:r>
        <w:rPr>
          <w:rFonts w:hint="eastAsia" w:ascii="宋体" w:hAnsi="宋体"/>
          <w:b/>
          <w:color w:val="auto"/>
          <w:sz w:val="22"/>
          <w:szCs w:val="22"/>
        </w:rPr>
        <w:t>（1）中小企业声明函</w:t>
      </w:r>
    </w:p>
    <w:p>
      <w:pPr>
        <w:widowControl/>
        <w:adjustRightInd w:val="0"/>
        <w:snapToGrid w:val="0"/>
        <w:spacing w:line="324" w:lineRule="auto"/>
        <w:jc w:val="center"/>
        <w:rPr>
          <w:rFonts w:ascii="宋体" w:hAnsi="宋体" w:cs="宋体"/>
          <w:b/>
          <w:color w:val="auto"/>
          <w:kern w:val="0"/>
          <w:sz w:val="22"/>
          <w:szCs w:val="22"/>
        </w:rPr>
      </w:pPr>
    </w:p>
    <w:p>
      <w:pPr>
        <w:spacing w:after="120" w:line="440" w:lineRule="exact"/>
        <w:jc w:val="center"/>
        <w:rPr>
          <w:rFonts w:ascii="宋体" w:hAnsi="宋体" w:cs="宋体"/>
          <w:b/>
          <w:bCs/>
          <w:color w:val="auto"/>
          <w:sz w:val="22"/>
          <w:szCs w:val="22"/>
        </w:rPr>
      </w:pPr>
      <w:r>
        <w:rPr>
          <w:rFonts w:hint="eastAsia" w:ascii="宋体" w:hAnsi="宋体" w:cs="宋体"/>
          <w:b/>
          <w:bCs/>
          <w:color w:val="auto"/>
          <w:sz w:val="22"/>
          <w:szCs w:val="22"/>
        </w:rPr>
        <w:t>中小企业声明函（工程、服务）</w:t>
      </w:r>
    </w:p>
    <w:p>
      <w:pPr>
        <w:spacing w:before="5" w:after="120" w:line="440" w:lineRule="exact"/>
        <w:rPr>
          <w:rFonts w:ascii="宋体" w:hAnsi="宋体" w:cs="宋体"/>
          <w:b/>
          <w:color w:val="auto"/>
          <w:sz w:val="22"/>
          <w:szCs w:val="22"/>
        </w:rPr>
      </w:pPr>
    </w:p>
    <w:p>
      <w:pPr>
        <w:spacing w:after="120" w:line="480" w:lineRule="exact"/>
        <w:ind w:right="-1" w:firstLine="440" w:firstLineChars="200"/>
        <w:jc w:val="left"/>
        <w:rPr>
          <w:rFonts w:ascii="宋体" w:hAnsi="宋体" w:cs="宋体"/>
          <w:color w:val="auto"/>
          <w:sz w:val="22"/>
          <w:szCs w:val="22"/>
        </w:rPr>
      </w:pPr>
      <w:r>
        <w:rPr>
          <w:rFonts w:hint="eastAsia" w:ascii="宋体" w:hAnsi="宋体" w:cs="宋体"/>
          <w:color w:val="auto"/>
          <w:sz w:val="22"/>
          <w:szCs w:val="22"/>
        </w:rPr>
        <w:t>本公司（联合体）郑重声明，根据《政府采购促进中小企业发展管理办法》（财库﹝2020﹞46号）的规定，本公司（联合体）参加</w:t>
      </w:r>
      <w:r>
        <w:rPr>
          <w:rFonts w:hint="eastAsia" w:ascii="宋体" w:hAnsi="宋体" w:cs="宋体"/>
          <w:i/>
          <w:iCs/>
          <w:color w:val="auto"/>
          <w:sz w:val="22"/>
          <w:szCs w:val="22"/>
          <w:u w:val="single"/>
        </w:rPr>
        <w:t>（单位名称）</w:t>
      </w:r>
      <w:r>
        <w:rPr>
          <w:rFonts w:hint="eastAsia" w:ascii="宋体" w:hAnsi="宋体" w:cs="宋体"/>
          <w:color w:val="auto"/>
          <w:sz w:val="22"/>
          <w:szCs w:val="22"/>
        </w:rPr>
        <w:t>的</w:t>
      </w:r>
      <w:r>
        <w:rPr>
          <w:rFonts w:hint="eastAsia" w:ascii="宋体" w:hAnsi="宋体" w:cs="宋体"/>
          <w:i/>
          <w:iCs/>
          <w:color w:val="auto"/>
          <w:sz w:val="22"/>
          <w:szCs w:val="22"/>
          <w:u w:val="single"/>
        </w:rPr>
        <w:t>（项目名称）</w:t>
      </w:r>
      <w:r>
        <w:rPr>
          <w:rFonts w:hint="eastAsia" w:ascii="宋体" w:hAnsi="宋体" w:cs="宋体"/>
          <w:color w:val="auto"/>
          <w:sz w:val="22"/>
          <w:szCs w:val="22"/>
        </w:rPr>
        <w:t>采购活动，工程的施工单位全部为符合政策要求的中小企业（或者：服务全部由符合政策要求的中小企业承接）。相关企业（含联合体中的中小企业、签订分包意向协议的中小企业）的具体情况如下：</w:t>
      </w:r>
    </w:p>
    <w:p>
      <w:pPr>
        <w:pStyle w:val="123"/>
        <w:tabs>
          <w:tab w:val="left" w:pos="1025"/>
        </w:tabs>
        <w:spacing w:line="480" w:lineRule="exact"/>
        <w:ind w:firstLine="440"/>
        <w:jc w:val="left"/>
        <w:rPr>
          <w:rFonts w:ascii="宋体" w:hAnsi="宋体" w:cs="宋体"/>
          <w:color w:val="auto"/>
          <w:sz w:val="22"/>
        </w:rPr>
      </w:pPr>
      <w:r>
        <w:rPr>
          <w:rFonts w:hint="eastAsia" w:ascii="宋体" w:hAnsi="宋体" w:cs="宋体"/>
          <w:color w:val="auto"/>
          <w:sz w:val="22"/>
        </w:rPr>
        <w:t>1.</w:t>
      </w:r>
      <w:r>
        <w:rPr>
          <w:rFonts w:hint="eastAsia" w:ascii="宋体" w:hAnsi="宋体" w:cs="宋体"/>
          <w:i/>
          <w:iCs/>
          <w:color w:val="auto"/>
          <w:sz w:val="22"/>
          <w:u w:val="single"/>
        </w:rPr>
        <w:t>（标的名称）</w:t>
      </w:r>
      <w:r>
        <w:rPr>
          <w:rFonts w:hint="eastAsia" w:ascii="宋体" w:hAnsi="宋体" w:cs="宋体"/>
          <w:color w:val="auto"/>
          <w:sz w:val="22"/>
        </w:rPr>
        <w:t>，属于</w:t>
      </w:r>
      <w:r>
        <w:rPr>
          <w:rFonts w:hint="eastAsia" w:ascii="宋体" w:hAnsi="宋体" w:cs="宋体"/>
          <w:i/>
          <w:iCs/>
          <w:color w:val="auto"/>
          <w:sz w:val="22"/>
          <w:u w:val="single"/>
        </w:rPr>
        <w:t>（采购文件中明确的所属行业）</w:t>
      </w:r>
      <w:r>
        <w:rPr>
          <w:rFonts w:hint="eastAsia" w:ascii="宋体" w:hAnsi="宋体" w:cs="宋体"/>
          <w:color w:val="auto"/>
          <w:sz w:val="22"/>
        </w:rPr>
        <w:t>；承建（承接）企业为</w:t>
      </w:r>
      <w:r>
        <w:rPr>
          <w:rFonts w:hint="eastAsia" w:ascii="宋体" w:hAnsi="宋体" w:cs="宋体"/>
          <w:i/>
          <w:iCs/>
          <w:color w:val="auto"/>
          <w:sz w:val="22"/>
          <w:u w:val="single"/>
        </w:rPr>
        <w:t>（企业名称）</w:t>
      </w:r>
      <w:r>
        <w:rPr>
          <w:rFonts w:hint="eastAsia" w:ascii="宋体" w:hAnsi="宋体" w:cs="宋体"/>
          <w:color w:val="auto"/>
          <w:sz w:val="22"/>
        </w:rPr>
        <w:t>，从业人员人，营业收入为万元，资产总额为万元，属于</w:t>
      </w:r>
      <w:r>
        <w:rPr>
          <w:rFonts w:hint="eastAsia" w:ascii="宋体" w:hAnsi="宋体" w:cs="宋体"/>
          <w:i/>
          <w:iCs/>
          <w:color w:val="auto"/>
          <w:sz w:val="22"/>
          <w:u w:val="single"/>
        </w:rPr>
        <w:t>（中型企业、小型企业、微型企业）</w:t>
      </w:r>
      <w:r>
        <w:rPr>
          <w:rFonts w:hint="eastAsia" w:ascii="宋体" w:hAnsi="宋体" w:cs="宋体"/>
          <w:color w:val="auto"/>
          <w:sz w:val="22"/>
        </w:rPr>
        <w:t>；</w:t>
      </w:r>
    </w:p>
    <w:p>
      <w:pPr>
        <w:pStyle w:val="123"/>
        <w:tabs>
          <w:tab w:val="left" w:pos="1243"/>
          <w:tab w:val="left" w:pos="1806"/>
          <w:tab w:val="left" w:pos="5005"/>
          <w:tab w:val="left" w:pos="7213"/>
        </w:tabs>
        <w:spacing w:line="480" w:lineRule="exact"/>
        <w:ind w:firstLine="440"/>
        <w:jc w:val="left"/>
        <w:rPr>
          <w:rFonts w:ascii="宋体" w:hAnsi="宋体" w:cs="宋体"/>
          <w:color w:val="auto"/>
          <w:sz w:val="22"/>
        </w:rPr>
      </w:pPr>
      <w:r>
        <w:rPr>
          <w:rFonts w:hint="eastAsia" w:ascii="宋体" w:hAnsi="宋体" w:cs="宋体"/>
          <w:color w:val="auto"/>
          <w:sz w:val="22"/>
        </w:rPr>
        <w:t>2.</w:t>
      </w:r>
      <w:r>
        <w:rPr>
          <w:rFonts w:hint="eastAsia" w:ascii="宋体" w:hAnsi="宋体" w:cs="宋体"/>
          <w:i/>
          <w:iCs/>
          <w:color w:val="auto"/>
          <w:sz w:val="22"/>
          <w:u w:val="single"/>
        </w:rPr>
        <w:t>（标的名称）</w:t>
      </w:r>
      <w:r>
        <w:rPr>
          <w:rFonts w:hint="eastAsia" w:ascii="宋体" w:hAnsi="宋体" w:cs="宋体"/>
          <w:color w:val="auto"/>
          <w:sz w:val="22"/>
        </w:rPr>
        <w:t>，属于</w:t>
      </w:r>
      <w:r>
        <w:rPr>
          <w:rFonts w:hint="eastAsia" w:ascii="宋体" w:hAnsi="宋体" w:cs="宋体"/>
          <w:i/>
          <w:iCs/>
          <w:color w:val="auto"/>
          <w:sz w:val="22"/>
          <w:u w:val="single"/>
        </w:rPr>
        <w:t>（采购文件中明确的所属行业）</w:t>
      </w:r>
      <w:r>
        <w:rPr>
          <w:rFonts w:hint="eastAsia" w:ascii="宋体" w:hAnsi="宋体" w:cs="宋体"/>
          <w:color w:val="auto"/>
          <w:sz w:val="22"/>
        </w:rPr>
        <w:t>；承建（承接）企业为</w:t>
      </w:r>
      <w:r>
        <w:rPr>
          <w:rFonts w:hint="eastAsia" w:ascii="宋体" w:hAnsi="宋体" w:cs="宋体"/>
          <w:i/>
          <w:iCs/>
          <w:color w:val="auto"/>
          <w:sz w:val="22"/>
          <w:u w:val="single"/>
        </w:rPr>
        <w:t>（企业名称）</w:t>
      </w:r>
      <w:r>
        <w:rPr>
          <w:rFonts w:hint="eastAsia" w:ascii="宋体" w:hAnsi="宋体" w:cs="宋体"/>
          <w:color w:val="auto"/>
          <w:sz w:val="22"/>
        </w:rPr>
        <w:t>，从业人员人，营业收入为万元，资产总额为万元，属于</w:t>
      </w:r>
      <w:r>
        <w:rPr>
          <w:rFonts w:hint="eastAsia" w:ascii="宋体" w:hAnsi="宋体" w:cs="宋体"/>
          <w:i/>
          <w:iCs/>
          <w:color w:val="auto"/>
          <w:sz w:val="22"/>
          <w:u w:val="single"/>
        </w:rPr>
        <w:t>（中型企业、小型企业、微型企业）</w:t>
      </w:r>
      <w:r>
        <w:rPr>
          <w:rFonts w:hint="eastAsia" w:ascii="宋体" w:hAnsi="宋体" w:cs="宋体"/>
          <w:color w:val="auto"/>
          <w:sz w:val="22"/>
        </w:rPr>
        <w:t>；</w:t>
      </w:r>
    </w:p>
    <w:p>
      <w:pPr>
        <w:spacing w:before="11" w:after="120" w:line="480" w:lineRule="exact"/>
        <w:ind w:left="860"/>
        <w:jc w:val="left"/>
        <w:rPr>
          <w:rFonts w:ascii="宋体" w:hAnsi="宋体" w:cs="宋体"/>
          <w:color w:val="auto"/>
          <w:sz w:val="22"/>
          <w:szCs w:val="22"/>
        </w:rPr>
      </w:pPr>
      <w:r>
        <w:rPr>
          <w:rFonts w:hint="eastAsia" w:ascii="宋体" w:hAnsi="宋体" w:cs="宋体"/>
          <w:color w:val="auto"/>
          <w:sz w:val="22"/>
          <w:szCs w:val="22"/>
        </w:rPr>
        <w:t>……</w:t>
      </w:r>
    </w:p>
    <w:p>
      <w:pPr>
        <w:spacing w:before="108" w:after="120" w:line="480" w:lineRule="exact"/>
        <w:ind w:right="417" w:firstLine="645"/>
        <w:jc w:val="left"/>
        <w:rPr>
          <w:rFonts w:ascii="宋体" w:hAnsi="宋体" w:cs="宋体"/>
          <w:color w:val="auto"/>
          <w:sz w:val="22"/>
          <w:szCs w:val="22"/>
        </w:rPr>
      </w:pPr>
      <w:r>
        <w:rPr>
          <w:rFonts w:hint="eastAsia" w:ascii="宋体" w:hAnsi="宋体" w:cs="宋体"/>
          <w:color w:val="auto"/>
          <w:sz w:val="22"/>
          <w:szCs w:val="22"/>
        </w:rPr>
        <w:t>以上企业，不属于大企业的分支机构，不存在控股股东为大企业的情形，也不存在与大企业的负责人为同一人的情形。</w:t>
      </w:r>
    </w:p>
    <w:p>
      <w:pPr>
        <w:spacing w:after="120" w:line="480" w:lineRule="exact"/>
        <w:ind w:right="375" w:firstLine="860"/>
        <w:jc w:val="left"/>
        <w:rPr>
          <w:rFonts w:ascii="宋体" w:hAnsi="宋体" w:cs="宋体"/>
          <w:color w:val="auto"/>
          <w:sz w:val="22"/>
          <w:szCs w:val="22"/>
        </w:rPr>
      </w:pPr>
      <w:r>
        <w:rPr>
          <w:rFonts w:hint="eastAsia" w:ascii="宋体" w:hAnsi="宋体" w:cs="宋体"/>
          <w:color w:val="auto"/>
          <w:sz w:val="22"/>
          <w:szCs w:val="22"/>
        </w:rPr>
        <w:t>本企业对上述声明内容的真实性负责。如有虚假，将依法承担相应责任。</w:t>
      </w:r>
    </w:p>
    <w:p>
      <w:pPr>
        <w:spacing w:before="29" w:after="120" w:line="480" w:lineRule="exact"/>
        <w:ind w:left="4060" w:right="2166"/>
        <w:jc w:val="left"/>
        <w:rPr>
          <w:rFonts w:ascii="宋体" w:hAnsi="宋体" w:cs="宋体"/>
          <w:color w:val="auto"/>
          <w:sz w:val="22"/>
          <w:szCs w:val="22"/>
        </w:rPr>
      </w:pPr>
    </w:p>
    <w:p>
      <w:pPr>
        <w:spacing w:before="29" w:after="120" w:line="480" w:lineRule="exact"/>
        <w:ind w:left="4060" w:right="2166"/>
        <w:jc w:val="left"/>
        <w:rPr>
          <w:rFonts w:ascii="宋体" w:hAnsi="宋体" w:cs="宋体"/>
          <w:color w:val="auto"/>
          <w:sz w:val="22"/>
          <w:szCs w:val="22"/>
        </w:rPr>
      </w:pPr>
      <w:r>
        <w:rPr>
          <w:rFonts w:hint="eastAsia" w:ascii="宋体" w:hAnsi="宋体" w:cs="宋体"/>
          <w:color w:val="auto"/>
          <w:sz w:val="22"/>
          <w:szCs w:val="22"/>
        </w:rPr>
        <w:t>企业名称（盖章）：</w:t>
      </w:r>
    </w:p>
    <w:p>
      <w:pPr>
        <w:spacing w:before="29" w:after="120" w:line="480" w:lineRule="exact"/>
        <w:ind w:left="4060" w:right="2166"/>
        <w:jc w:val="left"/>
        <w:rPr>
          <w:rFonts w:ascii="宋体" w:hAnsi="宋体" w:cs="宋体"/>
          <w:color w:val="auto"/>
          <w:sz w:val="22"/>
          <w:szCs w:val="22"/>
        </w:rPr>
      </w:pPr>
      <w:r>
        <w:rPr>
          <w:rFonts w:hint="eastAsia" w:ascii="宋体" w:hAnsi="宋体" w:cs="宋体"/>
          <w:color w:val="auto"/>
          <w:sz w:val="22"/>
          <w:szCs w:val="22"/>
        </w:rPr>
        <w:t>日期：</w:t>
      </w:r>
    </w:p>
    <w:p>
      <w:pPr>
        <w:pStyle w:val="749"/>
        <w:spacing w:before="60" w:after="60"/>
        <w:rPr>
          <w:rFonts w:ascii="宋体" w:hAnsi="宋体" w:cs="宋体"/>
          <w:color w:val="auto"/>
          <w:sz w:val="22"/>
          <w:szCs w:val="22"/>
        </w:rPr>
      </w:pPr>
    </w:p>
    <w:p>
      <w:pPr>
        <w:spacing w:line="440" w:lineRule="exact"/>
        <w:rPr>
          <w:rFonts w:ascii="宋体" w:hAnsi="宋体" w:cs="宋体"/>
          <w:b/>
          <w:color w:val="auto"/>
          <w:sz w:val="22"/>
          <w:szCs w:val="22"/>
        </w:rPr>
      </w:pPr>
      <w:r>
        <w:rPr>
          <w:rFonts w:hint="eastAsia" w:ascii="宋体" w:hAnsi="宋体" w:cs="宋体"/>
          <w:b/>
          <w:color w:val="auto"/>
          <w:sz w:val="22"/>
          <w:szCs w:val="22"/>
        </w:rPr>
        <w:t>说明：</w:t>
      </w:r>
    </w:p>
    <w:p>
      <w:pPr>
        <w:numPr>
          <w:ilvl w:val="0"/>
          <w:numId w:val="52"/>
        </w:numPr>
        <w:tabs>
          <w:tab w:val="left" w:pos="420"/>
        </w:tabs>
        <w:spacing w:line="400" w:lineRule="exact"/>
        <w:rPr>
          <w:rFonts w:ascii="宋体" w:hAnsi="宋体" w:cs="宋体"/>
          <w:b/>
          <w:color w:val="auto"/>
          <w:sz w:val="22"/>
          <w:szCs w:val="22"/>
        </w:rPr>
      </w:pPr>
      <w:r>
        <w:rPr>
          <w:rFonts w:hint="eastAsia" w:ascii="宋体" w:hAnsi="宋体" w:cs="宋体"/>
          <w:b/>
          <w:color w:val="auto"/>
          <w:sz w:val="22"/>
          <w:szCs w:val="22"/>
        </w:rPr>
        <w:t>本项目为对应的中小企业划分标准所属行业：</w:t>
      </w:r>
      <w:r>
        <w:rPr>
          <w:rFonts w:hint="eastAsia" w:ascii="宋体" w:hAnsi="宋体" w:cs="新宋体"/>
          <w:b/>
          <w:bCs/>
          <w:color w:val="auto"/>
          <w:kern w:val="0"/>
          <w:sz w:val="22"/>
          <w:u w:val="single"/>
          <w:lang w:val="zh-CN"/>
        </w:rPr>
        <w:t>软件和信息技术服务业</w:t>
      </w:r>
      <w:r>
        <w:rPr>
          <w:rFonts w:hint="eastAsia" w:ascii="宋体" w:hAnsi="宋体" w:cs="宋体"/>
          <w:b/>
          <w:color w:val="auto"/>
          <w:sz w:val="22"/>
          <w:szCs w:val="22"/>
        </w:rPr>
        <w:t>。</w:t>
      </w:r>
    </w:p>
    <w:p>
      <w:pPr>
        <w:numPr>
          <w:ilvl w:val="0"/>
          <w:numId w:val="52"/>
        </w:numPr>
        <w:tabs>
          <w:tab w:val="left" w:pos="420"/>
        </w:tabs>
        <w:spacing w:line="400" w:lineRule="exact"/>
        <w:rPr>
          <w:rFonts w:ascii="宋体" w:hAnsi="宋体" w:cs="宋体"/>
          <w:b/>
          <w:color w:val="auto"/>
          <w:sz w:val="22"/>
          <w:szCs w:val="22"/>
        </w:rPr>
      </w:pPr>
      <w:r>
        <w:rPr>
          <w:rFonts w:hint="eastAsia" w:ascii="宋体" w:hAnsi="宋体" w:cs="宋体"/>
          <w:b/>
          <w:color w:val="auto"/>
          <w:sz w:val="22"/>
          <w:szCs w:val="22"/>
        </w:rPr>
        <w:t>从业人员、营业收入、资产总额填报上一年度数据，无上一年度数据的新成立企业可不填报。</w:t>
      </w:r>
    </w:p>
    <w:p>
      <w:pPr>
        <w:tabs>
          <w:tab w:val="left" w:pos="420"/>
        </w:tabs>
        <w:spacing w:line="400" w:lineRule="exact"/>
        <w:rPr>
          <w:rFonts w:ascii="宋体" w:hAnsi="宋体" w:cs="宋体"/>
          <w:b/>
          <w:color w:val="auto"/>
          <w:sz w:val="22"/>
          <w:szCs w:val="22"/>
        </w:rPr>
      </w:pPr>
    </w:p>
    <w:p>
      <w:pPr>
        <w:pStyle w:val="749"/>
        <w:spacing w:before="60" w:after="60"/>
        <w:rPr>
          <w:rFonts w:ascii="宋体" w:hAnsi="宋体" w:cs="宋体"/>
          <w:color w:val="auto"/>
          <w:sz w:val="22"/>
          <w:szCs w:val="22"/>
        </w:rPr>
        <w:sectPr>
          <w:headerReference r:id="rId7" w:type="default"/>
          <w:footerReference r:id="rId8" w:type="default"/>
          <w:type w:val="nextColumn"/>
          <w:pgSz w:w="11906" w:h="16838"/>
          <w:pgMar w:top="1134" w:right="1134" w:bottom="1134" w:left="1134" w:header="851" w:footer="992" w:gutter="0"/>
          <w:cols w:space="720" w:num="1"/>
          <w:docGrid w:linePitch="312" w:charSpace="0"/>
        </w:sectPr>
      </w:pPr>
    </w:p>
    <w:p>
      <w:pPr>
        <w:spacing w:after="120" w:line="440" w:lineRule="exact"/>
        <w:jc w:val="center"/>
        <w:rPr>
          <w:rFonts w:ascii="宋体" w:hAnsi="宋体" w:cs="宋体"/>
          <w:b/>
          <w:bCs/>
          <w:color w:val="auto"/>
          <w:sz w:val="22"/>
          <w:szCs w:val="22"/>
        </w:rPr>
      </w:pPr>
    </w:p>
    <w:p>
      <w:pPr>
        <w:spacing w:before="240" w:beforeLines="100" w:line="440" w:lineRule="atLeast"/>
        <w:ind w:firstLine="440" w:firstLineChars="200"/>
        <w:jc w:val="right"/>
        <w:rPr>
          <w:rFonts w:ascii="宋体"/>
          <w:color w:val="auto"/>
          <w:sz w:val="22"/>
          <w:szCs w:val="22"/>
        </w:rPr>
      </w:pPr>
      <w:r>
        <w:rPr>
          <w:rFonts w:ascii="宋体"/>
          <w:color w:val="auto"/>
          <w:sz w:val="22"/>
          <w:szCs w:val="22"/>
        </w:rPr>
        <w:t>              </w:t>
      </w:r>
      <w:r>
        <w:rPr>
          <w:rFonts w:hint="eastAsia" w:ascii="宋体" w:hAnsi="宋体"/>
          <w:color w:val="auto"/>
          <w:sz w:val="22"/>
          <w:szCs w:val="22"/>
        </w:rPr>
        <w:t>　　　　　</w:t>
      </w:r>
    </w:p>
    <w:p>
      <w:pPr>
        <w:spacing w:line="440" w:lineRule="atLeast"/>
        <w:rPr>
          <w:rFonts w:ascii="宋体"/>
          <w:color w:val="auto"/>
          <w:sz w:val="22"/>
          <w:szCs w:val="22"/>
        </w:rPr>
      </w:pPr>
    </w:p>
    <w:p>
      <w:pPr>
        <w:spacing w:line="440" w:lineRule="atLeast"/>
        <w:jc w:val="center"/>
        <w:rPr>
          <w:rFonts w:ascii="宋体"/>
          <w:color w:val="auto"/>
          <w:spacing w:val="6"/>
          <w:sz w:val="22"/>
          <w:szCs w:val="22"/>
        </w:rPr>
      </w:pPr>
      <w:r>
        <w:rPr>
          <w:rFonts w:hint="eastAsia" w:ascii="宋体" w:hAnsi="宋体"/>
          <w:b/>
          <w:color w:val="auto"/>
          <w:sz w:val="22"/>
          <w:szCs w:val="22"/>
        </w:rPr>
        <w:t>（2）</w:t>
      </w:r>
      <w:r>
        <w:rPr>
          <w:rFonts w:hint="eastAsia" w:ascii="宋体" w:hAnsi="宋体"/>
          <w:b/>
          <w:color w:val="auto"/>
          <w:spacing w:val="6"/>
          <w:sz w:val="22"/>
          <w:szCs w:val="22"/>
        </w:rPr>
        <w:t>残疾人福利性单位声明函</w:t>
      </w:r>
    </w:p>
    <w:p>
      <w:pPr>
        <w:widowControl/>
        <w:adjustRightInd w:val="0"/>
        <w:snapToGrid w:val="0"/>
        <w:spacing w:line="324" w:lineRule="auto"/>
        <w:ind w:firstLine="440" w:firstLineChars="200"/>
        <w:jc w:val="center"/>
        <w:rPr>
          <w:rFonts w:ascii="宋体" w:cs="Arial"/>
          <w:color w:val="auto"/>
          <w:kern w:val="0"/>
          <w:sz w:val="22"/>
          <w:szCs w:val="22"/>
        </w:rPr>
      </w:pPr>
      <w:r>
        <w:rPr>
          <w:rFonts w:hint="eastAsia" w:ascii="宋体" w:hAnsi="宋体" w:cs="Arial"/>
          <w:color w:val="auto"/>
          <w:kern w:val="0"/>
          <w:sz w:val="22"/>
          <w:szCs w:val="22"/>
        </w:rPr>
        <w:t>【不属于残疾人福利性单位的无需填写、递交】</w:t>
      </w:r>
    </w:p>
    <w:p>
      <w:pPr>
        <w:snapToGrid w:val="0"/>
        <w:spacing w:line="300" w:lineRule="auto"/>
        <w:jc w:val="center"/>
        <w:rPr>
          <w:rFonts w:ascii="宋体" w:cs="Arial"/>
          <w:b/>
          <w:bCs/>
          <w:color w:val="auto"/>
          <w:sz w:val="22"/>
          <w:szCs w:val="22"/>
        </w:rPr>
      </w:pPr>
    </w:p>
    <w:p>
      <w:pPr>
        <w:snapToGrid w:val="0"/>
        <w:spacing w:line="300" w:lineRule="auto"/>
        <w:ind w:firstLine="464" w:firstLineChars="200"/>
        <w:rPr>
          <w:rFonts w:ascii="宋体" w:cs="Arial"/>
          <w:color w:val="auto"/>
          <w:spacing w:val="6"/>
          <w:sz w:val="22"/>
          <w:szCs w:val="22"/>
        </w:rPr>
      </w:pPr>
      <w:r>
        <w:rPr>
          <w:rFonts w:hint="eastAsia" w:ascii="宋体" w:hAnsi="宋体" w:cs="Arial"/>
          <w:color w:val="auto"/>
          <w:spacing w:val="6"/>
          <w:sz w:val="22"/>
          <w:szCs w:val="22"/>
        </w:rPr>
        <w:t>本单位郑重声明，根据《财政部民政部中国残疾人联合会关于促进残疾人就业政府采购政策的通知》（财库</w:t>
      </w:r>
      <w:r>
        <w:rPr>
          <w:rFonts w:hint="eastAsia" w:ascii="宋体" w:hAnsi="宋体" w:cs="Arial"/>
          <w:color w:val="auto"/>
          <w:sz w:val="22"/>
          <w:szCs w:val="22"/>
        </w:rPr>
        <w:t>〔</w:t>
      </w:r>
      <w:r>
        <w:rPr>
          <w:rFonts w:ascii="宋体" w:hAnsi="宋体" w:cs="Arial"/>
          <w:color w:val="auto"/>
          <w:sz w:val="22"/>
          <w:szCs w:val="22"/>
        </w:rPr>
        <w:t>2017</w:t>
      </w:r>
      <w:r>
        <w:rPr>
          <w:rFonts w:hint="eastAsia" w:ascii="宋体" w:hAnsi="宋体" w:cs="Arial"/>
          <w:color w:val="auto"/>
          <w:sz w:val="22"/>
          <w:szCs w:val="22"/>
        </w:rPr>
        <w:t>〕</w:t>
      </w:r>
      <w:r>
        <w:rPr>
          <w:rFonts w:ascii="宋体" w:hAnsi="宋体" w:cs="Arial"/>
          <w:color w:val="auto"/>
          <w:sz w:val="22"/>
          <w:szCs w:val="22"/>
        </w:rPr>
        <w:t>141</w:t>
      </w:r>
      <w:r>
        <w:rPr>
          <w:rFonts w:hint="eastAsia" w:ascii="宋体" w:hAnsi="宋体" w:cs="Arial"/>
          <w:color w:val="auto"/>
          <w:spacing w:val="6"/>
          <w:sz w:val="22"/>
          <w:szCs w:val="22"/>
        </w:rPr>
        <w:t>号）的规定，本单位为符合条件的残疾人福利性单位，且本单位参加</w:t>
      </w:r>
      <w:r>
        <w:rPr>
          <w:rFonts w:hint="eastAsia" w:ascii="宋体" w:hAnsi="宋体" w:cs="Arial"/>
          <w:color w:val="auto"/>
          <w:spacing w:val="6"/>
          <w:sz w:val="22"/>
          <w:szCs w:val="22"/>
          <w:u w:val="single"/>
        </w:rPr>
        <w:t>（采购人名称）</w:t>
      </w:r>
      <w:r>
        <w:rPr>
          <w:rFonts w:hint="eastAsia" w:ascii="宋体" w:hAnsi="宋体" w:cs="Arial"/>
          <w:color w:val="auto"/>
          <w:spacing w:val="6"/>
          <w:sz w:val="22"/>
          <w:szCs w:val="22"/>
        </w:rPr>
        <w:t>单位的</w:t>
      </w:r>
      <w:r>
        <w:rPr>
          <w:rFonts w:hint="eastAsia" w:ascii="宋体" w:hAnsi="宋体" w:cs="Arial"/>
          <w:color w:val="auto"/>
          <w:spacing w:val="6"/>
          <w:sz w:val="22"/>
          <w:szCs w:val="22"/>
          <w:u w:val="single"/>
        </w:rPr>
        <w:t>（项目名称）</w:t>
      </w:r>
      <w:r>
        <w:rPr>
          <w:rFonts w:hint="eastAsia" w:ascii="宋体" w:hAnsi="宋体" w:cs="Arial"/>
          <w:color w:val="auto"/>
          <w:spacing w:val="6"/>
          <w:sz w:val="22"/>
          <w:szCs w:val="22"/>
        </w:rPr>
        <w:t>项目采购活动提供本单位制造的货物（由本单位承担工程</w:t>
      </w:r>
      <w:r>
        <w:rPr>
          <w:rFonts w:ascii="宋体" w:hAnsi="宋体" w:cs="Arial"/>
          <w:color w:val="auto"/>
          <w:spacing w:val="6"/>
          <w:sz w:val="22"/>
          <w:szCs w:val="22"/>
        </w:rPr>
        <w:t>/</w:t>
      </w:r>
      <w:r>
        <w:rPr>
          <w:rFonts w:hint="eastAsia" w:ascii="宋体" w:hAnsi="宋体" w:cs="Arial"/>
          <w:color w:val="auto"/>
          <w:spacing w:val="6"/>
          <w:sz w:val="22"/>
          <w:szCs w:val="22"/>
        </w:rPr>
        <w:t>提供服务），或者提供其他残疾人福利性单位制造的货物（不包括使用非残疾人福利性单位注册商标的货物）。</w:t>
      </w:r>
    </w:p>
    <w:p>
      <w:pPr>
        <w:snapToGrid w:val="0"/>
        <w:spacing w:line="300" w:lineRule="auto"/>
        <w:ind w:firstLine="464" w:firstLineChars="200"/>
        <w:rPr>
          <w:rFonts w:ascii="宋体" w:cs="Arial"/>
          <w:color w:val="auto"/>
          <w:spacing w:val="6"/>
          <w:sz w:val="22"/>
          <w:szCs w:val="22"/>
        </w:rPr>
      </w:pPr>
      <w:r>
        <w:rPr>
          <w:rFonts w:hint="eastAsia" w:ascii="宋体" w:hAnsi="宋体" w:cs="Arial"/>
          <w:color w:val="auto"/>
          <w:spacing w:val="6"/>
          <w:sz w:val="22"/>
          <w:szCs w:val="22"/>
        </w:rPr>
        <w:t>本单位对上述声明的真实性负责。如有虚假，将依法承担相应责任。</w:t>
      </w:r>
    </w:p>
    <w:p>
      <w:pPr>
        <w:snapToGrid w:val="0"/>
        <w:spacing w:line="300" w:lineRule="auto"/>
        <w:ind w:firstLine="464" w:firstLineChars="200"/>
        <w:rPr>
          <w:rFonts w:ascii="宋体" w:cs="Arial"/>
          <w:color w:val="auto"/>
          <w:spacing w:val="6"/>
          <w:sz w:val="22"/>
          <w:szCs w:val="22"/>
        </w:rPr>
      </w:pPr>
    </w:p>
    <w:p>
      <w:pPr>
        <w:snapToGrid w:val="0"/>
        <w:spacing w:line="300" w:lineRule="auto"/>
        <w:ind w:firstLine="464" w:firstLineChars="200"/>
        <w:rPr>
          <w:rFonts w:ascii="宋体" w:cs="Arial"/>
          <w:color w:val="auto"/>
          <w:spacing w:val="6"/>
          <w:sz w:val="22"/>
          <w:szCs w:val="22"/>
        </w:rPr>
      </w:pPr>
    </w:p>
    <w:p>
      <w:pPr>
        <w:widowControl/>
        <w:adjustRightInd w:val="0"/>
        <w:snapToGrid w:val="0"/>
        <w:spacing w:line="400" w:lineRule="exact"/>
        <w:ind w:firstLine="3300" w:firstLineChars="1500"/>
        <w:jc w:val="left"/>
        <w:rPr>
          <w:rFonts w:ascii="宋体" w:hAnsi="宋体" w:cs="宋体"/>
          <w:color w:val="auto"/>
          <w:sz w:val="22"/>
          <w:szCs w:val="22"/>
        </w:rPr>
      </w:pPr>
      <w:r>
        <w:rPr>
          <w:rFonts w:hint="eastAsia" w:ascii="宋体" w:hAnsi="宋体" w:cs="宋体"/>
          <w:color w:val="auto"/>
          <w:sz w:val="22"/>
          <w:szCs w:val="22"/>
        </w:rPr>
        <w:t>投标人名称（盖章）：</w:t>
      </w:r>
    </w:p>
    <w:p>
      <w:pPr>
        <w:widowControl/>
        <w:adjustRightInd w:val="0"/>
        <w:snapToGrid w:val="0"/>
        <w:spacing w:line="400" w:lineRule="exact"/>
        <w:ind w:firstLine="3300" w:firstLineChars="1500"/>
        <w:jc w:val="left"/>
        <w:rPr>
          <w:rFonts w:ascii="宋体" w:hAnsi="宋体" w:cs="宋体"/>
          <w:color w:val="auto"/>
          <w:sz w:val="22"/>
          <w:szCs w:val="22"/>
        </w:rPr>
      </w:pPr>
      <w:r>
        <w:rPr>
          <w:rFonts w:hint="eastAsia" w:ascii="宋体" w:hAnsi="宋体" w:cs="宋体"/>
          <w:color w:val="auto"/>
          <w:sz w:val="22"/>
          <w:szCs w:val="22"/>
        </w:rPr>
        <w:t>日期：      年    月     日</w:t>
      </w:r>
    </w:p>
    <w:p>
      <w:pPr>
        <w:adjustRightInd w:val="0"/>
        <w:snapToGrid w:val="0"/>
        <w:spacing w:line="300" w:lineRule="auto"/>
        <w:ind w:firstLine="440" w:firstLineChars="200"/>
        <w:rPr>
          <w:rFonts w:ascii="宋体" w:cs="Arial"/>
          <w:color w:val="auto"/>
          <w:kern w:val="0"/>
          <w:sz w:val="22"/>
          <w:szCs w:val="22"/>
        </w:rPr>
      </w:pPr>
    </w:p>
    <w:p>
      <w:pPr>
        <w:pStyle w:val="42"/>
        <w:rPr>
          <w:color w:val="auto"/>
        </w:rPr>
      </w:pPr>
    </w:p>
    <w:p>
      <w:pPr>
        <w:adjustRightInd w:val="0"/>
        <w:snapToGrid w:val="0"/>
        <w:spacing w:line="300" w:lineRule="auto"/>
        <w:ind w:firstLine="440" w:firstLineChars="200"/>
        <w:rPr>
          <w:rFonts w:ascii="宋体" w:cs="Arial"/>
          <w:color w:val="auto"/>
          <w:kern w:val="0"/>
          <w:sz w:val="22"/>
          <w:szCs w:val="22"/>
        </w:rPr>
      </w:pPr>
    </w:p>
    <w:p>
      <w:pPr>
        <w:spacing w:line="440" w:lineRule="atLeast"/>
        <w:rPr>
          <w:rFonts w:ascii="宋体"/>
          <w:color w:val="auto"/>
          <w:sz w:val="22"/>
          <w:szCs w:val="22"/>
        </w:rPr>
      </w:pPr>
    </w:p>
    <w:p>
      <w:pPr>
        <w:adjustRightInd w:val="0"/>
        <w:snapToGrid w:val="0"/>
        <w:spacing w:line="300" w:lineRule="auto"/>
        <w:jc w:val="center"/>
        <w:rPr>
          <w:rFonts w:ascii="宋体" w:cs="Arial"/>
          <w:color w:val="auto"/>
          <w:kern w:val="0"/>
          <w:sz w:val="22"/>
          <w:szCs w:val="22"/>
        </w:rPr>
      </w:pPr>
      <w:r>
        <w:rPr>
          <w:rFonts w:hint="eastAsia" w:ascii="宋体" w:hAnsi="宋体"/>
          <w:b/>
          <w:color w:val="auto"/>
          <w:sz w:val="22"/>
          <w:szCs w:val="22"/>
        </w:rPr>
        <w:t>（3）</w:t>
      </w:r>
      <w:r>
        <w:rPr>
          <w:rFonts w:hint="eastAsia" w:ascii="宋体" w:hAnsi="宋体"/>
          <w:b/>
          <w:color w:val="auto"/>
          <w:spacing w:val="6"/>
          <w:sz w:val="22"/>
          <w:szCs w:val="22"/>
        </w:rPr>
        <w:t>监狱企业声明函</w:t>
      </w:r>
    </w:p>
    <w:p>
      <w:pPr>
        <w:snapToGrid w:val="0"/>
        <w:spacing w:line="300" w:lineRule="auto"/>
        <w:ind w:firstLine="464" w:firstLineChars="200"/>
        <w:jc w:val="center"/>
        <w:rPr>
          <w:rFonts w:ascii="宋体" w:cs="Arial"/>
          <w:color w:val="auto"/>
          <w:spacing w:val="6"/>
          <w:sz w:val="22"/>
          <w:szCs w:val="22"/>
        </w:rPr>
      </w:pPr>
      <w:r>
        <w:rPr>
          <w:rFonts w:hint="eastAsia" w:ascii="宋体" w:hAnsi="宋体"/>
          <w:color w:val="auto"/>
          <w:spacing w:val="6"/>
          <w:sz w:val="22"/>
          <w:szCs w:val="22"/>
        </w:rPr>
        <w:t>【</w:t>
      </w:r>
      <w:r>
        <w:rPr>
          <w:rFonts w:hint="eastAsia" w:ascii="宋体" w:hAnsi="宋体" w:cs="Arial"/>
          <w:color w:val="auto"/>
          <w:spacing w:val="6"/>
          <w:sz w:val="22"/>
          <w:szCs w:val="22"/>
        </w:rPr>
        <w:t>非监狱企业不用提供】</w:t>
      </w:r>
    </w:p>
    <w:p>
      <w:pPr>
        <w:snapToGrid w:val="0"/>
        <w:spacing w:line="300" w:lineRule="auto"/>
        <w:ind w:firstLine="464" w:firstLineChars="200"/>
        <w:rPr>
          <w:rFonts w:ascii="宋体" w:cs="Arial"/>
          <w:color w:val="auto"/>
          <w:spacing w:val="6"/>
          <w:sz w:val="22"/>
          <w:szCs w:val="22"/>
        </w:rPr>
      </w:pPr>
      <w:r>
        <w:rPr>
          <w:rFonts w:hint="eastAsia" w:ascii="宋体" w:hAnsi="宋体" w:cs="Arial"/>
          <w:color w:val="auto"/>
          <w:spacing w:val="6"/>
          <w:sz w:val="22"/>
          <w:szCs w:val="22"/>
        </w:rPr>
        <w:t>本企业郑重声明，根据《关于政府采购支持监狱企业发展有关问题的通知》（财库</w:t>
      </w:r>
      <w:r>
        <w:rPr>
          <w:rFonts w:ascii="宋体" w:hAnsi="宋体" w:cs="Arial"/>
          <w:color w:val="auto"/>
          <w:spacing w:val="6"/>
          <w:sz w:val="22"/>
          <w:szCs w:val="22"/>
        </w:rPr>
        <w:t>[2014]68</w:t>
      </w:r>
      <w:r>
        <w:rPr>
          <w:rFonts w:hint="eastAsia" w:ascii="宋体" w:hAnsi="宋体" w:cs="Arial"/>
          <w:color w:val="auto"/>
          <w:spacing w:val="6"/>
          <w:sz w:val="22"/>
          <w:szCs w:val="22"/>
        </w:rPr>
        <w:t>号）的规定，本企业为监狱企业。</w:t>
      </w:r>
    </w:p>
    <w:p>
      <w:pPr>
        <w:snapToGrid w:val="0"/>
        <w:spacing w:line="300" w:lineRule="auto"/>
        <w:ind w:firstLine="464" w:firstLineChars="200"/>
        <w:rPr>
          <w:rFonts w:ascii="宋体" w:cs="Arial"/>
          <w:color w:val="auto"/>
          <w:spacing w:val="6"/>
          <w:sz w:val="22"/>
          <w:szCs w:val="22"/>
        </w:rPr>
      </w:pPr>
      <w:r>
        <w:rPr>
          <w:rFonts w:hint="eastAsia" w:ascii="宋体" w:hAnsi="宋体" w:cs="Arial"/>
          <w:color w:val="auto"/>
          <w:spacing w:val="6"/>
          <w:sz w:val="22"/>
          <w:szCs w:val="22"/>
        </w:rPr>
        <w:t>根据上述标准，我企业属于监狱企业的理由为：  。</w:t>
      </w:r>
    </w:p>
    <w:p>
      <w:pPr>
        <w:snapToGrid w:val="0"/>
        <w:spacing w:line="300" w:lineRule="auto"/>
        <w:ind w:firstLine="464" w:firstLineChars="200"/>
        <w:rPr>
          <w:rFonts w:ascii="宋体" w:cs="Arial"/>
          <w:color w:val="auto"/>
          <w:spacing w:val="6"/>
          <w:sz w:val="22"/>
          <w:szCs w:val="22"/>
        </w:rPr>
      </w:pPr>
      <w:r>
        <w:rPr>
          <w:rFonts w:hint="eastAsia" w:ascii="宋体" w:hAnsi="宋体" w:cs="Arial"/>
          <w:color w:val="auto"/>
          <w:spacing w:val="6"/>
          <w:sz w:val="22"/>
          <w:szCs w:val="22"/>
        </w:rPr>
        <w:t>本企业为参加（项目名称</w:t>
      </w:r>
      <w:r>
        <w:rPr>
          <w:rFonts w:hint="eastAsia" w:ascii="宋体" w:hAnsi="宋体" w:cs="Arial"/>
          <w:color w:val="auto"/>
          <w:spacing w:val="6"/>
          <w:sz w:val="22"/>
          <w:szCs w:val="22"/>
          <w:u w:val="single"/>
        </w:rPr>
        <w:t>：</w:t>
      </w:r>
      <w:r>
        <w:rPr>
          <w:rFonts w:hint="eastAsia" w:ascii="宋体" w:hAnsi="宋体" w:cs="Arial"/>
          <w:color w:val="auto"/>
          <w:spacing w:val="6"/>
          <w:sz w:val="22"/>
          <w:szCs w:val="22"/>
        </w:rPr>
        <w:t>）（项目编号</w:t>
      </w:r>
      <w:r>
        <w:rPr>
          <w:rFonts w:hint="eastAsia" w:ascii="宋体" w:hAnsi="宋体" w:cs="Arial"/>
          <w:color w:val="auto"/>
          <w:spacing w:val="6"/>
          <w:sz w:val="22"/>
          <w:szCs w:val="22"/>
          <w:u w:val="single"/>
        </w:rPr>
        <w:t>：</w:t>
      </w:r>
      <w:r>
        <w:rPr>
          <w:rFonts w:hint="eastAsia" w:ascii="宋体" w:hAnsi="宋体" w:cs="Arial"/>
          <w:color w:val="auto"/>
          <w:spacing w:val="6"/>
          <w:sz w:val="22"/>
          <w:szCs w:val="22"/>
        </w:rPr>
        <w:t>）采购活动并承担本工程。</w:t>
      </w:r>
    </w:p>
    <w:p>
      <w:pPr>
        <w:snapToGrid w:val="0"/>
        <w:spacing w:line="300" w:lineRule="auto"/>
        <w:ind w:firstLine="464" w:firstLineChars="200"/>
        <w:rPr>
          <w:rFonts w:ascii="宋体" w:cs="Arial"/>
          <w:color w:val="auto"/>
          <w:spacing w:val="6"/>
          <w:sz w:val="22"/>
          <w:szCs w:val="22"/>
        </w:rPr>
      </w:pPr>
      <w:r>
        <w:rPr>
          <w:rFonts w:hint="eastAsia" w:ascii="宋体" w:hAnsi="宋体" w:cs="Arial"/>
          <w:color w:val="auto"/>
          <w:spacing w:val="6"/>
          <w:sz w:val="22"/>
          <w:szCs w:val="22"/>
        </w:rPr>
        <w:t>本企业对上述声明的真实性负责。如有虚假，将依法承担相应责任。</w:t>
      </w:r>
    </w:p>
    <w:p>
      <w:pPr>
        <w:tabs>
          <w:tab w:val="left" w:pos="4860"/>
        </w:tabs>
        <w:spacing w:line="588" w:lineRule="exact"/>
        <w:ind w:right="1560" w:firstLine="464" w:firstLineChars="200"/>
        <w:jc w:val="center"/>
        <w:rPr>
          <w:rFonts w:ascii="宋体"/>
          <w:color w:val="auto"/>
          <w:spacing w:val="6"/>
          <w:sz w:val="22"/>
          <w:szCs w:val="22"/>
        </w:rPr>
      </w:pPr>
    </w:p>
    <w:p>
      <w:pPr>
        <w:widowControl/>
        <w:adjustRightInd w:val="0"/>
        <w:snapToGrid w:val="0"/>
        <w:spacing w:line="400" w:lineRule="exact"/>
        <w:ind w:firstLine="3300" w:firstLineChars="1500"/>
        <w:jc w:val="left"/>
        <w:rPr>
          <w:rFonts w:ascii="宋体" w:hAnsi="宋体" w:cs="宋体"/>
          <w:color w:val="auto"/>
          <w:sz w:val="22"/>
          <w:szCs w:val="22"/>
        </w:rPr>
      </w:pPr>
      <w:r>
        <w:rPr>
          <w:rFonts w:hint="eastAsia" w:ascii="宋体" w:hAnsi="宋体" w:cs="宋体"/>
          <w:color w:val="auto"/>
          <w:sz w:val="22"/>
          <w:szCs w:val="22"/>
        </w:rPr>
        <w:t>投标人名称（盖章）：</w:t>
      </w:r>
    </w:p>
    <w:p>
      <w:pPr>
        <w:widowControl/>
        <w:adjustRightInd w:val="0"/>
        <w:snapToGrid w:val="0"/>
        <w:spacing w:line="400" w:lineRule="exact"/>
        <w:ind w:firstLine="3300" w:firstLineChars="1500"/>
        <w:jc w:val="left"/>
        <w:rPr>
          <w:rFonts w:ascii="宋体" w:hAnsi="宋体" w:cs="宋体"/>
          <w:color w:val="auto"/>
          <w:sz w:val="22"/>
          <w:szCs w:val="22"/>
        </w:rPr>
      </w:pPr>
      <w:r>
        <w:rPr>
          <w:rFonts w:hint="eastAsia" w:ascii="宋体" w:hAnsi="宋体" w:cs="宋体"/>
          <w:color w:val="auto"/>
          <w:sz w:val="22"/>
          <w:szCs w:val="22"/>
        </w:rPr>
        <w:t>日期：      年    月     日</w:t>
      </w:r>
    </w:p>
    <w:p>
      <w:pPr>
        <w:tabs>
          <w:tab w:val="left" w:pos="1995"/>
        </w:tabs>
        <w:spacing w:line="380" w:lineRule="exact"/>
        <w:rPr>
          <w:rFonts w:ascii="宋体" w:hAnsi="宋体"/>
          <w:color w:val="auto"/>
          <w:sz w:val="22"/>
          <w:szCs w:val="22"/>
        </w:rPr>
      </w:pPr>
    </w:p>
    <w:p>
      <w:pPr>
        <w:spacing w:line="440" w:lineRule="exact"/>
        <w:jc w:val="left"/>
        <w:rPr>
          <w:rFonts w:ascii="宋体" w:hAnsi="宋体" w:cs="hakuyoxingshu7000"/>
          <w:color w:val="auto"/>
          <w:sz w:val="36"/>
          <w:szCs w:val="36"/>
        </w:rPr>
      </w:pPr>
      <w:r>
        <w:rPr>
          <w:rFonts w:ascii="宋体" w:hAnsi="宋体"/>
          <w:color w:val="auto"/>
          <w:sz w:val="22"/>
          <w:szCs w:val="22"/>
        </w:rPr>
        <w:br w:type="page"/>
      </w:r>
    </w:p>
    <w:p>
      <w:pPr>
        <w:widowControl/>
        <w:jc w:val="left"/>
        <w:rPr>
          <w:rFonts w:ascii="宋体" w:hAnsi="宋体" w:cs="Arial"/>
          <w:b/>
          <w:bCs/>
          <w:color w:val="auto"/>
          <w:sz w:val="24"/>
        </w:rPr>
      </w:pPr>
    </w:p>
    <w:p>
      <w:pPr>
        <w:tabs>
          <w:tab w:val="left" w:pos="795"/>
          <w:tab w:val="center" w:pos="4873"/>
        </w:tabs>
        <w:overflowPunct w:val="0"/>
        <w:spacing w:line="500" w:lineRule="exact"/>
        <w:ind w:firstLine="108" w:firstLineChars="49"/>
        <w:jc w:val="left"/>
        <w:rPr>
          <w:rFonts w:ascii="宋体" w:hAnsi="宋体" w:cs="hakuyoxingshu7000"/>
          <w:color w:val="auto"/>
          <w:sz w:val="22"/>
        </w:rPr>
      </w:pPr>
      <w:r>
        <w:rPr>
          <w:rFonts w:hint="eastAsia" w:ascii="宋体" w:hAnsi="宋体"/>
          <w:b/>
          <w:color w:val="auto"/>
          <w:sz w:val="22"/>
          <w:szCs w:val="22"/>
        </w:rPr>
        <w:t>附件六</w:t>
      </w:r>
    </w:p>
    <w:p>
      <w:pPr>
        <w:jc w:val="center"/>
        <w:rPr>
          <w:rFonts w:ascii="宋体" w:hAnsi="宋体"/>
          <w:b/>
          <w:color w:val="auto"/>
          <w:spacing w:val="6"/>
          <w:sz w:val="22"/>
          <w:szCs w:val="22"/>
        </w:rPr>
      </w:pPr>
      <w:r>
        <w:rPr>
          <w:rFonts w:hint="eastAsia" w:ascii="宋体" w:hAnsi="宋体"/>
          <w:b/>
          <w:color w:val="auto"/>
          <w:spacing w:val="6"/>
          <w:sz w:val="22"/>
          <w:szCs w:val="22"/>
        </w:rPr>
        <w:t>政府采购活动现场确认声明书</w:t>
      </w:r>
    </w:p>
    <w:p>
      <w:pPr>
        <w:tabs>
          <w:tab w:val="left" w:pos="795"/>
          <w:tab w:val="center" w:pos="4873"/>
        </w:tabs>
        <w:overflowPunct w:val="0"/>
        <w:spacing w:line="460" w:lineRule="exact"/>
        <w:ind w:firstLine="118" w:firstLineChars="49"/>
        <w:jc w:val="left"/>
        <w:rPr>
          <w:rFonts w:ascii="宋体" w:hAnsi="宋体" w:cs="Arial"/>
          <w:b/>
          <w:bCs/>
          <w:color w:val="auto"/>
          <w:sz w:val="24"/>
        </w:rPr>
      </w:pPr>
    </w:p>
    <w:p>
      <w:pPr>
        <w:pStyle w:val="811"/>
        <w:widowControl w:val="0"/>
        <w:snapToGrid w:val="0"/>
        <w:spacing w:line="440" w:lineRule="exact"/>
        <w:jc w:val="both"/>
        <w:rPr>
          <w:rFonts w:hint="default" w:hAnsi="宋体"/>
          <w:b/>
          <w:color w:val="auto"/>
          <w:spacing w:val="6"/>
          <w:sz w:val="22"/>
          <w:szCs w:val="22"/>
          <w:u w:val="single"/>
        </w:rPr>
      </w:pPr>
      <w:r>
        <w:rPr>
          <w:rFonts w:hAnsi="宋体"/>
          <w:b/>
          <w:bCs/>
          <w:color w:val="auto"/>
          <w:spacing w:val="6"/>
          <w:sz w:val="22"/>
          <w:szCs w:val="22"/>
          <w:u w:val="single"/>
        </w:rPr>
        <w:t>温州市交通运输局</w:t>
      </w:r>
      <w:r>
        <w:rPr>
          <w:rFonts w:hAnsi="宋体"/>
          <w:b/>
          <w:color w:val="auto"/>
          <w:spacing w:val="6"/>
          <w:sz w:val="22"/>
          <w:szCs w:val="22"/>
        </w:rPr>
        <w:t>：</w:t>
      </w:r>
    </w:p>
    <w:p>
      <w:pPr>
        <w:pStyle w:val="811"/>
        <w:widowControl w:val="0"/>
        <w:snapToGrid w:val="0"/>
        <w:spacing w:line="440" w:lineRule="exact"/>
        <w:jc w:val="both"/>
        <w:rPr>
          <w:rFonts w:hint="default" w:hAnsi="宋体"/>
          <w:b/>
          <w:color w:val="auto"/>
          <w:spacing w:val="6"/>
          <w:sz w:val="22"/>
          <w:szCs w:val="22"/>
          <w:u w:val="single"/>
        </w:rPr>
      </w:pPr>
      <w:r>
        <w:rPr>
          <w:rFonts w:hAnsi="宋体"/>
          <w:b/>
          <w:color w:val="auto"/>
          <w:spacing w:val="6"/>
          <w:sz w:val="22"/>
          <w:szCs w:val="22"/>
          <w:u w:val="single"/>
        </w:rPr>
        <w:t>大地工程咨询有限公司</w:t>
      </w:r>
      <w:r>
        <w:rPr>
          <w:rFonts w:hAnsi="宋体"/>
          <w:b/>
          <w:color w:val="auto"/>
          <w:kern w:val="0"/>
          <w:sz w:val="22"/>
          <w:szCs w:val="22"/>
        </w:rPr>
        <w:t>：</w:t>
      </w:r>
    </w:p>
    <w:p>
      <w:pPr>
        <w:pStyle w:val="811"/>
        <w:widowControl w:val="0"/>
        <w:snapToGrid w:val="0"/>
        <w:spacing w:line="440" w:lineRule="exact"/>
        <w:ind w:firstLine="464" w:firstLineChars="200"/>
        <w:jc w:val="both"/>
        <w:rPr>
          <w:rFonts w:hint="default" w:hAnsi="宋体"/>
          <w:color w:val="auto"/>
          <w:spacing w:val="6"/>
          <w:sz w:val="22"/>
          <w:szCs w:val="22"/>
        </w:rPr>
      </w:pPr>
      <w:r>
        <w:rPr>
          <w:rFonts w:hAnsi="宋体"/>
          <w:color w:val="auto"/>
          <w:spacing w:val="6"/>
          <w:sz w:val="22"/>
          <w:szCs w:val="22"/>
        </w:rPr>
        <w:t>本人经由</w:t>
      </w:r>
      <w:r>
        <w:rPr>
          <w:rFonts w:hAnsi="宋体"/>
          <w:color w:val="auto"/>
          <w:spacing w:val="6"/>
          <w:sz w:val="22"/>
          <w:szCs w:val="22"/>
          <w:u w:val="single"/>
        </w:rPr>
        <w:t xml:space="preserve">                       （单位）</w:t>
      </w:r>
      <w:r>
        <w:rPr>
          <w:rFonts w:hAnsi="宋体"/>
          <w:color w:val="auto"/>
          <w:spacing w:val="6"/>
          <w:sz w:val="22"/>
          <w:szCs w:val="22"/>
        </w:rPr>
        <w:t>负责人</w:t>
      </w:r>
      <w:r>
        <w:rPr>
          <w:rFonts w:hAnsi="宋体"/>
          <w:color w:val="auto"/>
          <w:spacing w:val="6"/>
          <w:sz w:val="22"/>
          <w:szCs w:val="22"/>
          <w:u w:val="single"/>
        </w:rPr>
        <w:t xml:space="preserve">          （姓名）</w:t>
      </w:r>
      <w:r>
        <w:rPr>
          <w:rFonts w:hAnsi="宋体"/>
          <w:color w:val="auto"/>
          <w:spacing w:val="6"/>
          <w:sz w:val="22"/>
          <w:szCs w:val="22"/>
        </w:rPr>
        <w:t>合法授权</w:t>
      </w:r>
      <w:r>
        <w:rPr>
          <w:rFonts w:hAnsi="宋体"/>
          <w:color w:val="auto"/>
          <w:spacing w:val="6"/>
          <w:sz w:val="22"/>
          <w:szCs w:val="22"/>
          <w:u w:val="single"/>
        </w:rPr>
        <w:t>交通技术服务运维项目</w:t>
      </w:r>
      <w:r>
        <w:rPr>
          <w:rFonts w:hAnsi="宋体"/>
          <w:color w:val="auto"/>
          <w:spacing w:val="6"/>
          <w:sz w:val="22"/>
          <w:szCs w:val="22"/>
        </w:rPr>
        <w:t>（编号：</w:t>
      </w:r>
      <w:r>
        <w:rPr>
          <w:rFonts w:hAnsi="宋体"/>
          <w:color w:val="auto"/>
          <w:spacing w:val="6"/>
          <w:sz w:val="22"/>
          <w:szCs w:val="22"/>
          <w:u w:val="single"/>
        </w:rPr>
        <w:t>DDZX-20240103012</w:t>
      </w:r>
      <w:r>
        <w:rPr>
          <w:rFonts w:hAnsi="宋体"/>
          <w:color w:val="auto"/>
          <w:spacing w:val="6"/>
          <w:sz w:val="22"/>
          <w:szCs w:val="22"/>
        </w:rPr>
        <w:t xml:space="preserve">）政府采购活动，经与本单位法人代表（负责人）联系确认，现就有关公平竞争事项郑重声明如下： </w:t>
      </w:r>
    </w:p>
    <w:p>
      <w:pPr>
        <w:pStyle w:val="810"/>
        <w:widowControl/>
        <w:numPr>
          <w:ilvl w:val="0"/>
          <w:numId w:val="53"/>
        </w:numPr>
        <w:snapToGrid w:val="0"/>
        <w:spacing w:line="440" w:lineRule="exact"/>
        <w:ind w:firstLine="415" w:firstLineChars="189"/>
        <w:rPr>
          <w:rFonts w:hint="default" w:ascii="宋体" w:hAnsi="宋体"/>
          <w:color w:val="auto"/>
          <w:kern w:val="0"/>
          <w:sz w:val="22"/>
          <w:szCs w:val="22"/>
        </w:rPr>
      </w:pPr>
      <w:r>
        <w:rPr>
          <w:rFonts w:ascii="宋体" w:hAnsi="宋体"/>
          <w:color w:val="auto"/>
          <w:kern w:val="0"/>
          <w:sz w:val="22"/>
          <w:szCs w:val="22"/>
        </w:rPr>
        <w:t xml:space="preserve">本单位与采购人之间 </w:t>
      </w:r>
      <w:r>
        <w:rPr>
          <w:rFonts w:ascii="宋体" w:hAnsi="宋体" w:cs="宋体"/>
          <w:color w:val="auto"/>
          <w:kern w:val="0"/>
          <w:sz w:val="22"/>
          <w:szCs w:val="22"/>
        </w:rPr>
        <w:t>□</w:t>
      </w:r>
      <w:r>
        <w:rPr>
          <w:rFonts w:ascii="宋体" w:hAnsi="宋体"/>
          <w:color w:val="auto"/>
          <w:kern w:val="0"/>
          <w:sz w:val="22"/>
          <w:szCs w:val="22"/>
        </w:rPr>
        <w:t xml:space="preserve">不存在利害关系 </w:t>
      </w:r>
      <w:r>
        <w:rPr>
          <w:rFonts w:ascii="宋体" w:hAnsi="宋体" w:cs="宋体"/>
          <w:color w:val="auto"/>
          <w:kern w:val="0"/>
          <w:sz w:val="22"/>
          <w:szCs w:val="22"/>
        </w:rPr>
        <w:t>□</w:t>
      </w:r>
      <w:r>
        <w:rPr>
          <w:rFonts w:ascii="宋体" w:hAnsi="宋体"/>
          <w:color w:val="auto"/>
          <w:kern w:val="0"/>
          <w:sz w:val="22"/>
          <w:szCs w:val="22"/>
        </w:rPr>
        <w:t>存在下列利害关系：</w:t>
      </w:r>
    </w:p>
    <w:p>
      <w:pPr>
        <w:pStyle w:val="810"/>
        <w:widowControl/>
        <w:snapToGrid w:val="0"/>
        <w:spacing w:line="440" w:lineRule="exact"/>
        <w:rPr>
          <w:rFonts w:hint="default" w:ascii="宋体" w:hAnsi="宋体"/>
          <w:color w:val="auto"/>
          <w:kern w:val="0"/>
          <w:sz w:val="22"/>
          <w:szCs w:val="22"/>
        </w:rPr>
      </w:pPr>
      <w:r>
        <w:rPr>
          <w:rFonts w:ascii="宋体" w:hAnsi="宋体"/>
          <w:color w:val="auto"/>
          <w:kern w:val="0"/>
          <w:sz w:val="22"/>
          <w:szCs w:val="22"/>
        </w:rPr>
        <w:t xml:space="preserve">  A.投资关系    B.行政隶属关系    C.业务指导关系</w:t>
      </w:r>
    </w:p>
    <w:p>
      <w:pPr>
        <w:pStyle w:val="810"/>
        <w:widowControl/>
        <w:snapToGrid w:val="0"/>
        <w:spacing w:line="440" w:lineRule="exact"/>
        <w:rPr>
          <w:rFonts w:hint="default" w:ascii="宋体" w:hAnsi="宋体"/>
          <w:color w:val="auto"/>
          <w:kern w:val="0"/>
          <w:sz w:val="22"/>
          <w:szCs w:val="22"/>
        </w:rPr>
      </w:pPr>
      <w:r>
        <w:rPr>
          <w:rFonts w:ascii="宋体" w:hAnsi="宋体"/>
          <w:color w:val="auto"/>
          <w:kern w:val="0"/>
          <w:sz w:val="22"/>
          <w:szCs w:val="22"/>
        </w:rPr>
        <w:t xml:space="preserve">  D.其他可能</w:t>
      </w:r>
      <w:r>
        <w:rPr>
          <w:rFonts w:ascii="宋体" w:hAnsi="宋体"/>
          <w:color w:val="auto"/>
          <w:sz w:val="22"/>
          <w:szCs w:val="22"/>
        </w:rPr>
        <w:t>影响采购公正的</w:t>
      </w:r>
      <w:r>
        <w:rPr>
          <w:rFonts w:ascii="宋体" w:hAnsi="宋体"/>
          <w:color w:val="auto"/>
          <w:kern w:val="0"/>
          <w:sz w:val="22"/>
          <w:szCs w:val="22"/>
        </w:rPr>
        <w:t>利害关系</w:t>
      </w:r>
      <w:r>
        <w:rPr>
          <w:rFonts w:ascii="宋体" w:hAnsi="宋体"/>
          <w:color w:val="auto"/>
          <w:kern w:val="0"/>
          <w:sz w:val="22"/>
          <w:szCs w:val="22"/>
          <w:u w:val="single"/>
        </w:rPr>
        <w:t xml:space="preserve">（如有，请如实说明）                 </w:t>
      </w:r>
      <w:r>
        <w:rPr>
          <w:rFonts w:ascii="宋体" w:hAnsi="宋体"/>
          <w:color w:val="auto"/>
          <w:kern w:val="0"/>
          <w:sz w:val="22"/>
          <w:szCs w:val="22"/>
        </w:rPr>
        <w:t>。</w:t>
      </w:r>
    </w:p>
    <w:p>
      <w:pPr>
        <w:pStyle w:val="810"/>
        <w:widowControl/>
        <w:snapToGrid w:val="0"/>
        <w:spacing w:line="440" w:lineRule="exact"/>
        <w:rPr>
          <w:rFonts w:hint="default" w:ascii="宋体" w:hAnsi="宋体"/>
          <w:color w:val="auto"/>
          <w:kern w:val="0"/>
          <w:sz w:val="22"/>
          <w:szCs w:val="22"/>
        </w:rPr>
      </w:pPr>
      <w:r>
        <w:rPr>
          <w:rFonts w:ascii="宋体" w:hAnsi="宋体"/>
          <w:color w:val="auto"/>
          <w:spacing w:val="6"/>
          <w:sz w:val="22"/>
          <w:szCs w:val="22"/>
        </w:rPr>
        <w:t xml:space="preserve">  二、</w:t>
      </w:r>
      <w:r>
        <w:rPr>
          <w:rFonts w:ascii="宋体" w:hAnsi="宋体"/>
          <w:color w:val="auto"/>
          <w:kern w:val="0"/>
          <w:sz w:val="22"/>
          <w:szCs w:val="22"/>
        </w:rPr>
        <w:t xml:space="preserve">现已清楚知道参加本项目采购活动的其他所有投标人名称，本单位 </w:t>
      </w:r>
      <w:r>
        <w:rPr>
          <w:rFonts w:ascii="宋体" w:hAnsi="宋体" w:cs="宋体"/>
          <w:color w:val="auto"/>
          <w:kern w:val="0"/>
          <w:sz w:val="22"/>
          <w:szCs w:val="22"/>
        </w:rPr>
        <w:t>□与其他所有投标人之间均</w:t>
      </w:r>
      <w:r>
        <w:rPr>
          <w:rFonts w:ascii="宋体" w:hAnsi="宋体"/>
          <w:color w:val="auto"/>
          <w:kern w:val="0"/>
          <w:sz w:val="22"/>
          <w:szCs w:val="22"/>
        </w:rPr>
        <w:t xml:space="preserve">不存在利害关系 </w:t>
      </w:r>
      <w:r>
        <w:rPr>
          <w:rFonts w:ascii="宋体" w:hAnsi="宋体" w:cs="宋体"/>
          <w:color w:val="auto"/>
          <w:kern w:val="0"/>
          <w:sz w:val="22"/>
          <w:szCs w:val="22"/>
        </w:rPr>
        <w:t>□与</w:t>
      </w:r>
      <w:r>
        <w:rPr>
          <w:rFonts w:ascii="宋体" w:hAnsi="宋体" w:cs="宋体"/>
          <w:color w:val="auto"/>
          <w:kern w:val="0"/>
          <w:sz w:val="22"/>
          <w:szCs w:val="22"/>
          <w:u w:val="single"/>
        </w:rPr>
        <w:t xml:space="preserve">           （投标人名称）</w:t>
      </w:r>
      <w:r>
        <w:rPr>
          <w:rFonts w:ascii="宋体" w:hAnsi="宋体" w:cs="宋体"/>
          <w:color w:val="auto"/>
          <w:kern w:val="0"/>
          <w:sz w:val="22"/>
          <w:szCs w:val="22"/>
        </w:rPr>
        <w:t>之间</w:t>
      </w:r>
      <w:r>
        <w:rPr>
          <w:rFonts w:ascii="宋体" w:hAnsi="宋体"/>
          <w:color w:val="auto"/>
          <w:kern w:val="0"/>
          <w:sz w:val="22"/>
          <w:szCs w:val="22"/>
        </w:rPr>
        <w:t>存在下列利害关系：</w:t>
      </w:r>
    </w:p>
    <w:p>
      <w:pPr>
        <w:pStyle w:val="811"/>
        <w:widowControl w:val="0"/>
        <w:snapToGrid w:val="0"/>
        <w:spacing w:line="440" w:lineRule="exact"/>
        <w:jc w:val="both"/>
        <w:rPr>
          <w:rFonts w:hint="default" w:hAnsi="宋体"/>
          <w:color w:val="auto"/>
          <w:kern w:val="0"/>
          <w:sz w:val="22"/>
          <w:szCs w:val="22"/>
        </w:rPr>
      </w:pPr>
      <w:r>
        <w:rPr>
          <w:rFonts w:hAnsi="宋体"/>
          <w:color w:val="auto"/>
          <w:kern w:val="0"/>
          <w:sz w:val="22"/>
          <w:szCs w:val="22"/>
        </w:rPr>
        <w:t xml:space="preserve">  A.法定代表人或负责人或实际控制人是同一人</w:t>
      </w:r>
    </w:p>
    <w:p>
      <w:pPr>
        <w:pStyle w:val="811"/>
        <w:widowControl w:val="0"/>
        <w:snapToGrid w:val="0"/>
        <w:spacing w:line="440" w:lineRule="exact"/>
        <w:jc w:val="both"/>
        <w:rPr>
          <w:rFonts w:hint="default" w:hAnsi="宋体"/>
          <w:color w:val="auto"/>
          <w:spacing w:val="6"/>
          <w:sz w:val="22"/>
          <w:szCs w:val="22"/>
        </w:rPr>
      </w:pPr>
      <w:r>
        <w:rPr>
          <w:rFonts w:hAnsi="宋体"/>
          <w:color w:val="auto"/>
          <w:kern w:val="0"/>
          <w:sz w:val="22"/>
          <w:szCs w:val="22"/>
        </w:rPr>
        <w:t xml:space="preserve">  B.法定代表人或负责人或实际控制人是夫妻关系</w:t>
      </w:r>
    </w:p>
    <w:p>
      <w:pPr>
        <w:pStyle w:val="811"/>
        <w:widowControl w:val="0"/>
        <w:snapToGrid w:val="0"/>
        <w:spacing w:line="440" w:lineRule="exact"/>
        <w:jc w:val="both"/>
        <w:rPr>
          <w:rFonts w:hint="default" w:hAnsi="宋体"/>
          <w:color w:val="auto"/>
          <w:spacing w:val="6"/>
          <w:sz w:val="22"/>
          <w:szCs w:val="22"/>
        </w:rPr>
      </w:pPr>
      <w:r>
        <w:rPr>
          <w:rFonts w:hAnsi="宋体"/>
          <w:color w:val="auto"/>
          <w:kern w:val="0"/>
          <w:sz w:val="22"/>
          <w:szCs w:val="22"/>
        </w:rPr>
        <w:t xml:space="preserve">  C.法定代表人或负责人或实际控制人是直系血亲关系</w:t>
      </w:r>
    </w:p>
    <w:p>
      <w:pPr>
        <w:pStyle w:val="811"/>
        <w:widowControl w:val="0"/>
        <w:snapToGrid w:val="0"/>
        <w:spacing w:line="440" w:lineRule="exact"/>
        <w:jc w:val="both"/>
        <w:rPr>
          <w:rFonts w:hint="default" w:hAnsi="宋体"/>
          <w:color w:val="auto"/>
          <w:spacing w:val="6"/>
          <w:sz w:val="22"/>
          <w:szCs w:val="22"/>
        </w:rPr>
      </w:pPr>
      <w:r>
        <w:rPr>
          <w:rFonts w:hAnsi="宋体"/>
          <w:color w:val="auto"/>
          <w:kern w:val="0"/>
          <w:sz w:val="22"/>
          <w:szCs w:val="22"/>
        </w:rPr>
        <w:t xml:space="preserve">  D.法定代表人或负责人或实际控制人存在三代以内旁系血亲关系</w:t>
      </w:r>
    </w:p>
    <w:p>
      <w:pPr>
        <w:pStyle w:val="811"/>
        <w:widowControl w:val="0"/>
        <w:snapToGrid w:val="0"/>
        <w:spacing w:line="440" w:lineRule="exact"/>
        <w:jc w:val="both"/>
        <w:rPr>
          <w:rFonts w:hint="default" w:hAnsi="宋体"/>
          <w:color w:val="auto"/>
          <w:kern w:val="0"/>
          <w:sz w:val="22"/>
          <w:szCs w:val="22"/>
        </w:rPr>
      </w:pPr>
      <w:r>
        <w:rPr>
          <w:rFonts w:hAnsi="宋体"/>
          <w:color w:val="auto"/>
          <w:kern w:val="0"/>
          <w:sz w:val="22"/>
          <w:szCs w:val="22"/>
        </w:rPr>
        <w:t xml:space="preserve">  E.法定代表人或负责人或实际控制人存在近姻亲关系</w:t>
      </w:r>
    </w:p>
    <w:p>
      <w:pPr>
        <w:pStyle w:val="811"/>
        <w:widowControl w:val="0"/>
        <w:snapToGrid w:val="0"/>
        <w:spacing w:line="440" w:lineRule="exact"/>
        <w:jc w:val="both"/>
        <w:rPr>
          <w:rFonts w:hint="default" w:hAnsi="宋体"/>
          <w:color w:val="auto"/>
          <w:kern w:val="0"/>
          <w:sz w:val="22"/>
          <w:szCs w:val="22"/>
        </w:rPr>
      </w:pPr>
      <w:r>
        <w:rPr>
          <w:rFonts w:hAnsi="宋体"/>
          <w:color w:val="auto"/>
          <w:kern w:val="0"/>
          <w:sz w:val="22"/>
          <w:szCs w:val="22"/>
        </w:rPr>
        <w:t xml:space="preserve">  F.法定代表人或负责人或实际控制人存在股份控制或实际控制关系</w:t>
      </w:r>
    </w:p>
    <w:p>
      <w:pPr>
        <w:pStyle w:val="811"/>
        <w:widowControl w:val="0"/>
        <w:snapToGrid w:val="0"/>
        <w:spacing w:line="440" w:lineRule="exact"/>
        <w:jc w:val="both"/>
        <w:outlineLvl w:val="0"/>
        <w:rPr>
          <w:rFonts w:hint="default" w:hAnsi="宋体"/>
          <w:color w:val="auto"/>
          <w:kern w:val="0"/>
          <w:sz w:val="22"/>
          <w:szCs w:val="22"/>
        </w:rPr>
      </w:pPr>
      <w:bookmarkStart w:id="242" w:name="_Toc22986"/>
      <w:bookmarkStart w:id="243" w:name="_Toc26171"/>
      <w:bookmarkStart w:id="244" w:name="_Toc5336"/>
      <w:r>
        <w:rPr>
          <w:rFonts w:hAnsi="宋体"/>
          <w:color w:val="auto"/>
          <w:kern w:val="0"/>
          <w:sz w:val="22"/>
          <w:szCs w:val="22"/>
        </w:rPr>
        <w:t>G.存在共同直接或间接投资设立子公司、联营企业和合营企业情况</w:t>
      </w:r>
      <w:bookmarkEnd w:id="242"/>
      <w:bookmarkEnd w:id="243"/>
      <w:bookmarkEnd w:id="244"/>
    </w:p>
    <w:p>
      <w:pPr>
        <w:pStyle w:val="811"/>
        <w:widowControl w:val="0"/>
        <w:snapToGrid w:val="0"/>
        <w:spacing w:line="440" w:lineRule="exact"/>
        <w:jc w:val="both"/>
        <w:rPr>
          <w:rFonts w:hint="default" w:hAnsi="宋体"/>
          <w:color w:val="auto"/>
          <w:sz w:val="22"/>
          <w:szCs w:val="22"/>
        </w:rPr>
      </w:pPr>
      <w:r>
        <w:rPr>
          <w:rFonts w:hAnsi="宋体"/>
          <w:color w:val="auto"/>
          <w:kern w:val="0"/>
          <w:sz w:val="22"/>
          <w:szCs w:val="22"/>
        </w:rPr>
        <w:t xml:space="preserve">  H.存在分级代理或代销关系、同一生产制造商关系、</w:t>
      </w:r>
      <w:r>
        <w:rPr>
          <w:rFonts w:hAnsi="宋体"/>
          <w:color w:val="auto"/>
          <w:sz w:val="22"/>
          <w:szCs w:val="22"/>
        </w:rPr>
        <w:t>管理关系、重要业务（占主营业务收入50%以上）或重要财务往来关系（如融资）等其他实质性控制关系</w:t>
      </w:r>
    </w:p>
    <w:p>
      <w:pPr>
        <w:pStyle w:val="811"/>
        <w:widowControl w:val="0"/>
        <w:snapToGrid w:val="0"/>
        <w:spacing w:line="440" w:lineRule="exact"/>
        <w:jc w:val="both"/>
        <w:rPr>
          <w:rFonts w:hint="default" w:hAnsi="宋体"/>
          <w:color w:val="auto"/>
          <w:spacing w:val="6"/>
          <w:sz w:val="22"/>
          <w:szCs w:val="22"/>
        </w:rPr>
      </w:pPr>
      <w:r>
        <w:rPr>
          <w:rFonts w:hAnsi="宋体"/>
          <w:color w:val="auto"/>
          <w:sz w:val="22"/>
          <w:szCs w:val="22"/>
        </w:rPr>
        <w:t xml:space="preserve">  I</w:t>
      </w:r>
      <w:r>
        <w:rPr>
          <w:rFonts w:hAnsi="宋体"/>
          <w:color w:val="auto"/>
          <w:kern w:val="0"/>
          <w:sz w:val="22"/>
          <w:szCs w:val="22"/>
        </w:rPr>
        <w:t>.</w:t>
      </w:r>
      <w:r>
        <w:rPr>
          <w:rFonts w:hAnsi="宋体"/>
          <w:color w:val="auto"/>
          <w:sz w:val="22"/>
          <w:szCs w:val="22"/>
        </w:rPr>
        <w:t>其他利害关系情况</w:t>
      </w:r>
      <w:r>
        <w:rPr>
          <w:rFonts w:hAnsi="宋体"/>
          <w:color w:val="auto"/>
          <w:kern w:val="0"/>
          <w:sz w:val="22"/>
          <w:szCs w:val="22"/>
        </w:rPr>
        <w:t>。</w:t>
      </w:r>
    </w:p>
    <w:p>
      <w:pPr>
        <w:pStyle w:val="810"/>
        <w:widowControl/>
        <w:numPr>
          <w:ilvl w:val="0"/>
          <w:numId w:val="54"/>
        </w:numPr>
        <w:snapToGrid w:val="0"/>
        <w:spacing w:line="440" w:lineRule="exact"/>
        <w:ind w:firstLine="415" w:firstLineChars="189"/>
        <w:rPr>
          <w:rFonts w:hint="default" w:ascii="宋体" w:hAnsi="宋体"/>
          <w:color w:val="auto"/>
          <w:kern w:val="0"/>
          <w:sz w:val="22"/>
          <w:szCs w:val="22"/>
        </w:rPr>
      </w:pPr>
      <w:r>
        <w:rPr>
          <w:rFonts w:ascii="宋体" w:hAnsi="宋体"/>
          <w:color w:val="auto"/>
          <w:sz w:val="22"/>
          <w:szCs w:val="22"/>
        </w:rPr>
        <w:t>现已清楚知道并</w:t>
      </w:r>
      <w:r>
        <w:rPr>
          <w:rFonts w:ascii="宋体" w:hAnsi="宋体"/>
          <w:color w:val="auto"/>
          <w:kern w:val="0"/>
          <w:sz w:val="22"/>
          <w:szCs w:val="22"/>
        </w:rPr>
        <w:t>严格遵守政府采购法律法规和现场纪律。</w:t>
      </w:r>
    </w:p>
    <w:p>
      <w:pPr>
        <w:pStyle w:val="810"/>
        <w:widowControl/>
        <w:numPr>
          <w:ilvl w:val="0"/>
          <w:numId w:val="54"/>
        </w:numPr>
        <w:snapToGrid w:val="0"/>
        <w:spacing w:line="440" w:lineRule="exact"/>
        <w:ind w:firstLine="415" w:firstLineChars="189"/>
        <w:rPr>
          <w:rFonts w:hint="default" w:ascii="宋体" w:hAnsi="宋体"/>
          <w:color w:val="auto"/>
          <w:kern w:val="0"/>
          <w:sz w:val="22"/>
          <w:szCs w:val="22"/>
        </w:rPr>
      </w:pPr>
      <w:r>
        <w:rPr>
          <w:rFonts w:ascii="宋体" w:hAnsi="宋体"/>
          <w:color w:val="auto"/>
          <w:kern w:val="0"/>
          <w:sz w:val="22"/>
          <w:szCs w:val="22"/>
        </w:rPr>
        <w:t>我发现投标人之间存在或可能存在上述第二条第项利害关系。</w:t>
      </w:r>
    </w:p>
    <w:p>
      <w:pPr>
        <w:pStyle w:val="811"/>
        <w:widowControl w:val="0"/>
        <w:snapToGrid w:val="0"/>
        <w:spacing w:line="440" w:lineRule="exact"/>
        <w:ind w:firstLine="440" w:firstLineChars="200"/>
        <w:jc w:val="both"/>
        <w:rPr>
          <w:rFonts w:hint="default" w:hAnsi="宋体"/>
          <w:color w:val="auto"/>
          <w:sz w:val="22"/>
          <w:szCs w:val="22"/>
        </w:rPr>
      </w:pPr>
    </w:p>
    <w:p>
      <w:pPr>
        <w:pStyle w:val="811"/>
        <w:widowControl w:val="0"/>
        <w:snapToGrid w:val="0"/>
        <w:spacing w:line="440" w:lineRule="exact"/>
        <w:ind w:firstLine="440" w:firstLineChars="200"/>
        <w:jc w:val="both"/>
        <w:rPr>
          <w:rFonts w:hint="default" w:hAnsi="宋体"/>
          <w:color w:val="auto"/>
          <w:sz w:val="22"/>
          <w:szCs w:val="22"/>
        </w:rPr>
      </w:pPr>
      <w:r>
        <w:rPr>
          <w:rFonts w:hAnsi="宋体"/>
          <w:color w:val="auto"/>
          <w:sz w:val="22"/>
          <w:szCs w:val="22"/>
        </w:rPr>
        <w:t xml:space="preserve">                                投标人代表签名：</w:t>
      </w:r>
    </w:p>
    <w:p>
      <w:pPr>
        <w:pStyle w:val="811"/>
        <w:widowControl w:val="0"/>
        <w:snapToGrid w:val="0"/>
        <w:spacing w:line="440" w:lineRule="exact"/>
        <w:ind w:firstLine="440" w:firstLineChars="200"/>
        <w:jc w:val="both"/>
        <w:rPr>
          <w:rFonts w:hint="default" w:hAnsi="宋体"/>
          <w:color w:val="auto"/>
          <w:sz w:val="22"/>
          <w:szCs w:val="22"/>
        </w:rPr>
      </w:pPr>
      <w:r>
        <w:rPr>
          <w:rFonts w:hAnsi="宋体"/>
          <w:color w:val="auto"/>
          <w:sz w:val="22"/>
          <w:szCs w:val="22"/>
        </w:rPr>
        <w:t xml:space="preserve">                                    年   月   日</w:t>
      </w:r>
    </w:p>
    <w:p>
      <w:pPr>
        <w:tabs>
          <w:tab w:val="left" w:pos="795"/>
          <w:tab w:val="center" w:pos="4873"/>
        </w:tabs>
        <w:overflowPunct w:val="0"/>
        <w:spacing w:line="460" w:lineRule="exact"/>
        <w:ind w:firstLine="118" w:firstLineChars="49"/>
        <w:jc w:val="left"/>
        <w:rPr>
          <w:rFonts w:ascii="宋体" w:hAnsi="宋体" w:cs="Arial"/>
          <w:b/>
          <w:bCs/>
          <w:color w:val="auto"/>
          <w:sz w:val="24"/>
        </w:rPr>
      </w:pPr>
    </w:p>
    <w:p>
      <w:pPr>
        <w:spacing w:line="400" w:lineRule="exact"/>
        <w:ind w:left="439" w:leftChars="209"/>
        <w:rPr>
          <w:rFonts w:ascii="宋体" w:hAnsi="宋体" w:cs="Arial"/>
          <w:color w:val="auto"/>
          <w:sz w:val="22"/>
          <w:szCs w:val="22"/>
        </w:rPr>
      </w:pPr>
    </w:p>
    <w:p>
      <w:pPr>
        <w:rPr>
          <w:color w:val="auto"/>
        </w:rPr>
      </w:pPr>
    </w:p>
    <w:sectPr>
      <w:footerReference r:id="rId11" w:type="first"/>
      <w:headerReference r:id="rId9" w:type="default"/>
      <w:footerReference r:id="rId10" w:type="default"/>
      <w:type w:val="nextColumn"/>
      <w:pgSz w:w="11906" w:h="16838"/>
      <w:pgMar w:top="1134" w:right="1134" w:bottom="1134" w:left="1134" w:header="851" w:footer="851"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DFKai-SB">
    <w:altName w:val="Microsoft JhengHei Light"/>
    <w:panose1 w:val="03000509000000000000"/>
    <w:charset w:val="88"/>
    <w:family w:val="script"/>
    <w:pitch w:val="default"/>
    <w:sig w:usb0="00000000" w:usb1="00000000" w:usb2="00000016" w:usb3="00000000" w:csb0="00100001" w:csb1="00000000"/>
  </w:font>
  <w:font w:name="Century Gothic">
    <w:altName w:val="Yu Gothic UI"/>
    <w:panose1 w:val="020B0502020202020204"/>
    <w:charset w:val="00"/>
    <w:family w:val="swiss"/>
    <w:pitch w:val="default"/>
    <w:sig w:usb0="00000000" w:usb1="00000000" w:usb2="00000000" w:usb3="00000000" w:csb0="2000009F" w:csb1="DFD70000"/>
  </w:font>
  <w:font w:name="PMingLiU">
    <w:altName w:val="PMingLiU-ExtB"/>
    <w:panose1 w:val="02020500000000000000"/>
    <w:charset w:val="88"/>
    <w:family w:val="auto"/>
    <w:pitch w:val="default"/>
    <w:sig w:usb0="00000000" w:usb1="00000000" w:usb2="00000016" w:usb3="00000000" w:csb0="00100001" w:csb1="00000000"/>
  </w:font>
  <w:font w:name="新宋体">
    <w:panose1 w:val="02010609030101010101"/>
    <w:charset w:val="86"/>
    <w:family w:val="modern"/>
    <w:pitch w:val="default"/>
    <w:sig w:usb0="00000203" w:usb1="288F0000" w:usb2="00000006"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Helvetica">
    <w:altName w:val="Arial"/>
    <w:panose1 w:val="020B0504020202020204"/>
    <w:charset w:val="00"/>
    <w:family w:val="swiss"/>
    <w:pitch w:val="default"/>
    <w:sig w:usb0="00000000" w:usb1="00000000" w:usb2="00000000" w:usb3="00000000" w:csb0="00000001" w:csb1="00000000"/>
  </w:font>
  <w:font w:name="宋体,Verdana,Arial">
    <w:altName w:val="宋体"/>
    <w:panose1 w:val="00000000000000000000"/>
    <w:charset w:val="00"/>
    <w:family w:val="auto"/>
    <w:pitch w:val="default"/>
    <w:sig w:usb0="00000000" w:usb1="00000000" w:usb2="00000000" w:usb3="00000000" w:csb0="00040001" w:csb1="00000000"/>
  </w:font>
  <w:font w:name="MingLiU">
    <w:altName w:val="PMingLiU-ExtB"/>
    <w:panose1 w:val="02020509000000000000"/>
    <w:charset w:val="88"/>
    <w:family w:val="modern"/>
    <w:pitch w:val="default"/>
    <w:sig w:usb0="00000000" w:usb1="00000000" w:usb2="00000016" w:usb3="00000000" w:csb0="00100001" w:csb1="00000000"/>
  </w:font>
  <w:font w:name="ˎ̥">
    <w:altName w:val="微软雅黑"/>
    <w:panose1 w:val="00000000000000000000"/>
    <w:charset w:val="00"/>
    <w:family w:val="roman"/>
    <w:pitch w:val="default"/>
    <w:sig w:usb0="00000000" w:usb1="00000000" w:usb2="00000000" w:usb3="00000000" w:csb0="00040001" w:csb1="00000000"/>
  </w:font>
  <w:font w:name="Arial Black">
    <w:panose1 w:val="020B0A04020102020204"/>
    <w:charset w:val="00"/>
    <w:family w:val="swiss"/>
    <w:pitch w:val="default"/>
    <w:sig w:usb0="A00002AF" w:usb1="400078FB" w:usb2="00000000" w:usb3="00000000" w:csb0="6000009F" w:csb1="DFD70000"/>
  </w:font>
  <w:font w:name="Times">
    <w:altName w:val="Times New Roman"/>
    <w:panose1 w:val="02020603050405020304"/>
    <w:charset w:val="00"/>
    <w:family w:val="roman"/>
    <w:pitch w:val="default"/>
    <w:sig w:usb0="00000000" w:usb1="00000000" w:usb2="00000000" w:usb3="00000000" w:csb0="00000093" w:csb1="00000000"/>
  </w:font>
  <w:font w:name="全真楷書">
    <w:altName w:val="宋体"/>
    <w:panose1 w:val="00000000000000000000"/>
    <w:charset w:val="86"/>
    <w:family w:val="roman"/>
    <w:pitch w:val="default"/>
    <w:sig w:usb0="00000000" w:usb1="00000000" w:usb2="00000000" w:usb3="00000000" w:csb0="00040001" w:csb1="00000000"/>
  </w:font>
  <w:font w:name="Trebuchet MS">
    <w:panose1 w:val="020B0603020202020204"/>
    <w:charset w:val="00"/>
    <w:family w:val="swiss"/>
    <w:pitch w:val="default"/>
    <w:sig w:usb0="00000687" w:usb1="00000000" w:usb2="00000000" w:usb3="00000000" w:csb0="2000009F" w:csb1="00000000"/>
  </w:font>
  <w:font w:name="Calibri Light">
    <w:panose1 w:val="020F0302020204030204"/>
    <w:charset w:val="00"/>
    <w:family w:val="swiss"/>
    <w:pitch w:val="default"/>
    <w:sig w:usb0="E4002EFF" w:usb1="C2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40001" w:csb1="00000000"/>
  </w:font>
  <w:font w:name="hakuyoxingshu7000">
    <w:altName w:val="宋体"/>
    <w:panose1 w:val="00000000000000000000"/>
    <w:charset w:val="86"/>
    <w:family w:val="auto"/>
    <w:pitch w:val="default"/>
    <w:sig w:usb0="00000000" w:usb1="00000000" w:usb2="0000003F" w:usb3="00000000" w:csb0="003F00F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 w:name="Microsoft JhengHei Light">
    <w:panose1 w:val="020B0304030504040204"/>
    <w:charset w:val="88"/>
    <w:family w:val="auto"/>
    <w:pitch w:val="default"/>
    <w:sig w:usb0="8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2"/>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framePr w:wrap="around" w:vAnchor="text" w:hAnchor="margin" w:xAlign="center" w:y="1"/>
      <w:pBdr>
        <w:bottom w:val="single" w:color="auto" w:sz="6" w:space="3"/>
      </w:pBdr>
      <w:rPr>
        <w:rStyle w:val="69"/>
      </w:rPr>
    </w:pPr>
    <w:r>
      <w:fldChar w:fldCharType="begin"/>
    </w:r>
    <w:r>
      <w:rPr>
        <w:rStyle w:val="69"/>
      </w:rPr>
      <w:instrText xml:space="preserve">PAGE  </w:instrText>
    </w:r>
    <w:r>
      <w:fldChar w:fldCharType="end"/>
    </w:r>
  </w:p>
  <w:p>
    <w:pPr>
      <w:pStyle w:val="42"/>
      <w:pBdr>
        <w:bottom w:val="single" w:color="auto" w:sz="6" w:space="3"/>
      </w:pBd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lear" w:pos="4153"/>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enter" w:pos="4819"/>
        <w:tab w:val="clear" w:pos="4153"/>
      </w:tabs>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2"/>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jc w:val="center"/>
                          </w:pPr>
                          <w:r>
                            <w:fldChar w:fldCharType="begin"/>
                          </w:r>
                          <w:r>
                            <w:instrText xml:space="preserve"> PAGE   \* MERGEFORMAT </w:instrText>
                          </w:r>
                          <w:r>
                            <w:fldChar w:fldCharType="separate"/>
                          </w:r>
                          <w:r>
                            <w:rPr>
                              <w:lang w:val="zh-CN"/>
                            </w:rPr>
                            <w:t>53</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jc w:val="center"/>
                    </w:pPr>
                    <w:r>
                      <w:fldChar w:fldCharType="begin"/>
                    </w:r>
                    <w:r>
                      <w:instrText xml:space="preserve"> PAGE   \* MERGEFORMAT </w:instrText>
                    </w:r>
                    <w:r>
                      <w:fldChar w:fldCharType="separate"/>
                    </w:r>
                    <w:r>
                      <w:rPr>
                        <w:lang w:val="zh-CN"/>
                      </w:rPr>
                      <w:t>53</w:t>
                    </w:r>
                    <w:r>
                      <w:rPr>
                        <w:lang w:val="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tabs>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2"/>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52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9C9DA"/>
    <w:multiLevelType w:val="multilevel"/>
    <w:tmpl w:val="8159C9DA"/>
    <w:lvl w:ilvl="0" w:tentative="0">
      <w:start w:val="1"/>
      <w:numFmt w:val="none"/>
      <w:lvlText w:val="2"/>
      <w:lvlJc w:val="left"/>
      <w:pPr>
        <w:tabs>
          <w:tab w:val="left" w:pos="425"/>
        </w:tabs>
        <w:ind w:left="425" w:hanging="425"/>
      </w:pPr>
      <w:rPr>
        <w:rFonts w:hint="eastAsia"/>
      </w:rPr>
    </w:lvl>
    <w:lvl w:ilvl="1" w:tentative="0">
      <w:start w:val="1"/>
      <w:numFmt w:val="decimal"/>
      <w:lvlText w:val="%18.%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
    <w:nsid w:val="851DD5D3"/>
    <w:multiLevelType w:val="multilevel"/>
    <w:tmpl w:val="851DD5D3"/>
    <w:lvl w:ilvl="0" w:tentative="0">
      <w:start w:val="1"/>
      <w:numFmt w:val="none"/>
      <w:lvlText w:val="2"/>
      <w:lvlJc w:val="left"/>
      <w:pPr>
        <w:tabs>
          <w:tab w:val="left" w:pos="425"/>
        </w:tabs>
        <w:ind w:left="425" w:hanging="425"/>
      </w:pPr>
      <w:rPr>
        <w:rFonts w:hint="eastAsia"/>
      </w:rPr>
    </w:lvl>
    <w:lvl w:ilvl="1" w:tentative="0">
      <w:start w:val="1"/>
      <w:numFmt w:val="decimal"/>
      <w:lvlText w:val="%14.%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85570643"/>
    <w:multiLevelType w:val="multilevel"/>
    <w:tmpl w:val="85570643"/>
    <w:lvl w:ilvl="0" w:tentative="0">
      <w:start w:val="1"/>
      <w:numFmt w:val="none"/>
      <w:lvlText w:val="2"/>
      <w:lvlJc w:val="left"/>
      <w:pPr>
        <w:tabs>
          <w:tab w:val="left" w:pos="425"/>
        </w:tabs>
        <w:ind w:left="425" w:hanging="425"/>
      </w:pPr>
      <w:rPr>
        <w:rFonts w:hint="eastAsia"/>
      </w:rPr>
    </w:lvl>
    <w:lvl w:ilvl="1" w:tentative="0">
      <w:start w:val="1"/>
      <w:numFmt w:val="decimal"/>
      <w:lvlText w:val="%17.%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
    <w:nsid w:val="8ABA2FBC"/>
    <w:multiLevelType w:val="singleLevel"/>
    <w:tmpl w:val="8ABA2FBC"/>
    <w:lvl w:ilvl="0" w:tentative="0">
      <w:start w:val="1"/>
      <w:numFmt w:val="chineseCounting"/>
      <w:suff w:val="nothing"/>
      <w:lvlText w:val="%1、"/>
      <w:lvlJc w:val="left"/>
      <w:rPr>
        <w:rFonts w:hint="eastAsia"/>
      </w:rPr>
    </w:lvl>
  </w:abstractNum>
  <w:abstractNum w:abstractNumId="4">
    <w:nsid w:val="8E6810CA"/>
    <w:multiLevelType w:val="multilevel"/>
    <w:tmpl w:val="8E6810CA"/>
    <w:lvl w:ilvl="0" w:tentative="0">
      <w:start w:val="1"/>
      <w:numFmt w:val="none"/>
      <w:lvlText w:val="2"/>
      <w:lvlJc w:val="left"/>
      <w:pPr>
        <w:tabs>
          <w:tab w:val="left" w:pos="425"/>
        </w:tabs>
        <w:ind w:left="425" w:hanging="425"/>
      </w:pPr>
      <w:rPr>
        <w:rFonts w:hint="eastAsia"/>
      </w:rPr>
    </w:lvl>
    <w:lvl w:ilvl="1" w:tentative="0">
      <w:start w:val="1"/>
      <w:numFmt w:val="decimal"/>
      <w:lvlText w:val="%15.%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
    <w:nsid w:val="9E46C32E"/>
    <w:multiLevelType w:val="singleLevel"/>
    <w:tmpl w:val="9E46C32E"/>
    <w:lvl w:ilvl="0" w:tentative="0">
      <w:start w:val="1"/>
      <w:numFmt w:val="decimal"/>
      <w:lvlText w:val="%1)"/>
      <w:lvlJc w:val="left"/>
      <w:pPr>
        <w:ind w:left="425" w:hanging="425"/>
      </w:pPr>
      <w:rPr>
        <w:rFonts w:hint="default"/>
      </w:rPr>
    </w:lvl>
  </w:abstractNum>
  <w:abstractNum w:abstractNumId="6">
    <w:nsid w:val="B0C8D056"/>
    <w:multiLevelType w:val="multilevel"/>
    <w:tmpl w:val="B0C8D056"/>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7">
    <w:nsid w:val="B101DE90"/>
    <w:multiLevelType w:val="singleLevel"/>
    <w:tmpl w:val="B101DE90"/>
    <w:lvl w:ilvl="0" w:tentative="0">
      <w:start w:val="1"/>
      <w:numFmt w:val="bullet"/>
      <w:pStyle w:val="14"/>
      <w:lvlText w:val=""/>
      <w:lvlJc w:val="left"/>
      <w:pPr>
        <w:tabs>
          <w:tab w:val="left" w:pos="1620"/>
        </w:tabs>
        <w:ind w:left="1620" w:hanging="360"/>
      </w:pPr>
      <w:rPr>
        <w:rFonts w:hint="default" w:ascii="Wingdings" w:hAnsi="Wingdings"/>
      </w:rPr>
    </w:lvl>
  </w:abstractNum>
  <w:abstractNum w:abstractNumId="8">
    <w:nsid w:val="B319288F"/>
    <w:multiLevelType w:val="singleLevel"/>
    <w:tmpl w:val="B319288F"/>
    <w:lvl w:ilvl="0" w:tentative="0">
      <w:start w:val="1"/>
      <w:numFmt w:val="decimalEnclosedCircleChinese"/>
      <w:suff w:val="nothing"/>
      <w:lvlText w:val="%1　"/>
      <w:lvlJc w:val="left"/>
      <w:pPr>
        <w:ind w:left="0" w:firstLine="400"/>
      </w:pPr>
      <w:rPr>
        <w:rFonts w:hint="eastAsia"/>
      </w:rPr>
    </w:lvl>
  </w:abstractNum>
  <w:abstractNum w:abstractNumId="9">
    <w:nsid w:val="B41003A9"/>
    <w:multiLevelType w:val="multilevel"/>
    <w:tmpl w:val="B41003A9"/>
    <w:lvl w:ilvl="0" w:tentative="0">
      <w:start w:val="1"/>
      <w:numFmt w:val="none"/>
      <w:lvlText w:val="2"/>
      <w:lvlJc w:val="left"/>
      <w:pPr>
        <w:tabs>
          <w:tab w:val="left" w:pos="425"/>
        </w:tabs>
        <w:ind w:left="425" w:hanging="425"/>
      </w:pPr>
      <w:rPr>
        <w:rFonts w:hint="eastAsia"/>
      </w:rPr>
    </w:lvl>
    <w:lvl w:ilvl="1" w:tentative="0">
      <w:start w:val="1"/>
      <w:numFmt w:val="decimal"/>
      <w:lvlText w:val="%15.%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0">
    <w:nsid w:val="B728518F"/>
    <w:multiLevelType w:val="singleLevel"/>
    <w:tmpl w:val="B728518F"/>
    <w:lvl w:ilvl="0" w:tentative="0">
      <w:start w:val="1"/>
      <w:numFmt w:val="decimal"/>
      <w:lvlText w:val="%1."/>
      <w:lvlJc w:val="left"/>
      <w:pPr>
        <w:ind w:left="425" w:hanging="425"/>
      </w:pPr>
      <w:rPr>
        <w:rFonts w:hint="default" w:cs="Times New Roman"/>
      </w:rPr>
    </w:lvl>
  </w:abstractNum>
  <w:abstractNum w:abstractNumId="11">
    <w:nsid w:val="B98F8BE0"/>
    <w:multiLevelType w:val="multilevel"/>
    <w:tmpl w:val="B98F8BE0"/>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2">
    <w:nsid w:val="BE864F71"/>
    <w:multiLevelType w:val="singleLevel"/>
    <w:tmpl w:val="BE864F71"/>
    <w:lvl w:ilvl="0" w:tentative="0">
      <w:start w:val="1"/>
      <w:numFmt w:val="decimal"/>
      <w:lvlText w:val="%1."/>
      <w:lvlJc w:val="left"/>
      <w:pPr>
        <w:ind w:left="425" w:hanging="425"/>
      </w:pPr>
      <w:rPr>
        <w:rFonts w:hint="default"/>
      </w:rPr>
    </w:lvl>
  </w:abstractNum>
  <w:abstractNum w:abstractNumId="13">
    <w:nsid w:val="C7F702AA"/>
    <w:multiLevelType w:val="multilevel"/>
    <w:tmpl w:val="C7F702AA"/>
    <w:lvl w:ilvl="0" w:tentative="0">
      <w:start w:val="1"/>
      <w:numFmt w:val="none"/>
      <w:lvlText w:val="2"/>
      <w:lvlJc w:val="left"/>
      <w:pPr>
        <w:tabs>
          <w:tab w:val="left" w:pos="425"/>
        </w:tabs>
        <w:ind w:left="425" w:hanging="425"/>
      </w:pPr>
      <w:rPr>
        <w:rFonts w:hint="eastAsia"/>
      </w:rPr>
    </w:lvl>
    <w:lvl w:ilvl="1" w:tentative="0">
      <w:start w:val="1"/>
      <w:numFmt w:val="decimal"/>
      <w:lvlText w:val="%17.%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4">
    <w:nsid w:val="D1B5A987"/>
    <w:multiLevelType w:val="multilevel"/>
    <w:tmpl w:val="D1B5A987"/>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5">
    <w:nsid w:val="DC08EC6E"/>
    <w:multiLevelType w:val="multilevel"/>
    <w:tmpl w:val="DC08EC6E"/>
    <w:lvl w:ilvl="0" w:tentative="0">
      <w:start w:val="1"/>
      <w:numFmt w:val="none"/>
      <w:lvlText w:val="2"/>
      <w:lvlJc w:val="left"/>
      <w:pPr>
        <w:tabs>
          <w:tab w:val="left" w:pos="425"/>
        </w:tabs>
        <w:ind w:left="425" w:hanging="425"/>
      </w:pPr>
      <w:rPr>
        <w:rFonts w:hint="eastAsia"/>
      </w:rPr>
    </w:lvl>
    <w:lvl w:ilvl="1" w:tentative="0">
      <w:start w:val="1"/>
      <w:numFmt w:val="decimal"/>
      <w:lvlText w:val="%16.%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6">
    <w:nsid w:val="EC545A32"/>
    <w:multiLevelType w:val="multilevel"/>
    <w:tmpl w:val="EC545A32"/>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7">
    <w:nsid w:val="FAE3CB9E"/>
    <w:multiLevelType w:val="singleLevel"/>
    <w:tmpl w:val="FAE3CB9E"/>
    <w:lvl w:ilvl="0" w:tentative="0">
      <w:start w:val="1"/>
      <w:numFmt w:val="decimal"/>
      <w:lvlText w:val="%1."/>
      <w:lvlJc w:val="left"/>
      <w:pPr>
        <w:ind w:left="425" w:hanging="425"/>
      </w:pPr>
      <w:rPr>
        <w:rFonts w:hint="default"/>
      </w:rPr>
    </w:lvl>
  </w:abstractNum>
  <w:abstractNum w:abstractNumId="18">
    <w:nsid w:val="00000002"/>
    <w:multiLevelType w:val="multilevel"/>
    <w:tmpl w:val="00000002"/>
    <w:lvl w:ilvl="0" w:tentative="0">
      <w:start w:val="1"/>
      <w:numFmt w:val="decimal"/>
      <w:lvlText w:val="（%1）"/>
      <w:lvlJc w:val="left"/>
      <w:pPr>
        <w:tabs>
          <w:tab w:val="left" w:pos="420"/>
        </w:tabs>
        <w:ind w:left="420" w:hanging="420"/>
      </w:pPr>
      <w:rPr>
        <w:rFonts w:hint="eastAsia" w:ascii="楷体_GB2312" w:hAnsi="Times New Roman" w:eastAsia="楷体_GB2312"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0000000B"/>
    <w:multiLevelType w:val="multilevel"/>
    <w:tmpl w:val="0000000B"/>
    <w:lvl w:ilvl="0" w:tentative="0">
      <w:start w:val="1"/>
      <w:numFmt w:val="decimal"/>
      <w:lvlText w:val="%1)"/>
      <w:lvlJc w:val="left"/>
      <w:pPr>
        <w:tabs>
          <w:tab w:val="left" w:pos="860"/>
        </w:tabs>
        <w:ind w:left="860" w:hanging="420"/>
      </w:pPr>
    </w:lvl>
    <w:lvl w:ilvl="1" w:tentative="0">
      <w:start w:val="1"/>
      <w:numFmt w:val="lowerLetter"/>
      <w:lvlText w:val="%2)"/>
      <w:lvlJc w:val="left"/>
      <w:pPr>
        <w:tabs>
          <w:tab w:val="left" w:pos="1280"/>
        </w:tabs>
        <w:ind w:left="1280" w:hanging="420"/>
      </w:pPr>
    </w:lvl>
    <w:lvl w:ilvl="2" w:tentative="0">
      <w:start w:val="1"/>
      <w:numFmt w:val="lowerRoman"/>
      <w:lvlText w:val="%3."/>
      <w:lvlJc w:val="right"/>
      <w:pPr>
        <w:tabs>
          <w:tab w:val="left" w:pos="1700"/>
        </w:tabs>
        <w:ind w:left="1700" w:hanging="420"/>
      </w:pPr>
    </w:lvl>
    <w:lvl w:ilvl="3" w:tentative="0">
      <w:start w:val="1"/>
      <w:numFmt w:val="decimal"/>
      <w:lvlText w:val="%4."/>
      <w:lvlJc w:val="left"/>
      <w:pPr>
        <w:tabs>
          <w:tab w:val="left" w:pos="2120"/>
        </w:tabs>
        <w:ind w:left="2120" w:hanging="420"/>
      </w:pPr>
    </w:lvl>
    <w:lvl w:ilvl="4" w:tentative="0">
      <w:start w:val="1"/>
      <w:numFmt w:val="lowerLetter"/>
      <w:lvlText w:val="%5)"/>
      <w:lvlJc w:val="left"/>
      <w:pPr>
        <w:tabs>
          <w:tab w:val="left" w:pos="2540"/>
        </w:tabs>
        <w:ind w:left="2540" w:hanging="420"/>
      </w:pPr>
    </w:lvl>
    <w:lvl w:ilvl="5" w:tentative="0">
      <w:start w:val="1"/>
      <w:numFmt w:val="lowerRoman"/>
      <w:lvlText w:val="%6."/>
      <w:lvlJc w:val="right"/>
      <w:pPr>
        <w:tabs>
          <w:tab w:val="left" w:pos="2960"/>
        </w:tabs>
        <w:ind w:left="2960" w:hanging="420"/>
      </w:pPr>
    </w:lvl>
    <w:lvl w:ilvl="6" w:tentative="0">
      <w:start w:val="1"/>
      <w:numFmt w:val="decimal"/>
      <w:lvlText w:val="%7."/>
      <w:lvlJc w:val="left"/>
      <w:pPr>
        <w:tabs>
          <w:tab w:val="left" w:pos="3380"/>
        </w:tabs>
        <w:ind w:left="3380" w:hanging="420"/>
      </w:pPr>
    </w:lvl>
    <w:lvl w:ilvl="7" w:tentative="0">
      <w:start w:val="1"/>
      <w:numFmt w:val="lowerLetter"/>
      <w:lvlText w:val="%8)"/>
      <w:lvlJc w:val="left"/>
      <w:pPr>
        <w:tabs>
          <w:tab w:val="left" w:pos="3800"/>
        </w:tabs>
        <w:ind w:left="3800" w:hanging="420"/>
      </w:pPr>
    </w:lvl>
    <w:lvl w:ilvl="8" w:tentative="0">
      <w:start w:val="1"/>
      <w:numFmt w:val="lowerRoman"/>
      <w:lvlText w:val="%9."/>
      <w:lvlJc w:val="right"/>
      <w:pPr>
        <w:tabs>
          <w:tab w:val="left" w:pos="4220"/>
        </w:tabs>
        <w:ind w:left="4220" w:hanging="420"/>
      </w:pPr>
    </w:lvl>
  </w:abstractNum>
  <w:abstractNum w:abstractNumId="20">
    <w:nsid w:val="00000031"/>
    <w:multiLevelType w:val="multilevel"/>
    <w:tmpl w:val="00000031"/>
    <w:lvl w:ilvl="0" w:tentative="0">
      <w:start w:val="1"/>
      <w:numFmt w:val="decimal"/>
      <w:lvlText w:val="（%1）"/>
      <w:lvlJc w:val="left"/>
      <w:pPr>
        <w:tabs>
          <w:tab w:val="left" w:pos="420"/>
        </w:tabs>
        <w:ind w:left="420" w:hanging="420"/>
      </w:pPr>
      <w:rPr>
        <w:rFonts w:hint="eastAsia" w:ascii="楷体_GB2312" w:eastAsia="楷体_GB2312"/>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b w:val="0"/>
        <w:i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007F1F61"/>
    <w:multiLevelType w:val="multilevel"/>
    <w:tmpl w:val="007F1F61"/>
    <w:lvl w:ilvl="0" w:tentative="0">
      <w:start w:val="1"/>
      <w:numFmt w:val="none"/>
      <w:lvlText w:val="2"/>
      <w:lvlJc w:val="left"/>
      <w:pPr>
        <w:tabs>
          <w:tab w:val="left" w:pos="425"/>
        </w:tabs>
        <w:ind w:left="425" w:hanging="425"/>
      </w:pPr>
      <w:rPr>
        <w:rFonts w:hint="eastAsia"/>
      </w:rPr>
    </w:lvl>
    <w:lvl w:ilvl="1" w:tentative="0">
      <w:start w:val="1"/>
      <w:numFmt w:val="decimal"/>
      <w:lvlText w:val="%14.%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2">
    <w:nsid w:val="0585F458"/>
    <w:multiLevelType w:val="multilevel"/>
    <w:tmpl w:val="0585F458"/>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23">
    <w:nsid w:val="0D1875C4"/>
    <w:multiLevelType w:val="multilevel"/>
    <w:tmpl w:val="0D1875C4"/>
    <w:lvl w:ilvl="0" w:tentative="0">
      <w:start w:val="1"/>
      <w:numFmt w:val="decimalEnclosedCircleChinese"/>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decimalEnclosedCircleChinese"/>
      <w:lvlText w:val="%3　"/>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0E631A2B"/>
    <w:multiLevelType w:val="multilevel"/>
    <w:tmpl w:val="0E631A2B"/>
    <w:lvl w:ilvl="0" w:tentative="0">
      <w:start w:val="1"/>
      <w:numFmt w:val="decimal"/>
      <w:lvlText w:val="%1."/>
      <w:lvlJc w:val="left"/>
      <w:pPr>
        <w:tabs>
          <w:tab w:val="left" w:pos="420"/>
        </w:tabs>
        <w:ind w:left="420" w:hanging="420"/>
      </w:pPr>
      <w:rPr>
        <w:rFonts w:hint="eastAsia" w:ascii="楷体_GB2312" w:hAnsi="Times New Roman" w:eastAsia="楷体_GB2312" w:cs="Times New Roman"/>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25">
    <w:nsid w:val="1808B767"/>
    <w:multiLevelType w:val="multilevel"/>
    <w:tmpl w:val="1808B767"/>
    <w:lvl w:ilvl="0" w:tentative="0">
      <w:start w:val="1"/>
      <w:numFmt w:val="none"/>
      <w:lvlText w:val="2"/>
      <w:lvlJc w:val="left"/>
      <w:pPr>
        <w:tabs>
          <w:tab w:val="left" w:pos="425"/>
        </w:tabs>
        <w:ind w:left="425" w:hanging="425"/>
      </w:pPr>
      <w:rPr>
        <w:rFonts w:hint="eastAsia"/>
      </w:rPr>
    </w:lvl>
    <w:lvl w:ilvl="1" w:tentative="0">
      <w:start w:val="1"/>
      <w:numFmt w:val="decimal"/>
      <w:lvlText w:val="%11.%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6">
    <w:nsid w:val="18C1EDA2"/>
    <w:multiLevelType w:val="multilevel"/>
    <w:tmpl w:val="18C1EDA2"/>
    <w:lvl w:ilvl="0" w:tentative="0">
      <w:start w:val="1"/>
      <w:numFmt w:val="none"/>
      <w:lvlText w:val="2"/>
      <w:lvlJc w:val="left"/>
      <w:pPr>
        <w:tabs>
          <w:tab w:val="left" w:pos="425"/>
        </w:tabs>
        <w:ind w:left="425" w:hanging="425"/>
      </w:pPr>
      <w:rPr>
        <w:rFonts w:hint="eastAsia"/>
      </w:rPr>
    </w:lvl>
    <w:lvl w:ilvl="1" w:tentative="0">
      <w:start w:val="1"/>
      <w:numFmt w:val="decimal"/>
      <w:lvlText w:val="%14.%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7">
    <w:nsid w:val="1BB17AEA"/>
    <w:multiLevelType w:val="singleLevel"/>
    <w:tmpl w:val="1BB17AEA"/>
    <w:lvl w:ilvl="0" w:tentative="0">
      <w:start w:val="1"/>
      <w:numFmt w:val="chineseCounting"/>
      <w:suff w:val="nothing"/>
      <w:lvlText w:val="（%1）"/>
      <w:lvlJc w:val="left"/>
      <w:rPr>
        <w:rFonts w:hint="eastAsia"/>
      </w:rPr>
    </w:lvl>
  </w:abstractNum>
  <w:abstractNum w:abstractNumId="28">
    <w:nsid w:val="1C337121"/>
    <w:multiLevelType w:val="multilevel"/>
    <w:tmpl w:val="1C337121"/>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9">
    <w:nsid w:val="1DE6CA46"/>
    <w:multiLevelType w:val="multilevel"/>
    <w:tmpl w:val="1DE6CA46"/>
    <w:lvl w:ilvl="0" w:tentative="0">
      <w:start w:val="1"/>
      <w:numFmt w:val="none"/>
      <w:lvlText w:val="2"/>
      <w:lvlJc w:val="left"/>
      <w:pPr>
        <w:tabs>
          <w:tab w:val="left" w:pos="425"/>
        </w:tabs>
        <w:ind w:left="425" w:hanging="425"/>
      </w:pPr>
      <w:rPr>
        <w:rFonts w:hint="eastAsia"/>
      </w:rPr>
    </w:lvl>
    <w:lvl w:ilvl="1" w:tentative="0">
      <w:start w:val="1"/>
      <w:numFmt w:val="decimal"/>
      <w:lvlText w:val="%16.%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0">
    <w:nsid w:val="1E507798"/>
    <w:multiLevelType w:val="multilevel"/>
    <w:tmpl w:val="1E507798"/>
    <w:lvl w:ilvl="0" w:tentative="0">
      <w:start w:val="1"/>
      <w:numFmt w:val="none"/>
      <w:lvlText w:val="2"/>
      <w:lvlJc w:val="left"/>
      <w:pPr>
        <w:tabs>
          <w:tab w:val="left" w:pos="425"/>
        </w:tabs>
        <w:ind w:left="425" w:hanging="425"/>
      </w:pPr>
      <w:rPr>
        <w:rFonts w:hint="eastAsia"/>
      </w:rPr>
    </w:lvl>
    <w:lvl w:ilvl="1" w:tentative="0">
      <w:start w:val="1"/>
      <w:numFmt w:val="decimal"/>
      <w:lvlText w:val="%14.%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1">
    <w:nsid w:val="1E5719E2"/>
    <w:multiLevelType w:val="multilevel"/>
    <w:tmpl w:val="1E5719E2"/>
    <w:lvl w:ilvl="0" w:tentative="0">
      <w:start w:val="1"/>
      <w:numFmt w:val="decimal"/>
      <w:lvlText w:val="%1."/>
      <w:lvlJc w:val="left"/>
      <w:pPr>
        <w:tabs>
          <w:tab w:val="left" w:pos="420"/>
        </w:tabs>
        <w:ind w:left="420" w:hanging="420"/>
      </w:pPr>
      <w:rPr>
        <w:rFonts w:hint="eastAsia" w:ascii="楷体_GB2312" w:hAnsi="Arial" w:eastAsia="楷体_GB2312" w:cs="Arial"/>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2">
    <w:nsid w:val="1FBAA356"/>
    <w:multiLevelType w:val="multilevel"/>
    <w:tmpl w:val="1FBAA356"/>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3">
    <w:nsid w:val="2434239E"/>
    <w:multiLevelType w:val="multilevel"/>
    <w:tmpl w:val="2434239E"/>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4">
    <w:nsid w:val="270C2544"/>
    <w:multiLevelType w:val="multilevel"/>
    <w:tmpl w:val="270C2544"/>
    <w:lvl w:ilvl="0" w:tentative="0">
      <w:start w:val="1"/>
      <w:numFmt w:val="decimalEnclosedCircleChinese"/>
      <w:lvlText w:val="%1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27D639A9"/>
    <w:multiLevelType w:val="multilevel"/>
    <w:tmpl w:val="27D639A9"/>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6">
    <w:nsid w:val="283A0536"/>
    <w:multiLevelType w:val="multilevel"/>
    <w:tmpl w:val="283A0536"/>
    <w:lvl w:ilvl="0" w:tentative="0">
      <w:start w:val="1"/>
      <w:numFmt w:val="none"/>
      <w:lvlText w:val="2"/>
      <w:lvlJc w:val="left"/>
      <w:pPr>
        <w:tabs>
          <w:tab w:val="left" w:pos="425"/>
        </w:tabs>
        <w:ind w:left="425" w:hanging="425"/>
      </w:pPr>
      <w:rPr>
        <w:rFonts w:hint="eastAsia"/>
      </w:rPr>
    </w:lvl>
    <w:lvl w:ilvl="1" w:tentative="0">
      <w:start w:val="1"/>
      <w:numFmt w:val="decimal"/>
      <w:lvlText w:val="%16.%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7">
    <w:nsid w:val="2B127F5B"/>
    <w:multiLevelType w:val="multilevel"/>
    <w:tmpl w:val="2B127F5B"/>
    <w:lvl w:ilvl="0" w:tentative="0">
      <w:start w:val="1"/>
      <w:numFmt w:val="decimal"/>
      <w:lvlText w:val="%1)"/>
      <w:lvlJc w:val="left"/>
      <w:pPr>
        <w:ind w:left="862" w:hanging="420"/>
      </w:p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abstractNum w:abstractNumId="38">
    <w:nsid w:val="2CFDCB7F"/>
    <w:multiLevelType w:val="multilevel"/>
    <w:tmpl w:val="2CFDCB7F"/>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39">
    <w:nsid w:val="37E9328B"/>
    <w:multiLevelType w:val="multilevel"/>
    <w:tmpl w:val="37E9328B"/>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0">
    <w:nsid w:val="3CC351E3"/>
    <w:multiLevelType w:val="multilevel"/>
    <w:tmpl w:val="3CC351E3"/>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41">
    <w:nsid w:val="3DDE87C6"/>
    <w:multiLevelType w:val="multilevel"/>
    <w:tmpl w:val="3DDE87C6"/>
    <w:lvl w:ilvl="0" w:tentative="0">
      <w:start w:val="1"/>
      <w:numFmt w:val="none"/>
      <w:lvlText w:val="2"/>
      <w:lvlJc w:val="left"/>
      <w:pPr>
        <w:tabs>
          <w:tab w:val="left" w:pos="425"/>
        </w:tabs>
        <w:ind w:left="425" w:hanging="425"/>
      </w:pPr>
      <w:rPr>
        <w:rFonts w:hint="eastAsia"/>
      </w:rPr>
    </w:lvl>
    <w:lvl w:ilvl="1" w:tentative="0">
      <w:start w:val="1"/>
      <w:numFmt w:val="decimal"/>
      <w:lvlText w:val="%11.%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2">
    <w:nsid w:val="3F31A2EA"/>
    <w:multiLevelType w:val="singleLevel"/>
    <w:tmpl w:val="3F31A2EA"/>
    <w:lvl w:ilvl="0" w:tentative="0">
      <w:start w:val="1"/>
      <w:numFmt w:val="decimal"/>
      <w:lvlText w:val="%1."/>
      <w:lvlJc w:val="left"/>
      <w:pPr>
        <w:ind w:left="425" w:hanging="425"/>
      </w:pPr>
      <w:rPr>
        <w:rFonts w:hint="default"/>
      </w:rPr>
    </w:lvl>
  </w:abstractNum>
  <w:abstractNum w:abstractNumId="43">
    <w:nsid w:val="422FDF99"/>
    <w:multiLevelType w:val="singleLevel"/>
    <w:tmpl w:val="422FDF99"/>
    <w:lvl w:ilvl="0" w:tentative="0">
      <w:start w:val="1"/>
      <w:numFmt w:val="decimalEnclosedCircleChinese"/>
      <w:suff w:val="nothing"/>
      <w:lvlText w:val="%1　"/>
      <w:lvlJc w:val="left"/>
      <w:pPr>
        <w:ind w:firstLine="400"/>
      </w:pPr>
      <w:rPr>
        <w:rFonts w:hint="eastAsia" w:cs="Times New Roman"/>
      </w:rPr>
    </w:lvl>
  </w:abstractNum>
  <w:abstractNum w:abstractNumId="44">
    <w:nsid w:val="44A246E4"/>
    <w:multiLevelType w:val="multilevel"/>
    <w:tmpl w:val="44A246E4"/>
    <w:lvl w:ilvl="0" w:tentative="0">
      <w:start w:val="1"/>
      <w:numFmt w:val="none"/>
      <w:lvlText w:val="2"/>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5">
    <w:nsid w:val="45DC5E2A"/>
    <w:multiLevelType w:val="multilevel"/>
    <w:tmpl w:val="45DC5E2A"/>
    <w:lvl w:ilvl="0" w:tentative="0">
      <w:start w:val="1"/>
      <w:numFmt w:val="decimal"/>
      <w:lvlText w:val="%1."/>
      <w:lvlJc w:val="left"/>
      <w:pPr>
        <w:ind w:left="805" w:hanging="420"/>
      </w:pPr>
    </w:lvl>
    <w:lvl w:ilvl="1" w:tentative="0">
      <w:start w:val="1"/>
      <w:numFmt w:val="lowerLetter"/>
      <w:lvlText w:val="%2)"/>
      <w:lvlJc w:val="left"/>
      <w:pPr>
        <w:ind w:left="1225" w:hanging="420"/>
      </w:pPr>
    </w:lvl>
    <w:lvl w:ilvl="2" w:tentative="0">
      <w:start w:val="1"/>
      <w:numFmt w:val="lowerRoman"/>
      <w:lvlText w:val="%3."/>
      <w:lvlJc w:val="right"/>
      <w:pPr>
        <w:ind w:left="1645" w:hanging="420"/>
      </w:pPr>
    </w:lvl>
    <w:lvl w:ilvl="3" w:tentative="0">
      <w:start w:val="1"/>
      <w:numFmt w:val="decimal"/>
      <w:lvlText w:val="%4."/>
      <w:lvlJc w:val="left"/>
      <w:pPr>
        <w:ind w:left="2065" w:hanging="420"/>
      </w:pPr>
    </w:lvl>
    <w:lvl w:ilvl="4" w:tentative="0">
      <w:start w:val="1"/>
      <w:numFmt w:val="lowerLetter"/>
      <w:lvlText w:val="%5)"/>
      <w:lvlJc w:val="left"/>
      <w:pPr>
        <w:ind w:left="2485" w:hanging="420"/>
      </w:pPr>
    </w:lvl>
    <w:lvl w:ilvl="5" w:tentative="0">
      <w:start w:val="1"/>
      <w:numFmt w:val="lowerRoman"/>
      <w:lvlText w:val="%6."/>
      <w:lvlJc w:val="right"/>
      <w:pPr>
        <w:ind w:left="2905" w:hanging="420"/>
      </w:pPr>
    </w:lvl>
    <w:lvl w:ilvl="6" w:tentative="0">
      <w:start w:val="1"/>
      <w:numFmt w:val="decimal"/>
      <w:lvlText w:val="%7."/>
      <w:lvlJc w:val="left"/>
      <w:pPr>
        <w:ind w:left="3325" w:hanging="420"/>
      </w:pPr>
    </w:lvl>
    <w:lvl w:ilvl="7" w:tentative="0">
      <w:start w:val="1"/>
      <w:numFmt w:val="lowerLetter"/>
      <w:lvlText w:val="%8)"/>
      <w:lvlJc w:val="left"/>
      <w:pPr>
        <w:ind w:left="3745" w:hanging="420"/>
      </w:pPr>
    </w:lvl>
    <w:lvl w:ilvl="8" w:tentative="0">
      <w:start w:val="1"/>
      <w:numFmt w:val="lowerRoman"/>
      <w:lvlText w:val="%9."/>
      <w:lvlJc w:val="right"/>
      <w:pPr>
        <w:ind w:left="4165" w:hanging="420"/>
      </w:pPr>
    </w:lvl>
  </w:abstractNum>
  <w:abstractNum w:abstractNumId="46">
    <w:nsid w:val="4B8E5DBA"/>
    <w:multiLevelType w:val="multilevel"/>
    <w:tmpl w:val="4B8E5DBA"/>
    <w:lvl w:ilvl="0" w:tentative="0">
      <w:start w:val="1"/>
      <w:numFmt w:val="chineseCountingThousand"/>
      <w:lvlText w:val="(%1)"/>
      <w:lvlJc w:val="left"/>
      <w:pPr>
        <w:ind w:left="420" w:hanging="420"/>
      </w:pPr>
    </w:lvl>
    <w:lvl w:ilvl="1" w:tentative="0">
      <w:start w:val="1"/>
      <w:numFmt w:val="chineseCountingThousand"/>
      <w:lvlText w:val="(%2)"/>
      <w:lvlJc w:val="left"/>
      <w:pPr>
        <w:ind w:left="272" w:firstLine="148"/>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49DB4B5"/>
    <w:multiLevelType w:val="multilevel"/>
    <w:tmpl w:val="549DB4B5"/>
    <w:lvl w:ilvl="0" w:tentative="0">
      <w:start w:val="1"/>
      <w:numFmt w:val="none"/>
      <w:lvlText w:val="2"/>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48">
    <w:nsid w:val="54F403B5"/>
    <w:multiLevelType w:val="singleLevel"/>
    <w:tmpl w:val="54F403B5"/>
    <w:lvl w:ilvl="0" w:tentative="0">
      <w:start w:val="1"/>
      <w:numFmt w:val="chineseCounting"/>
      <w:suff w:val="nothing"/>
      <w:lvlText w:val="%1、"/>
      <w:lvlJc w:val="left"/>
      <w:pPr>
        <w:ind w:left="0" w:firstLine="0"/>
      </w:pPr>
    </w:lvl>
  </w:abstractNum>
  <w:abstractNum w:abstractNumId="49">
    <w:nsid w:val="557FD3DA"/>
    <w:multiLevelType w:val="singleLevel"/>
    <w:tmpl w:val="557FD3DA"/>
    <w:lvl w:ilvl="0" w:tentative="0">
      <w:start w:val="3"/>
      <w:numFmt w:val="chineseCounting"/>
      <w:suff w:val="nothing"/>
      <w:lvlText w:val="%1、"/>
      <w:lvlJc w:val="left"/>
      <w:pPr>
        <w:ind w:left="0" w:firstLine="0"/>
      </w:pPr>
    </w:lvl>
  </w:abstractNum>
  <w:abstractNum w:abstractNumId="50">
    <w:nsid w:val="572A8CE4"/>
    <w:multiLevelType w:val="multilevel"/>
    <w:tmpl w:val="572A8CE4"/>
    <w:lvl w:ilvl="0" w:tentative="0">
      <w:start w:val="1"/>
      <w:numFmt w:val="none"/>
      <w:lvlText w:val="2"/>
      <w:lvlJc w:val="left"/>
      <w:pPr>
        <w:tabs>
          <w:tab w:val="left" w:pos="425"/>
        </w:tabs>
        <w:ind w:left="425" w:hanging="425"/>
      </w:pPr>
      <w:rPr>
        <w:rFonts w:hint="eastAsia"/>
      </w:rPr>
    </w:lvl>
    <w:lvl w:ilvl="1" w:tentative="0">
      <w:start w:val="1"/>
      <w:numFmt w:val="decimal"/>
      <w:lvlText w:val="%19.%2"/>
      <w:lvlJc w:val="left"/>
      <w:pPr>
        <w:tabs>
          <w:tab w:val="left" w:pos="992"/>
        </w:tabs>
        <w:ind w:left="992" w:hanging="567"/>
      </w:pPr>
      <w:rPr>
        <w:rFonts w:hint="default" w:ascii="宋体" w:hAnsi="宋体" w:eastAsia="宋体" w:cs="宋体"/>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51">
    <w:nsid w:val="65832174"/>
    <w:multiLevelType w:val="multilevel"/>
    <w:tmpl w:val="65832174"/>
    <w:lvl w:ilvl="0" w:tentative="0">
      <w:start w:val="1"/>
      <w:numFmt w:val="decimal"/>
      <w:lvlText w:val="%1)"/>
      <w:lvlJc w:val="left"/>
      <w:pPr>
        <w:ind w:left="530" w:hanging="420"/>
      </w:pPr>
    </w:lvl>
    <w:lvl w:ilvl="1" w:tentative="0">
      <w:start w:val="1"/>
      <w:numFmt w:val="lowerLetter"/>
      <w:lvlText w:val="%2)"/>
      <w:lvlJc w:val="left"/>
      <w:pPr>
        <w:ind w:left="950" w:hanging="420"/>
      </w:pPr>
    </w:lvl>
    <w:lvl w:ilvl="2" w:tentative="0">
      <w:start w:val="1"/>
      <w:numFmt w:val="lowerRoman"/>
      <w:lvlText w:val="%3."/>
      <w:lvlJc w:val="right"/>
      <w:pPr>
        <w:ind w:left="1370" w:hanging="420"/>
      </w:pPr>
    </w:lvl>
    <w:lvl w:ilvl="3" w:tentative="0">
      <w:start w:val="1"/>
      <w:numFmt w:val="decimal"/>
      <w:lvlText w:val="%4."/>
      <w:lvlJc w:val="left"/>
      <w:pPr>
        <w:ind w:left="1790" w:hanging="420"/>
      </w:pPr>
    </w:lvl>
    <w:lvl w:ilvl="4" w:tentative="0">
      <w:start w:val="1"/>
      <w:numFmt w:val="lowerLetter"/>
      <w:lvlText w:val="%5)"/>
      <w:lvlJc w:val="left"/>
      <w:pPr>
        <w:ind w:left="2210" w:hanging="420"/>
      </w:pPr>
    </w:lvl>
    <w:lvl w:ilvl="5" w:tentative="0">
      <w:start w:val="1"/>
      <w:numFmt w:val="lowerRoman"/>
      <w:lvlText w:val="%6."/>
      <w:lvlJc w:val="right"/>
      <w:pPr>
        <w:ind w:left="2630" w:hanging="420"/>
      </w:pPr>
    </w:lvl>
    <w:lvl w:ilvl="6" w:tentative="0">
      <w:start w:val="1"/>
      <w:numFmt w:val="decimal"/>
      <w:lvlText w:val="%7."/>
      <w:lvlJc w:val="left"/>
      <w:pPr>
        <w:ind w:left="3050" w:hanging="420"/>
      </w:pPr>
    </w:lvl>
    <w:lvl w:ilvl="7" w:tentative="0">
      <w:start w:val="1"/>
      <w:numFmt w:val="lowerLetter"/>
      <w:lvlText w:val="%8)"/>
      <w:lvlJc w:val="left"/>
      <w:pPr>
        <w:ind w:left="3470" w:hanging="420"/>
      </w:pPr>
    </w:lvl>
    <w:lvl w:ilvl="8" w:tentative="0">
      <w:start w:val="1"/>
      <w:numFmt w:val="lowerRoman"/>
      <w:lvlText w:val="%9."/>
      <w:lvlJc w:val="right"/>
      <w:pPr>
        <w:ind w:left="3890" w:hanging="420"/>
      </w:pPr>
    </w:lvl>
  </w:abstractNum>
  <w:abstractNum w:abstractNumId="52">
    <w:nsid w:val="674716E4"/>
    <w:multiLevelType w:val="singleLevel"/>
    <w:tmpl w:val="674716E4"/>
    <w:lvl w:ilvl="0" w:tentative="0">
      <w:start w:val="1"/>
      <w:numFmt w:val="decimalEnclosedCircleChinese"/>
      <w:suff w:val="nothing"/>
      <w:lvlText w:val="%1　"/>
      <w:lvlJc w:val="left"/>
      <w:pPr>
        <w:ind w:firstLine="400"/>
      </w:pPr>
      <w:rPr>
        <w:rFonts w:hint="eastAsia" w:cs="Times New Roman"/>
      </w:rPr>
    </w:lvl>
  </w:abstractNum>
  <w:abstractNum w:abstractNumId="53">
    <w:nsid w:val="7B9B3A13"/>
    <w:multiLevelType w:val="singleLevel"/>
    <w:tmpl w:val="7B9B3A13"/>
    <w:lvl w:ilvl="0" w:tentative="0">
      <w:start w:val="1"/>
      <w:numFmt w:val="decimalEnclosedCircleChinese"/>
      <w:lvlText w:val="%1　"/>
      <w:lvlJc w:val="left"/>
      <w:pPr>
        <w:ind w:left="420" w:hanging="420"/>
      </w:pPr>
      <w:rPr>
        <w:rFonts w:hint="eastAsia"/>
      </w:rPr>
    </w:lvl>
  </w:abstractNum>
  <w:num w:numId="1">
    <w:abstractNumId w:val="7"/>
  </w:num>
  <w:num w:numId="2">
    <w:abstractNumId w:val="10"/>
  </w:num>
  <w:num w:numId="3">
    <w:abstractNumId w:val="42"/>
  </w:num>
  <w:num w:numId="4">
    <w:abstractNumId w:val="5"/>
  </w:num>
  <w:num w:numId="5">
    <w:abstractNumId w:val="33"/>
  </w:num>
  <w:num w:numId="6">
    <w:abstractNumId w:val="29"/>
  </w:num>
  <w:num w:numId="7">
    <w:abstractNumId w:val="31"/>
  </w:num>
  <w:num w:numId="8">
    <w:abstractNumId w:val="32"/>
  </w:num>
  <w:num w:numId="9">
    <w:abstractNumId w:val="1"/>
  </w:num>
  <w:num w:numId="10">
    <w:abstractNumId w:val="24"/>
  </w:num>
  <w:num w:numId="11">
    <w:abstractNumId w:val="53"/>
  </w:num>
  <w:num w:numId="12">
    <w:abstractNumId w:val="8"/>
  </w:num>
  <w:num w:numId="13">
    <w:abstractNumId w:val="39"/>
  </w:num>
  <w:num w:numId="14">
    <w:abstractNumId w:val="21"/>
  </w:num>
  <w:num w:numId="15">
    <w:abstractNumId w:val="4"/>
  </w:num>
  <w:num w:numId="16">
    <w:abstractNumId w:val="15"/>
  </w:num>
  <w:num w:numId="17">
    <w:abstractNumId w:val="13"/>
  </w:num>
  <w:num w:numId="18">
    <w:abstractNumId w:val="20"/>
  </w:num>
  <w:num w:numId="19">
    <w:abstractNumId w:val="50"/>
  </w:num>
  <w:num w:numId="20">
    <w:abstractNumId w:val="40"/>
  </w:num>
  <w:num w:numId="21">
    <w:abstractNumId w:val="25"/>
  </w:num>
  <w:num w:numId="22">
    <w:abstractNumId w:val="52"/>
  </w:num>
  <w:num w:numId="23">
    <w:abstractNumId w:val="43"/>
  </w:num>
  <w:num w:numId="24">
    <w:abstractNumId w:val="44"/>
  </w:num>
  <w:num w:numId="25">
    <w:abstractNumId w:val="14"/>
  </w:num>
  <w:num w:numId="26">
    <w:abstractNumId w:val="30"/>
  </w:num>
  <w:num w:numId="27">
    <w:abstractNumId w:val="6"/>
  </w:num>
  <w:num w:numId="28">
    <w:abstractNumId w:val="11"/>
  </w:num>
  <w:num w:numId="29">
    <w:abstractNumId w:val="35"/>
  </w:num>
  <w:num w:numId="30">
    <w:abstractNumId w:val="51"/>
  </w:num>
  <w:num w:numId="31">
    <w:abstractNumId w:val="38"/>
  </w:num>
  <w:num w:numId="32">
    <w:abstractNumId w:val="47"/>
  </w:num>
  <w:num w:numId="33">
    <w:abstractNumId w:val="34"/>
  </w:num>
  <w:num w:numId="34">
    <w:abstractNumId w:val="26"/>
  </w:num>
  <w:num w:numId="35">
    <w:abstractNumId w:val="18"/>
  </w:num>
  <w:num w:numId="36">
    <w:abstractNumId w:val="37"/>
  </w:num>
  <w:num w:numId="37">
    <w:abstractNumId w:val="9"/>
  </w:num>
  <w:num w:numId="38">
    <w:abstractNumId w:val="36"/>
  </w:num>
  <w:num w:numId="39">
    <w:abstractNumId w:val="2"/>
  </w:num>
  <w:num w:numId="40">
    <w:abstractNumId w:val="0"/>
  </w:num>
  <w:num w:numId="41">
    <w:abstractNumId w:val="23"/>
  </w:num>
  <w:num w:numId="42">
    <w:abstractNumId w:val="16"/>
  </w:num>
  <w:num w:numId="43">
    <w:abstractNumId w:val="41"/>
  </w:num>
  <w:num w:numId="44">
    <w:abstractNumId w:val="28"/>
  </w:num>
  <w:num w:numId="45">
    <w:abstractNumId w:val="22"/>
  </w:num>
  <w:num w:numId="46">
    <w:abstractNumId w:val="3"/>
  </w:num>
  <w:num w:numId="47">
    <w:abstractNumId w:val="17"/>
  </w:num>
  <w:num w:numId="48">
    <w:abstractNumId w:val="27"/>
  </w:num>
  <w:num w:numId="49">
    <w:abstractNumId w:val="19"/>
  </w:num>
  <w:num w:numId="50">
    <w:abstractNumId w:val="45"/>
  </w:num>
  <w:num w:numId="51">
    <w:abstractNumId w:val="46"/>
  </w:num>
  <w:num w:numId="52">
    <w:abstractNumId w:val="12"/>
  </w:num>
  <w:num w:numId="53">
    <w:abstractNumId w:val="48"/>
  </w:num>
  <w:num w:numId="54">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bordersDoNotSurroundHeader w:val="0"/>
  <w:bordersDoNotSurroundFooter w:val="0"/>
  <w:hideSpellingErrors/>
  <w:trackRevisions w:val="1"/>
  <w:documentProtection w:enforcement="0"/>
  <w:defaultTabStop w:val="420"/>
  <w:drawingGridHorizontalSpacing w:val="105"/>
  <w:drawingGridVerticalSpacing w:val="38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iZjcyM2E1ODVkZmI0ZjYzYjYwNTRmYzY0YTcxYjIifQ=="/>
  </w:docVars>
  <w:rsids>
    <w:rsidRoot w:val="00C0263E"/>
    <w:rsid w:val="000009F5"/>
    <w:rsid w:val="0000118C"/>
    <w:rsid w:val="00001380"/>
    <w:rsid w:val="00002CB1"/>
    <w:rsid w:val="0000340D"/>
    <w:rsid w:val="00003A66"/>
    <w:rsid w:val="000053C0"/>
    <w:rsid w:val="000066EF"/>
    <w:rsid w:val="00007C55"/>
    <w:rsid w:val="00007D33"/>
    <w:rsid w:val="00011067"/>
    <w:rsid w:val="000115A8"/>
    <w:rsid w:val="00014395"/>
    <w:rsid w:val="00014590"/>
    <w:rsid w:val="00014C8E"/>
    <w:rsid w:val="00015251"/>
    <w:rsid w:val="000157E0"/>
    <w:rsid w:val="0001618C"/>
    <w:rsid w:val="00016208"/>
    <w:rsid w:val="0001692C"/>
    <w:rsid w:val="00016969"/>
    <w:rsid w:val="000229EB"/>
    <w:rsid w:val="000237A7"/>
    <w:rsid w:val="000238E0"/>
    <w:rsid w:val="00023A93"/>
    <w:rsid w:val="00023BA5"/>
    <w:rsid w:val="0002481A"/>
    <w:rsid w:val="00025CDD"/>
    <w:rsid w:val="00026C3B"/>
    <w:rsid w:val="000301C4"/>
    <w:rsid w:val="0003039C"/>
    <w:rsid w:val="00030937"/>
    <w:rsid w:val="00033B38"/>
    <w:rsid w:val="00034BF8"/>
    <w:rsid w:val="00034E38"/>
    <w:rsid w:val="00035750"/>
    <w:rsid w:val="00035CCB"/>
    <w:rsid w:val="00036E25"/>
    <w:rsid w:val="00040402"/>
    <w:rsid w:val="0004164F"/>
    <w:rsid w:val="00042E2F"/>
    <w:rsid w:val="00043009"/>
    <w:rsid w:val="000444E6"/>
    <w:rsid w:val="0004573A"/>
    <w:rsid w:val="0005052D"/>
    <w:rsid w:val="000506B4"/>
    <w:rsid w:val="000515F3"/>
    <w:rsid w:val="00052EC4"/>
    <w:rsid w:val="000548DE"/>
    <w:rsid w:val="00054D5C"/>
    <w:rsid w:val="00054FC6"/>
    <w:rsid w:val="000560AE"/>
    <w:rsid w:val="00060505"/>
    <w:rsid w:val="000611E3"/>
    <w:rsid w:val="000622C1"/>
    <w:rsid w:val="0006286C"/>
    <w:rsid w:val="00063E50"/>
    <w:rsid w:val="0006448F"/>
    <w:rsid w:val="000649D3"/>
    <w:rsid w:val="000665E3"/>
    <w:rsid w:val="000671DC"/>
    <w:rsid w:val="0007024A"/>
    <w:rsid w:val="00070481"/>
    <w:rsid w:val="0007050C"/>
    <w:rsid w:val="000722C5"/>
    <w:rsid w:val="00072310"/>
    <w:rsid w:val="0007247B"/>
    <w:rsid w:val="00073304"/>
    <w:rsid w:val="00074B78"/>
    <w:rsid w:val="00075C22"/>
    <w:rsid w:val="00076686"/>
    <w:rsid w:val="0008019F"/>
    <w:rsid w:val="000803DE"/>
    <w:rsid w:val="000811D4"/>
    <w:rsid w:val="00081E28"/>
    <w:rsid w:val="0008207A"/>
    <w:rsid w:val="000832C8"/>
    <w:rsid w:val="00083799"/>
    <w:rsid w:val="000861D1"/>
    <w:rsid w:val="0008646C"/>
    <w:rsid w:val="000873E1"/>
    <w:rsid w:val="00087F08"/>
    <w:rsid w:val="00090259"/>
    <w:rsid w:val="00092D6D"/>
    <w:rsid w:val="000930EA"/>
    <w:rsid w:val="00094254"/>
    <w:rsid w:val="00095884"/>
    <w:rsid w:val="000966E8"/>
    <w:rsid w:val="00096ABD"/>
    <w:rsid w:val="000A0528"/>
    <w:rsid w:val="000A144D"/>
    <w:rsid w:val="000A328D"/>
    <w:rsid w:val="000A390D"/>
    <w:rsid w:val="000A3F6F"/>
    <w:rsid w:val="000A4DF8"/>
    <w:rsid w:val="000A5466"/>
    <w:rsid w:val="000A5ADF"/>
    <w:rsid w:val="000A63F5"/>
    <w:rsid w:val="000A7842"/>
    <w:rsid w:val="000B09D6"/>
    <w:rsid w:val="000B09F3"/>
    <w:rsid w:val="000B1182"/>
    <w:rsid w:val="000B1199"/>
    <w:rsid w:val="000B1688"/>
    <w:rsid w:val="000B36A7"/>
    <w:rsid w:val="000B5427"/>
    <w:rsid w:val="000B5DD6"/>
    <w:rsid w:val="000B5FCA"/>
    <w:rsid w:val="000B6132"/>
    <w:rsid w:val="000C2262"/>
    <w:rsid w:val="000C27EC"/>
    <w:rsid w:val="000C3D0E"/>
    <w:rsid w:val="000C5FB8"/>
    <w:rsid w:val="000C7809"/>
    <w:rsid w:val="000C7CBF"/>
    <w:rsid w:val="000D3013"/>
    <w:rsid w:val="000D3236"/>
    <w:rsid w:val="000D73D9"/>
    <w:rsid w:val="000D7C89"/>
    <w:rsid w:val="000E2193"/>
    <w:rsid w:val="000E2A62"/>
    <w:rsid w:val="000E4534"/>
    <w:rsid w:val="000E6B70"/>
    <w:rsid w:val="000E75FB"/>
    <w:rsid w:val="000F0294"/>
    <w:rsid w:val="000F1CB3"/>
    <w:rsid w:val="000F2728"/>
    <w:rsid w:val="000F33BB"/>
    <w:rsid w:val="000F3619"/>
    <w:rsid w:val="000F5693"/>
    <w:rsid w:val="000F64BF"/>
    <w:rsid w:val="000F79A4"/>
    <w:rsid w:val="000F7AE5"/>
    <w:rsid w:val="000F7C73"/>
    <w:rsid w:val="00101644"/>
    <w:rsid w:val="00101A77"/>
    <w:rsid w:val="00101AC0"/>
    <w:rsid w:val="001020F4"/>
    <w:rsid w:val="00103097"/>
    <w:rsid w:val="001030C3"/>
    <w:rsid w:val="001030C6"/>
    <w:rsid w:val="0010568D"/>
    <w:rsid w:val="001064A6"/>
    <w:rsid w:val="0010684A"/>
    <w:rsid w:val="00107EF0"/>
    <w:rsid w:val="00112030"/>
    <w:rsid w:val="00114920"/>
    <w:rsid w:val="001156FE"/>
    <w:rsid w:val="001238DD"/>
    <w:rsid w:val="00123BAD"/>
    <w:rsid w:val="00124127"/>
    <w:rsid w:val="00126280"/>
    <w:rsid w:val="001263CA"/>
    <w:rsid w:val="001266BF"/>
    <w:rsid w:val="00130AF0"/>
    <w:rsid w:val="00131E83"/>
    <w:rsid w:val="0013221F"/>
    <w:rsid w:val="001325EF"/>
    <w:rsid w:val="00132C17"/>
    <w:rsid w:val="00133211"/>
    <w:rsid w:val="00134351"/>
    <w:rsid w:val="00134F4E"/>
    <w:rsid w:val="00136160"/>
    <w:rsid w:val="0013760C"/>
    <w:rsid w:val="001377FC"/>
    <w:rsid w:val="00137F40"/>
    <w:rsid w:val="00140223"/>
    <w:rsid w:val="001424BC"/>
    <w:rsid w:val="00142EB9"/>
    <w:rsid w:val="00143117"/>
    <w:rsid w:val="0014546D"/>
    <w:rsid w:val="00146114"/>
    <w:rsid w:val="0014791A"/>
    <w:rsid w:val="001508A1"/>
    <w:rsid w:val="00150AA7"/>
    <w:rsid w:val="001528B3"/>
    <w:rsid w:val="001528EB"/>
    <w:rsid w:val="00152A36"/>
    <w:rsid w:val="001547EB"/>
    <w:rsid w:val="0015505B"/>
    <w:rsid w:val="00155310"/>
    <w:rsid w:val="00155C3B"/>
    <w:rsid w:val="00156F66"/>
    <w:rsid w:val="00157F77"/>
    <w:rsid w:val="0016030B"/>
    <w:rsid w:val="00160445"/>
    <w:rsid w:val="00161CFC"/>
    <w:rsid w:val="00161EA2"/>
    <w:rsid w:val="00161ECC"/>
    <w:rsid w:val="00162A58"/>
    <w:rsid w:val="00162E8F"/>
    <w:rsid w:val="00163C20"/>
    <w:rsid w:val="00165188"/>
    <w:rsid w:val="00165F5B"/>
    <w:rsid w:val="001671DC"/>
    <w:rsid w:val="0016795B"/>
    <w:rsid w:val="00167ACA"/>
    <w:rsid w:val="00170B47"/>
    <w:rsid w:val="00170C20"/>
    <w:rsid w:val="00170E49"/>
    <w:rsid w:val="0017187B"/>
    <w:rsid w:val="00174EB3"/>
    <w:rsid w:val="001754BF"/>
    <w:rsid w:val="00175520"/>
    <w:rsid w:val="00175E74"/>
    <w:rsid w:val="00177526"/>
    <w:rsid w:val="00180634"/>
    <w:rsid w:val="00180C7B"/>
    <w:rsid w:val="00181085"/>
    <w:rsid w:val="0018186B"/>
    <w:rsid w:val="00182129"/>
    <w:rsid w:val="00183F0E"/>
    <w:rsid w:val="00184846"/>
    <w:rsid w:val="00186674"/>
    <w:rsid w:val="001866ED"/>
    <w:rsid w:val="00186E54"/>
    <w:rsid w:val="00187CAD"/>
    <w:rsid w:val="0019131A"/>
    <w:rsid w:val="00193B17"/>
    <w:rsid w:val="0019491C"/>
    <w:rsid w:val="0019588E"/>
    <w:rsid w:val="00195C4F"/>
    <w:rsid w:val="0019610B"/>
    <w:rsid w:val="001966EF"/>
    <w:rsid w:val="00197748"/>
    <w:rsid w:val="00197786"/>
    <w:rsid w:val="00197CB8"/>
    <w:rsid w:val="001A2414"/>
    <w:rsid w:val="001A370B"/>
    <w:rsid w:val="001A441F"/>
    <w:rsid w:val="001A4BA7"/>
    <w:rsid w:val="001A57FC"/>
    <w:rsid w:val="001A687D"/>
    <w:rsid w:val="001A6C5A"/>
    <w:rsid w:val="001B0BAA"/>
    <w:rsid w:val="001B1B9B"/>
    <w:rsid w:val="001B2696"/>
    <w:rsid w:val="001B28CB"/>
    <w:rsid w:val="001B45D2"/>
    <w:rsid w:val="001B5B34"/>
    <w:rsid w:val="001C0431"/>
    <w:rsid w:val="001C0FC5"/>
    <w:rsid w:val="001C1820"/>
    <w:rsid w:val="001C239E"/>
    <w:rsid w:val="001C4F6D"/>
    <w:rsid w:val="001C5219"/>
    <w:rsid w:val="001C5EFC"/>
    <w:rsid w:val="001D11DE"/>
    <w:rsid w:val="001D2CF5"/>
    <w:rsid w:val="001D401E"/>
    <w:rsid w:val="001D4025"/>
    <w:rsid w:val="001D542B"/>
    <w:rsid w:val="001D5DDD"/>
    <w:rsid w:val="001D63C0"/>
    <w:rsid w:val="001D6B9A"/>
    <w:rsid w:val="001D6CA6"/>
    <w:rsid w:val="001D7241"/>
    <w:rsid w:val="001D7551"/>
    <w:rsid w:val="001D76AB"/>
    <w:rsid w:val="001E013B"/>
    <w:rsid w:val="001E376F"/>
    <w:rsid w:val="001E5262"/>
    <w:rsid w:val="001E66DD"/>
    <w:rsid w:val="001E7237"/>
    <w:rsid w:val="001E726C"/>
    <w:rsid w:val="001F24A5"/>
    <w:rsid w:val="001F362D"/>
    <w:rsid w:val="001F3B6E"/>
    <w:rsid w:val="001F430D"/>
    <w:rsid w:val="001F5880"/>
    <w:rsid w:val="001F69BE"/>
    <w:rsid w:val="00201E84"/>
    <w:rsid w:val="00201FC4"/>
    <w:rsid w:val="00205213"/>
    <w:rsid w:val="0020571F"/>
    <w:rsid w:val="00211497"/>
    <w:rsid w:val="002114C3"/>
    <w:rsid w:val="00212117"/>
    <w:rsid w:val="00213222"/>
    <w:rsid w:val="00214475"/>
    <w:rsid w:val="00214568"/>
    <w:rsid w:val="00216E04"/>
    <w:rsid w:val="00217341"/>
    <w:rsid w:val="00217721"/>
    <w:rsid w:val="00217E51"/>
    <w:rsid w:val="00220A8C"/>
    <w:rsid w:val="00221867"/>
    <w:rsid w:val="002225DC"/>
    <w:rsid w:val="002241B4"/>
    <w:rsid w:val="00224B8F"/>
    <w:rsid w:val="00225F76"/>
    <w:rsid w:val="00226492"/>
    <w:rsid w:val="0022687E"/>
    <w:rsid w:val="00231563"/>
    <w:rsid w:val="00233E84"/>
    <w:rsid w:val="002352A0"/>
    <w:rsid w:val="002356C2"/>
    <w:rsid w:val="002357FB"/>
    <w:rsid w:val="002358F4"/>
    <w:rsid w:val="0023642E"/>
    <w:rsid w:val="00240C65"/>
    <w:rsid w:val="00241F03"/>
    <w:rsid w:val="00242271"/>
    <w:rsid w:val="00242B3E"/>
    <w:rsid w:val="00243AC5"/>
    <w:rsid w:val="00243B0E"/>
    <w:rsid w:val="00244F16"/>
    <w:rsid w:val="00245B20"/>
    <w:rsid w:val="00246320"/>
    <w:rsid w:val="0024772A"/>
    <w:rsid w:val="00250036"/>
    <w:rsid w:val="00251A22"/>
    <w:rsid w:val="0025244C"/>
    <w:rsid w:val="00254330"/>
    <w:rsid w:val="00254A99"/>
    <w:rsid w:val="00256997"/>
    <w:rsid w:val="002602F6"/>
    <w:rsid w:val="00260378"/>
    <w:rsid w:val="00264B34"/>
    <w:rsid w:val="002652D9"/>
    <w:rsid w:val="002659A6"/>
    <w:rsid w:val="0026651F"/>
    <w:rsid w:val="0026686D"/>
    <w:rsid w:val="002712BB"/>
    <w:rsid w:val="00271B69"/>
    <w:rsid w:val="00272CB0"/>
    <w:rsid w:val="00275C95"/>
    <w:rsid w:val="002768CF"/>
    <w:rsid w:val="002770B7"/>
    <w:rsid w:val="00277460"/>
    <w:rsid w:val="00280A65"/>
    <w:rsid w:val="00280FEF"/>
    <w:rsid w:val="0028109A"/>
    <w:rsid w:val="00281DDC"/>
    <w:rsid w:val="00282FD5"/>
    <w:rsid w:val="00283B1E"/>
    <w:rsid w:val="00285AAF"/>
    <w:rsid w:val="00286DD8"/>
    <w:rsid w:val="00286F17"/>
    <w:rsid w:val="00287A2E"/>
    <w:rsid w:val="0029043C"/>
    <w:rsid w:val="00290CB4"/>
    <w:rsid w:val="00291B72"/>
    <w:rsid w:val="00291D32"/>
    <w:rsid w:val="0029218D"/>
    <w:rsid w:val="00292455"/>
    <w:rsid w:val="00292814"/>
    <w:rsid w:val="002928CA"/>
    <w:rsid w:val="00294454"/>
    <w:rsid w:val="00295525"/>
    <w:rsid w:val="00295F60"/>
    <w:rsid w:val="002A02F3"/>
    <w:rsid w:val="002A051B"/>
    <w:rsid w:val="002A28B3"/>
    <w:rsid w:val="002A6B85"/>
    <w:rsid w:val="002A6BD5"/>
    <w:rsid w:val="002B038E"/>
    <w:rsid w:val="002B0545"/>
    <w:rsid w:val="002B066A"/>
    <w:rsid w:val="002B0A1B"/>
    <w:rsid w:val="002B1B8F"/>
    <w:rsid w:val="002B1C31"/>
    <w:rsid w:val="002B2154"/>
    <w:rsid w:val="002B41F4"/>
    <w:rsid w:val="002B4A6A"/>
    <w:rsid w:val="002B4D23"/>
    <w:rsid w:val="002B7F08"/>
    <w:rsid w:val="002C2E5B"/>
    <w:rsid w:val="002C3295"/>
    <w:rsid w:val="002C58AB"/>
    <w:rsid w:val="002C64A3"/>
    <w:rsid w:val="002C6AE5"/>
    <w:rsid w:val="002D0A09"/>
    <w:rsid w:val="002D2571"/>
    <w:rsid w:val="002D3563"/>
    <w:rsid w:val="002D6CCA"/>
    <w:rsid w:val="002D7C9E"/>
    <w:rsid w:val="002E09BA"/>
    <w:rsid w:val="002E0B9B"/>
    <w:rsid w:val="002E1874"/>
    <w:rsid w:val="002E1F1D"/>
    <w:rsid w:val="002E3588"/>
    <w:rsid w:val="002E369D"/>
    <w:rsid w:val="002E414F"/>
    <w:rsid w:val="002E4D98"/>
    <w:rsid w:val="002E4FC2"/>
    <w:rsid w:val="002E621E"/>
    <w:rsid w:val="002E7FC6"/>
    <w:rsid w:val="002F1A8C"/>
    <w:rsid w:val="002F205E"/>
    <w:rsid w:val="002F2128"/>
    <w:rsid w:val="002F4EE5"/>
    <w:rsid w:val="002F6F42"/>
    <w:rsid w:val="002F74AD"/>
    <w:rsid w:val="0030357F"/>
    <w:rsid w:val="003049BB"/>
    <w:rsid w:val="003051A4"/>
    <w:rsid w:val="00306C91"/>
    <w:rsid w:val="00307EEB"/>
    <w:rsid w:val="00307F4F"/>
    <w:rsid w:val="00310B99"/>
    <w:rsid w:val="00311763"/>
    <w:rsid w:val="00311CAC"/>
    <w:rsid w:val="00311E34"/>
    <w:rsid w:val="0031250D"/>
    <w:rsid w:val="00313693"/>
    <w:rsid w:val="003149C7"/>
    <w:rsid w:val="00314D0E"/>
    <w:rsid w:val="00314DC2"/>
    <w:rsid w:val="00315B4A"/>
    <w:rsid w:val="00315C51"/>
    <w:rsid w:val="00315EDD"/>
    <w:rsid w:val="00316A41"/>
    <w:rsid w:val="0032241D"/>
    <w:rsid w:val="003227D9"/>
    <w:rsid w:val="00325D8E"/>
    <w:rsid w:val="00326910"/>
    <w:rsid w:val="00330173"/>
    <w:rsid w:val="003306ED"/>
    <w:rsid w:val="003316FD"/>
    <w:rsid w:val="00331756"/>
    <w:rsid w:val="00331834"/>
    <w:rsid w:val="003337FC"/>
    <w:rsid w:val="00333B48"/>
    <w:rsid w:val="0033453F"/>
    <w:rsid w:val="00335FD1"/>
    <w:rsid w:val="0033603E"/>
    <w:rsid w:val="003367B8"/>
    <w:rsid w:val="0033694B"/>
    <w:rsid w:val="00336994"/>
    <w:rsid w:val="0033791E"/>
    <w:rsid w:val="00337E75"/>
    <w:rsid w:val="00341BF5"/>
    <w:rsid w:val="00342785"/>
    <w:rsid w:val="0034347F"/>
    <w:rsid w:val="003445DC"/>
    <w:rsid w:val="0034506F"/>
    <w:rsid w:val="0034675A"/>
    <w:rsid w:val="00346D10"/>
    <w:rsid w:val="003475ED"/>
    <w:rsid w:val="003478BA"/>
    <w:rsid w:val="00347A0A"/>
    <w:rsid w:val="00350E2E"/>
    <w:rsid w:val="003527E3"/>
    <w:rsid w:val="00352E06"/>
    <w:rsid w:val="003564E1"/>
    <w:rsid w:val="00356990"/>
    <w:rsid w:val="00356D20"/>
    <w:rsid w:val="00360BC0"/>
    <w:rsid w:val="00360D09"/>
    <w:rsid w:val="003612EF"/>
    <w:rsid w:val="00361E7B"/>
    <w:rsid w:val="00362A3D"/>
    <w:rsid w:val="003676A9"/>
    <w:rsid w:val="00370352"/>
    <w:rsid w:val="003706F7"/>
    <w:rsid w:val="00371F2C"/>
    <w:rsid w:val="0037242E"/>
    <w:rsid w:val="00372732"/>
    <w:rsid w:val="00372A07"/>
    <w:rsid w:val="00372CDC"/>
    <w:rsid w:val="00372D8B"/>
    <w:rsid w:val="00372E07"/>
    <w:rsid w:val="0037534C"/>
    <w:rsid w:val="00375AEB"/>
    <w:rsid w:val="0037609C"/>
    <w:rsid w:val="00377834"/>
    <w:rsid w:val="003802B8"/>
    <w:rsid w:val="00380F44"/>
    <w:rsid w:val="00382420"/>
    <w:rsid w:val="00382AE9"/>
    <w:rsid w:val="00383814"/>
    <w:rsid w:val="00383844"/>
    <w:rsid w:val="003839ED"/>
    <w:rsid w:val="00384395"/>
    <w:rsid w:val="00384768"/>
    <w:rsid w:val="00384FE1"/>
    <w:rsid w:val="0038509B"/>
    <w:rsid w:val="00385F49"/>
    <w:rsid w:val="00390522"/>
    <w:rsid w:val="00391BB8"/>
    <w:rsid w:val="00393AB0"/>
    <w:rsid w:val="00394A83"/>
    <w:rsid w:val="00394DE2"/>
    <w:rsid w:val="003973EC"/>
    <w:rsid w:val="003A0DB0"/>
    <w:rsid w:val="003A18AB"/>
    <w:rsid w:val="003A1B28"/>
    <w:rsid w:val="003A3092"/>
    <w:rsid w:val="003A445D"/>
    <w:rsid w:val="003A5399"/>
    <w:rsid w:val="003A5A52"/>
    <w:rsid w:val="003A5B10"/>
    <w:rsid w:val="003A600E"/>
    <w:rsid w:val="003A6762"/>
    <w:rsid w:val="003A6AC6"/>
    <w:rsid w:val="003A6F84"/>
    <w:rsid w:val="003B0436"/>
    <w:rsid w:val="003B0B28"/>
    <w:rsid w:val="003B134F"/>
    <w:rsid w:val="003B19DA"/>
    <w:rsid w:val="003B2058"/>
    <w:rsid w:val="003B2DEF"/>
    <w:rsid w:val="003B4F56"/>
    <w:rsid w:val="003B5C88"/>
    <w:rsid w:val="003B6F69"/>
    <w:rsid w:val="003B7911"/>
    <w:rsid w:val="003C062B"/>
    <w:rsid w:val="003C1C86"/>
    <w:rsid w:val="003C22CE"/>
    <w:rsid w:val="003C2C1C"/>
    <w:rsid w:val="003C5248"/>
    <w:rsid w:val="003C527B"/>
    <w:rsid w:val="003C5441"/>
    <w:rsid w:val="003C5F9D"/>
    <w:rsid w:val="003C6940"/>
    <w:rsid w:val="003C7017"/>
    <w:rsid w:val="003C7F0C"/>
    <w:rsid w:val="003D06B1"/>
    <w:rsid w:val="003D0900"/>
    <w:rsid w:val="003D0D18"/>
    <w:rsid w:val="003D1EC8"/>
    <w:rsid w:val="003D360E"/>
    <w:rsid w:val="003D382E"/>
    <w:rsid w:val="003D5126"/>
    <w:rsid w:val="003D689D"/>
    <w:rsid w:val="003D6E91"/>
    <w:rsid w:val="003D7CE8"/>
    <w:rsid w:val="003E1388"/>
    <w:rsid w:val="003E1B3A"/>
    <w:rsid w:val="003E31FB"/>
    <w:rsid w:val="003E3905"/>
    <w:rsid w:val="003E3CFF"/>
    <w:rsid w:val="003E4F3E"/>
    <w:rsid w:val="003E50DF"/>
    <w:rsid w:val="003E5932"/>
    <w:rsid w:val="003E66DE"/>
    <w:rsid w:val="003E7E19"/>
    <w:rsid w:val="003F1618"/>
    <w:rsid w:val="003F1DEC"/>
    <w:rsid w:val="003F21CF"/>
    <w:rsid w:val="003F279A"/>
    <w:rsid w:val="003F29BD"/>
    <w:rsid w:val="003F3104"/>
    <w:rsid w:val="003F46CF"/>
    <w:rsid w:val="003F4CA7"/>
    <w:rsid w:val="003F5868"/>
    <w:rsid w:val="003F6C73"/>
    <w:rsid w:val="003F7552"/>
    <w:rsid w:val="00401278"/>
    <w:rsid w:val="0040174F"/>
    <w:rsid w:val="0040240A"/>
    <w:rsid w:val="00402BF2"/>
    <w:rsid w:val="00403D22"/>
    <w:rsid w:val="00405E4E"/>
    <w:rsid w:val="00406893"/>
    <w:rsid w:val="00410A3B"/>
    <w:rsid w:val="00410D1B"/>
    <w:rsid w:val="004115FE"/>
    <w:rsid w:val="00413595"/>
    <w:rsid w:val="00413B2D"/>
    <w:rsid w:val="00413F45"/>
    <w:rsid w:val="00415266"/>
    <w:rsid w:val="00415935"/>
    <w:rsid w:val="00415D57"/>
    <w:rsid w:val="004179AC"/>
    <w:rsid w:val="00420438"/>
    <w:rsid w:val="00420A03"/>
    <w:rsid w:val="0042103B"/>
    <w:rsid w:val="00421DA6"/>
    <w:rsid w:val="00423A55"/>
    <w:rsid w:val="00424BCF"/>
    <w:rsid w:val="00425EA7"/>
    <w:rsid w:val="00425FF5"/>
    <w:rsid w:val="00426345"/>
    <w:rsid w:val="00426A16"/>
    <w:rsid w:val="00426C0F"/>
    <w:rsid w:val="00426CD8"/>
    <w:rsid w:val="00426F87"/>
    <w:rsid w:val="0042780F"/>
    <w:rsid w:val="00427BC7"/>
    <w:rsid w:val="00431753"/>
    <w:rsid w:val="0043374D"/>
    <w:rsid w:val="00433AEE"/>
    <w:rsid w:val="00434D28"/>
    <w:rsid w:val="00434D51"/>
    <w:rsid w:val="0043715C"/>
    <w:rsid w:val="00437627"/>
    <w:rsid w:val="00440128"/>
    <w:rsid w:val="00440CB1"/>
    <w:rsid w:val="004415C4"/>
    <w:rsid w:val="0044172D"/>
    <w:rsid w:val="00441E1D"/>
    <w:rsid w:val="00442574"/>
    <w:rsid w:val="004435FD"/>
    <w:rsid w:val="00443743"/>
    <w:rsid w:val="00443A57"/>
    <w:rsid w:val="00444956"/>
    <w:rsid w:val="00444E15"/>
    <w:rsid w:val="00446142"/>
    <w:rsid w:val="00446780"/>
    <w:rsid w:val="00446A8C"/>
    <w:rsid w:val="00447DCA"/>
    <w:rsid w:val="0045017E"/>
    <w:rsid w:val="00450328"/>
    <w:rsid w:val="00451F48"/>
    <w:rsid w:val="00452478"/>
    <w:rsid w:val="00453521"/>
    <w:rsid w:val="00454978"/>
    <w:rsid w:val="00454D15"/>
    <w:rsid w:val="004552D9"/>
    <w:rsid w:val="00456127"/>
    <w:rsid w:val="00457069"/>
    <w:rsid w:val="00457C6C"/>
    <w:rsid w:val="0046048E"/>
    <w:rsid w:val="00460743"/>
    <w:rsid w:val="004652EE"/>
    <w:rsid w:val="00465E8E"/>
    <w:rsid w:val="00467509"/>
    <w:rsid w:val="004718DC"/>
    <w:rsid w:val="00472C88"/>
    <w:rsid w:val="00475851"/>
    <w:rsid w:val="004761D2"/>
    <w:rsid w:val="00476775"/>
    <w:rsid w:val="00476E26"/>
    <w:rsid w:val="004819A1"/>
    <w:rsid w:val="004819E1"/>
    <w:rsid w:val="00481A01"/>
    <w:rsid w:val="00485076"/>
    <w:rsid w:val="00485212"/>
    <w:rsid w:val="0048774A"/>
    <w:rsid w:val="00487C5F"/>
    <w:rsid w:val="00487FE2"/>
    <w:rsid w:val="00496FF4"/>
    <w:rsid w:val="00497DD5"/>
    <w:rsid w:val="004A0195"/>
    <w:rsid w:val="004A081D"/>
    <w:rsid w:val="004A1424"/>
    <w:rsid w:val="004A1DBF"/>
    <w:rsid w:val="004A2722"/>
    <w:rsid w:val="004A47C8"/>
    <w:rsid w:val="004A4BB3"/>
    <w:rsid w:val="004A5B46"/>
    <w:rsid w:val="004A622C"/>
    <w:rsid w:val="004A7735"/>
    <w:rsid w:val="004A7F41"/>
    <w:rsid w:val="004B0DA9"/>
    <w:rsid w:val="004B1CFB"/>
    <w:rsid w:val="004B2188"/>
    <w:rsid w:val="004B2353"/>
    <w:rsid w:val="004B2461"/>
    <w:rsid w:val="004B27CE"/>
    <w:rsid w:val="004B481A"/>
    <w:rsid w:val="004C120E"/>
    <w:rsid w:val="004C1BB5"/>
    <w:rsid w:val="004C30FF"/>
    <w:rsid w:val="004C320B"/>
    <w:rsid w:val="004C40CD"/>
    <w:rsid w:val="004C4CF2"/>
    <w:rsid w:val="004C5FD5"/>
    <w:rsid w:val="004C6222"/>
    <w:rsid w:val="004C6CB1"/>
    <w:rsid w:val="004D27C2"/>
    <w:rsid w:val="004D2C24"/>
    <w:rsid w:val="004D3753"/>
    <w:rsid w:val="004D50DA"/>
    <w:rsid w:val="004D58A7"/>
    <w:rsid w:val="004D61B2"/>
    <w:rsid w:val="004D67B5"/>
    <w:rsid w:val="004D6E68"/>
    <w:rsid w:val="004D7426"/>
    <w:rsid w:val="004D762F"/>
    <w:rsid w:val="004E1C43"/>
    <w:rsid w:val="004E1DF9"/>
    <w:rsid w:val="004E2883"/>
    <w:rsid w:val="004E2A89"/>
    <w:rsid w:val="004E662E"/>
    <w:rsid w:val="004E7A7B"/>
    <w:rsid w:val="004E7E25"/>
    <w:rsid w:val="004F0A29"/>
    <w:rsid w:val="004F266F"/>
    <w:rsid w:val="004F2956"/>
    <w:rsid w:val="004F2B35"/>
    <w:rsid w:val="004F2EF1"/>
    <w:rsid w:val="004F31EF"/>
    <w:rsid w:val="004F3BAC"/>
    <w:rsid w:val="004F413C"/>
    <w:rsid w:val="004F4CB1"/>
    <w:rsid w:val="004F4F3B"/>
    <w:rsid w:val="004F5B81"/>
    <w:rsid w:val="004F6902"/>
    <w:rsid w:val="004F6D20"/>
    <w:rsid w:val="004F70F5"/>
    <w:rsid w:val="004F7551"/>
    <w:rsid w:val="00501542"/>
    <w:rsid w:val="00501E25"/>
    <w:rsid w:val="005022C1"/>
    <w:rsid w:val="00504C8A"/>
    <w:rsid w:val="00507C38"/>
    <w:rsid w:val="00507DE6"/>
    <w:rsid w:val="005120A7"/>
    <w:rsid w:val="00513AB9"/>
    <w:rsid w:val="00513E50"/>
    <w:rsid w:val="0051489B"/>
    <w:rsid w:val="005155A9"/>
    <w:rsid w:val="00515FE8"/>
    <w:rsid w:val="00517287"/>
    <w:rsid w:val="0052226E"/>
    <w:rsid w:val="00523418"/>
    <w:rsid w:val="005236FC"/>
    <w:rsid w:val="0052498F"/>
    <w:rsid w:val="00526AE5"/>
    <w:rsid w:val="00531F18"/>
    <w:rsid w:val="00532116"/>
    <w:rsid w:val="005331D1"/>
    <w:rsid w:val="00533354"/>
    <w:rsid w:val="00533A01"/>
    <w:rsid w:val="0053581D"/>
    <w:rsid w:val="005361A6"/>
    <w:rsid w:val="005365A4"/>
    <w:rsid w:val="00537641"/>
    <w:rsid w:val="00537895"/>
    <w:rsid w:val="00540439"/>
    <w:rsid w:val="00541069"/>
    <w:rsid w:val="00541CCF"/>
    <w:rsid w:val="00541FA4"/>
    <w:rsid w:val="00542A9F"/>
    <w:rsid w:val="0054464F"/>
    <w:rsid w:val="00544A0F"/>
    <w:rsid w:val="00544C78"/>
    <w:rsid w:val="00544D67"/>
    <w:rsid w:val="00545454"/>
    <w:rsid w:val="00545D1F"/>
    <w:rsid w:val="00550294"/>
    <w:rsid w:val="0055074D"/>
    <w:rsid w:val="00550A9D"/>
    <w:rsid w:val="0055146E"/>
    <w:rsid w:val="00552790"/>
    <w:rsid w:val="00553B65"/>
    <w:rsid w:val="00554FA5"/>
    <w:rsid w:val="0055630A"/>
    <w:rsid w:val="00562458"/>
    <w:rsid w:val="00563E31"/>
    <w:rsid w:val="005649F0"/>
    <w:rsid w:val="00565774"/>
    <w:rsid w:val="00567288"/>
    <w:rsid w:val="00567387"/>
    <w:rsid w:val="0057403F"/>
    <w:rsid w:val="005764A8"/>
    <w:rsid w:val="00581B85"/>
    <w:rsid w:val="00581C75"/>
    <w:rsid w:val="0058232E"/>
    <w:rsid w:val="0058391D"/>
    <w:rsid w:val="00583CC1"/>
    <w:rsid w:val="00585AE0"/>
    <w:rsid w:val="00585FF4"/>
    <w:rsid w:val="00587089"/>
    <w:rsid w:val="00590404"/>
    <w:rsid w:val="00590BED"/>
    <w:rsid w:val="00592D16"/>
    <w:rsid w:val="0059433D"/>
    <w:rsid w:val="005944D7"/>
    <w:rsid w:val="00594608"/>
    <w:rsid w:val="00594766"/>
    <w:rsid w:val="00595997"/>
    <w:rsid w:val="00595FB2"/>
    <w:rsid w:val="0059698F"/>
    <w:rsid w:val="00597270"/>
    <w:rsid w:val="005977E7"/>
    <w:rsid w:val="005A0668"/>
    <w:rsid w:val="005A0979"/>
    <w:rsid w:val="005A0C07"/>
    <w:rsid w:val="005A112D"/>
    <w:rsid w:val="005A2579"/>
    <w:rsid w:val="005A2B1B"/>
    <w:rsid w:val="005A50CF"/>
    <w:rsid w:val="005A5577"/>
    <w:rsid w:val="005A583B"/>
    <w:rsid w:val="005A59E2"/>
    <w:rsid w:val="005A5BF6"/>
    <w:rsid w:val="005B0109"/>
    <w:rsid w:val="005B3421"/>
    <w:rsid w:val="005B590E"/>
    <w:rsid w:val="005B645C"/>
    <w:rsid w:val="005C0E93"/>
    <w:rsid w:val="005C0FB1"/>
    <w:rsid w:val="005C11D2"/>
    <w:rsid w:val="005C309B"/>
    <w:rsid w:val="005C38A1"/>
    <w:rsid w:val="005C3E22"/>
    <w:rsid w:val="005C5217"/>
    <w:rsid w:val="005C7E35"/>
    <w:rsid w:val="005D1AE8"/>
    <w:rsid w:val="005D2FE3"/>
    <w:rsid w:val="005D3C90"/>
    <w:rsid w:val="005D4120"/>
    <w:rsid w:val="005D4F28"/>
    <w:rsid w:val="005D616F"/>
    <w:rsid w:val="005E0760"/>
    <w:rsid w:val="005E2264"/>
    <w:rsid w:val="005E2743"/>
    <w:rsid w:val="005E3D2F"/>
    <w:rsid w:val="005E639D"/>
    <w:rsid w:val="005E7B5F"/>
    <w:rsid w:val="005E7D70"/>
    <w:rsid w:val="005F11D1"/>
    <w:rsid w:val="005F3359"/>
    <w:rsid w:val="005F3416"/>
    <w:rsid w:val="005F3A7B"/>
    <w:rsid w:val="005F6C3A"/>
    <w:rsid w:val="005F70DA"/>
    <w:rsid w:val="00603948"/>
    <w:rsid w:val="00603D90"/>
    <w:rsid w:val="00603EA3"/>
    <w:rsid w:val="0060545D"/>
    <w:rsid w:val="00605A96"/>
    <w:rsid w:val="00605AB0"/>
    <w:rsid w:val="00606128"/>
    <w:rsid w:val="00606BB7"/>
    <w:rsid w:val="006100AD"/>
    <w:rsid w:val="00611A12"/>
    <w:rsid w:val="00615E1D"/>
    <w:rsid w:val="00616EFD"/>
    <w:rsid w:val="00617B4C"/>
    <w:rsid w:val="00620037"/>
    <w:rsid w:val="00620580"/>
    <w:rsid w:val="00621A4A"/>
    <w:rsid w:val="00621B40"/>
    <w:rsid w:val="00623496"/>
    <w:rsid w:val="00623903"/>
    <w:rsid w:val="00623F48"/>
    <w:rsid w:val="00624E26"/>
    <w:rsid w:val="00625C32"/>
    <w:rsid w:val="006278C8"/>
    <w:rsid w:val="00630166"/>
    <w:rsid w:val="00633E3A"/>
    <w:rsid w:val="00633F70"/>
    <w:rsid w:val="006342DE"/>
    <w:rsid w:val="0063588F"/>
    <w:rsid w:val="00636660"/>
    <w:rsid w:val="00636DB2"/>
    <w:rsid w:val="00637038"/>
    <w:rsid w:val="00637722"/>
    <w:rsid w:val="0064203B"/>
    <w:rsid w:val="006420FC"/>
    <w:rsid w:val="00645BF8"/>
    <w:rsid w:val="00650C87"/>
    <w:rsid w:val="00651281"/>
    <w:rsid w:val="006512AE"/>
    <w:rsid w:val="00651CB9"/>
    <w:rsid w:val="00651E27"/>
    <w:rsid w:val="006525CF"/>
    <w:rsid w:val="006532ED"/>
    <w:rsid w:val="00654262"/>
    <w:rsid w:val="00655C5B"/>
    <w:rsid w:val="00655DC1"/>
    <w:rsid w:val="00657198"/>
    <w:rsid w:val="006571C6"/>
    <w:rsid w:val="0066128A"/>
    <w:rsid w:val="0066150B"/>
    <w:rsid w:val="0066320E"/>
    <w:rsid w:val="00663BF2"/>
    <w:rsid w:val="0066474E"/>
    <w:rsid w:val="00665ED7"/>
    <w:rsid w:val="0066606C"/>
    <w:rsid w:val="006676C2"/>
    <w:rsid w:val="00667822"/>
    <w:rsid w:val="006705A8"/>
    <w:rsid w:val="00671E40"/>
    <w:rsid w:val="00671EC6"/>
    <w:rsid w:val="0067294F"/>
    <w:rsid w:val="00674324"/>
    <w:rsid w:val="00674354"/>
    <w:rsid w:val="00674A0F"/>
    <w:rsid w:val="00675089"/>
    <w:rsid w:val="00675441"/>
    <w:rsid w:val="0068029B"/>
    <w:rsid w:val="00682B94"/>
    <w:rsid w:val="00687717"/>
    <w:rsid w:val="006878B5"/>
    <w:rsid w:val="00690075"/>
    <w:rsid w:val="006913FE"/>
    <w:rsid w:val="00691719"/>
    <w:rsid w:val="006921C7"/>
    <w:rsid w:val="00693987"/>
    <w:rsid w:val="006963B7"/>
    <w:rsid w:val="00696B42"/>
    <w:rsid w:val="006A03ED"/>
    <w:rsid w:val="006A2A5D"/>
    <w:rsid w:val="006A2F2D"/>
    <w:rsid w:val="006A4A7F"/>
    <w:rsid w:val="006A4E5B"/>
    <w:rsid w:val="006A4E7A"/>
    <w:rsid w:val="006A6CCF"/>
    <w:rsid w:val="006A74B4"/>
    <w:rsid w:val="006B0997"/>
    <w:rsid w:val="006B0EB7"/>
    <w:rsid w:val="006B1C92"/>
    <w:rsid w:val="006B21D3"/>
    <w:rsid w:val="006B2787"/>
    <w:rsid w:val="006B295C"/>
    <w:rsid w:val="006B4738"/>
    <w:rsid w:val="006B59C9"/>
    <w:rsid w:val="006B6194"/>
    <w:rsid w:val="006B6F55"/>
    <w:rsid w:val="006B7598"/>
    <w:rsid w:val="006B79FA"/>
    <w:rsid w:val="006C0444"/>
    <w:rsid w:val="006C044C"/>
    <w:rsid w:val="006C1BFA"/>
    <w:rsid w:val="006C3B14"/>
    <w:rsid w:val="006C4503"/>
    <w:rsid w:val="006C4BD0"/>
    <w:rsid w:val="006C722E"/>
    <w:rsid w:val="006D1796"/>
    <w:rsid w:val="006D1A31"/>
    <w:rsid w:val="006D2661"/>
    <w:rsid w:val="006D2C17"/>
    <w:rsid w:val="006D4862"/>
    <w:rsid w:val="006D51E6"/>
    <w:rsid w:val="006D551F"/>
    <w:rsid w:val="006D5E5C"/>
    <w:rsid w:val="006D7209"/>
    <w:rsid w:val="006D75B2"/>
    <w:rsid w:val="006D765E"/>
    <w:rsid w:val="006E03E4"/>
    <w:rsid w:val="006E278D"/>
    <w:rsid w:val="006E3218"/>
    <w:rsid w:val="006E33B6"/>
    <w:rsid w:val="006E5386"/>
    <w:rsid w:val="006E646E"/>
    <w:rsid w:val="006E649A"/>
    <w:rsid w:val="006E6BF1"/>
    <w:rsid w:val="006E6BF2"/>
    <w:rsid w:val="006E7AA4"/>
    <w:rsid w:val="006F005C"/>
    <w:rsid w:val="006F130A"/>
    <w:rsid w:val="006F1FB3"/>
    <w:rsid w:val="006F2541"/>
    <w:rsid w:val="006F26B0"/>
    <w:rsid w:val="006F2CB1"/>
    <w:rsid w:val="006F30BD"/>
    <w:rsid w:val="006F3C5B"/>
    <w:rsid w:val="006F3F07"/>
    <w:rsid w:val="006F4F33"/>
    <w:rsid w:val="006F6520"/>
    <w:rsid w:val="007006BA"/>
    <w:rsid w:val="007007BA"/>
    <w:rsid w:val="00702E89"/>
    <w:rsid w:val="007039A3"/>
    <w:rsid w:val="00707244"/>
    <w:rsid w:val="0070725E"/>
    <w:rsid w:val="007102F3"/>
    <w:rsid w:val="007103F1"/>
    <w:rsid w:val="00711044"/>
    <w:rsid w:val="007123DF"/>
    <w:rsid w:val="00713D91"/>
    <w:rsid w:val="00714281"/>
    <w:rsid w:val="007147A2"/>
    <w:rsid w:val="00714C48"/>
    <w:rsid w:val="00714FCC"/>
    <w:rsid w:val="00715178"/>
    <w:rsid w:val="007160A3"/>
    <w:rsid w:val="00716A87"/>
    <w:rsid w:val="00716CDB"/>
    <w:rsid w:val="00716F9F"/>
    <w:rsid w:val="00720B17"/>
    <w:rsid w:val="00721D66"/>
    <w:rsid w:val="0072307C"/>
    <w:rsid w:val="00724991"/>
    <w:rsid w:val="0072560B"/>
    <w:rsid w:val="00725DFA"/>
    <w:rsid w:val="00725ED2"/>
    <w:rsid w:val="00727B6C"/>
    <w:rsid w:val="007313BA"/>
    <w:rsid w:val="007313DE"/>
    <w:rsid w:val="00731D53"/>
    <w:rsid w:val="007321E9"/>
    <w:rsid w:val="007366B7"/>
    <w:rsid w:val="00736D97"/>
    <w:rsid w:val="007370D4"/>
    <w:rsid w:val="0073740C"/>
    <w:rsid w:val="007402F1"/>
    <w:rsid w:val="00740570"/>
    <w:rsid w:val="0074195D"/>
    <w:rsid w:val="00742446"/>
    <w:rsid w:val="00742BF7"/>
    <w:rsid w:val="00743CA6"/>
    <w:rsid w:val="007448E7"/>
    <w:rsid w:val="007450B0"/>
    <w:rsid w:val="0074526C"/>
    <w:rsid w:val="007455EA"/>
    <w:rsid w:val="00747C42"/>
    <w:rsid w:val="0075515B"/>
    <w:rsid w:val="00755444"/>
    <w:rsid w:val="007566A9"/>
    <w:rsid w:val="007569A0"/>
    <w:rsid w:val="00756EA9"/>
    <w:rsid w:val="007605D6"/>
    <w:rsid w:val="00760AFF"/>
    <w:rsid w:val="00761452"/>
    <w:rsid w:val="0076155E"/>
    <w:rsid w:val="00761CBE"/>
    <w:rsid w:val="00764D0E"/>
    <w:rsid w:val="00766A77"/>
    <w:rsid w:val="00766E81"/>
    <w:rsid w:val="00767EFD"/>
    <w:rsid w:val="00767FA3"/>
    <w:rsid w:val="00770097"/>
    <w:rsid w:val="007703BB"/>
    <w:rsid w:val="007708C4"/>
    <w:rsid w:val="00770C0B"/>
    <w:rsid w:val="00771061"/>
    <w:rsid w:val="0077145F"/>
    <w:rsid w:val="00771FCA"/>
    <w:rsid w:val="00772E70"/>
    <w:rsid w:val="00773166"/>
    <w:rsid w:val="00773570"/>
    <w:rsid w:val="0077433A"/>
    <w:rsid w:val="007754E0"/>
    <w:rsid w:val="00776672"/>
    <w:rsid w:val="007770C9"/>
    <w:rsid w:val="00777CCA"/>
    <w:rsid w:val="00777F87"/>
    <w:rsid w:val="00780D98"/>
    <w:rsid w:val="00781412"/>
    <w:rsid w:val="007832F6"/>
    <w:rsid w:val="00783D5D"/>
    <w:rsid w:val="007847D8"/>
    <w:rsid w:val="00786543"/>
    <w:rsid w:val="00787D93"/>
    <w:rsid w:val="00787EB1"/>
    <w:rsid w:val="007901F5"/>
    <w:rsid w:val="007904E1"/>
    <w:rsid w:val="00791213"/>
    <w:rsid w:val="00791F8A"/>
    <w:rsid w:val="00797610"/>
    <w:rsid w:val="007A03DF"/>
    <w:rsid w:val="007A040D"/>
    <w:rsid w:val="007A0DB8"/>
    <w:rsid w:val="007A0E99"/>
    <w:rsid w:val="007A17D9"/>
    <w:rsid w:val="007A23BF"/>
    <w:rsid w:val="007A73AD"/>
    <w:rsid w:val="007B0FA6"/>
    <w:rsid w:val="007B14EC"/>
    <w:rsid w:val="007B377B"/>
    <w:rsid w:val="007B3E74"/>
    <w:rsid w:val="007B5044"/>
    <w:rsid w:val="007B5D4E"/>
    <w:rsid w:val="007B723F"/>
    <w:rsid w:val="007C002A"/>
    <w:rsid w:val="007C0A17"/>
    <w:rsid w:val="007C15D9"/>
    <w:rsid w:val="007C3732"/>
    <w:rsid w:val="007C4EE3"/>
    <w:rsid w:val="007C5399"/>
    <w:rsid w:val="007C684B"/>
    <w:rsid w:val="007C6978"/>
    <w:rsid w:val="007C6E05"/>
    <w:rsid w:val="007D0F36"/>
    <w:rsid w:val="007D101C"/>
    <w:rsid w:val="007D23C5"/>
    <w:rsid w:val="007D3C48"/>
    <w:rsid w:val="007D48C7"/>
    <w:rsid w:val="007D4B28"/>
    <w:rsid w:val="007D5615"/>
    <w:rsid w:val="007D5ADA"/>
    <w:rsid w:val="007D63E7"/>
    <w:rsid w:val="007D6543"/>
    <w:rsid w:val="007E005D"/>
    <w:rsid w:val="007E02CB"/>
    <w:rsid w:val="007E0F83"/>
    <w:rsid w:val="007E1474"/>
    <w:rsid w:val="007E2036"/>
    <w:rsid w:val="007E296F"/>
    <w:rsid w:val="007E4CB4"/>
    <w:rsid w:val="007E70B0"/>
    <w:rsid w:val="007F0893"/>
    <w:rsid w:val="007F2EC6"/>
    <w:rsid w:val="007F4180"/>
    <w:rsid w:val="007F45EC"/>
    <w:rsid w:val="007F4D32"/>
    <w:rsid w:val="007F51D0"/>
    <w:rsid w:val="007F65D1"/>
    <w:rsid w:val="007F6CB7"/>
    <w:rsid w:val="007F6E1C"/>
    <w:rsid w:val="00801560"/>
    <w:rsid w:val="0080164C"/>
    <w:rsid w:val="008019F0"/>
    <w:rsid w:val="00803FC2"/>
    <w:rsid w:val="00806022"/>
    <w:rsid w:val="008072A8"/>
    <w:rsid w:val="008077F2"/>
    <w:rsid w:val="00807A3F"/>
    <w:rsid w:val="00810520"/>
    <w:rsid w:val="00810639"/>
    <w:rsid w:val="00810BD8"/>
    <w:rsid w:val="00812CE9"/>
    <w:rsid w:val="00813781"/>
    <w:rsid w:val="008140F9"/>
    <w:rsid w:val="0081469C"/>
    <w:rsid w:val="008147FC"/>
    <w:rsid w:val="00814ACF"/>
    <w:rsid w:val="00817A45"/>
    <w:rsid w:val="008204F3"/>
    <w:rsid w:val="00821DFC"/>
    <w:rsid w:val="008224CE"/>
    <w:rsid w:val="00827B6B"/>
    <w:rsid w:val="00827FE3"/>
    <w:rsid w:val="00830014"/>
    <w:rsid w:val="00831A23"/>
    <w:rsid w:val="008344A5"/>
    <w:rsid w:val="00835031"/>
    <w:rsid w:val="00836AA0"/>
    <w:rsid w:val="00836FF1"/>
    <w:rsid w:val="00837372"/>
    <w:rsid w:val="0084002A"/>
    <w:rsid w:val="00840092"/>
    <w:rsid w:val="008413BD"/>
    <w:rsid w:val="00843920"/>
    <w:rsid w:val="0084552A"/>
    <w:rsid w:val="00845A92"/>
    <w:rsid w:val="00847BF2"/>
    <w:rsid w:val="008503D8"/>
    <w:rsid w:val="00851920"/>
    <w:rsid w:val="00852D8E"/>
    <w:rsid w:val="008539AD"/>
    <w:rsid w:val="0085482F"/>
    <w:rsid w:val="00854CFC"/>
    <w:rsid w:val="00855C37"/>
    <w:rsid w:val="00860E99"/>
    <w:rsid w:val="00861C05"/>
    <w:rsid w:val="00861E96"/>
    <w:rsid w:val="00862F7F"/>
    <w:rsid w:val="00863657"/>
    <w:rsid w:val="008656B7"/>
    <w:rsid w:val="008658A7"/>
    <w:rsid w:val="008671DB"/>
    <w:rsid w:val="00870BA9"/>
    <w:rsid w:val="008712EE"/>
    <w:rsid w:val="008718F2"/>
    <w:rsid w:val="008729B8"/>
    <w:rsid w:val="00872CB4"/>
    <w:rsid w:val="00873BC0"/>
    <w:rsid w:val="00874C5B"/>
    <w:rsid w:val="0087616A"/>
    <w:rsid w:val="00876196"/>
    <w:rsid w:val="00876DAA"/>
    <w:rsid w:val="00877EC3"/>
    <w:rsid w:val="00877F9C"/>
    <w:rsid w:val="00880D9F"/>
    <w:rsid w:val="00881279"/>
    <w:rsid w:val="00882982"/>
    <w:rsid w:val="00882AB9"/>
    <w:rsid w:val="00882D02"/>
    <w:rsid w:val="0088325F"/>
    <w:rsid w:val="00883BE3"/>
    <w:rsid w:val="008847B7"/>
    <w:rsid w:val="00885F35"/>
    <w:rsid w:val="00887DFA"/>
    <w:rsid w:val="00891EA3"/>
    <w:rsid w:val="00892038"/>
    <w:rsid w:val="0089289E"/>
    <w:rsid w:val="008947DF"/>
    <w:rsid w:val="00897248"/>
    <w:rsid w:val="008A211B"/>
    <w:rsid w:val="008A3CC2"/>
    <w:rsid w:val="008A5B2F"/>
    <w:rsid w:val="008A7C91"/>
    <w:rsid w:val="008A7E2C"/>
    <w:rsid w:val="008B01D1"/>
    <w:rsid w:val="008B133A"/>
    <w:rsid w:val="008B55AB"/>
    <w:rsid w:val="008B65EB"/>
    <w:rsid w:val="008B779C"/>
    <w:rsid w:val="008B7DD0"/>
    <w:rsid w:val="008C0ECF"/>
    <w:rsid w:val="008C0F76"/>
    <w:rsid w:val="008C2C5E"/>
    <w:rsid w:val="008C483C"/>
    <w:rsid w:val="008C58D1"/>
    <w:rsid w:val="008C61DF"/>
    <w:rsid w:val="008C7B9E"/>
    <w:rsid w:val="008D1A1C"/>
    <w:rsid w:val="008D1A80"/>
    <w:rsid w:val="008D1E81"/>
    <w:rsid w:val="008D3345"/>
    <w:rsid w:val="008D3C03"/>
    <w:rsid w:val="008D5ACB"/>
    <w:rsid w:val="008D6273"/>
    <w:rsid w:val="008D7E34"/>
    <w:rsid w:val="008E1EB8"/>
    <w:rsid w:val="008E1FDA"/>
    <w:rsid w:val="008E25B7"/>
    <w:rsid w:val="008E42F8"/>
    <w:rsid w:val="008E4BE7"/>
    <w:rsid w:val="008E555E"/>
    <w:rsid w:val="008E63D3"/>
    <w:rsid w:val="008E66A3"/>
    <w:rsid w:val="008E737B"/>
    <w:rsid w:val="008E7424"/>
    <w:rsid w:val="008F0F01"/>
    <w:rsid w:val="008F1189"/>
    <w:rsid w:val="008F12BA"/>
    <w:rsid w:val="008F1683"/>
    <w:rsid w:val="008F19D4"/>
    <w:rsid w:val="008F204A"/>
    <w:rsid w:val="008F25A3"/>
    <w:rsid w:val="008F2A3C"/>
    <w:rsid w:val="008F3755"/>
    <w:rsid w:val="008F4252"/>
    <w:rsid w:val="008F4EB5"/>
    <w:rsid w:val="00900323"/>
    <w:rsid w:val="00901FBC"/>
    <w:rsid w:val="009020B1"/>
    <w:rsid w:val="00902478"/>
    <w:rsid w:val="0090263B"/>
    <w:rsid w:val="00903044"/>
    <w:rsid w:val="00905B2C"/>
    <w:rsid w:val="0090617D"/>
    <w:rsid w:val="009061CE"/>
    <w:rsid w:val="00910E23"/>
    <w:rsid w:val="00913038"/>
    <w:rsid w:val="00913272"/>
    <w:rsid w:val="0091369B"/>
    <w:rsid w:val="009136FE"/>
    <w:rsid w:val="0091478E"/>
    <w:rsid w:val="00914C69"/>
    <w:rsid w:val="009162B7"/>
    <w:rsid w:val="0091700C"/>
    <w:rsid w:val="00920574"/>
    <w:rsid w:val="00920C3E"/>
    <w:rsid w:val="009214D4"/>
    <w:rsid w:val="00921B73"/>
    <w:rsid w:val="00921BE2"/>
    <w:rsid w:val="00922554"/>
    <w:rsid w:val="00923403"/>
    <w:rsid w:val="0092403E"/>
    <w:rsid w:val="00930A90"/>
    <w:rsid w:val="00930FD1"/>
    <w:rsid w:val="00931D2F"/>
    <w:rsid w:val="00932A42"/>
    <w:rsid w:val="009330C9"/>
    <w:rsid w:val="00933833"/>
    <w:rsid w:val="009349B1"/>
    <w:rsid w:val="0093681E"/>
    <w:rsid w:val="00936838"/>
    <w:rsid w:val="00936952"/>
    <w:rsid w:val="00937ED0"/>
    <w:rsid w:val="0094019C"/>
    <w:rsid w:val="00940C6E"/>
    <w:rsid w:val="00940C9D"/>
    <w:rsid w:val="00940F9C"/>
    <w:rsid w:val="0094171B"/>
    <w:rsid w:val="00941943"/>
    <w:rsid w:val="00941C2E"/>
    <w:rsid w:val="00942021"/>
    <w:rsid w:val="00942873"/>
    <w:rsid w:val="00943357"/>
    <w:rsid w:val="00944565"/>
    <w:rsid w:val="00944762"/>
    <w:rsid w:val="00944F45"/>
    <w:rsid w:val="00945553"/>
    <w:rsid w:val="0094735E"/>
    <w:rsid w:val="009509AA"/>
    <w:rsid w:val="009509BC"/>
    <w:rsid w:val="00952741"/>
    <w:rsid w:val="00952C9E"/>
    <w:rsid w:val="009540B8"/>
    <w:rsid w:val="00954811"/>
    <w:rsid w:val="00954998"/>
    <w:rsid w:val="00954AAA"/>
    <w:rsid w:val="0095540B"/>
    <w:rsid w:val="00955D97"/>
    <w:rsid w:val="0095633E"/>
    <w:rsid w:val="0095667F"/>
    <w:rsid w:val="0095682A"/>
    <w:rsid w:val="00960E62"/>
    <w:rsid w:val="00961CD0"/>
    <w:rsid w:val="009645F2"/>
    <w:rsid w:val="009648A2"/>
    <w:rsid w:val="00965263"/>
    <w:rsid w:val="0096536F"/>
    <w:rsid w:val="00967186"/>
    <w:rsid w:val="00970F49"/>
    <w:rsid w:val="0097238F"/>
    <w:rsid w:val="009724A5"/>
    <w:rsid w:val="00972A9A"/>
    <w:rsid w:val="00972D68"/>
    <w:rsid w:val="0097333F"/>
    <w:rsid w:val="009733AC"/>
    <w:rsid w:val="00974871"/>
    <w:rsid w:val="00975F94"/>
    <w:rsid w:val="0097791B"/>
    <w:rsid w:val="00977E9B"/>
    <w:rsid w:val="009803A4"/>
    <w:rsid w:val="0098137D"/>
    <w:rsid w:val="00982333"/>
    <w:rsid w:val="0098309E"/>
    <w:rsid w:val="00983AE2"/>
    <w:rsid w:val="0098426F"/>
    <w:rsid w:val="00984285"/>
    <w:rsid w:val="00985B1E"/>
    <w:rsid w:val="00985BC5"/>
    <w:rsid w:val="00985D6A"/>
    <w:rsid w:val="00986A07"/>
    <w:rsid w:val="00986E24"/>
    <w:rsid w:val="00987BAA"/>
    <w:rsid w:val="00990093"/>
    <w:rsid w:val="0099275F"/>
    <w:rsid w:val="00994819"/>
    <w:rsid w:val="00995274"/>
    <w:rsid w:val="00995E8A"/>
    <w:rsid w:val="009A0EE0"/>
    <w:rsid w:val="009A1055"/>
    <w:rsid w:val="009A4B97"/>
    <w:rsid w:val="009A5200"/>
    <w:rsid w:val="009A544A"/>
    <w:rsid w:val="009A6C27"/>
    <w:rsid w:val="009A7092"/>
    <w:rsid w:val="009A712B"/>
    <w:rsid w:val="009A7610"/>
    <w:rsid w:val="009A77C4"/>
    <w:rsid w:val="009A7C29"/>
    <w:rsid w:val="009B1AF1"/>
    <w:rsid w:val="009B2BAF"/>
    <w:rsid w:val="009B3BF5"/>
    <w:rsid w:val="009B5DB8"/>
    <w:rsid w:val="009B6327"/>
    <w:rsid w:val="009B6A1C"/>
    <w:rsid w:val="009C43BB"/>
    <w:rsid w:val="009C55EC"/>
    <w:rsid w:val="009C5BEB"/>
    <w:rsid w:val="009C6B5D"/>
    <w:rsid w:val="009C7925"/>
    <w:rsid w:val="009D0DC3"/>
    <w:rsid w:val="009D12A1"/>
    <w:rsid w:val="009D3853"/>
    <w:rsid w:val="009D433B"/>
    <w:rsid w:val="009D4379"/>
    <w:rsid w:val="009D5595"/>
    <w:rsid w:val="009D62F3"/>
    <w:rsid w:val="009D6E9A"/>
    <w:rsid w:val="009E03FF"/>
    <w:rsid w:val="009E0418"/>
    <w:rsid w:val="009E07FD"/>
    <w:rsid w:val="009E1BB6"/>
    <w:rsid w:val="009E350A"/>
    <w:rsid w:val="009E374B"/>
    <w:rsid w:val="009E4137"/>
    <w:rsid w:val="009E54FD"/>
    <w:rsid w:val="009E576D"/>
    <w:rsid w:val="009E6CDF"/>
    <w:rsid w:val="009E6E2F"/>
    <w:rsid w:val="009F2023"/>
    <w:rsid w:val="009F3861"/>
    <w:rsid w:val="009F3D82"/>
    <w:rsid w:val="009F64FC"/>
    <w:rsid w:val="009F6926"/>
    <w:rsid w:val="009F6CED"/>
    <w:rsid w:val="009F70FB"/>
    <w:rsid w:val="009F7510"/>
    <w:rsid w:val="00A01190"/>
    <w:rsid w:val="00A01A68"/>
    <w:rsid w:val="00A024E9"/>
    <w:rsid w:val="00A02A63"/>
    <w:rsid w:val="00A02DAB"/>
    <w:rsid w:val="00A03C7E"/>
    <w:rsid w:val="00A05634"/>
    <w:rsid w:val="00A059DC"/>
    <w:rsid w:val="00A05FF7"/>
    <w:rsid w:val="00A06EE3"/>
    <w:rsid w:val="00A105B6"/>
    <w:rsid w:val="00A1082E"/>
    <w:rsid w:val="00A10EB5"/>
    <w:rsid w:val="00A121B3"/>
    <w:rsid w:val="00A121B9"/>
    <w:rsid w:val="00A126EB"/>
    <w:rsid w:val="00A143C7"/>
    <w:rsid w:val="00A15C0B"/>
    <w:rsid w:val="00A17099"/>
    <w:rsid w:val="00A2051A"/>
    <w:rsid w:val="00A2192D"/>
    <w:rsid w:val="00A23EDF"/>
    <w:rsid w:val="00A242AD"/>
    <w:rsid w:val="00A24399"/>
    <w:rsid w:val="00A26A6F"/>
    <w:rsid w:val="00A310F9"/>
    <w:rsid w:val="00A316D9"/>
    <w:rsid w:val="00A31E98"/>
    <w:rsid w:val="00A323E7"/>
    <w:rsid w:val="00A35E52"/>
    <w:rsid w:val="00A36BAE"/>
    <w:rsid w:val="00A37137"/>
    <w:rsid w:val="00A37F0A"/>
    <w:rsid w:val="00A421B3"/>
    <w:rsid w:val="00A44AEC"/>
    <w:rsid w:val="00A46E78"/>
    <w:rsid w:val="00A51A29"/>
    <w:rsid w:val="00A53A52"/>
    <w:rsid w:val="00A53BB6"/>
    <w:rsid w:val="00A54F72"/>
    <w:rsid w:val="00A55903"/>
    <w:rsid w:val="00A55D2E"/>
    <w:rsid w:val="00A56352"/>
    <w:rsid w:val="00A5770C"/>
    <w:rsid w:val="00A6124E"/>
    <w:rsid w:val="00A62378"/>
    <w:rsid w:val="00A6646F"/>
    <w:rsid w:val="00A66B41"/>
    <w:rsid w:val="00A700E2"/>
    <w:rsid w:val="00A70250"/>
    <w:rsid w:val="00A725BB"/>
    <w:rsid w:val="00A726CE"/>
    <w:rsid w:val="00A73385"/>
    <w:rsid w:val="00A740A8"/>
    <w:rsid w:val="00A75479"/>
    <w:rsid w:val="00A75705"/>
    <w:rsid w:val="00A75A21"/>
    <w:rsid w:val="00A761B6"/>
    <w:rsid w:val="00A77460"/>
    <w:rsid w:val="00A80E7B"/>
    <w:rsid w:val="00A81C0B"/>
    <w:rsid w:val="00A81FA8"/>
    <w:rsid w:val="00A820A6"/>
    <w:rsid w:val="00A82FC8"/>
    <w:rsid w:val="00A84FEE"/>
    <w:rsid w:val="00A8535F"/>
    <w:rsid w:val="00A85730"/>
    <w:rsid w:val="00A86DAC"/>
    <w:rsid w:val="00A8723D"/>
    <w:rsid w:val="00A87703"/>
    <w:rsid w:val="00A87F7B"/>
    <w:rsid w:val="00A90341"/>
    <w:rsid w:val="00A91A73"/>
    <w:rsid w:val="00A91C32"/>
    <w:rsid w:val="00A93FFC"/>
    <w:rsid w:val="00A963ED"/>
    <w:rsid w:val="00A967F3"/>
    <w:rsid w:val="00A96931"/>
    <w:rsid w:val="00A9749E"/>
    <w:rsid w:val="00A977F2"/>
    <w:rsid w:val="00A97E6E"/>
    <w:rsid w:val="00AA5C79"/>
    <w:rsid w:val="00AB13B1"/>
    <w:rsid w:val="00AB199F"/>
    <w:rsid w:val="00AB25E7"/>
    <w:rsid w:val="00AB3C32"/>
    <w:rsid w:val="00AB45EF"/>
    <w:rsid w:val="00AB5E5F"/>
    <w:rsid w:val="00AB6279"/>
    <w:rsid w:val="00AB731D"/>
    <w:rsid w:val="00AB7A32"/>
    <w:rsid w:val="00AC2DBE"/>
    <w:rsid w:val="00AC549B"/>
    <w:rsid w:val="00AC607A"/>
    <w:rsid w:val="00AC6E8B"/>
    <w:rsid w:val="00AC7614"/>
    <w:rsid w:val="00AC766C"/>
    <w:rsid w:val="00AC798E"/>
    <w:rsid w:val="00AD0000"/>
    <w:rsid w:val="00AD3682"/>
    <w:rsid w:val="00AD4209"/>
    <w:rsid w:val="00AD44C0"/>
    <w:rsid w:val="00AD61F6"/>
    <w:rsid w:val="00AD70E0"/>
    <w:rsid w:val="00AD7167"/>
    <w:rsid w:val="00AE2239"/>
    <w:rsid w:val="00AE2E60"/>
    <w:rsid w:val="00AE59FD"/>
    <w:rsid w:val="00AE5D3D"/>
    <w:rsid w:val="00AE69EE"/>
    <w:rsid w:val="00AE7DA4"/>
    <w:rsid w:val="00AF0B65"/>
    <w:rsid w:val="00AF250C"/>
    <w:rsid w:val="00AF3374"/>
    <w:rsid w:val="00AF5A23"/>
    <w:rsid w:val="00AF601E"/>
    <w:rsid w:val="00AF694A"/>
    <w:rsid w:val="00AF795E"/>
    <w:rsid w:val="00B010E2"/>
    <w:rsid w:val="00B01C39"/>
    <w:rsid w:val="00B02C88"/>
    <w:rsid w:val="00B04285"/>
    <w:rsid w:val="00B04835"/>
    <w:rsid w:val="00B07EE8"/>
    <w:rsid w:val="00B104C6"/>
    <w:rsid w:val="00B11D84"/>
    <w:rsid w:val="00B1224E"/>
    <w:rsid w:val="00B125BF"/>
    <w:rsid w:val="00B12D57"/>
    <w:rsid w:val="00B13390"/>
    <w:rsid w:val="00B13865"/>
    <w:rsid w:val="00B13E71"/>
    <w:rsid w:val="00B15BC3"/>
    <w:rsid w:val="00B21447"/>
    <w:rsid w:val="00B223C8"/>
    <w:rsid w:val="00B2296A"/>
    <w:rsid w:val="00B22D64"/>
    <w:rsid w:val="00B24C5F"/>
    <w:rsid w:val="00B25796"/>
    <w:rsid w:val="00B27A07"/>
    <w:rsid w:val="00B27AF6"/>
    <w:rsid w:val="00B31690"/>
    <w:rsid w:val="00B3337D"/>
    <w:rsid w:val="00B34136"/>
    <w:rsid w:val="00B346C1"/>
    <w:rsid w:val="00B34944"/>
    <w:rsid w:val="00B36A21"/>
    <w:rsid w:val="00B3726C"/>
    <w:rsid w:val="00B374A8"/>
    <w:rsid w:val="00B37BEF"/>
    <w:rsid w:val="00B40658"/>
    <w:rsid w:val="00B414B8"/>
    <w:rsid w:val="00B42517"/>
    <w:rsid w:val="00B43061"/>
    <w:rsid w:val="00B432AC"/>
    <w:rsid w:val="00B43BA2"/>
    <w:rsid w:val="00B44FA5"/>
    <w:rsid w:val="00B454F7"/>
    <w:rsid w:val="00B52E6D"/>
    <w:rsid w:val="00B52ED0"/>
    <w:rsid w:val="00B53A73"/>
    <w:rsid w:val="00B54603"/>
    <w:rsid w:val="00B552DA"/>
    <w:rsid w:val="00B5608D"/>
    <w:rsid w:val="00B562E2"/>
    <w:rsid w:val="00B56A11"/>
    <w:rsid w:val="00B56ECB"/>
    <w:rsid w:val="00B572A0"/>
    <w:rsid w:val="00B57E1B"/>
    <w:rsid w:val="00B603C2"/>
    <w:rsid w:val="00B6095E"/>
    <w:rsid w:val="00B62B84"/>
    <w:rsid w:val="00B62D66"/>
    <w:rsid w:val="00B63087"/>
    <w:rsid w:val="00B63193"/>
    <w:rsid w:val="00B64C68"/>
    <w:rsid w:val="00B659F4"/>
    <w:rsid w:val="00B661B0"/>
    <w:rsid w:val="00B66398"/>
    <w:rsid w:val="00B67DCE"/>
    <w:rsid w:val="00B70C39"/>
    <w:rsid w:val="00B70F0A"/>
    <w:rsid w:val="00B726D6"/>
    <w:rsid w:val="00B72B55"/>
    <w:rsid w:val="00B735C1"/>
    <w:rsid w:val="00B7381C"/>
    <w:rsid w:val="00B73CA6"/>
    <w:rsid w:val="00B73EDF"/>
    <w:rsid w:val="00B74212"/>
    <w:rsid w:val="00B7526C"/>
    <w:rsid w:val="00B76D9A"/>
    <w:rsid w:val="00B80857"/>
    <w:rsid w:val="00B81841"/>
    <w:rsid w:val="00B8206E"/>
    <w:rsid w:val="00B8251F"/>
    <w:rsid w:val="00B832B1"/>
    <w:rsid w:val="00B85A40"/>
    <w:rsid w:val="00B87616"/>
    <w:rsid w:val="00B90617"/>
    <w:rsid w:val="00B90754"/>
    <w:rsid w:val="00B91207"/>
    <w:rsid w:val="00B9205C"/>
    <w:rsid w:val="00B920E4"/>
    <w:rsid w:val="00B94187"/>
    <w:rsid w:val="00B94B43"/>
    <w:rsid w:val="00B96AED"/>
    <w:rsid w:val="00B97073"/>
    <w:rsid w:val="00B97620"/>
    <w:rsid w:val="00BA1AB7"/>
    <w:rsid w:val="00BA3FCD"/>
    <w:rsid w:val="00BA47A8"/>
    <w:rsid w:val="00BA4DDB"/>
    <w:rsid w:val="00BA57D7"/>
    <w:rsid w:val="00BA5CA3"/>
    <w:rsid w:val="00BA6CBE"/>
    <w:rsid w:val="00BB07E1"/>
    <w:rsid w:val="00BB145E"/>
    <w:rsid w:val="00BB1A2E"/>
    <w:rsid w:val="00BB26BB"/>
    <w:rsid w:val="00BB30DF"/>
    <w:rsid w:val="00BB3339"/>
    <w:rsid w:val="00BB4244"/>
    <w:rsid w:val="00BB4CF4"/>
    <w:rsid w:val="00BB5D91"/>
    <w:rsid w:val="00BB610B"/>
    <w:rsid w:val="00BB6855"/>
    <w:rsid w:val="00BB7ADA"/>
    <w:rsid w:val="00BB7AFC"/>
    <w:rsid w:val="00BB7D7D"/>
    <w:rsid w:val="00BC096B"/>
    <w:rsid w:val="00BC15EC"/>
    <w:rsid w:val="00BC1E07"/>
    <w:rsid w:val="00BC2B1A"/>
    <w:rsid w:val="00BC3C09"/>
    <w:rsid w:val="00BC512C"/>
    <w:rsid w:val="00BC5675"/>
    <w:rsid w:val="00BC618A"/>
    <w:rsid w:val="00BC769F"/>
    <w:rsid w:val="00BC7A4C"/>
    <w:rsid w:val="00BC7FF9"/>
    <w:rsid w:val="00BD07E6"/>
    <w:rsid w:val="00BD2EED"/>
    <w:rsid w:val="00BD3855"/>
    <w:rsid w:val="00BD5628"/>
    <w:rsid w:val="00BD5AF3"/>
    <w:rsid w:val="00BD6C21"/>
    <w:rsid w:val="00BD7681"/>
    <w:rsid w:val="00BD7EF8"/>
    <w:rsid w:val="00BE0142"/>
    <w:rsid w:val="00BE22C8"/>
    <w:rsid w:val="00BE2377"/>
    <w:rsid w:val="00BE3345"/>
    <w:rsid w:val="00BE35EB"/>
    <w:rsid w:val="00BE461E"/>
    <w:rsid w:val="00BE5A4D"/>
    <w:rsid w:val="00BE61C8"/>
    <w:rsid w:val="00BE64F5"/>
    <w:rsid w:val="00BE7956"/>
    <w:rsid w:val="00BE79A6"/>
    <w:rsid w:val="00BF086C"/>
    <w:rsid w:val="00BF17F2"/>
    <w:rsid w:val="00BF1A73"/>
    <w:rsid w:val="00BF1CAD"/>
    <w:rsid w:val="00BF2508"/>
    <w:rsid w:val="00BF33D2"/>
    <w:rsid w:val="00BF37C2"/>
    <w:rsid w:val="00BF3935"/>
    <w:rsid w:val="00BF39BB"/>
    <w:rsid w:val="00BF46BB"/>
    <w:rsid w:val="00BF5719"/>
    <w:rsid w:val="00BF607C"/>
    <w:rsid w:val="00C00A00"/>
    <w:rsid w:val="00C01112"/>
    <w:rsid w:val="00C01494"/>
    <w:rsid w:val="00C01BFB"/>
    <w:rsid w:val="00C02260"/>
    <w:rsid w:val="00C025E7"/>
    <w:rsid w:val="00C0263E"/>
    <w:rsid w:val="00C02DF8"/>
    <w:rsid w:val="00C0561B"/>
    <w:rsid w:val="00C0647D"/>
    <w:rsid w:val="00C10554"/>
    <w:rsid w:val="00C10625"/>
    <w:rsid w:val="00C108ED"/>
    <w:rsid w:val="00C1184C"/>
    <w:rsid w:val="00C11A1B"/>
    <w:rsid w:val="00C11C5E"/>
    <w:rsid w:val="00C12763"/>
    <w:rsid w:val="00C12C0D"/>
    <w:rsid w:val="00C134D8"/>
    <w:rsid w:val="00C13D4D"/>
    <w:rsid w:val="00C148BC"/>
    <w:rsid w:val="00C16046"/>
    <w:rsid w:val="00C20CDF"/>
    <w:rsid w:val="00C21F6B"/>
    <w:rsid w:val="00C23456"/>
    <w:rsid w:val="00C2390A"/>
    <w:rsid w:val="00C2498B"/>
    <w:rsid w:val="00C24A0A"/>
    <w:rsid w:val="00C24E8B"/>
    <w:rsid w:val="00C25CDF"/>
    <w:rsid w:val="00C263A8"/>
    <w:rsid w:val="00C26C8D"/>
    <w:rsid w:val="00C2708E"/>
    <w:rsid w:val="00C30A10"/>
    <w:rsid w:val="00C317A4"/>
    <w:rsid w:val="00C33D18"/>
    <w:rsid w:val="00C350F0"/>
    <w:rsid w:val="00C414D7"/>
    <w:rsid w:val="00C420DF"/>
    <w:rsid w:val="00C43040"/>
    <w:rsid w:val="00C43DE8"/>
    <w:rsid w:val="00C43E3A"/>
    <w:rsid w:val="00C44D2D"/>
    <w:rsid w:val="00C44DAE"/>
    <w:rsid w:val="00C52C4B"/>
    <w:rsid w:val="00C53DDA"/>
    <w:rsid w:val="00C56B1C"/>
    <w:rsid w:val="00C56DF6"/>
    <w:rsid w:val="00C5737B"/>
    <w:rsid w:val="00C6016E"/>
    <w:rsid w:val="00C6038C"/>
    <w:rsid w:val="00C60584"/>
    <w:rsid w:val="00C6060A"/>
    <w:rsid w:val="00C60B28"/>
    <w:rsid w:val="00C6126A"/>
    <w:rsid w:val="00C62091"/>
    <w:rsid w:val="00C6258D"/>
    <w:rsid w:val="00C62A66"/>
    <w:rsid w:val="00C63628"/>
    <w:rsid w:val="00C63E52"/>
    <w:rsid w:val="00C66938"/>
    <w:rsid w:val="00C67663"/>
    <w:rsid w:val="00C705A5"/>
    <w:rsid w:val="00C729D3"/>
    <w:rsid w:val="00C729E7"/>
    <w:rsid w:val="00C72B5E"/>
    <w:rsid w:val="00C737F9"/>
    <w:rsid w:val="00C73A5B"/>
    <w:rsid w:val="00C73FA9"/>
    <w:rsid w:val="00C74081"/>
    <w:rsid w:val="00C7632C"/>
    <w:rsid w:val="00C77E0D"/>
    <w:rsid w:val="00C801D4"/>
    <w:rsid w:val="00C8146A"/>
    <w:rsid w:val="00C815B5"/>
    <w:rsid w:val="00C81AD4"/>
    <w:rsid w:val="00C82D4C"/>
    <w:rsid w:val="00C8302B"/>
    <w:rsid w:val="00C832A5"/>
    <w:rsid w:val="00C84EB8"/>
    <w:rsid w:val="00C853DA"/>
    <w:rsid w:val="00C904F1"/>
    <w:rsid w:val="00C93076"/>
    <w:rsid w:val="00C9363B"/>
    <w:rsid w:val="00C9391B"/>
    <w:rsid w:val="00C9418E"/>
    <w:rsid w:val="00C94270"/>
    <w:rsid w:val="00C9510D"/>
    <w:rsid w:val="00C9531E"/>
    <w:rsid w:val="00C96A49"/>
    <w:rsid w:val="00C96D02"/>
    <w:rsid w:val="00C96F79"/>
    <w:rsid w:val="00CA0E8F"/>
    <w:rsid w:val="00CA1042"/>
    <w:rsid w:val="00CA19D6"/>
    <w:rsid w:val="00CA2681"/>
    <w:rsid w:val="00CA2CFB"/>
    <w:rsid w:val="00CA3243"/>
    <w:rsid w:val="00CA3F81"/>
    <w:rsid w:val="00CA603F"/>
    <w:rsid w:val="00CA6FB7"/>
    <w:rsid w:val="00CA6FBA"/>
    <w:rsid w:val="00CA7651"/>
    <w:rsid w:val="00CA7C9F"/>
    <w:rsid w:val="00CA7D86"/>
    <w:rsid w:val="00CB049B"/>
    <w:rsid w:val="00CB319C"/>
    <w:rsid w:val="00CB4268"/>
    <w:rsid w:val="00CB4887"/>
    <w:rsid w:val="00CB4D62"/>
    <w:rsid w:val="00CB6FBF"/>
    <w:rsid w:val="00CB7E17"/>
    <w:rsid w:val="00CC0560"/>
    <w:rsid w:val="00CC151F"/>
    <w:rsid w:val="00CC22F9"/>
    <w:rsid w:val="00CC230B"/>
    <w:rsid w:val="00CC274B"/>
    <w:rsid w:val="00CC294E"/>
    <w:rsid w:val="00CC33DF"/>
    <w:rsid w:val="00CC4EB8"/>
    <w:rsid w:val="00CC5E64"/>
    <w:rsid w:val="00CC6A51"/>
    <w:rsid w:val="00CD0F60"/>
    <w:rsid w:val="00CD1BCC"/>
    <w:rsid w:val="00CD32E1"/>
    <w:rsid w:val="00CD3427"/>
    <w:rsid w:val="00CD4064"/>
    <w:rsid w:val="00CD4302"/>
    <w:rsid w:val="00CD58EF"/>
    <w:rsid w:val="00CD6D47"/>
    <w:rsid w:val="00CD7FC2"/>
    <w:rsid w:val="00CE0726"/>
    <w:rsid w:val="00CE0BED"/>
    <w:rsid w:val="00CE19BE"/>
    <w:rsid w:val="00CE1BF2"/>
    <w:rsid w:val="00CE2DCF"/>
    <w:rsid w:val="00CE3A87"/>
    <w:rsid w:val="00CE3AFB"/>
    <w:rsid w:val="00CE6BE7"/>
    <w:rsid w:val="00CE755F"/>
    <w:rsid w:val="00CE7640"/>
    <w:rsid w:val="00CF13B5"/>
    <w:rsid w:val="00CF3A18"/>
    <w:rsid w:val="00CF5CF9"/>
    <w:rsid w:val="00CF6D7A"/>
    <w:rsid w:val="00CF6ED6"/>
    <w:rsid w:val="00CF759C"/>
    <w:rsid w:val="00CF7737"/>
    <w:rsid w:val="00D00C78"/>
    <w:rsid w:val="00D02C9E"/>
    <w:rsid w:val="00D03193"/>
    <w:rsid w:val="00D046FC"/>
    <w:rsid w:val="00D06F2E"/>
    <w:rsid w:val="00D11242"/>
    <w:rsid w:val="00D1169D"/>
    <w:rsid w:val="00D11CD6"/>
    <w:rsid w:val="00D13802"/>
    <w:rsid w:val="00D143D3"/>
    <w:rsid w:val="00D14BF8"/>
    <w:rsid w:val="00D14F0E"/>
    <w:rsid w:val="00D163D0"/>
    <w:rsid w:val="00D20F72"/>
    <w:rsid w:val="00D21EEE"/>
    <w:rsid w:val="00D21F92"/>
    <w:rsid w:val="00D22970"/>
    <w:rsid w:val="00D229D3"/>
    <w:rsid w:val="00D251A1"/>
    <w:rsid w:val="00D2585E"/>
    <w:rsid w:val="00D31D3C"/>
    <w:rsid w:val="00D33E71"/>
    <w:rsid w:val="00D35C26"/>
    <w:rsid w:val="00D40CD0"/>
    <w:rsid w:val="00D43239"/>
    <w:rsid w:val="00D451A1"/>
    <w:rsid w:val="00D455F3"/>
    <w:rsid w:val="00D464B0"/>
    <w:rsid w:val="00D50242"/>
    <w:rsid w:val="00D51C3C"/>
    <w:rsid w:val="00D51CD3"/>
    <w:rsid w:val="00D51E39"/>
    <w:rsid w:val="00D52EE2"/>
    <w:rsid w:val="00D53501"/>
    <w:rsid w:val="00D5386C"/>
    <w:rsid w:val="00D540A6"/>
    <w:rsid w:val="00D55EF3"/>
    <w:rsid w:val="00D5679B"/>
    <w:rsid w:val="00D569AE"/>
    <w:rsid w:val="00D57BE2"/>
    <w:rsid w:val="00D60B2A"/>
    <w:rsid w:val="00D616A7"/>
    <w:rsid w:val="00D61BC6"/>
    <w:rsid w:val="00D61BE0"/>
    <w:rsid w:val="00D6282C"/>
    <w:rsid w:val="00D62B56"/>
    <w:rsid w:val="00D6320B"/>
    <w:rsid w:val="00D63B81"/>
    <w:rsid w:val="00D643D1"/>
    <w:rsid w:val="00D64B55"/>
    <w:rsid w:val="00D66E35"/>
    <w:rsid w:val="00D6767C"/>
    <w:rsid w:val="00D67827"/>
    <w:rsid w:val="00D700A4"/>
    <w:rsid w:val="00D72B9B"/>
    <w:rsid w:val="00D72C7F"/>
    <w:rsid w:val="00D72FA5"/>
    <w:rsid w:val="00D74D0B"/>
    <w:rsid w:val="00D770DB"/>
    <w:rsid w:val="00D775D2"/>
    <w:rsid w:val="00D778B7"/>
    <w:rsid w:val="00D808FF"/>
    <w:rsid w:val="00D81187"/>
    <w:rsid w:val="00D8135F"/>
    <w:rsid w:val="00D81C55"/>
    <w:rsid w:val="00D822D3"/>
    <w:rsid w:val="00D8383E"/>
    <w:rsid w:val="00D83C9E"/>
    <w:rsid w:val="00D83D79"/>
    <w:rsid w:val="00D84487"/>
    <w:rsid w:val="00D85AB5"/>
    <w:rsid w:val="00D86210"/>
    <w:rsid w:val="00D86295"/>
    <w:rsid w:val="00D8649C"/>
    <w:rsid w:val="00D8793B"/>
    <w:rsid w:val="00D879D1"/>
    <w:rsid w:val="00D91A7B"/>
    <w:rsid w:val="00D94C2C"/>
    <w:rsid w:val="00D94CD0"/>
    <w:rsid w:val="00D96558"/>
    <w:rsid w:val="00D967FA"/>
    <w:rsid w:val="00DA0A3E"/>
    <w:rsid w:val="00DA1330"/>
    <w:rsid w:val="00DA1ADC"/>
    <w:rsid w:val="00DA2BE5"/>
    <w:rsid w:val="00DA2D7A"/>
    <w:rsid w:val="00DA34F2"/>
    <w:rsid w:val="00DB30B2"/>
    <w:rsid w:val="00DB41C9"/>
    <w:rsid w:val="00DB423A"/>
    <w:rsid w:val="00DB548B"/>
    <w:rsid w:val="00DB5765"/>
    <w:rsid w:val="00DB629A"/>
    <w:rsid w:val="00DB713F"/>
    <w:rsid w:val="00DB73C5"/>
    <w:rsid w:val="00DC106C"/>
    <w:rsid w:val="00DC2259"/>
    <w:rsid w:val="00DC2C99"/>
    <w:rsid w:val="00DC2D12"/>
    <w:rsid w:val="00DC3945"/>
    <w:rsid w:val="00DC45E1"/>
    <w:rsid w:val="00DC46C9"/>
    <w:rsid w:val="00DC47A4"/>
    <w:rsid w:val="00DC4AAE"/>
    <w:rsid w:val="00DC5248"/>
    <w:rsid w:val="00DC5536"/>
    <w:rsid w:val="00DC5C85"/>
    <w:rsid w:val="00DD058B"/>
    <w:rsid w:val="00DD0C0F"/>
    <w:rsid w:val="00DD1B81"/>
    <w:rsid w:val="00DD2029"/>
    <w:rsid w:val="00DD391B"/>
    <w:rsid w:val="00DD4837"/>
    <w:rsid w:val="00DD785C"/>
    <w:rsid w:val="00DD7BC3"/>
    <w:rsid w:val="00DD7D4D"/>
    <w:rsid w:val="00DE009F"/>
    <w:rsid w:val="00DE042E"/>
    <w:rsid w:val="00DE0739"/>
    <w:rsid w:val="00DE0E94"/>
    <w:rsid w:val="00DE12D7"/>
    <w:rsid w:val="00DE2E53"/>
    <w:rsid w:val="00DE2EE9"/>
    <w:rsid w:val="00DE2EF3"/>
    <w:rsid w:val="00DE379F"/>
    <w:rsid w:val="00DE4930"/>
    <w:rsid w:val="00DE617C"/>
    <w:rsid w:val="00DE67A0"/>
    <w:rsid w:val="00DF1C33"/>
    <w:rsid w:val="00DF2382"/>
    <w:rsid w:val="00DF2A62"/>
    <w:rsid w:val="00DF4349"/>
    <w:rsid w:val="00DF4808"/>
    <w:rsid w:val="00DF4D0D"/>
    <w:rsid w:val="00DF62FA"/>
    <w:rsid w:val="00E016DB"/>
    <w:rsid w:val="00E0197C"/>
    <w:rsid w:val="00E0237A"/>
    <w:rsid w:val="00E0254F"/>
    <w:rsid w:val="00E02B10"/>
    <w:rsid w:val="00E04084"/>
    <w:rsid w:val="00E047E0"/>
    <w:rsid w:val="00E04B3B"/>
    <w:rsid w:val="00E07445"/>
    <w:rsid w:val="00E111E4"/>
    <w:rsid w:val="00E11770"/>
    <w:rsid w:val="00E11BE3"/>
    <w:rsid w:val="00E11C33"/>
    <w:rsid w:val="00E11F09"/>
    <w:rsid w:val="00E12B3B"/>
    <w:rsid w:val="00E13054"/>
    <w:rsid w:val="00E13402"/>
    <w:rsid w:val="00E140B0"/>
    <w:rsid w:val="00E142C1"/>
    <w:rsid w:val="00E14F5A"/>
    <w:rsid w:val="00E15513"/>
    <w:rsid w:val="00E15B74"/>
    <w:rsid w:val="00E15BF2"/>
    <w:rsid w:val="00E17157"/>
    <w:rsid w:val="00E17419"/>
    <w:rsid w:val="00E2032A"/>
    <w:rsid w:val="00E20A68"/>
    <w:rsid w:val="00E21F15"/>
    <w:rsid w:val="00E23097"/>
    <w:rsid w:val="00E2327B"/>
    <w:rsid w:val="00E2589C"/>
    <w:rsid w:val="00E25B7D"/>
    <w:rsid w:val="00E2632E"/>
    <w:rsid w:val="00E270C1"/>
    <w:rsid w:val="00E31502"/>
    <w:rsid w:val="00E32462"/>
    <w:rsid w:val="00E32E34"/>
    <w:rsid w:val="00E33424"/>
    <w:rsid w:val="00E33A75"/>
    <w:rsid w:val="00E33F87"/>
    <w:rsid w:val="00E3463F"/>
    <w:rsid w:val="00E34B6C"/>
    <w:rsid w:val="00E361F5"/>
    <w:rsid w:val="00E375CE"/>
    <w:rsid w:val="00E40242"/>
    <w:rsid w:val="00E40828"/>
    <w:rsid w:val="00E40C19"/>
    <w:rsid w:val="00E40FE6"/>
    <w:rsid w:val="00E40FE8"/>
    <w:rsid w:val="00E4134D"/>
    <w:rsid w:val="00E4193F"/>
    <w:rsid w:val="00E41B0C"/>
    <w:rsid w:val="00E42341"/>
    <w:rsid w:val="00E42CBB"/>
    <w:rsid w:val="00E43520"/>
    <w:rsid w:val="00E43D61"/>
    <w:rsid w:val="00E44B8A"/>
    <w:rsid w:val="00E45966"/>
    <w:rsid w:val="00E459E1"/>
    <w:rsid w:val="00E46295"/>
    <w:rsid w:val="00E46D5F"/>
    <w:rsid w:val="00E513FC"/>
    <w:rsid w:val="00E516D9"/>
    <w:rsid w:val="00E538DB"/>
    <w:rsid w:val="00E5415A"/>
    <w:rsid w:val="00E54E2C"/>
    <w:rsid w:val="00E569EB"/>
    <w:rsid w:val="00E5716A"/>
    <w:rsid w:val="00E61630"/>
    <w:rsid w:val="00E6166A"/>
    <w:rsid w:val="00E64356"/>
    <w:rsid w:val="00E64F3E"/>
    <w:rsid w:val="00E65519"/>
    <w:rsid w:val="00E6560A"/>
    <w:rsid w:val="00E65726"/>
    <w:rsid w:val="00E662BB"/>
    <w:rsid w:val="00E673C8"/>
    <w:rsid w:val="00E67446"/>
    <w:rsid w:val="00E67A22"/>
    <w:rsid w:val="00E7044D"/>
    <w:rsid w:val="00E704EA"/>
    <w:rsid w:val="00E70611"/>
    <w:rsid w:val="00E713CD"/>
    <w:rsid w:val="00E736FF"/>
    <w:rsid w:val="00E75432"/>
    <w:rsid w:val="00E7581D"/>
    <w:rsid w:val="00E764C3"/>
    <w:rsid w:val="00E765EF"/>
    <w:rsid w:val="00E77808"/>
    <w:rsid w:val="00E82D9D"/>
    <w:rsid w:val="00E83C85"/>
    <w:rsid w:val="00E84623"/>
    <w:rsid w:val="00E84D87"/>
    <w:rsid w:val="00E85CDF"/>
    <w:rsid w:val="00E86616"/>
    <w:rsid w:val="00E872C7"/>
    <w:rsid w:val="00E87808"/>
    <w:rsid w:val="00E8790A"/>
    <w:rsid w:val="00E87ABB"/>
    <w:rsid w:val="00E87C91"/>
    <w:rsid w:val="00E9064F"/>
    <w:rsid w:val="00E910A9"/>
    <w:rsid w:val="00E91247"/>
    <w:rsid w:val="00E91411"/>
    <w:rsid w:val="00E92BF0"/>
    <w:rsid w:val="00E92C64"/>
    <w:rsid w:val="00E93541"/>
    <w:rsid w:val="00E949EC"/>
    <w:rsid w:val="00E953CE"/>
    <w:rsid w:val="00E958E8"/>
    <w:rsid w:val="00E96623"/>
    <w:rsid w:val="00E96668"/>
    <w:rsid w:val="00EA0652"/>
    <w:rsid w:val="00EA1782"/>
    <w:rsid w:val="00EA1F24"/>
    <w:rsid w:val="00EA2DB8"/>
    <w:rsid w:val="00EA39A7"/>
    <w:rsid w:val="00EA7125"/>
    <w:rsid w:val="00EB1681"/>
    <w:rsid w:val="00EB2CB4"/>
    <w:rsid w:val="00EB3A1F"/>
    <w:rsid w:val="00EB3E97"/>
    <w:rsid w:val="00EB4EA5"/>
    <w:rsid w:val="00EB55BA"/>
    <w:rsid w:val="00EC1A48"/>
    <w:rsid w:val="00EC26FE"/>
    <w:rsid w:val="00EC3B54"/>
    <w:rsid w:val="00EC3F97"/>
    <w:rsid w:val="00EC432B"/>
    <w:rsid w:val="00EC6662"/>
    <w:rsid w:val="00EC675E"/>
    <w:rsid w:val="00EC78FA"/>
    <w:rsid w:val="00ED01AD"/>
    <w:rsid w:val="00ED2146"/>
    <w:rsid w:val="00ED2BB9"/>
    <w:rsid w:val="00ED4146"/>
    <w:rsid w:val="00ED5710"/>
    <w:rsid w:val="00EE1BDD"/>
    <w:rsid w:val="00EE3FFB"/>
    <w:rsid w:val="00EE479C"/>
    <w:rsid w:val="00EE5946"/>
    <w:rsid w:val="00EE5EA2"/>
    <w:rsid w:val="00EE63FC"/>
    <w:rsid w:val="00EE6849"/>
    <w:rsid w:val="00EF0613"/>
    <w:rsid w:val="00EF0D66"/>
    <w:rsid w:val="00EF26F9"/>
    <w:rsid w:val="00EF2A94"/>
    <w:rsid w:val="00EF33C1"/>
    <w:rsid w:val="00EF38CF"/>
    <w:rsid w:val="00EF52A4"/>
    <w:rsid w:val="00F0078D"/>
    <w:rsid w:val="00F023EE"/>
    <w:rsid w:val="00F03239"/>
    <w:rsid w:val="00F03C21"/>
    <w:rsid w:val="00F03D21"/>
    <w:rsid w:val="00F04158"/>
    <w:rsid w:val="00F04E5C"/>
    <w:rsid w:val="00F05565"/>
    <w:rsid w:val="00F0582D"/>
    <w:rsid w:val="00F06F74"/>
    <w:rsid w:val="00F07A2D"/>
    <w:rsid w:val="00F104D7"/>
    <w:rsid w:val="00F10D78"/>
    <w:rsid w:val="00F11249"/>
    <w:rsid w:val="00F11F0B"/>
    <w:rsid w:val="00F1265E"/>
    <w:rsid w:val="00F129BB"/>
    <w:rsid w:val="00F13ED6"/>
    <w:rsid w:val="00F13F50"/>
    <w:rsid w:val="00F14A5A"/>
    <w:rsid w:val="00F15D9E"/>
    <w:rsid w:val="00F16B52"/>
    <w:rsid w:val="00F17C0E"/>
    <w:rsid w:val="00F210AC"/>
    <w:rsid w:val="00F21403"/>
    <w:rsid w:val="00F249C2"/>
    <w:rsid w:val="00F253C7"/>
    <w:rsid w:val="00F279A4"/>
    <w:rsid w:val="00F30C0A"/>
    <w:rsid w:val="00F3232F"/>
    <w:rsid w:val="00F33BB7"/>
    <w:rsid w:val="00F34C18"/>
    <w:rsid w:val="00F35481"/>
    <w:rsid w:val="00F3562D"/>
    <w:rsid w:val="00F3664A"/>
    <w:rsid w:val="00F3686E"/>
    <w:rsid w:val="00F411E8"/>
    <w:rsid w:val="00F4209F"/>
    <w:rsid w:val="00F42383"/>
    <w:rsid w:val="00F43110"/>
    <w:rsid w:val="00F438B4"/>
    <w:rsid w:val="00F43CC8"/>
    <w:rsid w:val="00F4428C"/>
    <w:rsid w:val="00F454DA"/>
    <w:rsid w:val="00F45639"/>
    <w:rsid w:val="00F469A1"/>
    <w:rsid w:val="00F46FC6"/>
    <w:rsid w:val="00F47BA8"/>
    <w:rsid w:val="00F50150"/>
    <w:rsid w:val="00F5048C"/>
    <w:rsid w:val="00F50D8A"/>
    <w:rsid w:val="00F522B1"/>
    <w:rsid w:val="00F52791"/>
    <w:rsid w:val="00F54043"/>
    <w:rsid w:val="00F54E07"/>
    <w:rsid w:val="00F56F04"/>
    <w:rsid w:val="00F577C0"/>
    <w:rsid w:val="00F613BC"/>
    <w:rsid w:val="00F61BFF"/>
    <w:rsid w:val="00F64C25"/>
    <w:rsid w:val="00F651BA"/>
    <w:rsid w:val="00F6525F"/>
    <w:rsid w:val="00F65D79"/>
    <w:rsid w:val="00F66421"/>
    <w:rsid w:val="00F6669A"/>
    <w:rsid w:val="00F67366"/>
    <w:rsid w:val="00F67D49"/>
    <w:rsid w:val="00F70383"/>
    <w:rsid w:val="00F70E3F"/>
    <w:rsid w:val="00F71B14"/>
    <w:rsid w:val="00F731E5"/>
    <w:rsid w:val="00F7330B"/>
    <w:rsid w:val="00F73509"/>
    <w:rsid w:val="00F763B1"/>
    <w:rsid w:val="00F81319"/>
    <w:rsid w:val="00F8194F"/>
    <w:rsid w:val="00F819C2"/>
    <w:rsid w:val="00F8574E"/>
    <w:rsid w:val="00F85A56"/>
    <w:rsid w:val="00F8713E"/>
    <w:rsid w:val="00F908DC"/>
    <w:rsid w:val="00F928CB"/>
    <w:rsid w:val="00F9425D"/>
    <w:rsid w:val="00F94F1D"/>
    <w:rsid w:val="00F967F6"/>
    <w:rsid w:val="00FA0253"/>
    <w:rsid w:val="00FA2C3A"/>
    <w:rsid w:val="00FA4A20"/>
    <w:rsid w:val="00FA4DDD"/>
    <w:rsid w:val="00FA6311"/>
    <w:rsid w:val="00FB01B5"/>
    <w:rsid w:val="00FB0DA0"/>
    <w:rsid w:val="00FB2722"/>
    <w:rsid w:val="00FB2854"/>
    <w:rsid w:val="00FB2D8A"/>
    <w:rsid w:val="00FB3F04"/>
    <w:rsid w:val="00FB3FF4"/>
    <w:rsid w:val="00FB4BBC"/>
    <w:rsid w:val="00FC1F1B"/>
    <w:rsid w:val="00FC207C"/>
    <w:rsid w:val="00FC394A"/>
    <w:rsid w:val="00FC3A86"/>
    <w:rsid w:val="00FC4760"/>
    <w:rsid w:val="00FD2D9B"/>
    <w:rsid w:val="00FD3EA7"/>
    <w:rsid w:val="00FD44F9"/>
    <w:rsid w:val="00FD4696"/>
    <w:rsid w:val="00FD52DD"/>
    <w:rsid w:val="00FD7765"/>
    <w:rsid w:val="00FE0974"/>
    <w:rsid w:val="00FE2780"/>
    <w:rsid w:val="00FE2A0E"/>
    <w:rsid w:val="00FE2FAF"/>
    <w:rsid w:val="00FE358B"/>
    <w:rsid w:val="00FE504D"/>
    <w:rsid w:val="00FE676D"/>
    <w:rsid w:val="00FE68EA"/>
    <w:rsid w:val="00FE71F2"/>
    <w:rsid w:val="00FE7293"/>
    <w:rsid w:val="00FE76FD"/>
    <w:rsid w:val="00FF0C6B"/>
    <w:rsid w:val="00FF0E71"/>
    <w:rsid w:val="00FF2FB1"/>
    <w:rsid w:val="00FF36D3"/>
    <w:rsid w:val="00FF3D8E"/>
    <w:rsid w:val="00FF4C69"/>
    <w:rsid w:val="00FF4F18"/>
    <w:rsid w:val="00FF5FCF"/>
    <w:rsid w:val="00FF6953"/>
    <w:rsid w:val="01992A24"/>
    <w:rsid w:val="02A64777"/>
    <w:rsid w:val="02E27F7D"/>
    <w:rsid w:val="042943E8"/>
    <w:rsid w:val="04710602"/>
    <w:rsid w:val="04F550AA"/>
    <w:rsid w:val="05310009"/>
    <w:rsid w:val="059E3E15"/>
    <w:rsid w:val="06EF4AE5"/>
    <w:rsid w:val="0A063254"/>
    <w:rsid w:val="0A344230"/>
    <w:rsid w:val="0B4E34C6"/>
    <w:rsid w:val="0B886F7D"/>
    <w:rsid w:val="0BA36C6F"/>
    <w:rsid w:val="0D316E18"/>
    <w:rsid w:val="0FEA3A6E"/>
    <w:rsid w:val="12C42B13"/>
    <w:rsid w:val="142573E4"/>
    <w:rsid w:val="15DF32D1"/>
    <w:rsid w:val="16307361"/>
    <w:rsid w:val="16911E9F"/>
    <w:rsid w:val="169F5708"/>
    <w:rsid w:val="16E62715"/>
    <w:rsid w:val="177B641D"/>
    <w:rsid w:val="17F14DDF"/>
    <w:rsid w:val="18070DF2"/>
    <w:rsid w:val="1858672E"/>
    <w:rsid w:val="1927589A"/>
    <w:rsid w:val="192F4A36"/>
    <w:rsid w:val="1CF3514C"/>
    <w:rsid w:val="1D64381E"/>
    <w:rsid w:val="1DCF1B83"/>
    <w:rsid w:val="1E297B6C"/>
    <w:rsid w:val="1EC822F6"/>
    <w:rsid w:val="1ECF36EA"/>
    <w:rsid w:val="1FBF409D"/>
    <w:rsid w:val="21220D00"/>
    <w:rsid w:val="221A1A4B"/>
    <w:rsid w:val="221E2698"/>
    <w:rsid w:val="22352338"/>
    <w:rsid w:val="230C062E"/>
    <w:rsid w:val="23846AEF"/>
    <w:rsid w:val="23E65DA1"/>
    <w:rsid w:val="2549001C"/>
    <w:rsid w:val="278E2F9A"/>
    <w:rsid w:val="278E34D5"/>
    <w:rsid w:val="27CC2C14"/>
    <w:rsid w:val="2956041F"/>
    <w:rsid w:val="297053DF"/>
    <w:rsid w:val="2AF5733A"/>
    <w:rsid w:val="2BC563F1"/>
    <w:rsid w:val="2BFC4F9F"/>
    <w:rsid w:val="2C2F2E5B"/>
    <w:rsid w:val="2DC2617B"/>
    <w:rsid w:val="2E1C3845"/>
    <w:rsid w:val="2FAE38E0"/>
    <w:rsid w:val="2FC179AC"/>
    <w:rsid w:val="2FE70FAB"/>
    <w:rsid w:val="30D83F02"/>
    <w:rsid w:val="310D77FB"/>
    <w:rsid w:val="319607FA"/>
    <w:rsid w:val="31D9148B"/>
    <w:rsid w:val="3229683B"/>
    <w:rsid w:val="32C30AF4"/>
    <w:rsid w:val="330F7C45"/>
    <w:rsid w:val="338102BC"/>
    <w:rsid w:val="34BE73F7"/>
    <w:rsid w:val="34C76929"/>
    <w:rsid w:val="370B49B9"/>
    <w:rsid w:val="39221B61"/>
    <w:rsid w:val="39D44D17"/>
    <w:rsid w:val="3A2B12A7"/>
    <w:rsid w:val="3A452D5C"/>
    <w:rsid w:val="3CAC748F"/>
    <w:rsid w:val="3D9A41CA"/>
    <w:rsid w:val="3F51591E"/>
    <w:rsid w:val="3FAF14E4"/>
    <w:rsid w:val="41700164"/>
    <w:rsid w:val="421373D0"/>
    <w:rsid w:val="427F57B3"/>
    <w:rsid w:val="43731F9A"/>
    <w:rsid w:val="43AD2CD4"/>
    <w:rsid w:val="44907C3B"/>
    <w:rsid w:val="45241161"/>
    <w:rsid w:val="459C7DF3"/>
    <w:rsid w:val="45C967F5"/>
    <w:rsid w:val="461D5993"/>
    <w:rsid w:val="465F0B43"/>
    <w:rsid w:val="471415BF"/>
    <w:rsid w:val="47BB0620"/>
    <w:rsid w:val="4989458D"/>
    <w:rsid w:val="49AA1EB2"/>
    <w:rsid w:val="4A0B01F8"/>
    <w:rsid w:val="4A8061AA"/>
    <w:rsid w:val="4B2332A6"/>
    <w:rsid w:val="4BA76BC0"/>
    <w:rsid w:val="4C7153F5"/>
    <w:rsid w:val="4C81727E"/>
    <w:rsid w:val="4D026B14"/>
    <w:rsid w:val="4E936FE5"/>
    <w:rsid w:val="509E7570"/>
    <w:rsid w:val="511F4FD0"/>
    <w:rsid w:val="533D97EE"/>
    <w:rsid w:val="543E663B"/>
    <w:rsid w:val="549A3F25"/>
    <w:rsid w:val="55216B22"/>
    <w:rsid w:val="571A7E3F"/>
    <w:rsid w:val="576135B0"/>
    <w:rsid w:val="576E0986"/>
    <w:rsid w:val="578C2807"/>
    <w:rsid w:val="58B36135"/>
    <w:rsid w:val="58C074BE"/>
    <w:rsid w:val="594919CB"/>
    <w:rsid w:val="59CB51D7"/>
    <w:rsid w:val="5A517CF1"/>
    <w:rsid w:val="5A930A90"/>
    <w:rsid w:val="5B533D47"/>
    <w:rsid w:val="5D206234"/>
    <w:rsid w:val="5D9B7B77"/>
    <w:rsid w:val="5DEE5FA5"/>
    <w:rsid w:val="5EC56345"/>
    <w:rsid w:val="5EE75F38"/>
    <w:rsid w:val="5FAB6B76"/>
    <w:rsid w:val="5FEF7C89"/>
    <w:rsid w:val="607E7999"/>
    <w:rsid w:val="61585C2F"/>
    <w:rsid w:val="62354DE3"/>
    <w:rsid w:val="638A7BED"/>
    <w:rsid w:val="63A131C2"/>
    <w:rsid w:val="647937F6"/>
    <w:rsid w:val="65A7591F"/>
    <w:rsid w:val="66DF78CE"/>
    <w:rsid w:val="66E55FE9"/>
    <w:rsid w:val="67165838"/>
    <w:rsid w:val="67191A6E"/>
    <w:rsid w:val="67AB1D56"/>
    <w:rsid w:val="67C116AC"/>
    <w:rsid w:val="6961142C"/>
    <w:rsid w:val="69C24894"/>
    <w:rsid w:val="6A031098"/>
    <w:rsid w:val="6A3E6297"/>
    <w:rsid w:val="6A681638"/>
    <w:rsid w:val="6AB1775C"/>
    <w:rsid w:val="6B5B8058"/>
    <w:rsid w:val="6C4C4BAA"/>
    <w:rsid w:val="6E374FFD"/>
    <w:rsid w:val="6FFE228A"/>
    <w:rsid w:val="70230C37"/>
    <w:rsid w:val="709E6CED"/>
    <w:rsid w:val="72A74FF1"/>
    <w:rsid w:val="73267C07"/>
    <w:rsid w:val="733C36EC"/>
    <w:rsid w:val="736036C2"/>
    <w:rsid w:val="74962C31"/>
    <w:rsid w:val="750033AF"/>
    <w:rsid w:val="75105690"/>
    <w:rsid w:val="755EC03F"/>
    <w:rsid w:val="75C6A22D"/>
    <w:rsid w:val="75FC6AC3"/>
    <w:rsid w:val="78332F27"/>
    <w:rsid w:val="79C835E8"/>
    <w:rsid w:val="7A147F78"/>
    <w:rsid w:val="7ADB6F81"/>
    <w:rsid w:val="7AF7379A"/>
    <w:rsid w:val="7B6F3A41"/>
    <w:rsid w:val="7C6575D1"/>
    <w:rsid w:val="7CD32A90"/>
    <w:rsid w:val="7D0A66C6"/>
    <w:rsid w:val="7D4A5387"/>
    <w:rsid w:val="7E255FDC"/>
    <w:rsid w:val="7EB85E2A"/>
    <w:rsid w:val="7F71201A"/>
    <w:rsid w:val="7FA866C0"/>
    <w:rsid w:val="9F6F228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1"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1" w:semiHidden="0" w:name="annotation reference"/>
    <w:lsdException w:qFormat="1" w:unhideWhenUsed="0" w:uiPriority="0" w:semiHidden="0" w:name="line number"/>
    <w:lsdException w:qFormat="1" w:unhideWhenUsed="0" w:uiPriority="0" w:semiHidden="0" w:name="page number"/>
    <w:lsdException w:qFormat="1" w:uiPriority="1" w:semiHidden="0" w:name="endnote reference"/>
    <w:lsdException w:qFormat="1" w:uiPriority="1" w:semiHidden="0" w:name="endnote text"/>
    <w:lsdException w:unhideWhenUsed="0" w:uiPriority="0" w:semiHidden="0" w:name="table of authorities"/>
    <w:lsdException w:qFormat="1" w:unhideWhenUsed="0" w:uiPriority="0" w:semiHidden="0" w:name="macro"/>
    <w:lsdException w:qFormat="1"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1"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1"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1"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qFormat="1" w:unhideWhenUsed="0" w:uiPriority="0" w:semiHidden="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78"/>
    <w:autoRedefine/>
    <w:qFormat/>
    <w:uiPriority w:val="9"/>
    <w:pPr>
      <w:keepNext/>
      <w:jc w:val="center"/>
      <w:outlineLvl w:val="0"/>
    </w:pPr>
    <w:rPr>
      <w:rFonts w:ascii="楷体_GB2312" w:eastAsia="楷体_GB2312"/>
      <w:b/>
      <w:bCs/>
    </w:rPr>
  </w:style>
  <w:style w:type="paragraph" w:styleId="2">
    <w:name w:val="heading 2"/>
    <w:basedOn w:val="1"/>
    <w:next w:val="1"/>
    <w:link w:val="79"/>
    <w:autoRedefine/>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2"/>
    <w:next w:val="1"/>
    <w:link w:val="80"/>
    <w:autoRedefine/>
    <w:qFormat/>
    <w:uiPriority w:val="9"/>
    <w:pPr>
      <w:outlineLvl w:val="2"/>
    </w:pPr>
  </w:style>
  <w:style w:type="paragraph" w:styleId="6">
    <w:name w:val="heading 4"/>
    <w:basedOn w:val="1"/>
    <w:next w:val="1"/>
    <w:link w:val="81"/>
    <w:autoRedefine/>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82"/>
    <w:autoRedefine/>
    <w:qFormat/>
    <w:uiPriority w:val="9"/>
    <w:pPr>
      <w:keepNext/>
      <w:keepLines/>
      <w:spacing w:before="280" w:after="290" w:line="376" w:lineRule="auto"/>
      <w:outlineLvl w:val="4"/>
    </w:pPr>
    <w:rPr>
      <w:b/>
      <w:bCs/>
      <w:sz w:val="28"/>
      <w:szCs w:val="28"/>
    </w:rPr>
  </w:style>
  <w:style w:type="paragraph" w:styleId="8">
    <w:name w:val="heading 6"/>
    <w:basedOn w:val="1"/>
    <w:next w:val="1"/>
    <w:link w:val="83"/>
    <w:autoRedefine/>
    <w:qFormat/>
    <w:uiPriority w:val="9"/>
    <w:pPr>
      <w:keepNext/>
      <w:keepLines/>
      <w:spacing w:before="240" w:after="64" w:line="320" w:lineRule="auto"/>
      <w:outlineLvl w:val="5"/>
    </w:pPr>
    <w:rPr>
      <w:rFonts w:ascii="Cambria" w:hAnsi="Cambria"/>
      <w:b/>
      <w:bCs/>
      <w:sz w:val="24"/>
    </w:rPr>
  </w:style>
  <w:style w:type="paragraph" w:styleId="9">
    <w:name w:val="heading 7"/>
    <w:basedOn w:val="1"/>
    <w:next w:val="1"/>
    <w:link w:val="166"/>
    <w:autoRedefine/>
    <w:qFormat/>
    <w:uiPriority w:val="9"/>
    <w:pPr>
      <w:keepNext/>
      <w:keepLines/>
      <w:adjustRightInd w:val="0"/>
      <w:spacing w:before="240" w:after="64" w:line="320" w:lineRule="atLeast"/>
      <w:textAlignment w:val="baseline"/>
      <w:outlineLvl w:val="6"/>
    </w:pPr>
    <w:rPr>
      <w:rFonts w:eastAsia="等线"/>
      <w:b/>
      <w:sz w:val="24"/>
    </w:rPr>
  </w:style>
  <w:style w:type="paragraph" w:styleId="10">
    <w:name w:val="heading 8"/>
    <w:basedOn w:val="1"/>
    <w:next w:val="1"/>
    <w:link w:val="167"/>
    <w:autoRedefine/>
    <w:qFormat/>
    <w:uiPriority w:val="9"/>
    <w:pPr>
      <w:keepNext/>
      <w:keepLines/>
      <w:adjustRightInd w:val="0"/>
      <w:spacing w:before="240" w:after="64" w:line="320" w:lineRule="atLeast"/>
      <w:textAlignment w:val="baseline"/>
      <w:outlineLvl w:val="7"/>
    </w:pPr>
    <w:rPr>
      <w:rFonts w:ascii="Arial" w:hAnsi="Arial" w:eastAsia="黑体"/>
      <w:sz w:val="24"/>
    </w:rPr>
  </w:style>
  <w:style w:type="paragraph" w:styleId="11">
    <w:name w:val="heading 9"/>
    <w:basedOn w:val="1"/>
    <w:next w:val="1"/>
    <w:link w:val="168"/>
    <w:autoRedefine/>
    <w:qFormat/>
    <w:uiPriority w:val="9"/>
    <w:pPr>
      <w:keepNext/>
      <w:keepLines/>
      <w:adjustRightInd w:val="0"/>
      <w:spacing w:before="240" w:after="64" w:line="320" w:lineRule="atLeast"/>
      <w:textAlignment w:val="baseline"/>
      <w:outlineLvl w:val="8"/>
    </w:pPr>
    <w:rPr>
      <w:rFonts w:ascii="Arial" w:hAnsi="Arial" w:eastAsia="黑体"/>
      <w:sz w:val="24"/>
    </w:rPr>
  </w:style>
  <w:style w:type="character" w:default="1" w:styleId="66">
    <w:name w:val="Default Paragraph Font"/>
    <w:autoRedefine/>
    <w:semiHidden/>
    <w:unhideWhenUsed/>
    <w:qFormat/>
    <w:uiPriority w:val="1"/>
  </w:style>
  <w:style w:type="table" w:default="1" w:styleId="63">
    <w:name w:val="Normal Table"/>
    <w:autoRedefine/>
    <w:semiHidden/>
    <w:unhideWhenUsed/>
    <w:qFormat/>
    <w:uiPriority w:val="99"/>
    <w:tblPr>
      <w:tblCellMar>
        <w:top w:w="0" w:type="dxa"/>
        <w:left w:w="108" w:type="dxa"/>
        <w:bottom w:w="0" w:type="dxa"/>
        <w:right w:w="108" w:type="dxa"/>
      </w:tblCellMar>
    </w:tblPr>
  </w:style>
  <w:style w:type="paragraph" w:styleId="3">
    <w:name w:val="macro"/>
    <w:link w:val="429"/>
    <w:autoRedefine/>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Wingdings" w:hAnsi="Wingdings" w:eastAsia="Times New Roman" w:cs="Times New Roman"/>
      <w:kern w:val="2"/>
      <w:sz w:val="24"/>
      <w:szCs w:val="24"/>
      <w:lang w:val="en-US" w:eastAsia="zh-CN" w:bidi="ar-SA"/>
    </w:rPr>
  </w:style>
  <w:style w:type="paragraph" w:styleId="12">
    <w:name w:val="toc 7"/>
    <w:basedOn w:val="1"/>
    <w:next w:val="1"/>
    <w:autoRedefine/>
    <w:qFormat/>
    <w:uiPriority w:val="39"/>
    <w:pPr>
      <w:autoSpaceDE w:val="0"/>
      <w:autoSpaceDN w:val="0"/>
      <w:adjustRightInd w:val="0"/>
      <w:ind w:left="2520" w:leftChars="1200"/>
      <w:jc w:val="left"/>
    </w:pPr>
    <w:rPr>
      <w:rFonts w:ascii="等线" w:hAnsi="等线" w:eastAsia="等线" w:cs="等线"/>
      <w:kern w:val="0"/>
      <w:sz w:val="20"/>
      <w:szCs w:val="20"/>
    </w:rPr>
  </w:style>
  <w:style w:type="paragraph" w:styleId="13">
    <w:name w:val="Note Heading"/>
    <w:basedOn w:val="1"/>
    <w:next w:val="1"/>
    <w:link w:val="420"/>
    <w:autoRedefine/>
    <w:qFormat/>
    <w:uiPriority w:val="0"/>
    <w:pPr>
      <w:spacing w:line="360" w:lineRule="auto"/>
      <w:ind w:firstLine="200" w:firstLineChars="200"/>
      <w:jc w:val="center"/>
    </w:pPr>
    <w:rPr>
      <w:rFonts w:ascii="DFKai-SB" w:hAnsi="DFKai-SB" w:eastAsia="DFKai-SB" w:cs="等线"/>
      <w:sz w:val="20"/>
      <w:szCs w:val="20"/>
      <w:lang w:eastAsia="zh-TW"/>
    </w:rPr>
  </w:style>
  <w:style w:type="paragraph" w:styleId="14">
    <w:name w:val="List Bullet 4"/>
    <w:basedOn w:val="1"/>
    <w:autoRedefine/>
    <w:qFormat/>
    <w:uiPriority w:val="0"/>
    <w:pPr>
      <w:numPr>
        <w:ilvl w:val="0"/>
        <w:numId w:val="1"/>
      </w:numPr>
    </w:pPr>
  </w:style>
  <w:style w:type="paragraph" w:styleId="15">
    <w:name w:val="List Number"/>
    <w:basedOn w:val="1"/>
    <w:autoRedefine/>
    <w:qFormat/>
    <w:uiPriority w:val="0"/>
    <w:pPr>
      <w:tabs>
        <w:tab w:val="left" w:pos="360"/>
      </w:tabs>
      <w:ind w:left="360" w:hanging="360" w:hangingChars="200"/>
    </w:pPr>
    <w:rPr>
      <w:rFonts w:ascii="等线" w:hAnsi="等线" w:eastAsia="等线" w:cs="等线"/>
    </w:rPr>
  </w:style>
  <w:style w:type="paragraph" w:styleId="16">
    <w:name w:val="Normal Indent"/>
    <w:basedOn w:val="1"/>
    <w:link w:val="102"/>
    <w:autoRedefine/>
    <w:qFormat/>
    <w:uiPriority w:val="0"/>
    <w:pPr>
      <w:adjustRightInd w:val="0"/>
      <w:spacing w:line="312" w:lineRule="atLeast"/>
      <w:ind w:firstLine="420"/>
      <w:textAlignment w:val="baseline"/>
    </w:pPr>
    <w:rPr>
      <w:kern w:val="0"/>
      <w:szCs w:val="20"/>
    </w:rPr>
  </w:style>
  <w:style w:type="paragraph" w:styleId="17">
    <w:name w:val="caption"/>
    <w:basedOn w:val="1"/>
    <w:next w:val="1"/>
    <w:autoRedefine/>
    <w:qFormat/>
    <w:uiPriority w:val="0"/>
    <w:rPr>
      <w:rFonts w:ascii="Cambria" w:hAnsi="Cambria" w:eastAsia="黑体"/>
      <w:sz w:val="20"/>
      <w:szCs w:val="20"/>
    </w:rPr>
  </w:style>
  <w:style w:type="paragraph" w:styleId="18">
    <w:name w:val="List Bullet"/>
    <w:basedOn w:val="1"/>
    <w:autoRedefine/>
    <w:qFormat/>
    <w:uiPriority w:val="0"/>
    <w:pPr>
      <w:tabs>
        <w:tab w:val="left" w:pos="360"/>
      </w:tabs>
      <w:ind w:left="360" w:hanging="360"/>
    </w:pPr>
    <w:rPr>
      <w:rFonts w:ascii="Century Gothic" w:hAnsi="Century Gothic" w:eastAsia="等线" w:cs="等线"/>
      <w:szCs w:val="22"/>
    </w:rPr>
  </w:style>
  <w:style w:type="paragraph" w:styleId="19">
    <w:name w:val="Document Map"/>
    <w:basedOn w:val="1"/>
    <w:link w:val="205"/>
    <w:autoRedefine/>
    <w:qFormat/>
    <w:uiPriority w:val="0"/>
    <w:pPr>
      <w:shd w:val="clear" w:color="auto" w:fill="000080"/>
    </w:pPr>
  </w:style>
  <w:style w:type="paragraph" w:styleId="20">
    <w:name w:val="toa heading"/>
    <w:basedOn w:val="1"/>
    <w:next w:val="1"/>
    <w:autoRedefine/>
    <w:qFormat/>
    <w:uiPriority w:val="0"/>
    <w:pPr>
      <w:spacing w:before="120" w:line="560" w:lineRule="exact"/>
      <w:ind w:firstLine="200" w:firstLineChars="200"/>
    </w:pPr>
    <w:rPr>
      <w:rFonts w:ascii="Arial" w:hAnsi="Arial" w:cs="Arial"/>
      <w:sz w:val="24"/>
    </w:rPr>
  </w:style>
  <w:style w:type="paragraph" w:styleId="21">
    <w:name w:val="annotation text"/>
    <w:basedOn w:val="1"/>
    <w:link w:val="113"/>
    <w:autoRedefine/>
    <w:qFormat/>
    <w:uiPriority w:val="1"/>
    <w:pPr>
      <w:jc w:val="left"/>
    </w:pPr>
  </w:style>
  <w:style w:type="paragraph" w:styleId="22">
    <w:name w:val="Salutation"/>
    <w:basedOn w:val="1"/>
    <w:next w:val="1"/>
    <w:link w:val="408"/>
    <w:autoRedefine/>
    <w:qFormat/>
    <w:uiPriority w:val="0"/>
    <w:pPr>
      <w:tabs>
        <w:tab w:val="left" w:pos="840"/>
      </w:tabs>
      <w:autoSpaceDE w:val="0"/>
      <w:autoSpaceDN w:val="0"/>
      <w:adjustRightInd w:val="0"/>
      <w:jc w:val="left"/>
    </w:pPr>
    <w:rPr>
      <w:rFonts w:ascii="等线" w:hAnsi="等线" w:eastAsia="等线" w:cs="等线"/>
      <w:kern w:val="0"/>
      <w:sz w:val="24"/>
      <w:szCs w:val="20"/>
    </w:rPr>
  </w:style>
  <w:style w:type="paragraph" w:styleId="23">
    <w:name w:val="Body Text 3"/>
    <w:basedOn w:val="1"/>
    <w:link w:val="423"/>
    <w:autoRedefine/>
    <w:qFormat/>
    <w:uiPriority w:val="0"/>
    <w:pPr>
      <w:autoSpaceDE w:val="0"/>
      <w:autoSpaceDN w:val="0"/>
      <w:adjustRightInd w:val="0"/>
      <w:jc w:val="center"/>
    </w:pPr>
    <w:rPr>
      <w:rFonts w:ascii="等线" w:hAnsi="等线" w:eastAsia="等线" w:cs="等线"/>
      <w:kern w:val="0"/>
      <w:sz w:val="20"/>
      <w:szCs w:val="20"/>
    </w:rPr>
  </w:style>
  <w:style w:type="paragraph" w:styleId="24">
    <w:name w:val="List Bullet 3"/>
    <w:basedOn w:val="1"/>
    <w:autoRedefine/>
    <w:qFormat/>
    <w:uiPriority w:val="0"/>
    <w:pPr>
      <w:tabs>
        <w:tab w:val="left" w:pos="1321"/>
        <w:tab w:val="left" w:pos="2281"/>
      </w:tabs>
      <w:adjustRightInd w:val="0"/>
      <w:spacing w:line="360" w:lineRule="atLeast"/>
      <w:ind w:left="1321" w:leftChars="600" w:hanging="200" w:hangingChars="200"/>
      <w:jc w:val="left"/>
      <w:textAlignment w:val="baseline"/>
    </w:pPr>
    <w:rPr>
      <w:rFonts w:ascii="等线" w:hAnsi="等线" w:eastAsia="PMingLiU" w:cs="等线"/>
      <w:kern w:val="0"/>
      <w:sz w:val="24"/>
      <w:szCs w:val="20"/>
      <w:lang w:eastAsia="zh-TW"/>
    </w:rPr>
  </w:style>
  <w:style w:type="paragraph" w:styleId="25">
    <w:name w:val="Body Text"/>
    <w:basedOn w:val="1"/>
    <w:next w:val="26"/>
    <w:link w:val="89"/>
    <w:autoRedefine/>
    <w:qFormat/>
    <w:uiPriority w:val="99"/>
    <w:pPr>
      <w:spacing w:after="120"/>
    </w:pPr>
  </w:style>
  <w:style w:type="paragraph" w:styleId="26">
    <w:name w:val="Body Text First Indent"/>
    <w:basedOn w:val="25"/>
    <w:next w:val="1"/>
    <w:link w:val="101"/>
    <w:autoRedefine/>
    <w:qFormat/>
    <w:uiPriority w:val="0"/>
    <w:pPr>
      <w:ind w:firstLine="420" w:firstLineChars="100"/>
    </w:pPr>
  </w:style>
  <w:style w:type="paragraph" w:styleId="27">
    <w:name w:val="Body Text Indent"/>
    <w:basedOn w:val="1"/>
    <w:link w:val="90"/>
    <w:autoRedefine/>
    <w:qFormat/>
    <w:uiPriority w:val="0"/>
    <w:pPr>
      <w:ind w:left="480" w:hanging="480" w:hangingChars="200"/>
    </w:pPr>
    <w:rPr>
      <w:sz w:val="24"/>
    </w:rPr>
  </w:style>
  <w:style w:type="paragraph" w:styleId="28">
    <w:name w:val="List Number 3"/>
    <w:basedOn w:val="1"/>
    <w:autoRedefine/>
    <w:qFormat/>
    <w:uiPriority w:val="0"/>
    <w:pPr>
      <w:tabs>
        <w:tab w:val="left" w:pos="1200"/>
      </w:tabs>
      <w:ind w:left="1200" w:leftChars="400" w:hanging="360" w:hangingChars="200"/>
    </w:pPr>
    <w:rPr>
      <w:rFonts w:ascii="等线" w:hAnsi="等线" w:eastAsia="等线" w:cs="等线"/>
    </w:rPr>
  </w:style>
  <w:style w:type="paragraph" w:styleId="29">
    <w:name w:val="List 2"/>
    <w:basedOn w:val="1"/>
    <w:autoRedefine/>
    <w:qFormat/>
    <w:uiPriority w:val="0"/>
    <w:pPr>
      <w:autoSpaceDE w:val="0"/>
      <w:autoSpaceDN w:val="0"/>
      <w:adjustRightInd w:val="0"/>
      <w:ind w:left="100" w:hanging="200"/>
      <w:textAlignment w:val="baseline"/>
    </w:pPr>
    <w:rPr>
      <w:rFonts w:ascii="等线" w:hAnsi="等线" w:eastAsia="等线" w:cs="等线"/>
      <w:kern w:val="0"/>
      <w:sz w:val="28"/>
      <w:szCs w:val="20"/>
    </w:rPr>
  </w:style>
  <w:style w:type="paragraph" w:styleId="30">
    <w:name w:val="Block Text"/>
    <w:basedOn w:val="1"/>
    <w:autoRedefine/>
    <w:qFormat/>
    <w:uiPriority w:val="0"/>
    <w:pPr>
      <w:adjustRightInd w:val="0"/>
      <w:spacing w:line="360" w:lineRule="atLeast"/>
      <w:ind w:left="1260" w:leftChars="525" w:right="22" w:rightChars="9" w:firstLine="200" w:firstLineChars="200"/>
      <w:jc w:val="left"/>
      <w:textAlignment w:val="baseline"/>
    </w:pPr>
    <w:rPr>
      <w:rFonts w:ascii="DFKai-SB" w:hAnsi="DFKai-SB" w:eastAsia="DFKai-SB" w:cs="等线"/>
      <w:kern w:val="0"/>
      <w:sz w:val="28"/>
      <w:szCs w:val="20"/>
      <w:lang w:eastAsia="zh-TW"/>
    </w:rPr>
  </w:style>
  <w:style w:type="paragraph" w:styleId="31">
    <w:name w:val="List Bullet 2"/>
    <w:basedOn w:val="1"/>
    <w:autoRedefine/>
    <w:qFormat/>
    <w:uiPriority w:val="0"/>
    <w:pPr>
      <w:tabs>
        <w:tab w:val="left" w:pos="780"/>
      </w:tabs>
      <w:spacing w:line="360" w:lineRule="auto"/>
      <w:ind w:left="780" w:leftChars="200" w:hanging="360" w:hangingChars="200"/>
    </w:pPr>
    <w:rPr>
      <w:rFonts w:ascii="等线" w:hAnsi="等线" w:eastAsia="等线" w:cs="等线"/>
    </w:rPr>
  </w:style>
  <w:style w:type="paragraph" w:styleId="32">
    <w:name w:val="toc 5"/>
    <w:basedOn w:val="1"/>
    <w:next w:val="1"/>
    <w:autoRedefine/>
    <w:qFormat/>
    <w:uiPriority w:val="39"/>
    <w:pPr>
      <w:autoSpaceDE w:val="0"/>
      <w:autoSpaceDN w:val="0"/>
      <w:adjustRightInd w:val="0"/>
      <w:ind w:left="1680" w:leftChars="800"/>
      <w:jc w:val="left"/>
    </w:pPr>
    <w:rPr>
      <w:rFonts w:ascii="等线" w:hAnsi="等线" w:eastAsia="等线" w:cs="等线"/>
      <w:kern w:val="0"/>
      <w:sz w:val="20"/>
      <w:szCs w:val="20"/>
    </w:rPr>
  </w:style>
  <w:style w:type="paragraph" w:styleId="33">
    <w:name w:val="toc 3"/>
    <w:basedOn w:val="1"/>
    <w:next w:val="1"/>
    <w:autoRedefine/>
    <w:qFormat/>
    <w:uiPriority w:val="39"/>
    <w:pPr>
      <w:ind w:left="840" w:leftChars="400"/>
    </w:pPr>
  </w:style>
  <w:style w:type="paragraph" w:styleId="34">
    <w:name w:val="Plain Text"/>
    <w:basedOn w:val="1"/>
    <w:next w:val="35"/>
    <w:link w:val="91"/>
    <w:autoRedefine/>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35">
    <w:name w:val="toc 2"/>
    <w:basedOn w:val="1"/>
    <w:next w:val="1"/>
    <w:autoRedefine/>
    <w:qFormat/>
    <w:uiPriority w:val="39"/>
    <w:pPr>
      <w:ind w:left="420" w:leftChars="200"/>
    </w:pPr>
  </w:style>
  <w:style w:type="paragraph" w:styleId="36">
    <w:name w:val="List Number 4"/>
    <w:basedOn w:val="1"/>
    <w:autoRedefine/>
    <w:qFormat/>
    <w:uiPriority w:val="0"/>
    <w:pPr>
      <w:tabs>
        <w:tab w:val="left" w:pos="840"/>
      </w:tabs>
      <w:autoSpaceDE w:val="0"/>
      <w:autoSpaceDN w:val="0"/>
      <w:adjustRightInd w:val="0"/>
      <w:spacing w:line="360" w:lineRule="atLeast"/>
      <w:ind w:left="840" w:hanging="420"/>
      <w:jc w:val="left"/>
    </w:pPr>
    <w:rPr>
      <w:rFonts w:ascii="等线" w:hAnsi="等线" w:eastAsia="等线" w:cs="等线"/>
      <w:kern w:val="0"/>
      <w:sz w:val="24"/>
      <w:szCs w:val="20"/>
    </w:rPr>
  </w:style>
  <w:style w:type="paragraph" w:styleId="37">
    <w:name w:val="toc 8"/>
    <w:basedOn w:val="1"/>
    <w:next w:val="1"/>
    <w:autoRedefine/>
    <w:qFormat/>
    <w:uiPriority w:val="39"/>
    <w:pPr>
      <w:autoSpaceDE w:val="0"/>
      <w:autoSpaceDN w:val="0"/>
      <w:adjustRightInd w:val="0"/>
      <w:ind w:left="2940" w:leftChars="1400"/>
      <w:jc w:val="left"/>
    </w:pPr>
    <w:rPr>
      <w:rFonts w:ascii="等线" w:hAnsi="等线" w:eastAsia="等线" w:cs="等线"/>
      <w:kern w:val="0"/>
      <w:sz w:val="20"/>
      <w:szCs w:val="20"/>
    </w:rPr>
  </w:style>
  <w:style w:type="paragraph" w:styleId="38">
    <w:name w:val="Date"/>
    <w:basedOn w:val="1"/>
    <w:next w:val="1"/>
    <w:link w:val="84"/>
    <w:autoRedefine/>
    <w:qFormat/>
    <w:uiPriority w:val="0"/>
    <w:pPr>
      <w:ind w:left="100" w:leftChars="2500"/>
    </w:pPr>
  </w:style>
  <w:style w:type="paragraph" w:styleId="39">
    <w:name w:val="Body Text Indent 2"/>
    <w:basedOn w:val="1"/>
    <w:link w:val="305"/>
    <w:autoRedefine/>
    <w:qFormat/>
    <w:uiPriority w:val="0"/>
    <w:pPr>
      <w:spacing w:line="500" w:lineRule="exact"/>
      <w:ind w:firstLine="511" w:firstLineChars="213"/>
    </w:pPr>
    <w:rPr>
      <w:sz w:val="24"/>
    </w:rPr>
  </w:style>
  <w:style w:type="paragraph" w:styleId="40">
    <w:name w:val="endnote text"/>
    <w:basedOn w:val="1"/>
    <w:link w:val="758"/>
    <w:autoRedefine/>
    <w:unhideWhenUsed/>
    <w:qFormat/>
    <w:uiPriority w:val="1"/>
    <w:pPr>
      <w:snapToGrid w:val="0"/>
      <w:spacing w:line="360" w:lineRule="auto"/>
      <w:ind w:firstLine="200" w:firstLineChars="200"/>
      <w:jc w:val="left"/>
    </w:pPr>
    <w:rPr>
      <w:sz w:val="28"/>
    </w:rPr>
  </w:style>
  <w:style w:type="paragraph" w:styleId="41">
    <w:name w:val="Balloon Text"/>
    <w:basedOn w:val="1"/>
    <w:link w:val="268"/>
    <w:autoRedefine/>
    <w:qFormat/>
    <w:uiPriority w:val="0"/>
    <w:rPr>
      <w:sz w:val="18"/>
      <w:szCs w:val="18"/>
    </w:rPr>
  </w:style>
  <w:style w:type="paragraph" w:styleId="42">
    <w:name w:val="footer"/>
    <w:basedOn w:val="1"/>
    <w:link w:val="88"/>
    <w:autoRedefine/>
    <w:qFormat/>
    <w:uiPriority w:val="99"/>
    <w:pPr>
      <w:tabs>
        <w:tab w:val="center" w:pos="4153"/>
        <w:tab w:val="right" w:pos="8306"/>
      </w:tabs>
      <w:snapToGrid w:val="0"/>
      <w:jc w:val="left"/>
    </w:pPr>
    <w:rPr>
      <w:sz w:val="18"/>
      <w:szCs w:val="18"/>
    </w:rPr>
  </w:style>
  <w:style w:type="paragraph" w:styleId="43">
    <w:name w:val="envelope return"/>
    <w:basedOn w:val="1"/>
    <w:autoRedefine/>
    <w:qFormat/>
    <w:uiPriority w:val="0"/>
    <w:pPr>
      <w:snapToGrid w:val="0"/>
      <w:spacing w:line="360" w:lineRule="auto"/>
      <w:ind w:firstLine="200" w:firstLineChars="200"/>
    </w:pPr>
    <w:rPr>
      <w:rFonts w:ascii="Arial" w:hAnsi="Arial" w:eastAsia="等线" w:cs="等线"/>
      <w:spacing w:val="-10"/>
      <w:szCs w:val="20"/>
    </w:rPr>
  </w:style>
  <w:style w:type="paragraph" w:styleId="44">
    <w:name w:val="header"/>
    <w:basedOn w:val="1"/>
    <w:link w:val="371"/>
    <w:autoRedefine/>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440"/>
    <w:autoRedefine/>
    <w:qFormat/>
    <w:uiPriority w:val="0"/>
    <w:pPr>
      <w:autoSpaceDE w:val="0"/>
      <w:autoSpaceDN w:val="0"/>
      <w:adjustRightInd w:val="0"/>
      <w:spacing w:after="600" w:line="312" w:lineRule="atLeast"/>
      <w:jc w:val="center"/>
      <w:textAlignment w:val="baseline"/>
    </w:pPr>
    <w:rPr>
      <w:rFonts w:ascii="等线" w:hAnsi="等线" w:eastAsia="黑体" w:cs="等线"/>
      <w:kern w:val="0"/>
      <w:sz w:val="24"/>
      <w:szCs w:val="20"/>
    </w:rPr>
  </w:style>
  <w:style w:type="paragraph" w:styleId="46">
    <w:name w:val="toc 1"/>
    <w:basedOn w:val="1"/>
    <w:next w:val="1"/>
    <w:autoRedefine/>
    <w:qFormat/>
    <w:uiPriority w:val="39"/>
    <w:pPr>
      <w:tabs>
        <w:tab w:val="right" w:leader="dot" w:pos="9628"/>
      </w:tabs>
      <w:spacing w:line="480" w:lineRule="auto"/>
    </w:pPr>
    <w:rPr>
      <w:rFonts w:ascii="Arial" w:hAnsi="Arial" w:eastAsia="新宋体" w:cs="Arial"/>
      <w:bCs/>
      <w:sz w:val="24"/>
    </w:rPr>
  </w:style>
  <w:style w:type="paragraph" w:styleId="47">
    <w:name w:val="toc 4"/>
    <w:basedOn w:val="1"/>
    <w:next w:val="1"/>
    <w:autoRedefine/>
    <w:qFormat/>
    <w:uiPriority w:val="39"/>
    <w:pPr>
      <w:autoSpaceDE w:val="0"/>
      <w:autoSpaceDN w:val="0"/>
      <w:adjustRightInd w:val="0"/>
      <w:ind w:left="1260" w:leftChars="600"/>
      <w:jc w:val="left"/>
    </w:pPr>
    <w:rPr>
      <w:rFonts w:ascii="等线" w:hAnsi="等线" w:eastAsia="等线" w:cs="等线"/>
      <w:kern w:val="0"/>
      <w:sz w:val="20"/>
      <w:szCs w:val="20"/>
    </w:rPr>
  </w:style>
  <w:style w:type="paragraph" w:styleId="48">
    <w:name w:val="Subtitle"/>
    <w:basedOn w:val="1"/>
    <w:next w:val="1"/>
    <w:link w:val="436"/>
    <w:autoRedefine/>
    <w:qFormat/>
    <w:uiPriority w:val="0"/>
    <w:pPr>
      <w:spacing w:before="240" w:after="60" w:line="312" w:lineRule="auto"/>
      <w:jc w:val="center"/>
      <w:outlineLvl w:val="1"/>
    </w:pPr>
    <w:rPr>
      <w:rFonts w:ascii="Verdana" w:hAnsi="Verdana" w:eastAsia="仿宋_GB2312"/>
      <w:b/>
      <w:bCs/>
      <w:kern w:val="28"/>
      <w:sz w:val="32"/>
      <w:szCs w:val="32"/>
    </w:rPr>
  </w:style>
  <w:style w:type="paragraph" w:styleId="49">
    <w:name w:val="List Number 5"/>
    <w:basedOn w:val="1"/>
    <w:autoRedefine/>
    <w:qFormat/>
    <w:uiPriority w:val="0"/>
    <w:pPr>
      <w:tabs>
        <w:tab w:val="left" w:pos="2040"/>
      </w:tabs>
      <w:autoSpaceDE w:val="0"/>
      <w:autoSpaceDN w:val="0"/>
      <w:adjustRightInd w:val="0"/>
      <w:spacing w:line="400" w:lineRule="exact"/>
      <w:ind w:left="2040" w:hanging="360"/>
      <w:jc w:val="left"/>
    </w:pPr>
    <w:rPr>
      <w:rFonts w:ascii="等线" w:hAnsi="等线" w:eastAsia="等线" w:cs="等线"/>
      <w:kern w:val="0"/>
      <w:sz w:val="24"/>
      <w:szCs w:val="20"/>
    </w:rPr>
  </w:style>
  <w:style w:type="paragraph" w:styleId="50">
    <w:name w:val="footnote text"/>
    <w:basedOn w:val="1"/>
    <w:link w:val="435"/>
    <w:autoRedefine/>
    <w:qFormat/>
    <w:uiPriority w:val="0"/>
    <w:pPr>
      <w:snapToGrid w:val="0"/>
      <w:spacing w:line="360" w:lineRule="auto"/>
      <w:ind w:firstLine="200" w:firstLineChars="200"/>
      <w:jc w:val="left"/>
    </w:pPr>
    <w:rPr>
      <w:rFonts w:ascii="等线" w:hAnsi="等线" w:eastAsia="等线" w:cs="等线"/>
      <w:sz w:val="18"/>
      <w:szCs w:val="18"/>
    </w:rPr>
  </w:style>
  <w:style w:type="paragraph" w:styleId="51">
    <w:name w:val="toc 6"/>
    <w:basedOn w:val="1"/>
    <w:next w:val="1"/>
    <w:autoRedefine/>
    <w:qFormat/>
    <w:uiPriority w:val="39"/>
    <w:pPr>
      <w:autoSpaceDE w:val="0"/>
      <w:autoSpaceDN w:val="0"/>
      <w:adjustRightInd w:val="0"/>
      <w:ind w:left="2100" w:leftChars="1000"/>
      <w:jc w:val="left"/>
    </w:pPr>
    <w:rPr>
      <w:rFonts w:ascii="等线" w:hAnsi="等线" w:eastAsia="等线" w:cs="等线"/>
      <w:kern w:val="0"/>
      <w:sz w:val="20"/>
      <w:szCs w:val="20"/>
    </w:rPr>
  </w:style>
  <w:style w:type="paragraph" w:styleId="52">
    <w:name w:val="Body Text Indent 3"/>
    <w:basedOn w:val="1"/>
    <w:link w:val="202"/>
    <w:autoRedefine/>
    <w:qFormat/>
    <w:uiPriority w:val="0"/>
    <w:pPr>
      <w:spacing w:line="500" w:lineRule="exact"/>
      <w:ind w:left="511" w:hanging="511" w:hangingChars="213"/>
    </w:pPr>
    <w:rPr>
      <w:sz w:val="24"/>
    </w:rPr>
  </w:style>
  <w:style w:type="paragraph" w:styleId="53">
    <w:name w:val="table of figures"/>
    <w:basedOn w:val="1"/>
    <w:next w:val="1"/>
    <w:autoRedefine/>
    <w:qFormat/>
    <w:uiPriority w:val="0"/>
    <w:pPr>
      <w:spacing w:line="360" w:lineRule="auto"/>
      <w:ind w:left="840" w:leftChars="200" w:hanging="420" w:hangingChars="200"/>
    </w:pPr>
    <w:rPr>
      <w:rFonts w:ascii="等线" w:hAnsi="等线" w:eastAsia="等线" w:cs="等线"/>
      <w:szCs w:val="20"/>
    </w:rPr>
  </w:style>
  <w:style w:type="paragraph" w:styleId="54">
    <w:name w:val="toc 9"/>
    <w:basedOn w:val="1"/>
    <w:next w:val="1"/>
    <w:autoRedefine/>
    <w:qFormat/>
    <w:uiPriority w:val="39"/>
    <w:pPr>
      <w:autoSpaceDE w:val="0"/>
      <w:autoSpaceDN w:val="0"/>
      <w:adjustRightInd w:val="0"/>
      <w:ind w:left="3360" w:leftChars="1600"/>
      <w:jc w:val="left"/>
    </w:pPr>
    <w:rPr>
      <w:rFonts w:ascii="等线" w:hAnsi="等线" w:eastAsia="等线" w:cs="等线"/>
      <w:kern w:val="0"/>
      <w:sz w:val="20"/>
      <w:szCs w:val="20"/>
    </w:rPr>
  </w:style>
  <w:style w:type="paragraph" w:styleId="55">
    <w:name w:val="Body Text 2"/>
    <w:basedOn w:val="1"/>
    <w:link w:val="434"/>
    <w:autoRedefine/>
    <w:qFormat/>
    <w:uiPriority w:val="0"/>
    <w:pPr>
      <w:autoSpaceDE w:val="0"/>
      <w:autoSpaceDN w:val="0"/>
      <w:adjustRightInd w:val="0"/>
      <w:spacing w:after="120" w:line="480" w:lineRule="auto"/>
      <w:jc w:val="left"/>
    </w:pPr>
    <w:rPr>
      <w:rFonts w:ascii="等线" w:hAnsi="等线" w:eastAsia="等线" w:cs="等线"/>
      <w:kern w:val="0"/>
      <w:sz w:val="20"/>
      <w:szCs w:val="20"/>
    </w:rPr>
  </w:style>
  <w:style w:type="paragraph" w:styleId="56">
    <w:name w:val="Message Header"/>
    <w:basedOn w:val="1"/>
    <w:link w:val="437"/>
    <w:autoRedefine/>
    <w:qFormat/>
    <w:uiPriority w:val="0"/>
    <w:pPr>
      <w:pBdr>
        <w:top w:val="single" w:color="auto" w:sz="6" w:space="1"/>
        <w:left w:val="single" w:color="auto" w:sz="6" w:space="1"/>
        <w:bottom w:val="single" w:color="auto" w:sz="6" w:space="1"/>
        <w:right w:val="single" w:color="auto" w:sz="6" w:space="1"/>
      </w:pBdr>
      <w:shd w:val="pct20" w:color="auto" w:fill="auto"/>
      <w:adjustRightInd w:val="0"/>
      <w:spacing w:line="360" w:lineRule="atLeast"/>
      <w:ind w:left="1080" w:leftChars="400" w:hanging="1080" w:hangingChars="400"/>
      <w:jc w:val="left"/>
      <w:textAlignment w:val="baseline"/>
    </w:pPr>
    <w:rPr>
      <w:rFonts w:eastAsia="仿宋_GB2312"/>
    </w:rPr>
  </w:style>
  <w:style w:type="paragraph" w:styleId="57">
    <w:name w:val="HTML Preformatted"/>
    <w:basedOn w:val="1"/>
    <w:link w:val="43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200" w:firstLineChars="200"/>
      <w:jc w:val="left"/>
    </w:pPr>
    <w:rPr>
      <w:rFonts w:ascii="黑体" w:hAnsi="Courier New" w:eastAsia="黑体"/>
      <w:kern w:val="0"/>
      <w:sz w:val="20"/>
      <w:szCs w:val="20"/>
    </w:rPr>
  </w:style>
  <w:style w:type="paragraph" w:styleId="58">
    <w:name w:val="Normal (Web)"/>
    <w:basedOn w:val="1"/>
    <w:link w:val="165"/>
    <w:autoRedefine/>
    <w:qFormat/>
    <w:uiPriority w:val="1"/>
    <w:pPr>
      <w:widowControl/>
      <w:spacing w:before="100" w:beforeAutospacing="1" w:after="100" w:afterAutospacing="1"/>
      <w:jc w:val="left"/>
    </w:pPr>
    <w:rPr>
      <w:rFonts w:ascii="宋体" w:hAnsi="宋体"/>
      <w:kern w:val="0"/>
      <w:sz w:val="24"/>
    </w:rPr>
  </w:style>
  <w:style w:type="paragraph" w:styleId="59">
    <w:name w:val="index 1"/>
    <w:basedOn w:val="1"/>
    <w:next w:val="1"/>
    <w:autoRedefine/>
    <w:qFormat/>
    <w:uiPriority w:val="0"/>
    <w:pPr>
      <w:spacing w:line="360" w:lineRule="auto"/>
      <w:ind w:firstLine="200" w:firstLineChars="200"/>
    </w:pPr>
    <w:rPr>
      <w:rFonts w:ascii="等线" w:hAnsi="等线" w:eastAsia="等线" w:cs="等线"/>
      <w:szCs w:val="20"/>
    </w:rPr>
  </w:style>
  <w:style w:type="paragraph" w:styleId="60">
    <w:name w:val="Title"/>
    <w:basedOn w:val="1"/>
    <w:link w:val="156"/>
    <w:autoRedefine/>
    <w:qFormat/>
    <w:uiPriority w:val="0"/>
    <w:pPr>
      <w:autoSpaceDE w:val="0"/>
      <w:autoSpaceDN w:val="0"/>
      <w:adjustRightInd w:val="0"/>
      <w:spacing w:before="240" w:after="60"/>
      <w:jc w:val="center"/>
      <w:outlineLvl w:val="0"/>
    </w:pPr>
    <w:rPr>
      <w:rFonts w:ascii="Verdana" w:hAnsi="Verdana" w:eastAsia="仿宋_GB2312"/>
      <w:b/>
      <w:bCs/>
      <w:kern w:val="0"/>
      <w:sz w:val="32"/>
      <w:szCs w:val="32"/>
    </w:rPr>
  </w:style>
  <w:style w:type="paragraph" w:styleId="61">
    <w:name w:val="annotation subject"/>
    <w:basedOn w:val="21"/>
    <w:next w:val="21"/>
    <w:link w:val="169"/>
    <w:autoRedefine/>
    <w:qFormat/>
    <w:uiPriority w:val="1"/>
    <w:rPr>
      <w:b/>
      <w:bCs/>
    </w:rPr>
  </w:style>
  <w:style w:type="paragraph" w:styleId="62">
    <w:name w:val="Body Text First Indent 2"/>
    <w:basedOn w:val="27"/>
    <w:link w:val="438"/>
    <w:autoRedefine/>
    <w:unhideWhenUsed/>
    <w:qFormat/>
    <w:uiPriority w:val="0"/>
    <w:pPr>
      <w:spacing w:after="120"/>
      <w:ind w:left="420" w:leftChars="200" w:firstLine="420" w:firstLineChars="200"/>
    </w:pPr>
    <w:rPr>
      <w:sz w:val="21"/>
    </w:rPr>
  </w:style>
  <w:style w:type="table" w:styleId="64">
    <w:name w:val="Table Grid"/>
    <w:basedOn w:val="6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3"/>
    <w:autoRedefine/>
    <w:qFormat/>
    <w:uiPriority w:val="0"/>
    <w:pPr>
      <w:widowControl w:val="0"/>
      <w:jc w:val="both"/>
    </w:pPr>
    <w:rPr>
      <w:rFonts w:hint="eastAsia" w:ascii="等线" w:hAnsi="等线" w:eastAsia="等线" w:cs="等线"/>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67">
    <w:name w:val="Strong"/>
    <w:autoRedefine/>
    <w:qFormat/>
    <w:uiPriority w:val="0"/>
    <w:rPr>
      <w:b/>
      <w:bCs/>
    </w:rPr>
  </w:style>
  <w:style w:type="character" w:styleId="68">
    <w:name w:val="endnote reference"/>
    <w:autoRedefine/>
    <w:unhideWhenUsed/>
    <w:qFormat/>
    <w:uiPriority w:val="1"/>
    <w:rPr>
      <w:vertAlign w:val="superscript"/>
    </w:rPr>
  </w:style>
  <w:style w:type="character" w:styleId="69">
    <w:name w:val="page number"/>
    <w:basedOn w:val="66"/>
    <w:autoRedefine/>
    <w:qFormat/>
    <w:uiPriority w:val="0"/>
  </w:style>
  <w:style w:type="character" w:styleId="70">
    <w:name w:val="FollowedHyperlink"/>
    <w:autoRedefine/>
    <w:qFormat/>
    <w:uiPriority w:val="0"/>
    <w:rPr>
      <w:color w:val="800080"/>
      <w:u w:val="single"/>
    </w:rPr>
  </w:style>
  <w:style w:type="character" w:styleId="71">
    <w:name w:val="Emphasis"/>
    <w:autoRedefine/>
    <w:qFormat/>
    <w:uiPriority w:val="1"/>
    <w:rPr>
      <w:i/>
      <w:iCs/>
    </w:rPr>
  </w:style>
  <w:style w:type="character" w:styleId="72">
    <w:name w:val="line number"/>
    <w:basedOn w:val="66"/>
    <w:autoRedefine/>
    <w:qFormat/>
    <w:uiPriority w:val="0"/>
  </w:style>
  <w:style w:type="character" w:styleId="73">
    <w:name w:val="Hyperlink"/>
    <w:basedOn w:val="66"/>
    <w:autoRedefine/>
    <w:qFormat/>
    <w:uiPriority w:val="99"/>
    <w:rPr>
      <w:color w:val="000000"/>
      <w:sz w:val="20"/>
      <w:szCs w:val="20"/>
      <w:u w:val="none"/>
    </w:rPr>
  </w:style>
  <w:style w:type="character" w:styleId="74">
    <w:name w:val="annotation reference"/>
    <w:autoRedefine/>
    <w:qFormat/>
    <w:uiPriority w:val="1"/>
    <w:rPr>
      <w:sz w:val="21"/>
      <w:szCs w:val="21"/>
    </w:rPr>
  </w:style>
  <w:style w:type="character" w:styleId="75">
    <w:name w:val="HTML Cite"/>
    <w:autoRedefine/>
    <w:qFormat/>
    <w:uiPriority w:val="0"/>
    <w:rPr>
      <w:color w:val="008000"/>
    </w:rPr>
  </w:style>
  <w:style w:type="paragraph" w:customStyle="1" w:styleId="76">
    <w:name w:val="[Normal]"/>
    <w:autoRedefine/>
    <w:qFormat/>
    <w:uiPriority w:val="0"/>
    <w:rPr>
      <w:rFonts w:ascii="宋体" w:hAnsi="宋体" w:eastAsia="宋体" w:cs="Times New Roman"/>
      <w:sz w:val="24"/>
      <w:szCs w:val="22"/>
      <w:lang w:val="zh-CN" w:eastAsia="zh-CN" w:bidi="ar-SA"/>
    </w:rPr>
  </w:style>
  <w:style w:type="paragraph" w:customStyle="1" w:styleId="77">
    <w:name w:val="样式 10 磅"/>
    <w:autoRedefine/>
    <w:qFormat/>
    <w:uiPriority w:val="0"/>
    <w:pPr>
      <w:widowControl w:val="0"/>
      <w:jc w:val="both"/>
    </w:pPr>
    <w:rPr>
      <w:rFonts w:ascii="Calibri" w:hAnsi="Calibri" w:eastAsia="宋体" w:cs="Times New Roman"/>
      <w:kern w:val="2"/>
      <w:sz w:val="21"/>
      <w:szCs w:val="24"/>
      <w:lang w:val="en-US" w:eastAsia="zh-CN" w:bidi="ar-SA"/>
    </w:rPr>
  </w:style>
  <w:style w:type="character" w:customStyle="1" w:styleId="78">
    <w:name w:val="标题 1 Char"/>
    <w:link w:val="4"/>
    <w:autoRedefine/>
    <w:qFormat/>
    <w:uiPriority w:val="9"/>
    <w:rPr>
      <w:rFonts w:ascii="楷体_GB2312" w:eastAsia="楷体_GB2312"/>
      <w:b/>
      <w:bCs/>
      <w:kern w:val="2"/>
      <w:sz w:val="21"/>
      <w:szCs w:val="24"/>
    </w:rPr>
  </w:style>
  <w:style w:type="character" w:customStyle="1" w:styleId="79">
    <w:name w:val="标题 2 Char"/>
    <w:link w:val="2"/>
    <w:autoRedefine/>
    <w:qFormat/>
    <w:uiPriority w:val="9"/>
    <w:rPr>
      <w:rFonts w:ascii="Cambria" w:hAnsi="Cambria" w:eastAsia="宋体" w:cs="Times New Roman"/>
      <w:b/>
      <w:bCs/>
      <w:kern w:val="2"/>
      <w:sz w:val="32"/>
      <w:szCs w:val="32"/>
    </w:rPr>
  </w:style>
  <w:style w:type="character" w:customStyle="1" w:styleId="80">
    <w:name w:val="标题 3 Char"/>
    <w:link w:val="5"/>
    <w:autoRedefine/>
    <w:qFormat/>
    <w:uiPriority w:val="9"/>
    <w:rPr>
      <w:b/>
      <w:bCs/>
      <w:kern w:val="2"/>
      <w:sz w:val="32"/>
      <w:szCs w:val="32"/>
      <w:lang w:bidi="ar-SA"/>
    </w:rPr>
  </w:style>
  <w:style w:type="character" w:customStyle="1" w:styleId="81">
    <w:name w:val="标题 4 Char"/>
    <w:link w:val="6"/>
    <w:autoRedefine/>
    <w:qFormat/>
    <w:uiPriority w:val="0"/>
    <w:rPr>
      <w:rFonts w:ascii="Cambria" w:hAnsi="Cambria" w:eastAsia="宋体"/>
      <w:b/>
      <w:bCs/>
      <w:kern w:val="2"/>
      <w:sz w:val="28"/>
      <w:szCs w:val="28"/>
      <w:lang w:bidi="ar-SA"/>
    </w:rPr>
  </w:style>
  <w:style w:type="character" w:customStyle="1" w:styleId="82">
    <w:name w:val="标题 5 Char"/>
    <w:link w:val="7"/>
    <w:autoRedefine/>
    <w:qFormat/>
    <w:uiPriority w:val="9"/>
    <w:rPr>
      <w:b/>
      <w:bCs/>
      <w:kern w:val="2"/>
      <w:sz w:val="28"/>
      <w:szCs w:val="28"/>
    </w:rPr>
  </w:style>
  <w:style w:type="character" w:customStyle="1" w:styleId="83">
    <w:name w:val="标题 6 Char"/>
    <w:link w:val="8"/>
    <w:autoRedefine/>
    <w:qFormat/>
    <w:uiPriority w:val="9"/>
    <w:rPr>
      <w:rFonts w:ascii="Cambria" w:hAnsi="Cambria" w:eastAsia="宋体" w:cs="Times New Roman"/>
      <w:b/>
      <w:bCs/>
      <w:kern w:val="2"/>
      <w:sz w:val="24"/>
      <w:szCs w:val="24"/>
    </w:rPr>
  </w:style>
  <w:style w:type="character" w:customStyle="1" w:styleId="84">
    <w:name w:val="日期 Char"/>
    <w:link w:val="38"/>
    <w:autoRedefine/>
    <w:qFormat/>
    <w:uiPriority w:val="0"/>
    <w:rPr>
      <w:kern w:val="2"/>
      <w:sz w:val="21"/>
      <w:szCs w:val="24"/>
    </w:rPr>
  </w:style>
  <w:style w:type="character" w:customStyle="1" w:styleId="85">
    <w:name w:val="样式6 列表并列 Char"/>
    <w:link w:val="86"/>
    <w:autoRedefine/>
    <w:qFormat/>
    <w:uiPriority w:val="0"/>
    <w:rPr>
      <w:rFonts w:ascii="Arial" w:hAnsi="Arial" w:cs="Arial"/>
      <w:kern w:val="21"/>
      <w:sz w:val="21"/>
      <w:szCs w:val="24"/>
    </w:rPr>
  </w:style>
  <w:style w:type="paragraph" w:customStyle="1" w:styleId="86">
    <w:name w:val="样式6 列表并列"/>
    <w:link w:val="85"/>
    <w:autoRedefine/>
    <w:qFormat/>
    <w:uiPriority w:val="0"/>
    <w:pPr>
      <w:widowControl w:val="0"/>
      <w:tabs>
        <w:tab w:val="left" w:pos="0"/>
      </w:tabs>
      <w:spacing w:before="40" w:after="40" w:line="240" w:lineRule="atLeast"/>
      <w:ind w:left="840" w:hanging="420"/>
    </w:pPr>
    <w:rPr>
      <w:rFonts w:ascii="Arial" w:hAnsi="Arial" w:eastAsia="宋体" w:cs="Arial"/>
      <w:kern w:val="21"/>
      <w:sz w:val="21"/>
      <w:szCs w:val="24"/>
      <w:lang w:val="en-US" w:eastAsia="zh-CN" w:bidi="ar-SA"/>
    </w:rPr>
  </w:style>
  <w:style w:type="character" w:customStyle="1" w:styleId="87">
    <w:name w:val="Texte Char Char"/>
    <w:autoRedefine/>
    <w:qFormat/>
    <w:uiPriority w:val="0"/>
    <w:rPr>
      <w:rFonts w:ascii="宋体" w:hAnsi="Courier New" w:eastAsia="宋体"/>
      <w:sz w:val="21"/>
      <w:szCs w:val="21"/>
      <w:lang w:val="en-US" w:eastAsia="zh-CN" w:bidi="ar-SA"/>
    </w:rPr>
  </w:style>
  <w:style w:type="character" w:customStyle="1" w:styleId="88">
    <w:name w:val="页脚 Char"/>
    <w:link w:val="42"/>
    <w:autoRedefine/>
    <w:qFormat/>
    <w:uiPriority w:val="99"/>
    <w:rPr>
      <w:kern w:val="2"/>
      <w:sz w:val="18"/>
      <w:szCs w:val="18"/>
    </w:rPr>
  </w:style>
  <w:style w:type="character" w:customStyle="1" w:styleId="89">
    <w:name w:val="正文文本 Char"/>
    <w:link w:val="25"/>
    <w:autoRedefine/>
    <w:qFormat/>
    <w:uiPriority w:val="99"/>
    <w:rPr>
      <w:kern w:val="2"/>
      <w:sz w:val="21"/>
      <w:szCs w:val="24"/>
    </w:rPr>
  </w:style>
  <w:style w:type="character" w:customStyle="1" w:styleId="90">
    <w:name w:val="正文文本缩进 Char"/>
    <w:link w:val="27"/>
    <w:autoRedefine/>
    <w:qFormat/>
    <w:uiPriority w:val="0"/>
    <w:rPr>
      <w:kern w:val="2"/>
      <w:sz w:val="24"/>
      <w:szCs w:val="24"/>
    </w:rPr>
  </w:style>
  <w:style w:type="character" w:customStyle="1" w:styleId="91">
    <w:name w:val="纯文本 Char"/>
    <w:link w:val="34"/>
    <w:autoRedefine/>
    <w:qFormat/>
    <w:uiPriority w:val="0"/>
    <w:rPr>
      <w:rFonts w:ascii="宋体" w:hAnsi="Courier New" w:eastAsia="宋体"/>
      <w:sz w:val="21"/>
      <w:szCs w:val="21"/>
      <w:lang w:val="en-US" w:eastAsia="zh-CN" w:bidi="ar-SA"/>
    </w:rPr>
  </w:style>
  <w:style w:type="character" w:customStyle="1" w:styleId="92">
    <w:name w:val="font31"/>
    <w:basedOn w:val="66"/>
    <w:autoRedefine/>
    <w:qFormat/>
    <w:uiPriority w:val="0"/>
    <w:rPr>
      <w:rFonts w:hint="eastAsia" w:ascii="新宋体" w:hAnsi="新宋体" w:eastAsia="新宋体" w:cs="新宋体"/>
      <w:color w:val="000000"/>
      <w:sz w:val="22"/>
      <w:szCs w:val="22"/>
      <w:u w:val="none"/>
    </w:rPr>
  </w:style>
  <w:style w:type="character" w:customStyle="1" w:styleId="93">
    <w:name w:val="style21"/>
    <w:autoRedefine/>
    <w:qFormat/>
    <w:uiPriority w:val="0"/>
    <w:rPr>
      <w:sz w:val="15"/>
      <w:szCs w:val="15"/>
    </w:rPr>
  </w:style>
  <w:style w:type="character" w:customStyle="1" w:styleId="94">
    <w:name w:val="BZ_正文 Char"/>
    <w:link w:val="95"/>
    <w:autoRedefine/>
    <w:qFormat/>
    <w:uiPriority w:val="0"/>
    <w:rPr>
      <w:rFonts w:ascii="宋体" w:hAnsi="宋体" w:eastAsia="宋体"/>
      <w:kern w:val="2"/>
      <w:sz w:val="24"/>
      <w:szCs w:val="24"/>
    </w:rPr>
  </w:style>
  <w:style w:type="paragraph" w:customStyle="1" w:styleId="95">
    <w:name w:val="BZ_正文"/>
    <w:basedOn w:val="1"/>
    <w:link w:val="94"/>
    <w:autoRedefine/>
    <w:qFormat/>
    <w:uiPriority w:val="0"/>
    <w:pPr>
      <w:widowControl/>
      <w:spacing w:line="360" w:lineRule="auto"/>
      <w:ind w:firstLine="480" w:firstLineChars="200"/>
    </w:pPr>
    <w:rPr>
      <w:rFonts w:ascii="宋体" w:hAnsi="宋体"/>
      <w:sz w:val="24"/>
      <w:shd w:val="clear" w:color="auto" w:fill="FFFFFF"/>
    </w:rPr>
  </w:style>
  <w:style w:type="character" w:customStyle="1" w:styleId="96">
    <w:name w:val="Char Char Char"/>
    <w:autoRedefine/>
    <w:qFormat/>
    <w:uiPriority w:val="0"/>
    <w:rPr>
      <w:rFonts w:ascii="宋体" w:hAnsi="Courier New" w:eastAsia="宋体"/>
      <w:sz w:val="21"/>
      <w:szCs w:val="21"/>
      <w:lang w:val="en-US" w:eastAsia="zh-CN" w:bidi="ar-SA"/>
    </w:rPr>
  </w:style>
  <w:style w:type="character" w:customStyle="1" w:styleId="97">
    <w:name w:val="font21"/>
    <w:autoRedefine/>
    <w:qFormat/>
    <w:uiPriority w:val="0"/>
    <w:rPr>
      <w:rFonts w:hint="eastAsia" w:ascii="宋体" w:hAnsi="宋体" w:eastAsia="宋体" w:cs="宋体"/>
      <w:b/>
      <w:color w:val="000000"/>
      <w:sz w:val="21"/>
      <w:szCs w:val="21"/>
      <w:u w:val="none"/>
    </w:rPr>
  </w:style>
  <w:style w:type="character" w:customStyle="1" w:styleId="98">
    <w:name w:val="font11"/>
    <w:autoRedefine/>
    <w:qFormat/>
    <w:uiPriority w:val="0"/>
    <w:rPr>
      <w:rFonts w:hint="default" w:ascii="Times New Roman" w:hAnsi="Times New Roman" w:eastAsia="仿宋_GB2312" w:cs="Times New Roman"/>
      <w:b/>
      <w:color w:val="000000"/>
      <w:sz w:val="21"/>
      <w:szCs w:val="21"/>
      <w:u w:val="none"/>
    </w:rPr>
  </w:style>
  <w:style w:type="character" w:customStyle="1" w:styleId="99">
    <w:name w:val="正文1 Char"/>
    <w:link w:val="100"/>
    <w:autoRedefine/>
    <w:qFormat/>
    <w:uiPriority w:val="0"/>
    <w:rPr>
      <w:sz w:val="24"/>
      <w:lang w:val="en-US" w:eastAsia="zh-CN" w:bidi="ar-SA"/>
    </w:rPr>
  </w:style>
  <w:style w:type="paragraph" w:customStyle="1" w:styleId="100">
    <w:name w:val="正文1"/>
    <w:link w:val="99"/>
    <w:autoRedefine/>
    <w:qFormat/>
    <w:uiPriority w:val="0"/>
    <w:pPr>
      <w:spacing w:beforeLines="50" w:afterLines="50"/>
      <w:ind w:firstLine="200" w:firstLineChars="200"/>
    </w:pPr>
    <w:rPr>
      <w:rFonts w:ascii="Times New Roman" w:hAnsi="Times New Roman" w:eastAsia="宋体" w:cs="Times New Roman"/>
      <w:sz w:val="24"/>
      <w:lang w:val="en-US" w:eastAsia="zh-CN" w:bidi="ar-SA"/>
    </w:rPr>
  </w:style>
  <w:style w:type="character" w:customStyle="1" w:styleId="101">
    <w:name w:val="正文首行缩进 Char"/>
    <w:basedOn w:val="89"/>
    <w:link w:val="26"/>
    <w:autoRedefine/>
    <w:qFormat/>
    <w:uiPriority w:val="0"/>
    <w:rPr>
      <w:kern w:val="2"/>
      <w:sz w:val="21"/>
      <w:szCs w:val="24"/>
    </w:rPr>
  </w:style>
  <w:style w:type="character" w:customStyle="1" w:styleId="102">
    <w:name w:val="正文缩进 Char"/>
    <w:link w:val="16"/>
    <w:autoRedefine/>
    <w:qFormat/>
    <w:uiPriority w:val="0"/>
    <w:rPr>
      <w:rFonts w:eastAsia="宋体"/>
      <w:sz w:val="21"/>
      <w:lang w:val="en-US" w:eastAsia="zh-CN" w:bidi="ar-SA"/>
    </w:rPr>
  </w:style>
  <w:style w:type="character" w:customStyle="1" w:styleId="103">
    <w:name w:val="BZ_题注_图 Char"/>
    <w:link w:val="104"/>
    <w:autoRedefine/>
    <w:qFormat/>
    <w:uiPriority w:val="0"/>
    <w:rPr>
      <w:rFonts w:eastAsia="黑体"/>
      <w:kern w:val="2"/>
      <w:sz w:val="21"/>
      <w:szCs w:val="21"/>
    </w:rPr>
  </w:style>
  <w:style w:type="paragraph" w:customStyle="1" w:styleId="104">
    <w:name w:val="BZ_题注_图"/>
    <w:basedOn w:val="17"/>
    <w:next w:val="1"/>
    <w:link w:val="103"/>
    <w:autoRedefine/>
    <w:qFormat/>
    <w:uiPriority w:val="0"/>
    <w:pPr>
      <w:widowControl/>
      <w:spacing w:beforeLines="50" w:afterLines="50"/>
      <w:jc w:val="center"/>
    </w:pPr>
    <w:rPr>
      <w:rFonts w:ascii="Times New Roman" w:hAnsi="Times New Roman"/>
      <w:sz w:val="21"/>
      <w:szCs w:val="21"/>
    </w:rPr>
  </w:style>
  <w:style w:type="character" w:customStyle="1" w:styleId="105">
    <w:name w:val="文档正文 Char"/>
    <w:link w:val="106"/>
    <w:autoRedefine/>
    <w:qFormat/>
    <w:uiPriority w:val="0"/>
    <w:rPr>
      <w:rFonts w:ascii="Tahoma" w:hAnsi="Tahoma" w:eastAsia="仿宋_GB2312"/>
      <w:sz w:val="28"/>
      <w:lang w:val="en-US" w:eastAsia="zh-CN" w:bidi="ar-SA"/>
    </w:rPr>
  </w:style>
  <w:style w:type="paragraph" w:customStyle="1" w:styleId="106">
    <w:name w:val="文档正文"/>
    <w:basedOn w:val="1"/>
    <w:link w:val="105"/>
    <w:autoRedefine/>
    <w:qFormat/>
    <w:uiPriority w:val="0"/>
    <w:pPr>
      <w:spacing w:line="360" w:lineRule="auto"/>
      <w:ind w:firstLine="480" w:firstLineChars="200"/>
    </w:pPr>
    <w:rPr>
      <w:rFonts w:ascii="Tahoma" w:hAnsi="Tahoma" w:eastAsia="仿宋_GB2312"/>
      <w:kern w:val="0"/>
      <w:sz w:val="28"/>
      <w:szCs w:val="20"/>
    </w:rPr>
  </w:style>
  <w:style w:type="character" w:customStyle="1" w:styleId="107">
    <w:name w:val="unnamed51"/>
    <w:autoRedefine/>
    <w:qFormat/>
    <w:uiPriority w:val="0"/>
    <w:rPr>
      <w:sz w:val="22"/>
      <w:szCs w:val="22"/>
    </w:rPr>
  </w:style>
  <w:style w:type="character" w:customStyle="1" w:styleId="108">
    <w:name w:val="Char Char2"/>
    <w:autoRedefine/>
    <w:qFormat/>
    <w:uiPriority w:val="0"/>
    <w:rPr>
      <w:rFonts w:ascii="宋体" w:hAnsi="Courier New" w:eastAsia="宋体"/>
      <w:kern w:val="2"/>
      <w:sz w:val="21"/>
      <w:lang w:val="en-US" w:eastAsia="zh-CN"/>
    </w:rPr>
  </w:style>
  <w:style w:type="character" w:customStyle="1" w:styleId="109">
    <w:name w:val="BZ_三级标题 Char"/>
    <w:link w:val="110"/>
    <w:autoRedefine/>
    <w:qFormat/>
    <w:uiPriority w:val="0"/>
    <w:rPr>
      <w:rFonts w:eastAsia="黑体"/>
      <w:b/>
      <w:bCs/>
      <w:kern w:val="2"/>
      <w:sz w:val="28"/>
      <w:szCs w:val="28"/>
    </w:rPr>
  </w:style>
  <w:style w:type="paragraph" w:customStyle="1" w:styleId="110">
    <w:name w:val="BZ_三级标题"/>
    <w:basedOn w:val="5"/>
    <w:next w:val="95"/>
    <w:link w:val="109"/>
    <w:autoRedefine/>
    <w:qFormat/>
    <w:uiPriority w:val="0"/>
    <w:pPr>
      <w:spacing w:line="240" w:lineRule="auto"/>
      <w:ind w:left="720" w:hanging="720"/>
    </w:pPr>
    <w:rPr>
      <w:rFonts w:eastAsia="黑体"/>
      <w:sz w:val="28"/>
      <w:szCs w:val="28"/>
    </w:rPr>
  </w:style>
  <w:style w:type="character" w:customStyle="1" w:styleId="111">
    <w:name w:val="哈哈正文 Char"/>
    <w:link w:val="112"/>
    <w:autoRedefine/>
    <w:qFormat/>
    <w:uiPriority w:val="0"/>
    <w:rPr>
      <w:rFonts w:ascii="宋体" w:hAnsi="宋体" w:eastAsia="宋体" w:cs="宋体"/>
      <w:kern w:val="2"/>
      <w:sz w:val="24"/>
      <w:lang w:val="en-US" w:eastAsia="zh-CN" w:bidi="ar-SA"/>
    </w:rPr>
  </w:style>
  <w:style w:type="paragraph" w:customStyle="1" w:styleId="112">
    <w:name w:val="哈哈正文"/>
    <w:basedOn w:val="1"/>
    <w:link w:val="111"/>
    <w:autoRedefine/>
    <w:qFormat/>
    <w:uiPriority w:val="0"/>
    <w:pPr>
      <w:spacing w:line="360" w:lineRule="auto"/>
      <w:ind w:firstLine="200" w:firstLineChars="200"/>
    </w:pPr>
    <w:rPr>
      <w:rFonts w:ascii="宋体" w:hAnsi="宋体" w:cs="宋体"/>
      <w:sz w:val="24"/>
      <w:szCs w:val="20"/>
    </w:rPr>
  </w:style>
  <w:style w:type="character" w:customStyle="1" w:styleId="113">
    <w:name w:val="批注文字 Char"/>
    <w:link w:val="21"/>
    <w:autoRedefine/>
    <w:qFormat/>
    <w:uiPriority w:val="1"/>
    <w:rPr>
      <w:kern w:val="2"/>
      <w:sz w:val="21"/>
      <w:szCs w:val="24"/>
    </w:rPr>
  </w:style>
  <w:style w:type="character" w:customStyle="1" w:styleId="114">
    <w:name w:val="fontstyle01"/>
    <w:autoRedefine/>
    <w:qFormat/>
    <w:uiPriority w:val="0"/>
    <w:rPr>
      <w:rFonts w:hint="eastAsia" w:ascii="楷体" w:hAnsi="楷体" w:eastAsia="楷体"/>
      <w:color w:val="000000"/>
      <w:sz w:val="24"/>
      <w:szCs w:val="24"/>
    </w:rPr>
  </w:style>
  <w:style w:type="character" w:customStyle="1" w:styleId="115">
    <w:name w:val="List Paragraph Char"/>
    <w:link w:val="116"/>
    <w:autoRedefine/>
    <w:qFormat/>
    <w:uiPriority w:val="0"/>
    <w:rPr>
      <w:rFonts w:ascii="Calibri" w:hAnsi="Calibri" w:eastAsia="宋体"/>
      <w:kern w:val="2"/>
      <w:sz w:val="21"/>
      <w:szCs w:val="22"/>
      <w:lang w:val="en-US" w:eastAsia="zh-CN" w:bidi="ar-SA"/>
    </w:rPr>
  </w:style>
  <w:style w:type="paragraph" w:customStyle="1" w:styleId="116">
    <w:name w:val="列出段落1"/>
    <w:basedOn w:val="1"/>
    <w:link w:val="115"/>
    <w:autoRedefine/>
    <w:qFormat/>
    <w:uiPriority w:val="0"/>
    <w:pPr>
      <w:ind w:firstLine="420" w:firstLineChars="200"/>
    </w:pPr>
    <w:rPr>
      <w:rFonts w:ascii="Calibri" w:hAnsi="Calibri"/>
      <w:szCs w:val="22"/>
    </w:rPr>
  </w:style>
  <w:style w:type="paragraph" w:customStyle="1" w:styleId="117">
    <w:name w:val="正文2"/>
    <w:basedOn w:val="1"/>
    <w:autoRedefine/>
    <w:qFormat/>
    <w:uiPriority w:val="0"/>
    <w:pPr>
      <w:spacing w:before="156" w:line="360" w:lineRule="auto"/>
      <w:ind w:firstLine="510" w:firstLineChars="200"/>
    </w:pPr>
    <w:rPr>
      <w:sz w:val="24"/>
      <w:szCs w:val="20"/>
    </w:rPr>
  </w:style>
  <w:style w:type="paragraph" w:customStyle="1" w:styleId="118">
    <w:name w:val="Char Char Char Char"/>
    <w:basedOn w:val="19"/>
    <w:autoRedefine/>
    <w:qFormat/>
    <w:uiPriority w:val="0"/>
    <w:rPr>
      <w:rFonts w:ascii="Tahoma" w:hAnsi="Tahoma"/>
      <w:sz w:val="24"/>
    </w:rPr>
  </w:style>
  <w:style w:type="paragraph" w:customStyle="1" w:styleId="119">
    <w:name w:val="Char1 Char Char Char"/>
    <w:basedOn w:val="1"/>
    <w:autoRedefine/>
    <w:qFormat/>
    <w:uiPriority w:val="0"/>
    <w:rPr>
      <w:rFonts w:ascii="Tahoma" w:hAnsi="Tahoma"/>
      <w:sz w:val="24"/>
      <w:szCs w:val="20"/>
    </w:rPr>
  </w:style>
  <w:style w:type="paragraph" w:customStyle="1" w:styleId="120">
    <w:name w:val="style3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21">
    <w:name w:val="表内文字"/>
    <w:basedOn w:val="1"/>
    <w:autoRedefine/>
    <w:qFormat/>
    <w:uiPriority w:val="0"/>
    <w:pPr>
      <w:tabs>
        <w:tab w:val="left" w:pos="1418"/>
      </w:tabs>
      <w:spacing w:line="360" w:lineRule="auto"/>
      <w:jc w:val="center"/>
    </w:pPr>
    <w:rPr>
      <w:rFonts w:hint="eastAsia" w:ascii="仿宋_GB2312" w:eastAsia="仿宋_GB2312"/>
      <w:spacing w:val="-20"/>
      <w:kern w:val="0"/>
      <w:sz w:val="24"/>
    </w:rPr>
  </w:style>
  <w:style w:type="paragraph" w:customStyle="1" w:styleId="122">
    <w:name w:val="Char Char Char Char Char Char Char Char Char Char Char Char Char1"/>
    <w:basedOn w:val="1"/>
    <w:autoRedefine/>
    <w:qFormat/>
    <w:uiPriority w:val="0"/>
    <w:rPr>
      <w:rFonts w:ascii="Tahoma" w:hAnsi="Tahoma"/>
      <w:sz w:val="24"/>
      <w:szCs w:val="20"/>
    </w:rPr>
  </w:style>
  <w:style w:type="paragraph" w:styleId="123">
    <w:name w:val="List Paragraph"/>
    <w:basedOn w:val="1"/>
    <w:autoRedefine/>
    <w:qFormat/>
    <w:uiPriority w:val="0"/>
    <w:pPr>
      <w:ind w:firstLine="420" w:firstLineChars="200"/>
    </w:pPr>
  </w:style>
  <w:style w:type="paragraph" w:customStyle="1" w:styleId="124">
    <w:name w:val="BZ_六级标题"/>
    <w:basedOn w:val="8"/>
    <w:next w:val="95"/>
    <w:autoRedefine/>
    <w:qFormat/>
    <w:uiPriority w:val="0"/>
    <w:pPr>
      <w:widowControl/>
      <w:tabs>
        <w:tab w:val="left" w:pos="360"/>
      </w:tabs>
      <w:spacing w:beforeLines="50" w:afterLines="50" w:line="240" w:lineRule="auto"/>
    </w:pPr>
    <w:rPr>
      <w:rFonts w:eastAsia="黑体"/>
    </w:rPr>
  </w:style>
  <w:style w:type="paragraph" w:customStyle="1" w:styleId="125">
    <w:name w:val="正文－恩普"/>
    <w:basedOn w:val="16"/>
    <w:autoRedefine/>
    <w:qFormat/>
    <w:uiPriority w:val="0"/>
    <w:pPr>
      <w:framePr w:wrap="around" w:vAnchor="text" w:hAnchor="text" w:y="1"/>
      <w:adjustRightInd/>
      <w:spacing w:line="360" w:lineRule="auto"/>
      <w:ind w:firstLine="200" w:firstLineChars="200"/>
      <w:textAlignment w:val="auto"/>
    </w:pPr>
    <w:rPr>
      <w:kern w:val="2"/>
      <w:sz w:val="24"/>
      <w:szCs w:val="24"/>
    </w:rPr>
  </w:style>
  <w:style w:type="paragraph" w:customStyle="1" w:styleId="126">
    <w:name w:val="Char Char Char Char2"/>
    <w:basedOn w:val="19"/>
    <w:autoRedefine/>
    <w:qFormat/>
    <w:uiPriority w:val="0"/>
  </w:style>
  <w:style w:type="paragraph" w:customStyle="1" w:styleId="127">
    <w:name w:val="默认段落字体 Para Char"/>
    <w:basedOn w:val="1"/>
    <w:autoRedefine/>
    <w:qFormat/>
    <w:uiPriority w:val="0"/>
    <w:pPr>
      <w:tabs>
        <w:tab w:val="left" w:pos="360"/>
      </w:tabs>
      <w:adjustRightInd w:val="0"/>
      <w:textAlignment w:val="baseline"/>
    </w:pPr>
    <w:rPr>
      <w:kern w:val="0"/>
      <w:sz w:val="24"/>
      <w:szCs w:val="20"/>
    </w:rPr>
  </w:style>
  <w:style w:type="paragraph" w:customStyle="1" w:styleId="128">
    <w:name w:val="Char Char Char Char Char Char Char1"/>
    <w:basedOn w:val="1"/>
    <w:autoRedefine/>
    <w:qFormat/>
    <w:uiPriority w:val="0"/>
    <w:rPr>
      <w:rFonts w:ascii="仿宋_GB2312" w:eastAsia="仿宋_GB2312"/>
      <w:b/>
      <w:sz w:val="32"/>
      <w:szCs w:val="32"/>
    </w:rPr>
  </w:style>
  <w:style w:type="paragraph" w:customStyle="1" w:styleId="129">
    <w:name w:val="简单回函地址"/>
    <w:basedOn w:val="1"/>
    <w:autoRedefine/>
    <w:qFormat/>
    <w:uiPriority w:val="0"/>
  </w:style>
  <w:style w:type="paragraph" w:customStyle="1" w:styleId="130">
    <w:name w:val="Char Char7 Char"/>
    <w:basedOn w:val="1"/>
    <w:autoRedefine/>
    <w:qFormat/>
    <w:uiPriority w:val="0"/>
    <w:pPr>
      <w:tabs>
        <w:tab w:val="left" w:pos="425"/>
      </w:tabs>
      <w:ind w:left="420" w:leftChars="200" w:firstLine="270" w:firstLineChars="150"/>
    </w:pPr>
  </w:style>
  <w:style w:type="paragraph" w:customStyle="1" w:styleId="131">
    <w:name w:val="BZ_一级标题"/>
    <w:basedOn w:val="4"/>
    <w:next w:val="95"/>
    <w:link w:val="175"/>
    <w:autoRedefine/>
    <w:qFormat/>
    <w:uiPriority w:val="0"/>
    <w:pPr>
      <w:keepLines/>
      <w:widowControl/>
      <w:spacing w:beforeLines="50" w:afterLines="50"/>
      <w:ind w:left="432" w:hanging="432"/>
      <w:jc w:val="both"/>
    </w:pPr>
    <w:rPr>
      <w:rFonts w:ascii="Times New Roman" w:eastAsia="华文中宋"/>
      <w:kern w:val="44"/>
      <w:sz w:val="36"/>
      <w:szCs w:val="36"/>
    </w:rPr>
  </w:style>
  <w:style w:type="paragraph" w:customStyle="1" w:styleId="132">
    <w:name w:val="保留正文"/>
    <w:basedOn w:val="25"/>
    <w:autoRedefine/>
    <w:qFormat/>
    <w:uiPriority w:val="0"/>
    <w:pPr>
      <w:keepNext/>
      <w:spacing w:after="160"/>
    </w:pPr>
  </w:style>
  <w:style w:type="paragraph" w:customStyle="1" w:styleId="133">
    <w:name w:val="Char Char Char Char Char Char Char"/>
    <w:basedOn w:val="1"/>
    <w:autoRedefine/>
    <w:qFormat/>
    <w:uiPriority w:val="0"/>
    <w:rPr>
      <w:rFonts w:ascii="仿宋_GB2312" w:eastAsia="仿宋_GB2312"/>
      <w:b/>
      <w:sz w:val="32"/>
      <w:szCs w:val="32"/>
    </w:rPr>
  </w:style>
  <w:style w:type="paragraph" w:customStyle="1" w:styleId="134">
    <w:name w:val="xl55"/>
    <w:basedOn w:val="1"/>
    <w:autoRedefine/>
    <w:qFormat/>
    <w:uiPriority w:val="0"/>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135">
    <w:name w:val="Char Char"/>
    <w:basedOn w:val="1"/>
    <w:autoRedefine/>
    <w:qFormat/>
    <w:uiPriority w:val="0"/>
    <w:rPr>
      <w:rFonts w:ascii="仿宋_GB2312" w:eastAsia="仿宋_GB2312"/>
      <w:b/>
      <w:sz w:val="32"/>
      <w:szCs w:val="32"/>
    </w:rPr>
  </w:style>
  <w:style w:type="paragraph" w:customStyle="1" w:styleId="136">
    <w:name w:val="CM106"/>
    <w:basedOn w:val="137"/>
    <w:next w:val="137"/>
    <w:autoRedefine/>
    <w:qFormat/>
    <w:uiPriority w:val="0"/>
    <w:rPr>
      <w:rFonts w:ascii="宋体" w:cs="Times New Roman"/>
      <w:color w:val="auto"/>
    </w:rPr>
  </w:style>
  <w:style w:type="paragraph" w:customStyle="1" w:styleId="137">
    <w:name w:val="Default"/>
    <w:autoRedefine/>
    <w:qFormat/>
    <w:uiPriority w:val="99"/>
    <w:pPr>
      <w:widowControl w:val="0"/>
      <w:autoSpaceDE w:val="0"/>
      <w:autoSpaceDN w:val="0"/>
      <w:adjustRightInd w:val="0"/>
    </w:pPr>
    <w:rPr>
      <w:rFonts w:ascii="仿宋_GB2312" w:hAnsi="Times New Roman" w:eastAsia="宋体" w:cs="仿宋_GB2312"/>
      <w:color w:val="000000"/>
      <w:sz w:val="24"/>
      <w:szCs w:val="24"/>
      <w:lang w:val="en-US" w:eastAsia="zh-CN" w:bidi="ar-SA"/>
    </w:rPr>
  </w:style>
  <w:style w:type="paragraph" w:customStyle="1" w:styleId="138">
    <w:name w:val="Char Char Char Char1"/>
    <w:basedOn w:val="1"/>
    <w:autoRedefine/>
    <w:qFormat/>
    <w:uiPriority w:val="0"/>
    <w:rPr>
      <w:rFonts w:ascii="Tahoma" w:hAnsi="Tahoma"/>
      <w:sz w:val="24"/>
      <w:szCs w:val="20"/>
    </w:rPr>
  </w:style>
  <w:style w:type="paragraph" w:customStyle="1" w:styleId="139">
    <w:name w:val="Char Char Char Char Char Char Char Char Char Char Char Char Char"/>
    <w:basedOn w:val="1"/>
    <w:autoRedefine/>
    <w:qFormat/>
    <w:uiPriority w:val="0"/>
    <w:rPr>
      <w:rFonts w:ascii="Tahoma" w:hAnsi="Tahoma"/>
      <w:sz w:val="24"/>
      <w:szCs w:val="20"/>
    </w:rPr>
  </w:style>
  <w:style w:type="paragraph" w:customStyle="1" w:styleId="140">
    <w:name w:val="Char Char1 Char Char Char Char Char Char"/>
    <w:basedOn w:val="1"/>
    <w:autoRedefine/>
    <w:qFormat/>
    <w:uiPriority w:val="0"/>
    <w:pPr>
      <w:widowControl/>
      <w:spacing w:after="160" w:line="240" w:lineRule="exact"/>
      <w:jc w:val="left"/>
    </w:pPr>
    <w:rPr>
      <w:rFonts w:ascii="宋体" w:hAnsi="宋体" w:cs="宋体"/>
      <w:kern w:val="0"/>
      <w:szCs w:val="20"/>
    </w:rPr>
  </w:style>
  <w:style w:type="paragraph" w:customStyle="1" w:styleId="141">
    <w:name w:val="BZ_五级标题"/>
    <w:basedOn w:val="7"/>
    <w:next w:val="95"/>
    <w:autoRedefine/>
    <w:qFormat/>
    <w:uiPriority w:val="0"/>
    <w:pPr>
      <w:widowControl/>
      <w:spacing w:beforeLines="50" w:afterLines="50" w:line="240" w:lineRule="auto"/>
    </w:pPr>
    <w:rPr>
      <w:rFonts w:eastAsia="黑体"/>
      <w:b w:val="0"/>
      <w:sz w:val="24"/>
      <w:szCs w:val="24"/>
    </w:rPr>
  </w:style>
  <w:style w:type="paragraph" w:customStyle="1" w:styleId="142">
    <w:name w:val="Char Char Char Char Char Char Char Char Char Char Char Char Char2"/>
    <w:basedOn w:val="1"/>
    <w:autoRedefine/>
    <w:qFormat/>
    <w:uiPriority w:val="0"/>
    <w:rPr>
      <w:rFonts w:ascii="Tahoma" w:hAnsi="Tahoma"/>
      <w:sz w:val="24"/>
      <w:szCs w:val="20"/>
    </w:rPr>
  </w:style>
  <w:style w:type="paragraph" w:customStyle="1" w:styleId="143">
    <w:name w:val="Char Char Char Char Char Char Char2"/>
    <w:basedOn w:val="1"/>
    <w:autoRedefine/>
    <w:qFormat/>
    <w:uiPriority w:val="0"/>
    <w:rPr>
      <w:rFonts w:ascii="仿宋_GB2312" w:eastAsia="仿宋_GB2312"/>
      <w:b/>
      <w:sz w:val="32"/>
      <w:szCs w:val="32"/>
    </w:rPr>
  </w:style>
  <w:style w:type="paragraph" w:customStyle="1" w:styleId="144">
    <w:name w:val="1"/>
    <w:basedOn w:val="16"/>
    <w:autoRedefine/>
    <w:qFormat/>
    <w:uiPriority w:val="99"/>
    <w:pPr>
      <w:framePr w:wrap="around" w:vAnchor="text" w:hAnchor="text" w:y="1"/>
      <w:adjustRightInd/>
      <w:spacing w:line="360" w:lineRule="auto"/>
      <w:ind w:firstLine="200" w:firstLineChars="200"/>
      <w:textAlignment w:val="auto"/>
    </w:pPr>
    <w:rPr>
      <w:kern w:val="2"/>
      <w:sz w:val="24"/>
      <w:szCs w:val="24"/>
    </w:rPr>
  </w:style>
  <w:style w:type="paragraph" w:customStyle="1" w:styleId="145">
    <w:name w:val="样式 Arial 小四 首行缩进:  0.85 厘米"/>
    <w:basedOn w:val="1"/>
    <w:autoRedefine/>
    <w:qFormat/>
    <w:uiPriority w:val="0"/>
    <w:pPr>
      <w:spacing w:line="360" w:lineRule="auto"/>
      <w:ind w:firstLine="482"/>
    </w:pPr>
    <w:rPr>
      <w:rFonts w:ascii="Arial" w:hAnsi="Arial" w:cs="宋体"/>
      <w:sz w:val="24"/>
      <w:szCs w:val="20"/>
    </w:rPr>
  </w:style>
  <w:style w:type="paragraph" w:customStyle="1" w:styleId="146">
    <w:name w:val="修订1"/>
    <w:autoRedefine/>
    <w:qFormat/>
    <w:uiPriority w:val="99"/>
    <w:rPr>
      <w:rFonts w:ascii="Times New Roman" w:hAnsi="Times New Roman" w:eastAsia="宋体" w:cs="Times New Roman"/>
      <w:kern w:val="2"/>
      <w:sz w:val="21"/>
      <w:szCs w:val="24"/>
      <w:lang w:val="en-US" w:eastAsia="zh-CN" w:bidi="ar-SA"/>
    </w:rPr>
  </w:style>
  <w:style w:type="paragraph" w:customStyle="1" w:styleId="147">
    <w:name w:val="1.1.1"/>
    <w:basedOn w:val="1"/>
    <w:autoRedefine/>
    <w:qFormat/>
    <w:uiPriority w:val="0"/>
    <w:pPr>
      <w:tabs>
        <w:tab w:val="left" w:pos="0"/>
        <w:tab w:val="left" w:pos="1134"/>
        <w:tab w:val="left" w:pos="8505"/>
      </w:tabs>
      <w:autoSpaceDE w:val="0"/>
      <w:autoSpaceDN w:val="0"/>
      <w:adjustRightInd w:val="0"/>
      <w:spacing w:before="240" w:after="60" w:line="360" w:lineRule="atLeast"/>
    </w:pPr>
    <w:rPr>
      <w:rFonts w:ascii="宋体"/>
      <w:b/>
      <w:kern w:val="0"/>
      <w:sz w:val="24"/>
      <w:szCs w:val="20"/>
    </w:rPr>
  </w:style>
  <w:style w:type="paragraph" w:customStyle="1" w:styleId="148">
    <w:name w:val="BZ_二级标题"/>
    <w:basedOn w:val="2"/>
    <w:next w:val="133"/>
    <w:autoRedefine/>
    <w:qFormat/>
    <w:uiPriority w:val="0"/>
    <w:pPr>
      <w:widowControl/>
      <w:spacing w:beforeLines="50" w:afterLines="50" w:line="240" w:lineRule="auto"/>
      <w:ind w:left="576" w:hanging="576"/>
    </w:pPr>
    <w:rPr>
      <w:rFonts w:ascii="Times New Roman" w:hAnsi="Times New Roman" w:eastAsia="楷体"/>
    </w:rPr>
  </w:style>
  <w:style w:type="paragraph" w:customStyle="1" w:styleId="149">
    <w:name w:val="Char1 Char Char Char1"/>
    <w:basedOn w:val="1"/>
    <w:autoRedefine/>
    <w:qFormat/>
    <w:uiPriority w:val="0"/>
    <w:rPr>
      <w:rFonts w:ascii="仿宋_GB2312" w:eastAsia="仿宋_GB2312"/>
      <w:b/>
      <w:sz w:val="32"/>
      <w:szCs w:val="32"/>
    </w:rPr>
  </w:style>
  <w:style w:type="character" w:customStyle="1" w:styleId="150">
    <w:name w:val="纯文本 Char1"/>
    <w:autoRedefine/>
    <w:qFormat/>
    <w:uiPriority w:val="0"/>
    <w:rPr>
      <w:rFonts w:ascii="宋体" w:hAnsi="Courier New"/>
      <w:kern w:val="2"/>
      <w:sz w:val="21"/>
      <w:szCs w:val="24"/>
    </w:rPr>
  </w:style>
  <w:style w:type="paragraph" w:customStyle="1" w:styleId="151">
    <w:name w:val="样式6"/>
    <w:basedOn w:val="1"/>
    <w:autoRedefine/>
    <w:qFormat/>
    <w:uiPriority w:val="0"/>
    <w:pPr>
      <w:spacing w:line="360" w:lineRule="auto"/>
      <w:ind w:firstLine="200" w:firstLineChars="200"/>
      <w:jc w:val="left"/>
    </w:pPr>
    <w:rPr>
      <w:sz w:val="24"/>
    </w:rPr>
  </w:style>
  <w:style w:type="paragraph" w:customStyle="1" w:styleId="152">
    <w:name w:val="正文空2格  1."/>
    <w:basedOn w:val="1"/>
    <w:autoRedefine/>
    <w:qFormat/>
    <w:uiPriority w:val="0"/>
    <w:pPr>
      <w:adjustRightInd w:val="0"/>
      <w:spacing w:line="360" w:lineRule="auto"/>
      <w:ind w:firstLine="480" w:firstLineChars="200"/>
      <w:textAlignment w:val="baseline"/>
    </w:pPr>
    <w:rPr>
      <w:rFonts w:ascii="宋体" w:eastAsia="仿宋" w:cs="宋体"/>
      <w:kern w:val="0"/>
      <w:sz w:val="28"/>
      <w:szCs w:val="20"/>
    </w:rPr>
  </w:style>
  <w:style w:type="character" w:customStyle="1" w:styleId="153">
    <w:name w:val="正文首行缩进2字符 Char"/>
    <w:link w:val="154"/>
    <w:autoRedefine/>
    <w:qFormat/>
    <w:uiPriority w:val="0"/>
    <w:rPr>
      <w:rFonts w:eastAsia="仿宋"/>
      <w:sz w:val="28"/>
    </w:rPr>
  </w:style>
  <w:style w:type="paragraph" w:customStyle="1" w:styleId="154">
    <w:name w:val="正文首行缩进2字符"/>
    <w:basedOn w:val="1"/>
    <w:link w:val="153"/>
    <w:autoRedefine/>
    <w:qFormat/>
    <w:uiPriority w:val="0"/>
    <w:pPr>
      <w:spacing w:line="360" w:lineRule="auto"/>
      <w:ind w:firstLine="200" w:firstLineChars="200"/>
    </w:pPr>
    <w:rPr>
      <w:rFonts w:eastAsia="仿宋"/>
      <w:kern w:val="0"/>
      <w:sz w:val="28"/>
      <w:szCs w:val="20"/>
    </w:rPr>
  </w:style>
  <w:style w:type="character" w:customStyle="1" w:styleId="155">
    <w:name w:val="generalinfo-address-text"/>
    <w:basedOn w:val="66"/>
    <w:autoRedefine/>
    <w:qFormat/>
    <w:uiPriority w:val="0"/>
  </w:style>
  <w:style w:type="character" w:customStyle="1" w:styleId="156">
    <w:name w:val="标题 Char"/>
    <w:link w:val="60"/>
    <w:autoRedefine/>
    <w:qFormat/>
    <w:uiPriority w:val="0"/>
    <w:rPr>
      <w:rFonts w:ascii="Verdana" w:hAnsi="Verdana" w:eastAsia="仿宋_GB2312"/>
      <w:b/>
      <w:bCs/>
      <w:sz w:val="32"/>
      <w:szCs w:val="32"/>
    </w:rPr>
  </w:style>
  <w:style w:type="paragraph" w:customStyle="1" w:styleId="157">
    <w:name w:val="方案正文"/>
    <w:basedOn w:val="1"/>
    <w:link w:val="158"/>
    <w:autoRedefine/>
    <w:qFormat/>
    <w:uiPriority w:val="0"/>
    <w:pPr>
      <w:spacing w:line="360" w:lineRule="auto"/>
      <w:ind w:firstLine="200" w:firstLineChars="200"/>
    </w:pPr>
    <w:rPr>
      <w:rFonts w:ascii="Century Gothic" w:hAnsi="Century Gothic"/>
      <w:szCs w:val="28"/>
    </w:rPr>
  </w:style>
  <w:style w:type="character" w:customStyle="1" w:styleId="158">
    <w:name w:val="方案正文 字符"/>
    <w:link w:val="157"/>
    <w:autoRedefine/>
    <w:qFormat/>
    <w:uiPriority w:val="0"/>
    <w:rPr>
      <w:rFonts w:ascii="Century Gothic" w:hAnsi="Century Gothic" w:cs="Times New Roman"/>
      <w:kern w:val="2"/>
      <w:sz w:val="21"/>
      <w:szCs w:val="28"/>
    </w:rPr>
  </w:style>
  <w:style w:type="paragraph" w:customStyle="1" w:styleId="159">
    <w:name w:val="正文缩进1"/>
    <w:basedOn w:val="1"/>
    <w:autoRedefine/>
    <w:qFormat/>
    <w:uiPriority w:val="0"/>
    <w:pPr>
      <w:spacing w:line="360" w:lineRule="auto"/>
      <w:ind w:firstLine="454"/>
      <w:jc w:val="left"/>
    </w:pPr>
    <w:rPr>
      <w:sz w:val="24"/>
    </w:rPr>
  </w:style>
  <w:style w:type="character" w:customStyle="1" w:styleId="160">
    <w:name w:val="ant-form-item-children"/>
    <w:basedOn w:val="66"/>
    <w:autoRedefine/>
    <w:qFormat/>
    <w:uiPriority w:val="0"/>
  </w:style>
  <w:style w:type="paragraph" w:customStyle="1" w:styleId="161">
    <w:name w:val="BZ_四级标题"/>
    <w:basedOn w:val="6"/>
    <w:next w:val="1"/>
    <w:link w:val="309"/>
    <w:autoRedefine/>
    <w:qFormat/>
    <w:uiPriority w:val="0"/>
    <w:pPr>
      <w:widowControl/>
      <w:spacing w:beforeLines="50" w:afterLines="50" w:line="240" w:lineRule="auto"/>
      <w:ind w:left="864" w:hanging="864"/>
    </w:pPr>
    <w:rPr>
      <w:rFonts w:ascii="Times New Roman" w:hAnsi="Times New Roman" w:eastAsia="黑体"/>
      <w:b w:val="0"/>
      <w:sz w:val="24"/>
    </w:rPr>
  </w:style>
  <w:style w:type="paragraph" w:customStyle="1" w:styleId="162">
    <w:name w:val="_Style 10"/>
    <w:basedOn w:val="1"/>
    <w:autoRedefine/>
    <w:qFormat/>
    <w:uiPriority w:val="0"/>
    <w:pPr>
      <w:spacing w:beforeLines="50" w:afterLines="50"/>
    </w:pPr>
    <w:rPr>
      <w:rFonts w:ascii="Calibri" w:hAnsi="Calibri"/>
      <w:szCs w:val="20"/>
    </w:rPr>
  </w:style>
  <w:style w:type="paragraph" w:customStyle="1" w:styleId="163">
    <w:name w:val="样式"/>
    <w:autoRedefine/>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customStyle="1" w:styleId="164">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5">
    <w:name w:val="普通(网站) Char"/>
    <w:link w:val="58"/>
    <w:autoRedefine/>
    <w:qFormat/>
    <w:uiPriority w:val="0"/>
    <w:rPr>
      <w:rFonts w:ascii="宋体" w:hAnsi="宋体" w:cs="宋体"/>
      <w:sz w:val="24"/>
      <w:szCs w:val="24"/>
    </w:rPr>
  </w:style>
  <w:style w:type="character" w:customStyle="1" w:styleId="166">
    <w:name w:val="标题 7 Char"/>
    <w:basedOn w:val="66"/>
    <w:link w:val="9"/>
    <w:autoRedefine/>
    <w:qFormat/>
    <w:uiPriority w:val="9"/>
    <w:rPr>
      <w:rFonts w:eastAsia="等线"/>
      <w:b/>
      <w:kern w:val="2"/>
      <w:sz w:val="24"/>
      <w:szCs w:val="24"/>
    </w:rPr>
  </w:style>
  <w:style w:type="character" w:customStyle="1" w:styleId="167">
    <w:name w:val="标题 8 Char"/>
    <w:basedOn w:val="66"/>
    <w:link w:val="10"/>
    <w:autoRedefine/>
    <w:qFormat/>
    <w:uiPriority w:val="9"/>
    <w:rPr>
      <w:rFonts w:ascii="Arial" w:hAnsi="Arial" w:eastAsia="黑体"/>
      <w:kern w:val="2"/>
      <w:sz w:val="24"/>
      <w:szCs w:val="24"/>
    </w:rPr>
  </w:style>
  <w:style w:type="character" w:customStyle="1" w:styleId="168">
    <w:name w:val="标题 9 Char"/>
    <w:basedOn w:val="66"/>
    <w:link w:val="11"/>
    <w:autoRedefine/>
    <w:qFormat/>
    <w:uiPriority w:val="9"/>
    <w:rPr>
      <w:rFonts w:ascii="Arial" w:hAnsi="Arial" w:eastAsia="黑体"/>
      <w:kern w:val="2"/>
      <w:sz w:val="24"/>
      <w:szCs w:val="24"/>
    </w:rPr>
  </w:style>
  <w:style w:type="character" w:customStyle="1" w:styleId="169">
    <w:name w:val="批注主题 Char"/>
    <w:link w:val="61"/>
    <w:autoRedefine/>
    <w:qFormat/>
    <w:uiPriority w:val="1"/>
    <w:rPr>
      <w:b/>
      <w:bCs/>
      <w:kern w:val="2"/>
      <w:sz w:val="21"/>
      <w:szCs w:val="24"/>
    </w:rPr>
  </w:style>
  <w:style w:type="character" w:customStyle="1" w:styleId="170">
    <w:name w:val="Char Char112"/>
    <w:autoRedefine/>
    <w:qFormat/>
    <w:uiPriority w:val="0"/>
    <w:rPr>
      <w:rFonts w:eastAsia="仿宋_GB2312"/>
      <w:kern w:val="2"/>
      <w:sz w:val="21"/>
      <w:szCs w:val="24"/>
      <w:lang w:val="en-US" w:eastAsia="zh-CN" w:bidi="ar-SA"/>
    </w:rPr>
  </w:style>
  <w:style w:type="character" w:customStyle="1" w:styleId="171">
    <w:name w:val="No Spacing Char"/>
    <w:link w:val="172"/>
    <w:autoRedefine/>
    <w:qFormat/>
    <w:uiPriority w:val="0"/>
    <w:rPr>
      <w:rFonts w:ascii="Calibri" w:hAnsi="Calibri" w:eastAsia="仿宋_GB2312"/>
      <w:sz w:val="28"/>
      <w:szCs w:val="22"/>
    </w:rPr>
  </w:style>
  <w:style w:type="paragraph" w:customStyle="1" w:styleId="172">
    <w:name w:val="无间隔1"/>
    <w:link w:val="171"/>
    <w:autoRedefine/>
    <w:qFormat/>
    <w:uiPriority w:val="0"/>
    <w:pPr>
      <w:widowControl w:val="0"/>
      <w:ind w:firstLine="200" w:firstLineChars="200"/>
      <w:jc w:val="both"/>
    </w:pPr>
    <w:rPr>
      <w:rFonts w:ascii="Calibri" w:hAnsi="Calibri" w:eastAsia="仿宋_GB2312" w:cs="Times New Roman"/>
      <w:sz w:val="28"/>
      <w:szCs w:val="22"/>
      <w:lang w:val="en-US" w:eastAsia="zh-CN" w:bidi="ar-SA"/>
    </w:rPr>
  </w:style>
  <w:style w:type="character" w:customStyle="1" w:styleId="173">
    <w:name w:val="Char Char14"/>
    <w:autoRedefine/>
    <w:qFormat/>
    <w:uiPriority w:val="0"/>
    <w:rPr>
      <w:rFonts w:eastAsia="仿宋_GB2312"/>
      <w:kern w:val="2"/>
      <w:sz w:val="21"/>
      <w:szCs w:val="24"/>
      <w:lang w:val="en-US" w:eastAsia="zh-CN" w:bidi="ar-SA"/>
    </w:rPr>
  </w:style>
  <w:style w:type="character" w:customStyle="1" w:styleId="174">
    <w:name w:val="明显强调1"/>
    <w:autoRedefine/>
    <w:qFormat/>
    <w:uiPriority w:val="0"/>
    <w:rPr>
      <w:rFonts w:eastAsia="宋体"/>
      <w:b/>
      <w:bCs/>
      <w:iCs/>
      <w:color w:val="auto"/>
      <w:sz w:val="24"/>
    </w:rPr>
  </w:style>
  <w:style w:type="character" w:customStyle="1" w:styleId="175">
    <w:name w:val="BZ_一级标题 Char"/>
    <w:link w:val="131"/>
    <w:autoRedefine/>
    <w:qFormat/>
    <w:uiPriority w:val="0"/>
    <w:rPr>
      <w:rFonts w:eastAsia="华文中宋"/>
      <w:b/>
      <w:bCs/>
      <w:kern w:val="44"/>
      <w:sz w:val="36"/>
      <w:szCs w:val="36"/>
    </w:rPr>
  </w:style>
  <w:style w:type="character" w:customStyle="1" w:styleId="176">
    <w:name w:val="样式 宋体 小四 行距: 1.5 倍行距 Char"/>
    <w:link w:val="177"/>
    <w:autoRedefine/>
    <w:qFormat/>
    <w:uiPriority w:val="0"/>
    <w:rPr>
      <w:rFonts w:ascii="宋体" w:hAnsi="宋体" w:cs="宋体"/>
      <w:kern w:val="2"/>
      <w:sz w:val="24"/>
    </w:rPr>
  </w:style>
  <w:style w:type="paragraph" w:customStyle="1" w:styleId="177">
    <w:name w:val="样式 宋体 小四 行距: 1.5 倍行距"/>
    <w:basedOn w:val="1"/>
    <w:link w:val="176"/>
    <w:autoRedefine/>
    <w:qFormat/>
    <w:uiPriority w:val="0"/>
    <w:pPr>
      <w:spacing w:line="360" w:lineRule="auto"/>
      <w:ind w:firstLine="540" w:firstLineChars="225"/>
    </w:pPr>
    <w:rPr>
      <w:rFonts w:ascii="宋体" w:hAnsi="宋体" w:cs="宋体"/>
      <w:sz w:val="24"/>
      <w:szCs w:val="20"/>
    </w:rPr>
  </w:style>
  <w:style w:type="character" w:customStyle="1" w:styleId="178">
    <w:name w:val="正文1 Char Char"/>
    <w:autoRedefine/>
    <w:qFormat/>
    <w:uiPriority w:val="0"/>
    <w:rPr>
      <w:rFonts w:ascii="仿宋_GB2312" w:hAnsi="仿宋_GB2312" w:eastAsia="仿宋_GB2312" w:cs="仿宋_GB2312"/>
      <w:sz w:val="21"/>
      <w:lang w:val="en-US" w:eastAsia="zh-CN" w:bidi="ar-SA"/>
    </w:rPr>
  </w:style>
  <w:style w:type="character" w:customStyle="1" w:styleId="179">
    <w:name w:val="编号正文缩进 Char Char"/>
    <w:link w:val="180"/>
    <w:autoRedefine/>
    <w:qFormat/>
    <w:uiPriority w:val="0"/>
    <w:rPr>
      <w:kern w:val="2"/>
      <w:sz w:val="24"/>
      <w:szCs w:val="24"/>
    </w:rPr>
  </w:style>
  <w:style w:type="paragraph" w:customStyle="1" w:styleId="180">
    <w:name w:val="编号正文缩进"/>
    <w:basedOn w:val="16"/>
    <w:link w:val="179"/>
    <w:autoRedefine/>
    <w:qFormat/>
    <w:uiPriority w:val="0"/>
    <w:pPr>
      <w:tabs>
        <w:tab w:val="left" w:pos="1497"/>
      </w:tabs>
      <w:spacing w:line="400" w:lineRule="atLeast"/>
      <w:ind w:left="567" w:firstLine="510"/>
    </w:pPr>
    <w:rPr>
      <w:kern w:val="2"/>
      <w:sz w:val="24"/>
      <w:szCs w:val="24"/>
    </w:rPr>
  </w:style>
  <w:style w:type="character" w:customStyle="1" w:styleId="181">
    <w:name w:val="Char Char18"/>
    <w:autoRedefine/>
    <w:qFormat/>
    <w:uiPriority w:val="0"/>
    <w:rPr>
      <w:b/>
      <w:bCs/>
      <w:kern w:val="2"/>
      <w:sz w:val="32"/>
      <w:szCs w:val="32"/>
    </w:rPr>
  </w:style>
  <w:style w:type="character" w:customStyle="1" w:styleId="182">
    <w:name w:val="样式1 Char"/>
    <w:link w:val="183"/>
    <w:autoRedefine/>
    <w:qFormat/>
    <w:uiPriority w:val="0"/>
    <w:rPr>
      <w:rFonts w:ascii="楷体_GB2312" w:hAnsi="Calibri" w:eastAsia="楷体_GB2312"/>
      <w:kern w:val="2"/>
      <w:sz w:val="24"/>
      <w:szCs w:val="24"/>
    </w:rPr>
  </w:style>
  <w:style w:type="paragraph" w:customStyle="1" w:styleId="183">
    <w:name w:val="样式1"/>
    <w:basedOn w:val="184"/>
    <w:link w:val="182"/>
    <w:autoRedefine/>
    <w:qFormat/>
    <w:uiPriority w:val="0"/>
    <w:pPr>
      <w:spacing w:line="360" w:lineRule="auto"/>
      <w:ind w:firstLine="480"/>
    </w:pPr>
    <w:rPr>
      <w:rFonts w:ascii="楷体_GB2312" w:eastAsia="楷体_GB2312" w:cs="Times New Roman"/>
      <w:sz w:val="24"/>
      <w:szCs w:val="24"/>
    </w:rPr>
  </w:style>
  <w:style w:type="paragraph" w:customStyle="1" w:styleId="184">
    <w:name w:val="列出段落11"/>
    <w:basedOn w:val="1"/>
    <w:autoRedefine/>
    <w:qFormat/>
    <w:uiPriority w:val="34"/>
    <w:pPr>
      <w:ind w:firstLine="420" w:firstLineChars="200"/>
    </w:pPr>
    <w:rPr>
      <w:rFonts w:ascii="Calibri" w:hAnsi="Calibri" w:eastAsia="等线" w:cs="黑体"/>
      <w:szCs w:val="22"/>
    </w:rPr>
  </w:style>
  <w:style w:type="character" w:customStyle="1" w:styleId="185">
    <w:name w:val="Style3"/>
    <w:autoRedefine/>
    <w:qFormat/>
    <w:uiPriority w:val="0"/>
    <w:rPr>
      <w:rFonts w:ascii="Century Gothic" w:hAnsi="仿宋_GB2312" w:eastAsia="仿宋_GB2312" w:cs="新宋体"/>
      <w:szCs w:val="22"/>
      <w:lang w:eastAsia="zh-CN"/>
    </w:rPr>
  </w:style>
  <w:style w:type="character" w:customStyle="1" w:styleId="186">
    <w:name w:val="副标题 Char1"/>
    <w:autoRedefine/>
    <w:qFormat/>
    <w:uiPriority w:val="11"/>
    <w:rPr>
      <w:rFonts w:ascii="Cambria" w:hAnsi="Cambria" w:cs="Times New Roman"/>
      <w:b/>
      <w:bCs/>
      <w:kern w:val="28"/>
      <w:sz w:val="32"/>
      <w:szCs w:val="32"/>
    </w:rPr>
  </w:style>
  <w:style w:type="character" w:customStyle="1" w:styleId="187">
    <w:name w:val="Style4"/>
    <w:autoRedefine/>
    <w:qFormat/>
    <w:uiPriority w:val="0"/>
    <w:rPr>
      <w:rFonts w:ascii="Century Gothic" w:hAnsi="仿宋_GB2312" w:eastAsia="仿宋_GB2312" w:cs="新宋体"/>
      <w:szCs w:val="22"/>
      <w:lang w:eastAsia="zh-CN"/>
    </w:rPr>
  </w:style>
  <w:style w:type="character" w:customStyle="1" w:styleId="188">
    <w:name w:val="页眉注释 Char Char"/>
    <w:link w:val="189"/>
    <w:autoRedefine/>
    <w:qFormat/>
    <w:uiPriority w:val="0"/>
    <w:rPr>
      <w:rFonts w:ascii="华文细黑" w:hAnsi="华文细黑" w:eastAsia="华文细黑"/>
      <w:b/>
      <w:color w:val="FFFFFF"/>
      <w:kern w:val="2"/>
      <w:sz w:val="18"/>
      <w:szCs w:val="18"/>
    </w:rPr>
  </w:style>
  <w:style w:type="paragraph" w:customStyle="1" w:styleId="189">
    <w:name w:val="页眉注释"/>
    <w:basedOn w:val="1"/>
    <w:link w:val="188"/>
    <w:autoRedefine/>
    <w:qFormat/>
    <w:uiPriority w:val="0"/>
    <w:pPr>
      <w:spacing w:line="0" w:lineRule="atLeast"/>
      <w:jc w:val="center"/>
    </w:pPr>
    <w:rPr>
      <w:rFonts w:ascii="华文细黑" w:hAnsi="华文细黑" w:eastAsia="华文细黑"/>
      <w:b/>
      <w:color w:val="FFFFFF"/>
      <w:sz w:val="18"/>
      <w:szCs w:val="18"/>
    </w:rPr>
  </w:style>
  <w:style w:type="character" w:customStyle="1" w:styleId="190">
    <w:name w:val="heading 2 Char1"/>
    <w:autoRedefine/>
    <w:qFormat/>
    <w:uiPriority w:val="0"/>
    <w:rPr>
      <w:rFonts w:ascii="Verdana" w:hAnsi="Verdana" w:eastAsia="仿宋_GB2312"/>
      <w:b/>
      <w:bCs/>
      <w:kern w:val="2"/>
      <w:sz w:val="32"/>
      <w:szCs w:val="32"/>
      <w:lang w:val="en-US" w:eastAsia="zh-CN" w:bidi="ar-SA"/>
    </w:rPr>
  </w:style>
  <w:style w:type="character" w:customStyle="1" w:styleId="191">
    <w:name w:val="heading 4 Char"/>
    <w:autoRedefine/>
    <w:qFormat/>
    <w:uiPriority w:val="0"/>
    <w:rPr>
      <w:rFonts w:ascii="Tahoma" w:hAnsi="Tahoma" w:eastAsia="Helvetica" w:cs="新宋体"/>
      <w:sz w:val="21"/>
      <w:szCs w:val="21"/>
    </w:rPr>
  </w:style>
  <w:style w:type="character" w:customStyle="1" w:styleId="192">
    <w:name w:val="Char Char16"/>
    <w:autoRedefine/>
    <w:qFormat/>
    <w:uiPriority w:val="0"/>
    <w:rPr>
      <w:b/>
      <w:bCs/>
      <w:kern w:val="2"/>
      <w:sz w:val="28"/>
      <w:szCs w:val="28"/>
    </w:rPr>
  </w:style>
  <w:style w:type="character" w:customStyle="1" w:styleId="193">
    <w:name w:val="Char Char23"/>
    <w:autoRedefine/>
    <w:qFormat/>
    <w:uiPriority w:val="0"/>
    <w:rPr>
      <w:rFonts w:eastAsia="仿宋_GB2312"/>
      <w:b/>
      <w:bCs/>
      <w:kern w:val="2"/>
      <w:sz w:val="32"/>
      <w:szCs w:val="32"/>
      <w:lang w:val="en-US" w:eastAsia="zh-CN" w:bidi="ar-SA"/>
    </w:rPr>
  </w:style>
  <w:style w:type="character" w:customStyle="1" w:styleId="194">
    <w:name w:val="apple-converted-space"/>
    <w:autoRedefine/>
    <w:qFormat/>
    <w:uiPriority w:val="0"/>
  </w:style>
  <w:style w:type="character" w:customStyle="1" w:styleId="195">
    <w:name w:val="Char Char25"/>
    <w:autoRedefine/>
    <w:qFormat/>
    <w:uiPriority w:val="0"/>
    <w:rPr>
      <w:rFonts w:ascii="Arial Unicode MS" w:eastAsia="Arial Unicode MS"/>
      <w:b/>
      <w:bCs/>
      <w:kern w:val="2"/>
      <w:sz w:val="21"/>
      <w:szCs w:val="24"/>
      <w:lang w:val="en-US" w:eastAsia="zh-CN" w:bidi="ar-SA"/>
    </w:rPr>
  </w:style>
  <w:style w:type="character" w:customStyle="1" w:styleId="196">
    <w:name w:val="heading 3 Char1"/>
    <w:autoRedefine/>
    <w:qFormat/>
    <w:uiPriority w:val="0"/>
    <w:rPr>
      <w:rFonts w:eastAsia="仿宋_GB2312"/>
      <w:b/>
      <w:bCs/>
      <w:kern w:val="2"/>
      <w:sz w:val="32"/>
      <w:szCs w:val="32"/>
      <w:lang w:val="en-US" w:eastAsia="zh-CN" w:bidi="ar-SA"/>
    </w:rPr>
  </w:style>
  <w:style w:type="character" w:customStyle="1" w:styleId="197">
    <w:name w:val="不明显强调1"/>
    <w:autoRedefine/>
    <w:qFormat/>
    <w:uiPriority w:val="0"/>
    <w:rPr>
      <w:i/>
      <w:iCs/>
      <w:color w:val="808080"/>
    </w:rPr>
  </w:style>
  <w:style w:type="character" w:customStyle="1" w:styleId="198">
    <w:name w:val="pt141"/>
    <w:autoRedefine/>
    <w:qFormat/>
    <w:uiPriority w:val="0"/>
    <w:rPr>
      <w:color w:val="330066"/>
      <w:spacing w:val="450"/>
      <w:sz w:val="22"/>
      <w:szCs w:val="22"/>
    </w:rPr>
  </w:style>
  <w:style w:type="character" w:customStyle="1" w:styleId="199">
    <w:name w:val="无间隔 Char"/>
    <w:link w:val="200"/>
    <w:autoRedefine/>
    <w:qFormat/>
    <w:uiPriority w:val="1"/>
    <w:rPr>
      <w:rFonts w:ascii="Century Gothic" w:hAnsi="Century Gothic" w:eastAsia="Times New Roman"/>
      <w:sz w:val="22"/>
      <w:szCs w:val="22"/>
    </w:rPr>
  </w:style>
  <w:style w:type="paragraph" w:styleId="200">
    <w:name w:val="No Spacing"/>
    <w:link w:val="199"/>
    <w:autoRedefine/>
    <w:qFormat/>
    <w:uiPriority w:val="1"/>
    <w:rPr>
      <w:rFonts w:ascii="Century Gothic" w:hAnsi="Century Gothic" w:eastAsia="Times New Roman" w:cs="Times New Roman"/>
      <w:sz w:val="22"/>
      <w:szCs w:val="22"/>
      <w:lang w:val="en-US" w:eastAsia="zh-CN" w:bidi="ar-SA"/>
    </w:rPr>
  </w:style>
  <w:style w:type="character" w:customStyle="1" w:styleId="201">
    <w:name w:val="明显参考1"/>
    <w:autoRedefine/>
    <w:qFormat/>
    <w:uiPriority w:val="0"/>
    <w:rPr>
      <w:b/>
      <w:bCs/>
      <w:smallCaps/>
      <w:color w:val="C0504D"/>
      <w:spacing w:val="5"/>
      <w:u w:val="single"/>
    </w:rPr>
  </w:style>
  <w:style w:type="character" w:customStyle="1" w:styleId="202">
    <w:name w:val="正文文本缩进 3 Char"/>
    <w:link w:val="52"/>
    <w:autoRedefine/>
    <w:qFormat/>
    <w:uiPriority w:val="0"/>
    <w:rPr>
      <w:kern w:val="2"/>
      <w:sz w:val="24"/>
      <w:szCs w:val="24"/>
    </w:rPr>
  </w:style>
  <w:style w:type="character" w:customStyle="1" w:styleId="203">
    <w:name w:val="样式2 Char"/>
    <w:link w:val="204"/>
    <w:autoRedefine/>
    <w:qFormat/>
    <w:uiPriority w:val="0"/>
    <w:rPr>
      <w:rFonts w:ascii="仿宋_GB2312" w:hAnsi="仿宋_GB2312" w:eastAsia="仿宋_GB2312"/>
      <w:bCs/>
      <w:kern w:val="2"/>
      <w:sz w:val="28"/>
      <w:szCs w:val="28"/>
    </w:rPr>
  </w:style>
  <w:style w:type="paragraph" w:customStyle="1" w:styleId="204">
    <w:name w:val="样式2"/>
    <w:basedOn w:val="2"/>
    <w:link w:val="203"/>
    <w:autoRedefine/>
    <w:qFormat/>
    <w:uiPriority w:val="0"/>
    <w:pPr>
      <w:snapToGrid w:val="0"/>
      <w:spacing w:afterLines="50" w:line="480" w:lineRule="exact"/>
      <w:ind w:firstLine="556"/>
    </w:pPr>
    <w:rPr>
      <w:rFonts w:ascii="仿宋_GB2312" w:hAnsi="仿宋_GB2312" w:eastAsia="仿宋_GB2312"/>
      <w:b w:val="0"/>
      <w:sz w:val="28"/>
      <w:szCs w:val="28"/>
    </w:rPr>
  </w:style>
  <w:style w:type="character" w:customStyle="1" w:styleId="205">
    <w:name w:val="文档结构图 Char"/>
    <w:link w:val="19"/>
    <w:autoRedefine/>
    <w:qFormat/>
    <w:uiPriority w:val="0"/>
    <w:rPr>
      <w:kern w:val="2"/>
      <w:sz w:val="21"/>
      <w:szCs w:val="24"/>
      <w:shd w:val="clear" w:color="auto" w:fill="000080"/>
    </w:rPr>
  </w:style>
  <w:style w:type="character" w:customStyle="1" w:styleId="206">
    <w:name w:val="1233 Char"/>
    <w:link w:val="207"/>
    <w:autoRedefine/>
    <w:qFormat/>
    <w:uiPriority w:val="0"/>
    <w:rPr>
      <w:rFonts w:ascii="仿宋" w:hAnsi="仿宋" w:eastAsia="仿宋"/>
      <w:b/>
      <w:bCs/>
      <w:kern w:val="44"/>
      <w:sz w:val="24"/>
      <w:szCs w:val="24"/>
    </w:rPr>
  </w:style>
  <w:style w:type="paragraph" w:customStyle="1" w:styleId="207">
    <w:name w:val="1233"/>
    <w:basedOn w:val="4"/>
    <w:link w:val="206"/>
    <w:autoRedefine/>
    <w:qFormat/>
    <w:uiPriority w:val="0"/>
    <w:pPr>
      <w:keepLines/>
      <w:spacing w:line="360" w:lineRule="auto"/>
      <w:ind w:firstLine="200" w:firstLineChars="200"/>
      <w:jc w:val="both"/>
    </w:pPr>
    <w:rPr>
      <w:rFonts w:ascii="仿宋" w:hAnsi="仿宋" w:eastAsia="仿宋"/>
      <w:kern w:val="44"/>
      <w:sz w:val="24"/>
    </w:rPr>
  </w:style>
  <w:style w:type="character" w:customStyle="1" w:styleId="208">
    <w:name w:val="heading 2 Char"/>
    <w:autoRedefine/>
    <w:qFormat/>
    <w:uiPriority w:val="0"/>
    <w:rPr>
      <w:rFonts w:ascii="Tahoma" w:hAnsi="Tahoma" w:eastAsia="Helvetica" w:cs="新宋体"/>
      <w:sz w:val="30"/>
      <w:szCs w:val="24"/>
    </w:rPr>
  </w:style>
  <w:style w:type="character" w:customStyle="1" w:styleId="209">
    <w:name w:val="Intense Emphasis1"/>
    <w:autoRedefine/>
    <w:qFormat/>
    <w:uiPriority w:val="0"/>
    <w:rPr>
      <w:b/>
      <w:bCs/>
      <w:i/>
      <w:iCs/>
      <w:color w:val="4F81BD"/>
    </w:rPr>
  </w:style>
  <w:style w:type="character" w:customStyle="1" w:styleId="210">
    <w:name w:val="emailstyle16"/>
    <w:autoRedefine/>
    <w:qFormat/>
    <w:uiPriority w:val="0"/>
    <w:rPr>
      <w:rFonts w:ascii="Arial" w:hAnsi="Arial" w:eastAsia="宋体" w:cs="Arial"/>
      <w:color w:val="auto"/>
      <w:kern w:val="2"/>
      <w:sz w:val="20"/>
      <w:szCs w:val="24"/>
      <w:lang w:val="en-US" w:eastAsia="zh-CN" w:bidi="ar-SA"/>
    </w:rPr>
  </w:style>
  <w:style w:type="character" w:customStyle="1" w:styleId="211">
    <w:name w:val="正文靠右 Char Char"/>
    <w:link w:val="212"/>
    <w:autoRedefine/>
    <w:qFormat/>
    <w:uiPriority w:val="0"/>
    <w:rPr>
      <w:kern w:val="2"/>
      <w:sz w:val="21"/>
      <w:szCs w:val="24"/>
    </w:rPr>
  </w:style>
  <w:style w:type="paragraph" w:customStyle="1" w:styleId="212">
    <w:name w:val="正文靠右"/>
    <w:basedOn w:val="1"/>
    <w:link w:val="211"/>
    <w:autoRedefine/>
    <w:qFormat/>
    <w:uiPriority w:val="0"/>
    <w:pPr>
      <w:jc w:val="right"/>
    </w:pPr>
  </w:style>
  <w:style w:type="character" w:customStyle="1" w:styleId="213">
    <w:name w:val="Char Char111"/>
    <w:autoRedefine/>
    <w:qFormat/>
    <w:uiPriority w:val="0"/>
    <w:rPr>
      <w:rFonts w:ascii="新宋体" w:hAnsi="新宋体" w:eastAsia="仿宋_GB2312" w:cs="新宋体"/>
      <w:sz w:val="18"/>
      <w:szCs w:val="18"/>
    </w:rPr>
  </w:style>
  <w:style w:type="character" w:customStyle="1" w:styleId="214">
    <w:name w:val="HTML 预设格式 Char1"/>
    <w:autoRedefine/>
    <w:qFormat/>
    <w:uiPriority w:val="0"/>
    <w:rPr>
      <w:rFonts w:ascii="宋体" w:hAnsi="宋体" w:cs="宋体"/>
      <w:sz w:val="24"/>
      <w:szCs w:val="24"/>
    </w:rPr>
  </w:style>
  <w:style w:type="character" w:customStyle="1" w:styleId="215">
    <w:name w:val="正文缩进 字符"/>
    <w:autoRedefine/>
    <w:qFormat/>
    <w:uiPriority w:val="0"/>
    <w:rPr>
      <w:sz w:val="28"/>
    </w:rPr>
  </w:style>
  <w:style w:type="character" w:customStyle="1" w:styleId="216">
    <w:name w:val="Style1"/>
    <w:autoRedefine/>
    <w:qFormat/>
    <w:uiPriority w:val="0"/>
    <w:rPr>
      <w:rFonts w:ascii="Century Gothic" w:hAnsi="仿宋_GB2312" w:eastAsia="仿宋_GB2312" w:cs="新宋体"/>
      <w:sz w:val="22"/>
      <w:szCs w:val="22"/>
      <w:lang w:eastAsia="zh-CN"/>
    </w:rPr>
  </w:style>
  <w:style w:type="character" w:customStyle="1" w:styleId="217">
    <w:name w:val="BZ_封面_名称 Char"/>
    <w:link w:val="218"/>
    <w:autoRedefine/>
    <w:qFormat/>
    <w:uiPriority w:val="0"/>
    <w:rPr>
      <w:rFonts w:eastAsia="黑体"/>
      <w:kern w:val="2"/>
      <w:sz w:val="44"/>
      <w:szCs w:val="44"/>
    </w:rPr>
  </w:style>
  <w:style w:type="paragraph" w:customStyle="1" w:styleId="218">
    <w:name w:val="BZ_封面_名称"/>
    <w:basedOn w:val="1"/>
    <w:link w:val="217"/>
    <w:autoRedefine/>
    <w:qFormat/>
    <w:uiPriority w:val="0"/>
    <w:pPr>
      <w:widowControl/>
      <w:jc w:val="center"/>
    </w:pPr>
    <w:rPr>
      <w:rFonts w:eastAsia="黑体"/>
      <w:sz w:val="44"/>
      <w:szCs w:val="44"/>
    </w:rPr>
  </w:style>
  <w:style w:type="character" w:customStyle="1" w:styleId="219">
    <w:name w:val="个人答复风格"/>
    <w:autoRedefine/>
    <w:qFormat/>
    <w:uiPriority w:val="0"/>
    <w:rPr>
      <w:rFonts w:ascii="Arial" w:hAnsi="Arial" w:eastAsia="宋体" w:cs="Arial"/>
      <w:color w:val="auto"/>
      <w:kern w:val="2"/>
      <w:sz w:val="20"/>
      <w:szCs w:val="24"/>
      <w:lang w:val="en-US" w:eastAsia="zh-CN" w:bidi="ar-SA"/>
    </w:rPr>
  </w:style>
  <w:style w:type="character" w:customStyle="1" w:styleId="220">
    <w:name w:val="kpk:3级 Char"/>
    <w:link w:val="221"/>
    <w:autoRedefine/>
    <w:qFormat/>
    <w:uiPriority w:val="0"/>
    <w:rPr>
      <w:rFonts w:ascii="黑体" w:eastAsia="黑体"/>
      <w:b/>
      <w:bCs/>
      <w:kern w:val="2"/>
      <w:sz w:val="24"/>
      <w:szCs w:val="24"/>
    </w:rPr>
  </w:style>
  <w:style w:type="paragraph" w:customStyle="1" w:styleId="221">
    <w:name w:val="kpk:3级"/>
    <w:basedOn w:val="5"/>
    <w:link w:val="220"/>
    <w:autoRedefine/>
    <w:qFormat/>
    <w:uiPriority w:val="0"/>
    <w:pPr>
      <w:tabs>
        <w:tab w:val="left" w:pos="420"/>
      </w:tabs>
      <w:spacing w:before="0" w:after="0" w:line="360" w:lineRule="auto"/>
      <w:ind w:left="420" w:hanging="420"/>
    </w:pPr>
    <w:rPr>
      <w:rFonts w:ascii="黑体" w:eastAsia="黑体"/>
      <w:sz w:val="24"/>
      <w:szCs w:val="24"/>
    </w:rPr>
  </w:style>
  <w:style w:type="character" w:customStyle="1" w:styleId="222">
    <w:name w:val="Char Char19"/>
    <w:autoRedefine/>
    <w:qFormat/>
    <w:uiPriority w:val="0"/>
    <w:rPr>
      <w:rFonts w:ascii="Tahoma" w:hAnsi="Tahoma" w:eastAsia="Helvetica"/>
      <w:sz w:val="21"/>
      <w:szCs w:val="21"/>
      <w:lang w:val="en-US" w:eastAsia="zh-CN" w:bidi="ar-SA"/>
    </w:rPr>
  </w:style>
  <w:style w:type="character" w:customStyle="1" w:styleId="223">
    <w:name w:val="Table Text Char Char"/>
    <w:autoRedefine/>
    <w:qFormat/>
    <w:uiPriority w:val="0"/>
    <w:rPr>
      <w:rFonts w:eastAsia="仿宋_GB2312"/>
      <w:sz w:val="24"/>
      <w:lang w:bidi="ar-SA"/>
    </w:rPr>
  </w:style>
  <w:style w:type="character" w:customStyle="1" w:styleId="224">
    <w:name w:val="heading 4 Char1"/>
    <w:autoRedefine/>
    <w:qFormat/>
    <w:uiPriority w:val="0"/>
    <w:rPr>
      <w:rFonts w:ascii="Verdana" w:hAnsi="Verdana" w:eastAsia="仿宋_GB2312"/>
      <w:b/>
      <w:bCs/>
      <w:kern w:val="2"/>
      <w:sz w:val="28"/>
      <w:szCs w:val="28"/>
      <w:lang w:val="en-US" w:eastAsia="zh-CN" w:bidi="ar-SA"/>
    </w:rPr>
  </w:style>
  <w:style w:type="character" w:customStyle="1" w:styleId="225">
    <w:name w:val="a61"/>
    <w:autoRedefine/>
    <w:qFormat/>
    <w:uiPriority w:val="0"/>
    <w:rPr>
      <w:rFonts w:hint="eastAsia" w:ascii="宋体" w:hAnsi="宋体" w:eastAsia="宋体"/>
      <w:kern w:val="2"/>
      <w:sz w:val="23"/>
      <w:szCs w:val="23"/>
      <w:lang w:val="en-US" w:eastAsia="zh-CN" w:bidi="ar-SA"/>
    </w:rPr>
  </w:style>
  <w:style w:type="character" w:customStyle="1" w:styleId="226">
    <w:name w:val="kpk:4级 Char1"/>
    <w:link w:val="227"/>
    <w:autoRedefine/>
    <w:qFormat/>
    <w:uiPriority w:val="0"/>
    <w:rPr>
      <w:rFonts w:ascii="Arial" w:hAnsi="Arial" w:eastAsia="黑体"/>
      <w:bCs/>
      <w:sz w:val="24"/>
      <w:szCs w:val="28"/>
    </w:rPr>
  </w:style>
  <w:style w:type="paragraph" w:customStyle="1" w:styleId="227">
    <w:name w:val="kpk:4级"/>
    <w:basedOn w:val="6"/>
    <w:link w:val="226"/>
    <w:autoRedefine/>
    <w:qFormat/>
    <w:uiPriority w:val="0"/>
    <w:pPr>
      <w:tabs>
        <w:tab w:val="left" w:pos="-142"/>
        <w:tab w:val="left" w:pos="0"/>
        <w:tab w:val="left" w:pos="284"/>
        <w:tab w:val="left" w:pos="780"/>
      </w:tabs>
      <w:spacing w:before="0" w:after="0" w:line="360" w:lineRule="auto"/>
      <w:ind w:left="780" w:leftChars="200" w:hanging="360"/>
    </w:pPr>
    <w:rPr>
      <w:rFonts w:ascii="Arial" w:hAnsi="Arial" w:eastAsia="黑体"/>
      <w:b w:val="0"/>
      <w:kern w:val="0"/>
      <w:sz w:val="24"/>
    </w:rPr>
  </w:style>
  <w:style w:type="character" w:customStyle="1" w:styleId="228">
    <w:name w:val="heading 3 Char"/>
    <w:autoRedefine/>
    <w:qFormat/>
    <w:uiPriority w:val="0"/>
    <w:rPr>
      <w:rFonts w:ascii="Tahoma" w:hAnsi="Tahoma" w:eastAsia="Helvetica"/>
      <w:sz w:val="28"/>
      <w:szCs w:val="24"/>
    </w:rPr>
  </w:style>
  <w:style w:type="character" w:customStyle="1" w:styleId="229">
    <w:name w:val="heading 4 Char2"/>
    <w:autoRedefine/>
    <w:qFormat/>
    <w:uiPriority w:val="0"/>
    <w:rPr>
      <w:rFonts w:ascii="Verdana" w:hAnsi="Verdana"/>
      <w:b/>
      <w:bCs/>
      <w:kern w:val="2"/>
      <w:sz w:val="28"/>
      <w:szCs w:val="28"/>
    </w:rPr>
  </w:style>
  <w:style w:type="character" w:customStyle="1" w:styleId="230">
    <w:name w:val="样式 标题 3 + 黑体 小四 Char Char"/>
    <w:autoRedefine/>
    <w:qFormat/>
    <w:uiPriority w:val="0"/>
    <w:rPr>
      <w:rFonts w:ascii="Helvetica" w:hAnsi="Tahoma" w:eastAsia="Helvetica"/>
      <w:bCs/>
      <w:sz w:val="24"/>
      <w:szCs w:val="24"/>
      <w:lang w:bidi="ar-SA"/>
    </w:rPr>
  </w:style>
  <w:style w:type="character" w:customStyle="1" w:styleId="231">
    <w:name w:val="四级标题 Char"/>
    <w:link w:val="232"/>
    <w:autoRedefine/>
    <w:qFormat/>
    <w:uiPriority w:val="0"/>
    <w:rPr>
      <w:rFonts w:eastAsia="黑体"/>
      <w:b/>
      <w:kern w:val="2"/>
      <w:sz w:val="28"/>
      <w:szCs w:val="22"/>
    </w:rPr>
  </w:style>
  <w:style w:type="paragraph" w:customStyle="1" w:styleId="232">
    <w:name w:val="四级标题"/>
    <w:basedOn w:val="1"/>
    <w:link w:val="231"/>
    <w:autoRedefine/>
    <w:qFormat/>
    <w:uiPriority w:val="0"/>
    <w:pPr>
      <w:tabs>
        <w:tab w:val="left" w:pos="420"/>
      </w:tabs>
      <w:spacing w:line="360" w:lineRule="auto"/>
      <w:ind w:left="420" w:firstLine="200" w:firstLineChars="200"/>
      <w:outlineLvl w:val="3"/>
    </w:pPr>
    <w:rPr>
      <w:rFonts w:eastAsia="黑体"/>
      <w:b/>
      <w:sz w:val="28"/>
      <w:szCs w:val="22"/>
    </w:rPr>
  </w:style>
  <w:style w:type="character" w:customStyle="1" w:styleId="233">
    <w:name w:val="标题 4 字符"/>
    <w:autoRedefine/>
    <w:qFormat/>
    <w:uiPriority w:val="0"/>
    <w:rPr>
      <w:rFonts w:eastAsia="楷体_GB2312"/>
      <w:b/>
      <w:snapToGrid/>
      <w:sz w:val="28"/>
    </w:rPr>
  </w:style>
  <w:style w:type="character" w:customStyle="1" w:styleId="234">
    <w:name w:val="heading 5 Char2"/>
    <w:autoRedefine/>
    <w:qFormat/>
    <w:uiPriority w:val="0"/>
    <w:rPr>
      <w:b/>
      <w:bCs/>
      <w:kern w:val="2"/>
      <w:sz w:val="28"/>
      <w:szCs w:val="28"/>
    </w:rPr>
  </w:style>
  <w:style w:type="character" w:customStyle="1" w:styleId="235">
    <w:name w:val="书籍标题1"/>
    <w:autoRedefine/>
    <w:qFormat/>
    <w:uiPriority w:val="0"/>
    <w:rPr>
      <w:b/>
      <w:bCs/>
      <w:smallCaps/>
      <w:spacing w:val="5"/>
    </w:rPr>
  </w:style>
  <w:style w:type="character" w:customStyle="1" w:styleId="236">
    <w:name w:val="Ò³Ã¼ Char Char2"/>
    <w:autoRedefine/>
    <w:qFormat/>
    <w:uiPriority w:val="0"/>
    <w:rPr>
      <w:kern w:val="2"/>
      <w:sz w:val="18"/>
      <w:szCs w:val="18"/>
    </w:rPr>
  </w:style>
  <w:style w:type="character" w:customStyle="1" w:styleId="237">
    <w:name w:val="不明显参考1"/>
    <w:autoRedefine/>
    <w:qFormat/>
    <w:uiPriority w:val="0"/>
    <w:rPr>
      <w:smallCaps/>
      <w:color w:val="C0504D"/>
      <w:u w:val="single"/>
    </w:rPr>
  </w:style>
  <w:style w:type="character" w:customStyle="1" w:styleId="238">
    <w:name w:val="标题 6 字符"/>
    <w:autoRedefine/>
    <w:qFormat/>
    <w:uiPriority w:val="0"/>
    <w:rPr>
      <w:rFonts w:ascii="Arial" w:hAnsi="Arial" w:eastAsia="黑体"/>
      <w:spacing w:val="20"/>
      <w:kern w:val="2"/>
      <w:sz w:val="28"/>
    </w:rPr>
  </w:style>
  <w:style w:type="character" w:customStyle="1" w:styleId="239">
    <w:name w:val="A3 Char Char"/>
    <w:autoRedefine/>
    <w:qFormat/>
    <w:uiPriority w:val="0"/>
    <w:rPr>
      <w:rFonts w:eastAsia="宋体"/>
      <w:b/>
      <w:bCs/>
      <w:sz w:val="32"/>
      <w:szCs w:val="32"/>
      <w:lang w:bidi="ar-SA"/>
    </w:rPr>
  </w:style>
  <w:style w:type="character" w:customStyle="1" w:styleId="240">
    <w:name w:val="Footer-Even Char"/>
    <w:autoRedefine/>
    <w:qFormat/>
    <w:uiPriority w:val="0"/>
    <w:rPr>
      <w:sz w:val="18"/>
      <w:szCs w:val="18"/>
    </w:rPr>
  </w:style>
  <w:style w:type="character" w:customStyle="1" w:styleId="241">
    <w:name w:val="标题 8 字符"/>
    <w:autoRedefine/>
    <w:qFormat/>
    <w:uiPriority w:val="0"/>
    <w:rPr>
      <w:rFonts w:ascii="Arial" w:hAnsi="Arial" w:eastAsia="黑体"/>
      <w:kern w:val="2"/>
      <w:sz w:val="24"/>
      <w:vertAlign w:val="superscript"/>
    </w:rPr>
  </w:style>
  <w:style w:type="character" w:customStyle="1" w:styleId="242">
    <w:name w:val="标题 1 字符"/>
    <w:autoRedefine/>
    <w:qFormat/>
    <w:uiPriority w:val="0"/>
    <w:rPr>
      <w:rFonts w:eastAsia="黑体"/>
      <w:snapToGrid/>
      <w:sz w:val="44"/>
    </w:rPr>
  </w:style>
  <w:style w:type="character" w:customStyle="1" w:styleId="243">
    <w:name w:val="content_title1"/>
    <w:autoRedefine/>
    <w:qFormat/>
    <w:uiPriority w:val="0"/>
    <w:rPr>
      <w:rFonts w:eastAsia="宋体"/>
      <w:color w:val="9A1601"/>
      <w:kern w:val="2"/>
      <w:sz w:val="21"/>
      <w:szCs w:val="21"/>
      <w:lang w:val="en-US" w:eastAsia="zh-CN" w:bidi="ar-SA"/>
    </w:rPr>
  </w:style>
  <w:style w:type="character" w:customStyle="1" w:styleId="244">
    <w:name w:val="正文文本 2 Char"/>
    <w:autoRedefine/>
    <w:qFormat/>
    <w:uiPriority w:val="0"/>
    <w:rPr>
      <w:rFonts w:ascii="等线" w:hAnsi="等线" w:eastAsia="等线" w:cs="等线"/>
    </w:rPr>
  </w:style>
  <w:style w:type="character" w:customStyle="1" w:styleId="245">
    <w:name w:val="标题 7 字符"/>
    <w:autoRedefine/>
    <w:qFormat/>
    <w:uiPriority w:val="0"/>
    <w:rPr>
      <w:b/>
      <w:kern w:val="2"/>
      <w:sz w:val="24"/>
      <w:vertAlign w:val="superscript"/>
    </w:rPr>
  </w:style>
  <w:style w:type="character" w:customStyle="1" w:styleId="246">
    <w:name w:val="Char Char6"/>
    <w:autoRedefine/>
    <w:qFormat/>
    <w:uiPriority w:val="0"/>
    <w:rPr>
      <w:rFonts w:ascii="新宋体" w:hAnsi="新宋体" w:eastAsia="仿宋_GB2312" w:cs="新宋体"/>
      <w:szCs w:val="24"/>
    </w:rPr>
  </w:style>
  <w:style w:type="character" w:customStyle="1" w:styleId="247">
    <w:name w:val="标题 5 字符"/>
    <w:autoRedefine/>
    <w:qFormat/>
    <w:uiPriority w:val="0"/>
    <w:rPr>
      <w:kern w:val="2"/>
      <w:sz w:val="28"/>
    </w:rPr>
  </w:style>
  <w:style w:type="character" w:customStyle="1" w:styleId="248">
    <w:name w:val="smalltxt1"/>
    <w:autoRedefine/>
    <w:qFormat/>
    <w:uiPriority w:val="0"/>
    <w:rPr>
      <w:rFonts w:hint="default" w:ascii="宋体,Verdana,Arial" w:hAnsi="宋体,Verdana,Arial"/>
      <w:sz w:val="24"/>
      <w:szCs w:val="24"/>
    </w:rPr>
  </w:style>
  <w:style w:type="character" w:customStyle="1" w:styleId="249">
    <w:name w:val="正文居中 Char Char"/>
    <w:link w:val="250"/>
    <w:autoRedefine/>
    <w:qFormat/>
    <w:uiPriority w:val="0"/>
    <w:rPr>
      <w:kern w:val="2"/>
      <w:sz w:val="21"/>
      <w:szCs w:val="24"/>
    </w:rPr>
  </w:style>
  <w:style w:type="paragraph" w:customStyle="1" w:styleId="250">
    <w:name w:val="正文居中"/>
    <w:basedOn w:val="1"/>
    <w:link w:val="249"/>
    <w:autoRedefine/>
    <w:qFormat/>
    <w:uiPriority w:val="0"/>
    <w:pPr>
      <w:jc w:val="center"/>
    </w:pPr>
  </w:style>
  <w:style w:type="character" w:customStyle="1" w:styleId="251">
    <w:name w:val="样式2 Char Char"/>
    <w:autoRedefine/>
    <w:qFormat/>
    <w:uiPriority w:val="0"/>
    <w:rPr>
      <w:rFonts w:ascii="仿宋_GB2312" w:hAnsi="仿宋_GB2312" w:eastAsia="仿宋_GB2312"/>
      <w:bCs/>
      <w:kern w:val="2"/>
      <w:sz w:val="28"/>
      <w:szCs w:val="28"/>
      <w:lang w:val="en-US" w:eastAsia="zh-CN" w:bidi="ar-SA"/>
    </w:rPr>
  </w:style>
  <w:style w:type="character" w:customStyle="1" w:styleId="252">
    <w:name w:val="heading 6 Char1"/>
    <w:autoRedefine/>
    <w:qFormat/>
    <w:uiPriority w:val="0"/>
    <w:rPr>
      <w:rFonts w:ascii="Tahoma" w:hAnsi="Tahoma" w:eastAsia="Helvetica"/>
      <w:kern w:val="2"/>
      <w:sz w:val="24"/>
      <w:szCs w:val="24"/>
      <w:lang w:val="en-US" w:eastAsia="zh-CN" w:bidi="ar-SA"/>
    </w:rPr>
  </w:style>
  <w:style w:type="character" w:customStyle="1" w:styleId="253">
    <w:name w:val="正文文本缩进 2 字符"/>
    <w:autoRedefine/>
    <w:qFormat/>
    <w:uiPriority w:val="0"/>
    <w:rPr>
      <w:sz w:val="28"/>
    </w:rPr>
  </w:style>
  <w:style w:type="character" w:customStyle="1" w:styleId="254">
    <w:name w:val="正文文本缩进 字符"/>
    <w:autoRedefine/>
    <w:qFormat/>
    <w:uiPriority w:val="0"/>
    <w:rPr>
      <w:sz w:val="28"/>
    </w:rPr>
  </w:style>
  <w:style w:type="character" w:customStyle="1" w:styleId="255">
    <w:name w:val="t11"/>
    <w:autoRedefine/>
    <w:qFormat/>
    <w:uiPriority w:val="0"/>
    <w:rPr>
      <w:rFonts w:eastAsia="宋体"/>
      <w:color w:val="333333"/>
      <w:kern w:val="2"/>
      <w:sz w:val="18"/>
      <w:szCs w:val="18"/>
      <w:lang w:val="en-US" w:eastAsia="zh-CN" w:bidi="ar-SA"/>
    </w:rPr>
  </w:style>
  <w:style w:type="character" w:customStyle="1" w:styleId="256">
    <w:name w:val="正文文本 Char Char"/>
    <w:autoRedefine/>
    <w:qFormat/>
    <w:uiPriority w:val="0"/>
    <w:rPr>
      <w:rFonts w:ascii="Times New Roman" w:hAnsi="Times New Roman"/>
      <w:kern w:val="2"/>
      <w:sz w:val="21"/>
      <w:szCs w:val="24"/>
    </w:rPr>
  </w:style>
  <w:style w:type="character" w:customStyle="1" w:styleId="257">
    <w:name w:val="引用 Char"/>
    <w:autoRedefine/>
    <w:qFormat/>
    <w:uiPriority w:val="0"/>
    <w:rPr>
      <w:rFonts w:ascii="Century Gothic" w:hAnsi="Century Gothic" w:eastAsia="仿宋_GB2312"/>
      <w:i/>
      <w:iCs/>
      <w:color w:val="000000"/>
    </w:rPr>
  </w:style>
  <w:style w:type="paragraph" w:styleId="258">
    <w:name w:val="Quote"/>
    <w:basedOn w:val="1"/>
    <w:next w:val="1"/>
    <w:link w:val="459"/>
    <w:autoRedefine/>
    <w:qFormat/>
    <w:uiPriority w:val="0"/>
    <w:rPr>
      <w:rFonts w:ascii="Century Gothic" w:hAnsi="Century Gothic" w:eastAsia="仿宋_GB2312"/>
      <w:i/>
      <w:iCs/>
      <w:color w:val="000000"/>
      <w:kern w:val="0"/>
      <w:sz w:val="20"/>
      <w:szCs w:val="20"/>
    </w:rPr>
  </w:style>
  <w:style w:type="character" w:customStyle="1" w:styleId="259">
    <w:name w:val="Plain Text Char"/>
    <w:autoRedefine/>
    <w:qFormat/>
    <w:uiPriority w:val="0"/>
    <w:rPr>
      <w:rFonts w:ascii="仿宋_GB2312" w:hAnsi="Wingdings" w:eastAsia="仿宋_GB2312" w:cs="新宋体"/>
      <w:sz w:val="21"/>
      <w:szCs w:val="21"/>
    </w:rPr>
  </w:style>
  <w:style w:type="character" w:customStyle="1" w:styleId="260">
    <w:name w:val="A4 Char Char"/>
    <w:autoRedefine/>
    <w:qFormat/>
    <w:uiPriority w:val="0"/>
    <w:rPr>
      <w:rFonts w:ascii="Cambria" w:hAnsi="Cambria" w:eastAsia="宋体"/>
      <w:b/>
      <w:bCs/>
      <w:sz w:val="28"/>
      <w:szCs w:val="28"/>
    </w:rPr>
  </w:style>
  <w:style w:type="character" w:customStyle="1" w:styleId="261">
    <w:name w:val="正文4 Char"/>
    <w:autoRedefine/>
    <w:qFormat/>
    <w:uiPriority w:val="0"/>
    <w:rPr>
      <w:rFonts w:ascii="新宋体" w:hAnsi="新宋体" w:eastAsia="宋体" w:cs="新宋体"/>
      <w:kern w:val="2"/>
      <w:sz w:val="24"/>
      <w:szCs w:val="24"/>
      <w:lang w:val="en-US" w:eastAsia="zh-CN" w:bidi="ar-SA"/>
    </w:rPr>
  </w:style>
  <w:style w:type="character" w:customStyle="1" w:styleId="262">
    <w:name w:val="heading 5 Char1"/>
    <w:autoRedefine/>
    <w:qFormat/>
    <w:uiPriority w:val="0"/>
    <w:rPr>
      <w:rFonts w:eastAsia="仿宋_GB2312"/>
      <w:b/>
      <w:bCs/>
      <w:kern w:val="2"/>
      <w:sz w:val="28"/>
      <w:szCs w:val="28"/>
      <w:lang w:val="en-US" w:eastAsia="zh-CN" w:bidi="ar-SA"/>
    </w:rPr>
  </w:style>
  <w:style w:type="character" w:customStyle="1" w:styleId="263">
    <w:name w:val="Char Char22"/>
    <w:autoRedefine/>
    <w:qFormat/>
    <w:uiPriority w:val="0"/>
    <w:rPr>
      <w:rFonts w:ascii="Tahoma" w:hAnsi="Tahoma" w:eastAsia="Helvetica"/>
      <w:b/>
      <w:bCs/>
      <w:kern w:val="44"/>
      <w:sz w:val="30"/>
      <w:szCs w:val="44"/>
      <w:lang w:val="en-US" w:eastAsia="zh-CN" w:bidi="ar-SA"/>
    </w:rPr>
  </w:style>
  <w:style w:type="character" w:customStyle="1" w:styleId="264">
    <w:name w:val="表格 Char Char"/>
    <w:link w:val="265"/>
    <w:autoRedefine/>
    <w:qFormat/>
    <w:uiPriority w:val="0"/>
    <w:rPr>
      <w:rFonts w:ascii="仿宋_GB2312" w:hAnsi="仿宋_GB2312" w:eastAsia="仿宋_GB2312"/>
    </w:rPr>
  </w:style>
  <w:style w:type="paragraph" w:customStyle="1" w:styleId="265">
    <w:name w:val="表格"/>
    <w:basedOn w:val="1"/>
    <w:link w:val="264"/>
    <w:autoRedefine/>
    <w:qFormat/>
    <w:uiPriority w:val="99"/>
    <w:pPr>
      <w:autoSpaceDE w:val="0"/>
      <w:autoSpaceDN w:val="0"/>
      <w:adjustRightInd w:val="0"/>
      <w:snapToGrid w:val="0"/>
      <w:ind w:firstLine="42" w:firstLineChars="21"/>
      <w:jc w:val="left"/>
    </w:pPr>
    <w:rPr>
      <w:rFonts w:ascii="仿宋_GB2312" w:hAnsi="仿宋_GB2312" w:eastAsia="仿宋_GB2312"/>
      <w:kern w:val="0"/>
      <w:sz w:val="20"/>
      <w:szCs w:val="20"/>
    </w:rPr>
  </w:style>
  <w:style w:type="character" w:customStyle="1" w:styleId="266">
    <w:name w:val="一级标题 Char"/>
    <w:link w:val="267"/>
    <w:autoRedefine/>
    <w:qFormat/>
    <w:uiPriority w:val="0"/>
    <w:rPr>
      <w:rFonts w:ascii="黑体" w:eastAsia="华文中宋"/>
      <w:b/>
      <w:kern w:val="44"/>
      <w:sz w:val="36"/>
      <w:szCs w:val="44"/>
    </w:rPr>
  </w:style>
  <w:style w:type="paragraph" w:customStyle="1" w:styleId="267">
    <w:name w:val="一级标题"/>
    <w:basedOn w:val="4"/>
    <w:link w:val="266"/>
    <w:autoRedefine/>
    <w:qFormat/>
    <w:uiPriority w:val="0"/>
    <w:pPr>
      <w:keepLines/>
      <w:pageBreakBefore/>
      <w:spacing w:line="578" w:lineRule="auto"/>
      <w:ind w:left="432" w:hanging="432"/>
    </w:pPr>
    <w:rPr>
      <w:rFonts w:ascii="黑体" w:eastAsia="华文中宋"/>
      <w:bCs w:val="0"/>
      <w:kern w:val="44"/>
      <w:sz w:val="36"/>
      <w:szCs w:val="44"/>
    </w:rPr>
  </w:style>
  <w:style w:type="character" w:customStyle="1" w:styleId="268">
    <w:name w:val="批注框文本 Char"/>
    <w:link w:val="41"/>
    <w:autoRedefine/>
    <w:qFormat/>
    <w:uiPriority w:val="0"/>
    <w:rPr>
      <w:kern w:val="2"/>
      <w:sz w:val="18"/>
      <w:szCs w:val="18"/>
    </w:rPr>
  </w:style>
  <w:style w:type="character" w:customStyle="1" w:styleId="269">
    <w:name w:val="正文（小四+1.25倍行距） Char"/>
    <w:link w:val="270"/>
    <w:autoRedefine/>
    <w:qFormat/>
    <w:uiPriority w:val="0"/>
    <w:rPr>
      <w:sz w:val="24"/>
      <w:szCs w:val="24"/>
    </w:rPr>
  </w:style>
  <w:style w:type="paragraph" w:customStyle="1" w:styleId="270">
    <w:name w:val="正文（小四+1.25倍行距）"/>
    <w:basedOn w:val="1"/>
    <w:link w:val="269"/>
    <w:autoRedefine/>
    <w:qFormat/>
    <w:uiPriority w:val="0"/>
    <w:pPr>
      <w:spacing w:afterLines="50" w:line="300" w:lineRule="auto"/>
      <w:ind w:firstLine="420"/>
    </w:pPr>
    <w:rPr>
      <w:kern w:val="0"/>
      <w:sz w:val="24"/>
    </w:rPr>
  </w:style>
  <w:style w:type="character" w:customStyle="1" w:styleId="271">
    <w:name w:val="Ò³Ã¼ Char Char1"/>
    <w:autoRedefine/>
    <w:qFormat/>
    <w:uiPriority w:val="0"/>
    <w:rPr>
      <w:rFonts w:eastAsia="仿宋_GB2312"/>
      <w:kern w:val="2"/>
      <w:sz w:val="18"/>
      <w:szCs w:val="18"/>
      <w:lang w:val="en-US" w:eastAsia="zh-CN" w:bidi="ar-SA"/>
    </w:rPr>
  </w:style>
  <w:style w:type="character" w:customStyle="1" w:styleId="272">
    <w:name w:val="正文首行缩进 字符"/>
    <w:basedOn w:val="273"/>
    <w:qFormat/>
    <w:uiPriority w:val="0"/>
    <w:rPr>
      <w:rFonts w:ascii="宋体"/>
      <w:sz w:val="21"/>
    </w:rPr>
  </w:style>
  <w:style w:type="character" w:customStyle="1" w:styleId="273">
    <w:name w:val="正文文本 字符"/>
    <w:autoRedefine/>
    <w:qFormat/>
    <w:uiPriority w:val="0"/>
    <w:rPr>
      <w:rFonts w:ascii="宋体"/>
      <w:sz w:val="21"/>
    </w:rPr>
  </w:style>
  <w:style w:type="character" w:customStyle="1" w:styleId="274">
    <w:name w:val="信息标题 Char"/>
    <w:autoRedefine/>
    <w:qFormat/>
    <w:uiPriority w:val="0"/>
    <w:rPr>
      <w:rFonts w:eastAsia="仿宋_GB2312"/>
      <w:kern w:val="2"/>
      <w:sz w:val="21"/>
      <w:szCs w:val="24"/>
      <w:shd w:val="pct20" w:color="auto" w:fill="auto"/>
    </w:rPr>
  </w:style>
  <w:style w:type="character" w:customStyle="1" w:styleId="275">
    <w:name w:val="A4 Char"/>
    <w:link w:val="276"/>
    <w:autoRedefine/>
    <w:qFormat/>
    <w:uiPriority w:val="0"/>
    <w:rPr>
      <w:rFonts w:ascii="Cambria" w:hAnsi="Cambria" w:cs="新宋体"/>
      <w:b/>
      <w:bCs/>
      <w:sz w:val="28"/>
      <w:szCs w:val="28"/>
    </w:rPr>
  </w:style>
  <w:style w:type="paragraph" w:customStyle="1" w:styleId="276">
    <w:name w:val="A4"/>
    <w:basedOn w:val="6"/>
    <w:link w:val="275"/>
    <w:autoRedefine/>
    <w:qFormat/>
    <w:uiPriority w:val="0"/>
    <w:pPr>
      <w:spacing w:line="377" w:lineRule="auto"/>
      <w:jc w:val="left"/>
    </w:pPr>
    <w:rPr>
      <w:rFonts w:cs="新宋体"/>
      <w:kern w:val="0"/>
    </w:rPr>
  </w:style>
  <w:style w:type="character" w:customStyle="1" w:styleId="277">
    <w:name w:val="Char Char61"/>
    <w:autoRedefine/>
    <w:qFormat/>
    <w:uiPriority w:val="0"/>
    <w:rPr>
      <w:rFonts w:ascii="新宋体" w:hAnsi="新宋体" w:eastAsia="仿宋_GB2312" w:cs="新宋体"/>
      <w:szCs w:val="24"/>
    </w:rPr>
  </w:style>
  <w:style w:type="character" w:customStyle="1" w:styleId="278">
    <w:name w:val="符号正文缩进 Char Char"/>
    <w:link w:val="279"/>
    <w:autoRedefine/>
    <w:qFormat/>
    <w:uiPriority w:val="0"/>
    <w:rPr>
      <w:kern w:val="2"/>
      <w:sz w:val="24"/>
      <w:szCs w:val="24"/>
    </w:rPr>
  </w:style>
  <w:style w:type="paragraph" w:customStyle="1" w:styleId="279">
    <w:name w:val="符号正文缩进"/>
    <w:basedOn w:val="16"/>
    <w:link w:val="278"/>
    <w:autoRedefine/>
    <w:qFormat/>
    <w:uiPriority w:val="0"/>
    <w:pPr>
      <w:tabs>
        <w:tab w:val="left" w:pos="1497"/>
      </w:tabs>
      <w:spacing w:line="400" w:lineRule="atLeast"/>
      <w:ind w:left="567" w:firstLine="510"/>
    </w:pPr>
    <w:rPr>
      <w:kern w:val="2"/>
      <w:sz w:val="24"/>
      <w:szCs w:val="24"/>
    </w:rPr>
  </w:style>
  <w:style w:type="character" w:customStyle="1" w:styleId="280">
    <w:name w:val="Char Char11"/>
    <w:autoRedefine/>
    <w:qFormat/>
    <w:uiPriority w:val="0"/>
    <w:rPr>
      <w:rFonts w:ascii="新宋体" w:hAnsi="新宋体" w:eastAsia="仿宋_GB2312" w:cs="新宋体"/>
      <w:sz w:val="18"/>
      <w:szCs w:val="18"/>
    </w:rPr>
  </w:style>
  <w:style w:type="character" w:customStyle="1" w:styleId="281">
    <w:name w:val="heading 1 Char2"/>
    <w:autoRedefine/>
    <w:qFormat/>
    <w:uiPriority w:val="0"/>
    <w:rPr>
      <w:b/>
      <w:bCs/>
      <w:kern w:val="44"/>
      <w:sz w:val="44"/>
      <w:szCs w:val="44"/>
    </w:rPr>
  </w:style>
  <w:style w:type="character" w:customStyle="1" w:styleId="282">
    <w:name w:val="Char Char13"/>
    <w:basedOn w:val="66"/>
    <w:autoRedefine/>
    <w:qFormat/>
    <w:uiPriority w:val="0"/>
    <w:rPr>
      <w:rFonts w:ascii="Times New Roman" w:hAnsi="Times New Roman" w:eastAsia="宋体" w:cs="Times New Roman"/>
      <w:b/>
      <w:bCs/>
      <w:color w:val="auto"/>
      <w:kern w:val="2"/>
      <w:szCs w:val="20"/>
    </w:rPr>
  </w:style>
  <w:style w:type="character" w:customStyle="1" w:styleId="283">
    <w:name w:val="heading 7 Char1"/>
    <w:autoRedefine/>
    <w:qFormat/>
    <w:uiPriority w:val="0"/>
    <w:rPr>
      <w:rFonts w:ascii="Tahoma" w:hAnsi="Tahoma" w:eastAsia="Helvetica"/>
      <w:sz w:val="21"/>
      <w:szCs w:val="21"/>
      <w:lang w:val="en-US" w:eastAsia="zh-CN" w:bidi="ar-SA"/>
    </w:rPr>
  </w:style>
  <w:style w:type="character" w:customStyle="1" w:styleId="284">
    <w:name w:val="Style2"/>
    <w:autoRedefine/>
    <w:qFormat/>
    <w:uiPriority w:val="0"/>
    <w:rPr>
      <w:rFonts w:ascii="Century Gothic" w:hAnsi="仿宋_GB2312" w:eastAsia="仿宋_GB2312" w:cs="新宋体"/>
      <w:sz w:val="22"/>
      <w:szCs w:val="22"/>
      <w:lang w:eastAsia="zh-CN"/>
    </w:rPr>
  </w:style>
  <w:style w:type="character" w:customStyle="1" w:styleId="285">
    <w:name w:val="blue1"/>
    <w:basedOn w:val="66"/>
    <w:autoRedefine/>
    <w:qFormat/>
    <w:uiPriority w:val="0"/>
  </w:style>
  <w:style w:type="character" w:customStyle="1" w:styleId="286">
    <w:name w:val="style111"/>
    <w:autoRedefine/>
    <w:qFormat/>
    <w:uiPriority w:val="0"/>
    <w:rPr>
      <w:sz w:val="27"/>
      <w:szCs w:val="27"/>
    </w:rPr>
  </w:style>
  <w:style w:type="character" w:customStyle="1" w:styleId="287">
    <w:name w:val="emailstyle15"/>
    <w:autoRedefine/>
    <w:qFormat/>
    <w:uiPriority w:val="0"/>
    <w:rPr>
      <w:rFonts w:ascii="Arial" w:hAnsi="Arial" w:eastAsia="宋体" w:cs="Arial"/>
      <w:color w:val="auto"/>
      <w:kern w:val="2"/>
      <w:sz w:val="20"/>
      <w:szCs w:val="24"/>
      <w:lang w:val="en-US" w:eastAsia="zh-CN" w:bidi="ar-SA"/>
    </w:rPr>
  </w:style>
  <w:style w:type="character" w:customStyle="1" w:styleId="288">
    <w:name w:val="个人撰写风格"/>
    <w:autoRedefine/>
    <w:qFormat/>
    <w:uiPriority w:val="0"/>
    <w:rPr>
      <w:rFonts w:ascii="Arial" w:hAnsi="Arial" w:eastAsia="宋体" w:cs="Arial"/>
      <w:color w:val="auto"/>
      <w:kern w:val="2"/>
      <w:sz w:val="20"/>
      <w:szCs w:val="24"/>
      <w:lang w:val="en-US" w:eastAsia="zh-CN" w:bidi="ar-SA"/>
    </w:rPr>
  </w:style>
  <w:style w:type="character" w:customStyle="1" w:styleId="289">
    <w:name w:val="font01"/>
    <w:autoRedefine/>
    <w:qFormat/>
    <w:uiPriority w:val="0"/>
    <w:rPr>
      <w:rFonts w:hint="eastAsia" w:ascii="宋体" w:hAnsi="宋体" w:eastAsia="宋体" w:cs="宋体"/>
      <w:color w:val="000000"/>
      <w:sz w:val="18"/>
      <w:szCs w:val="18"/>
      <w:u w:val="none"/>
      <w:vertAlign w:val="superscript"/>
    </w:rPr>
  </w:style>
  <w:style w:type="character" w:customStyle="1" w:styleId="290">
    <w:name w:val="Char Char21"/>
    <w:autoRedefine/>
    <w:qFormat/>
    <w:uiPriority w:val="0"/>
    <w:rPr>
      <w:rFonts w:ascii="新宋体" w:hAnsi="新宋体" w:eastAsia="仿宋_GB2312" w:cs="新宋体"/>
      <w:b/>
      <w:bCs/>
      <w:kern w:val="44"/>
      <w:sz w:val="44"/>
      <w:szCs w:val="44"/>
    </w:rPr>
  </w:style>
  <w:style w:type="character" w:customStyle="1" w:styleId="291">
    <w:name w:val="Char Char24"/>
    <w:autoRedefine/>
    <w:qFormat/>
    <w:uiPriority w:val="0"/>
    <w:rPr>
      <w:rFonts w:ascii="Verdana" w:hAnsi="Verdana" w:eastAsia="仿宋_GB2312"/>
      <w:b/>
      <w:bCs/>
      <w:kern w:val="2"/>
      <w:sz w:val="32"/>
      <w:szCs w:val="32"/>
      <w:lang w:val="en-US" w:eastAsia="zh-CN" w:bidi="ar-SA"/>
    </w:rPr>
  </w:style>
  <w:style w:type="character" w:customStyle="1" w:styleId="292">
    <w:name w:val="Char Char181"/>
    <w:autoRedefine/>
    <w:qFormat/>
    <w:uiPriority w:val="0"/>
    <w:rPr>
      <w:rFonts w:ascii="Tahoma" w:hAnsi="Tahoma" w:eastAsia="Helvetica"/>
      <w:sz w:val="24"/>
      <w:lang w:val="en-US" w:eastAsia="zh-CN" w:bidi="ar-SA"/>
    </w:rPr>
  </w:style>
  <w:style w:type="character" w:customStyle="1" w:styleId="293">
    <w:name w:val="heading 5 Char"/>
    <w:autoRedefine/>
    <w:qFormat/>
    <w:uiPriority w:val="0"/>
    <w:rPr>
      <w:rFonts w:ascii="Tahoma" w:hAnsi="Tahoma" w:eastAsia="Helvetica"/>
      <w:sz w:val="21"/>
      <w:szCs w:val="21"/>
    </w:rPr>
  </w:style>
  <w:style w:type="character" w:customStyle="1" w:styleId="294">
    <w:name w:val="heading 3 Char2"/>
    <w:autoRedefine/>
    <w:qFormat/>
    <w:uiPriority w:val="0"/>
    <w:rPr>
      <w:b/>
      <w:bCs/>
      <w:kern w:val="2"/>
      <w:sz w:val="32"/>
      <w:szCs w:val="32"/>
    </w:rPr>
  </w:style>
  <w:style w:type="character" w:customStyle="1" w:styleId="295">
    <w:name w:val="列出段落 Char1"/>
    <w:autoRedefine/>
    <w:qFormat/>
    <w:uiPriority w:val="0"/>
    <w:rPr>
      <w:kern w:val="2"/>
      <w:sz w:val="21"/>
      <w:szCs w:val="24"/>
    </w:rPr>
  </w:style>
  <w:style w:type="character" w:customStyle="1" w:styleId="296">
    <w:name w:val="Footer-Even Char2"/>
    <w:autoRedefine/>
    <w:qFormat/>
    <w:uiPriority w:val="0"/>
    <w:rPr>
      <w:kern w:val="2"/>
      <w:sz w:val="18"/>
      <w:szCs w:val="18"/>
    </w:rPr>
  </w:style>
  <w:style w:type="character" w:customStyle="1" w:styleId="297">
    <w:name w:val="heading 1 Char1"/>
    <w:autoRedefine/>
    <w:qFormat/>
    <w:uiPriority w:val="0"/>
    <w:rPr>
      <w:rFonts w:eastAsia="仿宋_GB2312"/>
      <w:b/>
      <w:bCs/>
      <w:kern w:val="44"/>
      <w:sz w:val="44"/>
      <w:szCs w:val="44"/>
      <w:lang w:val="en-US" w:eastAsia="zh-CN" w:bidi="ar-SA"/>
    </w:rPr>
  </w:style>
  <w:style w:type="character" w:customStyle="1" w:styleId="298">
    <w:name w:val="kpk:正文 Char"/>
    <w:link w:val="299"/>
    <w:autoRedefine/>
    <w:qFormat/>
    <w:uiPriority w:val="0"/>
    <w:rPr>
      <w:rFonts w:ascii="宋体" w:hAnsi="宋体"/>
      <w:kern w:val="2"/>
      <w:sz w:val="24"/>
      <w:szCs w:val="24"/>
      <w:lang w:val="en-GB"/>
    </w:rPr>
  </w:style>
  <w:style w:type="paragraph" w:customStyle="1" w:styleId="299">
    <w:name w:val="kpk:正文"/>
    <w:basedOn w:val="1"/>
    <w:link w:val="298"/>
    <w:autoRedefine/>
    <w:qFormat/>
    <w:uiPriority w:val="0"/>
    <w:pPr>
      <w:wordWrap w:val="0"/>
      <w:spacing w:beforeLines="50" w:after="312" w:line="360" w:lineRule="auto"/>
      <w:ind w:firstLine="480" w:firstLineChars="200"/>
      <w:jc w:val="left"/>
    </w:pPr>
    <w:rPr>
      <w:rFonts w:ascii="宋体" w:hAnsi="宋体"/>
      <w:sz w:val="24"/>
      <w:lang w:val="en-GB"/>
    </w:rPr>
  </w:style>
  <w:style w:type="character" w:customStyle="1" w:styleId="300">
    <w:name w:val="彩色列表 - 强调文字颜色 1 Char"/>
    <w:link w:val="301"/>
    <w:autoRedefine/>
    <w:qFormat/>
    <w:uiPriority w:val="0"/>
    <w:rPr>
      <w:kern w:val="2"/>
      <w:sz w:val="21"/>
      <w:szCs w:val="22"/>
    </w:rPr>
  </w:style>
  <w:style w:type="paragraph" w:customStyle="1" w:styleId="301">
    <w:name w:val="彩色列表 - 强调文字颜色 11"/>
    <w:basedOn w:val="1"/>
    <w:link w:val="300"/>
    <w:autoRedefine/>
    <w:qFormat/>
    <w:uiPriority w:val="0"/>
    <w:pPr>
      <w:ind w:firstLine="420" w:firstLineChars="200"/>
    </w:pPr>
    <w:rPr>
      <w:szCs w:val="22"/>
    </w:rPr>
  </w:style>
  <w:style w:type="character" w:customStyle="1" w:styleId="302">
    <w:name w:val="A3 Char"/>
    <w:link w:val="303"/>
    <w:autoRedefine/>
    <w:qFormat/>
    <w:uiPriority w:val="0"/>
    <w:rPr>
      <w:b/>
      <w:bCs/>
      <w:sz w:val="32"/>
      <w:szCs w:val="32"/>
    </w:rPr>
  </w:style>
  <w:style w:type="paragraph" w:customStyle="1" w:styleId="303">
    <w:name w:val="A3"/>
    <w:basedOn w:val="5"/>
    <w:link w:val="302"/>
    <w:autoRedefine/>
    <w:qFormat/>
    <w:uiPriority w:val="0"/>
    <w:pPr>
      <w:spacing w:before="0" w:after="0" w:line="415" w:lineRule="auto"/>
      <w:ind w:left="720" w:hanging="720"/>
      <w:jc w:val="left"/>
    </w:pPr>
    <w:rPr>
      <w:kern w:val="0"/>
    </w:rPr>
  </w:style>
  <w:style w:type="character" w:customStyle="1" w:styleId="304">
    <w:name w:val="批注框文本 字符"/>
    <w:autoRedefine/>
    <w:semiHidden/>
    <w:qFormat/>
    <w:uiPriority w:val="0"/>
    <w:rPr>
      <w:sz w:val="18"/>
      <w:szCs w:val="18"/>
    </w:rPr>
  </w:style>
  <w:style w:type="character" w:customStyle="1" w:styleId="305">
    <w:name w:val="正文文本缩进 2 Char"/>
    <w:link w:val="39"/>
    <w:autoRedefine/>
    <w:qFormat/>
    <w:uiPriority w:val="0"/>
    <w:rPr>
      <w:kern w:val="2"/>
      <w:sz w:val="24"/>
      <w:szCs w:val="24"/>
    </w:rPr>
  </w:style>
  <w:style w:type="character" w:customStyle="1" w:styleId="306">
    <w:name w:val="Table Text Char"/>
    <w:link w:val="307"/>
    <w:autoRedefine/>
    <w:qFormat/>
    <w:uiPriority w:val="0"/>
    <w:rPr>
      <w:rFonts w:eastAsia="仿宋_GB2312"/>
      <w:sz w:val="24"/>
    </w:rPr>
  </w:style>
  <w:style w:type="paragraph" w:customStyle="1" w:styleId="307">
    <w:name w:val="Table Text"/>
    <w:basedOn w:val="1"/>
    <w:link w:val="306"/>
    <w:autoRedefine/>
    <w:qFormat/>
    <w:uiPriority w:val="0"/>
    <w:pPr>
      <w:widowControl/>
      <w:autoSpaceDE w:val="0"/>
      <w:autoSpaceDN w:val="0"/>
      <w:adjustRightInd w:val="0"/>
      <w:spacing w:before="60" w:after="60"/>
      <w:jc w:val="left"/>
    </w:pPr>
    <w:rPr>
      <w:rFonts w:eastAsia="仿宋_GB2312"/>
      <w:kern w:val="0"/>
      <w:sz w:val="24"/>
      <w:szCs w:val="20"/>
    </w:rPr>
  </w:style>
  <w:style w:type="character" w:customStyle="1" w:styleId="308">
    <w:name w:val="!我的正文 Ctr+Q Char Char"/>
    <w:autoRedefine/>
    <w:qFormat/>
    <w:uiPriority w:val="0"/>
    <w:rPr>
      <w:rFonts w:ascii="Arial" w:hAnsi="Arial"/>
      <w:kern w:val="2"/>
      <w:sz w:val="24"/>
      <w:szCs w:val="21"/>
      <w:lang w:bidi="ar-SA"/>
    </w:rPr>
  </w:style>
  <w:style w:type="character" w:customStyle="1" w:styleId="309">
    <w:name w:val="BZ_四级标题 Char"/>
    <w:link w:val="161"/>
    <w:autoRedefine/>
    <w:qFormat/>
    <w:uiPriority w:val="0"/>
    <w:rPr>
      <w:rFonts w:eastAsia="黑体"/>
      <w:bCs/>
      <w:kern w:val="2"/>
      <w:sz w:val="24"/>
      <w:szCs w:val="28"/>
    </w:rPr>
  </w:style>
  <w:style w:type="character" w:customStyle="1" w:styleId="310">
    <w:name w:val="Char Char17"/>
    <w:autoRedefine/>
    <w:qFormat/>
    <w:uiPriority w:val="0"/>
    <w:rPr>
      <w:rFonts w:ascii="Tahoma" w:hAnsi="Tahoma" w:eastAsia="Helvetica"/>
      <w:sz w:val="21"/>
      <w:lang w:val="en-US" w:eastAsia="zh-CN" w:bidi="ar-SA"/>
    </w:rPr>
  </w:style>
  <w:style w:type="character" w:customStyle="1" w:styleId="311">
    <w:name w:val="heading 2 Char2"/>
    <w:autoRedefine/>
    <w:qFormat/>
    <w:uiPriority w:val="0"/>
    <w:rPr>
      <w:rFonts w:ascii="Verdana" w:hAnsi="Verdana"/>
      <w:b/>
      <w:bCs/>
      <w:kern w:val="2"/>
      <w:sz w:val="32"/>
      <w:szCs w:val="32"/>
    </w:rPr>
  </w:style>
  <w:style w:type="character" w:customStyle="1" w:styleId="312">
    <w:name w:val="正文缩进字符"/>
    <w:link w:val="313"/>
    <w:autoRedefine/>
    <w:qFormat/>
    <w:uiPriority w:val="0"/>
    <w:rPr>
      <w:rFonts w:ascii="宋体"/>
      <w:sz w:val="24"/>
    </w:rPr>
  </w:style>
  <w:style w:type="paragraph" w:customStyle="1" w:styleId="313">
    <w:name w:val="正文缩进2"/>
    <w:basedOn w:val="1"/>
    <w:link w:val="312"/>
    <w:autoRedefine/>
    <w:qFormat/>
    <w:uiPriority w:val="0"/>
    <w:pPr>
      <w:autoSpaceDE w:val="0"/>
      <w:autoSpaceDN w:val="0"/>
      <w:adjustRightInd w:val="0"/>
      <w:spacing w:line="360" w:lineRule="auto"/>
      <w:ind w:firstLine="420" w:firstLineChars="200"/>
      <w:jc w:val="left"/>
    </w:pPr>
    <w:rPr>
      <w:rFonts w:ascii="宋体"/>
      <w:kern w:val="0"/>
      <w:sz w:val="24"/>
      <w:szCs w:val="20"/>
    </w:rPr>
  </w:style>
  <w:style w:type="character" w:customStyle="1" w:styleId="314">
    <w:name w:val="1Text Char"/>
    <w:link w:val="315"/>
    <w:autoRedefine/>
    <w:qFormat/>
    <w:uiPriority w:val="0"/>
    <w:rPr>
      <w:rFonts w:ascii="Calibri" w:hAnsi="Calibri"/>
      <w:sz w:val="24"/>
      <w:szCs w:val="24"/>
    </w:rPr>
  </w:style>
  <w:style w:type="paragraph" w:customStyle="1" w:styleId="315">
    <w:name w:val="1Text"/>
    <w:basedOn w:val="1"/>
    <w:link w:val="314"/>
    <w:autoRedefine/>
    <w:qFormat/>
    <w:uiPriority w:val="0"/>
    <w:pPr>
      <w:spacing w:beforeLines="50" w:afterLines="50" w:line="360" w:lineRule="auto"/>
      <w:ind w:firstLine="480" w:firstLineChars="200"/>
      <w:jc w:val="left"/>
    </w:pPr>
    <w:rPr>
      <w:rFonts w:ascii="Calibri" w:hAnsi="Calibri"/>
      <w:kern w:val="0"/>
      <w:sz w:val="24"/>
    </w:rPr>
  </w:style>
  <w:style w:type="character" w:customStyle="1" w:styleId="316">
    <w:name w:val="文档结构图 字符"/>
    <w:autoRedefine/>
    <w:semiHidden/>
    <w:qFormat/>
    <w:uiPriority w:val="99"/>
    <w:rPr>
      <w:rFonts w:ascii="宋体"/>
      <w:sz w:val="18"/>
      <w:szCs w:val="18"/>
    </w:rPr>
  </w:style>
  <w:style w:type="character" w:customStyle="1" w:styleId="317">
    <w:name w:val="heading 8 Char1"/>
    <w:autoRedefine/>
    <w:qFormat/>
    <w:uiPriority w:val="0"/>
    <w:rPr>
      <w:rFonts w:ascii="Tahoma" w:hAnsi="Tahoma" w:eastAsia="Helvetica"/>
      <w:sz w:val="24"/>
      <w:lang w:val="en-US" w:eastAsia="zh-CN" w:bidi="ar-SA"/>
    </w:rPr>
  </w:style>
  <w:style w:type="character" w:customStyle="1" w:styleId="318">
    <w:name w:val="Char Char171"/>
    <w:autoRedefine/>
    <w:qFormat/>
    <w:uiPriority w:val="0"/>
    <w:rPr>
      <w:rFonts w:ascii="Verdana" w:hAnsi="Verdana"/>
      <w:b/>
      <w:bCs/>
      <w:kern w:val="2"/>
      <w:sz w:val="28"/>
      <w:szCs w:val="28"/>
    </w:rPr>
  </w:style>
  <w:style w:type="character" w:customStyle="1" w:styleId="319">
    <w:name w:val="副标题 Char"/>
    <w:autoRedefine/>
    <w:qFormat/>
    <w:uiPriority w:val="0"/>
    <w:rPr>
      <w:rFonts w:ascii="Verdana" w:hAnsi="Verdana" w:eastAsia="仿宋_GB2312"/>
      <w:b/>
      <w:bCs/>
      <w:kern w:val="28"/>
      <w:sz w:val="32"/>
      <w:szCs w:val="32"/>
    </w:rPr>
  </w:style>
  <w:style w:type="character" w:customStyle="1" w:styleId="320">
    <w:name w:val="内容文本 Char"/>
    <w:link w:val="321"/>
    <w:autoRedefine/>
    <w:qFormat/>
    <w:uiPriority w:val="0"/>
    <w:rPr>
      <w:rFonts w:ascii="宋体" w:hAnsi="宋体"/>
      <w:sz w:val="24"/>
      <w:szCs w:val="24"/>
      <w:lang w:eastAsia="en-US" w:bidi="en-US"/>
    </w:rPr>
  </w:style>
  <w:style w:type="paragraph" w:customStyle="1" w:styleId="321">
    <w:name w:val="内容文本"/>
    <w:basedOn w:val="301"/>
    <w:link w:val="320"/>
    <w:autoRedefine/>
    <w:qFormat/>
    <w:uiPriority w:val="0"/>
    <w:pPr>
      <w:spacing w:line="360" w:lineRule="auto"/>
      <w:ind w:firstLine="200"/>
      <w:contextualSpacing/>
      <w:jc w:val="left"/>
    </w:pPr>
    <w:rPr>
      <w:rFonts w:ascii="宋体" w:hAnsi="宋体"/>
      <w:kern w:val="0"/>
      <w:sz w:val="24"/>
      <w:szCs w:val="24"/>
      <w:lang w:eastAsia="en-US" w:bidi="en-US"/>
    </w:rPr>
  </w:style>
  <w:style w:type="character" w:customStyle="1" w:styleId="322">
    <w:name w:val="明显引用 Char"/>
    <w:autoRedefine/>
    <w:qFormat/>
    <w:uiPriority w:val="0"/>
    <w:rPr>
      <w:rFonts w:ascii="Century Gothic" w:hAnsi="Century Gothic" w:eastAsia="仿宋_GB2312"/>
      <w:b/>
      <w:bCs/>
      <w:i/>
      <w:iCs/>
      <w:color w:val="4F81BD"/>
    </w:rPr>
  </w:style>
  <w:style w:type="paragraph" w:styleId="323">
    <w:name w:val="Intense Quote"/>
    <w:basedOn w:val="1"/>
    <w:next w:val="1"/>
    <w:link w:val="594"/>
    <w:autoRedefine/>
    <w:qFormat/>
    <w:uiPriority w:val="0"/>
    <w:pPr>
      <w:pBdr>
        <w:bottom w:val="single" w:color="4F81BD" w:sz="4" w:space="4"/>
      </w:pBdr>
      <w:spacing w:before="200" w:after="280"/>
      <w:ind w:left="936" w:right="936"/>
    </w:pPr>
    <w:rPr>
      <w:rFonts w:ascii="Century Gothic" w:hAnsi="Century Gothic" w:eastAsia="仿宋_GB2312"/>
      <w:b/>
      <w:bCs/>
      <w:i/>
      <w:iCs/>
      <w:color w:val="4F81BD"/>
      <w:kern w:val="0"/>
      <w:sz w:val="20"/>
      <w:szCs w:val="20"/>
    </w:rPr>
  </w:style>
  <w:style w:type="character" w:customStyle="1" w:styleId="324">
    <w:name w:val="Style5"/>
    <w:autoRedefine/>
    <w:qFormat/>
    <w:uiPriority w:val="0"/>
    <w:rPr>
      <w:rFonts w:ascii="Century Gothic" w:hAnsi="仿宋_GB2312" w:eastAsia="仿宋_GB2312" w:cs="新宋体"/>
      <w:sz w:val="22"/>
      <w:szCs w:val="22"/>
      <w:lang w:eastAsia="zh-CN"/>
    </w:rPr>
  </w:style>
  <w:style w:type="character" w:customStyle="1" w:styleId="325">
    <w:name w:val="HTML 预设格式 Char"/>
    <w:autoRedefine/>
    <w:qFormat/>
    <w:uiPriority w:val="0"/>
    <w:rPr>
      <w:rFonts w:ascii="黑体" w:hAnsi="Courier New" w:eastAsia="黑体"/>
    </w:rPr>
  </w:style>
  <w:style w:type="character" w:customStyle="1" w:styleId="326">
    <w:name w:val="BZ_图 Char"/>
    <w:link w:val="327"/>
    <w:autoRedefine/>
    <w:qFormat/>
    <w:uiPriority w:val="0"/>
    <w:rPr>
      <w:kern w:val="2"/>
      <w:sz w:val="21"/>
      <w:szCs w:val="24"/>
    </w:rPr>
  </w:style>
  <w:style w:type="paragraph" w:customStyle="1" w:styleId="327">
    <w:name w:val="BZ_图"/>
    <w:basedOn w:val="1"/>
    <w:next w:val="1"/>
    <w:link w:val="326"/>
    <w:autoRedefine/>
    <w:qFormat/>
    <w:uiPriority w:val="0"/>
    <w:pPr>
      <w:keepNext/>
      <w:widowControl/>
      <w:spacing w:beforeLines="50" w:afterLines="50"/>
      <w:jc w:val="center"/>
    </w:pPr>
  </w:style>
  <w:style w:type="character" w:customStyle="1" w:styleId="328">
    <w:name w:val="Char Char Char Char Char Char Char Char Char Char Char Char Char Char Char"/>
    <w:autoRedefine/>
    <w:qFormat/>
    <w:uiPriority w:val="0"/>
    <w:rPr>
      <w:rFonts w:ascii="仿宋_GB2312" w:hAnsi="Wingdings" w:eastAsia="仿宋_GB2312"/>
      <w:sz w:val="21"/>
      <w:szCs w:val="21"/>
      <w:lang w:val="en-US" w:eastAsia="zh-CN" w:bidi="ar-SA"/>
    </w:rPr>
  </w:style>
  <w:style w:type="character" w:customStyle="1" w:styleId="329">
    <w:name w:val="标题 3 字符"/>
    <w:autoRedefine/>
    <w:qFormat/>
    <w:uiPriority w:val="0"/>
    <w:rPr>
      <w:rFonts w:eastAsia="黑体"/>
      <w:b/>
      <w:sz w:val="28"/>
    </w:rPr>
  </w:style>
  <w:style w:type="character" w:customStyle="1" w:styleId="330">
    <w:name w:val="dandyren_title1"/>
    <w:autoRedefine/>
    <w:qFormat/>
    <w:uiPriority w:val="0"/>
    <w:rPr>
      <w:b/>
      <w:bCs/>
      <w:color w:val="FF6633"/>
      <w:sz w:val="18"/>
      <w:szCs w:val="18"/>
    </w:rPr>
  </w:style>
  <w:style w:type="character" w:customStyle="1" w:styleId="331">
    <w:name w:val="样式 正文缩进首行缩进两字正文（首行缩进两字） Char正文（首行缩进两字） Char Char Char正文（首行缩进... Char"/>
    <w:link w:val="332"/>
    <w:autoRedefine/>
    <w:qFormat/>
    <w:uiPriority w:val="0"/>
    <w:rPr>
      <w:rFonts w:cs="宋体"/>
      <w:szCs w:val="28"/>
    </w:rPr>
  </w:style>
  <w:style w:type="paragraph" w:customStyle="1" w:styleId="332">
    <w:name w:val="样式 正文缩进首行缩进两字正文（首行缩进两字） Char正文（首行缩进两字） Char Char Char正文（首行缩进..."/>
    <w:basedOn w:val="16"/>
    <w:link w:val="331"/>
    <w:autoRedefine/>
    <w:qFormat/>
    <w:uiPriority w:val="0"/>
    <w:pPr>
      <w:autoSpaceDE w:val="0"/>
      <w:autoSpaceDN w:val="0"/>
      <w:spacing w:line="240" w:lineRule="auto"/>
      <w:ind w:firstLine="567"/>
    </w:pPr>
    <w:rPr>
      <w:rFonts w:cs="宋体"/>
      <w:sz w:val="20"/>
      <w:szCs w:val="28"/>
    </w:rPr>
  </w:style>
  <w:style w:type="character" w:customStyle="1" w:styleId="333">
    <w:name w:val="1Text Char Char"/>
    <w:autoRedefine/>
    <w:qFormat/>
    <w:uiPriority w:val="0"/>
    <w:rPr>
      <w:rFonts w:ascii="Calibri" w:hAnsi="Calibri" w:eastAsia="宋体"/>
      <w:sz w:val="24"/>
      <w:szCs w:val="24"/>
      <w:lang w:bidi="ar-SA"/>
    </w:rPr>
  </w:style>
  <w:style w:type="character" w:customStyle="1" w:styleId="334">
    <w:name w:val="Char Char211"/>
    <w:autoRedefine/>
    <w:qFormat/>
    <w:uiPriority w:val="0"/>
    <w:rPr>
      <w:rFonts w:ascii="新宋体" w:hAnsi="新宋体" w:eastAsia="仿宋_GB2312" w:cs="新宋体"/>
      <w:b/>
      <w:bCs/>
      <w:kern w:val="44"/>
      <w:sz w:val="44"/>
      <w:szCs w:val="44"/>
    </w:rPr>
  </w:style>
  <w:style w:type="character" w:customStyle="1" w:styleId="335">
    <w:name w:val="强调划线"/>
    <w:autoRedefine/>
    <w:qFormat/>
    <w:uiPriority w:val="0"/>
    <w:rPr>
      <w:u w:val="single"/>
    </w:rPr>
  </w:style>
  <w:style w:type="character" w:customStyle="1" w:styleId="336">
    <w:name w:val="backtitle1"/>
    <w:autoRedefine/>
    <w:qFormat/>
    <w:uiPriority w:val="0"/>
    <w:rPr>
      <w:rFonts w:eastAsia="宋体"/>
      <w:b/>
      <w:bCs/>
      <w:color w:val="000000"/>
      <w:kern w:val="2"/>
      <w:sz w:val="18"/>
      <w:szCs w:val="18"/>
      <w:lang w:val="en-US" w:eastAsia="zh-CN" w:bidi="ar-SA"/>
    </w:rPr>
  </w:style>
  <w:style w:type="character" w:customStyle="1" w:styleId="337">
    <w:name w:val="哈哈正文 Char Char"/>
    <w:autoRedefine/>
    <w:qFormat/>
    <w:uiPriority w:val="0"/>
    <w:rPr>
      <w:rFonts w:ascii="宋体" w:hAnsi="宋体"/>
      <w:kern w:val="2"/>
      <w:sz w:val="24"/>
      <w:lang w:bidi="ar-SA"/>
    </w:rPr>
  </w:style>
  <w:style w:type="character" w:customStyle="1" w:styleId="338">
    <w:name w:val="正文首行缩进 2 Char"/>
    <w:autoRedefine/>
    <w:qFormat/>
    <w:uiPriority w:val="0"/>
    <w:rPr>
      <w:kern w:val="2"/>
      <w:sz w:val="21"/>
      <w:szCs w:val="24"/>
    </w:rPr>
  </w:style>
  <w:style w:type="character" w:customStyle="1" w:styleId="339">
    <w:name w:val="注释题目"/>
    <w:autoRedefine/>
    <w:qFormat/>
    <w:uiPriority w:val="0"/>
    <w:rPr>
      <w:rFonts w:eastAsia="黑体"/>
      <w:sz w:val="28"/>
      <w:u w:val="none"/>
    </w:rPr>
  </w:style>
  <w:style w:type="character" w:customStyle="1" w:styleId="340">
    <w:name w:val="三级标题 Char"/>
    <w:link w:val="341"/>
    <w:autoRedefine/>
    <w:qFormat/>
    <w:uiPriority w:val="0"/>
    <w:rPr>
      <w:rFonts w:eastAsia="黑体"/>
      <w:b/>
      <w:kern w:val="2"/>
      <w:sz w:val="28"/>
      <w:szCs w:val="22"/>
    </w:rPr>
  </w:style>
  <w:style w:type="paragraph" w:customStyle="1" w:styleId="341">
    <w:name w:val="三级标题"/>
    <w:basedOn w:val="1"/>
    <w:link w:val="340"/>
    <w:autoRedefine/>
    <w:qFormat/>
    <w:uiPriority w:val="0"/>
    <w:pPr>
      <w:tabs>
        <w:tab w:val="left" w:pos="420"/>
      </w:tabs>
      <w:spacing w:line="360" w:lineRule="auto"/>
      <w:ind w:left="420" w:firstLine="200" w:firstLineChars="200"/>
      <w:outlineLvl w:val="2"/>
    </w:pPr>
    <w:rPr>
      <w:rFonts w:eastAsia="黑体"/>
      <w:b/>
      <w:sz w:val="28"/>
      <w:szCs w:val="22"/>
    </w:rPr>
  </w:style>
  <w:style w:type="character" w:customStyle="1" w:styleId="342">
    <w:name w:val="样式 宋体"/>
    <w:autoRedefine/>
    <w:qFormat/>
    <w:uiPriority w:val="0"/>
    <w:rPr>
      <w:rFonts w:ascii="仿宋_GB2312" w:hAnsi="仿宋_GB2312" w:eastAsia="仿宋_GB2312"/>
      <w:sz w:val="24"/>
      <w:szCs w:val="24"/>
    </w:rPr>
  </w:style>
  <w:style w:type="character" w:customStyle="1" w:styleId="343">
    <w:name w:val="heading 1 Char"/>
    <w:autoRedefine/>
    <w:qFormat/>
    <w:uiPriority w:val="0"/>
    <w:rPr>
      <w:rFonts w:ascii="Tahoma" w:hAnsi="Tahoma" w:eastAsia="Helvetica"/>
      <w:b/>
      <w:sz w:val="36"/>
      <w:szCs w:val="36"/>
    </w:rPr>
  </w:style>
  <w:style w:type="character" w:customStyle="1" w:styleId="344">
    <w:name w:val="栏目标题 Char Char"/>
    <w:link w:val="345"/>
    <w:autoRedefine/>
    <w:qFormat/>
    <w:uiPriority w:val="0"/>
    <w:rPr>
      <w:rFonts w:ascii="黑体" w:hAnsi="黑体" w:eastAsia="黑体"/>
      <w:b/>
      <w:kern w:val="2"/>
      <w:sz w:val="21"/>
      <w:szCs w:val="24"/>
    </w:rPr>
  </w:style>
  <w:style w:type="paragraph" w:customStyle="1" w:styleId="345">
    <w:name w:val="栏目标题"/>
    <w:basedOn w:val="1"/>
    <w:link w:val="344"/>
    <w:autoRedefine/>
    <w:qFormat/>
    <w:uiPriority w:val="0"/>
    <w:pPr>
      <w:jc w:val="center"/>
    </w:pPr>
    <w:rPr>
      <w:rFonts w:ascii="黑体" w:hAnsi="黑体" w:eastAsia="黑体"/>
      <w:b/>
    </w:rPr>
  </w:style>
  <w:style w:type="character" w:customStyle="1" w:styleId="346">
    <w:name w:val="纯文本 字符"/>
    <w:autoRedefine/>
    <w:qFormat/>
    <w:uiPriority w:val="0"/>
    <w:rPr>
      <w:rFonts w:ascii="宋体" w:hAnsi="Courier New"/>
      <w:kern w:val="2"/>
      <w:sz w:val="21"/>
    </w:rPr>
  </w:style>
  <w:style w:type="character" w:customStyle="1" w:styleId="347">
    <w:name w:val="!我的正文 Ctr+Q Char"/>
    <w:link w:val="348"/>
    <w:autoRedefine/>
    <w:qFormat/>
    <w:uiPriority w:val="0"/>
    <w:rPr>
      <w:rFonts w:ascii="Arial" w:hAnsi="Arial"/>
      <w:kern w:val="2"/>
      <w:sz w:val="24"/>
      <w:szCs w:val="21"/>
    </w:rPr>
  </w:style>
  <w:style w:type="paragraph" w:customStyle="1" w:styleId="348">
    <w:name w:val="!我的正文 Ctr+Q"/>
    <w:basedOn w:val="1"/>
    <w:link w:val="347"/>
    <w:autoRedefine/>
    <w:qFormat/>
    <w:uiPriority w:val="0"/>
    <w:pPr>
      <w:adjustRightInd w:val="0"/>
      <w:snapToGrid w:val="0"/>
      <w:spacing w:beforeLines="50" w:afterLines="50" w:line="360" w:lineRule="auto"/>
      <w:ind w:firstLine="480" w:firstLineChars="200"/>
      <w:jc w:val="left"/>
    </w:pPr>
    <w:rPr>
      <w:rFonts w:ascii="Arial" w:hAnsi="Arial"/>
      <w:sz w:val="24"/>
      <w:szCs w:val="21"/>
    </w:rPr>
  </w:style>
  <w:style w:type="character" w:customStyle="1" w:styleId="349">
    <w:name w:val="标题 9 字符"/>
    <w:autoRedefine/>
    <w:qFormat/>
    <w:uiPriority w:val="0"/>
    <w:rPr>
      <w:rFonts w:ascii="Arial" w:hAnsi="Arial" w:eastAsia="黑体"/>
      <w:kern w:val="2"/>
      <w:sz w:val="21"/>
      <w:vertAlign w:val="superscript"/>
    </w:rPr>
  </w:style>
  <w:style w:type="character" w:customStyle="1" w:styleId="350">
    <w:name w:val="Char Char12"/>
    <w:autoRedefine/>
    <w:qFormat/>
    <w:uiPriority w:val="0"/>
    <w:rPr>
      <w:rFonts w:ascii="仿宋_GB2312" w:hAnsi="Wingdings" w:eastAsia="仿宋_GB2312"/>
      <w:sz w:val="21"/>
      <w:szCs w:val="21"/>
      <w:lang w:val="en-US" w:eastAsia="zh-CN" w:bidi="ar-SA"/>
    </w:rPr>
  </w:style>
  <w:style w:type="character" w:customStyle="1" w:styleId="351">
    <w:name w:val="Char Char221"/>
    <w:autoRedefine/>
    <w:qFormat/>
    <w:uiPriority w:val="0"/>
    <w:rPr>
      <w:rFonts w:ascii="Verdana" w:hAnsi="Verdana" w:eastAsia="仿宋_GB2312"/>
      <w:b/>
      <w:bCs/>
      <w:kern w:val="2"/>
      <w:sz w:val="28"/>
      <w:szCs w:val="28"/>
      <w:lang w:val="en-US" w:eastAsia="zh-CN" w:bidi="ar-SA"/>
    </w:rPr>
  </w:style>
  <w:style w:type="character" w:customStyle="1" w:styleId="352">
    <w:name w:val="Footer-Even Char1"/>
    <w:autoRedefine/>
    <w:qFormat/>
    <w:uiPriority w:val="0"/>
    <w:rPr>
      <w:rFonts w:eastAsia="仿宋_GB2312"/>
      <w:kern w:val="2"/>
      <w:sz w:val="18"/>
      <w:szCs w:val="18"/>
      <w:lang w:val="en-US" w:eastAsia="zh-CN" w:bidi="ar-SA"/>
    </w:rPr>
  </w:style>
  <w:style w:type="character" w:customStyle="1" w:styleId="353">
    <w:name w:val="xl77 Char"/>
    <w:link w:val="354"/>
    <w:autoRedefine/>
    <w:qFormat/>
    <w:uiPriority w:val="0"/>
    <w:rPr>
      <w:b/>
      <w:bCs/>
      <w:sz w:val="28"/>
      <w:szCs w:val="28"/>
    </w:rPr>
  </w:style>
  <w:style w:type="paragraph" w:customStyle="1" w:styleId="354">
    <w:name w:val="xl77"/>
    <w:basedOn w:val="1"/>
    <w:link w:val="353"/>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8"/>
      <w:szCs w:val="28"/>
    </w:rPr>
  </w:style>
  <w:style w:type="character" w:customStyle="1" w:styleId="355">
    <w:name w:val="正文文本缩进 3 字符"/>
    <w:autoRedefine/>
    <w:qFormat/>
    <w:uiPriority w:val="0"/>
    <w:rPr>
      <w:kern w:val="2"/>
      <w:sz w:val="16"/>
      <w:szCs w:val="16"/>
    </w:rPr>
  </w:style>
  <w:style w:type="character" w:customStyle="1" w:styleId="356">
    <w:name w:val="Subtle Emphasis1"/>
    <w:autoRedefine/>
    <w:qFormat/>
    <w:uiPriority w:val="0"/>
    <w:rPr>
      <w:i/>
      <w:iCs/>
      <w:color w:val="808080"/>
    </w:rPr>
  </w:style>
  <w:style w:type="character" w:customStyle="1" w:styleId="357">
    <w:name w:val="Book Title1"/>
    <w:autoRedefine/>
    <w:qFormat/>
    <w:uiPriority w:val="0"/>
    <w:rPr>
      <w:b/>
      <w:bCs/>
      <w:smallCaps/>
      <w:spacing w:val="5"/>
    </w:rPr>
  </w:style>
  <w:style w:type="character" w:customStyle="1" w:styleId="358">
    <w:name w:val="目录标题 Char Char"/>
    <w:link w:val="359"/>
    <w:autoRedefine/>
    <w:qFormat/>
    <w:uiPriority w:val="0"/>
    <w:rPr>
      <w:rFonts w:eastAsia="黑体"/>
      <w:b/>
      <w:bCs/>
      <w:kern w:val="2"/>
      <w:sz w:val="44"/>
      <w:szCs w:val="44"/>
    </w:rPr>
  </w:style>
  <w:style w:type="paragraph" w:customStyle="1" w:styleId="359">
    <w:name w:val="目录标题"/>
    <w:basedOn w:val="1"/>
    <w:link w:val="358"/>
    <w:autoRedefine/>
    <w:qFormat/>
    <w:uiPriority w:val="0"/>
    <w:pPr>
      <w:jc w:val="center"/>
    </w:pPr>
    <w:rPr>
      <w:rFonts w:eastAsia="黑体"/>
      <w:b/>
      <w:bCs/>
      <w:sz w:val="44"/>
      <w:szCs w:val="44"/>
    </w:rPr>
  </w:style>
  <w:style w:type="character" w:customStyle="1" w:styleId="360">
    <w:name w:val="4 Char"/>
    <w:link w:val="361"/>
    <w:autoRedefine/>
    <w:qFormat/>
    <w:uiPriority w:val="0"/>
    <w:rPr>
      <w:rFonts w:ascii="仿宋" w:hAnsi="仿宋" w:eastAsia="仿宋"/>
      <w:b/>
      <w:bCs/>
      <w:kern w:val="2"/>
      <w:sz w:val="24"/>
      <w:szCs w:val="24"/>
    </w:rPr>
  </w:style>
  <w:style w:type="paragraph" w:customStyle="1" w:styleId="361">
    <w:name w:val="4"/>
    <w:basedOn w:val="6"/>
    <w:link w:val="360"/>
    <w:autoRedefine/>
    <w:qFormat/>
    <w:uiPriority w:val="0"/>
    <w:pPr>
      <w:spacing w:before="0" w:after="0" w:line="360" w:lineRule="auto"/>
      <w:ind w:firstLine="200" w:firstLineChars="200"/>
    </w:pPr>
    <w:rPr>
      <w:rFonts w:ascii="仿宋" w:hAnsi="仿宋" w:eastAsia="仿宋"/>
      <w:sz w:val="24"/>
      <w:szCs w:val="24"/>
    </w:rPr>
  </w:style>
  <w:style w:type="character" w:customStyle="1" w:styleId="362">
    <w:name w:val="文本正文 Char"/>
    <w:link w:val="363"/>
    <w:autoRedefine/>
    <w:qFormat/>
    <w:uiPriority w:val="0"/>
    <w:rPr>
      <w:rFonts w:ascii="Calibri" w:hAnsi="Calibri" w:eastAsia="仿宋"/>
      <w:kern w:val="2"/>
      <w:sz w:val="24"/>
      <w:szCs w:val="22"/>
    </w:rPr>
  </w:style>
  <w:style w:type="paragraph" w:customStyle="1" w:styleId="363">
    <w:name w:val="文本正文"/>
    <w:basedOn w:val="1"/>
    <w:link w:val="362"/>
    <w:autoRedefine/>
    <w:qFormat/>
    <w:uiPriority w:val="0"/>
    <w:pPr>
      <w:spacing w:beforeLines="50" w:afterLines="50" w:line="360" w:lineRule="auto"/>
      <w:ind w:firstLine="200" w:firstLineChars="200"/>
    </w:pPr>
    <w:rPr>
      <w:rFonts w:ascii="Calibri" w:hAnsi="Calibri" w:eastAsia="仿宋"/>
      <w:sz w:val="24"/>
      <w:szCs w:val="22"/>
    </w:rPr>
  </w:style>
  <w:style w:type="character" w:customStyle="1" w:styleId="364">
    <w:name w:val="ll"/>
    <w:autoRedefine/>
    <w:qFormat/>
    <w:uiPriority w:val="0"/>
    <w:rPr>
      <w:rFonts w:eastAsia="宋体"/>
      <w:kern w:val="2"/>
      <w:sz w:val="21"/>
      <w:szCs w:val="24"/>
      <w:lang w:val="en-US" w:eastAsia="zh-CN" w:bidi="ar-SA"/>
    </w:rPr>
  </w:style>
  <w:style w:type="character" w:customStyle="1" w:styleId="365">
    <w:name w:val="五级标题 Char"/>
    <w:link w:val="366"/>
    <w:autoRedefine/>
    <w:qFormat/>
    <w:uiPriority w:val="0"/>
    <w:rPr>
      <w:rFonts w:eastAsia="黑体"/>
      <w:b/>
      <w:kern w:val="2"/>
      <w:sz w:val="28"/>
      <w:szCs w:val="22"/>
    </w:rPr>
  </w:style>
  <w:style w:type="paragraph" w:customStyle="1" w:styleId="366">
    <w:name w:val="五级标题"/>
    <w:basedOn w:val="1"/>
    <w:link w:val="365"/>
    <w:autoRedefine/>
    <w:qFormat/>
    <w:uiPriority w:val="0"/>
    <w:pPr>
      <w:spacing w:line="360" w:lineRule="auto"/>
      <w:ind w:left="420" w:firstLine="200" w:firstLineChars="200"/>
      <w:outlineLvl w:val="4"/>
    </w:pPr>
    <w:rPr>
      <w:rFonts w:eastAsia="黑体"/>
      <w:b/>
      <w:sz w:val="28"/>
      <w:szCs w:val="22"/>
    </w:rPr>
  </w:style>
  <w:style w:type="character" w:customStyle="1" w:styleId="367">
    <w:name w:val="正文首行缩进 Char1"/>
    <w:autoRedefine/>
    <w:qFormat/>
    <w:uiPriority w:val="0"/>
    <w:rPr>
      <w:rFonts w:eastAsia="仿宋_GB2312"/>
      <w:lang w:val="en-US" w:eastAsia="zh-CN" w:bidi="ar-SA"/>
    </w:rPr>
  </w:style>
  <w:style w:type="character" w:customStyle="1" w:styleId="368">
    <w:name w:val="Char Char212"/>
    <w:autoRedefine/>
    <w:qFormat/>
    <w:uiPriority w:val="0"/>
    <w:rPr>
      <w:rFonts w:eastAsia="仿宋_GB2312"/>
      <w:b/>
      <w:bCs/>
      <w:kern w:val="2"/>
      <w:sz w:val="28"/>
      <w:szCs w:val="28"/>
      <w:lang w:val="en-US" w:eastAsia="zh-CN" w:bidi="ar-SA"/>
    </w:rPr>
  </w:style>
  <w:style w:type="character" w:customStyle="1" w:styleId="369">
    <w:name w:val="PI Char"/>
    <w:autoRedefine/>
    <w:qFormat/>
    <w:uiPriority w:val="0"/>
    <w:rPr>
      <w:rFonts w:ascii="仿宋_GB2312" w:hAnsi="仿宋_GB2312"/>
      <w:sz w:val="24"/>
    </w:rPr>
  </w:style>
  <w:style w:type="character" w:customStyle="1" w:styleId="370">
    <w:name w:val="表正文 Char2"/>
    <w:autoRedefine/>
    <w:qFormat/>
    <w:uiPriority w:val="0"/>
    <w:rPr>
      <w:rFonts w:ascii="新宋体" w:hAnsi="新宋体" w:eastAsia="仿宋_GB2312" w:cs="新宋体"/>
      <w:szCs w:val="24"/>
    </w:rPr>
  </w:style>
  <w:style w:type="character" w:customStyle="1" w:styleId="371">
    <w:name w:val="页眉 Char"/>
    <w:link w:val="44"/>
    <w:autoRedefine/>
    <w:qFormat/>
    <w:uiPriority w:val="99"/>
    <w:rPr>
      <w:kern w:val="2"/>
      <w:sz w:val="18"/>
      <w:szCs w:val="18"/>
    </w:rPr>
  </w:style>
  <w:style w:type="character" w:customStyle="1" w:styleId="372">
    <w:name w:val="大标题 Char"/>
    <w:autoRedefine/>
    <w:qFormat/>
    <w:uiPriority w:val="0"/>
    <w:rPr>
      <w:rFonts w:ascii="黑体" w:hAnsi="黑体" w:eastAsia="黑体"/>
      <w:b/>
      <w:bCs/>
      <w:kern w:val="2"/>
      <w:sz w:val="72"/>
      <w:szCs w:val="72"/>
    </w:rPr>
  </w:style>
  <w:style w:type="character" w:customStyle="1" w:styleId="373">
    <w:name w:val="Char Char Char1"/>
    <w:autoRedefine/>
    <w:qFormat/>
    <w:uiPriority w:val="0"/>
    <w:rPr>
      <w:rFonts w:ascii="仿宋_GB2312" w:hAnsi="Wingdings"/>
      <w:sz w:val="21"/>
      <w:szCs w:val="21"/>
    </w:rPr>
  </w:style>
  <w:style w:type="character" w:customStyle="1" w:styleId="374">
    <w:name w:val="Char Char15"/>
    <w:autoRedefine/>
    <w:qFormat/>
    <w:uiPriority w:val="0"/>
    <w:rPr>
      <w:rFonts w:ascii="Tahoma" w:hAnsi="Tahoma" w:eastAsia="Helvetica"/>
      <w:sz w:val="24"/>
      <w:szCs w:val="24"/>
    </w:rPr>
  </w:style>
  <w:style w:type="character" w:customStyle="1" w:styleId="375">
    <w:name w:val="表格标题 Char Char"/>
    <w:link w:val="376"/>
    <w:autoRedefine/>
    <w:qFormat/>
    <w:uiPriority w:val="0"/>
    <w:rPr>
      <w:rFonts w:ascii="黑体" w:hAnsi="黑体" w:eastAsia="黑体"/>
      <w:b/>
      <w:color w:val="FFFFFF"/>
      <w:kern w:val="2"/>
      <w:sz w:val="21"/>
      <w:szCs w:val="24"/>
    </w:rPr>
  </w:style>
  <w:style w:type="paragraph" w:customStyle="1" w:styleId="376">
    <w:name w:val="表格标题"/>
    <w:basedOn w:val="1"/>
    <w:link w:val="375"/>
    <w:autoRedefine/>
    <w:qFormat/>
    <w:uiPriority w:val="0"/>
    <w:rPr>
      <w:rFonts w:ascii="黑体" w:hAnsi="黑体" w:eastAsia="黑体"/>
      <w:b/>
      <w:color w:val="FFFFFF"/>
    </w:rPr>
  </w:style>
  <w:style w:type="character" w:customStyle="1" w:styleId="377">
    <w:name w:val="Intense Reference1"/>
    <w:autoRedefine/>
    <w:qFormat/>
    <w:uiPriority w:val="32"/>
    <w:rPr>
      <w:b/>
      <w:bCs/>
      <w:smallCaps/>
      <w:color w:val="C0504D"/>
      <w:spacing w:val="5"/>
      <w:u w:val="single"/>
    </w:rPr>
  </w:style>
  <w:style w:type="character" w:customStyle="1" w:styleId="378">
    <w:name w:val="gray6"/>
    <w:basedOn w:val="66"/>
    <w:autoRedefine/>
    <w:qFormat/>
    <w:uiPriority w:val="0"/>
  </w:style>
  <w:style w:type="character" w:customStyle="1" w:styleId="379">
    <w:name w:val="Char Char202"/>
    <w:autoRedefine/>
    <w:qFormat/>
    <w:uiPriority w:val="0"/>
    <w:rPr>
      <w:b/>
      <w:bCs/>
      <w:kern w:val="44"/>
      <w:sz w:val="44"/>
      <w:szCs w:val="44"/>
    </w:rPr>
  </w:style>
  <w:style w:type="character" w:customStyle="1" w:styleId="380">
    <w:name w:val="ändrad Char"/>
    <w:autoRedefine/>
    <w:qFormat/>
    <w:uiPriority w:val="0"/>
    <w:rPr>
      <w:rFonts w:eastAsia="仿宋_GB2312"/>
      <w:kern w:val="2"/>
      <w:sz w:val="21"/>
      <w:szCs w:val="24"/>
      <w:lang w:val="en-US" w:eastAsia="zh-CN" w:bidi="ar-SA"/>
    </w:rPr>
  </w:style>
  <w:style w:type="character" w:customStyle="1" w:styleId="381">
    <w:name w:val="大标题 Char Char"/>
    <w:link w:val="382"/>
    <w:autoRedefine/>
    <w:qFormat/>
    <w:uiPriority w:val="0"/>
    <w:rPr>
      <w:rFonts w:ascii="黑体" w:hAnsi="黑体" w:eastAsia="黑体"/>
      <w:b/>
      <w:bCs/>
      <w:kern w:val="2"/>
      <w:sz w:val="72"/>
      <w:szCs w:val="72"/>
    </w:rPr>
  </w:style>
  <w:style w:type="paragraph" w:customStyle="1" w:styleId="382">
    <w:name w:val="大标题"/>
    <w:basedOn w:val="1"/>
    <w:link w:val="381"/>
    <w:autoRedefine/>
    <w:qFormat/>
    <w:uiPriority w:val="0"/>
    <w:pPr>
      <w:spacing w:line="40" w:lineRule="atLeast"/>
    </w:pPr>
    <w:rPr>
      <w:rFonts w:ascii="黑体" w:hAnsi="黑体" w:eastAsia="黑体"/>
      <w:b/>
      <w:bCs/>
      <w:sz w:val="72"/>
      <w:szCs w:val="72"/>
    </w:rPr>
  </w:style>
  <w:style w:type="character" w:customStyle="1" w:styleId="383">
    <w:name w:val="Ò³Ã¼ Char Char"/>
    <w:autoRedefine/>
    <w:qFormat/>
    <w:uiPriority w:val="0"/>
    <w:rPr>
      <w:sz w:val="18"/>
      <w:szCs w:val="18"/>
    </w:rPr>
  </w:style>
  <w:style w:type="character" w:customStyle="1" w:styleId="384">
    <w:name w:val="Char Char161"/>
    <w:autoRedefine/>
    <w:qFormat/>
    <w:uiPriority w:val="0"/>
    <w:rPr>
      <w:rFonts w:eastAsia="仿宋_GB2312"/>
      <w:sz w:val="21"/>
      <w:lang w:val="en-US" w:eastAsia="zh-CN" w:bidi="ar-SA"/>
    </w:rPr>
  </w:style>
  <w:style w:type="character" w:customStyle="1" w:styleId="385">
    <w:name w:val="style41"/>
    <w:autoRedefine/>
    <w:qFormat/>
    <w:uiPriority w:val="0"/>
    <w:rPr>
      <w:color w:val="auto"/>
    </w:rPr>
  </w:style>
  <w:style w:type="character" w:customStyle="1" w:styleId="386">
    <w:name w:val="正文4 Char Char"/>
    <w:link w:val="387"/>
    <w:autoRedefine/>
    <w:qFormat/>
    <w:uiPriority w:val="0"/>
    <w:rPr>
      <w:kern w:val="2"/>
      <w:sz w:val="24"/>
      <w:szCs w:val="24"/>
    </w:rPr>
  </w:style>
  <w:style w:type="paragraph" w:customStyle="1" w:styleId="387">
    <w:name w:val="正文4"/>
    <w:basedOn w:val="1"/>
    <w:link w:val="386"/>
    <w:autoRedefine/>
    <w:qFormat/>
    <w:uiPriority w:val="0"/>
    <w:pPr>
      <w:tabs>
        <w:tab w:val="left" w:pos="520"/>
      </w:tabs>
      <w:spacing w:before="60" w:after="60" w:line="360" w:lineRule="auto"/>
    </w:pPr>
    <w:rPr>
      <w:sz w:val="24"/>
    </w:rPr>
  </w:style>
  <w:style w:type="character" w:customStyle="1" w:styleId="388">
    <w:name w:val="Char Char201"/>
    <w:autoRedefine/>
    <w:qFormat/>
    <w:uiPriority w:val="0"/>
    <w:rPr>
      <w:rFonts w:ascii="Verdana" w:hAnsi="Verdana" w:eastAsia="仿宋_GB2312" w:cs="新宋体"/>
      <w:b/>
      <w:bCs/>
      <w:sz w:val="32"/>
      <w:szCs w:val="32"/>
    </w:rPr>
  </w:style>
  <w:style w:type="character" w:customStyle="1" w:styleId="389">
    <w:name w:val="Char Char20"/>
    <w:autoRedefine/>
    <w:qFormat/>
    <w:uiPriority w:val="0"/>
    <w:rPr>
      <w:rFonts w:ascii="Tahoma" w:hAnsi="Tahoma" w:eastAsia="Helvetica"/>
      <w:sz w:val="21"/>
      <w:szCs w:val="21"/>
      <w:lang w:val="en-US" w:eastAsia="zh-CN" w:bidi="ar-SA"/>
    </w:rPr>
  </w:style>
  <w:style w:type="character" w:customStyle="1" w:styleId="390">
    <w:name w:val="Char Char10"/>
    <w:autoRedefine/>
    <w:qFormat/>
    <w:uiPriority w:val="0"/>
    <w:rPr>
      <w:rFonts w:eastAsia="仿宋_GB2312"/>
      <w:b/>
      <w:bCs/>
      <w:kern w:val="2"/>
      <w:sz w:val="21"/>
      <w:szCs w:val="24"/>
      <w:lang w:val="en-US" w:eastAsia="zh-CN" w:bidi="ar-SA"/>
    </w:rPr>
  </w:style>
  <w:style w:type="character" w:customStyle="1" w:styleId="391">
    <w:name w:val="heading 9 Char1"/>
    <w:autoRedefine/>
    <w:qFormat/>
    <w:uiPriority w:val="0"/>
    <w:rPr>
      <w:rFonts w:ascii="Tahoma" w:hAnsi="Tahoma" w:eastAsia="Helvetica"/>
      <w:sz w:val="21"/>
      <w:lang w:val="en-US" w:eastAsia="zh-CN" w:bidi="ar-SA"/>
    </w:rPr>
  </w:style>
  <w:style w:type="character" w:customStyle="1" w:styleId="392">
    <w:name w:val="PI Char1"/>
    <w:autoRedefine/>
    <w:qFormat/>
    <w:uiPriority w:val="0"/>
    <w:rPr>
      <w:rFonts w:eastAsia="仿宋_GB2312"/>
      <w:kern w:val="2"/>
      <w:sz w:val="24"/>
      <w:szCs w:val="24"/>
      <w:lang w:val="en-US" w:eastAsia="zh-CN" w:bidi="ar-SA"/>
    </w:rPr>
  </w:style>
  <w:style w:type="character" w:customStyle="1" w:styleId="393">
    <w:name w:val="注释正文"/>
    <w:autoRedefine/>
    <w:qFormat/>
    <w:uiPriority w:val="0"/>
    <w:rPr>
      <w:rFonts w:eastAsia="宋体"/>
      <w:sz w:val="28"/>
      <w:u w:val="single"/>
    </w:rPr>
  </w:style>
  <w:style w:type="character" w:customStyle="1" w:styleId="394">
    <w:name w:val="金保标题2 Char"/>
    <w:link w:val="395"/>
    <w:autoRedefine/>
    <w:qFormat/>
    <w:uiPriority w:val="0"/>
    <w:rPr>
      <w:rFonts w:ascii="新宋体" w:hAnsi="新宋体" w:eastAsia="新宋体"/>
      <w:b/>
      <w:bCs/>
      <w:color w:val="000000"/>
      <w:kern w:val="2"/>
      <w:sz w:val="22"/>
      <w:szCs w:val="22"/>
      <w:lang w:val="zh-CN"/>
    </w:rPr>
  </w:style>
  <w:style w:type="paragraph" w:customStyle="1" w:styleId="395">
    <w:name w:val="金保标题2"/>
    <w:basedOn w:val="2"/>
    <w:next w:val="1"/>
    <w:link w:val="394"/>
    <w:autoRedefine/>
    <w:qFormat/>
    <w:uiPriority w:val="0"/>
    <w:pPr>
      <w:widowControl/>
      <w:spacing w:before="0" w:after="0" w:line="440" w:lineRule="exact"/>
      <w:ind w:right="84" w:rightChars="40"/>
      <w:jc w:val="left"/>
    </w:pPr>
    <w:rPr>
      <w:rFonts w:ascii="新宋体" w:hAnsi="新宋体" w:eastAsia="新宋体"/>
      <w:color w:val="000000"/>
      <w:sz w:val="22"/>
      <w:szCs w:val="22"/>
      <w:lang w:val="zh-CN"/>
    </w:rPr>
  </w:style>
  <w:style w:type="character" w:customStyle="1" w:styleId="396">
    <w:name w:val="样式 标题 3 + 黑体 小四 Char"/>
    <w:link w:val="397"/>
    <w:autoRedefine/>
    <w:qFormat/>
    <w:uiPriority w:val="0"/>
    <w:rPr>
      <w:rFonts w:ascii="Helvetica" w:hAnsi="Tahoma" w:eastAsia="Helvetica"/>
      <w:bCs/>
      <w:sz w:val="24"/>
      <w:szCs w:val="24"/>
    </w:rPr>
  </w:style>
  <w:style w:type="paragraph" w:customStyle="1" w:styleId="397">
    <w:name w:val="样式 标题 3 + 黑体 小四"/>
    <w:basedOn w:val="5"/>
    <w:link w:val="396"/>
    <w:autoRedefine/>
    <w:qFormat/>
    <w:uiPriority w:val="0"/>
    <w:pPr>
      <w:spacing w:before="0" w:after="0" w:line="415" w:lineRule="auto"/>
    </w:pPr>
    <w:rPr>
      <w:rFonts w:ascii="Helvetica" w:hAnsi="Tahoma" w:eastAsia="Helvetica"/>
      <w:b w:val="0"/>
      <w:kern w:val="0"/>
      <w:sz w:val="24"/>
      <w:szCs w:val="24"/>
    </w:rPr>
  </w:style>
  <w:style w:type="character" w:customStyle="1" w:styleId="398">
    <w:name w:val="宏文本 Char"/>
    <w:autoRedefine/>
    <w:qFormat/>
    <w:uiPriority w:val="0"/>
    <w:rPr>
      <w:rFonts w:ascii="Wingdings" w:hAnsi="Wingdings" w:eastAsia="Times New Roman"/>
      <w:kern w:val="2"/>
      <w:sz w:val="24"/>
      <w:szCs w:val="24"/>
    </w:rPr>
  </w:style>
  <w:style w:type="character" w:customStyle="1" w:styleId="399">
    <w:name w:val="Subtle Reference1"/>
    <w:autoRedefine/>
    <w:qFormat/>
    <w:uiPriority w:val="0"/>
    <w:rPr>
      <w:smallCaps/>
      <w:color w:val="C0504D"/>
      <w:u w:val="single"/>
    </w:rPr>
  </w:style>
  <w:style w:type="character" w:customStyle="1" w:styleId="400">
    <w:name w:val="Char Char191"/>
    <w:autoRedefine/>
    <w:qFormat/>
    <w:uiPriority w:val="0"/>
    <w:rPr>
      <w:rFonts w:ascii="Verdana" w:hAnsi="Verdana"/>
      <w:b/>
      <w:bCs/>
      <w:kern w:val="2"/>
      <w:sz w:val="32"/>
      <w:szCs w:val="32"/>
    </w:rPr>
  </w:style>
  <w:style w:type="character" w:customStyle="1" w:styleId="401">
    <w:name w:val="Char Char Char2"/>
    <w:autoRedefine/>
    <w:qFormat/>
    <w:uiPriority w:val="0"/>
    <w:rPr>
      <w:rFonts w:ascii="仿宋_GB2312" w:hAnsi="Wingdings" w:eastAsia="仿宋_GB2312"/>
      <w:sz w:val="21"/>
      <w:szCs w:val="21"/>
      <w:lang w:val="en-US" w:eastAsia="zh-CN" w:bidi="ar-SA"/>
    </w:rPr>
  </w:style>
  <w:style w:type="character" w:customStyle="1" w:styleId="402">
    <w:name w:val="PI Char2"/>
    <w:autoRedefine/>
    <w:qFormat/>
    <w:uiPriority w:val="0"/>
    <w:rPr>
      <w:kern w:val="2"/>
      <w:sz w:val="24"/>
      <w:szCs w:val="24"/>
    </w:rPr>
  </w:style>
  <w:style w:type="character" w:customStyle="1" w:styleId="403">
    <w:name w:val="小标题 Char Char"/>
    <w:link w:val="404"/>
    <w:autoRedefine/>
    <w:qFormat/>
    <w:uiPriority w:val="0"/>
    <w:rPr>
      <w:rFonts w:ascii="黑体" w:hAnsi="黑体" w:eastAsia="黑体"/>
      <w:b/>
      <w:bCs/>
      <w:kern w:val="2"/>
      <w:sz w:val="48"/>
      <w:szCs w:val="48"/>
    </w:rPr>
  </w:style>
  <w:style w:type="paragraph" w:customStyle="1" w:styleId="404">
    <w:name w:val="小标题"/>
    <w:basedOn w:val="1"/>
    <w:link w:val="403"/>
    <w:autoRedefine/>
    <w:qFormat/>
    <w:uiPriority w:val="0"/>
    <w:pPr>
      <w:spacing w:line="40" w:lineRule="atLeast"/>
    </w:pPr>
    <w:rPr>
      <w:rFonts w:ascii="黑体" w:hAnsi="黑体" w:eastAsia="黑体"/>
      <w:b/>
      <w:bCs/>
      <w:sz w:val="48"/>
      <w:szCs w:val="48"/>
    </w:rPr>
  </w:style>
  <w:style w:type="paragraph" w:customStyle="1" w:styleId="405">
    <w:name w:val="標題10.3-1"/>
    <w:basedOn w:val="406"/>
    <w:autoRedefine/>
    <w:qFormat/>
    <w:uiPriority w:val="0"/>
    <w:pPr>
      <w:tabs>
        <w:tab w:val="left" w:pos="5529"/>
      </w:tabs>
      <w:adjustRightInd/>
      <w:spacing w:line="240" w:lineRule="atLeast"/>
      <w:ind w:left="993" w:hanging="284"/>
      <w:textAlignment w:val="auto"/>
    </w:pPr>
    <w:rPr>
      <w:rFonts w:ascii="Times New Roman"/>
      <w:kern w:val="2"/>
      <w:sz w:val="24"/>
      <w:szCs w:val="24"/>
    </w:rPr>
  </w:style>
  <w:style w:type="paragraph" w:customStyle="1" w:styleId="406">
    <w:name w:val="標題 (1)"/>
    <w:basedOn w:val="1"/>
    <w:autoRedefine/>
    <w:qFormat/>
    <w:uiPriority w:val="0"/>
    <w:pPr>
      <w:adjustRightInd w:val="0"/>
      <w:spacing w:line="567" w:lineRule="atLeast"/>
      <w:ind w:left="1560" w:hanging="709" w:firstLineChars="200"/>
      <w:textAlignment w:val="baseline"/>
    </w:pPr>
    <w:rPr>
      <w:rFonts w:ascii="PMingLiU" w:hAnsi="等线" w:eastAsia="PMingLiU" w:cs="等线"/>
      <w:kern w:val="0"/>
      <w:sz w:val="28"/>
      <w:szCs w:val="20"/>
      <w:lang w:eastAsia="zh-TW"/>
    </w:rPr>
  </w:style>
  <w:style w:type="paragraph" w:customStyle="1" w:styleId="407">
    <w:name w:val="日期1"/>
    <w:basedOn w:val="1"/>
    <w:next w:val="1"/>
    <w:autoRedefine/>
    <w:qFormat/>
    <w:uiPriority w:val="0"/>
    <w:pPr>
      <w:tabs>
        <w:tab w:val="left" w:pos="425"/>
      </w:tabs>
      <w:autoSpaceDE w:val="0"/>
      <w:autoSpaceDN w:val="0"/>
      <w:adjustRightInd w:val="0"/>
      <w:spacing w:before="60" w:after="60" w:line="312" w:lineRule="atLeast"/>
      <w:ind w:left="420" w:firstLine="200" w:firstLineChars="200"/>
      <w:jc w:val="right"/>
      <w:textAlignment w:val="baseline"/>
    </w:pPr>
    <w:rPr>
      <w:rFonts w:ascii="等线" w:hAnsi="等线" w:eastAsia="等线" w:cs="等线"/>
      <w:kern w:val="0"/>
      <w:sz w:val="44"/>
      <w:szCs w:val="20"/>
    </w:rPr>
  </w:style>
  <w:style w:type="character" w:customStyle="1" w:styleId="408">
    <w:name w:val="称呼 Char"/>
    <w:basedOn w:val="66"/>
    <w:link w:val="22"/>
    <w:autoRedefine/>
    <w:qFormat/>
    <w:uiPriority w:val="0"/>
    <w:rPr>
      <w:rFonts w:ascii="等线" w:hAnsi="等线" w:eastAsia="等线" w:cs="等线"/>
      <w:sz w:val="24"/>
    </w:rPr>
  </w:style>
  <w:style w:type="paragraph" w:customStyle="1" w:styleId="409">
    <w:name w:val="Char11"/>
    <w:basedOn w:val="1"/>
    <w:autoRedefine/>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410">
    <w:name w:val="kpk:1级"/>
    <w:basedOn w:val="4"/>
    <w:autoRedefine/>
    <w:qFormat/>
    <w:uiPriority w:val="0"/>
    <w:pPr>
      <w:keepLines/>
      <w:tabs>
        <w:tab w:val="left" w:pos="420"/>
        <w:tab w:val="left" w:pos="643"/>
      </w:tabs>
      <w:spacing w:beforeLines="120" w:afterLines="100"/>
      <w:ind w:firstLine="200" w:firstLineChars="200"/>
      <w:jc w:val="both"/>
    </w:pPr>
    <w:rPr>
      <w:rFonts w:ascii="黑体" w:hAnsi="等线" w:eastAsia="等线"/>
      <w:kern w:val="44"/>
      <w:sz w:val="30"/>
      <w:szCs w:val="32"/>
    </w:rPr>
  </w:style>
  <w:style w:type="paragraph" w:customStyle="1" w:styleId="411">
    <w:name w:val="前言、引言标题"/>
    <w:next w:val="1"/>
    <w:autoRedefine/>
    <w:qFormat/>
    <w:uiPriority w:val="0"/>
    <w:pPr>
      <w:shd w:val="clear" w:color="FFFFFF" w:fill="FFFFFF"/>
      <w:spacing w:before="640" w:after="560"/>
      <w:jc w:val="center"/>
      <w:outlineLvl w:val="0"/>
    </w:pPr>
    <w:rPr>
      <w:rFonts w:ascii="Helvetica" w:hAnsi="等线" w:eastAsia="Helvetica" w:cs="等线"/>
      <w:sz w:val="32"/>
      <w:lang w:val="en-US" w:eastAsia="zh-CN" w:bidi="ar-SA"/>
    </w:rPr>
  </w:style>
  <w:style w:type="paragraph" w:customStyle="1" w:styleId="412">
    <w:name w:val="Char Char Char Char Char Char Char Char Char Char"/>
    <w:basedOn w:val="1"/>
    <w:autoRedefine/>
    <w:qFormat/>
    <w:uiPriority w:val="0"/>
    <w:pPr>
      <w:autoSpaceDE w:val="0"/>
      <w:autoSpaceDN w:val="0"/>
      <w:adjustRightInd w:val="0"/>
      <w:jc w:val="left"/>
    </w:pPr>
    <w:rPr>
      <w:rFonts w:ascii="黑体" w:hAnsi="等线" w:eastAsia="黑体" w:cs="等线"/>
      <w:b/>
      <w:kern w:val="0"/>
      <w:sz w:val="32"/>
      <w:szCs w:val="32"/>
    </w:rPr>
  </w:style>
  <w:style w:type="paragraph" w:customStyle="1" w:styleId="413">
    <w:name w:val="正文文字"/>
    <w:basedOn w:val="1"/>
    <w:autoRedefine/>
    <w:qFormat/>
    <w:uiPriority w:val="99"/>
    <w:pPr>
      <w:spacing w:line="360" w:lineRule="auto"/>
      <w:ind w:firstLine="200" w:firstLineChars="200"/>
      <w:textAlignment w:val="top"/>
    </w:pPr>
    <w:rPr>
      <w:rFonts w:ascii="等线" w:hAnsi="等线" w:eastAsia="等线" w:cs="等线"/>
      <w:color w:val="000000"/>
      <w:kern w:val="0"/>
      <w:sz w:val="24"/>
      <w:szCs w:val="21"/>
    </w:rPr>
  </w:style>
  <w:style w:type="paragraph" w:customStyle="1" w:styleId="414">
    <w:name w:val="部分1"/>
    <w:basedOn w:val="1"/>
    <w:autoRedefine/>
    <w:qFormat/>
    <w:uiPriority w:val="0"/>
    <w:pPr>
      <w:keepNext/>
      <w:pageBreakBefore/>
      <w:tabs>
        <w:tab w:val="left" w:pos="720"/>
      </w:tabs>
      <w:autoSpaceDE w:val="0"/>
      <w:autoSpaceDN w:val="0"/>
      <w:adjustRightInd w:val="0"/>
      <w:spacing w:line="360" w:lineRule="auto"/>
      <w:jc w:val="center"/>
      <w:outlineLvl w:val="0"/>
    </w:pPr>
    <w:rPr>
      <w:rFonts w:ascii="等线" w:hAnsi="等线" w:eastAsia="Helvetica" w:cs="等线"/>
      <w:b/>
      <w:kern w:val="44"/>
      <w:sz w:val="36"/>
      <w:szCs w:val="20"/>
    </w:rPr>
  </w:style>
  <w:style w:type="paragraph" w:customStyle="1" w:styleId="415">
    <w:name w:val="GP正文(首行缩进)"/>
    <w:basedOn w:val="1"/>
    <w:autoRedefine/>
    <w:qFormat/>
    <w:uiPriority w:val="0"/>
    <w:pPr>
      <w:adjustRightInd w:val="0"/>
      <w:spacing w:line="360" w:lineRule="auto"/>
      <w:ind w:firstLine="200" w:firstLineChars="200"/>
      <w:jc w:val="left"/>
      <w:textAlignment w:val="baseline"/>
    </w:pPr>
    <w:rPr>
      <w:rFonts w:ascii="等线" w:hAnsi="等线" w:eastAsia="等线" w:cs="等线"/>
      <w:kern w:val="0"/>
      <w:sz w:val="24"/>
      <w:szCs w:val="20"/>
    </w:rPr>
  </w:style>
  <w:style w:type="paragraph" w:customStyle="1" w:styleId="416">
    <w:name w:val="xl9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417">
    <w:name w:val="5"/>
    <w:basedOn w:val="1"/>
    <w:autoRedefine/>
    <w:qFormat/>
    <w:uiPriority w:val="0"/>
    <w:pPr>
      <w:widowControl/>
      <w:tabs>
        <w:tab w:val="left" w:pos="420"/>
        <w:tab w:val="left" w:pos="926"/>
      </w:tabs>
      <w:spacing w:after="160" w:line="240" w:lineRule="exact"/>
      <w:ind w:firstLine="200" w:firstLineChars="200"/>
      <w:jc w:val="left"/>
    </w:pPr>
    <w:rPr>
      <w:rFonts w:ascii="等线" w:hAnsi="等线" w:eastAsia="等线" w:cs="等线"/>
      <w:szCs w:val="20"/>
    </w:rPr>
  </w:style>
  <w:style w:type="paragraph" w:customStyle="1" w:styleId="418">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419">
    <w:name w:val="xl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libri" w:hAnsi="Calibri" w:eastAsia="Calibri" w:cs="仿宋_GB2312"/>
      <w:b/>
      <w:bCs/>
      <w:color w:val="000000"/>
      <w:kern w:val="0"/>
      <w:sz w:val="24"/>
    </w:rPr>
  </w:style>
  <w:style w:type="character" w:customStyle="1" w:styleId="420">
    <w:name w:val="注释标题 Char"/>
    <w:basedOn w:val="66"/>
    <w:link w:val="13"/>
    <w:autoRedefine/>
    <w:qFormat/>
    <w:uiPriority w:val="0"/>
    <w:rPr>
      <w:rFonts w:ascii="DFKai-SB" w:hAnsi="DFKai-SB" w:eastAsia="DFKai-SB" w:cs="等线"/>
      <w:kern w:val="2"/>
      <w:lang w:eastAsia="zh-TW"/>
    </w:rPr>
  </w:style>
  <w:style w:type="paragraph" w:customStyle="1" w:styleId="421">
    <w:name w:val="xl9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422">
    <w:name w:val="二级标题"/>
    <w:basedOn w:val="2"/>
    <w:autoRedefine/>
    <w:qFormat/>
    <w:uiPriority w:val="0"/>
    <w:pPr>
      <w:ind w:left="576" w:hanging="576"/>
    </w:pPr>
    <w:rPr>
      <w:rFonts w:ascii="华文中宋" w:eastAsia="华文中宋"/>
      <w:kern w:val="0"/>
    </w:rPr>
  </w:style>
  <w:style w:type="character" w:customStyle="1" w:styleId="423">
    <w:name w:val="正文文本 3 Char"/>
    <w:basedOn w:val="66"/>
    <w:link w:val="23"/>
    <w:autoRedefine/>
    <w:qFormat/>
    <w:uiPriority w:val="0"/>
    <w:rPr>
      <w:rFonts w:ascii="等线" w:hAnsi="等线" w:eastAsia="等线" w:cs="等线"/>
    </w:rPr>
  </w:style>
  <w:style w:type="paragraph" w:customStyle="1" w:styleId="424">
    <w:name w:val="数字级连标题2"/>
    <w:basedOn w:val="2"/>
    <w:next w:val="1"/>
    <w:autoRedefine/>
    <w:qFormat/>
    <w:uiPriority w:val="0"/>
    <w:pPr>
      <w:tabs>
        <w:tab w:val="left" w:pos="0"/>
      </w:tabs>
      <w:spacing w:before="0" w:after="0" w:line="360" w:lineRule="auto"/>
      <w:ind w:left="567" w:hanging="567"/>
    </w:pPr>
    <w:rPr>
      <w:rFonts w:ascii="Times New Roman" w:hAnsi="Times New Roman" w:eastAsia="等线"/>
      <w:bCs w:val="0"/>
      <w:sz w:val="28"/>
      <w:szCs w:val="20"/>
      <w:lang w:eastAsia="ar-SA"/>
    </w:rPr>
  </w:style>
  <w:style w:type="paragraph" w:customStyle="1" w:styleId="425">
    <w:name w:val="四级条标题"/>
    <w:basedOn w:val="426"/>
    <w:next w:val="1"/>
    <w:autoRedefine/>
    <w:qFormat/>
    <w:uiPriority w:val="0"/>
    <w:pPr>
      <w:outlineLvl w:val="5"/>
    </w:pPr>
  </w:style>
  <w:style w:type="paragraph" w:customStyle="1" w:styleId="426">
    <w:name w:val="三级条标题"/>
    <w:basedOn w:val="427"/>
    <w:next w:val="1"/>
    <w:autoRedefine/>
    <w:qFormat/>
    <w:uiPriority w:val="0"/>
    <w:pPr>
      <w:outlineLvl w:val="4"/>
    </w:pPr>
  </w:style>
  <w:style w:type="paragraph" w:customStyle="1" w:styleId="427">
    <w:name w:val="二级条标题"/>
    <w:basedOn w:val="428"/>
    <w:next w:val="1"/>
    <w:autoRedefine/>
    <w:qFormat/>
    <w:uiPriority w:val="0"/>
    <w:pPr>
      <w:outlineLvl w:val="3"/>
    </w:pPr>
  </w:style>
  <w:style w:type="paragraph" w:customStyle="1" w:styleId="428">
    <w:name w:val="一级条标题"/>
    <w:next w:val="1"/>
    <w:autoRedefine/>
    <w:qFormat/>
    <w:uiPriority w:val="0"/>
    <w:pPr>
      <w:outlineLvl w:val="2"/>
    </w:pPr>
    <w:rPr>
      <w:rFonts w:ascii="等线" w:hAnsi="等线" w:eastAsia="Helvetica" w:cs="等线"/>
      <w:sz w:val="21"/>
      <w:lang w:val="en-US" w:eastAsia="zh-CN" w:bidi="ar-SA"/>
    </w:rPr>
  </w:style>
  <w:style w:type="character" w:customStyle="1" w:styleId="429">
    <w:name w:val="宏文本 Char1"/>
    <w:basedOn w:val="66"/>
    <w:link w:val="3"/>
    <w:autoRedefine/>
    <w:qFormat/>
    <w:uiPriority w:val="0"/>
    <w:rPr>
      <w:rFonts w:ascii="Courier New" w:hAnsi="Courier New" w:cs="Courier New"/>
      <w:kern w:val="2"/>
      <w:sz w:val="24"/>
      <w:szCs w:val="24"/>
    </w:rPr>
  </w:style>
  <w:style w:type="paragraph" w:customStyle="1" w:styleId="430">
    <w:name w:val="样式 标题 3 + 黑色 段前: 5 磅 段后: 5 磅 行距: 1.5 倍行距"/>
    <w:basedOn w:val="1"/>
    <w:autoRedefine/>
    <w:qFormat/>
    <w:uiPriority w:val="0"/>
    <w:pPr>
      <w:ind w:left="855" w:hanging="855"/>
    </w:pPr>
    <w:rPr>
      <w:rFonts w:ascii="等线" w:hAnsi="等线" w:eastAsia="等线" w:cs="等线"/>
      <w:sz w:val="24"/>
      <w:szCs w:val="20"/>
    </w:rPr>
  </w:style>
  <w:style w:type="paragraph" w:customStyle="1" w:styleId="431">
    <w:name w:val="正文首行缩进1"/>
    <w:basedOn w:val="25"/>
    <w:autoRedefine/>
    <w:qFormat/>
    <w:uiPriority w:val="0"/>
    <w:pPr>
      <w:suppressAutoHyphens/>
      <w:ind w:firstLine="420"/>
      <w:jc w:val="left"/>
    </w:pPr>
    <w:rPr>
      <w:rFonts w:ascii="等线" w:hAnsi="等线" w:cs="等线"/>
      <w:kern w:val="1"/>
      <w:sz w:val="28"/>
      <w:lang w:eastAsia="ar-SA"/>
    </w:rPr>
  </w:style>
  <w:style w:type="paragraph" w:customStyle="1" w:styleId="432">
    <w:name w:val="样式 首行缩进:  1 厘米"/>
    <w:basedOn w:val="1"/>
    <w:autoRedefine/>
    <w:qFormat/>
    <w:uiPriority w:val="0"/>
    <w:pPr>
      <w:autoSpaceDE w:val="0"/>
      <w:autoSpaceDN w:val="0"/>
      <w:adjustRightInd w:val="0"/>
      <w:ind w:firstLine="567"/>
      <w:textAlignment w:val="baseline"/>
    </w:pPr>
    <w:rPr>
      <w:rFonts w:ascii="等线" w:hAnsi="等线" w:eastAsia="等线" w:cs="宋体"/>
      <w:kern w:val="0"/>
      <w:sz w:val="28"/>
      <w:szCs w:val="28"/>
    </w:rPr>
  </w:style>
  <w:style w:type="paragraph" w:customStyle="1" w:styleId="433">
    <w:name w:val="font0"/>
    <w:basedOn w:val="1"/>
    <w:autoRedefine/>
    <w:qFormat/>
    <w:uiPriority w:val="0"/>
    <w:pPr>
      <w:widowControl/>
      <w:spacing w:before="100" w:beforeAutospacing="1" w:after="100" w:afterAutospacing="1"/>
      <w:jc w:val="left"/>
    </w:pPr>
    <w:rPr>
      <w:rFonts w:hint="eastAsia" w:ascii="宋体" w:hAnsi="宋体" w:eastAsia="等线" w:cs="等线"/>
      <w:kern w:val="0"/>
      <w:sz w:val="24"/>
    </w:rPr>
  </w:style>
  <w:style w:type="character" w:customStyle="1" w:styleId="434">
    <w:name w:val="正文文本 2 Char1"/>
    <w:basedOn w:val="66"/>
    <w:link w:val="55"/>
    <w:autoRedefine/>
    <w:qFormat/>
    <w:uiPriority w:val="0"/>
    <w:rPr>
      <w:kern w:val="2"/>
      <w:sz w:val="21"/>
      <w:szCs w:val="24"/>
    </w:rPr>
  </w:style>
  <w:style w:type="character" w:customStyle="1" w:styleId="435">
    <w:name w:val="脚注文本 Char"/>
    <w:basedOn w:val="66"/>
    <w:link w:val="50"/>
    <w:autoRedefine/>
    <w:qFormat/>
    <w:uiPriority w:val="0"/>
    <w:rPr>
      <w:rFonts w:ascii="等线" w:hAnsi="等线" w:eastAsia="等线" w:cs="等线"/>
      <w:kern w:val="2"/>
      <w:sz w:val="18"/>
      <w:szCs w:val="18"/>
    </w:rPr>
  </w:style>
  <w:style w:type="character" w:customStyle="1" w:styleId="436">
    <w:name w:val="副标题 Char2"/>
    <w:basedOn w:val="66"/>
    <w:link w:val="48"/>
    <w:autoRedefine/>
    <w:qFormat/>
    <w:uiPriority w:val="0"/>
    <w:rPr>
      <w:rFonts w:asciiTheme="majorHAnsi" w:hAnsiTheme="majorHAnsi" w:cstheme="majorBidi"/>
      <w:b/>
      <w:bCs/>
      <w:kern w:val="28"/>
      <w:sz w:val="32"/>
      <w:szCs w:val="32"/>
    </w:rPr>
  </w:style>
  <w:style w:type="character" w:customStyle="1" w:styleId="437">
    <w:name w:val="信息标题 Char1"/>
    <w:basedOn w:val="66"/>
    <w:link w:val="56"/>
    <w:autoRedefine/>
    <w:qFormat/>
    <w:uiPriority w:val="0"/>
    <w:rPr>
      <w:rFonts w:asciiTheme="majorHAnsi" w:hAnsiTheme="majorHAnsi" w:eastAsiaTheme="majorEastAsia" w:cstheme="majorBidi"/>
      <w:kern w:val="2"/>
      <w:sz w:val="24"/>
      <w:szCs w:val="24"/>
      <w:shd w:val="pct20" w:color="auto" w:fill="auto"/>
    </w:rPr>
  </w:style>
  <w:style w:type="character" w:customStyle="1" w:styleId="438">
    <w:name w:val="正文首行缩进 2 Char1"/>
    <w:basedOn w:val="90"/>
    <w:link w:val="62"/>
    <w:autoRedefine/>
    <w:qFormat/>
    <w:uiPriority w:val="0"/>
    <w:rPr>
      <w:kern w:val="2"/>
      <w:sz w:val="21"/>
      <w:szCs w:val="24"/>
    </w:rPr>
  </w:style>
  <w:style w:type="character" w:customStyle="1" w:styleId="439">
    <w:name w:val="HTML 预设格式 Char2"/>
    <w:basedOn w:val="66"/>
    <w:link w:val="57"/>
    <w:autoRedefine/>
    <w:qFormat/>
    <w:uiPriority w:val="0"/>
    <w:rPr>
      <w:rFonts w:ascii="Courier New" w:hAnsi="Courier New" w:cs="Courier New"/>
      <w:kern w:val="2"/>
    </w:rPr>
  </w:style>
  <w:style w:type="character" w:customStyle="1" w:styleId="440">
    <w:name w:val="签名 Char"/>
    <w:basedOn w:val="66"/>
    <w:link w:val="45"/>
    <w:autoRedefine/>
    <w:qFormat/>
    <w:uiPriority w:val="0"/>
    <w:rPr>
      <w:rFonts w:ascii="等线" w:hAnsi="等线" w:eastAsia="黑体" w:cs="等线"/>
      <w:sz w:val="24"/>
    </w:rPr>
  </w:style>
  <w:style w:type="paragraph" w:customStyle="1" w:styleId="441">
    <w:name w:val="正文文本缩进 21"/>
    <w:basedOn w:val="1"/>
    <w:autoRedefine/>
    <w:qFormat/>
    <w:uiPriority w:val="0"/>
    <w:pPr>
      <w:adjustRightInd w:val="0"/>
      <w:spacing w:line="580" w:lineRule="atLeast"/>
      <w:ind w:right="-57" w:firstLine="570"/>
      <w:jc w:val="left"/>
      <w:textAlignment w:val="baseline"/>
    </w:pPr>
    <w:rPr>
      <w:rFonts w:ascii="楷体_GB2312" w:hAnsi="等线" w:eastAsia="楷体_GB2312" w:cs="等线"/>
      <w:sz w:val="28"/>
      <w:szCs w:val="20"/>
    </w:rPr>
  </w:style>
  <w:style w:type="paragraph" w:customStyle="1" w:styleId="442">
    <w:name w:val="1 Char"/>
    <w:basedOn w:val="16"/>
    <w:autoRedefine/>
    <w:qFormat/>
    <w:uiPriority w:val="0"/>
    <w:pPr>
      <w:adjustRightInd/>
      <w:spacing w:line="360" w:lineRule="auto"/>
      <w:ind w:firstLine="200" w:firstLineChars="200"/>
      <w:textAlignment w:val="auto"/>
    </w:pPr>
    <w:rPr>
      <w:rFonts w:eastAsia="仿宋_GB2312"/>
      <w:kern w:val="2"/>
    </w:rPr>
  </w:style>
  <w:style w:type="paragraph" w:customStyle="1" w:styleId="443">
    <w:name w:val="Char1 Char Char Char Char"/>
    <w:basedOn w:val="19"/>
    <w:autoRedefine/>
    <w:qFormat/>
    <w:uiPriority w:val="0"/>
    <w:rPr>
      <w:rFonts w:ascii="Tahoma" w:hAnsi="Tahoma" w:eastAsia="等线" w:cs="Tahoma"/>
      <w:kern w:val="0"/>
      <w:sz w:val="18"/>
    </w:rPr>
  </w:style>
  <w:style w:type="paragraph" w:customStyle="1" w:styleId="444">
    <w:name w:val="ÕýÎÄ"/>
    <w:autoRedefine/>
    <w:qFormat/>
    <w:uiPriority w:val="0"/>
    <w:pPr>
      <w:widowControl w:val="0"/>
      <w:overflowPunct w:val="0"/>
      <w:autoSpaceDE w:val="0"/>
      <w:autoSpaceDN w:val="0"/>
      <w:adjustRightInd w:val="0"/>
      <w:textAlignment w:val="baseline"/>
    </w:pPr>
    <w:rPr>
      <w:rFonts w:ascii="等线" w:hAnsi="等线" w:eastAsia="等线" w:cs="等线"/>
      <w:lang w:val="en-US" w:eastAsia="zh-CN" w:bidi="ar-SA"/>
    </w:rPr>
  </w:style>
  <w:style w:type="paragraph" w:customStyle="1" w:styleId="445">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等线" w:cs="仿宋_GB2312"/>
      <w:kern w:val="0"/>
      <w:sz w:val="24"/>
    </w:rPr>
  </w:style>
  <w:style w:type="paragraph" w:customStyle="1" w:styleId="446">
    <w:name w:val="Intense Quote1"/>
    <w:basedOn w:val="1"/>
    <w:next w:val="1"/>
    <w:autoRedefine/>
    <w:qFormat/>
    <w:uiPriority w:val="0"/>
    <w:pPr>
      <w:pBdr>
        <w:bottom w:val="single" w:color="4F81BD" w:sz="4" w:space="4"/>
      </w:pBdr>
      <w:spacing w:before="200" w:after="280"/>
      <w:ind w:left="936" w:right="936"/>
    </w:pPr>
    <w:rPr>
      <w:rFonts w:ascii="Century Gothic" w:hAnsi="Century Gothic" w:eastAsia="仿宋_GB2312" w:cs="新宋体"/>
      <w:b/>
      <w:bCs/>
      <w:i/>
      <w:iCs/>
      <w:color w:val="4F81BD"/>
      <w:kern w:val="0"/>
      <w:sz w:val="20"/>
      <w:szCs w:val="20"/>
    </w:rPr>
  </w:style>
  <w:style w:type="paragraph" w:customStyle="1" w:styleId="447">
    <w:name w:val="样式 正文缩进正文（首行缩进两字）表正文正文非缩进特点段1正文不缩进标题4水上软件ALT+Z四号正文文字3..."/>
    <w:basedOn w:val="16"/>
    <w:autoRedefine/>
    <w:qFormat/>
    <w:uiPriority w:val="0"/>
    <w:pPr>
      <w:adjustRightInd/>
      <w:spacing w:line="360" w:lineRule="auto"/>
      <w:ind w:firstLine="480" w:firstLineChars="200"/>
      <w:textAlignment w:val="auto"/>
    </w:pPr>
    <w:rPr>
      <w:rFonts w:ascii="Calibri" w:hAnsi="Calibri" w:eastAsia="等线" w:cs="宋体"/>
      <w:sz w:val="24"/>
    </w:rPr>
  </w:style>
  <w:style w:type="paragraph" w:customStyle="1" w:styleId="448">
    <w:name w:val="标书正文格式"/>
    <w:autoRedefine/>
    <w:qFormat/>
    <w:uiPriority w:val="0"/>
    <w:pPr>
      <w:spacing w:line="360" w:lineRule="auto"/>
      <w:ind w:firstLine="200" w:firstLineChars="200"/>
    </w:pPr>
    <w:rPr>
      <w:rFonts w:ascii="等线" w:hAnsi="等线" w:eastAsia="Arial Unicode MS" w:cs="等线"/>
      <w:kern w:val="2"/>
      <w:sz w:val="24"/>
      <w:szCs w:val="24"/>
      <w:lang w:val="en-US" w:eastAsia="zh-CN" w:bidi="ar-SA"/>
    </w:rPr>
  </w:style>
  <w:style w:type="paragraph" w:customStyle="1" w:styleId="449">
    <w:name w:val="技术报告正文"/>
    <w:basedOn w:val="1"/>
    <w:autoRedefine/>
    <w:qFormat/>
    <w:uiPriority w:val="0"/>
    <w:pPr>
      <w:autoSpaceDE w:val="0"/>
      <w:autoSpaceDN w:val="0"/>
      <w:adjustRightInd w:val="0"/>
      <w:spacing w:beforeLines="50" w:line="440" w:lineRule="exact"/>
      <w:ind w:firstLine="538" w:firstLineChars="192"/>
      <w:jc w:val="left"/>
    </w:pPr>
    <w:rPr>
      <w:rFonts w:ascii="等线" w:hAnsi="等线" w:eastAsia="等线" w:cs="Tahoma"/>
      <w:bCs/>
      <w:kern w:val="0"/>
      <w:sz w:val="28"/>
      <w:szCs w:val="20"/>
    </w:rPr>
  </w:style>
  <w:style w:type="paragraph" w:customStyle="1" w:styleId="450">
    <w:name w:val="无间距1"/>
    <w:basedOn w:val="1"/>
    <w:autoRedefine/>
    <w:qFormat/>
    <w:uiPriority w:val="0"/>
    <w:pPr>
      <w:spacing w:line="360" w:lineRule="auto"/>
      <w:ind w:firstLine="200" w:firstLineChars="200"/>
      <w:jc w:val="center"/>
    </w:pPr>
    <w:rPr>
      <w:rFonts w:ascii="等线" w:hAnsi="等线" w:eastAsia="楷体" w:cs="黑体"/>
      <w:sz w:val="24"/>
    </w:rPr>
  </w:style>
  <w:style w:type="paragraph" w:customStyle="1" w:styleId="451">
    <w:name w:val="样式 样式 正文文本缩进 + 仿宋_GB2312 小四 首行缩进:  0 厘米 行距: 1.5 倍行距 + (中文) 仿宋_GB... Char Char"/>
    <w:basedOn w:val="1"/>
    <w:autoRedefine/>
    <w:qFormat/>
    <w:uiPriority w:val="0"/>
    <w:pPr>
      <w:autoSpaceDE w:val="0"/>
      <w:autoSpaceDN w:val="0"/>
      <w:adjustRightInd w:val="0"/>
      <w:spacing w:line="360" w:lineRule="auto"/>
      <w:ind w:firstLine="480" w:firstLineChars="200"/>
      <w:jc w:val="left"/>
    </w:pPr>
    <w:rPr>
      <w:rFonts w:ascii="黑体" w:hAnsi="等线" w:eastAsia="Calibri" w:cs="等线"/>
      <w:kern w:val="0"/>
      <w:sz w:val="24"/>
      <w:szCs w:val="20"/>
    </w:rPr>
  </w:style>
  <w:style w:type="paragraph" w:customStyle="1" w:styleId="452">
    <w:name w:val="注："/>
    <w:next w:val="453"/>
    <w:autoRedefine/>
    <w:qFormat/>
    <w:uiPriority w:val="0"/>
    <w:pPr>
      <w:widowControl w:val="0"/>
      <w:tabs>
        <w:tab w:val="left" w:pos="420"/>
      </w:tabs>
      <w:autoSpaceDE w:val="0"/>
      <w:autoSpaceDN w:val="0"/>
      <w:ind w:left="420" w:hanging="420"/>
      <w:jc w:val="both"/>
    </w:pPr>
    <w:rPr>
      <w:rFonts w:ascii="宋体" w:hAnsi="等线" w:eastAsia="等线" w:cs="等线"/>
      <w:sz w:val="18"/>
      <w:szCs w:val="18"/>
      <w:lang w:val="en-US" w:eastAsia="zh-CN" w:bidi="ar-SA"/>
    </w:rPr>
  </w:style>
  <w:style w:type="paragraph" w:customStyle="1" w:styleId="453">
    <w:name w:val="段"/>
    <w:autoRedefine/>
    <w:qFormat/>
    <w:uiPriority w:val="0"/>
    <w:pPr>
      <w:autoSpaceDE w:val="0"/>
      <w:autoSpaceDN w:val="0"/>
      <w:ind w:firstLine="200" w:firstLineChars="200"/>
      <w:jc w:val="both"/>
    </w:pPr>
    <w:rPr>
      <w:rFonts w:ascii="仿宋_GB2312" w:hAnsi="等线" w:eastAsia="等线" w:cs="等线"/>
      <w:sz w:val="21"/>
      <w:lang w:val="en-US" w:eastAsia="zh-CN" w:bidi="ar-SA"/>
    </w:rPr>
  </w:style>
  <w:style w:type="paragraph" w:customStyle="1" w:styleId="454">
    <w:name w:val="Char Char Char Char11"/>
    <w:basedOn w:val="1"/>
    <w:autoRedefine/>
    <w:qFormat/>
    <w:uiPriority w:val="0"/>
    <w:pPr>
      <w:autoSpaceDE w:val="0"/>
      <w:autoSpaceDN w:val="0"/>
      <w:adjustRightInd w:val="0"/>
      <w:jc w:val="left"/>
    </w:pPr>
    <w:rPr>
      <w:rFonts w:ascii="Cambria" w:hAnsi="Cambria" w:eastAsia="等线" w:cs="等线"/>
      <w:kern w:val="0"/>
      <w:sz w:val="24"/>
      <w:szCs w:val="20"/>
    </w:rPr>
  </w:style>
  <w:style w:type="paragraph" w:customStyle="1" w:styleId="455">
    <w:name w:val="样式 标题 2 + 黑体 行距: 1.5 倍行距"/>
    <w:basedOn w:val="1"/>
    <w:autoRedefine/>
    <w:qFormat/>
    <w:uiPriority w:val="0"/>
    <w:pPr>
      <w:tabs>
        <w:tab w:val="left" w:pos="360"/>
        <w:tab w:val="left" w:pos="576"/>
      </w:tabs>
      <w:spacing w:line="360" w:lineRule="auto"/>
      <w:ind w:firstLine="200" w:firstLineChars="200"/>
    </w:pPr>
    <w:rPr>
      <w:rFonts w:ascii="等线" w:hAnsi="等线" w:eastAsia="等线" w:cs="等线"/>
      <w:szCs w:val="20"/>
    </w:rPr>
  </w:style>
  <w:style w:type="paragraph" w:customStyle="1" w:styleId="456">
    <w:name w:val="內文項目之符號"/>
    <w:basedOn w:val="1"/>
    <w:autoRedefine/>
    <w:qFormat/>
    <w:uiPriority w:val="0"/>
    <w:pPr>
      <w:widowControl/>
      <w:tabs>
        <w:tab w:val="left" w:pos="1080"/>
      </w:tabs>
      <w:spacing w:before="120" w:line="560" w:lineRule="exact"/>
      <w:ind w:left="1080" w:hanging="1080" w:firstLineChars="200"/>
    </w:pPr>
    <w:rPr>
      <w:rFonts w:ascii="等线" w:hAnsi="等线" w:eastAsia="DFKai-SB" w:cs="等线"/>
      <w:kern w:val="0"/>
      <w:sz w:val="28"/>
      <w:lang w:eastAsia="zh-TW"/>
    </w:rPr>
  </w:style>
  <w:style w:type="paragraph" w:customStyle="1" w:styleId="457">
    <w:name w:val="Char2"/>
    <w:basedOn w:val="1"/>
    <w:autoRedefine/>
    <w:qFormat/>
    <w:uiPriority w:val="0"/>
    <w:pPr>
      <w:autoSpaceDE w:val="0"/>
      <w:autoSpaceDN w:val="0"/>
      <w:adjustRightInd w:val="0"/>
      <w:jc w:val="left"/>
    </w:pPr>
    <w:rPr>
      <w:rFonts w:ascii="黑体" w:hAnsi="等线" w:eastAsia="黑体" w:cs="等线"/>
      <w:b/>
      <w:kern w:val="0"/>
      <w:sz w:val="32"/>
      <w:szCs w:val="32"/>
    </w:rPr>
  </w:style>
  <w:style w:type="paragraph" w:customStyle="1" w:styleId="458">
    <w:name w:val="Para"/>
    <w:autoRedefine/>
    <w:qFormat/>
    <w:uiPriority w:val="0"/>
    <w:pPr>
      <w:spacing w:before="120"/>
    </w:pPr>
    <w:rPr>
      <w:rFonts w:ascii="等线" w:hAnsi="等线" w:eastAsia="等线" w:cs="等线"/>
      <w:sz w:val="18"/>
      <w:lang w:val="en-US" w:eastAsia="zh-CN" w:bidi="ar-SA"/>
    </w:rPr>
  </w:style>
  <w:style w:type="character" w:customStyle="1" w:styleId="459">
    <w:name w:val="引用 Char1"/>
    <w:basedOn w:val="66"/>
    <w:link w:val="258"/>
    <w:autoRedefine/>
    <w:semiHidden/>
    <w:qFormat/>
    <w:uiPriority w:val="99"/>
    <w:rPr>
      <w:i/>
      <w:iCs/>
      <w:color w:val="000000" w:themeColor="text1"/>
      <w:kern w:val="2"/>
      <w:sz w:val="21"/>
      <w:szCs w:val="24"/>
      <w14:textFill>
        <w14:solidFill>
          <w14:schemeClr w14:val="tx1"/>
        </w14:solidFill>
      </w14:textFill>
    </w:rPr>
  </w:style>
  <w:style w:type="paragraph" w:customStyle="1" w:styleId="460">
    <w:name w:val="标题五"/>
    <w:basedOn w:val="1"/>
    <w:autoRedefine/>
    <w:qFormat/>
    <w:uiPriority w:val="0"/>
    <w:pPr>
      <w:tabs>
        <w:tab w:val="left" w:pos="1440"/>
      </w:tabs>
      <w:autoSpaceDE w:val="0"/>
      <w:autoSpaceDN w:val="0"/>
      <w:adjustRightInd w:val="0"/>
      <w:spacing w:beforeLines="50" w:line="360" w:lineRule="auto"/>
      <w:ind w:left="1440" w:hanging="420"/>
      <w:jc w:val="left"/>
    </w:pPr>
    <w:rPr>
      <w:rFonts w:ascii="等线" w:hAnsi="等线" w:eastAsia="等线" w:cs="等线"/>
      <w:b/>
      <w:kern w:val="0"/>
      <w:sz w:val="24"/>
      <w:szCs w:val="20"/>
    </w:rPr>
  </w:style>
  <w:style w:type="paragraph" w:customStyle="1" w:styleId="461">
    <w:name w:val="Char Char1"/>
    <w:basedOn w:val="1"/>
    <w:autoRedefine/>
    <w:qFormat/>
    <w:uiPriority w:val="0"/>
    <w:pPr>
      <w:widowControl/>
      <w:spacing w:after="160" w:line="240" w:lineRule="exact"/>
      <w:jc w:val="left"/>
    </w:pPr>
    <w:rPr>
      <w:rFonts w:ascii="Courier New" w:hAnsi="Courier New" w:eastAsia="Arial Unicode MS" w:cs="等线"/>
      <w:b/>
      <w:i/>
      <w:iCs/>
      <w:color w:val="000000"/>
      <w:kern w:val="0"/>
      <w:sz w:val="20"/>
      <w:szCs w:val="20"/>
      <w:lang w:eastAsia="en-US"/>
    </w:rPr>
  </w:style>
  <w:style w:type="paragraph" w:customStyle="1" w:styleId="462">
    <w:name w:val="rm"/>
    <w:basedOn w:val="1"/>
    <w:autoRedefine/>
    <w:qFormat/>
    <w:uiPriority w:val="0"/>
    <w:pPr>
      <w:widowControl/>
      <w:spacing w:before="100" w:beforeAutospacing="1" w:after="100" w:afterAutospacing="1" w:line="360" w:lineRule="auto"/>
      <w:ind w:firstLine="200" w:firstLineChars="200"/>
      <w:jc w:val="left"/>
    </w:pPr>
    <w:rPr>
      <w:rFonts w:ascii="宋体" w:hAnsi="宋体" w:eastAsia="等线" w:cs="宋体"/>
      <w:kern w:val="0"/>
      <w:sz w:val="24"/>
    </w:rPr>
  </w:style>
  <w:style w:type="paragraph" w:customStyle="1" w:styleId="463">
    <w:name w:val="技术方案正文样式"/>
    <w:basedOn w:val="1"/>
    <w:autoRedefine/>
    <w:qFormat/>
    <w:uiPriority w:val="0"/>
    <w:pPr>
      <w:autoSpaceDE w:val="0"/>
      <w:autoSpaceDN w:val="0"/>
      <w:adjustRightInd w:val="0"/>
      <w:spacing w:line="400" w:lineRule="exact"/>
      <w:ind w:firstLine="480" w:firstLineChars="200"/>
    </w:pPr>
    <w:rPr>
      <w:rFonts w:ascii="宋体" w:hAnsi="宋体" w:eastAsia="等线" w:cs="宋体"/>
      <w:sz w:val="24"/>
      <w:szCs w:val="21"/>
    </w:rPr>
  </w:style>
  <w:style w:type="paragraph" w:customStyle="1" w:styleId="464">
    <w:name w:val="xl42"/>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465">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466">
    <w:name w:val="NICMAN Body Text"/>
    <w:basedOn w:val="1"/>
    <w:next w:val="25"/>
    <w:autoRedefine/>
    <w:qFormat/>
    <w:uiPriority w:val="0"/>
    <w:pPr>
      <w:autoSpaceDE w:val="0"/>
      <w:autoSpaceDN w:val="0"/>
      <w:adjustRightInd w:val="0"/>
      <w:spacing w:after="120"/>
      <w:jc w:val="left"/>
    </w:pPr>
    <w:rPr>
      <w:rFonts w:ascii="等线" w:hAnsi="等线" w:eastAsia="等线" w:cs="等线"/>
      <w:kern w:val="0"/>
      <w:sz w:val="20"/>
      <w:szCs w:val="20"/>
    </w:rPr>
  </w:style>
  <w:style w:type="paragraph" w:customStyle="1" w:styleId="467">
    <w:name w:val="第一個訊息標題"/>
    <w:basedOn w:val="56"/>
    <w:next w:val="56"/>
    <w:autoRedefine/>
    <w:qFormat/>
    <w:uiPriority w:val="0"/>
    <w:pPr>
      <w:keepLines/>
      <w:widowControl/>
      <w:pBdr>
        <w:top w:val="none" w:color="auto" w:sz="0" w:space="0"/>
        <w:left w:val="none" w:color="auto" w:sz="0" w:space="0"/>
        <w:bottom w:val="none" w:color="auto" w:sz="0" w:space="0"/>
        <w:right w:val="none" w:color="auto" w:sz="0" w:space="0"/>
      </w:pBdr>
      <w:shd w:val="clear" w:color="auto" w:fill="auto"/>
      <w:tabs>
        <w:tab w:val="left" w:pos="1560"/>
        <w:tab w:val="left" w:pos="4920"/>
        <w:tab w:val="left" w:pos="5640"/>
      </w:tabs>
      <w:overflowPunct w:val="0"/>
      <w:autoSpaceDE w:val="0"/>
      <w:autoSpaceDN w:val="0"/>
      <w:spacing w:line="533" w:lineRule="auto"/>
      <w:ind w:left="1560" w:leftChars="0" w:right="-120" w:hanging="720" w:firstLineChars="0"/>
    </w:pPr>
    <w:rPr>
      <w:rFonts w:eastAsia="MingLiU"/>
      <w:sz w:val="20"/>
      <w:szCs w:val="20"/>
    </w:rPr>
  </w:style>
  <w:style w:type="paragraph" w:customStyle="1" w:styleId="468">
    <w:name w:val="Normal_2"/>
    <w:autoRedefine/>
    <w:qFormat/>
    <w:uiPriority w:val="0"/>
    <w:pPr>
      <w:spacing w:before="120" w:after="240"/>
      <w:jc w:val="both"/>
    </w:pPr>
    <w:rPr>
      <w:rFonts w:ascii="等线" w:hAnsi="等线" w:eastAsia="Times New Roman" w:cs="等线"/>
      <w:sz w:val="22"/>
      <w:szCs w:val="22"/>
      <w:lang w:val="en-US" w:eastAsia="en-US" w:bidi="ar-SA"/>
    </w:rPr>
  </w:style>
  <w:style w:type="paragraph" w:customStyle="1" w:styleId="469">
    <w:name w:val="font13"/>
    <w:basedOn w:val="1"/>
    <w:autoRedefine/>
    <w:qFormat/>
    <w:uiPriority w:val="0"/>
    <w:pPr>
      <w:widowControl/>
      <w:spacing w:before="100" w:beforeAutospacing="1" w:after="100" w:afterAutospacing="1"/>
      <w:jc w:val="left"/>
    </w:pPr>
    <w:rPr>
      <w:rFonts w:ascii="等线" w:hAnsi="等线" w:eastAsia="等线" w:cs="等线"/>
      <w:kern w:val="0"/>
      <w:sz w:val="24"/>
    </w:rPr>
  </w:style>
  <w:style w:type="paragraph" w:customStyle="1" w:styleId="470">
    <w:name w:val="xl9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471">
    <w:name w:val="font10"/>
    <w:basedOn w:val="1"/>
    <w:autoRedefine/>
    <w:qFormat/>
    <w:uiPriority w:val="0"/>
    <w:pPr>
      <w:widowControl/>
      <w:spacing w:before="100" w:beforeAutospacing="1" w:after="100" w:afterAutospacing="1"/>
      <w:jc w:val="left"/>
    </w:pPr>
    <w:rPr>
      <w:rFonts w:ascii="等线" w:hAnsi="等线" w:eastAsia="等线" w:cs="等线"/>
      <w:kern w:val="0"/>
      <w:sz w:val="16"/>
      <w:szCs w:val="16"/>
    </w:rPr>
  </w:style>
  <w:style w:type="paragraph" w:customStyle="1" w:styleId="472">
    <w:name w:val="a5"/>
    <w:basedOn w:val="1"/>
    <w:autoRedefine/>
    <w:qFormat/>
    <w:uiPriority w:val="0"/>
    <w:pPr>
      <w:widowControl/>
      <w:spacing w:before="100" w:beforeAutospacing="1" w:after="100" w:afterAutospacing="1"/>
      <w:jc w:val="left"/>
    </w:pPr>
    <w:rPr>
      <w:rFonts w:hint="eastAsia" w:ascii="宋体" w:hAnsi="宋体" w:eastAsia="等线" w:cs="等线"/>
      <w:kern w:val="0"/>
      <w:sz w:val="27"/>
      <w:szCs w:val="27"/>
    </w:rPr>
  </w:style>
  <w:style w:type="paragraph" w:customStyle="1" w:styleId="473">
    <w:name w:val="正文3"/>
    <w:autoRedefine/>
    <w:qFormat/>
    <w:uiPriority w:val="0"/>
    <w:pPr>
      <w:jc w:val="both"/>
    </w:pPr>
    <w:rPr>
      <w:rFonts w:ascii="等线" w:hAnsi="等线" w:eastAsia="等线" w:cs="等线"/>
      <w:kern w:val="2"/>
      <w:sz w:val="21"/>
      <w:szCs w:val="21"/>
      <w:lang w:val="en-US" w:eastAsia="zh-CN" w:bidi="ar-SA"/>
    </w:rPr>
  </w:style>
  <w:style w:type="paragraph" w:customStyle="1" w:styleId="474">
    <w:name w:val="Char21"/>
    <w:basedOn w:val="1"/>
    <w:autoRedefine/>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475">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等线" w:cs="仿宋_GB2312"/>
      <w:kern w:val="0"/>
      <w:sz w:val="24"/>
    </w:rPr>
  </w:style>
  <w:style w:type="paragraph" w:customStyle="1" w:styleId="476">
    <w:name w:val="af17cgridlangnp1033langf"/>
    <w:autoRedefine/>
    <w:qFormat/>
    <w:uiPriority w:val="0"/>
    <w:pPr>
      <w:widowControl w:val="0"/>
      <w:autoSpaceDE w:val="0"/>
      <w:autoSpaceDN w:val="0"/>
      <w:adjustRightInd w:val="0"/>
      <w:spacing w:before="156" w:line="360" w:lineRule="atLeast"/>
      <w:ind w:left="567" w:firstLine="510"/>
      <w:jc w:val="both"/>
    </w:pPr>
    <w:rPr>
      <w:rFonts w:ascii="等线" w:hAnsi="等线" w:eastAsia="等线" w:cs="等线"/>
      <w:lang w:val="en-US" w:eastAsia="zh-CN" w:bidi="ar-SA"/>
    </w:rPr>
  </w:style>
  <w:style w:type="paragraph" w:customStyle="1" w:styleId="477">
    <w:name w:val="xl10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478">
    <w:name w:val="xl89"/>
    <w:basedOn w:val="1"/>
    <w:autoRedefine/>
    <w:qFormat/>
    <w:uiPriority w:val="0"/>
    <w:pPr>
      <w:widowControl/>
      <w:spacing w:before="100" w:beforeAutospacing="1" w:after="100" w:afterAutospacing="1"/>
      <w:jc w:val="left"/>
    </w:pPr>
    <w:rPr>
      <w:rFonts w:ascii="仿宋_GB2312" w:hAnsi="仿宋_GB2312" w:eastAsia="等线" w:cs="仿宋_GB2312"/>
      <w:kern w:val="0"/>
      <w:sz w:val="24"/>
    </w:rPr>
  </w:style>
  <w:style w:type="paragraph" w:customStyle="1" w:styleId="479">
    <w:name w:val="Char3 Char Char Char Char Char Char"/>
    <w:basedOn w:val="1"/>
    <w:autoRedefine/>
    <w:qFormat/>
    <w:uiPriority w:val="0"/>
    <w:pPr>
      <w:widowControl/>
      <w:spacing w:after="160" w:line="240" w:lineRule="exact"/>
      <w:ind w:firstLine="200" w:firstLineChars="200"/>
      <w:jc w:val="left"/>
    </w:pPr>
    <w:rPr>
      <w:rFonts w:ascii="Verdana" w:hAnsi="Verdana" w:eastAsia="等线" w:cs="等线"/>
      <w:kern w:val="0"/>
      <w:sz w:val="18"/>
      <w:szCs w:val="20"/>
      <w:lang w:eastAsia="en-US"/>
    </w:rPr>
  </w:style>
  <w:style w:type="paragraph" w:customStyle="1" w:styleId="48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481">
    <w:name w:val="德山-正文"/>
    <w:basedOn w:val="1"/>
    <w:autoRedefine/>
    <w:qFormat/>
    <w:uiPriority w:val="0"/>
    <w:pPr>
      <w:spacing w:beforeLines="50" w:afterLines="50" w:line="360" w:lineRule="auto"/>
      <w:ind w:firstLine="200" w:firstLineChars="200"/>
    </w:pPr>
    <w:rPr>
      <w:rFonts w:ascii="Calibri" w:hAnsi="Calibri" w:eastAsia="等线" w:cs="等线"/>
      <w:sz w:val="24"/>
      <w:szCs w:val="21"/>
    </w:rPr>
  </w:style>
  <w:style w:type="paragraph" w:customStyle="1" w:styleId="482">
    <w:name w:val="样式7"/>
    <w:basedOn w:val="6"/>
    <w:autoRedefine/>
    <w:qFormat/>
    <w:uiPriority w:val="0"/>
  </w:style>
  <w:style w:type="paragraph" w:customStyle="1" w:styleId="483">
    <w:name w:val="正文缩进3"/>
    <w:basedOn w:val="1"/>
    <w:autoRedefine/>
    <w:qFormat/>
    <w:uiPriority w:val="0"/>
    <w:pPr>
      <w:spacing w:line="360" w:lineRule="auto"/>
      <w:ind w:firstLine="420" w:firstLineChars="200"/>
    </w:pPr>
    <w:rPr>
      <w:rFonts w:ascii="等线" w:hAnsi="等线" w:eastAsia="等线" w:cs="等线"/>
      <w:szCs w:val="20"/>
    </w:rPr>
  </w:style>
  <w:style w:type="paragraph" w:customStyle="1" w:styleId="484">
    <w:name w:val="xl6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485">
    <w:name w:val="xl11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486">
    <w:name w:val="xl9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487">
    <w:name w:val="Char1"/>
    <w:basedOn w:val="1"/>
    <w:autoRedefine/>
    <w:qFormat/>
    <w:uiPriority w:val="0"/>
    <w:pPr>
      <w:autoSpaceDE w:val="0"/>
      <w:autoSpaceDN w:val="0"/>
      <w:adjustRightInd w:val="0"/>
      <w:jc w:val="left"/>
    </w:pPr>
    <w:rPr>
      <w:rFonts w:ascii="黑体" w:hAnsi="等线" w:eastAsia="黑体" w:cs="等线"/>
      <w:b/>
      <w:kern w:val="0"/>
      <w:sz w:val="32"/>
      <w:szCs w:val="32"/>
    </w:rPr>
  </w:style>
  <w:style w:type="paragraph" w:customStyle="1" w:styleId="488">
    <w:name w:val="xl31"/>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等线" w:hAnsi="等线" w:eastAsia="等线" w:cs="等线"/>
      <w:kern w:val="0"/>
      <w:sz w:val="20"/>
      <w:szCs w:val="20"/>
    </w:rPr>
  </w:style>
  <w:style w:type="paragraph" w:customStyle="1" w:styleId="489">
    <w:name w:val="样式 标题 3 + 黑体 小四 非加粗"/>
    <w:basedOn w:val="5"/>
    <w:autoRedefine/>
    <w:qFormat/>
    <w:uiPriority w:val="0"/>
    <w:pPr>
      <w:spacing w:before="0" w:after="0" w:line="415" w:lineRule="auto"/>
    </w:pPr>
    <w:rPr>
      <w:rFonts w:ascii="Helvetica" w:hAnsi="Helvetica" w:eastAsia="Helvetica"/>
      <w:b w:val="0"/>
      <w:bCs w:val="0"/>
      <w:kern w:val="0"/>
      <w:sz w:val="24"/>
    </w:rPr>
  </w:style>
  <w:style w:type="paragraph" w:customStyle="1" w:styleId="490">
    <w:name w:val="工可正文"/>
    <w:basedOn w:val="34"/>
    <w:autoRedefine/>
    <w:qFormat/>
    <w:uiPriority w:val="0"/>
    <w:pPr>
      <w:widowControl w:val="0"/>
      <w:overflowPunct/>
      <w:autoSpaceDE/>
      <w:autoSpaceDN/>
      <w:adjustRightInd/>
      <w:ind w:firstLine="560" w:firstLineChars="200"/>
      <w:jc w:val="both"/>
      <w:textAlignment w:val="auto"/>
    </w:pPr>
    <w:rPr>
      <w:rFonts w:ascii="Times New Roman" w:hAnsi="Times New Roman" w:eastAsia="等线"/>
      <w:sz w:val="28"/>
      <w:szCs w:val="20"/>
    </w:rPr>
  </w:style>
  <w:style w:type="paragraph" w:customStyle="1" w:styleId="491">
    <w:name w:val="xl5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492">
    <w:name w:val="Table Contents"/>
    <w:basedOn w:val="1"/>
    <w:autoRedefine/>
    <w:qFormat/>
    <w:uiPriority w:val="0"/>
    <w:pPr>
      <w:suppressAutoHyphens/>
      <w:autoSpaceDE w:val="0"/>
      <w:autoSpaceDN w:val="0"/>
      <w:adjustRightInd w:val="0"/>
      <w:spacing w:after="120"/>
      <w:jc w:val="left"/>
    </w:pPr>
    <w:rPr>
      <w:rFonts w:ascii="ˎ̥" w:hAnsi="ˎ̥" w:eastAsia="等线" w:cs="等线"/>
      <w:kern w:val="1"/>
      <w:sz w:val="20"/>
      <w:szCs w:val="20"/>
    </w:rPr>
  </w:style>
  <w:style w:type="paragraph" w:customStyle="1" w:styleId="493">
    <w:name w:val="Char3"/>
    <w:basedOn w:val="1"/>
    <w:autoRedefine/>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494">
    <w:name w:val="信息标题2"/>
    <w:basedOn w:val="17"/>
    <w:next w:val="17"/>
    <w:autoRedefine/>
    <w:qFormat/>
    <w:uiPriority w:val="0"/>
    <w:pPr>
      <w:spacing w:beforeLines="50" w:afterLines="50" w:line="360" w:lineRule="auto"/>
      <w:ind w:left="422" w:hanging="422" w:hangingChars="200"/>
      <w:jc w:val="left"/>
    </w:pPr>
    <w:rPr>
      <w:rFonts w:ascii="Arial Black" w:hAnsi="Arial Black" w:eastAsia="宋体"/>
      <w:b/>
      <w:bCs/>
      <w:sz w:val="30"/>
    </w:rPr>
  </w:style>
  <w:style w:type="paragraph" w:customStyle="1" w:styleId="495">
    <w:name w:val="地址內名稱"/>
    <w:basedOn w:val="1"/>
    <w:autoRedefine/>
    <w:qFormat/>
    <w:uiPriority w:val="0"/>
    <w:pPr>
      <w:adjustRightInd w:val="0"/>
      <w:spacing w:line="360" w:lineRule="atLeast"/>
      <w:ind w:firstLine="200" w:firstLineChars="200"/>
      <w:jc w:val="left"/>
      <w:textAlignment w:val="baseline"/>
    </w:pPr>
    <w:rPr>
      <w:rFonts w:ascii="等线" w:hAnsi="等线" w:eastAsia="PMingLiU" w:cs="等线"/>
      <w:kern w:val="0"/>
      <w:sz w:val="24"/>
      <w:szCs w:val="20"/>
      <w:lang w:eastAsia="zh-TW"/>
    </w:rPr>
  </w:style>
  <w:style w:type="paragraph" w:customStyle="1" w:styleId="496">
    <w:name w:val="标准标志"/>
    <w:next w:val="1"/>
    <w:autoRedefine/>
    <w:qFormat/>
    <w:uiPriority w:val="0"/>
    <w:pPr>
      <w:framePr w:w="2546" w:h="1389" w:hRule="exact" w:hSpace="181" w:vSpace="181" w:wrap="around" w:vAnchor="margin" w:hAnchor="margin" w:x="6522" w:y="398" w:anchorLock="1"/>
      <w:shd w:val="solid" w:color="FFFFFF" w:fill="FFFFFF"/>
      <w:spacing w:line="0" w:lineRule="atLeast"/>
      <w:jc w:val="right"/>
    </w:pPr>
    <w:rPr>
      <w:rFonts w:ascii="等线" w:hAnsi="等线" w:eastAsia="等线" w:cs="等线"/>
      <w:b/>
      <w:w w:val="170"/>
      <w:sz w:val="96"/>
      <w:szCs w:val="96"/>
      <w:lang w:val="en-US" w:eastAsia="zh-CN" w:bidi="ar-SA"/>
    </w:rPr>
  </w:style>
  <w:style w:type="paragraph" w:customStyle="1" w:styleId="497">
    <w:name w:val="样式 标题 1"/>
    <w:basedOn w:val="4"/>
    <w:next w:val="1"/>
    <w:autoRedefine/>
    <w:qFormat/>
    <w:uiPriority w:val="0"/>
    <w:pPr>
      <w:keepNext w:val="0"/>
      <w:pageBreakBefore/>
      <w:tabs>
        <w:tab w:val="left" w:pos="584"/>
      </w:tabs>
      <w:adjustRightInd w:val="0"/>
      <w:snapToGrid w:val="0"/>
      <w:spacing w:beforeLines="100" w:line="480" w:lineRule="exact"/>
      <w:ind w:left="360"/>
    </w:pPr>
    <w:rPr>
      <w:rFonts w:ascii="黑体" w:hAnsi="宋体" w:eastAsia="黑体" w:cs="宋体"/>
      <w:color w:val="000000"/>
      <w:sz w:val="36"/>
      <w:szCs w:val="36"/>
    </w:rPr>
  </w:style>
  <w:style w:type="paragraph" w:customStyle="1" w:styleId="498">
    <w:name w:val="样式 四号 首行缩进:  1 厘米"/>
    <w:basedOn w:val="1"/>
    <w:autoRedefine/>
    <w:qFormat/>
    <w:uiPriority w:val="0"/>
    <w:pPr>
      <w:spacing w:line="440" w:lineRule="exact"/>
      <w:ind w:firstLine="567"/>
    </w:pPr>
    <w:rPr>
      <w:rFonts w:ascii="等线" w:hAnsi="等线" w:eastAsia="等线" w:cs="宋体"/>
      <w:sz w:val="28"/>
      <w:szCs w:val="20"/>
    </w:rPr>
  </w:style>
  <w:style w:type="paragraph" w:customStyle="1" w:styleId="499">
    <w:name w:val="xl76"/>
    <w:basedOn w:val="1"/>
    <w:autoRedefine/>
    <w:qFormat/>
    <w:uiPriority w:val="0"/>
    <w:pPr>
      <w:widowControl/>
      <w:pBdr>
        <w:top w:val="single" w:color="auto" w:sz="4" w:space="0"/>
        <w:bottom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500">
    <w:name w:val="Item List in Table"/>
    <w:autoRedefine/>
    <w:qFormat/>
    <w:uiPriority w:val="0"/>
    <w:pPr>
      <w:tabs>
        <w:tab w:val="left" w:pos="284"/>
        <w:tab w:val="left" w:pos="720"/>
      </w:tabs>
      <w:spacing w:before="40" w:after="40"/>
      <w:ind w:left="720" w:hanging="720"/>
      <w:jc w:val="both"/>
    </w:pPr>
    <w:rPr>
      <w:rFonts w:ascii="Century Gothic" w:hAnsi="Century Gothic" w:eastAsia="等线" w:cs="Tahoma"/>
      <w:kern w:val="2"/>
      <w:sz w:val="18"/>
      <w:szCs w:val="18"/>
      <w:lang w:val="en-US" w:eastAsia="zh-CN" w:bidi="ar-SA"/>
    </w:rPr>
  </w:style>
  <w:style w:type="paragraph" w:customStyle="1" w:styleId="501">
    <w:name w:val="xl38"/>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502">
    <w:name w:val="Body"/>
    <w:autoRedefine/>
    <w:qFormat/>
    <w:uiPriority w:val="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Times" w:hAnsi="Times" w:eastAsia="等线" w:cs="等线"/>
      <w:color w:val="000000"/>
      <w:sz w:val="18"/>
      <w:lang w:val="en-US" w:eastAsia="en-US" w:bidi="ar-SA"/>
    </w:rPr>
  </w:style>
  <w:style w:type="paragraph" w:customStyle="1" w:styleId="503">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等线" w:cs="仿宋_GB2312"/>
      <w:b/>
      <w:bCs/>
      <w:color w:val="000000"/>
      <w:kern w:val="0"/>
      <w:sz w:val="24"/>
    </w:rPr>
  </w:style>
  <w:style w:type="paragraph" w:customStyle="1" w:styleId="504">
    <w:name w:val="xl8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505">
    <w:name w:val="_Style 113"/>
    <w:basedOn w:val="1"/>
    <w:autoRedefine/>
    <w:qFormat/>
    <w:uiPriority w:val="0"/>
    <w:pPr>
      <w:spacing w:line="360" w:lineRule="auto"/>
      <w:ind w:firstLine="420" w:firstLineChars="200"/>
    </w:pPr>
    <w:rPr>
      <w:rFonts w:ascii="等线" w:hAnsi="等线" w:eastAsia="等线" w:cs="等线"/>
      <w:szCs w:val="20"/>
    </w:rPr>
  </w:style>
  <w:style w:type="paragraph" w:customStyle="1" w:styleId="506">
    <w:name w:val="正文段落 Char"/>
    <w:basedOn w:val="1"/>
    <w:autoRedefine/>
    <w:qFormat/>
    <w:uiPriority w:val="0"/>
    <w:pPr>
      <w:spacing w:line="360" w:lineRule="auto"/>
      <w:ind w:firstLine="480" w:firstLineChars="200"/>
    </w:pPr>
    <w:rPr>
      <w:rFonts w:ascii="等线" w:hAnsi="等线" w:eastAsia="等线" w:cs="等线"/>
      <w:kern w:val="0"/>
      <w:sz w:val="24"/>
      <w:szCs w:val="20"/>
    </w:rPr>
  </w:style>
  <w:style w:type="paragraph" w:customStyle="1" w:styleId="507">
    <w:name w:val="章标题"/>
    <w:next w:val="1"/>
    <w:autoRedefine/>
    <w:qFormat/>
    <w:uiPriority w:val="0"/>
    <w:pPr>
      <w:spacing w:beforeLines="50" w:afterLines="50"/>
      <w:jc w:val="both"/>
      <w:outlineLvl w:val="1"/>
    </w:pPr>
    <w:rPr>
      <w:rFonts w:ascii="Helvetica" w:hAnsi="等线" w:eastAsia="Helvetica" w:cs="等线"/>
      <w:sz w:val="21"/>
      <w:lang w:val="en-US" w:eastAsia="zh-CN" w:bidi="ar-SA"/>
    </w:rPr>
  </w:style>
  <w:style w:type="paragraph" w:customStyle="1" w:styleId="508">
    <w:name w:val="五级条标题"/>
    <w:basedOn w:val="425"/>
    <w:next w:val="1"/>
    <w:autoRedefine/>
    <w:qFormat/>
    <w:uiPriority w:val="0"/>
    <w:pPr>
      <w:outlineLvl w:val="6"/>
    </w:pPr>
  </w:style>
  <w:style w:type="paragraph" w:customStyle="1" w:styleId="509">
    <w:name w:val="條文12"/>
    <w:basedOn w:val="1"/>
    <w:autoRedefine/>
    <w:qFormat/>
    <w:uiPriority w:val="0"/>
    <w:pPr>
      <w:adjustRightInd w:val="0"/>
      <w:spacing w:line="400" w:lineRule="atLeast"/>
      <w:ind w:left="1186" w:hanging="284" w:firstLineChars="200"/>
      <w:jc w:val="left"/>
      <w:textAlignment w:val="baseline"/>
    </w:pPr>
    <w:rPr>
      <w:rFonts w:ascii="全真楷書" w:hAnsi="等线" w:eastAsia="全真楷書" w:cs="等线"/>
      <w:kern w:val="0"/>
      <w:sz w:val="28"/>
      <w:szCs w:val="20"/>
      <w:lang w:eastAsia="zh-TW"/>
    </w:rPr>
  </w:style>
  <w:style w:type="paragraph" w:customStyle="1" w:styleId="510">
    <w:name w:val="数字级连标题1"/>
    <w:basedOn w:val="4"/>
    <w:next w:val="1"/>
    <w:autoRedefine/>
    <w:qFormat/>
    <w:uiPriority w:val="0"/>
    <w:pPr>
      <w:keepLines/>
      <w:tabs>
        <w:tab w:val="left" w:pos="390"/>
      </w:tabs>
      <w:spacing w:line="360" w:lineRule="auto"/>
      <w:ind w:left="390" w:hanging="390"/>
      <w:jc w:val="both"/>
    </w:pPr>
    <w:rPr>
      <w:rFonts w:ascii="等线" w:hAnsi="等线" w:eastAsia="等线"/>
      <w:bCs w:val="0"/>
      <w:sz w:val="28"/>
      <w:szCs w:val="20"/>
      <w:lang w:eastAsia="ar-SA"/>
    </w:rPr>
  </w:style>
  <w:style w:type="paragraph" w:customStyle="1" w:styleId="511">
    <w:name w:val="款1"/>
    <w:basedOn w:val="509"/>
    <w:autoRedefine/>
    <w:qFormat/>
    <w:uiPriority w:val="0"/>
    <w:pPr>
      <w:ind w:left="1146"/>
    </w:pPr>
  </w:style>
  <w:style w:type="paragraph" w:customStyle="1" w:styleId="512">
    <w:name w:val="xl11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13">
    <w:name w:val="段落正文"/>
    <w:basedOn w:val="1"/>
    <w:autoRedefine/>
    <w:qFormat/>
    <w:uiPriority w:val="0"/>
    <w:pPr>
      <w:spacing w:before="140" w:after="140" w:line="401" w:lineRule="auto"/>
      <w:ind w:firstLine="200" w:firstLineChars="200"/>
    </w:pPr>
    <w:rPr>
      <w:rFonts w:ascii="宋体" w:hAnsi="宋体" w:eastAsia="等线" w:cs="等线"/>
    </w:rPr>
  </w:style>
  <w:style w:type="paragraph" w:customStyle="1" w:styleId="514">
    <w:name w:val="密级编号"/>
    <w:basedOn w:val="1"/>
    <w:autoRedefine/>
    <w:qFormat/>
    <w:uiPriority w:val="0"/>
    <w:pPr>
      <w:adjustRightInd w:val="0"/>
      <w:jc w:val="center"/>
      <w:textAlignment w:val="baseline"/>
    </w:pPr>
    <w:rPr>
      <w:rFonts w:ascii="仿宋_GB2312" w:hAnsi="等线" w:eastAsia="仿宋_GB2312" w:cs="等线"/>
      <w:kern w:val="0"/>
      <w:sz w:val="24"/>
      <w:szCs w:val="20"/>
    </w:rPr>
  </w:style>
  <w:style w:type="paragraph" w:customStyle="1" w:styleId="515">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516">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Calibri" w:hAnsi="Calibri" w:eastAsia="Calibri" w:cs="仿宋_GB2312"/>
      <w:color w:val="000000"/>
      <w:kern w:val="0"/>
      <w:sz w:val="24"/>
    </w:rPr>
  </w:style>
  <w:style w:type="paragraph" w:customStyle="1" w:styleId="517">
    <w:name w:val="標題 (一)"/>
    <w:basedOn w:val="2"/>
    <w:autoRedefine/>
    <w:qFormat/>
    <w:uiPriority w:val="0"/>
    <w:pPr>
      <w:tabs>
        <w:tab w:val="left" w:pos="709"/>
      </w:tabs>
      <w:adjustRightInd w:val="0"/>
      <w:spacing w:before="0" w:after="0" w:line="567" w:lineRule="atLeast"/>
      <w:ind w:left="709" w:hanging="567" w:firstLineChars="200"/>
      <w:textAlignment w:val="baseline"/>
      <w:outlineLvl w:val="9"/>
    </w:pPr>
    <w:rPr>
      <w:rFonts w:ascii="PMingLiU" w:hAnsi="Times New Roman" w:eastAsia="PMingLiU"/>
      <w:b w:val="0"/>
      <w:bCs w:val="0"/>
      <w:kern w:val="0"/>
      <w:sz w:val="28"/>
      <w:szCs w:val="20"/>
      <w:lang w:eastAsia="zh-TW"/>
    </w:rPr>
  </w:style>
  <w:style w:type="paragraph" w:customStyle="1" w:styleId="518">
    <w:name w:val="List Paragraph11"/>
    <w:basedOn w:val="1"/>
    <w:autoRedefine/>
    <w:qFormat/>
    <w:uiPriority w:val="0"/>
    <w:pPr>
      <w:ind w:firstLine="420" w:firstLineChars="200"/>
    </w:pPr>
    <w:rPr>
      <w:rFonts w:ascii="Century Gothic" w:hAnsi="Century Gothic" w:eastAsia="仿宋_GB2312" w:cs="新宋体"/>
      <w:szCs w:val="22"/>
    </w:rPr>
  </w:style>
  <w:style w:type="paragraph" w:customStyle="1" w:styleId="519">
    <w:name w:val="正文文字 5"/>
    <w:basedOn w:val="27"/>
    <w:autoRedefine/>
    <w:qFormat/>
    <w:uiPriority w:val="0"/>
    <w:pPr>
      <w:adjustRightInd w:val="0"/>
      <w:spacing w:after="120" w:line="312" w:lineRule="atLeast"/>
      <w:ind w:left="420" w:firstLine="0" w:firstLineChars="0"/>
      <w:textAlignment w:val="baseline"/>
    </w:pPr>
    <w:rPr>
      <w:rFonts w:ascii="等线" w:hAnsi="等线" w:cs="等线"/>
      <w:kern w:val="0"/>
      <w:sz w:val="21"/>
      <w:szCs w:val="20"/>
    </w:rPr>
  </w:style>
  <w:style w:type="paragraph" w:customStyle="1" w:styleId="520">
    <w:name w:val="xl4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521">
    <w:name w:val="xl5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8"/>
      <w:szCs w:val="28"/>
    </w:rPr>
  </w:style>
  <w:style w:type="paragraph" w:customStyle="1" w:styleId="522">
    <w:name w:val="xl107"/>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宋体" w:hAnsi="宋体" w:eastAsia="等线" w:cs="等线"/>
      <w:kern w:val="0"/>
      <w:sz w:val="24"/>
    </w:rPr>
  </w:style>
  <w:style w:type="paragraph" w:customStyle="1" w:styleId="523">
    <w:name w:val="七级标题"/>
    <w:basedOn w:val="9"/>
    <w:autoRedefine/>
    <w:qFormat/>
    <w:uiPriority w:val="0"/>
    <w:pPr>
      <w:adjustRightInd/>
      <w:spacing w:line="320" w:lineRule="auto"/>
      <w:ind w:left="1276" w:hanging="1276"/>
      <w:textAlignment w:val="auto"/>
    </w:pPr>
    <w:rPr>
      <w:rFonts w:ascii="黑体" w:hAnsi="黑体" w:eastAsia="黑体"/>
      <w:bCs/>
      <w:kern w:val="0"/>
    </w:rPr>
  </w:style>
  <w:style w:type="paragraph" w:customStyle="1" w:styleId="524">
    <w:name w:val="样式 标题 1Level 1Level 11h1II+IHeading1H1-Heading 1Header 1..."/>
    <w:basedOn w:val="4"/>
    <w:autoRedefine/>
    <w:qFormat/>
    <w:uiPriority w:val="0"/>
    <w:pPr>
      <w:keepLines/>
      <w:pageBreakBefore/>
      <w:spacing w:line="360" w:lineRule="auto"/>
      <w:ind w:left="1680" w:hanging="420"/>
      <w:jc w:val="left"/>
    </w:pPr>
    <w:rPr>
      <w:rFonts w:ascii="Tahoma" w:hAnsi="Tahoma" w:eastAsia="Helvetica" w:cs="仿宋_GB2312"/>
      <w:kern w:val="44"/>
      <w:sz w:val="44"/>
      <w:szCs w:val="20"/>
    </w:rPr>
  </w:style>
  <w:style w:type="paragraph" w:customStyle="1" w:styleId="525">
    <w:name w:val="button"/>
    <w:basedOn w:val="1"/>
    <w:autoRedefine/>
    <w:qFormat/>
    <w:uiPriority w:val="0"/>
    <w:pPr>
      <w:widowControl/>
      <w:autoSpaceDE w:val="0"/>
      <w:autoSpaceDN w:val="0"/>
      <w:adjustRightInd w:val="0"/>
      <w:spacing w:before="100" w:beforeAutospacing="1" w:after="100" w:afterAutospacing="1"/>
      <w:jc w:val="left"/>
    </w:pPr>
    <w:rPr>
      <w:rFonts w:ascii="等线" w:hAnsi="等线" w:eastAsia="等线" w:cs="等线"/>
      <w:color w:val="000000"/>
      <w:kern w:val="0"/>
      <w:sz w:val="24"/>
      <w:szCs w:val="20"/>
    </w:rPr>
  </w:style>
  <w:style w:type="paragraph" w:customStyle="1" w:styleId="526">
    <w:name w:val="xl11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27">
    <w:name w:val="正文样式 首行缩进:  0.74 厘米"/>
    <w:basedOn w:val="1"/>
    <w:autoRedefine/>
    <w:qFormat/>
    <w:uiPriority w:val="0"/>
    <w:pPr>
      <w:autoSpaceDE w:val="0"/>
      <w:autoSpaceDN w:val="0"/>
      <w:adjustRightInd w:val="0"/>
      <w:spacing w:beforeLines="50" w:line="360" w:lineRule="auto"/>
      <w:ind w:firstLine="420"/>
      <w:jc w:val="left"/>
    </w:pPr>
    <w:rPr>
      <w:rFonts w:ascii="等线" w:hAnsi="等线" w:eastAsia="等线" w:cs="仿宋_GB2312"/>
      <w:kern w:val="0"/>
      <w:sz w:val="24"/>
      <w:szCs w:val="20"/>
    </w:rPr>
  </w:style>
  <w:style w:type="paragraph" w:customStyle="1" w:styleId="528">
    <w:name w:val="普通(Web)"/>
    <w:basedOn w:val="1"/>
    <w:autoRedefine/>
    <w:qFormat/>
    <w:uiPriority w:val="0"/>
    <w:pPr>
      <w:widowControl/>
      <w:spacing w:before="100" w:beforeAutospacing="1" w:after="100" w:afterAutospacing="1" w:line="240" w:lineRule="atLeast"/>
      <w:ind w:firstLine="360" w:firstLineChars="200"/>
      <w:jc w:val="left"/>
    </w:pPr>
    <w:rPr>
      <w:rFonts w:ascii="宋体" w:hAnsi="宋体" w:eastAsia="等线" w:cs="等线"/>
      <w:kern w:val="0"/>
      <w:sz w:val="18"/>
      <w:szCs w:val="18"/>
    </w:rPr>
  </w:style>
  <w:style w:type="paragraph" w:customStyle="1" w:styleId="529">
    <w:name w:val="标题 11"/>
    <w:basedOn w:val="1"/>
    <w:next w:val="1"/>
    <w:autoRedefine/>
    <w:qFormat/>
    <w:uiPriority w:val="0"/>
    <w:pPr>
      <w:tabs>
        <w:tab w:val="left" w:pos="420"/>
        <w:tab w:val="left" w:pos="568"/>
      </w:tabs>
      <w:adjustRightInd w:val="0"/>
      <w:spacing w:line="567" w:lineRule="atLeast"/>
      <w:ind w:firstLine="200" w:firstLineChars="200"/>
      <w:jc w:val="left"/>
      <w:textAlignment w:val="baseline"/>
    </w:pPr>
    <w:rPr>
      <w:rFonts w:ascii="MingLiU" w:hAnsi="等线" w:eastAsia="MingLiU" w:cs="等线"/>
      <w:b/>
      <w:kern w:val="0"/>
      <w:sz w:val="24"/>
      <w:szCs w:val="20"/>
      <w:lang w:eastAsia="zh-TW"/>
    </w:rPr>
  </w:style>
  <w:style w:type="paragraph" w:customStyle="1" w:styleId="530">
    <w:name w:val="xl36"/>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531">
    <w:name w:val="xl98"/>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32">
    <w:name w:val="Char Char Char Char Char Char Char Char Char Char Char Char1 Char"/>
    <w:basedOn w:val="1"/>
    <w:autoRedefine/>
    <w:qFormat/>
    <w:uiPriority w:val="0"/>
    <w:pPr>
      <w:snapToGrid w:val="0"/>
      <w:spacing w:line="360" w:lineRule="auto"/>
      <w:ind w:firstLine="200" w:firstLineChars="200"/>
    </w:pPr>
    <w:rPr>
      <w:rFonts w:ascii="等线" w:hAnsi="等线" w:eastAsia="等线" w:cs="等线"/>
      <w:szCs w:val="20"/>
    </w:rPr>
  </w:style>
  <w:style w:type="paragraph" w:customStyle="1" w:styleId="533">
    <w:name w:val="xl43"/>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534">
    <w:name w:val="表格栏头"/>
    <w:basedOn w:val="535"/>
    <w:next w:val="535"/>
    <w:autoRedefine/>
    <w:qFormat/>
    <w:uiPriority w:val="0"/>
    <w:rPr>
      <w:b/>
    </w:rPr>
  </w:style>
  <w:style w:type="paragraph" w:customStyle="1" w:styleId="535">
    <w:name w:val="表格正文"/>
    <w:basedOn w:val="1"/>
    <w:autoRedefine/>
    <w:qFormat/>
    <w:uiPriority w:val="0"/>
    <w:pPr>
      <w:widowControl/>
      <w:overflowPunct w:val="0"/>
      <w:autoSpaceDE w:val="0"/>
      <w:autoSpaceDN w:val="0"/>
      <w:adjustRightInd w:val="0"/>
      <w:spacing w:before="312" w:after="312" w:line="360" w:lineRule="auto"/>
      <w:ind w:firstLine="200" w:firstLineChars="200"/>
      <w:jc w:val="left"/>
      <w:textAlignment w:val="baseline"/>
    </w:pPr>
    <w:rPr>
      <w:rFonts w:ascii="宋体" w:hAnsi="Tahoma" w:eastAsia="等线" w:cs="等线"/>
      <w:kern w:val="0"/>
      <w:sz w:val="24"/>
      <w:szCs w:val="20"/>
    </w:rPr>
  </w:style>
  <w:style w:type="paragraph" w:customStyle="1" w:styleId="536">
    <w:name w:val="Char Char Char Char Char Char Char Char Char Char Char Char Char Char Char Char Char Char Char"/>
    <w:basedOn w:val="1"/>
    <w:autoRedefine/>
    <w:qFormat/>
    <w:uiPriority w:val="0"/>
    <w:rPr>
      <w:rFonts w:ascii="黑体" w:hAnsi="等线" w:eastAsia="黑体" w:cs="等线"/>
      <w:b/>
      <w:sz w:val="32"/>
      <w:szCs w:val="32"/>
    </w:rPr>
  </w:style>
  <w:style w:type="paragraph" w:customStyle="1" w:styleId="537">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538">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539">
    <w:name w:val="xl9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40">
    <w:name w:val="修订2"/>
    <w:autoRedefine/>
    <w:qFormat/>
    <w:uiPriority w:val="99"/>
    <w:rPr>
      <w:rFonts w:ascii="等线" w:hAnsi="等线" w:eastAsia="等线" w:cs="等线"/>
      <w:kern w:val="2"/>
      <w:sz w:val="21"/>
      <w:szCs w:val="24"/>
      <w:lang w:val="en-US" w:eastAsia="zh-CN" w:bidi="ar-SA"/>
    </w:rPr>
  </w:style>
  <w:style w:type="paragraph" w:customStyle="1" w:styleId="541">
    <w:name w:val="Item Step in Table"/>
    <w:autoRedefine/>
    <w:qFormat/>
    <w:uiPriority w:val="0"/>
    <w:pPr>
      <w:tabs>
        <w:tab w:val="left" w:pos="397"/>
      </w:tabs>
      <w:spacing w:before="40" w:after="40"/>
      <w:ind w:left="420" w:hanging="420"/>
      <w:jc w:val="both"/>
    </w:pPr>
    <w:rPr>
      <w:rFonts w:ascii="Arial" w:hAnsi="Arial" w:eastAsia="等线" w:cs="等线"/>
      <w:sz w:val="18"/>
      <w:lang w:val="en-US" w:eastAsia="zh-CN" w:bidi="ar-SA"/>
    </w:rPr>
  </w:style>
  <w:style w:type="paragraph" w:customStyle="1" w:styleId="542">
    <w:name w:val="样式 左侧:  0.85 厘米 首行缩进:  0.85 厘米"/>
    <w:basedOn w:val="1"/>
    <w:autoRedefine/>
    <w:qFormat/>
    <w:uiPriority w:val="0"/>
    <w:pPr>
      <w:autoSpaceDE w:val="0"/>
      <w:autoSpaceDN w:val="0"/>
      <w:adjustRightInd w:val="0"/>
      <w:spacing w:line="360" w:lineRule="auto"/>
      <w:ind w:firstLine="482"/>
      <w:jc w:val="left"/>
    </w:pPr>
    <w:rPr>
      <w:rFonts w:ascii="等线" w:hAnsi="等线" w:eastAsia="等线" w:cs="仿宋_GB2312"/>
      <w:kern w:val="0"/>
      <w:sz w:val="24"/>
      <w:szCs w:val="20"/>
    </w:rPr>
  </w:style>
  <w:style w:type="paragraph" w:customStyle="1" w:styleId="543">
    <w:name w:val="Copyright"/>
    <w:basedOn w:val="25"/>
    <w:autoRedefine/>
    <w:qFormat/>
    <w:uiPriority w:val="0"/>
    <w:pPr>
      <w:widowControl/>
      <w:spacing w:before="480" w:after="60" w:line="360" w:lineRule="auto"/>
      <w:ind w:firstLine="200" w:firstLineChars="200"/>
      <w:jc w:val="center"/>
    </w:pPr>
    <w:rPr>
      <w:rFonts w:ascii="Trebuchet MS" w:hAnsi="Trebuchet MS" w:eastAsia="等线" w:cs="Trebuchet MS"/>
      <w:b/>
      <w:color w:val="042D56"/>
      <w:kern w:val="0"/>
      <w:sz w:val="20"/>
    </w:rPr>
  </w:style>
  <w:style w:type="paragraph" w:customStyle="1" w:styleId="544">
    <w:name w:val="xl5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eastAsia="等线" w:cs="等线"/>
      <w:kern w:val="0"/>
      <w:sz w:val="24"/>
    </w:rPr>
  </w:style>
  <w:style w:type="paragraph" w:customStyle="1" w:styleId="545">
    <w:name w:val="标准段落"/>
    <w:basedOn w:val="1"/>
    <w:autoRedefine/>
    <w:qFormat/>
    <w:uiPriority w:val="0"/>
    <w:pPr>
      <w:spacing w:after="120" w:line="360" w:lineRule="auto"/>
      <w:ind w:firstLine="420"/>
    </w:pPr>
    <w:rPr>
      <w:rFonts w:ascii="Helvetica" w:hAnsi="仿宋_GB2312" w:eastAsia="Helvetica" w:cs="等线"/>
      <w:b/>
      <w:spacing w:val="6"/>
      <w:szCs w:val="22"/>
    </w:rPr>
  </w:style>
  <w:style w:type="paragraph" w:customStyle="1" w:styleId="546">
    <w:name w:val="features1"/>
    <w:basedOn w:val="1"/>
    <w:autoRedefine/>
    <w:qFormat/>
    <w:uiPriority w:val="0"/>
    <w:pPr>
      <w:widowControl/>
      <w:spacing w:before="100" w:beforeAutospacing="1" w:after="100" w:afterAutospacing="1"/>
      <w:jc w:val="left"/>
    </w:pPr>
    <w:rPr>
      <w:rFonts w:ascii="仿宋_GB2312" w:hAnsi="仿宋_GB2312" w:eastAsia="等线" w:cs="仿宋_GB2312"/>
      <w:b/>
      <w:bCs/>
      <w:kern w:val="0"/>
      <w:sz w:val="18"/>
      <w:szCs w:val="18"/>
    </w:rPr>
  </w:style>
  <w:style w:type="paragraph" w:customStyle="1" w:styleId="547">
    <w:name w:val="xl10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48">
    <w:name w:val="kpk:2级"/>
    <w:basedOn w:val="2"/>
    <w:autoRedefine/>
    <w:qFormat/>
    <w:uiPriority w:val="0"/>
    <w:pPr>
      <w:keepLines w:val="0"/>
      <w:widowControl/>
      <w:tabs>
        <w:tab w:val="left" w:pos="643"/>
        <w:tab w:val="left" w:pos="1440"/>
      </w:tabs>
      <w:spacing w:before="0" w:after="0" w:line="360" w:lineRule="auto"/>
      <w:ind w:left="357" w:hanging="357" w:firstLineChars="200"/>
    </w:pPr>
    <w:rPr>
      <w:rFonts w:ascii="Arial" w:hAnsi="Arial" w:eastAsia="等线"/>
      <w:sz w:val="28"/>
      <w:szCs w:val="30"/>
    </w:rPr>
  </w:style>
  <w:style w:type="paragraph" w:customStyle="1" w:styleId="549">
    <w:name w:val="Plain Text1"/>
    <w:basedOn w:val="1"/>
    <w:autoRedefine/>
    <w:qFormat/>
    <w:uiPriority w:val="0"/>
    <w:pPr>
      <w:adjustRightInd w:val="0"/>
      <w:spacing w:line="360" w:lineRule="auto"/>
      <w:ind w:firstLine="200" w:firstLineChars="200"/>
      <w:jc w:val="left"/>
      <w:textAlignment w:val="baseline"/>
    </w:pPr>
    <w:rPr>
      <w:rFonts w:ascii="MingLiU" w:hAnsi="Courier New" w:eastAsia="MingLiU" w:cs="等线"/>
      <w:sz w:val="24"/>
      <w:szCs w:val="20"/>
      <w:lang w:eastAsia="zh-TW"/>
    </w:rPr>
  </w:style>
  <w:style w:type="paragraph" w:customStyle="1" w:styleId="550">
    <w:name w:val="xl8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551">
    <w:name w:val="标题1"/>
    <w:basedOn w:val="60"/>
    <w:autoRedefine/>
    <w:qFormat/>
    <w:uiPriority w:val="0"/>
    <w:pPr>
      <w:autoSpaceDE/>
      <w:autoSpaceDN/>
      <w:adjustRightInd/>
      <w:spacing w:after="240"/>
      <w:ind w:firstLine="200" w:firstLineChars="200"/>
    </w:pPr>
    <w:rPr>
      <w:rFonts w:ascii="Arial" w:hAnsi="Arial" w:eastAsia="宋体"/>
      <w:bCs w:val="0"/>
      <w:spacing w:val="2"/>
      <w:kern w:val="2"/>
      <w:sz w:val="44"/>
      <w:szCs w:val="20"/>
    </w:rPr>
  </w:style>
  <w:style w:type="paragraph" w:customStyle="1" w:styleId="552">
    <w:name w:val="xl10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53">
    <w:name w:val="1."/>
    <w:basedOn w:val="5"/>
    <w:autoRedefine/>
    <w:qFormat/>
    <w:uiPriority w:val="0"/>
    <w:pPr>
      <w:widowControl/>
      <w:autoSpaceDE w:val="0"/>
      <w:autoSpaceDN w:val="0"/>
      <w:adjustRightInd w:val="0"/>
      <w:spacing w:before="0" w:after="0" w:line="240" w:lineRule="atLeast"/>
      <w:ind w:left="360" w:hanging="284" w:firstLineChars="200"/>
      <w:textAlignment w:val="bottom"/>
      <w:outlineLvl w:val="9"/>
    </w:pPr>
    <w:rPr>
      <w:rFonts w:ascii="等线" w:hAnsi="等线" w:eastAsia="DFKai-SB"/>
      <w:b w:val="0"/>
      <w:bCs w:val="0"/>
      <w:kern w:val="0"/>
      <w:sz w:val="24"/>
      <w:szCs w:val="20"/>
      <w:lang w:eastAsia="zh-TW"/>
    </w:rPr>
  </w:style>
  <w:style w:type="paragraph" w:customStyle="1" w:styleId="554">
    <w:name w:val="文字"/>
    <w:basedOn w:val="1"/>
    <w:autoRedefine/>
    <w:qFormat/>
    <w:uiPriority w:val="0"/>
    <w:pPr>
      <w:tabs>
        <w:tab w:val="left" w:pos="8520"/>
      </w:tabs>
      <w:spacing w:line="312" w:lineRule="auto"/>
      <w:ind w:right="-210" w:firstLine="556"/>
    </w:pPr>
    <w:rPr>
      <w:rFonts w:ascii="仿宋_GB2312" w:hAnsi="等线" w:eastAsia="等线" w:cs="等线"/>
      <w:sz w:val="28"/>
      <w:szCs w:val="20"/>
    </w:rPr>
  </w:style>
  <w:style w:type="paragraph" w:customStyle="1" w:styleId="555">
    <w:name w:val="版权"/>
    <w:basedOn w:val="1"/>
    <w:autoRedefine/>
    <w:qFormat/>
    <w:uiPriority w:val="0"/>
    <w:pPr>
      <w:spacing w:before="312" w:after="312" w:line="360" w:lineRule="auto"/>
      <w:ind w:firstLine="480" w:firstLineChars="200"/>
      <w:jc w:val="center"/>
      <w:outlineLvl w:val="0"/>
    </w:pPr>
    <w:rPr>
      <w:rFonts w:ascii="华文中宋" w:hAnsi="华文中宋" w:eastAsia="等线" w:cs="等线"/>
      <w:b/>
      <w:sz w:val="24"/>
      <w:szCs w:val="20"/>
    </w:rPr>
  </w:style>
  <w:style w:type="paragraph" w:customStyle="1" w:styleId="556">
    <w:name w:val="greytypebeni"/>
    <w:basedOn w:val="1"/>
    <w:autoRedefine/>
    <w:qFormat/>
    <w:uiPriority w:val="0"/>
    <w:pPr>
      <w:widowControl/>
      <w:spacing w:before="100" w:beforeAutospacing="1" w:after="100" w:afterAutospacing="1" w:line="360" w:lineRule="auto"/>
      <w:ind w:firstLine="200" w:firstLineChars="200"/>
      <w:jc w:val="left"/>
    </w:pPr>
    <w:rPr>
      <w:rFonts w:ascii="宋体" w:hAnsi="宋体" w:eastAsia="等线" w:cs="宋体"/>
      <w:kern w:val="0"/>
      <w:sz w:val="24"/>
    </w:rPr>
  </w:style>
  <w:style w:type="paragraph" w:customStyle="1" w:styleId="557">
    <w:name w:val="封面标准名称"/>
    <w:autoRedefine/>
    <w:qFormat/>
    <w:uiPriority w:val="0"/>
    <w:pPr>
      <w:framePr w:w="9639" w:h="6917" w:hRule="exact" w:wrap="around" w:vAnchor="page" w:hAnchor="page" w:xAlign="center" w:y="6408" w:anchorLock="1"/>
      <w:widowControl w:val="0"/>
      <w:spacing w:line="680" w:lineRule="exact"/>
      <w:jc w:val="center"/>
      <w:textAlignment w:val="center"/>
    </w:pPr>
    <w:rPr>
      <w:rFonts w:ascii="黑体" w:hAnsi="等线" w:eastAsia="黑体" w:cs="等线"/>
      <w:sz w:val="52"/>
      <w:szCs w:val="22"/>
      <w:lang w:val="en-US" w:eastAsia="zh-CN" w:bidi="ar-SA"/>
    </w:rPr>
  </w:style>
  <w:style w:type="paragraph" w:customStyle="1" w:styleId="558">
    <w:name w:val="xl9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59">
    <w:name w:val="Paragraf"/>
    <w:basedOn w:val="1"/>
    <w:autoRedefine/>
    <w:qFormat/>
    <w:uiPriority w:val="0"/>
    <w:pPr>
      <w:widowControl/>
      <w:overflowPunct w:val="0"/>
      <w:autoSpaceDE w:val="0"/>
      <w:autoSpaceDN w:val="0"/>
      <w:adjustRightInd w:val="0"/>
      <w:spacing w:before="120" w:line="360" w:lineRule="auto"/>
      <w:ind w:left="454" w:hanging="454" w:firstLineChars="200"/>
      <w:jc w:val="left"/>
      <w:textAlignment w:val="baseline"/>
    </w:pPr>
    <w:rPr>
      <w:rFonts w:ascii="等线" w:hAnsi="等线" w:eastAsia="Times New Roman" w:cs="等线"/>
      <w:kern w:val="0"/>
      <w:sz w:val="22"/>
      <w:szCs w:val="20"/>
      <w:lang w:val="en-GB" w:eastAsia="en-US"/>
    </w:rPr>
  </w:style>
  <w:style w:type="paragraph" w:customStyle="1" w:styleId="560">
    <w:name w:val="黑列表"/>
    <w:basedOn w:val="1"/>
    <w:autoRedefine/>
    <w:qFormat/>
    <w:uiPriority w:val="0"/>
    <w:pPr>
      <w:widowControl/>
      <w:tabs>
        <w:tab w:val="left" w:pos="420"/>
      </w:tabs>
      <w:adjustRightInd w:val="0"/>
      <w:spacing w:line="300" w:lineRule="auto"/>
      <w:ind w:left="300" w:leftChars="200" w:hanging="100" w:hangingChars="100"/>
      <w:jc w:val="left"/>
    </w:pPr>
    <w:rPr>
      <w:rFonts w:ascii="等线" w:hAnsi="等线" w:eastAsia="等线" w:cs="等线"/>
      <w:bCs/>
      <w:kern w:val="0"/>
      <w:sz w:val="24"/>
      <w:szCs w:val="20"/>
    </w:rPr>
  </w:style>
  <w:style w:type="paragraph" w:customStyle="1" w:styleId="561">
    <w:name w:val="xl6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62">
    <w:name w:val="正文 New New"/>
    <w:autoRedefine/>
    <w:qFormat/>
    <w:uiPriority w:val="0"/>
    <w:pPr>
      <w:widowControl w:val="0"/>
      <w:jc w:val="both"/>
    </w:pPr>
    <w:rPr>
      <w:rFonts w:ascii="等线" w:hAnsi="等线" w:eastAsia="等线" w:cs="等线"/>
      <w:kern w:val="2"/>
      <w:sz w:val="21"/>
      <w:szCs w:val="24"/>
      <w:lang w:val="en-US" w:eastAsia="zh-CN" w:bidi="ar-SA"/>
    </w:rPr>
  </w:style>
  <w:style w:type="paragraph" w:customStyle="1" w:styleId="563">
    <w:name w:val="六级标题"/>
    <w:basedOn w:val="8"/>
    <w:autoRedefine/>
    <w:qFormat/>
    <w:uiPriority w:val="0"/>
    <w:pPr>
      <w:ind w:left="1134" w:hanging="1134"/>
    </w:pPr>
    <w:rPr>
      <w:rFonts w:ascii="黑体" w:hAnsi="黑体" w:eastAsia="黑体"/>
      <w:kern w:val="0"/>
    </w:rPr>
  </w:style>
  <w:style w:type="paragraph" w:customStyle="1" w:styleId="564">
    <w:name w:val="Normal0"/>
    <w:autoRedefine/>
    <w:qFormat/>
    <w:uiPriority w:val="0"/>
    <w:rPr>
      <w:rFonts w:ascii="等线" w:hAnsi="等线" w:eastAsia="等线" w:cs="等线"/>
      <w:lang w:val="en-US" w:eastAsia="en-US" w:bidi="ar-SA"/>
    </w:rPr>
  </w:style>
  <w:style w:type="paragraph" w:customStyle="1" w:styleId="565">
    <w:name w:val="xl22"/>
    <w:basedOn w:val="1"/>
    <w:autoRedefine/>
    <w:qFormat/>
    <w:uiPriority w:val="0"/>
    <w:pPr>
      <w:widowControl/>
      <w:spacing w:before="100" w:beforeAutospacing="1" w:after="100" w:afterAutospacing="1"/>
      <w:jc w:val="center"/>
    </w:pPr>
    <w:rPr>
      <w:rFonts w:ascii="宋体" w:hAnsi="宋体" w:eastAsia="等线" w:cs="等线"/>
      <w:kern w:val="0"/>
      <w:sz w:val="24"/>
    </w:rPr>
  </w:style>
  <w:style w:type="paragraph" w:customStyle="1" w:styleId="566">
    <w:name w:val="Quote1"/>
    <w:basedOn w:val="1"/>
    <w:next w:val="1"/>
    <w:autoRedefine/>
    <w:qFormat/>
    <w:uiPriority w:val="0"/>
    <w:rPr>
      <w:rFonts w:ascii="Century Gothic" w:hAnsi="Century Gothic" w:eastAsia="仿宋_GB2312" w:cs="新宋体"/>
      <w:i/>
      <w:iCs/>
      <w:color w:val="000000"/>
      <w:kern w:val="0"/>
      <w:sz w:val="20"/>
      <w:szCs w:val="20"/>
    </w:rPr>
  </w:style>
  <w:style w:type="paragraph" w:customStyle="1" w:styleId="567">
    <w:name w:val="Char Char Char Char Char Char Char Char"/>
    <w:basedOn w:val="1"/>
    <w:autoRedefine/>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568">
    <w:name w:val="xl101"/>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69">
    <w:name w:val="正文 New"/>
    <w:autoRedefine/>
    <w:qFormat/>
    <w:uiPriority w:val="0"/>
    <w:pPr>
      <w:widowControl w:val="0"/>
      <w:jc w:val="both"/>
    </w:pPr>
    <w:rPr>
      <w:rFonts w:ascii="等线" w:hAnsi="等线" w:eastAsia="等线" w:cs="等线"/>
      <w:kern w:val="2"/>
      <w:sz w:val="21"/>
      <w:szCs w:val="24"/>
      <w:lang w:val="en-US" w:eastAsia="zh-CN" w:bidi="ar-SA"/>
    </w:rPr>
  </w:style>
  <w:style w:type="paragraph" w:customStyle="1" w:styleId="570">
    <w:name w:val="标-1"/>
    <w:basedOn w:val="4"/>
    <w:autoRedefine/>
    <w:qFormat/>
    <w:uiPriority w:val="0"/>
    <w:pPr>
      <w:keepLines/>
      <w:tabs>
        <w:tab w:val="left" w:pos="360"/>
      </w:tabs>
      <w:spacing w:line="300" w:lineRule="auto"/>
      <w:ind w:firstLine="200" w:firstLineChars="200"/>
      <w:jc w:val="both"/>
    </w:pPr>
    <w:rPr>
      <w:rFonts w:ascii="Arial" w:hAnsi="Arial" w:eastAsia="黑体" w:cs="Arial"/>
      <w:bCs w:val="0"/>
      <w:color w:val="336699"/>
      <w:kern w:val="44"/>
      <w:sz w:val="32"/>
      <w:szCs w:val="28"/>
    </w:rPr>
  </w:style>
  <w:style w:type="paragraph" w:customStyle="1" w:styleId="571">
    <w:name w:val="標題 1."/>
    <w:basedOn w:val="5"/>
    <w:autoRedefine/>
    <w:qFormat/>
    <w:uiPriority w:val="0"/>
    <w:pPr>
      <w:adjustRightInd w:val="0"/>
      <w:spacing w:before="0" w:after="0" w:line="567" w:lineRule="atLeast"/>
      <w:ind w:left="993" w:hanging="283" w:firstLineChars="200"/>
      <w:textAlignment w:val="baseline"/>
      <w:outlineLvl w:val="9"/>
    </w:pPr>
    <w:rPr>
      <w:rFonts w:ascii="PMingLiU" w:hAnsi="等线" w:eastAsia="PMingLiU"/>
      <w:b w:val="0"/>
      <w:bCs w:val="0"/>
      <w:kern w:val="0"/>
      <w:sz w:val="28"/>
      <w:szCs w:val="20"/>
      <w:lang w:eastAsia="zh-TW"/>
    </w:rPr>
  </w:style>
  <w:style w:type="paragraph" w:customStyle="1" w:styleId="572">
    <w:name w:val="此正文"/>
    <w:basedOn w:val="1"/>
    <w:autoRedefine/>
    <w:qFormat/>
    <w:uiPriority w:val="0"/>
    <w:pPr>
      <w:autoSpaceDE w:val="0"/>
      <w:autoSpaceDN w:val="0"/>
      <w:adjustRightInd w:val="0"/>
      <w:spacing w:line="360" w:lineRule="auto"/>
      <w:ind w:firstLine="200" w:firstLineChars="200"/>
      <w:jc w:val="left"/>
    </w:pPr>
    <w:rPr>
      <w:rFonts w:ascii="等线" w:hAnsi="等线" w:eastAsia="等线" w:cs="等线"/>
      <w:kern w:val="0"/>
      <w:sz w:val="24"/>
      <w:szCs w:val="20"/>
    </w:rPr>
  </w:style>
  <w:style w:type="paragraph" w:customStyle="1" w:styleId="573">
    <w:name w:val="Table Heading"/>
    <w:autoRedefine/>
    <w:qFormat/>
    <w:uiPriority w:val="0"/>
    <w:pPr>
      <w:keepNext/>
      <w:snapToGrid w:val="0"/>
      <w:spacing w:before="80" w:after="80"/>
      <w:jc w:val="center"/>
    </w:pPr>
    <w:rPr>
      <w:rFonts w:ascii="Century Gothic" w:hAnsi="Century Gothic" w:eastAsia="Helvetica" w:cs="Tahoma"/>
      <w:kern w:val="2"/>
      <w:sz w:val="18"/>
      <w:szCs w:val="18"/>
      <w:lang w:val="en-US" w:eastAsia="zh-CN" w:bidi="ar-SA"/>
    </w:rPr>
  </w:style>
  <w:style w:type="paragraph" w:customStyle="1" w:styleId="574">
    <w:name w:val="Char Char2 字元 字元"/>
    <w:basedOn w:val="1"/>
    <w:autoRedefine/>
    <w:qFormat/>
    <w:uiPriority w:val="0"/>
    <w:pPr>
      <w:widowControl/>
      <w:spacing w:after="160" w:line="240" w:lineRule="exact"/>
      <w:ind w:firstLine="200" w:firstLineChars="200"/>
      <w:jc w:val="left"/>
    </w:pPr>
    <w:rPr>
      <w:rFonts w:ascii="等线" w:hAnsi="等线" w:eastAsia="等线" w:cs="等线"/>
      <w:szCs w:val="20"/>
    </w:rPr>
  </w:style>
  <w:style w:type="paragraph" w:customStyle="1" w:styleId="575">
    <w:name w:val="xl2917089"/>
    <w:basedOn w:val="1"/>
    <w:autoRedefine/>
    <w:qFormat/>
    <w:uiPriority w:val="0"/>
    <w:pPr>
      <w:widowControl/>
      <w:pBdr>
        <w:left w:val="single" w:color="auto" w:sz="4" w:space="1"/>
        <w:right w:val="single" w:color="auto" w:sz="4" w:space="1"/>
      </w:pBdr>
      <w:spacing w:before="100" w:beforeAutospacing="1" w:after="100" w:afterAutospacing="1"/>
      <w:jc w:val="center"/>
      <w:textAlignment w:val="center"/>
    </w:pPr>
    <w:rPr>
      <w:rFonts w:hint="eastAsia" w:ascii="宋体" w:hAnsi="宋体" w:eastAsia="等线" w:cs="等线"/>
      <w:kern w:val="0"/>
      <w:sz w:val="24"/>
    </w:rPr>
  </w:style>
  <w:style w:type="paragraph" w:customStyle="1" w:styleId="576">
    <w:name w:val="font7"/>
    <w:basedOn w:val="1"/>
    <w:autoRedefine/>
    <w:qFormat/>
    <w:uiPriority w:val="0"/>
    <w:pPr>
      <w:widowControl/>
      <w:spacing w:before="100" w:beforeAutospacing="1" w:after="100" w:afterAutospacing="1"/>
      <w:jc w:val="left"/>
    </w:pPr>
    <w:rPr>
      <w:rFonts w:ascii="等线" w:hAnsi="等线" w:eastAsia="等线" w:cs="等线"/>
      <w:kern w:val="0"/>
      <w:sz w:val="20"/>
      <w:szCs w:val="20"/>
    </w:rPr>
  </w:style>
  <w:style w:type="paragraph" w:customStyle="1" w:styleId="577">
    <w:name w:val="xl34"/>
    <w:basedOn w:val="1"/>
    <w:autoRedefine/>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0"/>
      <w:szCs w:val="20"/>
    </w:rPr>
  </w:style>
  <w:style w:type="paragraph" w:customStyle="1" w:styleId="578">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仿宋_GB2312" w:hAnsi="仿宋_GB2312" w:eastAsia="等线" w:cs="仿宋_GB2312"/>
      <w:b/>
      <w:bCs/>
      <w:color w:val="000000"/>
      <w:kern w:val="0"/>
      <w:sz w:val="24"/>
    </w:rPr>
  </w:style>
  <w:style w:type="paragraph" w:customStyle="1" w:styleId="579">
    <w:name w:val="封面标准号2"/>
    <w:autoRedefine/>
    <w:qFormat/>
    <w:uiPriority w:val="0"/>
    <w:pPr>
      <w:framePr w:w="9140" w:h="1242" w:hRule="exact" w:hSpace="284" w:wrap="around" w:vAnchor="page" w:hAnchor="page" w:x="1645" w:y="2910" w:anchorLock="1"/>
      <w:spacing w:before="357" w:line="280" w:lineRule="exact"/>
      <w:jc w:val="right"/>
    </w:pPr>
    <w:rPr>
      <w:rFonts w:ascii="黑体" w:hAnsi="等线" w:eastAsia="黑体" w:cs="等线"/>
      <w:sz w:val="28"/>
      <w:szCs w:val="28"/>
      <w:lang w:val="en-US" w:eastAsia="zh-CN" w:bidi="ar-SA"/>
    </w:rPr>
  </w:style>
  <w:style w:type="paragraph" w:customStyle="1" w:styleId="580">
    <w:name w:val="Default Text"/>
    <w:basedOn w:val="1"/>
    <w:autoRedefine/>
    <w:qFormat/>
    <w:uiPriority w:val="0"/>
    <w:pPr>
      <w:autoSpaceDE w:val="0"/>
      <w:autoSpaceDN w:val="0"/>
      <w:adjustRightInd w:val="0"/>
      <w:spacing w:line="360" w:lineRule="auto"/>
      <w:ind w:firstLine="200" w:firstLineChars="200"/>
      <w:jc w:val="left"/>
    </w:pPr>
    <w:rPr>
      <w:rFonts w:ascii="等线" w:hAnsi="等线" w:eastAsia="PMingLiU" w:cs="等线"/>
      <w:kern w:val="0"/>
      <w:sz w:val="24"/>
      <w:szCs w:val="20"/>
      <w:lang w:eastAsia="zh-TW"/>
    </w:rPr>
  </w:style>
  <w:style w:type="paragraph" w:customStyle="1" w:styleId="581">
    <w:name w:val="xl11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82">
    <w:name w:val="默认段落字体 Para Char Char Char Char Char Char Char"/>
    <w:basedOn w:val="1"/>
    <w:autoRedefine/>
    <w:qFormat/>
    <w:uiPriority w:val="0"/>
    <w:rPr>
      <w:rFonts w:ascii="等线" w:hAnsi="等线" w:eastAsia="黑体" w:cs="等线"/>
      <w:sz w:val="28"/>
    </w:rPr>
  </w:style>
  <w:style w:type="paragraph" w:customStyle="1" w:styleId="583">
    <w:name w:val="xl4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584">
    <w:name w:val="(1)"/>
    <w:basedOn w:val="1"/>
    <w:autoRedefine/>
    <w:qFormat/>
    <w:uiPriority w:val="0"/>
    <w:pPr>
      <w:adjustRightInd w:val="0"/>
      <w:spacing w:line="454" w:lineRule="atLeast"/>
      <w:ind w:left="1701" w:hanging="709" w:firstLineChars="200"/>
      <w:textAlignment w:val="baseline"/>
    </w:pPr>
    <w:rPr>
      <w:rFonts w:ascii="PMingLiU" w:hAnsi="等线" w:eastAsia="PMingLiU" w:cs="等线"/>
      <w:kern w:val="0"/>
      <w:sz w:val="28"/>
      <w:szCs w:val="20"/>
      <w:lang w:eastAsia="zh-TW"/>
    </w:rPr>
  </w:style>
  <w:style w:type="paragraph" w:customStyle="1" w:styleId="585">
    <w:name w:val=".."/>
    <w:basedOn w:val="1"/>
    <w:next w:val="1"/>
    <w:autoRedefine/>
    <w:qFormat/>
    <w:uiPriority w:val="0"/>
    <w:pPr>
      <w:autoSpaceDE w:val="0"/>
      <w:autoSpaceDN w:val="0"/>
      <w:adjustRightInd w:val="0"/>
      <w:spacing w:line="360" w:lineRule="auto"/>
      <w:ind w:firstLine="200" w:firstLineChars="200"/>
      <w:jc w:val="left"/>
    </w:pPr>
    <w:rPr>
      <w:rFonts w:ascii="等线" w:hAnsi="等线" w:eastAsia="等线" w:cs="等线"/>
      <w:kern w:val="0"/>
      <w:sz w:val="24"/>
    </w:rPr>
  </w:style>
  <w:style w:type="paragraph" w:customStyle="1" w:styleId="586">
    <w:name w:val="2"/>
    <w:basedOn w:val="1"/>
    <w:next w:val="27"/>
    <w:autoRedefine/>
    <w:qFormat/>
    <w:uiPriority w:val="0"/>
    <w:pPr>
      <w:spacing w:line="440" w:lineRule="exact"/>
      <w:ind w:firstLine="420" w:firstLineChars="200"/>
    </w:pPr>
    <w:rPr>
      <w:rFonts w:ascii="等线" w:hAnsi="等线" w:eastAsia="等线" w:cs="等线"/>
      <w:sz w:val="28"/>
      <w:szCs w:val="20"/>
    </w:rPr>
  </w:style>
  <w:style w:type="paragraph" w:customStyle="1" w:styleId="587">
    <w:name w:val="Char Char Char Char Char Char Char Char Char Char Char Char Char Char Char Char Char Char Char1"/>
    <w:basedOn w:val="1"/>
    <w:autoRedefine/>
    <w:qFormat/>
    <w:uiPriority w:val="0"/>
    <w:rPr>
      <w:rFonts w:ascii="黑体" w:hAnsi="等线" w:eastAsia="黑体" w:cs="等线"/>
      <w:b/>
      <w:sz w:val="32"/>
      <w:szCs w:val="32"/>
    </w:rPr>
  </w:style>
  <w:style w:type="paragraph" w:customStyle="1" w:styleId="588">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89">
    <w:name w:val="规范正文"/>
    <w:basedOn w:val="1"/>
    <w:autoRedefine/>
    <w:qFormat/>
    <w:uiPriority w:val="0"/>
    <w:pPr>
      <w:adjustRightInd w:val="0"/>
      <w:spacing w:line="360" w:lineRule="auto"/>
      <w:ind w:left="480" w:firstLine="200" w:firstLineChars="200"/>
      <w:textAlignment w:val="baseline"/>
    </w:pPr>
    <w:rPr>
      <w:rFonts w:ascii="宋体" w:hAnsi="宋体" w:eastAsia="等线" w:cs="等线"/>
      <w:kern w:val="0"/>
      <w:sz w:val="24"/>
    </w:rPr>
  </w:style>
  <w:style w:type="paragraph" w:customStyle="1" w:styleId="590">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591">
    <w:name w:val="网格表 31"/>
    <w:basedOn w:val="4"/>
    <w:next w:val="1"/>
    <w:autoRedefine/>
    <w:unhideWhenUsed/>
    <w:qFormat/>
    <w:uiPriority w:val="0"/>
    <w:pPr>
      <w:keepLines/>
      <w:widowControl/>
      <w:spacing w:line="259" w:lineRule="auto"/>
      <w:jc w:val="left"/>
      <w:outlineLvl w:val="9"/>
    </w:pPr>
    <w:rPr>
      <w:rFonts w:ascii="Calibri Light" w:hAnsi="Calibri Light" w:eastAsia="等线"/>
      <w:b w:val="0"/>
      <w:bCs w:val="0"/>
      <w:color w:val="2E74B5"/>
      <w:kern w:val="0"/>
      <w:sz w:val="32"/>
      <w:szCs w:val="32"/>
    </w:rPr>
  </w:style>
  <w:style w:type="paragraph" w:customStyle="1" w:styleId="592">
    <w:name w:val="font8"/>
    <w:basedOn w:val="1"/>
    <w:autoRedefine/>
    <w:qFormat/>
    <w:uiPriority w:val="0"/>
    <w:pPr>
      <w:widowControl/>
      <w:spacing w:before="100" w:beforeAutospacing="1" w:after="100" w:afterAutospacing="1"/>
      <w:jc w:val="left"/>
    </w:pPr>
    <w:rPr>
      <w:rFonts w:ascii="等线" w:hAnsi="等线" w:eastAsia="等线" w:cs="等线"/>
      <w:kern w:val="0"/>
      <w:sz w:val="24"/>
    </w:rPr>
  </w:style>
  <w:style w:type="paragraph" w:customStyle="1" w:styleId="593">
    <w:name w:val="中等深浅网格 1 - 着色 21"/>
    <w:basedOn w:val="1"/>
    <w:autoRedefine/>
    <w:qFormat/>
    <w:uiPriority w:val="0"/>
    <w:pPr>
      <w:spacing w:line="360" w:lineRule="auto"/>
      <w:ind w:firstLine="200" w:firstLineChars="200"/>
    </w:pPr>
    <w:rPr>
      <w:rFonts w:ascii="Verdana" w:hAnsi="Verdana" w:eastAsia="等线" w:cs="等线"/>
      <w:sz w:val="24"/>
      <w:szCs w:val="20"/>
    </w:rPr>
  </w:style>
  <w:style w:type="character" w:customStyle="1" w:styleId="594">
    <w:name w:val="明显引用 Char1"/>
    <w:basedOn w:val="66"/>
    <w:link w:val="323"/>
    <w:autoRedefine/>
    <w:semiHidden/>
    <w:qFormat/>
    <w:uiPriority w:val="99"/>
    <w:rPr>
      <w:b/>
      <w:bCs/>
      <w:i/>
      <w:iCs/>
      <w:color w:val="4F81BD" w:themeColor="accent1"/>
      <w:kern w:val="2"/>
      <w:sz w:val="21"/>
      <w:szCs w:val="24"/>
      <w14:textFill>
        <w14:solidFill>
          <w14:schemeClr w14:val="accent1"/>
        </w14:solidFill>
      </w14:textFill>
    </w:rPr>
  </w:style>
  <w:style w:type="paragraph" w:customStyle="1" w:styleId="595">
    <w:name w:val="Char Char Char Char Char Char1 Char Char Char Char"/>
    <w:basedOn w:val="19"/>
    <w:autoRedefine/>
    <w:qFormat/>
    <w:uiPriority w:val="0"/>
    <w:pPr>
      <w:spacing w:line="360" w:lineRule="auto"/>
      <w:ind w:firstLine="200" w:firstLineChars="200"/>
    </w:pPr>
    <w:rPr>
      <w:rFonts w:ascii="Tahoma" w:hAnsi="Tahoma" w:eastAsia="等线"/>
      <w:sz w:val="24"/>
      <w:szCs w:val="20"/>
    </w:rPr>
  </w:style>
  <w:style w:type="paragraph" w:customStyle="1" w:styleId="596">
    <w:name w:val="xl8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597">
    <w:name w:val="xl10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598">
    <w:name w:val="xl29"/>
    <w:basedOn w:val="1"/>
    <w:autoRedefine/>
    <w:qFormat/>
    <w:uiPriority w:val="0"/>
    <w:pPr>
      <w:widowControl/>
      <w:autoSpaceDE w:val="0"/>
      <w:autoSpaceDN w:val="0"/>
      <w:adjustRightInd w:val="0"/>
      <w:spacing w:before="100" w:beforeAutospacing="1" w:after="100" w:afterAutospacing="1"/>
      <w:jc w:val="center"/>
    </w:pPr>
    <w:rPr>
      <w:rFonts w:ascii="等线" w:hAnsi="等线" w:eastAsia="Times New Roman" w:cs="等线"/>
      <w:kern w:val="0"/>
      <w:sz w:val="24"/>
      <w:szCs w:val="20"/>
    </w:rPr>
  </w:style>
  <w:style w:type="paragraph" w:customStyle="1" w:styleId="599">
    <w:name w:val="正文Y"/>
    <w:basedOn w:val="1"/>
    <w:autoRedefine/>
    <w:qFormat/>
    <w:uiPriority w:val="0"/>
    <w:pPr>
      <w:spacing w:line="360" w:lineRule="auto"/>
      <w:ind w:firstLine="420" w:firstLineChars="200"/>
    </w:pPr>
    <w:rPr>
      <w:rFonts w:ascii="等线" w:hAnsi="等线" w:eastAsia="等线" w:cs="等线"/>
      <w:sz w:val="24"/>
    </w:rPr>
  </w:style>
  <w:style w:type="paragraph" w:customStyle="1" w:styleId="600">
    <w:name w:val="_Style 54"/>
    <w:basedOn w:val="1"/>
    <w:autoRedefine/>
    <w:qFormat/>
    <w:uiPriority w:val="0"/>
    <w:rPr>
      <w:rFonts w:ascii="等线" w:hAnsi="等线" w:eastAsia="等线" w:cs="等线"/>
    </w:rPr>
  </w:style>
  <w:style w:type="paragraph" w:customStyle="1" w:styleId="601">
    <w:name w:val="标3"/>
    <w:basedOn w:val="5"/>
    <w:next w:val="6"/>
    <w:autoRedefine/>
    <w:qFormat/>
    <w:uiPriority w:val="0"/>
    <w:pPr>
      <w:spacing w:before="240" w:after="180" w:line="360" w:lineRule="auto"/>
      <w:ind w:firstLine="576" w:firstLineChars="205"/>
    </w:pPr>
    <w:rPr>
      <w:rFonts w:ascii="等线" w:hAnsi="等线" w:eastAsia="等线"/>
      <w:bCs w:val="0"/>
      <w:sz w:val="28"/>
    </w:rPr>
  </w:style>
  <w:style w:type="paragraph" w:customStyle="1" w:styleId="602">
    <w:name w:val="纯文本1"/>
    <w:basedOn w:val="1"/>
    <w:autoRedefine/>
    <w:qFormat/>
    <w:uiPriority w:val="0"/>
    <w:pPr>
      <w:adjustRightInd w:val="0"/>
      <w:jc w:val="left"/>
      <w:textAlignment w:val="baseline"/>
    </w:pPr>
    <w:rPr>
      <w:rFonts w:ascii="宋体" w:hAnsi="Courier New" w:eastAsia="等线" w:cs="等线"/>
      <w:szCs w:val="20"/>
    </w:rPr>
  </w:style>
  <w:style w:type="paragraph" w:customStyle="1" w:styleId="603">
    <w:name w:val="Char Char1 Char"/>
    <w:basedOn w:val="1"/>
    <w:autoRedefine/>
    <w:qFormat/>
    <w:uiPriority w:val="0"/>
    <w:pPr>
      <w:widowControl/>
      <w:autoSpaceDE w:val="0"/>
      <w:autoSpaceDN w:val="0"/>
      <w:adjustRightInd w:val="0"/>
      <w:snapToGrid w:val="0"/>
      <w:spacing w:before="120" w:after="160" w:line="360" w:lineRule="auto"/>
      <w:ind w:right="-360"/>
      <w:jc w:val="left"/>
    </w:pPr>
    <w:rPr>
      <w:rFonts w:ascii="Tahoma" w:hAnsi="Tahoma" w:eastAsia="等线" w:cs="等线"/>
      <w:kern w:val="0"/>
      <w:sz w:val="24"/>
      <w:szCs w:val="20"/>
      <w:lang w:eastAsia="en-US"/>
    </w:rPr>
  </w:style>
  <w:style w:type="paragraph" w:customStyle="1" w:styleId="604">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eastAsia="Calibri" w:cs="仿宋_GB2312"/>
      <w:color w:val="000000"/>
      <w:kern w:val="0"/>
      <w:sz w:val="24"/>
    </w:rPr>
  </w:style>
  <w:style w:type="paragraph" w:customStyle="1" w:styleId="605">
    <w:name w:val="xl11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606">
    <w:name w:val="reader-word-layer"/>
    <w:basedOn w:val="1"/>
    <w:autoRedefine/>
    <w:qFormat/>
    <w:uiPriority w:val="0"/>
    <w:pPr>
      <w:widowControl/>
      <w:spacing w:before="100" w:beforeAutospacing="1" w:after="100" w:afterAutospacing="1" w:line="360" w:lineRule="auto"/>
      <w:ind w:firstLine="200" w:firstLineChars="200"/>
      <w:jc w:val="left"/>
    </w:pPr>
    <w:rPr>
      <w:rFonts w:ascii="宋体" w:hAnsi="宋体" w:eastAsia="等线" w:cs="宋体"/>
      <w:kern w:val="0"/>
      <w:sz w:val="24"/>
    </w:rPr>
  </w:style>
  <w:style w:type="paragraph" w:customStyle="1" w:styleId="607">
    <w:name w:val="Char Char 字元 字元 字元 Char Char Char Char"/>
    <w:basedOn w:val="1"/>
    <w:autoRedefine/>
    <w:qFormat/>
    <w:uiPriority w:val="0"/>
    <w:pPr>
      <w:adjustRightInd w:val="0"/>
      <w:spacing w:line="360" w:lineRule="auto"/>
      <w:ind w:firstLine="200" w:firstLineChars="200"/>
    </w:pPr>
    <w:rPr>
      <w:rFonts w:ascii="等线" w:hAnsi="等线" w:eastAsia="等线" w:cs="等线"/>
      <w:kern w:val="0"/>
      <w:sz w:val="24"/>
      <w:szCs w:val="20"/>
    </w:rPr>
  </w:style>
  <w:style w:type="paragraph" w:customStyle="1" w:styleId="608">
    <w:name w:val="中等深浅底纹 1 - 着色 11"/>
    <w:autoRedefine/>
    <w:qFormat/>
    <w:uiPriority w:val="0"/>
    <w:rPr>
      <w:rFonts w:ascii="等线" w:hAnsi="等线" w:eastAsia="等线" w:cs="等线"/>
      <w:sz w:val="22"/>
      <w:szCs w:val="22"/>
      <w:lang w:val="en-US" w:eastAsia="zh-CN" w:bidi="ar-SA"/>
    </w:rPr>
  </w:style>
  <w:style w:type="paragraph" w:customStyle="1" w:styleId="609">
    <w:name w:val="完成日期"/>
    <w:basedOn w:val="1"/>
    <w:autoRedefine/>
    <w:qFormat/>
    <w:uiPriority w:val="0"/>
    <w:pPr>
      <w:adjustRightInd w:val="0"/>
      <w:spacing w:line="360" w:lineRule="auto"/>
      <w:jc w:val="center"/>
      <w:textAlignment w:val="baseline"/>
    </w:pPr>
    <w:rPr>
      <w:rFonts w:ascii="楷体_GB2312" w:hAnsi="等线" w:eastAsia="楷体_GB2312" w:cs="等线"/>
      <w:kern w:val="0"/>
      <w:sz w:val="30"/>
      <w:szCs w:val="20"/>
    </w:rPr>
  </w:style>
  <w:style w:type="paragraph" w:customStyle="1" w:styleId="610">
    <w:name w:val="xl4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4"/>
    </w:rPr>
  </w:style>
  <w:style w:type="paragraph" w:customStyle="1" w:styleId="611">
    <w:name w:val="样式5"/>
    <w:basedOn w:val="16"/>
    <w:autoRedefine/>
    <w:qFormat/>
    <w:uiPriority w:val="0"/>
    <w:pPr>
      <w:adjustRightInd/>
      <w:spacing w:line="360" w:lineRule="auto"/>
      <w:ind w:firstLine="200" w:firstLineChars="200"/>
      <w:textAlignment w:val="auto"/>
    </w:pPr>
    <w:rPr>
      <w:rFonts w:eastAsia="仿宋_GB2312"/>
      <w:kern w:val="2"/>
      <w:sz w:val="28"/>
      <w:szCs w:val="21"/>
    </w:rPr>
  </w:style>
  <w:style w:type="paragraph" w:customStyle="1" w:styleId="612">
    <w:name w:val="正文 New New New New"/>
    <w:autoRedefine/>
    <w:qFormat/>
    <w:uiPriority w:val="2"/>
    <w:pPr>
      <w:widowControl w:val="0"/>
      <w:jc w:val="both"/>
    </w:pPr>
    <w:rPr>
      <w:rFonts w:ascii="Calibri" w:hAnsi="Calibri" w:eastAsia="等线" w:cs="等线"/>
      <w:color w:val="000000"/>
      <w:szCs w:val="24"/>
      <w:lang w:val="en-US" w:eastAsia="zh-CN" w:bidi="ar-SA"/>
    </w:rPr>
  </w:style>
  <w:style w:type="paragraph" w:customStyle="1" w:styleId="613">
    <w:name w:val="p0"/>
    <w:basedOn w:val="1"/>
    <w:autoRedefine/>
    <w:qFormat/>
    <w:uiPriority w:val="0"/>
    <w:pPr>
      <w:widowControl/>
      <w:spacing w:before="100" w:after="100" w:line="360" w:lineRule="auto"/>
      <w:ind w:firstLine="200" w:firstLineChars="200"/>
    </w:pPr>
    <w:rPr>
      <w:rFonts w:ascii="Calibri" w:hAnsi="Calibri" w:eastAsia="等线" w:cs="等线"/>
      <w:kern w:val="0"/>
      <w:sz w:val="24"/>
      <w:szCs w:val="20"/>
    </w:rPr>
  </w:style>
  <w:style w:type="paragraph" w:customStyle="1" w:styleId="614">
    <w:name w:val="正文（首行缩进）"/>
    <w:basedOn w:val="27"/>
    <w:autoRedefine/>
    <w:qFormat/>
    <w:uiPriority w:val="0"/>
    <w:pPr>
      <w:widowControl/>
      <w:overflowPunct w:val="0"/>
      <w:autoSpaceDE w:val="0"/>
      <w:autoSpaceDN w:val="0"/>
      <w:adjustRightInd w:val="0"/>
      <w:spacing w:beforeLines="50" w:after="120" w:line="400" w:lineRule="exact"/>
      <w:ind w:left="200" w:leftChars="200" w:firstLine="200" w:firstLineChars="200"/>
      <w:jc w:val="left"/>
      <w:textAlignment w:val="baseline"/>
    </w:pPr>
    <w:rPr>
      <w:rFonts w:ascii="等线" w:hAnsi="等线" w:eastAsia="仿宋_GB2312" w:cs="等线"/>
      <w:spacing w:val="10"/>
      <w:kern w:val="0"/>
      <w:szCs w:val="20"/>
    </w:rPr>
  </w:style>
  <w:style w:type="paragraph" w:customStyle="1" w:styleId="615">
    <w:name w:val="Char Char Char Char Char Char Char Char Char1 Char"/>
    <w:basedOn w:val="1"/>
    <w:autoRedefine/>
    <w:qFormat/>
    <w:uiPriority w:val="0"/>
    <w:rPr>
      <w:rFonts w:ascii="等线" w:hAnsi="等线" w:eastAsia="等线" w:cs="等线"/>
    </w:rPr>
  </w:style>
  <w:style w:type="paragraph" w:customStyle="1" w:styleId="616">
    <w:name w:val="其他标准标志"/>
    <w:basedOn w:val="496"/>
    <w:autoRedefine/>
    <w:qFormat/>
    <w:uiPriority w:val="0"/>
    <w:pPr>
      <w:framePr w:w="6101" w:wrap="around" w:vAnchor="page" w:hAnchor="page" w:x="4673" w:y="942"/>
    </w:pPr>
    <w:rPr>
      <w:w w:val="130"/>
    </w:rPr>
  </w:style>
  <w:style w:type="paragraph" w:customStyle="1" w:styleId="61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18">
    <w:name w:val="2级"/>
    <w:basedOn w:val="2"/>
    <w:next w:val="62"/>
    <w:autoRedefine/>
    <w:qFormat/>
    <w:uiPriority w:val="0"/>
    <w:pPr>
      <w:spacing w:line="415" w:lineRule="auto"/>
      <w:ind w:left="420"/>
    </w:pPr>
    <w:rPr>
      <w:rFonts w:eastAsia="黑体"/>
      <w:kern w:val="0"/>
      <w:sz w:val="30"/>
    </w:rPr>
  </w:style>
  <w:style w:type="paragraph" w:customStyle="1" w:styleId="619">
    <w:name w:val="表格文字（大）"/>
    <w:basedOn w:val="1"/>
    <w:autoRedefine/>
    <w:qFormat/>
    <w:uiPriority w:val="0"/>
    <w:pPr>
      <w:autoSpaceDE w:val="0"/>
      <w:autoSpaceDN w:val="0"/>
      <w:adjustRightInd w:val="0"/>
      <w:spacing w:before="20" w:after="20"/>
      <w:jc w:val="left"/>
    </w:pPr>
    <w:rPr>
      <w:rFonts w:ascii="Arial Unicode MS" w:hAnsi="Arial Unicode MS" w:eastAsia="等线" w:cs="Arial Unicode MS"/>
      <w:kern w:val="0"/>
      <w:sz w:val="24"/>
      <w:szCs w:val="20"/>
    </w:rPr>
  </w:style>
  <w:style w:type="paragraph" w:customStyle="1" w:styleId="620">
    <w:name w:val="xl94"/>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621">
    <w:name w:val="默认段落字体 Para Char Char Char Char"/>
    <w:basedOn w:val="1"/>
    <w:autoRedefine/>
    <w:qFormat/>
    <w:uiPriority w:val="0"/>
    <w:rPr>
      <w:rFonts w:ascii="等线" w:hAnsi="等线" w:eastAsia="等线" w:cs="等线"/>
    </w:rPr>
  </w:style>
  <w:style w:type="paragraph" w:customStyle="1" w:styleId="622">
    <w:name w:val="xl4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等线" w:hAnsi="等线" w:eastAsia="等线" w:cs="等线"/>
      <w:kern w:val="0"/>
      <w:sz w:val="24"/>
    </w:rPr>
  </w:style>
  <w:style w:type="paragraph" w:customStyle="1" w:styleId="623">
    <w:name w:val="A正文"/>
    <w:basedOn w:val="95"/>
    <w:autoRedefine/>
    <w:qFormat/>
    <w:uiPriority w:val="0"/>
    <w:pPr>
      <w:jc w:val="left"/>
    </w:pPr>
    <w:rPr>
      <w:rFonts w:ascii="等线" w:hAnsi="等线" w:eastAsia="等线"/>
      <w:shd w:val="clear" w:color="auto" w:fill="auto"/>
    </w:rPr>
  </w:style>
  <w:style w:type="paragraph" w:customStyle="1" w:styleId="624">
    <w:name w:val="xl4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625">
    <w:name w:val="14"/>
    <w:basedOn w:val="1"/>
    <w:autoRedefine/>
    <w:qFormat/>
    <w:uiPriority w:val="0"/>
    <w:pPr>
      <w:snapToGrid w:val="0"/>
      <w:spacing w:beforeLines="30" w:line="288" w:lineRule="auto"/>
      <w:ind w:left="852" w:leftChars="355" w:firstLine="420" w:firstLineChars="175"/>
    </w:pPr>
    <w:rPr>
      <w:rFonts w:ascii="Calibri" w:hAnsi="Calibri" w:eastAsia="等线" w:cs="等线"/>
      <w:sz w:val="24"/>
      <w:szCs w:val="20"/>
    </w:rPr>
  </w:style>
  <w:style w:type="paragraph" w:customStyle="1" w:styleId="626">
    <w:name w:val="xl32"/>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等线" w:hAnsi="等线" w:eastAsia="等线" w:cs="等线"/>
      <w:kern w:val="0"/>
      <w:sz w:val="20"/>
      <w:szCs w:val="20"/>
    </w:rPr>
  </w:style>
  <w:style w:type="paragraph" w:customStyle="1" w:styleId="627">
    <w:name w:val="xl9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628">
    <w:name w:val="Char Char1 Char Char Char"/>
    <w:basedOn w:val="1"/>
    <w:autoRedefine/>
    <w:qFormat/>
    <w:uiPriority w:val="0"/>
    <w:pPr>
      <w:autoSpaceDE w:val="0"/>
      <w:autoSpaceDN w:val="0"/>
      <w:adjustRightInd w:val="0"/>
      <w:jc w:val="left"/>
    </w:pPr>
    <w:rPr>
      <w:rFonts w:ascii="黑体" w:hAnsi="等线" w:eastAsia="黑体" w:cs="等线"/>
      <w:b/>
      <w:kern w:val="0"/>
      <w:sz w:val="32"/>
      <w:szCs w:val="32"/>
    </w:rPr>
  </w:style>
  <w:style w:type="paragraph" w:customStyle="1" w:styleId="629">
    <w:name w:val="项目2"/>
    <w:autoRedefine/>
    <w:qFormat/>
    <w:uiPriority w:val="0"/>
    <w:pPr>
      <w:tabs>
        <w:tab w:val="left" w:pos="425"/>
      </w:tabs>
      <w:spacing w:before="120" w:after="120" w:line="360" w:lineRule="auto"/>
      <w:ind w:left="420" w:hanging="420"/>
    </w:pPr>
    <w:rPr>
      <w:rFonts w:ascii="等线" w:hAnsi="等线" w:eastAsia="仿宋_GB2312" w:cs="等线"/>
      <w:sz w:val="24"/>
      <w:lang w:val="en-US" w:eastAsia="zh-CN" w:bidi="ar-SA"/>
    </w:rPr>
  </w:style>
  <w:style w:type="paragraph" w:customStyle="1" w:styleId="630">
    <w:name w:val="Char13"/>
    <w:basedOn w:val="1"/>
    <w:autoRedefine/>
    <w:qFormat/>
    <w:uiPriority w:val="0"/>
    <w:pPr>
      <w:widowControl/>
      <w:spacing w:after="160" w:line="240" w:lineRule="exact"/>
      <w:jc w:val="left"/>
    </w:pPr>
    <w:rPr>
      <w:rFonts w:ascii="Courier New" w:hAnsi="Courier New" w:eastAsia="等线" w:cs="等线"/>
      <w:kern w:val="0"/>
      <w:sz w:val="20"/>
      <w:szCs w:val="20"/>
      <w:lang w:eastAsia="en-US"/>
    </w:rPr>
  </w:style>
  <w:style w:type="paragraph" w:customStyle="1" w:styleId="631">
    <w:name w:val="xl104"/>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632">
    <w:name w:val="c"/>
    <w:autoRedefine/>
    <w:qFormat/>
    <w:uiPriority w:val="0"/>
    <w:pPr>
      <w:widowControl w:val="0"/>
      <w:autoSpaceDE w:val="0"/>
      <w:autoSpaceDN w:val="0"/>
      <w:adjustRightInd w:val="0"/>
      <w:jc w:val="both"/>
    </w:pPr>
    <w:rPr>
      <w:rFonts w:ascii="Arial" w:hAnsi="Arial" w:eastAsia="等线" w:cs="等线"/>
      <w:sz w:val="24"/>
      <w:lang w:val="en-US" w:eastAsia="zh-CN" w:bidi="ar-SA"/>
    </w:rPr>
  </w:style>
  <w:style w:type="paragraph" w:customStyle="1" w:styleId="633">
    <w:name w:val="xl83"/>
    <w:basedOn w:val="1"/>
    <w:autoRedefine/>
    <w:qFormat/>
    <w:uiPriority w:val="0"/>
    <w:pPr>
      <w:widowControl/>
      <w:pBdr>
        <w:left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634">
    <w:name w:val="font12"/>
    <w:basedOn w:val="1"/>
    <w:autoRedefine/>
    <w:qFormat/>
    <w:uiPriority w:val="0"/>
    <w:pPr>
      <w:widowControl/>
      <w:spacing w:before="100" w:beforeAutospacing="1" w:after="100" w:afterAutospacing="1"/>
      <w:jc w:val="left"/>
    </w:pPr>
    <w:rPr>
      <w:rFonts w:ascii="等线" w:hAnsi="等线" w:eastAsia="等线" w:cs="等线"/>
      <w:kern w:val="0"/>
      <w:sz w:val="28"/>
      <w:szCs w:val="28"/>
    </w:rPr>
  </w:style>
  <w:style w:type="paragraph" w:customStyle="1" w:styleId="635">
    <w:name w:val="数字级连标题3"/>
    <w:basedOn w:val="5"/>
    <w:next w:val="1"/>
    <w:autoRedefine/>
    <w:qFormat/>
    <w:uiPriority w:val="0"/>
    <w:pPr>
      <w:suppressAutoHyphens/>
      <w:spacing w:before="0" w:after="0" w:line="360" w:lineRule="auto"/>
    </w:pPr>
    <w:rPr>
      <w:rFonts w:ascii="等线" w:hAnsi="等线" w:eastAsia="等线"/>
      <w:bCs w:val="0"/>
      <w:sz w:val="28"/>
      <w:szCs w:val="20"/>
      <w:lang w:eastAsia="ar-SA"/>
    </w:rPr>
  </w:style>
  <w:style w:type="paragraph" w:customStyle="1" w:styleId="636">
    <w:name w:val="Item List"/>
    <w:autoRedefine/>
    <w:qFormat/>
    <w:uiPriority w:val="0"/>
    <w:pPr>
      <w:spacing w:line="300" w:lineRule="auto"/>
      <w:ind w:left="1701"/>
      <w:jc w:val="both"/>
    </w:pPr>
    <w:rPr>
      <w:rFonts w:ascii="Arial" w:hAnsi="Arial" w:eastAsia="等线" w:cs="等线"/>
      <w:sz w:val="21"/>
      <w:lang w:val="en-US" w:eastAsia="zh-CN" w:bidi="ar-SA"/>
    </w:rPr>
  </w:style>
  <w:style w:type="paragraph" w:customStyle="1" w:styleId="637">
    <w:name w:val="font5"/>
    <w:basedOn w:val="1"/>
    <w:autoRedefine/>
    <w:qFormat/>
    <w:uiPriority w:val="0"/>
    <w:pPr>
      <w:widowControl/>
      <w:spacing w:before="100" w:beforeAutospacing="1" w:after="100" w:afterAutospacing="1"/>
      <w:jc w:val="left"/>
    </w:pPr>
    <w:rPr>
      <w:rFonts w:ascii="仿宋_GB2312" w:hAnsi="仿宋_GB2312" w:eastAsia="等线" w:cs="仿宋_GB2312"/>
      <w:kern w:val="0"/>
      <w:sz w:val="18"/>
      <w:szCs w:val="18"/>
    </w:rPr>
  </w:style>
  <w:style w:type="paragraph" w:customStyle="1" w:styleId="638">
    <w:name w:val="样式3"/>
    <w:basedOn w:val="4"/>
    <w:autoRedefine/>
    <w:qFormat/>
    <w:uiPriority w:val="0"/>
    <w:pPr>
      <w:keepNext w:val="0"/>
      <w:autoSpaceDE w:val="0"/>
      <w:autoSpaceDN w:val="0"/>
      <w:adjustRightInd w:val="0"/>
      <w:spacing w:before="560" w:after="280"/>
      <w:jc w:val="left"/>
      <w:textAlignment w:val="baseline"/>
    </w:pPr>
    <w:rPr>
      <w:rFonts w:ascii="等线" w:hAnsi="等线" w:eastAsia="黑体"/>
      <w:b w:val="0"/>
      <w:bCs w:val="0"/>
      <w:kern w:val="0"/>
      <w:sz w:val="44"/>
      <w:szCs w:val="20"/>
    </w:rPr>
  </w:style>
  <w:style w:type="paragraph" w:customStyle="1" w:styleId="639">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等线" w:cs="仿宋_GB2312"/>
      <w:kern w:val="0"/>
      <w:sz w:val="24"/>
    </w:rPr>
  </w:style>
  <w:style w:type="paragraph" w:customStyle="1" w:styleId="640">
    <w:name w:val="Char"/>
    <w:basedOn w:val="1"/>
    <w:autoRedefine/>
    <w:qFormat/>
    <w:uiPriority w:val="0"/>
    <w:pPr>
      <w:widowControl/>
      <w:spacing w:line="400" w:lineRule="exact"/>
      <w:jc w:val="center"/>
    </w:pPr>
    <w:rPr>
      <w:rFonts w:ascii="Courier New" w:hAnsi="Courier New" w:eastAsia="等线" w:cs="等线"/>
      <w:kern w:val="0"/>
      <w:szCs w:val="20"/>
      <w:lang w:eastAsia="en-US"/>
    </w:rPr>
  </w:style>
  <w:style w:type="paragraph" w:customStyle="1" w:styleId="641">
    <w:name w:val="xl106"/>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pPr>
    <w:rPr>
      <w:rFonts w:ascii="宋体" w:hAnsi="宋体" w:eastAsia="等线" w:cs="等线"/>
      <w:kern w:val="0"/>
      <w:sz w:val="24"/>
    </w:rPr>
  </w:style>
  <w:style w:type="paragraph" w:customStyle="1" w:styleId="642">
    <w:name w:val="默认段落字体 Para Char Char Char Char Char Char Char Char Char Char"/>
    <w:basedOn w:val="1"/>
    <w:autoRedefine/>
    <w:qFormat/>
    <w:uiPriority w:val="0"/>
    <w:pPr>
      <w:widowControl/>
      <w:spacing w:after="200"/>
      <w:jc w:val="left"/>
    </w:pPr>
    <w:rPr>
      <w:rFonts w:ascii="Tahoma" w:hAnsi="Tahoma" w:eastAsia="等线" w:cs="等线"/>
      <w:kern w:val="0"/>
      <w:sz w:val="22"/>
      <w:szCs w:val="20"/>
      <w:lang w:eastAsia="en-US" w:bidi="en-US"/>
    </w:rPr>
  </w:style>
  <w:style w:type="paragraph" w:customStyle="1" w:styleId="643">
    <w:name w:val="标书正文带编号"/>
    <w:basedOn w:val="1"/>
    <w:autoRedefine/>
    <w:qFormat/>
    <w:uiPriority w:val="0"/>
    <w:pPr>
      <w:tabs>
        <w:tab w:val="left" w:pos="397"/>
      </w:tabs>
      <w:autoSpaceDE w:val="0"/>
      <w:autoSpaceDN w:val="0"/>
      <w:adjustRightInd w:val="0"/>
      <w:ind w:firstLine="397"/>
      <w:jc w:val="left"/>
    </w:pPr>
    <w:rPr>
      <w:rFonts w:ascii="等线" w:hAnsi="等线" w:eastAsia="等线" w:cs="仿宋_GB2312"/>
      <w:kern w:val="0"/>
      <w:sz w:val="20"/>
      <w:szCs w:val="21"/>
    </w:rPr>
  </w:style>
  <w:style w:type="paragraph" w:customStyle="1" w:styleId="644">
    <w:name w:val="样式 首行缩进:  2 字符"/>
    <w:basedOn w:val="1"/>
    <w:autoRedefine/>
    <w:qFormat/>
    <w:uiPriority w:val="0"/>
    <w:pPr>
      <w:widowControl/>
      <w:tabs>
        <w:tab w:val="left" w:pos="420"/>
      </w:tabs>
      <w:ind w:left="420" w:hanging="420"/>
    </w:pPr>
    <w:rPr>
      <w:rFonts w:ascii="宋体" w:hAnsi="宋体" w:eastAsia="等线" w:cs="宋体"/>
      <w:bCs/>
      <w:color w:val="000000"/>
      <w:kern w:val="0"/>
      <w:sz w:val="24"/>
    </w:rPr>
  </w:style>
  <w:style w:type="paragraph" w:customStyle="1" w:styleId="645">
    <w:name w:val="标题小四"/>
    <w:basedOn w:val="2"/>
    <w:autoRedefine/>
    <w:qFormat/>
    <w:uiPriority w:val="0"/>
    <w:pPr>
      <w:keepNext w:val="0"/>
      <w:keepLines w:val="0"/>
      <w:spacing w:before="0" w:after="0" w:line="360" w:lineRule="auto"/>
      <w:ind w:right="90"/>
      <w:outlineLvl w:val="9"/>
    </w:pPr>
    <w:rPr>
      <w:rFonts w:ascii="仿宋_GB2312" w:hAnsi="宋体" w:eastAsia="仿宋_GB2312" w:cs="Arial Unicode MS"/>
      <w:b w:val="0"/>
      <w:bCs w:val="0"/>
      <w:color w:val="000000"/>
      <w:sz w:val="21"/>
      <w:szCs w:val="21"/>
    </w:rPr>
  </w:style>
  <w:style w:type="paragraph" w:customStyle="1" w:styleId="646">
    <w:name w:val="彩色底纹 - 强调文字颜色 11"/>
    <w:autoRedefine/>
    <w:semiHidden/>
    <w:qFormat/>
    <w:uiPriority w:val="99"/>
    <w:rPr>
      <w:rFonts w:ascii="等线" w:hAnsi="等线" w:eastAsia="等线" w:cs="等线"/>
      <w:kern w:val="2"/>
      <w:sz w:val="21"/>
      <w:szCs w:val="24"/>
      <w:lang w:val="en-US" w:eastAsia="zh-CN" w:bidi="ar-SA"/>
    </w:rPr>
  </w:style>
  <w:style w:type="paragraph" w:customStyle="1" w:styleId="647">
    <w:name w:val="_Style 3"/>
    <w:autoRedefine/>
    <w:qFormat/>
    <w:uiPriority w:val="0"/>
    <w:rPr>
      <w:rFonts w:ascii="Calibri" w:hAnsi="Calibri" w:eastAsia="等线" w:cs="等线"/>
      <w:sz w:val="22"/>
      <w:szCs w:val="22"/>
      <w:lang w:val="en-US" w:eastAsia="zh-CN" w:bidi="ar-SA"/>
    </w:rPr>
  </w:style>
  <w:style w:type="paragraph" w:customStyle="1" w:styleId="648">
    <w:name w:val="xl10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eastAsia="等线" w:cs="等线"/>
      <w:kern w:val="0"/>
      <w:sz w:val="24"/>
    </w:rPr>
  </w:style>
  <w:style w:type="paragraph" w:customStyle="1" w:styleId="649">
    <w:name w:val="xl5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50">
    <w:name w:val="xl3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0"/>
      <w:szCs w:val="20"/>
    </w:rPr>
  </w:style>
  <w:style w:type="paragraph" w:customStyle="1" w:styleId="651">
    <w:name w:val="其他标准称谓"/>
    <w:next w:val="1"/>
    <w:autoRedefine/>
    <w:qFormat/>
    <w:uiPriority w:val="0"/>
    <w:pPr>
      <w:framePr w:hSpace="181" w:vSpace="181" w:wrap="around" w:vAnchor="page" w:hAnchor="page" w:x="1419" w:y="2286" w:anchorLock="1"/>
      <w:spacing w:line="0" w:lineRule="atLeast"/>
      <w:jc w:val="distribute"/>
    </w:pPr>
    <w:rPr>
      <w:rFonts w:ascii="黑体" w:hAnsi="宋体" w:eastAsia="黑体" w:cs="等线"/>
      <w:spacing w:val="-40"/>
      <w:sz w:val="48"/>
      <w:szCs w:val="52"/>
      <w:lang w:val="en-US" w:eastAsia="zh-CN" w:bidi="ar-SA"/>
    </w:rPr>
  </w:style>
  <w:style w:type="paragraph" w:customStyle="1" w:styleId="652">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53">
    <w:name w:val="font15"/>
    <w:basedOn w:val="1"/>
    <w:autoRedefine/>
    <w:qFormat/>
    <w:uiPriority w:val="0"/>
    <w:pPr>
      <w:widowControl/>
      <w:spacing w:before="100" w:beforeAutospacing="1" w:after="100" w:afterAutospacing="1"/>
      <w:jc w:val="left"/>
    </w:pPr>
    <w:rPr>
      <w:rFonts w:hint="eastAsia" w:ascii="宋体" w:hAnsi="宋体" w:eastAsia="等线" w:cs="等线"/>
      <w:b/>
      <w:bCs/>
      <w:color w:val="000000"/>
      <w:kern w:val="0"/>
      <w:sz w:val="16"/>
      <w:szCs w:val="16"/>
    </w:rPr>
  </w:style>
  <w:style w:type="paragraph" w:customStyle="1" w:styleId="654">
    <w:name w:val="xl6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655">
    <w:name w:val="样式 标题 5 + 段前: 5 磅 段后: 5 磅 行距: 单倍行距"/>
    <w:basedOn w:val="7"/>
    <w:autoRedefine/>
    <w:qFormat/>
    <w:uiPriority w:val="0"/>
    <w:pPr>
      <w:tabs>
        <w:tab w:val="left" w:pos="2100"/>
      </w:tabs>
      <w:adjustRightInd w:val="0"/>
      <w:spacing w:before="100" w:after="100" w:line="240" w:lineRule="auto"/>
      <w:ind w:left="2100" w:hanging="420" w:firstLineChars="200"/>
      <w:jc w:val="left"/>
      <w:textAlignment w:val="baseline"/>
    </w:pPr>
    <w:rPr>
      <w:bCs w:val="0"/>
      <w:kern w:val="0"/>
      <w:szCs w:val="20"/>
    </w:rPr>
  </w:style>
  <w:style w:type="paragraph" w:customStyle="1" w:styleId="656">
    <w:name w:val="列出段落3"/>
    <w:basedOn w:val="1"/>
    <w:autoRedefine/>
    <w:qFormat/>
    <w:uiPriority w:val="0"/>
    <w:pPr>
      <w:ind w:firstLine="420" w:firstLineChars="200"/>
    </w:pPr>
    <w:rPr>
      <w:rFonts w:ascii="Calibri" w:hAnsi="Calibri" w:eastAsia="等线" w:cs="等线"/>
      <w:szCs w:val="22"/>
    </w:rPr>
  </w:style>
  <w:style w:type="paragraph" w:customStyle="1" w:styleId="657">
    <w:name w:val="标准小四"/>
    <w:basedOn w:val="1"/>
    <w:autoRedefine/>
    <w:qFormat/>
    <w:uiPriority w:val="0"/>
    <w:pPr>
      <w:autoSpaceDE w:val="0"/>
      <w:autoSpaceDN w:val="0"/>
      <w:adjustRightInd w:val="0"/>
      <w:spacing w:line="360" w:lineRule="auto"/>
      <w:ind w:firstLine="480" w:firstLineChars="200"/>
      <w:jc w:val="left"/>
    </w:pPr>
    <w:rPr>
      <w:rFonts w:ascii="Tahoma" w:hAnsi="Tahoma" w:eastAsia="等线" w:cs="等线"/>
      <w:kern w:val="0"/>
      <w:sz w:val="24"/>
      <w:szCs w:val="21"/>
    </w:rPr>
  </w:style>
  <w:style w:type="paragraph" w:customStyle="1" w:styleId="658">
    <w:name w:val="排列"/>
    <w:basedOn w:val="1"/>
    <w:autoRedefine/>
    <w:qFormat/>
    <w:uiPriority w:val="0"/>
    <w:pPr>
      <w:widowControl/>
      <w:autoSpaceDE w:val="0"/>
      <w:autoSpaceDN w:val="0"/>
      <w:adjustRightInd w:val="0"/>
      <w:spacing w:line="360" w:lineRule="auto"/>
      <w:jc w:val="left"/>
    </w:pPr>
    <w:rPr>
      <w:rFonts w:ascii="仿宋_GB2312" w:hAnsi="仿宋_GB2312" w:eastAsia="等线" w:cs="等线"/>
      <w:kern w:val="0"/>
      <w:sz w:val="20"/>
      <w:szCs w:val="20"/>
      <w:lang w:val="zh-CN"/>
    </w:rPr>
  </w:style>
  <w:style w:type="paragraph" w:customStyle="1" w:styleId="65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Calibri" w:hAnsi="Calibri" w:eastAsia="Calibri" w:cs="仿宋_GB2312"/>
      <w:b/>
      <w:bCs/>
      <w:color w:val="000000"/>
      <w:kern w:val="0"/>
      <w:sz w:val="24"/>
    </w:rPr>
  </w:style>
  <w:style w:type="paragraph" w:customStyle="1" w:styleId="660">
    <w:name w:val="標題 2..."/>
    <w:basedOn w:val="1"/>
    <w:autoRedefine/>
    <w:qFormat/>
    <w:uiPriority w:val="0"/>
    <w:pPr>
      <w:spacing w:line="360" w:lineRule="auto"/>
      <w:ind w:left="568" w:firstLine="567" w:firstLineChars="200"/>
    </w:pPr>
    <w:rPr>
      <w:rFonts w:ascii="等线" w:hAnsi="等线" w:eastAsia="PMingLiU" w:cs="等线"/>
      <w:sz w:val="24"/>
      <w:lang w:eastAsia="zh-TW"/>
    </w:rPr>
  </w:style>
  <w:style w:type="paragraph" w:customStyle="1" w:styleId="661">
    <w:name w:val="TOC 标题1"/>
    <w:basedOn w:val="4"/>
    <w:next w:val="1"/>
    <w:autoRedefine/>
    <w:qFormat/>
    <w:uiPriority w:val="39"/>
    <w:pPr>
      <w:keepLines/>
      <w:spacing w:beforeLines="50" w:afterLines="50" w:line="578" w:lineRule="auto"/>
      <w:jc w:val="both"/>
      <w:outlineLvl w:val="9"/>
    </w:pPr>
    <w:rPr>
      <w:rFonts w:ascii="等线" w:hAnsi="等线" w:eastAsia="等线"/>
      <w:kern w:val="44"/>
      <w:sz w:val="44"/>
      <w:szCs w:val="44"/>
    </w:rPr>
  </w:style>
  <w:style w:type="paragraph" w:customStyle="1" w:styleId="662">
    <w:name w:val="正文 首行缩进:  2 字符 Char"/>
    <w:basedOn w:val="1"/>
    <w:autoRedefine/>
    <w:qFormat/>
    <w:uiPriority w:val="0"/>
    <w:pPr>
      <w:spacing w:line="360" w:lineRule="auto"/>
      <w:ind w:firstLine="480"/>
    </w:pPr>
    <w:rPr>
      <w:rFonts w:ascii="等线" w:hAnsi="等线" w:eastAsia="等线" w:cs="仿宋_GB2312"/>
      <w:sz w:val="24"/>
      <w:szCs w:val="20"/>
    </w:rPr>
  </w:style>
  <w:style w:type="paragraph" w:customStyle="1" w:styleId="663">
    <w:name w:val="font6"/>
    <w:basedOn w:val="1"/>
    <w:autoRedefine/>
    <w:qFormat/>
    <w:uiPriority w:val="0"/>
    <w:pPr>
      <w:widowControl/>
      <w:spacing w:before="100" w:beforeAutospacing="1" w:after="100" w:afterAutospacing="1"/>
      <w:jc w:val="left"/>
    </w:pPr>
    <w:rPr>
      <w:rFonts w:ascii="仿宋_GB2312" w:hAnsi="仿宋_GB2312" w:eastAsia="等线" w:cs="仿宋_GB2312"/>
      <w:kern w:val="0"/>
      <w:sz w:val="18"/>
      <w:szCs w:val="18"/>
    </w:rPr>
  </w:style>
  <w:style w:type="paragraph" w:customStyle="1" w:styleId="664">
    <w:name w:val="列表内容"/>
    <w:basedOn w:val="1"/>
    <w:next w:val="1"/>
    <w:autoRedefine/>
    <w:qFormat/>
    <w:uiPriority w:val="0"/>
    <w:pPr>
      <w:widowControl/>
      <w:autoSpaceDE w:val="0"/>
      <w:autoSpaceDN w:val="0"/>
      <w:adjustRightInd w:val="0"/>
      <w:ind w:firstLine="200"/>
      <w:jc w:val="left"/>
    </w:pPr>
    <w:rPr>
      <w:rFonts w:ascii="等线" w:hAnsi="等线" w:eastAsia="等线" w:cs="等线"/>
      <w:kern w:val="0"/>
      <w:sz w:val="18"/>
      <w:szCs w:val="20"/>
    </w:rPr>
  </w:style>
  <w:style w:type="paragraph" w:customStyle="1" w:styleId="665">
    <w:name w:val="附录表标题"/>
    <w:basedOn w:val="1"/>
    <w:next w:val="453"/>
    <w:autoRedefine/>
    <w:qFormat/>
    <w:uiPriority w:val="0"/>
    <w:pPr>
      <w:tabs>
        <w:tab w:val="left" w:pos="180"/>
        <w:tab w:val="left" w:pos="992"/>
      </w:tabs>
      <w:autoSpaceDE w:val="0"/>
      <w:autoSpaceDN w:val="0"/>
      <w:adjustRightInd w:val="0"/>
      <w:spacing w:beforeLines="50" w:afterLines="50"/>
      <w:jc w:val="center"/>
      <w:textAlignment w:val="baseline"/>
    </w:pPr>
    <w:rPr>
      <w:rFonts w:ascii="黑体" w:hAnsi="等线" w:eastAsia="黑体" w:cs="等线"/>
      <w:kern w:val="0"/>
      <w:sz w:val="28"/>
      <w:szCs w:val="21"/>
    </w:rPr>
  </w:style>
  <w:style w:type="paragraph" w:customStyle="1" w:styleId="666">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67">
    <w:name w:val="WW-正文文字缩进 2"/>
    <w:basedOn w:val="1"/>
    <w:autoRedefine/>
    <w:qFormat/>
    <w:uiPriority w:val="0"/>
    <w:pPr>
      <w:suppressAutoHyphens/>
      <w:autoSpaceDE w:val="0"/>
      <w:autoSpaceDN w:val="0"/>
      <w:adjustRightInd w:val="0"/>
      <w:ind w:firstLine="420"/>
      <w:jc w:val="left"/>
    </w:pPr>
    <w:rPr>
      <w:rFonts w:ascii="等线" w:hAnsi="等线" w:eastAsia="等线" w:cs="等线"/>
      <w:kern w:val="1"/>
      <w:sz w:val="20"/>
      <w:szCs w:val="20"/>
    </w:rPr>
  </w:style>
  <w:style w:type="paragraph" w:customStyle="1" w:styleId="668">
    <w:name w:val="Char Char1 Char Char Char Char Char Char Char Char Char Char Char Char Char Char"/>
    <w:basedOn w:val="1"/>
    <w:autoRedefine/>
    <w:qFormat/>
    <w:uiPriority w:val="0"/>
    <w:pPr>
      <w:widowControl/>
      <w:autoSpaceDE w:val="0"/>
      <w:autoSpaceDN w:val="0"/>
      <w:adjustRightInd w:val="0"/>
      <w:spacing w:after="160" w:line="240" w:lineRule="exact"/>
      <w:jc w:val="left"/>
    </w:pPr>
    <w:rPr>
      <w:rFonts w:ascii="等线" w:hAnsi="等线" w:eastAsia="等线" w:cs="等线"/>
      <w:kern w:val="0"/>
      <w:sz w:val="20"/>
      <w:szCs w:val="20"/>
    </w:rPr>
  </w:style>
  <w:style w:type="paragraph" w:customStyle="1" w:styleId="669">
    <w:name w:val="xl108"/>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eastAsia="等线" w:cs="等线"/>
      <w:kern w:val="0"/>
      <w:sz w:val="24"/>
    </w:rPr>
  </w:style>
  <w:style w:type="paragraph" w:customStyle="1" w:styleId="670">
    <w:name w:val="PP Line"/>
    <w:basedOn w:val="45"/>
    <w:autoRedefine/>
    <w:qFormat/>
    <w:uiPriority w:val="0"/>
    <w:pPr>
      <w:autoSpaceDE/>
      <w:autoSpaceDN/>
      <w:spacing w:after="0" w:line="360" w:lineRule="atLeast"/>
      <w:ind w:left="100" w:leftChars="1800" w:firstLine="200" w:firstLineChars="200"/>
      <w:jc w:val="left"/>
    </w:pPr>
    <w:rPr>
      <w:rFonts w:eastAsia="PMingLiU"/>
      <w:lang w:eastAsia="zh-TW"/>
    </w:rPr>
  </w:style>
  <w:style w:type="paragraph" w:customStyle="1" w:styleId="671">
    <w:name w:val="正文文本 21"/>
    <w:basedOn w:val="1"/>
    <w:autoRedefine/>
    <w:qFormat/>
    <w:uiPriority w:val="0"/>
    <w:pPr>
      <w:widowControl/>
      <w:overflowPunct w:val="0"/>
      <w:autoSpaceDE w:val="0"/>
      <w:autoSpaceDN w:val="0"/>
      <w:adjustRightInd w:val="0"/>
      <w:ind w:left="720" w:hanging="720"/>
      <w:jc w:val="left"/>
      <w:textAlignment w:val="baseline"/>
    </w:pPr>
    <w:rPr>
      <w:rFonts w:ascii="等线" w:hAnsi="等线" w:eastAsia="等线" w:cs="等线"/>
      <w:kern w:val="0"/>
      <w:sz w:val="24"/>
      <w:szCs w:val="20"/>
      <w:lang w:val="en-GB"/>
    </w:rPr>
  </w:style>
  <w:style w:type="paragraph" w:customStyle="1" w:styleId="672">
    <w:name w:val="样式 普通(网站) + 仿宋_GB2312 段前: 自动 段后: 自动 行距: 1.5 倍行距1"/>
    <w:basedOn w:val="1"/>
    <w:autoRedefine/>
    <w:qFormat/>
    <w:uiPriority w:val="0"/>
    <w:pPr>
      <w:widowControl/>
      <w:tabs>
        <w:tab w:val="left" w:pos="1134"/>
      </w:tabs>
      <w:spacing w:after="120" w:line="360" w:lineRule="auto"/>
      <w:ind w:left="1134" w:hanging="294" w:firstLineChars="200"/>
      <w:jc w:val="left"/>
    </w:pPr>
    <w:rPr>
      <w:rFonts w:ascii="Arial" w:hAnsi="Arial" w:eastAsia="等线" w:cs="等线"/>
      <w:kern w:val="0"/>
      <w:sz w:val="20"/>
      <w:szCs w:val="20"/>
    </w:rPr>
  </w:style>
  <w:style w:type="paragraph" w:customStyle="1" w:styleId="673">
    <w:name w:val="_Style 125"/>
    <w:basedOn w:val="1"/>
    <w:autoRedefine/>
    <w:qFormat/>
    <w:uiPriority w:val="0"/>
    <w:rPr>
      <w:rFonts w:ascii="等线" w:hAnsi="等线" w:eastAsia="等线" w:cs="等线"/>
    </w:rPr>
  </w:style>
  <w:style w:type="paragraph" w:customStyle="1" w:styleId="674">
    <w:name w:val="封面标准代替信息"/>
    <w:autoRedefine/>
    <w:qFormat/>
    <w:uiPriority w:val="0"/>
    <w:pPr>
      <w:framePr w:w="9140" w:h="1242" w:hRule="exact" w:hSpace="284" w:wrap="around" w:vAnchor="page" w:hAnchor="page" w:x="1645" w:y="2910" w:anchorLock="1"/>
      <w:spacing w:before="57" w:line="280" w:lineRule="exact"/>
      <w:jc w:val="right"/>
    </w:pPr>
    <w:rPr>
      <w:rFonts w:ascii="宋体" w:hAnsi="等线" w:eastAsia="等线" w:cs="等线"/>
      <w:sz w:val="21"/>
      <w:szCs w:val="21"/>
      <w:lang w:val="en-US" w:eastAsia="zh-CN" w:bidi="ar-SA"/>
    </w:rPr>
  </w:style>
  <w:style w:type="paragraph" w:customStyle="1" w:styleId="675">
    <w:name w:val="彩色列表 - 着色 11"/>
    <w:basedOn w:val="1"/>
    <w:autoRedefine/>
    <w:qFormat/>
    <w:uiPriority w:val="0"/>
    <w:pPr>
      <w:spacing w:line="360" w:lineRule="auto"/>
      <w:ind w:firstLine="420" w:firstLineChars="200"/>
    </w:pPr>
    <w:rPr>
      <w:rFonts w:ascii="Calibri" w:hAnsi="Calibri" w:eastAsia="等线" w:cs="等线"/>
      <w:szCs w:val="20"/>
    </w:rPr>
  </w:style>
  <w:style w:type="paragraph" w:customStyle="1" w:styleId="676">
    <w:name w:val="my正文"/>
    <w:basedOn w:val="1"/>
    <w:autoRedefine/>
    <w:qFormat/>
    <w:uiPriority w:val="0"/>
    <w:pPr>
      <w:spacing w:line="360" w:lineRule="auto"/>
      <w:ind w:firstLine="480" w:firstLineChars="200"/>
    </w:pPr>
    <w:rPr>
      <w:rFonts w:ascii="Tahoma" w:hAnsi="Tahoma" w:eastAsia="等线" w:cs="等线"/>
      <w:sz w:val="24"/>
    </w:rPr>
  </w:style>
  <w:style w:type="paragraph" w:customStyle="1" w:styleId="677">
    <w:name w:val="寄件者簡短地址"/>
    <w:basedOn w:val="1"/>
    <w:autoRedefine/>
    <w:qFormat/>
    <w:uiPriority w:val="0"/>
    <w:pPr>
      <w:adjustRightInd w:val="0"/>
      <w:spacing w:line="360" w:lineRule="atLeast"/>
      <w:ind w:firstLine="200" w:firstLineChars="200"/>
      <w:jc w:val="left"/>
      <w:textAlignment w:val="baseline"/>
    </w:pPr>
    <w:rPr>
      <w:rFonts w:ascii="等线" w:hAnsi="等线" w:eastAsia="PMingLiU" w:cs="等线"/>
      <w:kern w:val="0"/>
      <w:sz w:val="24"/>
      <w:szCs w:val="20"/>
      <w:lang w:eastAsia="zh-TW"/>
    </w:rPr>
  </w:style>
  <w:style w:type="paragraph" w:customStyle="1" w:styleId="678">
    <w:name w:val="context-item"/>
    <w:basedOn w:val="679"/>
    <w:autoRedefine/>
    <w:qFormat/>
    <w:uiPriority w:val="0"/>
    <w:pPr>
      <w:ind w:left="1418" w:hanging="284"/>
    </w:pPr>
  </w:style>
  <w:style w:type="paragraph" w:customStyle="1" w:styleId="679">
    <w:name w:val="context"/>
    <w:basedOn w:val="1"/>
    <w:autoRedefine/>
    <w:qFormat/>
    <w:uiPriority w:val="0"/>
    <w:pPr>
      <w:adjustRightInd w:val="0"/>
      <w:spacing w:before="60" w:line="240" w:lineRule="atLeast"/>
      <w:ind w:left="567" w:firstLine="567" w:firstLineChars="200"/>
      <w:textAlignment w:val="baseline"/>
    </w:pPr>
    <w:rPr>
      <w:rFonts w:ascii="全真楷書" w:hAnsi="等线" w:eastAsia="全真楷書" w:cs="等线"/>
      <w:kern w:val="0"/>
      <w:sz w:val="24"/>
      <w:szCs w:val="20"/>
      <w:lang w:eastAsia="zh-TW"/>
    </w:rPr>
  </w:style>
  <w:style w:type="paragraph" w:customStyle="1" w:styleId="680">
    <w:name w:val="_Style 5"/>
    <w:basedOn w:val="19"/>
    <w:autoRedefine/>
    <w:qFormat/>
    <w:uiPriority w:val="0"/>
    <w:rPr>
      <w:rFonts w:eastAsia="等线"/>
    </w:rPr>
  </w:style>
  <w:style w:type="paragraph" w:customStyle="1" w:styleId="681">
    <w:name w:val="xl24"/>
    <w:basedOn w:val="1"/>
    <w:autoRedefine/>
    <w:qFormat/>
    <w:uiPriority w:val="0"/>
    <w:pPr>
      <w:widowControl/>
      <w:spacing w:before="100" w:beforeAutospacing="1" w:after="100" w:afterAutospacing="1"/>
      <w:jc w:val="left"/>
    </w:pPr>
    <w:rPr>
      <w:rFonts w:ascii="等线" w:hAnsi="等线" w:eastAsia="等线" w:cs="等线"/>
      <w:kern w:val="0"/>
      <w:sz w:val="24"/>
    </w:rPr>
  </w:style>
  <w:style w:type="paragraph" w:customStyle="1" w:styleId="682">
    <w:name w:val="表头"/>
    <w:basedOn w:val="1"/>
    <w:autoRedefine/>
    <w:qFormat/>
    <w:uiPriority w:val="0"/>
    <w:pPr>
      <w:spacing w:before="120" w:after="120" w:line="480" w:lineRule="exact"/>
      <w:jc w:val="center"/>
    </w:pPr>
    <w:rPr>
      <w:rFonts w:ascii="黑体" w:hAnsi="等线" w:eastAsia="黑体" w:cs="等线"/>
      <w:sz w:val="24"/>
      <w:szCs w:val="20"/>
    </w:rPr>
  </w:style>
  <w:style w:type="paragraph" w:customStyle="1" w:styleId="683">
    <w:name w:val="正文文本缩进 31"/>
    <w:basedOn w:val="1"/>
    <w:autoRedefine/>
    <w:qFormat/>
    <w:uiPriority w:val="0"/>
    <w:pPr>
      <w:autoSpaceDE w:val="0"/>
      <w:autoSpaceDN w:val="0"/>
      <w:adjustRightInd w:val="0"/>
      <w:spacing w:line="360" w:lineRule="auto"/>
      <w:ind w:firstLine="567"/>
      <w:jc w:val="left"/>
      <w:textAlignment w:val="baseline"/>
    </w:pPr>
    <w:rPr>
      <w:rFonts w:ascii="宋体" w:hAnsi="等线" w:eastAsia="等线" w:cs="等线"/>
      <w:kern w:val="0"/>
      <w:sz w:val="28"/>
      <w:szCs w:val="20"/>
    </w:rPr>
  </w:style>
  <w:style w:type="paragraph" w:customStyle="1" w:styleId="684">
    <w:name w:val="List Paragraph1"/>
    <w:basedOn w:val="1"/>
    <w:autoRedefine/>
    <w:qFormat/>
    <w:uiPriority w:val="0"/>
    <w:pPr>
      <w:spacing w:line="360" w:lineRule="auto"/>
      <w:ind w:firstLine="420" w:firstLineChars="200"/>
    </w:pPr>
    <w:rPr>
      <w:rFonts w:ascii="等线" w:hAnsi="等线" w:eastAsia="等线" w:cs="等线"/>
      <w:szCs w:val="20"/>
    </w:rPr>
  </w:style>
  <w:style w:type="paragraph" w:customStyle="1" w:styleId="685">
    <w:name w:val="aspnumfaautoadjustrightr"/>
    <w:autoRedefine/>
    <w:qFormat/>
    <w:uiPriority w:val="0"/>
    <w:pPr>
      <w:widowControl w:val="0"/>
      <w:autoSpaceDE w:val="0"/>
      <w:autoSpaceDN w:val="0"/>
      <w:adjustRightInd w:val="0"/>
      <w:ind w:firstLine="720"/>
      <w:jc w:val="both"/>
    </w:pPr>
    <w:rPr>
      <w:rFonts w:ascii="等线" w:hAnsi="等线" w:eastAsia="等线" w:cs="等线"/>
      <w:lang w:val="en-US" w:eastAsia="zh-CN" w:bidi="ar-SA"/>
    </w:rPr>
  </w:style>
  <w:style w:type="paragraph" w:customStyle="1" w:styleId="686">
    <w:name w:val="Test2"/>
    <w:basedOn w:val="2"/>
    <w:autoRedefine/>
    <w:qFormat/>
    <w:uiPriority w:val="0"/>
    <w:pPr>
      <w:keepNext w:val="0"/>
      <w:keepLines w:val="0"/>
      <w:widowControl/>
      <w:tabs>
        <w:tab w:val="left" w:pos="774"/>
      </w:tabs>
      <w:autoSpaceDE w:val="0"/>
      <w:autoSpaceDN w:val="0"/>
      <w:adjustRightInd w:val="0"/>
      <w:snapToGrid w:val="0"/>
      <w:spacing w:before="360" w:after="360" w:line="240" w:lineRule="atLeast"/>
      <w:ind w:left="774" w:hanging="576"/>
      <w:jc w:val="left"/>
    </w:pPr>
    <w:rPr>
      <w:rFonts w:ascii="仿宋_GB2312" w:hAnsi="Tahoma" w:eastAsia="仿宋_GB2312"/>
      <w:b w:val="0"/>
      <w:bCs w:val="0"/>
      <w:snapToGrid w:val="0"/>
      <w:kern w:val="0"/>
      <w:sz w:val="28"/>
    </w:rPr>
  </w:style>
  <w:style w:type="paragraph" w:customStyle="1" w:styleId="687">
    <w:name w:val="No Spacing1"/>
    <w:autoRedefine/>
    <w:qFormat/>
    <w:uiPriority w:val="0"/>
    <w:rPr>
      <w:rFonts w:ascii="Century Gothic" w:hAnsi="Century Gothic" w:eastAsia="仿宋_GB2312" w:cs="新宋体"/>
      <w:sz w:val="22"/>
      <w:szCs w:val="22"/>
      <w:lang w:val="en-US" w:eastAsia="zh-CN" w:bidi="ar-SA"/>
    </w:rPr>
  </w:style>
  <w:style w:type="paragraph" w:customStyle="1" w:styleId="688">
    <w:name w:val="正文字缩2字"/>
    <w:basedOn w:val="1"/>
    <w:autoRedefine/>
    <w:qFormat/>
    <w:uiPriority w:val="0"/>
    <w:pPr>
      <w:spacing w:before="60" w:after="60" w:line="360" w:lineRule="auto"/>
      <w:ind w:left="200" w:leftChars="200" w:firstLine="200" w:firstLineChars="200"/>
    </w:pPr>
    <w:rPr>
      <w:rFonts w:ascii="等线" w:hAnsi="等线" w:eastAsia="等线" w:cs="等线"/>
      <w:sz w:val="24"/>
    </w:rPr>
  </w:style>
  <w:style w:type="paragraph" w:customStyle="1" w:styleId="689">
    <w:name w:val="xl41"/>
    <w:basedOn w:val="1"/>
    <w:autoRedefine/>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90">
    <w:name w:val="题目副题"/>
    <w:basedOn w:val="48"/>
    <w:autoRedefine/>
    <w:qFormat/>
    <w:uiPriority w:val="0"/>
    <w:pPr>
      <w:spacing w:before="0" w:after="312"/>
      <w:ind w:left="240" w:firstLine="600" w:firstLineChars="200"/>
      <w:jc w:val="left"/>
      <w:outlineLvl w:val="9"/>
    </w:pPr>
    <w:rPr>
      <w:rFonts w:ascii="宋体" w:hAnsi="宋体" w:eastAsia="宋体"/>
      <w:bCs w:val="0"/>
      <w:sz w:val="30"/>
      <w:szCs w:val="20"/>
    </w:rPr>
  </w:style>
  <w:style w:type="paragraph" w:customStyle="1" w:styleId="691">
    <w:name w:val="xl53"/>
    <w:basedOn w:val="1"/>
    <w:autoRedefine/>
    <w:qFormat/>
    <w:uiPriority w:val="0"/>
    <w:pPr>
      <w:widowControl/>
      <w:pBdr>
        <w:left w:val="single" w:color="auto" w:sz="4" w:space="0"/>
        <w:right w:val="single" w:color="auto" w:sz="4" w:space="0"/>
      </w:pBdr>
      <w:spacing w:before="100" w:beforeAutospacing="1" w:after="100" w:afterAutospacing="1"/>
      <w:jc w:val="center"/>
    </w:pPr>
    <w:rPr>
      <w:rFonts w:ascii="等线" w:hAnsi="等线" w:eastAsia="等线" w:cs="等线"/>
      <w:kern w:val="0"/>
      <w:sz w:val="20"/>
      <w:szCs w:val="20"/>
    </w:rPr>
  </w:style>
  <w:style w:type="paragraph" w:customStyle="1" w:styleId="692">
    <w:name w:val="ÕýÎÄÊ×ÐÐËõ½ø"/>
    <w:basedOn w:val="1"/>
    <w:autoRedefine/>
    <w:qFormat/>
    <w:uiPriority w:val="0"/>
    <w:pPr>
      <w:widowControl/>
      <w:overflowPunct w:val="0"/>
      <w:autoSpaceDE w:val="0"/>
      <w:autoSpaceDN w:val="0"/>
      <w:adjustRightInd w:val="0"/>
      <w:spacing w:line="360" w:lineRule="auto"/>
      <w:ind w:left="1134"/>
      <w:jc w:val="left"/>
      <w:textAlignment w:val="baseline"/>
    </w:pPr>
    <w:rPr>
      <w:rFonts w:ascii="等线" w:hAnsi="等线" w:eastAsia="新宋体" w:cs="等线"/>
      <w:kern w:val="0"/>
      <w:sz w:val="20"/>
      <w:szCs w:val="20"/>
    </w:rPr>
  </w:style>
  <w:style w:type="paragraph" w:customStyle="1" w:styleId="693">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694">
    <w:name w:val="Char Char Char2 Char"/>
    <w:basedOn w:val="1"/>
    <w:autoRedefine/>
    <w:qFormat/>
    <w:uiPriority w:val="0"/>
    <w:pPr>
      <w:tabs>
        <w:tab w:val="left" w:pos="360"/>
        <w:tab w:val="left" w:pos="420"/>
      </w:tabs>
      <w:ind w:left="360" w:hanging="360"/>
    </w:pPr>
    <w:rPr>
      <w:rFonts w:ascii="等线" w:hAnsi="等线" w:eastAsia="等线" w:cs="等线"/>
    </w:rPr>
  </w:style>
  <w:style w:type="paragraph" w:customStyle="1" w:styleId="695">
    <w:name w:val="Char2 Char Char"/>
    <w:basedOn w:val="1"/>
    <w:autoRedefine/>
    <w:qFormat/>
    <w:uiPriority w:val="0"/>
    <w:pPr>
      <w:spacing w:line="360" w:lineRule="auto"/>
      <w:ind w:firstLine="200" w:firstLineChars="200"/>
    </w:pPr>
    <w:rPr>
      <w:rFonts w:ascii="Tahoma" w:hAnsi="Tahoma" w:eastAsia="等线" w:cs="等线"/>
      <w:sz w:val="24"/>
      <w:szCs w:val="20"/>
    </w:rPr>
  </w:style>
  <w:style w:type="paragraph" w:customStyle="1" w:styleId="696">
    <w:name w:val="xl5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69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698">
    <w:name w:val="font9"/>
    <w:basedOn w:val="1"/>
    <w:autoRedefine/>
    <w:qFormat/>
    <w:uiPriority w:val="0"/>
    <w:pPr>
      <w:widowControl/>
      <w:spacing w:before="100" w:beforeAutospacing="1" w:after="100" w:afterAutospacing="1"/>
      <w:jc w:val="left"/>
    </w:pPr>
    <w:rPr>
      <w:rFonts w:hint="eastAsia" w:ascii="宋体" w:hAnsi="宋体" w:eastAsia="等线" w:cs="等线"/>
      <w:kern w:val="0"/>
      <w:sz w:val="24"/>
    </w:rPr>
  </w:style>
  <w:style w:type="paragraph" w:customStyle="1" w:styleId="699">
    <w:name w:val="Char Char Char Char Char Char"/>
    <w:basedOn w:val="1"/>
    <w:autoRedefine/>
    <w:qFormat/>
    <w:uiPriority w:val="0"/>
    <w:rPr>
      <w:rFonts w:ascii="Tahoma" w:hAnsi="Tahoma" w:eastAsia="等线" w:cs="等线"/>
      <w:sz w:val="24"/>
      <w:szCs w:val="20"/>
    </w:rPr>
  </w:style>
  <w:style w:type="paragraph" w:customStyle="1" w:styleId="700">
    <w:name w:val="font1"/>
    <w:basedOn w:val="1"/>
    <w:autoRedefine/>
    <w:qFormat/>
    <w:uiPriority w:val="0"/>
    <w:pPr>
      <w:widowControl/>
      <w:spacing w:before="100" w:beforeAutospacing="1" w:after="100" w:afterAutospacing="1"/>
      <w:jc w:val="left"/>
    </w:pPr>
    <w:rPr>
      <w:rFonts w:hint="eastAsia" w:ascii="宋体" w:hAnsi="宋体" w:eastAsia="等线" w:cs="等线"/>
      <w:kern w:val="0"/>
      <w:sz w:val="24"/>
    </w:rPr>
  </w:style>
  <w:style w:type="paragraph" w:customStyle="1" w:styleId="701">
    <w:name w:val="xl2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702">
    <w:name w:val="xl25"/>
    <w:basedOn w:val="1"/>
    <w:autoRedefine/>
    <w:qFormat/>
    <w:uiPriority w:val="0"/>
    <w:pPr>
      <w:widowControl/>
      <w:autoSpaceDE w:val="0"/>
      <w:autoSpaceDN w:val="0"/>
      <w:adjustRightInd w:val="0"/>
      <w:spacing w:before="100" w:beforeAutospacing="1" w:after="100" w:afterAutospacing="1"/>
      <w:jc w:val="center"/>
      <w:textAlignment w:val="center"/>
    </w:pPr>
    <w:rPr>
      <w:rFonts w:hint="eastAsia" w:ascii="Arial Unicode MS" w:hAnsi="仿宋_GB2312" w:eastAsia="Arial Unicode MS" w:cs="等线"/>
      <w:kern w:val="0"/>
      <w:sz w:val="24"/>
      <w:szCs w:val="20"/>
    </w:rPr>
  </w:style>
  <w:style w:type="paragraph" w:customStyle="1" w:styleId="703">
    <w:name w:val="xl3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等线" w:hAnsi="等线" w:eastAsia="等线" w:cs="等线"/>
      <w:kern w:val="0"/>
      <w:sz w:val="24"/>
    </w:rPr>
  </w:style>
  <w:style w:type="paragraph" w:customStyle="1" w:styleId="704">
    <w:name w:val="style1"/>
    <w:basedOn w:val="1"/>
    <w:autoRedefine/>
    <w:qFormat/>
    <w:uiPriority w:val="0"/>
    <w:pPr>
      <w:widowControl/>
      <w:spacing w:before="100" w:beforeAutospacing="1" w:after="100" w:afterAutospacing="1" w:line="360" w:lineRule="auto"/>
      <w:ind w:firstLine="200" w:firstLineChars="200"/>
      <w:jc w:val="left"/>
    </w:pPr>
    <w:rPr>
      <w:rFonts w:ascii="宋体" w:hAnsi="宋体" w:eastAsia="等线" w:cs="宋体"/>
      <w:b/>
      <w:bCs/>
      <w:color w:val="FF0000"/>
      <w:kern w:val="0"/>
      <w:sz w:val="28"/>
      <w:szCs w:val="28"/>
    </w:rPr>
  </w:style>
  <w:style w:type="paragraph" w:customStyle="1" w:styleId="705">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等线" w:hAnsi="等线" w:eastAsia="等线" w:cs="等线"/>
      <w:kern w:val="0"/>
      <w:sz w:val="24"/>
    </w:rPr>
  </w:style>
  <w:style w:type="paragraph" w:customStyle="1" w:styleId="706">
    <w:name w:val="TOC Heading1"/>
    <w:basedOn w:val="4"/>
    <w:next w:val="1"/>
    <w:autoRedefine/>
    <w:qFormat/>
    <w:uiPriority w:val="0"/>
    <w:pPr>
      <w:keepLines/>
      <w:widowControl/>
      <w:spacing w:before="480" w:line="276" w:lineRule="auto"/>
      <w:jc w:val="left"/>
      <w:outlineLvl w:val="9"/>
    </w:pPr>
    <w:rPr>
      <w:rFonts w:ascii="Verdana" w:hAnsi="Verdana" w:eastAsia="仿宋_GB2312" w:cs="新宋体"/>
      <w:color w:val="365F91"/>
      <w:kern w:val="0"/>
      <w:sz w:val="28"/>
      <w:szCs w:val="28"/>
    </w:rPr>
  </w:style>
  <w:style w:type="paragraph" w:customStyle="1" w:styleId="707">
    <w:name w:val="正文文字表格居中"/>
    <w:basedOn w:val="1"/>
    <w:next w:val="55"/>
    <w:autoRedefine/>
    <w:qFormat/>
    <w:uiPriority w:val="0"/>
    <w:pPr>
      <w:autoSpaceDE w:val="0"/>
      <w:autoSpaceDN w:val="0"/>
      <w:adjustRightInd w:val="0"/>
      <w:snapToGrid w:val="0"/>
      <w:spacing w:line="360" w:lineRule="auto"/>
      <w:jc w:val="left"/>
    </w:pPr>
    <w:rPr>
      <w:rFonts w:ascii="仿宋_GB2312" w:hAnsi="等线" w:eastAsia="等线" w:cs="等线"/>
      <w:b/>
      <w:kern w:val="0"/>
      <w:sz w:val="24"/>
      <w:szCs w:val="20"/>
    </w:rPr>
  </w:style>
  <w:style w:type="paragraph" w:customStyle="1" w:styleId="708">
    <w:name w:val="普通 (Web)"/>
    <w:basedOn w:val="1"/>
    <w:autoRedefine/>
    <w:qFormat/>
    <w:uiPriority w:val="0"/>
    <w:pPr>
      <w:widowControl/>
      <w:spacing w:before="100" w:after="100"/>
      <w:jc w:val="left"/>
    </w:pPr>
    <w:rPr>
      <w:rFonts w:ascii="宋体" w:hAnsi="宋体" w:eastAsia="等线" w:cs="等线"/>
      <w:kern w:val="0"/>
      <w:sz w:val="24"/>
      <w:szCs w:val="20"/>
    </w:rPr>
  </w:style>
  <w:style w:type="paragraph" w:customStyle="1" w:styleId="709">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_GB2312" w:hAnsi="仿宋_GB2312" w:eastAsia="等线" w:cs="仿宋_GB2312"/>
      <w:color w:val="000000"/>
      <w:kern w:val="0"/>
      <w:sz w:val="24"/>
    </w:rPr>
  </w:style>
  <w:style w:type="paragraph" w:customStyle="1" w:styleId="710">
    <w:name w:val="列出段落2"/>
    <w:basedOn w:val="1"/>
    <w:autoRedefine/>
    <w:qFormat/>
    <w:uiPriority w:val="0"/>
    <w:pPr>
      <w:spacing w:line="360" w:lineRule="auto"/>
      <w:ind w:firstLine="420" w:firstLineChars="200"/>
    </w:pPr>
    <w:rPr>
      <w:rFonts w:ascii="等线" w:hAnsi="等线" w:eastAsia="等线" w:cs="等线"/>
      <w:szCs w:val="20"/>
    </w:rPr>
  </w:style>
  <w:style w:type="paragraph" w:customStyle="1" w:styleId="711">
    <w:name w:val="xl47"/>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等线" w:cs="等线"/>
      <w:kern w:val="0"/>
      <w:sz w:val="20"/>
      <w:szCs w:val="20"/>
    </w:rPr>
  </w:style>
  <w:style w:type="paragraph" w:customStyle="1" w:styleId="712">
    <w:name w:val="Char Char1 Char Char"/>
    <w:basedOn w:val="1"/>
    <w:autoRedefine/>
    <w:qFormat/>
    <w:uiPriority w:val="0"/>
    <w:pPr>
      <w:tabs>
        <w:tab w:val="left" w:pos="360"/>
      </w:tabs>
      <w:spacing w:line="360" w:lineRule="auto"/>
      <w:ind w:firstLine="200" w:firstLineChars="200"/>
    </w:pPr>
    <w:rPr>
      <w:rFonts w:ascii="等线" w:hAnsi="等线" w:eastAsia="等线" w:cs="等线"/>
      <w:sz w:val="24"/>
      <w:szCs w:val="20"/>
    </w:rPr>
  </w:style>
  <w:style w:type="paragraph" w:customStyle="1" w:styleId="713">
    <w:name w:val="xl11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714">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Calibri" w:hAnsi="Calibri" w:eastAsia="Calibri" w:cs="仿宋_GB2312"/>
      <w:color w:val="000000"/>
      <w:kern w:val="0"/>
      <w:sz w:val="24"/>
    </w:rPr>
  </w:style>
  <w:style w:type="paragraph" w:customStyle="1" w:styleId="715">
    <w:name w:val="1、"/>
    <w:basedOn w:val="1"/>
    <w:autoRedefine/>
    <w:qFormat/>
    <w:uiPriority w:val="0"/>
    <w:pPr>
      <w:adjustRightInd w:val="0"/>
      <w:spacing w:line="454" w:lineRule="atLeast"/>
      <w:ind w:left="1276" w:hanging="426" w:firstLineChars="200"/>
      <w:textAlignment w:val="baseline"/>
    </w:pPr>
    <w:rPr>
      <w:rFonts w:ascii="PMingLiU" w:hAnsi="等线" w:eastAsia="PMingLiU" w:cs="等线"/>
      <w:kern w:val="0"/>
      <w:sz w:val="28"/>
      <w:szCs w:val="20"/>
      <w:lang w:eastAsia="zh-TW"/>
    </w:rPr>
  </w:style>
  <w:style w:type="paragraph" w:customStyle="1" w:styleId="716">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等线" w:hAnsi="等线" w:eastAsia="Times New Roman" w:cs="等线"/>
      <w:kern w:val="0"/>
      <w:szCs w:val="22"/>
    </w:rPr>
  </w:style>
  <w:style w:type="paragraph" w:customStyle="1" w:styleId="717">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eastAsia="等线" w:cs="等线"/>
      <w:kern w:val="0"/>
      <w:sz w:val="24"/>
    </w:rPr>
  </w:style>
  <w:style w:type="paragraph" w:customStyle="1" w:styleId="718">
    <w:name w:val="正文缩进HS-正文1"/>
    <w:basedOn w:val="1"/>
    <w:autoRedefine/>
    <w:qFormat/>
    <w:uiPriority w:val="0"/>
    <w:pPr>
      <w:jc w:val="center"/>
    </w:pPr>
    <w:rPr>
      <w:rFonts w:ascii="宋体" w:hAnsi="宋体" w:eastAsia="等线" w:cs="等线"/>
      <w:color w:val="000000"/>
      <w:szCs w:val="21"/>
    </w:rPr>
  </w:style>
  <w:style w:type="paragraph" w:customStyle="1" w:styleId="719">
    <w:name w:val="列项——（一级）"/>
    <w:autoRedefine/>
    <w:qFormat/>
    <w:uiPriority w:val="0"/>
    <w:pPr>
      <w:widowControl w:val="0"/>
      <w:tabs>
        <w:tab w:val="left" w:pos="854"/>
        <w:tab w:val="left" w:pos="1260"/>
      </w:tabs>
      <w:ind w:left="1260" w:hanging="420"/>
      <w:jc w:val="both"/>
    </w:pPr>
    <w:rPr>
      <w:rFonts w:ascii="仿宋_GB2312" w:hAnsi="等线" w:eastAsia="等线" w:cs="等线"/>
      <w:sz w:val="21"/>
      <w:lang w:val="en-US" w:eastAsia="zh-CN" w:bidi="ar-SA"/>
    </w:rPr>
  </w:style>
  <w:style w:type="paragraph" w:customStyle="1" w:styleId="720">
    <w:name w:val="缺省文本"/>
    <w:basedOn w:val="1"/>
    <w:autoRedefine/>
    <w:qFormat/>
    <w:uiPriority w:val="0"/>
    <w:pPr>
      <w:autoSpaceDE w:val="0"/>
      <w:autoSpaceDN w:val="0"/>
      <w:adjustRightInd w:val="0"/>
      <w:spacing w:line="360" w:lineRule="auto"/>
      <w:ind w:firstLine="200" w:firstLineChars="200"/>
      <w:jc w:val="left"/>
    </w:pPr>
    <w:rPr>
      <w:rFonts w:ascii="等线" w:hAnsi="等线" w:eastAsia="等线" w:cs="等线"/>
      <w:kern w:val="0"/>
      <w:sz w:val="24"/>
      <w:szCs w:val="20"/>
    </w:rPr>
  </w:style>
  <w:style w:type="paragraph" w:customStyle="1" w:styleId="721">
    <w:name w:val="xl8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Calibri" w:hAnsi="Calibri" w:eastAsia="Calibri" w:cs="仿宋_GB2312"/>
      <w:color w:val="000000"/>
      <w:kern w:val="0"/>
      <w:sz w:val="24"/>
    </w:rPr>
  </w:style>
  <w:style w:type="paragraph" w:customStyle="1" w:styleId="722">
    <w:name w:val="6"/>
    <w:basedOn w:val="1"/>
    <w:autoRedefine/>
    <w:qFormat/>
    <w:uiPriority w:val="0"/>
    <w:pPr>
      <w:tabs>
        <w:tab w:val="left" w:pos="360"/>
      </w:tabs>
    </w:pPr>
    <w:rPr>
      <w:rFonts w:ascii="等线" w:hAnsi="等线" w:eastAsia="等线" w:cs="等线"/>
      <w:szCs w:val="20"/>
    </w:rPr>
  </w:style>
  <w:style w:type="paragraph" w:customStyle="1" w:styleId="723">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spacing w:line="360" w:lineRule="auto"/>
      <w:ind w:firstLine="200" w:firstLineChars="200"/>
      <w:jc w:val="left"/>
    </w:pPr>
    <w:rPr>
      <w:rFonts w:ascii="Courier New" w:hAnsi="Courier New" w:eastAsia="等线" w:cs="等线"/>
      <w:kern w:val="0"/>
      <w:sz w:val="20"/>
      <w:szCs w:val="20"/>
    </w:rPr>
  </w:style>
  <w:style w:type="paragraph" w:customStyle="1" w:styleId="724">
    <w:name w:val="Char Char Char Char Char Char Char Char Char"/>
    <w:basedOn w:val="1"/>
    <w:autoRedefine/>
    <w:qFormat/>
    <w:uiPriority w:val="0"/>
    <w:pPr>
      <w:widowControl/>
      <w:spacing w:before="100" w:beforeAutospacing="1" w:after="100" w:afterAutospacing="1" w:line="360" w:lineRule="auto"/>
      <w:ind w:left="357"/>
      <w:jc w:val="left"/>
    </w:pPr>
    <w:rPr>
      <w:rFonts w:ascii="ˎ̥" w:hAnsi="ˎ̥" w:eastAsia="等线" w:cs="宋体"/>
      <w:color w:val="51585D"/>
      <w:kern w:val="0"/>
      <w:sz w:val="24"/>
      <w:szCs w:val="18"/>
    </w:rPr>
  </w:style>
  <w:style w:type="paragraph" w:customStyle="1" w:styleId="725">
    <w:name w:val="xl6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等线" w:cs="等线"/>
      <w:kern w:val="0"/>
      <w:sz w:val="24"/>
    </w:rPr>
  </w:style>
  <w:style w:type="paragraph" w:customStyle="1" w:styleId="726">
    <w:name w:val="Char Char Char Char Char Char Char Char Char Char1"/>
    <w:basedOn w:val="1"/>
    <w:autoRedefine/>
    <w:qFormat/>
    <w:uiPriority w:val="0"/>
    <w:pPr>
      <w:widowControl/>
      <w:spacing w:after="160" w:line="240" w:lineRule="exact"/>
      <w:ind w:firstLine="200" w:firstLineChars="200"/>
      <w:jc w:val="left"/>
    </w:pPr>
    <w:rPr>
      <w:rFonts w:ascii="Verdana" w:hAnsi="Verdana" w:eastAsia="仿宋_GB2312" w:cs="等线"/>
      <w:kern w:val="0"/>
      <w:sz w:val="24"/>
      <w:szCs w:val="20"/>
      <w:lang w:eastAsia="en-US"/>
    </w:rPr>
  </w:style>
  <w:style w:type="paragraph" w:customStyle="1" w:styleId="727">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eastAsia="Calibri" w:cs="仿宋_GB2312"/>
      <w:color w:val="000000"/>
      <w:kern w:val="0"/>
      <w:sz w:val="24"/>
    </w:rPr>
  </w:style>
  <w:style w:type="paragraph" w:customStyle="1" w:styleId="728">
    <w:name w:val="xl7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Calibri" w:hAnsi="Calibri" w:eastAsia="Calibri" w:cs="仿宋_GB2312"/>
      <w:b/>
      <w:bCs/>
      <w:color w:val="FF0000"/>
      <w:kern w:val="0"/>
      <w:sz w:val="24"/>
    </w:rPr>
  </w:style>
  <w:style w:type="paragraph" w:customStyle="1" w:styleId="729">
    <w:name w:val="font14"/>
    <w:basedOn w:val="1"/>
    <w:autoRedefine/>
    <w:qFormat/>
    <w:uiPriority w:val="0"/>
    <w:pPr>
      <w:widowControl/>
      <w:spacing w:before="100" w:beforeAutospacing="1" w:after="100" w:afterAutospacing="1"/>
      <w:jc w:val="left"/>
    </w:pPr>
    <w:rPr>
      <w:rFonts w:hint="eastAsia" w:ascii="黑体" w:hAnsi="宋体" w:eastAsia="黑体" w:cs="等线"/>
      <w:kern w:val="0"/>
      <w:sz w:val="18"/>
      <w:szCs w:val="18"/>
    </w:rPr>
  </w:style>
  <w:style w:type="paragraph" w:customStyle="1" w:styleId="730">
    <w:name w:val="正文列表"/>
    <w:basedOn w:val="1"/>
    <w:autoRedefine/>
    <w:qFormat/>
    <w:uiPriority w:val="0"/>
    <w:pPr>
      <w:autoSpaceDE w:val="0"/>
      <w:autoSpaceDN w:val="0"/>
      <w:adjustRightInd w:val="0"/>
      <w:spacing w:line="360" w:lineRule="auto"/>
      <w:ind w:firstLine="200" w:firstLineChars="200"/>
      <w:jc w:val="center"/>
      <w:textAlignment w:val="baseline"/>
    </w:pPr>
    <w:rPr>
      <w:rFonts w:ascii="宋体" w:hAnsi="宋体" w:eastAsia="等线" w:cs="等线"/>
      <w:kern w:val="0"/>
      <w:sz w:val="24"/>
      <w:szCs w:val="20"/>
    </w:rPr>
  </w:style>
  <w:style w:type="paragraph" w:customStyle="1" w:styleId="731">
    <w:name w:val="普通(网站)1"/>
    <w:basedOn w:val="1"/>
    <w:autoRedefine/>
    <w:qFormat/>
    <w:uiPriority w:val="0"/>
    <w:pPr>
      <w:widowControl/>
      <w:spacing w:before="100" w:beforeAutospacing="1" w:after="100" w:afterAutospacing="1" w:line="360" w:lineRule="auto"/>
      <w:ind w:firstLine="200" w:firstLineChars="200"/>
      <w:jc w:val="left"/>
    </w:pPr>
    <w:rPr>
      <w:rFonts w:ascii="宋体" w:hAnsi="宋体" w:eastAsia="等线" w:cs="等线"/>
      <w:color w:val="000000"/>
      <w:kern w:val="0"/>
      <w:sz w:val="24"/>
      <w:szCs w:val="20"/>
    </w:rPr>
  </w:style>
  <w:style w:type="paragraph" w:customStyle="1" w:styleId="732">
    <w:name w:val="p16"/>
    <w:basedOn w:val="1"/>
    <w:autoRedefine/>
    <w:qFormat/>
    <w:uiPriority w:val="0"/>
    <w:pPr>
      <w:widowControl/>
      <w:spacing w:before="100" w:after="100" w:line="360" w:lineRule="auto"/>
      <w:ind w:firstLine="420" w:firstLineChars="200"/>
    </w:pPr>
    <w:rPr>
      <w:rFonts w:ascii="Calibri" w:hAnsi="Calibri" w:eastAsia="等线" w:cs="等线"/>
      <w:kern w:val="0"/>
      <w:sz w:val="24"/>
      <w:szCs w:val="20"/>
    </w:rPr>
  </w:style>
  <w:style w:type="paragraph" w:customStyle="1" w:styleId="733">
    <w:name w:val="Char Char Char1 Char Char Char Char"/>
    <w:basedOn w:val="1"/>
    <w:autoRedefine/>
    <w:qFormat/>
    <w:uiPriority w:val="0"/>
    <w:pPr>
      <w:spacing w:line="360" w:lineRule="auto"/>
      <w:ind w:firstLine="200" w:firstLineChars="200"/>
    </w:pPr>
    <w:rPr>
      <w:rFonts w:ascii="Tahoma" w:hAnsi="Tahoma" w:eastAsia="等线" w:cs="等线"/>
      <w:sz w:val="24"/>
      <w:szCs w:val="20"/>
    </w:rPr>
  </w:style>
  <w:style w:type="paragraph" w:customStyle="1" w:styleId="734">
    <w:name w:val="text1"/>
    <w:autoRedefine/>
    <w:qFormat/>
    <w:uiPriority w:val="0"/>
    <w:rPr>
      <w:rFonts w:ascii="等线" w:hAnsi="等线" w:eastAsia="DFKai-SB" w:cs="等线"/>
      <w:sz w:val="28"/>
      <w:lang w:val="en-US" w:eastAsia="zh-TW" w:bidi="ar-SA"/>
    </w:rPr>
  </w:style>
  <w:style w:type="table" w:customStyle="1" w:styleId="735">
    <w:name w:val="网格表 1 浅色 - 着色 41"/>
    <w:basedOn w:val="63"/>
    <w:autoRedefine/>
    <w:qFormat/>
    <w:uiPriority w:val="46"/>
    <w:rPr>
      <w:rFonts w:hint="eastAsia" w:ascii="等线" w:hAnsi="等线" w:eastAsia="等线" w:cs="等线"/>
    </w:rPr>
    <w:tblPr>
      <w:tblBorders>
        <w:top w:val="single" w:color="FFE599" w:sz="4" w:space="0"/>
        <w:left w:val="single" w:color="FFE599" w:sz="4" w:space="0"/>
        <w:bottom w:val="single" w:color="FFE599" w:sz="4" w:space="0"/>
        <w:right w:val="single" w:color="FFE599" w:sz="4" w:space="0"/>
        <w:insideH w:val="single" w:color="FFE599" w:sz="4" w:space="0"/>
        <w:insideV w:val="single" w:color="FFE599" w:sz="4" w:space="0"/>
      </w:tblBorders>
      <w:tblCellMar>
        <w:top w:w="0" w:type="dxa"/>
        <w:left w:w="108" w:type="dxa"/>
        <w:bottom w:w="0" w:type="dxa"/>
        <w:right w:w="108" w:type="dxa"/>
      </w:tblCellMar>
    </w:tblPr>
    <w:tblStylePr w:type="firstRow">
      <w:rPr>
        <w:b/>
        <w:bCs/>
      </w:rPr>
      <w:tcPr>
        <w:tcBorders>
          <w:top w:val="nil"/>
          <w:left w:val="nil"/>
          <w:bottom w:val="single" w:color="FFD966" w:sz="12" w:space="0"/>
          <w:right w:val="nil"/>
          <w:insideH w:val="nil"/>
          <w:insideV w:val="nil"/>
          <w:tl2br w:val="nil"/>
          <w:tr2bl w:val="nil"/>
        </w:tcBorders>
      </w:tcPr>
    </w:tblStylePr>
    <w:tblStylePr w:type="lastRow">
      <w:rPr>
        <w:b/>
        <w:bCs/>
      </w:rPr>
      <w:tcPr>
        <w:tcBorders>
          <w:top w:val="double" w:color="FFD966"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table" w:customStyle="1" w:styleId="736">
    <w:name w:val="网格表 5 深色 - 着色 11"/>
    <w:basedOn w:val="63"/>
    <w:autoRedefine/>
    <w:qFormat/>
    <w:uiPriority w:val="50"/>
    <w:rPr>
      <w:rFonts w:hint="eastAsia" w:ascii="等线" w:hAnsi="等线" w:eastAsia="等线" w:cs="等线"/>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
    <w:tcPr>
      <w:shd w:val="clear" w:color="auto" w:fill="DEEAF6"/>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5B9BD5"/>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5B9BD5"/>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5B9BD5"/>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5B9BD5"/>
      </w:tcPr>
    </w:tblStylePr>
    <w:tblStylePr w:type="band1Vert">
      <w:tcPr>
        <w:shd w:val="clear" w:color="auto" w:fill="BDD6EE"/>
      </w:tcPr>
    </w:tblStylePr>
    <w:tblStylePr w:type="band1Horz">
      <w:tcPr>
        <w:shd w:val="clear" w:color="auto" w:fill="BDD6EE"/>
      </w:tcPr>
    </w:tblStylePr>
  </w:style>
  <w:style w:type="table" w:customStyle="1" w:styleId="737">
    <w:name w:val="网格型浅色1"/>
    <w:basedOn w:val="63"/>
    <w:autoRedefine/>
    <w:qFormat/>
    <w:uiPriority w:val="40"/>
    <w:rPr>
      <w:rFonts w:hint="eastAsia" w:ascii="等线" w:hAnsi="等线" w:eastAsia="等线" w:cs="等线"/>
    </w:rPr>
    <w:tblPr>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CellMar>
        <w:top w:w="0" w:type="dxa"/>
        <w:left w:w="108" w:type="dxa"/>
        <w:bottom w:w="0" w:type="dxa"/>
        <w:right w:w="108" w:type="dxa"/>
      </w:tblCellMar>
    </w:tblPr>
  </w:style>
  <w:style w:type="table" w:customStyle="1" w:styleId="738">
    <w:name w:val="网格表 1 浅色 - 着色 31"/>
    <w:basedOn w:val="63"/>
    <w:autoRedefine/>
    <w:qFormat/>
    <w:uiPriority w:val="46"/>
    <w:rPr>
      <w:rFonts w:hint="eastAsia" w:ascii="等线" w:hAnsi="等线" w:eastAsia="等线" w:cs="等线"/>
    </w:rPr>
    <w:tblPr>
      <w:tblBorders>
        <w:top w:val="single" w:color="DBDBDB" w:sz="4" w:space="0"/>
        <w:left w:val="single" w:color="DBDBDB" w:sz="4" w:space="0"/>
        <w:bottom w:val="single" w:color="DBDBDB" w:sz="4" w:space="0"/>
        <w:right w:val="single" w:color="DBDBDB" w:sz="4" w:space="0"/>
        <w:insideH w:val="single" w:color="DBDBDB" w:sz="4" w:space="0"/>
        <w:insideV w:val="single" w:color="DBDBDB" w:sz="4" w:space="0"/>
      </w:tblBorders>
      <w:tblCellMar>
        <w:top w:w="0" w:type="dxa"/>
        <w:left w:w="108" w:type="dxa"/>
        <w:bottom w:w="0" w:type="dxa"/>
        <w:right w:w="108" w:type="dxa"/>
      </w:tblCellMar>
    </w:tblPr>
    <w:tblStylePr w:type="firstRow">
      <w:rPr>
        <w:b/>
        <w:bCs/>
      </w:rPr>
      <w:tcPr>
        <w:tcBorders>
          <w:top w:val="nil"/>
          <w:left w:val="nil"/>
          <w:bottom w:val="single" w:color="C9C9C9" w:sz="12" w:space="0"/>
          <w:right w:val="nil"/>
          <w:insideH w:val="nil"/>
          <w:insideV w:val="nil"/>
          <w:tl2br w:val="nil"/>
          <w:tr2bl w:val="nil"/>
        </w:tcBorders>
      </w:tcPr>
    </w:tblStylePr>
    <w:tblStylePr w:type="lastRow">
      <w:rPr>
        <w:b/>
        <w:bCs/>
      </w:rPr>
      <w:tcPr>
        <w:tcBorders>
          <w:top w:val="double" w:color="C9C9C9" w:sz="2" w:space="0"/>
          <w:left w:val="nil"/>
          <w:bottom w:val="nil"/>
          <w:right w:val="nil"/>
          <w:insideH w:val="nil"/>
          <w:insideV w:val="nil"/>
          <w:tl2br w:val="nil"/>
          <w:tr2bl w:val="nil"/>
        </w:tcBorders>
      </w:tcPr>
    </w:tblStylePr>
    <w:tblStylePr w:type="firstCol">
      <w:rPr>
        <w:b/>
        <w:bCs/>
      </w:rPr>
    </w:tblStylePr>
    <w:tblStylePr w:type="lastCol">
      <w:rPr>
        <w:b/>
        <w:bCs/>
      </w:rPr>
    </w:tblStylePr>
  </w:style>
  <w:style w:type="character" w:customStyle="1" w:styleId="739">
    <w:name w:val="表格 Char"/>
    <w:autoRedefine/>
    <w:qFormat/>
    <w:uiPriority w:val="99"/>
    <w:rPr>
      <w:kern w:val="2"/>
      <w:sz w:val="24"/>
    </w:rPr>
  </w:style>
  <w:style w:type="character" w:customStyle="1" w:styleId="740">
    <w:name w:val="font51"/>
    <w:autoRedefine/>
    <w:qFormat/>
    <w:uiPriority w:val="0"/>
    <w:rPr>
      <w:rFonts w:hint="eastAsia" w:ascii="宋体" w:hAnsi="宋体" w:eastAsia="宋体" w:cs="宋体"/>
      <w:color w:val="000000"/>
      <w:sz w:val="24"/>
      <w:szCs w:val="24"/>
      <w:u w:val="none"/>
    </w:rPr>
  </w:style>
  <w:style w:type="character" w:customStyle="1" w:styleId="741">
    <w:name w:val="fontstyle31"/>
    <w:autoRedefine/>
    <w:qFormat/>
    <w:uiPriority w:val="0"/>
    <w:rPr>
      <w:rFonts w:ascii="TimesNewRomanPSMT" w:hAnsi="TimesNewRomanPSMT" w:eastAsia="TimesNewRomanPSMT" w:cs="TimesNewRomanPSMT"/>
      <w:color w:val="000000"/>
      <w:sz w:val="22"/>
      <w:szCs w:val="22"/>
    </w:rPr>
  </w:style>
  <w:style w:type="character" w:customStyle="1" w:styleId="742">
    <w:name w:val="尾注文本 Char"/>
    <w:autoRedefine/>
    <w:qFormat/>
    <w:uiPriority w:val="1"/>
    <w:rPr>
      <w:kern w:val="2"/>
      <w:sz w:val="28"/>
      <w:szCs w:val="24"/>
    </w:rPr>
  </w:style>
  <w:style w:type="character" w:customStyle="1" w:styleId="743">
    <w:name w:val="font81"/>
    <w:autoRedefine/>
    <w:qFormat/>
    <w:uiPriority w:val="0"/>
    <w:rPr>
      <w:rFonts w:hint="eastAsia" w:ascii="宋体" w:hAnsi="宋体" w:eastAsia="宋体" w:cs="宋体"/>
      <w:color w:val="000000"/>
      <w:sz w:val="20"/>
      <w:szCs w:val="20"/>
      <w:u w:val="none"/>
    </w:rPr>
  </w:style>
  <w:style w:type="character" w:customStyle="1" w:styleId="744">
    <w:name w:val="font101"/>
    <w:autoRedefine/>
    <w:qFormat/>
    <w:uiPriority w:val="0"/>
    <w:rPr>
      <w:rFonts w:hint="eastAsia" w:ascii="宋体" w:hAnsi="宋体" w:eastAsia="宋体" w:cs="宋体"/>
      <w:b/>
      <w:color w:val="000000"/>
      <w:sz w:val="24"/>
      <w:szCs w:val="24"/>
      <w:u w:val="none"/>
    </w:rPr>
  </w:style>
  <w:style w:type="character" w:customStyle="1" w:styleId="745">
    <w:name w:val="表头编号 Char"/>
    <w:link w:val="746"/>
    <w:autoRedefine/>
    <w:qFormat/>
    <w:uiPriority w:val="0"/>
    <w:rPr>
      <w:rFonts w:eastAsia="黑体"/>
      <w:sz w:val="24"/>
      <w:szCs w:val="24"/>
    </w:rPr>
  </w:style>
  <w:style w:type="paragraph" w:customStyle="1" w:styleId="746">
    <w:name w:val="表头编号"/>
    <w:basedOn w:val="1"/>
    <w:next w:val="747"/>
    <w:link w:val="745"/>
    <w:autoRedefine/>
    <w:qFormat/>
    <w:uiPriority w:val="0"/>
    <w:pPr>
      <w:adjustRightInd w:val="0"/>
      <w:snapToGrid w:val="0"/>
      <w:spacing w:line="360" w:lineRule="auto"/>
      <w:jc w:val="left"/>
    </w:pPr>
    <w:rPr>
      <w:rFonts w:eastAsia="黑体"/>
      <w:kern w:val="0"/>
      <w:sz w:val="24"/>
    </w:rPr>
  </w:style>
  <w:style w:type="paragraph" w:customStyle="1" w:styleId="747">
    <w:name w:val="表格文本"/>
    <w:basedOn w:val="1"/>
    <w:next w:val="1"/>
    <w:link w:val="808"/>
    <w:autoRedefine/>
    <w:qFormat/>
    <w:uiPriority w:val="0"/>
    <w:pPr>
      <w:adjustRightInd w:val="0"/>
      <w:snapToGrid w:val="0"/>
      <w:jc w:val="center"/>
    </w:pPr>
    <w:rPr>
      <w:color w:val="000000"/>
      <w:kern w:val="0"/>
      <w:sz w:val="24"/>
      <w:szCs w:val="21"/>
    </w:rPr>
  </w:style>
  <w:style w:type="character" w:customStyle="1" w:styleId="748">
    <w:name w:val="表格文字 Char"/>
    <w:link w:val="749"/>
    <w:autoRedefine/>
    <w:qFormat/>
    <w:uiPriority w:val="0"/>
    <w:rPr>
      <w:kern w:val="2"/>
      <w:sz w:val="21"/>
      <w:szCs w:val="21"/>
    </w:rPr>
  </w:style>
  <w:style w:type="paragraph" w:customStyle="1" w:styleId="749">
    <w:name w:val="表格文字"/>
    <w:basedOn w:val="265"/>
    <w:next w:val="25"/>
    <w:link w:val="748"/>
    <w:autoRedefine/>
    <w:qFormat/>
    <w:uiPriority w:val="0"/>
    <w:pPr>
      <w:autoSpaceDE/>
      <w:autoSpaceDN/>
      <w:spacing w:beforeLines="25" w:afterLines="25"/>
      <w:ind w:firstLine="0" w:firstLineChars="0"/>
      <w:jc w:val="center"/>
    </w:pPr>
    <w:rPr>
      <w:rFonts w:ascii="Times New Roman" w:hAnsi="Times New Roman" w:eastAsia="宋体"/>
      <w:kern w:val="2"/>
      <w:sz w:val="21"/>
      <w:szCs w:val="21"/>
    </w:rPr>
  </w:style>
  <w:style w:type="character" w:customStyle="1" w:styleId="750">
    <w:name w:val="font71"/>
    <w:autoRedefine/>
    <w:qFormat/>
    <w:uiPriority w:val="0"/>
    <w:rPr>
      <w:rFonts w:hint="eastAsia" w:ascii="宋体" w:hAnsi="宋体" w:eastAsia="宋体" w:cs="宋体"/>
      <w:color w:val="000000"/>
      <w:sz w:val="24"/>
      <w:szCs w:val="24"/>
      <w:u w:val="none"/>
    </w:rPr>
  </w:style>
  <w:style w:type="character" w:customStyle="1" w:styleId="751">
    <w:name w:val="表格标题/图片标题/日期格式/图片居中 Char"/>
    <w:link w:val="752"/>
    <w:autoRedefine/>
    <w:qFormat/>
    <w:uiPriority w:val="0"/>
    <w:rPr>
      <w:b/>
      <w:kern w:val="2"/>
      <w:sz w:val="28"/>
      <w:szCs w:val="24"/>
    </w:rPr>
  </w:style>
  <w:style w:type="paragraph" w:customStyle="1" w:styleId="752">
    <w:name w:val="表格标题/图片标题/日期格式/图片居中"/>
    <w:link w:val="751"/>
    <w:autoRedefine/>
    <w:qFormat/>
    <w:uiPriority w:val="0"/>
    <w:pPr>
      <w:jc w:val="center"/>
    </w:pPr>
    <w:rPr>
      <w:rFonts w:ascii="Times New Roman" w:hAnsi="Times New Roman" w:eastAsia="宋体" w:cs="Times New Roman"/>
      <w:b/>
      <w:kern w:val="2"/>
      <w:sz w:val="28"/>
      <w:szCs w:val="24"/>
      <w:lang w:val="en-US" w:eastAsia="zh-CN" w:bidi="ar-SA"/>
    </w:rPr>
  </w:style>
  <w:style w:type="character" w:customStyle="1" w:styleId="753">
    <w:name w:val="font61"/>
    <w:autoRedefine/>
    <w:qFormat/>
    <w:uiPriority w:val="0"/>
    <w:rPr>
      <w:rFonts w:hint="eastAsia" w:ascii="宋体" w:hAnsi="宋体" w:eastAsia="宋体" w:cs="宋体"/>
      <w:b/>
      <w:color w:val="000000"/>
      <w:sz w:val="24"/>
      <w:szCs w:val="24"/>
      <w:u w:val="none"/>
    </w:rPr>
  </w:style>
  <w:style w:type="character" w:customStyle="1" w:styleId="754">
    <w:name w:val="font41"/>
    <w:autoRedefine/>
    <w:qFormat/>
    <w:uiPriority w:val="0"/>
    <w:rPr>
      <w:rFonts w:hint="default" w:ascii="Times New Roman" w:hAnsi="Times New Roman" w:cs="Times New Roman"/>
      <w:color w:val="000000"/>
      <w:sz w:val="20"/>
      <w:szCs w:val="20"/>
      <w:u w:val="none"/>
    </w:rPr>
  </w:style>
  <w:style w:type="character" w:customStyle="1" w:styleId="755">
    <w:name w:val="fontstyle21"/>
    <w:autoRedefine/>
    <w:qFormat/>
    <w:uiPriority w:val="0"/>
    <w:rPr>
      <w:rFonts w:ascii="宋体" w:hAnsi="宋体" w:eastAsia="宋体" w:cs="宋体"/>
      <w:color w:val="000000"/>
      <w:sz w:val="22"/>
      <w:szCs w:val="22"/>
    </w:rPr>
  </w:style>
  <w:style w:type="character" w:customStyle="1" w:styleId="756">
    <w:name w:val="font201"/>
    <w:autoRedefine/>
    <w:qFormat/>
    <w:uiPriority w:val="0"/>
    <w:rPr>
      <w:rFonts w:hint="eastAsia" w:ascii="宋体" w:hAnsi="宋体" w:eastAsia="宋体" w:cs="宋体"/>
      <w:b/>
      <w:color w:val="000000"/>
      <w:sz w:val="24"/>
      <w:szCs w:val="24"/>
      <w:u w:val="none"/>
    </w:rPr>
  </w:style>
  <w:style w:type="character" w:customStyle="1" w:styleId="757">
    <w:name w:val="font221"/>
    <w:autoRedefine/>
    <w:qFormat/>
    <w:uiPriority w:val="0"/>
    <w:rPr>
      <w:rFonts w:hint="eastAsia" w:ascii="宋体" w:hAnsi="宋体" w:eastAsia="宋体" w:cs="宋体"/>
      <w:color w:val="000000"/>
      <w:sz w:val="24"/>
      <w:szCs w:val="24"/>
      <w:u w:val="none"/>
    </w:rPr>
  </w:style>
  <w:style w:type="character" w:customStyle="1" w:styleId="758">
    <w:name w:val="尾注文本 Char1"/>
    <w:basedOn w:val="66"/>
    <w:link w:val="40"/>
    <w:autoRedefine/>
    <w:qFormat/>
    <w:uiPriority w:val="99"/>
    <w:rPr>
      <w:kern w:val="2"/>
      <w:sz w:val="21"/>
      <w:szCs w:val="24"/>
    </w:rPr>
  </w:style>
  <w:style w:type="paragraph" w:customStyle="1" w:styleId="759">
    <w:name w:val="表格文字（居中）"/>
    <w:basedOn w:val="1"/>
    <w:autoRedefine/>
    <w:qFormat/>
    <w:uiPriority w:val="0"/>
    <w:pPr>
      <w:spacing w:line="360" w:lineRule="auto"/>
      <w:ind w:firstLine="200" w:firstLineChars="200"/>
      <w:jc w:val="center"/>
    </w:pPr>
    <w:rPr>
      <w:sz w:val="28"/>
    </w:rPr>
  </w:style>
  <w:style w:type="paragraph" w:customStyle="1" w:styleId="760">
    <w:name w:val="文章正文"/>
    <w:basedOn w:val="1"/>
    <w:autoRedefine/>
    <w:qFormat/>
    <w:uiPriority w:val="0"/>
    <w:pPr>
      <w:spacing w:line="360" w:lineRule="auto"/>
      <w:ind w:firstLine="200" w:firstLineChars="200"/>
    </w:pPr>
    <w:rPr>
      <w:kern w:val="0"/>
      <w:sz w:val="28"/>
      <w:szCs w:val="22"/>
    </w:rPr>
  </w:style>
  <w:style w:type="paragraph" w:customStyle="1" w:styleId="761">
    <w:name w:val="表格内容"/>
    <w:basedOn w:val="1"/>
    <w:autoRedefine/>
    <w:qFormat/>
    <w:uiPriority w:val="0"/>
    <w:pPr>
      <w:jc w:val="center"/>
    </w:pPr>
    <w:rPr>
      <w:sz w:val="24"/>
      <w:szCs w:val="21"/>
    </w:rPr>
  </w:style>
  <w:style w:type="paragraph" w:customStyle="1" w:styleId="762">
    <w:name w:val="图名"/>
    <w:basedOn w:val="1"/>
    <w:next w:val="1"/>
    <w:autoRedefine/>
    <w:qFormat/>
    <w:uiPriority w:val="1"/>
    <w:pPr>
      <w:spacing w:line="360" w:lineRule="auto"/>
      <w:jc w:val="center"/>
    </w:pPr>
    <w:rPr>
      <w:rFonts w:eastAsia="Times New Roman"/>
      <w:b/>
      <w:color w:val="000000"/>
      <w:sz w:val="28"/>
    </w:rPr>
  </w:style>
  <w:style w:type="paragraph" w:customStyle="1" w:styleId="763">
    <w:name w:val="08-123456789"/>
    <w:basedOn w:val="1"/>
    <w:autoRedefine/>
    <w:qFormat/>
    <w:uiPriority w:val="0"/>
    <w:pPr>
      <w:ind w:firstLine="553" w:firstLineChars="200"/>
    </w:pPr>
    <w:rPr>
      <w:rFonts w:cs="宋体"/>
      <w:sz w:val="26"/>
      <w:szCs w:val="26"/>
    </w:rPr>
  </w:style>
  <w:style w:type="paragraph" w:customStyle="1" w:styleId="764">
    <w:name w:val="封面文字"/>
    <w:basedOn w:val="1"/>
    <w:autoRedefine/>
    <w:qFormat/>
    <w:uiPriority w:val="0"/>
    <w:pPr>
      <w:spacing w:line="360" w:lineRule="auto"/>
      <w:jc w:val="center"/>
    </w:pPr>
    <w:rPr>
      <w:rFonts w:hAnsi="宋体" w:eastAsia="黑体"/>
      <w:sz w:val="48"/>
    </w:rPr>
  </w:style>
  <w:style w:type="paragraph" w:customStyle="1" w:styleId="765">
    <w:name w:val="表头、图名"/>
    <w:basedOn w:val="1"/>
    <w:link w:val="807"/>
    <w:autoRedefine/>
    <w:qFormat/>
    <w:uiPriority w:val="0"/>
    <w:pPr>
      <w:spacing w:line="360" w:lineRule="auto"/>
      <w:ind w:firstLine="200" w:firstLineChars="200"/>
      <w:jc w:val="center"/>
    </w:pPr>
    <w:rPr>
      <w:b/>
      <w:sz w:val="28"/>
      <w:szCs w:val="20"/>
    </w:rPr>
  </w:style>
  <w:style w:type="paragraph" w:customStyle="1" w:styleId="766">
    <w:name w:val="表头2"/>
    <w:basedOn w:val="376"/>
    <w:autoRedefine/>
    <w:qFormat/>
    <w:uiPriority w:val="0"/>
    <w:pPr>
      <w:spacing w:line="520" w:lineRule="exact"/>
      <w:jc w:val="left"/>
    </w:pPr>
    <w:rPr>
      <w:rFonts w:ascii="Calibri" w:hAnsi="Calibri" w:eastAsia="宋体"/>
      <w:color w:val="auto"/>
      <w:szCs w:val="28"/>
    </w:rPr>
  </w:style>
  <w:style w:type="paragraph" w:customStyle="1" w:styleId="767">
    <w:name w:val="WPSOffice手动目录 1"/>
    <w:autoRedefine/>
    <w:qFormat/>
    <w:uiPriority w:val="0"/>
    <w:rPr>
      <w:rFonts w:ascii="Times New Roman" w:hAnsi="Times New Roman" w:eastAsia="宋体" w:cs="Times New Roman"/>
      <w:lang w:val="en-US" w:eastAsia="zh-CN" w:bidi="ar-SA"/>
    </w:rPr>
  </w:style>
  <w:style w:type="paragraph" w:customStyle="1" w:styleId="768">
    <w:name w:val="表格备注"/>
    <w:basedOn w:val="1"/>
    <w:next w:val="1"/>
    <w:autoRedefine/>
    <w:qFormat/>
    <w:uiPriority w:val="2"/>
    <w:pPr>
      <w:spacing w:afterLines="50"/>
    </w:pPr>
  </w:style>
  <w:style w:type="paragraph" w:customStyle="1" w:styleId="769">
    <w:name w:val="目  录"/>
    <w:basedOn w:val="1"/>
    <w:autoRedefine/>
    <w:qFormat/>
    <w:uiPriority w:val="0"/>
    <w:pPr>
      <w:spacing w:line="360" w:lineRule="auto"/>
      <w:jc w:val="center"/>
    </w:pPr>
    <w:rPr>
      <w:rFonts w:hAnsi="宋体" w:eastAsia="黑体"/>
      <w:sz w:val="44"/>
    </w:rPr>
  </w:style>
  <w:style w:type="paragraph" w:customStyle="1" w:styleId="770">
    <w:name w:val="表格样式"/>
    <w:basedOn w:val="1"/>
    <w:autoRedefine/>
    <w:qFormat/>
    <w:uiPriority w:val="0"/>
    <w:pPr>
      <w:widowControl/>
      <w:jc w:val="center"/>
    </w:pPr>
    <w:rPr>
      <w:bCs/>
      <w:kern w:val="0"/>
      <w:sz w:val="24"/>
    </w:rPr>
  </w:style>
  <w:style w:type="paragraph" w:customStyle="1" w:styleId="771">
    <w:name w:val="正文 1.5 倍行距"/>
    <w:basedOn w:val="1"/>
    <w:autoRedefine/>
    <w:qFormat/>
    <w:uiPriority w:val="0"/>
    <w:pPr>
      <w:autoSpaceDE w:val="0"/>
      <w:autoSpaceDN w:val="0"/>
      <w:adjustRightInd w:val="0"/>
      <w:spacing w:line="360" w:lineRule="auto"/>
      <w:ind w:firstLine="480" w:firstLineChars="200"/>
      <w:textAlignment w:val="baseline"/>
    </w:pPr>
    <w:rPr>
      <w:kern w:val="0"/>
      <w:sz w:val="24"/>
      <w:szCs w:val="20"/>
    </w:rPr>
  </w:style>
  <w:style w:type="paragraph" w:customStyle="1" w:styleId="772">
    <w:name w:val="表图内容"/>
    <w:basedOn w:val="1"/>
    <w:autoRedefine/>
    <w:qFormat/>
    <w:uiPriority w:val="0"/>
    <w:pPr>
      <w:spacing w:line="360" w:lineRule="auto"/>
      <w:ind w:firstLine="200" w:firstLineChars="200"/>
      <w:jc w:val="center"/>
    </w:pPr>
    <w:rPr>
      <w:sz w:val="24"/>
      <w:szCs w:val="21"/>
    </w:rPr>
  </w:style>
  <w:style w:type="paragraph" w:customStyle="1" w:styleId="773">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774">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775">
    <w:name w:val="图片"/>
    <w:basedOn w:val="1"/>
    <w:autoRedefine/>
    <w:qFormat/>
    <w:uiPriority w:val="0"/>
    <w:pPr>
      <w:jc w:val="center"/>
    </w:pPr>
    <w:rPr>
      <w:sz w:val="28"/>
    </w:rPr>
  </w:style>
  <w:style w:type="character" w:customStyle="1" w:styleId="776">
    <w:name w:val="招标正文 字符"/>
    <w:link w:val="777"/>
    <w:autoRedefine/>
    <w:qFormat/>
    <w:uiPriority w:val="0"/>
    <w:rPr>
      <w:rFonts w:ascii="宋体" w:hAnsi="宋体"/>
      <w:color w:val="000000"/>
      <w:sz w:val="24"/>
      <w:szCs w:val="21"/>
    </w:rPr>
  </w:style>
  <w:style w:type="paragraph" w:customStyle="1" w:styleId="777">
    <w:name w:val="招标正文"/>
    <w:basedOn w:val="1"/>
    <w:link w:val="776"/>
    <w:autoRedefine/>
    <w:qFormat/>
    <w:uiPriority w:val="0"/>
    <w:pPr>
      <w:adjustRightInd w:val="0"/>
      <w:snapToGrid w:val="0"/>
      <w:spacing w:line="360" w:lineRule="auto"/>
      <w:ind w:firstLine="480" w:firstLineChars="200"/>
    </w:pPr>
    <w:rPr>
      <w:rFonts w:ascii="宋体" w:hAnsi="宋体"/>
      <w:color w:val="000000"/>
      <w:kern w:val="0"/>
      <w:sz w:val="24"/>
      <w:szCs w:val="21"/>
    </w:rPr>
  </w:style>
  <w:style w:type="character" w:customStyle="1" w:styleId="778">
    <w:name w:val="招标-标题1 字符"/>
    <w:link w:val="779"/>
    <w:autoRedefine/>
    <w:qFormat/>
    <w:uiPriority w:val="0"/>
    <w:rPr>
      <w:rFonts w:ascii="宋体" w:hAnsi="宋体"/>
      <w:b/>
      <w:bCs/>
      <w:sz w:val="28"/>
      <w:szCs w:val="21"/>
    </w:rPr>
  </w:style>
  <w:style w:type="paragraph" w:customStyle="1" w:styleId="779">
    <w:name w:val="招标-标题1"/>
    <w:basedOn w:val="1"/>
    <w:link w:val="778"/>
    <w:autoRedefine/>
    <w:qFormat/>
    <w:uiPriority w:val="0"/>
    <w:pPr>
      <w:spacing w:line="300" w:lineRule="auto"/>
      <w:ind w:left="560" w:firstLine="200" w:firstLineChars="200"/>
    </w:pPr>
    <w:rPr>
      <w:rFonts w:ascii="宋体" w:hAnsi="宋体"/>
      <w:b/>
      <w:bCs/>
      <w:kern w:val="0"/>
      <w:sz w:val="28"/>
      <w:szCs w:val="21"/>
    </w:rPr>
  </w:style>
  <w:style w:type="character" w:customStyle="1" w:styleId="780">
    <w:name w:val="招标-主标题 字符"/>
    <w:link w:val="781"/>
    <w:autoRedefine/>
    <w:qFormat/>
    <w:uiPriority w:val="0"/>
    <w:rPr>
      <w:rFonts w:ascii="宋体" w:hAnsi="宋体"/>
      <w:b/>
      <w:sz w:val="32"/>
    </w:rPr>
  </w:style>
  <w:style w:type="paragraph" w:customStyle="1" w:styleId="781">
    <w:name w:val="招标-主标题"/>
    <w:basedOn w:val="1"/>
    <w:link w:val="780"/>
    <w:autoRedefine/>
    <w:qFormat/>
    <w:uiPriority w:val="0"/>
    <w:pPr>
      <w:tabs>
        <w:tab w:val="left" w:pos="1620"/>
        <w:tab w:val="left" w:pos="1800"/>
        <w:tab w:val="left" w:pos="1980"/>
      </w:tabs>
      <w:spacing w:line="768" w:lineRule="auto"/>
      <w:ind w:firstLine="200" w:firstLineChars="200"/>
      <w:jc w:val="center"/>
    </w:pPr>
    <w:rPr>
      <w:rFonts w:ascii="宋体" w:hAnsi="宋体"/>
      <w:b/>
      <w:kern w:val="0"/>
      <w:sz w:val="32"/>
      <w:szCs w:val="20"/>
    </w:rPr>
  </w:style>
  <w:style w:type="character" w:customStyle="1" w:styleId="782">
    <w:name w:val="标题 Char1"/>
    <w:basedOn w:val="66"/>
    <w:autoRedefine/>
    <w:qFormat/>
    <w:uiPriority w:val="10"/>
    <w:rPr>
      <w:rFonts w:eastAsia="宋体" w:asciiTheme="majorHAnsi" w:hAnsiTheme="majorHAnsi" w:cstheme="majorBidi"/>
      <w:b/>
      <w:bCs/>
      <w:sz w:val="32"/>
      <w:szCs w:val="32"/>
    </w:rPr>
  </w:style>
  <w:style w:type="paragraph" w:customStyle="1" w:styleId="783">
    <w:name w:val="Char Char Char Char Char Char1"/>
    <w:basedOn w:val="1"/>
    <w:autoRedefine/>
    <w:semiHidden/>
    <w:qFormat/>
    <w:uiPriority w:val="0"/>
    <w:pPr>
      <w:adjustRightInd w:val="0"/>
      <w:spacing w:line="360" w:lineRule="atLeast"/>
      <w:ind w:firstLine="200" w:firstLineChars="200"/>
      <w:textAlignment w:val="baseline"/>
    </w:pPr>
    <w:rPr>
      <w:rFonts w:ascii="仿宋_GB2312" w:eastAsia="仿宋_GB2312"/>
      <w:sz w:val="28"/>
      <w:szCs w:val="28"/>
    </w:rPr>
  </w:style>
  <w:style w:type="paragraph" w:customStyle="1" w:styleId="784">
    <w:name w:val="表名"/>
    <w:basedOn w:val="1"/>
    <w:autoRedefine/>
    <w:qFormat/>
    <w:uiPriority w:val="0"/>
    <w:pPr>
      <w:spacing w:after="60" w:line="560" w:lineRule="exact"/>
      <w:ind w:firstLine="100" w:firstLineChars="100"/>
    </w:pPr>
    <w:rPr>
      <w:rFonts w:ascii="黑体" w:eastAsia="黑体"/>
      <w:sz w:val="24"/>
    </w:rPr>
  </w:style>
  <w:style w:type="paragraph" w:customStyle="1" w:styleId="785">
    <w:name w:val="标1 Char Char Char Char Char Char Char"/>
    <w:basedOn w:val="1"/>
    <w:autoRedefine/>
    <w:semiHidden/>
    <w:qFormat/>
    <w:uiPriority w:val="0"/>
    <w:pPr>
      <w:adjustRightInd w:val="0"/>
      <w:spacing w:line="360" w:lineRule="atLeast"/>
      <w:ind w:firstLine="200" w:firstLineChars="200"/>
    </w:pPr>
    <w:rPr>
      <w:szCs w:val="28"/>
    </w:rPr>
  </w:style>
  <w:style w:type="paragraph" w:customStyle="1" w:styleId="786">
    <w:name w:val="样式 仿宋_GB2312 小三 黑色"/>
    <w:basedOn w:val="1"/>
    <w:autoRedefine/>
    <w:qFormat/>
    <w:uiPriority w:val="0"/>
    <w:pPr>
      <w:autoSpaceDE w:val="0"/>
      <w:autoSpaceDN w:val="0"/>
      <w:adjustRightInd w:val="0"/>
      <w:spacing w:line="520" w:lineRule="exact"/>
      <w:ind w:firstLine="560" w:firstLineChars="200"/>
    </w:pPr>
    <w:rPr>
      <w:rFonts w:ascii="仿宋_GB2312" w:eastAsia="仿宋_GB2312" w:cs="仿宋_GB2312"/>
      <w:sz w:val="30"/>
      <w:szCs w:val="30"/>
      <w:lang w:val="zh-CN"/>
    </w:rPr>
  </w:style>
  <w:style w:type="character" w:customStyle="1" w:styleId="787">
    <w:name w:val="样式 仿宋_GB2312 小三 黑色 Char"/>
    <w:autoRedefine/>
    <w:qFormat/>
    <w:uiPriority w:val="0"/>
    <w:rPr>
      <w:rFonts w:ascii="仿宋_GB2312" w:eastAsia="仿宋_GB2312" w:cs="仿宋_GB2312"/>
      <w:kern w:val="2"/>
      <w:sz w:val="30"/>
      <w:szCs w:val="30"/>
      <w:lang w:val="zh-CN" w:eastAsia="zh-CN" w:bidi="ar-SA"/>
    </w:rPr>
  </w:style>
  <w:style w:type="paragraph" w:customStyle="1" w:styleId="788">
    <w:name w:val="样式 仿宋_GB2312 小三"/>
    <w:basedOn w:val="1"/>
    <w:autoRedefine/>
    <w:qFormat/>
    <w:uiPriority w:val="0"/>
    <w:pPr>
      <w:autoSpaceDE w:val="0"/>
      <w:autoSpaceDN w:val="0"/>
      <w:adjustRightInd w:val="0"/>
      <w:spacing w:line="520" w:lineRule="exact"/>
      <w:ind w:firstLine="600" w:firstLineChars="200"/>
    </w:pPr>
    <w:rPr>
      <w:rFonts w:ascii="仿宋_GB2312" w:eastAsia="仿宋_GB2312" w:cs="仿宋_GB2312"/>
      <w:sz w:val="30"/>
      <w:szCs w:val="30"/>
      <w:lang w:val="zh-CN"/>
    </w:rPr>
  </w:style>
  <w:style w:type="character" w:customStyle="1" w:styleId="789">
    <w:name w:val="样式 仿宋_GB2312 小三 Char"/>
    <w:autoRedefine/>
    <w:qFormat/>
    <w:uiPriority w:val="0"/>
    <w:rPr>
      <w:rFonts w:ascii="仿宋_GB2312" w:eastAsia="仿宋_GB2312" w:cs="仿宋_GB2312"/>
      <w:kern w:val="2"/>
      <w:sz w:val="30"/>
      <w:szCs w:val="30"/>
      <w:lang w:val="zh-CN" w:eastAsia="zh-CN" w:bidi="ar-SA"/>
    </w:rPr>
  </w:style>
  <w:style w:type="paragraph" w:customStyle="1" w:styleId="790">
    <w:name w:val="样式4"/>
    <w:basedOn w:val="1"/>
    <w:autoRedefine/>
    <w:qFormat/>
    <w:uiPriority w:val="0"/>
    <w:pPr>
      <w:spacing w:line="360" w:lineRule="auto"/>
      <w:ind w:firstLine="200" w:firstLineChars="200"/>
    </w:pPr>
    <w:rPr>
      <w:sz w:val="28"/>
      <w:szCs w:val="21"/>
    </w:rPr>
  </w:style>
  <w:style w:type="paragraph" w:customStyle="1" w:styleId="791">
    <w:name w:val="图中文字"/>
    <w:autoRedefine/>
    <w:qFormat/>
    <w:uiPriority w:val="0"/>
    <w:pPr>
      <w:adjustRightInd w:val="0"/>
      <w:snapToGrid w:val="0"/>
      <w:jc w:val="both"/>
    </w:pPr>
    <w:rPr>
      <w:rFonts w:ascii="宋体" w:hAnsi="Times New Roman" w:eastAsia="宋体" w:cs="Times New Roman"/>
      <w:kern w:val="2"/>
      <w:sz w:val="21"/>
      <w:lang w:val="en-US" w:eastAsia="zh-CN" w:bidi="ar-SA"/>
    </w:rPr>
  </w:style>
  <w:style w:type="paragraph" w:customStyle="1" w:styleId="792">
    <w:name w:val="Xie图文中"/>
    <w:autoRedefine/>
    <w:qFormat/>
    <w:uiPriority w:val="0"/>
    <w:pPr>
      <w:widowControl w:val="0"/>
      <w:adjustRightInd w:val="0"/>
      <w:snapToGrid w:val="0"/>
      <w:spacing w:before="40" w:after="40"/>
      <w:jc w:val="center"/>
    </w:pPr>
    <w:rPr>
      <w:rFonts w:ascii="Times New Roman" w:hAnsi="Times New Roman" w:eastAsia="仿宋_GB2312" w:cs="Times New Roman"/>
      <w:snapToGrid w:val="0"/>
      <w:sz w:val="24"/>
      <w:szCs w:val="24"/>
      <w:lang w:val="en-US" w:eastAsia="zh-CN" w:bidi="ar-SA"/>
    </w:rPr>
  </w:style>
  <w:style w:type="paragraph" w:customStyle="1" w:styleId="793">
    <w:name w:val="瑞安正文"/>
    <w:basedOn w:val="1"/>
    <w:autoRedefine/>
    <w:qFormat/>
    <w:uiPriority w:val="0"/>
    <w:pPr>
      <w:adjustRightInd w:val="0"/>
      <w:snapToGrid w:val="0"/>
      <w:spacing w:afterLines="50" w:line="300" w:lineRule="auto"/>
      <w:ind w:firstLine="200" w:firstLineChars="200"/>
    </w:pPr>
    <w:rPr>
      <w:sz w:val="24"/>
    </w:rPr>
  </w:style>
  <w:style w:type="paragraph" w:customStyle="1" w:styleId="794">
    <w:name w:val="样式 图文仿宋四号 + (西文) 宋体 (中文) 宋体"/>
    <w:basedOn w:val="1"/>
    <w:link w:val="795"/>
    <w:autoRedefine/>
    <w:qFormat/>
    <w:uiPriority w:val="0"/>
    <w:pPr>
      <w:adjustRightInd w:val="0"/>
      <w:spacing w:line="360" w:lineRule="auto"/>
      <w:ind w:firstLine="640" w:firstLineChars="200"/>
      <w:jc w:val="left"/>
    </w:pPr>
    <w:rPr>
      <w:rFonts w:ascii="仿宋_GB2312" w:eastAsia="仿宋_GB2312"/>
      <w:sz w:val="32"/>
      <w:szCs w:val="32"/>
      <w:lang w:val="zh-CN"/>
    </w:rPr>
  </w:style>
  <w:style w:type="character" w:customStyle="1" w:styleId="795">
    <w:name w:val="样式 图文仿宋四号 + (西文) 宋体 (中文) 宋体 Char"/>
    <w:link w:val="794"/>
    <w:autoRedefine/>
    <w:qFormat/>
    <w:uiPriority w:val="0"/>
    <w:rPr>
      <w:rFonts w:ascii="仿宋_GB2312" w:eastAsia="仿宋_GB2312"/>
      <w:kern w:val="2"/>
      <w:sz w:val="32"/>
      <w:szCs w:val="32"/>
      <w:lang w:val="zh-CN"/>
    </w:rPr>
  </w:style>
  <w:style w:type="paragraph" w:customStyle="1" w:styleId="796">
    <w:name w:val="para_small"/>
    <w:basedOn w:val="1"/>
    <w:autoRedefine/>
    <w:semiHidden/>
    <w:qFormat/>
    <w:uiPriority w:val="0"/>
    <w:pPr>
      <w:widowControl/>
      <w:spacing w:before="100" w:beforeAutospacing="1" w:after="100" w:afterAutospacing="1" w:line="360" w:lineRule="auto"/>
      <w:ind w:firstLine="200" w:firstLineChars="200"/>
      <w:jc w:val="left"/>
    </w:pPr>
    <w:rPr>
      <w:rFonts w:ascii="Arial Unicode MS" w:hAnsi="Arial Unicode MS" w:eastAsia="Arial Unicode MS" w:cs="Arial Unicode MS"/>
      <w:color w:val="000000"/>
      <w:kern w:val="0"/>
      <w:sz w:val="24"/>
    </w:rPr>
  </w:style>
  <w:style w:type="paragraph" w:customStyle="1" w:styleId="797">
    <w:name w:val="temp标题1"/>
    <w:basedOn w:val="4"/>
    <w:next w:val="4"/>
    <w:autoRedefine/>
    <w:qFormat/>
    <w:uiPriority w:val="0"/>
    <w:pPr>
      <w:keepLines/>
      <w:spacing w:beforeLines="150" w:afterLines="50" w:line="360" w:lineRule="auto"/>
      <w:ind w:firstLine="200" w:firstLineChars="200"/>
    </w:pPr>
    <w:rPr>
      <w:rFonts w:ascii="Times New Roman" w:eastAsia="黑体"/>
      <w:kern w:val="0"/>
      <w:sz w:val="32"/>
      <w:szCs w:val="32"/>
      <w:lang w:val="zh-CN"/>
    </w:rPr>
  </w:style>
  <w:style w:type="paragraph" w:customStyle="1" w:styleId="798">
    <w:name w:val="temp标题2"/>
    <w:basedOn w:val="2"/>
    <w:next w:val="1"/>
    <w:autoRedefine/>
    <w:qFormat/>
    <w:uiPriority w:val="0"/>
    <w:pPr>
      <w:adjustRightInd w:val="0"/>
      <w:spacing w:beforeLines="100" w:after="0" w:line="360" w:lineRule="auto"/>
      <w:ind w:firstLine="200" w:firstLineChars="200"/>
      <w:jc w:val="left"/>
    </w:pPr>
    <w:rPr>
      <w:rFonts w:ascii="Times New Roman" w:hAnsi="Times New Roman" w:eastAsia="楷体_GB2312"/>
      <w:kern w:val="0"/>
      <w:sz w:val="30"/>
      <w:szCs w:val="30"/>
      <w:lang w:val="zh-CN"/>
    </w:rPr>
  </w:style>
  <w:style w:type="paragraph" w:customStyle="1" w:styleId="799">
    <w:name w:val="temp标题3"/>
    <w:basedOn w:val="5"/>
    <w:autoRedefine/>
    <w:qFormat/>
    <w:uiPriority w:val="0"/>
    <w:pPr>
      <w:spacing w:beforeLines="50" w:after="0" w:line="360" w:lineRule="auto"/>
      <w:ind w:firstLine="200" w:firstLineChars="200"/>
      <w:jc w:val="left"/>
    </w:pPr>
    <w:rPr>
      <w:rFonts w:eastAsia="楷体_GB2312"/>
      <w:b w:val="0"/>
      <w:kern w:val="0"/>
      <w:sz w:val="28"/>
      <w:szCs w:val="28"/>
    </w:rPr>
  </w:style>
  <w:style w:type="paragraph" w:customStyle="1" w:styleId="800">
    <w:name w:val="样式 temp标题1 + 段前: 0.5 行"/>
    <w:basedOn w:val="797"/>
    <w:autoRedefine/>
    <w:qFormat/>
    <w:uiPriority w:val="0"/>
    <w:pPr>
      <w:spacing w:beforeLines="100"/>
    </w:pPr>
    <w:rPr>
      <w:rFonts w:cs="宋体"/>
      <w:bCs w:val="0"/>
      <w:szCs w:val="20"/>
    </w:rPr>
  </w:style>
  <w:style w:type="paragraph" w:customStyle="1" w:styleId="801">
    <w:name w:val="样式 Times New Roman 加粗 首行缩进:  2 字符 行距: 1.5 倍行距"/>
    <w:basedOn w:val="1"/>
    <w:autoRedefine/>
    <w:qFormat/>
    <w:uiPriority w:val="0"/>
    <w:pPr>
      <w:spacing w:line="360" w:lineRule="auto"/>
      <w:ind w:firstLine="562" w:firstLineChars="200"/>
    </w:pPr>
    <w:rPr>
      <w:rFonts w:eastAsia="楷体_GB2312" w:cs="宋体"/>
      <w:bCs/>
      <w:sz w:val="28"/>
      <w:szCs w:val="20"/>
    </w:rPr>
  </w:style>
  <w:style w:type="paragraph" w:customStyle="1" w:styleId="802">
    <w:name w:val="页码1"/>
    <w:basedOn w:val="1"/>
    <w:next w:val="1"/>
    <w:autoRedefine/>
    <w:qFormat/>
    <w:uiPriority w:val="0"/>
    <w:pPr>
      <w:widowControl/>
      <w:spacing w:line="360" w:lineRule="auto"/>
      <w:ind w:firstLine="200" w:firstLineChars="200"/>
    </w:pPr>
    <w:rPr>
      <w:color w:val="000000"/>
      <w:sz w:val="28"/>
      <w:szCs w:val="28"/>
    </w:rPr>
  </w:style>
  <w:style w:type="paragraph" w:customStyle="1" w:styleId="803">
    <w:name w:val="附图表"/>
    <w:basedOn w:val="1"/>
    <w:link w:val="804"/>
    <w:autoRedefine/>
    <w:qFormat/>
    <w:uiPriority w:val="0"/>
    <w:pPr>
      <w:widowControl/>
      <w:spacing w:line="360" w:lineRule="auto"/>
      <w:ind w:firstLine="200" w:firstLineChars="200"/>
      <w:jc w:val="left"/>
      <w:outlineLvl w:val="4"/>
    </w:pPr>
    <w:rPr>
      <w:rFonts w:ascii="黑体" w:hAnsi="黑体" w:eastAsia="黑体"/>
      <w:color w:val="000000"/>
      <w:kern w:val="0"/>
      <w:sz w:val="28"/>
      <w:szCs w:val="30"/>
      <w:lang w:val="zh-CN"/>
    </w:rPr>
  </w:style>
  <w:style w:type="character" w:customStyle="1" w:styleId="804">
    <w:name w:val="附图表 Char"/>
    <w:link w:val="803"/>
    <w:autoRedefine/>
    <w:qFormat/>
    <w:uiPriority w:val="0"/>
    <w:rPr>
      <w:rFonts w:ascii="黑体" w:hAnsi="黑体" w:eastAsia="黑体"/>
      <w:color w:val="000000"/>
      <w:sz w:val="28"/>
      <w:szCs w:val="30"/>
      <w:lang w:val="zh-CN"/>
    </w:rPr>
  </w:style>
  <w:style w:type="character" w:customStyle="1" w:styleId="805">
    <w:name w:val="Char Char7"/>
    <w:autoRedefine/>
    <w:qFormat/>
    <w:uiPriority w:val="0"/>
    <w:rPr>
      <w:rFonts w:hAnsi="宋体" w:eastAsia="宋体"/>
      <w:kern w:val="2"/>
      <w:sz w:val="18"/>
      <w:szCs w:val="18"/>
      <w:lang w:val="zh-CN" w:eastAsia="zh-CN" w:bidi="ar-SA"/>
    </w:rPr>
  </w:style>
  <w:style w:type="character" w:customStyle="1" w:styleId="806">
    <w:name w:val="content1"/>
    <w:autoRedefine/>
    <w:qFormat/>
    <w:uiPriority w:val="0"/>
    <w:rPr>
      <w:sz w:val="22"/>
      <w:szCs w:val="22"/>
    </w:rPr>
  </w:style>
  <w:style w:type="character" w:customStyle="1" w:styleId="807">
    <w:name w:val="表头 Char"/>
    <w:link w:val="765"/>
    <w:autoRedefine/>
    <w:qFormat/>
    <w:uiPriority w:val="0"/>
    <w:rPr>
      <w:b/>
      <w:kern w:val="2"/>
      <w:sz w:val="28"/>
    </w:rPr>
  </w:style>
  <w:style w:type="character" w:customStyle="1" w:styleId="808">
    <w:name w:val="表格文本 Char"/>
    <w:link w:val="747"/>
    <w:autoRedefine/>
    <w:qFormat/>
    <w:uiPriority w:val="0"/>
    <w:rPr>
      <w:color w:val="000000"/>
      <w:sz w:val="24"/>
      <w:szCs w:val="21"/>
    </w:rPr>
  </w:style>
  <w:style w:type="character" w:customStyle="1" w:styleId="809">
    <w:name w:val="批注主题 Char1"/>
    <w:basedOn w:val="113"/>
    <w:autoRedefine/>
    <w:semiHidden/>
    <w:qFormat/>
    <w:uiPriority w:val="99"/>
    <w:rPr>
      <w:rFonts w:ascii="Calibri" w:hAnsi="Calibri" w:eastAsia="仿宋" w:cs="Times New Roman"/>
      <w:b/>
      <w:bCs/>
      <w:kern w:val="2"/>
      <w:sz w:val="28"/>
      <w:szCs w:val="22"/>
    </w:rPr>
  </w:style>
  <w:style w:type="paragraph" w:customStyle="1" w:styleId="810">
    <w:name w:val="正文5"/>
    <w:autoRedefine/>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811">
    <w:name w:val="纯文本2"/>
    <w:basedOn w:val="810"/>
    <w:autoRedefine/>
    <w:qFormat/>
    <w:uiPriority w:val="0"/>
    <w:pPr>
      <w:widowControl/>
      <w:jc w:val="left"/>
    </w:pPr>
    <w:rPr>
      <w:rFonts w:ascii="宋体" w:hAnsi="Courier New"/>
    </w:rPr>
  </w:style>
  <w:style w:type="paragraph" w:customStyle="1" w:styleId="812">
    <w:name w:val="二级无"/>
    <w:basedOn w:val="427"/>
    <w:autoRedefine/>
    <w:qFormat/>
    <w:uiPriority w:val="0"/>
    <w:pPr>
      <w:ind w:left="735"/>
    </w:pPr>
    <w:rPr>
      <w:rFonts w:ascii="宋体" w:hAnsi="Calibri" w:eastAsia="宋体" w:cs="Times New Roman"/>
      <w:szCs w:val="21"/>
    </w:rPr>
  </w:style>
  <w:style w:type="paragraph" w:customStyle="1" w:styleId="81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character" w:customStyle="1" w:styleId="814">
    <w:name w:val="area_1"/>
    <w:autoRedefine/>
    <w:qFormat/>
    <w:uiPriority w:val="0"/>
    <w:rPr>
      <w:rFonts w:ascii="宋体" w:hAnsi="宋体"/>
      <w:sz w:val="24"/>
    </w:rPr>
  </w:style>
  <w:style w:type="table" w:customStyle="1" w:styleId="815">
    <w:name w:val="Table Normal"/>
    <w:autoRedefine/>
    <w:semiHidden/>
    <w:unhideWhenUsed/>
    <w:qFormat/>
    <w:uiPriority w:val="0"/>
    <w:tblPr>
      <w:tblCellMar>
        <w:top w:w="0" w:type="dxa"/>
        <w:left w:w="0" w:type="dxa"/>
        <w:bottom w:w="0" w:type="dxa"/>
        <w:right w:w="0" w:type="dxa"/>
      </w:tblCellMar>
    </w:tblPr>
  </w:style>
  <w:style w:type="paragraph" w:customStyle="1" w:styleId="816">
    <w:name w:val="列表段落1"/>
    <w:basedOn w:val="1"/>
    <w:autoRedefine/>
    <w:qFormat/>
    <w:uiPriority w:val="0"/>
    <w:pPr>
      <w:ind w:firstLine="420" w:firstLineChars="200"/>
    </w:pPr>
    <w:rPr>
      <w:szCs w:val="21"/>
    </w:rPr>
  </w:style>
  <w:style w:type="paragraph" w:customStyle="1" w:styleId="817">
    <w:name w:val="列表段落2"/>
    <w:basedOn w:val="1"/>
    <w:autoRedefine/>
    <w:qFormat/>
    <w:uiPriority w:val="0"/>
    <w:pPr>
      <w:ind w:firstLine="420" w:firstLineChars="200"/>
    </w:pPr>
    <w:rPr>
      <w:szCs w:val="21"/>
    </w:rPr>
  </w:style>
  <w:style w:type="paragraph" w:customStyle="1" w:styleId="818">
    <w:name w:val="可研正文"/>
    <w:basedOn w:val="1"/>
    <w:autoRedefine/>
    <w:qFormat/>
    <w:uiPriority w:val="0"/>
    <w:pPr>
      <w:ind w:firstLine="200"/>
    </w:pPr>
    <w:rPr>
      <w:rFonts w:ascii="仿宋" w:hAnsi="仿宋" w:eastAsia="仿宋_GB2312"/>
      <w:kern w:val="0"/>
      <w:szCs w:val="28"/>
    </w:rPr>
  </w:style>
  <w:style w:type="paragraph" w:customStyle="1" w:styleId="819">
    <w:name w:val="A正文小四"/>
    <w:basedOn w:val="1"/>
    <w:autoRedefine/>
    <w:qFormat/>
    <w:uiPriority w:val="0"/>
    <w:pPr>
      <w:ind w:firstLine="200"/>
    </w:pPr>
    <w:rPr>
      <w:sz w:val="24"/>
    </w:rPr>
  </w:style>
  <w:style w:type="paragraph" w:customStyle="1" w:styleId="820">
    <w:name w:val="Body text|1"/>
    <w:basedOn w:val="1"/>
    <w:autoRedefine/>
    <w:qFormat/>
    <w:uiPriority w:val="0"/>
    <w:pPr>
      <w:spacing w:line="466" w:lineRule="auto"/>
      <w:ind w:firstLine="400"/>
    </w:pPr>
    <w:rPr>
      <w:rFonts w:ascii="宋体" w:hAnsi="宋体" w:cs="宋体"/>
      <w:sz w:val="20"/>
      <w:szCs w:val="20"/>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53</Pages>
  <Words>6614</Words>
  <Characters>37704</Characters>
  <Lines>314</Lines>
  <Paragraphs>88</Paragraphs>
  <TotalTime>4</TotalTime>
  <ScaleCrop>false</ScaleCrop>
  <LinksUpToDate>false</LinksUpToDate>
  <CharactersWithSpaces>44230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2022-01-05T23:18:00Z</dcterms:created>
  <dc:creator>LCMZX</dc:creator>
  <cp:lastModifiedBy>我执</cp:lastModifiedBy>
  <cp:lastPrinted>2019-02-15T00:52:00Z</cp:lastPrinted>
  <dcterms:modified xsi:type="dcterms:W3CDTF">2024-03-22T07:19:33Z</dcterms:modified>
  <dc:title>温州市政府采购</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0EA8B706E7ED46B48BDDA18120046534</vt:lpwstr>
  </property>
  <property fmtid="{D5CDD505-2E9C-101B-9397-08002B2CF9AE}" pid="4" name="commondata">
    <vt:lpwstr>eyJoZGlkIjoiZDRhNzcwYWMxNDc0YjRjN2UxZDk1NTg4ZWEwNTIzZDUifQ==</vt:lpwstr>
  </property>
  <property fmtid="{D5CDD505-2E9C-101B-9397-08002B2CF9AE}" pid="5" name="woTemplateTypoMode" linkTarget="0">
    <vt:lpwstr>web</vt:lpwstr>
  </property>
  <property fmtid="{D5CDD505-2E9C-101B-9397-08002B2CF9AE}" pid="6" name="woTemplate" linkTarget="0">
    <vt:i4>1</vt:i4>
  </property>
</Properties>
</file>