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新魏" w:cs="Times New Roman"/>
          <w:b/>
          <w:spacing w:val="-14"/>
          <w:sz w:val="52"/>
          <w:szCs w:val="52"/>
        </w:rPr>
      </w:pPr>
      <w:bookmarkStart w:id="0" w:name="OLE_LINK1"/>
    </w:p>
    <w:p>
      <w:pPr>
        <w:spacing w:after="120"/>
        <w:ind w:firstLine="521" w:firstLineChars="100"/>
        <w:jc w:val="center"/>
        <w:rPr>
          <w:rFonts w:ascii="Times New Roman" w:hAnsi="Calibri" w:eastAsia="宋体" w:cs="Times New Roman"/>
          <w:kern w:val="0"/>
        </w:rPr>
      </w:pPr>
      <w:r>
        <w:rPr>
          <w:rFonts w:hint="eastAsia" w:ascii="Times New Roman" w:hAnsi="Times New Roman" w:eastAsia="华文新魏" w:cs="Times New Roman"/>
          <w:b/>
          <w:sz w:val="52"/>
          <w:szCs w:val="52"/>
        </w:rPr>
        <w:t>2023年本岛红绿灯维修、保养和优化提升项目</w:t>
      </w:r>
    </w:p>
    <w:p>
      <w:pPr>
        <w:snapToGrid w:val="0"/>
        <w:spacing w:line="312" w:lineRule="auto"/>
        <w:jc w:val="center"/>
        <w:rPr>
          <w:rFonts w:ascii="Times New Roman" w:hAnsi="Times New Roman" w:eastAsia="华文新魏" w:cs="Times New Roman"/>
          <w:b/>
          <w:sz w:val="52"/>
        </w:rPr>
      </w:pPr>
      <w:r>
        <w:rPr>
          <w:rFonts w:hint="eastAsia" w:ascii="Times New Roman" w:hAnsi="Times New Roman" w:eastAsia="华文新魏" w:cs="Times New Roman"/>
          <w:b/>
          <w:sz w:val="52"/>
        </w:rPr>
        <w:t>招标文件</w:t>
      </w:r>
    </w:p>
    <w:p>
      <w:pPr>
        <w:snapToGrid w:val="0"/>
        <w:spacing w:before="120" w:line="312" w:lineRule="auto"/>
        <w:rPr>
          <w:rFonts w:ascii="Times New Roman" w:hAnsi="Times New Roman" w:eastAsia="华文新魏" w:cs="Times New Roman"/>
          <w:b/>
          <w:sz w:val="32"/>
        </w:rPr>
      </w:pPr>
    </w:p>
    <w:p>
      <w:pPr>
        <w:snapToGrid w:val="0"/>
        <w:spacing w:before="120" w:line="312" w:lineRule="auto"/>
        <w:ind w:left="1602" w:hanging="1602" w:hangingChars="500"/>
        <w:rPr>
          <w:rFonts w:ascii="Times New Roman" w:hAnsi="Times New Roman" w:eastAsia="华文新魏" w:cs="Times New Roman"/>
          <w:b/>
          <w:sz w:val="32"/>
        </w:rPr>
      </w:pPr>
    </w:p>
    <w:p>
      <w:pPr>
        <w:snapToGrid w:val="0"/>
        <w:spacing w:before="120" w:line="312" w:lineRule="auto"/>
        <w:ind w:left="1602" w:hanging="1602" w:hangingChars="500"/>
        <w:rPr>
          <w:rFonts w:ascii="Times New Roman" w:hAnsi="Times New Roman" w:eastAsia="华文新魏" w:cs="Times New Roman"/>
          <w:b/>
          <w:sz w:val="32"/>
        </w:rPr>
      </w:pPr>
      <w:r>
        <w:rPr>
          <w:rFonts w:hint="eastAsia" w:ascii="Times New Roman" w:hAnsi="Times New Roman" w:eastAsia="华文新魏" w:cs="Times New Roman"/>
          <w:b/>
          <w:sz w:val="32"/>
        </w:rPr>
        <w:t>项目名称</w:t>
      </w:r>
      <w:r>
        <w:rPr>
          <w:rFonts w:hint="eastAsia" w:ascii="Times New Roman" w:hAnsi="Times New Roman" w:eastAsia="华文新魏" w:cs="Times New Roman"/>
          <w:sz w:val="32"/>
        </w:rPr>
        <w:t>：</w:t>
      </w:r>
      <w:r>
        <w:rPr>
          <w:rFonts w:hint="eastAsia" w:ascii="Times New Roman" w:hAnsi="Times New Roman" w:eastAsia="华文新魏" w:cs="Times New Roman"/>
          <w:b/>
          <w:sz w:val="32"/>
        </w:rPr>
        <w:t>2023年本岛红绿灯维修、保养和优化提升项目</w:t>
      </w:r>
    </w:p>
    <w:p>
      <w:pPr>
        <w:pStyle w:val="84"/>
        <w:ind w:firstLine="0" w:firstLineChars="0"/>
      </w:pPr>
    </w:p>
    <w:p>
      <w:pPr>
        <w:snapToGrid w:val="0"/>
        <w:spacing w:before="120" w:line="312" w:lineRule="auto"/>
        <w:rPr>
          <w:rFonts w:ascii="Times New Roman" w:hAnsi="Times New Roman" w:cs="Times New Roman"/>
          <w:b/>
          <w:sz w:val="32"/>
        </w:rPr>
      </w:pPr>
      <w:r>
        <w:rPr>
          <w:rFonts w:hint="eastAsia" w:ascii="Times New Roman" w:hAnsi="Times New Roman" w:eastAsia="华文新魏" w:cs="Times New Roman"/>
          <w:b/>
          <w:sz w:val="32"/>
        </w:rPr>
        <w:t>项目编号：</w:t>
      </w:r>
      <w:r>
        <w:rPr>
          <w:rFonts w:ascii="宋体" w:hAnsi="宋体"/>
          <w:sz w:val="24"/>
        </w:rPr>
        <w:drawing>
          <wp:anchor distT="0" distB="0" distL="114300" distR="114300" simplePos="0" relativeHeight="251661312" behindDoc="1" locked="0" layoutInCell="1" allowOverlap="1">
            <wp:simplePos x="0" y="0"/>
            <wp:positionH relativeFrom="column">
              <wp:posOffset>1713865</wp:posOffset>
            </wp:positionH>
            <wp:positionV relativeFrom="paragraph">
              <wp:posOffset>6937375</wp:posOffset>
            </wp:positionV>
            <wp:extent cx="1376045" cy="1376045"/>
            <wp:effectExtent l="0" t="0" r="10795" b="10795"/>
            <wp:wrapNone/>
            <wp:docPr id="1"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1"/>
                    <pic:cNvPicPr>
                      <a:picLocks noChangeAspect="1"/>
                    </pic:cNvPicPr>
                  </pic:nvPicPr>
                  <pic:blipFill>
                    <a:blip r:embed="rId6"/>
                    <a:stretch>
                      <a:fillRect/>
                    </a:stretch>
                  </pic:blipFill>
                  <pic:spPr>
                    <a:xfrm>
                      <a:off x="0" y="0"/>
                      <a:ext cx="1376045" cy="1376045"/>
                    </a:xfrm>
                    <a:prstGeom prst="rect">
                      <a:avLst/>
                    </a:prstGeom>
                    <a:noFill/>
                    <a:ln>
                      <a:noFill/>
                    </a:ln>
                  </pic:spPr>
                </pic:pic>
              </a:graphicData>
            </a:graphic>
          </wp:anchor>
        </w:drawing>
      </w:r>
      <w:r>
        <w:rPr>
          <w:rFonts w:hint="eastAsia" w:ascii="Times New Roman" w:hAnsi="Times New Roman" w:eastAsia="华文新魏" w:cs="Times New Roman"/>
          <w:b/>
          <w:sz w:val="32"/>
        </w:rPr>
        <w:t>SZGXZS2023188</w:t>
      </w:r>
    </w:p>
    <w:p>
      <w:pPr>
        <w:snapToGrid w:val="0"/>
        <w:spacing w:before="120" w:line="312" w:lineRule="auto"/>
        <w:rPr>
          <w:rFonts w:ascii="Times New Roman" w:hAnsi="Times New Roman" w:eastAsia="华文新魏" w:cs="Times New Roman"/>
          <w:b/>
          <w:w w:val="95"/>
          <w:sz w:val="32"/>
        </w:rPr>
      </w:pPr>
      <w:r>
        <w:rPr>
          <w:rFonts w:ascii="宋体" w:hAnsi="宋体"/>
          <w:sz w:val="24"/>
        </w:rPr>
        <w:drawing>
          <wp:anchor distT="0" distB="0" distL="114300" distR="114300" simplePos="0" relativeHeight="251660288" behindDoc="1" locked="0" layoutInCell="1" allowOverlap="1">
            <wp:simplePos x="0" y="0"/>
            <wp:positionH relativeFrom="column">
              <wp:posOffset>1713865</wp:posOffset>
            </wp:positionH>
            <wp:positionV relativeFrom="paragraph">
              <wp:posOffset>6937375</wp:posOffset>
            </wp:positionV>
            <wp:extent cx="1376045" cy="1376045"/>
            <wp:effectExtent l="0" t="0" r="10795" b="10795"/>
            <wp:wrapNone/>
            <wp:docPr id="6"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形1"/>
                    <pic:cNvPicPr>
                      <a:picLocks noChangeAspect="1"/>
                    </pic:cNvPicPr>
                  </pic:nvPicPr>
                  <pic:blipFill>
                    <a:blip r:embed="rId6"/>
                    <a:stretch>
                      <a:fillRect/>
                    </a:stretch>
                  </pic:blipFill>
                  <pic:spPr>
                    <a:xfrm>
                      <a:off x="0" y="0"/>
                      <a:ext cx="1376045" cy="1376045"/>
                    </a:xfrm>
                    <a:prstGeom prst="rect">
                      <a:avLst/>
                    </a:prstGeom>
                    <a:noFill/>
                    <a:ln>
                      <a:noFill/>
                    </a:ln>
                  </pic:spPr>
                </pic:pic>
              </a:graphicData>
            </a:graphic>
          </wp:anchor>
        </w:drawing>
      </w:r>
    </w:p>
    <w:p>
      <w:pPr>
        <w:snapToGrid w:val="0"/>
        <w:spacing w:before="120" w:line="312" w:lineRule="auto"/>
        <w:ind w:left="1523" w:hanging="1522" w:hangingChars="500"/>
        <w:rPr>
          <w:rFonts w:ascii="Times New Roman" w:hAnsi="Times New Roman" w:eastAsia="华文新魏" w:cs="Times New Roman"/>
          <w:sz w:val="32"/>
        </w:rPr>
      </w:pPr>
      <w:r>
        <w:rPr>
          <w:rFonts w:hint="eastAsia" w:ascii="Times New Roman" w:hAnsi="Times New Roman" w:eastAsia="华文新魏" w:cs="Times New Roman"/>
          <w:b/>
          <w:w w:val="95"/>
          <w:sz w:val="32"/>
        </w:rPr>
        <w:t>采购单位：</w:t>
      </w:r>
      <w:r>
        <w:rPr>
          <w:rFonts w:hint="eastAsia" w:ascii="Times New Roman" w:hAnsi="Times New Roman" w:eastAsia="华文新魏" w:cs="Times New Roman"/>
          <w:b/>
          <w:sz w:val="32"/>
        </w:rPr>
        <w:t>舟山市公安局交通警察支队</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r>
        <w:rPr>
          <w:rFonts w:hint="eastAsia" w:ascii="Times New Roman" w:hAnsi="Times New Roman" w:eastAsia="华文新魏" w:cs="Times New Roman"/>
          <w:b/>
          <w:w w:val="95"/>
          <w:sz w:val="32"/>
        </w:rPr>
        <w:t>代理机构：深圳市国信招标有限公司</w:t>
      </w:r>
    </w:p>
    <w:p>
      <w:pPr>
        <w:snapToGrid w:val="0"/>
        <w:spacing w:before="120" w:line="312" w:lineRule="auto"/>
        <w:ind w:left="5974" w:hanging="5968" w:hangingChars="1961"/>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6046" w:leftChars="2625" w:hanging="533" w:hangingChars="175"/>
        <w:rPr>
          <w:rFonts w:ascii="Times New Roman" w:hAnsi="Times New Roman" w:eastAsia="华文新魏" w:cs="Times New Roman"/>
          <w:b/>
          <w:w w:val="95"/>
          <w:sz w:val="32"/>
        </w:rPr>
      </w:pPr>
      <w:r>
        <w:rPr>
          <w:rFonts w:ascii="Times New Roman" w:hAnsi="Times New Roman" w:eastAsia="华文新魏" w:cs="Times New Roman"/>
          <w:b/>
          <w:w w:val="95"/>
          <w:sz w:val="32"/>
        </w:rPr>
        <w:t>2023年</w:t>
      </w:r>
      <w:r>
        <w:rPr>
          <w:rFonts w:hint="eastAsia" w:ascii="Times New Roman" w:hAnsi="Times New Roman" w:eastAsia="华文新魏" w:cs="Times New Roman"/>
          <w:b/>
          <w:w w:val="95"/>
          <w:sz w:val="32"/>
        </w:rPr>
        <w:t>10月</w:t>
      </w:r>
      <w:r>
        <w:rPr>
          <w:rFonts w:ascii="Times New Roman" w:hAnsi="Times New Roman" w:eastAsia="华文新魏" w:cs="Times New Roman"/>
          <w:b/>
          <w:w w:val="95"/>
          <w:sz w:val="32"/>
        </w:rPr>
        <w:t>2</w:t>
      </w:r>
      <w:r>
        <w:rPr>
          <w:rFonts w:hint="eastAsia" w:ascii="Times New Roman" w:hAnsi="Times New Roman" w:eastAsia="华文新魏" w:cs="Times New Roman"/>
          <w:b/>
          <w:w w:val="95"/>
          <w:sz w:val="32"/>
        </w:rPr>
        <w:t>3日</w:t>
      </w:r>
    </w:p>
    <w:p>
      <w:pPr>
        <w:widowControl/>
        <w:spacing w:line="312" w:lineRule="auto"/>
        <w:jc w:val="left"/>
        <w:rPr>
          <w:rFonts w:ascii="Times New Roman" w:hAnsi="Times New Roman" w:eastAsia="创艺简标宋" w:cs="Times New Roman"/>
          <w:kern w:val="0"/>
          <w:sz w:val="44"/>
        </w:rPr>
        <w:sectPr>
          <w:headerReference r:id="rId3" w:type="default"/>
          <w:footerReference r:id="rId4" w:type="default"/>
          <w:pgSz w:w="11906" w:h="16838"/>
          <w:pgMar w:top="1304" w:right="1106" w:bottom="1304" w:left="1531" w:header="1304" w:footer="1304" w:gutter="0"/>
          <w:cols w:space="720" w:num="1"/>
        </w:sectPr>
      </w:pPr>
    </w:p>
    <w:p>
      <w:pPr>
        <w:snapToGrid w:val="0"/>
        <w:spacing w:before="120" w:line="312" w:lineRule="auto"/>
        <w:rPr>
          <w:rFonts w:ascii="Times New Roman" w:hAnsi="Times New Roman" w:eastAsia="创艺简标宋" w:cs="Times New Roman"/>
          <w:sz w:val="44"/>
        </w:rPr>
      </w:pPr>
    </w:p>
    <w:p>
      <w:pPr>
        <w:snapToGrid w:val="0"/>
        <w:spacing w:before="120" w:line="312" w:lineRule="auto"/>
        <w:jc w:val="center"/>
        <w:rPr>
          <w:rFonts w:ascii="Times New Roman" w:hAnsi="Times New Roman" w:eastAsia="宋体" w:cs="Times New Roman"/>
          <w:b/>
          <w:sz w:val="44"/>
        </w:rPr>
      </w:pPr>
      <w:r>
        <w:rPr>
          <w:rFonts w:hint="eastAsia" w:ascii="Times New Roman" w:hAnsi="Times New Roman" w:eastAsia="宋体" w:cs="Times New Roman"/>
          <w:b/>
          <w:sz w:val="44"/>
        </w:rPr>
        <w:t>目录</w:t>
      </w:r>
    </w:p>
    <w:p>
      <w:pPr>
        <w:spacing w:after="120"/>
        <w:ind w:firstLine="210" w:firstLineChars="100"/>
        <w:rPr>
          <w:rFonts w:ascii="Times New Roman" w:hAnsi="Times New Roman" w:eastAsia="宋体" w:cs="Times New Roman"/>
          <w:kern w:val="0"/>
        </w:rPr>
      </w:pP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采购公告</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招标需求</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投标人须知</w:t>
      </w:r>
    </w:p>
    <w:p>
      <w:pPr>
        <w:snapToGrid w:val="0"/>
        <w:spacing w:line="360" w:lineRule="auto"/>
        <w:ind w:left="1440"/>
        <w:rPr>
          <w:rFonts w:ascii="Times New Roman" w:hAnsi="Times New Roman" w:eastAsia="宋体" w:cs="Times New Roman"/>
          <w:sz w:val="24"/>
        </w:rPr>
      </w:pPr>
      <w:r>
        <w:rPr>
          <w:rFonts w:hint="eastAsia" w:ascii="Times New Roman" w:hAnsi="Times New Roman" w:eastAsia="宋体" w:cs="Times New Roman"/>
          <w:sz w:val="24"/>
        </w:rPr>
        <w:t>前附表</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总则</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招标文件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投标文件编制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开标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评标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定标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第四章评标办法及评分标准</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第五章政府采购合同主要条款</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第六章投标文件相关格式</w:t>
      </w: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widowControl/>
        <w:spacing w:line="312" w:lineRule="auto"/>
        <w:jc w:val="left"/>
        <w:rPr>
          <w:rFonts w:ascii="Times New Roman" w:hAnsi="Times New Roman" w:eastAsia="宋体" w:cs="Times New Roman"/>
          <w:kern w:val="0"/>
        </w:rPr>
        <w:sectPr>
          <w:pgSz w:w="11906" w:h="16838"/>
          <w:pgMar w:top="1304" w:right="1106" w:bottom="1304" w:left="1531" w:header="1304" w:footer="1304" w:gutter="0"/>
          <w:cols w:space="720" w:num="1"/>
        </w:sectPr>
      </w:pPr>
    </w:p>
    <w:p>
      <w:pPr>
        <w:snapToGrid w:val="0"/>
        <w:spacing w:before="120" w:line="312" w:lineRule="auto"/>
        <w:jc w:val="center"/>
        <w:outlineLvl w:val="0"/>
        <w:rPr>
          <w:rFonts w:ascii="Times New Roman" w:hAnsi="Times New Roman" w:eastAsia="黑体" w:cs="Times New Roman"/>
          <w:sz w:val="30"/>
        </w:rPr>
      </w:pPr>
      <w:r>
        <w:rPr>
          <w:rFonts w:hint="eastAsia" w:ascii="Times New Roman" w:hAnsi="Times New Roman" w:eastAsia="黑体" w:cs="Times New Roman"/>
          <w:sz w:val="30"/>
        </w:rPr>
        <w:t>第一章公开招标采购公告</w:t>
      </w:r>
    </w:p>
    <w:p>
      <w:pPr>
        <w:spacing w:line="312" w:lineRule="auto"/>
        <w:rPr>
          <w:rFonts w:ascii="Times New Roman" w:hAnsi="Times New Roman" w:eastAsia="宋体" w:cs="Times New Roman"/>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rPr>
        <w:t>根据《中华人民</w:t>
      </w:r>
      <w:r>
        <w:rPr>
          <w:rFonts w:hint="eastAsia" w:ascii="Times New Roman" w:hAnsi="Times New Roman" w:eastAsia="宋体" w:cs="Times New Roman"/>
          <w:szCs w:val="21"/>
        </w:rPr>
        <w:t>共和国政府采购法》等规定，受舟山市公安局交通警察支队委托，现就2023年本岛红绿灯维修、保养和优化提升项目进行公开招标，欢迎符合资质要求并能提供相关服务的供应商参加投标。</w:t>
      </w:r>
    </w:p>
    <w:p>
      <w:pPr>
        <w:widowControl/>
        <w:spacing w:line="360" w:lineRule="auto"/>
        <w:jc w:val="left"/>
        <w:rPr>
          <w:rFonts w:ascii="Times New Roman" w:hAnsi="Times New Roman" w:eastAsia="宋体" w:cs="Times New Roman"/>
          <w:b/>
          <w:bCs/>
          <w:szCs w:val="21"/>
        </w:rPr>
      </w:pPr>
      <w:r>
        <w:rPr>
          <w:rFonts w:hint="eastAsia" w:ascii="Times New Roman" w:hAnsi="Times New Roman" w:eastAsia="宋体" w:cs="Times New Roman"/>
          <w:b/>
          <w:bCs/>
          <w:szCs w:val="21"/>
        </w:rPr>
        <w:t>一、项目名称：</w:t>
      </w:r>
      <w:r>
        <w:rPr>
          <w:rFonts w:hint="eastAsia" w:ascii="Times New Roman" w:hAnsi="Times New Roman" w:eastAsia="宋体" w:cs="Times New Roman"/>
          <w:szCs w:val="21"/>
        </w:rPr>
        <w:t>2023年本岛红绿灯维修、保养和优化提升项目</w:t>
      </w:r>
    </w:p>
    <w:p>
      <w:pPr>
        <w:widowControl/>
        <w:spacing w:line="360" w:lineRule="auto"/>
        <w:jc w:val="left"/>
        <w:rPr>
          <w:rFonts w:ascii="Times New Roman" w:hAnsi="Times New Roman" w:eastAsia="宋体" w:cs="Times New Roman"/>
          <w:b/>
          <w:bCs/>
          <w:sz w:val="28"/>
          <w:szCs w:val="28"/>
        </w:rPr>
      </w:pPr>
      <w:r>
        <w:rPr>
          <w:rFonts w:hint="eastAsia" w:ascii="Times New Roman" w:hAnsi="Times New Roman" w:eastAsia="宋体" w:cs="Times New Roman"/>
          <w:b/>
          <w:bCs/>
          <w:szCs w:val="21"/>
        </w:rPr>
        <w:t>二、项目编号：</w:t>
      </w:r>
      <w:r>
        <w:rPr>
          <w:rFonts w:hint="eastAsia" w:ascii="Times New Roman" w:hAnsi="Times New Roman" w:eastAsia="宋体" w:cs="Times New Roman"/>
          <w:kern w:val="0"/>
          <w:szCs w:val="21"/>
          <w:shd w:val="clear" w:color="auto" w:fill="FFFFFF"/>
        </w:rPr>
        <w:t>SZGXZS2023188</w:t>
      </w:r>
    </w:p>
    <w:p>
      <w:pPr>
        <w:widowControl/>
        <w:spacing w:line="360" w:lineRule="auto"/>
        <w:rPr>
          <w:rFonts w:ascii="Times New Roman" w:hAnsi="Times New Roman" w:eastAsia="宋体" w:cs="Times New Roman"/>
          <w:kern w:val="0"/>
          <w:szCs w:val="21"/>
          <w:shd w:val="clear" w:color="auto" w:fill="FFFFFF"/>
        </w:rPr>
      </w:pPr>
      <w:r>
        <w:rPr>
          <w:rFonts w:hint="eastAsia" w:ascii="Times New Roman" w:hAnsi="Times New Roman" w:eastAsia="宋体" w:cs="Times New Roman"/>
          <w:b/>
          <w:bCs/>
          <w:kern w:val="0"/>
          <w:szCs w:val="21"/>
        </w:rPr>
        <w:t>三、采购组织类型：</w:t>
      </w:r>
      <w:r>
        <w:rPr>
          <w:rFonts w:hint="eastAsia" w:ascii="Times New Roman" w:hAnsi="Times New Roman" w:eastAsia="宋体" w:cs="Times New Roman"/>
          <w:kern w:val="0"/>
          <w:szCs w:val="21"/>
          <w:shd w:val="clear" w:color="auto" w:fill="FFFFFF"/>
        </w:rPr>
        <w:t>分散采购委托代理</w:t>
      </w:r>
    </w:p>
    <w:p>
      <w:pPr>
        <w:widowControl/>
        <w:spacing w:line="360" w:lineRule="auto"/>
        <w:rPr>
          <w:rFonts w:eastAsia="宋体"/>
        </w:rPr>
      </w:pPr>
      <w:r>
        <w:rPr>
          <w:rFonts w:hint="eastAsia" w:ascii="Times New Roman" w:hAnsi="Times New Roman" w:eastAsia="宋体" w:cs="Times New Roman"/>
          <w:kern w:val="0"/>
          <w:szCs w:val="21"/>
          <w:shd w:val="clear" w:color="auto" w:fill="FFFFFF"/>
        </w:rPr>
        <w:t>四、</w:t>
      </w:r>
      <w:r>
        <w:rPr>
          <w:rFonts w:hint="eastAsia" w:ascii="Times New Roman" w:hAnsi="Times New Roman" w:eastAsia="宋体" w:cs="Times New Roman"/>
          <w:b/>
          <w:bCs/>
          <w:kern w:val="0"/>
          <w:szCs w:val="21"/>
        </w:rPr>
        <w:t>招标项目概况（内容、用途、数量、简要技术要求等）</w:t>
      </w:r>
      <w:r>
        <w:rPr>
          <w:rFonts w:ascii="Times New Roman" w:hAnsi="Times New Roman" w:eastAsia="宋体" w:cs="Times New Roman"/>
          <w:b/>
          <w:bCs/>
          <w:kern w:val="0"/>
          <w:szCs w:val="21"/>
        </w:rPr>
        <w:t>:</w:t>
      </w:r>
    </w:p>
    <w:tbl>
      <w:tblPr>
        <w:tblStyle w:val="63"/>
        <w:tblpPr w:leftFromText="180" w:rightFromText="180" w:vertAnchor="text" w:horzAnchor="page" w:tblpXSpec="center" w:tblpY="207"/>
        <w:tblOverlap w:val="never"/>
        <w:tblW w:w="90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5645"/>
        <w:gridCol w:w="1914"/>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1680" w:firstLineChars="800"/>
              <w:jc w:val="left"/>
              <w:rPr>
                <w:rFonts w:ascii="Times New Roman" w:hAnsi="Times New Roman" w:eastAsia="宋体" w:cs="Times New Roman"/>
                <w:szCs w:val="21"/>
              </w:rPr>
            </w:pPr>
            <w:r>
              <w:rPr>
                <w:rFonts w:hint="eastAsia" w:ascii="Times New Roman" w:hAnsi="Times New Roman" w:eastAsia="宋体" w:cs="Times New Roman"/>
                <w:szCs w:val="21"/>
              </w:rPr>
              <w:t>项目名称及内容</w:t>
            </w:r>
          </w:p>
        </w:tc>
        <w:tc>
          <w:tcPr>
            <w:tcW w:w="19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预算金额（万元）</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1</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2023年本岛红绿灯维修、保养和优化提升项目</w:t>
            </w:r>
          </w:p>
        </w:tc>
        <w:tc>
          <w:tcPr>
            <w:tcW w:w="19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735" w:firstLineChars="350"/>
              <w:jc w:val="left"/>
              <w:rPr>
                <w:rFonts w:ascii="Times New Roman" w:hAnsi="Times New Roman" w:eastAsia="宋体" w:cs="Times New Roman"/>
                <w:szCs w:val="21"/>
              </w:rPr>
            </w:pPr>
            <w:r>
              <w:rPr>
                <w:rFonts w:ascii="Times New Roman" w:hAnsi="Times New Roman" w:eastAsia="宋体" w:cs="Times New Roman"/>
                <w:szCs w:val="21"/>
              </w:rPr>
              <w:t>630.4566</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w:hAnsi="Times New Roman" w:eastAsia="宋体" w:cs="Times New Roman"/>
                <w:szCs w:val="21"/>
              </w:rPr>
            </w:pPr>
          </w:p>
        </w:tc>
      </w:tr>
    </w:tbl>
    <w:p>
      <w:pPr>
        <w:widowControl/>
        <w:spacing w:line="360" w:lineRule="auto"/>
        <w:jc w:val="left"/>
        <w:rPr>
          <w:rFonts w:ascii="Times New Roman" w:hAnsi="Times New Roman" w:eastAsia="宋体" w:cs="Times New Roman"/>
          <w:szCs w:val="21"/>
        </w:rPr>
      </w:pP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五、投标供应商资格要求</w:t>
      </w:r>
      <w:r>
        <w:rPr>
          <w:rFonts w:ascii="Times New Roman" w:hAnsi="Times New Roman" w:eastAsia="宋体" w:cs="Times New Roman"/>
          <w:b/>
          <w:bCs/>
          <w:kern w:val="0"/>
          <w:szCs w:val="21"/>
        </w:rPr>
        <w:t>:</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宋体" w:hAnsi="宋体" w:eastAsia="宋体" w:cs="宋体"/>
          <w:kern w:val="0"/>
          <w:szCs w:val="21"/>
        </w:rPr>
        <w:t>①</w:t>
      </w:r>
      <w:r>
        <w:rPr>
          <w:rFonts w:hint="eastAsia" w:ascii="Times New Roman" w:hAnsi="Times New Roman" w:eastAsia="宋体" w:cs="Times New Roman"/>
          <w:kern w:val="0"/>
          <w:szCs w:val="21"/>
        </w:rPr>
        <w:t>具有独立承担民事责任的能力；</w:t>
      </w:r>
      <w:r>
        <w:rPr>
          <w:rFonts w:hint="eastAsia" w:ascii="宋体" w:hAnsi="宋体" w:eastAsia="宋体" w:cs="宋体"/>
          <w:kern w:val="0"/>
          <w:szCs w:val="21"/>
        </w:rPr>
        <w:t>②</w:t>
      </w:r>
      <w:r>
        <w:rPr>
          <w:rFonts w:hint="eastAsia" w:ascii="Times New Roman" w:hAnsi="Times New Roman" w:eastAsia="宋体" w:cs="Times New Roman"/>
          <w:kern w:val="0"/>
          <w:szCs w:val="21"/>
        </w:rPr>
        <w:t>具有良好的商业信誉和健全的财务会计制度；</w:t>
      </w:r>
      <w:r>
        <w:rPr>
          <w:rFonts w:hint="eastAsia" w:ascii="宋体" w:hAnsi="宋体" w:eastAsia="宋体" w:cs="宋体"/>
          <w:kern w:val="0"/>
          <w:szCs w:val="21"/>
        </w:rPr>
        <w:t>③</w:t>
      </w:r>
      <w:r>
        <w:rPr>
          <w:rFonts w:hint="eastAsia" w:ascii="Times New Roman" w:hAnsi="Times New Roman" w:eastAsia="宋体" w:cs="Times New Roman"/>
          <w:kern w:val="0"/>
          <w:szCs w:val="21"/>
        </w:rPr>
        <w:t>具有履行合同所必需的设备和专业技术能力；</w:t>
      </w:r>
      <w:r>
        <w:rPr>
          <w:rFonts w:hint="eastAsia" w:ascii="宋体" w:hAnsi="宋体" w:eastAsia="宋体" w:cs="宋体"/>
          <w:kern w:val="0"/>
          <w:szCs w:val="21"/>
        </w:rPr>
        <w:t>④</w:t>
      </w:r>
      <w:r>
        <w:rPr>
          <w:rFonts w:hint="eastAsia" w:ascii="Times New Roman" w:hAnsi="Times New Roman" w:eastAsia="宋体" w:cs="Times New Roman"/>
          <w:kern w:val="0"/>
          <w:szCs w:val="21"/>
        </w:rPr>
        <w:t>参加政府采购活动前三年内，无依法缴纳税收和社会保障资金的不良记录；</w:t>
      </w:r>
      <w:r>
        <w:rPr>
          <w:rFonts w:hint="eastAsia" w:ascii="宋体" w:hAnsi="宋体" w:eastAsia="宋体" w:cs="宋体"/>
          <w:kern w:val="0"/>
          <w:szCs w:val="21"/>
        </w:rPr>
        <w:t>⑤</w:t>
      </w:r>
      <w:r>
        <w:rPr>
          <w:rFonts w:hint="eastAsia" w:ascii="Times New Roman" w:hAnsi="Times New Roman" w:eastAsia="宋体" w:cs="Times New Roman"/>
          <w:kern w:val="0"/>
          <w:szCs w:val="21"/>
        </w:rPr>
        <w:t>参加政府采购活动前三年内，在经营活动中没有重大违法记录；</w:t>
      </w:r>
      <w:r>
        <w:rPr>
          <w:rFonts w:hint="eastAsia" w:ascii="宋体" w:hAnsi="宋体" w:eastAsia="宋体" w:cs="宋体"/>
          <w:kern w:val="0"/>
          <w:szCs w:val="21"/>
        </w:rPr>
        <w:t>⑥</w:t>
      </w:r>
      <w:r>
        <w:rPr>
          <w:rFonts w:hint="eastAsia" w:ascii="Times New Roman" w:hAnsi="Times New Roman" w:eastAsia="宋体" w:cs="Times New Roman"/>
          <w:kern w:val="0"/>
          <w:szCs w:val="21"/>
        </w:rPr>
        <w:t>法律、行政法规规定的其他条件。</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未被</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信用中国</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www.creditchina.gov.cn</w:t>
      </w:r>
      <w:r>
        <w:rPr>
          <w:rFonts w:hint="eastAsia" w:ascii="Times New Roman" w:hAnsi="Times New Roman" w:eastAsia="宋体" w:cs="Times New Roman"/>
          <w:kern w:val="0"/>
          <w:szCs w:val="21"/>
        </w:rPr>
        <w:t>）、中国政府采购网（</w:t>
      </w:r>
      <w:r>
        <w:rPr>
          <w:rFonts w:ascii="Times New Roman" w:hAnsi="Times New Roman" w:eastAsia="宋体" w:cs="Times New Roman"/>
          <w:kern w:val="0"/>
          <w:szCs w:val="21"/>
        </w:rPr>
        <w:t>www.ccgp.gov.cn</w:t>
      </w:r>
      <w:r>
        <w:rPr>
          <w:rFonts w:hint="eastAsia" w:ascii="Times New Roman" w:hAnsi="Times New Roman" w:eastAsia="宋体" w:cs="Times New Roman"/>
          <w:kern w:val="0"/>
          <w:szCs w:val="21"/>
        </w:rPr>
        <w:t>）列入失信被执行人、重大税收违法案件当事人名单、政府采购严重违法失信行为记录名单。</w:t>
      </w:r>
    </w:p>
    <w:p>
      <w:pPr>
        <w:widowControl/>
        <w:shd w:val="clear" w:color="auto" w:fill="FFFFFF"/>
        <w:spacing w:line="360" w:lineRule="auto"/>
        <w:ind w:firstLine="420" w:firstLineChars="200"/>
        <w:jc w:val="left"/>
        <w:rPr>
          <w:rFonts w:ascii="Times New Roman" w:hAnsi="Times New Roman" w:eastAsia="宋体" w:cs="Times New Roman"/>
          <w:b/>
          <w:bCs/>
          <w:kern w:val="0"/>
          <w:szCs w:val="21"/>
        </w:rPr>
      </w:pPr>
      <w:r>
        <w:rPr>
          <w:rFonts w:hint="eastAsia" w:ascii="Times New Roman" w:hAnsi="Times New Roman" w:eastAsia="宋体" w:cs="Times New Roman"/>
          <w:kern w:val="0"/>
          <w:szCs w:val="21"/>
        </w:rPr>
        <w:t>3.本项目不专门面向中小企业。本项目对应的中小企业划分标准所属行业：</w:t>
      </w:r>
      <w:r>
        <w:rPr>
          <w:rFonts w:hint="eastAsia" w:ascii="Times New Roman" w:hAnsi="Times New Roman" w:eastAsia="宋体" w:cs="Times New Roman"/>
          <w:b/>
          <w:bCs/>
          <w:kern w:val="0"/>
          <w:szCs w:val="21"/>
        </w:rPr>
        <w:t>其他未列明行业。</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六、</w:t>
      </w:r>
      <w:r>
        <w:rPr>
          <w:rFonts w:hint="eastAsia" w:ascii="Times New Roman" w:hAnsi="Times New Roman" w:eastAsia="宋体" w:cs="Times New Roman"/>
          <w:b/>
          <w:kern w:val="0"/>
          <w:szCs w:val="21"/>
        </w:rPr>
        <w:t>公告期限：</w:t>
      </w:r>
      <w:r>
        <w:rPr>
          <w:rFonts w:hint="eastAsia" w:ascii="Times New Roman" w:hAnsi="Times New Roman" w:eastAsia="宋体" w:cs="Times New Roman"/>
          <w:b/>
          <w:kern w:val="0"/>
          <w:szCs w:val="21"/>
          <w:u w:val="single"/>
        </w:rPr>
        <w:t>自公告发布之日起</w:t>
      </w:r>
      <w:r>
        <w:rPr>
          <w:rFonts w:ascii="Times New Roman" w:hAnsi="Times New Roman" w:eastAsia="宋体" w:cs="Times New Roman"/>
          <w:b/>
          <w:kern w:val="0"/>
          <w:szCs w:val="21"/>
          <w:u w:val="single"/>
        </w:rPr>
        <w:t>5</w:t>
      </w:r>
      <w:r>
        <w:rPr>
          <w:rFonts w:hint="eastAsia" w:ascii="Times New Roman" w:hAnsi="Times New Roman" w:eastAsia="宋体" w:cs="Times New Roman"/>
          <w:b/>
          <w:kern w:val="0"/>
          <w:szCs w:val="21"/>
          <w:u w:val="single"/>
        </w:rPr>
        <w:t>个工作日</w:t>
      </w:r>
    </w:p>
    <w:p>
      <w:pPr>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七、注册及采购文件的获取</w:t>
      </w:r>
      <w:r>
        <w:rPr>
          <w:rFonts w:hint="eastAsia" w:ascii="Times New Roman" w:hAnsi="Times New Roman" w:eastAsia="宋体" w:cs="Times New Roman"/>
          <w:szCs w:val="21"/>
        </w:rPr>
        <w:t>：</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1.</w:t>
      </w:r>
      <w:r>
        <w:rPr>
          <w:rFonts w:hint="eastAsia" w:ascii="Times New Roman" w:hAnsi="Times New Roman" w:eastAsia="宋体" w:cs="Times New Roman"/>
          <w:b/>
          <w:bCs/>
          <w:kern w:val="0"/>
          <w:szCs w:val="21"/>
          <w:shd w:val="clear" w:color="auto" w:fill="FFFFFF"/>
        </w:rPr>
        <w:t>本项目只实行网上获取采购文件。</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2.</w:t>
      </w:r>
      <w:r>
        <w:rPr>
          <w:rFonts w:hint="eastAsia" w:ascii="Times New Roman" w:hAnsi="Times New Roman" w:eastAsia="宋体" w:cs="Times New Roman"/>
          <w:b/>
          <w:bCs/>
          <w:kern w:val="0"/>
          <w:szCs w:val="21"/>
          <w:shd w:val="clear" w:color="auto" w:fill="FFFFFF"/>
        </w:rPr>
        <w:t>获取采购文件网址</w:t>
      </w:r>
      <w:r>
        <w:rPr>
          <w:rFonts w:hint="eastAsia" w:ascii="Times New Roman" w:hAnsi="Times New Roman" w:eastAsia="宋体" w:cs="Times New Roman"/>
          <w:kern w:val="0"/>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（用</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注册账号、密码登录系统后获取采购文件）</w:t>
      </w:r>
    </w:p>
    <w:p>
      <w:pPr>
        <w:widowControl/>
        <w:shd w:val="clear" w:color="auto" w:fill="FFFFFF"/>
        <w:spacing w:line="360" w:lineRule="auto"/>
        <w:ind w:left="416" w:left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3.</w:t>
      </w:r>
      <w:r>
        <w:rPr>
          <w:rFonts w:hint="eastAsia" w:ascii="Times New Roman" w:hAnsi="Times New Roman" w:eastAsia="宋体" w:cs="Times New Roman"/>
          <w:b/>
          <w:bCs/>
          <w:kern w:val="0"/>
          <w:szCs w:val="21"/>
          <w:shd w:val="clear" w:color="auto" w:fill="FFFFFF"/>
        </w:rPr>
        <w:t>免费注册网址：浙江政府采购网（供应商注册页面）：</w:t>
      </w:r>
    </w:p>
    <w:p>
      <w:pPr>
        <w:widowControl/>
        <w:shd w:val="clear" w:color="auto" w:fill="FFFFFF"/>
        <w:spacing w:line="360" w:lineRule="auto"/>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u w:val="single"/>
          <w:shd w:val="clear" w:color="auto" w:fill="FFFFFF"/>
        </w:rPr>
        <w:t>https://middle.zcygov.cn/settle-front/#/registry</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，咨询电话：</w:t>
      </w:r>
      <w:r>
        <w:rPr>
          <w:rFonts w:ascii="Times New Roman" w:hAnsi="Times New Roman" w:eastAsia="宋体" w:cs="Times New Roman"/>
          <w:kern w:val="0"/>
          <w:szCs w:val="21"/>
          <w:shd w:val="clear" w:color="auto" w:fill="FFFFFF"/>
        </w:rPr>
        <w:t>95763</w:t>
      </w:r>
      <w:r>
        <w:rPr>
          <w:rFonts w:hint="eastAsia" w:ascii="Times New Roman" w:hAnsi="Times New Roman" w:eastAsia="宋体" w:cs="Times New Roman"/>
          <w:kern w:val="0"/>
          <w:szCs w:val="21"/>
          <w:shd w:val="clear" w:color="auto" w:fill="FFFFFF"/>
        </w:rPr>
        <w:t>。已经注册成功的供应商无需重复注册。</w:t>
      </w:r>
    </w:p>
    <w:p>
      <w:pPr>
        <w:widowControl/>
        <w:numPr>
          <w:ilvl w:val="0"/>
          <w:numId w:val="8"/>
        </w:numPr>
        <w:shd w:val="clear" w:color="auto" w:fill="FFFFFF"/>
        <w:spacing w:line="360" w:lineRule="auto"/>
        <w:ind w:firstLine="417" w:firstLineChars="198"/>
        <w:jc w:val="left"/>
        <w:rPr>
          <w:rFonts w:ascii="Times New Roman" w:hAnsi="Times New Roman" w:eastAsia="宋体" w:cs="Times New Roman"/>
          <w:kern w:val="0"/>
          <w:szCs w:val="21"/>
          <w:shd w:val="clear" w:color="auto" w:fill="FFFFFF"/>
        </w:rPr>
      </w:pPr>
      <w:r>
        <w:rPr>
          <w:rFonts w:hint="eastAsia" w:ascii="Times New Roman" w:hAnsi="Times New Roman" w:eastAsia="宋体" w:cs="Times New Roman"/>
          <w:b/>
          <w:bCs/>
          <w:kern w:val="0"/>
          <w:szCs w:val="21"/>
          <w:shd w:val="clear" w:color="auto" w:fill="FFFFFF"/>
        </w:rPr>
        <w:t>获取采购文件时间：</w:t>
      </w:r>
      <w:r>
        <w:rPr>
          <w:rFonts w:hint="eastAsia" w:ascii="Times New Roman" w:hAnsi="Times New Roman" w:eastAsia="宋体" w:cs="Times New Roman"/>
          <w:kern w:val="0"/>
          <w:szCs w:val="21"/>
          <w:shd w:val="clear" w:color="auto" w:fill="FFFFFF"/>
        </w:rPr>
        <w:t>公告发布之日至投标截止时间</w:t>
      </w:r>
    </w:p>
    <w:p>
      <w:pPr>
        <w:widowControl/>
        <w:shd w:val="clear" w:color="auto" w:fill="FFFFFF"/>
        <w:spacing w:line="360" w:lineRule="auto"/>
        <w:jc w:val="left"/>
        <w:rPr>
          <w:rFonts w:ascii="Times New Roman" w:hAnsi="Times New Roman" w:eastAsia="宋体" w:cs="Times New Roman"/>
          <w:b/>
          <w:bCs/>
          <w:szCs w:val="21"/>
        </w:rPr>
      </w:pPr>
      <w:r>
        <w:rPr>
          <w:rFonts w:hint="eastAsia" w:ascii="Times New Roman" w:hAnsi="Times New Roman" w:eastAsia="宋体" w:cs="Times New Roman"/>
          <w:b/>
          <w:bCs/>
          <w:szCs w:val="21"/>
        </w:rPr>
        <w:t>八、投标文件的制作及递交：</w:t>
      </w:r>
    </w:p>
    <w:p>
      <w:pPr>
        <w:widowControl/>
        <w:shd w:val="clear" w:color="auto" w:fill="FFFFFF"/>
        <w:spacing w:line="360" w:lineRule="auto"/>
        <w:ind w:firstLine="420" w:firstLineChars="200"/>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供应商须</w:t>
      </w:r>
      <w:r>
        <w:rPr>
          <w:rFonts w:hint="eastAsia" w:ascii="Times New Roman" w:hAnsi="Times New Roman" w:eastAsia="宋体" w:cs="Times New Roman"/>
          <w:b/>
          <w:bCs/>
          <w:kern w:val="0"/>
          <w:szCs w:val="21"/>
          <w:shd w:val="clear" w:color="auto" w:fill="FFFFFF"/>
        </w:rPr>
        <w:t>在线获取</w:t>
      </w:r>
      <w:r>
        <w:rPr>
          <w:rFonts w:ascii="Times New Roman" w:hAnsi="Times New Roman" w:eastAsia="宋体" w:cs="Times New Roman"/>
          <w:b/>
          <w:bCs/>
          <w:kern w:val="0"/>
          <w:szCs w:val="21"/>
          <w:shd w:val="clear" w:color="auto" w:fill="FFFFFF"/>
        </w:rPr>
        <w:t>CA</w:t>
      </w:r>
      <w:r>
        <w:rPr>
          <w:rFonts w:hint="eastAsia" w:ascii="Times New Roman" w:hAnsi="Times New Roman" w:eastAsia="宋体" w:cs="Times New Roman"/>
          <w:b/>
          <w:bCs/>
          <w:kern w:val="0"/>
          <w:szCs w:val="21"/>
          <w:shd w:val="clear" w:color="auto" w:fill="FFFFFF"/>
        </w:rPr>
        <w:t>数字证书</w:t>
      </w:r>
      <w:r>
        <w:rPr>
          <w:rFonts w:hint="eastAsia" w:ascii="Times New Roman" w:hAnsi="Times New Roman" w:eastAsia="宋体" w:cs="Times New Roman"/>
          <w:kern w:val="0"/>
          <w:szCs w:val="21"/>
          <w:shd w:val="clear" w:color="auto" w:fill="FFFFFF"/>
        </w:rPr>
        <w:t>（完成</w:t>
      </w:r>
      <w:r>
        <w:rPr>
          <w:rFonts w:ascii="Times New Roman" w:hAnsi="Times New Roman" w:eastAsia="宋体" w:cs="Times New Roman"/>
          <w:kern w:val="0"/>
          <w:szCs w:val="21"/>
          <w:shd w:val="clear" w:color="auto" w:fill="FFFFFF"/>
        </w:rPr>
        <w:t>CA</w:t>
      </w:r>
      <w:r>
        <w:rPr>
          <w:rFonts w:hint="eastAsia" w:ascii="Times New Roman" w:hAnsi="Times New Roman" w:eastAsia="宋体" w:cs="Times New Roman"/>
          <w:kern w:val="0"/>
          <w:szCs w:val="21"/>
          <w:shd w:val="clear" w:color="auto" w:fill="FFFFFF"/>
        </w:rPr>
        <w:t>数字证书办理预计一周左右，建议各投标人自行把握时间）</w:t>
      </w:r>
      <w:r>
        <w:rPr>
          <w:rFonts w:hint="eastAsia" w:ascii="Times New Roman" w:hAnsi="Times New Roman" w:eastAsia="宋体" w:cs="Times New Roman"/>
          <w:b/>
          <w:bCs/>
          <w:kern w:val="0"/>
          <w:szCs w:val="21"/>
          <w:shd w:val="clear" w:color="auto" w:fill="FFFFFF"/>
        </w:rPr>
        <w:t>，</w:t>
      </w:r>
      <w:r>
        <w:rPr>
          <w:rFonts w:hint="eastAsia" w:ascii="Times New Roman" w:hAnsi="Times New Roman" w:eastAsia="宋体" w:cs="Times New Roman"/>
          <w:kern w:val="0"/>
          <w:szCs w:val="21"/>
          <w:shd w:val="clear" w:color="auto" w:fill="FFFFFF"/>
        </w:rPr>
        <w:t>并登录</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浙江政府采购网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），进入</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下载专区</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电子交易客户端</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，制作投标文件。</w:t>
      </w:r>
    </w:p>
    <w:p>
      <w:pPr>
        <w:widowControl/>
        <w:spacing w:line="360" w:lineRule="auto"/>
        <w:ind w:firstLine="420" w:firstLineChars="20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2.</w:t>
      </w:r>
      <w:r>
        <w:rPr>
          <w:rFonts w:hint="eastAsia" w:ascii="Times New Roman" w:hAnsi="Times New Roman" w:eastAsia="宋体" w:cs="Times New Roman"/>
          <w:kern w:val="0"/>
          <w:szCs w:val="21"/>
          <w:shd w:val="clear" w:color="auto" w:fill="FFFFFF"/>
        </w:rPr>
        <w:t>投标人将加密的电子版投标文件于投标截止时间前上传到政采云系统中。</w:t>
      </w:r>
    </w:p>
    <w:p>
      <w:pPr>
        <w:widowControl/>
        <w:shd w:val="clear" w:color="auto" w:fill="FFFFFF"/>
        <w:spacing w:line="360" w:lineRule="auto"/>
        <w:ind w:left="420" w:leftChars="200"/>
        <w:jc w:val="left"/>
        <w:rPr>
          <w:rFonts w:ascii="Times New Roman" w:hAnsi="Times New Roman" w:eastAsia="宋体" w:cs="Times New Roman"/>
          <w:kern w:val="0"/>
          <w:szCs w:val="21"/>
          <w:u w:val="single"/>
          <w:shd w:val="clear" w:color="auto" w:fill="FFFFFF"/>
        </w:rPr>
      </w:pPr>
      <w:r>
        <w:rPr>
          <w:rFonts w:ascii="Times New Roman" w:hAnsi="Times New Roman" w:eastAsia="宋体" w:cs="Times New Roman"/>
          <w:kern w:val="0"/>
          <w:szCs w:val="21"/>
          <w:shd w:val="clear" w:color="auto" w:fill="FFFFFF"/>
        </w:rPr>
        <w:t>3.</w:t>
      </w:r>
      <w:r>
        <w:rPr>
          <w:rFonts w:hint="eastAsia" w:ascii="Times New Roman" w:hAnsi="Times New Roman" w:eastAsia="宋体" w:cs="Times New Roman"/>
          <w:kern w:val="0"/>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eastAsia="宋体" w:cs="Times New Roman"/>
          <w:kern w:val="0"/>
          <w:szCs w:val="21"/>
          <w:u w:val="single"/>
          <w:shd w:val="clear" w:color="auto" w:fill="FFFFFF"/>
        </w:rPr>
        <w:t>https://edu.zcygov.cn/luban/e-biding?utm=a0004.2ef5001f.0001.0109.da8b35e0da8611e98d8937b7ef8a3544</w:t>
      </w:r>
      <w:r>
        <w:rPr>
          <w:rFonts w:ascii="Times New Roman" w:hAnsi="Times New Roman" w:eastAsia="宋体" w:cs="Times New Roman"/>
          <w:kern w:val="0"/>
          <w:szCs w:val="21"/>
          <w:u w:val="single"/>
          <w:shd w:val="clear" w:color="auto" w:fill="FFFFFF"/>
        </w:rPr>
        <w:fldChar w:fldCharType="end"/>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九、投标保证金：无。</w:t>
      </w:r>
    </w:p>
    <w:p>
      <w:pPr>
        <w:widowControl/>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十、投标截止时间和地址：</w:t>
      </w:r>
    </w:p>
    <w:p>
      <w:pPr>
        <w:spacing w:line="360" w:lineRule="auto"/>
        <w:ind w:firstLine="632" w:firstLineChars="300"/>
        <w:rPr>
          <w:rFonts w:ascii="Times New Roman" w:hAnsi="Times New Roman" w:eastAsia="宋体" w:cs="Times New Roman"/>
          <w:b/>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本项目实行电子投标。</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r>
        <w:rPr>
          <w:rFonts w:hint="eastAsia" w:ascii="Times New Roman" w:hAnsi="Times New Roman" w:eastAsia="宋体" w:cs="Times New Roman"/>
          <w:szCs w:val="21"/>
          <w:shd w:val="clear" w:color="auto" w:fill="FFFFFF"/>
        </w:rPr>
        <w:t>投标人应于</w:t>
      </w:r>
      <w:bookmarkStart w:id="1" w:name="_Hlk100345522"/>
      <w:r>
        <w:rPr>
          <w:rFonts w:ascii="Times New Roman" w:hAnsi="Times New Roman" w:eastAsia="宋体" w:cs="Times New Roman"/>
          <w:szCs w:val="21"/>
          <w:shd w:val="clear" w:color="auto" w:fill="FFFFFF"/>
        </w:rPr>
        <w:t>2023年</w:t>
      </w:r>
      <w:r>
        <w:rPr>
          <w:rFonts w:hint="eastAsia" w:ascii="Times New Roman" w:hAnsi="Times New Roman" w:eastAsia="宋体" w:cs="Times New Roman"/>
          <w:szCs w:val="21"/>
          <w:shd w:val="clear" w:color="auto" w:fill="FFFFFF"/>
          <w:lang w:val="en-US" w:eastAsia="zh-CN"/>
        </w:rPr>
        <w:t>11</w:t>
      </w:r>
      <w:r>
        <w:rPr>
          <w:rFonts w:hint="eastAsia" w:ascii="Times New Roman" w:hAnsi="Times New Roman" w:eastAsia="宋体" w:cs="Times New Roman"/>
          <w:szCs w:val="21"/>
          <w:shd w:val="clear" w:color="auto" w:fill="FFFFFF"/>
        </w:rPr>
        <w:t>月</w:t>
      </w:r>
      <w:r>
        <w:rPr>
          <w:rFonts w:hint="eastAsia" w:ascii="Times New Roman" w:hAnsi="Times New Roman" w:eastAsia="宋体" w:cs="Times New Roman"/>
          <w:szCs w:val="21"/>
          <w:shd w:val="clear" w:color="auto" w:fill="FFFFFF"/>
          <w:lang w:val="en-US" w:eastAsia="zh-CN"/>
        </w:rPr>
        <w:t>20</w:t>
      </w:r>
      <w:r>
        <w:rPr>
          <w:rFonts w:hint="eastAsia" w:ascii="Times New Roman" w:hAnsi="Times New Roman" w:eastAsia="宋体" w:cs="Times New Roman"/>
          <w:szCs w:val="21"/>
          <w:shd w:val="clear" w:color="auto" w:fill="FFFFFF"/>
        </w:rPr>
        <w:t>日</w:t>
      </w:r>
      <w:r>
        <w:rPr>
          <w:rFonts w:hint="eastAsia" w:ascii="Times New Roman" w:hAnsi="Times New Roman" w:eastAsia="宋体" w:cs="Times New Roman"/>
          <w:szCs w:val="21"/>
          <w:shd w:val="clear" w:color="auto" w:fill="FFFFFF"/>
          <w:lang w:val="en-US" w:eastAsia="zh-CN"/>
        </w:rPr>
        <w:t>09</w:t>
      </w:r>
      <w:r>
        <w:rPr>
          <w:rFonts w:hint="eastAsia" w:ascii="Times New Roman" w:hAnsi="Times New Roman" w:eastAsia="宋体" w:cs="Times New Roman"/>
          <w:szCs w:val="21"/>
          <w:shd w:val="clear" w:color="auto" w:fill="FFFFFF"/>
        </w:rPr>
        <w:t>：</w:t>
      </w:r>
      <w:r>
        <w:rPr>
          <w:rFonts w:hint="eastAsia" w:ascii="Times New Roman" w:hAnsi="Times New Roman" w:eastAsia="宋体" w:cs="Times New Roman"/>
          <w:szCs w:val="21"/>
          <w:shd w:val="clear" w:color="auto" w:fill="FFFFFF"/>
          <w:lang w:val="en-US" w:eastAsia="zh-CN"/>
        </w:rPr>
        <w:t>1</w:t>
      </w:r>
      <w:r>
        <w:rPr>
          <w:rFonts w:ascii="Times New Roman" w:hAnsi="Times New Roman" w:eastAsia="宋体" w:cs="Times New Roman"/>
          <w:szCs w:val="21"/>
          <w:shd w:val="clear" w:color="auto" w:fill="FFFFFF"/>
        </w:rPr>
        <w:t>5</w:t>
      </w:r>
      <w:bookmarkEnd w:id="1"/>
      <w:r>
        <w:rPr>
          <w:rFonts w:hint="eastAsia" w:ascii="Times New Roman" w:hAnsi="Times New Roman" w:eastAsia="宋体" w:cs="Times New Roman"/>
          <w:szCs w:val="21"/>
          <w:shd w:val="clear" w:color="auto" w:fill="FFFFFF"/>
        </w:rPr>
        <w:t>前将加密的电子版投标文件上传到政采云系统中（不准时上传视为无效标）。</w:t>
      </w:r>
      <w:r>
        <w:rPr>
          <w:rFonts w:ascii="Times New Roman" w:hAnsi="Times New Roman" w:eastAsia="宋体" w:cs="Times New Roman"/>
          <w:b/>
          <w:szCs w:val="21"/>
          <w:shd w:val="clear" w:color="auto" w:fill="FFFFFF"/>
        </w:rPr>
        <w:t>CA</w:t>
      </w:r>
      <w:r>
        <w:rPr>
          <w:rFonts w:hint="eastAsia" w:ascii="Times New Roman" w:hAnsi="Times New Roman" w:eastAsia="宋体" w:cs="Times New Roman"/>
          <w:b/>
          <w:szCs w:val="21"/>
          <w:shd w:val="clear" w:color="auto" w:fill="FFFFFF"/>
        </w:rPr>
        <w:t>数字证书随身携带或准时解码。</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widowControl/>
        <w:shd w:val="clear" w:color="auto" w:fill="FFFFFF"/>
        <w:spacing w:line="360" w:lineRule="auto"/>
        <w:ind w:firstLine="516" w:firstLineChars="246"/>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投标人应于</w:t>
      </w:r>
      <w:r>
        <w:rPr>
          <w:rFonts w:ascii="Times New Roman" w:hAnsi="Times New Roman" w:eastAsia="宋体" w:cs="Times New Roman"/>
          <w:kern w:val="0"/>
          <w:szCs w:val="21"/>
        </w:rPr>
        <w:t>2023年</w:t>
      </w:r>
      <w:r>
        <w:rPr>
          <w:rFonts w:hint="eastAsia" w:ascii="Times New Roman" w:hAnsi="Times New Roman" w:eastAsia="宋体" w:cs="Times New Roman"/>
          <w:kern w:val="0"/>
          <w:szCs w:val="21"/>
          <w:lang w:val="en-US" w:eastAsia="zh-CN"/>
        </w:rPr>
        <w:t>11</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19</w:t>
      </w:r>
      <w:r>
        <w:rPr>
          <w:rFonts w:hint="eastAsia" w:ascii="Times New Roman" w:hAnsi="Times New Roman" w:eastAsia="宋体" w:cs="Times New Roman"/>
          <w:kern w:val="0"/>
          <w:szCs w:val="21"/>
        </w:rPr>
        <w:t>日</w:t>
      </w:r>
      <w:r>
        <w:rPr>
          <w:rFonts w:ascii="Times New Roman" w:hAnsi="Times New Roman" w:eastAsia="宋体" w:cs="Times New Roman"/>
          <w:kern w:val="0"/>
          <w:szCs w:val="21"/>
        </w:rPr>
        <w:t>11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（北京时间）前将备份的投标文件寄于采购代理公司，地址：舟山市定海区昌国路</w:t>
      </w:r>
      <w:r>
        <w:rPr>
          <w:rFonts w:ascii="Times New Roman" w:hAnsi="Times New Roman" w:eastAsia="宋体" w:cs="Times New Roman"/>
          <w:kern w:val="0"/>
          <w:szCs w:val="21"/>
        </w:rPr>
        <w:t>232</w:t>
      </w:r>
      <w:r>
        <w:rPr>
          <w:rFonts w:hint="eastAsia" w:ascii="Times New Roman" w:hAnsi="Times New Roman" w:eastAsia="宋体" w:cs="Times New Roman"/>
          <w:kern w:val="0"/>
          <w:szCs w:val="21"/>
        </w:rPr>
        <w:t>号中楼</w:t>
      </w:r>
      <w:r>
        <w:rPr>
          <w:rFonts w:ascii="Times New Roman" w:hAnsi="Times New Roman" w:eastAsia="宋体" w:cs="Times New Roman"/>
          <w:kern w:val="0"/>
          <w:szCs w:val="21"/>
        </w:rPr>
        <w:t>202</w:t>
      </w:r>
      <w:r>
        <w:rPr>
          <w:rFonts w:hint="eastAsia" w:ascii="Times New Roman" w:hAnsi="Times New Roman" w:eastAsia="宋体" w:cs="Times New Roman"/>
          <w:kern w:val="0"/>
          <w:szCs w:val="21"/>
        </w:rPr>
        <w:t>深圳市国信招标有限公司舟山分公司，未按时寄到的自行承担风险。也可开标会现场递交。</w:t>
      </w:r>
    </w:p>
    <w:p>
      <w:pPr>
        <w:widowControl/>
        <w:shd w:val="clear" w:color="auto" w:fill="FFFFFF"/>
        <w:spacing w:line="360" w:lineRule="auto"/>
        <w:ind w:firstLine="519" w:firstLineChars="246"/>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投标人可以不提供备份投标文件，造成项目开评标活动无法进行下去的，投标无效，相关风险由投标人自行承担。</w:t>
      </w:r>
    </w:p>
    <w:p>
      <w:pPr>
        <w:widowControl/>
        <w:shd w:val="clear" w:color="auto" w:fill="FFFFFF"/>
        <w:spacing w:line="360" w:lineRule="auto"/>
        <w:ind w:firstLine="413" w:firstLineChars="196"/>
        <w:jc w:val="left"/>
        <w:rPr>
          <w:rFonts w:ascii="Times New Roman" w:hAnsi="Times New Roman" w:eastAsia="宋体" w:cs="Times New Roman"/>
          <w:bCs/>
          <w:kern w:val="0"/>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开标时间：</w:t>
      </w:r>
      <w:r>
        <w:rPr>
          <w:rFonts w:ascii="Times New Roman" w:hAnsi="Times New Roman" w:eastAsia="宋体" w:cs="Times New Roman"/>
          <w:kern w:val="0"/>
          <w:szCs w:val="21"/>
        </w:rPr>
        <w:t>2023年</w:t>
      </w:r>
      <w:r>
        <w:rPr>
          <w:rFonts w:hint="eastAsia" w:ascii="Times New Roman" w:hAnsi="Times New Roman" w:eastAsia="宋体" w:cs="Times New Roman"/>
          <w:kern w:val="0"/>
          <w:szCs w:val="21"/>
          <w:lang w:val="en-US" w:eastAsia="zh-CN"/>
        </w:rPr>
        <w:t>11</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20</w:t>
      </w:r>
      <w:r>
        <w:rPr>
          <w:rFonts w:hint="eastAsia" w:ascii="Times New Roman" w:hAnsi="Times New Roman" w:eastAsia="宋体" w:cs="Times New Roman"/>
          <w:kern w:val="0"/>
          <w:szCs w:val="21"/>
        </w:rPr>
        <w:t>日</w:t>
      </w:r>
      <w:r>
        <w:rPr>
          <w:rFonts w:hint="eastAsia" w:ascii="Times New Roman" w:hAnsi="Times New Roman" w:eastAsia="宋体" w:cs="Times New Roman"/>
          <w:kern w:val="0"/>
          <w:szCs w:val="21"/>
          <w:lang w:val="en-US" w:eastAsia="zh-CN"/>
        </w:rPr>
        <w:t>09</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lang w:val="en-US" w:eastAsia="zh-CN"/>
        </w:rPr>
        <w:t>1</w:t>
      </w:r>
      <w:r>
        <w:rPr>
          <w:rFonts w:ascii="Times New Roman" w:hAnsi="Times New Roman" w:eastAsia="宋体" w:cs="Times New Roman"/>
          <w:kern w:val="0"/>
          <w:szCs w:val="21"/>
        </w:rPr>
        <w:t>5</w:t>
      </w:r>
    </w:p>
    <w:p>
      <w:pPr>
        <w:widowControl/>
        <w:shd w:val="clear" w:color="auto" w:fill="FFFFFF"/>
        <w:spacing w:line="360" w:lineRule="auto"/>
        <w:ind w:firstLine="410"/>
        <w:jc w:val="left"/>
        <w:rPr>
          <w:rFonts w:ascii="Times New Roman" w:hAnsi="Times New Roman" w:eastAsia="宋体" w:cs="Times New Roman"/>
          <w:kern w:val="0"/>
          <w:szCs w:val="21"/>
        </w:rPr>
      </w:pPr>
      <w:r>
        <w:rPr>
          <w:rFonts w:ascii="Times New Roman" w:hAnsi="Times New Roman" w:eastAsia="宋体" w:cs="Times New Roman"/>
          <w:b/>
          <w:bCs/>
          <w:szCs w:val="21"/>
        </w:rPr>
        <w:t>3.</w:t>
      </w:r>
      <w:r>
        <w:rPr>
          <w:rFonts w:hint="eastAsia" w:ascii="Times New Roman" w:hAnsi="Times New Roman" w:eastAsia="宋体" w:cs="Times New Roman"/>
          <w:b/>
          <w:bCs/>
          <w:szCs w:val="21"/>
        </w:rPr>
        <w:t>开标地点：</w:t>
      </w:r>
      <w:r>
        <w:rPr>
          <w:rFonts w:hint="eastAsia" w:ascii="Times New Roman" w:hAnsi="Times New Roman" w:eastAsia="宋体" w:cs="Times New Roman"/>
          <w:kern w:val="0"/>
          <w:szCs w:val="21"/>
        </w:rPr>
        <w:t>舟山市公共资源交易中心（舟山市新城翁山路555号四楼（大宗商品交易中心同幢西边））开标室</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十一、其他事项：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1.</w:t>
      </w:r>
      <w:r>
        <w:rPr>
          <w:rFonts w:hint="eastAsia" w:ascii="Times New Roman" w:hAnsi="Times New Roman" w:eastAsia="宋体" w:cs="Times New Roman"/>
        </w:rPr>
        <w:t>本项目公告期限为</w:t>
      </w:r>
      <w:r>
        <w:rPr>
          <w:rFonts w:ascii="Times New Roman" w:hAnsi="Times New Roman" w:eastAsia="宋体" w:cs="Times New Roman"/>
        </w:rPr>
        <w:t>5</w:t>
      </w:r>
      <w:r>
        <w:rPr>
          <w:rFonts w:hint="eastAsia" w:ascii="Times New Roman" w:hAnsi="Times New Roman" w:eastAsia="宋体" w:cs="Times New Roman"/>
        </w:rPr>
        <w:t>个工作日，供应商认为采购文件使自己的权益受到损害的，可以自获取采购文件之日或者采购文件公告期限届满之日（公告期限届满后获取采购文件的，以公告期限届满之日为准）起</w:t>
      </w:r>
      <w:r>
        <w:rPr>
          <w:rFonts w:ascii="Times New Roman" w:hAnsi="Times New Roman" w:eastAsia="宋体" w:cs="Times New Roman"/>
        </w:rPr>
        <w:t>7</w:t>
      </w:r>
      <w:r>
        <w:rPr>
          <w:rFonts w:hint="eastAsia" w:ascii="Times New Roman" w:hAnsi="Times New Roman" w:eastAsia="宋体" w:cs="Times New Roman"/>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投标人应在合同签订前成为浙江政府采购网正式注册供应商。</w:t>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十二、联系方式：</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采购代理机构名称：深圳市国信招标有限公司舟山分公司</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联系人：朱女士、任女士</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联系电话：</w:t>
      </w:r>
      <w:r>
        <w:rPr>
          <w:rFonts w:ascii="Times New Roman" w:hAnsi="Times New Roman" w:eastAsia="宋体" w:cs="Times New Roman"/>
          <w:kern w:val="0"/>
          <w:szCs w:val="21"/>
          <w:shd w:val="clear" w:color="auto" w:fill="FFFFFF"/>
        </w:rPr>
        <w:t>0580-2054476</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13857236444</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13567673203</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质疑答复联系人：王女士</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联系电话：</w:t>
      </w:r>
      <w:r>
        <w:rPr>
          <w:rFonts w:ascii="Times New Roman" w:hAnsi="Times New Roman" w:eastAsia="宋体" w:cs="Times New Roman"/>
          <w:kern w:val="0"/>
          <w:szCs w:val="21"/>
          <w:shd w:val="clear" w:color="auto" w:fill="FFFFFF"/>
        </w:rPr>
        <w:t>0580-2054476</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13587045176</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传真：</w:t>
      </w:r>
      <w:r>
        <w:rPr>
          <w:rFonts w:ascii="Times New Roman" w:hAnsi="Times New Roman" w:eastAsia="宋体" w:cs="Times New Roman"/>
          <w:kern w:val="0"/>
          <w:szCs w:val="21"/>
          <w:shd w:val="clear" w:color="auto" w:fill="FFFFFF"/>
        </w:rPr>
        <w:t>0580-2054476</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地址：舟山市定海区昌国路</w:t>
      </w:r>
      <w:r>
        <w:rPr>
          <w:rFonts w:ascii="Times New Roman" w:hAnsi="Times New Roman" w:eastAsia="宋体" w:cs="Times New Roman"/>
          <w:kern w:val="0"/>
          <w:szCs w:val="21"/>
          <w:shd w:val="clear" w:color="auto" w:fill="FFFFFF"/>
        </w:rPr>
        <w:t>232</w:t>
      </w:r>
      <w:r>
        <w:rPr>
          <w:rFonts w:hint="eastAsia" w:ascii="Times New Roman" w:hAnsi="Times New Roman" w:eastAsia="宋体" w:cs="Times New Roman"/>
          <w:kern w:val="0"/>
          <w:szCs w:val="21"/>
          <w:shd w:val="clear" w:color="auto" w:fill="FFFFFF"/>
        </w:rPr>
        <w:t>号中楼</w:t>
      </w:r>
      <w:r>
        <w:rPr>
          <w:rFonts w:ascii="Times New Roman" w:hAnsi="Times New Roman" w:eastAsia="宋体" w:cs="Times New Roman"/>
          <w:kern w:val="0"/>
          <w:szCs w:val="21"/>
          <w:shd w:val="clear" w:color="auto" w:fill="FFFFFF"/>
        </w:rPr>
        <w:t>202</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宋体" w:hAnsi="宋体" w:eastAsia="宋体" w:cs="Times New Roman"/>
          <w:szCs w:val="21"/>
          <w:shd w:val="clear" w:color="auto" w:fill="FFFFFF"/>
        </w:rPr>
        <w:t>2</w:t>
      </w:r>
      <w:r>
        <w:rPr>
          <w:rFonts w:hint="eastAsia" w:ascii="Times New Roman" w:hAnsi="Times New Roman" w:eastAsia="宋体" w:cs="Times New Roman"/>
          <w:kern w:val="0"/>
          <w:szCs w:val="21"/>
          <w:shd w:val="clear" w:color="auto" w:fill="FFFFFF"/>
        </w:rPr>
        <w:t>.采购人：舟山市公安局交通警察支队</w:t>
      </w:r>
    </w:p>
    <w:p>
      <w:pPr>
        <w:widowControl/>
        <w:spacing w:line="360" w:lineRule="auto"/>
        <w:ind w:firstLine="420"/>
        <w:rPr>
          <w:rFonts w:hint="eastAsia"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联系人：</w:t>
      </w:r>
      <w:r>
        <w:rPr>
          <w:rFonts w:hint="eastAsia" w:ascii="Times New Roman" w:hAnsi="Times New Roman" w:eastAsia="宋体" w:cs="Times New Roman"/>
          <w:kern w:val="0"/>
          <w:szCs w:val="21"/>
          <w:shd w:val="clear" w:color="auto" w:fill="FFFFFF"/>
          <w:lang w:val="en-US" w:eastAsia="zh-CN"/>
        </w:rPr>
        <w:t>顾警官</w:t>
      </w:r>
    </w:p>
    <w:p>
      <w:pPr>
        <w:widowControl/>
        <w:spacing w:line="360" w:lineRule="auto"/>
        <w:ind w:firstLine="420"/>
        <w:rPr>
          <w:rFonts w:hint="default"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联系电话：</w:t>
      </w:r>
      <w:r>
        <w:rPr>
          <w:rFonts w:hint="eastAsia" w:ascii="Times New Roman" w:hAnsi="Times New Roman" w:eastAsia="宋体" w:cs="Times New Roman"/>
          <w:kern w:val="0"/>
          <w:szCs w:val="21"/>
          <w:shd w:val="clear" w:color="auto" w:fill="FFFFFF"/>
          <w:lang w:val="en-US" w:eastAsia="zh-CN"/>
        </w:rPr>
        <w:t>0580-2087799</w:t>
      </w:r>
    </w:p>
    <w:p>
      <w:pPr>
        <w:widowControl/>
        <w:spacing w:line="360" w:lineRule="auto"/>
        <w:ind w:firstLine="420"/>
        <w:rPr>
          <w:rFonts w:hint="eastAsia"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质疑答复联系人：</w:t>
      </w:r>
      <w:r>
        <w:rPr>
          <w:rFonts w:hint="eastAsia" w:ascii="Times New Roman" w:hAnsi="Times New Roman" w:eastAsia="宋体" w:cs="Times New Roman"/>
          <w:kern w:val="0"/>
          <w:szCs w:val="21"/>
          <w:shd w:val="clear" w:color="auto" w:fill="FFFFFF"/>
          <w:lang w:val="en-US" w:eastAsia="zh-CN"/>
        </w:rPr>
        <w:t>王警官</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联系电话：</w:t>
      </w:r>
      <w:r>
        <w:rPr>
          <w:rFonts w:hint="eastAsia" w:ascii="Times New Roman" w:hAnsi="Times New Roman" w:eastAsia="宋体" w:cs="Times New Roman"/>
          <w:kern w:val="0"/>
          <w:szCs w:val="21"/>
          <w:shd w:val="clear" w:color="auto" w:fill="FFFFFF"/>
          <w:lang w:val="en-US" w:eastAsia="zh-CN"/>
        </w:rPr>
        <w:t>0580-2087799</w:t>
      </w:r>
    </w:p>
    <w:p>
      <w:pPr>
        <w:spacing w:line="360" w:lineRule="auto"/>
        <w:ind w:firstLine="472" w:firstLineChars="225"/>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 xml:space="preserve">地址：舟山市定海区临城街道海天大道399号 </w:t>
      </w:r>
    </w:p>
    <w:p>
      <w:pPr>
        <w:spacing w:line="360" w:lineRule="auto"/>
        <w:ind w:firstLine="472" w:firstLineChars="225"/>
        <w:rPr>
          <w:rFonts w:ascii="宋体" w:hAnsi="宋体" w:eastAsia="宋体"/>
          <w:szCs w:val="21"/>
        </w:rPr>
      </w:pPr>
      <w:r>
        <w:rPr>
          <w:rFonts w:hint="eastAsia" w:ascii="宋体" w:hAnsi="宋体" w:eastAsia="宋体"/>
          <w:szCs w:val="21"/>
        </w:rPr>
        <w:t>3.同级政府采购监督管理部门名称：</w:t>
      </w:r>
      <w:r>
        <w:rPr>
          <w:rFonts w:hint="eastAsia" w:ascii="宋体" w:hAnsi="宋体" w:eastAsia="宋体" w:cs="宋体"/>
          <w:szCs w:val="21"/>
        </w:rPr>
        <w:t>舟山市财政局（政府采购监管处）</w:t>
      </w:r>
    </w:p>
    <w:p>
      <w:pPr>
        <w:spacing w:line="360" w:lineRule="auto"/>
        <w:ind w:firstLine="472" w:firstLineChars="225"/>
        <w:rPr>
          <w:rFonts w:ascii="宋体" w:hAnsi="宋体" w:eastAsia="宋体"/>
          <w:b/>
          <w:sz w:val="30"/>
        </w:rPr>
      </w:pPr>
      <w:r>
        <w:rPr>
          <w:rFonts w:hint="eastAsia" w:ascii="宋体" w:hAnsi="宋体" w:eastAsia="宋体"/>
          <w:szCs w:val="21"/>
        </w:rPr>
        <w:t>监督投拆电话：</w:t>
      </w:r>
      <w:r>
        <w:rPr>
          <w:rFonts w:hint="eastAsia" w:ascii="宋体" w:hAnsi="宋体" w:eastAsia="宋体" w:cs="宋体"/>
          <w:kern w:val="0"/>
          <w:szCs w:val="21"/>
        </w:rPr>
        <w:t>0580-2282591</w:t>
      </w:r>
    </w:p>
    <w:p>
      <w:pPr>
        <w:spacing w:line="360" w:lineRule="auto"/>
        <w:ind w:firstLine="678" w:firstLineChars="225"/>
        <w:rPr>
          <w:rFonts w:ascii="宋体" w:hAnsi="宋体" w:eastAsia="宋体" w:cs="Times New Roman"/>
          <w:b/>
          <w:sz w:val="30"/>
        </w:rPr>
      </w:pPr>
    </w:p>
    <w:p>
      <w:pPr>
        <w:rPr>
          <w:rFonts w:ascii="Times New Roman" w:hAnsi="Times New Roman" w:eastAsia="宋体" w:cs="Times New Roman"/>
          <w:b/>
          <w:kern w:val="0"/>
          <w:sz w:val="30"/>
        </w:rPr>
      </w:pPr>
      <w:r>
        <w:rPr>
          <w:rFonts w:ascii="Times New Roman" w:hAnsi="Times New Roman" w:eastAsia="宋体" w:cs="Times New Roman"/>
          <w:b/>
          <w:kern w:val="0"/>
          <w:sz w:val="30"/>
        </w:rPr>
        <w:br w:type="page"/>
      </w:r>
    </w:p>
    <w:p>
      <w:pPr>
        <w:widowControl/>
        <w:jc w:val="left"/>
        <w:rPr>
          <w:rFonts w:ascii="Times New Roman" w:hAnsi="Times New Roman" w:eastAsia="宋体" w:cs="Times New Roman"/>
          <w:b/>
          <w:kern w:val="0"/>
          <w:sz w:val="30"/>
        </w:rPr>
        <w:sectPr>
          <w:pgSz w:w="11906" w:h="16838"/>
          <w:pgMar w:top="1304" w:right="1531" w:bottom="1304" w:left="1531" w:header="1134" w:footer="1304" w:gutter="0"/>
          <w:cols w:space="720" w:num="1"/>
        </w:sectPr>
      </w:pPr>
    </w:p>
    <w:p>
      <w:pPr>
        <w:numPr>
          <w:ilvl w:val="0"/>
          <w:numId w:val="9"/>
        </w:numPr>
        <w:snapToGrid w:val="0"/>
        <w:spacing w:line="360" w:lineRule="auto"/>
        <w:jc w:val="center"/>
        <w:rPr>
          <w:rFonts w:ascii="Times New Roman" w:hAnsi="Times New Roman" w:eastAsia="宋体" w:cs="Times New Roman"/>
          <w:b/>
          <w:sz w:val="30"/>
        </w:rPr>
      </w:pPr>
      <w:r>
        <w:rPr>
          <w:rFonts w:hint="eastAsia" w:ascii="Times New Roman" w:hAnsi="Times New Roman" w:eastAsia="宋体" w:cs="Times New Roman"/>
          <w:b/>
          <w:sz w:val="30"/>
        </w:rPr>
        <w:t>招标需求</w:t>
      </w:r>
    </w:p>
    <w:p>
      <w:pPr>
        <w:spacing w:line="312" w:lineRule="auto"/>
        <w:outlineLvl w:val="0"/>
        <w:rPr>
          <w:rFonts w:ascii="Times New Roman" w:hAnsi="Times New Roman" w:eastAsia="宋体" w:cs="Times New Roman"/>
          <w:b/>
          <w:sz w:val="24"/>
        </w:rPr>
      </w:pPr>
    </w:p>
    <w:p>
      <w:pPr>
        <w:spacing w:line="360" w:lineRule="auto"/>
        <w:outlineLvl w:val="0"/>
        <w:rPr>
          <w:rFonts w:eastAsia="宋体"/>
          <w:b/>
          <w:sz w:val="24"/>
        </w:rPr>
      </w:pPr>
      <w:r>
        <w:rPr>
          <w:rFonts w:hint="eastAsia" w:eastAsia="宋体"/>
          <w:b/>
          <w:sz w:val="24"/>
        </w:rPr>
        <w:t>一、</w:t>
      </w:r>
      <w:r>
        <w:rPr>
          <w:rFonts w:hint="eastAsia" w:ascii="宋体" w:hAnsi="宋体" w:eastAsia="宋体"/>
          <w:b/>
          <w:bCs/>
          <w:sz w:val="24"/>
        </w:rPr>
        <w:t>项目概况</w:t>
      </w:r>
    </w:p>
    <w:p>
      <w:pPr>
        <w:spacing w:line="360" w:lineRule="auto"/>
        <w:ind w:firstLine="420" w:firstLineChars="200"/>
        <w:outlineLvl w:val="0"/>
        <w:rPr>
          <w:rFonts w:ascii="宋体" w:hAnsi="宋体" w:eastAsia="宋体"/>
          <w:szCs w:val="21"/>
        </w:rPr>
      </w:pPr>
      <w:r>
        <w:rPr>
          <w:rFonts w:hint="eastAsia" w:ascii="宋体" w:hAnsi="宋体" w:eastAsia="宋体"/>
          <w:szCs w:val="21"/>
        </w:rPr>
        <w:t>红绿灯是城市智能交通系统的核心，通过设备智能化的改造升级，可以有效提高信号灯对流量变化的响应速度，进一步提升路口通行效率，保障交通安全。同时，基于当前舟山道路交通环境的复杂性，部分路口还是需要交通管理者及交通工程师结合路口的交通情况，对人、车、路进行研究分析，提出综合优化治理方案。同时，本岛区域范围内所有路口信号灯（已过建设质保期且归属舟山交警支队管辖的）也需要进行维修保养。</w:t>
      </w:r>
    </w:p>
    <w:p>
      <w:pPr>
        <w:spacing w:line="360" w:lineRule="auto"/>
        <w:outlineLvl w:val="0"/>
        <w:rPr>
          <w:rFonts w:ascii="宋体" w:hAnsi="宋体" w:eastAsia="宋体"/>
          <w:b/>
          <w:bCs/>
          <w:sz w:val="24"/>
          <w:szCs w:val="24"/>
        </w:rPr>
      </w:pPr>
    </w:p>
    <w:p>
      <w:pPr>
        <w:spacing w:line="360" w:lineRule="auto"/>
        <w:outlineLvl w:val="0"/>
        <w:rPr>
          <w:rFonts w:ascii="宋体" w:hAnsi="宋体" w:eastAsia="宋体"/>
          <w:b/>
          <w:bCs/>
          <w:sz w:val="24"/>
          <w:szCs w:val="24"/>
        </w:rPr>
      </w:pPr>
      <w:r>
        <w:rPr>
          <w:rFonts w:hint="eastAsia" w:ascii="宋体" w:hAnsi="宋体" w:eastAsia="宋体"/>
          <w:b/>
          <w:bCs/>
          <w:sz w:val="24"/>
          <w:szCs w:val="24"/>
        </w:rPr>
        <w:t>二、项目目标</w:t>
      </w:r>
    </w:p>
    <w:p>
      <w:pPr>
        <w:spacing w:line="360" w:lineRule="auto"/>
        <w:ind w:firstLine="420" w:firstLineChars="200"/>
        <w:outlineLvl w:val="0"/>
        <w:rPr>
          <w:rFonts w:ascii="宋体" w:hAnsi="宋体" w:eastAsia="宋体"/>
          <w:szCs w:val="21"/>
        </w:rPr>
      </w:pPr>
      <w:r>
        <w:rPr>
          <w:rFonts w:hint="eastAsia" w:ascii="宋体" w:hAnsi="宋体" w:eastAsia="宋体"/>
          <w:szCs w:val="21"/>
        </w:rPr>
        <w:t>（一）对本岛（不含岱山、嵊泗）区域354个已过保修期路口红绿灯设备，以及将在项目服务期内过保的61个路口红绿灯设备进行一口价统包。</w:t>
      </w:r>
    </w:p>
    <w:p>
      <w:pPr>
        <w:spacing w:line="360" w:lineRule="auto"/>
        <w:ind w:firstLine="420" w:firstLineChars="200"/>
        <w:outlineLvl w:val="0"/>
        <w:rPr>
          <w:rFonts w:ascii="宋体" w:hAnsi="宋体" w:eastAsia="宋体"/>
          <w:szCs w:val="21"/>
        </w:rPr>
      </w:pPr>
      <w:r>
        <w:rPr>
          <w:rFonts w:hint="eastAsia" w:ascii="宋体" w:hAnsi="宋体" w:eastAsia="宋体"/>
          <w:szCs w:val="21"/>
        </w:rPr>
        <w:t>（二）对本岛（不含岱山、嵊泗）区域的信号灯、标志、标线配套设施等62个单项根据实际需要实施维保建设。</w:t>
      </w:r>
    </w:p>
    <w:p>
      <w:pPr>
        <w:spacing w:line="360" w:lineRule="auto"/>
        <w:ind w:firstLine="420" w:firstLineChars="200"/>
        <w:outlineLvl w:val="0"/>
        <w:rPr>
          <w:rFonts w:ascii="宋体" w:hAnsi="宋体" w:eastAsia="宋体"/>
          <w:szCs w:val="21"/>
        </w:rPr>
      </w:pPr>
      <w:r>
        <w:rPr>
          <w:rFonts w:hint="eastAsia" w:ascii="宋体" w:hAnsi="宋体" w:eastAsia="宋体"/>
          <w:szCs w:val="21"/>
        </w:rPr>
        <w:t>（三）红绿灯及相关系统的人员驻点服务。</w:t>
      </w:r>
    </w:p>
    <w:p>
      <w:pPr>
        <w:spacing w:line="360" w:lineRule="auto"/>
        <w:ind w:firstLine="420" w:firstLineChars="200"/>
        <w:outlineLvl w:val="0"/>
        <w:rPr>
          <w:rFonts w:ascii="宋体" w:hAnsi="宋体" w:eastAsia="宋体"/>
          <w:szCs w:val="21"/>
        </w:rPr>
      </w:pPr>
      <w:r>
        <w:rPr>
          <w:rFonts w:hint="eastAsia" w:ascii="宋体" w:hAnsi="宋体" w:eastAsia="宋体"/>
          <w:szCs w:val="21"/>
        </w:rPr>
        <w:t>（四）对红绿灯系统进行开发优化。</w:t>
      </w:r>
    </w:p>
    <w:p>
      <w:pPr>
        <w:spacing w:line="360" w:lineRule="auto"/>
        <w:ind w:firstLine="420" w:firstLineChars="200"/>
        <w:outlineLvl w:val="0"/>
        <w:rPr>
          <w:rFonts w:ascii="宋体" w:hAnsi="宋体" w:eastAsia="宋体"/>
          <w:szCs w:val="21"/>
        </w:rPr>
      </w:pPr>
      <w:r>
        <w:rPr>
          <w:rFonts w:hint="eastAsia" w:ascii="宋体" w:hAnsi="宋体" w:eastAsia="宋体"/>
          <w:szCs w:val="21"/>
        </w:rPr>
        <w:t>（五）对72个红绿灯点位系统进行智能化改造升级，并配套11台显示大屏和2台平板。</w:t>
      </w:r>
    </w:p>
    <w:p>
      <w:pPr>
        <w:spacing w:line="360" w:lineRule="auto"/>
        <w:ind w:firstLine="420" w:firstLineChars="200"/>
        <w:outlineLvl w:val="0"/>
        <w:rPr>
          <w:rFonts w:ascii="宋体" w:hAnsi="宋体" w:eastAsia="宋体"/>
          <w:szCs w:val="21"/>
        </w:rPr>
      </w:pPr>
      <w:r>
        <w:rPr>
          <w:rFonts w:hint="eastAsia" w:ascii="宋体" w:hAnsi="宋体" w:eastAsia="宋体"/>
          <w:szCs w:val="21"/>
        </w:rPr>
        <w:t>（六）选择10个城区路口作为公交优先信号建设点位。</w:t>
      </w:r>
    </w:p>
    <w:p>
      <w:pPr>
        <w:spacing w:line="360" w:lineRule="auto"/>
        <w:ind w:firstLine="420" w:firstLineChars="200"/>
        <w:outlineLvl w:val="0"/>
        <w:rPr>
          <w:rFonts w:ascii="宋体" w:hAnsi="宋体" w:eastAsia="宋体"/>
          <w:szCs w:val="21"/>
        </w:rPr>
      </w:pPr>
      <w:r>
        <w:rPr>
          <w:rFonts w:hint="eastAsia" w:ascii="宋体" w:hAnsi="宋体" w:eastAsia="宋体"/>
          <w:szCs w:val="21"/>
        </w:rPr>
        <w:t>（七）根据要求，对道路交通态势监测进行补点补盲，通过采购3套无人机进行空中监测，并将图像接入公安部指定的平台。</w:t>
      </w:r>
    </w:p>
    <w:p>
      <w:pPr>
        <w:spacing w:line="360" w:lineRule="auto"/>
        <w:outlineLvl w:val="0"/>
        <w:rPr>
          <w:rFonts w:ascii="宋体" w:hAnsi="宋体" w:eastAsia="宋体"/>
          <w:b/>
          <w:bCs/>
          <w:sz w:val="24"/>
          <w:szCs w:val="24"/>
        </w:rPr>
      </w:pPr>
    </w:p>
    <w:p>
      <w:pPr>
        <w:spacing w:line="360" w:lineRule="auto"/>
        <w:outlineLvl w:val="0"/>
        <w:rPr>
          <w:rFonts w:ascii="宋体" w:hAnsi="宋体" w:eastAsia="宋体"/>
          <w:b/>
          <w:bCs/>
          <w:sz w:val="24"/>
          <w:szCs w:val="24"/>
        </w:rPr>
      </w:pPr>
      <w:r>
        <w:rPr>
          <w:rFonts w:hint="eastAsia" w:ascii="宋体" w:hAnsi="宋体" w:eastAsia="宋体"/>
          <w:b/>
          <w:bCs/>
          <w:sz w:val="24"/>
          <w:szCs w:val="24"/>
        </w:rPr>
        <w:t>三</w:t>
      </w:r>
      <w:r>
        <w:rPr>
          <w:rFonts w:ascii="宋体" w:hAnsi="宋体" w:eastAsia="宋体"/>
          <w:b/>
          <w:bCs/>
          <w:sz w:val="24"/>
          <w:szCs w:val="24"/>
        </w:rPr>
        <w:t>、</w:t>
      </w:r>
      <w:r>
        <w:rPr>
          <w:rFonts w:hint="eastAsia" w:ascii="宋体" w:hAnsi="宋体" w:eastAsia="宋体"/>
          <w:b/>
          <w:bCs/>
          <w:sz w:val="24"/>
          <w:szCs w:val="24"/>
        </w:rPr>
        <w:t>项目采购清单</w:t>
      </w:r>
    </w:p>
    <w:tbl>
      <w:tblPr>
        <w:tblStyle w:val="6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0"/>
        <w:gridCol w:w="3256"/>
        <w:gridCol w:w="708"/>
        <w:gridCol w:w="710"/>
        <w:gridCol w:w="1564"/>
        <w:gridCol w:w="2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spacing w:line="312" w:lineRule="auto"/>
              <w:jc w:val="center"/>
              <w:rPr>
                <w:rFonts w:ascii="宋体" w:hAnsi="宋体" w:eastAsia="宋体" w:cs="Times New Roman"/>
                <w:kern w:val="0"/>
                <w:szCs w:val="21"/>
              </w:rPr>
            </w:pPr>
            <w:r>
              <w:rPr>
                <w:rFonts w:hint="eastAsia" w:ascii="宋体" w:hAnsi="宋体" w:eastAsia="宋体" w:cs="Times New Roman"/>
                <w:b/>
                <w:bCs/>
                <w:kern w:val="0"/>
                <w:szCs w:val="21"/>
              </w:rPr>
              <w:t>序号</w:t>
            </w:r>
          </w:p>
        </w:tc>
        <w:tc>
          <w:tcPr>
            <w:tcW w:w="1797" w:type="pct"/>
            <w:tcBorders>
              <w:right w:val="single" w:color="auto" w:sz="4" w:space="0"/>
            </w:tcBorders>
            <w:vAlign w:val="center"/>
          </w:tcPr>
          <w:p>
            <w:pPr>
              <w:widowControl/>
              <w:spacing w:line="312" w:lineRule="auto"/>
              <w:jc w:val="center"/>
              <w:rPr>
                <w:rFonts w:ascii="宋体" w:hAnsi="宋体" w:eastAsia="宋体" w:cs="Times New Roman"/>
                <w:kern w:val="0"/>
                <w:szCs w:val="21"/>
              </w:rPr>
            </w:pPr>
            <w:r>
              <w:rPr>
                <w:rFonts w:hint="eastAsia" w:ascii="宋体" w:hAnsi="宋体" w:eastAsia="宋体" w:cs="Times New Roman"/>
                <w:b/>
                <w:bCs/>
                <w:kern w:val="0"/>
                <w:szCs w:val="21"/>
              </w:rPr>
              <w:t>建设内容</w:t>
            </w:r>
          </w:p>
        </w:tc>
        <w:tc>
          <w:tcPr>
            <w:tcW w:w="391" w:type="pct"/>
            <w:tcBorders>
              <w:left w:val="single" w:color="auto" w:sz="4" w:space="0"/>
              <w:right w:val="single" w:color="auto" w:sz="4" w:space="0"/>
            </w:tcBorders>
            <w:vAlign w:val="center"/>
          </w:tcPr>
          <w:p>
            <w:pPr>
              <w:widowControl/>
              <w:spacing w:line="312" w:lineRule="auto"/>
              <w:jc w:val="center"/>
              <w:rPr>
                <w:rFonts w:ascii="宋体" w:hAnsi="宋体" w:eastAsia="宋体" w:cs="Times New Roman"/>
                <w:kern w:val="0"/>
                <w:szCs w:val="21"/>
              </w:rPr>
            </w:pPr>
            <w:r>
              <w:rPr>
                <w:rFonts w:hint="eastAsia" w:ascii="宋体" w:hAnsi="宋体" w:eastAsia="宋体" w:cs="Times New Roman"/>
                <w:b/>
                <w:bCs/>
                <w:kern w:val="0"/>
                <w:szCs w:val="21"/>
              </w:rPr>
              <w:t>数量</w:t>
            </w:r>
          </w:p>
        </w:tc>
        <w:tc>
          <w:tcPr>
            <w:tcW w:w="392" w:type="pct"/>
            <w:tcBorders>
              <w:left w:val="single" w:color="auto" w:sz="4" w:space="0"/>
            </w:tcBorders>
            <w:vAlign w:val="center"/>
          </w:tcPr>
          <w:p>
            <w:pPr>
              <w:widowControl/>
              <w:spacing w:line="312" w:lineRule="auto"/>
              <w:jc w:val="center"/>
              <w:rPr>
                <w:rFonts w:ascii="宋体" w:hAnsi="宋体" w:eastAsia="宋体" w:cs="Times New Roman"/>
                <w:kern w:val="0"/>
                <w:szCs w:val="21"/>
              </w:rPr>
            </w:pPr>
            <w:r>
              <w:rPr>
                <w:rFonts w:hint="eastAsia" w:ascii="宋体" w:hAnsi="宋体" w:eastAsia="宋体" w:cs="Times New Roman"/>
                <w:b/>
                <w:bCs/>
                <w:kern w:val="0"/>
                <w:szCs w:val="21"/>
              </w:rPr>
              <w:t>单位</w:t>
            </w:r>
          </w:p>
        </w:tc>
        <w:tc>
          <w:tcPr>
            <w:tcW w:w="863" w:type="pct"/>
            <w:tcBorders>
              <w:left w:val="single" w:color="auto" w:sz="4" w:space="0"/>
              <w:right w:val="single" w:color="auto" w:sz="4" w:space="0"/>
            </w:tcBorders>
          </w:tcPr>
          <w:p>
            <w:pPr>
              <w:widowControl/>
              <w:spacing w:line="312" w:lineRule="auto"/>
              <w:jc w:val="center"/>
              <w:rPr>
                <w:rFonts w:ascii="宋体" w:hAnsi="宋体" w:eastAsia="宋体" w:cs="Times New Roman"/>
                <w:b/>
                <w:bCs/>
                <w:kern w:val="0"/>
                <w:szCs w:val="21"/>
              </w:rPr>
            </w:pPr>
            <w:r>
              <w:rPr>
                <w:rFonts w:hint="eastAsia" w:ascii="宋体" w:hAnsi="宋体" w:eastAsia="宋体" w:cs="Times New Roman"/>
                <w:b/>
                <w:bCs/>
                <w:kern w:val="0"/>
                <w:szCs w:val="21"/>
              </w:rPr>
              <w:t>预算金额</w:t>
            </w:r>
          </w:p>
        </w:tc>
        <w:tc>
          <w:tcPr>
            <w:tcW w:w="1182" w:type="pct"/>
            <w:tcBorders>
              <w:left w:val="single" w:color="auto" w:sz="4" w:space="0"/>
            </w:tcBorders>
            <w:vAlign w:val="center"/>
          </w:tcPr>
          <w:p>
            <w:pPr>
              <w:widowControl/>
              <w:spacing w:line="312" w:lineRule="auto"/>
              <w:jc w:val="center"/>
              <w:rPr>
                <w:rFonts w:ascii="宋体" w:hAnsi="宋体" w:eastAsia="宋体" w:cs="Times New Roman"/>
                <w:b/>
                <w:bCs/>
                <w:kern w:val="0"/>
                <w:szCs w:val="21"/>
              </w:rPr>
            </w:pPr>
            <w:r>
              <w:rPr>
                <w:rFonts w:hint="eastAsia" w:ascii="宋体" w:hAnsi="宋体" w:eastAsia="宋体" w:cs="Times New Roman"/>
                <w:b/>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kern w:val="0"/>
                <w:szCs w:val="21"/>
              </w:rPr>
            </w:pPr>
            <w:r>
              <w:rPr>
                <w:rFonts w:ascii="宋体" w:hAnsi="宋体" w:eastAsia="宋体" w:cs="Times New Roman"/>
                <w:color w:val="000000"/>
                <w:kern w:val="0"/>
                <w:szCs w:val="21"/>
              </w:rPr>
              <w:t>1</w:t>
            </w:r>
          </w:p>
        </w:tc>
        <w:tc>
          <w:tcPr>
            <w:tcW w:w="1797" w:type="pct"/>
            <w:tcBorders>
              <w:right w:val="single" w:color="auto" w:sz="4" w:space="0"/>
            </w:tcBorders>
            <w:vAlign w:val="center"/>
          </w:tcPr>
          <w:p>
            <w:pPr>
              <w:widowControl/>
              <w:jc w:val="left"/>
              <w:rPr>
                <w:rFonts w:ascii="宋体" w:hAnsi="宋体" w:eastAsia="宋体" w:cs="Times New Roman"/>
                <w:kern w:val="0"/>
                <w:szCs w:val="21"/>
              </w:rPr>
            </w:pPr>
            <w:r>
              <w:rPr>
                <w:rFonts w:hint="eastAsia" w:ascii="宋体" w:hAnsi="宋体" w:eastAsia="宋体" w:cs="Times New Roman"/>
                <w:kern w:val="0"/>
                <w:szCs w:val="21"/>
              </w:rPr>
              <w:t>路口红绿灯维保</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项</w:t>
            </w:r>
          </w:p>
        </w:tc>
        <w:tc>
          <w:tcPr>
            <w:tcW w:w="863" w:type="pc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139万元</w:t>
            </w:r>
          </w:p>
        </w:tc>
        <w:tc>
          <w:tcPr>
            <w:tcW w:w="1183" w:type="pct"/>
            <w:tcBorders>
              <w:left w:val="single" w:color="auto" w:sz="4" w:space="0"/>
            </w:tcBorders>
            <w:vAlign w:val="center"/>
          </w:tcPr>
          <w:p>
            <w:pPr>
              <w:widowControl/>
              <w:jc w:val="center"/>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kern w:val="0"/>
                <w:szCs w:val="21"/>
              </w:rPr>
            </w:pPr>
            <w:r>
              <w:rPr>
                <w:rFonts w:hint="eastAsia" w:ascii="宋体" w:hAnsi="宋体" w:eastAsia="宋体" w:cs="Times New Roman"/>
                <w:color w:val="000000"/>
                <w:kern w:val="0"/>
                <w:szCs w:val="21"/>
              </w:rPr>
              <w:t>2</w:t>
            </w:r>
          </w:p>
        </w:tc>
        <w:tc>
          <w:tcPr>
            <w:tcW w:w="1797" w:type="pct"/>
            <w:tcBorders>
              <w:right w:val="single" w:color="auto" w:sz="4" w:space="0"/>
            </w:tcBorders>
            <w:vAlign w:val="center"/>
          </w:tcPr>
          <w:p>
            <w:pPr>
              <w:widowControl/>
              <w:jc w:val="left"/>
              <w:rPr>
                <w:rFonts w:ascii="宋体" w:hAnsi="宋体" w:eastAsia="宋体" w:cs="Times New Roman"/>
                <w:kern w:val="0"/>
                <w:szCs w:val="21"/>
              </w:rPr>
            </w:pPr>
            <w:r>
              <w:rPr>
                <w:rFonts w:hint="eastAsia" w:ascii="宋体" w:hAnsi="宋体" w:eastAsia="宋体" w:cs="宋体"/>
                <w:szCs w:val="21"/>
              </w:rPr>
              <w:t>信号灯、标志、标线配套设施</w:t>
            </w:r>
            <w:r>
              <w:rPr>
                <w:rFonts w:hint="eastAsia" w:ascii="宋体" w:hAnsi="宋体" w:eastAsia="宋体" w:cs="Times New Roman"/>
                <w:kern w:val="0"/>
                <w:szCs w:val="21"/>
              </w:rPr>
              <w:t>按需维保建设</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项</w:t>
            </w:r>
          </w:p>
        </w:tc>
        <w:tc>
          <w:tcPr>
            <w:tcW w:w="863" w:type="pc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100万元</w:t>
            </w:r>
          </w:p>
        </w:tc>
        <w:tc>
          <w:tcPr>
            <w:tcW w:w="1183" w:type="pct"/>
            <w:tcBorders>
              <w:left w:val="single" w:color="auto" w:sz="4" w:space="0"/>
            </w:tcBorders>
            <w:vAlign w:val="center"/>
          </w:tcPr>
          <w:p>
            <w:pPr>
              <w:widowControl/>
              <w:jc w:val="center"/>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797" w:type="pct"/>
            <w:tcBorders>
              <w:right w:val="single" w:color="auto" w:sz="4" w:space="0"/>
            </w:tcBorders>
            <w:vAlign w:val="center"/>
          </w:tcPr>
          <w:p>
            <w:pPr>
              <w:widowControl/>
              <w:jc w:val="left"/>
              <w:rPr>
                <w:rFonts w:ascii="宋体" w:hAnsi="宋体" w:eastAsia="宋体" w:cs="Times New Roman"/>
                <w:kern w:val="0"/>
                <w:szCs w:val="21"/>
              </w:rPr>
            </w:pPr>
            <w:r>
              <w:rPr>
                <w:rFonts w:hint="eastAsia" w:ascii="宋体" w:hAnsi="宋体" w:eastAsia="宋体" w:cs="宋体"/>
                <w:kern w:val="0"/>
                <w:sz w:val="22"/>
              </w:rPr>
              <w:t>人员技术服务</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项</w:t>
            </w:r>
          </w:p>
        </w:tc>
        <w:tc>
          <w:tcPr>
            <w:tcW w:w="863" w:type="pct"/>
            <w:vMerge w:val="restart"/>
            <w:tcBorders>
              <w:top w:val="single" w:color="000000" w:sz="4" w:space="0"/>
              <w:left w:val="single" w:color="auto" w:sz="4" w:space="0"/>
              <w:right w:val="single" w:color="000000"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391．4556万元</w:t>
            </w:r>
          </w:p>
        </w:tc>
        <w:tc>
          <w:tcPr>
            <w:tcW w:w="1183" w:type="pct"/>
            <w:tcBorders>
              <w:left w:val="single" w:color="auto" w:sz="4" w:space="0"/>
            </w:tcBorders>
            <w:vAlign w:val="center"/>
          </w:tcPr>
          <w:p>
            <w:pPr>
              <w:widowControl/>
              <w:jc w:val="center"/>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kern w:val="0"/>
                <w:szCs w:val="21"/>
              </w:rPr>
            </w:pPr>
            <w:r>
              <w:rPr>
                <w:rFonts w:hint="eastAsia" w:ascii="宋体" w:hAnsi="宋体" w:eastAsia="宋体" w:cs="Times New Roman"/>
                <w:color w:val="000000"/>
                <w:kern w:val="0"/>
                <w:szCs w:val="21"/>
              </w:rPr>
              <w:t>4</w:t>
            </w:r>
          </w:p>
        </w:tc>
        <w:tc>
          <w:tcPr>
            <w:tcW w:w="1797" w:type="pct"/>
            <w:tcBorders>
              <w:right w:val="single" w:color="auto" w:sz="4" w:space="0"/>
            </w:tcBorders>
            <w:vAlign w:val="center"/>
          </w:tcPr>
          <w:p>
            <w:pPr>
              <w:widowControl/>
              <w:jc w:val="left"/>
              <w:textAlignment w:val="center"/>
              <w:rPr>
                <w:rFonts w:ascii="宋体" w:hAnsi="宋体" w:eastAsia="宋体" w:cs="Times New Roman"/>
                <w:kern w:val="0"/>
                <w:szCs w:val="21"/>
              </w:rPr>
            </w:pPr>
            <w:r>
              <w:rPr>
                <w:rFonts w:hint="eastAsia" w:ascii="宋体" w:hAnsi="宋体" w:eastAsia="宋体" w:cs="宋体"/>
                <w:kern w:val="0"/>
                <w:sz w:val="22"/>
              </w:rPr>
              <w:t>红绿灯系统</w:t>
            </w:r>
            <w:r>
              <w:rPr>
                <w:rFonts w:hint="eastAsia" w:ascii="宋体" w:hAnsi="宋体" w:eastAsia="宋体" w:cs="宋体"/>
                <w:szCs w:val="21"/>
              </w:rPr>
              <w:t>技术优化</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lang w:val="zh-CN"/>
              </w:rPr>
            </w:pPr>
            <w:r>
              <w:rPr>
                <w:rFonts w:hint="eastAsia" w:ascii="宋体" w:hAnsi="宋体" w:eastAsia="宋体" w:cs="Times New Roman"/>
                <w:kern w:val="0"/>
                <w:szCs w:val="21"/>
              </w:rPr>
              <w:t>项</w:t>
            </w:r>
          </w:p>
        </w:tc>
        <w:tc>
          <w:tcPr>
            <w:tcW w:w="863" w:type="pct"/>
            <w:vMerge w:val="continue"/>
            <w:tcBorders>
              <w:left w:val="single" w:color="auto" w:sz="4" w:space="0"/>
              <w:right w:val="single" w:color="000000" w:sz="4" w:space="0"/>
            </w:tcBorders>
            <w:vAlign w:val="center"/>
          </w:tcPr>
          <w:p>
            <w:pPr>
              <w:widowControl/>
              <w:jc w:val="center"/>
              <w:rPr>
                <w:rFonts w:ascii="宋体" w:hAnsi="宋体" w:eastAsia="宋体" w:cs="Times New Roman"/>
                <w:kern w:val="0"/>
                <w:szCs w:val="21"/>
              </w:rPr>
            </w:pPr>
          </w:p>
        </w:tc>
        <w:tc>
          <w:tcPr>
            <w:tcW w:w="1182" w:type="pct"/>
            <w:tcBorders>
              <w:left w:val="single" w:color="auto" w:sz="4" w:space="0"/>
            </w:tcBorders>
            <w:vAlign w:val="center"/>
          </w:tcPr>
          <w:p>
            <w:pPr>
              <w:widowControl/>
              <w:jc w:val="center"/>
              <w:rPr>
                <w:rFonts w:ascii="宋体" w:hAnsi="宋体"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w:t>
            </w:r>
          </w:p>
        </w:tc>
        <w:tc>
          <w:tcPr>
            <w:tcW w:w="1797" w:type="pct"/>
            <w:tcBorders>
              <w:right w:val="single" w:color="auto" w:sz="4" w:space="0"/>
            </w:tcBorders>
            <w:vAlign w:val="center"/>
          </w:tcPr>
          <w:p>
            <w:pPr>
              <w:widowControl/>
              <w:jc w:val="left"/>
              <w:rPr>
                <w:rFonts w:ascii="宋体" w:hAnsi="宋体" w:eastAsia="宋体" w:cs="Times New Roman"/>
                <w:szCs w:val="21"/>
              </w:rPr>
            </w:pPr>
            <w:r>
              <w:rPr>
                <w:rFonts w:hint="eastAsia" w:ascii="宋体" w:hAnsi="宋体" w:eastAsia="宋体" w:cs="宋体"/>
                <w:szCs w:val="21"/>
              </w:rPr>
              <w:t>红绿灯信号机升级</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lang w:val="zh-CN"/>
              </w:rPr>
            </w:pPr>
            <w:r>
              <w:rPr>
                <w:rFonts w:hint="eastAsia" w:ascii="宋体" w:hAnsi="宋体" w:eastAsia="宋体" w:cs="Times New Roman"/>
                <w:kern w:val="0"/>
                <w:szCs w:val="21"/>
              </w:rPr>
              <w:t>项</w:t>
            </w:r>
          </w:p>
        </w:tc>
        <w:tc>
          <w:tcPr>
            <w:tcW w:w="863" w:type="pct"/>
            <w:vMerge w:val="continue"/>
            <w:tcBorders>
              <w:left w:val="single" w:color="auto" w:sz="4" w:space="0"/>
              <w:right w:val="single" w:color="000000" w:sz="4" w:space="0"/>
            </w:tcBorders>
            <w:vAlign w:val="center"/>
          </w:tcPr>
          <w:p>
            <w:pPr>
              <w:widowControl/>
              <w:jc w:val="center"/>
              <w:rPr>
                <w:rFonts w:ascii="宋体" w:hAnsi="宋体" w:eastAsia="宋体" w:cs="Times New Roman"/>
                <w:kern w:val="0"/>
                <w:szCs w:val="21"/>
              </w:rPr>
            </w:pPr>
          </w:p>
        </w:tc>
        <w:tc>
          <w:tcPr>
            <w:tcW w:w="1182" w:type="pct"/>
            <w:tcBorders>
              <w:lef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需根据分项内容报价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w:t>
            </w:r>
          </w:p>
        </w:tc>
        <w:tc>
          <w:tcPr>
            <w:tcW w:w="1797" w:type="pct"/>
            <w:tcBorders>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公交优先信号建设</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lang w:val="zh-CN"/>
              </w:rPr>
            </w:pPr>
            <w:r>
              <w:rPr>
                <w:rFonts w:hint="eastAsia" w:ascii="宋体" w:hAnsi="宋体" w:eastAsia="宋体" w:cs="Times New Roman"/>
                <w:kern w:val="0"/>
                <w:szCs w:val="21"/>
              </w:rPr>
              <w:t>项</w:t>
            </w:r>
          </w:p>
        </w:tc>
        <w:tc>
          <w:tcPr>
            <w:tcW w:w="863" w:type="pct"/>
            <w:vMerge w:val="continue"/>
            <w:tcBorders>
              <w:left w:val="single" w:color="auto" w:sz="4" w:space="0"/>
              <w:right w:val="single" w:color="000000" w:sz="4" w:space="0"/>
            </w:tcBorders>
            <w:vAlign w:val="center"/>
          </w:tcPr>
          <w:p>
            <w:pPr>
              <w:widowControl/>
              <w:jc w:val="center"/>
              <w:rPr>
                <w:rFonts w:ascii="宋体" w:hAnsi="宋体" w:eastAsia="宋体" w:cs="Times New Roman"/>
                <w:kern w:val="0"/>
                <w:szCs w:val="21"/>
              </w:rPr>
            </w:pPr>
          </w:p>
        </w:tc>
        <w:tc>
          <w:tcPr>
            <w:tcW w:w="1182" w:type="pct"/>
            <w:tcBorders>
              <w:lef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需根据分项内容报价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p>
        </w:tc>
        <w:tc>
          <w:tcPr>
            <w:tcW w:w="1797" w:type="pct"/>
            <w:tcBorders>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道路交通态势监测补点补盲</w:t>
            </w: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w:t>
            </w:r>
          </w:p>
        </w:tc>
        <w:tc>
          <w:tcPr>
            <w:tcW w:w="392" w:type="pct"/>
            <w:tcBorders>
              <w:left w:val="single" w:color="auto" w:sz="4" w:space="0"/>
            </w:tcBorders>
            <w:vAlign w:val="center"/>
          </w:tcPr>
          <w:p>
            <w:pPr>
              <w:widowControl/>
              <w:jc w:val="center"/>
              <w:rPr>
                <w:rFonts w:ascii="宋体" w:hAnsi="宋体" w:eastAsia="宋体" w:cs="Times New Roman"/>
                <w:kern w:val="0"/>
                <w:szCs w:val="21"/>
                <w:lang w:val="zh-CN"/>
              </w:rPr>
            </w:pPr>
            <w:r>
              <w:rPr>
                <w:rFonts w:hint="eastAsia" w:ascii="宋体" w:hAnsi="宋体" w:eastAsia="宋体" w:cs="Times New Roman"/>
                <w:kern w:val="0"/>
                <w:szCs w:val="21"/>
              </w:rPr>
              <w:t>项</w:t>
            </w:r>
          </w:p>
        </w:tc>
        <w:tc>
          <w:tcPr>
            <w:tcW w:w="863" w:type="pct"/>
            <w:vMerge w:val="continue"/>
            <w:tcBorders>
              <w:left w:val="single" w:color="auto" w:sz="4" w:space="0"/>
              <w:bottom w:val="single" w:color="000000" w:sz="4" w:space="0"/>
              <w:right w:val="single" w:color="000000" w:sz="4" w:space="0"/>
            </w:tcBorders>
            <w:vAlign w:val="center"/>
          </w:tcPr>
          <w:p>
            <w:pPr>
              <w:widowControl/>
              <w:jc w:val="center"/>
              <w:rPr>
                <w:rFonts w:ascii="宋体" w:hAnsi="宋体" w:eastAsia="宋体" w:cs="Times New Roman"/>
                <w:kern w:val="0"/>
                <w:szCs w:val="21"/>
              </w:rPr>
            </w:pPr>
          </w:p>
        </w:tc>
        <w:tc>
          <w:tcPr>
            <w:tcW w:w="1182" w:type="pct"/>
            <w:tcBorders>
              <w:lef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需根据分项内容报价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5" w:type="pct"/>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合计</w:t>
            </w:r>
          </w:p>
        </w:tc>
        <w:tc>
          <w:tcPr>
            <w:tcW w:w="1797" w:type="pct"/>
            <w:tcBorders>
              <w:right w:val="single" w:color="auto" w:sz="4" w:space="0"/>
            </w:tcBorders>
            <w:vAlign w:val="center"/>
          </w:tcPr>
          <w:p>
            <w:pPr>
              <w:widowControl/>
              <w:jc w:val="left"/>
              <w:rPr>
                <w:rFonts w:ascii="宋体" w:hAnsi="宋体" w:eastAsia="宋体" w:cs="宋体"/>
                <w:szCs w:val="21"/>
              </w:rPr>
            </w:pPr>
          </w:p>
        </w:tc>
        <w:tc>
          <w:tcPr>
            <w:tcW w:w="391" w:type="pct"/>
            <w:tcBorders>
              <w:left w:val="single" w:color="auto" w:sz="4" w:space="0"/>
              <w:right w:val="single" w:color="auto" w:sz="4" w:space="0"/>
            </w:tcBorders>
            <w:vAlign w:val="center"/>
          </w:tcPr>
          <w:p>
            <w:pPr>
              <w:widowControl/>
              <w:jc w:val="center"/>
              <w:rPr>
                <w:rFonts w:ascii="宋体" w:hAnsi="宋体" w:eastAsia="宋体" w:cs="Times New Roman"/>
                <w:kern w:val="0"/>
                <w:szCs w:val="21"/>
              </w:rPr>
            </w:pPr>
          </w:p>
        </w:tc>
        <w:tc>
          <w:tcPr>
            <w:tcW w:w="392" w:type="pct"/>
            <w:tcBorders>
              <w:left w:val="single" w:color="auto" w:sz="4" w:space="0"/>
            </w:tcBorders>
            <w:vAlign w:val="center"/>
          </w:tcPr>
          <w:p>
            <w:pPr>
              <w:widowControl/>
              <w:jc w:val="center"/>
              <w:rPr>
                <w:rFonts w:ascii="宋体" w:hAnsi="宋体" w:eastAsia="宋体" w:cs="Times New Roman"/>
                <w:kern w:val="0"/>
                <w:szCs w:val="21"/>
              </w:rPr>
            </w:pPr>
          </w:p>
        </w:tc>
        <w:tc>
          <w:tcPr>
            <w:tcW w:w="863" w:type="pc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30.4556</w:t>
            </w:r>
            <w:r>
              <w:rPr>
                <w:rFonts w:hint="eastAsia" w:ascii="宋体" w:hAnsi="宋体" w:eastAsia="宋体" w:cs="宋体"/>
                <w:kern w:val="0"/>
                <w:szCs w:val="21"/>
              </w:rPr>
              <w:t>万元</w:t>
            </w:r>
          </w:p>
        </w:tc>
        <w:tc>
          <w:tcPr>
            <w:tcW w:w="1182" w:type="pct"/>
            <w:tcBorders>
              <w:left w:val="single" w:color="auto" w:sz="4" w:space="0"/>
            </w:tcBorders>
            <w:vAlign w:val="center"/>
          </w:tcPr>
          <w:p>
            <w:pPr>
              <w:widowControl/>
              <w:jc w:val="center"/>
              <w:rPr>
                <w:rFonts w:ascii="宋体" w:hAnsi="宋体" w:eastAsia="宋体" w:cs="Times New Roman"/>
                <w:kern w:val="0"/>
                <w:szCs w:val="21"/>
              </w:rPr>
            </w:pPr>
          </w:p>
        </w:tc>
      </w:tr>
    </w:tbl>
    <w:p>
      <w:pPr>
        <w:spacing w:line="360" w:lineRule="auto"/>
        <w:outlineLvl w:val="0"/>
        <w:rPr>
          <w:rFonts w:ascii="宋体" w:hAnsi="宋体" w:eastAsia="宋体"/>
          <w:b/>
          <w:bCs/>
          <w:sz w:val="24"/>
        </w:rPr>
      </w:pPr>
    </w:p>
    <w:p>
      <w:pPr>
        <w:spacing w:line="360" w:lineRule="auto"/>
        <w:outlineLvl w:val="0"/>
        <w:rPr>
          <w:rFonts w:ascii="宋体" w:hAnsi="宋体" w:eastAsia="宋体"/>
          <w:b/>
          <w:bCs/>
          <w:sz w:val="24"/>
        </w:rPr>
      </w:pPr>
      <w:r>
        <w:rPr>
          <w:rFonts w:hint="eastAsia" w:ascii="宋体" w:hAnsi="宋体" w:eastAsia="宋体"/>
          <w:b/>
          <w:bCs/>
          <w:sz w:val="24"/>
        </w:rPr>
        <w:t>四、项目采购要求</w:t>
      </w:r>
    </w:p>
    <w:p>
      <w:pPr>
        <w:spacing w:line="312" w:lineRule="auto"/>
        <w:ind w:firstLine="422" w:firstLineChars="200"/>
        <w:rPr>
          <w:rFonts w:ascii="宋体" w:hAnsi="宋体" w:eastAsia="宋体" w:cs="Times New Roman"/>
          <w:b/>
          <w:bCs/>
          <w:kern w:val="0"/>
          <w:szCs w:val="21"/>
        </w:rPr>
      </w:pPr>
      <w:r>
        <w:rPr>
          <w:rFonts w:hint="eastAsia" w:ascii="宋体" w:hAnsi="宋体" w:eastAsia="宋体" w:cs="Times New Roman"/>
          <w:b/>
          <w:szCs w:val="21"/>
        </w:rPr>
        <w:t>（一）</w:t>
      </w:r>
      <w:r>
        <w:rPr>
          <w:rFonts w:hint="eastAsia" w:ascii="宋体" w:hAnsi="宋体" w:eastAsia="宋体" w:cs="Times New Roman"/>
          <w:b/>
          <w:bCs/>
          <w:kern w:val="0"/>
          <w:szCs w:val="21"/>
        </w:rPr>
        <w:t>路口红绿灯维保</w:t>
      </w:r>
    </w:p>
    <w:p>
      <w:pPr>
        <w:spacing w:line="312" w:lineRule="auto"/>
        <w:ind w:firstLine="422" w:firstLineChars="200"/>
        <w:rPr>
          <w:rFonts w:ascii="宋体" w:hAnsi="宋体" w:eastAsia="宋体" w:cs="宋体"/>
          <w:b/>
          <w:bCs/>
          <w:szCs w:val="21"/>
        </w:rPr>
      </w:pPr>
      <w:r>
        <w:rPr>
          <w:rFonts w:hint="eastAsia" w:ascii="宋体" w:hAnsi="宋体" w:eastAsia="宋体" w:cs="宋体"/>
          <w:b/>
          <w:bCs/>
          <w:szCs w:val="21"/>
        </w:rPr>
        <w:t>对本岛（不含岱山、嵊泗）区域354个已过保修期路口红绿灯设备，以及将在项目服务期内过保的61个路口红绿灯设备进行一口价统包。</w:t>
      </w:r>
      <w:r>
        <w:rPr>
          <w:rFonts w:hint="eastAsia" w:ascii="宋体" w:hAnsi="宋体" w:eastAsia="宋体" w:cs="宋体"/>
          <w:szCs w:val="21"/>
        </w:rPr>
        <w:t>维保服务要求如下：</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一）日常巡检</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1.巡检频率</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每月对每个路口的信号灯及其附属设施巡检不少于1次，发现信号灯及其附属设施故障后及时报告并修复。</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2.巡检要求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（1）确保每个巡护的路口交通信号灯及其附属设施24小时正常运行。</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（2）确保信号灯及其附属设施灯具、杆件、机箱内外干净规范整洁、设施完好，机箱门关闭锁好，标识牌清晰完整。</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3.巡检内容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（1）检查信号灯有无缺灯，路口信号灯是否运转正常且有无灯具老化、残缺或有色差现象。</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（2）检查灯具是否齐全，有无歪斜。信号灯帽檐、裙边是否松动、破损。</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（3）检查杆件是否歪斜，有无被刮蹭或被撞现象；观察孔盖板是否齐全，有无其他无经许可搭载的设备。信号灯是否被遮挡现象。</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（4）检查电缆井是否有塌陷、井圈外露、井盖破碎等。</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（5）检查管线是否外露或因施工被拆除、损毁。</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（6）检查机箱、电源箱门是否关好，有无被撬、被撞。电源和网络是否正常运行。</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（7）检查信号控制机控制箱内设备的工作情况。</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 二）特殊巡检</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（1）道路改造、市政建设及工程抢险影响信号灯及其附属设施正常运行时的现场巡检。</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（2）重要节假日、大型活动期间，特定巡检、维修、维护、清洁、保养。</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 三）日常维修</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1.系统本身故障</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（1）设备在日常巡检发现设备故障或存在影响系统正常运行的安全等问题，均需登记备案或发微信工作群，并尽量当场解决。</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（2）对采购人发现并通知的设备异常情况，投标人需在规定时间内达现场处理，反馈处理情况登记备案或发微信工作群。</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（3）现场不能解决的问题，须在24小时内恢复，在更换备件后24小时内仍然无法恢复的，需向采购人管理人员汇报，并在采购人规定时间内解决。</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（4）每个故障的处理情况，更换设备情况（设备型号等），均需造册登记，以供采购人检查。</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（5）在道路施工、交通流量变化等原因需在路口增设临时信号灯的，投标人应配合各大队做好临时信号灯的配时及维护工作，每天对临时信号灯进行巡查，确保临时信号灯能正常使用。</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 四）应急抢修</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1．投标人须设立专线电话，并安排专职维护人员实行24小时值班，当信号灯及其附属设施出现故障时，负责接收通知（包括网络通知、短信通知、电话通知及书面通知等）。</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2.响应时间：城区路口1小时、农村路口2小时到达现场进行维护，一般故障3小时、电源故障6小时内修复，网络故障1日内修复（管道不通、运营商因素及外部因素除外）。</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3.应急抢修时应随车携带一体化UPS或燃油发电机，如因停电原因造成交通信号灯无法使用，投标人须在最短时间内恢复信号灯；路口设置临时信号灯的，根据交通流量对临时信号灯的配时进行调整。</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五）突发事件维护</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对因交通事故及台风天气(区域大面积破坏或单个信号灯路口基本达到半报废需重建的除外)造成的信号灯损坏进行维护抢修。投标人在收到通知后应按应急抢修要求进行维护抢修，损坏严重当场无法修复的应及时汇报交警相关部门，放置临时信号灯，非管道问题应在24小时内修复。</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突发事件引起的事故维修要及时将相关情况发至交警微信群，如因交通事故引起的要建立相关追溯台帐，交警支队应安排相关部门或所属大队对肇事者进行追查、协调，全面协助施工单位向肇事者追缴修复信号灯的所需费用。如特殊情况无法追查、追缴由交警相关部门在追溯台帐签字确认。</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 六）重大事件报告制度</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若在系统巡检及维护中，发现重大事件必须第一时间以电话的形式上报，维护人员应迅速赶往突发事件现场，立即对现场进行处理并判断该事件为一般突发事件或重大突发事件，要求20分钟内给出相应对的措施，杜绝事态发展的扩大，以最大的程度降低损失。</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重大事件报告范围</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1.出现重大设备故障影响重大保卫或活动任务正常进行的，无法在规定的维修时间内修复。</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2.因不可抗力等突发原因，如停电、光缆通信中断和雷暴雨、台风等灾害性天气等，造成一定数量设备不能正常，多个设备损坏严重，报废或无法修复的。</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3.出现危及人身安全、设备安全的问题或出现事故征兆等异常情况。</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4.发生设备、工程车辆以及人身安全事故。</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5.上级部门、上级领导下达的指示、要求、处置后的情况。</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6.其它需要报告的事件。</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 七）维护服务要求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1.维护车辆配备：要求投标人至少配备2辆带升降平台功能的专用维护车辆。</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2.维护人员配备：要求投标人至少配备4名专业维护人员，其中至少2名具备电工操作证。</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 xml:space="preserve"> 八）维护考核</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1.采购人按照投标人售后服务承诺的故障修复时间进行抽查，每个超过一小时扣维护服务费50元。</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2.采购人按照投标人售后服务承诺的对设备故障修复情况进行抽查，未修复完成的每一次路口扣维护服务费500元。</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3.因投标人未按合同规定履行维护义务，由此发生责任事故的，由投标人承担相应的法律责任。</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4.采购人有权按照投标人售后服务承诺及合同文件的要求对其他维护事项进行考核及处罚。</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5.处罚款从维护服务费中扣除。</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九）非维护管养范围</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1.路口信号灯、信号机及附属设施的升级改造等方面工作由采购人从其它项目中安排实施。</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2.在质保期内的信号灯新建路口且管理权未移交至交警支队的由原信号灯建设单位或原施工单位自行负责。</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道路改造、市政建设或是其它单位施工原因引起的信号灯损坏、故障由交警部门协调相关责任方进行维护并修复到正常使用状态，维护管养方应配合公安部门做好现场取证和估价工作，登记好设备损坏清单，并根据采购人的业务需求提供技术支持和经费预算清单。同时维护管养单位有权有义务对责任方的修复状态进行监督，以确保后续信号灯可以正常使用。</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十）</w:t>
      </w:r>
      <w:r>
        <w:rPr>
          <w:rFonts w:hint="eastAsia" w:ascii="宋体" w:hAnsi="宋体" w:eastAsia="宋体"/>
          <w:szCs w:val="21"/>
        </w:rPr>
        <w:t>红绿灯维保服务时间</w:t>
      </w:r>
    </w:p>
    <w:p>
      <w:pPr>
        <w:spacing w:line="312" w:lineRule="auto"/>
        <w:ind w:firstLine="420" w:firstLineChars="200"/>
        <w:rPr>
          <w:rFonts w:ascii="宋体" w:hAnsi="宋体" w:eastAsia="宋体"/>
          <w:szCs w:val="21"/>
        </w:rPr>
      </w:pPr>
      <w:r>
        <w:rPr>
          <w:rFonts w:hint="eastAsia" w:ascii="宋体" w:hAnsi="宋体" w:eastAsia="宋体"/>
          <w:szCs w:val="21"/>
        </w:rPr>
        <w:t>红绿灯维保服务的时间为，自</w:t>
      </w:r>
      <w:r>
        <w:rPr>
          <w:rFonts w:ascii="宋体" w:hAnsi="宋体" w:eastAsia="宋体"/>
          <w:szCs w:val="21"/>
        </w:rPr>
        <w:t>项目的合同签订起一年。</w:t>
      </w:r>
    </w:p>
    <w:p>
      <w:pPr>
        <w:widowControl/>
        <w:spacing w:line="520" w:lineRule="exact"/>
        <w:rPr>
          <w:rFonts w:ascii="宋体" w:hAnsi="宋体" w:eastAsia="宋体" w:cs="黑体"/>
          <w:bCs/>
          <w:kern w:val="0"/>
          <w:szCs w:val="21"/>
        </w:rPr>
      </w:pPr>
    </w:p>
    <w:p>
      <w:pPr>
        <w:widowControl/>
        <w:spacing w:line="520" w:lineRule="exact"/>
        <w:rPr>
          <w:rFonts w:ascii="宋体" w:hAnsi="宋体" w:eastAsia="宋体" w:cs="黑体"/>
          <w:b/>
          <w:bCs/>
          <w:szCs w:val="21"/>
        </w:rPr>
      </w:pPr>
      <w:r>
        <w:rPr>
          <w:rFonts w:hint="eastAsia" w:ascii="宋体" w:hAnsi="宋体" w:eastAsia="宋体" w:cs="黑体"/>
          <w:b/>
          <w:bCs/>
          <w:szCs w:val="21"/>
        </w:rPr>
        <w:t>附：本岛区域红绿灯354个过保路口和年内过保61路口清单</w:t>
      </w:r>
    </w:p>
    <w:p>
      <w:pPr>
        <w:rPr>
          <w:rFonts w:ascii="Times New Roman" w:hAnsi="Times New Roman" w:eastAsia="宋体" w:cs="Times New Roman"/>
          <w:szCs w:val="24"/>
        </w:rPr>
      </w:pPr>
    </w:p>
    <w:tbl>
      <w:tblPr>
        <w:tblStyle w:val="62"/>
        <w:tblW w:w="8465" w:type="dxa"/>
        <w:tblInd w:w="0" w:type="dxa"/>
        <w:tblLayout w:type="fixed"/>
        <w:tblCellMar>
          <w:top w:w="0" w:type="dxa"/>
          <w:left w:w="0" w:type="dxa"/>
          <w:bottom w:w="0" w:type="dxa"/>
          <w:right w:w="0" w:type="dxa"/>
        </w:tblCellMar>
      </w:tblPr>
      <w:tblGrid>
        <w:gridCol w:w="693"/>
        <w:gridCol w:w="5027"/>
        <w:gridCol w:w="2745"/>
      </w:tblGrid>
      <w:tr>
        <w:tblPrEx>
          <w:tblCellMar>
            <w:top w:w="0" w:type="dxa"/>
            <w:left w:w="0" w:type="dxa"/>
            <w:bottom w:w="0" w:type="dxa"/>
            <w:right w:w="0" w:type="dxa"/>
          </w:tblCellMar>
        </w:tblPrEx>
        <w:trPr>
          <w:trHeight w:val="54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序号</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路口名称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所属区域</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海天大道与气象台路（汽车连）</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海天大道与文化路（外环1号岗）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海天大道与东皋路（外环小红绿灯）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海天大道与蟠洋山路（外环2号岗）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海天大道与长城花园</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海天大道与昌国路（外环3号岗）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海天大道与东河路（外环4号岗）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海天大道与东瀛路（外环5号岗）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海天大道与颐景园路（外环6号岗）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海天大道与双拥路（外环7号岗）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海天大道与新桥路（外环8号岗）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海天大道与市党校路口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解放西路与商业街（商业街岗）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解放西路与环城西路（西门岗）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解放西路与人民中路（中心岗）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解放东路与芙蓉洲路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解放东路与环城东路（东门岗）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环城南路与商业街（海关岗）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环城南路与环城西路（海司岗）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环城南路与人民南路（观音岗）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环城南路与和平路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环城南路与环城东路（东港岗）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环城南路与东河路（东河桥岗）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环城南路与东山路（东山岗）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环城东路与昌国路（昌国岗）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环城东路与蓬莱路（明珠岗）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环城东路与横河路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人民南路与卫海路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人民南路与东海东路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沿港东路与和平路（海滨公园岗）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沿港东路与环城东路（海滨桥岗）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青垒头路与纺织厂路（纺织厂岗）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青垒头路与弘生大道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弘生大道与东山路（东山隧道岗）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新桥路与东河路（五叉路岗）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新桥路与东瀛路（东瀛岗）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新桥路与畚金路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新桥路与颐景园路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东瀛路凯虹广场门口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人民北路与昌国路（区府岗）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人民北路与环城北路（环北岗）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文化路与环城北路（文化岗）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文化路与学院路（海院小红绿灯）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文化路与气象台路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环城北路与腾坑湾路（隧道东）</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白虎山路与尾山路（隧道西）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西山路与尾山路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东皋路与海院路（海院岗）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东皋路与海院北路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东皋路与定北线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定马线与大西岙</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定马线与城北村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双小线与72省道（南善桥）</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双桥高速出口（双坝1号）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双坝线与双小线（双坝2号）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双坝线与鸭岑线（双坝3号）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双坝线与外山头村（三农市场）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双坝线与翁州大道（双坝4号）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双坝线与定马线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双坝线与定海六中（六中岗）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G329与72省道（坝桥岗）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G329与虹桥路口（虹桥岗）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海天大道与青岭路（龙马环卫公司）</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海天大道与盐河路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滨海大道与航标路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滨海大道与金鸡路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滨海大道与海龙路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滨海大道与盐河路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滨海大道与海天大道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翁洲大道与海天大道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翁洲大道与建胜路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翁洲大道与盐河路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翁洲大道与海龙路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翁洲大道与金鸡北路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翁洲大道与航标路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鸭岑线与鸭螺线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鸭岑线与螺头岭路口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鸭岑线与双联村路口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鸭岑线与盐仓养老院路口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鸭岑线与临欣路（亿洋气体公司）</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鸭岑线与7412工厂路口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鸭岑线与港欣路（驾考中心）</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鸭岑线与海新村路口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鸭岑线与三农市场西路口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鸭岑线与汽车城路口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鸭岑线与小老线（老塘山隧道东）</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鸭岑线老塘山隧道西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鸭岑线岑港高速进口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鸭岑线岑港高速出口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鸭东线与新司前街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鸭东线与涨次路口（富翅门大桥下）</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鸭东线与碇下线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鸭东线与烟墩高速口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鸭东线与碇次村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鸭东线与小沙加油站</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鸭东线与东契路（大沙村）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鸭东线与西岑线（创园大道）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创园大道与滨河路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鸭东线与源丰路（海丰码头)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鸭东线与南毛线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双小线骆家互通</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定马线虹桥互通</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定马线小船岙路口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S321与茅岭路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S321与茅叉线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盐河路与定胜路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盐河路与东升路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盐河路与锦园路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建胜路与下湾路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定海（盐仓）</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G329与皋泄村（胜建公交站）</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G329与三华线（弄口红绿灯）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G329与新73省道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G329与梅山路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G329与潮面村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兴泉路与白泉路（白泉大转盘）</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兴泉路与定北线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兴泉路与电厂路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人民路与电厂路（白泉交警中队）</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新73省道与沙外线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新73省道技师学院路口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新73省道与定北线（方岭隧道北）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新73省道与河东陈家？</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新73省道与万毛线（方岭隧道南）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鸭东线与马沙线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鸭东线与马北线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鸭东线与定马线（三江码头）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鸭东线与三华线（天籁路）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鸭东线与姚家</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鸭东线与揽州路（西码头）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干平线与小白线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揽州路与天籁路 （干览镇政府）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揽州路与规划二路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揽州路与兴业路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兴港路与海兴路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兴港路与海港路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兴港路与金铂园路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兴业路与规划一路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兴业路与规划二路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定海（干榄）</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鸭东线与柯梅村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鸭东线与万浪线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鸭东线与兴泉路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鸭东线与电厂路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鸭东线与新73省道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鸭东线与弘禄大道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鸭东线与迎宾大道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鸭东线与大成九路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鸭东线与鹤扬路（北钓线）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鸭东线与育才路(北蝉小学）</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149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鸭东线与临北线（北蝉洪家）</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长白街与兴岛路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定海（长白岛）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定马线与白马街（白马大酒店）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定马线与三江工业园区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定马线与茅叉线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定马线与东西快速连接线路口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马北线与干马线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156</w:t>
            </w:r>
          </w:p>
        </w:tc>
        <w:tc>
          <w:tcPr>
            <w:tcW w:w="50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新马大道与弘禄大道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新马大道与迎宾大道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新马大道与大成九路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159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自贸大道与迎宾大道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自贸大道与大成十一路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自贸大道与北钓线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自贸大道与通港一路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自贸大道与通港五路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定海（白泉）</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沥柳线与沥小线（刘家契凉亭)</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沥小线与穆东线（半塘胡家）</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沥大线与林大线（大浦口）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甬金路与西堠路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沥大线与和丰路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甬金路与吉祥路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甬金路与大丰路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大丰路与吉祥路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大浦口集装箱码头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乱外线与沙塘路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沥大线与政府路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定海（金塘）</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双拥路与阳光路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定海（城区）</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浙海大长峙校区北门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蕙兰路与桃源路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海大北路与马鞍路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179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长峙中路与海大北路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长峙东路新城大桥南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长峙中路与丹枫路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丹枫路与蕙兰路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丹枫路与叠翠路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新城（长峙岛）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弘生大道与兴东路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弘生大道与黎明路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弘生大道与兴国路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弘生大道与兴海路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海天大道与三华线（三官堂）</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189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海天大道与兴东路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海天大道与弘生大道（黄土岭岗）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海天大道与浙大路（惠明桥岗）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海天大道沧海新村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海天大道与高云路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海天大道与临长路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海天大道与长升路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海天大道与金岛路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海天大道与千岛路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199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海天大道与绿岛路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海天大道与富丽岛路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海天大道与海力生路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海天大道与新花路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海天大道与新园路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海天大道与新益路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海天大道与东海西路（勾山金融大厦）</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海天大道与板桥路（平阳浦）</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浦西大道与黄稚街(河津广场)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东海西路与明珠路（华隆大厦）</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千岛路与滨海大道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千岛路与海宇道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千岛路与定沈路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千岛路与翁山路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千岛路与桃湾路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千岛路与新城大道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千岛路与怡岛路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海月道与体育路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219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海宇道与海城路（市府北门）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海宇道与体育路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海宇道与怡岛路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海宇道与港岛路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海宇道与绿岛路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定沈路与惠民路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定沈路与高云路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定沈路与临长路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定沈路与长升路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定沈路与金岛路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229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定沈路与合兴路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定沈路与绿岛路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定沈路与泽普路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定沈路与富丽岛路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翁山路与临长路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翁山路与金岛路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翁山路与合兴路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239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翁山路与红茅山路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翁山路与绿岛路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桃湾路与中湾路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桃湾路与金岛路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桃湾路与体育路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桃湾路与怡岛路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新城大道与浙大路（新城隧道西）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249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新城大道与高云路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新城大道与临长路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新城大道与金岛路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新城大道与红茅山路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新城大道与绿岛路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新城大道与富丽岛路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新城大道与荷花村路口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259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新城大道与庙前街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新城大道与新园路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富丽岛路与规划路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中湾路与小青湾路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临长路与桃湾路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临长路与小青湾路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临长路与体育路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临长路与旌旗山路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临长路与怡岛路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临长路与万荣村路口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269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G329与全家（上寺弄）</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G329与毛北线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G329与临长路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G329与千岛路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G329与南山路（明珠小学）</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G329与临螺线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G329与山头黄</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G329与新园路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滨海大道与浙大路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279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滨海大道与临长路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滨海大道与长升路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滨海大道与新苗路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滨海大道与金岛路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滨海大道与港岛路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滨海大道与绿岛路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滨海大道与富丽岛路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滨海大道与海力生路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浙大路与惠飞路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浙大路与求是路（浙大北门）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新育路与黄稚街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新园路与三大线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新园路与庙前街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金岛路与怡岛路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金岛路与旌旗山路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金岛路与体育路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金岛路与田螺峙路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长升路与文昌路（舟山广电)</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新城（临城）</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绿岛路与万阳路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299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绿岛路舟山一小北校区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怡岛路与新碶头路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环岛南路与经二路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环岛南路与经十三路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环岛南路与经十四路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环岛南路与经二十八路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纬十五路与经二路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纬十五路与经二十八路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纬八路与经二十八路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新城（千岛）</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新育路与新驰路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新蕙路与新驰路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新蕙路与新晨路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卢塔线与南岙路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卢塔线与芦花村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G329与卢塔线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G329与岑东线（普陀城北加油站岗）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G329与兴北东路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G329与海天大道（普陀城北岗）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海天大道与新驰路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海天大道与新塘路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319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海天大道与沈芦线（天吴隧道北）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沈芦公路与舵岙路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沈芦公路与次一路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岭陀道与学运路（城北汽车站）</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北向疏港公路与卢塔线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北向疏港公路与观张线（城北中队）</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北向疏港公路与岑东线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北向疏港公路与田园综合体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北向疏港公路与田园综合体西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北向疏港公路与临螺线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329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兴北东路与匝道交叉口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展茅加油站</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展茅临螺线鱿鱼市场门口</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普陀（城北）</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海天大道与海莲路（山水人家）</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海天大道与海印路（欧尚）</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海莲路与中昌街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海莲路与灵秀街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海莲路与金城街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海莲路与昌正街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海莲路与麒麟街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339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海莲路与文康街（普陀中学）</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海莲路与兴港大道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海莲路与莲洋街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海莲路与潮音街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海莲路与观潮街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海印路与中昌街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海印路与灵秀街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海印路与金城街（体育馆）</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海印路与香榭街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海印路与昌正街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349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海印路与麒麟街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海印路与文康街(普陀医院)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海印路与兴港大道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海印北路莲洋街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海华路与昌正街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海华路与金城街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海华路与灵秀街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海洲路与晨晖街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海洲路与中昌街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海洲路与灵秀街(交警大队)</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359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海州路与金城街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海洲路与海天大道</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海州路与昌正街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海洲路与莲洋街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普陀（东港）</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莲桥路与鲁洲路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莲桥路与鲁中路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鲁洲路与鲁川路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鲁洲路与鲁滨路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鲁滨路与鲁中路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东海西路与平渔路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369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东海西路与板桥路(三大线)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东海西路与中沙头(水产码头)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东海西路与大茶湾路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东海中路与兴建路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东海中路与渔市大街（蒲湾二区）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374</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东海中路与中洲路（蒲湾一区）</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东海中路与船厂路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东海中路与食品厂路（原交通局）</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东海中路与岭陀隧道（新大地）</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东海中路与菜市路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379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东海东路与新街路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东海东路与东河路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兴建路与渔市大街</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382</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兴建路与船厂路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兴建路与食品厂路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滨港路与船厂路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滨港路与食品厂路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滨港路与菜市路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滨港路与东河路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滨港路与中兴路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389</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滨海大道与新园路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滨海大道与海博路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滨海大道与大干车渡码头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滨海大道与金外滩</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滨海大道与墩头路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普陀（沈家门）</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六横外涨线山西村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六横大脉坑路口（沙岙码头）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396</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三八路与台沙线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397</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三八路与崇文路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398</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三八路与六横路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399</w:t>
            </w:r>
          </w:p>
        </w:tc>
        <w:tc>
          <w:tcPr>
            <w:tcW w:w="50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台沙线与六横路（客运中心）</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台沙线与外涨线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401</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台沙线与孙干线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台沙线与田岙路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403</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台沙线与保丰路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普陀（六横）</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404</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G329与开化公路2(绿城真如湾)</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405</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G329与香莲路（镇北路）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406</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G329与银鹰路（凉樟线）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407</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G329与庆丰路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408</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G329与龙眼路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409</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G329与朱乌线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410</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S310(开化公路)与支线1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411</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莲花路与学院路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412</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莲花路与银鹰路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413</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莲花路与香莲路</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414</w:t>
            </w:r>
          </w:p>
        </w:tc>
        <w:tc>
          <w:tcPr>
            <w:tcW w:w="50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普陀山百步沙红绿灯</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普陀山</w:t>
            </w:r>
          </w:p>
        </w:tc>
      </w:tr>
      <w:tr>
        <w:tblPrEx>
          <w:tblCellMar>
            <w:top w:w="0" w:type="dxa"/>
            <w:left w:w="0" w:type="dxa"/>
            <w:bottom w:w="0" w:type="dxa"/>
            <w:right w:w="0" w:type="dxa"/>
          </w:tblCellMar>
        </w:tblPrEx>
        <w:trPr>
          <w:trHeight w:val="46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415</w:t>
            </w:r>
          </w:p>
        </w:tc>
        <w:tc>
          <w:tcPr>
            <w:tcW w:w="5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S310(开化公路)与西岙码头</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朱家尖</w:t>
            </w:r>
          </w:p>
        </w:tc>
      </w:tr>
    </w:tbl>
    <w:p>
      <w:pPr>
        <w:rPr>
          <w:rFonts w:ascii="Times New Roman" w:hAnsi="Times New Roman" w:eastAsia="宋体" w:cs="Times New Roman"/>
          <w:szCs w:val="24"/>
        </w:rPr>
      </w:pP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（二）</w:t>
      </w:r>
      <w:r>
        <w:rPr>
          <w:rFonts w:hint="eastAsia" w:ascii="宋体" w:hAnsi="宋体" w:eastAsia="宋体" w:cs="宋体"/>
          <w:b/>
          <w:bCs/>
          <w:szCs w:val="21"/>
        </w:rPr>
        <w:t>信号灯、标志、标线配套设施</w:t>
      </w:r>
      <w:r>
        <w:rPr>
          <w:rFonts w:hint="eastAsia" w:ascii="宋体" w:hAnsi="宋体" w:eastAsia="宋体" w:cs="Times New Roman"/>
          <w:b/>
          <w:bCs/>
          <w:szCs w:val="21"/>
        </w:rPr>
        <w:t>按</w:t>
      </w:r>
      <w:r>
        <w:rPr>
          <w:rFonts w:hint="eastAsia" w:ascii="宋体" w:hAnsi="宋体" w:eastAsia="宋体" w:cs="Times New Roman"/>
          <w:b/>
          <w:szCs w:val="21"/>
        </w:rPr>
        <w:t>需维保建设明细表</w:t>
      </w:r>
    </w:p>
    <w:p>
      <w:pPr>
        <w:spacing w:line="312" w:lineRule="auto"/>
        <w:ind w:firstLine="420" w:firstLineChars="200"/>
        <w:rPr>
          <w:rFonts w:ascii="宋体" w:hAnsi="宋体" w:eastAsia="宋体" w:cs="宋体"/>
          <w:szCs w:val="21"/>
        </w:rPr>
      </w:pPr>
      <w:r>
        <w:rPr>
          <w:rFonts w:hint="eastAsia" w:ascii="宋体" w:hAnsi="宋体" w:eastAsia="宋体" w:cs="宋体"/>
          <w:szCs w:val="21"/>
        </w:rPr>
        <w:t>对本岛（不含岱山、嵊泗）区域的信号灯、标志、标线配套设施等62个单项根据实际需要实施维保建设。</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1.实施建设维保说明</w:t>
      </w:r>
    </w:p>
    <w:p>
      <w:pPr>
        <w:spacing w:line="312" w:lineRule="auto"/>
        <w:ind w:firstLine="315" w:firstLineChars="150"/>
        <w:rPr>
          <w:rFonts w:ascii="宋体" w:hAnsi="宋体" w:eastAsia="宋体"/>
          <w:szCs w:val="21"/>
        </w:rPr>
      </w:pPr>
      <w:r>
        <w:rPr>
          <w:rFonts w:hint="eastAsia" w:ascii="宋体" w:hAnsi="宋体" w:eastAsia="宋体" w:cs="宋体"/>
          <w:szCs w:val="21"/>
        </w:rPr>
        <w:t>★信号灯、标志、标线配套设施清单内容及数量均为按需建设维保配套，按实际签证，服务期完成后统一审核结算。该项整体年度实施预算100万元（投标人对该项费用在报价中不得调整），投标人需根据评分要求报整体下浮率。</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2.维保建设服务时间</w:t>
      </w:r>
    </w:p>
    <w:p>
      <w:pPr>
        <w:spacing w:line="312" w:lineRule="auto"/>
        <w:ind w:firstLine="420" w:firstLineChars="200"/>
        <w:rPr>
          <w:rFonts w:ascii="宋体" w:hAnsi="宋体" w:eastAsia="宋体"/>
          <w:szCs w:val="21"/>
        </w:rPr>
      </w:pPr>
      <w:r>
        <w:rPr>
          <w:rFonts w:hint="eastAsia" w:ascii="宋体" w:hAnsi="宋体" w:eastAsia="宋体" w:cs="宋体"/>
          <w:szCs w:val="21"/>
        </w:rPr>
        <w:t>信号灯、标志、标线配套设施按需维保建设服务的时间为，自项目的合同签订起一年。</w:t>
      </w:r>
    </w:p>
    <w:p>
      <w:pPr>
        <w:spacing w:line="312" w:lineRule="auto"/>
        <w:ind w:firstLine="420" w:firstLineChars="200"/>
        <w:rPr>
          <w:rFonts w:ascii="宋体" w:hAnsi="宋体" w:eastAsia="宋体"/>
          <w:szCs w:val="21"/>
        </w:rPr>
      </w:pPr>
      <w:r>
        <w:rPr>
          <w:rFonts w:hint="eastAsia" w:ascii="宋体" w:hAnsi="宋体" w:eastAsia="宋体" w:cs="宋体"/>
          <w:szCs w:val="21"/>
        </w:rPr>
        <w:t>3.信号灯、标志、标线配套设施维保清单如下：</w:t>
      </w:r>
    </w:p>
    <w:tbl>
      <w:tblPr>
        <w:tblStyle w:val="62"/>
        <w:tblW w:w="5202" w:type="pct"/>
        <w:tblInd w:w="0" w:type="dxa"/>
        <w:tblLayout w:type="autofit"/>
        <w:tblCellMar>
          <w:top w:w="0" w:type="dxa"/>
          <w:left w:w="0" w:type="dxa"/>
          <w:bottom w:w="0" w:type="dxa"/>
          <w:right w:w="0" w:type="dxa"/>
        </w:tblCellMar>
      </w:tblPr>
      <w:tblGrid>
        <w:gridCol w:w="454"/>
        <w:gridCol w:w="1257"/>
        <w:gridCol w:w="2823"/>
        <w:gridCol w:w="760"/>
        <w:gridCol w:w="1081"/>
        <w:gridCol w:w="2851"/>
      </w:tblGrid>
      <w:tr>
        <w:tblPrEx>
          <w:tblCellMar>
            <w:top w:w="0" w:type="dxa"/>
            <w:left w:w="0" w:type="dxa"/>
            <w:bottom w:w="0" w:type="dxa"/>
            <w:right w:w="0" w:type="dxa"/>
          </w:tblCellMar>
        </w:tblPrEx>
        <w:trPr>
          <w:trHeight w:val="53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序号</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材料名称</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规格型号要求</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单位</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单项预算价（元）</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备注</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信号灯壳体</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Φ400×3 铝压铸</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组</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808.5</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需与舟山现有信号灯壳一致，相匹配，包括配套的遮阳帽、装饰板</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信号灯灯盘</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Φ400，开关电源，恒流稳压</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片</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617.4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需与舟山现有信号灯盘一致，相匹配；不分满盘、箭头、自行车，也不分红黄绿</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信号灯壳体</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Φ300×2 铝压铸</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组</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617.4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需与舟山现有信号灯壳一致，相匹配，包括配套的遮阳帽、装饰板</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信号灯灯盘</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Φ300，开关电源，恒流稳压</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片</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539</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与现有信号灯盘一致，相匹配；不分满盘、箭头、自行车、人行，也不分红黄绿，含电源模块，不含控制板</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箱式一体化303人行灯</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Φ300*3个单元，开关电源，恒流稳压。定制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组</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2646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与海天大道现有的一致，不分直角、圆角、双面、单面。双面的一套=2组</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6</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单8倒计时灯盘</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Φ400/Φ300，开关电源，恒流稳压</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片</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1029</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与舟山现有信号灯盘一致，相匹配；不分满盘、箭头、自行车等</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7</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待行区显示屏</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双路信号双屏显</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4410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大小、尺寸可根据路口实际情况需要进行定制</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8</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可变车道显示屏</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220V供电型，蓝底反光膜，白色箭头</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5684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常规900*1100，大小、尺寸可根据路口实际情况需要进行定制</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9</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F型机、海康威视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台</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30870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F型机裸机，不含配电箱、电器附件等</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配电箱1</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B型机配电箱</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1519</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304不锈钢</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配电箱2</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E、F型配电箱及海康威视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6174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304不锈钢，恒温风扇，含LED智能报警桩等所有附件</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远程通讯设备</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r>
              <w:rPr>
                <w:rFonts w:hint="eastAsia" w:ascii="宋体" w:hAnsi="宋体" w:eastAsia="宋体" w:cs="宋体"/>
                <w:szCs w:val="21"/>
              </w:rPr>
              <w:t>远程通讯模块</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813.4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与舟山现有的一致</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13</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信号机维修配件1</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B型机</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509.6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远程通讯、电源、液晶屏系列问题</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14</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信号机维修配件2</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B型机</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1225</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输出板、显示板系列问题</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15</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信号机维修配件3</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B型机</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1538.6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主板系列问题</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16</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信号机维修配件4</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E型机主板外模块</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2058</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除主板以外其它板卡</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17</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信号机维修配件5</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F型机、海康的板卡模块</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4116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18</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信号机维修配件6</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E型机主板卡等模块</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5390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包括主板、5块输出板的主控制单板芯片等（带GPS）</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19</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信号灯电源模块</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215.6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不分灯盘、颜色种类，含开关电源</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20</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信号灯控制板</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666.4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人行灯、显示屏等所用的微电脑控制的主控制板</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遮阳帽</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铝合金，防紫外线喷塑</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片</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93.1</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信号灯、人行灯的遮阳帽、装饰板等</w:t>
            </w:r>
          </w:p>
        </w:tc>
      </w:tr>
      <w:tr>
        <w:tblPrEx>
          <w:tblCellMar>
            <w:top w:w="0" w:type="dxa"/>
            <w:left w:w="0" w:type="dxa"/>
            <w:bottom w:w="0" w:type="dxa"/>
            <w:right w:w="0" w:type="dxa"/>
          </w:tblCellMar>
        </w:tblPrEx>
        <w:trPr>
          <w:trHeight w:val="52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交换机</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网络交换机</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86.2</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4端口或8端口</w:t>
            </w:r>
          </w:p>
        </w:tc>
      </w:tr>
      <w:tr>
        <w:tblPrEx>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23</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稳压器</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2000W以上</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台</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1548.4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24</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远程控制信号线1</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户外双层超5类专用网线</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4.2</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25</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远程控制信号线2</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信号灯专用，KVV4芯×1.5mm2</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15.7</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26</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远程控制信号线3</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信号灯专用，KVV7芯×1.5mm2</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19.6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27</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远程控制信号线4</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信号灯专用，KVV10芯×1.5mm2</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25.5</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28</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远程控制信号线5</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信号灯电源专用，YJV2×4mm2</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19.6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29</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远程控制信号线6</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信号灯电源专用，YJV2×104mm2</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29.4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30</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远程控制信号线7</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电子警察电源专用，RVV2×2.5mm2</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远程控制信号线8</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光缆,6芯以上，含熔纤、尾纤、终端盒等费用</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12</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含运费</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人行横道灯杆</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Φ114/89，热镀锌喷塑处理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1225</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不分单叉双叉等规格</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33</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辅助灯杆</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Φ165*5000，热镀锌喷塑处理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3773</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34</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信号灯/电警八角杆</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主杆7米，横杆5～10米，热镀锌喷塑处理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15190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35</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信号灯双横臂杆</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Φ273东港式样，热镀锌喷塑处理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23030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36</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人行灯杆基础</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座</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784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37</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辅助灯杆基础</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座</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1911</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38</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八角杆基础</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座</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4802</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39</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配电箱基础</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座</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666.4</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40</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szCs w:val="21"/>
              </w:rPr>
              <w:t>非过路管道</w:t>
            </w:r>
            <w:r>
              <w:rPr>
                <w:rFonts w:hint="eastAsia" w:ascii="宋体" w:hAnsi="宋体" w:eastAsia="宋体" w:cs="宋体"/>
                <w:kern w:val="0"/>
                <w:szCs w:val="21"/>
              </w:rPr>
              <w:t>敷设</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ascii="宋体" w:hAnsi="宋体" w:eastAsia="宋体" w:cs="宋体"/>
                <w:kern w:val="0"/>
                <w:szCs w:val="21"/>
              </w:rPr>
              <w:t>≥</w:t>
            </w:r>
            <w:r>
              <w:rPr>
                <w:rFonts w:hint="eastAsia" w:ascii="宋体" w:hAnsi="宋体" w:eastAsia="宋体" w:cs="宋体"/>
                <w:kern w:val="0"/>
                <w:szCs w:val="21"/>
              </w:rPr>
              <w:t>Φ50尼龙管敷设</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44.1</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szCs w:val="21"/>
              </w:rPr>
              <w:t>过路管道</w:t>
            </w:r>
            <w:r>
              <w:rPr>
                <w:rFonts w:hint="eastAsia" w:ascii="宋体" w:hAnsi="宋体" w:eastAsia="宋体" w:cs="宋体"/>
                <w:kern w:val="0"/>
                <w:szCs w:val="21"/>
              </w:rPr>
              <w:t>敷设</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Φ114钢管或Φ80顶管敷设</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米</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186.2</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窨井1</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复合材料</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686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43</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窨井2</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铁窨井</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1029</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szCs w:val="21"/>
              </w:rPr>
              <w:t>44</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信号灯支架系列</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热镀锌、定制</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303.8</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包括抱箍、螺栓等</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szCs w:val="21"/>
              </w:rPr>
              <w:t>45</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小设施拆除</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信号灯、摄像机、雷视、小立杆等无须起重机械辅助作业即可完成的小设施的拆除</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205.8</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46</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小设施安装</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信号灯、摄像机、雷视、小立杆等无须起重机械辅助作业即可完成的小设施的安装</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205.8</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47</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信号机及机柜拆除</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r>
              <w:rPr>
                <w:rFonts w:hint="eastAsia" w:ascii="宋体" w:hAnsi="宋体" w:eastAsia="宋体" w:cs="宋体"/>
                <w:kern w:val="0"/>
                <w:szCs w:val="21"/>
              </w:rPr>
              <w:t>信号机及配电箱的拆除，每1个信号机点位算1项</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313.6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48</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信号机及机柜安装</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r>
              <w:rPr>
                <w:rFonts w:hint="eastAsia" w:ascii="宋体" w:hAnsi="宋体" w:eastAsia="宋体" w:cs="宋体"/>
                <w:kern w:val="0"/>
                <w:szCs w:val="21"/>
              </w:rPr>
              <w:t>信号机安装、接线等，每1个信号机点位算1项</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1029</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49</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大型设施拆除</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Φ140以上杆件、大型标志牌等需起重机械辅助作业方可完成的大型设施的拆除</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1200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50</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大型设施安装</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Φ140以上杆件、大型标志牌等需起重机械辅助作业方可完成的大型设施的安装</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1600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移动式信号灯</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Φ250多相位，40W</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台</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6860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移动式信号灯专用电池</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12V，17AH</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196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53</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移动式信号灯专用太阳能板</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12V，40W</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片</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931</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54</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移动式信号灯专用控制器</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r>
              <w:rPr>
                <w:rFonts w:hint="eastAsia" w:ascii="宋体" w:hAnsi="宋体" w:eastAsia="宋体" w:cs="宋体"/>
                <w:kern w:val="0"/>
                <w:szCs w:val="21"/>
              </w:rPr>
              <w:t>移动式信号灯使用的控制器</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只</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1470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55</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小杆件油漆</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Φ140（含）以下的单立杆，金属漆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392</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56</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大杆件油漆</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Φ140以上或带横臂杆件，金属漆</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套</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980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57</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标志牌改字</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零星标志的底膜不变，文字图案更换</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平方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196</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包括原版面的文字图案清除</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58</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标志牌改版面</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零星标志的底膜和文字图案更换</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平方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441</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包括原版面的文字图案清除</w:t>
            </w: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59</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零星标志牌</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IV类进口反光膜</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平方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700</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60</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热熔标线施划</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热熔型，零星的标线施划</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平方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44.1</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61</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常温标线施划</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常温型，零星的标线施划</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平方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18</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r>
        <w:tblPrEx>
          <w:tblCellMar>
            <w:top w:w="0" w:type="dxa"/>
            <w:left w:w="0" w:type="dxa"/>
            <w:bottom w:w="0" w:type="dxa"/>
            <w:right w:w="0" w:type="dxa"/>
          </w:tblCellMar>
        </w:tblPrEx>
        <w:trPr>
          <w:trHeight w:val="600" w:hRule="atLeast"/>
        </w:trPr>
        <w:tc>
          <w:tcPr>
            <w:tcW w:w="24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62</w:t>
            </w:r>
          </w:p>
        </w:tc>
        <w:tc>
          <w:tcPr>
            <w:tcW w:w="6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标线清除</w:t>
            </w:r>
          </w:p>
        </w:tc>
        <w:tc>
          <w:tcPr>
            <w:tcW w:w="153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零星老旧标线打磨清除或水洗</w:t>
            </w:r>
          </w:p>
        </w:tc>
        <w:tc>
          <w:tcPr>
            <w:tcW w:w="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平方</w:t>
            </w:r>
          </w:p>
        </w:tc>
        <w:tc>
          <w:tcPr>
            <w:tcW w:w="58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仿宋"/>
                <w:color w:val="000000"/>
                <w:kern w:val="0"/>
                <w:szCs w:val="21"/>
              </w:rPr>
              <w:t>53.9</w:t>
            </w:r>
          </w:p>
        </w:tc>
        <w:tc>
          <w:tcPr>
            <w:tcW w:w="15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eastAsia="宋体" w:cs="宋体"/>
                <w:kern w:val="0"/>
                <w:szCs w:val="21"/>
              </w:rPr>
            </w:pPr>
          </w:p>
        </w:tc>
      </w:tr>
    </w:tbl>
    <w:p>
      <w:pPr>
        <w:pStyle w:val="26"/>
        <w:rPr>
          <w:rFonts w:ascii="宋体" w:hAnsi="宋体"/>
          <w:b/>
          <w:bCs/>
          <w:szCs w:val="21"/>
        </w:rPr>
      </w:pPr>
    </w:p>
    <w:p>
      <w:pPr>
        <w:spacing w:line="312" w:lineRule="auto"/>
        <w:ind w:firstLine="422" w:firstLineChars="200"/>
        <w:rPr>
          <w:rFonts w:ascii="黑体" w:hAnsi="黑体" w:eastAsia="黑体" w:cs="黑体"/>
          <w:sz w:val="32"/>
          <w:szCs w:val="32"/>
        </w:rPr>
      </w:pPr>
      <w:r>
        <w:rPr>
          <w:rFonts w:hint="eastAsia" w:ascii="宋体" w:hAnsi="宋体" w:eastAsia="宋体" w:cs="Times New Roman"/>
          <w:b/>
          <w:szCs w:val="21"/>
        </w:rPr>
        <w:t>（三）人员技术服务</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1.服务内容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投标人需配套提供3人进行现场驻点技术服务，根据道路流量的变化，对绿波带、动态信号进行优化配置，同时为相位等红绿灯底层配置提供技术支持和业务培训；制作信号调整优化的台账，以及相关的、需要的PPT、视频剪辑等内容。</w:t>
      </w:r>
    </w:p>
    <w:p>
      <w:pPr>
        <w:spacing w:line="312" w:lineRule="auto"/>
        <w:ind w:firstLine="420"/>
        <w:rPr>
          <w:rFonts w:ascii="宋体" w:hAnsi="宋体" w:eastAsia="宋体" w:cs="Times New Roman"/>
          <w:szCs w:val="21"/>
        </w:rPr>
      </w:pPr>
      <w:r>
        <w:rPr>
          <w:rFonts w:hint="eastAsia" w:ascii="宋体" w:hAnsi="宋体" w:eastAsia="宋体" w:cs="Times New Roman"/>
          <w:szCs w:val="21"/>
        </w:rPr>
        <w:t>2.考核评价</w:t>
      </w:r>
    </w:p>
    <w:p>
      <w:pPr>
        <w:spacing w:line="312" w:lineRule="auto"/>
        <w:ind w:firstLine="420"/>
        <w:rPr>
          <w:rFonts w:ascii="宋体" w:hAnsi="宋体" w:eastAsia="宋体" w:cs="Times New Roman"/>
          <w:szCs w:val="21"/>
        </w:rPr>
      </w:pPr>
      <w:r>
        <w:rPr>
          <w:rFonts w:hint="eastAsia" w:ascii="宋体" w:hAnsi="宋体" w:eastAsia="宋体" w:cs="Times New Roman"/>
          <w:szCs w:val="21"/>
        </w:rPr>
        <w:t>（1）信号优化。每季度对现有绿波带、动态信号进行一次调整优化，未优化的</w:t>
      </w:r>
      <w:r>
        <w:rPr>
          <w:rFonts w:hint="eastAsia" w:ascii="宋体" w:hAnsi="宋体" w:eastAsia="宋体" w:cs="宋体"/>
          <w:szCs w:val="21"/>
        </w:rPr>
        <w:t>发现一起扣服务费1000元。</w:t>
      </w:r>
    </w:p>
    <w:p>
      <w:pPr>
        <w:spacing w:line="312" w:lineRule="auto"/>
        <w:ind w:firstLine="420"/>
        <w:rPr>
          <w:rFonts w:ascii="宋体" w:hAnsi="宋体" w:eastAsia="宋体" w:cs="宋体"/>
          <w:szCs w:val="21"/>
        </w:rPr>
      </w:pPr>
      <w:r>
        <w:rPr>
          <w:rFonts w:hint="eastAsia" w:ascii="宋体" w:hAnsi="宋体" w:eastAsia="宋体" w:cs="Times New Roman"/>
          <w:szCs w:val="21"/>
        </w:rPr>
        <w:t>（2）信号相关工作。每月根据采购人需求，完成信号优化相关的培训、PPT制作、视频剪辑等工作，未完成的</w:t>
      </w:r>
      <w:r>
        <w:rPr>
          <w:rFonts w:hint="eastAsia" w:ascii="宋体" w:hAnsi="宋体" w:eastAsia="宋体" w:cs="宋体"/>
          <w:szCs w:val="21"/>
        </w:rPr>
        <w:t>每</w:t>
      </w:r>
      <w:r>
        <w:rPr>
          <w:rFonts w:hint="eastAsia" w:ascii="宋体" w:hAnsi="宋体" w:eastAsia="宋体" w:cs="Times New Roman"/>
          <w:szCs w:val="21"/>
        </w:rPr>
        <w:t>类项目</w:t>
      </w:r>
      <w:r>
        <w:rPr>
          <w:rFonts w:hint="eastAsia" w:ascii="宋体" w:hAnsi="宋体" w:eastAsia="宋体" w:cs="宋体"/>
          <w:szCs w:val="21"/>
        </w:rPr>
        <w:t>扣服务费1000元。</w:t>
      </w:r>
    </w:p>
    <w:p>
      <w:pPr>
        <w:pStyle w:val="26"/>
        <w:ind w:firstLine="420"/>
      </w:pPr>
      <w:r>
        <w:rPr>
          <w:rFonts w:hint="eastAsia"/>
        </w:rPr>
        <w:t>3.技术服务的周期</w:t>
      </w:r>
    </w:p>
    <w:p>
      <w:pPr>
        <w:pStyle w:val="26"/>
        <w:ind w:firstLine="420"/>
      </w:pPr>
      <w:r>
        <w:rPr>
          <w:rFonts w:hint="eastAsia"/>
        </w:rPr>
        <w:t>技术服务时间，自</w:t>
      </w:r>
      <w:r>
        <w:t>项目的合同签订起一年。</w:t>
      </w:r>
    </w:p>
    <w:p>
      <w:pPr>
        <w:spacing w:line="312" w:lineRule="auto"/>
        <w:rPr>
          <w:rFonts w:ascii="宋体" w:hAnsi="宋体" w:eastAsia="宋体" w:cs="Times New Roman"/>
          <w:b/>
          <w:szCs w:val="21"/>
        </w:rPr>
      </w:pPr>
    </w:p>
    <w:p>
      <w:pPr>
        <w:spacing w:line="312" w:lineRule="auto"/>
        <w:ind w:firstLine="211" w:firstLineChars="100"/>
        <w:rPr>
          <w:rFonts w:ascii="宋体" w:hAnsi="宋体" w:eastAsia="宋体" w:cs="宋体"/>
          <w:b/>
          <w:bCs/>
          <w:szCs w:val="21"/>
        </w:rPr>
      </w:pPr>
      <w:r>
        <w:rPr>
          <w:rFonts w:hint="eastAsia" w:ascii="宋体" w:hAnsi="宋体" w:eastAsia="宋体" w:cs="宋体"/>
          <w:b/>
          <w:bCs/>
          <w:szCs w:val="21"/>
        </w:rPr>
        <w:t>（四）红绿灯系统技术优化服务</w:t>
      </w:r>
    </w:p>
    <w:p>
      <w:pPr>
        <w:spacing w:line="312" w:lineRule="auto"/>
        <w:ind w:firstLine="420" w:firstLineChars="200"/>
        <w:rPr>
          <w:rFonts w:ascii="宋体" w:hAnsi="宋体" w:eastAsia="宋体" w:cs="宋体"/>
          <w:szCs w:val="21"/>
        </w:rPr>
      </w:pPr>
      <w:r>
        <w:rPr>
          <w:rFonts w:hint="eastAsia" w:ascii="宋体" w:hAnsi="宋体" w:eastAsia="宋体" w:cs="宋体"/>
          <w:szCs w:val="21"/>
        </w:rPr>
        <w:t>1.开发一个具备常规绿波带方案设计功能的系统。</w:t>
      </w:r>
    </w:p>
    <w:p>
      <w:pPr>
        <w:spacing w:line="312" w:lineRule="auto"/>
        <w:ind w:firstLine="420" w:firstLineChars="200"/>
        <w:rPr>
          <w:rFonts w:ascii="宋体" w:hAnsi="宋体" w:eastAsia="宋体" w:cs="宋体"/>
          <w:szCs w:val="21"/>
        </w:rPr>
      </w:pPr>
      <w:r>
        <w:rPr>
          <w:rFonts w:hint="eastAsia" w:ascii="宋体" w:hAnsi="宋体" w:eastAsia="宋体" w:cs="宋体"/>
          <w:szCs w:val="21"/>
        </w:rPr>
        <w:t>2.红绿灯信创（全国产化）控制平台增加路口视频显示模块与普通电子警察过车流量数据功能。</w:t>
      </w:r>
    </w:p>
    <w:p>
      <w:pPr>
        <w:spacing w:line="312" w:lineRule="auto"/>
        <w:ind w:firstLine="420" w:firstLineChars="200"/>
        <w:rPr>
          <w:rFonts w:ascii="宋体" w:hAnsi="宋体" w:eastAsia="宋体" w:cs="宋体"/>
          <w:szCs w:val="21"/>
        </w:rPr>
      </w:pPr>
      <w:r>
        <w:rPr>
          <w:rFonts w:hint="eastAsia" w:ascii="宋体" w:hAnsi="宋体" w:eastAsia="宋体" w:cs="宋体"/>
          <w:szCs w:val="21"/>
        </w:rPr>
        <w:t>3.技术服务时间，自项目的合同签订起一年。</w:t>
      </w:r>
    </w:p>
    <w:p>
      <w:pPr>
        <w:pStyle w:val="2"/>
        <w:rPr>
          <w:rFonts w:ascii="宋体" w:hAnsi="宋体" w:eastAsia="宋体" w:cs="宋体"/>
          <w:color w:val="auto"/>
          <w:szCs w:val="21"/>
        </w:rPr>
      </w:pP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（五）红绿灯信号机升级</w:t>
      </w:r>
    </w:p>
    <w:p>
      <w:pPr>
        <w:spacing w:line="312" w:lineRule="auto"/>
        <w:ind w:firstLine="420" w:firstLineChars="200"/>
        <w:rPr>
          <w:rFonts w:ascii="宋体" w:hAnsi="宋体" w:eastAsia="宋体" w:cs="宋体"/>
          <w:szCs w:val="21"/>
        </w:rPr>
      </w:pPr>
      <w:r>
        <w:rPr>
          <w:rFonts w:hint="eastAsia" w:ascii="宋体" w:hAnsi="宋体" w:eastAsia="宋体" w:cs="宋体"/>
          <w:szCs w:val="21"/>
        </w:rPr>
        <w:t>1.对本岛区域的72个路口信号灯（可根据实际工作需要，对点位进行调整）进行智能化改造升级，以进一步提升路口通行效率。</w:t>
      </w:r>
    </w:p>
    <w:p>
      <w:pPr>
        <w:spacing w:line="312" w:lineRule="auto"/>
        <w:ind w:firstLine="420" w:firstLineChars="200"/>
        <w:rPr>
          <w:rFonts w:ascii="宋体" w:hAnsi="宋体" w:eastAsia="宋体" w:cs="宋体"/>
          <w:szCs w:val="21"/>
        </w:rPr>
      </w:pPr>
      <w:r>
        <w:rPr>
          <w:rFonts w:hint="eastAsia" w:ascii="宋体" w:hAnsi="宋体" w:eastAsia="宋体" w:cs="宋体"/>
          <w:szCs w:val="21"/>
        </w:rPr>
        <w:t>2.配套路口交通态势显示屏，包括3台65寸大屏、4台98寸大屏、4台86寸会议平板、2台高性能平板等。</w:t>
      </w:r>
    </w:p>
    <w:p>
      <w:pPr>
        <w:spacing w:line="312" w:lineRule="auto"/>
        <w:ind w:firstLine="420" w:firstLineChars="200"/>
        <w:rPr>
          <w:rFonts w:eastAsia="宋体"/>
          <w:b/>
          <w:sz w:val="24"/>
        </w:rPr>
      </w:pPr>
      <w:r>
        <w:rPr>
          <w:rFonts w:hint="eastAsia" w:ascii="宋体" w:hAnsi="宋体" w:eastAsia="宋体" w:cs="宋体"/>
          <w:szCs w:val="21"/>
        </w:rPr>
        <w:t>3.服务时间：自项目的合同签订起技术服务一年，涉及的设备质保二年。</w:t>
      </w:r>
    </w:p>
    <w:p>
      <w:pPr>
        <w:widowControl/>
        <w:spacing w:line="520" w:lineRule="exact"/>
        <w:textAlignment w:val="center"/>
        <w:rPr>
          <w:rFonts w:ascii="宋体" w:hAnsi="宋体" w:eastAsia="宋体" w:cs="宋体"/>
          <w:b/>
          <w:kern w:val="0"/>
          <w:szCs w:val="21"/>
        </w:rPr>
      </w:pPr>
      <w:r>
        <w:rPr>
          <w:rFonts w:hint="eastAsia" w:ascii="宋体" w:hAnsi="宋体" w:eastAsia="宋体" w:cs="宋体"/>
          <w:b/>
          <w:kern w:val="0"/>
          <w:szCs w:val="21"/>
        </w:rPr>
        <w:t>①定海区域路口信号灯升级选点</w:t>
      </w:r>
    </w:p>
    <w:tbl>
      <w:tblPr>
        <w:tblStyle w:val="62"/>
        <w:tblW w:w="4998" w:type="pct"/>
        <w:tblInd w:w="0" w:type="dxa"/>
        <w:tblLayout w:type="autofit"/>
        <w:tblCellMar>
          <w:top w:w="0" w:type="dxa"/>
          <w:left w:w="108" w:type="dxa"/>
          <w:bottom w:w="0" w:type="dxa"/>
          <w:right w:w="108" w:type="dxa"/>
        </w:tblCellMar>
      </w:tblPr>
      <w:tblGrid>
        <w:gridCol w:w="1380"/>
        <w:gridCol w:w="7676"/>
      </w:tblGrid>
      <w:tr>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序号</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路口名称</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解放西路与商业街</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解放西路与环城西路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解放西路与人民路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4</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解放东路与芙蓉洲路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5</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解放东路与环城东路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6</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新桥路与东河北路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7</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新桥路与东瀛路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8</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新桥路与畚金路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9</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新桥路与颐景园路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10</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环城南路与商业街</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11</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环城南路与环城西路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12</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环城南路与人民南路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13</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环城南路与和平路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14</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环城南路与环城东路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15</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环城南路与东河路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16</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双坝3号</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17</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双坝线三农路口</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18</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双坝4号</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19</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双坝线定马线</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20</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双坝线沿河路口</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21</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双坝线海天大道</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22</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白虎山路尾山路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23</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腾坑湾路海山隧道东口</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24</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环城北路与人民北路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25</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环城北路与环城东路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26</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昌国路与人民中路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27</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昌国路与环城东路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28</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人民南路卫海路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29</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沿港东路与和平路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30</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沿港东路与环城东路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31</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青垒头路与纺织厂路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32</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青垒头路与弘生大道</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33</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弘生大道与东山路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34</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文化路与海院北路</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35</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定马线城北村路口</w:t>
            </w:r>
          </w:p>
        </w:tc>
      </w:tr>
      <w:tr>
        <w:tblPrEx>
          <w:tblCellMar>
            <w:top w:w="0" w:type="dxa"/>
            <w:left w:w="108" w:type="dxa"/>
            <w:bottom w:w="0" w:type="dxa"/>
            <w:right w:w="108" w:type="dxa"/>
          </w:tblCellMar>
        </w:tblPrEx>
        <w:trPr>
          <w:trHeight w:val="270" w:hRule="atLeast"/>
        </w:trPr>
        <w:tc>
          <w:tcPr>
            <w:tcW w:w="7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36</w:t>
            </w:r>
          </w:p>
        </w:tc>
        <w:tc>
          <w:tcPr>
            <w:tcW w:w="4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rPr>
              <w:t>人民南路与东海路</w:t>
            </w:r>
          </w:p>
        </w:tc>
      </w:tr>
    </w:tbl>
    <w:p/>
    <w:p>
      <w:pPr>
        <w:widowControl/>
        <w:spacing w:line="520" w:lineRule="exact"/>
        <w:textAlignment w:val="center"/>
        <w:rPr>
          <w:rFonts w:ascii="宋体" w:hAnsi="宋体" w:eastAsia="宋体" w:cs="宋体"/>
          <w:szCs w:val="21"/>
        </w:rPr>
      </w:pPr>
      <w:r>
        <w:rPr>
          <w:rFonts w:hint="eastAsia" w:ascii="宋体" w:hAnsi="宋体" w:eastAsia="宋体" w:cs="宋体"/>
          <w:b/>
          <w:kern w:val="0"/>
          <w:szCs w:val="21"/>
        </w:rPr>
        <w:t>②普陀区域路口信号灯升级选点</w:t>
      </w:r>
    </w:p>
    <w:tbl>
      <w:tblPr>
        <w:tblStyle w:val="62"/>
        <w:tblW w:w="4998" w:type="pct"/>
        <w:tblInd w:w="0" w:type="dxa"/>
        <w:tblLayout w:type="autofit"/>
        <w:tblCellMar>
          <w:top w:w="0" w:type="dxa"/>
          <w:left w:w="108" w:type="dxa"/>
          <w:bottom w:w="0" w:type="dxa"/>
          <w:right w:w="108" w:type="dxa"/>
        </w:tblCellMar>
      </w:tblPr>
      <w:tblGrid>
        <w:gridCol w:w="1500"/>
        <w:gridCol w:w="7556"/>
      </w:tblGrid>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序号</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点位名称</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东海中路食品厂路路口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东海中路岭陀隧道路口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东海中路船厂路路口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东海中路菜市路路口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东海西路中沙头路路口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6</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东海西路三大线路口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7</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东海西路平渔路路口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8</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滨海大道海博路路口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9</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滨海大道新园路路口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滨海大道金外滩路口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11</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滨海大道墩头路路口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12</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滨海大道大干车渡码头路口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13</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滨港路食品厂路路口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14</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滨港路中兴路路口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15</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滨港路东河路路口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16</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滨港路船厂路路口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17</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滨港路菜市路路口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18</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东海西路大茶湾路口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19</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海莲路中昌街路口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20</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海莲路灵秀街路口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21</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海莲路昌正街路口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22</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海莲路潮音街路口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23</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海莲路金城街路口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24</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海莲路莲洋街路口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25</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海莲路麒麟街路口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26</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海莲路文康街路口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27</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海洲路昌正街路口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28</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海洲路莲洋街路口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29</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329国道兴北东路路口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30</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329国道展螺线路口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31</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北向疏港公路观张线路口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32</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北向疏港公路临螺线路口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33</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北向疏港公路田园综合体东路口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34</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北向疏港公路田园综合体西路口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35</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北向疏港公路展城线路口</w:t>
            </w:r>
          </w:p>
        </w:tc>
      </w:tr>
      <w:tr>
        <w:tblPrEx>
          <w:tblCellMar>
            <w:top w:w="0" w:type="dxa"/>
            <w:left w:w="108" w:type="dxa"/>
            <w:bottom w:w="0" w:type="dxa"/>
            <w:right w:w="108" w:type="dxa"/>
          </w:tblCellMar>
        </w:tblPrEx>
        <w:trPr>
          <w:trHeight w:val="285" w:hRule="atLeast"/>
        </w:trPr>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36</w:t>
            </w:r>
          </w:p>
        </w:tc>
        <w:tc>
          <w:tcPr>
            <w:tcW w:w="4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芦塔线南岙路路口</w:t>
            </w:r>
          </w:p>
        </w:tc>
      </w:tr>
    </w:tbl>
    <w:p>
      <w:pPr>
        <w:spacing w:line="312" w:lineRule="auto"/>
        <w:rPr>
          <w:rFonts w:ascii="宋体" w:hAnsi="宋体" w:eastAsia="宋体" w:cs="Times New Roman"/>
          <w:szCs w:val="21"/>
        </w:rPr>
      </w:pP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③配套硬件技术要求如下：</w:t>
      </w:r>
    </w:p>
    <w:tbl>
      <w:tblPr>
        <w:tblStyle w:val="62"/>
        <w:tblW w:w="5052" w:type="pct"/>
        <w:tblInd w:w="0" w:type="dxa"/>
        <w:tblLayout w:type="fixed"/>
        <w:tblCellMar>
          <w:top w:w="0" w:type="dxa"/>
          <w:left w:w="0" w:type="dxa"/>
          <w:bottom w:w="0" w:type="dxa"/>
          <w:right w:w="0" w:type="dxa"/>
        </w:tblCellMar>
      </w:tblPr>
      <w:tblGrid>
        <w:gridCol w:w="642"/>
        <w:gridCol w:w="1061"/>
        <w:gridCol w:w="5712"/>
        <w:gridCol w:w="765"/>
        <w:gridCol w:w="776"/>
      </w:tblGrid>
      <w:tr>
        <w:tblPrEx>
          <w:tblCellMar>
            <w:top w:w="0" w:type="dxa"/>
            <w:left w:w="0" w:type="dxa"/>
            <w:bottom w:w="0" w:type="dxa"/>
            <w:right w:w="0" w:type="dxa"/>
          </w:tblCellMar>
        </w:tblPrEx>
        <w:trPr>
          <w:trHeight w:val="519" w:hRule="atLeast"/>
        </w:trPr>
        <w:tc>
          <w:tcPr>
            <w:tcW w:w="358" w:type="pc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序号</w:t>
            </w:r>
          </w:p>
        </w:tc>
        <w:tc>
          <w:tcPr>
            <w:tcW w:w="592" w:type="pc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产品类别</w:t>
            </w:r>
          </w:p>
        </w:tc>
        <w:tc>
          <w:tcPr>
            <w:tcW w:w="3188" w:type="pc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技术规格</w:t>
            </w:r>
          </w:p>
        </w:tc>
        <w:tc>
          <w:tcPr>
            <w:tcW w:w="427" w:type="pct"/>
            <w:tcBorders>
              <w:top w:val="single" w:color="auto"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单位</w:t>
            </w:r>
          </w:p>
        </w:tc>
        <w:tc>
          <w:tcPr>
            <w:tcW w:w="433" w:type="pct"/>
            <w:tcBorders>
              <w:top w:val="single" w:color="auto"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数量</w:t>
            </w:r>
          </w:p>
        </w:tc>
      </w:tr>
      <w:tr>
        <w:tblPrEx>
          <w:tblCellMar>
            <w:top w:w="0" w:type="dxa"/>
            <w:left w:w="0" w:type="dxa"/>
            <w:bottom w:w="0" w:type="dxa"/>
            <w:right w:w="0" w:type="dxa"/>
          </w:tblCellMar>
        </w:tblPrEx>
        <w:trPr>
          <w:trHeight w:val="198"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rPr>
              <w:t>◆1</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szCs w:val="21"/>
              </w:rPr>
            </w:pPr>
            <w:r>
              <w:rPr>
                <w:rFonts w:hint="eastAsia" w:ascii="宋体" w:hAnsi="宋体" w:eastAsia="宋体" w:cs="宋体"/>
                <w:kern w:val="0"/>
                <w:szCs w:val="21"/>
              </w:rPr>
              <w:t>智能红绿灯控制机</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spacing w:after="120"/>
              <w:rPr>
                <w:rFonts w:ascii="宋体" w:hAnsi="宋体" w:eastAsia="宋体" w:cs="宋体"/>
                <w:szCs w:val="21"/>
              </w:rPr>
            </w:pPr>
            <w:r>
              <w:rPr>
                <w:rFonts w:hint="eastAsia" w:ascii="宋体" w:hAnsi="宋体" w:eastAsia="宋体" w:cs="宋体"/>
                <w:szCs w:val="21"/>
              </w:rPr>
              <w:t>1. 设备包含控制主机、配电单元、机柜、无线遥控器、GPS；</w:t>
            </w:r>
          </w:p>
          <w:p>
            <w:pPr>
              <w:snapToGrid w:val="0"/>
              <w:spacing w:after="120"/>
              <w:rPr>
                <w:rFonts w:ascii="宋体" w:hAnsi="宋体" w:eastAsia="宋体" w:cs="宋体"/>
                <w:szCs w:val="21"/>
              </w:rPr>
            </w:pPr>
            <w:r>
              <w:rPr>
                <w:rFonts w:hint="eastAsia" w:ascii="宋体" w:hAnsi="宋体" w:eastAsia="宋体" w:cs="宋体"/>
                <w:szCs w:val="21"/>
              </w:rPr>
              <w:t>2．灯控输出：44路及以上输出，支持1个RJ45接口；</w:t>
            </w:r>
          </w:p>
          <w:p>
            <w:pPr>
              <w:snapToGrid w:val="0"/>
              <w:spacing w:after="120"/>
              <w:rPr>
                <w:rFonts w:ascii="宋体" w:hAnsi="宋体" w:eastAsia="宋体" w:cs="宋体"/>
                <w:szCs w:val="21"/>
              </w:rPr>
            </w:pPr>
            <w:r>
              <w:rPr>
                <w:rFonts w:hint="eastAsia" w:ascii="宋体" w:hAnsi="宋体" w:eastAsia="宋体" w:cs="宋体"/>
                <w:szCs w:val="21"/>
              </w:rPr>
              <w:t>3．▲信号机应符合《道路红绿灯控制机》GB25280-2016要求，产品类别为C类，耐温等级为A级；（提供检测报告）</w:t>
            </w:r>
          </w:p>
          <w:p>
            <w:pPr>
              <w:snapToGrid w:val="0"/>
              <w:spacing w:after="120"/>
              <w:rPr>
                <w:rFonts w:ascii="宋体" w:hAnsi="宋体" w:eastAsia="宋体" w:cs="宋体"/>
                <w:szCs w:val="21"/>
              </w:rPr>
            </w:pPr>
            <w:r>
              <w:rPr>
                <w:rFonts w:hint="eastAsia" w:ascii="宋体" w:hAnsi="宋体" w:eastAsia="宋体" w:cs="宋体"/>
                <w:szCs w:val="21"/>
              </w:rPr>
              <w:t>4．支持接入电子警察，实时接收电子警察采集到的到达离开时间、车型、车牌、统计车道级和转向级交通流量数据，并应用于信号机协调控制；</w:t>
            </w:r>
          </w:p>
          <w:p>
            <w:pPr>
              <w:snapToGrid w:val="0"/>
              <w:spacing w:after="120"/>
              <w:rPr>
                <w:rFonts w:ascii="宋体" w:hAnsi="宋体" w:eastAsia="宋体" w:cs="宋体"/>
                <w:szCs w:val="21"/>
              </w:rPr>
            </w:pPr>
            <w:r>
              <w:rPr>
                <w:rFonts w:hint="eastAsia" w:ascii="宋体" w:hAnsi="宋体" w:eastAsia="宋体" w:cs="宋体"/>
                <w:szCs w:val="21"/>
              </w:rPr>
              <w:t>5．▲支持接入车检器并接收数据，可按固定间隔或信控周期获取每个车道的流量、平均车速、平均车头时距、时间占有率、排队长度数据；（提供检测报告）</w:t>
            </w:r>
          </w:p>
          <w:p>
            <w:pPr>
              <w:snapToGrid w:val="0"/>
              <w:spacing w:after="120"/>
              <w:rPr>
                <w:rFonts w:ascii="宋体" w:hAnsi="宋体" w:eastAsia="宋体" w:cs="宋体"/>
                <w:szCs w:val="21"/>
              </w:rPr>
            </w:pPr>
            <w:r>
              <w:rPr>
                <w:rFonts w:hint="eastAsia" w:ascii="宋体" w:hAnsi="宋体" w:eastAsia="宋体" w:cs="宋体"/>
                <w:szCs w:val="21"/>
              </w:rPr>
              <w:t>6．支持潮汐车道控制功能，可按参数配置（执行时段、潮汐车道通行方向、清空时间）完成潮汐车道定时切换，支持人工实时切换方案，支持进行潮汐车道状态监控；（提供检测报告）</w:t>
            </w:r>
          </w:p>
          <w:p>
            <w:pPr>
              <w:snapToGrid w:val="0"/>
              <w:spacing w:after="120"/>
              <w:rPr>
                <w:rFonts w:ascii="宋体" w:hAnsi="宋体" w:eastAsia="宋体" w:cs="宋体"/>
                <w:szCs w:val="21"/>
              </w:rPr>
            </w:pPr>
            <w:r>
              <w:rPr>
                <w:rFonts w:hint="eastAsia" w:ascii="宋体" w:hAnsi="宋体" w:eastAsia="宋体" w:cs="宋体"/>
                <w:szCs w:val="21"/>
              </w:rPr>
              <w:t>7．支持通过平台软件图形化配置路口方案、检测器、信号灯连接关系、配时方案与时段信息等；</w:t>
            </w:r>
          </w:p>
          <w:p>
            <w:pPr>
              <w:snapToGrid w:val="0"/>
              <w:spacing w:after="120"/>
              <w:rPr>
                <w:rFonts w:ascii="宋体" w:hAnsi="宋体" w:eastAsia="宋体" w:cs="宋体"/>
                <w:szCs w:val="21"/>
              </w:rPr>
            </w:pPr>
            <w:r>
              <w:rPr>
                <w:rFonts w:hint="eastAsia" w:ascii="宋体" w:hAnsi="宋体" w:eastAsia="宋体" w:cs="宋体"/>
                <w:szCs w:val="21"/>
              </w:rPr>
              <w:t>8．支持行人过街自适应控制，可接入行人检测器，根据行人检测器的数据动态调整行人等待时间，支持配置过街人数及对应的通行时间；</w:t>
            </w:r>
          </w:p>
          <w:p>
            <w:pPr>
              <w:snapToGrid w:val="0"/>
              <w:spacing w:after="120"/>
              <w:rPr>
                <w:rFonts w:ascii="宋体" w:hAnsi="宋体" w:eastAsia="宋体" w:cs="宋体"/>
                <w:szCs w:val="21"/>
              </w:rPr>
            </w:pPr>
            <w:r>
              <w:rPr>
                <w:rFonts w:hint="eastAsia" w:ascii="宋体" w:hAnsi="宋体" w:eastAsia="宋体" w:cs="宋体"/>
                <w:szCs w:val="21"/>
              </w:rPr>
              <w:t>9．▲支持自适应、感应控制，能在自适应、感应控制方案中，动态调整最大绿时长；（提供检测报告）</w:t>
            </w:r>
          </w:p>
          <w:p>
            <w:pPr>
              <w:snapToGrid w:val="0"/>
              <w:spacing w:after="120"/>
              <w:rPr>
                <w:rFonts w:ascii="宋体" w:hAnsi="宋体" w:eastAsia="宋体" w:cs="宋体"/>
                <w:szCs w:val="21"/>
              </w:rPr>
            </w:pPr>
            <w:r>
              <w:rPr>
                <w:rFonts w:hint="eastAsia" w:ascii="宋体" w:hAnsi="宋体" w:eastAsia="宋体" w:cs="宋体"/>
                <w:szCs w:val="21"/>
              </w:rPr>
              <w:t>10．▲支持无缆线绿波协调控制功能；（提供检测报告）</w:t>
            </w:r>
          </w:p>
          <w:p>
            <w:pPr>
              <w:snapToGrid w:val="0"/>
              <w:spacing w:after="120"/>
              <w:rPr>
                <w:rFonts w:ascii="宋体" w:hAnsi="宋体" w:eastAsia="宋体" w:cs="宋体"/>
                <w:szCs w:val="21"/>
              </w:rPr>
            </w:pPr>
            <w:r>
              <w:rPr>
                <w:rFonts w:hint="eastAsia" w:ascii="宋体" w:hAnsi="宋体" w:eastAsia="宋体" w:cs="宋体"/>
                <w:szCs w:val="21"/>
              </w:rPr>
              <w:t>11．▲设备与舟山本岛区域现有的红绿灯控制平台兼容。</w:t>
            </w:r>
          </w:p>
          <w:p>
            <w:pPr>
              <w:snapToGrid w:val="0"/>
              <w:spacing w:after="120"/>
              <w:rPr>
                <w:rFonts w:ascii="宋体" w:hAnsi="宋体" w:eastAsia="宋体" w:cs="宋体"/>
                <w:szCs w:val="21"/>
              </w:rPr>
            </w:pPr>
            <w:r>
              <w:rPr>
                <w:rFonts w:hint="eastAsia" w:ascii="宋体" w:hAnsi="宋体" w:eastAsia="宋体" w:cs="宋体"/>
                <w:szCs w:val="21"/>
              </w:rPr>
              <w:t>12．信号机通信协议应符合GB 25280-2016《道路交通信号控制机》中附录A的要求；</w:t>
            </w:r>
          </w:p>
          <w:p>
            <w:pPr>
              <w:snapToGrid w:val="0"/>
              <w:spacing w:after="120"/>
              <w:rPr>
                <w:rFonts w:ascii="宋体" w:hAnsi="宋体" w:eastAsia="宋体" w:cs="宋体"/>
                <w:szCs w:val="21"/>
              </w:rPr>
            </w:pPr>
            <w:r>
              <w:rPr>
                <w:rFonts w:hint="eastAsia" w:ascii="宋体" w:hAnsi="宋体" w:eastAsia="宋体" w:cs="宋体"/>
                <w:szCs w:val="21"/>
              </w:rPr>
              <w:t>13．信号机应满足NTCIP通讯协议的体系结构，对NTCIP协议通讯方式的主要协议提供支持；</w:t>
            </w:r>
          </w:p>
          <w:p>
            <w:pPr>
              <w:snapToGrid w:val="0"/>
              <w:spacing w:after="120"/>
              <w:rPr>
                <w:rFonts w:ascii="宋体" w:hAnsi="宋体" w:eastAsia="宋体" w:cs="宋体"/>
                <w:szCs w:val="21"/>
              </w:rPr>
            </w:pPr>
            <w:r>
              <w:rPr>
                <w:rFonts w:hint="eastAsia" w:ascii="宋体" w:hAnsi="宋体" w:eastAsia="宋体" w:cs="宋体"/>
                <w:szCs w:val="21"/>
              </w:rPr>
              <w:t>14．信号机软件应符合国家标准GB/T 20999-2017《交通信号控制机与上位机间的数据通信协议》的体系结构，支持标准所定义的通讯方式及相关对象；</w:t>
            </w:r>
          </w:p>
          <w:p>
            <w:pPr>
              <w:snapToGrid w:val="0"/>
              <w:spacing w:after="120"/>
              <w:rPr>
                <w:rFonts w:ascii="宋体" w:hAnsi="宋体" w:eastAsia="宋体" w:cs="宋体"/>
                <w:szCs w:val="21"/>
              </w:rPr>
            </w:pPr>
            <w:r>
              <w:rPr>
                <w:rFonts w:hint="eastAsia" w:ascii="宋体" w:hAnsi="宋体" w:eastAsia="宋体" w:cs="宋体"/>
                <w:szCs w:val="21"/>
              </w:rPr>
              <w:t>15．支持无缆线绿波协调控制功能，可利用信号机自身的时钟、通过设定相位差实现不同路口之间的离线协调，且支持自动按照时间段切换协调方案；</w:t>
            </w:r>
          </w:p>
          <w:p>
            <w:pPr>
              <w:snapToGrid w:val="0"/>
              <w:spacing w:after="120"/>
              <w:rPr>
                <w:rFonts w:ascii="宋体" w:hAnsi="宋体" w:eastAsia="宋体" w:cs="宋体"/>
                <w:szCs w:val="21"/>
              </w:rPr>
            </w:pPr>
            <w:r>
              <w:rPr>
                <w:rFonts w:hint="eastAsia" w:ascii="宋体" w:hAnsi="宋体" w:eastAsia="宋体" w:cs="宋体"/>
                <w:szCs w:val="21"/>
              </w:rPr>
              <w:t>16．支持公交车辆优先功能，可接入RFID设备并检测相应的公交车辆，当公交车接近路口时信号机通过红灯早断、绿灯延长、插入相位的方式执行公交优先，支持用户自定义优先方式；</w:t>
            </w:r>
          </w:p>
          <w:p>
            <w:pPr>
              <w:snapToGrid w:val="0"/>
              <w:spacing w:after="120"/>
              <w:rPr>
                <w:rFonts w:ascii="宋体" w:hAnsi="宋体" w:eastAsia="宋体" w:cs="宋体"/>
                <w:szCs w:val="21"/>
              </w:rPr>
            </w:pPr>
            <w:r>
              <w:rPr>
                <w:rFonts w:hint="eastAsia" w:ascii="宋体" w:hAnsi="宋体" w:eastAsia="宋体" w:cs="宋体"/>
                <w:szCs w:val="21"/>
              </w:rPr>
              <w:t>17．支持自适应感应控制，在自适应感应控制方案中，动态调整最大绿时长；</w:t>
            </w:r>
          </w:p>
          <w:p>
            <w:pPr>
              <w:snapToGrid w:val="0"/>
              <w:spacing w:after="120"/>
              <w:rPr>
                <w:rFonts w:ascii="宋体" w:hAnsi="宋体" w:eastAsia="宋体" w:cs="宋体"/>
                <w:szCs w:val="21"/>
              </w:rPr>
            </w:pPr>
            <w:r>
              <w:rPr>
                <w:rFonts w:hint="eastAsia" w:ascii="宋体" w:hAnsi="宋体" w:eastAsia="宋体" w:cs="宋体"/>
                <w:szCs w:val="21"/>
              </w:rPr>
              <w:t>18．工作电压： AC220V±44V，50Hz±2Hz；温度：-40℃～+70℃；功耗：35W；</w:t>
            </w:r>
          </w:p>
          <w:p>
            <w:pPr>
              <w:snapToGrid w:val="0"/>
              <w:spacing w:after="120"/>
              <w:rPr>
                <w:rFonts w:ascii="宋体" w:hAnsi="宋体" w:eastAsia="宋体" w:cs="宋体"/>
                <w:szCs w:val="21"/>
              </w:rPr>
            </w:pPr>
            <w:r>
              <w:rPr>
                <w:rFonts w:hint="eastAsia" w:ascii="宋体" w:hAnsi="宋体" w:eastAsia="宋体" w:cs="宋体"/>
                <w:szCs w:val="21"/>
              </w:rPr>
              <w:t>19．防护等级：IP54；绝缘强度：＞500 MΩ。</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szCs w:val="21"/>
              </w:rPr>
            </w:pPr>
            <w:r>
              <w:rPr>
                <w:rFonts w:hint="eastAsia" w:ascii="宋体" w:hAnsi="宋体" w:eastAsia="宋体" w:cs="宋体"/>
                <w:kern w:val="0"/>
                <w:szCs w:val="21"/>
              </w:rPr>
              <w:t>台</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72</w:t>
            </w:r>
          </w:p>
        </w:tc>
      </w:tr>
      <w:tr>
        <w:tblPrEx>
          <w:tblCellMar>
            <w:top w:w="0" w:type="dxa"/>
            <w:left w:w="0" w:type="dxa"/>
            <w:bottom w:w="0" w:type="dxa"/>
            <w:right w:w="0" w:type="dxa"/>
          </w:tblCellMar>
        </w:tblPrEx>
        <w:trPr>
          <w:trHeight w:val="630"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2</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kern w:val="0"/>
                <w:szCs w:val="21"/>
              </w:rPr>
            </w:pPr>
            <w:r>
              <w:rPr>
                <w:rFonts w:hint="eastAsia" w:ascii="宋体" w:hAnsi="宋体" w:eastAsia="宋体" w:cs="宋体"/>
                <w:kern w:val="0"/>
                <w:szCs w:val="21"/>
              </w:rPr>
              <w:t>升级改造技术服务</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spacing w:after="120"/>
              <w:rPr>
                <w:rFonts w:ascii="宋体" w:hAnsi="宋体" w:eastAsia="宋体" w:cs="宋体"/>
                <w:szCs w:val="21"/>
              </w:rPr>
            </w:pPr>
            <w:r>
              <w:rPr>
                <w:rFonts w:hint="eastAsia" w:ascii="宋体" w:hAnsi="宋体" w:eastAsia="宋体" w:cs="宋体"/>
                <w:szCs w:val="21"/>
              </w:rPr>
              <w:t>配套的升级改造技术服务，包含涉及的管线、电缆等辅材配套，及站点光缆割接、设备整理、线路整理等。</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项</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72</w:t>
            </w:r>
          </w:p>
        </w:tc>
      </w:tr>
      <w:tr>
        <w:tblPrEx>
          <w:tblCellMar>
            <w:top w:w="0" w:type="dxa"/>
            <w:left w:w="0" w:type="dxa"/>
            <w:bottom w:w="0" w:type="dxa"/>
            <w:right w:w="0" w:type="dxa"/>
          </w:tblCellMar>
        </w:tblPrEx>
        <w:trPr>
          <w:trHeight w:val="1196"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3</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kern w:val="0"/>
                <w:szCs w:val="21"/>
              </w:rPr>
            </w:pPr>
            <w:r>
              <w:rPr>
                <w:rFonts w:hint="eastAsia" w:ascii="宋体" w:hAnsi="宋体" w:eastAsia="宋体" w:cs="宋体"/>
                <w:szCs w:val="21"/>
              </w:rPr>
              <w:t>65寸大屏</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eastAsia="宋体" w:cs="宋体"/>
                <w:szCs w:val="21"/>
              </w:rPr>
            </w:pPr>
            <w:r>
              <w:rPr>
                <w:rFonts w:hint="eastAsia" w:ascii="宋体" w:hAnsi="宋体" w:eastAsia="宋体" w:cs="宋体"/>
                <w:szCs w:val="21"/>
              </w:rPr>
              <w:t>屏幕尺寸≥65寸，分辨率≥4K，屏幕比例：16:9；</w:t>
            </w:r>
          </w:p>
          <w:p>
            <w:pPr>
              <w:rPr>
                <w:rFonts w:ascii="宋体" w:hAnsi="宋体" w:eastAsia="宋体" w:cs="宋体"/>
                <w:szCs w:val="21"/>
              </w:rPr>
            </w:pPr>
            <w:r>
              <w:rPr>
                <w:rFonts w:hint="eastAsia" w:ascii="宋体" w:hAnsi="宋体" w:eastAsia="宋体" w:cs="宋体"/>
                <w:szCs w:val="21"/>
              </w:rPr>
              <w:t>对比度：5000:1,色域值92%，刷屏率：120Hz；</w:t>
            </w:r>
          </w:p>
          <w:p>
            <w:pPr>
              <w:rPr>
                <w:rFonts w:ascii="宋体" w:hAnsi="宋体" w:eastAsia="宋体" w:cs="宋体"/>
                <w:szCs w:val="21"/>
              </w:rPr>
            </w:pPr>
            <w:r>
              <w:rPr>
                <w:rFonts w:hint="eastAsia" w:ascii="宋体" w:hAnsi="宋体" w:eastAsia="宋体" w:cs="宋体"/>
                <w:szCs w:val="21"/>
              </w:rPr>
              <w:t>CPU架构:等于或优于双核A53+双核A73；</w:t>
            </w:r>
          </w:p>
          <w:p>
            <w:pPr>
              <w:rPr>
                <w:rFonts w:ascii="宋体" w:hAnsi="宋体" w:eastAsia="宋体" w:cs="宋体"/>
                <w:szCs w:val="21"/>
              </w:rPr>
            </w:pPr>
            <w:r>
              <w:rPr>
                <w:rFonts w:hint="eastAsia" w:ascii="宋体" w:hAnsi="宋体" w:eastAsia="宋体" w:cs="宋体"/>
                <w:szCs w:val="21"/>
              </w:rPr>
              <w:t>WIFI频段：2.4G&amp;5G；</w:t>
            </w:r>
          </w:p>
          <w:p>
            <w:pPr>
              <w:rPr>
                <w:rFonts w:ascii="宋体" w:hAnsi="宋体" w:eastAsia="宋体" w:cs="宋体"/>
                <w:szCs w:val="21"/>
              </w:rPr>
            </w:pPr>
            <w:r>
              <w:rPr>
                <w:rFonts w:hint="eastAsia" w:ascii="宋体" w:hAnsi="宋体" w:eastAsia="宋体" w:cs="宋体"/>
                <w:szCs w:val="21"/>
              </w:rPr>
              <w:t>主机系统：国产化系统，内置软件支持手机/电脑无线投屏，支持多方视频通话；</w:t>
            </w:r>
          </w:p>
          <w:p>
            <w:pPr>
              <w:rPr>
                <w:rFonts w:ascii="宋体" w:hAnsi="宋体" w:eastAsia="宋体" w:cs="宋体"/>
                <w:szCs w:val="21"/>
              </w:rPr>
            </w:pPr>
            <w:r>
              <w:rPr>
                <w:rFonts w:hint="eastAsia" w:ascii="宋体" w:hAnsi="宋体" w:eastAsia="宋体" w:cs="宋体"/>
                <w:szCs w:val="21"/>
              </w:rPr>
              <w:t>存储内存：64GB</w:t>
            </w:r>
          </w:p>
          <w:p>
            <w:pPr>
              <w:rPr>
                <w:rFonts w:ascii="宋体" w:hAnsi="宋体" w:eastAsia="宋体" w:cs="宋体"/>
                <w:szCs w:val="21"/>
              </w:rPr>
            </w:pPr>
            <w:r>
              <w:rPr>
                <w:rFonts w:hint="eastAsia" w:ascii="宋体" w:hAnsi="宋体" w:eastAsia="宋体" w:cs="宋体"/>
                <w:szCs w:val="21"/>
              </w:rPr>
              <w:t>HDMI2.0接口≥3个，USB3.0接口≥1个，</w:t>
            </w:r>
          </w:p>
          <w:p>
            <w:pPr>
              <w:rPr>
                <w:rFonts w:ascii="宋体" w:hAnsi="宋体" w:eastAsia="宋体" w:cs="宋体"/>
                <w:szCs w:val="21"/>
              </w:rPr>
            </w:pPr>
            <w:r>
              <w:rPr>
                <w:rFonts w:hint="eastAsia" w:ascii="宋体" w:hAnsi="宋体" w:eastAsia="宋体" w:cs="宋体"/>
                <w:szCs w:val="21"/>
              </w:rPr>
              <w:t>支持19201080分辨率视频通话、最高2816 x2112分辨率拍照和2560x1440分辨率录像；</w:t>
            </w:r>
          </w:p>
          <w:p>
            <w:pPr>
              <w:snapToGrid w:val="0"/>
              <w:spacing w:after="120"/>
              <w:rPr>
                <w:rFonts w:ascii="宋体" w:hAnsi="宋体" w:eastAsia="宋体" w:cs="宋体"/>
                <w:szCs w:val="21"/>
              </w:rPr>
            </w:pPr>
            <w:r>
              <w:rPr>
                <w:rFonts w:hint="eastAsia" w:ascii="宋体" w:hAnsi="宋体" w:eastAsia="宋体" w:cs="宋体"/>
                <w:szCs w:val="21"/>
              </w:rPr>
              <w:t>包含挂壁式支架一套。</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套</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3</w:t>
            </w:r>
          </w:p>
        </w:tc>
      </w:tr>
      <w:tr>
        <w:tblPrEx>
          <w:tblCellMar>
            <w:top w:w="0" w:type="dxa"/>
            <w:left w:w="0" w:type="dxa"/>
            <w:bottom w:w="0" w:type="dxa"/>
            <w:right w:w="0" w:type="dxa"/>
          </w:tblCellMar>
        </w:tblPrEx>
        <w:trPr>
          <w:trHeight w:val="935"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4</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kern w:val="0"/>
                <w:szCs w:val="21"/>
              </w:rPr>
            </w:pPr>
            <w:r>
              <w:rPr>
                <w:rFonts w:hint="eastAsia" w:ascii="宋体" w:hAnsi="宋体" w:eastAsia="宋体" w:cs="宋体"/>
                <w:szCs w:val="21"/>
              </w:rPr>
              <w:t>98寸大屏</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eastAsia="宋体" w:cs="宋体"/>
                <w:szCs w:val="21"/>
              </w:rPr>
            </w:pPr>
            <w:r>
              <w:rPr>
                <w:rFonts w:hint="eastAsia" w:ascii="宋体" w:hAnsi="宋体" w:eastAsia="宋体" w:cs="宋体"/>
                <w:szCs w:val="21"/>
              </w:rPr>
              <w:t>屏幕尺寸≥98寸，分辨率≥4K，屏幕比例：16:9；</w:t>
            </w:r>
          </w:p>
          <w:p>
            <w:pPr>
              <w:rPr>
                <w:rFonts w:ascii="宋体" w:hAnsi="宋体" w:eastAsia="宋体" w:cs="宋体"/>
                <w:szCs w:val="21"/>
              </w:rPr>
            </w:pPr>
            <w:r>
              <w:rPr>
                <w:rFonts w:hint="eastAsia" w:ascii="宋体" w:hAnsi="宋体" w:eastAsia="宋体" w:cs="宋体"/>
                <w:szCs w:val="21"/>
              </w:rPr>
              <w:t>对比度：1400:1,色域值90%，刷屏率：120Hz；</w:t>
            </w:r>
          </w:p>
          <w:p>
            <w:pPr>
              <w:rPr>
                <w:rFonts w:ascii="宋体" w:hAnsi="宋体" w:eastAsia="宋体" w:cs="宋体"/>
                <w:szCs w:val="21"/>
              </w:rPr>
            </w:pPr>
            <w:r>
              <w:rPr>
                <w:rFonts w:hint="eastAsia" w:ascii="宋体" w:hAnsi="宋体" w:eastAsia="宋体" w:cs="宋体"/>
                <w:szCs w:val="21"/>
              </w:rPr>
              <w:t>CPU架构:等于或优于双核A53+双核A73；</w:t>
            </w:r>
          </w:p>
          <w:p>
            <w:pPr>
              <w:rPr>
                <w:rFonts w:ascii="宋体" w:hAnsi="宋体" w:eastAsia="宋体" w:cs="宋体"/>
                <w:szCs w:val="21"/>
              </w:rPr>
            </w:pPr>
            <w:r>
              <w:rPr>
                <w:rFonts w:hint="eastAsia" w:ascii="宋体" w:hAnsi="宋体" w:eastAsia="宋体" w:cs="宋体"/>
                <w:szCs w:val="21"/>
              </w:rPr>
              <w:t>WIFI频段：2.4G&amp;5G；</w:t>
            </w:r>
          </w:p>
          <w:p>
            <w:pPr>
              <w:rPr>
                <w:rFonts w:ascii="宋体" w:hAnsi="宋体" w:eastAsia="宋体" w:cs="宋体"/>
                <w:szCs w:val="21"/>
              </w:rPr>
            </w:pPr>
            <w:r>
              <w:rPr>
                <w:rFonts w:hint="eastAsia" w:ascii="宋体" w:hAnsi="宋体" w:eastAsia="宋体" w:cs="宋体"/>
                <w:szCs w:val="21"/>
              </w:rPr>
              <w:t>主机系统：国产化系统，内置软件支持手机/电脑无线投屏，支持多方视频通话；</w:t>
            </w:r>
          </w:p>
          <w:p>
            <w:pPr>
              <w:rPr>
                <w:rFonts w:ascii="宋体" w:hAnsi="宋体" w:eastAsia="宋体" w:cs="宋体"/>
                <w:szCs w:val="21"/>
              </w:rPr>
            </w:pPr>
            <w:r>
              <w:rPr>
                <w:rFonts w:hint="eastAsia" w:ascii="宋体" w:hAnsi="宋体" w:eastAsia="宋体" w:cs="宋体"/>
                <w:szCs w:val="21"/>
              </w:rPr>
              <w:t>存储内存：64GB</w:t>
            </w:r>
          </w:p>
          <w:p>
            <w:pPr>
              <w:rPr>
                <w:rFonts w:ascii="宋体" w:hAnsi="宋体" w:eastAsia="宋体" w:cs="宋体"/>
                <w:szCs w:val="21"/>
              </w:rPr>
            </w:pPr>
            <w:r>
              <w:rPr>
                <w:rFonts w:hint="eastAsia" w:ascii="宋体" w:hAnsi="宋体" w:eastAsia="宋体" w:cs="宋体"/>
                <w:szCs w:val="21"/>
              </w:rPr>
              <w:t>HDMI2.0接口≥3个，USB3.0接口≥1个，</w:t>
            </w:r>
          </w:p>
          <w:p>
            <w:pPr>
              <w:rPr>
                <w:rFonts w:ascii="宋体" w:hAnsi="宋体" w:eastAsia="宋体" w:cs="宋体"/>
                <w:szCs w:val="21"/>
              </w:rPr>
            </w:pPr>
            <w:r>
              <w:rPr>
                <w:rFonts w:hint="eastAsia" w:ascii="宋体" w:hAnsi="宋体" w:eastAsia="宋体" w:cs="宋体"/>
                <w:szCs w:val="21"/>
              </w:rPr>
              <w:t>支持19201080分辨率视频通话、最高2816 x2112分辨率拍照和2560x1440分辨率录像；</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套</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4</w:t>
            </w:r>
          </w:p>
        </w:tc>
      </w:tr>
      <w:tr>
        <w:tblPrEx>
          <w:tblCellMar>
            <w:top w:w="0" w:type="dxa"/>
            <w:left w:w="0" w:type="dxa"/>
            <w:bottom w:w="0" w:type="dxa"/>
            <w:right w:w="0" w:type="dxa"/>
          </w:tblCellMar>
        </w:tblPrEx>
        <w:trPr>
          <w:trHeight w:val="1196"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5</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kern w:val="0"/>
                <w:szCs w:val="21"/>
              </w:rPr>
            </w:pPr>
            <w:r>
              <w:rPr>
                <w:rFonts w:hint="eastAsia" w:ascii="宋体" w:hAnsi="宋体" w:eastAsia="宋体" w:cs="宋体"/>
                <w:szCs w:val="21"/>
              </w:rPr>
              <w:t>86寸会议平板</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eastAsia="宋体" w:cs="宋体"/>
                <w:szCs w:val="21"/>
              </w:rPr>
            </w:pPr>
            <w:r>
              <w:rPr>
                <w:rFonts w:hint="eastAsia" w:ascii="宋体" w:hAnsi="宋体" w:eastAsia="宋体" w:cs="宋体"/>
                <w:szCs w:val="21"/>
              </w:rPr>
              <w:t>双系统，其中windows配备I5处理器、内存16+256G或以上，鸿蒙或安卓系统内存6G+64G或以上、附无线投屏器、遥控器、</w:t>
            </w:r>
          </w:p>
          <w:p>
            <w:pPr>
              <w:rPr>
                <w:rFonts w:ascii="宋体" w:hAnsi="宋体" w:eastAsia="宋体" w:cs="宋体"/>
                <w:szCs w:val="21"/>
              </w:rPr>
            </w:pPr>
            <w:r>
              <w:rPr>
                <w:rFonts w:hint="eastAsia" w:ascii="宋体" w:hAnsi="宋体" w:eastAsia="宋体" w:cs="宋体"/>
                <w:szCs w:val="21"/>
              </w:rPr>
              <w:t>屏幕尺寸：≥86寸；</w:t>
            </w:r>
          </w:p>
          <w:p>
            <w:pPr>
              <w:rPr>
                <w:rFonts w:ascii="宋体" w:hAnsi="宋体" w:eastAsia="宋体" w:cs="宋体"/>
                <w:szCs w:val="21"/>
              </w:rPr>
            </w:pPr>
            <w:r>
              <w:rPr>
                <w:rFonts w:hint="eastAsia" w:ascii="宋体" w:hAnsi="宋体" w:eastAsia="宋体" w:cs="宋体"/>
                <w:szCs w:val="21"/>
              </w:rPr>
              <w:t>屏幕分辨率：4K；刷新率：60Hz</w:t>
            </w:r>
          </w:p>
          <w:p>
            <w:pPr>
              <w:rPr>
                <w:rFonts w:ascii="宋体" w:hAnsi="宋体" w:eastAsia="宋体" w:cs="宋体"/>
                <w:szCs w:val="21"/>
              </w:rPr>
            </w:pPr>
            <w:r>
              <w:rPr>
                <w:rFonts w:hint="eastAsia" w:ascii="宋体" w:hAnsi="宋体" w:eastAsia="宋体" w:cs="宋体"/>
                <w:szCs w:val="21"/>
              </w:rPr>
              <w:t>摄像机分辨率：4K   变焦：≥2倍数字变焦；</w:t>
            </w:r>
          </w:p>
          <w:p>
            <w:pPr>
              <w:rPr>
                <w:rFonts w:ascii="宋体" w:hAnsi="宋体" w:eastAsia="宋体" w:cs="宋体"/>
                <w:szCs w:val="21"/>
              </w:rPr>
            </w:pPr>
            <w:r>
              <w:rPr>
                <w:rFonts w:hint="eastAsia" w:ascii="宋体" w:hAnsi="宋体" w:eastAsia="宋体" w:cs="宋体"/>
                <w:szCs w:val="21"/>
              </w:rPr>
              <w:t>拾音距离：8m；书写时延≤16ms</w:t>
            </w:r>
          </w:p>
          <w:p>
            <w:pPr>
              <w:rPr>
                <w:rFonts w:ascii="宋体" w:hAnsi="宋体" w:eastAsia="宋体" w:cs="宋体"/>
                <w:szCs w:val="21"/>
              </w:rPr>
            </w:pPr>
            <w:r>
              <w:rPr>
                <w:rFonts w:hint="eastAsia" w:ascii="宋体" w:hAnsi="宋体" w:eastAsia="宋体" w:cs="宋体"/>
                <w:szCs w:val="21"/>
              </w:rPr>
              <w:t>CPU芯片：8核CPU；</w:t>
            </w:r>
          </w:p>
          <w:p>
            <w:pPr>
              <w:rPr>
                <w:rFonts w:ascii="宋体" w:hAnsi="宋体" w:eastAsia="宋体" w:cs="宋体"/>
                <w:szCs w:val="21"/>
              </w:rPr>
            </w:pPr>
            <w:r>
              <w:rPr>
                <w:rFonts w:hint="eastAsia" w:ascii="宋体" w:hAnsi="宋体" w:eastAsia="宋体" w:cs="宋体"/>
                <w:szCs w:val="21"/>
              </w:rPr>
              <w:t>RAM：≥6GB；Flash：≥64G；AI算力：≥6T</w:t>
            </w:r>
          </w:p>
          <w:p>
            <w:pPr>
              <w:rPr>
                <w:rFonts w:ascii="宋体" w:hAnsi="宋体" w:eastAsia="宋体" w:cs="宋体"/>
                <w:szCs w:val="21"/>
              </w:rPr>
            </w:pPr>
            <w:r>
              <w:rPr>
                <w:rFonts w:hint="eastAsia" w:ascii="宋体" w:hAnsi="宋体" w:eastAsia="宋体" w:cs="宋体"/>
                <w:szCs w:val="21"/>
              </w:rPr>
              <w:t>屏幕类型：D-LED</w:t>
            </w:r>
          </w:p>
          <w:p>
            <w:pPr>
              <w:rPr>
                <w:rFonts w:ascii="宋体" w:hAnsi="宋体" w:eastAsia="宋体" w:cs="宋体"/>
                <w:szCs w:val="21"/>
              </w:rPr>
            </w:pPr>
            <w:r>
              <w:rPr>
                <w:rFonts w:hint="eastAsia" w:ascii="宋体" w:hAnsi="宋体" w:eastAsia="宋体" w:cs="宋体"/>
                <w:szCs w:val="21"/>
              </w:rPr>
              <w:t>功能：</w:t>
            </w:r>
          </w:p>
          <w:p>
            <w:pPr>
              <w:ind w:firstLine="210" w:firstLineChars="100"/>
              <w:rPr>
                <w:rFonts w:ascii="宋体" w:hAnsi="宋体" w:eastAsia="宋体" w:cs="宋体"/>
                <w:szCs w:val="21"/>
              </w:rPr>
            </w:pPr>
            <w:r>
              <w:rPr>
                <w:rFonts w:hint="eastAsia" w:ascii="宋体" w:hAnsi="宋体" w:eastAsia="宋体" w:cs="宋体"/>
                <w:szCs w:val="21"/>
              </w:rPr>
              <w:t>支持H.265 高清视频会议，4K数据辅流；SVC多流，画面自由选看；</w:t>
            </w:r>
          </w:p>
          <w:p>
            <w:pPr>
              <w:ind w:firstLine="210" w:firstLineChars="100"/>
              <w:rPr>
                <w:rFonts w:ascii="宋体" w:hAnsi="宋体" w:eastAsia="宋体" w:cs="宋体"/>
                <w:szCs w:val="21"/>
              </w:rPr>
            </w:pPr>
            <w:r>
              <w:rPr>
                <w:rFonts w:hint="eastAsia" w:ascii="宋体" w:hAnsi="宋体" w:eastAsia="宋体" w:cs="宋体"/>
                <w:szCs w:val="21"/>
              </w:rPr>
              <w:t>支持Auto-Framing：自动呈现最佳会议视角</w:t>
            </w:r>
          </w:p>
          <w:p>
            <w:pPr>
              <w:ind w:firstLine="210" w:firstLineChars="100"/>
              <w:rPr>
                <w:rFonts w:ascii="宋体" w:hAnsi="宋体" w:eastAsia="宋体" w:cs="宋体"/>
                <w:szCs w:val="21"/>
              </w:rPr>
            </w:pPr>
            <w:r>
              <w:rPr>
                <w:rFonts w:hint="eastAsia" w:ascii="宋体" w:hAnsi="宋体" w:eastAsia="宋体" w:cs="宋体"/>
                <w:szCs w:val="21"/>
              </w:rPr>
              <w:t>支持发言人自动跟踪：永远让发言人处于C位</w:t>
            </w:r>
          </w:p>
          <w:p>
            <w:pPr>
              <w:ind w:firstLine="210" w:firstLineChars="100"/>
              <w:rPr>
                <w:rFonts w:ascii="宋体" w:hAnsi="宋体" w:eastAsia="宋体" w:cs="宋体"/>
                <w:szCs w:val="21"/>
              </w:rPr>
            </w:pPr>
            <w:r>
              <w:rPr>
                <w:rFonts w:hint="eastAsia" w:ascii="宋体" w:hAnsi="宋体" w:eastAsia="宋体" w:cs="宋体"/>
                <w:szCs w:val="21"/>
              </w:rPr>
              <w:t>双WIFI6跨网投屏，一步直达，更快更稳</w:t>
            </w:r>
          </w:p>
          <w:p>
            <w:pPr>
              <w:ind w:firstLine="210" w:firstLineChars="100"/>
              <w:rPr>
                <w:rFonts w:ascii="宋体" w:hAnsi="宋体" w:eastAsia="宋体" w:cs="宋体"/>
                <w:szCs w:val="21"/>
              </w:rPr>
            </w:pPr>
            <w:r>
              <w:rPr>
                <w:rFonts w:hint="eastAsia" w:ascii="宋体" w:hAnsi="宋体" w:eastAsia="宋体" w:cs="宋体"/>
                <w:szCs w:val="21"/>
              </w:rPr>
              <w:t>智能书写辅助，16ms 超低书写时延，会议纪要扫码保存，支持1600万全色盘；</w:t>
            </w:r>
          </w:p>
          <w:p>
            <w:pPr>
              <w:ind w:firstLine="210" w:firstLineChars="100"/>
              <w:rPr>
                <w:rFonts w:ascii="宋体" w:hAnsi="宋体" w:eastAsia="宋体" w:cs="宋体"/>
                <w:szCs w:val="21"/>
              </w:rPr>
            </w:pPr>
            <w:r>
              <w:rPr>
                <w:rFonts w:hint="eastAsia" w:ascii="宋体" w:hAnsi="宋体" w:eastAsia="宋体" w:cs="宋体"/>
                <w:szCs w:val="21"/>
              </w:rPr>
              <w:t>主机系统：国产化系统，内置软件支持与65寸大屏、98寸大屏、会议平板间多方视频通话</w:t>
            </w:r>
          </w:p>
          <w:p>
            <w:pPr>
              <w:rPr>
                <w:rFonts w:ascii="宋体" w:hAnsi="宋体" w:eastAsia="宋体" w:cs="宋体"/>
                <w:szCs w:val="21"/>
              </w:rPr>
            </w:pPr>
            <w:r>
              <w:rPr>
                <w:rFonts w:hint="eastAsia" w:ascii="宋体" w:hAnsi="宋体" w:eastAsia="宋体" w:cs="宋体"/>
                <w:szCs w:val="21"/>
              </w:rPr>
              <w:t>配套：</w:t>
            </w:r>
          </w:p>
          <w:p>
            <w:pPr>
              <w:ind w:firstLine="210" w:firstLineChars="100"/>
              <w:rPr>
                <w:rFonts w:ascii="宋体" w:hAnsi="宋体" w:eastAsia="宋体" w:cs="宋体"/>
                <w:szCs w:val="21"/>
              </w:rPr>
            </w:pPr>
            <w:r>
              <w:rPr>
                <w:rFonts w:hint="eastAsia" w:ascii="宋体" w:hAnsi="宋体" w:eastAsia="宋体" w:cs="宋体"/>
                <w:szCs w:val="21"/>
              </w:rPr>
              <w:t>媒体转换单元-3840*2160无线投屏器一个。</w:t>
            </w:r>
          </w:p>
          <w:p>
            <w:pPr>
              <w:ind w:firstLine="210" w:firstLineChars="100"/>
              <w:rPr>
                <w:rFonts w:ascii="宋体" w:hAnsi="宋体" w:eastAsia="宋体" w:cs="宋体"/>
                <w:szCs w:val="21"/>
              </w:rPr>
            </w:pPr>
            <w:r>
              <w:rPr>
                <w:rFonts w:hint="eastAsia" w:ascii="宋体" w:hAnsi="宋体" w:eastAsia="宋体" w:cs="宋体"/>
                <w:szCs w:val="21"/>
              </w:rPr>
              <w:t>OPS模块一个，配置要求：I5-10700,16G DDR4,256G SSD,4K60,windows10 。</w:t>
            </w:r>
          </w:p>
          <w:p>
            <w:pPr>
              <w:ind w:firstLine="210" w:firstLineChars="100"/>
              <w:rPr>
                <w:rFonts w:ascii="宋体" w:hAnsi="宋体" w:eastAsia="宋体" w:cs="宋体"/>
                <w:szCs w:val="21"/>
              </w:rPr>
            </w:pPr>
            <w:r>
              <w:rPr>
                <w:rFonts w:hint="eastAsia" w:ascii="宋体" w:hAnsi="宋体" w:eastAsia="宋体" w:cs="宋体"/>
                <w:szCs w:val="21"/>
              </w:rPr>
              <w:t>遥控器一个。</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套</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4</w:t>
            </w:r>
          </w:p>
        </w:tc>
      </w:tr>
      <w:tr>
        <w:tblPrEx>
          <w:tblCellMar>
            <w:top w:w="0" w:type="dxa"/>
            <w:left w:w="0" w:type="dxa"/>
            <w:bottom w:w="0" w:type="dxa"/>
            <w:right w:w="0" w:type="dxa"/>
          </w:tblCellMar>
        </w:tblPrEx>
        <w:trPr>
          <w:trHeight w:val="366"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6</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szCs w:val="21"/>
              </w:rPr>
            </w:pPr>
            <w:r>
              <w:rPr>
                <w:rFonts w:hint="eastAsia" w:ascii="宋体" w:hAnsi="宋体" w:eastAsia="宋体" w:cs="宋体"/>
                <w:szCs w:val="21"/>
              </w:rPr>
              <w:t>高性能平板</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spacing w:after="120"/>
              <w:rPr>
                <w:rFonts w:ascii="宋体" w:hAnsi="宋体" w:eastAsia="宋体" w:cs="宋体"/>
                <w:szCs w:val="21"/>
              </w:rPr>
            </w:pPr>
            <w:r>
              <w:rPr>
                <w:rFonts w:hint="eastAsia" w:ascii="宋体" w:hAnsi="宋体" w:eastAsia="宋体" w:cs="宋体"/>
                <w:szCs w:val="21"/>
              </w:rPr>
              <w:t>柔性OLED屏11英寸或以上，屏幕分辨率2.5K或以上，存储8GB+256GB或以上,电池7000MAH或以上,配备国产化操作系统，支持与大屏、会议平板系统进行联动。</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套</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2</w:t>
            </w:r>
          </w:p>
        </w:tc>
      </w:tr>
      <w:tr>
        <w:tblPrEx>
          <w:tblCellMar>
            <w:top w:w="0" w:type="dxa"/>
            <w:left w:w="0" w:type="dxa"/>
            <w:bottom w:w="0" w:type="dxa"/>
            <w:right w:w="0" w:type="dxa"/>
          </w:tblCellMar>
        </w:tblPrEx>
        <w:trPr>
          <w:trHeight w:val="333"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7</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szCs w:val="21"/>
              </w:rPr>
            </w:pPr>
            <w:r>
              <w:rPr>
                <w:rFonts w:hint="eastAsia" w:ascii="宋体" w:hAnsi="宋体" w:eastAsia="宋体" w:cs="宋体"/>
                <w:szCs w:val="21"/>
              </w:rPr>
              <w:t>落地式移动支架</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eastAsia="宋体" w:cs="宋体"/>
                <w:szCs w:val="21"/>
              </w:rPr>
            </w:pPr>
            <w:r>
              <w:rPr>
                <w:rFonts w:hint="eastAsia" w:ascii="宋体" w:hAnsi="宋体" w:eastAsia="宋体" w:cs="宋体"/>
                <w:szCs w:val="21"/>
              </w:rPr>
              <w:t>落地式移动支架，配套98寸、86寸大屏</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套</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8</w:t>
            </w:r>
          </w:p>
        </w:tc>
      </w:tr>
      <w:tr>
        <w:tblPrEx>
          <w:tblCellMar>
            <w:top w:w="0" w:type="dxa"/>
            <w:left w:w="0" w:type="dxa"/>
            <w:bottom w:w="0" w:type="dxa"/>
            <w:right w:w="0" w:type="dxa"/>
          </w:tblCellMar>
        </w:tblPrEx>
        <w:trPr>
          <w:trHeight w:val="524" w:hRule="atLeast"/>
        </w:trPr>
        <w:tc>
          <w:tcPr>
            <w:tcW w:w="35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8</w:t>
            </w:r>
          </w:p>
        </w:tc>
        <w:tc>
          <w:tcPr>
            <w:tcW w:w="5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ascii="宋体" w:hAnsi="宋体" w:eastAsia="宋体" w:cs="宋体"/>
                <w:szCs w:val="21"/>
              </w:rPr>
            </w:pPr>
            <w:r>
              <w:rPr>
                <w:rFonts w:hint="eastAsia" w:ascii="宋体" w:hAnsi="宋体" w:eastAsia="宋体" w:cs="宋体"/>
                <w:szCs w:val="21"/>
              </w:rPr>
              <w:t>HDMI线缆</w:t>
            </w:r>
          </w:p>
        </w:tc>
        <w:tc>
          <w:tcPr>
            <w:tcW w:w="31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eastAsia="宋体" w:cs="宋体"/>
                <w:szCs w:val="21"/>
              </w:rPr>
            </w:pPr>
            <w:r>
              <w:rPr>
                <w:rFonts w:hint="eastAsia" w:ascii="宋体" w:hAnsi="宋体" w:eastAsia="宋体" w:cs="宋体"/>
                <w:szCs w:val="21"/>
              </w:rPr>
              <w:t>HDMI线缆，5M（最终根据实际配套）</w:t>
            </w:r>
          </w:p>
        </w:tc>
        <w:tc>
          <w:tcPr>
            <w:tcW w:w="4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根</w:t>
            </w:r>
          </w:p>
        </w:tc>
        <w:tc>
          <w:tcPr>
            <w:tcW w:w="4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eastAsia="宋体" w:cs="宋体"/>
                <w:kern w:val="0"/>
                <w:szCs w:val="21"/>
              </w:rPr>
            </w:pPr>
            <w:r>
              <w:rPr>
                <w:rFonts w:hint="eastAsia" w:ascii="宋体" w:hAnsi="宋体" w:eastAsia="宋体" w:cs="宋体"/>
                <w:kern w:val="0"/>
                <w:szCs w:val="21"/>
              </w:rPr>
              <w:t>11根</w:t>
            </w:r>
          </w:p>
        </w:tc>
      </w:tr>
    </w:tbl>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打“◆”为核心产品。</w:t>
      </w:r>
    </w:p>
    <w:p>
      <w:pPr>
        <w:spacing w:line="312" w:lineRule="auto"/>
      </w:pP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（六）公交优先信号建设</w:t>
      </w:r>
    </w:p>
    <w:p>
      <w:pPr>
        <w:spacing w:line="312" w:lineRule="auto"/>
        <w:ind w:firstLine="420" w:firstLineChars="200"/>
        <w:rPr>
          <w:rFonts w:ascii="宋体" w:hAnsi="宋体" w:eastAsia="宋体" w:cs="宋体"/>
          <w:szCs w:val="21"/>
        </w:rPr>
      </w:pPr>
      <w:r>
        <w:rPr>
          <w:rFonts w:hint="eastAsia" w:ascii="宋体" w:hAnsi="宋体" w:eastAsia="宋体" w:cs="宋体"/>
          <w:szCs w:val="21"/>
        </w:rPr>
        <w:t>1.项目建设路口数量及优化位置根据实际工作需要，对点位进行调整。优化建设服务时间：自项目的合同签订起技术服务一年，设备质保二年。</w:t>
      </w:r>
    </w:p>
    <w:p>
      <w:pPr>
        <w:spacing w:line="312" w:lineRule="auto"/>
        <w:ind w:firstLine="420" w:firstLineChars="200"/>
        <w:rPr>
          <w:rFonts w:ascii="宋体" w:hAnsi="宋体" w:eastAsia="宋体" w:cs="宋体"/>
          <w:szCs w:val="21"/>
        </w:rPr>
      </w:pPr>
      <w:r>
        <w:rPr>
          <w:rFonts w:hint="eastAsia" w:ascii="宋体" w:hAnsi="宋体" w:eastAsia="宋体" w:cs="宋体"/>
          <w:szCs w:val="21"/>
        </w:rPr>
        <w:t>2.建设路口清单</w:t>
      </w:r>
      <w:r>
        <w:rPr>
          <w:rFonts w:hint="eastAsia" w:ascii="宋体" w:hAnsi="宋体" w:eastAsia="宋体" w:cs="Times New Roman"/>
          <w:szCs w:val="21"/>
        </w:rPr>
        <w:t>：</w:t>
      </w:r>
      <w:r>
        <w:rPr>
          <w:rFonts w:hint="eastAsia" w:ascii="宋体" w:hAnsi="宋体" w:eastAsia="宋体" w:cs="宋体"/>
          <w:szCs w:val="21"/>
        </w:rPr>
        <w:t>定海西山路与尾山路、白虎山路尾山路、腾坑湾路海山隧道东口、环城北路与人民北路、环城北路与环城东路、文化路与海院北路、定马线城北村路口、人民南路与东海路、环城东路与蓬莱路、环城东路与横河路。</w:t>
      </w:r>
    </w:p>
    <w:tbl>
      <w:tblPr>
        <w:tblStyle w:val="62"/>
        <w:tblW w:w="8804" w:type="dxa"/>
        <w:tblInd w:w="0" w:type="dxa"/>
        <w:tblLayout w:type="fixed"/>
        <w:tblCellMar>
          <w:top w:w="0" w:type="dxa"/>
          <w:left w:w="0" w:type="dxa"/>
          <w:bottom w:w="0" w:type="dxa"/>
          <w:right w:w="0" w:type="dxa"/>
        </w:tblCellMar>
      </w:tblPr>
      <w:tblGrid>
        <w:gridCol w:w="540"/>
        <w:gridCol w:w="1154"/>
        <w:gridCol w:w="5692"/>
        <w:gridCol w:w="709"/>
        <w:gridCol w:w="709"/>
      </w:tblGrid>
      <w:tr>
        <w:tblPrEx>
          <w:tblCellMar>
            <w:top w:w="0" w:type="dxa"/>
            <w:left w:w="0" w:type="dxa"/>
            <w:bottom w:w="0" w:type="dxa"/>
            <w:right w:w="0" w:type="dxa"/>
          </w:tblCellMar>
        </w:tblPrEx>
        <w:trPr>
          <w:trHeight w:val="312"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序号</w:t>
            </w:r>
          </w:p>
        </w:tc>
        <w:tc>
          <w:tcPr>
            <w:tcW w:w="115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产品</w:t>
            </w:r>
          </w:p>
        </w:tc>
        <w:tc>
          <w:tcPr>
            <w:tcW w:w="569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技术规格</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单位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数量</w:t>
            </w:r>
          </w:p>
        </w:tc>
      </w:tr>
      <w:tr>
        <w:tblPrEx>
          <w:tblCellMar>
            <w:top w:w="0" w:type="dxa"/>
            <w:left w:w="0" w:type="dxa"/>
            <w:bottom w:w="0" w:type="dxa"/>
            <w:right w:w="0" w:type="dxa"/>
          </w:tblCellMar>
        </w:tblPrEx>
        <w:trPr>
          <w:trHeight w:val="312"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szCs w:val="21"/>
              </w:rPr>
            </w:pPr>
          </w:p>
        </w:tc>
        <w:tc>
          <w:tcPr>
            <w:tcW w:w="115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szCs w:val="21"/>
              </w:rPr>
            </w:pPr>
          </w:p>
        </w:tc>
        <w:tc>
          <w:tcPr>
            <w:tcW w:w="569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szCs w:val="21"/>
              </w:rPr>
            </w:pPr>
          </w:p>
        </w:tc>
      </w:tr>
      <w:tr>
        <w:tblPrEx>
          <w:tblCellMar>
            <w:top w:w="0" w:type="dxa"/>
            <w:left w:w="0" w:type="dxa"/>
            <w:bottom w:w="0" w:type="dxa"/>
            <w:right w:w="0" w:type="dxa"/>
          </w:tblCellMar>
        </w:tblPrEx>
        <w:trPr>
          <w:trHeight w:val="1461" w:hRule="atLeast"/>
        </w:trPr>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1</w:t>
            </w:r>
          </w:p>
        </w:tc>
        <w:tc>
          <w:tcPr>
            <w:tcW w:w="11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RFID物联产品</w:t>
            </w:r>
          </w:p>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（路口端感知设备）</w:t>
            </w:r>
          </w:p>
        </w:tc>
        <w:tc>
          <w:tcPr>
            <w:tcW w:w="56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 xml:space="preserve">【12dBi线极化天线】【EPC C1 Gen2,ISO18000-6C】    </w:t>
            </w:r>
          </w:p>
          <w:p>
            <w:pPr>
              <w:widowControl/>
              <w:textAlignment w:val="center"/>
              <w:rPr>
                <w:rFonts w:ascii="宋体" w:hAnsi="宋体" w:eastAsia="宋体" w:cs="宋体"/>
                <w:szCs w:val="21"/>
              </w:rPr>
            </w:pPr>
            <w:r>
              <w:rPr>
                <w:rFonts w:hint="eastAsia" w:ascii="宋体" w:hAnsi="宋体" w:eastAsia="宋体" w:cs="宋体"/>
                <w:szCs w:val="21"/>
              </w:rPr>
              <w:t xml:space="preserve">密集型读取管理：软件配置，自动事件触发及事件管理 </w:t>
            </w:r>
          </w:p>
          <w:p>
            <w:pPr>
              <w:widowControl/>
              <w:textAlignment w:val="center"/>
              <w:rPr>
                <w:rFonts w:ascii="宋体" w:hAnsi="宋体" w:eastAsia="宋体" w:cs="宋体"/>
                <w:szCs w:val="21"/>
              </w:rPr>
            </w:pPr>
            <w:r>
              <w:rPr>
                <w:rFonts w:hint="eastAsia" w:ascii="宋体" w:hAnsi="宋体" w:eastAsia="宋体" w:cs="宋体"/>
                <w:szCs w:val="21"/>
              </w:rPr>
              <w:t xml:space="preserve">内存：≥128MB </w:t>
            </w:r>
          </w:p>
          <w:p>
            <w:pPr>
              <w:widowControl/>
              <w:textAlignment w:val="center"/>
              <w:rPr>
                <w:rFonts w:ascii="宋体" w:hAnsi="宋体" w:eastAsia="宋体" w:cs="宋体"/>
                <w:szCs w:val="21"/>
              </w:rPr>
            </w:pPr>
            <w:r>
              <w:rPr>
                <w:rFonts w:hint="eastAsia" w:ascii="宋体" w:hAnsi="宋体" w:eastAsia="宋体" w:cs="宋体"/>
                <w:szCs w:val="21"/>
              </w:rPr>
              <w:t xml:space="preserve">操作系统：Linux </w:t>
            </w:r>
          </w:p>
          <w:p>
            <w:pPr>
              <w:widowControl/>
              <w:textAlignment w:val="center"/>
              <w:rPr>
                <w:rFonts w:ascii="宋体" w:hAnsi="宋体" w:eastAsia="宋体" w:cs="宋体"/>
                <w:szCs w:val="21"/>
              </w:rPr>
            </w:pPr>
            <w:r>
              <w:rPr>
                <w:rFonts w:hint="eastAsia" w:ascii="宋体" w:hAnsi="宋体" w:eastAsia="宋体" w:cs="宋体"/>
                <w:szCs w:val="21"/>
              </w:rPr>
              <w:t xml:space="preserve">开发接口：二进制流，C/C++/C# </w:t>
            </w:r>
          </w:p>
          <w:p>
            <w:pPr>
              <w:widowControl/>
              <w:textAlignment w:val="center"/>
              <w:rPr>
                <w:rFonts w:ascii="宋体" w:hAnsi="宋体" w:eastAsia="宋体" w:cs="宋体"/>
                <w:szCs w:val="21"/>
              </w:rPr>
            </w:pPr>
            <w:r>
              <w:rPr>
                <w:rFonts w:hint="eastAsia" w:ascii="宋体" w:hAnsi="宋体" w:eastAsia="宋体" w:cs="宋体"/>
                <w:szCs w:val="21"/>
              </w:rPr>
              <w:t xml:space="preserve">通讯接口：10/100M Base-T(RJ-45)，韦根26/34，RS232或RS485(二选一) </w:t>
            </w:r>
          </w:p>
          <w:p>
            <w:pPr>
              <w:widowControl/>
              <w:textAlignment w:val="center"/>
              <w:rPr>
                <w:rFonts w:ascii="宋体" w:hAnsi="宋体" w:eastAsia="宋体" w:cs="宋体"/>
                <w:szCs w:val="21"/>
              </w:rPr>
            </w:pPr>
            <w:r>
              <w:rPr>
                <w:rFonts w:hint="eastAsia" w:ascii="宋体" w:hAnsi="宋体" w:eastAsia="宋体" w:cs="宋体"/>
                <w:szCs w:val="21"/>
              </w:rPr>
              <w:t xml:space="preserve">GPIO：2X输入，2X输出(光耦隔离) </w:t>
            </w:r>
          </w:p>
          <w:p>
            <w:pPr>
              <w:widowControl/>
              <w:textAlignment w:val="center"/>
              <w:rPr>
                <w:rFonts w:ascii="宋体" w:hAnsi="宋体" w:eastAsia="宋体" w:cs="宋体"/>
                <w:szCs w:val="21"/>
              </w:rPr>
            </w:pPr>
            <w:r>
              <w:rPr>
                <w:rFonts w:hint="eastAsia" w:ascii="宋体" w:hAnsi="宋体" w:eastAsia="宋体" w:cs="宋体"/>
                <w:szCs w:val="21"/>
              </w:rPr>
              <w:t xml:space="preserve">电源输入：DC12V，2A 功耗：＜20W </w:t>
            </w:r>
          </w:p>
          <w:p>
            <w:pPr>
              <w:widowControl/>
              <w:textAlignment w:val="center"/>
              <w:rPr>
                <w:rFonts w:ascii="宋体" w:hAnsi="宋体" w:eastAsia="宋体" w:cs="宋体"/>
                <w:szCs w:val="21"/>
              </w:rPr>
            </w:pPr>
            <w:r>
              <w:rPr>
                <w:rFonts w:hint="eastAsia" w:ascii="宋体" w:hAnsi="宋体" w:eastAsia="宋体" w:cs="宋体"/>
                <w:szCs w:val="21"/>
              </w:rPr>
              <w:t>安装方式：万向墙装支架立杆安装卡具</w:t>
            </w:r>
          </w:p>
          <w:p>
            <w:pPr>
              <w:widowControl/>
              <w:textAlignment w:val="center"/>
              <w:rPr>
                <w:rFonts w:ascii="宋体" w:hAnsi="宋体" w:eastAsia="宋体" w:cs="宋体"/>
                <w:szCs w:val="21"/>
              </w:rPr>
            </w:pPr>
            <w:r>
              <w:rPr>
                <w:rFonts w:hint="eastAsia" w:ascii="宋体" w:hAnsi="宋体" w:eastAsia="宋体" w:cs="宋体"/>
                <w:szCs w:val="21"/>
              </w:rPr>
              <w:t>1.通过天线与RFID电子标签进行无线通信，实现对标签识别码和内存数据的读出或写入操作。RFID技术可识别高速运动物体并可同时识别多个标签，操作快捷方便。阅读器通常安装在电子警察杆件或龙门架上。当装有“RFID电子标签”的公交车辆，经过部署有RFID阅读器的进口时，阅读器通过网线将“电子标签ID”信息传输至信号机完成优先控制。本方案采用无源标签，车辆最远被检测距离在100m以内，不会受到其他进口或交叉口内部公交车辆信号干扰。</w:t>
            </w:r>
          </w:p>
          <w:p>
            <w:pPr>
              <w:widowControl/>
              <w:textAlignment w:val="center"/>
              <w:rPr>
                <w:rFonts w:ascii="宋体" w:hAnsi="宋体" w:eastAsia="宋体" w:cs="宋体"/>
                <w:szCs w:val="21"/>
              </w:rPr>
            </w:pPr>
            <w:r>
              <w:rPr>
                <w:rFonts w:hint="eastAsia" w:ascii="宋体" w:hAnsi="宋体" w:eastAsia="宋体" w:cs="宋体"/>
                <w:szCs w:val="21"/>
              </w:rPr>
              <w:t>2.硬件参数。</w:t>
            </w:r>
          </w:p>
          <w:p>
            <w:pPr>
              <w:widowControl/>
              <w:textAlignment w:val="center"/>
              <w:rPr>
                <w:rFonts w:ascii="宋体" w:hAnsi="宋体" w:eastAsia="宋体" w:cs="宋体"/>
                <w:szCs w:val="21"/>
              </w:rPr>
            </w:pPr>
            <w:r>
              <w:rPr>
                <w:rFonts w:hint="eastAsia" w:ascii="宋体" w:hAnsi="宋体" w:eastAsia="宋体" w:cs="宋体"/>
                <w:szCs w:val="21"/>
              </w:rPr>
              <w:t>项目规格</w:t>
            </w:r>
          </w:p>
          <w:p>
            <w:pPr>
              <w:widowControl/>
              <w:textAlignment w:val="center"/>
              <w:rPr>
                <w:rFonts w:ascii="宋体" w:hAnsi="宋体" w:eastAsia="宋体" w:cs="宋体"/>
                <w:szCs w:val="21"/>
              </w:rPr>
            </w:pPr>
            <w:r>
              <w:rPr>
                <w:rFonts w:hint="eastAsia" w:ascii="宋体" w:hAnsi="宋体" w:eastAsia="宋体" w:cs="宋体"/>
                <w:szCs w:val="21"/>
              </w:rPr>
              <w:t>支持协议 EPC C1 Gen2,ISO18000-6C</w:t>
            </w:r>
          </w:p>
          <w:p>
            <w:pPr>
              <w:widowControl/>
              <w:textAlignment w:val="center"/>
              <w:rPr>
                <w:rFonts w:ascii="宋体" w:hAnsi="宋体" w:eastAsia="宋体" w:cs="宋体"/>
                <w:szCs w:val="21"/>
              </w:rPr>
            </w:pPr>
            <w:r>
              <w:rPr>
                <w:rFonts w:hint="eastAsia" w:ascii="宋体" w:hAnsi="宋体" w:eastAsia="宋体" w:cs="宋体"/>
                <w:szCs w:val="21"/>
              </w:rPr>
              <w:t>密集型读取管理 软件配置，自动事件触发及事件管理</w:t>
            </w:r>
          </w:p>
          <w:p>
            <w:pPr>
              <w:widowControl/>
              <w:textAlignment w:val="center"/>
              <w:rPr>
                <w:rFonts w:ascii="宋体" w:hAnsi="宋体" w:eastAsia="宋体" w:cs="宋体"/>
                <w:szCs w:val="21"/>
              </w:rPr>
            </w:pPr>
            <w:r>
              <w:rPr>
                <w:rFonts w:hint="eastAsia" w:ascii="宋体" w:hAnsi="宋体" w:eastAsia="宋体" w:cs="宋体"/>
                <w:szCs w:val="21"/>
              </w:rPr>
              <w:t>频率 840-960MHz（可配）</w:t>
            </w:r>
          </w:p>
          <w:p>
            <w:pPr>
              <w:widowControl/>
              <w:textAlignment w:val="center"/>
              <w:rPr>
                <w:rFonts w:ascii="宋体" w:hAnsi="宋体" w:eastAsia="宋体" w:cs="宋体"/>
                <w:szCs w:val="21"/>
              </w:rPr>
            </w:pPr>
            <w:r>
              <w:rPr>
                <w:rFonts w:hint="eastAsia" w:ascii="宋体" w:hAnsi="宋体" w:eastAsia="宋体" w:cs="宋体"/>
                <w:szCs w:val="21"/>
              </w:rPr>
              <w:t>调制方式 FHSS或定频（可配）</w:t>
            </w:r>
          </w:p>
          <w:p>
            <w:pPr>
              <w:widowControl/>
              <w:textAlignment w:val="center"/>
              <w:rPr>
                <w:rFonts w:ascii="宋体" w:hAnsi="宋体" w:eastAsia="宋体" w:cs="宋体"/>
                <w:szCs w:val="21"/>
              </w:rPr>
            </w:pPr>
            <w:r>
              <w:rPr>
                <w:rFonts w:hint="eastAsia" w:ascii="宋体" w:hAnsi="宋体" w:eastAsia="宋体" w:cs="宋体"/>
                <w:szCs w:val="21"/>
              </w:rPr>
              <w:t xml:space="preserve">发射功率 0 ~33dBm（可配）  </w:t>
            </w:r>
          </w:p>
          <w:p>
            <w:pPr>
              <w:widowControl/>
              <w:textAlignment w:val="center"/>
              <w:rPr>
                <w:rFonts w:ascii="宋体" w:hAnsi="宋体" w:eastAsia="宋体" w:cs="宋体"/>
                <w:szCs w:val="21"/>
              </w:rPr>
            </w:pPr>
            <w:r>
              <w:rPr>
                <w:rFonts w:hint="eastAsia" w:ascii="宋体" w:hAnsi="宋体" w:eastAsia="宋体" w:cs="宋体"/>
                <w:szCs w:val="21"/>
              </w:rPr>
              <w:t>天线类型 12dBi水平线极化天线</w:t>
            </w:r>
          </w:p>
          <w:p>
            <w:pPr>
              <w:widowControl/>
              <w:textAlignment w:val="center"/>
              <w:rPr>
                <w:rFonts w:ascii="宋体" w:hAnsi="宋体" w:eastAsia="宋体" w:cs="宋体"/>
                <w:szCs w:val="21"/>
              </w:rPr>
            </w:pPr>
            <w:r>
              <w:rPr>
                <w:rFonts w:hint="eastAsia" w:ascii="宋体" w:hAnsi="宋体" w:eastAsia="宋体" w:cs="宋体"/>
                <w:szCs w:val="21"/>
              </w:rPr>
              <w:t>重量 ＜6Kg</w:t>
            </w:r>
          </w:p>
          <w:p>
            <w:pPr>
              <w:widowControl/>
              <w:textAlignment w:val="center"/>
              <w:rPr>
                <w:rFonts w:ascii="宋体" w:hAnsi="宋体" w:eastAsia="宋体" w:cs="宋体"/>
                <w:szCs w:val="21"/>
              </w:rPr>
            </w:pPr>
            <w:r>
              <w:rPr>
                <w:rFonts w:hint="eastAsia" w:ascii="宋体" w:hAnsi="宋体" w:eastAsia="宋体" w:cs="宋体"/>
                <w:szCs w:val="21"/>
              </w:rPr>
              <w:t>安装方式 万向墙装支架立杆安装卡具</w:t>
            </w:r>
          </w:p>
          <w:p>
            <w:pPr>
              <w:widowControl/>
              <w:textAlignment w:val="center"/>
              <w:rPr>
                <w:rFonts w:ascii="宋体" w:hAnsi="宋体" w:eastAsia="宋体" w:cs="宋体"/>
                <w:szCs w:val="21"/>
              </w:rPr>
            </w:pPr>
            <w:r>
              <w:rPr>
                <w:rFonts w:hint="eastAsia" w:ascii="宋体" w:hAnsi="宋体" w:eastAsia="宋体" w:cs="宋体"/>
                <w:szCs w:val="21"/>
              </w:rPr>
              <w:t>电源输入 DC12V，2A</w:t>
            </w:r>
          </w:p>
          <w:p>
            <w:pPr>
              <w:widowControl/>
              <w:textAlignment w:val="center"/>
              <w:rPr>
                <w:rFonts w:ascii="宋体" w:hAnsi="宋体" w:eastAsia="宋体" w:cs="宋体"/>
                <w:szCs w:val="21"/>
              </w:rPr>
            </w:pPr>
            <w:r>
              <w:rPr>
                <w:rFonts w:hint="eastAsia" w:ascii="宋体" w:hAnsi="宋体" w:eastAsia="宋体" w:cs="宋体"/>
                <w:szCs w:val="21"/>
              </w:rPr>
              <w:t>功耗 20W（典型）</w:t>
            </w:r>
          </w:p>
          <w:p>
            <w:pPr>
              <w:widowControl/>
              <w:textAlignment w:val="center"/>
              <w:rPr>
                <w:rFonts w:ascii="宋体" w:hAnsi="宋体" w:eastAsia="宋体" w:cs="宋体"/>
                <w:szCs w:val="21"/>
              </w:rPr>
            </w:pPr>
            <w:r>
              <w:rPr>
                <w:rFonts w:hint="eastAsia" w:ascii="宋体" w:hAnsi="宋体" w:eastAsia="宋体" w:cs="宋体"/>
                <w:szCs w:val="21"/>
              </w:rPr>
              <w:t>内存 512MB</w:t>
            </w:r>
          </w:p>
          <w:p>
            <w:pPr>
              <w:widowControl/>
              <w:textAlignment w:val="center"/>
              <w:rPr>
                <w:rFonts w:ascii="宋体" w:hAnsi="宋体" w:eastAsia="宋体" w:cs="宋体"/>
                <w:szCs w:val="21"/>
              </w:rPr>
            </w:pPr>
            <w:r>
              <w:rPr>
                <w:rFonts w:hint="eastAsia" w:ascii="宋体" w:hAnsi="宋体" w:eastAsia="宋体" w:cs="宋体"/>
                <w:szCs w:val="21"/>
              </w:rPr>
              <w:t>Flash 8GB</w:t>
            </w:r>
          </w:p>
          <w:p>
            <w:pPr>
              <w:widowControl/>
              <w:textAlignment w:val="center"/>
              <w:rPr>
                <w:rFonts w:ascii="宋体" w:hAnsi="宋体" w:eastAsia="宋体" w:cs="宋体"/>
                <w:szCs w:val="21"/>
              </w:rPr>
            </w:pPr>
            <w:r>
              <w:rPr>
                <w:rFonts w:hint="eastAsia" w:ascii="宋体" w:hAnsi="宋体" w:eastAsia="宋体" w:cs="宋体"/>
                <w:szCs w:val="21"/>
              </w:rPr>
              <w:t>操作系统 Linux</w:t>
            </w:r>
          </w:p>
          <w:p>
            <w:pPr>
              <w:widowControl/>
              <w:textAlignment w:val="center"/>
              <w:rPr>
                <w:rFonts w:ascii="宋体" w:hAnsi="宋体" w:eastAsia="宋体" w:cs="宋体"/>
                <w:szCs w:val="21"/>
              </w:rPr>
            </w:pPr>
            <w:r>
              <w:rPr>
                <w:rFonts w:hint="eastAsia" w:ascii="宋体" w:hAnsi="宋体" w:eastAsia="宋体" w:cs="宋体"/>
                <w:szCs w:val="21"/>
              </w:rPr>
              <w:t>开发接口 二进制流，C/C++/C#</w:t>
            </w:r>
          </w:p>
          <w:p>
            <w:pPr>
              <w:widowControl/>
              <w:textAlignment w:val="center"/>
              <w:rPr>
                <w:rFonts w:ascii="宋体" w:hAnsi="宋体" w:eastAsia="宋体" w:cs="宋体"/>
                <w:szCs w:val="21"/>
              </w:rPr>
            </w:pPr>
            <w:r>
              <w:rPr>
                <w:rFonts w:hint="eastAsia" w:ascii="宋体" w:hAnsi="宋体" w:eastAsia="宋体" w:cs="宋体"/>
                <w:szCs w:val="21"/>
              </w:rPr>
              <w:t>以太网 10/100M Base-T（RJ-45）</w:t>
            </w:r>
          </w:p>
          <w:p>
            <w:pPr>
              <w:widowControl/>
              <w:textAlignment w:val="center"/>
              <w:rPr>
                <w:rFonts w:ascii="宋体" w:hAnsi="宋体" w:eastAsia="宋体" w:cs="宋体"/>
                <w:szCs w:val="21"/>
              </w:rPr>
            </w:pPr>
            <w:r>
              <w:rPr>
                <w:rFonts w:hint="eastAsia" w:ascii="宋体" w:hAnsi="宋体" w:eastAsia="宋体" w:cs="宋体"/>
                <w:szCs w:val="21"/>
              </w:rPr>
              <w:t>韦根 韦根26/34</w:t>
            </w:r>
          </w:p>
          <w:p>
            <w:pPr>
              <w:widowControl/>
              <w:textAlignment w:val="center"/>
              <w:rPr>
                <w:rFonts w:ascii="宋体" w:hAnsi="宋体" w:eastAsia="宋体" w:cs="宋体"/>
                <w:szCs w:val="21"/>
              </w:rPr>
            </w:pPr>
            <w:r>
              <w:rPr>
                <w:rFonts w:hint="eastAsia" w:ascii="宋体" w:hAnsi="宋体" w:eastAsia="宋体" w:cs="宋体"/>
                <w:szCs w:val="21"/>
              </w:rPr>
              <w:t>串口 RS232或RS485（二选一）</w:t>
            </w:r>
          </w:p>
          <w:p>
            <w:pPr>
              <w:widowControl/>
              <w:textAlignment w:val="center"/>
              <w:rPr>
                <w:rFonts w:ascii="宋体" w:hAnsi="宋体" w:eastAsia="宋体" w:cs="宋体"/>
                <w:szCs w:val="21"/>
              </w:rPr>
            </w:pPr>
            <w:r>
              <w:rPr>
                <w:rFonts w:hint="eastAsia" w:ascii="宋体" w:hAnsi="宋体" w:eastAsia="宋体" w:cs="宋体"/>
                <w:szCs w:val="21"/>
              </w:rPr>
              <w:t>GPIO 2X输入，2X输出（光耦隔离）</w:t>
            </w:r>
          </w:p>
          <w:p>
            <w:pPr>
              <w:widowControl/>
              <w:textAlignment w:val="center"/>
              <w:rPr>
                <w:rFonts w:ascii="宋体" w:hAnsi="宋体" w:eastAsia="宋体" w:cs="宋体"/>
                <w:szCs w:val="21"/>
              </w:rPr>
            </w:pPr>
            <w:r>
              <w:rPr>
                <w:rFonts w:hint="eastAsia" w:ascii="宋体" w:hAnsi="宋体" w:eastAsia="宋体" w:cs="宋体"/>
                <w:szCs w:val="21"/>
              </w:rPr>
              <w:t>温度 10-85%，不结露</w:t>
            </w:r>
          </w:p>
          <w:p>
            <w:pPr>
              <w:widowControl/>
              <w:textAlignment w:val="center"/>
              <w:rPr>
                <w:rFonts w:ascii="宋体" w:hAnsi="宋体" w:eastAsia="宋体" w:cs="宋体"/>
                <w:szCs w:val="21"/>
              </w:rPr>
            </w:pPr>
            <w:r>
              <w:rPr>
                <w:rFonts w:hint="eastAsia" w:ascii="宋体" w:hAnsi="宋体" w:eastAsia="宋体" w:cs="宋体"/>
                <w:szCs w:val="21"/>
              </w:rPr>
              <w:t>运行温度 -20℃-55℃</w:t>
            </w:r>
          </w:p>
          <w:p>
            <w:pPr>
              <w:widowControl/>
              <w:textAlignment w:val="center"/>
              <w:rPr>
                <w:rFonts w:ascii="宋体" w:hAnsi="宋体" w:eastAsia="宋体" w:cs="宋体"/>
                <w:szCs w:val="21"/>
              </w:rPr>
            </w:pPr>
            <w:r>
              <w:rPr>
                <w:rFonts w:hint="eastAsia" w:ascii="宋体" w:hAnsi="宋体" w:eastAsia="宋体" w:cs="宋体"/>
                <w:szCs w:val="21"/>
              </w:rPr>
              <w:t>存储温度 -45℃-85℃</w:t>
            </w:r>
          </w:p>
          <w:p>
            <w:pPr>
              <w:widowControl/>
              <w:textAlignment w:val="center"/>
              <w:rPr>
                <w:rFonts w:ascii="宋体" w:hAnsi="宋体" w:eastAsia="宋体" w:cs="宋体"/>
                <w:szCs w:val="21"/>
              </w:rPr>
            </w:pPr>
            <w:r>
              <w:rPr>
                <w:rFonts w:hint="eastAsia" w:ascii="宋体" w:hAnsi="宋体" w:eastAsia="宋体" w:cs="宋体"/>
                <w:szCs w:val="21"/>
              </w:rPr>
              <w:t>防护等级 IP65</w:t>
            </w:r>
          </w:p>
          <w:p>
            <w:pPr>
              <w:rPr>
                <w:rFonts w:ascii="宋体" w:hAnsi="宋体" w:eastAsia="宋体" w:cs="宋体"/>
                <w:szCs w:val="21"/>
              </w:rPr>
            </w:pPr>
            <w:r>
              <w:rPr>
                <w:rFonts w:hint="eastAsia" w:ascii="宋体" w:hAnsi="宋体" w:eastAsia="宋体" w:cs="宋体"/>
                <w:szCs w:val="21"/>
              </w:rPr>
              <w:t>3、配套</w:t>
            </w:r>
            <w:r>
              <w:rPr>
                <w:rFonts w:hint="eastAsia" w:ascii="宋体" w:hAnsi="宋体" w:eastAsia="宋体" w:cs="宋体"/>
                <w:kern w:val="0"/>
                <w:szCs w:val="21"/>
              </w:rPr>
              <w:t>感知设备平台接入授权</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台</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20</w:t>
            </w:r>
          </w:p>
        </w:tc>
      </w:tr>
      <w:tr>
        <w:tblPrEx>
          <w:tblCellMar>
            <w:top w:w="0" w:type="dxa"/>
            <w:left w:w="0" w:type="dxa"/>
            <w:bottom w:w="0" w:type="dxa"/>
            <w:right w:w="0" w:type="dxa"/>
          </w:tblCellMar>
        </w:tblPrEx>
        <w:trPr>
          <w:trHeight w:val="365" w:hRule="atLeast"/>
        </w:trPr>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2</w:t>
            </w:r>
          </w:p>
        </w:tc>
        <w:tc>
          <w:tcPr>
            <w:tcW w:w="11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RFID物联产品</w:t>
            </w:r>
          </w:p>
          <w:p>
            <w:pPr>
              <w:widowControl/>
              <w:jc w:val="center"/>
              <w:textAlignment w:val="center"/>
              <w:rPr>
                <w:rFonts w:ascii="宋体" w:hAnsi="宋体" w:eastAsia="宋体" w:cs="宋体"/>
                <w:b/>
                <w:szCs w:val="21"/>
              </w:rPr>
            </w:pPr>
            <w:r>
              <w:rPr>
                <w:rFonts w:hint="eastAsia" w:ascii="宋体" w:hAnsi="宋体" w:eastAsia="宋体" w:cs="宋体"/>
                <w:b/>
                <w:kern w:val="0"/>
                <w:szCs w:val="21"/>
              </w:rPr>
              <w:t>（车端设备，公交公司采购）</w:t>
            </w:r>
          </w:p>
        </w:tc>
        <w:tc>
          <w:tcPr>
            <w:tcW w:w="56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 xml:space="preserve">工作频率：840~960Mhz； </w:t>
            </w:r>
          </w:p>
          <w:p>
            <w:pPr>
              <w:widowControl/>
              <w:textAlignment w:val="center"/>
              <w:rPr>
                <w:rFonts w:ascii="宋体" w:hAnsi="宋体" w:eastAsia="宋体" w:cs="宋体"/>
                <w:kern w:val="0"/>
                <w:szCs w:val="21"/>
              </w:rPr>
            </w:pPr>
            <w:r>
              <w:rPr>
                <w:rFonts w:hint="eastAsia" w:ascii="宋体" w:hAnsi="宋体" w:eastAsia="宋体" w:cs="宋体"/>
                <w:kern w:val="0"/>
                <w:szCs w:val="21"/>
              </w:rPr>
              <w:t xml:space="preserve">协议：ISO 18000-6C； </w:t>
            </w:r>
          </w:p>
          <w:p>
            <w:pPr>
              <w:widowControl/>
              <w:textAlignment w:val="center"/>
              <w:rPr>
                <w:rFonts w:ascii="宋体" w:hAnsi="宋体" w:eastAsia="宋体" w:cs="宋体"/>
                <w:szCs w:val="21"/>
              </w:rPr>
            </w:pPr>
            <w:r>
              <w:rPr>
                <w:rFonts w:hint="eastAsia" w:ascii="宋体" w:hAnsi="宋体" w:eastAsia="宋体" w:cs="宋体"/>
                <w:kern w:val="0"/>
                <w:szCs w:val="21"/>
              </w:rPr>
              <w:t>陶瓷标签，物流车辆使用</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片</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66" w:hRule="atLeast"/>
        </w:trPr>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3</w:t>
            </w:r>
          </w:p>
        </w:tc>
        <w:tc>
          <w:tcPr>
            <w:tcW w:w="11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项目技术集成</w:t>
            </w:r>
          </w:p>
        </w:tc>
        <w:tc>
          <w:tcPr>
            <w:tcW w:w="56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包含本次10个点位的技术集成</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rPr>
              <w:t>项</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10</w:t>
            </w:r>
          </w:p>
        </w:tc>
      </w:tr>
    </w:tbl>
    <w:p>
      <w:pPr>
        <w:spacing w:line="312" w:lineRule="auto"/>
        <w:rPr>
          <w:rFonts w:ascii="宋体" w:hAnsi="宋体" w:eastAsia="宋体" w:cs="Times New Roman"/>
          <w:b/>
          <w:szCs w:val="21"/>
        </w:rPr>
      </w:pPr>
    </w:p>
    <w:p>
      <w:pPr>
        <w:spacing w:line="312" w:lineRule="auto"/>
        <w:ind w:firstLine="422" w:firstLineChars="200"/>
        <w:rPr>
          <w:rFonts w:ascii="宋体" w:hAnsi="宋体" w:eastAsia="宋体" w:cs="Times New Roman"/>
          <w:b/>
          <w:szCs w:val="21"/>
        </w:rPr>
      </w:pPr>
      <w:r>
        <w:rPr>
          <w:rFonts w:hint="eastAsia" w:ascii="宋体" w:hAnsi="宋体" w:eastAsia="宋体" w:cs="Times New Roman"/>
          <w:b/>
          <w:szCs w:val="21"/>
        </w:rPr>
        <w:t>（七）道路交通态势监测进行补点补盲服务</w:t>
      </w:r>
    </w:p>
    <w:p>
      <w:pPr>
        <w:spacing w:line="312" w:lineRule="auto"/>
        <w:ind w:firstLine="420" w:firstLineChars="200"/>
        <w:rPr>
          <w:rFonts w:ascii="宋体" w:hAnsi="宋体" w:eastAsia="宋体" w:cs="宋体"/>
          <w:szCs w:val="21"/>
        </w:rPr>
      </w:pPr>
      <w:r>
        <w:rPr>
          <w:rFonts w:hint="eastAsia" w:ascii="宋体" w:hAnsi="宋体" w:eastAsia="宋体" w:cs="宋体"/>
          <w:szCs w:val="21"/>
        </w:rPr>
        <w:t>为进一步扩大道路态势监测覆盖范围，采购3台符合公安部标准的多旋翼行业级无人机，并将画面实时投入至公安内网指定业务平台。此外，为采购人的8台无人机购买一年一口价统包维修服务，期限为自项目的合同签订起一年。</w:t>
      </w:r>
    </w:p>
    <w:p>
      <w:pPr>
        <w:spacing w:line="312" w:lineRule="auto"/>
        <w:ind w:firstLine="422" w:firstLineChars="200"/>
        <w:rPr>
          <w:rFonts w:ascii="宋体" w:hAnsi="宋体" w:eastAsia="宋体" w:cs="宋体"/>
          <w:b/>
          <w:bCs/>
          <w:szCs w:val="21"/>
        </w:rPr>
      </w:pPr>
      <w:r>
        <w:rPr>
          <w:rFonts w:hint="eastAsia" w:ascii="宋体" w:hAnsi="宋体" w:eastAsia="宋体" w:cs="宋体"/>
          <w:b/>
          <w:bCs/>
          <w:szCs w:val="21"/>
        </w:rPr>
        <w:t>①无人机配套采购清单</w:t>
      </w:r>
    </w:p>
    <w:tbl>
      <w:tblPr>
        <w:tblStyle w:val="62"/>
        <w:tblW w:w="4998" w:type="pct"/>
        <w:tblInd w:w="0" w:type="dxa"/>
        <w:tblLayout w:type="autofit"/>
        <w:tblCellMar>
          <w:top w:w="0" w:type="dxa"/>
          <w:left w:w="0" w:type="dxa"/>
          <w:bottom w:w="0" w:type="dxa"/>
          <w:right w:w="0" w:type="dxa"/>
        </w:tblCellMar>
      </w:tblPr>
      <w:tblGrid>
        <w:gridCol w:w="1093"/>
        <w:gridCol w:w="4983"/>
        <w:gridCol w:w="1421"/>
        <w:gridCol w:w="1373"/>
      </w:tblGrid>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序号</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名称</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单位</w:t>
            </w: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数量</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带热成像行业级无人机</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架</w:t>
            </w: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p>
        </w:tc>
      </w:tr>
      <w:tr>
        <w:tblPrEx>
          <w:tblCellMar>
            <w:top w:w="0" w:type="dxa"/>
            <w:left w:w="0" w:type="dxa"/>
            <w:bottom w:w="0" w:type="dxa"/>
            <w:right w:w="0" w:type="dxa"/>
          </w:tblCellMar>
        </w:tblPrEx>
        <w:trPr>
          <w:trHeight w:val="269" w:hRule="atLeast"/>
        </w:trPr>
        <w:tc>
          <w:tcPr>
            <w:tcW w:w="61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280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无人机4G信号传输模块</w:t>
            </w:r>
          </w:p>
        </w:tc>
        <w:tc>
          <w:tcPr>
            <w:tcW w:w="801"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块</w:t>
            </w:r>
          </w:p>
        </w:tc>
        <w:tc>
          <w:tcPr>
            <w:tcW w:w="774"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p>
        </w:tc>
      </w:tr>
      <w:tr>
        <w:tblPrEx>
          <w:tblCellMar>
            <w:top w:w="0" w:type="dxa"/>
            <w:left w:w="0" w:type="dxa"/>
            <w:bottom w:w="0" w:type="dxa"/>
            <w:right w:w="0" w:type="dxa"/>
          </w:tblCellMar>
        </w:tblPrEx>
        <w:trPr>
          <w:trHeight w:val="90" w:hRule="atLeast"/>
        </w:trPr>
        <w:tc>
          <w:tcPr>
            <w:tcW w:w="616"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2808"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喊话器</w:t>
            </w:r>
          </w:p>
        </w:tc>
        <w:tc>
          <w:tcPr>
            <w:tcW w:w="801"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台</w:t>
            </w:r>
          </w:p>
        </w:tc>
        <w:tc>
          <w:tcPr>
            <w:tcW w:w="774"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飞机电池套装</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套</w:t>
            </w: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加长续航电池（1小时）</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套</w:t>
            </w: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无人机保险</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实时画面接入部集指平台</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7.1</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平台计算资源</w:t>
            </w:r>
          </w:p>
        </w:tc>
        <w:tc>
          <w:tcPr>
            <w:tcW w:w="80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7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7.2</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飞控平台软件</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7.3</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互联网对接防护</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7.4</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业务系统信息安全</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7.5</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互联网电路</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7.6</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对接电路</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7.7</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业务系统代码测评</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7.8</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等保测评</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7.9</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H264接口定制</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r>
        <w:tblPrEx>
          <w:tblCellMar>
            <w:top w:w="0" w:type="dxa"/>
            <w:left w:w="0" w:type="dxa"/>
            <w:bottom w:w="0" w:type="dxa"/>
            <w:right w:w="0" w:type="dxa"/>
          </w:tblCellMar>
        </w:tblPrEx>
        <w:trPr>
          <w:trHeight w:val="90" w:hRule="atLeast"/>
        </w:trPr>
        <w:tc>
          <w:tcPr>
            <w:tcW w:w="6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7.10</w:t>
            </w:r>
          </w:p>
        </w:tc>
        <w:tc>
          <w:tcPr>
            <w:tcW w:w="28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平台数据对接</w:t>
            </w:r>
          </w:p>
        </w:tc>
        <w:tc>
          <w:tcPr>
            <w:tcW w:w="13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项</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r>
    </w:tbl>
    <w:p>
      <w:pPr>
        <w:spacing w:line="312" w:lineRule="auto"/>
        <w:ind w:firstLine="480" w:firstLineChars="200"/>
        <w:rPr>
          <w:rFonts w:ascii="宋体" w:hAnsi="宋体" w:eastAsia="宋体" w:cs="宋体"/>
          <w:sz w:val="24"/>
          <w:szCs w:val="24"/>
        </w:rPr>
      </w:pPr>
    </w:p>
    <w:p>
      <w:pPr>
        <w:spacing w:line="312" w:lineRule="auto"/>
        <w:ind w:firstLine="422" w:firstLineChars="200"/>
        <w:rPr>
          <w:rFonts w:ascii="宋体" w:hAnsi="宋体" w:eastAsia="宋体" w:cs="宋体"/>
          <w:b/>
          <w:bCs/>
          <w:szCs w:val="21"/>
        </w:rPr>
      </w:pPr>
      <w:r>
        <w:rPr>
          <w:rFonts w:hint="eastAsia" w:ascii="宋体" w:hAnsi="宋体" w:eastAsia="宋体" w:cs="宋体"/>
          <w:b/>
          <w:bCs/>
          <w:szCs w:val="21"/>
        </w:rPr>
        <w:t>②无人机一年一口价统包维修清单</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4927"/>
        <w:gridCol w:w="147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序号</w:t>
            </w:r>
          </w:p>
        </w:tc>
        <w:tc>
          <w:tcPr>
            <w:tcW w:w="2719"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名称</w:t>
            </w:r>
          </w:p>
        </w:tc>
        <w:tc>
          <w:tcPr>
            <w:tcW w:w="816"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单位</w:t>
            </w:r>
          </w:p>
        </w:tc>
        <w:tc>
          <w:tcPr>
            <w:tcW w:w="806"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657"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2719" w:type="pct"/>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无人机图像传输平台</w:t>
            </w:r>
          </w:p>
        </w:tc>
        <w:tc>
          <w:tcPr>
            <w:tcW w:w="81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年</w:t>
            </w:r>
          </w:p>
        </w:tc>
        <w:tc>
          <w:tcPr>
            <w:tcW w:w="80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2719" w:type="pct"/>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机场无人机一次维修费用</w:t>
            </w:r>
          </w:p>
        </w:tc>
        <w:tc>
          <w:tcPr>
            <w:tcW w:w="81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架次</w:t>
            </w:r>
          </w:p>
        </w:tc>
        <w:tc>
          <w:tcPr>
            <w:tcW w:w="80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2719" w:type="pct"/>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带热成像无人机一次维修费用</w:t>
            </w:r>
          </w:p>
        </w:tc>
        <w:tc>
          <w:tcPr>
            <w:tcW w:w="81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架次</w:t>
            </w:r>
          </w:p>
        </w:tc>
        <w:tc>
          <w:tcPr>
            <w:tcW w:w="80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2719" w:type="pct"/>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轻型无人机一年保险及一次维修</w:t>
            </w:r>
          </w:p>
        </w:tc>
        <w:tc>
          <w:tcPr>
            <w:tcW w:w="81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架次</w:t>
            </w:r>
          </w:p>
        </w:tc>
        <w:tc>
          <w:tcPr>
            <w:tcW w:w="80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w:t>
            </w:r>
          </w:p>
        </w:tc>
        <w:tc>
          <w:tcPr>
            <w:tcW w:w="2719" w:type="pct"/>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轻型高分辨无人机一次维修费用</w:t>
            </w:r>
          </w:p>
        </w:tc>
        <w:tc>
          <w:tcPr>
            <w:tcW w:w="81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架次</w:t>
            </w:r>
          </w:p>
        </w:tc>
        <w:tc>
          <w:tcPr>
            <w:tcW w:w="80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w:t>
            </w:r>
          </w:p>
        </w:tc>
        <w:tc>
          <w:tcPr>
            <w:tcW w:w="2719" w:type="pct"/>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微型无人机一次维修费用</w:t>
            </w:r>
          </w:p>
        </w:tc>
        <w:tc>
          <w:tcPr>
            <w:tcW w:w="81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架次</w:t>
            </w:r>
          </w:p>
        </w:tc>
        <w:tc>
          <w:tcPr>
            <w:tcW w:w="80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r>
    </w:tbl>
    <w:p>
      <w:pPr>
        <w:rPr>
          <w:rFonts w:ascii="宋体" w:hAnsi="宋体" w:eastAsia="宋体" w:cs="宋体"/>
          <w:szCs w:val="21"/>
        </w:rPr>
      </w:pPr>
    </w:p>
    <w:p>
      <w:pPr>
        <w:spacing w:line="312" w:lineRule="auto"/>
        <w:ind w:firstLine="422" w:firstLineChars="200"/>
        <w:rPr>
          <w:rFonts w:ascii="宋体" w:hAnsi="宋体" w:eastAsia="宋体" w:cs="宋体"/>
          <w:b/>
          <w:bCs/>
          <w:szCs w:val="21"/>
        </w:rPr>
      </w:pPr>
      <w:r>
        <w:rPr>
          <w:rFonts w:hint="eastAsia" w:ascii="宋体" w:hAnsi="宋体" w:eastAsia="宋体" w:cs="宋体"/>
          <w:b/>
          <w:bCs/>
          <w:szCs w:val="21"/>
        </w:rPr>
        <w:t>③无人机配套采购技术服务要求</w:t>
      </w:r>
    </w:p>
    <w:tbl>
      <w:tblPr>
        <w:tblStyle w:val="62"/>
        <w:tblW w:w="5176" w:type="pct"/>
        <w:tblInd w:w="-100" w:type="dxa"/>
        <w:tblLayout w:type="autofit"/>
        <w:tblCellMar>
          <w:top w:w="0" w:type="dxa"/>
          <w:left w:w="0" w:type="dxa"/>
          <w:bottom w:w="0" w:type="dxa"/>
          <w:right w:w="0" w:type="dxa"/>
        </w:tblCellMar>
      </w:tblPr>
      <w:tblGrid>
        <w:gridCol w:w="540"/>
        <w:gridCol w:w="1631"/>
        <w:gridCol w:w="7015"/>
      </w:tblGrid>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序号</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名称</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技术服务要求</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带热成像行业级无人机</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1.最大抗风速度大于等于11米/秒。</w:t>
            </w:r>
          </w:p>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2.最大起飞海拔高度大于等于4500米（空载飞行）。</w:t>
            </w:r>
          </w:p>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3.最长悬停时间大于等于（无风环境）35分钟。</w:t>
            </w:r>
          </w:p>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4.工作环境温度 -10°C 至 40°C。</w:t>
            </w:r>
          </w:p>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5.无人机内置广角相机，影像传感器。</w:t>
            </w:r>
          </w:p>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6.支持文件系统exFAT照片格式JPEG视频格式MP4（MPEG-4 AVC/H.264）。</w:t>
            </w:r>
          </w:p>
          <w:p>
            <w:pPr>
              <w:rPr>
                <w:rFonts w:ascii="宋体" w:hAnsi="宋体" w:eastAsia="宋体" w:cs="宋体"/>
                <w:szCs w:val="21"/>
              </w:rPr>
            </w:pPr>
            <w:r>
              <w:rPr>
                <w:rFonts w:hint="eastAsia" w:ascii="宋体" w:hAnsi="宋体" w:eastAsia="宋体" w:cs="宋体"/>
                <w:szCs w:val="21"/>
              </w:rPr>
              <w:t>7.长焦相机：影像传感器1/2" CMOS，有效像素大于等于1200万，最高 56 倍变焦相机。低光智能拍照大于等于1200万像素。数字变焦大于等于25倍。</w:t>
            </w:r>
          </w:p>
          <w:p>
            <w:pPr>
              <w:widowControl/>
              <w:tabs>
                <w:tab w:val="left" w:pos="2260"/>
              </w:tabs>
              <w:jc w:val="left"/>
              <w:textAlignment w:val="center"/>
              <w:rPr>
                <w:rFonts w:ascii="宋体" w:hAnsi="宋体" w:eastAsia="宋体" w:cs="宋体"/>
                <w:szCs w:val="21"/>
              </w:rPr>
            </w:pPr>
            <w:r>
              <w:rPr>
                <w:rFonts w:hint="eastAsia" w:ascii="宋体" w:hAnsi="宋体" w:eastAsia="宋体" w:cs="宋体"/>
                <w:szCs w:val="21"/>
              </w:rPr>
              <w:t>8.飞机带640×512 热成像相机，测温方式：点测温、区域测温，测温范围大于等于-10℃至150℃。</w:t>
            </w:r>
          </w:p>
          <w:p>
            <w:pPr>
              <w:rPr>
                <w:rFonts w:ascii="宋体" w:hAnsi="宋体" w:eastAsia="宋体" w:cs="宋体"/>
                <w:szCs w:val="21"/>
              </w:rPr>
            </w:pPr>
            <w:r>
              <w:rPr>
                <w:rFonts w:hint="eastAsia" w:ascii="宋体" w:hAnsi="宋体" w:eastAsia="宋体" w:cs="宋体"/>
                <w:szCs w:val="21"/>
              </w:rPr>
              <w:t>9.支持45 分钟巡航。</w:t>
            </w:r>
          </w:p>
          <w:p>
            <w:pPr>
              <w:rPr>
                <w:rFonts w:ascii="宋体" w:hAnsi="宋体" w:eastAsia="宋体" w:cs="宋体"/>
                <w:szCs w:val="21"/>
              </w:rPr>
            </w:pPr>
            <w:r>
              <w:rPr>
                <w:rFonts w:hint="eastAsia" w:ascii="宋体" w:hAnsi="宋体" w:eastAsia="宋体" w:cs="宋体"/>
                <w:szCs w:val="21"/>
              </w:rPr>
              <w:t xml:space="preserve">10.广角相机4/3 CMOS，2000万像素。 </w:t>
            </w:r>
          </w:p>
          <w:p>
            <w:pPr>
              <w:rPr>
                <w:rFonts w:ascii="宋体" w:hAnsi="宋体" w:eastAsia="宋体" w:cs="宋体"/>
                <w:szCs w:val="21"/>
              </w:rPr>
            </w:pPr>
            <w:r>
              <w:rPr>
                <w:rFonts w:hint="eastAsia" w:ascii="宋体" w:hAnsi="宋体" w:eastAsia="宋体" w:cs="宋体"/>
                <w:szCs w:val="21"/>
              </w:rPr>
              <w:t>11.RTK 厘米级定位，高音喊话器。</w:t>
            </w:r>
          </w:p>
        </w:tc>
      </w:tr>
      <w:tr>
        <w:tblPrEx>
          <w:tblCellMar>
            <w:top w:w="0" w:type="dxa"/>
            <w:left w:w="0" w:type="dxa"/>
            <w:bottom w:w="0" w:type="dxa"/>
            <w:right w:w="0" w:type="dxa"/>
          </w:tblCellMar>
        </w:tblPrEx>
        <w:trPr>
          <w:trHeight w:val="269" w:hRule="atLeast"/>
        </w:trPr>
        <w:tc>
          <w:tcPr>
            <w:tcW w:w="294"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88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无人机4G信号传输模块</w:t>
            </w:r>
          </w:p>
        </w:tc>
        <w:tc>
          <w:tcPr>
            <w:tcW w:w="38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用于增强无人机图传功能和无人机飞行距离，适配本次无人机及现有无人机设备。</w:t>
            </w:r>
          </w:p>
        </w:tc>
      </w:tr>
      <w:tr>
        <w:tblPrEx>
          <w:tblCellMar>
            <w:top w:w="0" w:type="dxa"/>
            <w:left w:w="0" w:type="dxa"/>
            <w:bottom w:w="0" w:type="dxa"/>
            <w:right w:w="0" w:type="dxa"/>
          </w:tblCellMar>
        </w:tblPrEx>
        <w:trPr>
          <w:trHeight w:val="90" w:hRule="atLeast"/>
        </w:trPr>
        <w:tc>
          <w:tcPr>
            <w:tcW w:w="294"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888"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喊话器</w:t>
            </w:r>
          </w:p>
        </w:tc>
        <w:tc>
          <w:tcPr>
            <w:tcW w:w="3818" w:type="pc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用于远程传递声音，让应急搜救等任务更高效，适配本次选用的无人机设备。</w:t>
            </w:r>
          </w:p>
          <w:p>
            <w:pPr>
              <w:widowControl/>
              <w:textAlignment w:val="center"/>
              <w:rPr>
                <w:rFonts w:ascii="宋体" w:hAnsi="宋体" w:eastAsia="宋体" w:cs="宋体"/>
                <w:szCs w:val="21"/>
              </w:rPr>
            </w:pPr>
            <w:r>
              <w:rPr>
                <w:rFonts w:hint="eastAsia" w:ascii="宋体" w:hAnsi="宋体" w:eastAsia="宋体" w:cs="宋体"/>
                <w:szCs w:val="21"/>
              </w:rPr>
              <w:t>接口：USB-C</w:t>
            </w:r>
          </w:p>
          <w:p>
            <w:pPr>
              <w:widowControl/>
              <w:textAlignment w:val="center"/>
              <w:rPr>
                <w:rFonts w:ascii="宋体" w:hAnsi="宋体" w:eastAsia="宋体" w:cs="宋体"/>
                <w:szCs w:val="21"/>
              </w:rPr>
            </w:pPr>
            <w:r>
              <w:rPr>
                <w:rFonts w:hint="eastAsia" w:ascii="宋体" w:hAnsi="宋体" w:eastAsia="宋体" w:cs="宋体"/>
                <w:szCs w:val="21"/>
              </w:rPr>
              <w:t>额定功率：≤3 瓦</w:t>
            </w:r>
          </w:p>
          <w:p>
            <w:pPr>
              <w:widowControl/>
              <w:textAlignment w:val="center"/>
              <w:rPr>
                <w:rFonts w:ascii="宋体" w:hAnsi="宋体" w:eastAsia="宋体" w:cs="宋体"/>
                <w:szCs w:val="21"/>
              </w:rPr>
            </w:pPr>
            <w:r>
              <w:rPr>
                <w:rFonts w:hint="eastAsia" w:ascii="宋体" w:hAnsi="宋体" w:eastAsia="宋体" w:cs="宋体"/>
                <w:szCs w:val="21"/>
              </w:rPr>
              <w:t>最大响度：≥110dB@1m*</w:t>
            </w:r>
          </w:p>
          <w:p>
            <w:pPr>
              <w:widowControl/>
              <w:textAlignment w:val="center"/>
              <w:rPr>
                <w:rFonts w:ascii="宋体" w:hAnsi="宋体" w:eastAsia="宋体" w:cs="宋体"/>
                <w:szCs w:val="21"/>
              </w:rPr>
            </w:pPr>
            <w:r>
              <w:rPr>
                <w:rFonts w:hint="eastAsia" w:ascii="宋体" w:hAnsi="宋体" w:eastAsia="宋体" w:cs="宋体"/>
                <w:szCs w:val="21"/>
              </w:rPr>
              <w:t>有效广播距离：≥100m@70dB*</w:t>
            </w:r>
          </w:p>
          <w:p>
            <w:pPr>
              <w:widowControl/>
              <w:textAlignment w:val="center"/>
              <w:rPr>
                <w:rFonts w:ascii="宋体" w:hAnsi="宋体" w:eastAsia="宋体" w:cs="宋体"/>
                <w:szCs w:val="21"/>
              </w:rPr>
            </w:pPr>
            <w:r>
              <w:rPr>
                <w:rFonts w:hint="eastAsia" w:ascii="宋体" w:hAnsi="宋体" w:eastAsia="宋体" w:cs="宋体"/>
                <w:szCs w:val="21"/>
              </w:rPr>
              <w:t>码流：16Kbps/32Kbps</w:t>
            </w:r>
          </w:p>
          <w:p>
            <w:pPr>
              <w:widowControl/>
              <w:textAlignment w:val="center"/>
              <w:rPr>
                <w:rFonts w:ascii="宋体" w:hAnsi="宋体" w:eastAsia="宋体" w:cs="宋体"/>
                <w:szCs w:val="21"/>
              </w:rPr>
            </w:pPr>
            <w:r>
              <w:rPr>
                <w:rFonts w:hint="eastAsia" w:ascii="宋体" w:hAnsi="宋体" w:eastAsia="宋体" w:cs="宋体"/>
                <w:szCs w:val="21"/>
              </w:rPr>
              <w:t>工作温度：-10℃ 至 40℃</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飞机电池套装</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内含3块智能飞行电池和一个充电器，满足长时间作业要求。</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加长续航电池（1小时）</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增加无人机在原有的飞行时长，续航不低于1小时。</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无人机保险</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无人机设备保险；</w:t>
            </w:r>
          </w:p>
          <w:p>
            <w:pPr>
              <w:widowControl/>
              <w:textAlignment w:val="center"/>
              <w:rPr>
                <w:rFonts w:ascii="宋体" w:hAnsi="宋体" w:eastAsia="宋体" w:cs="宋体"/>
                <w:szCs w:val="21"/>
              </w:rPr>
            </w:pPr>
            <w:r>
              <w:rPr>
                <w:rFonts w:hint="eastAsia" w:ascii="宋体" w:hAnsi="宋体" w:eastAsia="宋体" w:cs="宋体"/>
                <w:szCs w:val="21"/>
              </w:rPr>
              <w:t>2.无人机第三者保险，全年保险额度50万元，单次赔付最高25万元。</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实时画面接入部集指平台服务</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7.1</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平台计算资源</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rPr>
              <w:t>提供项目可靠的平台计算资源：CPU:14核\内存：64G\2000G SSD，相关技术要求如下：</w:t>
            </w:r>
          </w:p>
          <w:p>
            <w:pPr>
              <w:rPr>
                <w:rFonts w:ascii="宋体" w:hAnsi="宋体" w:eastAsia="宋体" w:cs="宋体"/>
                <w:szCs w:val="21"/>
              </w:rPr>
            </w:pPr>
            <w:r>
              <w:rPr>
                <w:rFonts w:hint="eastAsia" w:ascii="宋体" w:hAnsi="宋体" w:eastAsia="宋体" w:cs="宋体"/>
                <w:szCs w:val="21"/>
              </w:rPr>
              <w:t>▲1.涉及的计算资源平台管理软件拥有自主知识产权。（提供相关知识产权证明）</w:t>
            </w:r>
          </w:p>
          <w:p>
            <w:pP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涉及的计算资源至少配备二台及以上物理计算节点资源及网络资源，具备设备级冗余自动切换迁移。支持数据安全自动恢复机制，当出现节点或者磁盘故障后，自动利用集群内空闲磁盘空间，将故障数据重新恢复，并保证副本数量，确保业务数据的可靠性和安全性。（提供涉及的计算资源平台架构方案证明）</w:t>
            </w:r>
          </w:p>
          <w:p>
            <w:pP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分布式存储通过多副本冗余技术实现数据高可用性，支持基于存储卷级别的副本设定，本次配置2副本。</w:t>
            </w:r>
          </w:p>
          <w:p>
            <w:pP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 xml:space="preserve">. </w:t>
            </w:r>
            <w:r>
              <w:rPr>
                <w:rFonts w:hint="eastAsia" w:ascii="宋体" w:hAnsi="宋体" w:eastAsia="宋体" w:cs="宋体"/>
                <w:szCs w:val="21"/>
              </w:rPr>
              <w:t>涉及的计算资源服务，符合国产化信创要求。（提供平台支持信创证明）</w:t>
            </w:r>
          </w:p>
          <w:p>
            <w:pPr>
              <w:widowControl/>
              <w:textAlignment w:val="center"/>
              <w:rPr>
                <w:rFonts w:ascii="宋体" w:hAnsi="宋体" w:eastAsia="宋体" w:cs="宋体"/>
                <w:szCs w:val="21"/>
              </w:rPr>
            </w:pPr>
            <w:r>
              <w:rPr>
                <w:rFonts w:hint="eastAsia" w:ascii="宋体" w:hAnsi="宋体" w:eastAsia="宋体" w:cs="宋体"/>
                <w:szCs w:val="21"/>
              </w:rPr>
              <w:t>4.平台资源需在舟山本岛机房内配套。</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7.2</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飞控平台软件</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b/>
                <w:bCs/>
                <w:szCs w:val="21"/>
              </w:rPr>
            </w:pPr>
            <w:r>
              <w:rPr>
                <w:rFonts w:hint="eastAsia" w:ascii="宋体" w:hAnsi="宋体" w:eastAsia="宋体" w:cs="宋体"/>
                <w:b/>
                <w:bCs/>
                <w:szCs w:val="21"/>
              </w:rPr>
              <w:t>平台私有化配套，平台功能要求:</w:t>
            </w:r>
          </w:p>
          <w:p>
            <w:pPr>
              <w:rPr>
                <w:rFonts w:ascii="宋体" w:hAnsi="宋体" w:eastAsia="宋体" w:cs="宋体"/>
                <w:b/>
                <w:bCs/>
                <w:szCs w:val="21"/>
              </w:rPr>
            </w:pPr>
            <w:r>
              <w:rPr>
                <w:rFonts w:hint="eastAsia" w:ascii="宋体" w:hAnsi="宋体" w:eastAsia="宋体" w:cs="宋体"/>
                <w:b/>
                <w:bCs/>
                <w:szCs w:val="21"/>
              </w:rPr>
              <w:t>登录：</w:t>
            </w:r>
          </w:p>
          <w:p>
            <w:pPr>
              <w:rPr>
                <w:rFonts w:ascii="宋体" w:hAnsi="宋体" w:eastAsia="宋体" w:cs="宋体"/>
                <w:szCs w:val="21"/>
              </w:rPr>
            </w:pPr>
            <w:r>
              <w:rPr>
                <w:rFonts w:hint="eastAsia" w:ascii="宋体" w:hAnsi="宋体" w:eastAsia="宋体" w:cs="宋体"/>
                <w:szCs w:val="21"/>
              </w:rPr>
              <w:t>1.登录功能</w:t>
            </w:r>
          </w:p>
          <w:p>
            <w:pPr>
              <w:rPr>
                <w:rFonts w:ascii="宋体" w:hAnsi="宋体" w:eastAsia="宋体" w:cs="宋体"/>
                <w:szCs w:val="21"/>
              </w:rPr>
            </w:pPr>
            <w:r>
              <w:rPr>
                <w:rFonts w:hint="eastAsia" w:ascii="宋体" w:hAnsi="宋体" w:eastAsia="宋体" w:cs="宋体"/>
                <w:szCs w:val="21"/>
              </w:rPr>
              <w:t>2.权限功能</w:t>
            </w:r>
          </w:p>
          <w:p>
            <w:pPr>
              <w:rPr>
                <w:rFonts w:ascii="宋体" w:hAnsi="宋体" w:eastAsia="宋体" w:cs="宋体"/>
                <w:b/>
                <w:bCs/>
                <w:szCs w:val="21"/>
              </w:rPr>
            </w:pPr>
            <w:r>
              <w:rPr>
                <w:rFonts w:hint="eastAsia" w:ascii="宋体" w:hAnsi="宋体" w:eastAsia="宋体" w:cs="宋体"/>
                <w:b/>
                <w:bCs/>
                <w:szCs w:val="21"/>
              </w:rPr>
              <w:t>实时监控：</w:t>
            </w:r>
          </w:p>
          <w:p>
            <w:pPr>
              <w:rPr>
                <w:rFonts w:ascii="宋体" w:hAnsi="宋体" w:eastAsia="宋体" w:cs="宋体"/>
                <w:szCs w:val="21"/>
              </w:rPr>
            </w:pPr>
            <w:r>
              <w:rPr>
                <w:rFonts w:hint="eastAsia" w:ascii="宋体" w:hAnsi="宋体" w:eastAsia="宋体" w:cs="宋体"/>
                <w:szCs w:val="21"/>
              </w:rPr>
              <w:t>1.显示统计的在线与总共无人机信息</w:t>
            </w:r>
          </w:p>
          <w:p>
            <w:pPr>
              <w:rPr>
                <w:rFonts w:ascii="宋体" w:hAnsi="宋体" w:eastAsia="宋体" w:cs="宋体"/>
                <w:szCs w:val="21"/>
              </w:rPr>
            </w:pPr>
            <w:r>
              <w:rPr>
                <w:rFonts w:hint="eastAsia" w:ascii="宋体" w:hAnsi="宋体" w:eastAsia="宋体" w:cs="宋体"/>
                <w:szCs w:val="21"/>
              </w:rPr>
              <w:t>2.地图实时更新展示当前所有在线飞机地理位置</w:t>
            </w:r>
          </w:p>
          <w:p>
            <w:pPr>
              <w:rPr>
                <w:rFonts w:ascii="宋体" w:hAnsi="宋体" w:eastAsia="宋体" w:cs="宋体"/>
                <w:b/>
                <w:bCs/>
                <w:szCs w:val="21"/>
              </w:rPr>
            </w:pPr>
            <w:r>
              <w:rPr>
                <w:rFonts w:hint="eastAsia" w:ascii="宋体" w:hAnsi="宋体" w:eastAsia="宋体" w:cs="宋体"/>
                <w:b/>
                <w:bCs/>
                <w:szCs w:val="21"/>
              </w:rPr>
              <w:t>飞行大厅：</w:t>
            </w:r>
          </w:p>
          <w:p>
            <w:pPr>
              <w:rPr>
                <w:rFonts w:ascii="宋体" w:hAnsi="宋体" w:eastAsia="宋体" w:cs="宋体"/>
                <w:szCs w:val="21"/>
              </w:rPr>
            </w:pPr>
            <w:r>
              <w:rPr>
                <w:rFonts w:hint="eastAsia" w:ascii="宋体" w:hAnsi="宋体" w:eastAsia="宋体" w:cs="宋体"/>
                <w:szCs w:val="21"/>
              </w:rPr>
              <w:t>1.选择无人机</w:t>
            </w:r>
          </w:p>
          <w:p>
            <w:pPr>
              <w:rPr>
                <w:rFonts w:ascii="宋体" w:hAnsi="宋体" w:eastAsia="宋体" w:cs="宋体"/>
                <w:szCs w:val="21"/>
              </w:rPr>
            </w:pPr>
            <w:r>
              <w:rPr>
                <w:rFonts w:hint="eastAsia" w:ascii="宋体" w:hAnsi="宋体" w:eastAsia="宋体" w:cs="宋体"/>
                <w:szCs w:val="21"/>
              </w:rPr>
              <w:t>▲2.实时规划航线飞行、选择航线飞行</w:t>
            </w:r>
          </w:p>
          <w:p>
            <w:pPr>
              <w:rPr>
                <w:rFonts w:ascii="宋体" w:hAnsi="宋体" w:eastAsia="宋体" w:cs="宋体"/>
                <w:szCs w:val="21"/>
              </w:rPr>
            </w:pPr>
            <w:r>
              <w:rPr>
                <w:rFonts w:hint="eastAsia" w:ascii="宋体" w:hAnsi="宋体" w:eastAsia="宋体" w:cs="宋体"/>
                <w:szCs w:val="21"/>
              </w:rPr>
              <w:t>▲3.地图实时更新展示所有无人机位置信息及</w:t>
            </w:r>
          </w:p>
          <w:p>
            <w:pPr>
              <w:rPr>
                <w:rFonts w:ascii="宋体" w:hAnsi="宋体" w:eastAsia="宋体" w:cs="宋体"/>
                <w:szCs w:val="21"/>
              </w:rPr>
            </w:pPr>
            <w:r>
              <w:rPr>
                <w:rFonts w:hint="eastAsia" w:ascii="宋体" w:hAnsi="宋体" w:eastAsia="宋体" w:cs="宋体"/>
                <w:szCs w:val="21"/>
              </w:rPr>
              <w:t>▲4.实时视频</w:t>
            </w:r>
          </w:p>
          <w:p>
            <w:pPr>
              <w:rPr>
                <w:rFonts w:ascii="宋体" w:hAnsi="宋体" w:eastAsia="宋体" w:cs="宋体"/>
                <w:szCs w:val="21"/>
              </w:rPr>
            </w:pPr>
            <w:r>
              <w:rPr>
                <w:rFonts w:hint="eastAsia" w:ascii="宋体" w:hAnsi="宋体" w:eastAsia="宋体" w:cs="宋体"/>
                <w:szCs w:val="21"/>
              </w:rPr>
              <w:t>5.指令飞行</w:t>
            </w:r>
          </w:p>
          <w:p>
            <w:pPr>
              <w:rPr>
                <w:rFonts w:ascii="宋体" w:hAnsi="宋体" w:eastAsia="宋体" w:cs="宋体"/>
                <w:b/>
                <w:bCs/>
                <w:szCs w:val="21"/>
              </w:rPr>
            </w:pPr>
            <w:r>
              <w:rPr>
                <w:rFonts w:hint="eastAsia" w:ascii="宋体" w:hAnsi="宋体" w:eastAsia="宋体" w:cs="宋体"/>
                <w:b/>
                <w:bCs/>
                <w:szCs w:val="21"/>
              </w:rPr>
              <w:t>任务管理：</w:t>
            </w:r>
          </w:p>
          <w:p>
            <w:pPr>
              <w:rPr>
                <w:rFonts w:ascii="宋体" w:hAnsi="宋体" w:eastAsia="宋体" w:cs="宋体"/>
                <w:szCs w:val="21"/>
              </w:rPr>
            </w:pPr>
            <w:r>
              <w:rPr>
                <w:rFonts w:hint="eastAsia" w:ascii="宋体" w:hAnsi="宋体" w:eastAsia="宋体" w:cs="宋体"/>
                <w:szCs w:val="21"/>
              </w:rPr>
              <w:t>1.任务列表查询，查询条件：任务组树，任务名称(模糊)、无人机(下拉)、任务状态(下拉)</w:t>
            </w:r>
          </w:p>
          <w:p>
            <w:pPr>
              <w:rPr>
                <w:rFonts w:ascii="宋体" w:hAnsi="宋体" w:eastAsia="宋体" w:cs="宋体"/>
                <w:szCs w:val="21"/>
              </w:rPr>
            </w:pPr>
            <w:r>
              <w:rPr>
                <w:rFonts w:hint="eastAsia" w:ascii="宋体" w:hAnsi="宋体" w:eastAsia="宋体" w:cs="宋体"/>
                <w:szCs w:val="21"/>
              </w:rPr>
              <w:t>2.任务新建</w:t>
            </w:r>
          </w:p>
          <w:p>
            <w:pPr>
              <w:rPr>
                <w:rFonts w:ascii="宋体" w:hAnsi="宋体" w:eastAsia="宋体" w:cs="宋体"/>
                <w:szCs w:val="21"/>
              </w:rPr>
            </w:pPr>
            <w:r>
              <w:rPr>
                <w:rFonts w:hint="eastAsia" w:ascii="宋体" w:hAnsi="宋体" w:eastAsia="宋体" w:cs="宋体"/>
                <w:szCs w:val="21"/>
              </w:rPr>
              <w:t>3.任务编辑</w:t>
            </w:r>
          </w:p>
          <w:p>
            <w:pPr>
              <w:rPr>
                <w:rFonts w:ascii="宋体" w:hAnsi="宋体" w:eastAsia="宋体" w:cs="宋体"/>
                <w:szCs w:val="21"/>
              </w:rPr>
            </w:pPr>
            <w:r>
              <w:rPr>
                <w:rFonts w:hint="eastAsia" w:ascii="宋体" w:hAnsi="宋体" w:eastAsia="宋体" w:cs="宋体"/>
                <w:szCs w:val="21"/>
              </w:rPr>
              <w:t>4.任务操作（复制、删除）</w:t>
            </w:r>
          </w:p>
          <w:p>
            <w:pPr>
              <w:rPr>
                <w:rFonts w:ascii="宋体" w:hAnsi="宋体" w:eastAsia="宋体" w:cs="宋体"/>
                <w:szCs w:val="21"/>
              </w:rPr>
            </w:pPr>
            <w:r>
              <w:rPr>
                <w:rFonts w:hint="eastAsia" w:ascii="宋体" w:hAnsi="宋体" w:eastAsia="宋体" w:cs="宋体"/>
                <w:szCs w:val="21"/>
              </w:rPr>
              <w:t>5.任务包含多条航线</w:t>
            </w:r>
          </w:p>
          <w:p>
            <w:pPr>
              <w:rPr>
                <w:rFonts w:ascii="宋体" w:hAnsi="宋体" w:eastAsia="宋体" w:cs="宋体"/>
                <w:szCs w:val="21"/>
              </w:rPr>
            </w:pPr>
            <w:r>
              <w:rPr>
                <w:rFonts w:hint="eastAsia" w:ascii="宋体" w:hAnsi="宋体" w:eastAsia="宋体" w:cs="宋体"/>
                <w:szCs w:val="21"/>
              </w:rPr>
              <w:t>▲6.航线的执行、返航、暂停操作、手动介入飞行</w:t>
            </w:r>
          </w:p>
          <w:p>
            <w:pPr>
              <w:rPr>
                <w:rFonts w:ascii="宋体" w:hAnsi="宋体" w:eastAsia="宋体" w:cs="宋体"/>
                <w:b/>
                <w:bCs/>
                <w:szCs w:val="21"/>
              </w:rPr>
            </w:pPr>
            <w:r>
              <w:rPr>
                <w:rFonts w:hint="eastAsia" w:ascii="宋体" w:hAnsi="宋体" w:eastAsia="宋体" w:cs="宋体"/>
                <w:b/>
                <w:bCs/>
                <w:szCs w:val="21"/>
              </w:rPr>
              <w:t>任务组管理：</w:t>
            </w:r>
          </w:p>
          <w:p>
            <w:pPr>
              <w:rPr>
                <w:rFonts w:ascii="宋体" w:hAnsi="宋体" w:eastAsia="宋体" w:cs="宋体"/>
                <w:szCs w:val="21"/>
              </w:rPr>
            </w:pPr>
            <w:r>
              <w:rPr>
                <w:rFonts w:hint="eastAsia" w:ascii="宋体" w:hAnsi="宋体" w:eastAsia="宋体" w:cs="宋体"/>
                <w:szCs w:val="21"/>
              </w:rPr>
              <w:t>1.任务组树形管理</w:t>
            </w:r>
          </w:p>
          <w:p>
            <w:pPr>
              <w:rPr>
                <w:rFonts w:ascii="宋体" w:hAnsi="宋体" w:eastAsia="宋体" w:cs="宋体"/>
                <w:szCs w:val="21"/>
              </w:rPr>
            </w:pPr>
            <w:r>
              <w:rPr>
                <w:rFonts w:hint="eastAsia" w:ascii="宋体" w:hAnsi="宋体" w:eastAsia="宋体" w:cs="宋体"/>
                <w:szCs w:val="21"/>
              </w:rPr>
              <w:t>2.任务组编辑</w:t>
            </w:r>
          </w:p>
          <w:p>
            <w:pPr>
              <w:rPr>
                <w:rFonts w:ascii="宋体" w:hAnsi="宋体" w:eastAsia="宋体" w:cs="宋体"/>
                <w:szCs w:val="21"/>
              </w:rPr>
            </w:pPr>
            <w:r>
              <w:rPr>
                <w:rFonts w:hint="eastAsia" w:ascii="宋体" w:hAnsi="宋体" w:eastAsia="宋体" w:cs="宋体"/>
                <w:szCs w:val="21"/>
              </w:rPr>
              <w:t>3.任务组新建</w:t>
            </w:r>
          </w:p>
          <w:p>
            <w:pPr>
              <w:rPr>
                <w:rFonts w:ascii="宋体" w:hAnsi="宋体" w:eastAsia="宋体" w:cs="宋体"/>
                <w:szCs w:val="21"/>
              </w:rPr>
            </w:pPr>
            <w:r>
              <w:rPr>
                <w:rFonts w:hint="eastAsia" w:ascii="宋体" w:hAnsi="宋体" w:eastAsia="宋体" w:cs="宋体"/>
                <w:szCs w:val="21"/>
              </w:rPr>
              <w:t>4.任务组及任务可拖拽</w:t>
            </w:r>
          </w:p>
          <w:p>
            <w:pPr>
              <w:rPr>
                <w:rFonts w:ascii="宋体" w:hAnsi="宋体" w:eastAsia="宋体" w:cs="宋体"/>
                <w:b/>
                <w:bCs/>
                <w:szCs w:val="21"/>
              </w:rPr>
            </w:pPr>
            <w:r>
              <w:rPr>
                <w:rFonts w:hint="eastAsia" w:ascii="宋体" w:hAnsi="宋体" w:eastAsia="宋体" w:cs="宋体"/>
                <w:b/>
                <w:bCs/>
                <w:szCs w:val="21"/>
              </w:rPr>
              <w:t>航线管理：</w:t>
            </w:r>
          </w:p>
          <w:p>
            <w:pPr>
              <w:rPr>
                <w:rFonts w:ascii="宋体" w:hAnsi="宋体" w:eastAsia="宋体" w:cs="宋体"/>
                <w:szCs w:val="21"/>
              </w:rPr>
            </w:pPr>
            <w:r>
              <w:rPr>
                <w:rFonts w:hint="eastAsia" w:ascii="宋体" w:hAnsi="宋体" w:eastAsia="宋体" w:cs="宋体"/>
                <w:szCs w:val="21"/>
              </w:rPr>
              <w:t>1.航线按类型（航点飞行、建图航拍、倾斜摄影、全景拍摄）卡片式管理</w:t>
            </w:r>
          </w:p>
          <w:p>
            <w:pPr>
              <w:rPr>
                <w:rFonts w:ascii="宋体" w:hAnsi="宋体" w:eastAsia="宋体" w:cs="宋体"/>
                <w:szCs w:val="21"/>
              </w:rPr>
            </w:pPr>
            <w:r>
              <w:rPr>
                <w:rFonts w:hint="eastAsia" w:ascii="宋体" w:hAnsi="宋体" w:eastAsia="宋体" w:cs="宋体"/>
                <w:szCs w:val="21"/>
              </w:rPr>
              <w:t>2.航线编辑</w:t>
            </w:r>
          </w:p>
          <w:p>
            <w:pPr>
              <w:rPr>
                <w:rFonts w:ascii="宋体" w:hAnsi="宋体" w:eastAsia="宋体" w:cs="宋体"/>
                <w:szCs w:val="21"/>
              </w:rPr>
            </w:pPr>
            <w:r>
              <w:rPr>
                <w:rFonts w:hint="eastAsia" w:ascii="宋体" w:hAnsi="宋体" w:eastAsia="宋体" w:cs="宋体"/>
                <w:szCs w:val="21"/>
              </w:rPr>
              <w:t>3.航线复制</w:t>
            </w:r>
          </w:p>
          <w:p>
            <w:pPr>
              <w:rPr>
                <w:rFonts w:ascii="宋体" w:hAnsi="宋体" w:eastAsia="宋体" w:cs="宋体"/>
                <w:szCs w:val="21"/>
              </w:rPr>
            </w:pPr>
            <w:r>
              <w:rPr>
                <w:rFonts w:hint="eastAsia" w:ascii="宋体" w:hAnsi="宋体" w:eastAsia="宋体" w:cs="宋体"/>
                <w:szCs w:val="21"/>
              </w:rPr>
              <w:t>4.航线删除</w:t>
            </w:r>
          </w:p>
          <w:p>
            <w:pPr>
              <w:rPr>
                <w:rFonts w:ascii="宋体" w:hAnsi="宋体" w:eastAsia="宋体" w:cs="宋体"/>
                <w:szCs w:val="21"/>
              </w:rPr>
            </w:pPr>
            <w:r>
              <w:rPr>
                <w:rFonts w:hint="eastAsia" w:ascii="宋体" w:hAnsi="宋体" w:eastAsia="宋体" w:cs="宋体"/>
                <w:szCs w:val="21"/>
              </w:rPr>
              <w:t>5.航线导入</w:t>
            </w:r>
          </w:p>
          <w:p>
            <w:pPr>
              <w:rPr>
                <w:rFonts w:ascii="宋体" w:hAnsi="宋体" w:eastAsia="宋体" w:cs="宋体"/>
                <w:szCs w:val="21"/>
              </w:rPr>
            </w:pPr>
            <w:r>
              <w:rPr>
                <w:rFonts w:hint="eastAsia" w:ascii="宋体" w:hAnsi="宋体" w:eastAsia="宋体" w:cs="宋体"/>
                <w:szCs w:val="21"/>
              </w:rPr>
              <w:t>6.航线规划</w:t>
            </w:r>
          </w:p>
          <w:p>
            <w:pPr>
              <w:rPr>
                <w:rFonts w:ascii="宋体" w:hAnsi="宋体" w:eastAsia="宋体" w:cs="宋体"/>
                <w:szCs w:val="21"/>
              </w:rPr>
            </w:pPr>
            <w:r>
              <w:rPr>
                <w:rFonts w:hint="eastAsia" w:ascii="宋体" w:hAnsi="宋体" w:eastAsia="宋体" w:cs="宋体"/>
                <w:szCs w:val="21"/>
              </w:rPr>
              <w:t>7.航线分享</w:t>
            </w:r>
          </w:p>
          <w:p>
            <w:pPr>
              <w:rPr>
                <w:rFonts w:ascii="宋体" w:hAnsi="宋体" w:eastAsia="宋体" w:cs="宋体"/>
                <w:b/>
                <w:bCs/>
                <w:szCs w:val="21"/>
              </w:rPr>
            </w:pPr>
            <w:r>
              <w:rPr>
                <w:rFonts w:hint="eastAsia" w:ascii="宋体" w:hAnsi="宋体" w:eastAsia="宋体" w:cs="宋体"/>
                <w:b/>
                <w:bCs/>
                <w:szCs w:val="21"/>
              </w:rPr>
              <w:t>人员管理：</w:t>
            </w:r>
          </w:p>
          <w:p>
            <w:pPr>
              <w:rPr>
                <w:rFonts w:ascii="宋体" w:hAnsi="宋体" w:eastAsia="宋体" w:cs="宋体"/>
                <w:szCs w:val="21"/>
              </w:rPr>
            </w:pPr>
            <w:r>
              <w:rPr>
                <w:rFonts w:hint="eastAsia" w:ascii="宋体" w:hAnsi="宋体" w:eastAsia="宋体" w:cs="宋体"/>
                <w:szCs w:val="21"/>
              </w:rPr>
              <w:t>▲1.飞手信息管理</w:t>
            </w:r>
          </w:p>
          <w:p>
            <w:pPr>
              <w:rPr>
                <w:rFonts w:ascii="宋体" w:hAnsi="宋体" w:eastAsia="宋体" w:cs="宋体"/>
                <w:szCs w:val="21"/>
              </w:rPr>
            </w:pPr>
            <w:r>
              <w:rPr>
                <w:rFonts w:hint="eastAsia" w:ascii="宋体" w:hAnsi="宋体" w:eastAsia="宋体" w:cs="宋体"/>
                <w:szCs w:val="21"/>
              </w:rPr>
              <w:t>▲2.无人机登记</w:t>
            </w:r>
          </w:p>
          <w:p>
            <w:pPr>
              <w:rPr>
                <w:rFonts w:ascii="宋体" w:hAnsi="宋体" w:eastAsia="宋体" w:cs="宋体"/>
                <w:szCs w:val="21"/>
              </w:rPr>
            </w:pPr>
            <w:r>
              <w:rPr>
                <w:rFonts w:hint="eastAsia" w:ascii="宋体" w:hAnsi="宋体" w:eastAsia="宋体" w:cs="宋体"/>
                <w:szCs w:val="21"/>
              </w:rPr>
              <w:t>▲3.数据统计，记录飞行日志信息无人机设备类型、飞行人员账号、无人机SN码、起飞时间、最大高度、飞行时长、飞行距离等；特定统计时间内的总飞行次数、总飞行时长和平均飞行时长统计；基于飞行时长范围的飞行次数柱状图统计展示；支持基于特定团队或成员进行飞行日志统计分析。</w:t>
            </w:r>
          </w:p>
          <w:p>
            <w:pPr>
              <w:rPr>
                <w:rFonts w:ascii="宋体" w:hAnsi="宋体" w:eastAsia="宋体" w:cs="宋体"/>
                <w:szCs w:val="21"/>
              </w:rPr>
            </w:pPr>
            <w:r>
              <w:rPr>
                <w:rFonts w:hint="eastAsia" w:ascii="宋体" w:hAnsi="宋体" w:eastAsia="宋体" w:cs="宋体"/>
                <w:szCs w:val="21"/>
              </w:rPr>
              <w:t>4报警管理</w:t>
            </w:r>
          </w:p>
          <w:p>
            <w:pPr>
              <w:rPr>
                <w:rFonts w:ascii="宋体" w:hAnsi="宋体" w:eastAsia="宋体" w:cs="宋体"/>
                <w:b/>
                <w:bCs/>
                <w:szCs w:val="21"/>
              </w:rPr>
            </w:pPr>
            <w:r>
              <w:rPr>
                <w:rFonts w:hint="eastAsia" w:ascii="宋体" w:hAnsi="宋体" w:eastAsia="宋体" w:cs="宋体"/>
                <w:b/>
                <w:bCs/>
                <w:szCs w:val="21"/>
              </w:rPr>
              <w:t>禁飞区：</w:t>
            </w:r>
          </w:p>
          <w:p>
            <w:pPr>
              <w:rPr>
                <w:rFonts w:ascii="宋体" w:hAnsi="宋体" w:eastAsia="宋体" w:cs="宋体"/>
                <w:szCs w:val="21"/>
              </w:rPr>
            </w:pPr>
            <w:r>
              <w:rPr>
                <w:rFonts w:hint="eastAsia" w:ascii="宋体" w:hAnsi="宋体" w:eastAsia="宋体" w:cs="宋体"/>
                <w:szCs w:val="21"/>
              </w:rPr>
              <w:t>▲自定义禁飞区，航线规划避开禁飞区</w:t>
            </w:r>
          </w:p>
          <w:p>
            <w:pPr>
              <w:rPr>
                <w:rFonts w:ascii="宋体" w:hAnsi="宋体" w:eastAsia="宋体" w:cs="宋体"/>
                <w:b/>
                <w:bCs/>
                <w:szCs w:val="21"/>
              </w:rPr>
            </w:pPr>
            <w:r>
              <w:rPr>
                <w:rFonts w:hint="eastAsia" w:ascii="宋体" w:hAnsi="宋体" w:eastAsia="宋体" w:cs="宋体"/>
                <w:b/>
                <w:bCs/>
                <w:szCs w:val="21"/>
              </w:rPr>
              <w:t>第三方推送：</w:t>
            </w:r>
          </w:p>
          <w:p>
            <w:pPr>
              <w:rPr>
                <w:rFonts w:ascii="宋体" w:hAnsi="宋体" w:eastAsia="宋体" w:cs="宋体"/>
                <w:szCs w:val="21"/>
              </w:rPr>
            </w:pPr>
            <w:r>
              <w:rPr>
                <w:rFonts w:hint="eastAsia" w:ascii="宋体" w:hAnsi="宋体" w:eastAsia="宋体" w:cs="宋体"/>
                <w:szCs w:val="21"/>
              </w:rPr>
              <w:t>1.实时飞行数据流推送第三方</w:t>
            </w:r>
          </w:p>
          <w:p>
            <w:pPr>
              <w:rPr>
                <w:rFonts w:ascii="宋体" w:hAnsi="宋体" w:eastAsia="宋体" w:cs="宋体"/>
                <w:szCs w:val="21"/>
              </w:rPr>
            </w:pPr>
            <w:r>
              <w:rPr>
                <w:rFonts w:hint="eastAsia" w:ascii="宋体" w:hAnsi="宋体" w:eastAsia="宋体" w:cs="宋体"/>
                <w:szCs w:val="21"/>
              </w:rPr>
              <w:t>2.飞行视频流推送第三方</w:t>
            </w:r>
          </w:p>
          <w:p>
            <w:pPr>
              <w:rPr>
                <w:rFonts w:ascii="宋体" w:hAnsi="宋体" w:eastAsia="宋体" w:cs="宋体"/>
                <w:b/>
                <w:bCs/>
                <w:szCs w:val="21"/>
              </w:rPr>
            </w:pPr>
            <w:r>
              <w:rPr>
                <w:rFonts w:hint="eastAsia" w:ascii="宋体" w:hAnsi="宋体" w:eastAsia="宋体" w:cs="宋体"/>
                <w:b/>
                <w:bCs/>
                <w:szCs w:val="21"/>
              </w:rPr>
              <w:t>图传管理：</w:t>
            </w:r>
          </w:p>
          <w:p>
            <w:pPr>
              <w:rPr>
                <w:rFonts w:ascii="宋体" w:hAnsi="宋体" w:eastAsia="宋体" w:cs="宋体"/>
                <w:szCs w:val="21"/>
              </w:rPr>
            </w:pPr>
            <w:r>
              <w:rPr>
                <w:rFonts w:hint="eastAsia" w:ascii="宋体" w:hAnsi="宋体" w:eastAsia="宋体" w:cs="宋体"/>
                <w:szCs w:val="21"/>
              </w:rPr>
              <w:t>▲在线视频、国标视频、在线飞机多宫格视频实时展示</w:t>
            </w:r>
          </w:p>
          <w:p>
            <w:pPr>
              <w:rPr>
                <w:rFonts w:ascii="宋体" w:hAnsi="宋体" w:eastAsia="宋体" w:cs="宋体"/>
                <w:b/>
                <w:bCs/>
                <w:szCs w:val="21"/>
              </w:rPr>
            </w:pPr>
            <w:r>
              <w:rPr>
                <w:rFonts w:hint="eastAsia" w:ascii="宋体" w:hAnsi="宋体" w:eastAsia="宋体" w:cs="宋体"/>
                <w:b/>
                <w:bCs/>
                <w:szCs w:val="21"/>
              </w:rPr>
              <w:t>媒体管理：</w:t>
            </w:r>
          </w:p>
          <w:p>
            <w:pPr>
              <w:rPr>
                <w:rFonts w:ascii="宋体" w:hAnsi="宋体" w:eastAsia="宋体" w:cs="宋体"/>
                <w:szCs w:val="21"/>
              </w:rPr>
            </w:pPr>
            <w:r>
              <w:rPr>
                <w:rFonts w:hint="eastAsia" w:ascii="宋体" w:hAnsi="宋体" w:eastAsia="宋体" w:cs="宋体"/>
                <w:szCs w:val="21"/>
              </w:rPr>
              <w:t>媒体文件系统管理</w:t>
            </w:r>
          </w:p>
          <w:p>
            <w:pPr>
              <w:rPr>
                <w:rFonts w:ascii="宋体" w:hAnsi="宋体" w:eastAsia="宋体" w:cs="宋体"/>
                <w:b/>
                <w:bCs/>
                <w:szCs w:val="21"/>
              </w:rPr>
            </w:pPr>
            <w:r>
              <w:rPr>
                <w:rFonts w:hint="eastAsia" w:ascii="宋体" w:hAnsi="宋体" w:eastAsia="宋体" w:cs="宋体"/>
                <w:b/>
                <w:bCs/>
                <w:szCs w:val="21"/>
              </w:rPr>
              <w:t>电池管理：</w:t>
            </w:r>
          </w:p>
          <w:p>
            <w:pPr>
              <w:rPr>
                <w:rFonts w:ascii="宋体" w:hAnsi="宋体" w:eastAsia="宋体" w:cs="宋体"/>
                <w:szCs w:val="21"/>
              </w:rPr>
            </w:pPr>
            <w:r>
              <w:rPr>
                <w:rFonts w:hint="eastAsia" w:ascii="宋体" w:hAnsi="宋体" w:eastAsia="宋体" w:cs="宋体"/>
                <w:szCs w:val="21"/>
              </w:rPr>
              <w:t>电池信息列表查询，查询条件：电池sn(模糊)</w:t>
            </w:r>
          </w:p>
          <w:p>
            <w:pPr>
              <w:rPr>
                <w:rFonts w:ascii="宋体" w:hAnsi="宋体" w:eastAsia="宋体" w:cs="宋体"/>
                <w:szCs w:val="21"/>
              </w:rPr>
            </w:pPr>
            <w:r>
              <w:rPr>
                <w:rFonts w:hint="eastAsia" w:ascii="宋体" w:hAnsi="宋体" w:eastAsia="宋体" w:cs="宋体"/>
                <w:szCs w:val="21"/>
              </w:rPr>
              <w:t>排序：最近使用时间、寿命</w:t>
            </w:r>
          </w:p>
          <w:p>
            <w:pPr>
              <w:rPr>
                <w:rFonts w:ascii="宋体" w:hAnsi="宋体" w:eastAsia="宋体" w:cs="宋体"/>
                <w:b/>
                <w:bCs/>
                <w:szCs w:val="21"/>
              </w:rPr>
            </w:pPr>
            <w:r>
              <w:rPr>
                <w:rFonts w:hint="eastAsia" w:ascii="宋体" w:hAnsi="宋体" w:eastAsia="宋体" w:cs="宋体"/>
                <w:b/>
                <w:bCs/>
                <w:szCs w:val="21"/>
              </w:rPr>
              <w:t>平台管理：</w:t>
            </w:r>
          </w:p>
          <w:p>
            <w:pPr>
              <w:rPr>
                <w:rFonts w:ascii="宋体" w:hAnsi="宋体" w:eastAsia="宋体" w:cs="宋体"/>
                <w:szCs w:val="21"/>
              </w:rPr>
            </w:pPr>
            <w:r>
              <w:rPr>
                <w:rFonts w:hint="eastAsia" w:ascii="宋体" w:hAnsi="宋体" w:eastAsia="宋体" w:cs="宋体"/>
                <w:szCs w:val="21"/>
              </w:rPr>
              <w:t>1.无人机厂家管理(增、删、改)</w:t>
            </w:r>
          </w:p>
          <w:p>
            <w:pPr>
              <w:rPr>
                <w:rFonts w:ascii="宋体" w:hAnsi="宋体" w:eastAsia="宋体" w:cs="宋体"/>
                <w:szCs w:val="21"/>
              </w:rPr>
            </w:pPr>
            <w:r>
              <w:rPr>
                <w:rFonts w:hint="eastAsia" w:ascii="宋体" w:hAnsi="宋体" w:eastAsia="宋体" w:cs="宋体"/>
                <w:szCs w:val="21"/>
              </w:rPr>
              <w:t>2.无人机型号管理(增、删、改)</w:t>
            </w:r>
          </w:p>
          <w:p>
            <w:pPr>
              <w:rPr>
                <w:rFonts w:ascii="宋体" w:hAnsi="宋体" w:eastAsia="宋体" w:cs="宋体"/>
                <w:szCs w:val="21"/>
              </w:rPr>
            </w:pPr>
            <w:r>
              <w:rPr>
                <w:rFonts w:hint="eastAsia" w:ascii="宋体" w:hAnsi="宋体" w:eastAsia="宋体" w:cs="宋体"/>
                <w:szCs w:val="21"/>
              </w:rPr>
              <w:t>3.无人机类型管理(增、删、改)</w:t>
            </w:r>
          </w:p>
          <w:p>
            <w:pPr>
              <w:rPr>
                <w:rFonts w:ascii="宋体" w:hAnsi="宋体" w:eastAsia="宋体" w:cs="宋体"/>
                <w:szCs w:val="21"/>
              </w:rPr>
            </w:pPr>
            <w:r>
              <w:rPr>
                <w:rFonts w:hint="eastAsia" w:ascii="宋体" w:hAnsi="宋体" w:eastAsia="宋体" w:cs="宋体"/>
                <w:szCs w:val="21"/>
              </w:rPr>
              <w:t>4.账号管理(树：增、删、改)</w:t>
            </w:r>
          </w:p>
          <w:p>
            <w:pPr>
              <w:rPr>
                <w:rFonts w:ascii="宋体" w:hAnsi="宋体" w:eastAsia="宋体" w:cs="宋体"/>
                <w:szCs w:val="21"/>
              </w:rPr>
            </w:pPr>
            <w:r>
              <w:rPr>
                <w:rFonts w:hint="eastAsia" w:ascii="宋体" w:hAnsi="宋体" w:eastAsia="宋体" w:cs="宋体"/>
                <w:szCs w:val="21"/>
              </w:rPr>
              <w:t>5.字典管理(增、删、改)</w:t>
            </w:r>
          </w:p>
          <w:p>
            <w:pPr>
              <w:rPr>
                <w:rFonts w:ascii="宋体" w:hAnsi="宋体" w:eastAsia="宋体" w:cs="宋体"/>
                <w:szCs w:val="21"/>
              </w:rPr>
            </w:pPr>
            <w:r>
              <w:rPr>
                <w:rFonts w:hint="eastAsia" w:ascii="宋体" w:hAnsi="宋体" w:eastAsia="宋体" w:cs="宋体"/>
                <w:szCs w:val="21"/>
              </w:rPr>
              <w:t>6.无人机保险管理-手动维护（多个保险）</w:t>
            </w:r>
          </w:p>
          <w:p>
            <w:pPr>
              <w:rPr>
                <w:rFonts w:ascii="宋体" w:hAnsi="宋体" w:eastAsia="宋体" w:cs="宋体"/>
                <w:szCs w:val="21"/>
              </w:rPr>
            </w:pPr>
            <w:r>
              <w:rPr>
                <w:rFonts w:hint="eastAsia" w:ascii="宋体" w:hAnsi="宋体" w:eastAsia="宋体" w:cs="宋体"/>
                <w:szCs w:val="21"/>
              </w:rPr>
              <w:t>7.登入日志</w:t>
            </w:r>
          </w:p>
        </w:tc>
      </w:tr>
      <w:tr>
        <w:tblPrEx>
          <w:tblCellMar>
            <w:top w:w="0" w:type="dxa"/>
            <w:left w:w="0" w:type="dxa"/>
            <w:bottom w:w="0" w:type="dxa"/>
            <w:right w:w="0" w:type="dxa"/>
          </w:tblCellMar>
        </w:tblPrEx>
        <w:trPr>
          <w:trHeight w:val="3325"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7.3</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互联网对接防护</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rPr>
              <w:t>互联网对接安全防护配套外网防火墙：</w:t>
            </w:r>
          </w:p>
          <w:p>
            <w:pPr>
              <w:rPr>
                <w:rFonts w:ascii="宋体" w:hAnsi="宋体" w:eastAsia="宋体" w:cs="宋体"/>
                <w:szCs w:val="21"/>
              </w:rPr>
            </w:pPr>
            <w:r>
              <w:rPr>
                <w:rFonts w:hint="eastAsia" w:ascii="宋体" w:hAnsi="宋体" w:eastAsia="宋体" w:cs="宋体"/>
                <w:szCs w:val="21"/>
              </w:rPr>
              <w:t>▲1.国产化要求：国产CPU芯片。（提供第三方检验检测报告证明）</w:t>
            </w:r>
          </w:p>
          <w:p>
            <w:pPr>
              <w:rPr>
                <w:rFonts w:ascii="宋体" w:hAnsi="宋体" w:eastAsia="宋体" w:cs="宋体"/>
                <w:szCs w:val="21"/>
              </w:rPr>
            </w:pPr>
            <w:r>
              <w:rPr>
                <w:rFonts w:hint="eastAsia" w:ascii="宋体" w:hAnsi="宋体" w:eastAsia="宋体" w:cs="宋体"/>
                <w:szCs w:val="21"/>
              </w:rPr>
              <w:t>2.设备端口：10GE SFP≥2个，GE Combo端口 ≥8个；（提供官网截图及技术彩页证明）</w:t>
            </w:r>
          </w:p>
          <w:p>
            <w:pPr>
              <w:rPr>
                <w:rFonts w:ascii="宋体" w:hAnsi="宋体" w:eastAsia="宋体" w:cs="宋体"/>
                <w:szCs w:val="21"/>
              </w:rPr>
            </w:pPr>
            <w:r>
              <w:rPr>
                <w:rFonts w:hint="eastAsia" w:ascii="宋体" w:hAnsi="宋体" w:eastAsia="宋体" w:cs="宋体"/>
                <w:szCs w:val="21"/>
              </w:rPr>
              <w:t>▲3.网络层吞吐量：≥8Gbit/s，并发连接数≥3000000，每秒新建连接数：60000/S。（提供官网截图及技术彩页证明）</w:t>
            </w:r>
          </w:p>
          <w:p>
            <w:pPr>
              <w:rPr>
                <w:rFonts w:ascii="宋体" w:hAnsi="宋体" w:eastAsia="宋体" w:cs="宋体"/>
                <w:szCs w:val="21"/>
              </w:rPr>
            </w:pPr>
            <w:r>
              <w:rPr>
                <w:rFonts w:hint="eastAsia" w:ascii="宋体" w:hAnsi="宋体" w:eastAsia="宋体" w:cs="宋体"/>
                <w:szCs w:val="21"/>
              </w:rPr>
              <w:t>▲4.设备在IPV4网络中512字节中长包平均延迟≤25μS。（提供第三方检验检测报告证明）</w:t>
            </w:r>
          </w:p>
          <w:p>
            <w:pPr>
              <w:rPr>
                <w:rFonts w:ascii="宋体" w:hAnsi="宋体" w:eastAsia="宋体" w:cs="宋体"/>
                <w:szCs w:val="21"/>
              </w:rPr>
            </w:pPr>
            <w:r>
              <w:rPr>
                <w:rFonts w:hint="eastAsia" w:ascii="宋体" w:hAnsi="宋体" w:eastAsia="宋体" w:cs="宋体"/>
                <w:szCs w:val="21"/>
              </w:rPr>
              <w:t>5.服务期内配套反病毒特征库、URL远程查询、入侵防御特征库升级授权，</w:t>
            </w:r>
          </w:p>
          <w:p>
            <w:pPr>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.识别与管控：访问控制精度到应用功能。应用识别与入侵检测、防病毒、内容过滤相结合，提高检测性能和准确率。</w:t>
            </w:r>
          </w:p>
          <w:p>
            <w:pPr>
              <w:rPr>
                <w:rFonts w:ascii="宋体" w:hAnsi="宋体" w:eastAsia="宋体" w:cs="宋体"/>
                <w:szCs w:val="21"/>
              </w:rPr>
            </w:pPr>
            <w:r>
              <w:rPr>
                <w:rFonts w:ascii="宋体" w:hAnsi="宋体" w:eastAsia="宋体" w:cs="宋体"/>
                <w:szCs w:val="21"/>
              </w:rPr>
              <w:t xml:space="preserve">7. </w:t>
            </w:r>
            <w:r>
              <w:rPr>
                <w:rFonts w:hint="eastAsia" w:ascii="宋体" w:hAnsi="宋体" w:eastAsia="宋体" w:cs="宋体"/>
                <w:szCs w:val="21"/>
              </w:rPr>
              <w:t>APT防御：支持对恶意文件进行检测和阻断。</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7.4</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业务系统信息安全</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rPr>
              <w:t>1.根据平台等保信息安全要求，提供平台业务系统信息安全服务一项，包含EDR防病毒软件、日志审计系统、运维堡垒机等系统软硬件。</w:t>
            </w:r>
          </w:p>
          <w:p>
            <w:pPr>
              <w:widowControl/>
              <w:textAlignment w:val="center"/>
              <w:rPr>
                <w:rFonts w:ascii="宋体" w:hAnsi="宋体" w:eastAsia="宋体" w:cs="宋体"/>
                <w:szCs w:val="21"/>
              </w:rPr>
            </w:pPr>
            <w:r>
              <w:rPr>
                <w:rFonts w:hint="eastAsia" w:ascii="宋体" w:hAnsi="宋体" w:eastAsia="宋体" w:cs="宋体"/>
                <w:szCs w:val="21"/>
              </w:rPr>
              <w:t>2.需根据测评要求对安全产品进行配套，最终满足业务系统等保二级要求。</w:t>
            </w:r>
          </w:p>
        </w:tc>
      </w:tr>
      <w:tr>
        <w:tblPrEx>
          <w:tblCellMar>
            <w:top w:w="0" w:type="dxa"/>
            <w:left w:w="0" w:type="dxa"/>
            <w:bottom w:w="0" w:type="dxa"/>
            <w:right w:w="0" w:type="dxa"/>
          </w:tblCellMar>
        </w:tblPrEx>
        <w:trPr>
          <w:trHeight w:val="597"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7.5</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互联网电路</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100M互联网电路一条，固定IP一个</w:t>
            </w:r>
          </w:p>
        </w:tc>
      </w:tr>
      <w:tr>
        <w:tblPrEx>
          <w:tblCellMar>
            <w:top w:w="0" w:type="dxa"/>
            <w:left w:w="0" w:type="dxa"/>
            <w:bottom w:w="0" w:type="dxa"/>
            <w:right w:w="0" w:type="dxa"/>
          </w:tblCellMar>
        </w:tblPrEx>
        <w:trPr>
          <w:trHeight w:val="612"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7.6</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对接电路</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平台对接联网专线一条，千兆光缆</w:t>
            </w:r>
          </w:p>
        </w:tc>
      </w:tr>
      <w:tr>
        <w:tblPrEx>
          <w:tblCellMar>
            <w:top w:w="0" w:type="dxa"/>
            <w:left w:w="0" w:type="dxa"/>
            <w:bottom w:w="0" w:type="dxa"/>
            <w:right w:w="0" w:type="dxa"/>
          </w:tblCellMar>
        </w:tblPrEx>
        <w:trPr>
          <w:trHeight w:val="755"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7.7</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业务系统代码测评</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无人机飞行控制软件第三方代码审计一项</w:t>
            </w:r>
          </w:p>
        </w:tc>
      </w:tr>
      <w:tr>
        <w:tblPrEx>
          <w:tblCellMar>
            <w:top w:w="0" w:type="dxa"/>
            <w:left w:w="0" w:type="dxa"/>
            <w:bottom w:w="0" w:type="dxa"/>
            <w:right w:w="0" w:type="dxa"/>
          </w:tblCellMar>
        </w:tblPrEx>
        <w:trPr>
          <w:trHeight w:val="528"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7.8</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等保测评</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业务系统二级等保测评一项</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7.9</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H264接口定制</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使用的H264视频协议接口，实现对无人机视频流的实时传输和监测。</w:t>
            </w:r>
          </w:p>
        </w:tc>
      </w:tr>
      <w:tr>
        <w:tblPrEx>
          <w:tblCellMar>
            <w:top w:w="0" w:type="dxa"/>
            <w:left w:w="0" w:type="dxa"/>
            <w:bottom w:w="0" w:type="dxa"/>
            <w:right w:w="0" w:type="dxa"/>
          </w:tblCellMar>
        </w:tblPrEx>
        <w:trPr>
          <w:trHeight w:val="90" w:hRule="atLeast"/>
        </w:trPr>
        <w:tc>
          <w:tcPr>
            <w:tcW w:w="2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7.10</w:t>
            </w:r>
          </w:p>
        </w:tc>
        <w:tc>
          <w:tcPr>
            <w:tcW w:w="8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平台数据对接</w:t>
            </w:r>
          </w:p>
        </w:tc>
        <w:tc>
          <w:tcPr>
            <w:tcW w:w="38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szCs w:val="21"/>
              </w:rPr>
            </w:pPr>
            <w:r>
              <w:rPr>
                <w:rFonts w:hint="eastAsia" w:ascii="宋体" w:hAnsi="宋体" w:eastAsia="宋体" w:cs="宋体"/>
                <w:szCs w:val="21"/>
              </w:rPr>
              <w:t>平台数据对接至公安交警内网业务系统</w:t>
            </w:r>
          </w:p>
        </w:tc>
      </w:tr>
    </w:tbl>
    <w:p>
      <w:pPr>
        <w:spacing w:line="312" w:lineRule="auto"/>
        <w:ind w:firstLine="420" w:firstLineChars="200"/>
        <w:rPr>
          <w:rFonts w:ascii="宋体" w:hAnsi="宋体" w:eastAsia="宋体" w:cs="宋体"/>
          <w:szCs w:val="21"/>
        </w:rPr>
      </w:pPr>
    </w:p>
    <w:p>
      <w:pPr>
        <w:spacing w:line="312" w:lineRule="auto"/>
        <w:ind w:firstLine="422" w:firstLineChars="200"/>
        <w:rPr>
          <w:rFonts w:ascii="宋体" w:hAnsi="宋体" w:eastAsia="宋体" w:cs="宋体"/>
          <w:b/>
          <w:bCs/>
          <w:szCs w:val="21"/>
        </w:rPr>
      </w:pPr>
      <w:r>
        <w:rPr>
          <w:rFonts w:hint="eastAsia" w:ascii="宋体" w:hAnsi="宋体" w:eastAsia="宋体" w:cs="宋体"/>
          <w:b/>
          <w:bCs/>
          <w:szCs w:val="21"/>
        </w:rPr>
        <w:t>④无人机一年一口价统包维修服务要求</w:t>
      </w:r>
    </w:p>
    <w:tbl>
      <w:tblPr>
        <w:tblStyle w:val="62"/>
        <w:tblW w:w="50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440"/>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40"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序号</w:t>
            </w:r>
          </w:p>
        </w:tc>
        <w:tc>
          <w:tcPr>
            <w:tcW w:w="1889"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名称</w:t>
            </w:r>
          </w:p>
        </w:tc>
        <w:tc>
          <w:tcPr>
            <w:tcW w:w="2671" w:type="pct"/>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440"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18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无人机图像传输平台</w:t>
            </w:r>
          </w:p>
        </w:tc>
        <w:tc>
          <w:tcPr>
            <w:tcW w:w="2671" w:type="pct"/>
            <w:vMerge w:val="restart"/>
            <w:vAlign w:val="center"/>
          </w:tcPr>
          <w:p>
            <w:pPr>
              <w:widowControl/>
              <w:tabs>
                <w:tab w:val="left" w:pos="1804"/>
              </w:tabs>
              <w:textAlignment w:val="center"/>
              <w:rPr>
                <w:rFonts w:ascii="宋体" w:hAnsi="宋体" w:eastAsia="宋体" w:cs="宋体"/>
                <w:kern w:val="0"/>
                <w:szCs w:val="21"/>
              </w:rPr>
            </w:pPr>
            <w:r>
              <w:rPr>
                <w:rFonts w:hint="eastAsia" w:ascii="宋体" w:hAnsi="宋体" w:eastAsia="宋体" w:cs="宋体"/>
                <w:kern w:val="0"/>
                <w:szCs w:val="21"/>
              </w:rPr>
              <w:t>无人机维修服务及保养，该服务包含了项目内无人机全年保养维修服务，以及备用无人机设备。一年不少于5天的重大任务配合及保障服务。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18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机场无人机一次维修费用</w:t>
            </w:r>
          </w:p>
        </w:tc>
        <w:tc>
          <w:tcPr>
            <w:tcW w:w="2671" w:type="pct"/>
            <w:vMerge w:val="continue"/>
            <w:vAlign w:val="center"/>
          </w:tcPr>
          <w:p>
            <w:pPr>
              <w:widowControl/>
              <w:jc w:val="center"/>
              <w:textAlignment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18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带热成像无人机一次维修费用</w:t>
            </w:r>
          </w:p>
        </w:tc>
        <w:tc>
          <w:tcPr>
            <w:tcW w:w="2671" w:type="pct"/>
            <w:vMerge w:val="continue"/>
            <w:vAlign w:val="center"/>
          </w:tcPr>
          <w:p>
            <w:pPr>
              <w:widowControl/>
              <w:jc w:val="center"/>
              <w:textAlignment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18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轻型无人机一年保险及一次维修</w:t>
            </w:r>
          </w:p>
        </w:tc>
        <w:tc>
          <w:tcPr>
            <w:tcW w:w="2671" w:type="pct"/>
            <w:vMerge w:val="continue"/>
            <w:vAlign w:val="center"/>
          </w:tcPr>
          <w:p>
            <w:pPr>
              <w:widowControl/>
              <w:jc w:val="center"/>
              <w:textAlignment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w:t>
            </w:r>
          </w:p>
        </w:tc>
        <w:tc>
          <w:tcPr>
            <w:tcW w:w="18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轻型高分辨无人机一次维修费用</w:t>
            </w:r>
          </w:p>
        </w:tc>
        <w:tc>
          <w:tcPr>
            <w:tcW w:w="2671" w:type="pct"/>
            <w:vMerge w:val="continue"/>
            <w:vAlign w:val="center"/>
          </w:tcPr>
          <w:p>
            <w:pPr>
              <w:widowControl/>
              <w:jc w:val="center"/>
              <w:textAlignment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0"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w:t>
            </w:r>
          </w:p>
        </w:tc>
        <w:tc>
          <w:tcPr>
            <w:tcW w:w="18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微型无人机一次维修费用</w:t>
            </w:r>
          </w:p>
        </w:tc>
        <w:tc>
          <w:tcPr>
            <w:tcW w:w="2671" w:type="pct"/>
            <w:vMerge w:val="continue"/>
            <w:vAlign w:val="center"/>
          </w:tcPr>
          <w:p>
            <w:pPr>
              <w:widowControl/>
              <w:jc w:val="center"/>
              <w:textAlignment w:val="center"/>
              <w:rPr>
                <w:rFonts w:ascii="宋体" w:hAnsi="宋体" w:eastAsia="宋体" w:cs="宋体"/>
                <w:kern w:val="0"/>
                <w:szCs w:val="21"/>
              </w:rPr>
            </w:pPr>
          </w:p>
        </w:tc>
      </w:tr>
    </w:tbl>
    <w:p/>
    <w:p>
      <w:pPr>
        <w:spacing w:line="312" w:lineRule="auto"/>
        <w:rPr>
          <w:rFonts w:ascii="Times New Roman" w:hAnsi="Times New Roman" w:eastAsia="宋体" w:cs="Times New Roman"/>
          <w:b/>
          <w:sz w:val="24"/>
          <w:szCs w:val="24"/>
        </w:rPr>
      </w:pPr>
    </w:p>
    <w:p>
      <w:pPr>
        <w:spacing w:line="312"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五、设备质量保证期</w:t>
      </w:r>
    </w:p>
    <w:p>
      <w:pPr>
        <w:spacing w:line="312" w:lineRule="auto"/>
        <w:ind w:firstLine="413" w:firstLineChars="196"/>
        <w:rPr>
          <w:rFonts w:eastAsia="宋体"/>
          <w:b/>
          <w:sz w:val="24"/>
        </w:rPr>
      </w:pPr>
      <w:r>
        <w:rPr>
          <w:rFonts w:hint="eastAsia" w:ascii="宋体" w:hAnsi="宋体" w:eastAsia="宋体" w:cs="Times New Roman"/>
          <w:b/>
          <w:szCs w:val="21"/>
        </w:rPr>
        <w:t>红绿灯信号机升级、公交优先信号建设涉及的</w:t>
      </w:r>
      <w:r>
        <w:rPr>
          <w:rFonts w:hint="eastAsia" w:ascii="宋体" w:hAnsi="宋体" w:eastAsia="宋体" w:cs="Times New Roman"/>
          <w:b/>
          <w:bCs/>
          <w:szCs w:val="21"/>
        </w:rPr>
        <w:t>设备质量保证期（最终验收合格之日起）为二年</w:t>
      </w:r>
      <w:r>
        <w:rPr>
          <w:rFonts w:hint="eastAsia" w:ascii="宋体" w:hAnsi="宋体" w:eastAsia="宋体" w:cs="Times New Roman"/>
          <w:szCs w:val="21"/>
        </w:rPr>
        <w:t>，在质保期内出现的产品质量问题均由中标人免费进行更换，并承担由此产生的相关责任。</w:t>
      </w:r>
    </w:p>
    <w:p>
      <w:pPr>
        <w:spacing w:line="312" w:lineRule="auto"/>
        <w:outlineLvl w:val="0"/>
        <w:rPr>
          <w:rFonts w:eastAsia="宋体"/>
          <w:b/>
          <w:sz w:val="24"/>
        </w:rPr>
      </w:pPr>
    </w:p>
    <w:p>
      <w:pPr>
        <w:spacing w:line="312" w:lineRule="auto"/>
        <w:outlineLvl w:val="0"/>
        <w:rPr>
          <w:rFonts w:eastAsia="宋体"/>
          <w:b/>
          <w:sz w:val="24"/>
        </w:rPr>
      </w:pPr>
      <w:r>
        <w:rPr>
          <w:rFonts w:hint="eastAsia" w:eastAsia="宋体"/>
          <w:b/>
          <w:sz w:val="24"/>
        </w:rPr>
        <w:t>六、工期要求</w:t>
      </w:r>
    </w:p>
    <w:p>
      <w:pPr>
        <w:spacing w:line="312" w:lineRule="auto"/>
        <w:ind w:firstLine="420" w:firstLineChars="200"/>
        <w:outlineLvl w:val="0"/>
        <w:rPr>
          <w:rFonts w:ascii="宋体" w:hAnsi="宋体" w:eastAsia="宋体"/>
          <w:szCs w:val="21"/>
        </w:rPr>
      </w:pPr>
      <w:r>
        <w:rPr>
          <w:rFonts w:hint="eastAsia" w:ascii="宋体" w:hAnsi="宋体" w:eastAsia="宋体"/>
          <w:szCs w:val="21"/>
        </w:rPr>
        <w:t>1.红绿灯信号机升级、公交优先信号建设要求于合同签约后5月内完成建设，初验完成后进入试运行和需求完善，试运行期1个月后举行项目单项终验。</w:t>
      </w:r>
    </w:p>
    <w:p>
      <w:pPr>
        <w:spacing w:line="312" w:lineRule="auto"/>
        <w:outlineLvl w:val="0"/>
        <w:rPr>
          <w:rFonts w:ascii="宋体" w:hAnsi="宋体" w:eastAsia="宋体"/>
          <w:szCs w:val="21"/>
        </w:rPr>
      </w:pPr>
      <w:r>
        <w:rPr>
          <w:rFonts w:hint="eastAsia" w:ascii="宋体" w:hAnsi="宋体" w:eastAsia="宋体"/>
          <w:szCs w:val="21"/>
        </w:rPr>
        <w:t xml:space="preserve">    2.道路交通态势监测进行补点补盲服务配套要求于合同签约后10天内提供相关无人机、平台接入、无人机维修服务，平台试运行1个月后举行项目单项验收。</w:t>
      </w:r>
    </w:p>
    <w:p>
      <w:pPr>
        <w:spacing w:line="312" w:lineRule="auto"/>
        <w:outlineLvl w:val="0"/>
        <w:rPr>
          <w:rFonts w:ascii="Times New Roman" w:hAnsi="Times New Roman" w:eastAsia="宋体" w:cs="Times New Roman"/>
          <w:b/>
          <w:sz w:val="24"/>
        </w:rPr>
      </w:pPr>
    </w:p>
    <w:p>
      <w:pPr>
        <w:spacing w:line="312" w:lineRule="auto"/>
        <w:rPr>
          <w:rFonts w:ascii="宋体" w:hAnsi="Courier New" w:eastAsia="宋体" w:cs="Times New Roman"/>
          <w:b/>
          <w:spacing w:val="-4"/>
          <w:kern w:val="0"/>
          <w:sz w:val="24"/>
          <w:szCs w:val="24"/>
        </w:rPr>
      </w:pPr>
      <w:r>
        <w:rPr>
          <w:rFonts w:hint="eastAsia" w:ascii="宋体" w:hAnsi="Courier New" w:eastAsia="宋体" w:cs="Times New Roman"/>
          <w:b/>
          <w:spacing w:val="-4"/>
          <w:kern w:val="0"/>
          <w:sz w:val="24"/>
          <w:szCs w:val="24"/>
        </w:rPr>
        <w:t>七、付款方式</w:t>
      </w:r>
    </w:p>
    <w:p>
      <w:pPr>
        <w:spacing w:beforeLines="50" w:afterLines="50" w:line="312" w:lineRule="auto"/>
        <w:ind w:firstLine="420" w:firstLineChars="200"/>
        <w:rPr>
          <w:rFonts w:ascii="宋体" w:hAnsi="宋体" w:eastAsia="宋体" w:cs="Times New Roman"/>
          <w:b/>
          <w:sz w:val="24"/>
        </w:rPr>
      </w:pPr>
      <w:r>
        <w:rPr>
          <w:rFonts w:hint="eastAsia" w:ascii="宋体" w:hAnsi="宋体" w:eastAsia="宋体" w:cs="宋体"/>
          <w:szCs w:val="21"/>
        </w:rPr>
        <w:t>合同生效以及具备实施条件后7个工作日内，支付合同金额的70%做为预付款，</w:t>
      </w:r>
      <w:r>
        <w:rPr>
          <w:rFonts w:ascii="宋体" w:hAnsi="宋体" w:eastAsia="宋体" w:cs="宋体"/>
          <w:szCs w:val="21"/>
        </w:rPr>
        <w:t>项目完成验收且通过公安内部审计后，</w:t>
      </w:r>
      <w:r>
        <w:rPr>
          <w:rFonts w:hint="eastAsia" w:ascii="宋体" w:hAnsi="宋体" w:eastAsia="宋体" w:cs="宋体"/>
          <w:szCs w:val="21"/>
        </w:rPr>
        <w:t>自收到发票后</w:t>
      </w:r>
      <w:r>
        <w:rPr>
          <w:rFonts w:ascii="宋体" w:hAnsi="宋体" w:eastAsia="宋体" w:cs="宋体"/>
          <w:szCs w:val="21"/>
        </w:rPr>
        <w:t>7个工作日内，支付项目剩余费用，最终项目结算费用由公安内部审计确定。</w:t>
      </w:r>
    </w:p>
    <w:p>
      <w:pPr>
        <w:spacing w:beforeLines="50" w:afterLines="50" w:line="312" w:lineRule="auto"/>
        <w:ind w:firstLine="241" w:firstLineChars="100"/>
        <w:rPr>
          <w:rFonts w:ascii="宋体" w:hAnsi="宋体" w:eastAsia="宋体" w:cs="Times New Roman"/>
          <w:b/>
          <w:sz w:val="24"/>
        </w:rPr>
      </w:pPr>
    </w:p>
    <w:p>
      <w:pPr>
        <w:spacing w:beforeLines="50" w:afterLines="50" w:line="312" w:lineRule="auto"/>
        <w:rPr>
          <w:rFonts w:ascii="宋体" w:hAnsi="宋体" w:eastAsia="宋体" w:cs="Times New Roman"/>
          <w:b/>
          <w:sz w:val="24"/>
        </w:rPr>
      </w:pPr>
      <w:r>
        <w:rPr>
          <w:rFonts w:hint="eastAsia" w:ascii="宋体" w:hAnsi="宋体" w:eastAsia="宋体" w:cs="Times New Roman"/>
          <w:b/>
          <w:sz w:val="24"/>
        </w:rPr>
        <w:t>八、项目验收要求</w:t>
      </w:r>
    </w:p>
    <w:p>
      <w:pPr>
        <w:widowControl/>
        <w:spacing w:line="312" w:lineRule="auto"/>
        <w:ind w:firstLine="420" w:firstLineChars="200"/>
        <w:textAlignment w:val="center"/>
        <w:rPr>
          <w:rFonts w:ascii="宋体" w:hAnsi="宋体" w:eastAsia="宋体" w:cs="宋体"/>
          <w:kern w:val="0"/>
          <w:szCs w:val="21"/>
        </w:rPr>
      </w:pPr>
      <w:r>
        <w:rPr>
          <w:rFonts w:hint="eastAsia" w:ascii="宋体" w:hAnsi="宋体" w:eastAsia="宋体" w:cs="宋体"/>
          <w:kern w:val="0"/>
          <w:szCs w:val="21"/>
        </w:rPr>
        <w:t>采购人负责组织验收小组参与项目验收。验收合格的条件必须至少满足以下三个要求：</w:t>
      </w:r>
    </w:p>
    <w:p>
      <w:pPr>
        <w:widowControl/>
        <w:spacing w:line="312" w:lineRule="auto"/>
        <w:ind w:firstLine="420" w:firstLineChars="200"/>
        <w:textAlignment w:val="center"/>
        <w:rPr>
          <w:rFonts w:ascii="宋体" w:hAnsi="宋体" w:eastAsia="宋体" w:cs="宋体"/>
          <w:kern w:val="0"/>
          <w:szCs w:val="21"/>
        </w:rPr>
      </w:pPr>
      <w:r>
        <w:rPr>
          <w:rFonts w:hint="eastAsia" w:ascii="宋体" w:hAnsi="宋体" w:eastAsia="宋体" w:cs="宋体"/>
          <w:kern w:val="0"/>
          <w:szCs w:val="21"/>
        </w:rPr>
        <w:t>1．已提供了合同要求的全部产品（服务）和资料，包含项目前端、平台侧截图等相关资料。</w:t>
      </w:r>
    </w:p>
    <w:p>
      <w:pPr>
        <w:pStyle w:val="116"/>
        <w:widowControl/>
        <w:spacing w:line="312" w:lineRule="auto"/>
        <w:ind w:left="420" w:firstLine="0" w:firstLineChars="0"/>
        <w:textAlignment w:val="center"/>
        <w:rPr>
          <w:rFonts w:ascii="宋体" w:hAnsi="宋体" w:eastAsia="宋体" w:cs="宋体"/>
          <w:kern w:val="0"/>
          <w:szCs w:val="21"/>
        </w:rPr>
      </w:pPr>
      <w:r>
        <w:rPr>
          <w:rFonts w:hint="eastAsia" w:ascii="宋体" w:hAnsi="宋体" w:eastAsia="宋体" w:cs="宋体"/>
          <w:kern w:val="0"/>
          <w:szCs w:val="21"/>
        </w:rPr>
        <w:t>2.系统运行及接入平台功能满足合同要求；</w:t>
      </w:r>
    </w:p>
    <w:p>
      <w:pPr>
        <w:widowControl/>
        <w:spacing w:line="312" w:lineRule="auto"/>
        <w:ind w:firstLine="420" w:firstLineChars="200"/>
        <w:textAlignment w:val="center"/>
        <w:rPr>
          <w:rFonts w:ascii="宋体" w:hAnsi="宋体" w:eastAsia="宋体" w:cs="宋体"/>
          <w:kern w:val="0"/>
          <w:szCs w:val="21"/>
        </w:rPr>
      </w:pPr>
      <w:r>
        <w:rPr>
          <w:rFonts w:hint="eastAsia" w:ascii="宋体" w:hAnsi="宋体" w:eastAsia="宋体" w:cs="宋体"/>
          <w:kern w:val="0"/>
          <w:szCs w:val="21"/>
        </w:rPr>
        <w:t>3．验收前出现的问题已被解决；</w:t>
      </w:r>
    </w:p>
    <w:p>
      <w:pPr>
        <w:widowControl/>
        <w:spacing w:line="312" w:lineRule="auto"/>
        <w:textAlignment w:val="center"/>
        <w:rPr>
          <w:rFonts w:ascii="宋体" w:hAnsi="宋体" w:eastAsia="宋体" w:cs="宋体"/>
          <w:kern w:val="0"/>
          <w:szCs w:val="21"/>
        </w:rPr>
      </w:pPr>
    </w:p>
    <w:p>
      <w:pPr>
        <w:widowControl/>
        <w:spacing w:line="312" w:lineRule="auto"/>
        <w:textAlignment w:val="center"/>
        <w:rPr>
          <w:rFonts w:ascii="宋体" w:hAnsi="宋体" w:eastAsia="宋体" w:cs="宋体"/>
          <w:b/>
          <w:bCs/>
          <w:kern w:val="0"/>
          <w:sz w:val="24"/>
          <w:szCs w:val="24"/>
        </w:rPr>
      </w:pPr>
      <w:r>
        <w:rPr>
          <w:rFonts w:hint="eastAsia" w:ascii="宋体" w:hAnsi="宋体" w:eastAsia="宋体" w:cs="宋体"/>
          <w:b/>
          <w:bCs/>
          <w:kern w:val="0"/>
          <w:sz w:val="24"/>
          <w:szCs w:val="24"/>
        </w:rPr>
        <w:t>九、</w:t>
      </w:r>
      <w:r>
        <w:rPr>
          <w:rFonts w:hint="eastAsia" w:ascii="宋体" w:hAnsi="宋体" w:eastAsia="宋体" w:cs="Times New Roman"/>
          <w:b/>
          <w:bCs/>
          <w:sz w:val="24"/>
          <w:szCs w:val="24"/>
        </w:rPr>
        <w:t>运维要求</w:t>
      </w:r>
    </w:p>
    <w:p>
      <w:pPr>
        <w:spacing w:after="120" w:line="312" w:lineRule="auto"/>
        <w:ind w:firstLine="422" w:firstLineChars="200"/>
        <w:rPr>
          <w:rFonts w:ascii="宋体" w:hAnsi="宋体" w:eastAsia="宋体" w:cs="Times New Roman"/>
          <w:b/>
          <w:bCs/>
          <w:szCs w:val="21"/>
        </w:rPr>
      </w:pPr>
      <w:r>
        <w:rPr>
          <w:rFonts w:hint="eastAsia" w:ascii="宋体" w:hAnsi="宋体" w:eastAsia="宋体" w:cs="Times New Roman"/>
          <w:b/>
          <w:bCs/>
          <w:szCs w:val="21"/>
        </w:rPr>
        <w:t>项目技术运维服务期1年。</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1.项目运维单位在服务过程中须留存维保记录，并提交项目建设单位，由项目建设单位相关负责人签字确认。</w:t>
      </w:r>
    </w:p>
    <w:p>
      <w:pPr>
        <w:spacing w:after="120" w:line="312"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宋体"/>
          <w:szCs w:val="21"/>
        </w:rPr>
        <w:t>.</w:t>
      </w:r>
      <w:r>
        <w:rPr>
          <w:rFonts w:hint="eastAsia" w:ascii="宋体" w:hAnsi="宋体" w:eastAsia="宋体" w:cs="Times New Roman"/>
          <w:szCs w:val="21"/>
        </w:rPr>
        <w:t>维保记录包含：服务人员姓名、服务地点、服务内容、服务结果等（最终根据实施需求确定）。</w:t>
      </w:r>
    </w:p>
    <w:p>
      <w:pPr>
        <w:tabs>
          <w:tab w:val="left" w:pos="3720"/>
        </w:tabs>
        <w:spacing w:line="312" w:lineRule="auto"/>
        <w:rPr>
          <w:rFonts w:ascii="宋体" w:hAnsi="宋体" w:eastAsia="宋体" w:cs="宋体"/>
          <w:b/>
          <w:sz w:val="24"/>
          <w:szCs w:val="24"/>
        </w:rPr>
      </w:pPr>
    </w:p>
    <w:p>
      <w:pPr>
        <w:tabs>
          <w:tab w:val="left" w:pos="3720"/>
        </w:tabs>
        <w:spacing w:line="312" w:lineRule="auto"/>
        <w:rPr>
          <w:rFonts w:ascii="宋体" w:hAnsi="宋体" w:eastAsia="宋体" w:cs="宋体"/>
          <w:b/>
          <w:sz w:val="24"/>
          <w:szCs w:val="24"/>
        </w:rPr>
      </w:pPr>
      <w:r>
        <w:rPr>
          <w:rFonts w:hint="eastAsia" w:ascii="宋体" w:hAnsi="宋体" w:eastAsia="宋体" w:cs="宋体"/>
          <w:b/>
          <w:sz w:val="24"/>
          <w:szCs w:val="24"/>
        </w:rPr>
        <w:t>十、其他要求</w:t>
      </w:r>
    </w:p>
    <w:p>
      <w:pPr>
        <w:tabs>
          <w:tab w:val="left" w:pos="3720"/>
        </w:tabs>
        <w:spacing w:line="312" w:lineRule="auto"/>
        <w:ind w:firstLine="420" w:firstLineChars="200"/>
        <w:rPr>
          <w:rFonts w:ascii="宋体" w:hAnsi="宋体" w:eastAsia="宋体" w:cs="宋体"/>
          <w:szCs w:val="21"/>
        </w:rPr>
      </w:pPr>
      <w:r>
        <w:rPr>
          <w:rFonts w:hint="eastAsia" w:ascii="宋体" w:hAnsi="宋体" w:eastAsia="宋体" w:cs="宋体"/>
          <w:szCs w:val="21"/>
        </w:rPr>
        <w:t>1.投标人应对招标、实施、操作等过程中采取保密和安全措施，因投标人造成的不良影响和损失，投标人应承担相应责任。</w:t>
      </w:r>
    </w:p>
    <w:p>
      <w:pPr>
        <w:tabs>
          <w:tab w:val="left" w:pos="3720"/>
        </w:tabs>
        <w:spacing w:line="312" w:lineRule="auto"/>
        <w:ind w:firstLine="420" w:firstLineChars="2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.保证采购人在使用该货物或货物的任何部分时，免受第三方提出的侵犯其著作权或其他知识产权的起诉。中标人承担由此产生的一切法律责任和费用。</w:t>
      </w:r>
    </w:p>
    <w:p>
      <w:pPr>
        <w:spacing w:line="312" w:lineRule="auto"/>
        <w:ind w:firstLine="420" w:firstLineChars="200"/>
        <w:outlineLvl w:val="0"/>
        <w:rPr>
          <w:rFonts w:ascii="Times New Roman" w:hAnsi="Times New Roman" w:eastAsia="宋体" w:cs="Times New Roman"/>
          <w:b/>
          <w:sz w:val="24"/>
        </w:rPr>
      </w:pPr>
      <w:r>
        <w:rPr>
          <w:rFonts w:ascii="宋体" w:hAnsi="宋体" w:eastAsia="宋体" w:cs="宋体"/>
          <w:szCs w:val="21"/>
        </w:rPr>
        <w:t>3</w:t>
      </w:r>
      <w:r>
        <w:rPr>
          <w:rFonts w:hint="eastAsia" w:ascii="宋体" w:hAnsi="宋体" w:eastAsia="宋体" w:cs="宋体"/>
          <w:szCs w:val="21"/>
        </w:rPr>
        <w:t>.项目涉及定制化软件部分的版权归项目采购人所有，涉及的代码及后期升级版本源代码和相关文档在项目验收时移交给采购人。</w:t>
      </w:r>
    </w:p>
    <w:p>
      <w:pPr>
        <w:spacing w:line="312" w:lineRule="auto"/>
        <w:outlineLvl w:val="0"/>
        <w:rPr>
          <w:rFonts w:ascii="Times New Roman" w:hAnsi="Times New Roman" w:eastAsia="宋体" w:cs="Times New Roman"/>
          <w:b/>
          <w:sz w:val="24"/>
        </w:rPr>
      </w:pPr>
    </w:p>
    <w:p>
      <w:pPr>
        <w:spacing w:line="312" w:lineRule="auto"/>
        <w:outlineLvl w:val="0"/>
        <w:rPr>
          <w:rFonts w:ascii="Times New Roman" w:hAnsi="Times New Roman" w:eastAsia="宋体" w:cs="Times New Roman"/>
          <w:b/>
          <w:sz w:val="24"/>
        </w:rPr>
      </w:pPr>
      <w:r>
        <w:rPr>
          <w:rFonts w:hint="eastAsia" w:ascii="Times New Roman" w:hAnsi="Times New Roman" w:eastAsia="宋体" w:cs="Times New Roman"/>
          <w:b/>
          <w:sz w:val="24"/>
        </w:rPr>
        <w:t>十一、报价要求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1.投标人应根据招标文件进行报价。投标报价一旦核实确认，不得再做更改。对投标人漏报致使项目未能达到需求的功能和效果，其费用和后果由投标人自行负责。</w:t>
      </w:r>
    </w:p>
    <w:p>
      <w:pPr>
        <w:spacing w:line="312" w:lineRule="auto"/>
        <w:ind w:firstLine="420" w:firstLineChars="200"/>
        <w:rPr>
          <w:rFonts w:ascii="宋体" w:hAnsi="宋体" w:eastAsia="宋体" w:cs="Times New Roman"/>
          <w:b/>
          <w:bCs/>
          <w:szCs w:val="21"/>
        </w:rPr>
      </w:pPr>
      <w:r>
        <w:rPr>
          <w:rFonts w:hint="eastAsia" w:ascii="宋体" w:hAnsi="宋体" w:eastAsia="宋体" w:cs="Times New Roman"/>
          <w:szCs w:val="21"/>
        </w:rPr>
        <w:t>2.所有报价均应已包含国家规定的所有税费。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3.投标报价应包括完成该项目而可能发生的各项费用的总和，</w:t>
      </w:r>
      <w:bookmarkStart w:id="2" w:name="_Hlk139359389"/>
      <w:r>
        <w:rPr>
          <w:rFonts w:hint="eastAsia" w:ascii="宋体" w:hAnsi="宋体" w:eastAsia="宋体" w:cs="Times New Roman"/>
          <w:szCs w:val="21"/>
        </w:rPr>
        <w:t>不能在投标报价之外还有其他费用出现。</w:t>
      </w:r>
    </w:p>
    <w:bookmarkEnd w:id="2"/>
    <w:p>
      <w:pPr>
        <w:tabs>
          <w:tab w:val="left" w:pos="0"/>
        </w:tabs>
        <w:adjustRightInd w:val="0"/>
        <w:snapToGrid w:val="0"/>
        <w:spacing w:line="312" w:lineRule="auto"/>
        <w:ind w:firstLine="420" w:firstLineChars="200"/>
        <w:jc w:val="left"/>
        <w:rPr>
          <w:rFonts w:ascii="宋体" w:hAnsi="宋体" w:eastAsia="宋体" w:cs="Times New Roman"/>
          <w:bCs/>
          <w:szCs w:val="21"/>
        </w:rPr>
      </w:pPr>
      <w:r>
        <w:rPr>
          <w:rFonts w:hint="eastAsia" w:ascii="宋体" w:hAnsi="宋体" w:eastAsia="宋体" w:cs="Times New Roman"/>
        </w:rPr>
        <w:t>4.</w:t>
      </w:r>
      <w:r>
        <w:rPr>
          <w:rFonts w:hint="eastAsia" w:ascii="宋体" w:hAnsi="宋体" w:eastAsia="宋体" w:cs="Times New Roman"/>
          <w:bCs/>
          <w:szCs w:val="21"/>
        </w:rPr>
        <w:t>扶持政策说明：</w:t>
      </w:r>
    </w:p>
    <w:p>
      <w:pPr>
        <w:spacing w:line="312" w:lineRule="auto"/>
        <w:ind w:firstLine="420" w:firstLineChars="200"/>
        <w:rPr>
          <w:rFonts w:ascii="宋体" w:hAnsi="宋体" w:eastAsia="宋体" w:cs="Times New Roman"/>
        </w:rPr>
      </w:pPr>
      <w:r>
        <w:rPr>
          <w:rFonts w:hint="eastAsia" w:ascii="宋体" w:hAnsi="宋体" w:eastAsia="宋体" w:cs="Times New Roman"/>
        </w:rPr>
        <w:t>（1）根据财政部财库〔2022〕19号《关于进一步加大政府采购支持中小企业力度的通知》、《浙江省财政厅关于进一步加大政府采购支持中小企业力度 助力扎实稳住经济的通知》（浙财采监[2022]8号）规定，未预留份额专门面向中小企业采购的采购项目，以及预留份额项目中的非预留部分采购包，对小型和微型企业的价格给予10%的扣除。对于联合协议或者分包意向协议约定小微企业的合同份额占到合同总金额30%以上的，给予4%的扣除。属于小型和微型企业的，投标文件中投标人必须提供《中小企业声明函》。本项目不专门面向中小企业，本项目对应的中小企业划分标准所属行业：其他未列明行业。</w:t>
      </w:r>
    </w:p>
    <w:p>
      <w:pPr>
        <w:spacing w:line="312" w:lineRule="auto"/>
        <w:ind w:firstLine="420" w:firstLineChars="200"/>
        <w:rPr>
          <w:rFonts w:ascii="宋体" w:hAnsi="宋体" w:eastAsia="宋体" w:cs="Times New Roman"/>
        </w:rPr>
      </w:pPr>
      <w:r>
        <w:rPr>
          <w:rFonts w:hint="eastAsia" w:ascii="宋体" w:hAnsi="宋体" w:eastAsia="宋体" w:cs="Times New Roman"/>
        </w:rPr>
        <w:t>未提供完整证明材料的，投标报价不予扣减。</w:t>
      </w:r>
    </w:p>
    <w:p>
      <w:pPr>
        <w:spacing w:line="312" w:lineRule="auto"/>
        <w:ind w:firstLine="420" w:firstLineChars="200"/>
        <w:rPr>
          <w:rFonts w:ascii="宋体" w:hAnsi="宋体" w:eastAsia="宋体" w:cs="Times New Roman"/>
        </w:rPr>
      </w:pPr>
      <w:r>
        <w:rPr>
          <w:rFonts w:hint="eastAsia" w:ascii="宋体" w:hAnsi="宋体" w:eastAsia="宋体" w:cs="Times New Roman"/>
        </w:rPr>
        <w:t>（2）根据《关于政府采购支持监狱企业发展有关问题的通知》（财库[2014]68号）的规定，供应商如为监狱企业且所投产品为小型或微型企业生产的，其投标报价扣除10%后参与评审。</w:t>
      </w:r>
    </w:p>
    <w:p>
      <w:pPr>
        <w:spacing w:line="312" w:lineRule="auto"/>
        <w:ind w:firstLine="420" w:firstLineChars="200"/>
        <w:rPr>
          <w:rFonts w:ascii="宋体" w:hAnsi="宋体" w:eastAsia="宋体" w:cs="Times New Roman"/>
        </w:rPr>
      </w:pPr>
      <w:r>
        <w:rPr>
          <w:rFonts w:hint="eastAsia" w:ascii="宋体" w:hAnsi="宋体" w:eastAsia="宋体" w:cs="Times New Roman"/>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12" w:lineRule="auto"/>
        <w:ind w:firstLine="420" w:firstLineChars="200"/>
        <w:rPr>
          <w:rFonts w:ascii="宋体" w:hAnsi="宋体" w:eastAsia="宋体" w:cs="Times New Roman"/>
        </w:rPr>
      </w:pPr>
      <w:r>
        <w:rPr>
          <w:rFonts w:hint="eastAsia" w:ascii="宋体" w:hAnsi="宋体" w:eastAsia="宋体" w:cs="Times New Roman"/>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12" w:lineRule="auto"/>
        <w:ind w:firstLine="420" w:firstLineChars="200"/>
        <w:rPr>
          <w:rFonts w:ascii="宋体" w:hAnsi="宋体" w:eastAsia="宋体" w:cs="Times New Roman"/>
        </w:rPr>
      </w:pPr>
      <w:r>
        <w:rPr>
          <w:rFonts w:hint="eastAsia" w:ascii="宋体" w:hAnsi="宋体" w:eastAsia="宋体" w:cs="Times New Roman"/>
        </w:rPr>
        <w:t>投标文件中须提供：《残疾人福利性单位声明函》，未提供完整证明材料的，投标报价不予扣减。</w:t>
      </w:r>
    </w:p>
    <w:p>
      <w:pPr>
        <w:spacing w:line="312" w:lineRule="auto"/>
        <w:ind w:firstLine="420" w:firstLineChars="200"/>
        <w:rPr>
          <w:rFonts w:ascii="宋体" w:hAnsi="宋体" w:eastAsia="宋体" w:cs="Times New Roman"/>
        </w:rPr>
      </w:pPr>
      <w:r>
        <w:rPr>
          <w:rFonts w:hint="eastAsia" w:ascii="宋体" w:hAnsi="宋体" w:eastAsia="宋体" w:cs="Times New Roman"/>
        </w:rPr>
        <w:t>上述1，2，3政策不重复计算。</w:t>
      </w:r>
    </w:p>
    <w:p>
      <w:pPr>
        <w:spacing w:line="312" w:lineRule="auto"/>
        <w:ind w:firstLine="420" w:firstLineChars="200"/>
        <w:rPr>
          <w:rFonts w:ascii="宋体" w:hAnsi="宋体" w:eastAsia="宋体" w:cs="Times New Roman"/>
        </w:rPr>
      </w:pPr>
      <w:r>
        <w:rPr>
          <w:rFonts w:hint="eastAsia" w:ascii="宋体" w:hAnsi="宋体" w:eastAsia="宋体" w:cs="Times New Roman"/>
        </w:rPr>
        <w:t>此项由评标委员会集体核实后统一打分。</w:t>
      </w:r>
    </w:p>
    <w:p>
      <w:pPr>
        <w:spacing w:line="312" w:lineRule="auto"/>
        <w:ind w:firstLine="422" w:firstLineChars="200"/>
        <w:rPr>
          <w:rFonts w:ascii="宋体" w:hAnsi="宋体" w:eastAsia="宋体" w:cs="Times New Roman"/>
        </w:rPr>
      </w:pPr>
      <w:r>
        <w:rPr>
          <w:rFonts w:hint="eastAsia" w:ascii="宋体" w:hAnsi="宋体" w:eastAsia="宋体" w:cs="Times New Roman"/>
          <w:b/>
          <w:bCs/>
          <w:szCs w:val="21"/>
        </w:rPr>
        <w:t>5.本次项</w:t>
      </w:r>
      <w:r>
        <w:rPr>
          <w:rFonts w:hint="eastAsia" w:ascii="宋体" w:hAnsi="宋体" w:eastAsia="宋体" w:cs="Times New Roman"/>
          <w:b/>
          <w:szCs w:val="21"/>
        </w:rPr>
        <w:t>目的预算金额为</w:t>
      </w:r>
      <w:r>
        <w:rPr>
          <w:rFonts w:hint="eastAsia" w:ascii="宋体" w:hAnsi="宋体" w:eastAsia="宋体" w:cs="Times New Roman"/>
          <w:b/>
          <w:bCs/>
        </w:rPr>
        <w:t>：人民币陆佰叁拾万肆仟伍佰陆拾陆元整（6,304,566.00元）。</w:t>
      </w:r>
    </w:p>
    <w:p>
      <w:pPr>
        <w:spacing w:line="312" w:lineRule="auto"/>
        <w:ind w:firstLine="420" w:firstLineChars="200"/>
        <w:rPr>
          <w:rFonts w:ascii="Times New Roman" w:hAnsi="Times New Roman" w:eastAsia="宋体" w:cs="Times New Roman"/>
        </w:rPr>
      </w:pPr>
    </w:p>
    <w:p>
      <w:pPr>
        <w:pageBreakBefore/>
        <w:snapToGrid w:val="0"/>
        <w:jc w:val="center"/>
        <w:rPr>
          <w:rFonts w:ascii="Times New Roman" w:hAnsi="Times New Roman" w:eastAsia="宋体" w:cs="Times New Roman"/>
          <w:sz w:val="28"/>
        </w:rPr>
      </w:pPr>
      <w:r>
        <w:rPr>
          <w:rFonts w:hint="eastAsia" w:ascii="Times New Roman" w:hAnsi="Times New Roman" w:eastAsia="宋体" w:cs="Times New Roman"/>
          <w:b/>
          <w:sz w:val="32"/>
        </w:rPr>
        <w:t>第三章投标人须知</w:t>
      </w:r>
    </w:p>
    <w:p>
      <w:pPr>
        <w:snapToGrid w:val="0"/>
        <w:ind w:firstLine="4340" w:firstLineChars="1550"/>
        <w:rPr>
          <w:rFonts w:ascii="Times New Roman" w:hAnsi="Times New Roman" w:eastAsia="宋体" w:cs="Times New Roman"/>
          <w:sz w:val="28"/>
        </w:rPr>
      </w:pPr>
      <w:r>
        <w:rPr>
          <w:rFonts w:hint="eastAsia" w:ascii="Times New Roman" w:hAnsi="Times New Roman" w:eastAsia="宋体" w:cs="Times New Roman"/>
          <w:sz w:val="28"/>
        </w:rPr>
        <w:t>前附表</w:t>
      </w:r>
    </w:p>
    <w:tbl>
      <w:tblPr>
        <w:tblStyle w:val="62"/>
        <w:tblW w:w="10551"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7"/>
        <w:gridCol w:w="1098"/>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序号</w:t>
            </w:r>
          </w:p>
        </w:tc>
        <w:tc>
          <w:tcPr>
            <w:tcW w:w="10021"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项目名称</w:t>
            </w:r>
          </w:p>
        </w:tc>
        <w:tc>
          <w:tcPr>
            <w:tcW w:w="484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lang w:val="zh-CN"/>
              </w:rPr>
            </w:pPr>
            <w:r>
              <w:rPr>
                <w:rFonts w:hint="eastAsia" w:ascii="Times New Roman" w:hAnsi="Times New Roman" w:eastAsia="宋体" w:cs="Times New Roman"/>
              </w:rPr>
              <w:t>2023年本岛红绿灯维修、保养和优化提升项目</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Cs/>
              </w:rPr>
            </w:pPr>
            <w:r>
              <w:rPr>
                <w:rFonts w:hint="eastAsia" w:ascii="Times New Roman" w:hAnsi="Times New Roman" w:eastAsia="宋体" w:cs="Times New Roman"/>
                <w:b/>
              </w:rPr>
              <w:t>项目编号</w:t>
            </w:r>
          </w:p>
        </w:tc>
        <w:tc>
          <w:tcPr>
            <w:tcW w:w="254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SZGXZS2023188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采购单位名称</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舟山市公安局交通警察支队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采购内容</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63"/>
              <w:tblpPr w:leftFromText="180" w:rightFromText="180" w:vertAnchor="text" w:horzAnchor="page" w:tblpX="27" w:tblpY="125"/>
              <w:tblOverlap w:val="never"/>
              <w:tblW w:w="8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5032"/>
              <w:gridCol w:w="1764"/>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bCs/>
                      <w:szCs w:val="21"/>
                    </w:rPr>
                    <w:t>序号</w:t>
                  </w:r>
                </w:p>
              </w:tc>
              <w:tc>
                <w:tcPr>
                  <w:tcW w:w="503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bCs/>
                      <w:szCs w:val="21"/>
                    </w:rPr>
                  </w:pPr>
                  <w:r>
                    <w:rPr>
                      <w:rFonts w:hint="eastAsia" w:ascii="Times New Roman" w:hAnsi="Times New Roman" w:eastAsia="宋体" w:cs="Times New Roman"/>
                      <w:bCs/>
                      <w:szCs w:val="21"/>
                    </w:rPr>
                    <w:t>项目名称及内容</w:t>
                  </w:r>
                </w:p>
              </w:tc>
              <w:tc>
                <w:tcPr>
                  <w:tcW w:w="17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bCs/>
                      <w:szCs w:val="21"/>
                    </w:rPr>
                  </w:pPr>
                  <w:r>
                    <w:rPr>
                      <w:rFonts w:hint="eastAsia" w:ascii="Times New Roman" w:hAnsi="Times New Roman" w:eastAsia="宋体" w:cs="Times New Roman"/>
                      <w:bCs/>
                      <w:szCs w:val="21"/>
                    </w:rPr>
                    <w:t>预算金额（万元）</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b/>
                      <w:bCs/>
                      <w:kern w:val="0"/>
                      <w:sz w:val="20"/>
                      <w:szCs w:val="21"/>
                    </w:rPr>
                  </w:pPr>
                  <w:r>
                    <w:rPr>
                      <w:rFonts w:hint="eastAsia" w:ascii="Times New Roman" w:hAnsi="Times New Roman" w:eastAsia="宋体" w:cs="Times New Roman"/>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rPr>
                    <w:t>1</w:t>
                  </w:r>
                </w:p>
              </w:tc>
              <w:tc>
                <w:tcPr>
                  <w:tcW w:w="5032"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bCs/>
                      <w:szCs w:val="21"/>
                    </w:rPr>
                  </w:pPr>
                  <w:r>
                    <w:rPr>
                      <w:rFonts w:hint="eastAsia" w:ascii="Times New Roman" w:hAnsi="Times New Roman" w:eastAsia="宋体" w:cs="Times New Roman"/>
                      <w:bCs/>
                      <w:szCs w:val="21"/>
                    </w:rPr>
                    <w:t>2023年本岛红绿灯维修、保养和优化提升项目</w:t>
                  </w:r>
                </w:p>
              </w:tc>
              <w:tc>
                <w:tcPr>
                  <w:tcW w:w="1764" w:type="dxa"/>
                  <w:tcBorders>
                    <w:top w:val="single" w:color="000000" w:sz="4" w:space="0"/>
                    <w:left w:val="single" w:color="000000" w:sz="4" w:space="0"/>
                    <w:bottom w:val="single" w:color="000000" w:sz="4" w:space="0"/>
                    <w:right w:val="single" w:color="000000" w:sz="4" w:space="0"/>
                  </w:tcBorders>
                  <w:vAlign w:val="center"/>
                </w:tcPr>
                <w:p>
                  <w:pPr>
                    <w:tabs>
                      <w:tab w:val="left" w:pos="577"/>
                    </w:tabs>
                    <w:spacing w:line="24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630.4566</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bCs/>
                      <w:szCs w:val="21"/>
                    </w:rPr>
                  </w:pPr>
                </w:p>
              </w:tc>
            </w:tr>
          </w:tbl>
          <w:p>
            <w:pPr>
              <w:spacing w:after="120"/>
              <w:rPr>
                <w:rFonts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rPr>
            </w:pPr>
            <w:r>
              <w:rPr>
                <w:rFonts w:hint="eastAsia" w:ascii="Times New Roman" w:hAnsi="Times New Roman" w:eastAsia="宋体" w:cs="Times New Roman"/>
                <w:b/>
              </w:rPr>
              <w:t>本项目预算</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left"/>
              <w:rPr>
                <w:rFonts w:ascii="Times New Roman" w:hAnsi="Times New Roman" w:eastAsia="宋体" w:cs="Times New Roman"/>
                <w:bCs/>
                <w:szCs w:val="21"/>
              </w:rPr>
            </w:pPr>
            <w:r>
              <w:rPr>
                <w:rFonts w:hint="eastAsia" w:ascii="宋体" w:hAnsi="宋体" w:eastAsia="宋体" w:cs="Times New Roman"/>
                <w:b/>
                <w:bCs/>
              </w:rPr>
              <w:t>人民币陆佰叁拾万肆仟伍佰陆拾陆元整（6,304,566.00元）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5</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ind w:firstLine="211" w:firstLineChars="100"/>
              <w:rPr>
                <w:rFonts w:ascii="宋体" w:hAnsi="宋体" w:eastAsia="宋体" w:cs="Times New Roman"/>
                <w:b/>
              </w:rPr>
            </w:pPr>
            <w:r>
              <w:rPr>
                <w:rFonts w:hint="eastAsia" w:ascii="宋体" w:hAnsi="宋体" w:eastAsia="宋体" w:cs="Times New Roman"/>
                <w:b/>
              </w:rPr>
              <w:t>工期要求</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szCs w:val="21"/>
              </w:rPr>
            </w:pPr>
            <w:r>
              <w:rPr>
                <w:rFonts w:ascii="宋体" w:hAnsi="宋体" w:eastAsia="宋体" w:cs="Times New Roman"/>
                <w:szCs w:val="21"/>
              </w:rPr>
              <w:t>1.红绿灯信号机升级、公交优先信号建设要求于合同签约后5月内完成建设，初验完成后进入试运行和需求完善，试运行期1个月后举行项目单项终验。</w:t>
            </w:r>
          </w:p>
          <w:p>
            <w:pPr>
              <w:spacing w:line="240" w:lineRule="exact"/>
              <w:rPr>
                <w:rFonts w:ascii="Times New Roman" w:hAnsi="Times New Roman" w:eastAsia="宋体" w:cs="Times New Roman"/>
                <w:szCs w:val="21"/>
              </w:rPr>
            </w:pPr>
            <w:r>
              <w:rPr>
                <w:rFonts w:ascii="宋体" w:hAnsi="宋体" w:eastAsia="宋体" w:cs="Times New Roman"/>
                <w:szCs w:val="21"/>
              </w:rPr>
              <w:t>2.道路交通态势监测进行补点补盲服务配套要求于合同签约后10天内提供相关无人机、平台接入、无人机维修服务，平台试运行1个月后举行项目单项验收。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投标有效期</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u w:val="single"/>
              </w:rPr>
              <w:t>90</w:t>
            </w:r>
            <w:r>
              <w:rPr>
                <w:rFonts w:hint="eastAsia" w:ascii="Times New Roman" w:hAnsi="Times New Roman" w:eastAsia="宋体" w:cs="Times New Roman"/>
                <w:szCs w:val="21"/>
                <w:u w:val="single"/>
              </w:rPr>
              <w:t>日</w:t>
            </w:r>
            <w:r>
              <w:rPr>
                <w:rFonts w:hint="eastAsia" w:ascii="Times New Roman" w:hAnsi="Times New Roman" w:eastAsia="宋体" w:cs="Times New Roman"/>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评标办法</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签订合同</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中标通知书发出后</w:t>
            </w:r>
            <w:r>
              <w:rPr>
                <w:rFonts w:ascii="Times New Roman" w:hAnsi="Times New Roman" w:eastAsia="宋体" w:cs="Times New Roman"/>
                <w:szCs w:val="21"/>
                <w:u w:val="single"/>
              </w:rPr>
              <w:t>30</w:t>
            </w:r>
            <w:r>
              <w:rPr>
                <w:rFonts w:hint="eastAsia" w:ascii="Times New Roman" w:hAnsi="Times New Roman" w:eastAsia="宋体" w:cs="Times New Roman"/>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资金结算</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eastAsia="宋体" w:cs="Times New Roman"/>
                <w:bCs/>
                <w:szCs w:val="21"/>
              </w:rPr>
            </w:pPr>
            <w:r>
              <w:rPr>
                <w:rFonts w:hint="eastAsia" w:ascii="宋体" w:hAnsi="宋体" w:eastAsia="宋体" w:cs="Times New Roman"/>
                <w:bCs/>
                <w:szCs w:val="21"/>
              </w:rPr>
              <w:t>合同生效以及具备实施条件后</w:t>
            </w:r>
            <w:r>
              <w:rPr>
                <w:rFonts w:ascii="宋体" w:hAnsi="宋体" w:eastAsia="宋体" w:cs="Times New Roman"/>
                <w:bCs/>
                <w:szCs w:val="21"/>
              </w:rPr>
              <w:t>7个工作日内，支付合同金额的</w:t>
            </w:r>
            <w:r>
              <w:rPr>
                <w:rFonts w:hint="eastAsia" w:ascii="宋体" w:hAnsi="宋体" w:eastAsia="宋体" w:cs="Times New Roman"/>
                <w:bCs/>
                <w:szCs w:val="21"/>
              </w:rPr>
              <w:t>7</w:t>
            </w:r>
            <w:r>
              <w:rPr>
                <w:rFonts w:ascii="宋体" w:hAnsi="宋体" w:eastAsia="宋体" w:cs="Times New Roman"/>
                <w:bCs/>
                <w:szCs w:val="21"/>
              </w:rPr>
              <w:t>0%做为预付款，项目完成验收且通过公安内部审计后，自收到发票后7个工作日内，支付项目剩余费用，最终项目结算费用由公安内部审计确定。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10</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投标报价</w:t>
            </w:r>
          </w:p>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与费用</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本项目的投标应以人民币报价，投标报价应包括所有费用。</w:t>
            </w:r>
          </w:p>
          <w:p>
            <w:pPr>
              <w:spacing w:line="240" w:lineRule="exact"/>
              <w:rPr>
                <w:rFonts w:ascii="Times New Roman" w:hAnsi="Times New Roman" w:eastAsia="宋体" w:cs="Times New Roman"/>
                <w:bCs/>
                <w:szCs w:val="21"/>
              </w:rPr>
            </w:pPr>
            <w:r>
              <w:rPr>
                <w:rFonts w:ascii="Times New Roman" w:hAnsi="Times New Roman" w:eastAsia="宋体" w:cs="Times New Roman"/>
                <w:szCs w:val="21"/>
              </w:rPr>
              <w:t>2.</w:t>
            </w:r>
            <w:r>
              <w:rPr>
                <w:rFonts w:hint="eastAsia" w:ascii="Times New Roman" w:hAnsi="Times New Roman" w:eastAsia="宋体" w:cs="Times New Roman"/>
                <w:szCs w:val="21"/>
              </w:rPr>
              <w:t>投</w:t>
            </w:r>
            <w:r>
              <w:rPr>
                <w:rFonts w:hint="eastAsia" w:ascii="Times New Roman" w:hAnsi="Times New Roman" w:eastAsia="宋体" w:cs="Times New Roman"/>
                <w:bCs/>
                <w:szCs w:val="21"/>
              </w:rPr>
              <w:t>标人应承担其参加本招标活动自身所发生的费用。</w:t>
            </w:r>
          </w:p>
          <w:p>
            <w:pPr>
              <w:spacing w:line="240" w:lineRule="exact"/>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中标人须缴纳招标代理费，收费金额为：人民币肆万贰仟贰佰元整（42,200</w:t>
            </w:r>
            <w:r>
              <w:rPr>
                <w:rFonts w:ascii="Times New Roman" w:hAnsi="Times New Roman" w:eastAsia="宋体" w:cs="Times New Roman"/>
                <w:bCs/>
                <w:szCs w:val="21"/>
              </w:rPr>
              <w:t>.00</w:t>
            </w:r>
            <w:r>
              <w:rPr>
                <w:rFonts w:hint="eastAsia" w:ascii="Times New Roman" w:hAnsi="Times New Roman" w:eastAsia="宋体" w:cs="Times New Roman"/>
                <w:bCs/>
                <w:szCs w:val="21"/>
              </w:rPr>
              <w:t>元）</w:t>
            </w:r>
          </w:p>
          <w:p>
            <w:pPr>
              <w:spacing w:line="240" w:lineRule="exact"/>
              <w:rPr>
                <w:rFonts w:ascii="Times New Roman" w:hAnsi="Times New Roman" w:eastAsia="宋体" w:cs="Times New Roman"/>
                <w:szCs w:val="21"/>
              </w:rPr>
            </w:pPr>
            <w:r>
              <w:rPr>
                <w:rFonts w:ascii="Times New Roman" w:hAnsi="Times New Roman" w:eastAsia="宋体" w:cs="Times New Roman"/>
              </w:rPr>
              <w:t>4.</w:t>
            </w:r>
            <w:r>
              <w:rPr>
                <w:rFonts w:hint="eastAsia" w:ascii="Times New Roman" w:hAnsi="Times New Roman" w:eastAsia="宋体" w:cs="Times New Roman"/>
              </w:rPr>
              <w:t>中标通知书发出的同时，中标人应及时支付招标代理费，收到服务费后提供全额发票。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银行账号</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收款单位：深圳市国信招标有限公司舟山分公司</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开户银行：中国工商银行舟山市定海区支行</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银行账号：</w:t>
            </w:r>
            <w:r>
              <w:rPr>
                <w:rFonts w:ascii="Times New Roman" w:hAnsi="Times New Roman" w:eastAsia="宋体" w:cs="Times New Roman"/>
                <w:szCs w:val="21"/>
              </w:rPr>
              <w:t>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质量标准</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szCs w:val="21"/>
              </w:rPr>
            </w:pPr>
            <w:r>
              <w:rPr>
                <w:rFonts w:hint="eastAsia" w:ascii="宋体" w:hAnsi="宋体" w:eastAsia="宋体" w:cs="Times New Roman"/>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13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hint="eastAsia" w:ascii="Times New Roman" w:hAnsi="Times New Roman" w:eastAsia="宋体" w:cs="Times New Roman"/>
                <w:b/>
              </w:rPr>
              <w:t>履约保证金</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r>
              <w:rPr>
                <w:rFonts w:hint="eastAsia" w:ascii="Times New Roman" w:hAnsi="Times New Roman" w:eastAsia="宋体" w:cs="Times New Roman"/>
                <w:b/>
              </w:rPr>
              <w:t>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hint="eastAsia" w:ascii="Times New Roman" w:hAnsi="Times New Roman" w:eastAsia="宋体" w:cs="Times New Roman"/>
                <w:b/>
              </w:rPr>
              <w:t>投标文件的</w:t>
            </w:r>
          </w:p>
          <w:p>
            <w:pPr>
              <w:snapToGrid w:val="0"/>
              <w:jc w:val="center"/>
              <w:rPr>
                <w:rFonts w:ascii="Times New Roman" w:hAnsi="Times New Roman" w:eastAsia="宋体" w:cs="Times New Roman"/>
                <w:b/>
              </w:rPr>
            </w:pPr>
            <w:r>
              <w:rPr>
                <w:rFonts w:hint="eastAsia" w:ascii="Times New Roman" w:hAnsi="Times New Roman" w:eastAsia="宋体" w:cs="Times New Roman"/>
                <w:b/>
              </w:rPr>
              <w:t>组成</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r>
              <w:rPr>
                <w:rFonts w:hint="eastAsia" w:ascii="Times New Roman" w:hAnsi="Times New Roman" w:eastAsia="宋体" w:cs="Times New Roman"/>
                <w:b/>
              </w:rPr>
              <w:t>5</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hint="eastAsia" w:ascii="Times New Roman" w:hAnsi="Times New Roman" w:eastAsia="宋体" w:cs="Times New Roman"/>
                <w:b/>
              </w:rPr>
              <w:t>投标文件的</w:t>
            </w:r>
          </w:p>
          <w:p>
            <w:pPr>
              <w:ind w:firstLine="517" w:firstLineChars="245"/>
              <w:rPr>
                <w:rFonts w:ascii="Times New Roman" w:hAnsi="Times New Roman" w:eastAsia="宋体" w:cs="Times New Roman"/>
                <w:b/>
                <w:szCs w:val="21"/>
                <w:shd w:val="pct10" w:color="auto" w:fill="FFFFFF"/>
              </w:rPr>
            </w:pPr>
            <w:r>
              <w:rPr>
                <w:rFonts w:hint="eastAsia" w:ascii="Times New Roman" w:hAnsi="Times New Roman" w:eastAsia="宋体" w:cs="Times New Roman"/>
                <w:b/>
              </w:rPr>
              <w:t>制作</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本项目实行电子投标。</w:t>
            </w:r>
          </w:p>
          <w:p>
            <w:pPr>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份。（报价文件正本一份，副本一份，单独密封）</w:t>
            </w:r>
          </w:p>
          <w:p>
            <w:pPr>
              <w:rPr>
                <w:rFonts w:ascii="Times New Roman" w:hAnsi="Times New Roman" w:eastAsia="宋体" w:cs="Times New Roman"/>
                <w:szCs w:val="21"/>
              </w:rPr>
            </w:pPr>
            <w:r>
              <w:rPr>
                <w:rFonts w:hint="eastAsia" w:ascii="Times New Roman" w:hAnsi="Times New Roman" w:eastAsia="宋体" w:cs="Times New Roman"/>
                <w:szCs w:val="21"/>
              </w:rPr>
              <w:t>投标文件均由资格响应文件、商务及技术响应文件、报价文件组成。</w:t>
            </w:r>
          </w:p>
          <w:p>
            <w:pPr>
              <w:rPr>
                <w:rFonts w:ascii="Times New Roman" w:hAnsi="Times New Roman" w:eastAsia="宋体" w:cs="Times New Roman"/>
                <w:sz w:val="22"/>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r>
              <w:rPr>
                <w:rFonts w:hint="eastAsia" w:ascii="Times New Roman" w:hAnsi="Times New Roman" w:eastAsia="宋体" w:cs="Times New Roman"/>
                <w:b/>
              </w:rPr>
              <w:t>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hint="eastAsia" w:ascii="Times New Roman" w:hAnsi="Times New Roman" w:eastAsia="宋体" w:cs="Times New Roman"/>
                <w:b/>
              </w:rPr>
              <w:t>投标文件的</w:t>
            </w:r>
          </w:p>
          <w:p>
            <w:pPr>
              <w:jc w:val="center"/>
              <w:rPr>
                <w:rFonts w:ascii="Times New Roman" w:hAnsi="Times New Roman" w:eastAsia="宋体" w:cs="Times New Roman"/>
                <w:b/>
                <w:sz w:val="22"/>
                <w:shd w:val="pct10" w:color="auto" w:fill="FFFFFF"/>
              </w:rPr>
            </w:pPr>
            <w:r>
              <w:rPr>
                <w:rFonts w:hint="eastAsia" w:ascii="Times New Roman" w:hAnsi="Times New Roman" w:eastAsia="宋体" w:cs="Times New Roman"/>
                <w:b/>
              </w:rPr>
              <w:t>组成</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 w:val="22"/>
              </w:rPr>
            </w:pPr>
            <w:r>
              <w:rPr>
                <w:rFonts w:hint="eastAsia" w:ascii="Times New Roman" w:hAnsi="Times New Roman" w:eastAsia="宋体" w:cs="Times New Roman"/>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rPr>
                <w:rFonts w:ascii="Times New Roman" w:hAnsi="Times New Roman" w:eastAsia="宋体" w:cs="Times New Roman"/>
                <w:sz w:val="22"/>
              </w:rPr>
            </w:pPr>
            <w:r>
              <w:rPr>
                <w:rFonts w:hint="eastAsia" w:ascii="Times New Roman" w:hAnsi="Times New Roman" w:eastAsia="宋体" w:cs="Times New Roman"/>
                <w:sz w:val="22"/>
              </w:rPr>
              <w:t>投标人应当在规定时间前将以介质存储的数据电文形式的备份投标文件和纸质备份投标文件寄到或送达采购代理公司：舟山市定海区昌国路</w:t>
            </w:r>
            <w:r>
              <w:rPr>
                <w:rFonts w:ascii="Times New Roman" w:hAnsi="Times New Roman" w:eastAsia="宋体" w:cs="Times New Roman"/>
                <w:sz w:val="22"/>
              </w:rPr>
              <w:t>232</w:t>
            </w:r>
            <w:r>
              <w:rPr>
                <w:rFonts w:hint="eastAsia" w:ascii="Times New Roman" w:hAnsi="Times New Roman" w:eastAsia="宋体" w:cs="Times New Roman"/>
                <w:sz w:val="22"/>
              </w:rPr>
              <w:t>号中楼</w:t>
            </w:r>
            <w:r>
              <w:rPr>
                <w:rFonts w:ascii="Times New Roman" w:hAnsi="Times New Roman" w:eastAsia="宋体" w:cs="Times New Roman"/>
                <w:sz w:val="22"/>
              </w:rPr>
              <w:t>202</w:t>
            </w:r>
            <w:r>
              <w:rPr>
                <w:rFonts w:hint="eastAsia" w:ascii="Times New Roman" w:hAnsi="Times New Roman" w:eastAsia="宋体" w:cs="Times New Roman"/>
                <w:sz w:val="22"/>
              </w:rPr>
              <w:t>。逾期送达或未密封将被拒收。也可现场递交。</w:t>
            </w:r>
          </w:p>
          <w:p>
            <w:pPr>
              <w:rPr>
                <w:rFonts w:ascii="Times New Roman" w:hAnsi="Times New Roman" w:eastAsia="宋体" w:cs="Times New Roman"/>
                <w:sz w:val="22"/>
              </w:rPr>
            </w:pPr>
            <w:r>
              <w:rPr>
                <w:rFonts w:hint="eastAsia" w:ascii="Times New Roman" w:hAnsi="Times New Roman" w:eastAsia="宋体" w:cs="Times New Roman"/>
                <w:sz w:val="22"/>
              </w:rPr>
              <w:t>投标人递交以介质存储的数据电文形式的备份投标文件和纸质备份投标文件时，如出现下列情况之一的，将被拒收：</w:t>
            </w:r>
          </w:p>
          <w:p>
            <w:pPr>
              <w:rPr>
                <w:rFonts w:ascii="Times New Roman" w:hAnsi="Times New Roman" w:eastAsia="宋体" w:cs="Times New Roman"/>
                <w:sz w:val="22"/>
              </w:rPr>
            </w:pPr>
            <w:r>
              <w:rPr>
                <w:rFonts w:ascii="Times New Roman" w:hAnsi="Times New Roman" w:eastAsia="宋体" w:cs="Times New Roman"/>
                <w:sz w:val="22"/>
              </w:rPr>
              <w:t>1.</w:t>
            </w:r>
            <w:r>
              <w:rPr>
                <w:rFonts w:hint="eastAsia" w:ascii="Times New Roman" w:hAnsi="Times New Roman" w:eastAsia="宋体" w:cs="Times New Roman"/>
                <w:sz w:val="22"/>
              </w:rPr>
              <w:t>未按规定密封或标记的投标文件；</w:t>
            </w:r>
          </w:p>
          <w:p>
            <w:pPr>
              <w:rPr>
                <w:rFonts w:ascii="Times New Roman" w:hAnsi="Times New Roman" w:eastAsia="宋体" w:cs="Times New Roman"/>
                <w:sz w:val="22"/>
              </w:rPr>
            </w:pPr>
            <w:r>
              <w:rPr>
                <w:rFonts w:ascii="Times New Roman" w:hAnsi="Times New Roman" w:eastAsia="宋体" w:cs="Times New Roman"/>
                <w:sz w:val="22"/>
              </w:rPr>
              <w:t>2.</w:t>
            </w:r>
            <w:r>
              <w:rPr>
                <w:rFonts w:hint="eastAsia" w:ascii="Times New Roman" w:hAnsi="Times New Roman" w:eastAsia="宋体" w:cs="Times New Roman"/>
                <w:sz w:val="22"/>
              </w:rPr>
              <w:t>由于包装不妥，在送交途中严重破损或失散的；</w:t>
            </w:r>
          </w:p>
          <w:p>
            <w:pPr>
              <w:rPr>
                <w:rFonts w:ascii="Times New Roman" w:hAnsi="Times New Roman" w:eastAsia="宋体" w:cs="Times New Roman"/>
                <w:sz w:val="22"/>
              </w:rPr>
            </w:pPr>
            <w:r>
              <w:rPr>
                <w:rFonts w:ascii="Times New Roman" w:hAnsi="Times New Roman" w:eastAsia="宋体" w:cs="Times New Roman"/>
                <w:sz w:val="22"/>
              </w:rPr>
              <w:t>3.</w:t>
            </w:r>
            <w:r>
              <w:rPr>
                <w:rFonts w:hint="eastAsia" w:ascii="Times New Roman" w:hAnsi="Times New Roman" w:eastAsia="宋体" w:cs="Times New Roman"/>
                <w:sz w:val="22"/>
              </w:rPr>
              <w:t>未成功办理投标人报名手续的；</w:t>
            </w:r>
          </w:p>
          <w:p>
            <w:pPr>
              <w:rPr>
                <w:rFonts w:ascii="Times New Roman" w:hAnsi="Times New Roman" w:eastAsia="宋体" w:cs="Times New Roman"/>
                <w:sz w:val="22"/>
              </w:rPr>
            </w:pPr>
            <w:r>
              <w:rPr>
                <w:rFonts w:ascii="Times New Roman" w:hAnsi="Times New Roman" w:eastAsia="宋体" w:cs="Times New Roman"/>
                <w:sz w:val="22"/>
              </w:rPr>
              <w:t>4.</w:t>
            </w:r>
            <w:r>
              <w:rPr>
                <w:rFonts w:hint="eastAsia" w:ascii="Times New Roman" w:hAnsi="Times New Roman" w:eastAsia="宋体" w:cs="Times New Roman"/>
                <w:sz w:val="22"/>
              </w:rPr>
              <w:t>超过截止时间送达的；</w:t>
            </w:r>
          </w:p>
          <w:p>
            <w:pPr>
              <w:rPr>
                <w:rFonts w:ascii="Times New Roman" w:hAnsi="Times New Roman" w:eastAsia="宋体" w:cs="Times New Roman"/>
                <w:sz w:val="22"/>
              </w:rPr>
            </w:pPr>
            <w:r>
              <w:rPr>
                <w:rFonts w:hint="eastAsia" w:ascii="Times New Roman" w:hAnsi="Times New Roman" w:eastAsia="宋体" w:cs="Times New Roman"/>
                <w:sz w:val="22"/>
              </w:rPr>
              <w:t>仅提供备份投标文件的，投标无效。</w:t>
            </w:r>
          </w:p>
          <w:p>
            <w:pPr>
              <w:rPr>
                <w:rFonts w:ascii="Times New Roman" w:hAnsi="Times New Roman" w:eastAsia="宋体" w:cs="Times New Roman"/>
                <w:sz w:val="22"/>
              </w:rPr>
            </w:pPr>
            <w:r>
              <w:rPr>
                <w:rFonts w:hint="eastAsia" w:ascii="Times New Roman" w:hAnsi="Times New Roman" w:eastAsia="宋体" w:cs="Times New Roman"/>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ascii="Times New Roman" w:hAnsi="Times New Roman" w:eastAsia="宋体" w:cs="Times New Roman"/>
                <w:b/>
              </w:rPr>
              <w:t>1</w:t>
            </w:r>
            <w:r>
              <w:rPr>
                <w:rFonts w:hint="eastAsia" w:ascii="Times New Roman" w:hAnsi="Times New Roman" w:eastAsia="宋体" w:cs="Times New Roman"/>
                <w:b/>
              </w:rPr>
              <w:t>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投标人注册</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beforeLines="10"/>
              <w:jc w:val="left"/>
              <w:rPr>
                <w:rFonts w:ascii="Times New Roman" w:hAnsi="Times New Roman" w:eastAsia="宋体" w:cs="Times New Roman"/>
                <w:bCs/>
                <w:snapToGrid w:val="0"/>
                <w:kern w:val="0"/>
              </w:rPr>
            </w:pPr>
            <w:r>
              <w:rPr>
                <w:rFonts w:hint="eastAsia" w:ascii="Times New Roman" w:hAnsi="Times New Roman" w:eastAsia="宋体" w:cs="Times New Roman"/>
                <w:bCs/>
                <w:snapToGrid w:val="0"/>
                <w:kern w:val="0"/>
              </w:rPr>
              <w:t>各投标人须在投标截止时间前根据浙江省财政厅《关于开展政府采购投标人网上注册登记和诚信管理工作的通知》（浙财采监【</w:t>
            </w:r>
            <w:r>
              <w:rPr>
                <w:rFonts w:ascii="Times New Roman" w:hAnsi="Times New Roman" w:eastAsia="宋体" w:cs="Times New Roman"/>
                <w:bCs/>
                <w:snapToGrid w:val="0"/>
                <w:kern w:val="0"/>
              </w:rPr>
              <w:t>2010</w:t>
            </w:r>
            <w:r>
              <w:rPr>
                <w:rFonts w:hint="eastAsia" w:ascii="Times New Roman" w:hAnsi="Times New Roman" w:eastAsia="宋体" w:cs="Times New Roman"/>
                <w:bCs/>
                <w:snapToGrid w:val="0"/>
                <w:kern w:val="0"/>
              </w:rPr>
              <w:t>】</w:t>
            </w:r>
            <w:r>
              <w:rPr>
                <w:rFonts w:ascii="Times New Roman" w:hAnsi="Times New Roman" w:eastAsia="宋体" w:cs="Times New Roman"/>
                <w:bCs/>
                <w:snapToGrid w:val="0"/>
                <w:kern w:val="0"/>
              </w:rPr>
              <w:t>8</w:t>
            </w:r>
            <w:r>
              <w:rPr>
                <w:rFonts w:hint="eastAsia" w:ascii="Times New Roman" w:hAnsi="Times New Roman" w:eastAsia="宋体" w:cs="Times New Roman"/>
                <w:bCs/>
                <w:snapToGrid w:val="0"/>
                <w:kern w:val="0"/>
              </w:rPr>
              <w:t>号文）的要求，通过浙江政府采购网申请注册加入政府采购投标人库。以免影响享受相关政策优惠及成交后的款项支付。</w:t>
            </w:r>
          </w:p>
          <w:p>
            <w:pPr>
              <w:spacing w:beforeLines="10"/>
              <w:jc w:val="left"/>
              <w:rPr>
                <w:rFonts w:ascii="Times New Roman" w:hAnsi="Times New Roman" w:eastAsia="宋体" w:cs="Times New Roman"/>
                <w:szCs w:val="21"/>
              </w:rPr>
            </w:pPr>
            <w:r>
              <w:rPr>
                <w:rFonts w:hint="eastAsia" w:ascii="Times New Roman" w:hAnsi="Times New Roman" w:eastAsia="宋体" w:cs="Times New Roman"/>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hint="eastAsia" w:ascii="Times New Roman" w:hAnsi="Times New Roman" w:eastAsia="宋体" w:cs="Times New Roman"/>
                <w:b/>
              </w:rPr>
              <w:t>18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不良信用记录查询</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根据财库</w:t>
            </w:r>
            <w:r>
              <w:rPr>
                <w:rFonts w:ascii="Times New Roman" w:hAnsi="Times New Roman" w:eastAsia="宋体" w:cs="Times New Roman"/>
                <w:szCs w:val="21"/>
              </w:rPr>
              <w:t>[2016]125</w:t>
            </w:r>
            <w:r>
              <w:rPr>
                <w:rFonts w:hint="eastAsia" w:ascii="Times New Roman" w:hAnsi="Times New Roman" w:eastAsia="宋体" w:cs="Times New Roman"/>
                <w:szCs w:val="21"/>
              </w:rPr>
              <w:t>号文件：</w:t>
            </w:r>
          </w:p>
          <w:p>
            <w:pP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至本项目投标截止前未被列入</w:t>
            </w:r>
            <w:r>
              <w:rPr>
                <w:rFonts w:ascii="Times New Roman" w:hAnsi="Times New Roman" w:eastAsia="宋体" w:cs="Times New Roman"/>
                <w:szCs w:val="21"/>
              </w:rPr>
              <w:t>“</w:t>
            </w:r>
            <w:r>
              <w:rPr>
                <w:rFonts w:hint="eastAsia" w:ascii="Times New Roman" w:hAnsi="Times New Roman" w:eastAsia="宋体" w:cs="Times New Roman"/>
                <w:szCs w:val="21"/>
              </w:rPr>
              <w:t>信用中国</w:t>
            </w:r>
            <w:r>
              <w:rPr>
                <w:rFonts w:ascii="Times New Roman" w:hAnsi="Times New Roman" w:eastAsia="宋体" w:cs="Times New Roman"/>
                <w:szCs w:val="21"/>
              </w:rPr>
              <w:t>”</w:t>
            </w:r>
            <w:r>
              <w:rPr>
                <w:rFonts w:hint="eastAsia" w:ascii="Times New Roman" w:hAnsi="Times New Roman" w:eastAsia="宋体" w:cs="Times New Roman"/>
                <w:szCs w:val="21"/>
              </w:rPr>
              <w:t>网站</w:t>
            </w:r>
            <w:r>
              <w:rPr>
                <w:rFonts w:ascii="Times New Roman" w:hAnsi="Times New Roman" w:eastAsia="宋体" w:cs="Times New Roman"/>
                <w:szCs w:val="21"/>
              </w:rPr>
              <w:t>(www.creditchina.gov.cn)“</w:t>
            </w:r>
            <w:r>
              <w:rPr>
                <w:rFonts w:hint="eastAsia" w:ascii="Times New Roman" w:hAnsi="Times New Roman" w:eastAsia="宋体" w:cs="Times New Roman"/>
                <w:szCs w:val="21"/>
              </w:rPr>
              <w:t>记录失信被执行人或重大税收违法案件当事人名单</w:t>
            </w:r>
            <w:r>
              <w:rPr>
                <w:rFonts w:ascii="Times New Roman" w:hAnsi="Times New Roman" w:eastAsia="宋体" w:cs="Times New Roman"/>
                <w:szCs w:val="21"/>
              </w:rPr>
              <w:t>”</w:t>
            </w:r>
            <w:r>
              <w:rPr>
                <w:rFonts w:hint="eastAsia" w:ascii="Times New Roman" w:hAnsi="Times New Roman" w:eastAsia="宋体" w:cs="Times New Roman"/>
                <w:szCs w:val="21"/>
              </w:rPr>
              <w:t>记录名单。</w:t>
            </w:r>
          </w:p>
          <w:p>
            <w:pP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至本项目投标截止前不处于中国政府采购网</w:t>
            </w:r>
            <w:r>
              <w:rPr>
                <w:rFonts w:ascii="Times New Roman" w:hAnsi="Times New Roman" w:eastAsia="宋体" w:cs="Times New Roman"/>
                <w:szCs w:val="21"/>
              </w:rPr>
              <w:t>(www.ccgp.gov.cn)“</w:t>
            </w:r>
            <w:r>
              <w:rPr>
                <w:rFonts w:hint="eastAsia" w:ascii="Times New Roman" w:hAnsi="Times New Roman" w:eastAsia="宋体" w:cs="Times New Roman"/>
                <w:szCs w:val="21"/>
              </w:rPr>
              <w:t>政府采购严重违法失信行为信息记录</w:t>
            </w:r>
            <w:r>
              <w:rPr>
                <w:rFonts w:ascii="Times New Roman" w:hAnsi="Times New Roman" w:eastAsia="宋体" w:cs="Times New Roman"/>
                <w:szCs w:val="21"/>
              </w:rPr>
              <w:t>”</w:t>
            </w:r>
            <w:r>
              <w:rPr>
                <w:rFonts w:hint="eastAsia" w:ascii="Times New Roman" w:hAnsi="Times New Roman" w:eastAsia="宋体" w:cs="Times New Roman"/>
                <w:szCs w:val="21"/>
              </w:rPr>
              <w:t>中的禁止参加政府采购活动期间。</w:t>
            </w:r>
          </w:p>
          <w:p>
            <w:pPr>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b/>
              </w:rPr>
              <w:t>查询截图，（截图查询网站时间须在开标截止前二个星期内）。</w:t>
            </w:r>
            <w:r>
              <w:rPr>
                <w:rFonts w:hint="eastAsia" w:ascii="Times New Roman" w:hAnsi="Times New Roman" w:eastAsia="宋体" w:cs="Times New Roman"/>
                <w:szCs w:val="21"/>
              </w:rPr>
              <w:t>对列入失信被执行人、重大税收违法案件当事人名单、政府采购严重违法失信行为记录名单的供应商，</w:t>
            </w:r>
            <w:r>
              <w:rPr>
                <w:rFonts w:hint="eastAsia" w:ascii="Times New Roman" w:hAnsi="Times New Roman" w:eastAsia="宋体" w:cs="Times New Roman"/>
                <w:b/>
                <w:szCs w:val="21"/>
              </w:rPr>
              <w:t>其投标将作无效标处理</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w:t>
            </w:r>
            <w:r>
              <w:rPr>
                <w:rFonts w:hint="eastAsia" w:ascii="Times New Roman" w:hAnsi="Times New Roman" w:eastAsia="宋体" w:cs="Times New Roman"/>
                <w:b/>
              </w:rPr>
              <w:t>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中小企业有关政策</w:t>
            </w:r>
          </w:p>
        </w:tc>
        <w:tc>
          <w:tcPr>
            <w:tcW w:w="84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Times New Roman" w:hAnsi="Times New Roman" w:eastAsia="宋体" w:cs="Times New Roman"/>
                <w:b/>
                <w:bCs/>
                <w:szCs w:val="21"/>
                <w:u w:val="single"/>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）根据财政部财库〔</w:t>
            </w:r>
            <w:r>
              <w:rPr>
                <w:rFonts w:ascii="Times New Roman" w:hAnsi="Times New Roman" w:eastAsia="宋体" w:cs="Times New Roman"/>
                <w:szCs w:val="21"/>
              </w:rPr>
              <w:t>2022</w:t>
            </w:r>
            <w:r>
              <w:rPr>
                <w:rFonts w:hint="eastAsia" w:ascii="Times New Roman" w:hAnsi="Times New Roman" w:eastAsia="宋体" w:cs="Times New Roman"/>
                <w:szCs w:val="21"/>
              </w:rPr>
              <w:t>〕</w:t>
            </w:r>
            <w:r>
              <w:rPr>
                <w:rFonts w:ascii="Times New Roman" w:hAnsi="Times New Roman" w:eastAsia="宋体" w:cs="Times New Roman"/>
                <w:szCs w:val="21"/>
              </w:rPr>
              <w:t>19</w:t>
            </w:r>
            <w:r>
              <w:rPr>
                <w:rFonts w:hint="eastAsia" w:ascii="Times New Roman" w:hAnsi="Times New Roman" w:eastAsia="宋体" w:cs="Times New Roman"/>
                <w:szCs w:val="21"/>
              </w:rPr>
              <w:t>号《关于进一步加大政府采购支持中小企业力度的通知》、《浙江省财政厅关于进一步加大政府采购支持中小企业力度助力扎实稳住经济的通知》（浙财采监</w:t>
            </w:r>
            <w:r>
              <w:rPr>
                <w:rFonts w:ascii="Times New Roman" w:hAnsi="Times New Roman" w:eastAsia="宋体" w:cs="Times New Roman"/>
                <w:szCs w:val="21"/>
              </w:rPr>
              <w:t>[2022]8</w:t>
            </w:r>
            <w:r>
              <w:rPr>
                <w:rFonts w:hint="eastAsia" w:ascii="Times New Roman" w:hAnsi="Times New Roman" w:eastAsia="宋体" w:cs="Times New Roman"/>
                <w:szCs w:val="21"/>
              </w:rPr>
              <w:t>号）规定，未预留份额专门面向中小企业采购的采购项目，以及预留份额项目中的非预留部分采购包，对小型和微型企业的价格给予1</w:t>
            </w:r>
            <w:r>
              <w:rPr>
                <w:rFonts w:ascii="Times New Roman" w:hAnsi="Times New Roman" w:eastAsia="宋体" w:cs="Times New Roman"/>
                <w:szCs w:val="21"/>
              </w:rPr>
              <w:t>0%</w:t>
            </w:r>
            <w:r>
              <w:rPr>
                <w:rFonts w:hint="eastAsia" w:ascii="Times New Roman" w:hAnsi="Times New Roman" w:eastAsia="宋体" w:cs="Times New Roman"/>
                <w:szCs w:val="21"/>
              </w:rPr>
              <w:t>的扣除。对于联合协议或者分包意向协议约定小微企业的合同份额占到合同总金额</w:t>
            </w:r>
            <w:r>
              <w:rPr>
                <w:rFonts w:ascii="Times New Roman" w:hAnsi="Times New Roman" w:eastAsia="宋体" w:cs="Times New Roman"/>
                <w:szCs w:val="21"/>
              </w:rPr>
              <w:t>30%</w:t>
            </w:r>
            <w:r>
              <w:rPr>
                <w:rFonts w:hint="eastAsia" w:ascii="Times New Roman" w:hAnsi="Times New Roman" w:eastAsia="宋体" w:cs="Times New Roman"/>
                <w:szCs w:val="21"/>
              </w:rPr>
              <w:t>以上的，给予4</w:t>
            </w:r>
            <w:r>
              <w:rPr>
                <w:rFonts w:ascii="Times New Roman" w:hAnsi="Times New Roman" w:eastAsia="宋体" w:cs="Times New Roman"/>
                <w:szCs w:val="21"/>
              </w:rPr>
              <w:t>%</w:t>
            </w:r>
            <w:r>
              <w:rPr>
                <w:rFonts w:hint="eastAsia" w:ascii="Times New Roman" w:hAnsi="Times New Roman" w:eastAsia="宋体" w:cs="Times New Roman"/>
                <w:szCs w:val="21"/>
              </w:rPr>
              <w:t>的扣除。属于小型和微型企业的，投标文件中投标人必须提供《中小企业声明函》。本项目不专门面向中小企业，</w:t>
            </w:r>
            <w:r>
              <w:rPr>
                <w:rFonts w:hint="eastAsia" w:ascii="Times New Roman" w:hAnsi="Times New Roman" w:eastAsia="宋体" w:cs="Times New Roman"/>
                <w:b/>
                <w:bCs/>
                <w:szCs w:val="21"/>
              </w:rPr>
              <w:t>本项目对应的中小企业划分标准所属行业：</w:t>
            </w:r>
            <w:r>
              <w:rPr>
                <w:rFonts w:hint="eastAsia" w:ascii="Times New Roman" w:hAnsi="Times New Roman" w:eastAsia="宋体" w:cs="Times New Roman"/>
                <w:b/>
                <w:kern w:val="0"/>
                <w:szCs w:val="21"/>
                <w:u w:val="single"/>
              </w:rPr>
              <w:t>其他未列明行业</w:t>
            </w:r>
            <w:r>
              <w:rPr>
                <w:rFonts w:hint="eastAsia" w:ascii="Times New Roman" w:hAnsi="Times New Roman" w:eastAsia="宋体" w:cs="Times New Roman"/>
                <w:b/>
                <w:bCs/>
                <w:szCs w:val="21"/>
                <w:u w:val="single"/>
              </w:rPr>
              <w:t>。</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）根据《关于政府采购支持监狱企业发展有关问题的通知》（财库</w:t>
            </w:r>
            <w:r>
              <w:rPr>
                <w:rFonts w:ascii="Times New Roman" w:hAnsi="Times New Roman" w:eastAsia="宋体" w:cs="Times New Roman"/>
                <w:szCs w:val="21"/>
              </w:rPr>
              <w:t>[2014]68</w:t>
            </w:r>
            <w:r>
              <w:rPr>
                <w:rFonts w:hint="eastAsia" w:ascii="Times New Roman" w:hAnsi="Times New Roman" w:eastAsia="宋体" w:cs="Times New Roman"/>
                <w:szCs w:val="21"/>
              </w:rPr>
              <w:t>号）的规定，供应商如为监狱企业且所投产品为小型或微型企业生产的，其投标报价扣除1</w:t>
            </w:r>
            <w:r>
              <w:rPr>
                <w:rFonts w:ascii="Times New Roman" w:hAnsi="Times New Roman" w:eastAsia="宋体" w:cs="Times New Roman"/>
                <w:szCs w:val="21"/>
              </w:rPr>
              <w:t>0%</w:t>
            </w:r>
            <w:r>
              <w:rPr>
                <w:rFonts w:hint="eastAsia" w:ascii="Times New Roman" w:hAnsi="Times New Roman" w:eastAsia="宋体" w:cs="Times New Roman"/>
                <w:szCs w:val="21"/>
              </w:rPr>
              <w:t>后参与评审。</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）根据《财政部、民政部、中国残疾人联合会关于促进残疾人就业政府采购政策的通知》（财库〔</w:t>
            </w:r>
            <w:r>
              <w:rPr>
                <w:rFonts w:ascii="Times New Roman" w:hAnsi="Times New Roman" w:eastAsia="宋体" w:cs="Times New Roman"/>
                <w:szCs w:val="21"/>
              </w:rPr>
              <w:t>2017</w:t>
            </w:r>
            <w:r>
              <w:rPr>
                <w:rFonts w:hint="eastAsia" w:ascii="Times New Roman" w:hAnsi="Times New Roman" w:eastAsia="宋体" w:cs="Times New Roman"/>
                <w:szCs w:val="21"/>
              </w:rPr>
              <w:t>〕</w:t>
            </w:r>
            <w:r>
              <w:rPr>
                <w:rFonts w:ascii="Times New Roman" w:hAnsi="Times New Roman" w:eastAsia="宋体" w:cs="Times New Roman"/>
                <w:szCs w:val="21"/>
              </w:rPr>
              <w:t>141</w:t>
            </w:r>
            <w:r>
              <w:rPr>
                <w:rFonts w:hint="eastAsia" w:ascii="Times New Roman" w:hAnsi="Times New Roman" w:eastAsia="宋体" w:cs="Times New Roman"/>
                <w:szCs w:val="21"/>
              </w:rPr>
              <w:t>号）的规定，残疾人福利性单位视同小型、微型企业，享受预留份额、评审中价格扣除等促进中小企业发展的政府采购政策。</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投标文件中须提供：《残疾人福利性单位声明函》，未提供完整证明材料的，投标报价不予扣减。</w:t>
            </w:r>
          </w:p>
          <w:p>
            <w:pPr>
              <w:snapToGrid w:val="0"/>
              <w:rPr>
                <w:rFonts w:ascii="Times New Roman" w:hAnsi="Times New Roman" w:eastAsia="宋体" w:cs="Times New Roman"/>
                <w:szCs w:val="21"/>
              </w:rPr>
            </w:pPr>
            <w:r>
              <w:rPr>
                <w:rFonts w:hint="eastAsia" w:ascii="Times New Roman" w:hAnsi="Times New Roman" w:eastAsia="宋体" w:cs="Times New Roman"/>
                <w:szCs w:val="21"/>
              </w:rPr>
              <w:t>上述</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政策不重复计算。</w:t>
            </w:r>
          </w:p>
          <w:p>
            <w:pPr>
              <w:snapToGrid w:val="0"/>
              <w:rPr>
                <w:rFonts w:ascii="Times New Roman" w:hAnsi="Times New Roman" w:eastAsia="宋体" w:cs="Times New Roman"/>
                <w:szCs w:val="21"/>
              </w:rPr>
            </w:pPr>
            <w:r>
              <w:rPr>
                <w:rFonts w:hint="eastAsia" w:ascii="Times New Roman" w:hAnsi="Times New Roman" w:eastAsia="宋体" w:cs="Times New Roman"/>
                <w:szCs w:val="21"/>
              </w:rPr>
              <w:t>此项由评标委员会集体核实后统一打分。</w:t>
            </w:r>
          </w:p>
        </w:tc>
      </w:tr>
    </w:tbl>
    <w:p>
      <w:pPr>
        <w:snapToGrid w:val="0"/>
        <w:spacing w:before="120" w:line="312" w:lineRule="auto"/>
        <w:jc w:val="center"/>
        <w:rPr>
          <w:rFonts w:ascii="Times New Roman" w:hAnsi="Times New Roman" w:eastAsia="宋体" w:cs="Times New Roman"/>
          <w:b/>
        </w:rPr>
      </w:pPr>
      <w:r>
        <w:rPr>
          <w:rFonts w:hint="eastAsia" w:ascii="Times New Roman" w:hAnsi="Times New Roman" w:eastAsia="宋体" w:cs="Times New Roman"/>
          <w:b/>
          <w:sz w:val="28"/>
        </w:rPr>
        <w:t>一、总则</w:t>
      </w:r>
    </w:p>
    <w:p>
      <w:pPr>
        <w:snapToGrid w:val="0"/>
        <w:spacing w:before="120" w:line="360" w:lineRule="auto"/>
        <w:ind w:right="55" w:rightChars="26"/>
        <w:rPr>
          <w:rFonts w:ascii="Times New Roman" w:hAnsi="Times New Roman" w:eastAsia="宋体" w:cs="Times New Roman"/>
          <w:b/>
          <w:sz w:val="28"/>
        </w:rPr>
      </w:pPr>
      <w:r>
        <w:rPr>
          <w:rFonts w:hint="eastAsia" w:ascii="Times New Roman" w:hAnsi="Times New Roman" w:eastAsia="宋体" w:cs="Times New Roman"/>
          <w:b/>
        </w:rPr>
        <w:t>（一）适用范围</w:t>
      </w:r>
    </w:p>
    <w:p>
      <w:pPr>
        <w:snapToGrid w:val="0"/>
        <w:spacing w:line="360"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本招标文件适用于</w:t>
      </w:r>
      <w:r>
        <w:rPr>
          <w:rFonts w:hint="eastAsia" w:ascii="Times New Roman" w:hAnsi="Times New Roman" w:eastAsia="宋体" w:cs="Times New Roman"/>
          <w:bCs/>
        </w:rPr>
        <w:t>舟山市公安局交通警察支队2023年本岛红绿灯维修、保养和优化提升项目</w:t>
      </w:r>
      <w:r>
        <w:rPr>
          <w:rFonts w:hint="eastAsia" w:ascii="Times New Roman" w:hAnsi="Times New Roman" w:eastAsia="宋体" w:cs="Times New Roman"/>
        </w:rPr>
        <w:t>的招标、投标、评标、定标、验收、合同履约、付款等行为（法律、法规另有规定的，从其规定）。</w:t>
      </w:r>
    </w:p>
    <w:p>
      <w:pPr>
        <w:snapToGrid w:val="0"/>
        <w:spacing w:line="360"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（二）定义</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“采购人”系指</w:t>
      </w:r>
      <w:r>
        <w:rPr>
          <w:rFonts w:hint="eastAsia" w:ascii="Times New Roman" w:hAnsi="Times New Roman" w:eastAsia="宋体" w:cs="Times New Roman"/>
          <w:bCs/>
        </w:rPr>
        <w:t>舟山市公安局交通警察支队</w:t>
      </w:r>
      <w:r>
        <w:rPr>
          <w:rFonts w:hint="eastAsia" w:ascii="Times New Roman" w:hAnsi="Times New Roman" w:eastAsia="宋体" w:cs="Times New Roman"/>
        </w:rPr>
        <w:t>。</w:t>
      </w:r>
    </w:p>
    <w:p>
      <w:pPr>
        <w:spacing w:after="120"/>
        <w:ind w:firstLine="420" w:firstLineChars="200"/>
        <w:rPr>
          <w:rFonts w:ascii="Times New Roman" w:hAnsi="Calibri" w:eastAsia="宋体" w:cs="Times New Roman"/>
          <w:kern w:val="0"/>
        </w:rPr>
      </w:pPr>
      <w:r>
        <w:rPr>
          <w:rFonts w:ascii="Times New Roman" w:hAnsi="Calibri" w:eastAsia="宋体" w:cs="Times New Roman"/>
          <w:kern w:val="0"/>
        </w:rPr>
        <w:t>2.</w:t>
      </w:r>
      <w:r>
        <w:rPr>
          <w:rFonts w:hint="eastAsia" w:ascii="Times New Roman" w:hAnsi="Calibri" w:eastAsia="宋体" w:cs="Times New Roman"/>
          <w:kern w:val="0"/>
        </w:rPr>
        <w:t>“采购代理机构”系指组织本次招标的深圳市国信招标有限公司。</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“投标人”系指向采购人提交投标文件的单位或个人。</w:t>
      </w:r>
    </w:p>
    <w:p>
      <w:pPr>
        <w:snapToGrid w:val="0"/>
        <w:spacing w:line="360" w:lineRule="auto"/>
        <w:ind w:right="-506" w:rightChars="-2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“产品”系指投标人按招标文件规定，须向采购人提供的一切设备、保险、税金、备品备件、工具、手册及其它有关技术资料和材料。</w:t>
      </w:r>
    </w:p>
    <w:p>
      <w:pPr>
        <w:snapToGrid w:val="0"/>
        <w:spacing w:line="360" w:lineRule="auto"/>
        <w:ind w:right="-506" w:rightChars="-2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“服务”系指招标文件规定投标人须承担的安装、调试、技术协助、校准、培训、技术指导以及其他类似的义务。</w:t>
      </w:r>
    </w:p>
    <w:p>
      <w:pPr>
        <w:snapToGrid w:val="0"/>
        <w:spacing w:line="360" w:lineRule="auto"/>
        <w:ind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“项目”系指投标人按招标文件规定向采购人提供的产品和服务。</w:t>
      </w:r>
    </w:p>
    <w:p>
      <w:pPr>
        <w:snapToGrid w:val="0"/>
        <w:spacing w:line="360" w:lineRule="auto"/>
        <w:ind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“书面形式”包括信函、传真、电报、电子文档等。</w:t>
      </w:r>
    </w:p>
    <w:p>
      <w:pPr>
        <w:snapToGrid w:val="0"/>
        <w:spacing w:line="360" w:lineRule="auto"/>
        <w:ind w:firstLine="420" w:firstLineChars="200"/>
        <w:jc w:val="left"/>
        <w:rPr>
          <w:rFonts w:ascii="Times New Roman" w:hAnsi="Times New Roman" w:eastAsia="宋体" w:cs="Times New Roman"/>
        </w:rPr>
      </w:pPr>
      <w:r>
        <w:rPr>
          <w:rFonts w:ascii="Times New Roman" w:hAnsi="Times New Roman" w:eastAsia="宋体" w:cs="Times New Roman"/>
        </w:rPr>
        <w:t>8.</w:t>
      </w:r>
      <w:r>
        <w:rPr>
          <w:rFonts w:hint="eastAsia" w:ascii="Times New Roman" w:hAnsi="Times New Roman" w:eastAsia="宋体" w:cs="Times New Roman"/>
        </w:rPr>
        <w:t>本招标文件要求中，凡标有“★”的地方（如有）均被视为重要的技术指标要求或性能要求。投标人要特别加以注意，必须对此回答并完全满足这些要求。否则如有一项“★”的指标未响应或不满足，将按投标无效处理。</w:t>
      </w:r>
    </w:p>
    <w:p>
      <w:pPr>
        <w:snapToGrid w:val="0"/>
        <w:spacing w:line="312" w:lineRule="auto"/>
        <w:jc w:val="left"/>
        <w:outlineLvl w:val="1"/>
        <w:rPr>
          <w:rFonts w:ascii="Times New Roman" w:hAnsi="Times New Roman" w:eastAsia="宋体" w:cs="Times New Roman"/>
          <w:b/>
          <w:sz w:val="24"/>
        </w:rPr>
      </w:pPr>
      <w:r>
        <w:rPr>
          <w:rFonts w:hint="eastAsia" w:ascii="Times New Roman" w:hAnsi="Times New Roman" w:eastAsia="宋体" w:cs="Times New Roman"/>
          <w:b/>
          <w:sz w:val="24"/>
        </w:rPr>
        <w:t>（三）招标方式</w:t>
      </w:r>
    </w:p>
    <w:p>
      <w:pPr>
        <w:snapToGrid w:val="0"/>
        <w:spacing w:line="312"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本次招标采用公开招标。</w:t>
      </w:r>
    </w:p>
    <w:p>
      <w:pPr>
        <w:snapToGrid w:val="0"/>
        <w:spacing w:line="312"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（四）投标费用</w:t>
      </w:r>
    </w:p>
    <w:p>
      <w:pPr>
        <w:snapToGrid w:val="0"/>
        <w:spacing w:line="312"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不论投标结果如何，投标人均应自行承担所有与投标有关的全部费用（招标文件另有规定除外）。</w:t>
      </w:r>
    </w:p>
    <w:p>
      <w:pPr>
        <w:snapToGrid w:val="0"/>
        <w:spacing w:line="312" w:lineRule="auto"/>
        <w:ind w:right="55" w:rightChars="26"/>
        <w:rPr>
          <w:rFonts w:ascii="Times New Roman" w:hAnsi="Times New Roman" w:eastAsia="宋体" w:cs="Times New Roman"/>
          <w:b/>
          <w:sz w:val="24"/>
        </w:rPr>
      </w:pPr>
      <w:r>
        <w:rPr>
          <w:rFonts w:hint="eastAsia" w:ascii="Times New Roman" w:hAnsi="Times New Roman" w:eastAsia="宋体" w:cs="Times New Roman"/>
          <w:b/>
          <w:sz w:val="24"/>
        </w:rPr>
        <w:t>（五）关于联合体</w:t>
      </w:r>
    </w:p>
    <w:p>
      <w:pPr>
        <w:snapToGrid w:val="0"/>
        <w:spacing w:line="312" w:lineRule="auto"/>
        <w:ind w:right="55" w:rightChars="26" w:firstLine="413" w:firstLineChars="196"/>
        <w:rPr>
          <w:rFonts w:hint="eastAsia" w:ascii="Times New Roman" w:hAnsi="Times New Roman" w:eastAsia="宋体" w:cs="Times New Roman"/>
          <w:b/>
          <w:color w:val="FF0000"/>
          <w:szCs w:val="21"/>
        </w:rPr>
      </w:pPr>
      <w:r>
        <w:rPr>
          <w:rFonts w:hint="eastAsia" w:ascii="Times New Roman" w:hAnsi="Times New Roman" w:eastAsia="宋体" w:cs="Times New Roman"/>
          <w:b/>
          <w:color w:val="FF0000"/>
          <w:szCs w:val="21"/>
        </w:rPr>
        <w:t>本项目接受联合体投标。</w:t>
      </w:r>
    </w:p>
    <w:p>
      <w:pPr>
        <w:snapToGrid w:val="0"/>
        <w:spacing w:line="312" w:lineRule="auto"/>
        <w:ind w:right="55" w:rightChars="26" w:firstLine="411" w:firstLineChars="196"/>
        <w:rPr>
          <w:rFonts w:ascii="Times New Roman" w:hAnsi="Times New Roman" w:eastAsia="宋体" w:cs="Times New Roman"/>
          <w:b/>
          <w:color w:val="FF0000"/>
          <w:szCs w:val="21"/>
        </w:rPr>
      </w:pPr>
      <w:r>
        <w:rPr>
          <w:rFonts w:hint="eastAsia" w:ascii="宋体" w:hAnsi="Courier New" w:eastAsia="宋体" w:cs="Times New Roman"/>
          <w:color w:val="FF0000"/>
          <w:szCs w:val="21"/>
        </w:rPr>
        <w:t>★联合体成员不得超过两家。以联合体投标的，则必须提供《联合投标协议书》，联合投标协议书应明确各双方职责分工</w:t>
      </w:r>
      <w:r>
        <w:rPr>
          <w:rFonts w:hint="eastAsia" w:ascii="Times New Roman" w:hAnsi="Times New Roman" w:eastAsia="宋体" w:cs="Times New Roman"/>
          <w:b/>
          <w:color w:val="FF0000"/>
          <w:szCs w:val="21"/>
        </w:rPr>
        <w:t>。</w:t>
      </w:r>
    </w:p>
    <w:p>
      <w:pPr>
        <w:snapToGrid w:val="0"/>
        <w:spacing w:line="360" w:lineRule="auto"/>
        <w:ind w:right="55" w:rightChars="26"/>
        <w:rPr>
          <w:rFonts w:ascii="Times New Roman" w:hAnsi="Times New Roman" w:eastAsia="宋体" w:cs="Times New Roman"/>
          <w:b/>
          <w:sz w:val="24"/>
        </w:rPr>
      </w:pPr>
      <w:r>
        <w:rPr>
          <w:rFonts w:hint="eastAsia" w:ascii="Times New Roman" w:hAnsi="Times New Roman" w:eastAsia="宋体" w:cs="Times New Roman"/>
          <w:b/>
          <w:sz w:val="24"/>
        </w:rPr>
        <w:t>（六）转包、分包</w:t>
      </w:r>
    </w:p>
    <w:p>
      <w:pPr>
        <w:snapToGrid w:val="0"/>
        <w:spacing w:line="360"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本项目不允许转包；</w:t>
      </w:r>
    </w:p>
    <w:p>
      <w:pPr>
        <w:pStyle w:val="2"/>
        <w:spacing w:line="360" w:lineRule="auto"/>
        <w:ind w:firstLine="420" w:firstLineChars="200"/>
        <w:rPr>
          <w:rFonts w:ascii="Times New Roman" w:hAnsi="Times New Roman" w:eastAsia="宋体" w:cs="Times New Roman"/>
          <w:color w:val="auto"/>
          <w:kern w:val="2"/>
          <w:sz w:val="21"/>
          <w:szCs w:val="22"/>
        </w:rPr>
      </w:pPr>
      <w:r>
        <w:rPr>
          <w:rFonts w:hint="eastAsia" w:ascii="Times New Roman" w:hAnsi="Times New Roman" w:eastAsia="宋体" w:cs="Times New Roman"/>
          <w:color w:val="auto"/>
          <w:kern w:val="2"/>
          <w:sz w:val="21"/>
          <w:szCs w:val="22"/>
        </w:rPr>
        <w:t>本项目允许分包。</w:t>
      </w:r>
    </w:p>
    <w:p>
      <w:pPr>
        <w:snapToGrid w:val="0"/>
        <w:spacing w:line="360" w:lineRule="auto"/>
        <w:ind w:right="55" w:rightChars="26"/>
        <w:rPr>
          <w:rFonts w:ascii="Times New Roman" w:hAnsi="Times New Roman" w:eastAsia="宋体" w:cs="Times New Roman"/>
          <w:b/>
          <w:spacing w:val="-4"/>
          <w:kern w:val="0"/>
          <w:sz w:val="24"/>
          <w:szCs w:val="24"/>
        </w:rPr>
      </w:pPr>
      <w:r>
        <w:rPr>
          <w:rFonts w:hint="eastAsia" w:ascii="Times New Roman" w:hAnsi="Times New Roman" w:eastAsia="宋体" w:cs="Times New Roman"/>
          <w:b/>
          <w:spacing w:val="-4"/>
          <w:kern w:val="0"/>
          <w:sz w:val="24"/>
          <w:szCs w:val="24"/>
        </w:rPr>
        <w:t>（七）特别说明：</w:t>
      </w:r>
    </w:p>
    <w:p>
      <w:pPr>
        <w:snapToGrid w:val="0"/>
        <w:spacing w:line="360" w:lineRule="auto"/>
        <w:ind w:firstLine="420" w:firstLineChars="200"/>
        <w:jc w:val="left"/>
        <w:rPr>
          <w:rFonts w:ascii="Times New Roman" w:hAnsi="Times New Roman" w:eastAsia="宋体" w:cs="Times New Roman"/>
          <w:bCs/>
        </w:rPr>
      </w:pPr>
      <w:r>
        <w:rPr>
          <w:rFonts w:ascii="Times New Roman" w:hAnsi="Times New Roman" w:eastAsia="宋体" w:cs="Times New Roman"/>
          <w:bCs/>
        </w:rPr>
        <w:t>1. 提供相同品牌产品且通过资格审查、符合性审查的不同投标人参加同一合同项下投标的，按一家投标人计算，评审后得分最高的同品牌投标人获得中标人推荐资格；评审得分相同的，取报价最低一家为有效供应商；当报价相同时，则以技术标最优一家为有效供应商；均相同时，抽签决定。其他同品牌投标人不作为中标候选人。</w:t>
      </w:r>
    </w:p>
    <w:p>
      <w:pPr>
        <w:snapToGrid w:val="0"/>
        <w:spacing w:line="360" w:lineRule="auto"/>
        <w:ind w:firstLine="420" w:firstLineChars="200"/>
        <w:jc w:val="left"/>
        <w:rPr>
          <w:rFonts w:ascii="Times New Roman" w:hAnsi="Times New Roman" w:eastAsia="宋体" w:cs="Times New Roman"/>
          <w:bCs/>
        </w:rPr>
      </w:pPr>
      <w:r>
        <w:rPr>
          <w:rFonts w:hint="eastAsia" w:ascii="Times New Roman" w:hAnsi="Times New Roman" w:eastAsia="宋体" w:cs="Times New Roman"/>
          <w:bCs/>
        </w:rPr>
        <w:t>非单一产品采购项目，多家投标人提供的核心产品品牌相同的，按以上规定处理。</w:t>
      </w:r>
    </w:p>
    <w:p>
      <w:pPr>
        <w:snapToGrid w:val="0"/>
        <w:spacing w:line="360" w:lineRule="auto"/>
        <w:ind w:firstLine="420" w:firstLineChars="200"/>
        <w:jc w:val="left"/>
        <w:rPr>
          <w:rFonts w:ascii="宋体" w:hAnsi="宋体" w:eastAsia="宋体" w:cs="Times New Roman"/>
        </w:rPr>
      </w:pPr>
      <w:r>
        <w:rPr>
          <w:rFonts w:ascii="Times New Roman" w:hAnsi="Times New Roman" w:eastAsia="宋体" w:cs="Times New Roman"/>
          <w:bCs/>
        </w:rPr>
        <w:t>2</w:t>
      </w:r>
      <w:r>
        <w:rPr>
          <w:rFonts w:hint="eastAsia" w:ascii="Times New Roman" w:hAnsi="Times New Roman" w:eastAsia="宋体" w:cs="Times New Roman"/>
          <w:bCs/>
        </w:rPr>
        <w:t>.</w:t>
      </w:r>
      <w:r>
        <w:rPr>
          <w:rFonts w:hint="eastAsia" w:ascii="宋体" w:hAnsi="宋体" w:eastAsia="宋体" w:cs="Times New Roman"/>
        </w:rPr>
        <w:t>单位负责人为同一人或者存在直接控股、管理关系的不同供应商，不得同时参加同一合同项下的投标。</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为项目提供整体设计、规范编制或者项目管理、监理、检测等服务的供应商，不得参加该项目的投标。</w:t>
      </w:r>
    </w:p>
    <w:p>
      <w:pPr>
        <w:snapToGrid w:val="0"/>
        <w:spacing w:line="360" w:lineRule="auto"/>
        <w:ind w:right="-86" w:rightChars="-41" w:firstLine="401" w:firstLineChars="199"/>
        <w:rPr>
          <w:rFonts w:ascii="Times New Roman" w:hAnsi="Times New Roman" w:eastAsia="宋体" w:cs="Times New Roman"/>
          <w:bCs/>
          <w:spacing w:val="-4"/>
          <w:kern w:val="0"/>
        </w:rPr>
      </w:pPr>
      <w:r>
        <w:rPr>
          <w:rFonts w:ascii="Times New Roman" w:hAnsi="Times New Roman" w:eastAsia="宋体" w:cs="Times New Roman"/>
          <w:bCs/>
          <w:spacing w:val="-4"/>
          <w:kern w:val="0"/>
        </w:rPr>
        <w:t>3</w:t>
      </w:r>
      <w:r>
        <w:rPr>
          <w:rFonts w:hint="eastAsia" w:ascii="Times New Roman" w:hAnsi="Times New Roman" w:eastAsia="宋体" w:cs="Times New Roman"/>
          <w:bCs/>
          <w:spacing w:val="-4"/>
          <w:kern w:val="0"/>
        </w:rPr>
        <w:t>.投标人投标所使用的资格、信誉、荣誉、业绩与企业认证必须为本法人所拥有。投标人投标所使用的采购项目实施人员必须为本法人员工。</w:t>
      </w:r>
    </w:p>
    <w:p>
      <w:pPr>
        <w:snapToGrid w:val="0"/>
        <w:spacing w:line="360" w:lineRule="auto"/>
        <w:ind w:right="-86" w:rightChars="-41" w:firstLine="404" w:firstLineChars="200"/>
        <w:rPr>
          <w:rFonts w:ascii="Times New Roman" w:hAnsi="Times New Roman" w:eastAsia="宋体" w:cs="Times New Roman"/>
          <w:bCs/>
          <w:spacing w:val="-4"/>
          <w:kern w:val="0"/>
        </w:rPr>
      </w:pPr>
      <w:r>
        <w:rPr>
          <w:rFonts w:ascii="Times New Roman" w:hAnsi="Times New Roman" w:eastAsia="宋体" w:cs="Times New Roman"/>
          <w:bCs/>
          <w:spacing w:val="-4"/>
          <w:kern w:val="0"/>
        </w:rPr>
        <w:t>4</w:t>
      </w:r>
      <w:r>
        <w:rPr>
          <w:rFonts w:hint="eastAsia" w:ascii="Times New Roman" w:hAnsi="Times New Roman" w:eastAsia="宋体" w:cs="Times New Roman"/>
          <w:bCs/>
          <w:spacing w:val="-4"/>
          <w:kern w:val="0"/>
        </w:rPr>
        <w:t>.投标人应仔细阅读招标文件的所有内容，按照招标文件的要求提交投标文件，并对所提供的全部资料的真实性承担法律责任。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Times New Roman" w:eastAsia="宋体" w:cs="Times New Roman"/>
          <w:b/>
          <w:sz w:val="24"/>
          <w:szCs w:val="24"/>
        </w:rPr>
      </w:pPr>
      <w:r>
        <w:rPr>
          <w:rFonts w:hint="eastAsia" w:ascii="Times New Roman" w:hAnsi="Times New Roman" w:eastAsia="宋体" w:cs="Times New Roman"/>
          <w:b/>
          <w:sz w:val="24"/>
          <w:szCs w:val="24"/>
        </w:rPr>
        <w:t>（八）质疑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1.</w:t>
      </w:r>
      <w:r>
        <w:rPr>
          <w:rFonts w:hint="eastAsia" w:ascii="Times New Roman" w:hAnsi="Times New Roman" w:eastAsia="宋体" w:cs="Times New Roman"/>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2.</w:t>
      </w:r>
      <w:r>
        <w:rPr>
          <w:rFonts w:hint="eastAsia" w:ascii="Times New Roman" w:hAnsi="Times New Roman" w:eastAsia="宋体" w:cs="Times New Roman"/>
          <w:bCs/>
          <w:szCs w:val="21"/>
        </w:rPr>
        <w:t>对采购过程提出质疑的，为各采购程序环节结束之日；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4.</w:t>
      </w:r>
      <w:r>
        <w:rPr>
          <w:rFonts w:hint="eastAsia" w:ascii="Times New Roman" w:hAnsi="Times New Roman" w:eastAsia="宋体" w:cs="Times New Roman"/>
          <w:bCs/>
          <w:szCs w:val="21"/>
        </w:rPr>
        <w:t>质疑书应包括下列主要内容：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①</w:t>
      </w:r>
      <w:r>
        <w:rPr>
          <w:rFonts w:hint="eastAsia" w:ascii="Times New Roman" w:hAnsi="Times New Roman" w:eastAsia="宋体" w:cs="Times New Roman"/>
          <w:bCs/>
          <w:szCs w:val="21"/>
        </w:rPr>
        <w:t>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②</w:t>
      </w:r>
      <w:r>
        <w:rPr>
          <w:rFonts w:hint="eastAsia" w:ascii="Times New Roman" w:hAnsi="Times New Roman" w:eastAsia="宋体" w:cs="Times New Roman"/>
          <w:bCs/>
          <w:szCs w:val="21"/>
        </w:rPr>
        <w:t>被质疑采购项目名称、编号及采购内容；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③</w:t>
      </w:r>
      <w:r>
        <w:rPr>
          <w:rFonts w:hint="eastAsia" w:ascii="Times New Roman" w:hAnsi="Times New Roman" w:eastAsia="宋体" w:cs="Times New Roman"/>
          <w:bCs/>
          <w:szCs w:val="21"/>
        </w:rPr>
        <w:t>具体的质疑事项及事实依据；</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④</w:t>
      </w:r>
      <w:r>
        <w:rPr>
          <w:rFonts w:hint="eastAsia" w:ascii="Times New Roman" w:hAnsi="Times New Roman" w:eastAsia="宋体" w:cs="Times New Roman"/>
          <w:bCs/>
          <w:szCs w:val="21"/>
        </w:rPr>
        <w:t>认为自己合法权益受到损害或可能受到损害的相关证据材料；</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⑤</w:t>
      </w:r>
      <w:r>
        <w:rPr>
          <w:rFonts w:hint="eastAsia" w:ascii="Times New Roman" w:hAnsi="Times New Roman" w:eastAsia="宋体" w:cs="Times New Roman"/>
          <w:bCs/>
          <w:szCs w:val="21"/>
        </w:rPr>
        <w:t>提出质疑的日期。</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供应商为自然人的，应当由本人签字：供应商为法人或者其他组织的，应当由法定代表人、主要负责人，或者其授权代表签字或者盖章，并加盖公章。</w:t>
      </w:r>
    </w:p>
    <w:p>
      <w:pPr>
        <w:widowControl/>
        <w:snapToGrid w:val="0"/>
        <w:spacing w:before="120" w:line="360" w:lineRule="auto"/>
        <w:ind w:firstLine="420" w:firstLineChars="200"/>
        <w:outlineLvl w:val="1"/>
        <w:rPr>
          <w:rFonts w:ascii="Times New Roman" w:hAnsi="Times New Roman" w:eastAsia="宋体" w:cs="Times New Roman"/>
          <w:b/>
          <w:sz w:val="28"/>
        </w:rPr>
      </w:pPr>
      <w:r>
        <w:rPr>
          <w:rFonts w:hint="eastAsia" w:ascii="Times New Roman" w:hAnsi="Times New Roman" w:eastAsia="宋体" w:cs="Times New Roman"/>
          <w:bCs/>
          <w:szCs w:val="21"/>
        </w:rPr>
        <w:t>供应商在法定质疑期内一次性提出针对同一采购程序环节的质疑。</w:t>
      </w:r>
    </w:p>
    <w:p>
      <w:pPr>
        <w:snapToGrid w:val="0"/>
        <w:spacing w:before="120" w:line="312" w:lineRule="auto"/>
        <w:ind w:right="-506" w:rightChars="-241" w:firstLine="3795" w:firstLineChars="1350"/>
        <w:rPr>
          <w:rFonts w:ascii="Times New Roman" w:hAnsi="Times New Roman" w:eastAsia="宋体" w:cs="Times New Roman"/>
          <w:b/>
          <w:sz w:val="28"/>
        </w:rPr>
      </w:pPr>
      <w:r>
        <w:rPr>
          <w:rFonts w:hint="eastAsia" w:ascii="Times New Roman" w:hAnsi="Times New Roman" w:eastAsia="宋体" w:cs="Times New Roman"/>
          <w:b/>
          <w:sz w:val="28"/>
        </w:rPr>
        <w:t>二、招标文件</w:t>
      </w:r>
    </w:p>
    <w:p>
      <w:pPr>
        <w:snapToGrid w:val="0"/>
        <w:spacing w:line="360" w:lineRule="auto"/>
        <w:ind w:right="-341"/>
        <w:jc w:val="left"/>
        <w:rPr>
          <w:rFonts w:ascii="Times New Roman" w:hAnsi="Times New Roman" w:eastAsia="宋体" w:cs="Times New Roman"/>
          <w:b/>
          <w:sz w:val="24"/>
        </w:rPr>
      </w:pPr>
      <w:r>
        <w:rPr>
          <w:rFonts w:hint="eastAsia" w:ascii="Times New Roman" w:hAnsi="Times New Roman" w:eastAsia="宋体" w:cs="Times New Roman"/>
          <w:b/>
          <w:sz w:val="24"/>
        </w:rPr>
        <w:t>（一）招标文件的构成。本招标文件由以下部份组成：</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招标公告</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招标需求</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投标人须知</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评标办法及标准</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合同主要条款</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投标文件格式</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本项目招标文件的澄清、答复、修改、补充的内容</w:t>
      </w:r>
    </w:p>
    <w:p>
      <w:pPr>
        <w:snapToGrid w:val="0"/>
        <w:spacing w:line="360" w:lineRule="auto"/>
        <w:ind w:right="-87"/>
        <w:jc w:val="left"/>
        <w:rPr>
          <w:rFonts w:ascii="Times New Roman" w:hAnsi="Times New Roman" w:eastAsia="宋体" w:cs="Times New Roman"/>
          <w:b/>
          <w:sz w:val="24"/>
        </w:rPr>
      </w:pPr>
      <w:r>
        <w:rPr>
          <w:rFonts w:hint="eastAsia" w:ascii="Times New Roman" w:hAnsi="Times New Roman" w:eastAsia="宋体" w:cs="Times New Roman"/>
          <w:b/>
          <w:sz w:val="24"/>
        </w:rPr>
        <w:t>（二）投标人的风险</w:t>
      </w:r>
    </w:p>
    <w:p>
      <w:pPr>
        <w:spacing w:line="360" w:lineRule="auto"/>
        <w:ind w:right="-506" w:rightChars="-241" w:firstLine="420"/>
        <w:rPr>
          <w:rFonts w:ascii="Times New Roman" w:hAnsi="Times New Roman" w:eastAsia="宋体" w:cs="Times New Roman"/>
        </w:rPr>
      </w:pPr>
      <w:r>
        <w:rPr>
          <w:rFonts w:hint="eastAsia" w:ascii="Times New Roman" w:hAnsi="Times New Roman" w:eastAsia="宋体" w:cs="Times New Roman"/>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Times New Roman" w:hAnsi="Times New Roman" w:eastAsia="宋体" w:cs="Times New Roman"/>
          <w:b/>
        </w:rPr>
      </w:pPr>
      <w:r>
        <w:rPr>
          <w:rFonts w:hint="eastAsia" w:ascii="Times New Roman" w:hAnsi="Times New Roman" w:eastAsia="宋体" w:cs="Times New Roman"/>
          <w:b/>
        </w:rPr>
        <w:t>（三）招标文件的澄清与修改</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投标人应认真阅读本招标文件，发现其中有误或有要求不合理的，投标人必须在投标截止前</w:t>
      </w:r>
      <w:r>
        <w:rPr>
          <w:rFonts w:ascii="Times New Roman" w:hAnsi="Times New Roman" w:eastAsia="宋体" w:cs="Times New Roman"/>
          <w:szCs w:val="21"/>
        </w:rPr>
        <w:t>15</w:t>
      </w:r>
      <w:r>
        <w:rPr>
          <w:rFonts w:hint="eastAsia" w:ascii="Times New Roman" w:hAnsi="Times New Roman" w:eastAsia="宋体" w:cs="Times New Roman"/>
          <w:szCs w:val="21"/>
        </w:rPr>
        <w:t>天内以书面形式要求招标采购单位澄清。招标采购单位对已发出的招标文件进行必要澄清、答复、修改或补充的，应当在招标文件要求提交投标文件截止时间</w:t>
      </w:r>
      <w:r>
        <w:rPr>
          <w:rFonts w:ascii="Times New Roman" w:hAnsi="Times New Roman" w:eastAsia="宋体" w:cs="Times New Roman"/>
          <w:szCs w:val="21"/>
        </w:rPr>
        <w:t>15</w:t>
      </w:r>
      <w:r>
        <w:rPr>
          <w:rFonts w:hint="eastAsia" w:ascii="Times New Roman" w:hAnsi="Times New Roman" w:eastAsia="宋体" w:cs="Times New Roman"/>
          <w:szCs w:val="21"/>
        </w:rPr>
        <w:t>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招标文件的答复、澄清、修改、补充通知实质上改变采购需求相关内容，且自招标文件的答复、澄清、修改、补充通知发出之日起至投标截止时间止不足</w:t>
      </w:r>
      <w:r>
        <w:rPr>
          <w:rFonts w:ascii="Times New Roman" w:hAnsi="Times New Roman" w:eastAsia="宋体" w:cs="Times New Roman"/>
          <w:szCs w:val="21"/>
        </w:rPr>
        <w:t>15</w:t>
      </w:r>
      <w:r>
        <w:rPr>
          <w:rFonts w:hint="eastAsia" w:ascii="Times New Roman" w:hAnsi="Times New Roman" w:eastAsia="宋体" w:cs="Times New Roman"/>
          <w:szCs w:val="21"/>
        </w:rPr>
        <w:t>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招标文件的澄清、答复、修改或补充都应该通过本代理机构以法定形式发布。</w:t>
      </w:r>
    </w:p>
    <w:p>
      <w:pPr>
        <w:snapToGrid w:val="0"/>
        <w:spacing w:before="120" w:line="360" w:lineRule="auto"/>
        <w:ind w:right="-87" w:firstLine="2923" w:firstLineChars="1040"/>
        <w:outlineLvl w:val="1"/>
        <w:rPr>
          <w:rFonts w:ascii="Times New Roman" w:hAnsi="Times New Roman" w:eastAsia="宋体" w:cs="Times New Roman"/>
          <w:b/>
          <w:sz w:val="28"/>
        </w:rPr>
      </w:pPr>
      <w:r>
        <w:rPr>
          <w:rFonts w:hint="eastAsia" w:ascii="Times New Roman" w:hAnsi="Times New Roman" w:eastAsia="宋体" w:cs="Times New Roman"/>
          <w:b/>
          <w:sz w:val="28"/>
        </w:rPr>
        <w:t>三、投标文件的编制</w:t>
      </w:r>
    </w:p>
    <w:p>
      <w:pPr>
        <w:spacing w:line="336"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（一）投标文件的签署</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电子投标文件部分：</w:t>
      </w:r>
    </w:p>
    <w:p>
      <w:pPr>
        <w:spacing w:line="33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投标人应根据</w:t>
      </w:r>
      <w:r>
        <w:rPr>
          <w:rFonts w:ascii="Times New Roman" w:hAnsi="Times New Roman" w:eastAsia="宋体" w:cs="Times New Roman"/>
          <w:szCs w:val="21"/>
        </w:rPr>
        <w:t>“</w:t>
      </w:r>
      <w:r>
        <w:rPr>
          <w:rFonts w:hint="eastAsia" w:ascii="Times New Roman" w:hAnsi="Times New Roman" w:eastAsia="宋体" w:cs="Times New Roman"/>
          <w:szCs w:val="21"/>
        </w:rPr>
        <w:t>政采云供应商项目采购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w:t>
      </w:r>
      <w:r>
        <w:rPr>
          <w:rFonts w:ascii="Times New Roman" w:hAnsi="Times New Roman" w:eastAsia="宋体" w:cs="Times New Roman"/>
          <w:szCs w:val="21"/>
        </w:rPr>
        <w:t>”</w:t>
      </w:r>
      <w:r>
        <w:rPr>
          <w:rFonts w:hint="eastAsia" w:ascii="Times New Roman" w:hAnsi="Times New Roman" w:eastAsia="宋体" w:cs="Times New Roman"/>
          <w:szCs w:val="21"/>
        </w:rPr>
        <w:t>及本招标文件规定的格式和顺序编制电子投标文件并进行关联定位。</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备份投标文件部分：</w:t>
      </w:r>
    </w:p>
    <w:p>
      <w:pPr>
        <w:snapToGrid w:val="0"/>
        <w:spacing w:beforeLines="50" w:afterLines="50" w:line="336"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napToGrid w:val="0"/>
        <w:spacing w:beforeLines="50" w:afterLines="50" w:line="336" w:lineRule="auto"/>
        <w:ind w:right="-506" w:rightChars="-241" w:firstLine="420" w:firstLineChars="200"/>
        <w:rPr>
          <w:rFonts w:ascii="Times New Roman" w:hAnsi="Times New Roman" w:eastAsia="宋体" w:cs="Times New Roman"/>
          <w:b/>
          <w:sz w:val="28"/>
          <w:szCs w:val="28"/>
        </w:rPr>
      </w:pPr>
      <w:r>
        <w:rPr>
          <w:rFonts w:ascii="Times New Roman" w:hAnsi="Times New Roman" w:eastAsia="宋体" w:cs="Times New Roman"/>
          <w:szCs w:val="21"/>
        </w:rPr>
        <w:t>2.2</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tabs>
          <w:tab w:val="left" w:pos="0"/>
        </w:tabs>
        <w:spacing w:line="360"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（二）投标文件的组成</w:t>
      </w:r>
    </w:p>
    <w:p>
      <w:pPr>
        <w:spacing w:beforeLines="50" w:line="360" w:lineRule="auto"/>
        <w:ind w:firstLine="413" w:firstLineChars="196"/>
        <w:rPr>
          <w:rFonts w:ascii="宋体" w:hAnsi="Courier New" w:eastAsia="宋体" w:cs="Times New Roman"/>
          <w:szCs w:val="21"/>
        </w:rPr>
      </w:pPr>
      <w:r>
        <w:rPr>
          <w:rFonts w:hint="eastAsia" w:ascii="宋体" w:hAnsi="Courier New" w:eastAsia="宋体" w:cs="Times New Roman"/>
          <w:b/>
          <w:bCs/>
          <w:szCs w:val="21"/>
        </w:rPr>
        <w:t>投标文件由资格响应文件、商务及技术响应文件、报价文件三部份组成。</w:t>
      </w:r>
      <w:r>
        <w:rPr>
          <w:rFonts w:hint="eastAsia" w:ascii="宋体" w:hAnsi="Courier New" w:eastAsia="宋体" w:cs="Times New Roman"/>
          <w:szCs w:val="21"/>
        </w:rPr>
        <w:t>电子投标文件中所须加盖公章部分均采用CA签章。（以下投标文件的部分格式详见本招标文件第六章，如本招标文件没有提供相应的格式，投标人可自行制表填写）</w:t>
      </w:r>
    </w:p>
    <w:p>
      <w:pPr>
        <w:spacing w:beforeLines="50" w:line="360" w:lineRule="auto"/>
        <w:ind w:firstLine="413" w:firstLineChars="196"/>
        <w:rPr>
          <w:rFonts w:ascii="Times New Roman" w:hAnsi="Times New Roman" w:eastAsia="宋体" w:cs="Times New Roman"/>
          <w:b/>
          <w:szCs w:val="21"/>
        </w:rPr>
      </w:pPr>
      <w:r>
        <w:rPr>
          <w:rFonts w:hint="eastAsia" w:ascii="Times New Roman" w:hAnsi="Times New Roman" w:eastAsia="宋体" w:cs="Times New Roman"/>
          <w:b/>
          <w:szCs w:val="21"/>
        </w:rPr>
        <w:t>资格响应部份：</w:t>
      </w:r>
    </w:p>
    <w:p>
      <w:pPr>
        <w:spacing w:line="360" w:lineRule="auto"/>
        <w:ind w:left="417"/>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基本资格条件：符合《中华人民共和国政府采购法》第二十二条的规定；</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（以下</w:t>
      </w:r>
      <w:r>
        <w:rPr>
          <w:rFonts w:ascii="Times New Roman" w:hAnsi="Times New Roman" w:eastAsia="宋体" w:cs="Times New Roman"/>
        </w:rPr>
        <w:t>A~E</w:t>
      </w:r>
      <w:r>
        <w:rPr>
          <w:rFonts w:hint="eastAsia" w:ascii="Times New Roman" w:hAnsi="Times New Roman" w:eastAsia="宋体" w:cs="Times New Roman"/>
        </w:rPr>
        <w:t>项是第二十二条要求及对应证明材料的具体内容，各投标人须在投标文件中出具对应证明材料）</w:t>
      </w:r>
    </w:p>
    <w:p>
      <w:pPr>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sz w:val="24"/>
        </w:rPr>
        <w:t>A.</w:t>
      </w:r>
      <w:r>
        <w:rPr>
          <w:rFonts w:hint="eastAsia" w:ascii="Times New Roman" w:hAnsi="Times New Roman" w:eastAsia="宋体" w:cs="Times New Roman"/>
          <w:b/>
          <w:bCs/>
        </w:rPr>
        <w:t>具有独立承担民事责任的能力：</w:t>
      </w:r>
    </w:p>
    <w:p>
      <w:pPr>
        <w:spacing w:line="360" w:lineRule="auto"/>
        <w:ind w:firstLine="420" w:firstLineChars="200"/>
        <w:rPr>
          <w:rFonts w:ascii="Times New Roman" w:hAnsi="Times New Roman" w:eastAsia="宋体" w:cs="Times New Roman"/>
          <w:b/>
          <w:bCs/>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（五选一）：</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①如投标人是企业（包括合伙企业），提供在工商部门注册的有效</w:t>
      </w:r>
      <w:r>
        <w:rPr>
          <w:rFonts w:ascii="Times New Roman" w:hAnsi="Times New Roman" w:eastAsia="宋体" w:cs="Times New Roman"/>
        </w:rPr>
        <w:t>“</w:t>
      </w:r>
      <w:r>
        <w:rPr>
          <w:rFonts w:hint="eastAsia" w:ascii="Times New Roman" w:hAnsi="Times New Roman" w:eastAsia="宋体" w:cs="Times New Roman"/>
        </w:rPr>
        <w:t>企业法人营业执照</w:t>
      </w:r>
      <w:r>
        <w:rPr>
          <w:rFonts w:ascii="Times New Roman" w:hAnsi="Times New Roman" w:eastAsia="宋体" w:cs="Times New Roman"/>
        </w:rPr>
        <w:t>”</w:t>
      </w:r>
      <w:r>
        <w:rPr>
          <w:rFonts w:hint="eastAsia" w:ascii="Times New Roman" w:hAnsi="Times New Roman" w:eastAsia="宋体" w:cs="Times New Roman"/>
        </w:rPr>
        <w:t>或</w:t>
      </w:r>
      <w:r>
        <w:rPr>
          <w:rFonts w:ascii="Times New Roman" w:hAnsi="Times New Roman" w:eastAsia="宋体" w:cs="Times New Roman"/>
        </w:rPr>
        <w:t>“</w:t>
      </w:r>
      <w:r>
        <w:rPr>
          <w:rFonts w:hint="eastAsia" w:ascii="Times New Roman" w:hAnsi="Times New Roman" w:eastAsia="宋体" w:cs="Times New Roman"/>
        </w:rPr>
        <w:t>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②如投标人是事业单位，提供有效的</w:t>
      </w:r>
      <w:r>
        <w:rPr>
          <w:rFonts w:ascii="Times New Roman" w:hAnsi="Times New Roman" w:eastAsia="宋体" w:cs="Times New Roman"/>
        </w:rPr>
        <w:t>“</w:t>
      </w:r>
      <w:r>
        <w:rPr>
          <w:rFonts w:hint="eastAsia" w:ascii="Times New Roman" w:hAnsi="Times New Roman" w:eastAsia="宋体" w:cs="Times New Roman"/>
        </w:rPr>
        <w:t>事业单位法人证书</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③如投标人是非企业专业服务机构的，提供执业许可证等证明文件等证明文件；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④如投标人是个体工商户，提供有效的</w:t>
      </w:r>
      <w:r>
        <w:rPr>
          <w:rFonts w:ascii="Times New Roman" w:hAnsi="Times New Roman" w:eastAsia="宋体" w:cs="Times New Roman"/>
        </w:rPr>
        <w:t>“</w:t>
      </w:r>
      <w:r>
        <w:rPr>
          <w:rFonts w:hint="eastAsia" w:ascii="Times New Roman" w:hAnsi="Times New Roman" w:eastAsia="宋体" w:cs="Times New Roman"/>
        </w:rPr>
        <w:t>个体工商户营业执照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⑤如投标人是自然人，提供有效的自然人身份证明（居民身份证正反面或公安机关出具的临时居民身份证正反面或港澳台胞证或证照）。</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szCs w:val="21"/>
        </w:rPr>
        <w:t>B.</w:t>
      </w:r>
      <w:r>
        <w:rPr>
          <w:rFonts w:hint="eastAsia" w:ascii="Times New Roman" w:hAnsi="Times New Roman" w:eastAsia="宋体" w:cs="Times New Roman"/>
          <w:b/>
          <w:bCs/>
        </w:rPr>
        <w:t>具有良好的商业信誉和健全的财务会计制度：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①良好的商业信誉：</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至本项目投标截止时间止未被</w:t>
      </w:r>
      <w:r>
        <w:rPr>
          <w:rFonts w:ascii="Times New Roman" w:hAnsi="Times New Roman" w:eastAsia="宋体" w:cs="Times New Roman"/>
        </w:rPr>
        <w:t>“</w:t>
      </w:r>
      <w:r>
        <w:rPr>
          <w:rFonts w:hint="eastAsia" w:ascii="Times New Roman" w:hAnsi="Times New Roman" w:eastAsia="宋体" w:cs="Times New Roman"/>
        </w:rPr>
        <w:t>信用中国</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www.creditchina.gov.cn</w:t>
      </w:r>
      <w:r>
        <w:rPr>
          <w:rFonts w:hint="eastAsia" w:ascii="Times New Roman" w:hAnsi="Times New Roman" w:eastAsia="宋体" w:cs="Times New Roman"/>
        </w:rPr>
        <w:t>）、中国政府采购网（</w:t>
      </w:r>
      <w:r>
        <w:rPr>
          <w:rFonts w:ascii="Times New Roman" w:hAnsi="Times New Roman" w:eastAsia="宋体" w:cs="Times New Roman"/>
        </w:rPr>
        <w:t>www.ccgp.gov.cn</w:t>
      </w:r>
      <w:r>
        <w:rPr>
          <w:rFonts w:hint="eastAsia" w:ascii="Times New Roman" w:hAnsi="Times New Roman" w:eastAsia="宋体" w:cs="Times New Roman"/>
        </w:rPr>
        <w:t>）列入失信被执行人、重大税收违法案件当事人名单、政府采购严重违法失信行为记录名单网页查询记录截图。</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rPr>
        <w:t>查询截图，（截图查询网站时间须在开标截止前二个星期内）</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对</w:t>
      </w:r>
      <w:r>
        <w:rPr>
          <w:rFonts w:hint="eastAsia" w:ascii="Times New Roman" w:hAnsi="Times New Roman" w:eastAsia="宋体" w:cs="Times New Roman"/>
        </w:rPr>
        <w:t>列入失信被执行人、重大税收违法案件当事人名单、政府采购严重违法失信行为记录名单的投标人，其投标将作无效标处理。</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（三选一）</w:t>
      </w:r>
      <w:r>
        <w:rPr>
          <w:rFonts w:hint="eastAsia" w:ascii="Times New Roman" w:hAnsi="Times New Roman" w:eastAsia="宋体" w:cs="Times New Roman"/>
        </w:rPr>
        <w:t>：</w:t>
      </w:r>
    </w:p>
    <w:p>
      <w:pPr>
        <w:tabs>
          <w:tab w:val="left" w:pos="735"/>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一）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10"/>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其他组织和自然人如没有经审计的财务报告的，可以提供资产负债表、利润表、现金</w:t>
      </w:r>
    </w:p>
    <w:p>
      <w:p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流量表。</w:t>
      </w:r>
    </w:p>
    <w:p>
      <w:pPr>
        <w:numPr>
          <w:ilvl w:val="0"/>
          <w:numId w:val="10"/>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新成立不足一年的公司须出具情况说明。</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C.</w:t>
      </w:r>
      <w:r>
        <w:rPr>
          <w:rFonts w:hint="eastAsia" w:ascii="Times New Roman" w:hAnsi="Times New Roman" w:eastAsia="宋体" w:cs="Times New Roman"/>
          <w:b/>
          <w:bCs/>
          <w:szCs w:val="21"/>
        </w:rPr>
        <w:t>具有履行合同所必需的设备和专业技术能力：</w:t>
      </w:r>
    </w:p>
    <w:p>
      <w:pPr>
        <w:spacing w:line="360" w:lineRule="auto"/>
        <w:ind w:left="420"/>
        <w:rPr>
          <w:rFonts w:ascii="Times New Roman" w:hAnsi="Times New Roman" w:eastAsia="宋体" w:cs="Times New Roman"/>
          <w:kern w:val="0"/>
          <w:szCs w:val="21"/>
        </w:rPr>
      </w:pPr>
      <w:r>
        <w:rPr>
          <w:rFonts w:hint="eastAsia" w:ascii="Times New Roman" w:hAnsi="Times New Roman" w:eastAsia="宋体" w:cs="Times New Roman"/>
          <w:kern w:val="0"/>
          <w:szCs w:val="21"/>
        </w:rPr>
        <w:t>投标人须在投标文件中出具具有履行合同所必需的设备和专业技术能力的《投标函》。</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D.</w:t>
      </w:r>
      <w:r>
        <w:rPr>
          <w:rFonts w:hint="eastAsia" w:ascii="Times New Roman" w:hAnsi="Times New Roman" w:eastAsia="宋体" w:cs="Times New Roman"/>
          <w:b/>
          <w:bCs/>
          <w:szCs w:val="21"/>
        </w:rPr>
        <w:t>有依法缴纳税收和社会保障资金的良好记录：（如有）</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投标人须在投标文件中同时出具满足以下要求的证明材料复印件：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①投标人须提供由税务部门出具的最近一季度缴纳增值税和企业所得税的纳税证明。</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投标人须提供最近三个月内缴纳社会保险的凭据（缴税付款凭证或社会保险缴纳证明）</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依法免税或不需要缴纳社会保障资金的投标人，应提供相应文件证明其依法免税或不需要缴纳社会保障资金。</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E.</w:t>
      </w:r>
      <w:r>
        <w:rPr>
          <w:rFonts w:hint="eastAsia" w:ascii="Times New Roman" w:hAnsi="Times New Roman" w:eastAsia="宋体" w:cs="Times New Roman"/>
          <w:b/>
          <w:bCs/>
        </w:rPr>
        <w:t>参加政府采购活动前三年内，在经营活动中没有重大违法记录：</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投标人须在投标文件中出具《声明函》、廉政承诺书。（格式见附件）</w:t>
      </w:r>
    </w:p>
    <w:p>
      <w:pPr>
        <w:snapToGrid w:val="0"/>
        <w:spacing w:beforeLines="50" w:line="336" w:lineRule="auto"/>
        <w:ind w:firstLine="415" w:firstLineChars="198"/>
        <w:rPr>
          <w:rFonts w:ascii="Times New Roman" w:hAnsi="Times New Roman" w:eastAsia="宋体" w:cs="Times New Roman"/>
          <w:szCs w:val="21"/>
        </w:rPr>
      </w:pPr>
      <w:r>
        <w:rPr>
          <w:rFonts w:hint="eastAsia" w:ascii="Times New Roman" w:hAnsi="Times New Roman" w:eastAsia="宋体" w:cs="Times New Roman"/>
          <w:szCs w:val="21"/>
        </w:rPr>
        <w:t>注：证明材料均需加盖签章。</w:t>
      </w:r>
    </w:p>
    <w:p>
      <w:pPr>
        <w:snapToGrid w:val="0"/>
        <w:spacing w:beforeLines="50" w:afterLines="50" w:line="336" w:lineRule="auto"/>
        <w:ind w:left="417" w:right="-506" w:rightChars="-241"/>
        <w:rPr>
          <w:rFonts w:ascii="宋体" w:hAnsi="宋体" w:eastAsia="宋体" w:cs="Times New Roman"/>
          <w:b/>
          <w:szCs w:val="21"/>
        </w:rPr>
      </w:pPr>
      <w:r>
        <w:rPr>
          <w:rFonts w:hint="eastAsia" w:ascii="宋体" w:hAnsi="宋体" w:eastAsia="宋体" w:cs="Times New Roman"/>
          <w:b/>
          <w:szCs w:val="21"/>
        </w:rPr>
        <w:t>2.商务及技术部分：</w:t>
      </w:r>
    </w:p>
    <w:p>
      <w:pPr>
        <w:snapToGrid w:val="0"/>
        <w:spacing w:line="360" w:lineRule="auto"/>
        <w:ind w:firstLine="411" w:firstLineChars="196"/>
        <w:jc w:val="left"/>
        <w:rPr>
          <w:rFonts w:ascii="宋体" w:hAnsi="宋体" w:eastAsia="宋体" w:cs="Times New Roman"/>
          <w:bCs/>
          <w:szCs w:val="21"/>
        </w:rPr>
      </w:pPr>
      <w:r>
        <w:rPr>
          <w:rFonts w:hint="eastAsia" w:ascii="宋体" w:hAnsi="宋体" w:eastAsia="宋体" w:cs="Times New Roman"/>
          <w:bCs/>
          <w:szCs w:val="21"/>
        </w:rPr>
        <w:t>2.1投标人基本情况表（如有）；</w:t>
      </w:r>
    </w:p>
    <w:p>
      <w:pPr>
        <w:snapToGrid w:val="0"/>
        <w:spacing w:line="360" w:lineRule="auto"/>
        <w:ind w:firstLine="411" w:firstLineChars="196"/>
        <w:jc w:val="left"/>
        <w:rPr>
          <w:rFonts w:ascii="宋体" w:hAnsi="宋体" w:eastAsia="宋体" w:cs="Times New Roman"/>
          <w:bCs/>
          <w:szCs w:val="21"/>
        </w:rPr>
      </w:pPr>
      <w:r>
        <w:rPr>
          <w:rFonts w:hint="eastAsia" w:ascii="宋体" w:hAnsi="宋体" w:eastAsia="宋体" w:cs="Times New Roman"/>
          <w:bCs/>
          <w:szCs w:val="21"/>
        </w:rPr>
        <w:t>2.2成功案例及业绩；</w:t>
      </w:r>
    </w:p>
    <w:p>
      <w:pPr>
        <w:snapToGrid w:val="0"/>
        <w:spacing w:line="360" w:lineRule="auto"/>
        <w:ind w:firstLine="411" w:firstLineChars="196"/>
        <w:jc w:val="left"/>
        <w:rPr>
          <w:rFonts w:ascii="宋体" w:hAnsi="宋体" w:eastAsia="宋体" w:cs="Times New Roman"/>
          <w:bCs/>
          <w:szCs w:val="21"/>
        </w:rPr>
      </w:pPr>
      <w:r>
        <w:rPr>
          <w:rFonts w:hint="eastAsia" w:ascii="宋体" w:hAnsi="宋体" w:eastAsia="宋体" w:cs="Times New Roman"/>
          <w:bCs/>
          <w:szCs w:val="21"/>
        </w:rPr>
        <w:t>2.3 项目负责人简历表（须附相关证明材料）；项目实施人员一览表（须附职称证书复印件）；</w:t>
      </w:r>
    </w:p>
    <w:p>
      <w:pPr>
        <w:snapToGrid w:val="0"/>
        <w:spacing w:line="360" w:lineRule="auto"/>
        <w:ind w:firstLine="411" w:firstLineChars="196"/>
        <w:jc w:val="left"/>
        <w:rPr>
          <w:rFonts w:ascii="宋体" w:hAnsi="宋体" w:eastAsia="宋体" w:cs="Times New Roman"/>
          <w:bCs/>
          <w:szCs w:val="21"/>
        </w:rPr>
      </w:pPr>
      <w:r>
        <w:rPr>
          <w:rFonts w:hint="eastAsia" w:ascii="宋体" w:hAnsi="宋体" w:eastAsia="宋体" w:cs="Times New Roman"/>
          <w:bCs/>
          <w:szCs w:val="21"/>
        </w:rPr>
        <w:t>2.4商务响应表；</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2.5项目总体架构及技术解决方案（包括功能说明、性能指标及设备选型说明，安装调试、系统集成、试运行、测试、调优、应用开发培训、管理培训、维护服务项目等内容。本项目详细工作实施组织方案，包括(但不限于)以下内容：组织机构、工作时间进度表、工作程序和步骤、管理和协调方法、关键步骤的思路和要点。）；</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2.6产品出厂标准、质量检测报告</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2.7设备配置清单（包括型号、品牌、数量）</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2.8项目总体架构及技术解决方案</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 xml:space="preserve">2.9保证项目质量的技术力量及技术措施； </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2.10保证项目的组织方案及人力资源安排；</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2.11工作计划表和进度表, 拟投入的主要软硬件设备表</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2.12投标人建议的验收方法或方案；</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2.13技术服务、技术培训、服务点的情况介绍以及服务承诺和保障措施；</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2.14技术响应表</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2.15投标人对本项目的合理化建议和改进措施；</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bCs/>
          <w:szCs w:val="21"/>
        </w:rPr>
        <w:t>2.16投标人需要说明的其他文件和说明。</w:t>
      </w:r>
    </w:p>
    <w:p>
      <w:pPr>
        <w:snapToGrid w:val="0"/>
        <w:spacing w:line="360" w:lineRule="auto"/>
        <w:ind w:firstLine="413" w:firstLineChars="196"/>
        <w:jc w:val="left"/>
        <w:rPr>
          <w:rFonts w:ascii="宋体" w:hAnsi="宋体" w:eastAsia="宋体" w:cs="Times New Roman"/>
          <w:b/>
          <w:szCs w:val="21"/>
        </w:rPr>
      </w:pPr>
      <w:r>
        <w:rPr>
          <w:rFonts w:hint="eastAsia" w:ascii="宋体" w:hAnsi="宋体" w:eastAsia="宋体" w:cs="Times New Roman"/>
          <w:b/>
          <w:szCs w:val="21"/>
        </w:rPr>
        <w:t>3.报价部分：</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3.1投标报价一览表；</w:t>
      </w:r>
    </w:p>
    <w:p>
      <w:pPr>
        <w:tabs>
          <w:tab w:val="left" w:pos="3870"/>
          <w:tab w:val="left" w:pos="4085"/>
        </w:tabs>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3.2报价明细表；</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3.3投标人针对报价需要说明的其他文件和说明。</w:t>
      </w:r>
    </w:p>
    <w:p>
      <w:pPr>
        <w:pStyle w:val="26"/>
        <w:ind w:firstLine="420" w:firstLineChars="200"/>
      </w:pPr>
      <w:r>
        <w:rPr>
          <w:rFonts w:hint="eastAsia"/>
        </w:rPr>
        <w:t>中小企业申明函（如是）；</w:t>
      </w:r>
    </w:p>
    <w:p>
      <w:pPr>
        <w:pStyle w:val="26"/>
        <w:ind w:firstLine="420" w:firstLineChars="200"/>
      </w:pPr>
      <w:r>
        <w:rPr>
          <w:rFonts w:hint="eastAsia"/>
        </w:rPr>
        <w:t>监狱企业声明函（如是）；</w:t>
      </w:r>
    </w:p>
    <w:p>
      <w:pPr>
        <w:pStyle w:val="26"/>
        <w:ind w:firstLine="420" w:firstLineChars="200"/>
        <w:rPr>
          <w:b/>
          <w:szCs w:val="21"/>
        </w:rPr>
      </w:pPr>
      <w:r>
        <w:rPr>
          <w:rFonts w:hint="eastAsia"/>
        </w:rPr>
        <w:t>残疾人福利性单位声明函（如是）；</w:t>
      </w:r>
    </w:p>
    <w:p>
      <w:pPr>
        <w:snapToGrid w:val="0"/>
        <w:spacing w:line="360" w:lineRule="auto"/>
        <w:ind w:right="55"/>
        <w:jc w:val="left"/>
        <w:outlineLvl w:val="0"/>
        <w:rPr>
          <w:rFonts w:ascii="Times New Roman" w:hAnsi="Times New Roman" w:eastAsia="宋体" w:cs="Times New Roman"/>
          <w:b/>
          <w:sz w:val="24"/>
        </w:rPr>
      </w:pPr>
      <w:r>
        <w:rPr>
          <w:rFonts w:hint="eastAsia" w:ascii="Times New Roman" w:hAnsi="Times New Roman" w:eastAsia="宋体" w:cs="Times New Roman"/>
          <w:b/>
          <w:szCs w:val="21"/>
        </w:rPr>
        <w:t>（二）投标文件的语言及计量</w:t>
      </w:r>
    </w:p>
    <w:p>
      <w:pPr>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（三）响应报价</w:t>
      </w:r>
    </w:p>
    <w:p>
      <w:pPr>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Times New Roman" w:hAnsi="Times New Roman" w:eastAsia="宋体" w:cs="Times New Roman"/>
        </w:rPr>
      </w:pPr>
      <w:r>
        <w:rPr>
          <w:rFonts w:ascii="Times New Roman" w:hAnsi="Times New Roman" w:eastAsia="宋体" w:cs="Times New Roman"/>
          <w:b/>
          <w:bCs/>
          <w:szCs w:val="21"/>
        </w:rPr>
        <w:t>2.</w:t>
      </w:r>
      <w:r>
        <w:rPr>
          <w:rFonts w:hint="eastAsia" w:ascii="Times New Roman" w:hAnsi="Times New Roman" w:eastAsia="宋体" w:cs="Times New Roman"/>
          <w:b/>
          <w:bCs/>
          <w:szCs w:val="21"/>
        </w:rPr>
        <w:t>投标文件针对同一内容只允许有一个报价，有选择的或有条件的报价将不予接受。</w:t>
      </w:r>
    </w:p>
    <w:p>
      <w:pPr>
        <w:snapToGrid w:val="0"/>
        <w:spacing w:line="360" w:lineRule="auto"/>
        <w:jc w:val="left"/>
        <w:outlineLvl w:val="0"/>
        <w:rPr>
          <w:rFonts w:ascii="Times New Roman" w:hAnsi="Times New Roman" w:eastAsia="宋体" w:cs="Times New Roman"/>
          <w:b/>
          <w:szCs w:val="21"/>
        </w:rPr>
      </w:pPr>
      <w:r>
        <w:rPr>
          <w:rFonts w:hint="eastAsia" w:ascii="Times New Roman" w:hAnsi="Times New Roman" w:eastAsia="宋体" w:cs="Times New Roman"/>
          <w:b/>
          <w:szCs w:val="21"/>
        </w:rPr>
        <w:t>（四）投标文件的有效期</w:t>
      </w:r>
    </w:p>
    <w:p>
      <w:pPr>
        <w:tabs>
          <w:tab w:val="left" w:pos="360"/>
          <w:tab w:val="left" w:pos="454"/>
          <w:tab w:val="left" w:pos="720"/>
          <w:tab w:val="left" w:pos="900"/>
        </w:tabs>
        <w:snapToGrid w:val="0"/>
        <w:spacing w:line="360" w:lineRule="auto"/>
        <w:ind w:right="-506" w:rightChars="-241"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自投标截止日起</w:t>
      </w:r>
      <w:r>
        <w:rPr>
          <w:rFonts w:ascii="Times New Roman" w:hAnsi="Times New Roman" w:eastAsia="宋体" w:cs="Times New Roman"/>
          <w:b/>
          <w:u w:val="single"/>
        </w:rPr>
        <w:t>90</w:t>
      </w:r>
      <w:r>
        <w:rPr>
          <w:rFonts w:hint="eastAsia" w:ascii="Times New Roman" w:hAnsi="Times New Roman" w:eastAsia="宋体" w:cs="Times New Roman"/>
          <w:b/>
        </w:rPr>
        <w:t>天</w:t>
      </w:r>
      <w:r>
        <w:rPr>
          <w:rFonts w:hint="eastAsia" w:ascii="Times New Roman" w:hAnsi="Times New Roman" w:eastAsia="宋体" w:cs="Times New Roman"/>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中标人的投标文件自开标之日起至合同履行完毕止均应保持有效。</w:t>
      </w:r>
    </w:p>
    <w:p>
      <w:pPr>
        <w:snapToGrid w:val="0"/>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（五）投标文件的包装、递交、修改和撤回</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投标人应当在投标截止时间前将以介质存储的数据电文形式的备份投标文件和纸质备份投标文件</w:t>
      </w:r>
      <w:r>
        <w:rPr>
          <w:rFonts w:hint="eastAsia" w:ascii="Times New Roman" w:hAnsi="Times New Roman" w:eastAsia="宋体" w:cs="Times New Roman"/>
          <w:szCs w:val="21"/>
        </w:rPr>
        <w:t>寄到或送达采购代理公司。地址：舟山市定海区昌国路</w:t>
      </w:r>
      <w:r>
        <w:rPr>
          <w:rFonts w:ascii="Times New Roman" w:hAnsi="Times New Roman" w:eastAsia="宋体" w:cs="Times New Roman"/>
          <w:szCs w:val="21"/>
        </w:rPr>
        <w:t>232</w:t>
      </w:r>
      <w:r>
        <w:rPr>
          <w:rFonts w:hint="eastAsia" w:ascii="Times New Roman" w:hAnsi="Times New Roman" w:eastAsia="宋体" w:cs="Times New Roman"/>
          <w:szCs w:val="21"/>
        </w:rPr>
        <w:t>号中楼</w:t>
      </w:r>
      <w:r>
        <w:rPr>
          <w:rFonts w:ascii="Times New Roman" w:hAnsi="Times New Roman" w:eastAsia="宋体" w:cs="Times New Roman"/>
          <w:szCs w:val="21"/>
        </w:rPr>
        <w:t>202</w:t>
      </w:r>
      <w:r>
        <w:rPr>
          <w:rFonts w:hint="eastAsia" w:ascii="Times New Roman" w:hAnsi="Times New Roman" w:eastAsia="宋体" w:cs="Times New Roman"/>
          <w:szCs w:val="21"/>
        </w:rPr>
        <w:t>深圳市国信招标有限公司舟山分公司。也可现场递交。</w:t>
      </w:r>
      <w:r>
        <w:rPr>
          <w:rFonts w:hint="eastAsia" w:ascii="Times New Roman" w:hAnsi="Times New Roman" w:eastAsia="宋体" w:cs="Times New Roman"/>
        </w:rPr>
        <w:t>逾期送达或未密封将被拒收。</w:t>
      </w:r>
    </w:p>
    <w:p>
      <w:pPr>
        <w:snapToGrid w:val="0"/>
        <w:spacing w:line="360" w:lineRule="auto"/>
        <w:ind w:right="-86" w:rightChars="-41" w:firstLine="422" w:firstLineChars="200"/>
        <w:jc w:val="left"/>
        <w:rPr>
          <w:rFonts w:ascii="Times New Roman" w:hAnsi="Times New Roman" w:eastAsia="宋体" w:cs="Times New Roman"/>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w:t>
      </w:r>
      <w:r>
        <w:rPr>
          <w:rFonts w:hint="eastAsia" w:ascii="Times New Roman" w:hAnsi="Times New Roman" w:eastAsia="宋体" w:cs="Times New Roman"/>
        </w:rPr>
        <w:t>）未按规定密封或标记的投标文件；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）由于包装不妥，在送交途中严重破损或失散的；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w:t>
      </w:r>
      <w:r>
        <w:rPr>
          <w:rFonts w:hint="eastAsia" w:ascii="Times New Roman" w:hAnsi="Times New Roman" w:eastAsia="宋体" w:cs="Times New Roman"/>
        </w:rPr>
        <w:t>）未成功办理投标人报名手续的；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4</w:t>
      </w:r>
      <w:r>
        <w:rPr>
          <w:rFonts w:hint="eastAsia" w:ascii="Times New Roman" w:hAnsi="Times New Roman" w:eastAsia="宋体" w:cs="Times New Roman"/>
        </w:rPr>
        <w:t>）超过投标截止时间送达的；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仅提供备份投标文件的，投标无效。</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备份投标文件须密封封装。包装封面上应注明投标人名称，封口处加盖投标人公章。</w:t>
      </w:r>
    </w:p>
    <w:p>
      <w:pPr>
        <w:spacing w:line="360" w:lineRule="auto"/>
        <w:rPr>
          <w:rFonts w:ascii="Times New Roman" w:hAnsi="Times New Roman" w:eastAsia="宋体" w:cs="Times New Roman"/>
        </w:rPr>
      </w:pPr>
      <w:r>
        <w:rPr>
          <w:rFonts w:hint="eastAsia" w:ascii="Times New Roman" w:hAnsi="Times New Roman" w:eastAsia="宋体" w:cs="Times New Roman"/>
          <w:b/>
          <w:szCs w:val="21"/>
        </w:rPr>
        <w:t>（六）投标无效的情形</w:t>
      </w:r>
    </w:p>
    <w:p>
      <w:pPr>
        <w:snapToGrid w:val="0"/>
        <w:spacing w:beforeLines="50" w:afterLines="50" w:line="360" w:lineRule="auto"/>
        <w:ind w:right="-86" w:rightChars="-41" w:firstLine="415" w:firstLineChars="198"/>
        <w:rPr>
          <w:rFonts w:ascii="Times New Roman" w:hAnsi="Times New Roman" w:eastAsia="宋体" w:cs="Times New Roman"/>
          <w:szCs w:val="21"/>
        </w:rPr>
      </w:pPr>
      <w:r>
        <w:rPr>
          <w:rFonts w:hint="eastAsia" w:ascii="Times New Roman" w:hAnsi="Times New Roman" w:eastAsia="宋体" w:cs="Times New Roman"/>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Lines="50" w:after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在符合性审查和商务评审时，如发现下列情形之一的，投标文件将被视为无效投标：</w:t>
      </w:r>
    </w:p>
    <w:p>
      <w:pPr>
        <w:snapToGrid w:val="0"/>
        <w:spacing w:beforeLines="5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1.1</w:t>
      </w:r>
      <w:r>
        <w:rPr>
          <w:rFonts w:hint="eastAsia" w:ascii="Times New Roman" w:hAnsi="Times New Roman" w:eastAsia="宋体" w:cs="Times New Roman"/>
          <w:szCs w:val="21"/>
        </w:rPr>
        <w:t>资格证明文件不全的，或者不符合采购文件标明的资格要求的</w:t>
      </w:r>
      <w:r>
        <w:rPr>
          <w:rFonts w:hint="eastAsia" w:ascii="Times New Roman" w:hAnsi="Times New Roman" w:eastAsia="宋体" w:cs="Times New Roman"/>
          <w:bCs/>
          <w:szCs w:val="21"/>
        </w:rPr>
        <w:t>；</w:t>
      </w:r>
    </w:p>
    <w:p>
      <w:pPr>
        <w:snapToGrid w:val="0"/>
        <w:spacing w:before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w:t>
      </w:r>
      <w:r>
        <w:rPr>
          <w:rFonts w:ascii="Times New Roman" w:hAnsi="Times New Roman" w:eastAsia="宋体" w:cs="Times New Roman"/>
          <w:szCs w:val="21"/>
        </w:rPr>
        <w:t>2</w:t>
      </w:r>
      <w:r>
        <w:rPr>
          <w:rFonts w:hint="eastAsia" w:ascii="Times New Roman" w:hAnsi="Times New Roman" w:eastAsia="宋体" w:cs="Times New Roman"/>
          <w:szCs w:val="21"/>
        </w:rPr>
        <w:t>投标文件组成不全的；</w:t>
      </w:r>
    </w:p>
    <w:p>
      <w:pPr>
        <w:snapToGrid w:val="0"/>
        <w:spacing w:beforeLines="5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1.3</w:t>
      </w:r>
      <w:r>
        <w:rPr>
          <w:rFonts w:hint="eastAsia" w:ascii="Times New Roman" w:hAnsi="Times New Roman" w:eastAsia="宋体" w:cs="Times New Roman"/>
          <w:bCs/>
          <w:szCs w:val="21"/>
        </w:rPr>
        <w:t>投标文件的实质性内容未使用中文表述、意思表述不明确、前后矛盾或者使用计量单位不符合采购文件要求的；（</w:t>
      </w:r>
      <w:r>
        <w:rPr>
          <w:rFonts w:hint="eastAsia" w:ascii="Times New Roman" w:hAnsi="Times New Roman" w:eastAsia="宋体" w:cs="Times New Roman"/>
          <w:szCs w:val="21"/>
        </w:rPr>
        <w:t>经评审小组认定允许其在线更正的笔误除外</w:t>
      </w:r>
      <w:r>
        <w:rPr>
          <w:rFonts w:hint="eastAsia" w:ascii="Times New Roman" w:hAnsi="Times New Roman" w:eastAsia="宋体" w:cs="Times New Roman"/>
          <w:bCs/>
          <w:szCs w:val="21"/>
        </w:rPr>
        <w:t>）</w:t>
      </w:r>
    </w:p>
    <w:p>
      <w:pPr>
        <w:snapToGrid w:val="0"/>
        <w:spacing w:beforeLines="5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1.4</w:t>
      </w:r>
      <w:r>
        <w:rPr>
          <w:rFonts w:hint="eastAsia" w:ascii="Times New Roman" w:hAnsi="Times New Roman" w:eastAsia="宋体" w:cs="Times New Roman"/>
          <w:bCs/>
          <w:szCs w:val="21"/>
        </w:rPr>
        <w:t>投标文件的关键内容字迹模糊、无法辨认的，或者投标文件中经修正的内容字迹模糊难以辩认或者修改处未按规定签名盖章的；</w:t>
      </w:r>
    </w:p>
    <w:p>
      <w:pPr>
        <w:snapToGrid w:val="0"/>
        <w:spacing w:beforeLines="5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1.5</w:t>
      </w:r>
      <w:r>
        <w:rPr>
          <w:rFonts w:hint="eastAsia" w:ascii="Times New Roman" w:hAnsi="Times New Roman" w:eastAsia="宋体" w:cs="Times New Roman"/>
          <w:bCs/>
          <w:szCs w:val="21"/>
        </w:rPr>
        <w:t>投标有效期、交货时间、质保期等商务条款不能满足采购文件要求的；</w:t>
      </w:r>
    </w:p>
    <w:p>
      <w:pPr>
        <w:snapToGrid w:val="0"/>
        <w:spacing w:beforeLines="5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1.6</w:t>
      </w:r>
      <w:r>
        <w:rPr>
          <w:rFonts w:hint="eastAsia" w:ascii="Times New Roman" w:hAnsi="Times New Roman" w:eastAsia="宋体" w:cs="Times New Roman"/>
          <w:bCs/>
          <w:szCs w:val="21"/>
        </w:rPr>
        <w:t>未响应采购文件实质性要求或者投标文件有采购人不能接受的附加条件的；</w:t>
      </w:r>
    </w:p>
    <w:p>
      <w:pPr>
        <w:snapToGrid w:val="0"/>
        <w:spacing w:beforeLines="5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1.7</w:t>
      </w:r>
      <w:r>
        <w:rPr>
          <w:rFonts w:hint="eastAsia" w:ascii="Times New Roman" w:hAnsi="Times New Roman" w:eastAsia="宋体" w:cs="Times New Roman"/>
          <w:bCs/>
          <w:szCs w:val="21"/>
        </w:rPr>
        <w:t>投标文件没有按采购文件要求响应有标</w:t>
      </w:r>
      <w:r>
        <w:rPr>
          <w:rFonts w:ascii="Times New Roman" w:hAnsi="Times New Roman" w:eastAsia="宋体" w:cs="Times New Roman"/>
          <w:bCs/>
          <w:szCs w:val="21"/>
        </w:rPr>
        <w:t>“</w:t>
      </w:r>
      <w:r>
        <w:rPr>
          <w:rFonts w:hint="eastAsia" w:ascii="Times New Roman" w:hAnsi="Times New Roman" w:eastAsia="宋体" w:cs="Times New Roman"/>
          <w:bCs/>
          <w:szCs w:val="21"/>
        </w:rPr>
        <w:t>★</w:t>
      </w:r>
      <w:r>
        <w:rPr>
          <w:rFonts w:ascii="Times New Roman" w:hAnsi="Times New Roman" w:eastAsia="宋体" w:cs="Times New Roman"/>
          <w:bCs/>
          <w:szCs w:val="21"/>
        </w:rPr>
        <w:t>”</w:t>
      </w:r>
      <w:r>
        <w:rPr>
          <w:rFonts w:hint="eastAsia" w:ascii="Times New Roman" w:hAnsi="Times New Roman" w:eastAsia="宋体" w:cs="Times New Roman"/>
          <w:bCs/>
          <w:szCs w:val="21"/>
        </w:rPr>
        <w:t>的条款的资料和材料的；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2.</w:t>
      </w:r>
      <w:r>
        <w:rPr>
          <w:rFonts w:hint="eastAsia" w:ascii="Times New Roman" w:hAnsi="Times New Roman" w:eastAsia="宋体" w:cs="Times New Roman"/>
          <w:b/>
          <w:bCs/>
        </w:rPr>
        <w:t>在技术评审时，如发现下列情形之一的，投标文件将被视为无效响应：</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投标文件标明的响应或偏离与事实不符或虚假投标的；</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bCs/>
          <w:szCs w:val="21"/>
        </w:rPr>
        <w:t>2.2</w:t>
      </w:r>
      <w:r>
        <w:rPr>
          <w:rFonts w:hint="eastAsia" w:ascii="Times New Roman" w:hAnsi="Times New Roman" w:eastAsia="宋体" w:cs="Times New Roman"/>
          <w:bCs/>
          <w:szCs w:val="21"/>
        </w:rPr>
        <w:t>明显不符合采购文件标明的质量标准，或者采购文件中标</w:t>
      </w:r>
      <w:r>
        <w:rPr>
          <w:rFonts w:ascii="Times New Roman" w:hAnsi="Times New Roman" w:eastAsia="宋体" w:cs="Times New Roman"/>
          <w:bCs/>
          <w:szCs w:val="21"/>
        </w:rPr>
        <w:t>“</w:t>
      </w:r>
      <w:r>
        <w:rPr>
          <w:rFonts w:hint="eastAsia" w:ascii="Times New Roman" w:hAnsi="Times New Roman" w:eastAsia="宋体" w:cs="Times New Roman"/>
          <w:b/>
        </w:rPr>
        <w:t>★</w:t>
      </w:r>
      <w:r>
        <w:rPr>
          <w:rFonts w:ascii="Times New Roman" w:hAnsi="Times New Roman" w:eastAsia="宋体" w:cs="Times New Roman"/>
          <w:bCs/>
          <w:szCs w:val="21"/>
        </w:rPr>
        <w:t>”</w:t>
      </w:r>
      <w:r>
        <w:rPr>
          <w:rFonts w:hint="eastAsia" w:ascii="Times New Roman" w:hAnsi="Times New Roman" w:eastAsia="宋体" w:cs="Times New Roman"/>
          <w:bCs/>
          <w:szCs w:val="21"/>
        </w:rPr>
        <w:t>的技术参数、条款（如有）发生实质性偏离的；</w:t>
      </w:r>
    </w:p>
    <w:p>
      <w:pPr>
        <w:spacing w:line="360" w:lineRule="auto"/>
        <w:ind w:firstLine="420"/>
        <w:rPr>
          <w:rFonts w:ascii="Times New Roman" w:hAnsi="Times New Roman" w:eastAsia="宋体" w:cs="Times New Roman"/>
        </w:rPr>
      </w:pPr>
      <w:r>
        <w:rPr>
          <w:rFonts w:ascii="Times New Roman" w:hAnsi="Times New Roman" w:eastAsia="宋体" w:cs="Times New Roman"/>
          <w:szCs w:val="21"/>
        </w:rPr>
        <w:t>2.3</w:t>
      </w:r>
      <w:r>
        <w:rPr>
          <w:rFonts w:hint="eastAsia" w:ascii="Times New Roman" w:hAnsi="Times New Roman" w:eastAsia="宋体" w:cs="Times New Roman"/>
          <w:szCs w:val="21"/>
        </w:rPr>
        <w:t>投标技术方案不明确，存在一个或一个以上备选（替代）投标方案的；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3.</w:t>
      </w:r>
      <w:r>
        <w:rPr>
          <w:rFonts w:hint="eastAsia" w:ascii="Times New Roman" w:hAnsi="Times New Roman" w:eastAsia="宋体" w:cs="Times New Roman"/>
          <w:b/>
          <w:szCs w:val="21"/>
        </w:rPr>
        <w:t>在投标报价文件评审时</w:t>
      </w:r>
      <w:r>
        <w:rPr>
          <w:rFonts w:hint="eastAsia" w:ascii="Times New Roman" w:hAnsi="Times New Roman" w:eastAsia="宋体" w:cs="Times New Roman"/>
          <w:b/>
          <w:bCs/>
        </w:rPr>
        <w:t>，如发现下列情形之一的，投标文件将被视为无效响应：</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3.1</w:t>
      </w:r>
      <w:r>
        <w:rPr>
          <w:rFonts w:hint="eastAsia" w:ascii="Times New Roman" w:hAnsi="Times New Roman" w:eastAsia="宋体" w:cs="Times New Roman"/>
          <w:szCs w:val="20"/>
        </w:rPr>
        <w:t>未采用人民币报价或者未按照采购文件标明的币种报价的；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3.2</w:t>
      </w:r>
      <w:r>
        <w:rPr>
          <w:rFonts w:hint="eastAsia" w:ascii="Times New Roman" w:hAnsi="Times New Roman" w:eastAsia="宋体" w:cs="Times New Roman"/>
          <w:szCs w:val="20"/>
        </w:rPr>
        <w:t>报价超出最高限价，或者超出采购预算金额，采购人不能支付的；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3.3</w:t>
      </w:r>
      <w:r>
        <w:rPr>
          <w:rFonts w:hint="eastAsia" w:ascii="Times New Roman" w:hAnsi="Times New Roman" w:eastAsia="宋体" w:cs="Times New Roman"/>
          <w:szCs w:val="2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3.4</w:t>
      </w:r>
      <w:r>
        <w:rPr>
          <w:rFonts w:hint="eastAsia" w:ascii="Times New Roman" w:hAnsi="Times New Roman" w:eastAsia="宋体" w:cs="Times New Roman"/>
          <w:szCs w:val="20"/>
        </w:rPr>
        <w:t>投标报价具有选择性，或者开标价格与投标文件承诺的优惠（折扣）价格不一致的；</w:t>
      </w:r>
    </w:p>
    <w:p>
      <w:pPr>
        <w:snapToGrid w:val="0"/>
        <w:spacing w:line="360" w:lineRule="auto"/>
        <w:ind w:right="-86" w:rightChars="-41" w:firstLine="441" w:firstLineChars="209"/>
        <w:rPr>
          <w:rFonts w:ascii="Times New Roman" w:hAnsi="Times New Roman" w:eastAsia="宋体" w:cs="Times New Roman"/>
          <w:szCs w:val="20"/>
        </w:rPr>
      </w:pPr>
      <w:r>
        <w:rPr>
          <w:rFonts w:ascii="Times New Roman" w:hAnsi="Times New Roman" w:eastAsia="宋体" w:cs="Times New Roman"/>
          <w:b/>
          <w:bCs/>
          <w:szCs w:val="20"/>
        </w:rPr>
        <w:t>4.</w:t>
      </w:r>
      <w:r>
        <w:rPr>
          <w:rFonts w:hint="eastAsia" w:ascii="Times New Roman" w:hAnsi="Times New Roman" w:eastAsia="宋体" w:cs="Times New Roman"/>
          <w:szCs w:val="20"/>
        </w:rPr>
        <w:t>法律、法规和采购文件规定的其他无效情形。</w:t>
      </w:r>
    </w:p>
    <w:p>
      <w:pPr>
        <w:snapToGrid w:val="0"/>
        <w:spacing w:line="360" w:lineRule="auto"/>
        <w:ind w:right="-86" w:rightChars="-41"/>
        <w:rPr>
          <w:rFonts w:ascii="Times New Roman" w:hAnsi="Times New Roman" w:eastAsia="宋体" w:cs="Times New Roman"/>
          <w:szCs w:val="20"/>
        </w:rPr>
      </w:pPr>
      <w:r>
        <w:rPr>
          <w:rFonts w:hint="eastAsia" w:ascii="Times New Roman" w:hAnsi="Times New Roman" w:eastAsia="宋体" w:cs="Times New Roman"/>
          <w:b/>
          <w:szCs w:val="21"/>
        </w:rPr>
        <w:t>（七）</w:t>
      </w:r>
      <w:r>
        <w:rPr>
          <w:rFonts w:hint="eastAsia" w:ascii="Times New Roman" w:hAnsi="Times New Roman" w:eastAsia="宋体" w:cs="Times New Roman"/>
          <w:b/>
          <w:szCs w:val="20"/>
        </w:rPr>
        <w:t>出现以下情形，导致电子交易平台无法正常运行，或者无法保证电子交易的公平、公正和安全时，中止电子交易活动：</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（一）电子交易平台发生故障而无法登录访问的；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（二）电子交易平台应用或数据库出现错误，不能进行正常操作的；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（三）电子交易平台发现严重安全漏洞，有潜在泄密危险的；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（四）病毒发作导致不能进行正常操作的；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（五）其他无法保证电子交易的公平、公正和安全的情况。</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rPr>
          <w:rFonts w:ascii="Times New Roman" w:hAnsi="Times New Roman" w:eastAsia="宋体" w:cs="Times New Roman"/>
          <w:b/>
          <w:bCs/>
          <w:spacing w:val="-4"/>
          <w:kern w:val="0"/>
          <w:szCs w:val="21"/>
        </w:rPr>
      </w:pPr>
      <w:r>
        <w:rPr>
          <w:rFonts w:hint="eastAsia" w:ascii="Times New Roman" w:hAnsi="Times New Roman" w:eastAsia="宋体" w:cs="Times New Roman"/>
          <w:b/>
          <w:bCs/>
          <w:spacing w:val="-4"/>
          <w:kern w:val="0"/>
          <w:szCs w:val="21"/>
        </w:rPr>
        <w:t>（八）报名不足三家的处理方式</w:t>
      </w:r>
    </w:p>
    <w:p>
      <w:pPr>
        <w:widowControl/>
        <w:snapToGrid w:val="0"/>
        <w:spacing w:line="360" w:lineRule="auto"/>
        <w:ind w:right="55" w:firstLine="470"/>
        <w:rPr>
          <w:rFonts w:ascii="Times New Roman" w:hAnsi="Times New Roman" w:eastAsia="宋体" w:cs="Times New Roman"/>
          <w:bCs/>
          <w:spacing w:val="-4"/>
          <w:kern w:val="0"/>
          <w:szCs w:val="21"/>
        </w:rPr>
      </w:pPr>
      <w:r>
        <w:rPr>
          <w:rFonts w:hint="eastAsia" w:ascii="Times New Roman" w:hAnsi="Times New Roman" w:eastAsia="宋体" w:cs="Times New Roman"/>
          <w:bCs/>
          <w:spacing w:val="-4"/>
          <w:kern w:val="0"/>
          <w:szCs w:val="21"/>
        </w:rPr>
        <w:t>报名时间截止后，在开标时间前获取招标文件的潜在投标人不足三家的，采购代理机构可以顺延提供期限，并予公告。</w:t>
      </w:r>
    </w:p>
    <w:p>
      <w:pPr>
        <w:widowControl/>
        <w:snapToGrid w:val="0"/>
        <w:spacing w:line="360" w:lineRule="auto"/>
        <w:ind w:right="55"/>
        <w:jc w:val="left"/>
        <w:rPr>
          <w:rFonts w:ascii="Times New Roman" w:hAnsi="Times New Roman" w:eastAsia="宋体" w:cs="Times New Roman"/>
          <w:szCs w:val="20"/>
        </w:rPr>
      </w:pPr>
      <w:r>
        <w:rPr>
          <w:rFonts w:hint="eastAsia" w:ascii="Times New Roman" w:hAnsi="Times New Roman" w:eastAsia="宋体" w:cs="Times New Roman"/>
          <w:b/>
          <w:spacing w:val="-4"/>
          <w:kern w:val="0"/>
          <w:szCs w:val="21"/>
        </w:rPr>
        <w:t>（九）被拒绝的投标文件为无效。</w:t>
      </w:r>
    </w:p>
    <w:p>
      <w:pPr>
        <w:widowControl/>
        <w:snapToGrid w:val="0"/>
        <w:spacing w:line="360" w:lineRule="auto"/>
        <w:ind w:right="55" w:firstLine="3591" w:firstLineChars="1315"/>
        <w:rPr>
          <w:rFonts w:ascii="Times New Roman" w:hAnsi="Times New Roman" w:eastAsia="宋体" w:cs="Times New Roman"/>
          <w:b/>
          <w:spacing w:val="-4"/>
          <w:kern w:val="0"/>
          <w:sz w:val="28"/>
          <w:szCs w:val="28"/>
        </w:rPr>
      </w:pPr>
      <w:r>
        <w:rPr>
          <w:rFonts w:hint="eastAsia" w:ascii="Times New Roman" w:hAnsi="Times New Roman" w:eastAsia="宋体" w:cs="Times New Roman"/>
          <w:b/>
          <w:spacing w:val="-4"/>
          <w:kern w:val="0"/>
          <w:sz w:val="28"/>
          <w:szCs w:val="28"/>
        </w:rPr>
        <w:t>四、开标</w:t>
      </w:r>
    </w:p>
    <w:p>
      <w:pPr>
        <w:spacing w:after="120" w:line="360" w:lineRule="auto"/>
        <w:ind w:firstLine="422" w:firstLineChars="200"/>
        <w:jc w:val="left"/>
        <w:rPr>
          <w:rFonts w:ascii="Times New Roman" w:hAnsi="Times New Roman" w:eastAsia="宋体" w:cs="Times New Roman"/>
          <w:b/>
          <w:szCs w:val="21"/>
        </w:rPr>
      </w:pPr>
      <w:r>
        <w:rPr>
          <w:rFonts w:hint="eastAsia" w:ascii="Times New Roman" w:hAnsi="Times New Roman" w:eastAsia="宋体" w:cs="Times New Roman"/>
          <w:b/>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投标截止时间后，投标人登录政采云平台，用</w:t>
      </w:r>
      <w:r>
        <w:rPr>
          <w:rFonts w:ascii="Times New Roman" w:hAnsi="Times New Roman" w:eastAsia="宋体" w:cs="Times New Roman"/>
          <w:szCs w:val="21"/>
        </w:rPr>
        <w:t>“</w:t>
      </w:r>
      <w:r>
        <w:rPr>
          <w:rFonts w:hint="eastAsia" w:ascii="Times New Roman" w:hAnsi="Times New Roman" w:eastAsia="宋体" w:cs="Times New Roman"/>
          <w:szCs w:val="21"/>
        </w:rPr>
        <w:t>项目采购</w:t>
      </w:r>
      <w:r>
        <w:rPr>
          <w:rFonts w:ascii="Times New Roman" w:hAnsi="Times New Roman" w:eastAsia="宋体" w:cs="Times New Roman"/>
          <w:szCs w:val="21"/>
        </w:rPr>
        <w:t>-</w:t>
      </w:r>
      <w:r>
        <w:rPr>
          <w:rFonts w:hint="eastAsia" w:ascii="Times New Roman" w:hAnsi="Times New Roman" w:eastAsia="宋体" w:cs="Times New Roman"/>
          <w:szCs w:val="21"/>
        </w:rPr>
        <w:t>开标评标</w:t>
      </w:r>
      <w:r>
        <w:rPr>
          <w:rFonts w:ascii="Times New Roman" w:hAnsi="Times New Roman" w:eastAsia="宋体" w:cs="Times New Roman"/>
          <w:szCs w:val="21"/>
        </w:rPr>
        <w:t>”</w:t>
      </w:r>
      <w:r>
        <w:rPr>
          <w:rFonts w:hint="eastAsia" w:ascii="Times New Roman" w:hAnsi="Times New Roman" w:eastAsia="宋体" w:cs="Times New Roman"/>
          <w:szCs w:val="21"/>
        </w:rPr>
        <w:t>功能对电子投标文件进行</w:t>
      </w:r>
      <w:r>
        <w:rPr>
          <w:rFonts w:hint="eastAsia" w:ascii="Times New Roman" w:hAnsi="Times New Roman" w:eastAsia="宋体" w:cs="Times New Roman"/>
          <w:b/>
          <w:bCs/>
          <w:szCs w:val="21"/>
        </w:rPr>
        <w:t>在线解密。</w:t>
      </w:r>
      <w:r>
        <w:rPr>
          <w:rFonts w:hint="eastAsia" w:ascii="Times New Roman" w:hAnsi="Times New Roman" w:eastAsia="宋体" w:cs="Times New Roman"/>
          <w:szCs w:val="21"/>
        </w:rPr>
        <w:t>在线解密电子投标文件时间</w:t>
      </w:r>
      <w:r>
        <w:rPr>
          <w:rFonts w:hint="eastAsia" w:ascii="Times New Roman" w:hAnsi="Times New Roman" w:eastAsia="宋体" w:cs="Times New Roman"/>
          <w:b/>
          <w:bCs/>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采购人或代理机构对资格文件进行评审，评标委员会对商务技术响应文件进行评审。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在系统上公开报价开标情况；</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评标委员会对报价情况进行评审；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在系统上公布评审结果。</w:t>
      </w:r>
    </w:p>
    <w:p>
      <w:pPr>
        <w:adjustRightInd w:val="0"/>
        <w:snapToGrid w:val="0"/>
        <w:spacing w:line="360"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1"/>
        </w:rPr>
        <w:t>特别说明：政采云公司如对电子化开标及评审程序有调整的，按调整后的程序操作。</w:t>
      </w:r>
    </w:p>
    <w:p>
      <w:pPr>
        <w:snapToGrid w:val="0"/>
        <w:spacing w:before="120" w:line="360" w:lineRule="auto"/>
        <w:ind w:right="-87" w:firstLine="3654" w:firstLineChars="1300"/>
        <w:outlineLvl w:val="1"/>
        <w:rPr>
          <w:rFonts w:ascii="Times New Roman" w:hAnsi="Times New Roman" w:eastAsia="宋体" w:cs="Times New Roman"/>
          <w:b/>
          <w:sz w:val="28"/>
        </w:rPr>
      </w:pPr>
      <w:r>
        <w:rPr>
          <w:rFonts w:hint="eastAsia" w:ascii="Times New Roman" w:hAnsi="Times New Roman" w:eastAsia="宋体" w:cs="Times New Roman"/>
          <w:b/>
          <w:sz w:val="28"/>
        </w:rPr>
        <w:t>五、评标</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（一）组建评标委员会</w:t>
      </w:r>
    </w:p>
    <w:p>
      <w:pPr>
        <w:snapToGrid w:val="0"/>
        <w:spacing w:before="120" w:line="360" w:lineRule="auto"/>
        <w:ind w:right="-87" w:firstLine="420" w:firstLineChars="200"/>
        <w:rPr>
          <w:rFonts w:ascii="Times New Roman" w:hAnsi="Times New Roman" w:eastAsia="宋体" w:cs="Times New Roman"/>
        </w:rPr>
      </w:pPr>
      <w:r>
        <w:rPr>
          <w:rFonts w:hint="eastAsia" w:ascii="Times New Roman" w:hAnsi="Times New Roman" w:eastAsia="宋体" w:cs="Times New Roman"/>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（二）评标程序</w:t>
      </w:r>
    </w:p>
    <w:p>
      <w:pPr>
        <w:snapToGrid w:val="0"/>
        <w:spacing w:line="360" w:lineRule="auto"/>
        <w:ind w:right="-87"/>
        <w:rPr>
          <w:rFonts w:ascii="Times New Roman" w:hAnsi="Times New Roman" w:eastAsia="宋体" w:cs="Times New Roman"/>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投标文件初审。</w:t>
      </w:r>
    </w:p>
    <w:p>
      <w:pPr>
        <w:snapToGrid w:val="0"/>
        <w:spacing w:line="360" w:lineRule="auto"/>
        <w:ind w:right="-87" w:firstLine="420" w:firstLineChars="200"/>
        <w:rPr>
          <w:rFonts w:ascii="Times New Roman" w:hAnsi="Times New Roman" w:eastAsia="宋体" w:cs="Times New Roman"/>
          <w:b/>
          <w:szCs w:val="21"/>
        </w:rPr>
      </w:pPr>
      <w:r>
        <w:rPr>
          <w:rFonts w:hint="eastAsia" w:ascii="Times New Roman" w:hAnsi="Times New Roman" w:eastAsia="宋体" w:cs="Times New Roman"/>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资格性检查。依据法律法规和采购文件的规定，对投标文件中的资格证明等进行审查，以确定投标人是否具备投标资格。</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Cs w:val="21"/>
        </w:rPr>
        <w:t>实质审查</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）评标委员会审查投标文件的实质性内容是否符合采购文件的实质性要求。</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）评审小组商务、技术方案响应性评定；</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）各投标人的技术得分为所有评委的有效评分的算术平均数，由指定专人进行计算复核。</w:t>
      </w:r>
    </w:p>
    <w:p>
      <w:pPr>
        <w:spacing w:line="360" w:lineRule="auto"/>
        <w:ind w:firstLine="420" w:firstLineChars="200"/>
        <w:rPr>
          <w:rFonts w:ascii="Times New Roman" w:hAnsi="Times New Roman" w:eastAsia="宋体" w:cs="Times New Roman"/>
          <w:b/>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）评标委员会完成评标后，评委对各部分得分汇总，计算出本项目综合评估分。评标委员会按评标原则通过电子系统向采购人及采购代理机构提交评审报告。</w:t>
      </w:r>
    </w:p>
    <w:p>
      <w:p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（三）澄清问题的形式</w:t>
      </w:r>
    </w:p>
    <w:p>
      <w:pPr>
        <w:snapToGrid w:val="0"/>
        <w:spacing w:line="360" w:lineRule="auto"/>
        <w:ind w:left="228" w:right="-87" w:firstLine="420" w:firstLineChars="200"/>
        <w:rPr>
          <w:rFonts w:ascii="Times New Roman" w:hAnsi="Times New Roman" w:eastAsia="宋体" w:cs="Times New Roman"/>
        </w:rPr>
      </w:pPr>
      <w:r>
        <w:rPr>
          <w:rFonts w:hint="eastAsia" w:ascii="Times New Roman" w:hAnsi="Times New Roman" w:eastAsia="宋体" w:cs="Times New Roman"/>
        </w:rPr>
        <w:t>对投标文件中含义不明确、同类问题表述不一致或者有明显文字和计算错误的内容，评标委员会可要求投标人作出必要的澄清、说明或者纠正。投标人与评审小组</w:t>
      </w:r>
      <w:r>
        <w:rPr>
          <w:rFonts w:hint="eastAsia" w:ascii="Times New Roman" w:hAnsi="Times New Roman" w:eastAsia="宋体" w:cs="Times New Roman"/>
          <w:szCs w:val="21"/>
        </w:rPr>
        <w:t>通过电子交易平台交换数据电文的形式进行</w:t>
      </w:r>
      <w:r>
        <w:rPr>
          <w:rFonts w:hint="eastAsia" w:ascii="Times New Roman" w:hAnsi="Times New Roman" w:eastAsia="宋体" w:cs="Times New Roman"/>
        </w:rPr>
        <w:t>，给予投标人提交澄清说明或补正的时间不少于半个小时，投标人已经明确表示澄清说明或补正完毕的除外。不得超出投标文件的范围或者改变投标文件的实质性内容。</w:t>
      </w:r>
    </w:p>
    <w:p>
      <w:pPr>
        <w:snapToGrid w:val="0"/>
        <w:spacing w:beforeLines="50" w:after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（四）错误修正</w:t>
      </w:r>
    </w:p>
    <w:p>
      <w:pPr>
        <w:snapToGrid w:val="0"/>
        <w:spacing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投标文件如果出现计算或表达上的错误，修正错误的原则如下：</w:t>
      </w:r>
    </w:p>
    <w:p>
      <w:pPr>
        <w:snapToGrid w:val="0"/>
        <w:spacing w:beforeLines="50" w:line="360" w:lineRule="auto"/>
        <w:ind w:firstLine="415" w:firstLineChars="198"/>
        <w:rPr>
          <w:rFonts w:ascii="Times New Roman" w:hAnsi="Times New Roman" w:eastAsia="宋体" w:cs="Times New Roman"/>
          <w:szCs w:val="21"/>
        </w:rPr>
      </w:pPr>
      <w:r>
        <w:rPr>
          <w:rFonts w:hint="eastAsia" w:ascii="Times New Roman" w:hAnsi="Times New Roman" w:eastAsia="宋体" w:cs="Times New Roman"/>
          <w:szCs w:val="21"/>
        </w:rPr>
        <w:t>1.投标文件中开标一览表（报价表）内容与投标文件中相应内容不一致的，以开标一览表（报价表）为准；</w:t>
      </w:r>
    </w:p>
    <w:p>
      <w:pPr>
        <w:snapToGrid w:val="0"/>
        <w:spacing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2.大写金额和小写金额不一致的，以大写金额为准；</w:t>
      </w:r>
    </w:p>
    <w:p>
      <w:pPr>
        <w:snapToGrid w:val="0"/>
        <w:spacing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3.单价金额小数点或者百分比有明显错位的，以开标一览表的总价为准，并修改单价；</w:t>
      </w:r>
    </w:p>
    <w:p>
      <w:pPr>
        <w:snapToGrid w:val="0"/>
        <w:spacing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4.总价金额与按单价汇总金额不一致的，以单价金额计算结果为准。</w:t>
      </w:r>
    </w:p>
    <w:p>
      <w:pPr>
        <w:snapToGrid w:val="0"/>
        <w:spacing w:beforeLines="50" w:line="360" w:lineRule="auto"/>
        <w:ind w:firstLine="417" w:firstLineChars="198"/>
        <w:rPr>
          <w:rFonts w:ascii="Times New Roman" w:hAnsi="Times New Roman" w:eastAsia="宋体" w:cs="Times New Roman"/>
          <w:b/>
          <w:bCs/>
          <w:szCs w:val="21"/>
        </w:rPr>
      </w:pPr>
      <w:r>
        <w:rPr>
          <w:rFonts w:hint="eastAsia" w:ascii="Times New Roman" w:hAnsi="Times New Roman" w:eastAsia="宋体" w:cs="Times New Roman"/>
          <w:b/>
          <w:bCs/>
          <w:szCs w:val="21"/>
        </w:rPr>
        <w:t>同时出现两种以上不一致的，按照前款规定的顺序修正。</w:t>
      </w:r>
    </w:p>
    <w:p>
      <w:pPr>
        <w:snapToGrid w:val="0"/>
        <w:spacing w:before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Lines="50" w:afterLines="50"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（五）评标原则和评标办法</w:t>
      </w:r>
    </w:p>
    <w:p>
      <w:pPr>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Lines="50" w:line="360" w:lineRule="auto"/>
        <w:ind w:firstLine="420" w:firstLineChars="200"/>
        <w:rPr>
          <w:rFonts w:ascii="Times New Roman" w:hAnsi="Times New Roman" w:eastAsia="宋体" w:cs="Times New Roman"/>
          <w:sz w:val="24"/>
        </w:rPr>
      </w:pPr>
      <w:r>
        <w:rPr>
          <w:rFonts w:ascii="Times New Roman" w:hAnsi="Times New Roman" w:eastAsia="宋体" w:cs="Times New Roman"/>
          <w:szCs w:val="21"/>
        </w:rPr>
        <w:t>2.</w:t>
      </w:r>
      <w:r>
        <w:rPr>
          <w:rFonts w:hint="eastAsia" w:ascii="Times New Roman" w:hAnsi="Times New Roman" w:eastAsia="宋体" w:cs="Times New Roman"/>
          <w:szCs w:val="21"/>
        </w:rPr>
        <w:t>评标办法。本项目评标办法是</w:t>
      </w:r>
      <w:r>
        <w:rPr>
          <w:rFonts w:hint="eastAsia" w:ascii="Times New Roman" w:hAnsi="Times New Roman" w:eastAsia="宋体" w:cs="Times New Roman"/>
          <w:szCs w:val="21"/>
          <w:u w:val="single"/>
        </w:rPr>
        <w:t>综合评分法</w:t>
      </w:r>
      <w:r>
        <w:rPr>
          <w:rFonts w:hint="eastAsia" w:ascii="Times New Roman" w:hAnsi="Times New Roman" w:eastAsia="宋体" w:cs="Times New Roman"/>
          <w:szCs w:val="21"/>
        </w:rPr>
        <w:t>，具体评标内容及评分标准等详见《第四章：评标办法及评分标准》。</w:t>
      </w:r>
    </w:p>
    <w:p>
      <w:pPr>
        <w:widowControl/>
        <w:snapToGrid w:val="0"/>
        <w:spacing w:line="360" w:lineRule="auto"/>
        <w:ind w:right="-87"/>
        <w:rPr>
          <w:rFonts w:ascii="Times New Roman" w:hAnsi="Times New Roman" w:eastAsia="宋体" w:cs="Times New Roman"/>
          <w:b/>
          <w:szCs w:val="21"/>
        </w:rPr>
      </w:pPr>
      <w:r>
        <w:rPr>
          <w:rFonts w:hint="eastAsia" w:ascii="Times New Roman" w:hAnsi="Times New Roman" w:eastAsia="宋体" w:cs="Times New Roman"/>
          <w:b/>
          <w:szCs w:val="21"/>
        </w:rPr>
        <w:t>（六）评标过程的监控</w:t>
      </w:r>
    </w:p>
    <w:p>
      <w:pPr>
        <w:snapToGrid w:val="0"/>
        <w:spacing w:beforeLines="50" w:afterLines="50" w:line="360" w:lineRule="auto"/>
        <w:ind w:firstLine="420" w:firstLineChars="200"/>
        <w:rPr>
          <w:rFonts w:ascii="Times New Roman" w:hAnsi="Times New Roman" w:eastAsia="宋体" w:cs="Times New Roman"/>
          <w:b/>
          <w:sz w:val="28"/>
          <w:szCs w:val="24"/>
        </w:rPr>
      </w:pPr>
      <w:r>
        <w:rPr>
          <w:rFonts w:hint="eastAsia" w:ascii="Times New Roman" w:hAnsi="Times New Roman" w:eastAsia="宋体" w:cs="Times New Roman"/>
          <w:szCs w:val="24"/>
        </w:rPr>
        <w:t>本项目评标过程实行全程录音、录像监控。</w:t>
      </w:r>
    </w:p>
    <w:p>
      <w:pPr>
        <w:snapToGrid w:val="0"/>
        <w:spacing w:before="120" w:line="360" w:lineRule="auto"/>
        <w:ind w:right="-87"/>
        <w:jc w:val="center"/>
        <w:outlineLvl w:val="1"/>
        <w:rPr>
          <w:rFonts w:ascii="Times New Roman" w:hAnsi="Times New Roman" w:eastAsia="宋体" w:cs="Times New Roman"/>
          <w:b/>
          <w:sz w:val="28"/>
        </w:rPr>
      </w:pPr>
      <w:r>
        <w:rPr>
          <w:rFonts w:hint="eastAsia" w:ascii="Times New Roman" w:hAnsi="Times New Roman" w:eastAsia="宋体" w:cs="Times New Roman"/>
          <w:b/>
          <w:sz w:val="28"/>
        </w:rPr>
        <w:t>六、定标</w:t>
      </w:r>
    </w:p>
    <w:p>
      <w:pPr>
        <w:snapToGrid w:val="0"/>
        <w:spacing w:before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（一）确定中标人。</w:t>
      </w:r>
    </w:p>
    <w:p>
      <w:pPr>
        <w:snapToGrid w:val="0"/>
        <w:spacing w:beforeLines="50" w:line="360" w:lineRule="auto"/>
        <w:ind w:firstLine="415" w:firstLineChars="198"/>
        <w:rPr>
          <w:rFonts w:ascii="Times New Roman" w:hAnsi="Times New Roman" w:eastAsia="宋体" w:cs="Times New Roman"/>
          <w:b/>
          <w:szCs w:val="21"/>
        </w:rPr>
      </w:pPr>
      <w:r>
        <w:rPr>
          <w:rFonts w:hint="eastAsia" w:ascii="Times New Roman" w:hAnsi="Times New Roman" w:eastAsia="宋体" w:cs="Times New Roman"/>
          <w:szCs w:val="21"/>
        </w:rPr>
        <w:t>本项目由采购人事先授权评审小组确定候选中标人</w:t>
      </w:r>
      <w:r>
        <w:rPr>
          <w:rFonts w:ascii="Times New Roman" w:hAnsi="Times New Roman" w:eastAsia="宋体" w:cs="Times New Roman"/>
          <w:szCs w:val="21"/>
        </w:rPr>
        <w:t>1</w:t>
      </w:r>
      <w:r>
        <w:rPr>
          <w:rFonts w:hint="eastAsia" w:ascii="Times New Roman" w:hAnsi="Times New Roman" w:eastAsia="宋体" w:cs="Times New Roman"/>
          <w:szCs w:val="21"/>
        </w:rPr>
        <w:t>名。经采购人确认后，确定项目中标人，同时发布采购结果公告</w:t>
      </w:r>
      <w:r>
        <w:rPr>
          <w:rFonts w:hint="eastAsia" w:ascii="Times New Roman" w:hAnsi="Times New Roman" w:eastAsia="宋体" w:cs="Times New Roman"/>
          <w:b/>
          <w:szCs w:val="21"/>
        </w:rPr>
        <w:t>（中标人通过政采云系统领取中标通知书）。</w:t>
      </w:r>
    </w:p>
    <w:p>
      <w:pPr>
        <w:snapToGrid w:val="0"/>
        <w:spacing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采购代理机构在评标结束后在</w:t>
      </w:r>
      <w:r>
        <w:rPr>
          <w:rFonts w:ascii="Times New Roman" w:hAnsi="Times New Roman" w:eastAsia="宋体" w:cs="Times New Roman"/>
          <w:szCs w:val="21"/>
        </w:rPr>
        <w:t>2</w:t>
      </w:r>
      <w:r>
        <w:rPr>
          <w:rFonts w:hint="eastAsia" w:ascii="Times New Roman" w:hAnsi="Times New Roman" w:eastAsia="宋体" w:cs="Times New Roman"/>
          <w:szCs w:val="21"/>
        </w:rPr>
        <w:t>个工作日内将评审报告交采购人确认。</w:t>
      </w:r>
    </w:p>
    <w:p>
      <w:pPr>
        <w:snapToGrid w:val="0"/>
        <w:spacing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投标人对评审结果无异议的，采购人应在收到评审报告后</w:t>
      </w:r>
      <w:r>
        <w:rPr>
          <w:rFonts w:ascii="Times New Roman" w:hAnsi="Times New Roman" w:eastAsia="宋体" w:cs="Times New Roman"/>
          <w:szCs w:val="21"/>
        </w:rPr>
        <w:t>5</w:t>
      </w:r>
      <w:r>
        <w:rPr>
          <w:rFonts w:hint="eastAsia" w:ascii="Times New Roman" w:hAnsi="Times New Roman" w:eastAsia="宋体" w:cs="Times New Roman"/>
          <w:szCs w:val="21"/>
        </w:rPr>
        <w:t>个工作日内对评审结果进行确认。如有投标人对评审结果提出质疑的，采购人可在质疑处理完毕后确定中标人。</w:t>
      </w:r>
    </w:p>
    <w:p>
      <w:pPr>
        <w:snapToGrid w:val="0"/>
        <w:spacing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采购人依法确定中标人后</w:t>
      </w:r>
      <w:r>
        <w:rPr>
          <w:rFonts w:ascii="Times New Roman" w:hAnsi="Times New Roman" w:eastAsia="宋体" w:cs="Times New Roman"/>
          <w:szCs w:val="21"/>
        </w:rPr>
        <w:t>2</w:t>
      </w:r>
      <w:r>
        <w:rPr>
          <w:rFonts w:hint="eastAsia" w:ascii="Times New Roman" w:hAnsi="Times New Roman" w:eastAsia="宋体" w:cs="Times New Roman"/>
          <w:szCs w:val="21"/>
        </w:rPr>
        <w:t>个工作日内，采购代理机构发出《中标通知书》</w:t>
      </w:r>
      <w:r>
        <w:rPr>
          <w:rFonts w:ascii="Times New Roman" w:hAnsi="Times New Roman" w:eastAsia="宋体" w:cs="Times New Roman"/>
          <w:szCs w:val="21"/>
        </w:rPr>
        <w:t>,</w:t>
      </w:r>
      <w:r>
        <w:rPr>
          <w:rFonts w:hint="eastAsia" w:ascii="Times New Roman" w:hAnsi="Times New Roman" w:eastAsia="宋体" w:cs="Times New Roman"/>
          <w:szCs w:val="21"/>
        </w:rPr>
        <w:t>并同时在相关网站上发布中标公告。</w:t>
      </w:r>
    </w:p>
    <w:p>
      <w:pPr>
        <w:spacing w:line="380" w:lineRule="exact"/>
        <w:rPr>
          <w:rFonts w:ascii="Times New Roman" w:hAnsi="Times New Roman" w:eastAsia="宋体" w:cs="Times New Roman"/>
          <w:b/>
        </w:rPr>
      </w:pPr>
      <w:r>
        <w:rPr>
          <w:rFonts w:hint="eastAsia" w:ascii="Times New Roman" w:hAnsi="Times New Roman" w:eastAsia="宋体" w:cs="Times New Roman"/>
          <w:szCs w:val="21"/>
        </w:rPr>
        <w:t>（二）</w:t>
      </w:r>
      <w:r>
        <w:rPr>
          <w:rFonts w:hint="eastAsia" w:ascii="Times New Roman" w:hAnsi="Times New Roman" w:eastAsia="宋体" w:cs="Times New Roman"/>
        </w:rPr>
        <w:t>根据《中华人民共和国招标投标法实施条例》（国务院第</w:t>
      </w:r>
      <w:r>
        <w:rPr>
          <w:rFonts w:ascii="Times New Roman" w:hAnsi="Times New Roman" w:eastAsia="宋体" w:cs="Times New Roman"/>
        </w:rPr>
        <w:t>613</w:t>
      </w:r>
      <w:r>
        <w:rPr>
          <w:rFonts w:hint="eastAsia" w:ascii="Times New Roman" w:hAnsi="Times New Roman" w:eastAsia="宋体" w:cs="Times New Roman"/>
        </w:rPr>
        <w:t>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snapToGrid w:val="0"/>
        <w:spacing w:before="120" w:line="360" w:lineRule="auto"/>
        <w:ind w:right="-87" w:firstLine="3345" w:firstLineChars="1190"/>
        <w:outlineLvl w:val="1"/>
        <w:rPr>
          <w:rFonts w:ascii="Times New Roman" w:hAnsi="Times New Roman" w:eastAsia="宋体" w:cs="Times New Roman"/>
          <w:b/>
          <w:sz w:val="28"/>
        </w:rPr>
      </w:pPr>
      <w:r>
        <w:rPr>
          <w:rFonts w:hint="eastAsia" w:ascii="Times New Roman" w:hAnsi="Times New Roman" w:eastAsia="宋体" w:cs="Times New Roman"/>
          <w:b/>
          <w:sz w:val="28"/>
        </w:rPr>
        <w:t>七、合同授予</w:t>
      </w:r>
    </w:p>
    <w:p>
      <w:pPr>
        <w:widowControl/>
        <w:numPr>
          <w:ilvl w:val="0"/>
          <w:numId w:val="11"/>
        </w:numPr>
        <w:overflowPunct w:val="0"/>
        <w:autoSpaceDE w:val="0"/>
        <w:autoSpaceDN w:val="0"/>
        <w:adjustRightInd w:val="0"/>
        <w:snapToGrid w:val="0"/>
        <w:spacing w:line="336" w:lineRule="auto"/>
        <w:ind w:right="-87"/>
        <w:jc w:val="left"/>
        <w:textAlignment w:val="baseline"/>
        <w:rPr>
          <w:rFonts w:ascii="Times New Roman" w:hAnsi="Times New Roman" w:eastAsia="宋体" w:cs="Times New Roman"/>
          <w:b/>
          <w:sz w:val="24"/>
        </w:rPr>
      </w:pPr>
      <w:r>
        <w:rPr>
          <w:rFonts w:hint="eastAsia" w:ascii="Times New Roman" w:hAnsi="Times New Roman" w:eastAsia="宋体" w:cs="Times New Roman"/>
          <w:b/>
          <w:sz w:val="24"/>
        </w:rPr>
        <w:t>签订合同</w:t>
      </w:r>
    </w:p>
    <w:p>
      <w:pPr>
        <w:snapToGrid w:val="0"/>
        <w:spacing w:line="336" w:lineRule="auto"/>
        <w:ind w:right="-87" w:firstLine="424" w:firstLineChars="202"/>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采购人与中标人应当在《中标通知书》发出之日起</w:t>
      </w:r>
      <w:r>
        <w:rPr>
          <w:rFonts w:ascii="Times New Roman" w:hAnsi="Times New Roman" w:eastAsia="宋体" w:cs="Times New Roman"/>
        </w:rPr>
        <w:t>30</w:t>
      </w:r>
      <w:r>
        <w:rPr>
          <w:rFonts w:hint="eastAsia" w:ascii="Times New Roman" w:hAnsi="Times New Roman" w:eastAsia="宋体" w:cs="Times New Roman"/>
        </w:rPr>
        <w:t>日内签订政府采购合同。同时，采购代理机构对合同内容进行审查，如发现与采购结果和投标承诺内容不一致的，应予以纠正。</w:t>
      </w:r>
    </w:p>
    <w:p>
      <w:pPr>
        <w:snapToGrid w:val="0"/>
        <w:spacing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中标人拖延、拒签合同的，将上报监管部门并取消中标资格。</w:t>
      </w:r>
    </w:p>
    <w:p>
      <w:pPr>
        <w:snapToGrid w:val="0"/>
        <w:spacing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中标人和采购人签订合同，按合同规定的供货时间供货并安装调试完毕。</w:t>
      </w:r>
    </w:p>
    <w:p>
      <w:pPr>
        <w:snapToGrid w:val="0"/>
        <w:spacing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Lines="50" w:line="33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（二）合同公告</w:t>
      </w:r>
    </w:p>
    <w:p>
      <w:pPr>
        <w:snapToGrid w:val="0"/>
        <w:spacing w:beforeLines="50" w:line="336" w:lineRule="auto"/>
        <w:ind w:firstLine="415" w:firstLineChars="198"/>
        <w:rPr>
          <w:rFonts w:ascii="Times New Roman" w:hAnsi="Times New Roman" w:eastAsia="宋体" w:cs="Times New Roman"/>
        </w:rPr>
      </w:pPr>
      <w:r>
        <w:rPr>
          <w:rFonts w:hint="eastAsia" w:ascii="Times New Roman" w:hAnsi="Times New Roman" w:eastAsia="宋体" w:cs="Times New Roman"/>
          <w:szCs w:val="21"/>
        </w:rPr>
        <w:t>采购人应当自政府采购合同签订之日起</w:t>
      </w:r>
      <w:r>
        <w:rPr>
          <w:rFonts w:ascii="Times New Roman" w:hAnsi="Times New Roman" w:eastAsia="宋体" w:cs="Times New Roman"/>
          <w:szCs w:val="21"/>
        </w:rPr>
        <w:t>2</w:t>
      </w:r>
      <w:r>
        <w:rPr>
          <w:rFonts w:hint="eastAsia" w:ascii="Times New Roman" w:hAnsi="Times New Roman" w:eastAsia="宋体" w:cs="Times New Roman"/>
          <w:szCs w:val="21"/>
        </w:rPr>
        <w:t>个工作日内，将政府采购合同在省级以上人民政府财政部门指定的媒体上公告，但政府采购合同中涉及国家秘密、商业秘密的内容除外。</w:t>
      </w:r>
    </w:p>
    <w:p>
      <w:pPr>
        <w:pStyle w:val="60"/>
        <w:ind w:firstLine="0" w:firstLineChars="0"/>
        <w:rPr>
          <w:rFonts w:hAnsi="Times New Roman" w:eastAsia="黑体"/>
          <w:sz w:val="30"/>
        </w:rPr>
      </w:pPr>
    </w:p>
    <w:p/>
    <w:p>
      <w:pPr>
        <w:snapToGrid w:val="0"/>
        <w:spacing w:before="120" w:line="360"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第四章评标办法及评分标准</w:t>
      </w:r>
    </w:p>
    <w:p>
      <w:pPr>
        <w:snapToGrid w:val="0"/>
        <w:spacing w:before="120" w:line="336" w:lineRule="auto"/>
        <w:ind w:right="-87" w:firstLine="103" w:firstLineChars="49"/>
        <w:outlineLvl w:val="0"/>
        <w:rPr>
          <w:rFonts w:ascii="Times New Roman" w:hAnsi="Times New Roman" w:eastAsia="宋体" w:cs="Times New Roman"/>
        </w:rPr>
      </w:pPr>
      <w:r>
        <w:rPr>
          <w:rFonts w:hint="eastAsia" w:ascii="Times New Roman" w:hAnsi="Times New Roman" w:eastAsia="宋体" w:cs="Times New Roman"/>
          <w:b/>
        </w:rPr>
        <w:t>综合评分法</w:t>
      </w:r>
    </w:p>
    <w:p>
      <w:pPr>
        <w:snapToGrid w:val="0"/>
        <w:spacing w:line="336" w:lineRule="auto"/>
        <w:ind w:right="-87" w:firstLine="1190" w:firstLineChars="494"/>
        <w:rPr>
          <w:rFonts w:ascii="Times New Roman" w:hAnsi="Times New Roman" w:eastAsia="宋体" w:cs="Times New Roman"/>
          <w:b/>
          <w:sz w:val="24"/>
          <w:szCs w:val="24"/>
        </w:rPr>
      </w:pPr>
      <w:r>
        <w:rPr>
          <w:rFonts w:hint="eastAsia" w:ascii="Times New Roman" w:hAnsi="Times New Roman" w:eastAsia="宋体" w:cs="Times New Roman"/>
          <w:b/>
          <w:sz w:val="24"/>
          <w:szCs w:val="24"/>
        </w:rPr>
        <w:t>2023年本岛红绿灯维修、保养和优化提升项目评标办法</w:t>
      </w:r>
    </w:p>
    <w:p>
      <w:pPr>
        <w:snapToGrid w:val="0"/>
        <w:spacing w:line="336" w:lineRule="auto"/>
        <w:ind w:right="-87" w:firstLine="420"/>
        <w:rPr>
          <w:rFonts w:ascii="Times New Roman" w:hAnsi="Times New Roman" w:eastAsia="宋体" w:cs="Times New Roman"/>
        </w:rPr>
      </w:pPr>
      <w:r>
        <w:rPr>
          <w:rFonts w:hint="eastAsia" w:ascii="Times New Roman" w:hAnsi="Times New Roman" w:eastAsia="宋体" w:cs="Times New Roman"/>
        </w:rPr>
        <w:t>为公正、公平、科学地选择中标人，根据《中华人民共和国政府采购法》等有关法律法规的规定，并结合本项目的实际，制定本办法。</w:t>
      </w:r>
    </w:p>
    <w:p>
      <w:pPr>
        <w:snapToGrid w:val="0"/>
        <w:spacing w:line="336" w:lineRule="auto"/>
        <w:ind w:right="-87" w:firstLine="420"/>
        <w:rPr>
          <w:rFonts w:ascii="Times New Roman" w:hAnsi="Times New Roman" w:eastAsia="宋体" w:cs="Times New Roman"/>
        </w:rPr>
      </w:pPr>
      <w:r>
        <w:rPr>
          <w:rFonts w:hint="eastAsia" w:ascii="Times New Roman" w:hAnsi="Times New Roman" w:eastAsia="宋体" w:cs="Times New Roman"/>
          <w:szCs w:val="21"/>
        </w:rPr>
        <w:t>本办法适用于舟山市公安局交通警察支队2023年本岛红绿灯维修、保养和优化提升项目的评标。</w:t>
      </w:r>
    </w:p>
    <w:p>
      <w:pPr>
        <w:snapToGrid w:val="0"/>
        <w:spacing w:line="336" w:lineRule="auto"/>
        <w:ind w:left="756" w:leftChars="114" w:hanging="517" w:hangingChars="245"/>
        <w:rPr>
          <w:rFonts w:ascii="宋体" w:hAnsi="宋体" w:eastAsia="宋体" w:cs="Times New Roman"/>
        </w:rPr>
      </w:pPr>
      <w:r>
        <w:rPr>
          <w:rFonts w:hint="eastAsia" w:ascii="Times New Roman" w:hAnsi="Times New Roman" w:eastAsia="宋体" w:cs="Times New Roman"/>
          <w:b/>
        </w:rPr>
        <w:t>中标依据：</w:t>
      </w:r>
      <w:r>
        <w:rPr>
          <w:rFonts w:hint="eastAsia" w:ascii="宋体" w:hAnsi="宋体" w:eastAsia="宋体" w:cs="Times New Roman"/>
          <w:u w:val="single" w:color="000000"/>
        </w:rPr>
        <w:t>综合评估分</w:t>
      </w:r>
      <w:r>
        <w:rPr>
          <w:rFonts w:hint="eastAsia" w:ascii="宋体" w:hAnsi="宋体" w:eastAsia="宋体" w:cs="Times New Roman"/>
        </w:rPr>
        <w:t>最高者为中标候选人。</w:t>
      </w:r>
    </w:p>
    <w:p>
      <w:pPr>
        <w:snapToGrid w:val="0"/>
        <w:spacing w:line="336" w:lineRule="auto"/>
        <w:ind w:left="756" w:leftChars="114" w:hanging="517" w:hangingChars="245"/>
        <w:rPr>
          <w:rFonts w:ascii="Times New Roman" w:hAnsi="Times New Roman" w:eastAsia="宋体" w:cs="Times New Roman"/>
          <w:b/>
        </w:rPr>
      </w:pPr>
      <w:r>
        <w:rPr>
          <w:rFonts w:hint="eastAsia" w:ascii="宋体" w:hAnsi="宋体" w:eastAsia="宋体" w:cs="Times New Roman"/>
          <w:b/>
          <w:u w:val="single"/>
        </w:rPr>
        <w:t>最高限价：预算金额。</w:t>
      </w:r>
    </w:p>
    <w:p>
      <w:pPr>
        <w:snapToGrid w:val="0"/>
        <w:spacing w:line="336" w:lineRule="auto"/>
        <w:ind w:left="756" w:leftChars="114" w:hanging="517" w:hangingChars="245"/>
        <w:rPr>
          <w:rFonts w:ascii="Times New Roman" w:hAnsi="Times New Roman" w:eastAsia="宋体" w:cs="Times New Roman"/>
          <w:b/>
        </w:rPr>
      </w:pPr>
      <w:r>
        <w:rPr>
          <w:rFonts w:hint="eastAsia" w:ascii="Times New Roman" w:hAnsi="Times New Roman" w:eastAsia="宋体" w:cs="Times New Roman"/>
          <w:b/>
        </w:rPr>
        <w:t>报价的计分方法：</w:t>
      </w:r>
    </w:p>
    <w:p>
      <w:pPr>
        <w:snapToGrid w:val="0"/>
        <w:spacing w:line="336" w:lineRule="auto"/>
        <w:ind w:left="756" w:leftChars="114" w:hanging="517" w:hangingChars="245"/>
        <w:rPr>
          <w:rFonts w:ascii="Times New Roman" w:hAnsi="Times New Roman" w:eastAsia="宋体" w:cs="Times New Roman"/>
          <w:b/>
        </w:rPr>
      </w:pPr>
      <w:r>
        <w:rPr>
          <w:rFonts w:hint="eastAsia" w:ascii="Times New Roman" w:hAnsi="Times New Roman" w:eastAsia="宋体" w:cs="Times New Roman"/>
          <w:b/>
        </w:rPr>
        <w:t>价格得分=投标总报价（8分）</w:t>
      </w:r>
      <w:r>
        <w:rPr>
          <w:rFonts w:ascii="Times New Roman" w:hAnsi="Times New Roman" w:eastAsia="宋体" w:cs="Times New Roman"/>
          <w:b/>
        </w:rPr>
        <w:t>+</w:t>
      </w:r>
      <w:r>
        <w:rPr>
          <w:rFonts w:hint="eastAsia" w:ascii="Times New Roman" w:hAnsi="Times New Roman" w:eastAsia="宋体" w:cs="Times New Roman"/>
          <w:b/>
        </w:rPr>
        <w:t>信号灯、标志、标线配套设施清单</w:t>
      </w:r>
      <w:r>
        <w:rPr>
          <w:rFonts w:ascii="Times New Roman" w:hAnsi="Times New Roman" w:eastAsia="宋体" w:cs="Times New Roman"/>
          <w:b/>
        </w:rPr>
        <w:t>整体下浮率</w:t>
      </w:r>
      <w:r>
        <w:rPr>
          <w:rFonts w:hint="eastAsia" w:ascii="Times New Roman" w:hAnsi="Times New Roman" w:eastAsia="宋体" w:cs="Times New Roman"/>
          <w:b/>
        </w:rPr>
        <w:t>(</w:t>
      </w:r>
      <w:r>
        <w:rPr>
          <w:rFonts w:ascii="Times New Roman" w:hAnsi="Times New Roman" w:eastAsia="宋体" w:cs="Times New Roman"/>
          <w:b/>
        </w:rPr>
        <w:t>2</w:t>
      </w:r>
      <w:r>
        <w:rPr>
          <w:rFonts w:hint="eastAsia" w:ascii="Times New Roman" w:hAnsi="Times New Roman" w:eastAsia="宋体" w:cs="Times New Roman"/>
          <w:b/>
        </w:rPr>
        <w:t>分)</w:t>
      </w:r>
      <w:r>
        <w:rPr>
          <w:rFonts w:ascii="Times New Roman" w:hAnsi="Times New Roman" w:eastAsia="宋体" w:cs="Times New Roman"/>
          <w:b/>
        </w:rPr>
        <w:t>。</w:t>
      </w:r>
    </w:p>
    <w:p>
      <w:pPr>
        <w:autoSpaceDE w:val="0"/>
        <w:autoSpaceDN w:val="0"/>
        <w:adjustRightInd w:val="0"/>
        <w:snapToGrid w:val="0"/>
        <w:spacing w:line="336" w:lineRule="auto"/>
        <w:ind w:right="-87" w:firstLine="420" w:firstLineChars="200"/>
        <w:rPr>
          <w:rFonts w:ascii="Times New Roman" w:hAnsi="Times New Roman" w:eastAsia="宋体" w:cs="Times New Roman"/>
          <w:lang w:val="zh-CN"/>
        </w:rPr>
      </w:pPr>
      <w:r>
        <w:rPr>
          <w:rFonts w:hint="eastAsia" w:ascii="Times New Roman" w:hAnsi="Times New Roman" w:eastAsia="宋体" w:cs="Times New Roman"/>
          <w:lang w:val="zh-CN"/>
        </w:rPr>
        <w:t>1</w:t>
      </w:r>
      <w:r>
        <w:rPr>
          <w:rFonts w:ascii="Times New Roman" w:hAnsi="Times New Roman" w:eastAsia="宋体" w:cs="Times New Roman"/>
          <w:lang w:val="zh-CN"/>
        </w:rPr>
        <w:t>.</w:t>
      </w:r>
      <w:r>
        <w:rPr>
          <w:rFonts w:hint="eastAsia" w:ascii="Times New Roman" w:hAnsi="Times New Roman" w:eastAsia="宋体" w:cs="Times New Roman"/>
          <w:lang w:val="zh-CN"/>
        </w:rPr>
        <w:t>投标总报价得分（8分）：满足投标文件要求</w:t>
      </w:r>
      <w:r>
        <w:rPr>
          <w:rFonts w:hint="eastAsia" w:ascii="宋体" w:hAnsi="宋体" w:eastAsia="宋体" w:cs="宋体"/>
          <w:kern w:val="0"/>
          <w:sz w:val="22"/>
        </w:rPr>
        <w:t>且投</w:t>
      </w:r>
      <w:r>
        <w:rPr>
          <w:rFonts w:hint="eastAsia" w:ascii="Times New Roman" w:hAnsi="Times New Roman" w:eastAsia="宋体" w:cs="Times New Roman"/>
          <w:lang w:val="zh-CN"/>
        </w:rPr>
        <w:t>标报价最低的为评标基准价，其价格分为满分，其他投标人的价格分按下列公式计算：得分＝（评标基准价</w:t>
      </w:r>
      <w:r>
        <w:rPr>
          <w:rFonts w:ascii="Times New Roman" w:hAnsi="Times New Roman" w:eastAsia="宋体" w:cs="Times New Roman"/>
          <w:lang w:val="zh-CN"/>
        </w:rPr>
        <w:t>/</w:t>
      </w:r>
      <w:r>
        <w:rPr>
          <w:rFonts w:hint="eastAsia" w:ascii="Times New Roman" w:hAnsi="Times New Roman" w:eastAsia="宋体" w:cs="Times New Roman"/>
          <w:lang w:val="zh-CN"/>
        </w:rPr>
        <w:t>投标报价）</w:t>
      </w:r>
      <w:r>
        <w:rPr>
          <w:rFonts w:ascii="Times New Roman" w:hAnsi="Times New Roman" w:eastAsia="宋体" w:cs="Times New Roman"/>
          <w:lang w:val="zh-CN"/>
        </w:rPr>
        <w:t>×</w:t>
      </w:r>
      <w:r>
        <w:rPr>
          <w:rFonts w:hint="eastAsia" w:ascii="Times New Roman" w:hAnsi="Times New Roman" w:eastAsia="宋体" w:cs="Times New Roman"/>
          <w:lang w:val="zh-CN"/>
        </w:rPr>
        <w:t>8%</w:t>
      </w:r>
      <w:r>
        <w:rPr>
          <w:rFonts w:ascii="Times New Roman" w:hAnsi="Times New Roman" w:eastAsia="宋体" w:cs="Times New Roman"/>
          <w:lang w:val="zh-CN"/>
        </w:rPr>
        <w:t>×100</w:t>
      </w:r>
      <w:r>
        <w:rPr>
          <w:rFonts w:hint="eastAsia" w:ascii="Times New Roman" w:hAnsi="Times New Roman" w:eastAsia="宋体" w:cs="Times New Roman"/>
          <w:lang w:val="zh-CN"/>
        </w:rPr>
        <w:t>。</w:t>
      </w:r>
    </w:p>
    <w:p>
      <w:pPr>
        <w:autoSpaceDE w:val="0"/>
        <w:autoSpaceDN w:val="0"/>
        <w:adjustRightInd w:val="0"/>
        <w:snapToGrid w:val="0"/>
        <w:spacing w:line="336" w:lineRule="auto"/>
        <w:ind w:right="-87" w:firstLine="550" w:firstLineChars="262"/>
        <w:rPr>
          <w:rFonts w:ascii="Times New Roman" w:hAnsi="Times New Roman" w:eastAsia="宋体" w:cs="Times New Roman"/>
          <w:lang w:val="zh-CN"/>
        </w:rPr>
      </w:pPr>
      <w:r>
        <w:rPr>
          <w:rFonts w:hint="eastAsia" w:ascii="Times New Roman" w:hAnsi="Times New Roman" w:eastAsia="宋体" w:cs="Times New Roman"/>
          <w:lang w:val="zh-CN"/>
        </w:rPr>
        <w:t>2</w:t>
      </w:r>
      <w:r>
        <w:rPr>
          <w:rFonts w:ascii="Times New Roman" w:hAnsi="Times New Roman" w:eastAsia="宋体" w:cs="Times New Roman"/>
          <w:lang w:val="zh-CN"/>
        </w:rPr>
        <w:t>.</w:t>
      </w:r>
      <w:r>
        <w:rPr>
          <w:rFonts w:hint="eastAsia" w:ascii="Times New Roman" w:hAnsi="Times New Roman" w:eastAsia="宋体" w:cs="Times New Roman"/>
          <w:lang w:val="zh-CN"/>
        </w:rPr>
        <w:t>信号灯、标志、标线配套设施清单整体下浮率得分：下浮率最高的为评标基准价，其价格分为满分</w:t>
      </w:r>
      <w:r>
        <w:rPr>
          <w:rFonts w:ascii="Times New Roman" w:hAnsi="Times New Roman" w:eastAsia="宋体" w:cs="Times New Roman"/>
          <w:lang w:val="zh-CN"/>
        </w:rPr>
        <w:t>，其他投标人的价格分按下列公式计算：得分＝（</w:t>
      </w:r>
      <w:r>
        <w:rPr>
          <w:rFonts w:hint="eastAsia" w:ascii="Times New Roman" w:hAnsi="Times New Roman" w:eastAsia="宋体" w:cs="Times New Roman"/>
          <w:lang w:val="zh-CN"/>
        </w:rPr>
        <w:t>下浮率</w:t>
      </w:r>
      <w:r>
        <w:rPr>
          <w:rFonts w:ascii="Times New Roman" w:hAnsi="Times New Roman" w:eastAsia="宋体" w:cs="Times New Roman"/>
          <w:lang w:val="zh-CN"/>
        </w:rPr>
        <w:t>/最高下浮率）×2</w:t>
      </w:r>
      <w:r>
        <w:rPr>
          <w:rFonts w:hint="eastAsia" w:ascii="Times New Roman" w:hAnsi="Times New Roman" w:eastAsia="宋体" w:cs="Times New Roman"/>
          <w:lang w:val="zh-CN"/>
        </w:rPr>
        <w:t>%×</w:t>
      </w:r>
      <w:r>
        <w:rPr>
          <w:rFonts w:ascii="Times New Roman" w:hAnsi="Times New Roman" w:eastAsia="宋体" w:cs="Times New Roman"/>
          <w:lang w:val="zh-CN"/>
        </w:rPr>
        <w:t>100</w:t>
      </w:r>
      <w:r>
        <w:rPr>
          <w:rFonts w:hint="eastAsia" w:ascii="Times New Roman" w:hAnsi="Times New Roman" w:eastAsia="宋体" w:cs="Times New Roman"/>
          <w:lang w:val="zh-CN"/>
        </w:rPr>
        <w:t>。</w:t>
      </w:r>
    </w:p>
    <w:tbl>
      <w:tblPr>
        <w:tblStyle w:val="62"/>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lang w:val="zh-CN"/>
              </w:rPr>
              <w:t>评价指标和各评价权重指标：</w:t>
            </w:r>
            <w:r>
              <w:rPr>
                <w:rFonts w:hint="eastAsia" w:ascii="Times New Roman" w:hAnsi="Times New Roman" w:eastAsia="宋体" w:cs="Times New Roman"/>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rPr>
              <w:t>商务、技术部分</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hint="eastAsia" w:ascii="Times New Roman" w:hAnsi="Times New Roman" w:eastAsia="宋体" w:cs="Times New Roman"/>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rPr>
            </w:pPr>
            <w:r>
              <w:rPr>
                <w:rFonts w:ascii="Times New Roman" w:hAnsi="Times New Roman" w:eastAsia="宋体" w:cs="Times New Roman"/>
              </w:rPr>
              <w:t>100</w:t>
            </w:r>
          </w:p>
        </w:tc>
      </w:tr>
    </w:tbl>
    <w:p>
      <w:pPr>
        <w:autoSpaceDE w:val="0"/>
        <w:autoSpaceDN w:val="0"/>
        <w:adjustRightInd w:val="0"/>
        <w:spacing w:line="336" w:lineRule="auto"/>
        <w:ind w:right="-341" w:firstLine="424" w:firstLineChars="202"/>
        <w:rPr>
          <w:rFonts w:ascii="Times New Roman" w:hAnsi="Times New Roman" w:eastAsia="宋体" w:cs="Times New Roman"/>
        </w:rPr>
      </w:pPr>
      <w:r>
        <w:rPr>
          <w:rFonts w:hint="eastAsia" w:ascii="Times New Roman" w:hAnsi="Times New Roman" w:eastAsia="宋体" w:cs="Times New Roman"/>
        </w:rPr>
        <w:t>综合评估分</w:t>
      </w:r>
      <w:r>
        <w:rPr>
          <w:rFonts w:ascii="Times New Roman" w:hAnsi="Times New Roman" w:eastAsia="宋体" w:cs="Times New Roman"/>
        </w:rPr>
        <w:t>=</w:t>
      </w:r>
      <w:r>
        <w:rPr>
          <w:rFonts w:hint="eastAsia" w:ascii="Times New Roman" w:hAnsi="Times New Roman" w:eastAsia="宋体" w:cs="Times New Roman"/>
        </w:rPr>
        <w:t>商务技术得分＋价格得分</w:t>
      </w:r>
      <w:r>
        <w:rPr>
          <w:rFonts w:ascii="Times New Roman" w:hAnsi="Times New Roman" w:eastAsia="宋体" w:cs="Times New Roman"/>
        </w:rPr>
        <w:t>(</w:t>
      </w:r>
      <w:r>
        <w:rPr>
          <w:rFonts w:hint="eastAsia" w:ascii="Times New Roman" w:hAnsi="Times New Roman" w:eastAsia="宋体" w:cs="Times New Roman"/>
        </w:rPr>
        <w:t>评分过程中采用四舍五入法，并保留小数</w:t>
      </w:r>
      <w:r>
        <w:rPr>
          <w:rFonts w:ascii="Times New Roman" w:hAnsi="Times New Roman" w:eastAsia="宋体" w:cs="Times New Roman"/>
        </w:rPr>
        <w:t>2</w:t>
      </w:r>
      <w:r>
        <w:rPr>
          <w:rFonts w:hint="eastAsia" w:ascii="Times New Roman" w:hAnsi="Times New Roman" w:eastAsia="宋体" w:cs="Times New Roman"/>
        </w:rPr>
        <w:t>位</w:t>
      </w:r>
      <w:r>
        <w:rPr>
          <w:rFonts w:ascii="Times New Roman" w:hAnsi="Times New Roman" w:eastAsia="宋体" w:cs="Times New Roman"/>
        </w:rPr>
        <w:t>)</w:t>
      </w:r>
    </w:p>
    <w:p>
      <w:pPr>
        <w:autoSpaceDE w:val="0"/>
        <w:autoSpaceDN w:val="0"/>
        <w:adjustRightInd w:val="0"/>
        <w:spacing w:line="336" w:lineRule="auto"/>
        <w:ind w:right="-341" w:firstLine="424" w:firstLineChars="202"/>
        <w:rPr>
          <w:rFonts w:ascii="Times New Roman" w:hAnsi="Times New Roman" w:eastAsia="宋体" w:cs="Times New Roman"/>
        </w:rPr>
      </w:pPr>
      <w:bookmarkStart w:id="3" w:name="_Hlk113978293"/>
      <w:r>
        <w:rPr>
          <w:rFonts w:hint="eastAsia" w:ascii="Times New Roman" w:hAnsi="Times New Roman" w:eastAsia="宋体" w:cs="Times New Roman"/>
        </w:rPr>
        <w:t>将综合评估分从高到低排序，得出参投标人名次。得分相同时，按投标报价由低到高顺序排列，得分且投标报价相同的，按技术指标优劣顺序排列</w:t>
      </w:r>
    </w:p>
    <w:bookmarkEnd w:id="3"/>
    <w:p>
      <w:pPr>
        <w:tabs>
          <w:tab w:val="left" w:pos="1620"/>
        </w:tabs>
        <w:spacing w:line="336" w:lineRule="auto"/>
        <w:ind w:left="1111" w:leftChars="228" w:hanging="632" w:hangingChars="300"/>
        <w:rPr>
          <w:rFonts w:ascii="Times New Roman" w:hAnsi="Times New Roman" w:eastAsia="宋体" w:cs="Times New Roman"/>
          <w:b/>
        </w:rPr>
      </w:pPr>
      <w:r>
        <w:rPr>
          <w:rFonts w:hint="eastAsia" w:ascii="Times New Roman" w:hAnsi="Times New Roman" w:eastAsia="宋体" w:cs="Times New Roman"/>
          <w:b/>
        </w:rPr>
        <w:t>候选中标商的选取</w:t>
      </w:r>
    </w:p>
    <w:p>
      <w:pPr>
        <w:spacing w:line="336" w:lineRule="auto"/>
        <w:ind w:right="-341" w:firstLine="525" w:firstLineChars="250"/>
        <w:rPr>
          <w:rFonts w:ascii="Times New Roman" w:hAnsi="Times New Roman" w:eastAsia="宋体" w:cs="Times New Roman"/>
          <w:b/>
          <w:sz w:val="28"/>
          <w:szCs w:val="28"/>
          <w:lang w:val="zh-CN"/>
        </w:rPr>
      </w:pPr>
      <w:r>
        <w:rPr>
          <w:rFonts w:hint="eastAsia" w:ascii="Times New Roman" w:hAnsi="Times New Roman" w:eastAsia="宋体" w:cs="Times New Roman"/>
        </w:rPr>
        <w:t>按照综合评估分名次推荐候选中标人</w:t>
      </w:r>
      <w:r>
        <w:rPr>
          <w:rFonts w:ascii="Times New Roman" w:hAnsi="Times New Roman" w:eastAsia="宋体" w:cs="Times New Roman"/>
        </w:rPr>
        <w:t>1</w:t>
      </w:r>
      <w:r>
        <w:rPr>
          <w:rFonts w:hint="eastAsia" w:ascii="Times New Roman" w:hAnsi="Times New Roman" w:eastAsia="宋体" w:cs="Times New Roman"/>
        </w:rPr>
        <w:t>名。</w:t>
      </w:r>
    </w:p>
    <w:p>
      <w:pPr>
        <w:rPr>
          <w:rFonts w:ascii="Times New Roman" w:hAnsi="Times New Roman" w:eastAsia="宋体" w:cs="Times New Roman"/>
          <w:b/>
          <w:sz w:val="24"/>
          <w:szCs w:val="24"/>
        </w:rPr>
      </w:pPr>
    </w:p>
    <w:p>
      <w:pPr>
        <w:tabs>
          <w:tab w:val="left" w:pos="1476"/>
          <w:tab w:val="center" w:pos="4651"/>
        </w:tabs>
        <w:spacing w:line="288" w:lineRule="auto"/>
        <w:ind w:right="-341"/>
        <w:jc w:val="center"/>
        <w:rPr>
          <w:rFonts w:ascii="Times New Roman" w:hAnsi="Times New Roman" w:eastAsia="宋体" w:cs="Times New Roman"/>
          <w:szCs w:val="21"/>
        </w:rPr>
      </w:pPr>
      <w:r>
        <w:rPr>
          <w:rFonts w:hint="eastAsia" w:ascii="Times New Roman" w:hAnsi="Times New Roman" w:eastAsia="宋体" w:cs="Times New Roman"/>
          <w:b/>
          <w:sz w:val="24"/>
          <w:szCs w:val="24"/>
        </w:rPr>
        <w:t>2023年本岛红绿灯维修、保养和优化提升项目评分表</w:t>
      </w:r>
    </w:p>
    <w:p>
      <w:pPr>
        <w:spacing w:line="288" w:lineRule="auto"/>
        <w:ind w:right="-341"/>
        <w:jc w:val="left"/>
        <w:rPr>
          <w:rFonts w:ascii="Times New Roman" w:hAnsi="Times New Roman" w:eastAsia="宋体" w:cs="Times New Roman"/>
          <w:b/>
          <w:szCs w:val="21"/>
        </w:rPr>
      </w:pPr>
    </w:p>
    <w:p>
      <w:pPr>
        <w:spacing w:line="288" w:lineRule="auto"/>
        <w:ind w:right="-341"/>
        <w:jc w:val="left"/>
        <w:rPr>
          <w:rFonts w:ascii="Times New Roman" w:hAnsi="Times New Roman" w:eastAsia="宋体" w:cs="Times New Roman"/>
          <w:b/>
          <w:szCs w:val="21"/>
        </w:rPr>
      </w:pPr>
      <w:r>
        <w:rPr>
          <w:rFonts w:hint="eastAsia" w:ascii="Times New Roman" w:hAnsi="Times New Roman" w:eastAsia="宋体" w:cs="Times New Roman"/>
          <w:b/>
          <w:szCs w:val="21"/>
        </w:rPr>
        <w:t>项目名称：2023年本岛红绿灯维修、保养和优化提升项目</w:t>
      </w:r>
    </w:p>
    <w:p>
      <w:pPr>
        <w:tabs>
          <w:tab w:val="left" w:pos="1020"/>
        </w:tabs>
        <w:spacing w:line="360" w:lineRule="auto"/>
        <w:ind w:right="-341"/>
        <w:jc w:val="left"/>
        <w:rPr>
          <w:rFonts w:ascii="宋体" w:hAnsi="宋体" w:eastAsia="宋体"/>
          <w:b/>
          <w:bCs/>
          <w:sz w:val="24"/>
          <w:szCs w:val="24"/>
        </w:rPr>
      </w:pPr>
      <w:r>
        <w:rPr>
          <w:rFonts w:hint="eastAsia" w:ascii="宋体" w:hAnsi="宋体" w:eastAsia="宋体" w:cs="Times New Roman"/>
          <w:b/>
          <w:szCs w:val="21"/>
        </w:rPr>
        <w:t>项目编号：SZGXZS2023188</w:t>
      </w:r>
    </w:p>
    <w:tbl>
      <w:tblPr>
        <w:tblStyle w:val="62"/>
        <w:tblW w:w="9750"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34"/>
        <w:gridCol w:w="992"/>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4" w:type="dxa"/>
            <w:vAlign w:val="center"/>
          </w:tcPr>
          <w:p>
            <w:pPr>
              <w:spacing w:line="320" w:lineRule="exact"/>
              <w:jc w:val="center"/>
              <w:rPr>
                <w:rFonts w:ascii="宋体" w:hAnsi="宋体" w:eastAsia="宋体" w:cs="宋体"/>
                <w:b/>
                <w:szCs w:val="21"/>
              </w:rPr>
            </w:pPr>
            <w:r>
              <w:rPr>
                <w:rFonts w:hint="eastAsia" w:ascii="宋体" w:hAnsi="宋体" w:eastAsia="宋体" w:cs="宋体"/>
                <w:b/>
                <w:szCs w:val="21"/>
              </w:rPr>
              <w:t>评审项目</w:t>
            </w:r>
          </w:p>
        </w:tc>
        <w:tc>
          <w:tcPr>
            <w:tcW w:w="1134" w:type="dxa"/>
            <w:vAlign w:val="center"/>
          </w:tcPr>
          <w:p>
            <w:pPr>
              <w:spacing w:line="320" w:lineRule="exact"/>
              <w:jc w:val="center"/>
              <w:rPr>
                <w:rFonts w:ascii="宋体" w:hAnsi="宋体" w:eastAsia="宋体" w:cs="宋体"/>
                <w:b/>
                <w:szCs w:val="21"/>
              </w:rPr>
            </w:pPr>
            <w:r>
              <w:rPr>
                <w:rFonts w:hint="eastAsia" w:ascii="宋体" w:hAnsi="宋体" w:eastAsia="宋体" w:cs="宋体"/>
                <w:b/>
                <w:szCs w:val="21"/>
              </w:rPr>
              <w:t>评审内容</w:t>
            </w:r>
          </w:p>
        </w:tc>
        <w:tc>
          <w:tcPr>
            <w:tcW w:w="992" w:type="dxa"/>
            <w:vAlign w:val="center"/>
          </w:tcPr>
          <w:p>
            <w:pPr>
              <w:spacing w:line="320" w:lineRule="exact"/>
              <w:jc w:val="center"/>
              <w:rPr>
                <w:rFonts w:ascii="宋体" w:hAnsi="宋体" w:eastAsia="宋体" w:cs="宋体"/>
                <w:b/>
                <w:szCs w:val="21"/>
              </w:rPr>
            </w:pPr>
            <w:r>
              <w:rPr>
                <w:rFonts w:hint="eastAsia" w:ascii="宋体" w:hAnsi="宋体" w:eastAsia="宋体" w:cs="宋体"/>
                <w:b/>
                <w:szCs w:val="21"/>
              </w:rPr>
              <w:t>分值</w:t>
            </w:r>
          </w:p>
        </w:tc>
        <w:tc>
          <w:tcPr>
            <w:tcW w:w="6380" w:type="dxa"/>
            <w:vAlign w:val="center"/>
          </w:tcPr>
          <w:p>
            <w:pPr>
              <w:spacing w:line="320" w:lineRule="exact"/>
              <w:jc w:val="center"/>
              <w:rPr>
                <w:rFonts w:ascii="宋体" w:hAnsi="宋体" w:eastAsia="宋体" w:cs="宋体"/>
                <w:b/>
                <w:szCs w:val="21"/>
              </w:rPr>
            </w:pPr>
            <w:r>
              <w:rPr>
                <w:rFonts w:hint="eastAsia" w:ascii="宋体" w:hAnsi="宋体" w:eastAsia="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dxa"/>
            <w:vMerge w:val="restart"/>
            <w:vAlign w:val="center"/>
          </w:tcPr>
          <w:p>
            <w:pPr>
              <w:spacing w:line="320" w:lineRule="exact"/>
              <w:jc w:val="center"/>
              <w:rPr>
                <w:rFonts w:ascii="宋体" w:hAnsi="宋体" w:eastAsia="宋体" w:cs="宋体"/>
                <w:szCs w:val="21"/>
              </w:rPr>
            </w:pPr>
            <w:r>
              <w:rPr>
                <w:rFonts w:hint="eastAsia" w:ascii="宋体" w:hAnsi="宋体" w:eastAsia="宋体" w:cs="宋体"/>
                <w:szCs w:val="21"/>
              </w:rPr>
              <w:t>商务技术</w:t>
            </w:r>
          </w:p>
          <w:p>
            <w:pPr>
              <w:spacing w:line="320" w:lineRule="exact"/>
              <w:jc w:val="center"/>
              <w:rPr>
                <w:rFonts w:ascii="宋体" w:hAnsi="宋体" w:eastAsia="宋体" w:cs="宋体"/>
                <w:szCs w:val="21"/>
              </w:rPr>
            </w:pPr>
            <w:r>
              <w:rPr>
                <w:rFonts w:hint="eastAsia" w:ascii="宋体" w:hAnsi="宋体" w:eastAsia="宋体" w:cs="宋体"/>
                <w:szCs w:val="21"/>
              </w:rPr>
              <w:t>技术</w:t>
            </w:r>
          </w:p>
          <w:p>
            <w:pPr>
              <w:spacing w:line="320" w:lineRule="exact"/>
              <w:jc w:val="center"/>
              <w:rPr>
                <w:rFonts w:ascii="宋体" w:hAnsi="宋体" w:eastAsia="宋体" w:cs="宋体"/>
                <w:b/>
                <w:szCs w:val="21"/>
              </w:rPr>
            </w:pPr>
            <w:r>
              <w:rPr>
                <w:rFonts w:hint="eastAsia" w:ascii="宋体" w:hAnsi="宋体" w:eastAsia="宋体" w:cs="宋体"/>
                <w:szCs w:val="21"/>
              </w:rPr>
              <w:t>（90分）</w:t>
            </w:r>
          </w:p>
        </w:tc>
        <w:tc>
          <w:tcPr>
            <w:tcW w:w="1134" w:type="dxa"/>
            <w:vAlign w:val="center"/>
          </w:tcPr>
          <w:p>
            <w:pPr>
              <w:adjustRightInd w:val="0"/>
              <w:snapToGrid w:val="0"/>
              <w:spacing w:line="320" w:lineRule="exact"/>
              <w:jc w:val="left"/>
              <w:rPr>
                <w:rFonts w:ascii="宋体" w:hAnsi="宋体" w:eastAsia="宋体" w:cs="宋体"/>
                <w:bCs/>
                <w:szCs w:val="21"/>
              </w:rPr>
            </w:pPr>
            <w:r>
              <w:rPr>
                <w:rFonts w:hint="eastAsia" w:ascii="宋体" w:hAnsi="宋体" w:eastAsia="宋体" w:cs="宋体"/>
                <w:szCs w:val="21"/>
              </w:rPr>
              <w:t>类似业绩</w:t>
            </w:r>
          </w:p>
        </w:tc>
        <w:tc>
          <w:tcPr>
            <w:tcW w:w="992" w:type="dxa"/>
            <w:vAlign w:val="center"/>
          </w:tcPr>
          <w:p>
            <w:pPr>
              <w:pStyle w:val="18"/>
              <w:spacing w:line="320" w:lineRule="exact"/>
              <w:ind w:firstLine="0"/>
              <w:jc w:val="center"/>
              <w:rPr>
                <w:rFonts w:hAnsi="宋体" w:cs="宋体"/>
                <w:bCs/>
                <w:color w:val="auto"/>
                <w:sz w:val="21"/>
                <w:szCs w:val="21"/>
              </w:rPr>
            </w:pPr>
            <w:r>
              <w:rPr>
                <w:rFonts w:hint="eastAsia" w:hAnsi="宋体" w:cs="宋体"/>
                <w:bCs/>
                <w:color w:val="auto"/>
                <w:sz w:val="21"/>
                <w:szCs w:val="21"/>
              </w:rPr>
              <w:t>1分</w:t>
            </w:r>
          </w:p>
        </w:tc>
        <w:tc>
          <w:tcPr>
            <w:tcW w:w="6380" w:type="dxa"/>
            <w:vAlign w:val="center"/>
          </w:tcPr>
          <w:p>
            <w:pPr>
              <w:pStyle w:val="730"/>
              <w:rPr>
                <w:rFonts w:ascii="宋体" w:hAnsi="宋体" w:cs="宋体"/>
                <w:color w:val="auto"/>
                <w:szCs w:val="21"/>
              </w:rPr>
            </w:pPr>
            <w:r>
              <w:rPr>
                <w:rFonts w:hint="eastAsia" w:ascii="宋体" w:hAnsi="宋体" w:cs="宋体"/>
                <w:color w:val="auto"/>
                <w:kern w:val="0"/>
                <w:szCs w:val="21"/>
              </w:rPr>
              <w:t>根据投标人自2019年1月1日以来（以合同签订时间为准）承担过</w:t>
            </w:r>
            <w:r>
              <w:rPr>
                <w:rFonts w:hint="eastAsia" w:ascii="宋体" w:hAnsi="宋体" w:cs="宋体"/>
                <w:color w:val="auto"/>
                <w:szCs w:val="21"/>
              </w:rPr>
              <w:t>类似项目（红绿灯维护或信号灯优化的）业绩案例的，</w:t>
            </w:r>
            <w:r>
              <w:rPr>
                <w:rFonts w:hint="eastAsia" w:ascii="宋体" w:hAnsi="宋体" w:cs="宋体"/>
                <w:color w:val="auto"/>
                <w:kern w:val="0"/>
                <w:szCs w:val="21"/>
              </w:rPr>
              <w:t>每提供一份合同得0.5分，最高得1分。</w:t>
            </w:r>
          </w:p>
          <w:p>
            <w:pPr>
              <w:spacing w:line="320" w:lineRule="exact"/>
              <w:jc w:val="left"/>
              <w:rPr>
                <w:rFonts w:ascii="宋体" w:hAnsi="宋体" w:eastAsia="宋体" w:cs="宋体"/>
                <w:bCs/>
                <w:color w:val="auto"/>
                <w:szCs w:val="21"/>
              </w:rPr>
            </w:pPr>
            <w:r>
              <w:rPr>
                <w:rFonts w:hint="eastAsia" w:ascii="宋体" w:hAnsi="宋体" w:eastAsia="宋体" w:cs="宋体"/>
                <w:b/>
                <w:bCs/>
                <w:color w:val="auto"/>
                <w:szCs w:val="21"/>
              </w:rPr>
              <w:t>（提供</w:t>
            </w:r>
            <w:r>
              <w:rPr>
                <w:rFonts w:ascii="宋体" w:hAnsi="宋体" w:eastAsia="宋体" w:cs="宋体"/>
                <w:bCs/>
                <w:color w:val="auto"/>
                <w:szCs w:val="21"/>
              </w:rPr>
              <w:t>合同复印件加盖公章，须提供合</w:t>
            </w:r>
            <w:r>
              <w:rPr>
                <w:rFonts w:hint="eastAsia" w:ascii="宋体" w:hAnsi="宋体" w:eastAsia="宋体" w:cs="宋体"/>
                <w:bCs/>
                <w:color w:val="auto"/>
                <w:szCs w:val="21"/>
              </w:rPr>
              <w:t>同重要页面，能够体现项目内容。）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dxa"/>
            <w:vMerge w:val="continue"/>
          </w:tcPr>
          <w:p>
            <w:pPr>
              <w:spacing w:line="320" w:lineRule="exact"/>
              <w:jc w:val="center"/>
              <w:rPr>
                <w:rFonts w:hAnsi="宋体" w:cs="宋体"/>
                <w:b/>
                <w:szCs w:val="21"/>
              </w:rPr>
            </w:pPr>
          </w:p>
        </w:tc>
        <w:tc>
          <w:tcPr>
            <w:tcW w:w="1134" w:type="dxa"/>
            <w:vMerge w:val="restart"/>
            <w:vAlign w:val="center"/>
          </w:tcPr>
          <w:p>
            <w:pPr>
              <w:pStyle w:val="18"/>
              <w:spacing w:line="320" w:lineRule="exact"/>
              <w:ind w:right="-113" w:rightChars="-54" w:firstLine="0"/>
              <w:jc w:val="left"/>
              <w:rPr>
                <w:rFonts w:hAnsi="宋体" w:cs="宋体"/>
                <w:sz w:val="21"/>
                <w:szCs w:val="21"/>
              </w:rPr>
            </w:pPr>
            <w:r>
              <w:rPr>
                <w:rFonts w:hint="eastAsia" w:hAnsi="宋体" w:cs="宋体"/>
                <w:sz w:val="21"/>
                <w:szCs w:val="21"/>
              </w:rPr>
              <w:t>项目团队</w:t>
            </w:r>
          </w:p>
        </w:tc>
        <w:tc>
          <w:tcPr>
            <w:tcW w:w="992" w:type="dxa"/>
            <w:vAlign w:val="center"/>
          </w:tcPr>
          <w:p>
            <w:pPr>
              <w:pStyle w:val="18"/>
              <w:spacing w:line="320" w:lineRule="exact"/>
              <w:ind w:firstLine="0"/>
              <w:jc w:val="center"/>
              <w:rPr>
                <w:rFonts w:hAnsi="宋体" w:cs="宋体"/>
                <w:bCs/>
                <w:color w:val="auto"/>
                <w:sz w:val="21"/>
                <w:szCs w:val="21"/>
              </w:rPr>
            </w:pPr>
            <w:r>
              <w:rPr>
                <w:rFonts w:hint="eastAsia" w:hAnsi="宋体" w:cs="宋体"/>
                <w:bCs/>
                <w:color w:val="auto"/>
                <w:sz w:val="21"/>
                <w:szCs w:val="21"/>
              </w:rPr>
              <w:t>2分</w:t>
            </w:r>
          </w:p>
        </w:tc>
        <w:tc>
          <w:tcPr>
            <w:tcW w:w="6380" w:type="dxa"/>
          </w:tcPr>
          <w:p>
            <w:pPr>
              <w:pStyle w:val="730"/>
              <w:rPr>
                <w:rFonts w:ascii="宋体" w:hAnsi="宋体" w:cs="宋体"/>
                <w:color w:val="auto"/>
                <w:kern w:val="0"/>
                <w:szCs w:val="21"/>
              </w:rPr>
            </w:pPr>
            <w:r>
              <w:rPr>
                <w:rFonts w:hint="eastAsia" w:ascii="宋体" w:hAnsi="宋体" w:cs="宋体"/>
                <w:color w:val="auto"/>
                <w:kern w:val="0"/>
                <w:szCs w:val="21"/>
              </w:rPr>
              <w:t>项目负责人（一名）：</w:t>
            </w:r>
          </w:p>
          <w:p>
            <w:pPr>
              <w:pStyle w:val="730"/>
              <w:rPr>
                <w:rFonts w:ascii="宋体" w:hAnsi="宋体" w:cs="宋体"/>
                <w:color w:val="auto"/>
                <w:kern w:val="0"/>
                <w:szCs w:val="21"/>
              </w:rPr>
            </w:pPr>
            <w:r>
              <w:rPr>
                <w:rFonts w:hint="eastAsia" w:ascii="宋体" w:hAnsi="宋体" w:cs="宋体"/>
                <w:color w:val="auto"/>
                <w:kern w:val="0"/>
                <w:szCs w:val="21"/>
              </w:rPr>
              <w:t>1．项目负责人具有人社部门颁发的信息系统项目管理师证书的得2分，具备系统集成项目管理工程师证书的，得1分；本项</w:t>
            </w:r>
            <w:r>
              <w:rPr>
                <w:rFonts w:hint="eastAsia" w:ascii="宋体" w:hAnsi="宋体" w:cs="宋体"/>
                <w:color w:val="auto"/>
                <w:szCs w:val="21"/>
              </w:rPr>
              <w:t>最高得2分。</w:t>
            </w:r>
          </w:p>
          <w:p>
            <w:pPr>
              <w:pStyle w:val="730"/>
              <w:rPr>
                <w:rFonts w:ascii="宋体" w:hAnsi="宋体" w:cs="宋体"/>
                <w:color w:val="auto"/>
                <w:szCs w:val="21"/>
              </w:rPr>
            </w:pPr>
            <w:r>
              <w:rPr>
                <w:rFonts w:hint="eastAsia" w:ascii="宋体" w:hAnsi="宋体" w:cs="宋体"/>
                <w:b/>
                <w:bCs/>
                <w:color w:val="auto"/>
                <w:szCs w:val="21"/>
              </w:rPr>
              <w:t>（提供相关证书及开标前三个月任意一个月的社保证明，复印件加盖公章）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4" w:type="dxa"/>
            <w:vMerge w:val="continue"/>
          </w:tcPr>
          <w:p>
            <w:pPr>
              <w:spacing w:line="320" w:lineRule="exact"/>
              <w:jc w:val="center"/>
              <w:rPr>
                <w:rFonts w:hAnsi="宋体" w:cs="宋体"/>
                <w:b/>
                <w:szCs w:val="21"/>
              </w:rPr>
            </w:pPr>
          </w:p>
        </w:tc>
        <w:tc>
          <w:tcPr>
            <w:tcW w:w="1134" w:type="dxa"/>
            <w:vMerge w:val="continue"/>
            <w:vAlign w:val="center"/>
          </w:tcPr>
          <w:p>
            <w:pPr>
              <w:pStyle w:val="18"/>
              <w:spacing w:line="320" w:lineRule="exact"/>
              <w:ind w:left="-103" w:leftChars="-49" w:right="-113" w:rightChars="-54"/>
              <w:jc w:val="left"/>
              <w:rPr>
                <w:rFonts w:hAnsi="宋体" w:cs="宋体"/>
                <w:sz w:val="21"/>
                <w:szCs w:val="21"/>
              </w:rPr>
            </w:pPr>
          </w:p>
        </w:tc>
        <w:tc>
          <w:tcPr>
            <w:tcW w:w="992" w:type="dxa"/>
            <w:vAlign w:val="center"/>
          </w:tcPr>
          <w:p>
            <w:pPr>
              <w:pStyle w:val="18"/>
              <w:spacing w:line="320" w:lineRule="exact"/>
              <w:ind w:firstLine="0"/>
              <w:jc w:val="center"/>
              <w:rPr>
                <w:rFonts w:hAnsi="宋体" w:cs="宋体"/>
                <w:bCs/>
                <w:color w:val="auto"/>
                <w:sz w:val="21"/>
                <w:szCs w:val="21"/>
              </w:rPr>
            </w:pPr>
            <w:r>
              <w:rPr>
                <w:rFonts w:hint="eastAsia" w:hAnsi="宋体" w:cs="宋体"/>
                <w:bCs/>
                <w:color w:val="auto"/>
                <w:sz w:val="21"/>
                <w:szCs w:val="21"/>
              </w:rPr>
              <w:t>2分</w:t>
            </w:r>
          </w:p>
        </w:tc>
        <w:tc>
          <w:tcPr>
            <w:tcW w:w="6380" w:type="dxa"/>
            <w:vAlign w:val="center"/>
          </w:tcPr>
          <w:p>
            <w:pPr>
              <w:pStyle w:val="730"/>
              <w:rPr>
                <w:rFonts w:ascii="宋体" w:hAnsi="宋体" w:cs="宋体"/>
                <w:color w:val="auto"/>
                <w:kern w:val="0"/>
                <w:szCs w:val="21"/>
              </w:rPr>
            </w:pPr>
            <w:r>
              <w:rPr>
                <w:rFonts w:hint="eastAsia" w:ascii="宋体" w:hAnsi="宋体" w:cs="宋体"/>
                <w:color w:val="auto"/>
                <w:kern w:val="0"/>
                <w:szCs w:val="21"/>
              </w:rPr>
              <w:t>项目技术负责人具有公路工程专业高级工程师的得1分，具有公路工程专业的建造师注册证书得1分；本项</w:t>
            </w:r>
            <w:r>
              <w:rPr>
                <w:rFonts w:hint="eastAsia" w:ascii="宋体" w:hAnsi="宋体" w:cs="宋体"/>
                <w:color w:val="auto"/>
                <w:szCs w:val="21"/>
              </w:rPr>
              <w:t>最高得2分。</w:t>
            </w:r>
          </w:p>
          <w:p>
            <w:pPr>
              <w:jc w:val="left"/>
              <w:rPr>
                <w:rFonts w:ascii="宋体" w:hAnsi="宋体" w:eastAsia="宋体" w:cs="宋体"/>
                <w:b/>
                <w:bCs/>
                <w:color w:val="auto"/>
                <w:szCs w:val="21"/>
              </w:rPr>
            </w:pPr>
            <w:r>
              <w:rPr>
                <w:rFonts w:hint="eastAsia" w:ascii="宋体" w:hAnsi="宋体" w:eastAsia="宋体" w:cs="宋体"/>
                <w:b/>
                <w:bCs/>
                <w:color w:val="auto"/>
                <w:szCs w:val="21"/>
              </w:rPr>
              <w:t>（提供相关证书及开标前三个月任意一个月的社保证明，复印件加盖公章）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4" w:type="dxa"/>
            <w:vMerge w:val="continue"/>
          </w:tcPr>
          <w:p>
            <w:pPr>
              <w:spacing w:line="320" w:lineRule="exact"/>
              <w:jc w:val="center"/>
              <w:rPr>
                <w:rFonts w:hAnsi="宋体" w:cs="宋体"/>
                <w:b/>
                <w:szCs w:val="21"/>
              </w:rPr>
            </w:pPr>
          </w:p>
        </w:tc>
        <w:tc>
          <w:tcPr>
            <w:tcW w:w="1134" w:type="dxa"/>
            <w:vMerge w:val="continue"/>
            <w:vAlign w:val="center"/>
          </w:tcPr>
          <w:p>
            <w:pPr>
              <w:pStyle w:val="18"/>
              <w:spacing w:line="320" w:lineRule="exact"/>
              <w:ind w:left="-103" w:leftChars="-49" w:right="-113" w:rightChars="-54"/>
              <w:jc w:val="left"/>
              <w:rPr>
                <w:rFonts w:hAnsi="宋体" w:cs="宋体"/>
                <w:sz w:val="21"/>
                <w:szCs w:val="21"/>
              </w:rPr>
            </w:pPr>
          </w:p>
        </w:tc>
        <w:tc>
          <w:tcPr>
            <w:tcW w:w="992" w:type="dxa"/>
            <w:vAlign w:val="center"/>
          </w:tcPr>
          <w:p>
            <w:pPr>
              <w:pStyle w:val="18"/>
              <w:spacing w:line="320" w:lineRule="exact"/>
              <w:ind w:firstLine="0"/>
              <w:jc w:val="center"/>
              <w:rPr>
                <w:rFonts w:hAnsi="宋体" w:cs="宋体"/>
                <w:bCs/>
                <w:color w:val="auto"/>
                <w:sz w:val="21"/>
                <w:szCs w:val="21"/>
              </w:rPr>
            </w:pPr>
            <w:r>
              <w:rPr>
                <w:rFonts w:hint="eastAsia" w:hAnsi="宋体" w:cs="宋体"/>
                <w:bCs/>
                <w:color w:val="auto"/>
                <w:sz w:val="21"/>
                <w:szCs w:val="21"/>
              </w:rPr>
              <w:t>3分</w:t>
            </w:r>
          </w:p>
        </w:tc>
        <w:tc>
          <w:tcPr>
            <w:tcW w:w="6380" w:type="dxa"/>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rPr>
              <w:t>项目</w:t>
            </w:r>
            <w:r>
              <w:rPr>
                <w:rFonts w:hint="eastAsia" w:ascii="宋体" w:hAnsi="宋体" w:eastAsia="宋体" w:cs="宋体"/>
                <w:color w:val="auto"/>
                <w:szCs w:val="21"/>
              </w:rPr>
              <w:t>技术成员：</w:t>
            </w:r>
          </w:p>
          <w:p>
            <w:pPr>
              <w:rPr>
                <w:rFonts w:ascii="宋体" w:hAnsi="宋体" w:eastAsia="宋体" w:cs="宋体"/>
                <w:color w:val="auto"/>
                <w:szCs w:val="21"/>
              </w:rPr>
            </w:pPr>
            <w:r>
              <w:rPr>
                <w:rFonts w:hint="eastAsia" w:ascii="宋体" w:hAnsi="宋体" w:eastAsia="宋体" w:cs="宋体"/>
                <w:color w:val="auto"/>
                <w:szCs w:val="21"/>
              </w:rPr>
              <w:t>1.具有</w:t>
            </w:r>
            <w:r>
              <w:rPr>
                <w:rFonts w:hint="eastAsia" w:ascii="宋体" w:hAnsi="宋体" w:eastAsia="宋体" w:cs="宋体"/>
                <w:color w:val="auto"/>
                <w:szCs w:val="21"/>
                <w:lang w:val="en-US" w:eastAsia="zh-CN"/>
              </w:rPr>
              <w:t>信息安全保障人员</w:t>
            </w:r>
            <w:r>
              <w:rPr>
                <w:rFonts w:hint="eastAsia" w:ascii="宋体" w:hAnsi="宋体" w:eastAsia="宋体" w:cs="宋体"/>
                <w:color w:val="auto"/>
                <w:szCs w:val="21"/>
              </w:rPr>
              <w:t>，得1分。</w:t>
            </w:r>
          </w:p>
          <w:p>
            <w:pPr>
              <w:rPr>
                <w:rFonts w:ascii="宋体" w:hAnsi="宋体" w:eastAsia="宋体" w:cs="宋体"/>
                <w:color w:val="auto"/>
                <w:szCs w:val="21"/>
              </w:rPr>
            </w:pPr>
            <w:r>
              <w:rPr>
                <w:rFonts w:hint="eastAsia" w:ascii="宋体" w:hAnsi="宋体" w:eastAsia="宋体" w:cs="宋体"/>
                <w:color w:val="auto"/>
                <w:szCs w:val="21"/>
              </w:rPr>
              <w:t>2.具有人社部门颁发的数据库系统工程师证书的，得1分。</w:t>
            </w:r>
          </w:p>
          <w:p>
            <w:pPr>
              <w:rPr>
                <w:rFonts w:ascii="宋体" w:hAnsi="宋体" w:eastAsia="宋体" w:cs="宋体"/>
                <w:color w:val="auto"/>
                <w:szCs w:val="21"/>
              </w:rPr>
            </w:pPr>
            <w:r>
              <w:rPr>
                <w:rFonts w:hint="eastAsia" w:ascii="宋体" w:hAnsi="宋体" w:eastAsia="宋体" w:cs="宋体"/>
                <w:color w:val="auto"/>
                <w:szCs w:val="21"/>
              </w:rPr>
              <w:t>3.具有专职安全生产管理人员证书的，得1分。</w:t>
            </w:r>
          </w:p>
          <w:p>
            <w:pPr>
              <w:jc w:val="left"/>
              <w:rPr>
                <w:rFonts w:ascii="宋体" w:hAnsi="宋体" w:eastAsia="宋体" w:cs="宋体"/>
                <w:b/>
                <w:bCs/>
                <w:color w:val="auto"/>
                <w:szCs w:val="21"/>
              </w:rPr>
            </w:pPr>
            <w:r>
              <w:rPr>
                <w:rFonts w:hint="eastAsia" w:ascii="宋体" w:hAnsi="宋体" w:eastAsia="宋体" w:cs="宋体"/>
                <w:b/>
                <w:bCs/>
                <w:color w:val="auto"/>
                <w:szCs w:val="21"/>
              </w:rPr>
              <w:t>（提供相关证书及开标前三个月任意一个月的社保证明，复印件加盖公章）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4" w:type="dxa"/>
            <w:vMerge w:val="continue"/>
          </w:tcPr>
          <w:p>
            <w:pPr>
              <w:spacing w:line="320" w:lineRule="exact"/>
              <w:jc w:val="center"/>
              <w:rPr>
                <w:rFonts w:hAnsi="宋体" w:cs="宋体"/>
                <w:b/>
                <w:szCs w:val="21"/>
              </w:rPr>
            </w:pPr>
          </w:p>
        </w:tc>
        <w:tc>
          <w:tcPr>
            <w:tcW w:w="1134" w:type="dxa"/>
            <w:vMerge w:val="continue"/>
            <w:vAlign w:val="center"/>
          </w:tcPr>
          <w:p>
            <w:pPr>
              <w:pStyle w:val="18"/>
              <w:spacing w:line="320" w:lineRule="exact"/>
              <w:ind w:left="-103" w:leftChars="-49" w:right="-113" w:rightChars="-54"/>
              <w:jc w:val="left"/>
              <w:rPr>
                <w:rFonts w:hAnsi="宋体" w:cs="宋体"/>
                <w:sz w:val="21"/>
                <w:szCs w:val="21"/>
              </w:rPr>
            </w:pPr>
          </w:p>
        </w:tc>
        <w:tc>
          <w:tcPr>
            <w:tcW w:w="992" w:type="dxa"/>
            <w:vAlign w:val="center"/>
          </w:tcPr>
          <w:p>
            <w:pPr>
              <w:pStyle w:val="18"/>
              <w:spacing w:line="320" w:lineRule="exact"/>
              <w:ind w:firstLine="0"/>
              <w:jc w:val="center"/>
              <w:rPr>
                <w:rFonts w:hAnsi="宋体" w:cs="宋体"/>
                <w:bCs/>
                <w:color w:val="auto"/>
                <w:sz w:val="21"/>
                <w:szCs w:val="21"/>
              </w:rPr>
            </w:pPr>
            <w:r>
              <w:rPr>
                <w:rFonts w:hint="eastAsia" w:hAnsi="宋体" w:cs="宋体"/>
                <w:bCs/>
                <w:color w:val="auto"/>
                <w:sz w:val="21"/>
                <w:szCs w:val="21"/>
              </w:rPr>
              <w:t>8分</w:t>
            </w:r>
          </w:p>
        </w:tc>
        <w:tc>
          <w:tcPr>
            <w:tcW w:w="6380" w:type="dxa"/>
            <w:vAlign w:val="center"/>
          </w:tcPr>
          <w:p>
            <w:pPr>
              <w:rPr>
                <w:rFonts w:ascii="宋体" w:hAnsi="宋体" w:eastAsia="宋体" w:cs="宋体"/>
                <w:color w:val="auto"/>
                <w:szCs w:val="21"/>
              </w:rPr>
            </w:pPr>
            <w:r>
              <w:rPr>
                <w:rFonts w:hint="eastAsia" w:ascii="宋体" w:hAnsi="宋体" w:eastAsia="宋体" w:cs="宋体"/>
                <w:color w:val="auto"/>
                <w:szCs w:val="21"/>
              </w:rPr>
              <w:t>维修人员：维修人员需持证上岗，具备站点登高维护、电力维护、现场穿线等能力：</w:t>
            </w:r>
          </w:p>
          <w:p>
            <w:pPr>
              <w:rPr>
                <w:rFonts w:ascii="宋体" w:hAnsi="宋体" w:eastAsia="宋体" w:cs="宋体"/>
                <w:color w:val="auto"/>
                <w:szCs w:val="21"/>
              </w:rPr>
            </w:pPr>
            <w:r>
              <w:rPr>
                <w:rFonts w:hint="eastAsia" w:ascii="宋体" w:hAnsi="宋体" w:eastAsia="宋体" w:cs="宋体"/>
                <w:color w:val="auto"/>
                <w:szCs w:val="21"/>
              </w:rPr>
              <w:t>（1）外场维修人员具有国家应急管理部门颁发的特种作业操作证（电工作业）的，1人得0.5分，最高得4分。</w:t>
            </w:r>
          </w:p>
          <w:p>
            <w:pPr>
              <w:rPr>
                <w:rFonts w:ascii="宋体" w:hAnsi="宋体" w:eastAsia="宋体" w:cs="宋体"/>
                <w:color w:val="auto"/>
                <w:szCs w:val="21"/>
              </w:rPr>
            </w:pPr>
            <w:r>
              <w:rPr>
                <w:rFonts w:hint="eastAsia" w:ascii="宋体" w:hAnsi="宋体" w:eastAsia="宋体" w:cs="宋体"/>
                <w:color w:val="auto"/>
                <w:szCs w:val="21"/>
              </w:rPr>
              <w:t>（2)外场维修人员具有国家应急管理部门颁发的特种作业操作证（高处作业）1人得0.5分，最高得4分。</w:t>
            </w:r>
          </w:p>
          <w:p>
            <w:pPr>
              <w:rPr>
                <w:rFonts w:ascii="宋体" w:hAnsi="宋体" w:eastAsia="宋体" w:cs="宋体"/>
                <w:b/>
                <w:bCs/>
                <w:color w:val="auto"/>
                <w:szCs w:val="21"/>
              </w:rPr>
            </w:pPr>
            <w:r>
              <w:rPr>
                <w:rFonts w:hint="eastAsia" w:ascii="宋体" w:hAnsi="宋体" w:eastAsia="宋体" w:cs="宋体"/>
                <w:b/>
                <w:bCs/>
                <w:color w:val="auto"/>
                <w:szCs w:val="21"/>
              </w:rPr>
              <w:t>注：1.提供开标前三个月任意一个月的社保证明，复印件加盖公章，否则不得分。2.特种作业操作证需提供证书网页查询全屏截图，随截图注明相应的网址（http://cx.mem.gov.cn//）。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44" w:type="dxa"/>
            <w:vMerge w:val="continue"/>
          </w:tcPr>
          <w:p>
            <w:pPr>
              <w:spacing w:line="320" w:lineRule="exact"/>
              <w:jc w:val="center"/>
              <w:rPr>
                <w:rFonts w:hAnsi="宋体" w:cs="宋体"/>
                <w:b/>
                <w:szCs w:val="21"/>
              </w:rPr>
            </w:pPr>
          </w:p>
        </w:tc>
        <w:tc>
          <w:tcPr>
            <w:tcW w:w="1134" w:type="dxa"/>
            <w:vAlign w:val="center"/>
          </w:tcPr>
          <w:p>
            <w:pPr>
              <w:pStyle w:val="18"/>
              <w:spacing w:line="320" w:lineRule="exact"/>
              <w:ind w:right="-113" w:rightChars="-54" w:firstLine="0"/>
              <w:jc w:val="left"/>
              <w:rPr>
                <w:rFonts w:hAnsi="宋体" w:cs="宋体"/>
                <w:sz w:val="21"/>
                <w:szCs w:val="21"/>
              </w:rPr>
            </w:pPr>
            <w:r>
              <w:rPr>
                <w:rFonts w:hint="eastAsia" w:hAnsi="宋体" w:cs="宋体"/>
                <w:sz w:val="21"/>
                <w:szCs w:val="21"/>
              </w:rPr>
              <w:t>作业车辆</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2分</w:t>
            </w:r>
          </w:p>
        </w:tc>
        <w:tc>
          <w:tcPr>
            <w:tcW w:w="6380" w:type="dxa"/>
            <w:vAlign w:val="center"/>
          </w:tcPr>
          <w:p>
            <w:pPr>
              <w:rPr>
                <w:rFonts w:ascii="宋体" w:hAnsi="宋体" w:eastAsia="宋体" w:cs="宋体"/>
                <w:kern w:val="0"/>
                <w:szCs w:val="21"/>
              </w:rPr>
            </w:pPr>
            <w:r>
              <w:rPr>
                <w:rFonts w:hint="eastAsia" w:ascii="宋体" w:hAnsi="宋体" w:eastAsia="宋体" w:cs="宋体"/>
                <w:kern w:val="0"/>
                <w:szCs w:val="21"/>
              </w:rPr>
              <w:t>投标人承诺提供与本项目相适用的重、中、轻型作业车的1辆得1分，2辆得2分（满分2分）。</w:t>
            </w:r>
          </w:p>
          <w:p>
            <w:pPr>
              <w:rPr>
                <w:rFonts w:ascii="宋体" w:hAnsi="宋体" w:eastAsia="宋体" w:cs="宋体"/>
                <w:b/>
                <w:bCs/>
                <w:szCs w:val="21"/>
              </w:rPr>
            </w:pPr>
            <w:r>
              <w:rPr>
                <w:rFonts w:hint="eastAsia" w:ascii="宋体" w:hAnsi="宋体" w:eastAsia="宋体" w:cs="宋体"/>
                <w:b/>
                <w:bCs/>
                <w:szCs w:val="21"/>
              </w:rPr>
              <w:t>注：需提供投标人</w:t>
            </w:r>
            <w:r>
              <w:rPr>
                <w:rFonts w:hint="eastAsia" w:ascii="宋体" w:hAnsi="宋体" w:eastAsia="宋体" w:cs="宋体"/>
                <w:b/>
                <w:bCs/>
                <w:kern w:val="0"/>
                <w:szCs w:val="21"/>
              </w:rPr>
              <w:t>自有的机动车车辆行驶证及清晰照片（如为租赁的需提供车辆租赁合同复印件），</w:t>
            </w:r>
            <w:r>
              <w:rPr>
                <w:rFonts w:hint="eastAsia" w:ascii="宋体" w:hAnsi="宋体" w:eastAsia="宋体" w:cs="宋体"/>
                <w:b/>
                <w:bCs/>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44" w:type="dxa"/>
            <w:vMerge w:val="continue"/>
          </w:tcPr>
          <w:p>
            <w:pPr>
              <w:spacing w:line="320" w:lineRule="exact"/>
              <w:jc w:val="center"/>
              <w:rPr>
                <w:rFonts w:ascii="宋体" w:hAnsi="宋体" w:eastAsia="宋体" w:cs="宋体"/>
                <w:szCs w:val="21"/>
              </w:rPr>
            </w:pPr>
          </w:p>
        </w:tc>
        <w:tc>
          <w:tcPr>
            <w:tcW w:w="1134" w:type="dxa"/>
            <w:vAlign w:val="center"/>
          </w:tcPr>
          <w:p>
            <w:pPr>
              <w:spacing w:line="320" w:lineRule="exact"/>
              <w:jc w:val="left"/>
              <w:rPr>
                <w:rFonts w:ascii="宋体" w:hAnsi="宋体" w:eastAsia="宋体" w:cs="宋体"/>
                <w:kern w:val="0"/>
                <w:szCs w:val="21"/>
              </w:rPr>
            </w:pPr>
            <w:r>
              <w:rPr>
                <w:rFonts w:hint="eastAsia" w:ascii="宋体" w:hAnsi="宋体" w:eastAsia="宋体" w:cs="宋体"/>
                <w:spacing w:val="4"/>
                <w:szCs w:val="21"/>
              </w:rPr>
              <w:t>技术服务和功能偏离情况</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16分</w:t>
            </w:r>
          </w:p>
        </w:tc>
        <w:tc>
          <w:tcPr>
            <w:tcW w:w="6380" w:type="dxa"/>
          </w:tcPr>
          <w:p>
            <w:pPr>
              <w:rPr>
                <w:rFonts w:ascii="宋体" w:hAnsi="宋体" w:eastAsia="宋体" w:cs="宋体"/>
                <w:szCs w:val="21"/>
              </w:rPr>
            </w:pPr>
            <w:r>
              <w:rPr>
                <w:rFonts w:hint="eastAsia" w:ascii="宋体" w:hAnsi="宋体" w:eastAsia="宋体" w:cs="宋体"/>
                <w:szCs w:val="21"/>
              </w:rPr>
              <w:t>投标人所提供的产品（服务）技术参数和功能响应情况：</w:t>
            </w:r>
          </w:p>
          <w:p>
            <w:pPr>
              <w:rPr>
                <w:rFonts w:ascii="宋体" w:hAnsi="宋体" w:eastAsia="宋体" w:cs="宋体"/>
                <w:szCs w:val="21"/>
              </w:rPr>
            </w:pPr>
            <w:r>
              <w:rPr>
                <w:rFonts w:hint="eastAsia" w:ascii="宋体" w:hAnsi="宋体" w:eastAsia="宋体" w:cs="宋体"/>
                <w:szCs w:val="21"/>
              </w:rPr>
              <w:t>产品（服务）技术参数和功能完全符合采购需求的得16分，</w:t>
            </w:r>
          </w:p>
          <w:p>
            <w:pPr>
              <w:rPr>
                <w:rFonts w:ascii="宋体" w:hAnsi="宋体" w:eastAsia="宋体" w:cs="宋体"/>
                <w:szCs w:val="21"/>
              </w:rPr>
            </w:pPr>
            <w:r>
              <w:rPr>
                <w:rFonts w:hint="eastAsia" w:ascii="宋体" w:hAnsi="宋体" w:eastAsia="宋体" w:cs="宋体"/>
                <w:szCs w:val="21"/>
              </w:rPr>
              <w:t>1．“▲设备与舟山本岛区域现有的红绿灯控制平台兼容。”这条技术参数不满足扣5分；</w:t>
            </w:r>
          </w:p>
          <w:p>
            <w:pPr>
              <w:rPr>
                <w:rFonts w:ascii="宋体" w:hAnsi="宋体" w:eastAsia="宋体" w:cs="宋体"/>
                <w:szCs w:val="21"/>
              </w:rPr>
            </w:pPr>
            <w:r>
              <w:rPr>
                <w:rFonts w:hint="eastAsia" w:ascii="宋体" w:hAnsi="宋体" w:eastAsia="宋体" w:cs="宋体"/>
                <w:szCs w:val="21"/>
              </w:rPr>
              <w:t>2其余标“▲”项的内容或参数每负偏离一项扣1分；</w:t>
            </w:r>
          </w:p>
          <w:p>
            <w:pPr>
              <w:rPr>
                <w:rFonts w:ascii="宋体" w:hAnsi="宋体" w:eastAsia="宋体" w:cs="宋体"/>
                <w:szCs w:val="21"/>
              </w:rPr>
            </w:pPr>
            <w:r>
              <w:rPr>
                <w:rFonts w:hint="eastAsia" w:ascii="宋体" w:hAnsi="宋体" w:eastAsia="宋体" w:cs="宋体"/>
                <w:szCs w:val="21"/>
              </w:rPr>
              <w:t xml:space="preserve">3．未标“▲”内容或参数每负偏离一项扣0.5分，分数扣完为止。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bCs/>
                <w:kern w:val="0"/>
                <w:szCs w:val="21"/>
              </w:rPr>
            </w:pPr>
            <w:r>
              <w:rPr>
                <w:rFonts w:hint="eastAsia" w:ascii="宋体" w:hAnsi="宋体" w:eastAsia="宋体" w:cs="宋体"/>
                <w:bCs/>
                <w:kern w:val="0"/>
                <w:szCs w:val="21"/>
              </w:rPr>
              <w:t>招标文件需求满足程度</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8分</w:t>
            </w:r>
          </w:p>
        </w:tc>
        <w:tc>
          <w:tcPr>
            <w:tcW w:w="6380" w:type="dxa"/>
          </w:tcPr>
          <w:p>
            <w:pPr>
              <w:rPr>
                <w:rFonts w:ascii="宋体" w:hAnsi="宋体" w:eastAsia="宋体" w:cs="宋体"/>
                <w:bCs/>
                <w:szCs w:val="21"/>
              </w:rPr>
            </w:pPr>
            <w:r>
              <w:rPr>
                <w:rFonts w:hint="eastAsia" w:ascii="宋体" w:hAnsi="宋体" w:eastAsia="宋体" w:cs="宋体"/>
                <w:bCs/>
                <w:szCs w:val="21"/>
              </w:rPr>
              <w:t>招标文件需求满足程度：</w:t>
            </w:r>
          </w:p>
          <w:p>
            <w:pPr>
              <w:rPr>
                <w:rFonts w:ascii="宋体" w:hAnsi="宋体" w:eastAsia="宋体" w:cs="宋体"/>
                <w:bCs/>
                <w:szCs w:val="21"/>
              </w:rPr>
            </w:pPr>
            <w:r>
              <w:rPr>
                <w:rFonts w:hint="eastAsia" w:ascii="宋体" w:hAnsi="宋体" w:eastAsia="宋体" w:cs="宋体"/>
                <w:bCs/>
                <w:szCs w:val="21"/>
              </w:rPr>
              <w:t>所有需求完全满足招标文件要求的，得8分；</w:t>
            </w:r>
          </w:p>
          <w:p>
            <w:pPr>
              <w:rPr>
                <w:rFonts w:ascii="宋体" w:hAnsi="宋体" w:eastAsia="宋体" w:cs="宋体"/>
                <w:bCs/>
                <w:szCs w:val="21"/>
              </w:rPr>
            </w:pPr>
            <w:r>
              <w:rPr>
                <w:rFonts w:hint="eastAsia" w:ascii="宋体" w:hAnsi="宋体" w:eastAsia="宋体" w:cs="宋体"/>
                <w:bCs/>
                <w:szCs w:val="21"/>
              </w:rPr>
              <w:t>较好满足招标文件要求的，得5分；</w:t>
            </w:r>
          </w:p>
          <w:p>
            <w:pPr>
              <w:pStyle w:val="2"/>
              <w:rPr>
                <w:bCs/>
                <w:color w:val="auto"/>
              </w:rPr>
            </w:pPr>
            <w:r>
              <w:rPr>
                <w:rFonts w:hint="eastAsia" w:ascii="宋体" w:hAnsi="宋体" w:eastAsia="宋体" w:cs="宋体"/>
                <w:bCs/>
                <w:color w:val="auto"/>
                <w:sz w:val="21"/>
                <w:szCs w:val="21"/>
              </w:rPr>
              <w:t>基本满足招标文件要求的，得2分；不满足不得分。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kern w:val="0"/>
                <w:szCs w:val="21"/>
              </w:rPr>
            </w:pPr>
            <w:r>
              <w:rPr>
                <w:rFonts w:hint="eastAsia" w:ascii="宋体" w:hAnsi="宋体" w:eastAsia="宋体" w:cs="宋体"/>
                <w:kern w:val="0"/>
                <w:szCs w:val="21"/>
              </w:rPr>
              <w:t>对现状的熟悉程度</w:t>
            </w:r>
          </w:p>
        </w:tc>
        <w:tc>
          <w:tcPr>
            <w:tcW w:w="992" w:type="dxa"/>
            <w:vAlign w:val="center"/>
          </w:tcPr>
          <w:p>
            <w:pPr>
              <w:pStyle w:val="18"/>
              <w:spacing w:line="320" w:lineRule="exact"/>
              <w:ind w:firstLine="0"/>
              <w:jc w:val="center"/>
              <w:rPr>
                <w:rFonts w:hAnsi="宋体" w:cs="宋体"/>
                <w:bCs/>
                <w:kern w:val="2"/>
                <w:sz w:val="21"/>
                <w:szCs w:val="21"/>
              </w:rPr>
            </w:pPr>
            <w:r>
              <w:rPr>
                <w:rFonts w:hint="eastAsia" w:hAnsi="宋体" w:cs="宋体"/>
                <w:bCs/>
                <w:sz w:val="21"/>
                <w:szCs w:val="21"/>
              </w:rPr>
              <w:t>7分</w:t>
            </w:r>
          </w:p>
        </w:tc>
        <w:tc>
          <w:tcPr>
            <w:tcW w:w="6380" w:type="dxa"/>
          </w:tcPr>
          <w:p>
            <w:pPr>
              <w:rPr>
                <w:rFonts w:ascii="宋体" w:hAnsi="宋体" w:eastAsia="宋体" w:cs="宋体"/>
                <w:szCs w:val="21"/>
              </w:rPr>
            </w:pPr>
            <w:r>
              <w:rPr>
                <w:rFonts w:hint="eastAsia" w:ascii="宋体" w:hAnsi="宋体" w:eastAsia="宋体" w:cs="宋体"/>
                <w:szCs w:val="21"/>
              </w:rPr>
              <w:t>投标人及联合体成员对现有红绿灯现状的熟悉程度，如现有路口信号灯的基础设施（路口数量、信号机类型、联网情况等）情况：</w:t>
            </w:r>
          </w:p>
          <w:p>
            <w:pPr>
              <w:rPr>
                <w:rFonts w:ascii="宋体" w:hAnsi="宋体" w:eastAsia="宋体" w:cs="宋体"/>
                <w:szCs w:val="21"/>
              </w:rPr>
            </w:pPr>
            <w:r>
              <w:rPr>
                <w:rFonts w:hint="eastAsia" w:ascii="宋体" w:hAnsi="宋体" w:eastAsia="宋体" w:cs="宋体"/>
                <w:szCs w:val="21"/>
              </w:rPr>
              <w:t>内容详实，对现有基础设施非常熟悉的，得7分；</w:t>
            </w:r>
          </w:p>
          <w:p>
            <w:pPr>
              <w:rPr>
                <w:rFonts w:ascii="宋体" w:hAnsi="宋体" w:eastAsia="宋体" w:cs="宋体"/>
                <w:szCs w:val="21"/>
              </w:rPr>
            </w:pPr>
            <w:r>
              <w:rPr>
                <w:rFonts w:hint="eastAsia" w:ascii="宋体" w:hAnsi="宋体" w:eastAsia="宋体" w:cs="宋体"/>
                <w:szCs w:val="21"/>
              </w:rPr>
              <w:t>内容较详实，对现有基础设施较为熟悉的，得4分；</w:t>
            </w:r>
          </w:p>
          <w:p>
            <w:pPr>
              <w:widowControl/>
              <w:jc w:val="left"/>
              <w:rPr>
                <w:rFonts w:ascii="宋体" w:hAnsi="宋体" w:eastAsia="宋体" w:cs="宋体"/>
                <w:szCs w:val="21"/>
              </w:rPr>
            </w:pPr>
            <w:r>
              <w:rPr>
                <w:rFonts w:hint="eastAsia" w:ascii="宋体" w:hAnsi="宋体" w:eastAsia="宋体" w:cs="宋体"/>
                <w:szCs w:val="21"/>
              </w:rPr>
              <w:t>内容粗糙， 对现有基础设施了解甚少的，得2分；</w:t>
            </w:r>
          </w:p>
          <w:p>
            <w:pPr>
              <w:rPr>
                <w:rFonts w:ascii="宋体" w:hAnsi="宋体" w:eastAsia="宋体" w:cs="宋体"/>
                <w:szCs w:val="21"/>
              </w:rPr>
            </w:pPr>
            <w:r>
              <w:rPr>
                <w:rFonts w:hint="eastAsia" w:ascii="宋体" w:hAnsi="宋体" w:eastAsia="宋体" w:cs="宋体"/>
                <w:szCs w:val="21"/>
              </w:rPr>
              <w:t>完全不熟悉或未提及的不得分。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kern w:val="0"/>
                <w:szCs w:val="21"/>
              </w:rPr>
              <w:t>维护方案</w:t>
            </w:r>
          </w:p>
        </w:tc>
        <w:tc>
          <w:tcPr>
            <w:tcW w:w="992" w:type="dxa"/>
            <w:vAlign w:val="center"/>
          </w:tcPr>
          <w:p>
            <w:pPr>
              <w:pStyle w:val="18"/>
              <w:spacing w:line="320" w:lineRule="exact"/>
              <w:ind w:firstLine="0"/>
              <w:jc w:val="center"/>
              <w:rPr>
                <w:rFonts w:hAnsi="宋体" w:cs="宋体"/>
                <w:bCs/>
                <w:kern w:val="2"/>
                <w:sz w:val="21"/>
                <w:szCs w:val="21"/>
              </w:rPr>
            </w:pPr>
            <w:r>
              <w:rPr>
                <w:rFonts w:hint="eastAsia" w:hAnsi="宋体" w:cs="宋体"/>
                <w:bCs/>
                <w:sz w:val="21"/>
                <w:szCs w:val="21"/>
              </w:rPr>
              <w:t>8分</w:t>
            </w:r>
          </w:p>
        </w:tc>
        <w:tc>
          <w:tcPr>
            <w:tcW w:w="6380" w:type="dxa"/>
          </w:tcPr>
          <w:p>
            <w:pPr>
              <w:widowControl/>
              <w:jc w:val="left"/>
              <w:rPr>
                <w:rFonts w:ascii="宋体" w:hAnsi="宋体" w:eastAsia="宋体" w:cs="宋体"/>
                <w:szCs w:val="21"/>
              </w:rPr>
            </w:pPr>
            <w:r>
              <w:rPr>
                <w:rFonts w:hint="eastAsia" w:ascii="宋体" w:hAnsi="宋体" w:eastAsia="宋体" w:cs="宋体"/>
                <w:szCs w:val="21"/>
              </w:rPr>
              <w:t>投标人制定的红绿灯系统详细的维护方案：</w:t>
            </w:r>
          </w:p>
          <w:p>
            <w:pPr>
              <w:widowControl/>
              <w:jc w:val="left"/>
              <w:rPr>
                <w:rFonts w:ascii="宋体" w:hAnsi="宋体" w:eastAsia="宋体" w:cs="宋体"/>
                <w:szCs w:val="21"/>
              </w:rPr>
            </w:pPr>
            <w:r>
              <w:rPr>
                <w:rFonts w:hint="eastAsia" w:ascii="宋体" w:hAnsi="宋体" w:eastAsia="宋体" w:cs="宋体"/>
                <w:szCs w:val="21"/>
              </w:rPr>
              <w:t>方案完整全面、合理、有针对性的，得8分；</w:t>
            </w:r>
          </w:p>
          <w:p>
            <w:pPr>
              <w:widowControl/>
              <w:jc w:val="left"/>
              <w:rPr>
                <w:rFonts w:ascii="宋体" w:hAnsi="宋体" w:eastAsia="宋体" w:cs="宋体"/>
                <w:szCs w:val="21"/>
              </w:rPr>
            </w:pPr>
            <w:r>
              <w:rPr>
                <w:rFonts w:hint="eastAsia" w:ascii="宋体" w:hAnsi="宋体" w:eastAsia="宋体" w:cs="宋体"/>
                <w:szCs w:val="21"/>
              </w:rPr>
              <w:t>方案较完整、合理的，得5分；</w:t>
            </w:r>
          </w:p>
          <w:p>
            <w:pPr>
              <w:widowControl/>
              <w:jc w:val="left"/>
              <w:rPr>
                <w:rFonts w:ascii="宋体" w:hAnsi="宋体" w:eastAsia="宋体" w:cs="宋体"/>
                <w:szCs w:val="21"/>
              </w:rPr>
            </w:pPr>
            <w:r>
              <w:rPr>
                <w:rFonts w:hint="eastAsia" w:ascii="宋体" w:hAnsi="宋体" w:eastAsia="宋体" w:cs="宋体"/>
                <w:szCs w:val="21"/>
              </w:rPr>
              <w:t>方案简单，针对性不强的的，得2分；</w:t>
            </w:r>
          </w:p>
          <w:p>
            <w:pPr>
              <w:widowControl/>
              <w:tabs>
                <w:tab w:val="left" w:pos="4823"/>
              </w:tabs>
              <w:jc w:val="left"/>
              <w:rPr>
                <w:rFonts w:ascii="宋体" w:hAnsi="宋体" w:eastAsia="宋体" w:cs="宋体"/>
                <w:szCs w:val="21"/>
              </w:rPr>
            </w:pPr>
            <w:r>
              <w:rPr>
                <w:rFonts w:hint="eastAsia" w:ascii="宋体" w:hAnsi="宋体" w:eastAsia="宋体" w:cs="宋体"/>
                <w:szCs w:val="21"/>
              </w:rPr>
              <w:t>完全不满足或未提及的不得分。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szCs w:val="21"/>
              </w:rPr>
              <w:t>红绿灯改造升级方案</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8分</w:t>
            </w:r>
          </w:p>
        </w:tc>
        <w:tc>
          <w:tcPr>
            <w:tcW w:w="6380" w:type="dxa"/>
            <w:vAlign w:val="center"/>
          </w:tcPr>
          <w:p>
            <w:pPr>
              <w:widowControl/>
              <w:rPr>
                <w:rFonts w:ascii="宋体" w:hAnsi="宋体" w:eastAsia="宋体" w:cs="宋体"/>
                <w:kern w:val="0"/>
                <w:szCs w:val="21"/>
              </w:rPr>
            </w:pPr>
            <w:r>
              <w:rPr>
                <w:rFonts w:hint="eastAsia" w:ascii="宋体" w:hAnsi="宋体" w:eastAsia="宋体" w:cs="宋体"/>
                <w:kern w:val="0"/>
                <w:szCs w:val="21"/>
              </w:rPr>
              <w:t>针对本项目中</w:t>
            </w:r>
            <w:r>
              <w:rPr>
                <w:rFonts w:hint="eastAsia" w:ascii="宋体" w:hAnsi="宋体" w:eastAsia="宋体" w:cs="宋体"/>
                <w:szCs w:val="21"/>
              </w:rPr>
              <w:t>红绿灯改造升级</w:t>
            </w:r>
            <w:r>
              <w:rPr>
                <w:rFonts w:hint="eastAsia" w:ascii="宋体" w:hAnsi="宋体" w:eastAsia="宋体" w:cs="宋体"/>
                <w:kern w:val="0"/>
                <w:szCs w:val="21"/>
              </w:rPr>
              <w:t>的背景现状、实施方案：</w:t>
            </w:r>
          </w:p>
          <w:p>
            <w:pPr>
              <w:widowControl/>
              <w:rPr>
                <w:rFonts w:ascii="宋体" w:hAnsi="宋体" w:eastAsia="宋体" w:cs="宋体"/>
                <w:kern w:val="0"/>
                <w:szCs w:val="21"/>
              </w:rPr>
            </w:pPr>
            <w:r>
              <w:rPr>
                <w:rFonts w:hint="eastAsia" w:ascii="宋体" w:hAnsi="宋体" w:eastAsia="宋体" w:cs="宋体"/>
                <w:kern w:val="0"/>
                <w:szCs w:val="21"/>
              </w:rPr>
              <w:t>投标人制定的改造升级方案对项目现状清楚、实施方案合理、逻辑层次清晰的，得8分；</w:t>
            </w:r>
          </w:p>
          <w:p>
            <w:pPr>
              <w:widowControl/>
              <w:rPr>
                <w:rFonts w:ascii="宋体" w:hAnsi="宋体" w:eastAsia="宋体" w:cs="宋体"/>
                <w:kern w:val="0"/>
                <w:szCs w:val="21"/>
              </w:rPr>
            </w:pPr>
            <w:r>
              <w:rPr>
                <w:rFonts w:hint="eastAsia" w:ascii="宋体" w:hAnsi="宋体" w:eastAsia="宋体" w:cs="宋体"/>
                <w:kern w:val="0"/>
                <w:szCs w:val="21"/>
              </w:rPr>
              <w:t>投标人制定的改造升级方案对项目现状较清楚、实施方案较合理、逻辑层次较清晰的，得5分；</w:t>
            </w:r>
          </w:p>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 xml:space="preserve">投标人制定的改造升级方案对项目现状不是很清楚、实施方案简单、逻辑层次不够清晰的，得2分。 </w:t>
            </w:r>
          </w:p>
          <w:p>
            <w:pPr>
              <w:pStyle w:val="18"/>
              <w:adjustRightInd w:val="0"/>
              <w:snapToGrid w:val="0"/>
              <w:spacing w:line="320" w:lineRule="exact"/>
              <w:ind w:firstLine="0"/>
              <w:jc w:val="left"/>
              <w:rPr>
                <w:rFonts w:hAnsi="宋体" w:cs="宋体"/>
                <w:kern w:val="2"/>
                <w:sz w:val="21"/>
                <w:szCs w:val="21"/>
              </w:rPr>
            </w:pPr>
            <w:r>
              <w:rPr>
                <w:rFonts w:hint="eastAsia" w:hAnsi="宋体" w:cs="宋体"/>
                <w:sz w:val="21"/>
                <w:szCs w:val="21"/>
              </w:rPr>
              <w:t>完全不符合招标文件要求或未提及的不得分。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szCs w:val="21"/>
              </w:rPr>
              <w:t>红绿灯改造勘察</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3分</w:t>
            </w:r>
          </w:p>
        </w:tc>
        <w:tc>
          <w:tcPr>
            <w:tcW w:w="6380" w:type="dxa"/>
            <w:vAlign w:val="center"/>
          </w:tcPr>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投标人对项目红绿灯改造升级的点位进行现场勘察、设计，每提供一个路口场景方案得1分，最多得3分。未提供不得分。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szCs w:val="21"/>
              </w:rPr>
              <w:t>交通态势监测服务方案</w:t>
            </w:r>
          </w:p>
        </w:tc>
        <w:tc>
          <w:tcPr>
            <w:tcW w:w="992" w:type="dxa"/>
            <w:vAlign w:val="center"/>
          </w:tcPr>
          <w:p>
            <w:pPr>
              <w:pStyle w:val="18"/>
              <w:spacing w:line="320" w:lineRule="exact"/>
              <w:ind w:firstLine="0"/>
              <w:jc w:val="center"/>
              <w:rPr>
                <w:rFonts w:hAnsi="宋体" w:cs="宋体"/>
                <w:bCs/>
                <w:kern w:val="2"/>
                <w:sz w:val="21"/>
                <w:szCs w:val="21"/>
              </w:rPr>
            </w:pPr>
            <w:r>
              <w:rPr>
                <w:rFonts w:hint="eastAsia" w:hAnsi="宋体" w:cs="宋体"/>
                <w:bCs/>
                <w:sz w:val="21"/>
                <w:szCs w:val="21"/>
              </w:rPr>
              <w:t>7分</w:t>
            </w:r>
          </w:p>
        </w:tc>
        <w:tc>
          <w:tcPr>
            <w:tcW w:w="6380" w:type="dxa"/>
            <w:vAlign w:val="center"/>
          </w:tcPr>
          <w:p>
            <w:pPr>
              <w:spacing w:line="300" w:lineRule="exact"/>
              <w:rPr>
                <w:rFonts w:ascii="宋体" w:hAnsi="宋体" w:eastAsia="宋体" w:cs="宋体"/>
                <w:szCs w:val="21"/>
              </w:rPr>
            </w:pPr>
            <w:r>
              <w:rPr>
                <w:rFonts w:hint="eastAsia" w:ascii="宋体" w:hAnsi="宋体" w:eastAsia="宋体" w:cs="宋体"/>
                <w:szCs w:val="21"/>
              </w:rPr>
              <w:t>投标人提供的项目交通态势监测无人机服务、实施方案，涉及需求的符合程度、系统架构、平台组成、功能实现等方面。</w:t>
            </w:r>
          </w:p>
          <w:p>
            <w:pPr>
              <w:widowControl/>
              <w:jc w:val="left"/>
              <w:rPr>
                <w:rFonts w:ascii="宋体" w:hAnsi="宋体" w:eastAsia="宋体" w:cs="宋体"/>
                <w:szCs w:val="21"/>
              </w:rPr>
            </w:pPr>
            <w:r>
              <w:rPr>
                <w:rFonts w:hint="eastAsia" w:ascii="宋体" w:hAnsi="宋体" w:eastAsia="宋体" w:cs="宋体"/>
                <w:szCs w:val="21"/>
              </w:rPr>
              <w:t>方案阐述详细，与需求相符合，服务配套安全、成熟、可靠的，得7分；</w:t>
            </w:r>
          </w:p>
          <w:p>
            <w:pPr>
              <w:widowControl/>
              <w:jc w:val="left"/>
              <w:rPr>
                <w:rFonts w:ascii="宋体" w:hAnsi="宋体" w:eastAsia="宋体" w:cs="宋体"/>
                <w:szCs w:val="21"/>
              </w:rPr>
            </w:pPr>
            <w:r>
              <w:rPr>
                <w:rFonts w:hint="eastAsia" w:ascii="宋体" w:hAnsi="宋体" w:eastAsia="宋体" w:cs="宋体"/>
                <w:szCs w:val="21"/>
              </w:rPr>
              <w:t>方案阐述较详细，基本符合本项目实际需求的，得4分；</w:t>
            </w:r>
          </w:p>
          <w:p>
            <w:pPr>
              <w:widowControl/>
              <w:jc w:val="left"/>
              <w:rPr>
                <w:rFonts w:ascii="宋体" w:hAnsi="宋体" w:eastAsia="宋体" w:cs="宋体"/>
                <w:szCs w:val="21"/>
              </w:rPr>
            </w:pPr>
            <w:r>
              <w:rPr>
                <w:rFonts w:hint="eastAsia" w:ascii="宋体" w:hAnsi="宋体" w:eastAsia="宋体" w:cs="宋体"/>
                <w:szCs w:val="21"/>
              </w:rPr>
              <w:t>方案阐述简单，相关介绍不详细的，得2分；</w:t>
            </w:r>
          </w:p>
          <w:p>
            <w:pPr>
              <w:widowControl/>
              <w:jc w:val="left"/>
              <w:rPr>
                <w:rFonts w:ascii="宋体" w:hAnsi="宋体" w:eastAsia="宋体" w:cs="宋体"/>
                <w:szCs w:val="21"/>
              </w:rPr>
            </w:pPr>
            <w:r>
              <w:rPr>
                <w:rFonts w:hint="eastAsia" w:ascii="宋体" w:hAnsi="宋体" w:eastAsia="宋体" w:cs="宋体"/>
                <w:szCs w:val="21"/>
              </w:rPr>
              <w:t>完全不符合招标文件要求或未提及的不得分。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szCs w:val="21"/>
              </w:rPr>
              <w:t>项目实施</w:t>
            </w:r>
            <w:r>
              <w:rPr>
                <w:rFonts w:hint="eastAsia" w:ascii="宋体" w:hAnsi="宋体" w:eastAsia="宋体" w:cs="宋体"/>
                <w:spacing w:val="4"/>
                <w:szCs w:val="21"/>
              </w:rPr>
              <w:t>方案</w:t>
            </w:r>
          </w:p>
        </w:tc>
        <w:tc>
          <w:tcPr>
            <w:tcW w:w="992" w:type="dxa"/>
            <w:vAlign w:val="center"/>
          </w:tcPr>
          <w:p>
            <w:pPr>
              <w:pStyle w:val="18"/>
              <w:spacing w:line="320" w:lineRule="exact"/>
              <w:ind w:firstLine="0"/>
              <w:jc w:val="center"/>
              <w:rPr>
                <w:rFonts w:hAnsi="宋体" w:cs="宋体"/>
                <w:bCs/>
                <w:kern w:val="2"/>
                <w:sz w:val="21"/>
                <w:szCs w:val="21"/>
              </w:rPr>
            </w:pPr>
            <w:r>
              <w:rPr>
                <w:rFonts w:hint="eastAsia" w:hAnsi="宋体" w:cs="宋体"/>
                <w:bCs/>
                <w:sz w:val="21"/>
                <w:szCs w:val="21"/>
              </w:rPr>
              <w:t>6分</w:t>
            </w:r>
          </w:p>
        </w:tc>
        <w:tc>
          <w:tcPr>
            <w:tcW w:w="6380" w:type="dxa"/>
            <w:vAlign w:val="center"/>
          </w:tcPr>
          <w:p>
            <w:pPr>
              <w:spacing w:line="300" w:lineRule="exact"/>
              <w:rPr>
                <w:rFonts w:ascii="宋体" w:hAnsi="宋体" w:eastAsia="宋体" w:cs="宋体"/>
                <w:szCs w:val="21"/>
              </w:rPr>
            </w:pPr>
            <w:r>
              <w:rPr>
                <w:rFonts w:hint="eastAsia" w:ascii="宋体" w:hAnsi="宋体" w:eastAsia="宋体" w:cs="宋体"/>
                <w:szCs w:val="21"/>
              </w:rPr>
              <w:t>为本项目实施提供的可靠性、应急等准备工作：</w:t>
            </w:r>
          </w:p>
          <w:p>
            <w:pPr>
              <w:spacing w:line="300" w:lineRule="exact"/>
              <w:rPr>
                <w:rFonts w:ascii="宋体" w:hAnsi="宋体" w:eastAsia="宋体" w:cs="宋体"/>
                <w:szCs w:val="21"/>
              </w:rPr>
            </w:pPr>
            <w:r>
              <w:rPr>
                <w:rFonts w:hint="eastAsia" w:ascii="宋体" w:hAnsi="宋体" w:eastAsia="宋体" w:cs="宋体"/>
                <w:szCs w:val="21"/>
              </w:rPr>
              <w:t>方案明确完善，措施合理可行的得6分；</w:t>
            </w:r>
          </w:p>
          <w:p>
            <w:pPr>
              <w:spacing w:line="300" w:lineRule="exact"/>
              <w:rPr>
                <w:rFonts w:ascii="宋体" w:hAnsi="宋体" w:eastAsia="宋体" w:cs="宋体"/>
                <w:szCs w:val="21"/>
              </w:rPr>
            </w:pPr>
            <w:r>
              <w:rPr>
                <w:rFonts w:hint="eastAsia" w:ascii="宋体" w:hAnsi="宋体" w:eastAsia="宋体" w:cs="宋体"/>
                <w:szCs w:val="21"/>
              </w:rPr>
              <w:t>方案及措施基本可行的得4分；</w:t>
            </w:r>
          </w:p>
          <w:p>
            <w:pPr>
              <w:spacing w:line="300" w:lineRule="exact"/>
              <w:rPr>
                <w:rFonts w:ascii="宋体" w:hAnsi="宋体" w:eastAsia="宋体" w:cs="宋体"/>
                <w:szCs w:val="21"/>
              </w:rPr>
            </w:pPr>
            <w:r>
              <w:rPr>
                <w:rFonts w:hint="eastAsia" w:ascii="宋体" w:hAnsi="宋体" w:eastAsia="宋体" w:cs="宋体"/>
                <w:szCs w:val="21"/>
              </w:rPr>
              <w:t>方案及措施较粗糙，实施起来较困难的得2分。</w:t>
            </w:r>
          </w:p>
          <w:p>
            <w:pPr>
              <w:spacing w:line="300" w:lineRule="exact"/>
              <w:rPr>
                <w:rFonts w:ascii="宋体" w:hAnsi="宋体" w:eastAsia="宋体" w:cs="宋体"/>
                <w:szCs w:val="21"/>
              </w:rPr>
            </w:pPr>
            <w:r>
              <w:rPr>
                <w:rFonts w:hint="eastAsia" w:ascii="宋体" w:hAnsi="宋体" w:eastAsia="宋体" w:cs="宋体"/>
                <w:szCs w:val="21"/>
              </w:rPr>
              <w:t>完全不符合招标文件要求或未提及的不得分。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44" w:type="dxa"/>
            <w:vMerge w:val="continue"/>
          </w:tcPr>
          <w:p>
            <w:pPr>
              <w:pStyle w:val="18"/>
              <w:spacing w:line="320" w:lineRule="exact"/>
              <w:jc w:val="left"/>
              <w:rPr>
                <w:rFonts w:hAnsi="宋体" w:cs="宋体"/>
                <w:bCs/>
                <w:sz w:val="21"/>
                <w:szCs w:val="21"/>
              </w:rPr>
            </w:pPr>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szCs w:val="21"/>
              </w:rPr>
              <w:t>培训方案</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3分</w:t>
            </w:r>
          </w:p>
        </w:tc>
        <w:tc>
          <w:tcPr>
            <w:tcW w:w="6380" w:type="dxa"/>
            <w:vAlign w:val="center"/>
          </w:tcPr>
          <w:p>
            <w:pPr>
              <w:textAlignment w:val="baseline"/>
              <w:rPr>
                <w:rFonts w:ascii="宋体" w:hAnsi="宋体" w:eastAsia="宋体" w:cs="宋体"/>
                <w:kern w:val="0"/>
                <w:szCs w:val="21"/>
              </w:rPr>
            </w:pPr>
            <w:r>
              <w:rPr>
                <w:rFonts w:hint="eastAsia" w:ascii="宋体" w:hAnsi="宋体" w:eastAsia="宋体" w:cs="宋体"/>
                <w:kern w:val="0"/>
                <w:szCs w:val="21"/>
              </w:rPr>
              <w:t>投标人的培训方案、计划、内容的合理性、完整性：</w:t>
            </w:r>
          </w:p>
          <w:p>
            <w:pPr>
              <w:textAlignment w:val="baseline"/>
              <w:rPr>
                <w:rFonts w:ascii="宋体" w:hAnsi="宋体" w:eastAsia="宋体" w:cs="宋体"/>
                <w:kern w:val="0"/>
                <w:szCs w:val="21"/>
              </w:rPr>
            </w:pPr>
            <w:r>
              <w:rPr>
                <w:rFonts w:hint="eastAsia" w:ascii="宋体" w:hAnsi="宋体" w:eastAsia="宋体" w:cs="宋体"/>
                <w:kern w:val="0"/>
                <w:szCs w:val="21"/>
              </w:rPr>
              <w:t>培训方案、计划、内容合理、完整、详细的，得3分；</w:t>
            </w:r>
          </w:p>
          <w:p>
            <w:pPr>
              <w:textAlignment w:val="baseline"/>
              <w:rPr>
                <w:rFonts w:ascii="宋体" w:hAnsi="宋体" w:eastAsia="宋体" w:cs="宋体"/>
                <w:kern w:val="0"/>
                <w:szCs w:val="21"/>
              </w:rPr>
            </w:pPr>
            <w:r>
              <w:rPr>
                <w:rFonts w:hint="eastAsia" w:ascii="宋体" w:hAnsi="宋体" w:eastAsia="宋体" w:cs="宋体"/>
                <w:kern w:val="0"/>
                <w:szCs w:val="21"/>
              </w:rPr>
              <w:t>培训方案、计划、内容较为合理、完整的，得2分；</w:t>
            </w:r>
          </w:p>
          <w:p>
            <w:pPr>
              <w:textAlignment w:val="baseline"/>
              <w:rPr>
                <w:rFonts w:ascii="宋体" w:hAnsi="宋体" w:eastAsia="宋体" w:cs="宋体"/>
                <w:kern w:val="0"/>
                <w:szCs w:val="21"/>
              </w:rPr>
            </w:pPr>
            <w:r>
              <w:rPr>
                <w:rFonts w:hint="eastAsia" w:ascii="宋体" w:hAnsi="宋体" w:eastAsia="宋体" w:cs="宋体"/>
                <w:kern w:val="0"/>
                <w:szCs w:val="21"/>
              </w:rPr>
              <w:t>培训方案、计划、内容有缺失不够完整的，得1分；</w:t>
            </w:r>
          </w:p>
          <w:p>
            <w:pPr>
              <w:spacing w:line="300" w:lineRule="exact"/>
              <w:rPr>
                <w:rFonts w:ascii="宋体" w:hAnsi="宋体" w:eastAsia="宋体" w:cs="宋体"/>
                <w:szCs w:val="21"/>
              </w:rPr>
            </w:pPr>
            <w:r>
              <w:rPr>
                <w:rFonts w:hint="eastAsia" w:ascii="宋体" w:hAnsi="宋体" w:eastAsia="宋体" w:cs="宋体"/>
                <w:kern w:val="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4" w:type="dxa"/>
            <w:vMerge w:val="continue"/>
            <w:vAlign w:val="center"/>
          </w:tcPr>
          <w:p>
            <w:pPr>
              <w:spacing w:line="320" w:lineRule="exact"/>
              <w:jc w:val="center"/>
              <w:rPr>
                <w:rFonts w:ascii="宋体" w:hAnsi="宋体" w:eastAsia="宋体" w:cs="宋体"/>
                <w:szCs w:val="21"/>
              </w:rPr>
            </w:pPr>
            <w:bookmarkStart w:id="5" w:name="_GoBack" w:colFirst="3" w:colLast="3"/>
          </w:p>
        </w:tc>
        <w:tc>
          <w:tcPr>
            <w:tcW w:w="1134" w:type="dxa"/>
            <w:vAlign w:val="center"/>
          </w:tcPr>
          <w:p>
            <w:pPr>
              <w:spacing w:line="320" w:lineRule="exact"/>
              <w:jc w:val="left"/>
              <w:rPr>
                <w:rFonts w:ascii="宋体" w:hAnsi="宋体" w:eastAsia="宋体" w:cs="宋体"/>
                <w:szCs w:val="21"/>
              </w:rPr>
            </w:pPr>
            <w:r>
              <w:rPr>
                <w:rFonts w:hint="eastAsia" w:ascii="宋体" w:hAnsi="宋体" w:eastAsia="宋体" w:cs="宋体"/>
                <w:szCs w:val="21"/>
              </w:rPr>
              <w:t>重难点阐述</w:t>
            </w:r>
            <w:r>
              <w:rPr>
                <w:rFonts w:hint="eastAsia" w:ascii="宋体" w:hAnsi="宋体" w:eastAsia="宋体" w:cs="宋体"/>
                <w:spacing w:val="4"/>
                <w:szCs w:val="21"/>
              </w:rPr>
              <w:t>及解决方案</w:t>
            </w:r>
          </w:p>
        </w:tc>
        <w:tc>
          <w:tcPr>
            <w:tcW w:w="992" w:type="dxa"/>
            <w:vAlign w:val="center"/>
          </w:tcPr>
          <w:p>
            <w:pPr>
              <w:pStyle w:val="18"/>
              <w:spacing w:line="320" w:lineRule="exact"/>
              <w:ind w:firstLine="0"/>
              <w:jc w:val="center"/>
              <w:rPr>
                <w:rFonts w:hAnsi="宋体" w:cs="宋体"/>
                <w:bCs/>
                <w:kern w:val="2"/>
                <w:sz w:val="21"/>
                <w:szCs w:val="21"/>
              </w:rPr>
            </w:pPr>
            <w:r>
              <w:rPr>
                <w:rFonts w:hint="eastAsia" w:hAnsi="宋体" w:cs="宋体"/>
                <w:bCs/>
                <w:sz w:val="21"/>
                <w:szCs w:val="21"/>
              </w:rPr>
              <w:t>6分</w:t>
            </w:r>
          </w:p>
        </w:tc>
        <w:tc>
          <w:tcPr>
            <w:tcW w:w="6380" w:type="dxa"/>
            <w:vAlign w:val="center"/>
          </w:tcPr>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投标人提供的项目重难点阐述，从有效性、可行性、对本项目实施的有利程度及优化程度，运维实施中的一体化保障能力：</w:t>
            </w:r>
          </w:p>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投标人的阐述分析合理可靠、描述完整详细，具备一体化实施运维能力保障的，得6分；</w:t>
            </w:r>
          </w:p>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投标人提出的分析较合理可靠、描述较详细，综合实施运维保障能力一般，得4分；</w:t>
            </w:r>
          </w:p>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投标人提出的分析基本合理、描述简单、综合实施运维保障能力较差的，得2分；</w:t>
            </w:r>
          </w:p>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 xml:space="preserve">未提供不得分。 </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2378" w:type="dxa"/>
            <w:gridSpan w:val="2"/>
            <w:vAlign w:val="center"/>
          </w:tcPr>
          <w:p>
            <w:pPr>
              <w:spacing w:line="320" w:lineRule="exact"/>
              <w:jc w:val="center"/>
              <w:rPr>
                <w:rFonts w:ascii="宋体" w:hAnsi="宋体" w:eastAsia="宋体" w:cs="宋体"/>
                <w:szCs w:val="21"/>
              </w:rPr>
            </w:pPr>
            <w:r>
              <w:rPr>
                <w:rFonts w:hint="eastAsia" w:ascii="宋体" w:hAnsi="宋体" w:eastAsia="宋体" w:cs="宋体"/>
                <w:kern w:val="0"/>
                <w:szCs w:val="21"/>
              </w:rPr>
              <w:t>价格得分</w:t>
            </w:r>
            <w:r>
              <w:rPr>
                <w:rFonts w:hint="eastAsia" w:ascii="宋体" w:hAnsi="宋体" w:eastAsia="宋体" w:cs="宋体"/>
                <w:szCs w:val="21"/>
              </w:rPr>
              <w:t>（10分）</w:t>
            </w:r>
          </w:p>
        </w:tc>
        <w:tc>
          <w:tcPr>
            <w:tcW w:w="992" w:type="dxa"/>
            <w:vAlign w:val="center"/>
          </w:tcPr>
          <w:p>
            <w:pPr>
              <w:pStyle w:val="18"/>
              <w:spacing w:line="320" w:lineRule="exact"/>
              <w:ind w:firstLine="0"/>
              <w:jc w:val="center"/>
              <w:rPr>
                <w:rFonts w:hAnsi="宋体" w:cs="宋体"/>
                <w:bCs/>
                <w:sz w:val="21"/>
                <w:szCs w:val="21"/>
              </w:rPr>
            </w:pPr>
            <w:r>
              <w:rPr>
                <w:rFonts w:hint="eastAsia" w:hAnsi="宋体" w:cs="宋体"/>
                <w:bCs/>
                <w:sz w:val="21"/>
                <w:szCs w:val="21"/>
              </w:rPr>
              <w:t>10分</w:t>
            </w:r>
          </w:p>
        </w:tc>
        <w:tc>
          <w:tcPr>
            <w:tcW w:w="6380" w:type="dxa"/>
            <w:vAlign w:val="center"/>
          </w:tcPr>
          <w:p>
            <w:pPr>
              <w:widowControl/>
              <w:rPr>
                <w:rFonts w:ascii="宋体" w:hAnsi="宋体" w:eastAsia="宋体" w:cs="宋体"/>
                <w:kern w:val="0"/>
                <w:szCs w:val="21"/>
              </w:rPr>
            </w:pPr>
            <w:r>
              <w:rPr>
                <w:rFonts w:hint="eastAsia" w:ascii="宋体" w:hAnsi="宋体" w:eastAsia="宋体" w:cs="宋体"/>
                <w:kern w:val="0"/>
                <w:szCs w:val="21"/>
              </w:rPr>
              <w:t>价格得分=投标总报价（8分）+ 信号灯、标志、标线配套设施清单整体下浮率(2分)。</w:t>
            </w:r>
          </w:p>
          <w:p>
            <w:pPr>
              <w:widowControl/>
              <w:rPr>
                <w:rFonts w:ascii="宋体" w:hAnsi="宋体" w:eastAsia="宋体" w:cs="宋体"/>
                <w:kern w:val="0"/>
                <w:szCs w:val="21"/>
              </w:rPr>
            </w:pPr>
            <w:r>
              <w:rPr>
                <w:rFonts w:hint="eastAsia" w:ascii="宋体" w:hAnsi="宋体" w:eastAsia="宋体" w:cs="宋体"/>
                <w:kern w:val="0"/>
                <w:szCs w:val="21"/>
              </w:rPr>
              <w:t>1.投标总报价得分（8分）：满足投标文件要求且投标报价最低的为评标基准价，其价格分为满分，其他投标人的价格分按下列公式计算：得分＝（评标基准价/投标报价）×8%×100。</w:t>
            </w:r>
          </w:p>
          <w:p>
            <w:pPr>
              <w:pStyle w:val="18"/>
              <w:adjustRightInd w:val="0"/>
              <w:snapToGrid w:val="0"/>
              <w:spacing w:line="320" w:lineRule="exact"/>
              <w:ind w:firstLine="0"/>
              <w:jc w:val="left"/>
              <w:rPr>
                <w:rFonts w:hAnsi="宋体" w:cs="宋体"/>
                <w:sz w:val="21"/>
                <w:szCs w:val="21"/>
              </w:rPr>
            </w:pPr>
            <w:r>
              <w:rPr>
                <w:rFonts w:hint="eastAsia" w:hAnsi="宋体" w:cs="宋体"/>
                <w:sz w:val="21"/>
                <w:szCs w:val="21"/>
              </w:rPr>
              <w:t>2.信号灯、标志、标线配套设施清单整体下浮率得分：下浮率最高的为评标基准价，其价格分为满分，其他投标人的价格分按下列公式计算：得分＝（ 下浮率/最高下浮率）×2%×100。</w:t>
            </w:r>
          </w:p>
        </w:tc>
      </w:tr>
    </w:tbl>
    <w:p>
      <w:pPr>
        <w:tabs>
          <w:tab w:val="left" w:pos="1020"/>
        </w:tabs>
        <w:spacing w:line="360" w:lineRule="auto"/>
        <w:ind w:right="-341"/>
        <w:jc w:val="left"/>
        <w:rPr>
          <w:rFonts w:ascii="Times New Roman" w:hAnsi="Times New Roman" w:eastAsia="黑体" w:cs="Times New Roman"/>
          <w:sz w:val="30"/>
        </w:rPr>
      </w:pPr>
      <w:r>
        <w:rPr>
          <w:rFonts w:hint="eastAsia" w:ascii="宋体" w:hAnsi="宋体" w:eastAsia="宋体"/>
          <w:b/>
          <w:bCs/>
          <w:sz w:val="24"/>
          <w:szCs w:val="24"/>
        </w:rPr>
        <w:t>注：以联合体形式参与投标的，联合体双方均可进行评审。</w:t>
      </w:r>
    </w:p>
    <w:p>
      <w:pPr>
        <w:rPr>
          <w:rFonts w:ascii="Times New Roman" w:hAnsi="Times New Roman" w:eastAsia="黑体" w:cs="Times New Roman"/>
          <w:sz w:val="30"/>
        </w:rPr>
      </w:pPr>
      <w:r>
        <w:rPr>
          <w:rFonts w:hint="eastAsia" w:ascii="Times New Roman" w:hAnsi="Times New Roman" w:eastAsia="黑体" w:cs="Times New Roman"/>
          <w:sz w:val="30"/>
        </w:rPr>
        <w:br w:type="page"/>
      </w:r>
    </w:p>
    <w:p>
      <w:pPr>
        <w:spacing w:line="440" w:lineRule="exact"/>
        <w:jc w:val="center"/>
        <w:rPr>
          <w:rFonts w:ascii="Times New Roman" w:hAnsi="Times New Roman" w:eastAsia="黑体" w:cs="Times New Roman"/>
          <w:sz w:val="30"/>
        </w:rPr>
      </w:pPr>
      <w:r>
        <w:rPr>
          <w:rFonts w:hint="eastAsia" w:ascii="Times New Roman" w:hAnsi="Times New Roman" w:eastAsia="黑体" w:cs="Times New Roman"/>
          <w:sz w:val="30"/>
        </w:rPr>
        <w:t>第五章合同主要条款</w:t>
      </w:r>
      <w:bookmarkEnd w:id="0"/>
    </w:p>
    <w:p>
      <w:pPr>
        <w:pStyle w:val="84"/>
      </w:pPr>
    </w:p>
    <w:p>
      <w:pPr>
        <w:snapToGrid w:val="0"/>
        <w:jc w:val="center"/>
        <w:textAlignment w:val="baseline"/>
        <w:rPr>
          <w:b/>
          <w:sz w:val="28"/>
        </w:rPr>
      </w:pPr>
      <w:r>
        <w:rPr>
          <w:rFonts w:hint="eastAsia"/>
          <w:b/>
          <w:sz w:val="28"/>
        </w:rPr>
        <w:t>采购合同</w:t>
      </w:r>
      <w:r>
        <w:rPr>
          <w:b/>
          <w:sz w:val="28"/>
        </w:rPr>
        <w:t>(</w:t>
      </w:r>
      <w:r>
        <w:rPr>
          <w:rFonts w:hint="eastAsia"/>
          <w:b/>
          <w:sz w:val="28"/>
        </w:rPr>
        <w:t>仅供参考</w:t>
      </w:r>
      <w:r>
        <w:rPr>
          <w:b/>
          <w:sz w:val="28"/>
        </w:rPr>
        <w:t>)</w:t>
      </w:r>
    </w:p>
    <w:p>
      <w:pPr>
        <w:spacing w:line="288" w:lineRule="auto"/>
        <w:rPr>
          <w:rFonts w:ascii="宋体" w:hAnsi="宋体"/>
        </w:rPr>
      </w:pPr>
    </w:p>
    <w:p>
      <w:pPr>
        <w:spacing w:line="288" w:lineRule="auto"/>
        <w:rPr>
          <w:rFonts w:ascii="宋体" w:hAnsi="宋体"/>
        </w:rPr>
      </w:pPr>
    </w:p>
    <w:p>
      <w:pPr>
        <w:spacing w:line="288" w:lineRule="auto"/>
        <w:jc w:val="center"/>
        <w:rPr>
          <w:rFonts w:ascii="宋体" w:hAnsi="宋体" w:eastAsia="宋体" w:cs="宋体"/>
          <w:b/>
          <w:szCs w:val="21"/>
        </w:rPr>
      </w:pPr>
      <w:r>
        <w:rPr>
          <w:rFonts w:hint="eastAsia" w:ascii="Times New Roman" w:hAnsi="Times New Roman" w:eastAsia="宋体" w:cs="Times New Roman"/>
          <w:b/>
          <w:szCs w:val="21"/>
        </w:rPr>
        <w:t>2023年本岛红绿灯维修、保养和优化提升项目</w:t>
      </w:r>
      <w:r>
        <w:rPr>
          <w:rFonts w:hint="eastAsia" w:ascii="宋体" w:hAnsi="宋体" w:eastAsia="宋体" w:cs="宋体"/>
          <w:b/>
          <w:szCs w:val="21"/>
        </w:rPr>
        <w:t>合同（范本）</w:t>
      </w:r>
    </w:p>
    <w:p>
      <w:pPr>
        <w:spacing w:before="156" w:after="156" w:line="360" w:lineRule="auto"/>
        <w:ind w:left="420" w:leftChars="200" w:right="150" w:firstLine="474"/>
        <w:rPr>
          <w:rFonts w:ascii="宋体" w:hAnsi="宋体" w:eastAsia="宋体" w:cs="宋体"/>
          <w:b/>
          <w:bCs/>
          <w:szCs w:val="21"/>
        </w:rPr>
      </w:pPr>
      <w:r>
        <w:rPr>
          <w:rFonts w:hint="eastAsia" w:ascii="宋体" w:hAnsi="宋体" w:eastAsia="宋体" w:cs="宋体"/>
          <w:b/>
          <w:bCs/>
          <w:szCs w:val="21"/>
        </w:rPr>
        <w:t>招标文件、中标人的投标文件及其澄清文件等，均为签订合同的依据。</w:t>
      </w:r>
    </w:p>
    <w:p>
      <w:pPr>
        <w:spacing w:afterLines="100"/>
        <w:ind w:firstLine="420"/>
        <w:rPr>
          <w:rFonts w:ascii="宋体" w:hAnsi="宋体" w:eastAsia="宋体" w:cs="Times New Roman"/>
        </w:rPr>
      </w:pPr>
      <w:r>
        <w:rPr>
          <w:rFonts w:hint="eastAsia" w:ascii="宋体" w:hAnsi="宋体" w:eastAsia="宋体" w:cs="Times New Roman"/>
        </w:rPr>
        <w:t>甲方：</w:t>
      </w:r>
    </w:p>
    <w:p>
      <w:pPr>
        <w:pStyle w:val="26"/>
      </w:pPr>
      <w:r>
        <w:rPr>
          <w:rFonts w:hint="eastAsia"/>
        </w:rPr>
        <w:t>乙方：</w:t>
      </w:r>
    </w:p>
    <w:p>
      <w:pPr>
        <w:spacing w:line="360" w:lineRule="auto"/>
        <w:ind w:firstLine="436" w:firstLineChars="200"/>
        <w:rPr>
          <w:rFonts w:ascii="宋体" w:hAnsi="宋体" w:eastAsia="宋体" w:cs="宋体"/>
          <w:spacing w:val="4"/>
          <w:szCs w:val="21"/>
        </w:rPr>
      </w:pPr>
    </w:p>
    <w:p>
      <w:pPr>
        <w:spacing w:line="360" w:lineRule="auto"/>
        <w:ind w:firstLine="436" w:firstLineChars="200"/>
        <w:rPr>
          <w:rFonts w:ascii="宋体" w:hAnsi="宋体" w:eastAsia="宋体" w:cs="宋体"/>
          <w:spacing w:val="4"/>
          <w:szCs w:val="21"/>
        </w:rPr>
      </w:pPr>
      <w:r>
        <w:rPr>
          <w:rFonts w:hint="eastAsia" w:ascii="宋体" w:hAnsi="宋体" w:eastAsia="宋体" w:cs="宋体"/>
          <w:spacing w:val="4"/>
          <w:szCs w:val="21"/>
        </w:rPr>
        <w:t>甲方对进行公开招标。经评审小组评定并最终审核通过，确定乙方为本项采购项目的中标人。甲乙双方根据《中华人民共和国政府采购法》、《中华人民共和国民法典》等相关法律法规及本项目招标文件的规定，双方经平等协商达成一致意见，订立本合同。</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一、合同文件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下列文件构成本合同的组成部分：</w:t>
      </w:r>
    </w:p>
    <w:p>
      <w:pPr>
        <w:adjustRightInd w:val="0"/>
        <w:spacing w:line="360" w:lineRule="auto"/>
        <w:ind w:firstLine="420" w:firstLineChars="200"/>
        <w:textAlignment w:val="baseline"/>
        <w:rPr>
          <w:rFonts w:ascii="宋体" w:hAnsi="宋体" w:eastAsia="宋体" w:cs="宋体"/>
          <w:szCs w:val="21"/>
        </w:rPr>
      </w:pPr>
      <w:r>
        <w:rPr>
          <w:rFonts w:hint="eastAsia" w:ascii="宋体" w:hAnsi="宋体" w:eastAsia="宋体" w:cs="宋体"/>
          <w:szCs w:val="21"/>
        </w:rPr>
        <w:t>1.招标文件</w:t>
      </w:r>
    </w:p>
    <w:p>
      <w:pPr>
        <w:adjustRightInd w:val="0"/>
        <w:spacing w:line="360" w:lineRule="auto"/>
        <w:ind w:firstLine="420" w:firstLineChars="200"/>
        <w:textAlignment w:val="baseline"/>
        <w:rPr>
          <w:rFonts w:ascii="宋体" w:hAnsi="宋体" w:eastAsia="宋体" w:cs="宋体"/>
          <w:szCs w:val="21"/>
        </w:rPr>
      </w:pPr>
      <w:r>
        <w:rPr>
          <w:rFonts w:hint="eastAsia" w:ascii="宋体" w:hAnsi="宋体" w:eastAsia="宋体" w:cs="宋体"/>
          <w:szCs w:val="21"/>
        </w:rPr>
        <w:t>2.中标文件</w:t>
      </w:r>
    </w:p>
    <w:p>
      <w:pPr>
        <w:adjustRightInd w:val="0"/>
        <w:spacing w:line="360" w:lineRule="auto"/>
        <w:ind w:firstLine="420" w:firstLineChars="200"/>
        <w:textAlignment w:val="baseline"/>
        <w:rPr>
          <w:rFonts w:ascii="宋体" w:hAnsi="宋体" w:eastAsia="宋体" w:cs="宋体"/>
          <w:szCs w:val="21"/>
        </w:rPr>
      </w:pPr>
      <w:r>
        <w:rPr>
          <w:rFonts w:hint="eastAsia" w:ascii="宋体" w:hAnsi="宋体" w:eastAsia="宋体" w:cs="宋体"/>
          <w:szCs w:val="21"/>
        </w:rPr>
        <w:t>3.相关补充文件</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二、合同内容</w:t>
      </w:r>
    </w:p>
    <w:p>
      <w:pPr>
        <w:spacing w:line="360" w:lineRule="auto"/>
        <w:ind w:firstLine="420" w:firstLineChars="200"/>
        <w:rPr>
          <w:rFonts w:ascii="宋体" w:hAnsi="宋体" w:eastAsia="宋体" w:cs="宋体"/>
          <w:bCs/>
          <w:szCs w:val="21"/>
          <w:u w:val="single"/>
        </w:rPr>
      </w:pPr>
      <w:r>
        <w:rPr>
          <w:rFonts w:hint="eastAsia" w:ascii="宋体" w:hAnsi="宋体" w:eastAsia="宋体" w:cs="宋体"/>
          <w:bCs/>
          <w:szCs w:val="21"/>
        </w:rPr>
        <w:t>1．服务内容及要求：</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2．人员要求：</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w:t>
      </w:r>
      <w:r>
        <w:rPr>
          <w:rFonts w:ascii="宋体" w:hAnsi="宋体" w:eastAsia="宋体" w:cs="宋体"/>
          <w:bCs/>
          <w:szCs w:val="21"/>
        </w:rPr>
        <w:t>．</w:t>
      </w:r>
      <w:r>
        <w:rPr>
          <w:rFonts w:hint="eastAsia" w:ascii="宋体" w:hAnsi="宋体" w:eastAsia="宋体" w:cs="宋体"/>
          <w:bCs/>
          <w:szCs w:val="21"/>
        </w:rPr>
        <w:t>质量保证期</w:t>
      </w:r>
      <w:r>
        <w:rPr>
          <w:rFonts w:ascii="宋体" w:hAnsi="宋体" w:eastAsia="宋体" w:cs="宋体"/>
          <w:bCs/>
          <w:szCs w:val="21"/>
        </w:rPr>
        <w:t>：</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w:t>
      </w:r>
      <w:r>
        <w:rPr>
          <w:rFonts w:ascii="宋体" w:hAnsi="宋体" w:eastAsia="宋体" w:cs="宋体"/>
          <w:bCs/>
          <w:szCs w:val="21"/>
        </w:rPr>
        <w:t>．</w:t>
      </w:r>
      <w:r>
        <w:rPr>
          <w:rFonts w:hint="eastAsia" w:ascii="宋体" w:hAnsi="宋体" w:eastAsia="宋体" w:cs="宋体"/>
          <w:bCs/>
          <w:szCs w:val="21"/>
        </w:rPr>
        <w:t>工期</w:t>
      </w:r>
      <w:r>
        <w:rPr>
          <w:rFonts w:ascii="宋体" w:hAnsi="宋体" w:eastAsia="宋体" w:cs="宋体"/>
          <w:bCs/>
          <w:szCs w:val="21"/>
        </w:rPr>
        <w:t>要求：</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w:t>
      </w:r>
      <w:r>
        <w:rPr>
          <w:rFonts w:ascii="宋体" w:hAnsi="宋体" w:eastAsia="宋体" w:cs="宋体"/>
          <w:bCs/>
          <w:szCs w:val="21"/>
        </w:rPr>
        <w:t>．</w:t>
      </w:r>
      <w:r>
        <w:rPr>
          <w:rFonts w:hint="eastAsia" w:ascii="宋体" w:hAnsi="宋体" w:eastAsia="宋体" w:cs="宋体"/>
          <w:bCs/>
          <w:szCs w:val="21"/>
        </w:rPr>
        <w:t>验收要求</w:t>
      </w:r>
      <w:r>
        <w:rPr>
          <w:rFonts w:ascii="宋体" w:hAnsi="宋体" w:eastAsia="宋体" w:cs="宋体"/>
          <w:bCs/>
          <w:szCs w:val="21"/>
        </w:rPr>
        <w:t>：</w:t>
      </w:r>
    </w:p>
    <w:p>
      <w:pPr>
        <w:spacing w:line="360" w:lineRule="auto"/>
        <w:ind w:firstLine="420" w:firstLineChars="200"/>
        <w:rPr>
          <w:rFonts w:ascii="宋体" w:hAnsi="宋体" w:eastAsia="宋体" w:cs="宋体"/>
          <w:bCs/>
          <w:szCs w:val="21"/>
          <w:u w:val="single"/>
        </w:rPr>
      </w:pPr>
      <w:r>
        <w:rPr>
          <w:rFonts w:hint="eastAsia" w:ascii="宋体" w:hAnsi="宋体" w:eastAsia="宋体" w:cs="宋体"/>
          <w:bCs/>
          <w:szCs w:val="21"/>
        </w:rPr>
        <w:t>6</w:t>
      </w:r>
      <w:r>
        <w:rPr>
          <w:rFonts w:ascii="宋体" w:hAnsi="宋体" w:eastAsia="宋体" w:cs="宋体"/>
          <w:bCs/>
          <w:szCs w:val="21"/>
        </w:rPr>
        <w:t>．</w:t>
      </w:r>
      <w:r>
        <w:rPr>
          <w:rFonts w:hint="eastAsia" w:ascii="宋体" w:hAnsi="宋体" w:eastAsia="宋体" w:cs="宋体"/>
          <w:bCs/>
          <w:szCs w:val="21"/>
        </w:rPr>
        <w:t>其他</w:t>
      </w:r>
      <w:r>
        <w:rPr>
          <w:rFonts w:ascii="宋体" w:hAnsi="宋体" w:eastAsia="宋体" w:cs="宋体"/>
          <w:bCs/>
          <w:szCs w:val="21"/>
        </w:rPr>
        <w:t>要求：</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三、合同总额（价格明细详见附件）</w:t>
      </w:r>
    </w:p>
    <w:p>
      <w:pPr>
        <w:spacing w:line="360" w:lineRule="auto"/>
        <w:ind w:firstLine="436" w:firstLineChars="200"/>
        <w:rPr>
          <w:rFonts w:ascii="宋体" w:hAnsi="宋体" w:eastAsia="宋体" w:cs="宋体"/>
          <w:szCs w:val="21"/>
        </w:rPr>
      </w:pPr>
      <w:r>
        <w:rPr>
          <w:rFonts w:hint="eastAsia" w:ascii="宋体" w:hAnsi="宋体" w:eastAsia="宋体" w:cs="宋体"/>
          <w:spacing w:val="4"/>
          <w:szCs w:val="21"/>
        </w:rPr>
        <w:t>本项目的</w:t>
      </w:r>
      <w:r>
        <w:rPr>
          <w:rFonts w:hint="eastAsia" w:ascii="宋体" w:hAnsi="宋体" w:eastAsia="宋体" w:cs="宋体"/>
          <w:szCs w:val="21"/>
        </w:rPr>
        <w:t xml:space="preserve">合同总额为元人民币（含税）。 </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四、付款方式</w:t>
      </w:r>
    </w:p>
    <w:p>
      <w:pPr>
        <w:pStyle w:val="26"/>
        <w:ind w:firstLine="420" w:firstLineChars="200"/>
      </w:pPr>
      <w:r>
        <w:rPr>
          <w:rFonts w:hint="eastAsia"/>
        </w:rPr>
        <w:t>按招标文件要求：</w:t>
      </w:r>
    </w:p>
    <w:p>
      <w:pPr>
        <w:pStyle w:val="26"/>
        <w:ind w:firstLine="420" w:firstLineChars="200"/>
      </w:pPr>
      <w:r>
        <w:rPr>
          <w:rFonts w:hint="eastAsia"/>
        </w:rPr>
        <w:t>由甲方决定是否需要提供预付款担保</w:t>
      </w:r>
      <w:r>
        <w:t>(预付款担保形式可以是银行保函、担保公司担保等)。</w:t>
      </w:r>
    </w:p>
    <w:p>
      <w:pPr>
        <w:spacing w:before="25" w:line="312" w:lineRule="auto"/>
        <w:ind w:left="420"/>
        <w:rPr>
          <w:rFonts w:ascii="宋体" w:hAnsi="宋体" w:eastAsia="宋体" w:cs="Times New Roman"/>
        </w:rPr>
      </w:pPr>
      <w:r>
        <w:rPr>
          <w:rFonts w:hint="eastAsia" w:ascii="宋体" w:hAnsi="宋体" w:eastAsia="宋体" w:cs="Times New Roman"/>
        </w:rPr>
        <w:t>本合同以人民币进行结算。</w:t>
      </w:r>
    </w:p>
    <w:p>
      <w:pPr>
        <w:spacing w:before="25" w:line="312" w:lineRule="auto"/>
        <w:ind w:left="420"/>
      </w:pPr>
      <w:r>
        <w:rPr>
          <w:rFonts w:hint="eastAsia" w:ascii="宋体" w:hAnsi="宋体" w:eastAsia="宋体" w:cs="Times New Roman"/>
        </w:rPr>
        <w:t>注：以联合体投标的，联合体成员可各自与甲方进行结算。</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五、追加设备或服务处理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在本合同履行过程中，甲方有权对合同中所列的设备及服务予以增加（不超过本合同金额的10%），但不对单价或其他的条款作任何改变。</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六、违约责任</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1.除因不可抗力，如自然灾害，重大灾难或政府法令的原因以外，双方不得违背合同，如有一方违约，另一方可要求赔偿损失。</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2.甲乙双方需按本合同的各项条款履行义务或提供服务，若其中一方违反本合同约定的内容，应对相关事宜负责，对违约所造成的后果负责，并负相关法律责任，且承担由此而造成的经济损失。</w:t>
      </w:r>
    </w:p>
    <w:p>
      <w:pPr>
        <w:snapToGrid w:val="0"/>
        <w:spacing w:line="360" w:lineRule="auto"/>
        <w:ind w:firstLine="420" w:firstLineChars="200"/>
        <w:rPr>
          <w:rFonts w:ascii="宋体" w:hAnsi="宋体" w:eastAsia="宋体" w:cs="宋体"/>
          <w:bCs/>
          <w:szCs w:val="21"/>
        </w:rPr>
      </w:pPr>
      <w:r>
        <w:rPr>
          <w:rFonts w:hint="eastAsia" w:ascii="宋体" w:hAnsi="宋体" w:eastAsia="宋体" w:cs="宋体"/>
          <w:bCs/>
          <w:szCs w:val="21"/>
        </w:rPr>
        <w:t>3.如果甲、乙双方任意一方不能够遵守和执行本合同条款，守约方保留终止合同的权利，违约方还应赔偿给守约方因为不能执行合同而带来的损失。因乙方违约造成甲方损失的，甲方有权向乙方索赔。</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七、争议的解决</w:t>
      </w:r>
    </w:p>
    <w:p>
      <w:pPr>
        <w:spacing w:line="360" w:lineRule="auto"/>
        <w:ind w:firstLine="420" w:firstLineChars="200"/>
        <w:rPr>
          <w:rFonts w:ascii="宋体" w:hAnsi="宋体" w:eastAsia="宋体" w:cs="宋体"/>
          <w:szCs w:val="21"/>
        </w:rPr>
      </w:pPr>
      <w:r>
        <w:rPr>
          <w:rFonts w:hint="eastAsia" w:ascii="宋体" w:hAnsi="宋体" w:eastAsia="宋体" w:cs="宋体"/>
          <w:szCs w:val="21"/>
        </w:rPr>
        <w:t>1.甲乙双方应通过友好协商，解决在执行本合同中所发生的或与本合同有关的一切争端，如果协商得不到解决，任何一方均可按《中华人民共和国民法典》规定提交诉讼，诉讼应在甲方所在地进行。</w:t>
      </w:r>
    </w:p>
    <w:p>
      <w:pPr>
        <w:spacing w:line="360" w:lineRule="auto"/>
        <w:ind w:firstLine="420" w:firstLineChars="200"/>
        <w:rPr>
          <w:rFonts w:ascii="宋体" w:hAnsi="宋体" w:eastAsia="宋体" w:cs="宋体"/>
          <w:szCs w:val="21"/>
        </w:rPr>
      </w:pPr>
      <w:r>
        <w:rPr>
          <w:rFonts w:hint="eastAsia" w:ascii="宋体" w:hAnsi="宋体" w:eastAsia="宋体" w:cs="宋体"/>
          <w:szCs w:val="21"/>
        </w:rPr>
        <w:t>2.诉讼费应由败诉方负担。</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八、合同修改</w:t>
      </w:r>
    </w:p>
    <w:p>
      <w:pPr>
        <w:spacing w:line="360" w:lineRule="auto"/>
        <w:ind w:firstLine="420" w:firstLineChars="200"/>
        <w:rPr>
          <w:rFonts w:ascii="宋体" w:hAnsi="宋体" w:eastAsia="宋体" w:cs="宋体"/>
          <w:szCs w:val="21"/>
        </w:rPr>
      </w:pPr>
      <w:r>
        <w:rPr>
          <w:rFonts w:hint="eastAsia" w:ascii="宋体" w:hAnsi="宋体" w:eastAsia="宋体" w:cs="宋体"/>
          <w:szCs w:val="21"/>
        </w:rPr>
        <w:t>合同条款的任何改动，均须由合同签署双方签署合同修改书或合同补充协议。该合同修改或补充被视为本合同的组成部分，具有与本合同同等法律效力。</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九、不可抗力的处理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eastAsia="宋体" w:cs="宋体"/>
          <w:szCs w:val="21"/>
        </w:rPr>
      </w:pPr>
      <w:r>
        <w:rPr>
          <w:rFonts w:hint="eastAsia" w:ascii="宋体" w:hAnsi="宋体" w:eastAsia="宋体" w:cs="宋体"/>
          <w:szCs w:val="21"/>
        </w:rPr>
        <w:t>2．不可抗力事件发生后，应立即通知对方，并寄送有关权威机构出具的证明。</w:t>
      </w:r>
    </w:p>
    <w:p>
      <w:pPr>
        <w:spacing w:line="360" w:lineRule="auto"/>
        <w:ind w:firstLine="420" w:firstLineChars="200"/>
        <w:rPr>
          <w:rFonts w:ascii="宋体" w:hAnsi="宋体" w:eastAsia="宋体" w:cs="宋体"/>
          <w:szCs w:val="21"/>
        </w:rPr>
      </w:pPr>
      <w:r>
        <w:rPr>
          <w:rFonts w:hint="eastAsia" w:ascii="宋体" w:hAnsi="宋体" w:eastAsia="宋体" w:cs="宋体"/>
          <w:szCs w:val="21"/>
        </w:rPr>
        <w:t>3．不可抗力事件延续120天以上，双方应通过友好协商，确定是否继续履行合同。</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十、适用法律</w:t>
      </w:r>
    </w:p>
    <w:p>
      <w:pPr>
        <w:spacing w:line="360" w:lineRule="auto"/>
        <w:ind w:firstLine="420" w:firstLineChars="200"/>
        <w:rPr>
          <w:rFonts w:ascii="宋体" w:hAnsi="宋体" w:eastAsia="宋体" w:cs="宋体"/>
          <w:szCs w:val="21"/>
        </w:rPr>
      </w:pPr>
      <w:r>
        <w:rPr>
          <w:rFonts w:hint="eastAsia" w:ascii="宋体" w:hAnsi="宋体" w:eastAsia="宋体" w:cs="宋体"/>
          <w:szCs w:val="21"/>
        </w:rPr>
        <w:t>甲乙双方所订立的合同应按照中华人民共和国的法律进行解释。</w:t>
      </w:r>
    </w:p>
    <w:p>
      <w:pPr>
        <w:spacing w:line="360" w:lineRule="auto"/>
        <w:ind w:firstLine="422" w:firstLineChars="200"/>
        <w:rPr>
          <w:rFonts w:ascii="宋体" w:hAnsi="宋体" w:eastAsia="宋体" w:cs="宋体"/>
          <w:szCs w:val="21"/>
        </w:rPr>
      </w:pPr>
      <w:r>
        <w:rPr>
          <w:rFonts w:hint="eastAsia" w:ascii="宋体" w:hAnsi="宋体" w:eastAsia="宋体" w:cs="宋体"/>
          <w:b/>
          <w:szCs w:val="21"/>
        </w:rPr>
        <w:t>十一、合同生效及其它</w:t>
      </w:r>
    </w:p>
    <w:p>
      <w:pPr>
        <w:spacing w:line="360" w:lineRule="auto"/>
        <w:ind w:firstLine="420" w:firstLineChars="200"/>
        <w:rPr>
          <w:rFonts w:ascii="宋体" w:hAnsi="宋体" w:eastAsia="宋体" w:cs="宋体"/>
          <w:szCs w:val="21"/>
        </w:rPr>
      </w:pPr>
      <w:r>
        <w:rPr>
          <w:rFonts w:hint="eastAsia" w:ascii="宋体" w:hAnsi="宋体" w:eastAsia="宋体" w:cs="宋体"/>
          <w:szCs w:val="21"/>
        </w:rPr>
        <w:t>1.合同经双方法定代表人或授权委托代理人签字并加盖单位公章后生效。</w:t>
      </w:r>
    </w:p>
    <w:p>
      <w:pPr>
        <w:spacing w:line="360" w:lineRule="auto"/>
        <w:ind w:firstLine="420" w:firstLineChars="200"/>
        <w:rPr>
          <w:rFonts w:ascii="宋体" w:hAnsi="宋体" w:eastAsia="宋体" w:cs="宋体"/>
          <w:szCs w:val="21"/>
        </w:rPr>
      </w:pPr>
      <w:r>
        <w:rPr>
          <w:rFonts w:hint="eastAsia" w:ascii="宋体" w:hAnsi="宋体" w:eastAsia="宋体" w:cs="宋体"/>
          <w:szCs w:val="21"/>
        </w:rPr>
        <w:t>2.合同执行中涉及采购资金和采购内容修改或补充的，须经财政部门审批，并签书面补充协议报财政部门备案，方可作为主合同不可分割的一部分。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3.本合同未尽事宜，遵照《中华人民共和国民法典》有关条文执行。</w:t>
      </w:r>
    </w:p>
    <w:p>
      <w:pPr>
        <w:spacing w:line="312" w:lineRule="auto"/>
        <w:ind w:left="420" w:leftChars="200"/>
        <w:rPr>
          <w:rFonts w:ascii="宋体" w:hAnsi="Times New Roman" w:eastAsia="宋体" w:cs="Times New Roman"/>
        </w:rPr>
      </w:pPr>
      <w:r>
        <w:rPr>
          <w:rFonts w:hint="eastAsia" w:ascii="宋体" w:hAnsi="宋体" w:eastAsia="宋体" w:cs="Times New Roman"/>
        </w:rPr>
        <w:t>4.本合同壹式叁份，甲、乙双方及代理机构各执壹份，具有同等的法律效力。</w:t>
      </w:r>
    </w:p>
    <w:p>
      <w:pPr>
        <w:spacing w:line="312" w:lineRule="auto"/>
        <w:rPr>
          <w:rFonts w:ascii="宋体" w:hAnsi="宋体" w:eastAsia="宋体" w:cs="Times New Roman"/>
        </w:rPr>
      </w:pPr>
    </w:p>
    <w:p>
      <w:pPr>
        <w:spacing w:line="312" w:lineRule="auto"/>
        <w:ind w:firstLine="420" w:firstLineChars="200"/>
        <w:rPr>
          <w:rFonts w:ascii="宋体" w:hAnsi="Times New Roman" w:eastAsia="宋体" w:cs="Times New Roman"/>
        </w:rPr>
      </w:pPr>
      <w:r>
        <w:rPr>
          <w:rFonts w:hint="eastAsia" w:ascii="宋体" w:hAnsi="宋体" w:eastAsia="宋体" w:cs="Times New Roman"/>
        </w:rPr>
        <w:t>甲方：                    乙方：</w:t>
      </w:r>
    </w:p>
    <w:p>
      <w:pPr>
        <w:spacing w:line="312" w:lineRule="auto"/>
        <w:ind w:firstLine="420" w:firstLineChars="200"/>
        <w:rPr>
          <w:rFonts w:ascii="宋体" w:hAnsi="Times New Roman" w:eastAsia="宋体" w:cs="Times New Roman"/>
        </w:rPr>
      </w:pPr>
      <w:r>
        <w:rPr>
          <w:rFonts w:hint="eastAsia" w:ascii="宋体" w:hAnsi="宋体" w:eastAsia="宋体" w:cs="Times New Roman"/>
        </w:rPr>
        <w:t>地址：                    地址：</w:t>
      </w:r>
    </w:p>
    <w:p>
      <w:pPr>
        <w:spacing w:line="312" w:lineRule="auto"/>
        <w:ind w:firstLine="420" w:firstLineChars="200"/>
        <w:rPr>
          <w:rFonts w:ascii="宋体" w:hAnsi="Times New Roman" w:eastAsia="宋体" w:cs="Times New Roman"/>
        </w:rPr>
      </w:pPr>
      <w:r>
        <w:rPr>
          <w:rFonts w:hint="eastAsia" w:ascii="宋体" w:hAnsi="宋体" w:eastAsia="宋体" w:cs="Times New Roman"/>
        </w:rPr>
        <w:t>法人代表：                法人代表：</w:t>
      </w:r>
    </w:p>
    <w:p>
      <w:pPr>
        <w:spacing w:line="312" w:lineRule="auto"/>
        <w:ind w:firstLine="420" w:firstLineChars="200"/>
        <w:rPr>
          <w:rFonts w:ascii="宋体" w:hAnsi="Times New Roman" w:eastAsia="宋体" w:cs="Times New Roman"/>
        </w:rPr>
      </w:pPr>
      <w:r>
        <w:rPr>
          <w:rFonts w:hint="eastAsia" w:ascii="宋体" w:hAnsi="宋体" w:eastAsia="宋体" w:cs="Times New Roman"/>
        </w:rPr>
        <w:t>电话：                    电话：</w:t>
      </w:r>
    </w:p>
    <w:p>
      <w:pPr>
        <w:spacing w:line="312" w:lineRule="auto"/>
        <w:ind w:firstLine="420" w:firstLineChars="200"/>
        <w:rPr>
          <w:rFonts w:ascii="宋体" w:hAnsi="Times New Roman" w:eastAsia="宋体" w:cs="Times New Roman"/>
        </w:rPr>
      </w:pPr>
      <w:r>
        <w:rPr>
          <w:rFonts w:hint="eastAsia" w:ascii="宋体" w:hAnsi="宋体" w:eastAsia="宋体" w:cs="Times New Roman"/>
        </w:rPr>
        <w:t>电传：                    电传：</w:t>
      </w:r>
    </w:p>
    <w:p>
      <w:pPr>
        <w:spacing w:line="312" w:lineRule="auto"/>
        <w:ind w:firstLine="420" w:firstLineChars="200"/>
        <w:rPr>
          <w:rFonts w:ascii="宋体" w:hAnsi="Times New Roman" w:eastAsia="宋体" w:cs="Times New Roman"/>
        </w:rPr>
      </w:pPr>
      <w:r>
        <w:rPr>
          <w:rFonts w:hint="eastAsia" w:ascii="宋体" w:hAnsi="宋体" w:eastAsia="宋体" w:cs="Times New Roman"/>
        </w:rPr>
        <w:t>邮政编码：                邮政编码：</w:t>
      </w:r>
    </w:p>
    <w:p>
      <w:pPr>
        <w:spacing w:line="312" w:lineRule="auto"/>
        <w:ind w:firstLine="420" w:firstLineChars="200"/>
        <w:rPr>
          <w:rFonts w:ascii="宋体" w:hAnsi="Times New Roman" w:eastAsia="宋体" w:cs="Times New Roman"/>
        </w:rPr>
      </w:pPr>
      <w:r>
        <w:rPr>
          <w:rFonts w:hint="eastAsia" w:ascii="宋体" w:hAnsi="宋体" w:eastAsia="宋体" w:cs="Times New Roman"/>
        </w:rPr>
        <w:t>开户银行：                开户银行：</w:t>
      </w:r>
    </w:p>
    <w:p>
      <w:pPr>
        <w:spacing w:line="312" w:lineRule="auto"/>
        <w:ind w:firstLine="420" w:firstLineChars="200"/>
        <w:rPr>
          <w:rFonts w:ascii="宋体" w:hAnsi="Times New Roman" w:eastAsia="宋体" w:cs="Times New Roman"/>
        </w:rPr>
      </w:pPr>
      <w:r>
        <w:rPr>
          <w:rFonts w:hint="eastAsia" w:ascii="Times New Roman" w:hAnsi="Times New Roman" w:eastAsia="宋体" w:cs="Times New Roman"/>
        </w:rPr>
        <w:t>帐号：帐号：</w:t>
      </w:r>
    </w:p>
    <w:p>
      <w:pPr>
        <w:spacing w:line="312" w:lineRule="auto"/>
        <w:ind w:firstLine="420" w:firstLineChars="200"/>
        <w:rPr>
          <w:rFonts w:ascii="宋体" w:hAnsi="宋体" w:eastAsia="宋体" w:cs="Times New Roman"/>
        </w:rPr>
      </w:pPr>
      <w:r>
        <w:rPr>
          <w:rFonts w:hint="eastAsia" w:ascii="宋体" w:hAnsi="宋体" w:eastAsia="宋体" w:cs="Times New Roman"/>
        </w:rPr>
        <w:t>日期：                    日期：</w:t>
      </w:r>
    </w:p>
    <w:p>
      <w:pPr>
        <w:jc w:val="left"/>
        <w:rPr>
          <w:rFonts w:ascii="Calibri" w:hAnsi="Calibri" w:eastAsia="宋体" w:cs="Times New Roman"/>
          <w:kern w:val="21"/>
          <w:szCs w:val="21"/>
        </w:rPr>
      </w:pPr>
    </w:p>
    <w:p>
      <w:pPr>
        <w:widowControl/>
        <w:jc w:val="left"/>
        <w:rPr>
          <w:rFonts w:ascii="黑体" w:hAnsi="宋体" w:eastAsia="黑体" w:cs="Times New Roman"/>
          <w:sz w:val="30"/>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附：维保记录表：</w:t>
      </w:r>
    </w:p>
    <w:p>
      <w:pPr>
        <w:rPr>
          <w:rFonts w:ascii="宋体" w:hAnsi="宋体" w:eastAsia="宋体" w:cs="Times New Roman"/>
          <w:sz w:val="24"/>
          <w:szCs w:val="24"/>
        </w:rPr>
      </w:pPr>
    </w:p>
    <w:tbl>
      <w:tblPr>
        <w:tblStyle w:val="72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707"/>
        <w:gridCol w:w="708"/>
        <w:gridCol w:w="707"/>
        <w:gridCol w:w="708"/>
        <w:gridCol w:w="1112"/>
        <w:gridCol w:w="1560"/>
        <w:gridCol w:w="1417"/>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bottom w:val="single" w:color="auto" w:sz="4" w:space="0"/>
            </w:tcBorders>
          </w:tcPr>
          <w:p>
            <w:pPr>
              <w:jc w:val="center"/>
              <w:rPr>
                <w:rFonts w:ascii="宋体" w:hAnsi="宋体" w:eastAsia="宋体" w:cs="Times New Roman"/>
                <w:szCs w:val="21"/>
              </w:rPr>
            </w:pPr>
            <w:r>
              <w:rPr>
                <w:rFonts w:ascii="宋体" w:hAnsi="宋体" w:eastAsia="宋体" w:cs="Times New Roman"/>
                <w:szCs w:val="21"/>
              </w:rPr>
              <w:t>序号</w:t>
            </w:r>
          </w:p>
        </w:tc>
        <w:tc>
          <w:tcPr>
            <w:tcW w:w="707" w:type="dxa"/>
          </w:tcPr>
          <w:p>
            <w:pPr>
              <w:jc w:val="center"/>
              <w:rPr>
                <w:rFonts w:ascii="宋体" w:hAnsi="宋体" w:eastAsia="宋体" w:cs="Times New Roman"/>
                <w:szCs w:val="21"/>
              </w:rPr>
            </w:pPr>
            <w:r>
              <w:rPr>
                <w:rFonts w:ascii="宋体" w:hAnsi="宋体" w:eastAsia="宋体" w:cs="Times New Roman"/>
                <w:szCs w:val="21"/>
              </w:rPr>
              <w:t>开始时间</w:t>
            </w:r>
          </w:p>
        </w:tc>
        <w:tc>
          <w:tcPr>
            <w:tcW w:w="708" w:type="dxa"/>
          </w:tcPr>
          <w:p>
            <w:pPr>
              <w:jc w:val="center"/>
              <w:rPr>
                <w:rFonts w:ascii="宋体" w:hAnsi="宋体" w:eastAsia="宋体" w:cs="Times New Roman"/>
                <w:szCs w:val="21"/>
              </w:rPr>
            </w:pPr>
            <w:r>
              <w:rPr>
                <w:rFonts w:ascii="宋体" w:hAnsi="宋体" w:eastAsia="宋体" w:cs="Times New Roman"/>
                <w:szCs w:val="21"/>
              </w:rPr>
              <w:t>结束时间</w:t>
            </w:r>
          </w:p>
        </w:tc>
        <w:tc>
          <w:tcPr>
            <w:tcW w:w="707" w:type="dxa"/>
          </w:tcPr>
          <w:p>
            <w:pPr>
              <w:jc w:val="center"/>
              <w:rPr>
                <w:rFonts w:ascii="宋体" w:hAnsi="宋体" w:eastAsia="宋体" w:cs="Times New Roman"/>
                <w:szCs w:val="21"/>
              </w:rPr>
            </w:pPr>
            <w:r>
              <w:rPr>
                <w:rFonts w:hint="eastAsia" w:ascii="宋体" w:hAnsi="宋体" w:eastAsia="宋体" w:cs="Times New Roman"/>
                <w:szCs w:val="21"/>
              </w:rPr>
              <w:t>服务人员</w:t>
            </w:r>
          </w:p>
        </w:tc>
        <w:tc>
          <w:tcPr>
            <w:tcW w:w="708" w:type="dxa"/>
          </w:tcPr>
          <w:p>
            <w:pPr>
              <w:jc w:val="center"/>
              <w:rPr>
                <w:rFonts w:ascii="宋体" w:hAnsi="宋体" w:eastAsia="宋体" w:cs="Times New Roman"/>
                <w:szCs w:val="21"/>
              </w:rPr>
            </w:pPr>
            <w:r>
              <w:rPr>
                <w:rFonts w:ascii="宋体" w:hAnsi="宋体" w:eastAsia="宋体" w:cs="Times New Roman"/>
                <w:szCs w:val="21"/>
              </w:rPr>
              <w:t>服务人数</w:t>
            </w:r>
          </w:p>
        </w:tc>
        <w:tc>
          <w:tcPr>
            <w:tcW w:w="1112" w:type="dxa"/>
          </w:tcPr>
          <w:p>
            <w:pPr>
              <w:jc w:val="center"/>
              <w:rPr>
                <w:rFonts w:ascii="宋体" w:hAnsi="宋体" w:eastAsia="宋体" w:cs="Times New Roman"/>
                <w:szCs w:val="21"/>
              </w:rPr>
            </w:pPr>
            <w:r>
              <w:rPr>
                <w:rFonts w:ascii="宋体" w:hAnsi="宋体" w:eastAsia="宋体" w:cs="Times New Roman"/>
                <w:szCs w:val="21"/>
              </w:rPr>
              <w:t>服务地点</w:t>
            </w:r>
          </w:p>
        </w:tc>
        <w:tc>
          <w:tcPr>
            <w:tcW w:w="1560" w:type="dxa"/>
          </w:tcPr>
          <w:p>
            <w:pPr>
              <w:ind w:firstLine="210" w:firstLineChars="100"/>
              <w:rPr>
                <w:rFonts w:ascii="宋体" w:hAnsi="宋体" w:eastAsia="宋体" w:cs="Times New Roman"/>
                <w:szCs w:val="21"/>
              </w:rPr>
            </w:pPr>
            <w:r>
              <w:rPr>
                <w:rFonts w:ascii="宋体" w:hAnsi="宋体" w:eastAsia="宋体" w:cs="Times New Roman"/>
                <w:szCs w:val="21"/>
              </w:rPr>
              <w:t>服务内容</w:t>
            </w:r>
          </w:p>
        </w:tc>
        <w:tc>
          <w:tcPr>
            <w:tcW w:w="1417" w:type="dxa"/>
          </w:tcPr>
          <w:p>
            <w:pPr>
              <w:jc w:val="center"/>
              <w:rPr>
                <w:rFonts w:ascii="宋体" w:hAnsi="宋体" w:eastAsia="宋体" w:cs="Times New Roman"/>
                <w:szCs w:val="21"/>
              </w:rPr>
            </w:pPr>
            <w:r>
              <w:rPr>
                <w:rFonts w:ascii="宋体" w:hAnsi="宋体" w:eastAsia="宋体" w:cs="Times New Roman"/>
                <w:szCs w:val="21"/>
              </w:rPr>
              <w:t>服务结果</w:t>
            </w:r>
          </w:p>
        </w:tc>
        <w:tc>
          <w:tcPr>
            <w:tcW w:w="709" w:type="dxa"/>
          </w:tcPr>
          <w:p>
            <w:pPr>
              <w:jc w:val="center"/>
              <w:rPr>
                <w:rFonts w:ascii="宋体" w:hAnsi="宋体" w:eastAsia="宋体" w:cs="Times New Roman"/>
                <w:szCs w:val="21"/>
              </w:rPr>
            </w:pPr>
            <w:r>
              <w:rPr>
                <w:rFonts w:ascii="宋体" w:hAnsi="宋体" w:eastAsia="宋体" w:cs="Times New Roman"/>
                <w:szCs w:val="21"/>
              </w:rPr>
              <w:t>人员签名</w:t>
            </w:r>
          </w:p>
        </w:tc>
        <w:tc>
          <w:tcPr>
            <w:tcW w:w="709" w:type="dxa"/>
          </w:tcPr>
          <w:p>
            <w:pPr>
              <w:jc w:val="center"/>
              <w:rPr>
                <w:rFonts w:ascii="宋体" w:hAnsi="宋体" w:eastAsia="宋体" w:cs="Times New Roman"/>
                <w:szCs w:val="21"/>
              </w:rPr>
            </w:pPr>
            <w:r>
              <w:rPr>
                <w:rFonts w:ascii="宋体" w:hAnsi="宋体" w:eastAsia="宋体" w:cs="Times New Roman"/>
                <w:szCs w:val="21"/>
              </w:rPr>
              <w:t>监督人员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tcBorders>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707" w:type="dxa"/>
          </w:tcPr>
          <w:p>
            <w:pPr>
              <w:spacing w:line="360" w:lineRule="auto"/>
              <w:rPr>
                <w:rFonts w:ascii="宋体" w:hAnsi="宋体" w:eastAsia="宋体" w:cs="Times New Roman"/>
                <w:szCs w:val="21"/>
              </w:rPr>
            </w:pPr>
          </w:p>
        </w:tc>
        <w:tc>
          <w:tcPr>
            <w:tcW w:w="708" w:type="dxa"/>
          </w:tcPr>
          <w:p>
            <w:pPr>
              <w:spacing w:line="360" w:lineRule="auto"/>
              <w:rPr>
                <w:rFonts w:ascii="宋体" w:hAnsi="宋体" w:eastAsia="宋体" w:cs="Times New Roman"/>
                <w:szCs w:val="21"/>
              </w:rPr>
            </w:pPr>
          </w:p>
        </w:tc>
        <w:tc>
          <w:tcPr>
            <w:tcW w:w="1112"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417"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c>
          <w:tcPr>
            <w:tcW w:w="709" w:type="dxa"/>
          </w:tcPr>
          <w:p>
            <w:pPr>
              <w:spacing w:line="360" w:lineRule="auto"/>
              <w:rPr>
                <w:rFonts w:ascii="宋体" w:hAnsi="宋体" w:eastAsia="宋体" w:cs="Times New Roman"/>
                <w:szCs w:val="21"/>
              </w:rPr>
            </w:pPr>
          </w:p>
        </w:tc>
      </w:tr>
    </w:tbl>
    <w:p>
      <w:pPr>
        <w:rPr>
          <w:rFonts w:ascii="宋体" w:hAnsi="宋体" w:eastAsia="宋体" w:cs="Times New Roman"/>
          <w:sz w:val="24"/>
          <w:szCs w:val="24"/>
        </w:rPr>
      </w:pPr>
    </w:p>
    <w:p>
      <w:pPr>
        <w:rPr>
          <w:rFonts w:ascii="宋体" w:hAnsi="宋体" w:eastAsia="宋体" w:cs="Times New Roman"/>
          <w:sz w:val="24"/>
          <w:szCs w:val="24"/>
        </w:rPr>
      </w:pPr>
    </w:p>
    <w:p>
      <w:pPr>
        <w:widowControl/>
        <w:jc w:val="left"/>
        <w:rPr>
          <w:rFonts w:ascii="Times New Roman" w:hAnsi="Times New Roman" w:eastAsia="宋体" w:cs="Times New Roman"/>
          <w:szCs w:val="21"/>
        </w:rPr>
      </w:pPr>
    </w:p>
    <w:p>
      <w:pPr>
        <w:rPr>
          <w:rFonts w:ascii="宋体" w:hAnsi="宋体" w:eastAsia="宋体" w:cs="宋体"/>
          <w:szCs w:val="21"/>
        </w:rPr>
      </w:pPr>
    </w:p>
    <w:p>
      <w:pPr>
        <w:widowControl/>
        <w:jc w:val="left"/>
        <w:rPr>
          <w:rFonts w:ascii="Times New Roman" w:hAnsi="Times New Roman" w:eastAsia="宋体" w:cs="Times New Roman"/>
          <w:szCs w:val="21"/>
        </w:rPr>
      </w:pPr>
    </w:p>
    <w:p>
      <w:pPr>
        <w:snapToGrid w:val="0"/>
        <w:spacing w:line="260" w:lineRule="exact"/>
        <w:rPr>
          <w:rFonts w:ascii="宋体" w:hAnsi="宋体" w:eastAsia="宋体" w:cs="Times New Roman"/>
          <w:szCs w:val="21"/>
        </w:rPr>
      </w:pPr>
      <w:bookmarkStart w:id="4" w:name="_Hlk118299836"/>
    </w:p>
    <w:p>
      <w:pPr>
        <w:pStyle w:val="18"/>
        <w:rPr>
          <w:rFonts w:hAnsi="宋体"/>
          <w:szCs w:val="21"/>
        </w:rPr>
      </w:pPr>
    </w:p>
    <w:p/>
    <w:p>
      <w:pPr>
        <w:pStyle w:val="84"/>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r>
        <w:rPr>
          <w:rFonts w:ascii="宋体" w:hAnsi="宋体" w:eastAsia="宋体" w:cs="Times New Roman"/>
          <w:szCs w:val="21"/>
        </w:rPr>
        <w:t>信贷政策</w:t>
      </w:r>
    </w:p>
    <w:p>
      <w:pPr>
        <w:spacing w:line="260" w:lineRule="exact"/>
        <w:ind w:firstLine="420" w:firstLineChars="200"/>
        <w:rPr>
          <w:rFonts w:ascii="宋体" w:hAnsi="宋体" w:eastAsia="宋体" w:cs="Times New Roman"/>
          <w:szCs w:val="21"/>
        </w:rPr>
      </w:pPr>
      <w:r>
        <w:rPr>
          <w:rFonts w:ascii="宋体" w:hAnsi="宋体" w:eastAsia="宋体" w:cs="Times New Roman"/>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pPr>
        <w:spacing w:line="240" w:lineRule="exact"/>
        <w:contextualSpacing/>
        <w:rPr>
          <w:rFonts w:ascii="宋体" w:hAnsi="宋体" w:eastAsia="宋体" w:cs="Times New Roman"/>
          <w:sz w:val="24"/>
          <w:szCs w:val="20"/>
        </w:rPr>
      </w:pPr>
    </w:p>
    <w:tbl>
      <w:tblPr>
        <w:tblStyle w:val="62"/>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975"/>
        <w:gridCol w:w="222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563" w:type="dxa"/>
            <w:gridSpan w:val="4"/>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46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银行名称</w:t>
            </w:r>
          </w:p>
        </w:tc>
        <w:tc>
          <w:tcPr>
            <w:tcW w:w="3975"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各银行介绍的产品特点</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经办人</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中国工商银行股份有限公司舟山分行</w:t>
            </w:r>
          </w:p>
        </w:tc>
        <w:tc>
          <w:tcPr>
            <w:tcW w:w="3975" w:type="dxa"/>
          </w:tcPr>
          <w:p>
            <w:pPr>
              <w:numPr>
                <w:ilvl w:val="0"/>
                <w:numId w:val="12"/>
              </w:numPr>
              <w:spacing w:line="240" w:lineRule="exact"/>
              <w:contextualSpacing/>
              <w:rPr>
                <w:rFonts w:ascii="宋体" w:hAnsi="宋体" w:eastAsia="宋体" w:cs="仿宋_GB2312"/>
                <w:szCs w:val="21"/>
              </w:rPr>
            </w:pPr>
            <w:r>
              <w:rPr>
                <w:rFonts w:hint="eastAsia" w:ascii="宋体" w:hAnsi="宋体" w:eastAsia="宋体" w:cs="仿宋_GB2312"/>
                <w:szCs w:val="21"/>
              </w:rPr>
              <w:t>融资额度高，融资金额最高可至订单金额70%，线上申请，随借随还。2.融资利率低，最低可至当期LPR利率。</w:t>
            </w:r>
          </w:p>
          <w:p>
            <w:pPr>
              <w:spacing w:line="240" w:lineRule="exact"/>
              <w:contextualSpacing/>
              <w:rPr>
                <w:rFonts w:ascii="宋体" w:hAnsi="宋体" w:eastAsia="宋体" w:cs="Times New Roman"/>
                <w:szCs w:val="21"/>
              </w:rPr>
            </w:pPr>
            <w:r>
              <w:rPr>
                <w:rFonts w:hint="eastAsia" w:ascii="宋体" w:hAnsi="宋体" w:eastAsia="宋体" w:cs="仿宋_GB2312"/>
                <w:szCs w:val="21"/>
              </w:rPr>
              <w:t>3.担保方式灵活，以政府采购合同进行融资，无需另外抵押。</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柳超颖</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中国建设银行股份有限公司舟山分行</w:t>
            </w:r>
          </w:p>
        </w:tc>
        <w:tc>
          <w:tcPr>
            <w:tcW w:w="3975" w:type="dxa"/>
          </w:tcPr>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快速便捷：全流程线上操作，通过浙江省政府采购网数据审核信用额度，建行供应链平台快速放款。</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申请额度高：单笔融资额度最高可达政府采购合同金额的90%，单户额度最高可达3000万。</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无需额外抵押：以浙江省政府采购网备案公示的政府采购合同进行融资，无需额外抵押担保。</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利率优惠：给予流动资金贷款最优惠利率。</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普陀片区：蔡妮妮</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定海片区：杨莹</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自贸区片区：方晓</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普陀片区：13957201791</w:t>
            </w:r>
          </w:p>
          <w:p>
            <w:pPr>
              <w:spacing w:line="240" w:lineRule="exact"/>
              <w:contextualSpacing/>
              <w:rPr>
                <w:rFonts w:ascii="宋体" w:hAnsi="宋体" w:eastAsia="宋体" w:cs="Times New Roman"/>
                <w:szCs w:val="21"/>
              </w:rPr>
            </w:pPr>
            <w:r>
              <w:rPr>
                <w:rFonts w:hint="eastAsia" w:ascii="宋体" w:hAnsi="宋体" w:eastAsia="宋体" w:cs="Times New Roman"/>
                <w:szCs w:val="21"/>
              </w:rPr>
              <w:t>定海片区：13655803997</w:t>
            </w:r>
          </w:p>
          <w:p>
            <w:pPr>
              <w:spacing w:line="240" w:lineRule="exact"/>
              <w:contextualSpacing/>
              <w:rPr>
                <w:rFonts w:ascii="宋体" w:hAnsi="宋体" w:eastAsia="宋体" w:cs="Times New Roman"/>
                <w:szCs w:val="21"/>
              </w:rPr>
            </w:pPr>
            <w:r>
              <w:rPr>
                <w:rFonts w:hint="eastAsia" w:ascii="宋体" w:hAnsi="宋体" w:eastAsia="宋体" w:cs="Times New Roman"/>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杭州银行股份有限公司舟山市分行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方经理</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招商银行股份有限公司浙江自贸试验区舟山分行</w:t>
            </w:r>
          </w:p>
        </w:tc>
        <w:tc>
          <w:tcPr>
            <w:tcW w:w="3975" w:type="dxa"/>
          </w:tcPr>
          <w:p>
            <w:pPr>
              <w:spacing w:line="240" w:lineRule="exact"/>
              <w:rPr>
                <w:rFonts w:ascii="宋体" w:hAnsi="宋体" w:eastAsia="宋体" w:cs="Times New Roman"/>
                <w:szCs w:val="21"/>
              </w:rPr>
            </w:pPr>
            <w:r>
              <w:rPr>
                <w:rFonts w:hint="eastAsia" w:ascii="宋体" w:hAnsi="宋体" w:eastAsia="宋体" w:cs="仿宋_GB2312"/>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李玲</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温州银行股份有限公司舟山市分行</w:t>
            </w:r>
          </w:p>
        </w:tc>
        <w:tc>
          <w:tcPr>
            <w:tcW w:w="3975" w:type="dxa"/>
          </w:tcPr>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单户授信敞口最高不超过1000万元，且最高额度核定一般不超过借款人（含实际控制人控制的其他经营实体）最近13个月合计有效中标合同金额的70%。</w:t>
            </w:r>
          </w:p>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符合我行采购人资质的，且负债率不超75%，配合应收账款质押登记确认的，并可出具确认函，单笔借款额度可按不超过采购合同的90%办理。</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郑贤栋</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交通银行股份有限公司舟山分行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仿宋_GB2312"/>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宋体" w:hAnsi="宋体" w:eastAsia="宋体" w:cs="Times New Roman"/>
                <w:szCs w:val="21"/>
              </w:rPr>
              <w:t>PR</w:t>
            </w:r>
            <w:r>
              <w:rPr>
                <w:rFonts w:ascii="宋体" w:hAnsi="宋体" w:eastAsia="宋体" w:cs="Times New Roman"/>
                <w:szCs w:val="21"/>
              </w:rPr>
              <w:t>。</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赵争艳</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0580-2260728</w:t>
            </w:r>
          </w:p>
          <w:p>
            <w:pPr>
              <w:spacing w:line="240" w:lineRule="exact"/>
              <w:contextualSpacing/>
              <w:rPr>
                <w:rFonts w:ascii="宋体" w:hAnsi="宋体" w:eastAsia="宋体" w:cs="Times New Roman"/>
                <w:szCs w:val="21"/>
              </w:rPr>
            </w:pPr>
            <w:r>
              <w:rPr>
                <w:rFonts w:hint="eastAsia" w:ascii="宋体" w:hAnsi="宋体" w:eastAsia="宋体" w:cs="Times New Roman"/>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240" w:lineRule="exact"/>
              <w:contextualSpacing/>
              <w:jc w:val="center"/>
              <w:rPr>
                <w:rFonts w:ascii="宋体" w:hAnsi="宋体" w:eastAsia="宋体" w:cs="Times New Roman"/>
                <w:szCs w:val="21"/>
              </w:rPr>
            </w:pPr>
            <w:r>
              <w:rPr>
                <w:rFonts w:ascii="宋体" w:hAnsi="宋体" w:eastAsia="宋体" w:cs="Times New Roman"/>
                <w:szCs w:val="21"/>
              </w:rPr>
              <w:t>黄丽</w:t>
            </w:r>
          </w:p>
        </w:tc>
        <w:tc>
          <w:tcPr>
            <w:tcW w:w="1908" w:type="dxa"/>
            <w:vAlign w:val="center"/>
          </w:tcPr>
          <w:p>
            <w:pPr>
              <w:spacing w:line="240" w:lineRule="exact"/>
              <w:contextualSpacing/>
              <w:rPr>
                <w:rFonts w:ascii="宋体" w:hAnsi="宋体" w:eastAsia="宋体" w:cs="Times New Roman"/>
                <w:szCs w:val="21"/>
              </w:rPr>
            </w:pPr>
            <w:r>
              <w:rPr>
                <w:rFonts w:ascii="宋体" w:hAnsi="宋体" w:eastAsia="宋体" w:cs="Times New Roman"/>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泰隆银行舟山市分行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胡亢宇</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中国农业银行股份有限公司舟山分行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苏华瞻</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中国邮政储蓄银行股份有限公司舟山市分行</w:t>
            </w:r>
          </w:p>
        </w:tc>
        <w:tc>
          <w:tcPr>
            <w:tcW w:w="3975" w:type="dxa"/>
          </w:tcPr>
          <w:p>
            <w:pPr>
              <w:tabs>
                <w:tab w:val="left" w:pos="0"/>
              </w:tabs>
              <w:spacing w:line="240" w:lineRule="exact"/>
              <w:rPr>
                <w:rFonts w:ascii="宋体" w:hAnsi="宋体" w:eastAsia="宋体" w:cs="Times New Roman"/>
                <w:szCs w:val="21"/>
              </w:rPr>
            </w:pPr>
            <w:r>
              <w:rPr>
                <w:rFonts w:hint="eastAsia" w:ascii="宋体" w:hAnsi="宋体" w:eastAsia="宋体" w:cs="Times New Roman"/>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蒋志燕</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13732527321</w:t>
            </w:r>
          </w:p>
        </w:tc>
      </w:tr>
      <w:bookmarkEnd w:id="4"/>
    </w:tbl>
    <w:p>
      <w:pPr>
        <w:spacing w:line="260" w:lineRule="exact"/>
        <w:ind w:firstLine="555"/>
        <w:rPr>
          <w:rFonts w:ascii="宋体" w:hAnsi="宋体" w:eastAsia="宋体" w:cs="Times New Roman"/>
          <w:szCs w:val="21"/>
        </w:rPr>
      </w:pPr>
      <w:r>
        <w:rPr>
          <w:rFonts w:ascii="宋体" w:hAnsi="宋体" w:eastAsia="宋体" w:cs="Times New Roman"/>
          <w:szCs w:val="21"/>
        </w:rPr>
        <w:t>2.一般步骤</w:t>
      </w:r>
    </w:p>
    <w:p>
      <w:pPr>
        <w:spacing w:line="260" w:lineRule="exact"/>
        <w:ind w:firstLine="555"/>
        <w:rPr>
          <w:rFonts w:ascii="宋体" w:hAnsi="宋体" w:eastAsia="宋体" w:cs="Times New Roman"/>
          <w:szCs w:val="21"/>
        </w:rPr>
      </w:pPr>
      <w:r>
        <w:rPr>
          <w:rFonts w:ascii="宋体" w:hAnsi="宋体" w:eastAsia="宋体" w:cs="Times New Roman"/>
          <w:szCs w:val="21"/>
        </w:rPr>
        <w:t>（1）供应商先与银行对接，办理融资前期手续；</w:t>
      </w:r>
    </w:p>
    <w:p>
      <w:pPr>
        <w:spacing w:line="260" w:lineRule="exact"/>
        <w:ind w:firstLine="555"/>
        <w:rPr>
          <w:rFonts w:ascii="宋体" w:hAnsi="宋体" w:eastAsia="宋体" w:cs="Times New Roman"/>
          <w:szCs w:val="21"/>
        </w:rPr>
      </w:pPr>
      <w:r>
        <w:rPr>
          <w:rFonts w:ascii="宋体" w:hAnsi="宋体" w:eastAsia="宋体" w:cs="Times New Roman"/>
          <w:szCs w:val="21"/>
        </w:rPr>
        <w:t>（2）供应商中标后，凭中标通知书等材料，向相关合作银行发出融资申请；</w:t>
      </w:r>
    </w:p>
    <w:p>
      <w:pPr>
        <w:spacing w:line="260" w:lineRule="exact"/>
        <w:ind w:firstLine="555"/>
        <w:rPr>
          <w:rFonts w:ascii="宋体" w:hAnsi="宋体" w:eastAsia="宋体" w:cs="Times New Roman"/>
          <w:szCs w:val="21"/>
        </w:rPr>
      </w:pPr>
      <w:r>
        <w:rPr>
          <w:rFonts w:ascii="宋体" w:hAnsi="宋体" w:eastAsia="宋体" w:cs="Times New Roman"/>
          <w:szCs w:val="21"/>
        </w:rPr>
        <w:t>（3）银行、供应商线</w:t>
      </w:r>
      <w:r>
        <w:rPr>
          <w:rFonts w:hint="eastAsia" w:ascii="宋体" w:hAnsi="宋体" w:eastAsia="宋体" w:cs="Times New Roman"/>
          <w:szCs w:val="21"/>
        </w:rPr>
        <w:t>上</w:t>
      </w:r>
      <w:r>
        <w:rPr>
          <w:rFonts w:ascii="宋体" w:hAnsi="宋体" w:eastAsia="宋体" w:cs="Times New Roman"/>
          <w:szCs w:val="21"/>
        </w:rPr>
        <w:t>办理审批、放贷事宜。</w:t>
      </w:r>
    </w:p>
    <w:p>
      <w:pPr>
        <w:spacing w:line="260" w:lineRule="exact"/>
        <w:ind w:firstLine="555"/>
        <w:rPr>
          <w:rFonts w:ascii="宋体" w:hAnsi="宋体" w:eastAsia="宋体" w:cs="Times New Roman"/>
          <w:szCs w:val="21"/>
        </w:rPr>
      </w:pPr>
      <w:r>
        <w:rPr>
          <w:rFonts w:ascii="宋体" w:hAnsi="宋体" w:eastAsia="宋体" w:cs="Times New Roman"/>
          <w:szCs w:val="21"/>
        </w:rPr>
        <w:t>3.注意事项</w:t>
      </w:r>
    </w:p>
    <w:p>
      <w:pPr>
        <w:spacing w:line="260" w:lineRule="exact"/>
        <w:ind w:firstLine="55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中标人</w:t>
      </w:r>
      <w:r>
        <w:rPr>
          <w:rFonts w:ascii="宋体" w:hAnsi="宋体" w:eastAsia="宋体" w:cs="Times New Roman"/>
          <w:szCs w:val="21"/>
        </w:rPr>
        <w:t>需确保政府采购合同的收款账户与融资银行开户账户一致。</w:t>
      </w:r>
    </w:p>
    <w:p>
      <w:pPr>
        <w:spacing w:line="260" w:lineRule="exact"/>
        <w:ind w:firstLine="555"/>
        <w:rPr>
          <w:rFonts w:ascii="宋体" w:hAnsi="宋体" w:eastAsia="宋体" w:cs="Times New Roman"/>
          <w:szCs w:val="21"/>
        </w:rPr>
      </w:pPr>
      <w:r>
        <w:rPr>
          <w:rFonts w:ascii="宋体" w:hAnsi="宋体" w:eastAsia="宋体" w:cs="Times New Roman"/>
          <w:szCs w:val="21"/>
        </w:rPr>
        <w:t>（2）用于政府采购信用融资的政府采购合同，应当包含如下条款：“第条：政府采购合同贷款</w:t>
      </w:r>
    </w:p>
    <w:p>
      <w:pPr>
        <w:spacing w:line="260" w:lineRule="exact"/>
        <w:ind w:firstLine="555"/>
        <w:rPr>
          <w:rFonts w:ascii="宋体" w:hAnsi="宋体" w:eastAsia="宋体" w:cs="Times New Roman"/>
          <w:szCs w:val="21"/>
        </w:rPr>
      </w:pPr>
      <w:r>
        <w:rPr>
          <w:rFonts w:ascii="宋体" w:hAnsi="宋体" w:eastAsia="宋体" w:cs="Times New Roman"/>
          <w:szCs w:val="21"/>
        </w:rPr>
        <w:t>本合同同时用于乙方向银行（金融机构）申请政府采购信用贷款。</w:t>
      </w:r>
    </w:p>
    <w:p>
      <w:pPr>
        <w:spacing w:line="260" w:lineRule="exact"/>
        <w:ind w:firstLine="555"/>
        <w:rPr>
          <w:rFonts w:ascii="宋体" w:hAnsi="宋体" w:eastAsia="宋体" w:cs="Times New Roman"/>
          <w:szCs w:val="21"/>
        </w:rPr>
      </w:pPr>
      <w:r>
        <w:rPr>
          <w:rFonts w:ascii="宋体" w:hAnsi="宋体" w:eastAsia="宋体" w:cs="Times New Roman"/>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第六章　投标文件格式</w:t>
      </w:r>
    </w:p>
    <w:p>
      <w:pPr>
        <w:tabs>
          <w:tab w:val="left" w:pos="2472"/>
        </w:tabs>
        <w:snapToGrid w:val="0"/>
        <w:spacing w:before="120" w:line="312" w:lineRule="auto"/>
        <w:ind w:right="-87"/>
        <w:jc w:val="center"/>
        <w:rPr>
          <w:rFonts w:ascii="Times New Roman" w:hAnsi="Times New Roman" w:eastAsia="黑体" w:cs="Times New Roman"/>
          <w:sz w:val="30"/>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r>
        <w:rPr>
          <w:rFonts w:hint="eastAsia" w:ascii="Times New Roman" w:hAnsi="Times New Roman" w:eastAsia="宋体" w:cs="Times New Roman"/>
          <w:sz w:val="24"/>
        </w:rPr>
        <w:t>一、</w:t>
      </w:r>
      <w:r>
        <w:rPr>
          <w:rFonts w:hint="eastAsia" w:ascii="Times New Roman" w:hAnsi="Times New Roman" w:eastAsia="宋体" w:cs="Times New Roman"/>
          <w:b/>
          <w:sz w:val="24"/>
        </w:rPr>
        <w:t>备份文件包装封面（格式供参考）</w:t>
      </w:r>
      <w:r>
        <w:rPr>
          <w:rFonts w:hint="eastAsia" w:ascii="Times New Roman" w:hAnsi="Times New Roman" w:eastAsia="宋体" w:cs="Times New Roman"/>
          <w:sz w:val="24"/>
        </w:rPr>
        <w:t>：</w:t>
      </w:r>
    </w:p>
    <w:p>
      <w:pPr>
        <w:snapToGrid w:val="0"/>
        <w:spacing w:line="360" w:lineRule="auto"/>
        <w:ind w:right="-85"/>
        <w:jc w:val="center"/>
        <w:rPr>
          <w:rFonts w:ascii="Times New Roman" w:hAnsi="Times New Roman" w:eastAsia="宋体" w:cs="Times New Roman"/>
          <w:sz w:val="24"/>
        </w:rPr>
      </w:pPr>
    </w:p>
    <w:p>
      <w:pPr>
        <w:snapToGrid w:val="0"/>
        <w:spacing w:line="360" w:lineRule="auto"/>
        <w:ind w:right="-85"/>
        <w:jc w:val="center"/>
        <w:rPr>
          <w:rFonts w:ascii="Times New Roman" w:hAnsi="Times New Roman" w:eastAsia="宋体" w:cs="Times New Roman"/>
          <w:b/>
          <w:sz w:val="44"/>
        </w:rPr>
      </w:pPr>
      <w:r>
        <w:rPr>
          <w:rFonts w:hint="eastAsia" w:ascii="Times New Roman" w:hAnsi="Times New Roman" w:eastAsia="宋体" w:cs="Times New Roman"/>
          <w:b/>
          <w:sz w:val="44"/>
        </w:rPr>
        <w:t>投标文件</w:t>
      </w:r>
    </w:p>
    <w:p>
      <w:pPr>
        <w:snapToGrid w:val="0"/>
        <w:spacing w:line="360" w:lineRule="auto"/>
        <w:ind w:right="-85"/>
        <w:rPr>
          <w:rFonts w:ascii="Times New Roman" w:hAnsi="Times New Roman" w:eastAsia="宋体" w:cs="Times New Roman"/>
          <w:sz w:val="24"/>
        </w:rPr>
      </w:pPr>
    </w:p>
    <w:p>
      <w:pPr>
        <w:snapToGrid w:val="0"/>
        <w:spacing w:line="360" w:lineRule="auto"/>
        <w:ind w:right="-85" w:firstLine="1124" w:firstLineChars="400"/>
        <w:rPr>
          <w:rFonts w:ascii="Times New Roman" w:hAnsi="Times New Roman" w:eastAsia="宋体" w:cs="Times New Roman"/>
          <w:b/>
          <w:sz w:val="28"/>
        </w:rPr>
      </w:pPr>
      <w:r>
        <w:rPr>
          <w:rFonts w:hint="eastAsia" w:ascii="Times New Roman" w:hAnsi="Times New Roman" w:eastAsia="宋体" w:cs="Times New Roman"/>
          <w:b/>
          <w:sz w:val="28"/>
        </w:rPr>
        <w:t>项目名称：</w:t>
      </w:r>
    </w:p>
    <w:p>
      <w:pPr>
        <w:snapToGrid w:val="0"/>
        <w:spacing w:line="360" w:lineRule="auto"/>
        <w:ind w:right="-85" w:firstLine="1113" w:firstLineChars="396"/>
        <w:rPr>
          <w:rFonts w:ascii="Times New Roman" w:hAnsi="Times New Roman" w:eastAsia="宋体" w:cs="Times New Roman"/>
          <w:b/>
          <w:sz w:val="28"/>
          <w:u w:val="single"/>
        </w:rPr>
      </w:pPr>
      <w:r>
        <w:rPr>
          <w:rFonts w:hint="eastAsia" w:ascii="Times New Roman" w:hAnsi="Times New Roman" w:eastAsia="宋体" w:cs="Times New Roman"/>
          <w:b/>
          <w:sz w:val="28"/>
        </w:rPr>
        <w:t>项目编号：</w:t>
      </w:r>
    </w:p>
    <w:p>
      <w:pPr>
        <w:snapToGrid w:val="0"/>
        <w:spacing w:line="360" w:lineRule="auto"/>
        <w:ind w:right="-85" w:firstLine="1169" w:firstLineChars="416"/>
        <w:rPr>
          <w:rFonts w:ascii="Times New Roman" w:hAnsi="Times New Roman" w:eastAsia="宋体" w:cs="Times New Roman"/>
          <w:b/>
          <w:sz w:val="28"/>
        </w:rPr>
      </w:pPr>
      <w:r>
        <w:rPr>
          <w:rFonts w:hint="eastAsia" w:ascii="Times New Roman" w:hAnsi="Times New Roman" w:eastAsia="宋体" w:cs="Times New Roman"/>
          <w:b/>
          <w:sz w:val="28"/>
        </w:rPr>
        <w:t>投标人名称：</w:t>
      </w:r>
      <w:r>
        <w:rPr>
          <w:rFonts w:hint="eastAsia" w:ascii="Times New Roman" w:hAnsi="Times New Roman" w:eastAsia="宋体" w:cs="Times New Roman"/>
          <w:b/>
          <w:sz w:val="28"/>
          <w:u w:val="single"/>
        </w:rPr>
        <w:t>（</w:t>
      </w:r>
      <w:r>
        <w:rPr>
          <w:rFonts w:hint="eastAsia" w:ascii="Times New Roman" w:hAnsi="Times New Roman" w:eastAsia="宋体" w:cs="Times New Roman"/>
          <w:b/>
          <w:sz w:val="28"/>
        </w:rPr>
        <w:t>加盖公章）</w:t>
      </w:r>
    </w:p>
    <w:p>
      <w:pPr>
        <w:snapToGrid w:val="0"/>
        <w:spacing w:line="360" w:lineRule="auto"/>
        <w:ind w:right="-85" w:firstLine="1169" w:firstLineChars="416"/>
        <w:rPr>
          <w:rFonts w:ascii="Times New Roman" w:hAnsi="Times New Roman" w:eastAsia="宋体" w:cs="Times New Roman"/>
          <w:b/>
          <w:sz w:val="28"/>
          <w:u w:val="single"/>
        </w:rPr>
      </w:pPr>
      <w:r>
        <w:rPr>
          <w:rFonts w:hint="eastAsia" w:ascii="Times New Roman" w:hAnsi="Times New Roman" w:eastAsia="宋体" w:cs="Times New Roman"/>
          <w:b/>
          <w:sz w:val="28"/>
        </w:rPr>
        <w:t>投标人地址：</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投标联系人：电话</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启封时间：</w:t>
      </w:r>
      <w:r>
        <w:rPr>
          <w:rFonts w:hint="eastAsia" w:ascii="Times New Roman" w:hAnsi="Times New Roman" w:eastAsia="宋体" w:cs="Times New Roman"/>
          <w:b/>
          <w:sz w:val="28"/>
          <w:u w:val="single"/>
        </w:rPr>
        <w:t>在</w:t>
      </w:r>
      <w:r>
        <w:rPr>
          <w:rFonts w:ascii="Times New Roman" w:hAnsi="Times New Roman" w:eastAsia="宋体" w:cs="Times New Roman"/>
          <w:b/>
          <w:sz w:val="28"/>
          <w:u w:val="single"/>
        </w:rPr>
        <w:t>20</w:t>
      </w:r>
      <w:r>
        <w:rPr>
          <w:rFonts w:hint="eastAsia" w:ascii="Times New Roman" w:hAnsi="Times New Roman" w:eastAsia="宋体" w:cs="Times New Roman"/>
          <w:b/>
          <w:sz w:val="28"/>
          <w:u w:val="single"/>
        </w:rPr>
        <w:t>年月日时分之前不得启封</w:t>
      </w:r>
    </w:p>
    <w:p>
      <w:pPr>
        <w:snapToGrid w:val="0"/>
        <w:spacing w:line="360" w:lineRule="auto"/>
        <w:ind w:right="-85" w:firstLine="4080" w:firstLineChars="1700"/>
        <w:rPr>
          <w:rFonts w:ascii="Times New Roman" w:hAnsi="Times New Roman" w:eastAsia="宋体" w:cs="Times New Roman"/>
          <w:sz w:val="24"/>
        </w:rPr>
      </w:pPr>
    </w:p>
    <w:p>
      <w:pPr>
        <w:snapToGrid w:val="0"/>
        <w:spacing w:line="360" w:lineRule="auto"/>
        <w:ind w:right="-85" w:firstLine="645"/>
        <w:jc w:val="center"/>
        <w:rPr>
          <w:rFonts w:ascii="Times New Roman" w:hAnsi="Times New Roman" w:eastAsia="宋体" w:cs="Times New Roman"/>
          <w:sz w:val="24"/>
        </w:rPr>
      </w:pPr>
      <w:r>
        <w:rPr>
          <w:rFonts w:hint="eastAsia" w:ascii="Times New Roman" w:hAnsi="Times New Roman" w:eastAsia="宋体" w:cs="Times New Roman"/>
          <w:sz w:val="24"/>
        </w:rPr>
        <w:t>年月日</w:t>
      </w:r>
    </w:p>
    <w:p>
      <w:pPr>
        <w:snapToGrid w:val="0"/>
        <w:spacing w:line="360" w:lineRule="auto"/>
        <w:ind w:right="-85"/>
        <w:outlineLvl w:val="1"/>
        <w:rPr>
          <w:rFonts w:ascii="Times New Roman" w:hAnsi="Times New Roman" w:eastAsia="宋体" w:cs="Times New Roman"/>
          <w:sz w:val="24"/>
          <w:u w:val="single"/>
        </w:rPr>
      </w:pPr>
    </w:p>
    <w:p>
      <w:pPr>
        <w:snapToGrid w:val="0"/>
        <w:spacing w:beforeLines="50" w:line="312" w:lineRule="auto"/>
        <w:rPr>
          <w:rFonts w:ascii="Times New Roman" w:hAnsi="Times New Roman" w:eastAsia="宋体" w:cs="Times New Roman"/>
          <w:b/>
          <w:sz w:val="32"/>
        </w:rPr>
      </w:pPr>
    </w:p>
    <w:p>
      <w:pPr>
        <w:snapToGrid w:val="0"/>
        <w:spacing w:beforeLines="50" w:line="312" w:lineRule="auto"/>
        <w:rPr>
          <w:rFonts w:ascii="Times New Roman" w:hAnsi="Times New Roman" w:eastAsia="宋体" w:cs="Times New Roman"/>
          <w:b/>
          <w:sz w:val="32"/>
        </w:rPr>
      </w:pPr>
    </w:p>
    <w:p>
      <w:pPr>
        <w:snapToGrid w:val="0"/>
        <w:spacing w:beforeLines="50" w:line="312" w:lineRule="auto"/>
        <w:rPr>
          <w:rFonts w:ascii="Times New Roman" w:hAnsi="Times New Roman" w:eastAsia="宋体" w:cs="Times New Roman"/>
          <w:b/>
          <w:sz w:val="32"/>
        </w:rPr>
      </w:pPr>
    </w:p>
    <w:p>
      <w:pPr>
        <w:snapToGrid w:val="0"/>
        <w:spacing w:beforeLines="50" w:line="312" w:lineRule="auto"/>
        <w:rPr>
          <w:rFonts w:ascii="Times New Roman" w:hAnsi="Times New Roman" w:eastAsia="宋体" w:cs="Times New Roman"/>
          <w:b/>
          <w:sz w:val="32"/>
        </w:rPr>
      </w:pPr>
    </w:p>
    <w:p>
      <w:pPr>
        <w:snapToGrid w:val="0"/>
        <w:spacing w:beforeLines="50" w:line="312" w:lineRule="auto"/>
        <w:rPr>
          <w:rFonts w:ascii="Times New Roman" w:hAnsi="Times New Roman" w:eastAsia="宋体" w:cs="Times New Roman"/>
          <w:b/>
          <w:sz w:val="32"/>
        </w:rPr>
      </w:pPr>
    </w:p>
    <w:p>
      <w:pPr>
        <w:snapToGrid w:val="0"/>
        <w:spacing w:beforeLines="50" w:line="312" w:lineRule="auto"/>
        <w:rPr>
          <w:rFonts w:ascii="Times New Roman" w:hAnsi="Times New Roman" w:eastAsia="宋体" w:cs="Times New Roman"/>
          <w:b/>
          <w:sz w:val="32"/>
        </w:rPr>
      </w:pPr>
    </w:p>
    <w:p>
      <w:pPr>
        <w:snapToGrid w:val="0"/>
        <w:spacing w:beforeLines="50" w:line="312" w:lineRule="auto"/>
        <w:rPr>
          <w:rFonts w:ascii="Times New Roman" w:hAnsi="Times New Roman" w:eastAsia="宋体" w:cs="Times New Roman"/>
          <w:b/>
          <w:sz w:val="28"/>
          <w:szCs w:val="28"/>
        </w:rPr>
      </w:pPr>
    </w:p>
    <w:p>
      <w:pPr>
        <w:snapToGrid w:val="0"/>
        <w:spacing w:beforeLines="50" w:line="312" w:lineRule="auto"/>
        <w:rPr>
          <w:rFonts w:ascii="Times New Roman" w:hAnsi="Times New Roman" w:eastAsia="宋体" w:cs="Times New Roman"/>
          <w:b/>
          <w:sz w:val="28"/>
          <w:szCs w:val="28"/>
        </w:rPr>
      </w:pPr>
    </w:p>
    <w:p>
      <w:pPr>
        <w:pStyle w:val="26"/>
      </w:pPr>
    </w:p>
    <w:p>
      <w:pPr>
        <w:pStyle w:val="60"/>
        <w:ind w:firstLine="210"/>
      </w:pPr>
    </w:p>
    <w:p>
      <w:pPr>
        <w:snapToGrid w:val="0"/>
        <w:spacing w:beforeLines="50" w:line="312"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二、</w:t>
      </w:r>
    </w:p>
    <w:p>
      <w:pPr>
        <w:snapToGrid w:val="0"/>
        <w:spacing w:beforeLines="50" w:line="312" w:lineRule="auto"/>
        <w:ind w:firstLine="3678" w:firstLineChars="1145"/>
        <w:rPr>
          <w:rFonts w:ascii="Times New Roman" w:hAnsi="Times New Roman" w:eastAsia="宋体" w:cs="Times New Roman"/>
          <w:b/>
          <w:sz w:val="32"/>
        </w:rPr>
      </w:pPr>
      <w:r>
        <w:rPr>
          <w:rFonts w:hint="eastAsia" w:ascii="Times New Roman" w:hAnsi="Times New Roman" w:eastAsia="宋体" w:cs="Times New Roman"/>
          <w:b/>
          <w:sz w:val="32"/>
        </w:rPr>
        <w:t>开标一览表</w:t>
      </w:r>
    </w:p>
    <w:p>
      <w:pPr>
        <w:spacing w:line="360" w:lineRule="auto"/>
        <w:rPr>
          <w:rFonts w:ascii="Times New Roman" w:hAnsi="Times New Roman" w:eastAsia="宋体" w:cs="Times New Roman"/>
          <w:b/>
          <w:sz w:val="24"/>
          <w:szCs w:val="24"/>
        </w:rPr>
      </w:pPr>
    </w:p>
    <w:p>
      <w:pPr>
        <w:snapToGrid w:val="0"/>
        <w:spacing w:before="50" w:after="50"/>
        <w:rPr>
          <w:rFonts w:ascii="Times New Roman" w:hAnsi="Times New Roman" w:eastAsia="宋体" w:cs="Times New Roman"/>
        </w:rPr>
      </w:pPr>
      <w:r>
        <w:rPr>
          <w:rFonts w:hint="eastAsia" w:ascii="Times New Roman" w:hAnsi="Times New Roman" w:eastAsia="宋体" w:cs="Times New Roman"/>
        </w:rPr>
        <w:t>项目名称：</w:t>
      </w:r>
    </w:p>
    <w:p>
      <w:pPr>
        <w:snapToGrid w:val="0"/>
        <w:spacing w:before="50" w:after="50"/>
        <w:rPr>
          <w:rFonts w:ascii="Times New Roman" w:hAnsi="Times New Roman" w:eastAsia="宋体" w:cs="Times New Roman"/>
        </w:rPr>
      </w:pPr>
      <w:r>
        <w:rPr>
          <w:rFonts w:hint="eastAsia" w:ascii="Times New Roman" w:hAnsi="Times New Roman" w:eastAsia="宋体" w:cs="Times New Roman"/>
        </w:rPr>
        <w:t>项目编号：</w:t>
      </w:r>
    </w:p>
    <w:p>
      <w:pPr>
        <w:spacing w:after="120"/>
        <w:ind w:firstLine="7350" w:firstLineChars="3500"/>
        <w:rPr>
          <w:rFonts w:ascii="Times New Roman" w:hAnsi="Calibri" w:eastAsia="宋体" w:cs="Times New Roman"/>
          <w:kern w:val="0"/>
        </w:rPr>
      </w:pPr>
      <w:r>
        <w:rPr>
          <w:rFonts w:hint="eastAsia" w:ascii="Times New Roman" w:hAnsi="Times New Roman" w:eastAsia="宋体" w:cs="Times New Roman"/>
          <w:kern w:val="0"/>
          <w:szCs w:val="21"/>
        </w:rPr>
        <w:t>单位：元</w:t>
      </w:r>
    </w:p>
    <w:tbl>
      <w:tblPr>
        <w:tblStyle w:val="62"/>
        <w:tblW w:w="956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787"/>
        <w:gridCol w:w="2976"/>
        <w:gridCol w:w="3578"/>
        <w:gridCol w:w="22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787" w:type="dxa"/>
            <w:tcBorders>
              <w:top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序号</w:t>
            </w:r>
          </w:p>
        </w:tc>
        <w:tc>
          <w:tcPr>
            <w:tcW w:w="2976" w:type="dxa"/>
            <w:tcBorders>
              <w:top w:val="single" w:color="auto" w:sz="4" w:space="0"/>
              <w:left w:val="single" w:color="auto" w:sz="4" w:space="0"/>
              <w:right w:val="single" w:color="auto" w:sz="4" w:space="0"/>
            </w:tcBorders>
            <w:vAlign w:val="center"/>
          </w:tcPr>
          <w:p>
            <w:pPr>
              <w:ind w:left="424" w:leftChars="202"/>
              <w:jc w:val="center"/>
              <w:rPr>
                <w:rFonts w:ascii="宋体" w:hAnsi="宋体" w:eastAsia="宋体" w:cs="宋体"/>
                <w:b/>
                <w:szCs w:val="21"/>
              </w:rPr>
            </w:pPr>
            <w:r>
              <w:rPr>
                <w:rFonts w:hint="eastAsia" w:ascii="宋体" w:hAnsi="宋体" w:eastAsia="宋体" w:cs="宋体"/>
                <w:b/>
                <w:szCs w:val="21"/>
              </w:rPr>
              <w:t>名称</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投标报价</w:t>
            </w: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66" w:hRule="atLeast"/>
          <w:jc w:val="center"/>
        </w:trPr>
        <w:tc>
          <w:tcPr>
            <w:tcW w:w="787" w:type="dxa"/>
            <w:tcBorders>
              <w:top w:val="single" w:color="auto" w:sz="4" w:space="0"/>
              <w:right w:val="single" w:color="auto" w:sz="4" w:space="0"/>
            </w:tcBorders>
            <w:vAlign w:val="center"/>
          </w:tcPr>
          <w:p>
            <w:pPr>
              <w:widowControl/>
              <w:jc w:val="center"/>
              <w:rPr>
                <w:rFonts w:ascii="宋体" w:hAnsi="宋体" w:eastAsia="宋体" w:cs="Times New Roman"/>
                <w:kern w:val="0"/>
                <w:szCs w:val="21"/>
              </w:rPr>
            </w:pPr>
            <w:r>
              <w:rPr>
                <w:rFonts w:ascii="宋体" w:hAnsi="宋体" w:eastAsia="宋体" w:cs="Times New Roman"/>
                <w:color w:val="000000"/>
                <w:kern w:val="0"/>
                <w:szCs w:val="21"/>
              </w:rPr>
              <w:t>1</w:t>
            </w:r>
          </w:p>
        </w:tc>
        <w:tc>
          <w:tcPr>
            <w:tcW w:w="2976" w:type="dxa"/>
            <w:tcBorders>
              <w:top w:val="single" w:color="auto" w:sz="4" w:space="0"/>
              <w:left w:val="single" w:color="auto" w:sz="4" w:space="0"/>
              <w:right w:val="single" w:color="auto" w:sz="4" w:space="0"/>
            </w:tcBorders>
            <w:vAlign w:val="center"/>
          </w:tcPr>
          <w:p>
            <w:pPr>
              <w:widowControl/>
              <w:jc w:val="left"/>
              <w:rPr>
                <w:rFonts w:ascii="宋体" w:hAnsi="宋体" w:eastAsia="宋体" w:cs="Times New Roman"/>
                <w:kern w:val="0"/>
                <w:szCs w:val="21"/>
              </w:rPr>
            </w:pPr>
            <w:r>
              <w:rPr>
                <w:rFonts w:hint="eastAsia" w:ascii="宋体" w:hAnsi="宋体" w:eastAsia="宋体" w:cs="Times New Roman"/>
                <w:kern w:val="0"/>
                <w:szCs w:val="21"/>
              </w:rPr>
              <w:t>路口红绿灯维保</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02" w:hRule="atLeast"/>
          <w:jc w:val="center"/>
        </w:trPr>
        <w:tc>
          <w:tcPr>
            <w:tcW w:w="787" w:type="dxa"/>
            <w:tcBorders>
              <w:top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color w:val="000000"/>
                <w:kern w:val="0"/>
                <w:szCs w:val="21"/>
              </w:rPr>
              <w:t>2</w:t>
            </w:r>
          </w:p>
        </w:tc>
        <w:tc>
          <w:tcPr>
            <w:tcW w:w="2976" w:type="dxa"/>
            <w:tcBorders>
              <w:top w:val="single" w:color="auto" w:sz="4" w:space="0"/>
              <w:left w:val="single" w:color="auto" w:sz="4" w:space="0"/>
              <w:right w:val="single" w:color="auto" w:sz="4" w:space="0"/>
            </w:tcBorders>
            <w:vAlign w:val="center"/>
          </w:tcPr>
          <w:p>
            <w:pPr>
              <w:widowControl/>
              <w:jc w:val="left"/>
              <w:rPr>
                <w:rFonts w:ascii="宋体" w:hAnsi="宋体" w:eastAsia="宋体" w:cs="Times New Roman"/>
                <w:kern w:val="0"/>
                <w:szCs w:val="21"/>
              </w:rPr>
            </w:pPr>
            <w:r>
              <w:rPr>
                <w:rFonts w:hint="eastAsia" w:ascii="宋体" w:hAnsi="宋体" w:eastAsia="宋体" w:cs="宋体"/>
                <w:szCs w:val="21"/>
              </w:rPr>
              <w:t>信号灯、标志、标线配套设施</w:t>
            </w:r>
            <w:r>
              <w:rPr>
                <w:rFonts w:hint="eastAsia" w:ascii="宋体" w:hAnsi="宋体" w:eastAsia="宋体" w:cs="Times New Roman"/>
                <w:kern w:val="0"/>
                <w:szCs w:val="21"/>
              </w:rPr>
              <w:t>按需维保建设</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100万元</w:t>
            </w: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07" w:hRule="atLeast"/>
          <w:jc w:val="center"/>
        </w:trPr>
        <w:tc>
          <w:tcPr>
            <w:tcW w:w="787" w:type="dxa"/>
            <w:tcBorders>
              <w:top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3</w:t>
            </w:r>
          </w:p>
        </w:tc>
        <w:tc>
          <w:tcPr>
            <w:tcW w:w="2976" w:type="dxa"/>
            <w:tcBorders>
              <w:top w:val="single" w:color="auto" w:sz="4" w:space="0"/>
              <w:left w:val="single" w:color="auto" w:sz="4" w:space="0"/>
              <w:right w:val="single" w:color="auto" w:sz="4" w:space="0"/>
            </w:tcBorders>
            <w:vAlign w:val="center"/>
          </w:tcPr>
          <w:p>
            <w:pPr>
              <w:widowControl/>
              <w:jc w:val="left"/>
              <w:rPr>
                <w:rFonts w:ascii="宋体" w:hAnsi="宋体" w:eastAsia="宋体" w:cs="Times New Roman"/>
                <w:kern w:val="0"/>
                <w:szCs w:val="21"/>
              </w:rPr>
            </w:pPr>
            <w:r>
              <w:rPr>
                <w:rFonts w:hint="eastAsia" w:ascii="宋体" w:hAnsi="宋体" w:eastAsia="宋体" w:cs="宋体"/>
                <w:kern w:val="0"/>
                <w:sz w:val="22"/>
              </w:rPr>
              <w:t>人员技术服务</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6" w:hRule="atLeast"/>
          <w:jc w:val="center"/>
        </w:trPr>
        <w:tc>
          <w:tcPr>
            <w:tcW w:w="787" w:type="dxa"/>
            <w:tcBorders>
              <w:top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color w:val="000000"/>
                <w:kern w:val="0"/>
                <w:szCs w:val="21"/>
              </w:rPr>
              <w:t>4</w:t>
            </w:r>
          </w:p>
        </w:tc>
        <w:tc>
          <w:tcPr>
            <w:tcW w:w="2976" w:type="dxa"/>
            <w:tcBorders>
              <w:top w:val="single" w:color="auto" w:sz="4" w:space="0"/>
              <w:left w:val="single" w:color="auto" w:sz="4" w:space="0"/>
              <w:right w:val="single" w:color="auto" w:sz="4" w:space="0"/>
            </w:tcBorders>
            <w:vAlign w:val="center"/>
          </w:tcPr>
          <w:p>
            <w:pPr>
              <w:widowControl/>
              <w:jc w:val="left"/>
              <w:textAlignment w:val="center"/>
              <w:rPr>
                <w:rFonts w:ascii="宋体" w:hAnsi="宋体" w:eastAsia="宋体" w:cs="Times New Roman"/>
                <w:kern w:val="0"/>
                <w:szCs w:val="21"/>
              </w:rPr>
            </w:pPr>
            <w:r>
              <w:rPr>
                <w:rFonts w:hint="eastAsia" w:ascii="宋体" w:hAnsi="宋体" w:eastAsia="宋体" w:cs="宋体"/>
                <w:kern w:val="0"/>
                <w:sz w:val="22"/>
              </w:rPr>
              <w:t>红绿灯系统</w:t>
            </w:r>
            <w:r>
              <w:rPr>
                <w:rFonts w:hint="eastAsia" w:ascii="宋体" w:hAnsi="宋体" w:eastAsia="宋体" w:cs="宋体"/>
                <w:szCs w:val="21"/>
              </w:rPr>
              <w:t>技术优化</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49" w:hRule="atLeast"/>
          <w:jc w:val="center"/>
        </w:trPr>
        <w:tc>
          <w:tcPr>
            <w:tcW w:w="787" w:type="dxa"/>
            <w:tcBorders>
              <w:top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w:t>
            </w:r>
          </w:p>
        </w:tc>
        <w:tc>
          <w:tcPr>
            <w:tcW w:w="2976" w:type="dxa"/>
            <w:tcBorders>
              <w:top w:val="single" w:color="auto" w:sz="4" w:space="0"/>
              <w:left w:val="single" w:color="auto" w:sz="4" w:space="0"/>
              <w:right w:val="single" w:color="auto" w:sz="4" w:space="0"/>
            </w:tcBorders>
            <w:vAlign w:val="center"/>
          </w:tcPr>
          <w:p>
            <w:pPr>
              <w:widowControl/>
              <w:jc w:val="left"/>
              <w:rPr>
                <w:rFonts w:ascii="宋体" w:hAnsi="宋体" w:eastAsia="宋体" w:cs="Times New Roman"/>
                <w:szCs w:val="21"/>
              </w:rPr>
            </w:pPr>
            <w:r>
              <w:rPr>
                <w:rFonts w:hint="eastAsia" w:ascii="宋体" w:hAnsi="宋体" w:eastAsia="宋体" w:cs="宋体"/>
                <w:szCs w:val="21"/>
              </w:rPr>
              <w:t>红绿灯信号机升级</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7" w:hRule="atLeast"/>
          <w:jc w:val="center"/>
        </w:trPr>
        <w:tc>
          <w:tcPr>
            <w:tcW w:w="787" w:type="dxa"/>
            <w:tcBorders>
              <w:top w:val="single" w:color="auto" w:sz="4" w:space="0"/>
              <w:right w:val="single" w:color="auto" w:sz="4"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w:t>
            </w:r>
          </w:p>
        </w:tc>
        <w:tc>
          <w:tcPr>
            <w:tcW w:w="2976" w:type="dxa"/>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szCs w:val="21"/>
              </w:rPr>
            </w:pPr>
            <w:r>
              <w:rPr>
                <w:rFonts w:hint="eastAsia" w:ascii="宋体" w:hAnsi="宋体" w:eastAsia="宋体" w:cs="宋体"/>
                <w:szCs w:val="21"/>
              </w:rPr>
              <w:t>公交优先信号建设</w:t>
            </w:r>
          </w:p>
        </w:tc>
        <w:tc>
          <w:tcPr>
            <w:tcW w:w="3578"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c>
          <w:tcPr>
            <w:tcW w:w="2225" w:type="dxa"/>
            <w:tcBorders>
              <w:top w:val="single" w:color="auto" w:sz="4" w:space="0"/>
              <w:left w:val="single" w:color="auto" w:sz="4" w:space="0"/>
              <w:right w:val="single" w:color="auto" w:sz="4" w:space="0"/>
            </w:tcBorders>
            <w:vAlign w:val="center"/>
          </w:tcPr>
          <w:p>
            <w:pPr>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95" w:hRule="atLeast"/>
          <w:jc w:val="center"/>
        </w:trPr>
        <w:tc>
          <w:tcPr>
            <w:tcW w:w="787" w:type="dxa"/>
            <w:tcBorders>
              <w:right w:val="single" w:color="auto" w:sz="4" w:space="0"/>
            </w:tcBorders>
            <w:vAlign w:val="center"/>
          </w:tcPr>
          <w:p>
            <w:pPr>
              <w:autoSpaceDE w:val="0"/>
              <w:autoSpaceDN w:val="0"/>
              <w:adjustRightInd w:val="0"/>
              <w:spacing w:line="400" w:lineRule="exact"/>
              <w:rPr>
                <w:rFonts w:ascii="宋体" w:hAnsi="宋体" w:eastAsia="宋体" w:cs="宋体"/>
                <w:szCs w:val="21"/>
                <w:lang w:val="zh-CN"/>
              </w:rPr>
            </w:pPr>
            <w:r>
              <w:rPr>
                <w:rFonts w:hint="eastAsia" w:ascii="宋体" w:hAnsi="宋体" w:eastAsia="宋体" w:cs="宋体"/>
                <w:szCs w:val="21"/>
                <w:lang w:val="zh-CN"/>
              </w:rPr>
              <w:t>合计</w:t>
            </w:r>
          </w:p>
        </w:tc>
        <w:tc>
          <w:tcPr>
            <w:tcW w:w="8779" w:type="dxa"/>
            <w:gridSpan w:val="3"/>
            <w:tcBorders>
              <w:left w:val="single" w:color="auto" w:sz="4" w:space="0"/>
            </w:tcBorders>
            <w:vAlign w:val="center"/>
          </w:tcPr>
          <w:p>
            <w:pPr>
              <w:spacing w:before="120" w:after="120"/>
              <w:ind w:left="424" w:leftChars="202"/>
              <w:rPr>
                <w:rFonts w:ascii="宋体" w:hAnsi="宋体" w:eastAsia="宋体" w:cs="宋体"/>
                <w:b/>
                <w:bCs/>
                <w:szCs w:val="21"/>
              </w:rPr>
            </w:pPr>
            <w:r>
              <w:rPr>
                <w:rFonts w:hint="eastAsia" w:ascii="宋体" w:hAnsi="宋体" w:eastAsia="宋体" w:cs="宋体"/>
                <w:b/>
                <w:bCs/>
                <w:szCs w:val="21"/>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91" w:hRule="atLeast"/>
          <w:jc w:val="center"/>
        </w:trPr>
        <w:tc>
          <w:tcPr>
            <w:tcW w:w="787" w:type="dxa"/>
            <w:tcBorders>
              <w:bottom w:val="single" w:color="auto" w:sz="4" w:space="0"/>
              <w:right w:val="single" w:color="auto" w:sz="4" w:space="0"/>
            </w:tcBorders>
            <w:vAlign w:val="center"/>
          </w:tcPr>
          <w:p>
            <w:pPr>
              <w:autoSpaceDE w:val="0"/>
              <w:autoSpaceDN w:val="0"/>
              <w:adjustRightInd w:val="0"/>
              <w:spacing w:line="400" w:lineRule="exact"/>
              <w:ind w:left="424" w:leftChars="202"/>
              <w:rPr>
                <w:rFonts w:ascii="宋体" w:hAnsi="宋体" w:eastAsia="宋体" w:cs="宋体"/>
                <w:szCs w:val="21"/>
                <w:lang w:val="zh-CN"/>
              </w:rPr>
            </w:pPr>
          </w:p>
        </w:tc>
        <w:tc>
          <w:tcPr>
            <w:tcW w:w="8779" w:type="dxa"/>
            <w:gridSpan w:val="3"/>
            <w:tcBorders>
              <w:left w:val="single" w:color="auto" w:sz="4" w:space="0"/>
              <w:bottom w:val="single" w:color="auto" w:sz="4" w:space="0"/>
            </w:tcBorders>
            <w:vAlign w:val="center"/>
          </w:tcPr>
          <w:p>
            <w:pPr>
              <w:spacing w:before="120" w:after="120"/>
              <w:rPr>
                <w:rFonts w:ascii="宋体" w:hAnsi="宋体" w:eastAsia="宋体" w:cs="宋体"/>
                <w:b/>
                <w:bCs/>
                <w:szCs w:val="21"/>
              </w:rPr>
            </w:pPr>
            <w:r>
              <w:rPr>
                <w:rFonts w:hint="eastAsia" w:ascii="宋体" w:hAnsi="宋体" w:eastAsia="宋体" w:cs="宋体"/>
                <w:b/>
                <w:bCs/>
                <w:szCs w:val="21"/>
              </w:rPr>
              <w:t>信号灯、标志、标线配套设施清单整体下浮率：</w:t>
            </w:r>
          </w:p>
        </w:tc>
      </w:tr>
    </w:tbl>
    <w:p>
      <w:pPr>
        <w:pStyle w:val="60"/>
        <w:spacing w:line="360" w:lineRule="auto"/>
        <w:ind w:firstLine="0" w:firstLineChars="0"/>
      </w:pPr>
    </w:p>
    <w:p>
      <w:pPr>
        <w:snapToGrid w:val="0"/>
        <w:spacing w:line="360" w:lineRule="auto"/>
        <w:ind w:right="-340"/>
        <w:rPr>
          <w:rFonts w:ascii="Times New Roman" w:hAnsi="Times New Roman" w:eastAsia="宋体" w:cs="Times New Roman"/>
        </w:rPr>
      </w:pPr>
    </w:p>
    <w:p>
      <w:pPr>
        <w:snapToGrid w:val="0"/>
        <w:spacing w:line="360" w:lineRule="auto"/>
        <w:ind w:right="-340"/>
        <w:rPr>
          <w:rFonts w:ascii="Times New Roman" w:hAnsi="Times New Roman" w:eastAsia="宋体" w:cs="Times New Roman"/>
        </w:rPr>
      </w:pPr>
    </w:p>
    <w:p>
      <w:pPr>
        <w:snapToGrid w:val="0"/>
        <w:spacing w:line="360" w:lineRule="auto"/>
        <w:ind w:right="-340"/>
        <w:rPr>
          <w:rFonts w:ascii="Times New Roman" w:hAnsi="Times New Roman" w:eastAsia="宋体" w:cs="Times New Roman"/>
        </w:rPr>
      </w:pPr>
      <w:r>
        <w:rPr>
          <w:rFonts w:hint="eastAsia" w:ascii="Times New Roman" w:hAnsi="Times New Roman" w:eastAsia="宋体" w:cs="Times New Roman"/>
        </w:rPr>
        <w:t>投标人名称（盖章）：日期：年月日</w:t>
      </w:r>
    </w:p>
    <w:p>
      <w:pPr>
        <w:snapToGrid w:val="0"/>
        <w:spacing w:before="50" w:after="50"/>
        <w:rPr>
          <w:rFonts w:ascii="Times New Roman" w:hAnsi="Times New Roman" w:eastAsia="宋体" w:cs="Times New Roman"/>
          <w:spacing w:val="20"/>
          <w:u w:val="single"/>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pStyle w:val="18"/>
      </w:pP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三、投标报价明细表</w:t>
      </w:r>
    </w:p>
    <w:p>
      <w:pPr>
        <w:snapToGrid w:val="0"/>
        <w:rPr>
          <w:rFonts w:ascii="Times New Roman" w:hAnsi="Times New Roman" w:eastAsia="宋体" w:cs="Times New Roman"/>
          <w:b/>
          <w:sz w:val="28"/>
        </w:rPr>
      </w:pPr>
    </w:p>
    <w:p>
      <w:pPr>
        <w:snapToGrid w:val="0"/>
        <w:rPr>
          <w:rFonts w:ascii="Times New Roman" w:hAnsi="Times New Roman" w:eastAsia="宋体" w:cs="Times New Roman"/>
          <w:szCs w:val="21"/>
        </w:rPr>
      </w:pPr>
      <w:r>
        <w:rPr>
          <w:rFonts w:hint="eastAsia" w:ascii="Times New Roman" w:hAnsi="Times New Roman" w:eastAsia="宋体" w:cs="Times New Roman"/>
          <w:szCs w:val="21"/>
        </w:rPr>
        <w:t>项目名称：金额单位：人民币（元）</w:t>
      </w:r>
    </w:p>
    <w:p>
      <w:pPr>
        <w:snapToGrid w:val="0"/>
        <w:spacing w:beforeLines="50" w:after="120"/>
        <w:rPr>
          <w:rFonts w:ascii="Times New Roman" w:hAnsi="Times New Roman" w:eastAsia="宋体" w:cs="Times New Roman"/>
          <w:szCs w:val="21"/>
        </w:rPr>
      </w:pPr>
      <w:r>
        <w:rPr>
          <w:rFonts w:hint="eastAsia" w:ascii="Times New Roman" w:hAnsi="Times New Roman" w:eastAsia="宋体" w:cs="Times New Roman"/>
          <w:szCs w:val="21"/>
        </w:rPr>
        <w:t>项目编号：</w:t>
      </w:r>
    </w:p>
    <w:tbl>
      <w:tblPr>
        <w:tblStyle w:val="62"/>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30"/>
        <w:gridCol w:w="145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kern w:val="0"/>
              </w:rPr>
            </w:pPr>
          </w:p>
        </w:tc>
        <w:tc>
          <w:tcPr>
            <w:tcW w:w="14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hint="eastAsia" w:ascii="宋体" w:hAnsi="宋体" w:eastAsia="宋体" w:cs="宋体"/>
                <w:szCs w:val="21"/>
              </w:rPr>
              <w:t>信号灯、标志、标线配套设施</w:t>
            </w:r>
            <w:r>
              <w:rPr>
                <w:rFonts w:hint="eastAsia" w:ascii="宋体" w:hAnsi="宋体" w:eastAsia="宋体" w:cs="Times New Roman"/>
                <w:kern w:val="0"/>
                <w:szCs w:val="21"/>
              </w:rPr>
              <w:t>按需维保建设</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spacing w:val="20"/>
              </w:rPr>
              <w:t>100万元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4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4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4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4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4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71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4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71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8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152" w:type="dxa"/>
            <w:gridSpan w:val="3"/>
            <w:tcBorders>
              <w:top w:val="single" w:color="auto" w:sz="4" w:space="0"/>
              <w:left w:val="nil"/>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r>
              <w:rPr>
                <w:rFonts w:hint="eastAsia" w:ascii="Times New Roman" w:hAnsi="Times New Roman" w:eastAsia="宋体" w:cs="Times New Roman"/>
                <w:spacing w:val="20"/>
              </w:rPr>
              <w:t>合计（大写）</w:t>
            </w:r>
          </w:p>
        </w:tc>
      </w:tr>
    </w:tbl>
    <w:p>
      <w:pPr>
        <w:snapToGrid w:val="0"/>
        <w:rPr>
          <w:rFonts w:ascii="Times New Roman" w:hAnsi="Times New Roman" w:eastAsia="宋体" w:cs="Times New Roman"/>
        </w:rPr>
      </w:pPr>
    </w:p>
    <w:p>
      <w:pPr>
        <w:snapToGrid w:val="0"/>
        <w:spacing w:before="50" w:after="50"/>
        <w:rPr>
          <w:rFonts w:ascii="Times New Roman" w:hAnsi="Times New Roman" w:eastAsia="宋体" w:cs="Times New Roman"/>
        </w:rPr>
      </w:pPr>
      <w:r>
        <w:rPr>
          <w:rFonts w:hint="eastAsia" w:ascii="Times New Roman" w:hAnsi="Times New Roman" w:eastAsia="宋体" w:cs="Times New Roman"/>
        </w:rPr>
        <w:t>投标人名称（盖章）：</w:t>
      </w: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spacing w:val="20"/>
          <w:u w:val="single"/>
        </w:rPr>
      </w:pPr>
      <w:r>
        <w:rPr>
          <w:rFonts w:hint="eastAsia" w:ascii="Times New Roman" w:hAnsi="Times New Roman" w:eastAsia="宋体" w:cs="Times New Roman"/>
          <w:spacing w:val="20"/>
        </w:rPr>
        <w:t>日期：</w:t>
      </w:r>
    </w:p>
    <w:p>
      <w:pPr>
        <w:snapToGrid w:val="0"/>
        <w:spacing w:before="50" w:after="50"/>
        <w:rPr>
          <w:rFonts w:ascii="Times New Roman" w:hAnsi="Times New Roman" w:eastAsia="宋体" w:cs="Times New Roman"/>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28"/>
          <w:szCs w:val="28"/>
        </w:rPr>
      </w:pPr>
    </w:p>
    <w:p>
      <w:pPr>
        <w:snapToGrid w:val="0"/>
        <w:spacing w:before="120" w:line="312" w:lineRule="auto"/>
        <w:ind w:right="-341"/>
        <w:rPr>
          <w:rFonts w:ascii="Times New Roman" w:hAnsi="Times New Roman" w:eastAsia="宋体" w:cs="Times New Roman"/>
          <w:b/>
          <w:sz w:val="28"/>
          <w:szCs w:val="28"/>
        </w:rPr>
      </w:pPr>
    </w:p>
    <w:p>
      <w:pPr>
        <w:snapToGrid w:val="0"/>
        <w:spacing w:before="120" w:line="312" w:lineRule="auto"/>
        <w:ind w:right="-341"/>
        <w:rPr>
          <w:rFonts w:ascii="宋体" w:hAnsi="宋体" w:eastAsia="宋体" w:cs="宋体"/>
          <w:b/>
          <w:kern w:val="0"/>
          <w:sz w:val="28"/>
          <w:szCs w:val="28"/>
        </w:rPr>
      </w:pPr>
      <w:r>
        <w:rPr>
          <w:rFonts w:hint="eastAsia" w:ascii="Times New Roman" w:hAnsi="Times New Roman" w:eastAsia="宋体" w:cs="Times New Roman"/>
          <w:b/>
          <w:sz w:val="28"/>
          <w:szCs w:val="28"/>
        </w:rPr>
        <w:t>四、</w:t>
      </w:r>
    </w:p>
    <w:p>
      <w:pPr>
        <w:snapToGrid w:val="0"/>
        <w:spacing w:line="360" w:lineRule="auto"/>
        <w:ind w:right="-341"/>
        <w:jc w:val="center"/>
        <w:rPr>
          <w:rFonts w:ascii="宋体" w:hAnsi="宋体" w:eastAsia="宋体" w:cs="宋体"/>
          <w:b/>
          <w:kern w:val="0"/>
          <w:sz w:val="28"/>
          <w:szCs w:val="28"/>
        </w:rPr>
      </w:pPr>
    </w:p>
    <w:p>
      <w:pPr>
        <w:snapToGrid w:val="0"/>
        <w:spacing w:line="360" w:lineRule="auto"/>
        <w:ind w:right="-341"/>
        <w:jc w:val="center"/>
        <w:rPr>
          <w:rFonts w:ascii="宋体" w:hAnsi="宋体" w:eastAsia="宋体" w:cs="宋体"/>
          <w:b/>
          <w:kern w:val="0"/>
          <w:sz w:val="28"/>
          <w:szCs w:val="28"/>
        </w:rPr>
      </w:pPr>
      <w:r>
        <w:rPr>
          <w:rFonts w:hint="eastAsia" w:ascii="宋体" w:hAnsi="宋体" w:eastAsia="宋体" w:cs="宋体"/>
          <w:b/>
          <w:kern w:val="0"/>
          <w:sz w:val="28"/>
          <w:szCs w:val="28"/>
        </w:rPr>
        <w:t>中小企业声明函（工程、服务）</w:t>
      </w:r>
    </w:p>
    <w:p>
      <w:pPr>
        <w:snapToGrid w:val="0"/>
        <w:spacing w:line="360" w:lineRule="auto"/>
        <w:ind w:right="-341"/>
        <w:rPr>
          <w:rFonts w:ascii="宋体" w:hAnsi="宋体" w:eastAsia="宋体" w:cs="宋体"/>
          <w:kern w:val="0"/>
          <w:szCs w:val="21"/>
        </w:rPr>
      </w:pPr>
    </w:p>
    <w:p>
      <w:pPr>
        <w:snapToGrid w:val="0"/>
        <w:spacing w:line="360" w:lineRule="auto"/>
        <w:ind w:right="-341"/>
        <w:rPr>
          <w:rFonts w:ascii="宋体" w:hAnsi="宋体" w:eastAsia="宋体" w:cs="宋体"/>
          <w:kern w:val="0"/>
          <w:szCs w:val="21"/>
        </w:rPr>
      </w:pP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1.（标的名称），属于（采购文件中明确的所属行业）；承建（承接）企业为（企业名称），从业人员人，营业收入为万元，资产总额为万元，属于（中型企业、小型企业、微型企业）；</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2.（标的名称），属于（采购文件中明确的所属行业）；承建（承接）企业为（企业名称），从业人员人，营业收入为万元，资产总额为万元，属于（中型企业、小型企业、微型企业）；</w:t>
      </w:r>
    </w:p>
    <w:p>
      <w:pPr>
        <w:snapToGrid w:val="0"/>
        <w:spacing w:line="360" w:lineRule="auto"/>
        <w:ind w:right="-341"/>
        <w:rPr>
          <w:rFonts w:ascii="宋体" w:hAnsi="宋体" w:eastAsia="宋体" w:cs="宋体"/>
          <w:kern w:val="0"/>
          <w:szCs w:val="21"/>
        </w:rPr>
      </w:pPr>
      <w:r>
        <w:rPr>
          <w:rFonts w:hint="eastAsia" w:ascii="宋体" w:hAnsi="宋体" w:eastAsia="宋体" w:cs="宋体"/>
          <w:kern w:val="0"/>
          <w:szCs w:val="21"/>
        </w:rPr>
        <w:t>……</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本企业对上述声明内容的真实性负责。如有虚假，将依法承担相应责任。</w:t>
      </w:r>
    </w:p>
    <w:p>
      <w:pPr>
        <w:snapToGrid w:val="0"/>
        <w:spacing w:line="360" w:lineRule="auto"/>
        <w:ind w:right="-341"/>
        <w:rPr>
          <w:rFonts w:ascii="宋体" w:hAnsi="宋体" w:eastAsia="宋体" w:cs="宋体"/>
          <w:kern w:val="0"/>
          <w:szCs w:val="21"/>
        </w:rPr>
      </w:pPr>
    </w:p>
    <w:p>
      <w:pPr>
        <w:snapToGrid w:val="0"/>
        <w:spacing w:line="360" w:lineRule="auto"/>
        <w:ind w:right="-341"/>
        <w:rPr>
          <w:rFonts w:ascii="宋体" w:hAnsi="宋体" w:eastAsia="宋体" w:cs="宋体"/>
          <w:kern w:val="0"/>
          <w:szCs w:val="21"/>
        </w:rPr>
      </w:pPr>
      <w:r>
        <w:rPr>
          <w:rFonts w:hint="eastAsia" w:ascii="宋体" w:hAnsi="宋体" w:eastAsia="宋体" w:cs="宋体"/>
          <w:kern w:val="0"/>
          <w:szCs w:val="21"/>
        </w:rPr>
        <w:t>企业名称（盖章）：</w:t>
      </w:r>
    </w:p>
    <w:p>
      <w:pPr>
        <w:snapToGrid w:val="0"/>
        <w:spacing w:line="360" w:lineRule="auto"/>
        <w:ind w:right="-341"/>
        <w:jc w:val="left"/>
        <w:rPr>
          <w:rFonts w:ascii="宋体" w:hAnsi="宋体" w:eastAsia="宋体" w:cs="宋体"/>
          <w:kern w:val="0"/>
          <w:szCs w:val="21"/>
        </w:rPr>
      </w:pPr>
    </w:p>
    <w:p>
      <w:pPr>
        <w:snapToGrid w:val="0"/>
        <w:spacing w:line="360" w:lineRule="auto"/>
        <w:ind w:right="-341"/>
        <w:jc w:val="left"/>
        <w:rPr>
          <w:rFonts w:ascii="Times New Roman" w:hAnsi="Times New Roman" w:eastAsia="宋体" w:cs="Times New Roman"/>
        </w:rPr>
      </w:pPr>
      <w:r>
        <w:rPr>
          <w:rFonts w:hint="eastAsia" w:ascii="宋体" w:hAnsi="宋体" w:eastAsia="宋体" w:cs="宋体"/>
          <w:kern w:val="0"/>
          <w:szCs w:val="21"/>
        </w:rPr>
        <w:t>日期：</w:t>
      </w:r>
    </w:p>
    <w:p>
      <w:pPr>
        <w:widowControl/>
        <w:spacing w:line="360" w:lineRule="auto"/>
        <w:jc w:val="left"/>
        <w:rPr>
          <w:rFonts w:ascii="Times New Roman" w:hAnsi="Times New Roman" w:eastAsia="宋体" w:cs="Times New Roman"/>
          <w:kern w:val="0"/>
        </w:rPr>
        <w:sectPr>
          <w:pgSz w:w="11906" w:h="16838"/>
          <w:pgMar w:top="1304" w:right="1531" w:bottom="1304" w:left="1531" w:header="1134" w:footer="1304" w:gutter="0"/>
          <w:cols w:space="720" w:num="1"/>
        </w:sectPr>
      </w:pPr>
    </w:p>
    <w:p>
      <w:pPr>
        <w:snapToGrid w:val="0"/>
        <w:spacing w:line="360" w:lineRule="auto"/>
        <w:ind w:right="-341"/>
        <w:rPr>
          <w:rFonts w:ascii="Times New Roman" w:hAnsi="Times New Roman" w:eastAsia="宋体" w:cs="Times New Roman"/>
        </w:rPr>
      </w:pPr>
    </w:p>
    <w:p>
      <w:pPr>
        <w:spacing w:after="120"/>
        <w:rPr>
          <w:rFonts w:ascii="Times New Roman" w:hAnsi="Times New Roman" w:eastAsia="宋体" w:cs="Times New Roman"/>
        </w:rPr>
      </w:pPr>
    </w:p>
    <w:p>
      <w:pPr>
        <w:spacing w:line="360" w:lineRule="auto"/>
        <w:ind w:firstLine="3132" w:firstLineChars="1300"/>
        <w:rPr>
          <w:rFonts w:ascii="Times New Roman" w:hAnsi="Times New Roman" w:eastAsia="宋体" w:cs="Times New Roman"/>
          <w:b/>
          <w:sz w:val="24"/>
          <w:szCs w:val="24"/>
        </w:rPr>
      </w:pPr>
      <w:r>
        <w:rPr>
          <w:rFonts w:hint="eastAsia" w:ascii="Times New Roman" w:hAnsi="Times New Roman" w:eastAsia="宋体" w:cs="Times New Roman"/>
          <w:b/>
          <w:sz w:val="24"/>
          <w:szCs w:val="24"/>
        </w:rPr>
        <w:t>监狱企业声明函</w:t>
      </w:r>
    </w:p>
    <w:p>
      <w:pPr>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【非监狱企业不用提供】</w:t>
      </w:r>
    </w:p>
    <w:p>
      <w:pPr>
        <w:spacing w:line="360" w:lineRule="auto"/>
        <w:ind w:firstLine="480"/>
        <w:rPr>
          <w:rFonts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r>
        <w:rPr>
          <w:rFonts w:hint="eastAsia" w:ascii="Times New Roman" w:hAnsi="Times New Roman" w:eastAsia="宋体" w:cs="Times New Roman"/>
          <w:szCs w:val="21"/>
        </w:rPr>
        <w:t>监狱企业参加政府采购活动时，应当提供由省级以上监狱管理本企业郑重声明，根据《关于政府采购支持监狱企业发展有关问题的通知》（财库</w:t>
      </w:r>
      <w:r>
        <w:rPr>
          <w:rFonts w:ascii="Times New Roman" w:hAnsi="Times New Roman" w:eastAsia="宋体" w:cs="Times New Roman"/>
          <w:szCs w:val="21"/>
        </w:rPr>
        <w:t>[2014]68</w:t>
      </w:r>
      <w:r>
        <w:rPr>
          <w:rFonts w:hint="eastAsia" w:ascii="Times New Roman" w:hAnsi="Times New Roman" w:eastAsia="宋体" w:cs="Times New Roman"/>
          <w:szCs w:val="21"/>
        </w:rPr>
        <w:t>号）的规定，本企业为监狱企业。</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根据上述标准，我企业属于监狱企业的理由为：。</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本企业为参加（项目名称：）（项目编号：）采购活动提供本企业的产品。</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本企业对上述声明的真实性负责。如有虚假，将依法承担相应责任。</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投标人名称（盖章）：</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投标人为监狱企业的提供此函。</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局、戒毒管理局（含新疆生产建设兵团）出具的属于监狱企业的证明文件。</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残疾人福利性单位声明函</w:t>
      </w:r>
    </w:p>
    <w:p>
      <w:pPr>
        <w:spacing w:line="360" w:lineRule="auto"/>
        <w:ind w:firstLine="2835" w:firstLineChars="1350"/>
        <w:rPr>
          <w:rFonts w:ascii="Times New Roman" w:hAnsi="Times New Roman" w:eastAsia="宋体" w:cs="Times New Roman"/>
          <w:szCs w:val="21"/>
        </w:rPr>
      </w:pPr>
      <w:r>
        <w:rPr>
          <w:rFonts w:hint="eastAsia" w:ascii="Times New Roman" w:hAnsi="Times New Roman" w:eastAsia="宋体" w:cs="Times New Roman"/>
          <w:szCs w:val="21"/>
        </w:rPr>
        <w:t>【非残疾人福利性单位不用提供】</w:t>
      </w:r>
    </w:p>
    <w:p>
      <w:pPr>
        <w:spacing w:line="360" w:lineRule="auto"/>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本单位郑重声明，根据《财政部民政部中国残疾人联合会关于促进残疾人就业政府采购政策的通知》（财库〔</w:t>
      </w:r>
      <w:r>
        <w:rPr>
          <w:rFonts w:ascii="Times New Roman" w:hAnsi="Times New Roman" w:eastAsia="宋体" w:cs="Times New Roman"/>
          <w:szCs w:val="21"/>
        </w:rPr>
        <w:t>2017</w:t>
      </w:r>
      <w:r>
        <w:rPr>
          <w:rFonts w:hint="eastAsia" w:ascii="Times New Roman" w:hAnsi="Times New Roman" w:eastAsia="宋体" w:cs="Times New Roman"/>
          <w:szCs w:val="21"/>
        </w:rPr>
        <w:t>〕</w:t>
      </w:r>
      <w:r>
        <w:rPr>
          <w:rFonts w:ascii="Times New Roman" w:hAnsi="Times New Roman" w:eastAsia="宋体" w:cs="Times New Roman"/>
          <w:szCs w:val="21"/>
        </w:rPr>
        <w:t>141</w:t>
      </w:r>
      <w:r>
        <w:rPr>
          <w:rFonts w:hint="eastAsia" w:ascii="Times New Roman" w:hAnsi="Times New Roman" w:eastAsia="宋体" w:cs="Times New Roman"/>
          <w:szCs w:val="21"/>
        </w:rPr>
        <w:t>号）的规定，本单位为符合条件的残疾人福利性单位，且本单位参加（采购人名称）单位的（项目名称）项目采购活动提供本单位制造的货物（由本单位承担工程</w:t>
      </w:r>
      <w:r>
        <w:rPr>
          <w:rFonts w:ascii="Times New Roman" w:hAnsi="Times New Roman" w:eastAsia="宋体" w:cs="Times New Roman"/>
          <w:szCs w:val="21"/>
        </w:rPr>
        <w:t>/</w:t>
      </w:r>
      <w:r>
        <w:rPr>
          <w:rFonts w:hint="eastAsia" w:ascii="Times New Roman" w:hAnsi="Times New Roman" w:eastAsia="宋体" w:cs="Times New Roman"/>
          <w:szCs w:val="21"/>
        </w:rPr>
        <w:t>提供服务），或者提供其他残疾人福利性单位制造的货物（不包括使用非残疾人福利性单位注册商标的货物）。</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本单位对上述声明的真实性负责。如有虚假，将依法承担相应责任。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投标人名称（盖章）：</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说明：投标人为残疾人福利性单位的提供此函。</w:t>
      </w: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before="120" w:line="312" w:lineRule="auto"/>
        <w:ind w:right="-341"/>
        <w:rPr>
          <w:rFonts w:ascii="Times New Roman" w:hAnsi="Times New Roman" w:eastAsia="宋体" w:cs="Times New Roman"/>
          <w:b/>
          <w:sz w:val="32"/>
        </w:rPr>
      </w:pPr>
    </w:p>
    <w:p>
      <w:pPr>
        <w:rPr>
          <w:rFonts w:ascii="Times New Roman" w:hAnsi="Times New Roman" w:eastAsia="宋体" w:cs="Times New Roman"/>
          <w:sz w:val="18"/>
          <w:szCs w:val="24"/>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pStyle w:val="61"/>
      </w:pP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五、投标函</w:t>
      </w:r>
    </w:p>
    <w:p>
      <w:pPr>
        <w:snapToGrid w:val="0"/>
        <w:spacing w:line="312"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致：</w:t>
      </w:r>
      <w:r>
        <w:rPr>
          <w:rFonts w:ascii="Times New Roman" w:hAnsi="Times New Roman" w:eastAsia="宋体" w:cs="Times New Roman"/>
        </w:rPr>
        <w:t>_</w:t>
      </w:r>
      <w:r>
        <w:rPr>
          <w:rFonts w:hint="eastAsia" w:ascii="Times New Roman" w:hAnsi="Times New Roman" w:eastAsia="宋体" w:cs="Times New Roman"/>
          <w:u w:val="single"/>
        </w:rPr>
        <w:t>深圳市国信招标有限公司</w:t>
      </w:r>
      <w:r>
        <w:rPr>
          <w:rFonts w:ascii="Times New Roman" w:hAnsi="Times New Roman" w:eastAsia="宋体" w:cs="Times New Roman"/>
        </w:rPr>
        <w:t>_</w:t>
      </w:r>
      <w:r>
        <w:rPr>
          <w:rFonts w:hint="eastAsia" w:ascii="Times New Roman" w:hAnsi="Times New Roman" w:eastAsia="宋体" w:cs="Times New Roman"/>
        </w:rPr>
        <w:t>：</w:t>
      </w:r>
    </w:p>
    <w:p>
      <w:pPr>
        <w:snapToGrid w:val="0"/>
        <w:spacing w:line="312" w:lineRule="auto"/>
        <w:ind w:right="-341" w:firstLine="480"/>
        <w:rPr>
          <w:rFonts w:ascii="Times New Roman" w:hAnsi="Times New Roman" w:eastAsia="宋体" w:cs="Times New Roman"/>
          <w:szCs w:val="21"/>
        </w:rPr>
      </w:pPr>
      <w:r>
        <w:rPr>
          <w:rFonts w:hint="eastAsia" w:ascii="Times New Roman" w:hAnsi="Times New Roman" w:eastAsia="宋体" w:cs="Times New Roman"/>
        </w:rPr>
        <w:t>根据贵方为项目的招标公告（项目编号：</w:t>
      </w:r>
      <w:r>
        <w:rPr>
          <w:rFonts w:ascii="Times New Roman" w:hAnsi="Times New Roman" w:eastAsia="宋体" w:cs="Times New Roman"/>
        </w:rPr>
        <w:t>____</w:t>
      </w:r>
      <w:r>
        <w:rPr>
          <w:rFonts w:ascii="Times New Roman" w:hAnsi="Times New Roman" w:eastAsia="宋体" w:cs="Times New Roman"/>
          <w:u w:val="single"/>
        </w:rPr>
        <w:t>__</w:t>
      </w:r>
      <w:r>
        <w:rPr>
          <w:rFonts w:ascii="Times New Roman" w:hAnsi="Times New Roman" w:eastAsia="宋体" w:cs="Times New Roman"/>
        </w:rPr>
        <w:t>_</w:t>
      </w:r>
      <w:r>
        <w:rPr>
          <w:rFonts w:hint="eastAsia" w:ascii="Times New Roman" w:hAnsi="Times New Roman" w:eastAsia="宋体" w:cs="Times New Roman"/>
        </w:rPr>
        <w:t>），</w:t>
      </w:r>
      <w:r>
        <w:rPr>
          <w:rFonts w:hint="eastAsia" w:ascii="Times New Roman" w:hAnsi="Times New Roman" w:eastAsia="宋体" w:cs="Times New Roman"/>
          <w:szCs w:val="21"/>
        </w:rPr>
        <w:t>提交投标文件正本壹份，副本壹份（如有）。</w:t>
      </w:r>
    </w:p>
    <w:p>
      <w:pPr>
        <w:widowControl/>
        <w:spacing w:line="360" w:lineRule="auto"/>
        <w:ind w:right="-341" w:firstLine="387" w:firstLineChars="192"/>
        <w:rPr>
          <w:rFonts w:ascii="Times New Roman" w:hAnsi="Times New Roman" w:eastAsia="宋体" w:cs="Times New Roman"/>
          <w:spacing w:val="-4"/>
          <w:kern w:val="0"/>
          <w:szCs w:val="21"/>
        </w:rPr>
      </w:pPr>
      <w:r>
        <w:rPr>
          <w:rFonts w:hint="eastAsia" w:ascii="Times New Roman" w:hAnsi="Times New Roman" w:eastAsia="宋体" w:cs="Times New Roman"/>
          <w:spacing w:val="-4"/>
          <w:kern w:val="0"/>
          <w:szCs w:val="21"/>
        </w:rPr>
        <w:t>据此函，宣布同意如下：</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1.</w:t>
      </w:r>
      <w:r>
        <w:rPr>
          <w:rFonts w:hint="eastAsia" w:ascii="Times New Roman" w:hAnsi="Times New Roman" w:eastAsia="宋体" w:cs="Times New Roman"/>
          <w:spacing w:val="-4"/>
          <w:kern w:val="0"/>
          <w:szCs w:val="21"/>
        </w:rPr>
        <w:t>我方已详细审查了采购文件的全部内容及其相关补充文件</w:t>
      </w:r>
      <w:r>
        <w:rPr>
          <w:rFonts w:hint="eastAsia" w:ascii="Times New Roman" w:hAnsi="Times New Roman" w:eastAsia="宋体" w:cs="Times New Roman"/>
          <w:b/>
          <w:spacing w:val="-4"/>
          <w:kern w:val="0"/>
          <w:szCs w:val="21"/>
        </w:rPr>
        <w:t>（如有）</w:t>
      </w:r>
      <w:r>
        <w:rPr>
          <w:rFonts w:hint="eastAsia" w:ascii="Times New Roman" w:hAnsi="Times New Roman" w:eastAsia="宋体" w:cs="Times New Roman"/>
          <w:spacing w:val="-4"/>
          <w:kern w:val="0"/>
          <w:szCs w:val="21"/>
        </w:rPr>
        <w:t>，并完全清晰理解全部内容及相关的补充文件</w:t>
      </w:r>
      <w:r>
        <w:rPr>
          <w:rFonts w:hint="eastAsia" w:ascii="Times New Roman" w:hAnsi="Times New Roman" w:eastAsia="宋体" w:cs="Times New Roman"/>
          <w:b/>
          <w:spacing w:val="-4"/>
          <w:kern w:val="0"/>
          <w:szCs w:val="21"/>
        </w:rPr>
        <w:t>（如有）</w:t>
      </w:r>
      <w:r>
        <w:rPr>
          <w:rFonts w:hint="eastAsia" w:ascii="Times New Roman" w:hAnsi="Times New Roman" w:eastAsia="宋体" w:cs="Times New Roman"/>
          <w:spacing w:val="-4"/>
          <w:kern w:val="0"/>
          <w:szCs w:val="21"/>
        </w:rPr>
        <w:t>，不存在任何误解之处，同意放弃提出异议和质疑的权利。</w:t>
      </w:r>
    </w:p>
    <w:p>
      <w:pPr>
        <w:snapToGrid w:val="0"/>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2.</w:t>
      </w:r>
      <w:r>
        <w:rPr>
          <w:rFonts w:hint="eastAsia" w:ascii="Times New Roman" w:hAnsi="Times New Roman" w:eastAsia="宋体" w:cs="Times New Roman"/>
          <w:spacing w:val="-4"/>
          <w:szCs w:val="21"/>
        </w:rPr>
        <w:t>我方遵守《中华人民共和国政府采购法》及相关法律法规的规定。同意采购文件中所提到的无效标条款，并服从有关开标会议纪律。否则，同意被废除投标资格。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3.</w:t>
      </w:r>
      <w:r>
        <w:rPr>
          <w:rFonts w:hint="eastAsia" w:ascii="Times New Roman" w:hAnsi="Times New Roman" w:eastAsia="宋体" w:cs="Times New Roman"/>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4.</w:t>
      </w:r>
      <w:r>
        <w:rPr>
          <w:rFonts w:hint="eastAsia" w:ascii="Times New Roman" w:hAnsi="Times New Roman" w:eastAsia="宋体" w:cs="Times New Roman"/>
          <w:spacing w:val="-4"/>
          <w:szCs w:val="21"/>
        </w:rPr>
        <w:t>投标有效期为自开标之日起</w:t>
      </w:r>
      <w:r>
        <w:rPr>
          <w:rFonts w:ascii="Times New Roman" w:hAnsi="Times New Roman" w:eastAsia="宋体" w:cs="Times New Roman"/>
          <w:spacing w:val="-4"/>
          <w:szCs w:val="21"/>
        </w:rPr>
        <w:t>9</w:t>
      </w:r>
      <w:r>
        <w:rPr>
          <w:rFonts w:ascii="Times New Roman" w:hAnsi="Times New Roman" w:eastAsia="宋体" w:cs="Times New Roman"/>
          <w:spacing w:val="-4"/>
          <w:szCs w:val="21"/>
          <w:u w:val="single"/>
        </w:rPr>
        <w:t>0</w:t>
      </w:r>
      <w:r>
        <w:rPr>
          <w:rFonts w:hint="eastAsia" w:ascii="Times New Roman" w:hAnsi="Times New Roman" w:eastAsia="宋体" w:cs="Times New Roman"/>
          <w:spacing w:val="-4"/>
          <w:szCs w:val="21"/>
        </w:rPr>
        <w:t>天内，如在投标有效期内撤回投标，我方同意被废除投标资格。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5.</w:t>
      </w:r>
      <w:r>
        <w:rPr>
          <w:rFonts w:hint="eastAsia" w:ascii="Times New Roman" w:hAnsi="Times New Roman" w:eastAsia="宋体" w:cs="Times New Roman"/>
          <w:spacing w:val="-4"/>
          <w:szCs w:val="21"/>
        </w:rPr>
        <w:t>我方承诺</w:t>
      </w:r>
      <w:r>
        <w:rPr>
          <w:rFonts w:hint="eastAsia" w:ascii="Times New Roman" w:hAnsi="Times New Roman" w:eastAsia="宋体" w:cs="Times New Roman"/>
          <w:szCs w:val="21"/>
        </w:rPr>
        <w:t>参加政府采购活动前</w:t>
      </w:r>
      <w:r>
        <w:rPr>
          <w:rFonts w:ascii="Times New Roman" w:hAnsi="Times New Roman" w:eastAsia="宋体" w:cs="Times New Roman"/>
          <w:szCs w:val="21"/>
        </w:rPr>
        <w:t>3</w:t>
      </w:r>
      <w:r>
        <w:rPr>
          <w:rFonts w:hint="eastAsia" w:ascii="Times New Roman" w:hAnsi="Times New Roman" w:eastAsia="宋体" w:cs="Times New Roman"/>
          <w:szCs w:val="21"/>
        </w:rPr>
        <w:t>年内在经营活动中没有重大违法记录和依法缴纳了税收</w:t>
      </w:r>
      <w:r>
        <w:rPr>
          <w:rFonts w:hint="eastAsia" w:ascii="Times New Roman" w:hAnsi="Times New Roman" w:eastAsia="宋体" w:cs="Times New Roman"/>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ascii="Times New Roman" w:hAnsi="Times New Roman" w:eastAsia="宋体" w:cs="Times New Roman"/>
          <w:spacing w:val="-4"/>
          <w:szCs w:val="21"/>
        </w:rPr>
        <w:t>6.</w:t>
      </w:r>
      <w:r>
        <w:rPr>
          <w:rFonts w:hint="eastAsia" w:ascii="Times New Roman" w:hAnsi="Times New Roman" w:eastAsia="宋体" w:cs="Times New Roman"/>
          <w:spacing w:val="-4"/>
          <w:szCs w:val="21"/>
        </w:rPr>
        <w:t>我方承诺具备本项目</w:t>
      </w:r>
      <w:r>
        <w:rPr>
          <w:rFonts w:hint="eastAsia" w:ascii="Times New Roman" w:hAnsi="Times New Roman" w:eastAsia="宋体" w:cs="Times New Roman"/>
          <w:szCs w:val="21"/>
        </w:rPr>
        <w:t>履行合同所必需的设备和专业技术能力</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7.</w:t>
      </w:r>
      <w:r>
        <w:rPr>
          <w:rFonts w:hint="eastAsia" w:ascii="Times New Roman" w:hAnsi="Times New Roman" w:eastAsia="宋体" w:cs="Times New Roman"/>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8.</w:t>
      </w:r>
      <w:r>
        <w:rPr>
          <w:rFonts w:hint="eastAsia" w:ascii="Times New Roman" w:hAnsi="Times New Roman" w:eastAsia="宋体" w:cs="Times New Roman"/>
          <w:spacing w:val="-4"/>
          <w:szCs w:val="21"/>
        </w:rPr>
        <w:t>我方承诺至开标之日止，未被</w:t>
      </w:r>
      <w:r>
        <w:rPr>
          <w:rFonts w:ascii="Times New Roman" w:hAnsi="Times New Roman" w:eastAsia="宋体" w:cs="Times New Roman"/>
          <w:spacing w:val="-4"/>
          <w:szCs w:val="21"/>
        </w:rPr>
        <w:t>“</w:t>
      </w:r>
      <w:r>
        <w:rPr>
          <w:rFonts w:hint="eastAsia" w:ascii="Times New Roman" w:hAnsi="Times New Roman" w:eastAsia="宋体" w:cs="Times New Roman"/>
          <w:spacing w:val="-4"/>
          <w:szCs w:val="21"/>
        </w:rPr>
        <w:t>信用中国</w:t>
      </w:r>
      <w:r>
        <w:rPr>
          <w:rFonts w:ascii="Times New Roman" w:hAnsi="Times New Roman" w:eastAsia="宋体" w:cs="Times New Roman"/>
          <w:spacing w:val="-4"/>
          <w:szCs w:val="21"/>
        </w:rPr>
        <w:t>”</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www.creditchina.gov.cn</w:t>
      </w:r>
      <w:r>
        <w:rPr>
          <w:rFonts w:hint="eastAsia" w:ascii="Times New Roman" w:hAnsi="Times New Roman" w:eastAsia="宋体" w:cs="Times New Roman"/>
          <w:spacing w:val="-4"/>
          <w:szCs w:val="21"/>
        </w:rPr>
        <w:t>）、中国政府采购网（</w:t>
      </w:r>
      <w:r>
        <w:rPr>
          <w:rFonts w:ascii="Times New Roman" w:hAnsi="Times New Roman" w:eastAsia="宋体" w:cs="Times New Roman"/>
          <w:spacing w:val="-4"/>
          <w:szCs w:val="21"/>
        </w:rPr>
        <w:t>www.ccgp.gov.cn</w:t>
      </w:r>
      <w:r>
        <w:rPr>
          <w:rFonts w:hint="eastAsia" w:ascii="Times New Roman" w:hAnsi="Times New Roman" w:eastAsia="宋体" w:cs="Times New Roman"/>
          <w:spacing w:val="-4"/>
          <w:szCs w:val="21"/>
        </w:rPr>
        <w:t>）列入失信被执行人、重大税收违法案件当事人名单、政府采购严重违法失信行为记录名单。</w:t>
      </w:r>
    </w:p>
    <w:p>
      <w:pPr>
        <w:snapToGrid w:val="0"/>
        <w:spacing w:line="360" w:lineRule="auto"/>
        <w:ind w:right="-341" w:firstLine="420" w:firstLineChars="200"/>
        <w:rPr>
          <w:rFonts w:ascii="Times New Roman" w:hAnsi="Times New Roman" w:eastAsia="宋体" w:cs="Times New Roman"/>
        </w:rPr>
      </w:pPr>
      <w:r>
        <w:rPr>
          <w:rFonts w:ascii="Times New Roman" w:hAnsi="Times New Roman" w:eastAsia="宋体" w:cs="Times New Roman"/>
        </w:rPr>
        <w:t>9.</w:t>
      </w:r>
      <w:r>
        <w:rPr>
          <w:rFonts w:hint="eastAsia" w:ascii="Times New Roman" w:hAnsi="Times New Roman" w:eastAsia="宋体" w:cs="Times New Roman"/>
        </w:rPr>
        <w:t>与本投标有关的一切正式往来信函请寄：</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地址：</w:t>
      </w:r>
      <w:r>
        <w:rPr>
          <w:rFonts w:ascii="Times New Roman" w:hAnsi="Times New Roman" w:eastAsia="宋体" w:cs="Times New Roman"/>
        </w:rPr>
        <w:t>__________</w:t>
      </w:r>
      <w:r>
        <w:rPr>
          <w:rFonts w:ascii="Times New Roman" w:hAnsi="Times New Roman" w:eastAsia="宋体" w:cs="Times New Roman"/>
          <w:u w:val="single"/>
        </w:rPr>
        <w:t>_</w:t>
      </w:r>
      <w:r>
        <w:rPr>
          <w:rFonts w:ascii="Times New Roman" w:hAnsi="Times New Roman" w:eastAsia="宋体" w:cs="Times New Roman"/>
        </w:rPr>
        <w:t>____</w:t>
      </w:r>
      <w:r>
        <w:rPr>
          <w:rFonts w:hint="eastAsia" w:ascii="Times New Roman" w:hAnsi="Times New Roman" w:eastAsia="宋体" w:cs="Times New Roman"/>
        </w:rPr>
        <w:t>邮编：</w:t>
      </w:r>
      <w:r>
        <w:rPr>
          <w:rFonts w:ascii="Times New Roman" w:hAnsi="Times New Roman" w:eastAsia="宋体" w:cs="Times New Roman"/>
        </w:rPr>
        <w:t>__________</w:t>
      </w:r>
      <w:r>
        <w:rPr>
          <w:rFonts w:hint="eastAsia" w:ascii="Times New Roman" w:hAnsi="Times New Roman" w:eastAsia="宋体" w:cs="Times New Roman"/>
        </w:rPr>
        <w:t>电话：</w:t>
      </w:r>
      <w:r>
        <w:rPr>
          <w:rFonts w:ascii="Times New Roman" w:hAnsi="Times New Roman" w:eastAsia="宋体" w:cs="Times New Roman"/>
        </w:rPr>
        <w:t>______________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传真：</w:t>
      </w:r>
      <w:r>
        <w:rPr>
          <w:rFonts w:ascii="Times New Roman" w:hAnsi="Times New Roman" w:eastAsia="宋体" w:cs="Times New Roman"/>
        </w:rPr>
        <w:t>______________</w:t>
      </w:r>
      <w:r>
        <w:rPr>
          <w:rFonts w:hint="eastAsia" w:ascii="Times New Roman" w:hAnsi="Times New Roman" w:eastAsia="宋体" w:cs="Times New Roman"/>
        </w:rPr>
        <w:t>投标人代表姓名</w:t>
      </w:r>
      <w:r>
        <w:rPr>
          <w:rFonts w:ascii="Times New Roman" w:hAnsi="Times New Roman" w:eastAsia="宋体" w:cs="Times New Roman"/>
        </w:rPr>
        <w:t>___________</w:t>
      </w:r>
      <w:r>
        <w:rPr>
          <w:rFonts w:hint="eastAsia" w:ascii="Times New Roman" w:hAnsi="Times New Roman" w:eastAsia="宋体" w:cs="Times New Roman"/>
        </w:rPr>
        <w:t>职务：</w:t>
      </w:r>
      <w:r>
        <w:rPr>
          <w:rFonts w:ascii="Times New Roman" w:hAnsi="Times New Roman" w:eastAsia="宋体" w:cs="Times New Roman"/>
        </w:rPr>
        <w:t>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投标人名称</w:t>
      </w:r>
      <w:r>
        <w:rPr>
          <w:rFonts w:ascii="Times New Roman" w:hAnsi="Times New Roman" w:eastAsia="宋体" w:cs="Times New Roman"/>
        </w:rPr>
        <w:t>(</w:t>
      </w:r>
      <w:r>
        <w:rPr>
          <w:rFonts w:hint="eastAsia" w:ascii="Times New Roman" w:hAnsi="Times New Roman" w:eastAsia="宋体" w:cs="Times New Roman"/>
        </w:rPr>
        <w:t>公章</w:t>
      </w:r>
      <w:r>
        <w:rPr>
          <w:rFonts w:ascii="Times New Roman" w:hAnsi="Times New Roman" w:eastAsia="宋体" w:cs="Times New Roman"/>
        </w:rPr>
        <w:t>):___________________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开户银行：银行帐号：</w:t>
      </w:r>
    </w:p>
    <w:p>
      <w:pPr>
        <w:snapToGrid w:val="0"/>
        <w:ind w:right="-341"/>
        <w:rPr>
          <w:rFonts w:ascii="Times New Roman" w:hAnsi="Times New Roman" w:eastAsia="宋体" w:cs="Times New Roman"/>
        </w:rPr>
      </w:pPr>
    </w:p>
    <w:p>
      <w:pPr>
        <w:snapToGrid w:val="0"/>
        <w:spacing w:before="120" w:line="312" w:lineRule="auto"/>
        <w:ind w:right="-341" w:firstLine="2940" w:firstLineChars="1400"/>
        <w:rPr>
          <w:rFonts w:ascii="Times New Roman" w:hAnsi="Times New Roman" w:eastAsia="宋体" w:cs="Times New Roman"/>
        </w:rPr>
      </w:pPr>
      <w:r>
        <w:rPr>
          <w:rFonts w:hint="eastAsia" w:ascii="Times New Roman" w:hAnsi="Times New Roman" w:eastAsia="宋体" w:cs="Times New Roman"/>
        </w:rPr>
        <w:t>日期</w:t>
      </w:r>
      <w:r>
        <w:rPr>
          <w:rFonts w:ascii="Times New Roman" w:hAnsi="Times New Roman" w:eastAsia="宋体" w:cs="Times New Roman"/>
        </w:rPr>
        <w:t>:_____</w:t>
      </w:r>
      <w:r>
        <w:rPr>
          <w:rFonts w:hint="eastAsia" w:ascii="Times New Roman" w:hAnsi="Times New Roman" w:eastAsia="宋体" w:cs="Times New Roman"/>
        </w:rPr>
        <w:t>年</w:t>
      </w:r>
      <w:r>
        <w:rPr>
          <w:rFonts w:ascii="Times New Roman" w:hAnsi="Times New Roman" w:eastAsia="宋体" w:cs="Times New Roman"/>
        </w:rPr>
        <w:t>___</w:t>
      </w:r>
      <w:r>
        <w:rPr>
          <w:rFonts w:hint="eastAsia" w:ascii="Times New Roman" w:hAnsi="Times New Roman" w:eastAsia="宋体" w:cs="Times New Roman"/>
        </w:rPr>
        <w:t>月</w:t>
      </w:r>
      <w:r>
        <w:rPr>
          <w:rFonts w:ascii="Times New Roman" w:hAnsi="Times New Roman" w:eastAsia="宋体" w:cs="Times New Roman"/>
        </w:rPr>
        <w:t>___</w:t>
      </w:r>
      <w:r>
        <w:rPr>
          <w:rFonts w:hint="eastAsia" w:ascii="Times New Roman" w:hAnsi="Times New Roman" w:eastAsia="宋体" w:cs="Times New Roman"/>
        </w:rPr>
        <w:t>日</w:t>
      </w:r>
    </w:p>
    <w:p>
      <w:pPr>
        <w:snapToGrid w:val="0"/>
        <w:spacing w:line="312" w:lineRule="auto"/>
        <w:ind w:right="-341"/>
        <w:jc w:val="left"/>
        <w:rPr>
          <w:rFonts w:ascii="Times New Roman" w:hAnsi="Times New Roman" w:eastAsia="宋体" w:cs="Times New Roman"/>
          <w:b/>
          <w:sz w:val="24"/>
        </w:rPr>
      </w:pPr>
      <w:r>
        <w:rPr>
          <w:rFonts w:ascii="Times New Roman" w:hAnsi="Times New Roman" w:eastAsia="宋体" w:cs="Times New Roman"/>
          <w:kern w:val="0"/>
        </w:rPr>
        <w:br w:type="page"/>
      </w:r>
    </w:p>
    <w:p>
      <w:pPr>
        <w:snapToGrid w:val="0"/>
        <w:spacing w:before="120" w:line="312" w:lineRule="auto"/>
        <w:ind w:right="-341"/>
        <w:jc w:val="center"/>
        <w:rPr>
          <w:rFonts w:ascii="Times New Roman" w:hAnsi="Times New Roman" w:eastAsia="宋体" w:cs="Times New Roman"/>
          <w:b/>
          <w:sz w:val="32"/>
        </w:rPr>
      </w:pPr>
    </w:p>
    <w:p>
      <w:pPr>
        <w:snapToGrid w:val="0"/>
        <w:spacing w:beforeLines="50" w:after="5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六、声明函</w:t>
      </w:r>
    </w:p>
    <w:p>
      <w:pPr>
        <w:snapToGrid w:val="0"/>
        <w:spacing w:beforeLines="50" w:after="50" w:line="360" w:lineRule="auto"/>
        <w:rPr>
          <w:rFonts w:ascii="Times New Roman" w:hAnsi="Times New Roman" w:eastAsia="宋体" w:cs="Times New Roman"/>
          <w:szCs w:val="21"/>
        </w:rPr>
      </w:pPr>
    </w:p>
    <w:p>
      <w:pPr>
        <w:snapToGrid w:val="0"/>
        <w:spacing w:beforeLines="50" w:after="50" w:line="360" w:lineRule="auto"/>
        <w:rPr>
          <w:rFonts w:ascii="Times New Roman" w:hAnsi="Times New Roman" w:eastAsia="宋体" w:cs="Times New Roman"/>
          <w:szCs w:val="21"/>
        </w:rPr>
      </w:pPr>
      <w:r>
        <w:rPr>
          <w:rFonts w:hint="eastAsia" w:ascii="Times New Roman" w:hAnsi="Times New Roman" w:eastAsia="宋体" w:cs="Times New Roman"/>
          <w:szCs w:val="21"/>
        </w:rPr>
        <w:t>致：</w:t>
      </w:r>
      <w:r>
        <w:rPr>
          <w:rFonts w:ascii="Times New Roman" w:hAnsi="Times New Roman" w:eastAsia="宋体" w:cs="Times New Roman"/>
          <w:szCs w:val="21"/>
        </w:rPr>
        <w:t>_</w:t>
      </w:r>
      <w:r>
        <w:rPr>
          <w:rFonts w:hint="eastAsia" w:ascii="Times New Roman" w:hAnsi="Times New Roman" w:eastAsia="宋体" w:cs="Times New Roman"/>
          <w:u w:val="single"/>
        </w:rPr>
        <w:t>深圳市国信招标有限公司</w:t>
      </w:r>
      <w:r>
        <w:rPr>
          <w:rFonts w:ascii="Times New Roman" w:hAnsi="Times New Roman" w:eastAsia="宋体" w:cs="Times New Roman"/>
        </w:rPr>
        <w:t>_</w:t>
      </w:r>
      <w:r>
        <w:rPr>
          <w:rFonts w:hint="eastAsia" w:ascii="Times New Roman" w:hAnsi="Times New Roman" w:eastAsia="宋体" w:cs="Times New Roman"/>
          <w:szCs w:val="21"/>
        </w:rPr>
        <w:t>：</w:t>
      </w:r>
    </w:p>
    <w:p>
      <w:pPr>
        <w:spacing w:after="120"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imes New Roman" w:hAnsi="Times New Roman" w:eastAsia="宋体" w:cs="Times New Roman"/>
          <w:szCs w:val="21"/>
        </w:rPr>
        <w:t>/</w:t>
      </w:r>
      <w:r>
        <w:rPr>
          <w:rFonts w:hint="eastAsia" w:ascii="Times New Roman" w:hAnsi="Times New Roman" w:eastAsia="宋体" w:cs="Times New Roman"/>
          <w:szCs w:val="21"/>
        </w:rPr>
        <w:t>中标</w:t>
      </w:r>
      <w:r>
        <w:rPr>
          <w:rFonts w:ascii="Times New Roman" w:hAnsi="Times New Roman" w:eastAsia="宋体" w:cs="Times New Roman"/>
          <w:szCs w:val="21"/>
        </w:rPr>
        <w:t>/</w:t>
      </w:r>
      <w:r>
        <w:rPr>
          <w:rFonts w:hint="eastAsia" w:ascii="Times New Roman" w:hAnsi="Times New Roman" w:eastAsia="宋体" w:cs="Times New Roman"/>
          <w:szCs w:val="21"/>
        </w:rPr>
        <w:t>签订合同），我方对此无任何异议。</w:t>
      </w:r>
    </w:p>
    <w:p>
      <w:pPr>
        <w:spacing w:after="120"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特此声明！</w:t>
      </w:r>
    </w:p>
    <w:p>
      <w:pPr>
        <w:spacing w:after="120"/>
        <w:ind w:firstLine="480"/>
        <w:rPr>
          <w:rFonts w:ascii="Times New Roman" w:hAnsi="Times New Roman" w:eastAsia="宋体" w:cs="Times New Roman"/>
        </w:rPr>
      </w:pPr>
    </w:p>
    <w:p>
      <w:pPr>
        <w:snapToGrid w:val="0"/>
        <w:spacing w:beforeLines="50"/>
        <w:ind w:firstLine="20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b/>
          <w:spacing w:val="20"/>
          <w:sz w:val="28"/>
        </w:rPr>
      </w:pPr>
      <w:r>
        <w:rPr>
          <w:rFonts w:hint="eastAsia" w:ascii="Times New Roman" w:hAnsi="Times New Roman" w:eastAsia="宋体" w:cs="Times New Roman"/>
        </w:rPr>
        <w:t>投标人名称（盖章）：日期：</w:t>
      </w:r>
    </w:p>
    <w:p>
      <w:pPr>
        <w:snapToGrid w:val="0"/>
        <w:spacing w:beforeLines="50"/>
        <w:ind w:firstLine="200"/>
        <w:jc w:val="right"/>
        <w:rPr>
          <w:rFonts w:ascii="Times New Roman" w:hAnsi="Times New Roman" w:eastAsia="宋体" w:cs="Times New Roman"/>
          <w:szCs w:val="24"/>
        </w:rPr>
      </w:pPr>
    </w:p>
    <w:p>
      <w:pPr>
        <w:snapToGrid w:val="0"/>
        <w:spacing w:beforeLines="50" w:after="50"/>
        <w:ind w:firstLine="482" w:firstLineChars="200"/>
        <w:jc w:val="left"/>
        <w:rPr>
          <w:rFonts w:ascii="Times New Roman" w:hAnsi="Times New Roman" w:eastAsia="宋体" w:cs="Times New Roman"/>
          <w:b/>
          <w:bCs/>
          <w:sz w:val="24"/>
        </w:rPr>
      </w:pPr>
    </w:p>
    <w:p>
      <w:pPr>
        <w:snapToGrid w:val="0"/>
        <w:spacing w:beforeLines="50"/>
        <w:ind w:left="5250" w:firstLine="200"/>
        <w:jc w:val="right"/>
        <w:rPr>
          <w:rFonts w:ascii="Times New Roman" w:hAnsi="Times New Roman" w:eastAsia="宋体" w:cs="Times New Roman"/>
          <w:szCs w:val="24"/>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24"/>
        </w:rPr>
      </w:pPr>
    </w:p>
    <w:p>
      <w:pPr>
        <w:snapToGrid w:val="0"/>
        <w:spacing w:line="312" w:lineRule="auto"/>
        <w:jc w:val="left"/>
        <w:rPr>
          <w:rFonts w:ascii="Times New Roman" w:hAnsi="Times New Roman" w:eastAsia="宋体" w:cs="Times New Roman"/>
          <w:b/>
          <w:sz w:val="24"/>
        </w:rPr>
      </w:pPr>
    </w:p>
    <w:p>
      <w:pPr>
        <w:jc w:val="center"/>
        <w:rPr>
          <w:rFonts w:ascii="Times New Roman" w:hAnsi="Times New Roman" w:eastAsia="宋体" w:cs="Times New Roman"/>
          <w:b/>
          <w:spacing w:val="20"/>
          <w:sz w:val="28"/>
        </w:rPr>
      </w:pPr>
    </w:p>
    <w:p>
      <w:pPr>
        <w:jc w:val="center"/>
        <w:rPr>
          <w:rFonts w:ascii="Times New Roman" w:hAnsi="Times New Roman" w:eastAsia="宋体" w:cs="Times New Roman"/>
          <w:sz w:val="30"/>
          <w:szCs w:val="30"/>
        </w:rPr>
      </w:pPr>
      <w:r>
        <w:rPr>
          <w:rFonts w:hint="eastAsia" w:ascii="Times New Roman" w:hAnsi="Times New Roman" w:eastAsia="宋体" w:cs="Times New Roman"/>
          <w:b/>
          <w:spacing w:val="20"/>
          <w:sz w:val="28"/>
        </w:rPr>
        <w:t>七、</w:t>
      </w:r>
      <w:r>
        <w:rPr>
          <w:rFonts w:hint="eastAsia" w:ascii="Times New Roman" w:hAnsi="Times New Roman" w:eastAsia="宋体" w:cs="Times New Roman"/>
          <w:b/>
          <w:bCs/>
          <w:sz w:val="30"/>
          <w:szCs w:val="30"/>
        </w:rPr>
        <w:t>廉政承诺书</w:t>
      </w:r>
    </w:p>
    <w:p>
      <w:pPr>
        <w:rPr>
          <w:rFonts w:ascii="Times New Roman" w:hAnsi="Times New Roman" w:eastAsia="宋体" w:cs="Times New Roman"/>
          <w:b/>
          <w:bCs/>
          <w:sz w:val="28"/>
          <w:szCs w:val="28"/>
        </w:rPr>
      </w:pPr>
    </w:p>
    <w:p>
      <w:pPr>
        <w:rPr>
          <w:rFonts w:ascii="Times New Roman" w:hAnsi="Times New Roman" w:eastAsia="宋体" w:cs="Times New Roman"/>
          <w:b/>
          <w:bCs/>
          <w:szCs w:val="21"/>
        </w:rPr>
      </w:pPr>
      <w:r>
        <w:rPr>
          <w:rFonts w:hint="eastAsia" w:ascii="Times New Roman" w:hAnsi="Times New Roman" w:eastAsia="宋体" w:cs="Times New Roman"/>
          <w:b/>
          <w:bCs/>
          <w:szCs w:val="21"/>
        </w:rPr>
        <w:t>致：</w:t>
      </w:r>
      <w:r>
        <w:rPr>
          <w:rFonts w:hint="eastAsia" w:ascii="Times New Roman" w:hAnsi="Times New Roman" w:eastAsia="宋体" w:cs="Times New Roman"/>
          <w:b/>
          <w:bCs/>
          <w:szCs w:val="21"/>
          <w:u w:val="single"/>
        </w:rPr>
        <w:t>深圳市国信招标有限公司</w:t>
      </w:r>
      <w:r>
        <w:rPr>
          <w:rFonts w:hint="eastAsia" w:ascii="Times New Roman" w:hAnsi="Times New Roman" w:eastAsia="宋体" w:cs="Times New Roman"/>
          <w:b/>
          <w:bCs/>
          <w:szCs w:val="21"/>
        </w:rPr>
        <w:t>：</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我单位响应你单位项目招标要求参加投标，在这次投标过程中和中标后，我们将严格遵守国家法律法规要求，并郑重承诺</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一、不向项目有关人员及部门赠送礼金礼物、有价证券、回扣以及中介费、介绍费、咨询费等好处费。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二、不为项目有关人员及部门报销应由你方单位或个人支付的费用</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三、不向项目有关人员及部门提供有可能影响公正的宴请和健身娱乐等活动</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四、不为项目有关人员及部门出国</w:t>
      </w:r>
      <w:r>
        <w:rPr>
          <w:rFonts w:ascii="Times New Roman" w:hAnsi="Times New Roman" w:eastAsia="宋体" w:cs="Times New Roman"/>
          <w:szCs w:val="21"/>
        </w:rPr>
        <w:t>(</w:t>
      </w:r>
      <w:r>
        <w:rPr>
          <w:rFonts w:hint="eastAsia" w:ascii="Times New Roman" w:hAnsi="Times New Roman" w:eastAsia="宋体" w:cs="Times New Roman"/>
          <w:szCs w:val="21"/>
        </w:rPr>
        <w:t>境</w:t>
      </w:r>
      <w:r>
        <w:rPr>
          <w:rFonts w:ascii="Times New Roman" w:hAnsi="Times New Roman" w:eastAsia="宋体" w:cs="Times New Roman"/>
          <w:szCs w:val="21"/>
        </w:rPr>
        <w:t>)</w:t>
      </w:r>
      <w:r>
        <w:rPr>
          <w:rFonts w:hint="eastAsia" w:ascii="Times New Roman" w:hAnsi="Times New Roman" w:eastAsia="宋体" w:cs="Times New Roman"/>
          <w:szCs w:val="21"/>
        </w:rPr>
        <w:t>、旅游等提供方便；</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五、不为项目有关人员个人装修住房、婚丧嫁娶、配偶子女工作安排等提供好处</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六、严格遵守政府采购法、民法典等法律，诚实守信，合法经营，坚决抵制各种违法违纪行为。</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投标人</w:t>
      </w:r>
      <w:r>
        <w:rPr>
          <w:rFonts w:ascii="Times New Roman" w:hAnsi="Times New Roman" w:eastAsia="宋体" w:cs="Times New Roman"/>
          <w:szCs w:val="21"/>
        </w:rPr>
        <w:t>:(</w:t>
      </w:r>
      <w:r>
        <w:rPr>
          <w:rFonts w:hint="eastAsia" w:ascii="Times New Roman" w:hAnsi="Times New Roman" w:eastAsia="宋体" w:cs="Times New Roman"/>
          <w:szCs w:val="21"/>
        </w:rPr>
        <w:t>盖章</w:t>
      </w:r>
      <w:r>
        <w:rPr>
          <w:rFonts w:ascii="Times New Roman" w:hAnsi="Times New Roman" w:eastAsia="宋体" w:cs="Times New Roman"/>
          <w:szCs w:val="21"/>
        </w:rPr>
        <w:t>)</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日期</w:t>
      </w:r>
      <w:r>
        <w:rPr>
          <w:rFonts w:ascii="Times New Roman" w:hAnsi="Times New Roman" w:eastAsia="宋体" w:cs="Times New Roman"/>
          <w:szCs w:val="21"/>
        </w:rPr>
        <w:t>:</w:t>
      </w:r>
      <w:r>
        <w:rPr>
          <w:rFonts w:hint="eastAsia" w:ascii="Times New Roman" w:hAnsi="Times New Roman" w:eastAsia="宋体" w:cs="Times New Roman"/>
          <w:szCs w:val="21"/>
        </w:rPr>
        <w:t>年月日</w:t>
      </w: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r>
        <w:rPr>
          <w:rFonts w:hint="eastAsia" w:ascii="Times New Roman" w:hAnsi="Times New Roman" w:eastAsia="宋体" w:cs="Times New Roman"/>
          <w:b/>
          <w:sz w:val="24"/>
        </w:rPr>
        <w:t>八、商务响应表：</w:t>
      </w:r>
    </w:p>
    <w:p>
      <w:pPr>
        <w:snapToGrid w:val="0"/>
        <w:spacing w:before="50" w:line="312" w:lineRule="auto"/>
        <w:jc w:val="center"/>
        <w:rPr>
          <w:rFonts w:ascii="Times New Roman" w:hAnsi="Times New Roman" w:eastAsia="宋体" w:cs="Times New Roman"/>
          <w:b/>
          <w:sz w:val="24"/>
        </w:rPr>
      </w:pP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项目编号：</w:t>
      </w:r>
    </w:p>
    <w:tbl>
      <w:tblPr>
        <w:tblStyle w:val="62"/>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Times New Roman" w:hAnsi="Times New Roman" w:eastAsia="宋体" w:cs="Times New Roman"/>
                <w:b/>
              </w:rPr>
            </w:pPr>
            <w:r>
              <w:rPr>
                <w:rFonts w:hint="eastAsia" w:ascii="Times New Roman" w:hAnsi="Times New Roman" w:eastAsia="宋体" w:cs="Times New Roman"/>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Times New Roman" w:hAnsi="Times New Roman" w:eastAsia="宋体" w:cs="Times New Roman"/>
                <w:b/>
              </w:rPr>
            </w:pPr>
            <w:r>
              <w:rPr>
                <w:rFonts w:hint="eastAsia" w:ascii="Times New Roman" w:hAnsi="Times New Roman" w:eastAsia="宋体" w:cs="Times New Roman"/>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Times New Roman" w:hAnsi="Times New Roman" w:eastAsia="宋体" w:cs="Times New Roman"/>
                <w:b/>
              </w:rPr>
            </w:pPr>
            <w:r>
              <w:rPr>
                <w:rFonts w:hint="eastAsia" w:ascii="Times New Roman" w:hAnsi="Times New Roman" w:eastAsia="宋体" w:cs="Times New Roman"/>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Times New Roman" w:hAnsi="Times New Roman" w:eastAsia="宋体" w:cs="Times New Roman"/>
                <w:b/>
              </w:rPr>
            </w:pPr>
            <w:r>
              <w:rPr>
                <w:rFonts w:hint="eastAsia" w:ascii="Times New Roman" w:hAnsi="Times New Roman" w:eastAsia="宋体" w:cs="Times New Roman"/>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1418"/>
              </w:tabs>
              <w:overflowPunct w:val="0"/>
              <w:autoSpaceDE w:val="0"/>
              <w:autoSpaceDN w:val="0"/>
              <w:adjustRightInd w:val="0"/>
              <w:snapToGrid w:val="0"/>
              <w:spacing w:line="312" w:lineRule="auto"/>
              <w:jc w:val="center"/>
              <w:textAlignment w:val="baseline"/>
              <w:rPr>
                <w:rFonts w:ascii="Times New Roman" w:hAnsi="Times New Roman" w:eastAsia="宋体" w:cs="Times New Roman"/>
                <w:kern w:val="0"/>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ind w:left="43"/>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ind w:left="43"/>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after="360" w:line="312" w:lineRule="auto"/>
              <w:rPr>
                <w:rFonts w:ascii="Times New Roman" w:hAnsi="Times New Roman" w:eastAsia="宋体" w:cs="Times New Roman"/>
                <w:b/>
                <w:bCs/>
                <w:kern w:val="44"/>
                <w:sz w:val="24"/>
                <w:szCs w:val="20"/>
              </w:rPr>
            </w:pPr>
          </w:p>
        </w:tc>
      </w:tr>
    </w:tbl>
    <w:p>
      <w:pPr>
        <w:snapToGrid w:val="0"/>
        <w:spacing w:line="312" w:lineRule="auto"/>
        <w:ind w:left="642" w:hanging="642"/>
        <w:rPr>
          <w:rFonts w:ascii="Times New Roman" w:hAnsi="Times New Roman" w:eastAsia="宋体" w:cs="Times New Roman"/>
          <w:b/>
          <w:spacing w:val="20"/>
          <w:kern w:val="0"/>
          <w:sz w:val="28"/>
          <w:szCs w:val="20"/>
        </w:rPr>
      </w:pPr>
    </w:p>
    <w:p>
      <w:pPr>
        <w:widowControl/>
        <w:spacing w:line="312" w:lineRule="auto"/>
        <w:jc w:val="left"/>
        <w:rPr>
          <w:rFonts w:ascii="Times New Roman" w:hAnsi="Times New Roman" w:eastAsia="宋体" w:cs="Times New Roman"/>
          <w:kern w:val="0"/>
          <w:sz w:val="24"/>
        </w:rPr>
        <w:sectPr>
          <w:pgSz w:w="11906" w:h="16838"/>
          <w:pgMar w:top="1304" w:right="1531" w:bottom="1304" w:left="1531" w:header="1304" w:footer="1304" w:gutter="0"/>
          <w:cols w:space="720" w:num="1"/>
        </w:sectPr>
      </w:pPr>
    </w:p>
    <w:p>
      <w:pPr>
        <w:snapToGrid w:val="0"/>
        <w:spacing w:before="50" w:afterLines="50" w:line="312" w:lineRule="auto"/>
        <w:jc w:val="left"/>
        <w:rPr>
          <w:rFonts w:ascii="Times New Roman" w:hAnsi="Times New Roman" w:eastAsia="宋体" w:cs="Times New Roman"/>
          <w:sz w:val="24"/>
        </w:rPr>
      </w:pPr>
      <w:r>
        <w:rPr>
          <w:rFonts w:hint="eastAsia" w:ascii="Times New Roman" w:hAnsi="Times New Roman" w:eastAsia="宋体" w:cs="Times New Roman"/>
          <w:b/>
          <w:sz w:val="24"/>
        </w:rPr>
        <w:t>九、投标人的类似案例的业绩证明文件：</w:t>
      </w:r>
    </w:p>
    <w:p>
      <w:pPr>
        <w:snapToGrid w:val="0"/>
        <w:spacing w:line="312" w:lineRule="auto"/>
        <w:ind w:left="420" w:hanging="420" w:hangingChars="200"/>
        <w:rPr>
          <w:rFonts w:ascii="Times New Roman" w:hAnsi="Times New Roman" w:eastAsia="宋体" w:cs="Times New Roman"/>
          <w:sz w:val="24"/>
        </w:rPr>
      </w:pPr>
      <w:r>
        <w:rPr>
          <w:rFonts w:hint="eastAsia" w:ascii="Times New Roman" w:hAnsi="Times New Roman" w:eastAsia="宋体" w:cs="Times New Roman"/>
        </w:rPr>
        <w:t>投标人同类项目实施情况一览表格式：（投标人同类项目合同复印件、用户验收报告、用户评价意见格式自拟）</w:t>
      </w:r>
    </w:p>
    <w:tbl>
      <w:tblPr>
        <w:tblStyle w:val="62"/>
        <w:tblW w:w="139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6"/>
        <w:gridCol w:w="3419"/>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采购单位名称</w:t>
            </w:r>
          </w:p>
        </w:tc>
        <w:tc>
          <w:tcPr>
            <w:tcW w:w="341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采购</w:t>
            </w:r>
          </w:p>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合同金额</w:t>
            </w:r>
          </w:p>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采购单位联系人及</w:t>
            </w:r>
          </w:p>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6"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3419"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Lines="50" w:line="312" w:lineRule="auto"/>
              <w:jc w:val="left"/>
              <w:rPr>
                <w:rFonts w:ascii="Times New Roman" w:hAnsi="Times New Roman" w:eastAsia="宋体" w:cs="Times New Roman"/>
                <w:b/>
                <w:bCs/>
                <w:kern w:val="44"/>
                <w:sz w:val="24"/>
                <w:szCs w:val="20"/>
              </w:rPr>
            </w:pPr>
          </w:p>
        </w:tc>
      </w:tr>
    </w:tbl>
    <w:p>
      <w:pPr>
        <w:snapToGrid w:val="0"/>
        <w:spacing w:before="152" w:after="160" w:line="312" w:lineRule="auto"/>
        <w:rPr>
          <w:rFonts w:ascii="Times New Roman" w:hAnsi="Times New Roman" w:eastAsia="宋体" w:cs="Times New Roman"/>
          <w:kern w:val="0"/>
          <w:sz w:val="20"/>
          <w:szCs w:val="20"/>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rPr>
      </w:pPr>
      <w:r>
        <w:rPr>
          <w:rFonts w:hint="eastAsia" w:ascii="Times New Roman" w:hAnsi="Times New Roman" w:eastAsia="宋体" w:cs="Times New Roman"/>
        </w:rPr>
        <w:t>投标人名称（盖章）：年月日</w:t>
      </w:r>
    </w:p>
    <w:p>
      <w:pPr>
        <w:snapToGrid w:val="0"/>
        <w:spacing w:before="50" w:line="312" w:lineRule="auto"/>
        <w:ind w:firstLine="480" w:firstLineChars="200"/>
        <w:jc w:val="left"/>
        <w:rPr>
          <w:rFonts w:ascii="Times New Roman" w:hAnsi="Times New Roman" w:eastAsia="宋体" w:cs="Times New Roman"/>
          <w:sz w:val="24"/>
        </w:rPr>
      </w:pPr>
    </w:p>
    <w:p>
      <w:pPr>
        <w:widowControl/>
        <w:spacing w:line="312" w:lineRule="auto"/>
        <w:jc w:val="left"/>
        <w:rPr>
          <w:rFonts w:ascii="Times New Roman" w:hAnsi="Times New Roman" w:eastAsia="宋体" w:cs="Times New Roman"/>
          <w:kern w:val="0"/>
          <w:sz w:val="30"/>
        </w:rPr>
        <w:sectPr>
          <w:pgSz w:w="16838" w:h="11906" w:orient="landscape"/>
          <w:pgMar w:top="1418" w:right="1361" w:bottom="924" w:left="1134" w:header="851" w:footer="992" w:gutter="0"/>
          <w:cols w:space="720" w:num="1"/>
        </w:sectPr>
      </w:pPr>
    </w:p>
    <w:p>
      <w:pPr>
        <w:snapToGrid w:val="0"/>
        <w:spacing w:beforeLines="50" w:after="50" w:line="312" w:lineRule="auto"/>
        <w:rPr>
          <w:rFonts w:ascii="Times New Roman" w:hAnsi="Times New Roman" w:eastAsia="宋体" w:cs="Times New Roman"/>
          <w:b/>
          <w:sz w:val="24"/>
        </w:rPr>
      </w:pPr>
      <w:r>
        <w:rPr>
          <w:rFonts w:hint="eastAsia" w:ascii="Times New Roman" w:hAnsi="Times New Roman" w:eastAsia="宋体" w:cs="Times New Roman"/>
          <w:b/>
          <w:sz w:val="24"/>
        </w:rPr>
        <w:t>十、</w:t>
      </w:r>
    </w:p>
    <w:p>
      <w:pPr>
        <w:snapToGrid w:val="0"/>
        <w:spacing w:beforeLines="50" w:after="50" w:line="312" w:lineRule="auto"/>
        <w:jc w:val="center"/>
        <w:rPr>
          <w:rFonts w:ascii="Times New Roman" w:hAnsi="Times New Roman" w:eastAsia="宋体" w:cs="Times New Roman"/>
          <w:b/>
          <w:sz w:val="24"/>
        </w:rPr>
      </w:pPr>
      <w:r>
        <w:rPr>
          <w:rFonts w:hint="eastAsia" w:ascii="Times New Roman" w:hAnsi="Times New Roman" w:eastAsia="宋体" w:cs="Times New Roman"/>
          <w:b/>
          <w:sz w:val="24"/>
        </w:rPr>
        <w:t>项目实施人员（主要从业人员及其技术资格）一览表</w:t>
      </w:r>
    </w:p>
    <w:p>
      <w:pPr>
        <w:snapToGrid w:val="0"/>
        <w:spacing w:beforeLines="50" w:after="50" w:line="312" w:lineRule="auto"/>
        <w:rPr>
          <w:rFonts w:ascii="Times New Roman" w:hAnsi="Times New Roman" w:eastAsia="宋体" w:cs="Times New Roman"/>
        </w:rPr>
      </w:pP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项目编号：</w:t>
      </w:r>
    </w:p>
    <w:tbl>
      <w:tblPr>
        <w:tblStyle w:val="62"/>
        <w:tblW w:w="924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2"/>
        <w:gridCol w:w="1260"/>
        <w:gridCol w:w="1619"/>
        <w:gridCol w:w="2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Times New Roman" w:hAnsi="Times New Roman" w:eastAsia="宋体" w:cs="Times New Roman"/>
              </w:rPr>
            </w:pPr>
            <w:r>
              <w:rPr>
                <w:rFonts w:hint="eastAsia" w:ascii="Times New Roman" w:hAnsi="Times New Roman" w:eastAsia="宋体" w:cs="Times New Roman"/>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Times New Roman" w:hAnsi="Times New Roman" w:eastAsia="宋体" w:cs="Times New Roman"/>
              </w:rPr>
            </w:pPr>
            <w:r>
              <w:rPr>
                <w:rFonts w:hint="eastAsia" w:ascii="Times New Roman" w:hAnsi="Times New Roman" w:eastAsia="宋体" w:cs="Times New Roman"/>
              </w:rPr>
              <w:t>职务</w:t>
            </w:r>
          </w:p>
        </w:tc>
        <w:tc>
          <w:tcPr>
            <w:tcW w:w="1662"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jc w:val="center"/>
              <w:rPr>
                <w:rFonts w:ascii="Times New Roman" w:hAnsi="Times New Roman" w:eastAsia="宋体" w:cs="Times New Roman"/>
              </w:rPr>
            </w:pPr>
            <w:r>
              <w:rPr>
                <w:rFonts w:hint="eastAsia" w:ascii="Times New Roman" w:hAnsi="Times New Roman" w:eastAsia="宋体" w:cs="Times New Roman"/>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Times New Roman" w:hAnsi="Times New Roman" w:eastAsia="宋体" w:cs="Times New Roman"/>
              </w:rPr>
            </w:pPr>
            <w:r>
              <w:rPr>
                <w:rFonts w:hint="eastAsia" w:ascii="Times New Roman" w:hAnsi="Times New Roman" w:eastAsia="宋体" w:cs="Times New Roman"/>
              </w:rPr>
              <w:t>证书编号</w:t>
            </w:r>
          </w:p>
        </w:tc>
        <w:tc>
          <w:tcPr>
            <w:tcW w:w="1619"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Times New Roman" w:hAnsi="Times New Roman" w:eastAsia="宋体" w:cs="Times New Roman"/>
              </w:rPr>
            </w:pPr>
            <w:r>
              <w:rPr>
                <w:rFonts w:hint="eastAsia" w:ascii="Times New Roman" w:hAnsi="Times New Roman" w:eastAsia="宋体" w:cs="Times New Roman"/>
              </w:rPr>
              <w:t>参加本单位工作时间</w:t>
            </w:r>
          </w:p>
        </w:tc>
        <w:tc>
          <w:tcPr>
            <w:tcW w:w="2699"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Times New Roman" w:hAnsi="Times New Roman" w:eastAsia="宋体" w:cs="Times New Roman"/>
              </w:rPr>
            </w:pPr>
            <w:r>
              <w:rPr>
                <w:rFonts w:hint="eastAsia" w:ascii="Times New Roman" w:hAnsi="Times New Roman" w:eastAsia="宋体" w:cs="Times New Roman"/>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ind w:left="5250" w:leftChars="2500"/>
              <w:rPr>
                <w:rFonts w:ascii="Times New Roman" w:hAnsi="Times New Roman" w:eastAsia="宋体" w:cs="Times New Roman"/>
                <w:b/>
                <w:bCs/>
                <w:kern w:val="0"/>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Lines="50" w:after="120" w:line="312" w:lineRule="auto"/>
              <w:rPr>
                <w:rFonts w:ascii="Times New Roman" w:hAnsi="Times New Roman" w:eastAsia="宋体" w:cs="Times New Roman"/>
                <w:b/>
                <w:bCs/>
                <w:sz w:val="24"/>
                <w:szCs w:val="36"/>
              </w:rPr>
            </w:pPr>
          </w:p>
        </w:tc>
      </w:tr>
    </w:tbl>
    <w:p>
      <w:pPr>
        <w:snapToGrid w:val="0"/>
        <w:spacing w:before="50" w:afterLines="50" w:line="312" w:lineRule="auto"/>
        <w:jc w:val="left"/>
        <w:rPr>
          <w:rFonts w:ascii="Times New Roman" w:hAnsi="Times New Roman" w:eastAsia="宋体" w:cs="Times New Roman"/>
        </w:rPr>
      </w:pPr>
      <w:r>
        <w:rPr>
          <w:rFonts w:hint="eastAsia" w:ascii="Times New Roman" w:hAnsi="Times New Roman" w:eastAsia="宋体" w:cs="Times New Roman"/>
        </w:rPr>
        <w:t>注：在填写时，如本表格不适合投标单位的实际情况，可根据本表格式自行划表填写。</w:t>
      </w:r>
    </w:p>
    <w:p>
      <w:pPr>
        <w:snapToGrid w:val="0"/>
        <w:spacing w:before="50" w:after="50" w:line="312" w:lineRule="auto"/>
        <w:rPr>
          <w:rFonts w:ascii="Times New Roman" w:hAnsi="Times New Roman" w:eastAsia="宋体" w:cs="Times New Roman"/>
          <w:spacing w:val="20"/>
          <w:sz w:val="24"/>
        </w:rPr>
      </w:pPr>
    </w:p>
    <w:p>
      <w:pPr>
        <w:snapToGrid w:val="0"/>
        <w:spacing w:before="50" w:after="50" w:line="312" w:lineRule="auto"/>
        <w:rPr>
          <w:rFonts w:ascii="Times New Roman" w:hAnsi="Times New Roman" w:eastAsia="宋体" w:cs="Times New Roman"/>
          <w:spacing w:val="20"/>
          <w:sz w:val="24"/>
        </w:rPr>
      </w:pPr>
    </w:p>
    <w:p>
      <w:pPr>
        <w:snapToGrid w:val="0"/>
        <w:ind w:left="2" w:right="-817" w:rightChars="-389"/>
        <w:rPr>
          <w:rFonts w:ascii="Times New Roman" w:hAnsi="Times New Roman" w:eastAsia="宋体" w:cs="Times New Roman"/>
        </w:rPr>
      </w:pPr>
    </w:p>
    <w:p>
      <w:pPr>
        <w:snapToGrid w:val="0"/>
        <w:spacing w:before="50" w:afterLines="50" w:line="312" w:lineRule="auto"/>
        <w:jc w:val="left"/>
        <w:rPr>
          <w:rFonts w:ascii="Times New Roman" w:hAnsi="Times New Roman" w:eastAsia="宋体" w:cs="Times New Roman"/>
          <w:spacing w:val="20"/>
          <w:sz w:val="24"/>
          <w:u w:val="single"/>
        </w:rPr>
      </w:pPr>
      <w:r>
        <w:rPr>
          <w:rFonts w:hint="eastAsia" w:ascii="Times New Roman" w:hAnsi="Times New Roman" w:eastAsia="宋体" w:cs="Times New Roman"/>
        </w:rPr>
        <w:t>投标人名称（盖章）：</w:t>
      </w:r>
      <w:r>
        <w:rPr>
          <w:rFonts w:hint="eastAsia" w:ascii="Times New Roman" w:hAnsi="Times New Roman" w:eastAsia="宋体" w:cs="Times New Roman"/>
          <w:spacing w:val="20"/>
          <w:sz w:val="24"/>
        </w:rPr>
        <w:t>日期：</w:t>
      </w:r>
    </w:p>
    <w:p>
      <w:pPr>
        <w:snapToGrid w:val="0"/>
        <w:spacing w:before="50" w:afterLines="50" w:line="312" w:lineRule="auto"/>
        <w:jc w:val="left"/>
        <w:rPr>
          <w:rFonts w:ascii="Times New Roman" w:hAnsi="Times New Roman" w:eastAsia="宋体" w:cs="Times New Roman"/>
          <w:sz w:val="24"/>
        </w:rPr>
      </w:pPr>
    </w:p>
    <w:p>
      <w:pPr>
        <w:snapToGrid w:val="0"/>
        <w:spacing w:before="50" w:afterLines="50" w:line="312" w:lineRule="auto"/>
        <w:jc w:val="left"/>
        <w:rPr>
          <w:rFonts w:ascii="Times New Roman" w:hAnsi="Times New Roman" w:eastAsia="宋体" w:cs="Times New Roman"/>
          <w:sz w:val="24"/>
        </w:rPr>
      </w:pPr>
    </w:p>
    <w:p>
      <w:pPr>
        <w:snapToGrid w:val="0"/>
        <w:spacing w:before="50" w:afterLines="50" w:line="312" w:lineRule="auto"/>
        <w:jc w:val="left"/>
        <w:rPr>
          <w:rFonts w:ascii="Times New Roman" w:hAnsi="Times New Roman" w:eastAsia="宋体" w:cs="Times New Roman"/>
          <w:sz w:val="24"/>
        </w:rPr>
      </w:pPr>
    </w:p>
    <w:p>
      <w:pPr>
        <w:snapToGrid w:val="0"/>
        <w:spacing w:before="50" w:afterLines="50"/>
        <w:jc w:val="left"/>
        <w:rPr>
          <w:rFonts w:ascii="Times New Roman" w:hAnsi="Times New Roman" w:eastAsia="宋体" w:cs="Times New Roman"/>
          <w:b/>
          <w:sz w:val="24"/>
        </w:rPr>
      </w:pPr>
    </w:p>
    <w:p>
      <w:pPr>
        <w:snapToGrid w:val="0"/>
        <w:spacing w:before="50" w:afterLines="50"/>
        <w:jc w:val="left"/>
        <w:rPr>
          <w:rFonts w:ascii="Times New Roman" w:hAnsi="Times New Roman" w:eastAsia="宋体" w:cs="Times New Roman"/>
          <w:b/>
          <w:sz w:val="24"/>
        </w:rPr>
      </w:pPr>
    </w:p>
    <w:p>
      <w:pPr>
        <w:snapToGrid w:val="0"/>
        <w:spacing w:before="50" w:afterLines="50"/>
        <w:jc w:val="left"/>
        <w:rPr>
          <w:rFonts w:ascii="宋体" w:hAnsi="宋体" w:eastAsia="宋体" w:cs="Times New Roman"/>
          <w:b/>
          <w:sz w:val="28"/>
          <w:szCs w:val="28"/>
        </w:rPr>
      </w:pPr>
      <w:r>
        <w:rPr>
          <w:rFonts w:hint="eastAsia" w:ascii="Times New Roman" w:hAnsi="Times New Roman" w:eastAsia="宋体" w:cs="Times New Roman"/>
          <w:b/>
          <w:sz w:val="24"/>
        </w:rPr>
        <w:t>十一、</w:t>
      </w:r>
      <w:r>
        <w:rPr>
          <w:rFonts w:hint="eastAsia" w:ascii="宋体" w:hAnsi="宋体" w:eastAsia="宋体" w:cs="Times New Roman"/>
          <w:b/>
          <w:sz w:val="28"/>
          <w:szCs w:val="28"/>
        </w:rPr>
        <w:t>组织实施方案</w:t>
      </w:r>
    </w:p>
    <w:p>
      <w:pPr>
        <w:snapToGrid w:val="0"/>
        <w:spacing w:before="50" w:afterLines="50"/>
        <w:jc w:val="left"/>
        <w:rPr>
          <w:rFonts w:ascii="宋体" w:hAnsi="宋体" w:eastAsia="宋体" w:cs="Times New Roman"/>
          <w:b/>
          <w:sz w:val="24"/>
        </w:rPr>
      </w:pPr>
    </w:p>
    <w:p>
      <w:pPr>
        <w:tabs>
          <w:tab w:val="left" w:pos="2790"/>
          <w:tab w:val="left" w:pos="4230"/>
        </w:tabs>
        <w:autoSpaceDE w:val="0"/>
        <w:autoSpaceDN w:val="0"/>
        <w:spacing w:line="440" w:lineRule="exact"/>
        <w:ind w:right="1400"/>
        <w:outlineLvl w:val="1"/>
        <w:rPr>
          <w:rFonts w:ascii="宋体" w:hAnsi="宋体" w:eastAsia="宋体" w:cs="仿宋_GB2312"/>
          <w:b/>
          <w:bCs/>
          <w:kern w:val="0"/>
          <w:szCs w:val="21"/>
          <w:lang w:val="zh-CN"/>
        </w:rPr>
      </w:pPr>
      <w:r>
        <w:rPr>
          <w:rFonts w:hint="eastAsia" w:ascii="宋体" w:hAnsi="宋体" w:eastAsia="宋体" w:cs="仿宋_GB2312"/>
          <w:b/>
          <w:bCs/>
          <w:kern w:val="0"/>
          <w:szCs w:val="21"/>
          <w:lang w:val="zh-CN"/>
        </w:rPr>
        <w:t>附表:项目实施进度计划表</w:t>
      </w:r>
      <w:r>
        <w:rPr>
          <w:rFonts w:hint="eastAsia" w:ascii="宋体" w:hAnsi="宋体" w:eastAsia="宋体" w:cs="Times New Roman"/>
          <w:b/>
          <w:szCs w:val="21"/>
        </w:rPr>
        <w:t>(以生效日算起)</w:t>
      </w:r>
    </w:p>
    <w:tbl>
      <w:tblPr>
        <w:tblStyle w:val="62"/>
        <w:tblW w:w="988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516"/>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ascii="Calibri" w:hAnsi="Calibri" w:eastAsia="宋体" w:cs="Times New Roman"/>
              </w:rPr>
              <w:pict>
                <v:group id="组合 1" o:spid="_x0000_s2050" o:spt="203" style="position:absolute;left:0pt;margin-left:-5.15pt;margin-top:0pt;height:93pt;width:58.9pt;z-index:251659264;mso-width-relative:page;mso-height-relative:page;" coordsize="0,203203" o:gfxdata="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W&#10;AAAAZHJzL1BLAQIUABQAAAAIAIdO4kD1y1ye2AAAAAgBAAAPAAAAAAAAAAEAIAAAADgAAABkcnMv&#10;ZG93bnJldi54bWxQSwECFAAUAAAACACHTuJAjtzkmQoDAAA4CwAADgAAAAAAAAABACAAAAA9AQAA&#10;ZHJzL2Uyb0RvYy54bWxQSwUGAAAAAAYABgBZAQAAuQYAAAAA&#10;">
                  <o:lock v:ext="edit"/>
                  <v:line id="__TH_L2" o:spid="_x0000_s2054" o:spt="20" style="position:absolute;left:0;top:0;height:18;width:11;" coordsize="21600,21600" o:gfxdata="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SZM5G7AAAA2gAAAA8AAAAAAAAAAQAgAAAAOAAAAGRycy9kb3ducmV2Lnht&#10;bFBLAQIUABQAAAAIAIdO4kAzLwWeOwAAADkAAAAQAAAAAAAAAAEAIAAAACABAABkcnMvc2hhcGV4&#10;bWwueG1sUEsFBgAAAAAGAAYAWwEAAMoDAAAAAA==&#10;">
                    <v:path arrowok="t"/>
                    <v:fill focussize="0,0"/>
                    <v:stroke weight="0.5pt"/>
                    <v:imagedata o:title=""/>
                    <o:lock v:ext="edit"/>
                  </v:line>
                  <v:shape id="__TH_B113" o:spid="_x0000_s2053" o:spt="202" type="#_x0000_t202" style="position:absolute;left:4;top:1;height:2;width:3;" filled="f" stroked="f" coordsize="21600,21600" o:gfxdata="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QBg570AAADaAAAADwAAAAAAAAABACAAAAA4AAAAZHJzL2Rvd25yZXYu&#10;eG1sUEsBAhQAFAAAAAgAh07iQDMvBZ47AAAAOQAAABAAAAAAAAAAAQAgAAAAIgEAAGRycy9zaGFw&#10;ZXhtbC54bWxQSwUGAAAAAAYABgBbAQAAzAMAAAAA&#10;">
                    <v:path/>
                    <v:fill on="f" focussize="0,0"/>
                    <v:stroke on="f" joinstyle="miter"/>
                    <v:imagedata o:title=""/>
                    <o:lock v:ext="edit"/>
                    <v:textbox inset="0mm,0mm,0mm,0mm">
                      <w:txbxContent>
                        <w:p>
                          <w:pPr>
                            <w:snapToGrid w:val="0"/>
                          </w:pPr>
                          <w:r>
                            <w:rPr>
                              <w:rFonts w:hint="eastAsia"/>
                            </w:rPr>
                            <w:t>工</w:t>
                          </w:r>
                        </w:p>
                      </w:txbxContent>
                    </v:textbox>
                  </v:shape>
                  <v:shape id="__TH_B124" o:spid="_x0000_s2052" o:spt="202" type="#_x0000_t202" style="position:absolute;left:6;top:4;height:2;width:2;" filled="f" stroked="f" coordsize="21600,21600" o:gfxdata="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S/pC+AAAA2gAAAA8AAAAAAAAAAQAgAAAAOAAAAGRycy9kb3ducmV2&#10;LnhtbFBLAQIUABQAAAAIAIdO4kAzLwWeOwAAADkAAAAQAAAAAAAAAAEAIAAAACMBAABkcnMvc2hh&#10;cGV4bWwueG1sUEsFBgAAAAAGAAYAWwEAAM0DAAAAAA==&#10;">
                    <v:path/>
                    <v:fill on="f" focussize="0,0"/>
                    <v:stroke on="f" joinstyle="miter"/>
                    <v:imagedata o:title=""/>
                    <o:lock v:ext="edit"/>
                    <v:textbox inset="0mm,0mm,0mm,0mm">
                      <w:txbxContent>
                        <w:p>
                          <w:pPr>
                            <w:snapToGrid w:val="0"/>
                          </w:pPr>
                          <w:r>
                            <w:rPr>
                              <w:rFonts w:hint="eastAsia"/>
                            </w:rPr>
                            <w:t>作</w:t>
                          </w:r>
                        </w:p>
                      </w:txbxContent>
                    </v:textbox>
                  </v:shape>
                  <v:shape id="__TH_B135" o:spid="_x0000_s2051" o:spt="202" type="#_x0000_t202" style="position:absolute;left:8;top:7;height:2;width:2;" filled="f" stroked="f" coordsize="21600,21600" o:gfxdata="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&#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wTWriuQAAANoAAAAPAAAAAAAAAAEAIAAAADgAAABkcnMvZG93bnJldi54bWxQ&#10;SwECFAAUAAAACACHTuJAMy8FnjsAAAA5AAAAEAAAAAAAAAABACAAAAAeAQAAZHJzL3NoYXBleG1s&#10;LnhtbFBLBQYAAAAABgAGAFsBAADIAwAAAAA=&#10;">
                    <v:path/>
                    <v:fill on="f" focussize="0,0"/>
                    <v:stroke on="f" joinstyle="miter"/>
                    <v:imagedata o:title=""/>
                    <o:lock v:ext="edit"/>
                    <v:textbox inset="0mm,0mm,0mm,0mm">
                      <w:txbxContent>
                        <w:p>
                          <w:pPr>
                            <w:snapToGrid w:val="0"/>
                          </w:pPr>
                          <w:r>
                            <w:rPr>
                              <w:rFonts w:hint="eastAsia"/>
                            </w:rPr>
                            <w:t>日</w:t>
                          </w:r>
                        </w:p>
                      </w:txbxContent>
                    </v:textbox>
                  </v:shape>
                </v:group>
              </w:pic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内容</w:t>
            </w:r>
          </w:p>
        </w:tc>
        <w:tc>
          <w:tcPr>
            <w:tcW w:w="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2</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3</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4</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5</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6</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7</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8</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9</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10</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11</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12</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13</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14</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15</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szCs w:val="21"/>
              </w:rPr>
            </w:pPr>
          </w:p>
        </w:tc>
        <w:tc>
          <w:tcPr>
            <w:tcW w:w="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Cs w:val="21"/>
              </w:rPr>
            </w:pPr>
          </w:p>
        </w:tc>
      </w:tr>
    </w:tbl>
    <w:p>
      <w:pPr>
        <w:autoSpaceDE w:val="0"/>
        <w:autoSpaceDN w:val="0"/>
        <w:spacing w:line="440" w:lineRule="exact"/>
        <w:rPr>
          <w:rFonts w:ascii="宋体" w:hAnsi="宋体" w:eastAsia="宋体" w:cs="Times New Roman"/>
          <w:b/>
          <w:szCs w:val="21"/>
        </w:rPr>
      </w:pPr>
      <w:r>
        <w:rPr>
          <w:rFonts w:hint="eastAsia" w:ascii="宋体" w:hAnsi="宋体" w:eastAsia="宋体" w:cs="Times New Roman"/>
          <w:b/>
          <w:szCs w:val="21"/>
        </w:rPr>
        <w:t>注：投标人可按上述时间表的格式自行编制切合实际的具体时间表。</w:t>
      </w:r>
    </w:p>
    <w:p>
      <w:pPr>
        <w:autoSpaceDE w:val="0"/>
        <w:autoSpaceDN w:val="0"/>
        <w:spacing w:line="420" w:lineRule="exact"/>
        <w:rPr>
          <w:rFonts w:ascii="仿宋_GB2312" w:hAnsi="Times New Roman" w:eastAsia="仿宋_GB2312" w:cs="Times New Roman"/>
          <w:kern w:val="0"/>
          <w:sz w:val="24"/>
        </w:rPr>
      </w:pP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spacing w:before="50" w:afterLines="50"/>
        <w:jc w:val="left"/>
        <w:rPr>
          <w:rFonts w:ascii="宋体" w:hAnsi="宋体" w:eastAsia="宋体" w:cs="Times New Roman"/>
          <w:b/>
          <w:sz w:val="24"/>
        </w:rPr>
      </w:pPr>
      <w:r>
        <w:rPr>
          <w:rFonts w:hint="eastAsia" w:ascii="宋体" w:hAnsi="宋体" w:eastAsia="宋体" w:cs="Times New Roman"/>
        </w:rPr>
        <w:t>投标人名称（盖章）：</w:t>
      </w:r>
      <w:r>
        <w:rPr>
          <w:rFonts w:hint="eastAsia" w:ascii="宋体" w:hAnsi="宋体" w:eastAsia="宋体" w:cs="Times New Roman"/>
          <w:spacing w:val="20"/>
        </w:rPr>
        <w:t>日期：</w:t>
      </w:r>
      <w:r>
        <w:rPr>
          <w:rFonts w:hint="eastAsia" w:ascii="宋体" w:hAnsi="宋体" w:eastAsia="宋体" w:cs="Times New Roman"/>
        </w:rPr>
        <w:br w:type="page"/>
      </w:r>
      <w:r>
        <w:rPr>
          <w:rFonts w:hint="eastAsia" w:ascii="宋体" w:hAnsi="宋体" w:eastAsia="宋体" w:cs="Times New Roman"/>
          <w:b/>
          <w:sz w:val="24"/>
        </w:rPr>
        <w:t>十二、技术响应表格式：</w:t>
      </w:r>
    </w:p>
    <w:p>
      <w:pPr>
        <w:rPr>
          <w:rFonts w:ascii="宋体" w:hAnsi="宋体" w:eastAsia="宋体" w:cs="Times New Roman"/>
        </w:rPr>
      </w:pPr>
      <w:r>
        <w:rPr>
          <w:rFonts w:hint="eastAsia" w:ascii="宋体" w:hAnsi="宋体" w:eastAsia="宋体" w:cs="Times New Roman"/>
        </w:rPr>
        <w:t>项目名称：</w:t>
      </w:r>
    </w:p>
    <w:p>
      <w:pPr>
        <w:snapToGrid w:val="0"/>
        <w:spacing w:line="360" w:lineRule="auto"/>
        <w:rPr>
          <w:rFonts w:ascii="宋体" w:hAnsi="Times New Roman" w:eastAsia="宋体" w:cs="Times New Roman"/>
        </w:rPr>
      </w:pPr>
      <w:r>
        <w:rPr>
          <w:rFonts w:hint="eastAsia" w:ascii="宋体" w:hAnsi="宋体" w:eastAsia="宋体" w:cs="Times New Roman"/>
        </w:rPr>
        <w:t>项目编号：</w:t>
      </w:r>
    </w:p>
    <w:tbl>
      <w:tblPr>
        <w:tblStyle w:val="62"/>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投标文件响应</w:t>
            </w:r>
          </w:p>
        </w:tc>
        <w:tc>
          <w:tcPr>
            <w:tcW w:w="142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要求</w:t>
            </w:r>
          </w:p>
        </w:tc>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bl>
    <w:p>
      <w:pPr>
        <w:snapToGrid w:val="0"/>
        <w:spacing w:before="50" w:after="50"/>
        <w:rPr>
          <w:rFonts w:ascii="宋体" w:hAnsi="宋体" w:eastAsia="宋体" w:cs="Times New Roman"/>
          <w:b/>
        </w:rPr>
      </w:pPr>
    </w:p>
    <w:p>
      <w:pPr>
        <w:snapToGrid w:val="0"/>
        <w:spacing w:before="50" w:after="50"/>
        <w:rPr>
          <w:rFonts w:ascii="宋体" w:hAnsi="宋体" w:eastAsia="宋体" w:cs="Times New Roman"/>
          <w:b/>
          <w:spacing w:val="20"/>
          <w:sz w:val="24"/>
        </w:rPr>
      </w:pP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spacing w:before="50" w:after="50"/>
        <w:rPr>
          <w:rFonts w:ascii="宋体" w:hAnsi="宋体" w:eastAsia="宋体" w:cs="Times New Roman"/>
          <w:sz w:val="24"/>
        </w:rPr>
      </w:pPr>
      <w:r>
        <w:rPr>
          <w:rFonts w:hint="eastAsia" w:ascii="宋体" w:hAnsi="宋体" w:eastAsia="宋体" w:cs="Times New Roman"/>
        </w:rPr>
        <w:t>投标人名称（盖章）：</w:t>
      </w:r>
      <w:r>
        <w:rPr>
          <w:rFonts w:hint="eastAsia" w:ascii="宋体" w:hAnsi="宋体" w:eastAsia="宋体" w:cs="Times New Roman"/>
          <w:spacing w:val="20"/>
        </w:rPr>
        <w:t>日期：</w:t>
      </w:r>
    </w:p>
    <w:p>
      <w:pPr>
        <w:snapToGrid w:val="0"/>
        <w:spacing w:before="50" w:afterLines="50"/>
        <w:jc w:val="left"/>
        <w:rPr>
          <w:rFonts w:ascii="宋体" w:hAnsi="宋体" w:eastAsia="宋体" w:cs="Times New Roman"/>
          <w:b/>
          <w:sz w:val="24"/>
        </w:rPr>
      </w:pPr>
    </w:p>
    <w:p>
      <w:pPr>
        <w:rPr>
          <w:rFonts w:ascii="宋体" w:hAnsi="宋体" w:eastAsia="宋体" w:cs="Times New Roman"/>
          <w:b/>
          <w:sz w:val="24"/>
        </w:rPr>
      </w:pPr>
      <w:r>
        <w:rPr>
          <w:rFonts w:ascii="宋体" w:hAnsi="宋体" w:eastAsia="宋体" w:cs="Times New Roman"/>
          <w:b/>
          <w:sz w:val="24"/>
        </w:rPr>
        <w:br w:type="page"/>
      </w:r>
    </w:p>
    <w:p>
      <w:pPr>
        <w:pStyle w:val="17"/>
        <w:overflowPunct w:val="0"/>
        <w:spacing w:line="360" w:lineRule="auto"/>
        <w:ind w:firstLine="0"/>
        <w:rPr>
          <w:rFonts w:ascii="宋体" w:hAnsi="宋体"/>
          <w:b/>
          <w:bCs/>
          <w:kern w:val="2"/>
          <w:sz w:val="32"/>
          <w:szCs w:val="32"/>
        </w:rPr>
      </w:pPr>
      <w:r>
        <w:rPr>
          <w:rFonts w:hint="eastAsia" w:ascii="宋体" w:hAnsi="宋体"/>
          <w:b/>
          <w:sz w:val="24"/>
        </w:rPr>
        <w:t xml:space="preserve">十三： </w:t>
      </w:r>
    </w:p>
    <w:p>
      <w:pPr>
        <w:pStyle w:val="17"/>
        <w:overflowPunct w:val="0"/>
        <w:spacing w:line="360" w:lineRule="auto"/>
        <w:ind w:firstLine="0"/>
        <w:jc w:val="center"/>
        <w:rPr>
          <w:rFonts w:ascii="宋体" w:hAnsi="宋体"/>
          <w:b/>
          <w:bCs/>
          <w:kern w:val="2"/>
          <w:sz w:val="32"/>
          <w:szCs w:val="32"/>
        </w:rPr>
      </w:pPr>
      <w:r>
        <w:rPr>
          <w:rFonts w:hint="eastAsia" w:ascii="宋体" w:hAnsi="宋体"/>
          <w:b/>
          <w:bCs/>
          <w:kern w:val="2"/>
          <w:sz w:val="32"/>
          <w:szCs w:val="32"/>
        </w:rPr>
        <w:t>联合投标协议书</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甲方：</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乙方：</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（如果有的话，可按甲、乙、丙、丁…序列增加）</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各方经协商，就响应  组织实施的编号为 号的招标活动联合进行投标之事宜，达成如下协议：</w:t>
      </w:r>
    </w:p>
    <w:p>
      <w:pPr>
        <w:pStyle w:val="17"/>
        <w:overflowPunct w:val="0"/>
        <w:spacing w:line="460" w:lineRule="exact"/>
        <w:ind w:firstLine="449" w:firstLineChars="214"/>
        <w:rPr>
          <w:rFonts w:ascii="宋体" w:hAnsi="宋体"/>
          <w:b/>
          <w:bCs/>
          <w:kern w:val="2"/>
          <w:sz w:val="21"/>
          <w:szCs w:val="21"/>
        </w:rPr>
      </w:pPr>
      <w:r>
        <w:rPr>
          <w:rFonts w:hint="eastAsia" w:ascii="宋体" w:hAnsi="宋体"/>
          <w:kern w:val="2"/>
          <w:sz w:val="21"/>
          <w:szCs w:val="21"/>
        </w:rPr>
        <w:t>一、</w:t>
      </w:r>
      <w:r>
        <w:rPr>
          <w:rFonts w:hint="eastAsia" w:ascii="宋体" w:hAnsi="宋体"/>
          <w:b/>
          <w:bCs/>
          <w:kern w:val="2"/>
          <w:sz w:val="21"/>
          <w:szCs w:val="21"/>
        </w:rPr>
        <w:t>各方一致决定，以主办人进行投标，并按照招标文件的规定分别提交资格文件。</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三、联合投标其余各方保证对主办人为响应本次招标而提供的产品和服务提供全部质量保证及售后服务支持。</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四、本次联合投标中，甲方承担的工作和义务为:</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乙方承担的工作和义务为：</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有关本次联合投标的其他事宜：联合体成员各自与采购人进行结算。</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六、本协议提交招标方后，联合投标各方不得以任何形式对上述实质内容进行修改或撤销。</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七、本协议签约各方各持一份，并作为投标文件的一部分。</w:t>
      </w:r>
    </w:p>
    <w:tbl>
      <w:tblPr>
        <w:tblStyle w:val="6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tcPr>
          <w:p>
            <w:pPr>
              <w:pStyle w:val="17"/>
              <w:overflowPunct w:val="0"/>
              <w:spacing w:line="460" w:lineRule="exact"/>
              <w:ind w:firstLine="0"/>
              <w:rPr>
                <w:rFonts w:ascii="宋体" w:hAnsi="宋体"/>
                <w:kern w:val="2"/>
                <w:sz w:val="21"/>
                <w:szCs w:val="21"/>
              </w:rPr>
            </w:pPr>
            <w:r>
              <w:rPr>
                <w:rFonts w:hint="eastAsia" w:ascii="宋体" w:hAnsi="宋体"/>
                <w:kern w:val="2"/>
                <w:sz w:val="21"/>
                <w:szCs w:val="21"/>
              </w:rPr>
              <w:t>甲方单位：（公章）</w:t>
            </w:r>
          </w:p>
          <w:p>
            <w:pPr>
              <w:pStyle w:val="17"/>
              <w:overflowPunct w:val="0"/>
              <w:spacing w:line="460" w:lineRule="exact"/>
              <w:ind w:firstLine="0"/>
              <w:rPr>
                <w:rFonts w:ascii="宋体" w:hAnsi="宋体"/>
                <w:kern w:val="2"/>
                <w:sz w:val="21"/>
                <w:szCs w:val="21"/>
              </w:rPr>
            </w:pPr>
            <w:r>
              <w:rPr>
                <w:rFonts w:hint="eastAsia" w:ascii="宋体" w:hAnsi="宋体"/>
                <w:kern w:val="2"/>
                <w:sz w:val="21"/>
                <w:szCs w:val="21"/>
              </w:rPr>
              <w:t>法定代表人：（签章）</w:t>
            </w:r>
          </w:p>
          <w:p>
            <w:pPr>
              <w:pStyle w:val="17"/>
              <w:overflowPunct w:val="0"/>
              <w:spacing w:line="460" w:lineRule="exact"/>
              <w:ind w:firstLine="0"/>
              <w:rPr>
                <w:rFonts w:ascii="宋体" w:hAnsi="宋体"/>
                <w:kern w:val="2"/>
                <w:sz w:val="21"/>
                <w:szCs w:val="21"/>
              </w:rPr>
            </w:pPr>
            <w:r>
              <w:rPr>
                <w:rFonts w:hint="eastAsia" w:ascii="宋体" w:hAnsi="宋体"/>
                <w:kern w:val="2"/>
                <w:sz w:val="21"/>
                <w:szCs w:val="21"/>
              </w:rPr>
              <w:t>日  期：年月日</w:t>
            </w:r>
          </w:p>
        </w:tc>
        <w:tc>
          <w:tcPr>
            <w:tcW w:w="4264" w:type="dxa"/>
            <w:noWrap/>
          </w:tcPr>
          <w:p>
            <w:pPr>
              <w:pStyle w:val="17"/>
              <w:overflowPunct w:val="0"/>
              <w:spacing w:line="460" w:lineRule="exact"/>
              <w:ind w:firstLine="0"/>
              <w:rPr>
                <w:rFonts w:ascii="宋体" w:hAnsi="宋体"/>
                <w:kern w:val="2"/>
                <w:sz w:val="21"/>
                <w:szCs w:val="21"/>
              </w:rPr>
            </w:pPr>
            <w:r>
              <w:rPr>
                <w:rFonts w:hint="eastAsia" w:ascii="宋体" w:hAnsi="宋体"/>
                <w:kern w:val="2"/>
                <w:sz w:val="21"/>
                <w:szCs w:val="21"/>
              </w:rPr>
              <w:t>乙方单位：（公章）</w:t>
            </w:r>
          </w:p>
          <w:p>
            <w:pPr>
              <w:pStyle w:val="17"/>
              <w:overflowPunct w:val="0"/>
              <w:spacing w:line="460" w:lineRule="exact"/>
              <w:ind w:firstLine="0"/>
              <w:rPr>
                <w:rFonts w:ascii="宋体" w:hAnsi="宋体"/>
                <w:kern w:val="2"/>
                <w:sz w:val="21"/>
                <w:szCs w:val="21"/>
              </w:rPr>
            </w:pPr>
            <w:r>
              <w:rPr>
                <w:rFonts w:hint="eastAsia" w:ascii="宋体" w:hAnsi="宋体"/>
                <w:kern w:val="2"/>
                <w:sz w:val="21"/>
                <w:szCs w:val="21"/>
              </w:rPr>
              <w:t>法定代表人：（签章）</w:t>
            </w:r>
          </w:p>
          <w:p>
            <w:pPr>
              <w:pStyle w:val="17"/>
              <w:overflowPunct w:val="0"/>
              <w:spacing w:line="460" w:lineRule="exact"/>
              <w:ind w:firstLine="0"/>
              <w:rPr>
                <w:rFonts w:ascii="宋体" w:hAnsi="宋体"/>
                <w:kern w:val="2"/>
                <w:sz w:val="21"/>
                <w:szCs w:val="21"/>
              </w:rPr>
            </w:pPr>
            <w:r>
              <w:rPr>
                <w:rFonts w:hint="eastAsia" w:ascii="宋体" w:hAnsi="宋体"/>
                <w:kern w:val="2"/>
                <w:sz w:val="21"/>
                <w:szCs w:val="21"/>
              </w:rPr>
              <w:t>日  期：年月日</w:t>
            </w:r>
          </w:p>
        </w:tc>
      </w:tr>
    </w:tbl>
    <w:p>
      <w:pPr>
        <w:rPr>
          <w:rFonts w:ascii="宋体" w:hAnsi="宋体" w:eastAsia="宋体" w:cs="仿宋_GB2312"/>
          <w:color w:val="000000"/>
          <w:sz w:val="24"/>
        </w:rPr>
      </w:pPr>
      <w:r>
        <w:rPr>
          <w:rFonts w:hint="eastAsia" w:ascii="宋体" w:hAnsi="宋体" w:eastAsia="宋体"/>
          <w:sz w:val="24"/>
        </w:rPr>
        <w:br w:type="page"/>
      </w:r>
    </w:p>
    <w:p>
      <w:pPr>
        <w:pStyle w:val="17"/>
        <w:overflowPunct w:val="0"/>
        <w:spacing w:line="360" w:lineRule="auto"/>
        <w:ind w:firstLine="0"/>
        <w:rPr>
          <w:rFonts w:ascii="宋体" w:hAnsi="宋体"/>
          <w:b/>
          <w:bCs/>
          <w:kern w:val="2"/>
          <w:sz w:val="32"/>
          <w:szCs w:val="32"/>
        </w:rPr>
      </w:pPr>
      <w:r>
        <w:rPr>
          <w:rFonts w:hint="eastAsia" w:ascii="宋体" w:hAnsi="宋体"/>
          <w:b/>
          <w:sz w:val="24"/>
        </w:rPr>
        <w:t xml:space="preserve">十四： </w:t>
      </w:r>
    </w:p>
    <w:p>
      <w:pPr>
        <w:pStyle w:val="17"/>
        <w:overflowPunct w:val="0"/>
        <w:spacing w:line="460" w:lineRule="exact"/>
        <w:ind w:firstLine="0"/>
        <w:rPr>
          <w:rFonts w:ascii="宋体" w:hAnsi="宋体"/>
          <w:kern w:val="2"/>
          <w:sz w:val="24"/>
          <w:szCs w:val="24"/>
        </w:rPr>
      </w:pPr>
    </w:p>
    <w:p>
      <w:pPr>
        <w:pStyle w:val="17"/>
        <w:overflowPunct w:val="0"/>
        <w:spacing w:line="460" w:lineRule="exact"/>
        <w:ind w:firstLine="687" w:firstLineChars="214"/>
        <w:jc w:val="center"/>
        <w:rPr>
          <w:rFonts w:ascii="宋体" w:hAnsi="宋体"/>
          <w:b/>
          <w:bCs/>
          <w:kern w:val="2"/>
          <w:sz w:val="32"/>
          <w:szCs w:val="32"/>
        </w:rPr>
      </w:pPr>
      <w:r>
        <w:rPr>
          <w:rFonts w:hint="eastAsia" w:ascii="宋体" w:hAnsi="宋体"/>
          <w:b/>
          <w:bCs/>
          <w:kern w:val="2"/>
          <w:sz w:val="32"/>
          <w:szCs w:val="32"/>
        </w:rPr>
        <w:t>联合投标授权委托书</w:t>
      </w:r>
    </w:p>
    <w:p>
      <w:pPr>
        <w:pStyle w:val="17"/>
        <w:overflowPunct w:val="0"/>
        <w:spacing w:line="460" w:lineRule="exact"/>
        <w:ind w:firstLine="513" w:firstLineChars="214"/>
        <w:rPr>
          <w:rFonts w:ascii="宋体" w:hAnsi="宋体"/>
          <w:kern w:val="2"/>
          <w:sz w:val="24"/>
          <w:szCs w:val="24"/>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 xml:space="preserve"> 特此委托。</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授权人（签名）：</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日期：年月日</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授权代表（签名）；</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日期：年月日</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tbl>
      <w:tblPr>
        <w:tblStyle w:val="6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tcPr>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联合体甲方单位：（公章）</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法定代表人：（签章）</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日  期：年月日</w:t>
            </w:r>
          </w:p>
        </w:tc>
        <w:tc>
          <w:tcPr>
            <w:tcW w:w="4264" w:type="dxa"/>
            <w:noWrap/>
          </w:tcPr>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联合体乙方单位：（公章）</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法定代表人：（签章）</w:t>
            </w: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p>
          <w:p>
            <w:pPr>
              <w:pStyle w:val="17"/>
              <w:overflowPunct w:val="0"/>
              <w:spacing w:line="460" w:lineRule="exact"/>
              <w:ind w:firstLine="449" w:firstLineChars="214"/>
              <w:rPr>
                <w:rFonts w:ascii="宋体" w:hAnsi="宋体"/>
                <w:kern w:val="2"/>
                <w:sz w:val="21"/>
                <w:szCs w:val="21"/>
              </w:rPr>
            </w:pPr>
            <w:r>
              <w:rPr>
                <w:rFonts w:hint="eastAsia" w:ascii="宋体" w:hAnsi="宋体"/>
                <w:kern w:val="2"/>
                <w:sz w:val="21"/>
                <w:szCs w:val="21"/>
              </w:rPr>
              <w:t>日  期：年月日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2OcuAe">
    <w:altName w:val="MingLiU-ExtB"/>
    <w:panose1 w:val="00000000000000000000"/>
    <w:charset w:val="88"/>
    <w:family w:val="auto"/>
    <w:pitch w:val="default"/>
    <w:sig w:usb0="00000000" w:usb1="00000000" w:usb2="00000010" w:usb3="00000000" w:csb0="0010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2" w:usb3="00000000" w:csb0="00040001"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方正大黑简体">
    <w:altName w:val="黑体"/>
    <w:panose1 w:val="00000000000000000000"/>
    <w:charset w:val="86"/>
    <w:family w:val="script"/>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Stone Sans">
    <w:altName w:val="宋体"/>
    <w:panose1 w:val="00000000000000000000"/>
    <w:charset w:val="86"/>
    <w:family w:val="auto"/>
    <w:pitch w:val="default"/>
    <w:sig w:usb0="00000000" w:usb1="00000000" w:usb2="00000010" w:usb3="00000000" w:csb0="00040000" w:csb1="00000000"/>
  </w:font>
  <w:font w:name="華康細圓體">
    <w:altName w:val="Microsoft JhengHei"/>
    <w:panose1 w:val="00000000000000000000"/>
    <w:charset w:val="88"/>
    <w:family w:val="auto"/>
    <w:pitch w:val="default"/>
    <w:sig w:usb0="00000000" w:usb1="00000000" w:usb2="00000010" w:usb3="00000000" w:csb0="00100000" w:csb1="00000000"/>
  </w:font>
  <w:font w:name="文鼎粗黑">
    <w:altName w:val="黑体"/>
    <w:panose1 w:val="00000000000000000000"/>
    <w:charset w:val="86"/>
    <w:family w:val="auto"/>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HP Simplified Hans Light">
    <w:altName w:val="宋体"/>
    <w:panose1 w:val="00000000000000000000"/>
    <w:charset w:val="86"/>
    <w:family w:val="swiss"/>
    <w:pitch w:val="default"/>
    <w:sig w:usb0="00000000" w:usb1="00000000" w:usb2="00000010" w:usb3="00000000" w:csb0="00040000" w:csb1="00000000"/>
  </w:font>
  <w:font w:name="華康粗圓體">
    <w:altName w:val="Microsoft JhengHei"/>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pict>
        <v:shape id="_x0000_s1026"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1u5d9AAAAACAQAADwAAAAAAAAABACAAAAA4AAAA&#10;ZHJzL2Rvd25yZXYueG1sUEsBAhQAFAAAAAgAh07iQNMegqv5AQAAzgMAAA4AAAAAAAAAAQAgAAAA&#10;NQEAAGRycy9lMm9Eb2MueG1sUEsFBgAAAAAGAAYAWQEAAKAFAAAAAA==&#10;">
          <v:path/>
          <v:fill on="f" focussize="0,0"/>
          <v:stroke on="f" joinstyle="miter"/>
          <v:imagedata o:title=""/>
          <o:lock v:ext="edit"/>
          <v:textbox inset="0mm,0mm,0mm,0mm" style="mso-fit-shape-to-text:t;">
            <w:txbxContent>
              <w:p>
                <w:pPr>
                  <w:pStyle w:val="4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A9F38"/>
    <w:multiLevelType w:val="singleLevel"/>
    <w:tmpl w:val="82BA9F38"/>
    <w:lvl w:ilvl="0" w:tentative="0">
      <w:start w:val="4"/>
      <w:numFmt w:val="decimal"/>
      <w:lvlText w:val="%1."/>
      <w:lvlJc w:val="left"/>
      <w:pPr>
        <w:tabs>
          <w:tab w:val="left" w:pos="312"/>
        </w:tabs>
      </w:pPr>
    </w:lvl>
  </w:abstractNum>
  <w:abstractNum w:abstractNumId="1">
    <w:nsid w:val="00000001"/>
    <w:multiLevelType w:val="singleLevel"/>
    <w:tmpl w:val="00000001"/>
    <w:lvl w:ilvl="0" w:tentative="0">
      <w:start w:val="1"/>
      <w:numFmt w:val="decimal"/>
      <w:pStyle w:val="27"/>
      <w:lvlText w:val="%1."/>
      <w:lvlJc w:val="left"/>
      <w:pPr>
        <w:tabs>
          <w:tab w:val="left" w:pos="360"/>
        </w:tabs>
        <w:ind w:left="360" w:hanging="360"/>
      </w:pPr>
      <w:rPr>
        <w:rFonts w:cs="Times New Roman"/>
      </w:rPr>
    </w:lvl>
  </w:abstractNum>
  <w:abstractNum w:abstractNumId="2">
    <w:nsid w:val="00000002"/>
    <w:multiLevelType w:val="singleLevel"/>
    <w:tmpl w:val="00000002"/>
    <w:lvl w:ilvl="0" w:tentative="0">
      <w:start w:val="1"/>
      <w:numFmt w:val="bullet"/>
      <w:pStyle w:val="129"/>
      <w:lvlText w:val=""/>
      <w:lvlJc w:val="left"/>
      <w:pPr>
        <w:tabs>
          <w:tab w:val="left" w:pos="360"/>
        </w:tabs>
        <w:ind w:left="360" w:hanging="360"/>
      </w:pPr>
      <w:rPr>
        <w:rFonts w:hint="default" w:ascii="Wingdings" w:hAnsi="Wingdings"/>
      </w:rPr>
    </w:lvl>
  </w:abstractNum>
  <w:abstractNum w:abstractNumId="3">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5">
    <w:nsid w:val="00000009"/>
    <w:multiLevelType w:val="multilevel"/>
    <w:tmpl w:val="00000009"/>
    <w:lvl w:ilvl="0" w:tentative="0">
      <w:start w:val="1"/>
      <w:numFmt w:val="japaneseCounting"/>
      <w:pStyle w:val="404"/>
      <w:suff w:val="nothing"/>
      <w:lvlText w:val="%1、"/>
      <w:lvlJc w:val="left"/>
      <w:pPr>
        <w:ind w:left="0" w:firstLine="0"/>
      </w:pPr>
      <w:rPr>
        <w:rFonts w:hint="eastAsia" w:ascii="宋体" w:eastAsia="宋体"/>
        <w:b/>
        <w:i w:val="0"/>
        <w:sz w:val="28"/>
      </w:rPr>
    </w:lvl>
    <w:lvl w:ilvl="1" w:tentative="0">
      <w:start w:val="1"/>
      <w:numFmt w:val="japaneseCounting"/>
      <w:pStyle w:val="402"/>
      <w:suff w:val="nothing"/>
      <w:lvlText w:val="（%2）"/>
      <w:lvlJc w:val="left"/>
      <w:pPr>
        <w:ind w:left="0" w:firstLine="0"/>
      </w:pPr>
      <w:rPr>
        <w:rFonts w:hint="eastAsia" w:ascii="宋体" w:eastAsia="宋体"/>
        <w:b/>
        <w:i w:val="0"/>
        <w:sz w:val="24"/>
      </w:rPr>
    </w:lvl>
    <w:lvl w:ilvl="2" w:tentative="0">
      <w:start w:val="1"/>
      <w:numFmt w:val="decimal"/>
      <w:pStyle w:val="400"/>
      <w:lvlText w:val="%1.%2.%3"/>
      <w:lvlJc w:val="left"/>
      <w:pPr>
        <w:ind w:left="0" w:firstLine="0"/>
      </w:pPr>
      <w:rPr>
        <w:rFonts w:hint="eastAsia" w:ascii="宋体" w:eastAsia="宋体"/>
        <w:b/>
        <w:i w:val="0"/>
        <w:sz w:val="24"/>
      </w:rPr>
    </w:lvl>
    <w:lvl w:ilvl="3" w:tentative="0">
      <w:start w:val="1"/>
      <w:numFmt w:val="decimal"/>
      <w:pStyle w:val="399"/>
      <w:lvlText w:val="%1.%2.%3.%4"/>
      <w:lvlJc w:val="left"/>
      <w:pPr>
        <w:ind w:left="0" w:firstLine="0"/>
      </w:pPr>
      <w:rPr>
        <w:rFonts w:hint="eastAsia" w:ascii="宋体" w:eastAsia="宋体"/>
        <w:b/>
        <w:i w:val="0"/>
        <w:sz w:val="21"/>
      </w:rPr>
    </w:lvl>
    <w:lvl w:ilvl="4" w:tentative="0">
      <w:start w:val="1"/>
      <w:numFmt w:val="lowerLetter"/>
      <w:pStyle w:val="708"/>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0000000A"/>
    <w:multiLevelType w:val="multilevel"/>
    <w:tmpl w:val="0000000A"/>
    <w:lvl w:ilvl="0" w:tentative="0">
      <w:start w:val="1"/>
      <w:numFmt w:val="decimal"/>
      <w:pStyle w:val="376"/>
      <w:suff w:val="space"/>
      <w:lvlText w:val="%1."/>
      <w:lvlJc w:val="left"/>
      <w:pPr>
        <w:ind w:left="0" w:firstLine="403"/>
      </w:pPr>
      <w:rPr>
        <w:rFonts w:hint="eastAsia" w:ascii="宋体" w:eastAsia="宋体"/>
        <w:b/>
        <w:i w:val="0"/>
        <w:caps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vanish w:val="0"/>
        <w:color w:val="000000"/>
        <w:sz w:val="21"/>
        <w:vertAlign w:val="baseline"/>
      </w:rPr>
    </w:lvl>
    <w:lvl w:ilvl="2" w:tentative="0">
      <w:start w:val="1"/>
      <w:numFmt w:val="decimal"/>
      <w:pStyle w:val="662"/>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AADC6A9"/>
    <w:multiLevelType w:val="singleLevel"/>
    <w:tmpl w:val="0AADC6A9"/>
    <w:lvl w:ilvl="0" w:tentative="0">
      <w:start w:val="2"/>
      <w:numFmt w:val="chineseCounting"/>
      <w:suff w:val="space"/>
      <w:lvlText w:val="第%1章"/>
      <w:lvlJc w:val="left"/>
      <w:rPr>
        <w:rFonts w:hint="eastAsia"/>
      </w:rPr>
    </w:lvl>
  </w:abstractNum>
  <w:abstractNum w:abstractNumId="8">
    <w:nsid w:val="0C34DE15"/>
    <w:multiLevelType w:val="singleLevel"/>
    <w:tmpl w:val="0C34DE15"/>
    <w:lvl w:ilvl="0" w:tentative="0">
      <w:start w:val="1"/>
      <w:numFmt w:val="decimal"/>
      <w:lvlText w:val="%1."/>
      <w:lvlJc w:val="left"/>
      <w:pPr>
        <w:tabs>
          <w:tab w:val="left" w:pos="312"/>
        </w:tabs>
      </w:pPr>
    </w:lvl>
  </w:abstractNum>
  <w:abstractNum w:abstractNumId="9">
    <w:nsid w:val="225A8346"/>
    <w:multiLevelType w:val="singleLevel"/>
    <w:tmpl w:val="225A8346"/>
    <w:lvl w:ilvl="0" w:tentative="0">
      <w:start w:val="1"/>
      <w:numFmt w:val="decimal"/>
      <w:lvlText w:val="%1."/>
      <w:lvlJc w:val="left"/>
      <w:pPr>
        <w:tabs>
          <w:tab w:val="left" w:pos="312"/>
        </w:tabs>
      </w:pPr>
    </w:lvl>
  </w:abstractNum>
  <w:abstractNum w:abstractNumId="10">
    <w:nsid w:val="2811445A"/>
    <w:multiLevelType w:val="multilevel"/>
    <w:tmpl w:val="2811445A"/>
    <w:lvl w:ilvl="0" w:tentative="0">
      <w:start w:val="1"/>
      <w:numFmt w:val="decimalEnclosedCircle"/>
      <w:pStyle w:val="145"/>
      <w:lvlText w:val="%1"/>
      <w:lvlJc w:val="left"/>
      <w:pPr>
        <w:tabs>
          <w:tab w:val="left" w:pos="840"/>
        </w:tabs>
        <w:ind w:left="840" w:hanging="360"/>
      </w:pPr>
      <w:rPr>
        <w:rFonts w:hint="eastAsia"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1">
    <w:nsid w:val="4DD4552D"/>
    <w:multiLevelType w:val="singleLevel"/>
    <w:tmpl w:val="4DD4552D"/>
    <w:lvl w:ilvl="0" w:tentative="0">
      <w:start w:val="1"/>
      <w:numFmt w:val="decimal"/>
      <w:lvlText w:val="%1."/>
      <w:lvlJc w:val="left"/>
      <w:pPr>
        <w:tabs>
          <w:tab w:val="left" w:pos="312"/>
        </w:tabs>
      </w:pPr>
    </w:lvl>
  </w:abstractNum>
  <w:abstractNum w:abstractNumId="12">
    <w:nsid w:val="6A5C2BDB"/>
    <w:multiLevelType w:val="multilevel"/>
    <w:tmpl w:val="6A5C2BDB"/>
    <w:lvl w:ilvl="0" w:tentative="0">
      <w:start w:val="2"/>
      <w:numFmt w:val="japaneseCounting"/>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lvlOverride w:ilvl="0">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lZDNiNjc4N2Y5YzJiNWY0NjQxMTBmZmRlYWU5ZTMifQ=="/>
  </w:docVars>
  <w:rsids>
    <w:rsidRoot w:val="00276BF3"/>
    <w:rsid w:val="00001909"/>
    <w:rsid w:val="00014526"/>
    <w:rsid w:val="00016FBB"/>
    <w:rsid w:val="00032364"/>
    <w:rsid w:val="00033B54"/>
    <w:rsid w:val="000346A8"/>
    <w:rsid w:val="00036C78"/>
    <w:rsid w:val="000529E9"/>
    <w:rsid w:val="0005561D"/>
    <w:rsid w:val="00062C66"/>
    <w:rsid w:val="00072BCE"/>
    <w:rsid w:val="00074FF2"/>
    <w:rsid w:val="00080F3A"/>
    <w:rsid w:val="00081417"/>
    <w:rsid w:val="000932ED"/>
    <w:rsid w:val="000C2AB4"/>
    <w:rsid w:val="000D0C83"/>
    <w:rsid w:val="000D0D45"/>
    <w:rsid w:val="000D13DC"/>
    <w:rsid w:val="000D6C5E"/>
    <w:rsid w:val="000F6008"/>
    <w:rsid w:val="0010182A"/>
    <w:rsid w:val="001049C5"/>
    <w:rsid w:val="001118FC"/>
    <w:rsid w:val="001256CF"/>
    <w:rsid w:val="00136EF5"/>
    <w:rsid w:val="0014492C"/>
    <w:rsid w:val="001924FD"/>
    <w:rsid w:val="001B758D"/>
    <w:rsid w:val="001E0541"/>
    <w:rsid w:val="001E5A25"/>
    <w:rsid w:val="001F13CF"/>
    <w:rsid w:val="00202AE3"/>
    <w:rsid w:val="00211D26"/>
    <w:rsid w:val="00213004"/>
    <w:rsid w:val="002139E0"/>
    <w:rsid w:val="00231C23"/>
    <w:rsid w:val="0027055C"/>
    <w:rsid w:val="00276BF3"/>
    <w:rsid w:val="00283C8D"/>
    <w:rsid w:val="00285F07"/>
    <w:rsid w:val="00295BED"/>
    <w:rsid w:val="002A1EF7"/>
    <w:rsid w:val="002B1B72"/>
    <w:rsid w:val="002B3838"/>
    <w:rsid w:val="002C5E9E"/>
    <w:rsid w:val="002C6E39"/>
    <w:rsid w:val="002F4CED"/>
    <w:rsid w:val="003031F5"/>
    <w:rsid w:val="003158F6"/>
    <w:rsid w:val="003165C7"/>
    <w:rsid w:val="00331809"/>
    <w:rsid w:val="003364EC"/>
    <w:rsid w:val="0033784E"/>
    <w:rsid w:val="003433FA"/>
    <w:rsid w:val="00345217"/>
    <w:rsid w:val="00361E3A"/>
    <w:rsid w:val="003765FB"/>
    <w:rsid w:val="003A2212"/>
    <w:rsid w:val="003A58FC"/>
    <w:rsid w:val="003B5516"/>
    <w:rsid w:val="003C6C79"/>
    <w:rsid w:val="004002AD"/>
    <w:rsid w:val="004064C3"/>
    <w:rsid w:val="00413592"/>
    <w:rsid w:val="00413687"/>
    <w:rsid w:val="004152E2"/>
    <w:rsid w:val="00424B7D"/>
    <w:rsid w:val="00430EF1"/>
    <w:rsid w:val="004478F1"/>
    <w:rsid w:val="00457E00"/>
    <w:rsid w:val="00462E61"/>
    <w:rsid w:val="00475182"/>
    <w:rsid w:val="00481FEA"/>
    <w:rsid w:val="004876FB"/>
    <w:rsid w:val="0049430C"/>
    <w:rsid w:val="004958C9"/>
    <w:rsid w:val="004A2AA4"/>
    <w:rsid w:val="004C12A7"/>
    <w:rsid w:val="004C43DD"/>
    <w:rsid w:val="004D43E6"/>
    <w:rsid w:val="004E11DB"/>
    <w:rsid w:val="004E7BBE"/>
    <w:rsid w:val="004F0332"/>
    <w:rsid w:val="00506D06"/>
    <w:rsid w:val="00562EF3"/>
    <w:rsid w:val="00567B86"/>
    <w:rsid w:val="005763CC"/>
    <w:rsid w:val="00576600"/>
    <w:rsid w:val="00587727"/>
    <w:rsid w:val="00595BFB"/>
    <w:rsid w:val="00597CA6"/>
    <w:rsid w:val="005A3595"/>
    <w:rsid w:val="005D0B62"/>
    <w:rsid w:val="00601584"/>
    <w:rsid w:val="00603EDC"/>
    <w:rsid w:val="006137EA"/>
    <w:rsid w:val="00625C32"/>
    <w:rsid w:val="00633123"/>
    <w:rsid w:val="00635592"/>
    <w:rsid w:val="006516F6"/>
    <w:rsid w:val="006538D8"/>
    <w:rsid w:val="00653F94"/>
    <w:rsid w:val="00672702"/>
    <w:rsid w:val="006811B5"/>
    <w:rsid w:val="0068484F"/>
    <w:rsid w:val="00687974"/>
    <w:rsid w:val="006A1774"/>
    <w:rsid w:val="006B126A"/>
    <w:rsid w:val="006C4648"/>
    <w:rsid w:val="006D66D9"/>
    <w:rsid w:val="006F53D9"/>
    <w:rsid w:val="00701385"/>
    <w:rsid w:val="00701F24"/>
    <w:rsid w:val="00702AD0"/>
    <w:rsid w:val="0071386E"/>
    <w:rsid w:val="00716BC3"/>
    <w:rsid w:val="00722565"/>
    <w:rsid w:val="00722F40"/>
    <w:rsid w:val="00733510"/>
    <w:rsid w:val="00733E90"/>
    <w:rsid w:val="00741ABF"/>
    <w:rsid w:val="00747C1E"/>
    <w:rsid w:val="007552C9"/>
    <w:rsid w:val="0078219F"/>
    <w:rsid w:val="00792BD8"/>
    <w:rsid w:val="007B0256"/>
    <w:rsid w:val="007B7F41"/>
    <w:rsid w:val="007E3A5A"/>
    <w:rsid w:val="007E6A58"/>
    <w:rsid w:val="007F0C69"/>
    <w:rsid w:val="007F144B"/>
    <w:rsid w:val="00804D7C"/>
    <w:rsid w:val="00811004"/>
    <w:rsid w:val="00812E74"/>
    <w:rsid w:val="0084208B"/>
    <w:rsid w:val="00861344"/>
    <w:rsid w:val="008703AE"/>
    <w:rsid w:val="008711BB"/>
    <w:rsid w:val="008809D0"/>
    <w:rsid w:val="008837B8"/>
    <w:rsid w:val="008A69E6"/>
    <w:rsid w:val="008B0394"/>
    <w:rsid w:val="008B3A5F"/>
    <w:rsid w:val="008B74F4"/>
    <w:rsid w:val="008C4BF6"/>
    <w:rsid w:val="008D1D00"/>
    <w:rsid w:val="00944CE9"/>
    <w:rsid w:val="00954BC0"/>
    <w:rsid w:val="009614D5"/>
    <w:rsid w:val="00962B06"/>
    <w:rsid w:val="0096550A"/>
    <w:rsid w:val="00980FCF"/>
    <w:rsid w:val="009843E8"/>
    <w:rsid w:val="009A0329"/>
    <w:rsid w:val="009B7F29"/>
    <w:rsid w:val="009C0F94"/>
    <w:rsid w:val="009C7E5F"/>
    <w:rsid w:val="009D3A4F"/>
    <w:rsid w:val="009F0B92"/>
    <w:rsid w:val="00A0039F"/>
    <w:rsid w:val="00A06BF5"/>
    <w:rsid w:val="00A2421E"/>
    <w:rsid w:val="00A31EE2"/>
    <w:rsid w:val="00A427E5"/>
    <w:rsid w:val="00A501E4"/>
    <w:rsid w:val="00A546BF"/>
    <w:rsid w:val="00A65269"/>
    <w:rsid w:val="00A67D80"/>
    <w:rsid w:val="00A71309"/>
    <w:rsid w:val="00A8194D"/>
    <w:rsid w:val="00A87727"/>
    <w:rsid w:val="00A920C1"/>
    <w:rsid w:val="00AB116F"/>
    <w:rsid w:val="00AB5127"/>
    <w:rsid w:val="00AC1255"/>
    <w:rsid w:val="00AD4BCF"/>
    <w:rsid w:val="00AF087D"/>
    <w:rsid w:val="00B27627"/>
    <w:rsid w:val="00B56AD7"/>
    <w:rsid w:val="00B61DA0"/>
    <w:rsid w:val="00B64070"/>
    <w:rsid w:val="00B654B5"/>
    <w:rsid w:val="00B86CE6"/>
    <w:rsid w:val="00B92BE4"/>
    <w:rsid w:val="00BB5AA3"/>
    <w:rsid w:val="00BC1791"/>
    <w:rsid w:val="00BC1B8D"/>
    <w:rsid w:val="00BD620F"/>
    <w:rsid w:val="00BD6F4E"/>
    <w:rsid w:val="00BD757C"/>
    <w:rsid w:val="00BE3625"/>
    <w:rsid w:val="00BE46DE"/>
    <w:rsid w:val="00C4349A"/>
    <w:rsid w:val="00C436DC"/>
    <w:rsid w:val="00C43B4B"/>
    <w:rsid w:val="00C46335"/>
    <w:rsid w:val="00C464D3"/>
    <w:rsid w:val="00C551D4"/>
    <w:rsid w:val="00C57DC5"/>
    <w:rsid w:val="00C65E41"/>
    <w:rsid w:val="00CA1E96"/>
    <w:rsid w:val="00CA2086"/>
    <w:rsid w:val="00CA2862"/>
    <w:rsid w:val="00CA789B"/>
    <w:rsid w:val="00CB4C78"/>
    <w:rsid w:val="00CC61CE"/>
    <w:rsid w:val="00CD3DC6"/>
    <w:rsid w:val="00CD706D"/>
    <w:rsid w:val="00CF309C"/>
    <w:rsid w:val="00CF333A"/>
    <w:rsid w:val="00D10085"/>
    <w:rsid w:val="00D11A56"/>
    <w:rsid w:val="00D2281E"/>
    <w:rsid w:val="00D26FCE"/>
    <w:rsid w:val="00D32021"/>
    <w:rsid w:val="00D45178"/>
    <w:rsid w:val="00D54112"/>
    <w:rsid w:val="00D600FE"/>
    <w:rsid w:val="00D60AB8"/>
    <w:rsid w:val="00D61335"/>
    <w:rsid w:val="00D66C5E"/>
    <w:rsid w:val="00D76912"/>
    <w:rsid w:val="00D826A2"/>
    <w:rsid w:val="00D84EE4"/>
    <w:rsid w:val="00D85B60"/>
    <w:rsid w:val="00D87611"/>
    <w:rsid w:val="00DA075A"/>
    <w:rsid w:val="00DB79D0"/>
    <w:rsid w:val="00DC0B02"/>
    <w:rsid w:val="00DC231E"/>
    <w:rsid w:val="00DD0465"/>
    <w:rsid w:val="00DD092D"/>
    <w:rsid w:val="00DD214F"/>
    <w:rsid w:val="00DE5950"/>
    <w:rsid w:val="00DF445B"/>
    <w:rsid w:val="00E11F7D"/>
    <w:rsid w:val="00E12EE4"/>
    <w:rsid w:val="00E233F3"/>
    <w:rsid w:val="00E25A73"/>
    <w:rsid w:val="00E263D2"/>
    <w:rsid w:val="00E32638"/>
    <w:rsid w:val="00E33FFC"/>
    <w:rsid w:val="00E44882"/>
    <w:rsid w:val="00E541E4"/>
    <w:rsid w:val="00E61735"/>
    <w:rsid w:val="00E63021"/>
    <w:rsid w:val="00E70344"/>
    <w:rsid w:val="00E7780B"/>
    <w:rsid w:val="00E77C5D"/>
    <w:rsid w:val="00E94FD5"/>
    <w:rsid w:val="00EB29EF"/>
    <w:rsid w:val="00EB7776"/>
    <w:rsid w:val="00EC22AC"/>
    <w:rsid w:val="00ED20C5"/>
    <w:rsid w:val="00ED7AAE"/>
    <w:rsid w:val="00EF1FC5"/>
    <w:rsid w:val="00EF3B2E"/>
    <w:rsid w:val="00F03D3D"/>
    <w:rsid w:val="00F20265"/>
    <w:rsid w:val="00F417A8"/>
    <w:rsid w:val="00F41F22"/>
    <w:rsid w:val="00F4303E"/>
    <w:rsid w:val="00F54C1E"/>
    <w:rsid w:val="00F5504C"/>
    <w:rsid w:val="00FA5506"/>
    <w:rsid w:val="00FB4A01"/>
    <w:rsid w:val="00FC3563"/>
    <w:rsid w:val="00FD338B"/>
    <w:rsid w:val="00FD5384"/>
    <w:rsid w:val="00FF5CDD"/>
    <w:rsid w:val="01143756"/>
    <w:rsid w:val="011E0236"/>
    <w:rsid w:val="0159126E"/>
    <w:rsid w:val="01693D70"/>
    <w:rsid w:val="01762172"/>
    <w:rsid w:val="01C71CB0"/>
    <w:rsid w:val="01D230FE"/>
    <w:rsid w:val="01EE0B37"/>
    <w:rsid w:val="01F122AD"/>
    <w:rsid w:val="01F62035"/>
    <w:rsid w:val="01FB43DB"/>
    <w:rsid w:val="021F6ED0"/>
    <w:rsid w:val="022F73A2"/>
    <w:rsid w:val="026C46FD"/>
    <w:rsid w:val="029A6482"/>
    <w:rsid w:val="02C552B4"/>
    <w:rsid w:val="030D0562"/>
    <w:rsid w:val="0314794B"/>
    <w:rsid w:val="03404FEF"/>
    <w:rsid w:val="03441B08"/>
    <w:rsid w:val="03602F97"/>
    <w:rsid w:val="036E328E"/>
    <w:rsid w:val="03B62950"/>
    <w:rsid w:val="03F4380B"/>
    <w:rsid w:val="04475814"/>
    <w:rsid w:val="04525DA3"/>
    <w:rsid w:val="04A86F85"/>
    <w:rsid w:val="04AF38FD"/>
    <w:rsid w:val="04F217BD"/>
    <w:rsid w:val="052E181F"/>
    <w:rsid w:val="053E0EA6"/>
    <w:rsid w:val="053E392E"/>
    <w:rsid w:val="054D194C"/>
    <w:rsid w:val="057E441B"/>
    <w:rsid w:val="05921FB2"/>
    <w:rsid w:val="05B00BEE"/>
    <w:rsid w:val="05FC39A4"/>
    <w:rsid w:val="065C5B82"/>
    <w:rsid w:val="06654F20"/>
    <w:rsid w:val="06F8001C"/>
    <w:rsid w:val="06FB3B03"/>
    <w:rsid w:val="073D0C76"/>
    <w:rsid w:val="077A4BE5"/>
    <w:rsid w:val="07845B6E"/>
    <w:rsid w:val="07921036"/>
    <w:rsid w:val="07A1410D"/>
    <w:rsid w:val="07A5520D"/>
    <w:rsid w:val="07A64C4C"/>
    <w:rsid w:val="07E12AFC"/>
    <w:rsid w:val="07EF0236"/>
    <w:rsid w:val="07F4255A"/>
    <w:rsid w:val="07FA3C26"/>
    <w:rsid w:val="084A36DA"/>
    <w:rsid w:val="084E78AD"/>
    <w:rsid w:val="088F199B"/>
    <w:rsid w:val="08E77E2A"/>
    <w:rsid w:val="08F02CB9"/>
    <w:rsid w:val="08FD4BD5"/>
    <w:rsid w:val="09436539"/>
    <w:rsid w:val="095600DF"/>
    <w:rsid w:val="095813E4"/>
    <w:rsid w:val="097A7FD3"/>
    <w:rsid w:val="09BF0765"/>
    <w:rsid w:val="09ED69F7"/>
    <w:rsid w:val="0A036B3E"/>
    <w:rsid w:val="0A0976D6"/>
    <w:rsid w:val="0A0A5BB3"/>
    <w:rsid w:val="0A5B41C5"/>
    <w:rsid w:val="0A8B7B1C"/>
    <w:rsid w:val="0A98523E"/>
    <w:rsid w:val="0AB679E1"/>
    <w:rsid w:val="0B572E07"/>
    <w:rsid w:val="0BA34770"/>
    <w:rsid w:val="0C1661EF"/>
    <w:rsid w:val="0C4E2956"/>
    <w:rsid w:val="0C774C9E"/>
    <w:rsid w:val="0CE638C1"/>
    <w:rsid w:val="0D1E7807"/>
    <w:rsid w:val="0D997825"/>
    <w:rsid w:val="0DBE38E6"/>
    <w:rsid w:val="0DC45CC1"/>
    <w:rsid w:val="0DC611E4"/>
    <w:rsid w:val="0DC679A9"/>
    <w:rsid w:val="0DE545B5"/>
    <w:rsid w:val="0DFF25E8"/>
    <w:rsid w:val="0E462B7A"/>
    <w:rsid w:val="0EDC1828"/>
    <w:rsid w:val="0F072534"/>
    <w:rsid w:val="0F1802A8"/>
    <w:rsid w:val="0F2A401B"/>
    <w:rsid w:val="0FBA10DE"/>
    <w:rsid w:val="0FDF4796"/>
    <w:rsid w:val="10294501"/>
    <w:rsid w:val="10AD2792"/>
    <w:rsid w:val="10C203FB"/>
    <w:rsid w:val="10EA565C"/>
    <w:rsid w:val="10F83057"/>
    <w:rsid w:val="112709FD"/>
    <w:rsid w:val="1199094B"/>
    <w:rsid w:val="120B6C2D"/>
    <w:rsid w:val="12303925"/>
    <w:rsid w:val="1243700A"/>
    <w:rsid w:val="12642623"/>
    <w:rsid w:val="12876FEE"/>
    <w:rsid w:val="12EF726C"/>
    <w:rsid w:val="13025F11"/>
    <w:rsid w:val="134210F7"/>
    <w:rsid w:val="13BE9BB9"/>
    <w:rsid w:val="14C75E31"/>
    <w:rsid w:val="14CC7B6B"/>
    <w:rsid w:val="14E34A09"/>
    <w:rsid w:val="14FD54CA"/>
    <w:rsid w:val="1513181F"/>
    <w:rsid w:val="154871D8"/>
    <w:rsid w:val="1555138F"/>
    <w:rsid w:val="1565124C"/>
    <w:rsid w:val="15842235"/>
    <w:rsid w:val="159A2DD3"/>
    <w:rsid w:val="159A3523"/>
    <w:rsid w:val="15A72575"/>
    <w:rsid w:val="15ED3F4E"/>
    <w:rsid w:val="16196B4E"/>
    <w:rsid w:val="16654D46"/>
    <w:rsid w:val="16B57320"/>
    <w:rsid w:val="16DA4A0E"/>
    <w:rsid w:val="16EC2F91"/>
    <w:rsid w:val="175B7696"/>
    <w:rsid w:val="17AF353E"/>
    <w:rsid w:val="17C46B8A"/>
    <w:rsid w:val="17F6539C"/>
    <w:rsid w:val="17FDC41B"/>
    <w:rsid w:val="1813218C"/>
    <w:rsid w:val="1830625E"/>
    <w:rsid w:val="18313DE5"/>
    <w:rsid w:val="183A7DBC"/>
    <w:rsid w:val="18565113"/>
    <w:rsid w:val="191D13C0"/>
    <w:rsid w:val="19472589"/>
    <w:rsid w:val="194C6A11"/>
    <w:rsid w:val="19E07E8B"/>
    <w:rsid w:val="19F4792E"/>
    <w:rsid w:val="1A2B194E"/>
    <w:rsid w:val="1A3F6023"/>
    <w:rsid w:val="1A49126F"/>
    <w:rsid w:val="1A7E1D67"/>
    <w:rsid w:val="1AB41E66"/>
    <w:rsid w:val="1AC437A4"/>
    <w:rsid w:val="1AC87DF6"/>
    <w:rsid w:val="1AE532AF"/>
    <w:rsid w:val="1AFB72AE"/>
    <w:rsid w:val="1B0818E3"/>
    <w:rsid w:val="1B5C4B8A"/>
    <w:rsid w:val="1B81532C"/>
    <w:rsid w:val="1BB06BA6"/>
    <w:rsid w:val="1BC534F8"/>
    <w:rsid w:val="1BE85FD5"/>
    <w:rsid w:val="1C4B6E6A"/>
    <w:rsid w:val="1C7C20CC"/>
    <w:rsid w:val="1C8832E6"/>
    <w:rsid w:val="1C8F3637"/>
    <w:rsid w:val="1CBA23B3"/>
    <w:rsid w:val="1CC16350"/>
    <w:rsid w:val="1CCC5F6C"/>
    <w:rsid w:val="1D0D65B3"/>
    <w:rsid w:val="1D0E6B73"/>
    <w:rsid w:val="1D15F42A"/>
    <w:rsid w:val="1D3151EA"/>
    <w:rsid w:val="1D3F66C7"/>
    <w:rsid w:val="1D4E2356"/>
    <w:rsid w:val="1E5B713F"/>
    <w:rsid w:val="1EC52D7D"/>
    <w:rsid w:val="1F43738D"/>
    <w:rsid w:val="1F597889"/>
    <w:rsid w:val="1F5F550C"/>
    <w:rsid w:val="1F9FA9C4"/>
    <w:rsid w:val="1FBA4248"/>
    <w:rsid w:val="1FD652E4"/>
    <w:rsid w:val="207D4006"/>
    <w:rsid w:val="207F5A82"/>
    <w:rsid w:val="21300ADF"/>
    <w:rsid w:val="21696E53"/>
    <w:rsid w:val="217E6023"/>
    <w:rsid w:val="218E0668"/>
    <w:rsid w:val="21D02A2F"/>
    <w:rsid w:val="21E7182E"/>
    <w:rsid w:val="223B1F40"/>
    <w:rsid w:val="223D47BB"/>
    <w:rsid w:val="22E22D4A"/>
    <w:rsid w:val="22F73BE9"/>
    <w:rsid w:val="23337719"/>
    <w:rsid w:val="23757D3B"/>
    <w:rsid w:val="23C921F5"/>
    <w:rsid w:val="240412CD"/>
    <w:rsid w:val="240B134B"/>
    <w:rsid w:val="248758D4"/>
    <w:rsid w:val="25357D1C"/>
    <w:rsid w:val="25551BC9"/>
    <w:rsid w:val="255928EB"/>
    <w:rsid w:val="25CA011E"/>
    <w:rsid w:val="26356F09"/>
    <w:rsid w:val="264A7253"/>
    <w:rsid w:val="26F121F0"/>
    <w:rsid w:val="26F83ECA"/>
    <w:rsid w:val="27221CB1"/>
    <w:rsid w:val="27332D60"/>
    <w:rsid w:val="273477E1"/>
    <w:rsid w:val="274243CE"/>
    <w:rsid w:val="27A33318"/>
    <w:rsid w:val="27ED000E"/>
    <w:rsid w:val="280C74C5"/>
    <w:rsid w:val="281A0EA7"/>
    <w:rsid w:val="28A03AF9"/>
    <w:rsid w:val="28D0390F"/>
    <w:rsid w:val="28F43F3F"/>
    <w:rsid w:val="29084248"/>
    <w:rsid w:val="29D27E76"/>
    <w:rsid w:val="29DF0E57"/>
    <w:rsid w:val="2A103412"/>
    <w:rsid w:val="2A475AEA"/>
    <w:rsid w:val="2A72028B"/>
    <w:rsid w:val="2A9C442F"/>
    <w:rsid w:val="2AD90BA6"/>
    <w:rsid w:val="2B136138"/>
    <w:rsid w:val="2B1A58CC"/>
    <w:rsid w:val="2B2F386A"/>
    <w:rsid w:val="2BA02E46"/>
    <w:rsid w:val="2C344011"/>
    <w:rsid w:val="2C907843"/>
    <w:rsid w:val="2CAC2C30"/>
    <w:rsid w:val="2CB62F03"/>
    <w:rsid w:val="2CD0422B"/>
    <w:rsid w:val="2CF87090"/>
    <w:rsid w:val="2DE7EB9F"/>
    <w:rsid w:val="2DEA7714"/>
    <w:rsid w:val="2DF6F328"/>
    <w:rsid w:val="2E2270BF"/>
    <w:rsid w:val="2EA119DB"/>
    <w:rsid w:val="2EC660EE"/>
    <w:rsid w:val="2ED15F5E"/>
    <w:rsid w:val="2ED56B63"/>
    <w:rsid w:val="2EDF2CF6"/>
    <w:rsid w:val="2F2A5E74"/>
    <w:rsid w:val="2F3B32FA"/>
    <w:rsid w:val="2F662C47"/>
    <w:rsid w:val="2F6C023B"/>
    <w:rsid w:val="2F833124"/>
    <w:rsid w:val="2FBD0FF1"/>
    <w:rsid w:val="2FF76CD5"/>
    <w:rsid w:val="2FFBF0BC"/>
    <w:rsid w:val="30216B85"/>
    <w:rsid w:val="307C7D31"/>
    <w:rsid w:val="308E5F8F"/>
    <w:rsid w:val="30CF7E4F"/>
    <w:rsid w:val="30F5600E"/>
    <w:rsid w:val="30F760F8"/>
    <w:rsid w:val="30FF3436"/>
    <w:rsid w:val="31025E73"/>
    <w:rsid w:val="32195012"/>
    <w:rsid w:val="32285C55"/>
    <w:rsid w:val="322A6968"/>
    <w:rsid w:val="32847E87"/>
    <w:rsid w:val="3297F56D"/>
    <w:rsid w:val="329D324D"/>
    <w:rsid w:val="32C37159"/>
    <w:rsid w:val="32DA5865"/>
    <w:rsid w:val="33300D42"/>
    <w:rsid w:val="336C0197"/>
    <w:rsid w:val="336F7299"/>
    <w:rsid w:val="339616AF"/>
    <w:rsid w:val="33CD13CF"/>
    <w:rsid w:val="33F76C88"/>
    <w:rsid w:val="34373437"/>
    <w:rsid w:val="343C0E65"/>
    <w:rsid w:val="346911EC"/>
    <w:rsid w:val="349124F1"/>
    <w:rsid w:val="34C21D26"/>
    <w:rsid w:val="35351F36"/>
    <w:rsid w:val="355317BE"/>
    <w:rsid w:val="35622C71"/>
    <w:rsid w:val="35CC29F6"/>
    <w:rsid w:val="35D5415D"/>
    <w:rsid w:val="36251011"/>
    <w:rsid w:val="3635377A"/>
    <w:rsid w:val="36A91D74"/>
    <w:rsid w:val="36AA1648"/>
    <w:rsid w:val="36D1697E"/>
    <w:rsid w:val="37044CAB"/>
    <w:rsid w:val="372F1B4E"/>
    <w:rsid w:val="378821CC"/>
    <w:rsid w:val="378B3228"/>
    <w:rsid w:val="37B79D2B"/>
    <w:rsid w:val="37E666B0"/>
    <w:rsid w:val="37FB03F9"/>
    <w:rsid w:val="37FB617A"/>
    <w:rsid w:val="383D3652"/>
    <w:rsid w:val="384B1DA2"/>
    <w:rsid w:val="38AE740E"/>
    <w:rsid w:val="38B962A4"/>
    <w:rsid w:val="38DC00F5"/>
    <w:rsid w:val="39F63CEA"/>
    <w:rsid w:val="3A1F123B"/>
    <w:rsid w:val="3A3E1F9C"/>
    <w:rsid w:val="3A48156B"/>
    <w:rsid w:val="3A9A1E55"/>
    <w:rsid w:val="3ADD00EB"/>
    <w:rsid w:val="3AFD074F"/>
    <w:rsid w:val="3B125436"/>
    <w:rsid w:val="3B364AD1"/>
    <w:rsid w:val="3B653AFE"/>
    <w:rsid w:val="3BD85BD5"/>
    <w:rsid w:val="3BFA1DF4"/>
    <w:rsid w:val="3C7721BF"/>
    <w:rsid w:val="3CCD1DA9"/>
    <w:rsid w:val="3D147027"/>
    <w:rsid w:val="3D3F4E19"/>
    <w:rsid w:val="3D5B4EAA"/>
    <w:rsid w:val="3D7338D9"/>
    <w:rsid w:val="3D8F067A"/>
    <w:rsid w:val="3DA24BB0"/>
    <w:rsid w:val="3DAB794E"/>
    <w:rsid w:val="3DB80AEF"/>
    <w:rsid w:val="3DC7077B"/>
    <w:rsid w:val="3DCFD675"/>
    <w:rsid w:val="3DDF1F81"/>
    <w:rsid w:val="3E1C6396"/>
    <w:rsid w:val="3E2466F6"/>
    <w:rsid w:val="3E2E70EF"/>
    <w:rsid w:val="3E324F97"/>
    <w:rsid w:val="3E3E1A84"/>
    <w:rsid w:val="3E4D234E"/>
    <w:rsid w:val="3E5E7173"/>
    <w:rsid w:val="3E8E0DB8"/>
    <w:rsid w:val="3EBE0F77"/>
    <w:rsid w:val="3EC722BE"/>
    <w:rsid w:val="3EF1250A"/>
    <w:rsid w:val="3EFED8A8"/>
    <w:rsid w:val="3F314E39"/>
    <w:rsid w:val="3F5D116F"/>
    <w:rsid w:val="3F6FC61D"/>
    <w:rsid w:val="3F7A3E2D"/>
    <w:rsid w:val="3F9E5AC2"/>
    <w:rsid w:val="3FAF04C4"/>
    <w:rsid w:val="3FBE5436"/>
    <w:rsid w:val="3FF3CAEC"/>
    <w:rsid w:val="3FFFF19F"/>
    <w:rsid w:val="404605CF"/>
    <w:rsid w:val="405C7E57"/>
    <w:rsid w:val="408E08DA"/>
    <w:rsid w:val="40D774DE"/>
    <w:rsid w:val="410C30B2"/>
    <w:rsid w:val="410C6521"/>
    <w:rsid w:val="41417FB7"/>
    <w:rsid w:val="41676AB4"/>
    <w:rsid w:val="41934623"/>
    <w:rsid w:val="41AF1136"/>
    <w:rsid w:val="41CA1EAB"/>
    <w:rsid w:val="41F4274F"/>
    <w:rsid w:val="420339DD"/>
    <w:rsid w:val="420D21C8"/>
    <w:rsid w:val="425F0874"/>
    <w:rsid w:val="427801DC"/>
    <w:rsid w:val="428B45AA"/>
    <w:rsid w:val="42AB79EA"/>
    <w:rsid w:val="42AD499A"/>
    <w:rsid w:val="42D53FC6"/>
    <w:rsid w:val="433C187A"/>
    <w:rsid w:val="4395089F"/>
    <w:rsid w:val="43A8628C"/>
    <w:rsid w:val="43F62371"/>
    <w:rsid w:val="44243FAD"/>
    <w:rsid w:val="442A42CA"/>
    <w:rsid w:val="44462C14"/>
    <w:rsid w:val="44C2210F"/>
    <w:rsid w:val="44ED72D0"/>
    <w:rsid w:val="44FF34A7"/>
    <w:rsid w:val="45011D41"/>
    <w:rsid w:val="454702B7"/>
    <w:rsid w:val="455F50A9"/>
    <w:rsid w:val="45770A41"/>
    <w:rsid w:val="457F5E4C"/>
    <w:rsid w:val="45E9646F"/>
    <w:rsid w:val="46054EFF"/>
    <w:rsid w:val="460B79E3"/>
    <w:rsid w:val="46113492"/>
    <w:rsid w:val="461D1E37"/>
    <w:rsid w:val="463333B8"/>
    <w:rsid w:val="463A6393"/>
    <w:rsid w:val="46971BE9"/>
    <w:rsid w:val="46C329DE"/>
    <w:rsid w:val="46F1479A"/>
    <w:rsid w:val="46FD6304"/>
    <w:rsid w:val="4714670E"/>
    <w:rsid w:val="472674C8"/>
    <w:rsid w:val="472F2356"/>
    <w:rsid w:val="473513C9"/>
    <w:rsid w:val="474E4E09"/>
    <w:rsid w:val="476E2AB7"/>
    <w:rsid w:val="47A8312D"/>
    <w:rsid w:val="47B607B1"/>
    <w:rsid w:val="48033D20"/>
    <w:rsid w:val="48305E1A"/>
    <w:rsid w:val="4858549B"/>
    <w:rsid w:val="48A65332"/>
    <w:rsid w:val="48B102D4"/>
    <w:rsid w:val="49234E8C"/>
    <w:rsid w:val="493801AD"/>
    <w:rsid w:val="49614097"/>
    <w:rsid w:val="49646232"/>
    <w:rsid w:val="497E15BE"/>
    <w:rsid w:val="49896CB2"/>
    <w:rsid w:val="498B1A71"/>
    <w:rsid w:val="49901F72"/>
    <w:rsid w:val="49A21DA1"/>
    <w:rsid w:val="49C91C9A"/>
    <w:rsid w:val="49CC4853"/>
    <w:rsid w:val="49DF0C57"/>
    <w:rsid w:val="4A6130DB"/>
    <w:rsid w:val="4A62606A"/>
    <w:rsid w:val="4AA01CFD"/>
    <w:rsid w:val="4AA743C5"/>
    <w:rsid w:val="4B226DD3"/>
    <w:rsid w:val="4B4A7B6F"/>
    <w:rsid w:val="4B6E1FC8"/>
    <w:rsid w:val="4BAF12B3"/>
    <w:rsid w:val="4BB87F0C"/>
    <w:rsid w:val="4BD5286C"/>
    <w:rsid w:val="4BFA71B5"/>
    <w:rsid w:val="4C1379A8"/>
    <w:rsid w:val="4C436F62"/>
    <w:rsid w:val="4C7F5B38"/>
    <w:rsid w:val="4C8248BD"/>
    <w:rsid w:val="4C927F2F"/>
    <w:rsid w:val="4CB80446"/>
    <w:rsid w:val="4CDE6D29"/>
    <w:rsid w:val="4CE008E9"/>
    <w:rsid w:val="4CFE7C69"/>
    <w:rsid w:val="4DDFDB34"/>
    <w:rsid w:val="4DFC667B"/>
    <w:rsid w:val="4DFE42FC"/>
    <w:rsid w:val="4E257040"/>
    <w:rsid w:val="4E726A98"/>
    <w:rsid w:val="4EBA6128"/>
    <w:rsid w:val="4EEA6215"/>
    <w:rsid w:val="4EFD498B"/>
    <w:rsid w:val="4F45079D"/>
    <w:rsid w:val="4F451D9C"/>
    <w:rsid w:val="4F493920"/>
    <w:rsid w:val="4F5D4A66"/>
    <w:rsid w:val="4FB271AA"/>
    <w:rsid w:val="4FBF2665"/>
    <w:rsid w:val="4FC7336D"/>
    <w:rsid w:val="4FEED003"/>
    <w:rsid w:val="4FF843E4"/>
    <w:rsid w:val="50113E8E"/>
    <w:rsid w:val="501740DB"/>
    <w:rsid w:val="50231A83"/>
    <w:rsid w:val="504B75A0"/>
    <w:rsid w:val="505A56D9"/>
    <w:rsid w:val="50844A87"/>
    <w:rsid w:val="50946075"/>
    <w:rsid w:val="50A53BED"/>
    <w:rsid w:val="50B228F9"/>
    <w:rsid w:val="50D06F2B"/>
    <w:rsid w:val="510F05CE"/>
    <w:rsid w:val="51206DA9"/>
    <w:rsid w:val="518D60D8"/>
    <w:rsid w:val="52096D27"/>
    <w:rsid w:val="522401F4"/>
    <w:rsid w:val="523D0C8A"/>
    <w:rsid w:val="52650568"/>
    <w:rsid w:val="53313A9A"/>
    <w:rsid w:val="535B4456"/>
    <w:rsid w:val="53CC6EFE"/>
    <w:rsid w:val="53DCDC81"/>
    <w:rsid w:val="54321702"/>
    <w:rsid w:val="545220E4"/>
    <w:rsid w:val="545B2A65"/>
    <w:rsid w:val="548A223D"/>
    <w:rsid w:val="54AB12DF"/>
    <w:rsid w:val="54B51E36"/>
    <w:rsid w:val="55054CC7"/>
    <w:rsid w:val="55A0213D"/>
    <w:rsid w:val="55B13E0D"/>
    <w:rsid w:val="55E2480B"/>
    <w:rsid w:val="56177F93"/>
    <w:rsid w:val="565E0EBF"/>
    <w:rsid w:val="56680EAC"/>
    <w:rsid w:val="566E223B"/>
    <w:rsid w:val="56E4691C"/>
    <w:rsid w:val="570F696E"/>
    <w:rsid w:val="57250B4B"/>
    <w:rsid w:val="57464C52"/>
    <w:rsid w:val="57483C27"/>
    <w:rsid w:val="574A1DC1"/>
    <w:rsid w:val="577F481A"/>
    <w:rsid w:val="579F2B50"/>
    <w:rsid w:val="57BECB18"/>
    <w:rsid w:val="57BF35F0"/>
    <w:rsid w:val="57DBE81D"/>
    <w:rsid w:val="57EF3FFD"/>
    <w:rsid w:val="58101263"/>
    <w:rsid w:val="58355EB2"/>
    <w:rsid w:val="58550FBC"/>
    <w:rsid w:val="58967865"/>
    <w:rsid w:val="595F7C29"/>
    <w:rsid w:val="597701F1"/>
    <w:rsid w:val="597C1F02"/>
    <w:rsid w:val="599D34E8"/>
    <w:rsid w:val="59C271C9"/>
    <w:rsid w:val="59F2173A"/>
    <w:rsid w:val="5A3A60B7"/>
    <w:rsid w:val="5A5F26D4"/>
    <w:rsid w:val="5A6B3AB0"/>
    <w:rsid w:val="5AA06E1B"/>
    <w:rsid w:val="5AD9338A"/>
    <w:rsid w:val="5AE33153"/>
    <w:rsid w:val="5B435774"/>
    <w:rsid w:val="5B5E4889"/>
    <w:rsid w:val="5B7E2B2B"/>
    <w:rsid w:val="5BB3DA1A"/>
    <w:rsid w:val="5BCF12C3"/>
    <w:rsid w:val="5BDD7A02"/>
    <w:rsid w:val="5BF44F90"/>
    <w:rsid w:val="5BFA484F"/>
    <w:rsid w:val="5BFF442E"/>
    <w:rsid w:val="5C080FA9"/>
    <w:rsid w:val="5C352CCC"/>
    <w:rsid w:val="5C5504D2"/>
    <w:rsid w:val="5C882ACB"/>
    <w:rsid w:val="5CD34356"/>
    <w:rsid w:val="5D972077"/>
    <w:rsid w:val="5DA36667"/>
    <w:rsid w:val="5DAE5E3D"/>
    <w:rsid w:val="5DAF453C"/>
    <w:rsid w:val="5DC07E1D"/>
    <w:rsid w:val="5DC2020A"/>
    <w:rsid w:val="5DDE928F"/>
    <w:rsid w:val="5DE45C74"/>
    <w:rsid w:val="5DE7DCF0"/>
    <w:rsid w:val="5DF6A660"/>
    <w:rsid w:val="5E177445"/>
    <w:rsid w:val="5E3BF01E"/>
    <w:rsid w:val="5E964F94"/>
    <w:rsid w:val="5E980438"/>
    <w:rsid w:val="5EAA5DDA"/>
    <w:rsid w:val="5EAC2CE3"/>
    <w:rsid w:val="5EC94A7D"/>
    <w:rsid w:val="5ECE7F4F"/>
    <w:rsid w:val="5EE78E25"/>
    <w:rsid w:val="5EEFBD2C"/>
    <w:rsid w:val="5EEFCF83"/>
    <w:rsid w:val="5EFF0CFA"/>
    <w:rsid w:val="5F105C3D"/>
    <w:rsid w:val="5F5226F9"/>
    <w:rsid w:val="5F575471"/>
    <w:rsid w:val="5F600F68"/>
    <w:rsid w:val="5F6F6BEE"/>
    <w:rsid w:val="5F854036"/>
    <w:rsid w:val="5FA8056B"/>
    <w:rsid w:val="5FB77CB6"/>
    <w:rsid w:val="5FC10D9A"/>
    <w:rsid w:val="5FE1750C"/>
    <w:rsid w:val="5FF373C6"/>
    <w:rsid w:val="5FF7A830"/>
    <w:rsid w:val="60025ECE"/>
    <w:rsid w:val="603D6DB4"/>
    <w:rsid w:val="60687261"/>
    <w:rsid w:val="608179A6"/>
    <w:rsid w:val="608947DC"/>
    <w:rsid w:val="608C7D6B"/>
    <w:rsid w:val="608E7029"/>
    <w:rsid w:val="60A6030A"/>
    <w:rsid w:val="60CE0AA2"/>
    <w:rsid w:val="60DD09F9"/>
    <w:rsid w:val="61327D6B"/>
    <w:rsid w:val="61790877"/>
    <w:rsid w:val="617A1B7C"/>
    <w:rsid w:val="61B009D1"/>
    <w:rsid w:val="61CA759D"/>
    <w:rsid w:val="61FB0E26"/>
    <w:rsid w:val="621A4158"/>
    <w:rsid w:val="62487C4B"/>
    <w:rsid w:val="62506A02"/>
    <w:rsid w:val="628E2B9F"/>
    <w:rsid w:val="62C67241"/>
    <w:rsid w:val="63065E39"/>
    <w:rsid w:val="63AA629D"/>
    <w:rsid w:val="63E777BB"/>
    <w:rsid w:val="6477675E"/>
    <w:rsid w:val="64785203"/>
    <w:rsid w:val="64992B79"/>
    <w:rsid w:val="64B67287"/>
    <w:rsid w:val="64D0100A"/>
    <w:rsid w:val="64DD15DF"/>
    <w:rsid w:val="65772501"/>
    <w:rsid w:val="65851FDC"/>
    <w:rsid w:val="65AD24DB"/>
    <w:rsid w:val="65D5369F"/>
    <w:rsid w:val="65DC302A"/>
    <w:rsid w:val="65DC45DF"/>
    <w:rsid w:val="66570776"/>
    <w:rsid w:val="66D9547C"/>
    <w:rsid w:val="66F66060"/>
    <w:rsid w:val="672A3F5C"/>
    <w:rsid w:val="673D196D"/>
    <w:rsid w:val="676705B3"/>
    <w:rsid w:val="67A42728"/>
    <w:rsid w:val="67E747FB"/>
    <w:rsid w:val="68127CAC"/>
    <w:rsid w:val="68294213"/>
    <w:rsid w:val="685A68BE"/>
    <w:rsid w:val="68A9069F"/>
    <w:rsid w:val="68DE1099"/>
    <w:rsid w:val="68E9DB2B"/>
    <w:rsid w:val="69A320DB"/>
    <w:rsid w:val="69DC1BD1"/>
    <w:rsid w:val="69E178BF"/>
    <w:rsid w:val="69EC15D6"/>
    <w:rsid w:val="6A3053E5"/>
    <w:rsid w:val="6A514377"/>
    <w:rsid w:val="6A5C144D"/>
    <w:rsid w:val="6A5D0610"/>
    <w:rsid w:val="6AA933EA"/>
    <w:rsid w:val="6AC77F7F"/>
    <w:rsid w:val="6B9D149F"/>
    <w:rsid w:val="6BE309E6"/>
    <w:rsid w:val="6C0841E4"/>
    <w:rsid w:val="6C454C4B"/>
    <w:rsid w:val="6C4DFAA5"/>
    <w:rsid w:val="6C554EC8"/>
    <w:rsid w:val="6C584936"/>
    <w:rsid w:val="6CB65BFE"/>
    <w:rsid w:val="6CEDC09F"/>
    <w:rsid w:val="6CF592B2"/>
    <w:rsid w:val="6D5FE277"/>
    <w:rsid w:val="6D6655C2"/>
    <w:rsid w:val="6D8433BC"/>
    <w:rsid w:val="6DF727CA"/>
    <w:rsid w:val="6E2EECA6"/>
    <w:rsid w:val="6E3460C8"/>
    <w:rsid w:val="6E4B47B0"/>
    <w:rsid w:val="6E5B23B0"/>
    <w:rsid w:val="6E6B164E"/>
    <w:rsid w:val="6E6B2034"/>
    <w:rsid w:val="6E8474D1"/>
    <w:rsid w:val="6E855B98"/>
    <w:rsid w:val="6E9F7E94"/>
    <w:rsid w:val="6EDD503B"/>
    <w:rsid w:val="6F046D30"/>
    <w:rsid w:val="6F4F0A46"/>
    <w:rsid w:val="6FB645D5"/>
    <w:rsid w:val="6FBE565B"/>
    <w:rsid w:val="6FE72280"/>
    <w:rsid w:val="6FEE29CF"/>
    <w:rsid w:val="6FF6876A"/>
    <w:rsid w:val="6FF77322"/>
    <w:rsid w:val="6FF77F61"/>
    <w:rsid w:val="70043BDB"/>
    <w:rsid w:val="700679D6"/>
    <w:rsid w:val="70531ED5"/>
    <w:rsid w:val="7073586F"/>
    <w:rsid w:val="709269AE"/>
    <w:rsid w:val="70C9376D"/>
    <w:rsid w:val="7104203A"/>
    <w:rsid w:val="71104F85"/>
    <w:rsid w:val="712A1F38"/>
    <w:rsid w:val="712B617B"/>
    <w:rsid w:val="716F4F9B"/>
    <w:rsid w:val="71773D35"/>
    <w:rsid w:val="71802052"/>
    <w:rsid w:val="7234177C"/>
    <w:rsid w:val="72457EDA"/>
    <w:rsid w:val="72473609"/>
    <w:rsid w:val="72614C18"/>
    <w:rsid w:val="7272748D"/>
    <w:rsid w:val="729D3834"/>
    <w:rsid w:val="72B113CE"/>
    <w:rsid w:val="731970B0"/>
    <w:rsid w:val="73554814"/>
    <w:rsid w:val="7367CFC6"/>
    <w:rsid w:val="73691968"/>
    <w:rsid w:val="73781E2A"/>
    <w:rsid w:val="73A9A0FE"/>
    <w:rsid w:val="73BB2FE2"/>
    <w:rsid w:val="73DA06FA"/>
    <w:rsid w:val="73DFF914"/>
    <w:rsid w:val="73ED07EB"/>
    <w:rsid w:val="73FF8890"/>
    <w:rsid w:val="741B0EB4"/>
    <w:rsid w:val="743313D8"/>
    <w:rsid w:val="74512B28"/>
    <w:rsid w:val="745442EC"/>
    <w:rsid w:val="74652E24"/>
    <w:rsid w:val="748F004B"/>
    <w:rsid w:val="74A643ED"/>
    <w:rsid w:val="74AC1BA1"/>
    <w:rsid w:val="7552606E"/>
    <w:rsid w:val="758B4046"/>
    <w:rsid w:val="75FD3C8F"/>
    <w:rsid w:val="75FF86F4"/>
    <w:rsid w:val="763B50C6"/>
    <w:rsid w:val="7663715E"/>
    <w:rsid w:val="766E0586"/>
    <w:rsid w:val="769F582D"/>
    <w:rsid w:val="76D11BF8"/>
    <w:rsid w:val="76DF7600"/>
    <w:rsid w:val="775D9B88"/>
    <w:rsid w:val="77674BFC"/>
    <w:rsid w:val="7769462C"/>
    <w:rsid w:val="779FA59F"/>
    <w:rsid w:val="77D47E28"/>
    <w:rsid w:val="77D55160"/>
    <w:rsid w:val="77DF12D9"/>
    <w:rsid w:val="77FF7F81"/>
    <w:rsid w:val="780E41D1"/>
    <w:rsid w:val="781E7167"/>
    <w:rsid w:val="786D0583"/>
    <w:rsid w:val="78FF1193"/>
    <w:rsid w:val="793B7903"/>
    <w:rsid w:val="795760CA"/>
    <w:rsid w:val="79BF0851"/>
    <w:rsid w:val="79EA52F5"/>
    <w:rsid w:val="79F6541D"/>
    <w:rsid w:val="7A007F9E"/>
    <w:rsid w:val="7A3D1A6B"/>
    <w:rsid w:val="7A8A6847"/>
    <w:rsid w:val="7A8D2CAF"/>
    <w:rsid w:val="7AC6289B"/>
    <w:rsid w:val="7AEB92DC"/>
    <w:rsid w:val="7B0979D0"/>
    <w:rsid w:val="7B2791C4"/>
    <w:rsid w:val="7B295ECE"/>
    <w:rsid w:val="7B8D7658"/>
    <w:rsid w:val="7B9FB2DE"/>
    <w:rsid w:val="7BBBC392"/>
    <w:rsid w:val="7BBFBC51"/>
    <w:rsid w:val="7BFB6BC2"/>
    <w:rsid w:val="7C3051CE"/>
    <w:rsid w:val="7C7F5DFF"/>
    <w:rsid w:val="7CA852AF"/>
    <w:rsid w:val="7CEF376C"/>
    <w:rsid w:val="7CF71F3E"/>
    <w:rsid w:val="7CFE6DF0"/>
    <w:rsid w:val="7CFF2C14"/>
    <w:rsid w:val="7D25556D"/>
    <w:rsid w:val="7D3DE5ED"/>
    <w:rsid w:val="7D3F62B0"/>
    <w:rsid w:val="7D4BD6E4"/>
    <w:rsid w:val="7D5E7E3F"/>
    <w:rsid w:val="7D7C1468"/>
    <w:rsid w:val="7D7F44B9"/>
    <w:rsid w:val="7D85447B"/>
    <w:rsid w:val="7D883202"/>
    <w:rsid w:val="7D91845B"/>
    <w:rsid w:val="7DA47FE5"/>
    <w:rsid w:val="7DA7DCAE"/>
    <w:rsid w:val="7DCA3EE2"/>
    <w:rsid w:val="7DD7FA30"/>
    <w:rsid w:val="7DDAA6C9"/>
    <w:rsid w:val="7E1105A1"/>
    <w:rsid w:val="7E2E3B63"/>
    <w:rsid w:val="7E6D27C6"/>
    <w:rsid w:val="7EBF7457"/>
    <w:rsid w:val="7EBFE7D3"/>
    <w:rsid w:val="7EE3FC10"/>
    <w:rsid w:val="7EEF40D6"/>
    <w:rsid w:val="7EFC5B0D"/>
    <w:rsid w:val="7F1809C7"/>
    <w:rsid w:val="7F5524F8"/>
    <w:rsid w:val="7F588807"/>
    <w:rsid w:val="7F67FA15"/>
    <w:rsid w:val="7F704811"/>
    <w:rsid w:val="7F722BA9"/>
    <w:rsid w:val="7F73320A"/>
    <w:rsid w:val="7F7922D8"/>
    <w:rsid w:val="7F7E58BB"/>
    <w:rsid w:val="7F7FED93"/>
    <w:rsid w:val="7F9E374B"/>
    <w:rsid w:val="7FA773E3"/>
    <w:rsid w:val="7FA7BE4A"/>
    <w:rsid w:val="7FBB019E"/>
    <w:rsid w:val="7FBF4902"/>
    <w:rsid w:val="7FDE9C03"/>
    <w:rsid w:val="7FE34250"/>
    <w:rsid w:val="7FE358CA"/>
    <w:rsid w:val="7FE7A405"/>
    <w:rsid w:val="7FEF396C"/>
    <w:rsid w:val="7FEF6D24"/>
    <w:rsid w:val="7FEF9669"/>
    <w:rsid w:val="7FF5364D"/>
    <w:rsid w:val="7FFAE1C3"/>
    <w:rsid w:val="7FFB0500"/>
    <w:rsid w:val="7FFD94B9"/>
    <w:rsid w:val="7FFFE92E"/>
    <w:rsid w:val="917B3387"/>
    <w:rsid w:val="9ADFF016"/>
    <w:rsid w:val="9D9B5B06"/>
    <w:rsid w:val="9EC9B592"/>
    <w:rsid w:val="9F5F6A5D"/>
    <w:rsid w:val="9FFB93B8"/>
    <w:rsid w:val="A3F5DE37"/>
    <w:rsid w:val="ABBEC6B5"/>
    <w:rsid w:val="AE6F0C61"/>
    <w:rsid w:val="B3EF55F7"/>
    <w:rsid w:val="B5DF0AF1"/>
    <w:rsid w:val="B6CE0DE7"/>
    <w:rsid w:val="B7FD8847"/>
    <w:rsid w:val="BB3F096F"/>
    <w:rsid w:val="BBDFF8AF"/>
    <w:rsid w:val="BCF30FD1"/>
    <w:rsid w:val="BD7F5DBE"/>
    <w:rsid w:val="BEBFB198"/>
    <w:rsid w:val="BEFF68D3"/>
    <w:rsid w:val="BF3B4C67"/>
    <w:rsid w:val="BF7BC2EB"/>
    <w:rsid w:val="BFBB4D78"/>
    <w:rsid w:val="BFD8346C"/>
    <w:rsid w:val="BFDE1856"/>
    <w:rsid w:val="BFDFAC6E"/>
    <w:rsid w:val="BFEDCF27"/>
    <w:rsid w:val="BFF35850"/>
    <w:rsid w:val="BFF7EF90"/>
    <w:rsid w:val="BFFF8FCE"/>
    <w:rsid w:val="CB9B7207"/>
    <w:rsid w:val="CBFEFED3"/>
    <w:rsid w:val="CDBDD0C7"/>
    <w:rsid w:val="CEFC0293"/>
    <w:rsid w:val="CFA2E80B"/>
    <w:rsid w:val="D5FF23A4"/>
    <w:rsid w:val="D7FCFD7F"/>
    <w:rsid w:val="D9FEB3CD"/>
    <w:rsid w:val="DA691CB6"/>
    <w:rsid w:val="DBFFECC9"/>
    <w:rsid w:val="DDF35867"/>
    <w:rsid w:val="DDFE9F32"/>
    <w:rsid w:val="DEDB6CCB"/>
    <w:rsid w:val="DEDD962F"/>
    <w:rsid w:val="DEDFA509"/>
    <w:rsid w:val="DEF619AC"/>
    <w:rsid w:val="DF0177DC"/>
    <w:rsid w:val="DF5FB8CC"/>
    <w:rsid w:val="DF7B4DA5"/>
    <w:rsid w:val="DFB35592"/>
    <w:rsid w:val="DFBBBCB3"/>
    <w:rsid w:val="DFBFECCB"/>
    <w:rsid w:val="DFDEF157"/>
    <w:rsid w:val="DFDF6E3F"/>
    <w:rsid w:val="DFDFA35E"/>
    <w:rsid w:val="DFFA5BD1"/>
    <w:rsid w:val="DFFF3D96"/>
    <w:rsid w:val="E2DC142D"/>
    <w:rsid w:val="E2FE688C"/>
    <w:rsid w:val="E37FDA42"/>
    <w:rsid w:val="E77E58DD"/>
    <w:rsid w:val="E782F5B0"/>
    <w:rsid w:val="E7EF32D6"/>
    <w:rsid w:val="EA0313C4"/>
    <w:rsid w:val="EAEF0C70"/>
    <w:rsid w:val="EAF1972D"/>
    <w:rsid w:val="EBA3C8BB"/>
    <w:rsid w:val="EBF3A733"/>
    <w:rsid w:val="ECFF4F06"/>
    <w:rsid w:val="ED9BFFDC"/>
    <w:rsid w:val="EDB7EACC"/>
    <w:rsid w:val="EEDEE166"/>
    <w:rsid w:val="EF4F775A"/>
    <w:rsid w:val="EF6F0995"/>
    <w:rsid w:val="EF7EFC2F"/>
    <w:rsid w:val="EF93740C"/>
    <w:rsid w:val="EFBB40A0"/>
    <w:rsid w:val="EFBB8067"/>
    <w:rsid w:val="EFF77833"/>
    <w:rsid w:val="EFFD524A"/>
    <w:rsid w:val="EFFD8DDA"/>
    <w:rsid w:val="F0F1F1B5"/>
    <w:rsid w:val="F1FBA1A7"/>
    <w:rsid w:val="F25F716F"/>
    <w:rsid w:val="F2FF2B03"/>
    <w:rsid w:val="F3FDF00B"/>
    <w:rsid w:val="F65FC9C6"/>
    <w:rsid w:val="F67388BE"/>
    <w:rsid w:val="F6F7C9A2"/>
    <w:rsid w:val="F6FF4ABE"/>
    <w:rsid w:val="F7BF7139"/>
    <w:rsid w:val="F7DBDB6C"/>
    <w:rsid w:val="F7E5021E"/>
    <w:rsid w:val="F7F33145"/>
    <w:rsid w:val="F7FEB153"/>
    <w:rsid w:val="F87F0A99"/>
    <w:rsid w:val="F9EFF912"/>
    <w:rsid w:val="FB770C02"/>
    <w:rsid w:val="FB9BAC33"/>
    <w:rsid w:val="FBBEC1B1"/>
    <w:rsid w:val="FBDF2B0A"/>
    <w:rsid w:val="FBE79824"/>
    <w:rsid w:val="FBEB3858"/>
    <w:rsid w:val="FBFB0417"/>
    <w:rsid w:val="FBFBC3D8"/>
    <w:rsid w:val="FD366E64"/>
    <w:rsid w:val="FDBBC9F7"/>
    <w:rsid w:val="FDBFC378"/>
    <w:rsid w:val="FDBFF5BD"/>
    <w:rsid w:val="FDEF9216"/>
    <w:rsid w:val="FDFA0A89"/>
    <w:rsid w:val="FDFF1180"/>
    <w:rsid w:val="FDFFCBF3"/>
    <w:rsid w:val="FE6E02E1"/>
    <w:rsid w:val="FEC69DBD"/>
    <w:rsid w:val="FED7C593"/>
    <w:rsid w:val="FED97083"/>
    <w:rsid w:val="FEEF20AB"/>
    <w:rsid w:val="FEFB2FE3"/>
    <w:rsid w:val="FF3D745F"/>
    <w:rsid w:val="FF6BE4A0"/>
    <w:rsid w:val="FF6D2383"/>
    <w:rsid w:val="FF77A306"/>
    <w:rsid w:val="FF7E01E9"/>
    <w:rsid w:val="FFBB8F79"/>
    <w:rsid w:val="FFC91B7B"/>
    <w:rsid w:val="FFD75704"/>
    <w:rsid w:val="FFDF011A"/>
    <w:rsid w:val="FFE46C5F"/>
    <w:rsid w:val="FFEF0EA9"/>
    <w:rsid w:val="FFEF4645"/>
    <w:rsid w:val="FFEF8B54"/>
    <w:rsid w:val="FFFD4756"/>
    <w:rsid w:val="FFFEC16D"/>
    <w:rsid w:val="FFFF3B17"/>
    <w:rsid w:val="FFFFA57F"/>
    <w:rsid w:val="FFFFAE4E"/>
    <w:rsid w:val="FFFFD8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iPriority="99" w:semiHidden="0"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iPriority="99" w:name="List"/>
    <w:lsdException w:qFormat="1" w:uiPriority="0" w:semiHidden="0" w:name="List Bullet"/>
    <w:lsdException w:qFormat="1" w:uiPriority="0" w:semiHidden="0" w:name="List Number"/>
    <w:lsdException w:qFormat="1"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0" w:name="HTML Code"/>
    <w:lsdException w:qFormat="1" w:uiPriority="0" w:name="HTML Definition"/>
    <w:lsdException w:qFormat="1" w:uiPriority="0" w:name="HTML Keyboard"/>
    <w:lsdException w:qFormat="1" w:uiPriority="0" w:semiHidden="0" w:name="HTML Preformatted"/>
    <w:lsdException w:qFormat="1" w:uiPriority="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0"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0"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0"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0"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8"/>
    <w:qFormat/>
    <w:uiPriority w:val="0"/>
    <w:pPr>
      <w:keepNext/>
      <w:keepLines/>
      <w:widowControl/>
      <w:tabs>
        <w:tab w:val="left" w:pos="1440"/>
      </w:tabs>
      <w:spacing w:beforeLines="250" w:line="360" w:lineRule="auto"/>
      <w:jc w:val="center"/>
      <w:outlineLvl w:val="0"/>
    </w:pPr>
    <w:rPr>
      <w:rFonts w:ascii="Times New Roman" w:hAnsi="Times New Roman" w:eastAsia="黑体" w:cs="Times New Roman"/>
      <w:b/>
      <w:bCs/>
      <w:kern w:val="44"/>
      <w:sz w:val="52"/>
      <w:szCs w:val="20"/>
    </w:rPr>
  </w:style>
  <w:style w:type="paragraph" w:styleId="4">
    <w:name w:val="heading 2"/>
    <w:basedOn w:val="1"/>
    <w:next w:val="1"/>
    <w:link w:val="89"/>
    <w:unhideWhenUsed/>
    <w:qFormat/>
    <w:uiPriority w:val="9"/>
    <w:pPr>
      <w:keepNext/>
      <w:keepLines/>
      <w:spacing w:before="260" w:after="260" w:line="408" w:lineRule="auto"/>
      <w:outlineLvl w:val="1"/>
    </w:pPr>
    <w:rPr>
      <w:rFonts w:eastAsia="黑体"/>
      <w:b/>
      <w:sz w:val="32"/>
      <w:szCs w:val="20"/>
    </w:rPr>
  </w:style>
  <w:style w:type="paragraph" w:styleId="5">
    <w:name w:val="heading 3"/>
    <w:basedOn w:val="1"/>
    <w:next w:val="1"/>
    <w:link w:val="90"/>
    <w:unhideWhenUsed/>
    <w:qFormat/>
    <w:uiPriority w:val="0"/>
    <w:pPr>
      <w:keepNext/>
      <w:keepLines/>
      <w:widowControl/>
      <w:tabs>
        <w:tab w:val="left" w:pos="567"/>
      </w:tabs>
      <w:spacing w:beforeLines="50" w:line="360" w:lineRule="auto"/>
      <w:jc w:val="left"/>
      <w:outlineLvl w:val="2"/>
    </w:pPr>
    <w:rPr>
      <w:rFonts w:ascii="Times New Roman" w:hAnsi="Times New Roman" w:eastAsia="黑体" w:cs="Times New Roman"/>
      <w:b/>
      <w:bCs/>
      <w:sz w:val="36"/>
      <w:szCs w:val="36"/>
    </w:rPr>
  </w:style>
  <w:style w:type="paragraph" w:styleId="6">
    <w:name w:val="heading 4"/>
    <w:basedOn w:val="1"/>
    <w:next w:val="1"/>
    <w:link w:val="91"/>
    <w:unhideWhenUsed/>
    <w:qFormat/>
    <w:uiPriority w:val="0"/>
    <w:pPr>
      <w:keepNext/>
      <w:keepLines/>
      <w:widowControl/>
      <w:tabs>
        <w:tab w:val="left" w:pos="-420"/>
      </w:tabs>
      <w:spacing w:beforeLines="50" w:line="360" w:lineRule="auto"/>
      <w:jc w:val="left"/>
      <w:outlineLvl w:val="3"/>
    </w:pPr>
    <w:rPr>
      <w:rFonts w:ascii="Arial" w:hAnsi="Arial" w:eastAsia="黑体" w:cs="Times New Roman"/>
      <w:b/>
      <w:bCs/>
      <w:sz w:val="30"/>
      <w:szCs w:val="28"/>
    </w:rPr>
  </w:style>
  <w:style w:type="paragraph" w:styleId="7">
    <w:name w:val="heading 5"/>
    <w:basedOn w:val="1"/>
    <w:next w:val="1"/>
    <w:link w:val="92"/>
    <w:unhideWhenUsed/>
    <w:qFormat/>
    <w:uiPriority w:val="0"/>
    <w:pPr>
      <w:keepNext/>
      <w:keepLines/>
      <w:widowControl/>
      <w:tabs>
        <w:tab w:val="left" w:pos="-420"/>
      </w:tabs>
      <w:spacing w:beforeLines="50" w:line="376" w:lineRule="auto"/>
      <w:jc w:val="left"/>
      <w:outlineLvl w:val="4"/>
    </w:pPr>
    <w:rPr>
      <w:rFonts w:ascii="Times New Roman" w:hAnsi="Times New Roman" w:eastAsia="宋体" w:cs="Times New Roman"/>
      <w:b/>
      <w:bCs/>
      <w:sz w:val="28"/>
      <w:szCs w:val="28"/>
    </w:rPr>
  </w:style>
  <w:style w:type="paragraph" w:styleId="8">
    <w:name w:val="heading 6"/>
    <w:basedOn w:val="1"/>
    <w:next w:val="1"/>
    <w:link w:val="93"/>
    <w:unhideWhenUsed/>
    <w:qFormat/>
    <w:uiPriority w:val="9"/>
    <w:pPr>
      <w:keepNext/>
      <w:keepLines/>
      <w:spacing w:line="316" w:lineRule="auto"/>
      <w:outlineLvl w:val="5"/>
    </w:pPr>
    <w:rPr>
      <w:rFonts w:ascii="Arial" w:hAnsi="Arial" w:eastAsia="黑体" w:cs="Times New Roman"/>
      <w:b/>
      <w:sz w:val="24"/>
      <w:szCs w:val="24"/>
    </w:rPr>
  </w:style>
  <w:style w:type="paragraph" w:styleId="9">
    <w:name w:val="heading 7"/>
    <w:basedOn w:val="1"/>
    <w:next w:val="1"/>
    <w:link w:val="94"/>
    <w:unhideWhenUsed/>
    <w:qFormat/>
    <w:uiPriority w:val="9"/>
    <w:pPr>
      <w:keepNext/>
      <w:keepLines/>
      <w:spacing w:before="240" w:after="64" w:line="319" w:lineRule="auto"/>
      <w:outlineLvl w:val="6"/>
    </w:pPr>
    <w:rPr>
      <w:rFonts w:ascii="Times New Roman" w:hAnsi="Times New Roman" w:eastAsia="黑体"/>
      <w:sz w:val="24"/>
      <w:szCs w:val="21"/>
    </w:rPr>
  </w:style>
  <w:style w:type="paragraph" w:styleId="10">
    <w:name w:val="heading 8"/>
    <w:basedOn w:val="1"/>
    <w:next w:val="1"/>
    <w:link w:val="95"/>
    <w:unhideWhenUsed/>
    <w:qFormat/>
    <w:uiPriority w:val="9"/>
    <w:pPr>
      <w:keepNext/>
      <w:keepLines/>
      <w:spacing w:before="240" w:after="64" w:line="319" w:lineRule="auto"/>
      <w:outlineLvl w:val="7"/>
    </w:pPr>
    <w:rPr>
      <w:rFonts w:ascii="Times New Roman" w:hAnsi="Times New Roman" w:eastAsia="黑体" w:cs="Times New Roman"/>
      <w:bCs/>
      <w:sz w:val="24"/>
      <w:szCs w:val="32"/>
    </w:rPr>
  </w:style>
  <w:style w:type="paragraph" w:styleId="11">
    <w:name w:val="heading 9"/>
    <w:basedOn w:val="1"/>
    <w:next w:val="1"/>
    <w:link w:val="96"/>
    <w:unhideWhenUsed/>
    <w:qFormat/>
    <w:uiPriority w:val="9"/>
    <w:pPr>
      <w:keepNext/>
      <w:keepLines/>
      <w:spacing w:before="240" w:after="64" w:line="319" w:lineRule="auto"/>
      <w:outlineLvl w:val="8"/>
    </w:pPr>
    <w:rPr>
      <w:rFonts w:ascii="Times New Roman" w:hAnsi="Times New Roman" w:eastAsia="黑体"/>
      <w:sz w:val="24"/>
      <w:szCs w:val="21"/>
    </w:rPr>
  </w:style>
  <w:style w:type="character" w:default="1" w:styleId="71">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styleId="12">
    <w:name w:val="List 3"/>
    <w:basedOn w:val="1"/>
    <w:qFormat/>
    <w:uiPriority w:val="0"/>
    <w:pPr>
      <w:widowControl/>
      <w:ind w:left="100" w:leftChars="400" w:hanging="200" w:hangingChars="200"/>
      <w:jc w:val="left"/>
    </w:pPr>
    <w:rPr>
      <w:rFonts w:ascii="Calibri" w:hAnsi="Calibri" w:eastAsia="宋体" w:cs="Times New Roman"/>
      <w:szCs w:val="24"/>
    </w:rPr>
  </w:style>
  <w:style w:type="paragraph" w:styleId="13">
    <w:name w:val="toc 7"/>
    <w:basedOn w:val="1"/>
    <w:next w:val="1"/>
    <w:qFormat/>
    <w:uiPriority w:val="39"/>
    <w:pPr>
      <w:ind w:left="1260"/>
      <w:jc w:val="left"/>
    </w:pPr>
    <w:rPr>
      <w:rFonts w:ascii="Calibri" w:hAnsi="Calibri" w:eastAsia="宋体" w:cs="Calibri"/>
      <w:sz w:val="18"/>
      <w:szCs w:val="18"/>
    </w:rPr>
  </w:style>
  <w:style w:type="paragraph" w:styleId="14">
    <w:name w:val="List Number 2"/>
    <w:basedOn w:val="1"/>
    <w:qFormat/>
    <w:uiPriority w:val="0"/>
    <w:pPr>
      <w:widowControl/>
      <w:tabs>
        <w:tab w:val="left" w:pos="360"/>
      </w:tabs>
      <w:snapToGrid w:val="0"/>
      <w:ind w:left="360" w:right="709" w:hanging="360"/>
      <w:jc w:val="left"/>
    </w:pPr>
    <w:rPr>
      <w:rFonts w:ascii="Calibri" w:hAnsi="Calibri" w:eastAsia="2OcuAe" w:cs="Times New Roman"/>
      <w:spacing w:val="2"/>
      <w:kern w:val="0"/>
      <w:sz w:val="20"/>
      <w:szCs w:val="20"/>
      <w:lang w:eastAsia="zh-TW"/>
    </w:rPr>
  </w:style>
  <w:style w:type="paragraph" w:styleId="15">
    <w:name w:val="List Bullet 4"/>
    <w:basedOn w:val="1"/>
    <w:qFormat/>
    <w:uiPriority w:val="0"/>
    <w:pPr>
      <w:widowControl/>
      <w:tabs>
        <w:tab w:val="left" w:pos="885"/>
      </w:tabs>
      <w:snapToGrid w:val="0"/>
      <w:ind w:left="885" w:right="709" w:hanging="885"/>
      <w:jc w:val="left"/>
    </w:pPr>
    <w:rPr>
      <w:rFonts w:ascii="Calibri" w:hAnsi="Calibri" w:eastAsia="2OcuAe" w:cs="Times New Roman"/>
      <w:spacing w:val="2"/>
      <w:kern w:val="0"/>
      <w:sz w:val="20"/>
      <w:szCs w:val="20"/>
      <w:lang w:eastAsia="zh-TW"/>
    </w:rPr>
  </w:style>
  <w:style w:type="paragraph" w:styleId="16">
    <w:name w:val="List Number"/>
    <w:basedOn w:val="1"/>
    <w:unhideWhenUsed/>
    <w:qFormat/>
    <w:uiPriority w:val="0"/>
    <w:pPr>
      <w:tabs>
        <w:tab w:val="left" w:pos="360"/>
      </w:tabs>
      <w:ind w:left="360" w:hanging="360"/>
    </w:pPr>
    <w:rPr>
      <w:rFonts w:ascii="Times New Roman" w:hAnsi="Times New Roman" w:eastAsia="宋体" w:cs="Times New Roman"/>
    </w:rPr>
  </w:style>
  <w:style w:type="paragraph" w:styleId="17">
    <w:name w:val="Normal Indent"/>
    <w:basedOn w:val="1"/>
    <w:next w:val="18"/>
    <w:link w:val="112"/>
    <w:unhideWhenUsed/>
    <w:qFormat/>
    <w:uiPriority w:val="0"/>
    <w:pPr>
      <w:ind w:firstLine="420"/>
    </w:pPr>
    <w:rPr>
      <w:rFonts w:ascii="Times New Roman" w:hAnsi="Times New Roman" w:eastAsia="宋体" w:cs="Times New Roman"/>
      <w:kern w:val="0"/>
      <w:sz w:val="20"/>
      <w:szCs w:val="20"/>
    </w:rPr>
  </w:style>
  <w:style w:type="paragraph" w:styleId="18">
    <w:name w:val="Body Text Indent"/>
    <w:basedOn w:val="1"/>
    <w:next w:val="17"/>
    <w:link w:val="114"/>
    <w:unhideWhenUsed/>
    <w:qFormat/>
    <w:uiPriority w:val="99"/>
    <w:pPr>
      <w:spacing w:line="200" w:lineRule="exact"/>
      <w:ind w:firstLine="301"/>
    </w:pPr>
    <w:rPr>
      <w:rFonts w:ascii="宋体" w:hAnsi="Courier New" w:eastAsia="宋体" w:cs="Times New Roman"/>
      <w:spacing w:val="-4"/>
      <w:kern w:val="0"/>
      <w:sz w:val="18"/>
    </w:rPr>
  </w:style>
  <w:style w:type="paragraph" w:styleId="19">
    <w:name w:val="caption"/>
    <w:basedOn w:val="1"/>
    <w:next w:val="1"/>
    <w:link w:val="113"/>
    <w:unhideWhenUsed/>
    <w:qFormat/>
    <w:uiPriority w:val="0"/>
    <w:pPr>
      <w:spacing w:before="152" w:after="160"/>
    </w:pPr>
    <w:rPr>
      <w:rFonts w:ascii="Arial" w:hAnsi="Arial" w:eastAsia="黑体" w:cs="Times New Roman"/>
      <w:kern w:val="0"/>
      <w:sz w:val="20"/>
      <w:szCs w:val="20"/>
    </w:rPr>
  </w:style>
  <w:style w:type="paragraph" w:styleId="20">
    <w:name w:val="List Bullet"/>
    <w:basedOn w:val="1"/>
    <w:unhideWhenUsed/>
    <w:qFormat/>
    <w:uiPriority w:val="0"/>
    <w:pPr>
      <w:tabs>
        <w:tab w:val="left" w:pos="360"/>
      </w:tabs>
      <w:ind w:left="360" w:hanging="360"/>
    </w:pPr>
    <w:rPr>
      <w:rFonts w:ascii="Times New Roman" w:hAnsi="Times New Roman" w:eastAsia="宋体" w:cs="Times New Roman"/>
    </w:rPr>
  </w:style>
  <w:style w:type="paragraph" w:styleId="21">
    <w:name w:val="Document Map"/>
    <w:basedOn w:val="1"/>
    <w:link w:val="97"/>
    <w:unhideWhenUsed/>
    <w:qFormat/>
    <w:uiPriority w:val="0"/>
    <w:pPr>
      <w:shd w:val="clear" w:color="auto" w:fill="000080"/>
    </w:pPr>
    <w:rPr>
      <w:rFonts w:ascii="Times New Roman" w:hAnsi="Times New Roman" w:eastAsia="宋体" w:cs="宋体"/>
    </w:rPr>
  </w:style>
  <w:style w:type="paragraph" w:styleId="22">
    <w:name w:val="annotation text"/>
    <w:basedOn w:val="1"/>
    <w:link w:val="98"/>
    <w:unhideWhenUsed/>
    <w:qFormat/>
    <w:uiPriority w:val="0"/>
    <w:pPr>
      <w:jc w:val="left"/>
    </w:pPr>
    <w:rPr>
      <w:rFonts w:ascii="Times New Roman" w:hAnsi="Times New Roman" w:eastAsia="宋体" w:cs="Times New Roman"/>
    </w:rPr>
  </w:style>
  <w:style w:type="paragraph" w:styleId="23">
    <w:name w:val="Salutation"/>
    <w:basedOn w:val="1"/>
    <w:next w:val="1"/>
    <w:link w:val="362"/>
    <w:qFormat/>
    <w:uiPriority w:val="0"/>
    <w:pPr>
      <w:widowControl/>
      <w:jc w:val="left"/>
    </w:pPr>
    <w:rPr>
      <w:rFonts w:ascii="Times New Roman" w:hAnsi="Times New Roman" w:eastAsia="宋体" w:cs="Times New Roman"/>
      <w:kern w:val="0"/>
      <w:sz w:val="20"/>
      <w:szCs w:val="24"/>
    </w:rPr>
  </w:style>
  <w:style w:type="paragraph" w:styleId="24">
    <w:name w:val="Body Text 3"/>
    <w:basedOn w:val="1"/>
    <w:link w:val="99"/>
    <w:unhideWhenUsed/>
    <w:qFormat/>
    <w:uiPriority w:val="0"/>
    <w:pPr>
      <w:snapToGrid w:val="0"/>
      <w:spacing w:before="50" w:after="50"/>
    </w:pPr>
    <w:rPr>
      <w:rFonts w:ascii="Times New Roman" w:hAnsi="宋体" w:eastAsia="Times New Roman" w:cs="Times New Roman"/>
      <w:b/>
      <w:sz w:val="24"/>
    </w:rPr>
  </w:style>
  <w:style w:type="paragraph" w:styleId="25">
    <w:name w:val="List Bullet 3"/>
    <w:basedOn w:val="1"/>
    <w:qFormat/>
    <w:uiPriority w:val="0"/>
    <w:pPr>
      <w:widowControl/>
      <w:tabs>
        <w:tab w:val="left" w:pos="1800"/>
      </w:tabs>
      <w:snapToGrid w:val="0"/>
      <w:ind w:left="1800" w:right="709" w:hanging="420"/>
      <w:jc w:val="left"/>
    </w:pPr>
    <w:rPr>
      <w:rFonts w:ascii="Calibri" w:hAnsi="Calibri" w:eastAsia="2OcuAe" w:cs="Times New Roman"/>
      <w:spacing w:val="2"/>
      <w:kern w:val="0"/>
      <w:sz w:val="20"/>
      <w:szCs w:val="20"/>
      <w:lang w:eastAsia="zh-TW"/>
    </w:rPr>
  </w:style>
  <w:style w:type="paragraph" w:styleId="26">
    <w:name w:val="Body Text"/>
    <w:basedOn w:val="1"/>
    <w:link w:val="100"/>
    <w:unhideWhenUsed/>
    <w:qFormat/>
    <w:uiPriority w:val="1"/>
    <w:pPr>
      <w:spacing w:after="120"/>
    </w:pPr>
    <w:rPr>
      <w:rFonts w:ascii="Times New Roman" w:hAnsi="Times New Roman" w:eastAsia="宋体" w:cs="Times New Roman"/>
    </w:rPr>
  </w:style>
  <w:style w:type="paragraph" w:styleId="27">
    <w:name w:val="List Number 3"/>
    <w:basedOn w:val="1"/>
    <w:unhideWhenUsed/>
    <w:qFormat/>
    <w:uiPriority w:val="0"/>
    <w:pPr>
      <w:numPr>
        <w:ilvl w:val="0"/>
        <w:numId w:val="1"/>
      </w:numPr>
    </w:pPr>
    <w:rPr>
      <w:rFonts w:ascii="Times New Roman" w:hAnsi="Times New Roman" w:eastAsia="宋体" w:cs="Times New Roman"/>
      <w:szCs w:val="24"/>
    </w:rPr>
  </w:style>
  <w:style w:type="paragraph" w:styleId="28">
    <w:name w:val="List 2"/>
    <w:basedOn w:val="1"/>
    <w:unhideWhenUsed/>
    <w:qFormat/>
    <w:uiPriority w:val="0"/>
    <w:pPr>
      <w:ind w:left="100" w:leftChars="200" w:hanging="200" w:hangingChars="200"/>
    </w:pPr>
    <w:rPr>
      <w:rFonts w:ascii="Times New Roman" w:hAnsi="Times New Roman" w:eastAsia="宋体" w:cs="Times New Roman"/>
      <w:sz w:val="28"/>
      <w:szCs w:val="24"/>
    </w:rPr>
  </w:style>
  <w:style w:type="paragraph" w:styleId="29">
    <w:name w:val="Block Text"/>
    <w:basedOn w:val="1"/>
    <w:next w:val="30"/>
    <w:qFormat/>
    <w:uiPriority w:val="0"/>
    <w:pPr>
      <w:widowControl/>
      <w:snapToGrid w:val="0"/>
      <w:spacing w:line="400" w:lineRule="exact"/>
      <w:ind w:left="2" w:right="105" w:firstLine="538"/>
      <w:jc w:val="left"/>
    </w:pPr>
    <w:rPr>
      <w:rFonts w:ascii="Calibri" w:hAnsi="Calibri" w:eastAsia="宋体" w:cs="Times New Roman"/>
      <w:b/>
      <w:szCs w:val="20"/>
    </w:rPr>
  </w:style>
  <w:style w:type="paragraph" w:styleId="30">
    <w:name w:val="index heading"/>
    <w:basedOn w:val="1"/>
    <w:next w:val="31"/>
    <w:unhideWhenUsed/>
    <w:qFormat/>
    <w:uiPriority w:val="99"/>
    <w:rPr>
      <w:rFonts w:ascii="等线 Light" w:hAnsi="等线 Light" w:eastAsia="等线 Light" w:cs="Times New Roman"/>
      <w:b/>
      <w:bCs/>
    </w:rPr>
  </w:style>
  <w:style w:type="paragraph" w:styleId="31">
    <w:name w:val="index 1"/>
    <w:basedOn w:val="1"/>
    <w:next w:val="1"/>
    <w:unhideWhenUsed/>
    <w:qFormat/>
    <w:uiPriority w:val="0"/>
    <w:pPr>
      <w:tabs>
        <w:tab w:val="left" w:pos="900"/>
      </w:tabs>
      <w:adjustRightInd w:val="0"/>
      <w:ind w:firstLine="420" w:firstLineChars="200"/>
    </w:pPr>
    <w:rPr>
      <w:rFonts w:ascii="宋体" w:hAnsi="宋体" w:eastAsia="宋体" w:cs="Times New Roman"/>
    </w:rPr>
  </w:style>
  <w:style w:type="paragraph" w:styleId="32">
    <w:name w:val="List Bullet 2"/>
    <w:basedOn w:val="1"/>
    <w:qFormat/>
    <w:uiPriority w:val="0"/>
    <w:pPr>
      <w:widowControl/>
      <w:tabs>
        <w:tab w:val="left" w:pos="780"/>
      </w:tabs>
      <w:spacing w:line="480" w:lineRule="exact"/>
      <w:ind w:left="680" w:leftChars="10" w:right="170" w:hanging="659" w:hangingChars="270"/>
      <w:jc w:val="left"/>
    </w:pPr>
    <w:rPr>
      <w:rFonts w:ascii="宋体" w:hAnsi="宋体" w:eastAsia="宋体" w:cs="Times New Roman"/>
      <w:b/>
      <w:color w:val="0000FF"/>
      <w:spacing w:val="2"/>
      <w:kern w:val="0"/>
      <w:sz w:val="24"/>
      <w:szCs w:val="24"/>
      <w:lang w:eastAsia="zh-TW"/>
    </w:rPr>
  </w:style>
  <w:style w:type="paragraph" w:styleId="33">
    <w:name w:val="toc 5"/>
    <w:basedOn w:val="1"/>
    <w:next w:val="1"/>
    <w:qFormat/>
    <w:uiPriority w:val="39"/>
    <w:pPr>
      <w:ind w:left="840"/>
      <w:jc w:val="left"/>
    </w:pPr>
    <w:rPr>
      <w:rFonts w:ascii="Calibri" w:hAnsi="Calibri" w:eastAsia="宋体" w:cs="Calibri"/>
      <w:sz w:val="18"/>
      <w:szCs w:val="18"/>
    </w:rPr>
  </w:style>
  <w:style w:type="paragraph" w:styleId="34">
    <w:name w:val="toc 3"/>
    <w:basedOn w:val="1"/>
    <w:next w:val="1"/>
    <w:qFormat/>
    <w:uiPriority w:val="39"/>
    <w:pPr>
      <w:ind w:left="420"/>
      <w:jc w:val="left"/>
    </w:pPr>
    <w:rPr>
      <w:rFonts w:ascii="Calibri" w:hAnsi="Calibri" w:eastAsia="宋体" w:cs="Calibri"/>
      <w:i/>
      <w:iCs/>
      <w:sz w:val="20"/>
      <w:szCs w:val="20"/>
    </w:rPr>
  </w:style>
  <w:style w:type="paragraph" w:styleId="35">
    <w:name w:val="Plain Text"/>
    <w:basedOn w:val="1"/>
    <w:next w:val="1"/>
    <w:link w:val="115"/>
    <w:unhideWhenUsed/>
    <w:qFormat/>
    <w:uiPriority w:val="0"/>
    <w:pPr>
      <w:spacing w:beforeLines="50" w:line="400" w:lineRule="exact"/>
    </w:pPr>
    <w:rPr>
      <w:rFonts w:ascii="宋体" w:hAnsi="Courier New" w:eastAsia="宋体" w:cs="Times New Roman"/>
      <w:sz w:val="24"/>
    </w:rPr>
  </w:style>
  <w:style w:type="paragraph" w:styleId="36">
    <w:name w:val="List Bullet 5"/>
    <w:basedOn w:val="1"/>
    <w:qFormat/>
    <w:uiPriority w:val="0"/>
    <w:pPr>
      <w:widowControl/>
      <w:tabs>
        <w:tab w:val="left" w:pos="2040"/>
      </w:tabs>
      <w:snapToGrid w:val="0"/>
      <w:ind w:left="2040" w:right="709" w:hanging="360"/>
      <w:jc w:val="left"/>
    </w:pPr>
    <w:rPr>
      <w:rFonts w:ascii="Calibri" w:hAnsi="Calibri" w:eastAsia="2OcuAe" w:cs="Times New Roman"/>
      <w:spacing w:val="2"/>
      <w:kern w:val="0"/>
      <w:sz w:val="20"/>
      <w:szCs w:val="20"/>
      <w:lang w:eastAsia="zh-TW"/>
    </w:rPr>
  </w:style>
  <w:style w:type="paragraph" w:styleId="37">
    <w:name w:val="List Number 4"/>
    <w:basedOn w:val="1"/>
    <w:qFormat/>
    <w:uiPriority w:val="0"/>
    <w:pPr>
      <w:tabs>
        <w:tab w:val="left" w:pos="840"/>
      </w:tabs>
      <w:autoSpaceDE w:val="0"/>
      <w:autoSpaceDN w:val="0"/>
      <w:adjustRightInd w:val="0"/>
      <w:spacing w:line="360" w:lineRule="atLeast"/>
      <w:ind w:left="840" w:hanging="420"/>
    </w:pPr>
    <w:rPr>
      <w:rFonts w:ascii="Calibri" w:hAnsi="Calibri" w:eastAsia="宋体" w:cs="Times New Roman"/>
      <w:kern w:val="0"/>
      <w:sz w:val="24"/>
      <w:szCs w:val="24"/>
    </w:rPr>
  </w:style>
  <w:style w:type="paragraph" w:styleId="38">
    <w:name w:val="toc 8"/>
    <w:basedOn w:val="1"/>
    <w:next w:val="1"/>
    <w:qFormat/>
    <w:uiPriority w:val="39"/>
    <w:pPr>
      <w:ind w:left="1470"/>
      <w:jc w:val="left"/>
    </w:pPr>
    <w:rPr>
      <w:rFonts w:ascii="Calibri" w:hAnsi="Calibri" w:eastAsia="宋体" w:cs="Calibri"/>
      <w:sz w:val="18"/>
      <w:szCs w:val="18"/>
    </w:rPr>
  </w:style>
  <w:style w:type="paragraph" w:styleId="39">
    <w:name w:val="Date"/>
    <w:basedOn w:val="1"/>
    <w:next w:val="1"/>
    <w:link w:val="104"/>
    <w:unhideWhenUsed/>
    <w:qFormat/>
    <w:uiPriority w:val="99"/>
    <w:pPr>
      <w:ind w:left="2500" w:leftChars="2500"/>
    </w:pPr>
    <w:rPr>
      <w:rFonts w:ascii="Calibri" w:hAnsi="Calibri" w:eastAsia="楷体_GB2312" w:cs="Times New Roman"/>
      <w:kern w:val="0"/>
      <w:sz w:val="32"/>
    </w:rPr>
  </w:style>
  <w:style w:type="paragraph" w:styleId="40">
    <w:name w:val="Body Text Indent 2"/>
    <w:basedOn w:val="1"/>
    <w:link w:val="105"/>
    <w:unhideWhenUsed/>
    <w:qFormat/>
    <w:uiPriority w:val="0"/>
    <w:pPr>
      <w:snapToGrid w:val="0"/>
      <w:ind w:firstLine="542" w:firstLineChars="225"/>
    </w:pPr>
    <w:rPr>
      <w:rFonts w:ascii="仿宋_GB2312" w:hAnsi="宋体" w:eastAsia="宋体" w:cs="Times New Roman"/>
      <w:b/>
      <w:color w:val="000000"/>
      <w:kern w:val="0"/>
      <w:sz w:val="24"/>
    </w:rPr>
  </w:style>
  <w:style w:type="paragraph" w:styleId="41">
    <w:name w:val="endnote text"/>
    <w:basedOn w:val="1"/>
    <w:link w:val="363"/>
    <w:qFormat/>
    <w:uiPriority w:val="0"/>
    <w:pPr>
      <w:widowControl/>
      <w:adjustRightInd w:val="0"/>
      <w:spacing w:line="360" w:lineRule="atLeast"/>
      <w:jc w:val="left"/>
      <w:textAlignment w:val="baseline"/>
    </w:pPr>
    <w:rPr>
      <w:rFonts w:ascii="Times New Roman" w:hAnsi="Times New Roman" w:eastAsia="宋体" w:cs="Times New Roman"/>
      <w:kern w:val="0"/>
      <w:sz w:val="24"/>
      <w:szCs w:val="20"/>
    </w:rPr>
  </w:style>
  <w:style w:type="paragraph" w:styleId="42">
    <w:name w:val="Balloon Text"/>
    <w:basedOn w:val="1"/>
    <w:link w:val="106"/>
    <w:unhideWhenUsed/>
    <w:qFormat/>
    <w:uiPriority w:val="0"/>
    <w:rPr>
      <w:rFonts w:ascii="Calibri" w:hAnsi="Calibri" w:eastAsia="宋体" w:cs="Times New Roman"/>
      <w:sz w:val="18"/>
      <w:szCs w:val="18"/>
    </w:rPr>
  </w:style>
  <w:style w:type="paragraph" w:styleId="43">
    <w:name w:val="footer"/>
    <w:basedOn w:val="1"/>
    <w:link w:val="87"/>
    <w:unhideWhenUsed/>
    <w:qFormat/>
    <w:uiPriority w:val="99"/>
    <w:pPr>
      <w:tabs>
        <w:tab w:val="center" w:pos="4153"/>
        <w:tab w:val="right" w:pos="8306"/>
      </w:tabs>
      <w:snapToGrid w:val="0"/>
      <w:jc w:val="left"/>
    </w:pPr>
    <w:rPr>
      <w:sz w:val="18"/>
      <w:szCs w:val="18"/>
    </w:rPr>
  </w:style>
  <w:style w:type="paragraph" w:styleId="44">
    <w:name w:val="header"/>
    <w:basedOn w:val="1"/>
    <w:link w:val="86"/>
    <w:unhideWhenUsed/>
    <w:qFormat/>
    <w:uiPriority w:val="99"/>
    <w:pPr>
      <w:pBdr>
        <w:bottom w:val="single" w:color="auto" w:sz="6" w:space="1"/>
      </w:pBdr>
      <w:tabs>
        <w:tab w:val="center" w:pos="4153"/>
        <w:tab w:val="right" w:pos="8306"/>
      </w:tabs>
      <w:snapToGrid w:val="0"/>
      <w:jc w:val="center"/>
    </w:pPr>
    <w:rPr>
      <w:sz w:val="18"/>
      <w:szCs w:val="18"/>
    </w:rPr>
  </w:style>
  <w:style w:type="paragraph" w:styleId="45">
    <w:name w:val="toc 1"/>
    <w:basedOn w:val="1"/>
    <w:next w:val="1"/>
    <w:link w:val="370"/>
    <w:unhideWhenUsed/>
    <w:qFormat/>
    <w:uiPriority w:val="39"/>
    <w:rPr>
      <w:rFonts w:ascii="Times New Roman" w:hAnsi="Times New Roman" w:eastAsia="宋体" w:cs="Times New Roman"/>
    </w:rPr>
  </w:style>
  <w:style w:type="paragraph" w:styleId="46">
    <w:name w:val="toc 4"/>
    <w:basedOn w:val="1"/>
    <w:next w:val="1"/>
    <w:qFormat/>
    <w:uiPriority w:val="39"/>
    <w:pPr>
      <w:ind w:left="630"/>
      <w:jc w:val="left"/>
    </w:pPr>
    <w:rPr>
      <w:rFonts w:ascii="Calibri" w:hAnsi="Calibri" w:eastAsia="宋体" w:cs="Calibri"/>
      <w:sz w:val="18"/>
      <w:szCs w:val="18"/>
    </w:rPr>
  </w:style>
  <w:style w:type="paragraph" w:styleId="47">
    <w:name w:val="Subtitle"/>
    <w:basedOn w:val="1"/>
    <w:next w:val="1"/>
    <w:link w:val="364"/>
    <w:qFormat/>
    <w:uiPriority w:val="0"/>
    <w:pPr>
      <w:wordWrap w:val="0"/>
      <w:spacing w:before="240" w:after="60" w:line="312" w:lineRule="auto"/>
      <w:ind w:firstLine="200" w:firstLineChars="200"/>
      <w:jc w:val="center"/>
      <w:outlineLvl w:val="1"/>
    </w:pPr>
    <w:rPr>
      <w:rFonts w:ascii="Calibri" w:hAnsi="Calibri" w:eastAsia="宋体" w:cs="宋体"/>
      <w:b/>
      <w:bCs/>
      <w:kern w:val="28"/>
      <w:sz w:val="32"/>
      <w:szCs w:val="32"/>
    </w:rPr>
  </w:style>
  <w:style w:type="paragraph" w:styleId="48">
    <w:name w:val="List Number 5"/>
    <w:basedOn w:val="1"/>
    <w:qFormat/>
    <w:uiPriority w:val="0"/>
    <w:pPr>
      <w:widowControl/>
      <w:tabs>
        <w:tab w:val="left" w:pos="420"/>
      </w:tabs>
      <w:snapToGrid w:val="0"/>
      <w:ind w:left="420" w:right="709" w:hanging="420"/>
      <w:jc w:val="left"/>
    </w:pPr>
    <w:rPr>
      <w:rFonts w:ascii="Calibri" w:hAnsi="Calibri" w:eastAsia="2OcuAe" w:cs="Times New Roman"/>
      <w:spacing w:val="2"/>
      <w:kern w:val="0"/>
      <w:sz w:val="20"/>
      <w:szCs w:val="20"/>
      <w:lang w:eastAsia="zh-TW"/>
    </w:rPr>
  </w:style>
  <w:style w:type="paragraph" w:styleId="49">
    <w:name w:val="List"/>
    <w:basedOn w:val="1"/>
    <w:semiHidden/>
    <w:unhideWhenUsed/>
    <w:qFormat/>
    <w:uiPriority w:val="99"/>
    <w:pPr>
      <w:ind w:left="200" w:hanging="200" w:hangingChars="200"/>
    </w:pPr>
    <w:rPr>
      <w:rFonts w:ascii="Times New Roman" w:hAnsi="Times New Roman" w:eastAsia="宋体" w:cs="Times New Roman"/>
      <w:sz w:val="28"/>
    </w:rPr>
  </w:style>
  <w:style w:type="paragraph" w:styleId="50">
    <w:name w:val="footnote text"/>
    <w:basedOn w:val="1"/>
    <w:link w:val="365"/>
    <w:qFormat/>
    <w:uiPriority w:val="0"/>
    <w:pPr>
      <w:wordWrap w:val="0"/>
      <w:snapToGrid w:val="0"/>
      <w:spacing w:line="360" w:lineRule="auto"/>
      <w:ind w:firstLine="200" w:firstLineChars="200"/>
      <w:jc w:val="left"/>
    </w:pPr>
    <w:rPr>
      <w:rFonts w:ascii="宋体" w:hAnsi="Calibri" w:eastAsia="宋体" w:cs="宋体"/>
      <w:sz w:val="18"/>
      <w:szCs w:val="18"/>
    </w:rPr>
  </w:style>
  <w:style w:type="paragraph" w:styleId="51">
    <w:name w:val="toc 6"/>
    <w:basedOn w:val="1"/>
    <w:next w:val="1"/>
    <w:qFormat/>
    <w:uiPriority w:val="39"/>
    <w:pPr>
      <w:ind w:left="1050"/>
      <w:jc w:val="left"/>
    </w:pPr>
    <w:rPr>
      <w:rFonts w:ascii="Calibri" w:hAnsi="Calibri" w:eastAsia="宋体" w:cs="Calibri"/>
      <w:sz w:val="18"/>
      <w:szCs w:val="18"/>
    </w:rPr>
  </w:style>
  <w:style w:type="paragraph" w:styleId="52">
    <w:name w:val="Body Text Indent 3"/>
    <w:basedOn w:val="1"/>
    <w:link w:val="107"/>
    <w:unhideWhenUsed/>
    <w:qFormat/>
    <w:uiPriority w:val="0"/>
    <w:pPr>
      <w:snapToGrid w:val="0"/>
      <w:ind w:firstLine="480" w:firstLineChars="200"/>
      <w:jc w:val="left"/>
    </w:pPr>
    <w:rPr>
      <w:rFonts w:ascii="仿宋_GB2312" w:hAnsi="宋体" w:eastAsia="Times New Roman" w:cs="Times New Roman"/>
      <w:color w:val="000000"/>
      <w:kern w:val="0"/>
      <w:sz w:val="24"/>
    </w:rPr>
  </w:style>
  <w:style w:type="paragraph" w:styleId="53">
    <w:name w:val="toc 2"/>
    <w:basedOn w:val="1"/>
    <w:next w:val="1"/>
    <w:qFormat/>
    <w:uiPriority w:val="39"/>
    <w:pPr>
      <w:wordWrap w:val="0"/>
      <w:spacing w:line="360" w:lineRule="auto"/>
      <w:ind w:left="420" w:leftChars="200" w:firstLine="200" w:firstLineChars="200"/>
    </w:pPr>
    <w:rPr>
      <w:rFonts w:ascii="宋体" w:hAnsi="Calibri" w:eastAsia="宋体" w:cs="宋体"/>
    </w:rPr>
  </w:style>
  <w:style w:type="paragraph" w:styleId="54">
    <w:name w:val="toc 9"/>
    <w:basedOn w:val="1"/>
    <w:next w:val="1"/>
    <w:qFormat/>
    <w:uiPriority w:val="39"/>
    <w:pPr>
      <w:ind w:left="1680"/>
      <w:jc w:val="left"/>
    </w:pPr>
    <w:rPr>
      <w:rFonts w:ascii="Calibri" w:hAnsi="Calibri" w:eastAsia="宋体" w:cs="Calibri"/>
      <w:sz w:val="18"/>
      <w:szCs w:val="18"/>
    </w:rPr>
  </w:style>
  <w:style w:type="paragraph" w:styleId="55">
    <w:name w:val="Body Text 2"/>
    <w:basedOn w:val="1"/>
    <w:link w:val="108"/>
    <w:unhideWhenUsed/>
    <w:qFormat/>
    <w:uiPriority w:val="0"/>
    <w:pPr>
      <w:widowControl/>
      <w:overflowPunct w:val="0"/>
      <w:autoSpaceDE w:val="0"/>
      <w:autoSpaceDN w:val="0"/>
      <w:adjustRightInd w:val="0"/>
      <w:spacing w:line="280" w:lineRule="exact"/>
      <w:jc w:val="center"/>
    </w:pPr>
    <w:rPr>
      <w:rFonts w:ascii="宋体" w:hAnsi="宋体" w:eastAsia="宋体" w:cs="宋体"/>
      <w:bCs/>
    </w:rPr>
  </w:style>
  <w:style w:type="paragraph" w:styleId="56">
    <w:name w:val="HTML Preformatted"/>
    <w:basedOn w:val="1"/>
    <w:link w:val="10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57">
    <w:name w:val="Normal (Web)"/>
    <w:basedOn w:val="1"/>
    <w:link w:val="723"/>
    <w:unhideWhenUsed/>
    <w:qFormat/>
    <w:uiPriority w:val="0"/>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58">
    <w:name w:val="Title"/>
    <w:basedOn w:val="1"/>
    <w:next w:val="1"/>
    <w:link w:val="366"/>
    <w:qFormat/>
    <w:uiPriority w:val="0"/>
    <w:pPr>
      <w:wordWrap w:val="0"/>
      <w:spacing w:before="240" w:after="60" w:line="360" w:lineRule="auto"/>
      <w:ind w:firstLine="200" w:firstLineChars="200"/>
      <w:jc w:val="center"/>
      <w:outlineLvl w:val="0"/>
    </w:pPr>
    <w:rPr>
      <w:rFonts w:ascii="Cambria" w:hAnsi="Cambria" w:eastAsia="宋体" w:cs="宋体"/>
      <w:b/>
      <w:bCs/>
      <w:sz w:val="32"/>
      <w:szCs w:val="32"/>
    </w:rPr>
  </w:style>
  <w:style w:type="paragraph" w:styleId="59">
    <w:name w:val="annotation subject"/>
    <w:basedOn w:val="22"/>
    <w:next w:val="22"/>
    <w:link w:val="110"/>
    <w:unhideWhenUsed/>
    <w:qFormat/>
    <w:uiPriority w:val="0"/>
    <w:rPr>
      <w:rFonts w:cs="宋体"/>
      <w:b/>
      <w:bCs/>
    </w:rPr>
  </w:style>
  <w:style w:type="paragraph" w:styleId="60">
    <w:name w:val="Body Text First Indent"/>
    <w:basedOn w:val="26"/>
    <w:next w:val="1"/>
    <w:link w:val="101"/>
    <w:unhideWhenUsed/>
    <w:qFormat/>
    <w:uiPriority w:val="0"/>
    <w:pPr>
      <w:ind w:firstLine="420" w:firstLineChars="100"/>
    </w:pPr>
    <w:rPr>
      <w:rFonts w:hAnsi="Calibri"/>
      <w:kern w:val="0"/>
    </w:rPr>
  </w:style>
  <w:style w:type="paragraph" w:styleId="61">
    <w:name w:val="Body Text First Indent 2"/>
    <w:basedOn w:val="18"/>
    <w:next w:val="26"/>
    <w:link w:val="111"/>
    <w:unhideWhenUsed/>
    <w:qFormat/>
    <w:uiPriority w:val="99"/>
    <w:pPr>
      <w:spacing w:after="120" w:line="240" w:lineRule="auto"/>
      <w:ind w:left="420" w:leftChars="200" w:firstLine="420" w:firstLineChars="200"/>
    </w:pPr>
    <w:rPr>
      <w:rFonts w:ascii="Calibri" w:hAnsi="Calibri"/>
      <w:spacing w:val="0"/>
      <w:kern w:val="2"/>
      <w:sz w:val="21"/>
      <w:szCs w:val="24"/>
    </w:rPr>
  </w:style>
  <w:style w:type="table" w:styleId="63">
    <w:name w:val="Table Grid"/>
    <w:basedOn w:val="6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64">
    <w:name w:val="Table Theme"/>
    <w:basedOn w:val="6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Medium Shading 2 Accent 2"/>
    <w:basedOn w:val="62"/>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7">
    <w:name w:val="Medium Shading 2 Accent 3"/>
    <w:basedOn w:val="62"/>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8">
    <w:name w:val="Medium Shading 2 Accent 4"/>
    <w:basedOn w:val="62"/>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9">
    <w:name w:val="Medium Shading 2 Accent 5"/>
    <w:basedOn w:val="62"/>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70">
    <w:name w:val="Medium Shading 2 Accent 6"/>
    <w:basedOn w:val="62"/>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72">
    <w:name w:val="Strong"/>
    <w:basedOn w:val="71"/>
    <w:qFormat/>
    <w:uiPriority w:val="0"/>
    <w:rPr>
      <w:rFonts w:hint="default" w:ascii="Times New Roman" w:hAnsi="Times New Roman" w:cs="Times New Roman"/>
      <w:b/>
    </w:rPr>
  </w:style>
  <w:style w:type="character" w:styleId="73">
    <w:name w:val="page number"/>
    <w:basedOn w:val="71"/>
    <w:unhideWhenUsed/>
    <w:qFormat/>
    <w:uiPriority w:val="0"/>
    <w:rPr>
      <w:rFonts w:hint="default" w:ascii="Times New Roman" w:hAnsi="Times New Roman" w:cs="Times New Roman"/>
    </w:rPr>
  </w:style>
  <w:style w:type="character" w:styleId="74">
    <w:name w:val="FollowedHyperlink"/>
    <w:basedOn w:val="71"/>
    <w:unhideWhenUsed/>
    <w:qFormat/>
    <w:uiPriority w:val="0"/>
    <w:rPr>
      <w:rFonts w:hint="default" w:ascii="Times New Roman" w:hAnsi="Times New Roman" w:cs="Times New Roman"/>
      <w:color w:val="800080"/>
      <w:u w:val="single"/>
    </w:rPr>
  </w:style>
  <w:style w:type="character" w:styleId="75">
    <w:name w:val="Emphasis"/>
    <w:qFormat/>
    <w:uiPriority w:val="0"/>
    <w:rPr>
      <w:rFonts w:ascii="Calibri" w:hAnsi="Calibri" w:eastAsia="宋体" w:cs="Times New Roman"/>
    </w:rPr>
  </w:style>
  <w:style w:type="character" w:styleId="76">
    <w:name w:val="HTML Definition"/>
    <w:basedOn w:val="71"/>
    <w:semiHidden/>
    <w:unhideWhenUsed/>
    <w:qFormat/>
    <w:uiPriority w:val="0"/>
    <w:rPr>
      <w:rFonts w:hint="default" w:ascii="Times New Roman" w:hAnsi="Times New Roman" w:cs="Times New Roman"/>
      <w:i/>
    </w:rPr>
  </w:style>
  <w:style w:type="character" w:styleId="77">
    <w:name w:val="Hyperlink"/>
    <w:basedOn w:val="71"/>
    <w:unhideWhenUsed/>
    <w:qFormat/>
    <w:uiPriority w:val="99"/>
    <w:rPr>
      <w:rFonts w:hint="default" w:ascii="Times New Roman" w:hAnsi="Times New Roman" w:cs="Times New Roman"/>
      <w:color w:val="0000FF"/>
      <w:u w:val="single"/>
    </w:rPr>
  </w:style>
  <w:style w:type="character" w:styleId="78">
    <w:name w:val="HTML Code"/>
    <w:basedOn w:val="71"/>
    <w:semiHidden/>
    <w:unhideWhenUsed/>
    <w:qFormat/>
    <w:uiPriority w:val="0"/>
    <w:rPr>
      <w:rFonts w:hint="default" w:ascii="Marlett" w:hAnsi="Marlett" w:eastAsia="Times New Roman" w:cs="Times New Roman"/>
      <w:sz w:val="21"/>
      <w:szCs w:val="24"/>
    </w:rPr>
  </w:style>
  <w:style w:type="character" w:styleId="79">
    <w:name w:val="annotation reference"/>
    <w:basedOn w:val="71"/>
    <w:unhideWhenUsed/>
    <w:qFormat/>
    <w:uiPriority w:val="0"/>
    <w:rPr>
      <w:rFonts w:hint="default" w:ascii="Times New Roman" w:hAnsi="Times New Roman" w:cs="Times New Roman"/>
      <w:sz w:val="21"/>
    </w:rPr>
  </w:style>
  <w:style w:type="character" w:styleId="80">
    <w:name w:val="footnote reference"/>
    <w:basedOn w:val="71"/>
    <w:qFormat/>
    <w:uiPriority w:val="0"/>
    <w:rPr>
      <w:vertAlign w:val="superscript"/>
    </w:rPr>
  </w:style>
  <w:style w:type="character" w:styleId="81">
    <w:name w:val="HTML Keyboard"/>
    <w:basedOn w:val="71"/>
    <w:semiHidden/>
    <w:unhideWhenUsed/>
    <w:qFormat/>
    <w:uiPriority w:val="0"/>
    <w:rPr>
      <w:rFonts w:hint="default" w:ascii="Marlett" w:hAnsi="Marlett" w:eastAsia="Times New Roman" w:cs="Times New Roman"/>
      <w:sz w:val="21"/>
      <w:szCs w:val="24"/>
    </w:rPr>
  </w:style>
  <w:style w:type="character" w:styleId="82">
    <w:name w:val="HTML Sample"/>
    <w:basedOn w:val="71"/>
    <w:semiHidden/>
    <w:unhideWhenUsed/>
    <w:qFormat/>
    <w:uiPriority w:val="0"/>
    <w:rPr>
      <w:rFonts w:hint="default" w:ascii="Marlett" w:hAnsi="Marlett" w:eastAsia="Times New Roman" w:cs="Times New Roman"/>
      <w:sz w:val="21"/>
    </w:rPr>
  </w:style>
  <w:style w:type="paragraph" w:customStyle="1" w:styleId="83">
    <w:name w:val="表格文字"/>
    <w:basedOn w:val="35"/>
    <w:next w:val="26"/>
    <w:qFormat/>
    <w:uiPriority w:val="0"/>
    <w:rPr>
      <w:rFonts w:ascii="Times New Roman" w:hAnsi="Times New Roman"/>
      <w:sz w:val="18"/>
      <w:szCs w:val="24"/>
    </w:rPr>
  </w:style>
  <w:style w:type="paragraph" w:customStyle="1" w:styleId="84">
    <w:name w:val="首行缩进"/>
    <w:basedOn w:val="1"/>
    <w:qFormat/>
    <w:uiPriority w:val="0"/>
    <w:pPr>
      <w:spacing w:line="360" w:lineRule="auto"/>
      <w:ind w:firstLine="480" w:firstLineChars="200"/>
      <w:jc w:val="left"/>
    </w:pPr>
    <w:rPr>
      <w:rFonts w:ascii="宋体" w:hAnsi="宋体"/>
      <w:sz w:val="24"/>
    </w:rPr>
  </w:style>
  <w:style w:type="paragraph" w:customStyle="1" w:styleId="8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86">
    <w:name w:val="页眉 Char"/>
    <w:basedOn w:val="71"/>
    <w:link w:val="44"/>
    <w:qFormat/>
    <w:uiPriority w:val="99"/>
    <w:rPr>
      <w:sz w:val="18"/>
      <w:szCs w:val="18"/>
    </w:rPr>
  </w:style>
  <w:style w:type="character" w:customStyle="1" w:styleId="87">
    <w:name w:val="页脚 Char"/>
    <w:basedOn w:val="71"/>
    <w:link w:val="43"/>
    <w:qFormat/>
    <w:uiPriority w:val="99"/>
    <w:rPr>
      <w:sz w:val="18"/>
      <w:szCs w:val="18"/>
    </w:rPr>
  </w:style>
  <w:style w:type="character" w:customStyle="1" w:styleId="88">
    <w:name w:val="标题 1 Char"/>
    <w:basedOn w:val="71"/>
    <w:link w:val="3"/>
    <w:qFormat/>
    <w:uiPriority w:val="0"/>
    <w:rPr>
      <w:rFonts w:ascii="Times New Roman" w:hAnsi="Times New Roman" w:eastAsia="黑体" w:cs="Times New Roman"/>
      <w:b/>
      <w:bCs/>
      <w:kern w:val="44"/>
      <w:sz w:val="52"/>
      <w:szCs w:val="20"/>
    </w:rPr>
  </w:style>
  <w:style w:type="character" w:customStyle="1" w:styleId="89">
    <w:name w:val="标题 2 Char"/>
    <w:basedOn w:val="71"/>
    <w:link w:val="4"/>
    <w:qFormat/>
    <w:uiPriority w:val="9"/>
    <w:rPr>
      <w:rFonts w:ascii="Arial" w:hAnsi="Arial" w:eastAsia="黑体" w:cs="Times New Roman"/>
      <w:b/>
      <w:kern w:val="0"/>
      <w:sz w:val="32"/>
      <w:szCs w:val="20"/>
    </w:rPr>
  </w:style>
  <w:style w:type="character" w:customStyle="1" w:styleId="90">
    <w:name w:val="标题 3 Char"/>
    <w:basedOn w:val="71"/>
    <w:link w:val="5"/>
    <w:qFormat/>
    <w:uiPriority w:val="0"/>
    <w:rPr>
      <w:rFonts w:ascii="Times New Roman" w:hAnsi="Times New Roman" w:eastAsia="黑体" w:cs="Times New Roman"/>
      <w:b/>
      <w:bCs/>
      <w:sz w:val="36"/>
      <w:szCs w:val="36"/>
    </w:rPr>
  </w:style>
  <w:style w:type="character" w:customStyle="1" w:styleId="91">
    <w:name w:val="标题 4 Char"/>
    <w:basedOn w:val="71"/>
    <w:link w:val="6"/>
    <w:qFormat/>
    <w:uiPriority w:val="0"/>
    <w:rPr>
      <w:rFonts w:ascii="Arial" w:hAnsi="Arial" w:eastAsia="黑体" w:cs="Times New Roman"/>
      <w:b/>
      <w:bCs/>
      <w:sz w:val="30"/>
      <w:szCs w:val="28"/>
    </w:rPr>
  </w:style>
  <w:style w:type="character" w:customStyle="1" w:styleId="92">
    <w:name w:val="标题 5 Char"/>
    <w:basedOn w:val="71"/>
    <w:link w:val="7"/>
    <w:qFormat/>
    <w:uiPriority w:val="0"/>
    <w:rPr>
      <w:rFonts w:ascii="Times New Roman" w:hAnsi="Times New Roman" w:eastAsia="宋体" w:cs="Times New Roman"/>
      <w:b/>
      <w:bCs/>
      <w:sz w:val="28"/>
      <w:szCs w:val="28"/>
    </w:rPr>
  </w:style>
  <w:style w:type="character" w:customStyle="1" w:styleId="93">
    <w:name w:val="标题 6 Char"/>
    <w:basedOn w:val="71"/>
    <w:link w:val="8"/>
    <w:qFormat/>
    <w:uiPriority w:val="9"/>
    <w:rPr>
      <w:rFonts w:ascii="Arial" w:hAnsi="Arial" w:eastAsia="黑体" w:cs="Times New Roman"/>
      <w:b/>
      <w:sz w:val="24"/>
      <w:szCs w:val="24"/>
    </w:rPr>
  </w:style>
  <w:style w:type="character" w:customStyle="1" w:styleId="94">
    <w:name w:val="标题 7 Char"/>
    <w:basedOn w:val="71"/>
    <w:link w:val="9"/>
    <w:qFormat/>
    <w:uiPriority w:val="9"/>
    <w:rPr>
      <w:rFonts w:ascii="Times New Roman" w:hAnsi="Times New Roman" w:eastAsia="黑体"/>
      <w:sz w:val="24"/>
      <w:szCs w:val="21"/>
    </w:rPr>
  </w:style>
  <w:style w:type="character" w:customStyle="1" w:styleId="95">
    <w:name w:val="标题 8 Char"/>
    <w:basedOn w:val="71"/>
    <w:link w:val="10"/>
    <w:qFormat/>
    <w:uiPriority w:val="9"/>
    <w:rPr>
      <w:rFonts w:ascii="Times New Roman" w:hAnsi="Times New Roman" w:eastAsia="黑体" w:cs="Times New Roman"/>
      <w:bCs/>
      <w:sz w:val="24"/>
      <w:szCs w:val="32"/>
    </w:rPr>
  </w:style>
  <w:style w:type="character" w:customStyle="1" w:styleId="96">
    <w:name w:val="标题 9 Char"/>
    <w:basedOn w:val="71"/>
    <w:link w:val="11"/>
    <w:qFormat/>
    <w:uiPriority w:val="9"/>
    <w:rPr>
      <w:rFonts w:ascii="Times New Roman" w:hAnsi="Times New Roman" w:eastAsia="黑体"/>
      <w:sz w:val="24"/>
      <w:szCs w:val="21"/>
    </w:rPr>
  </w:style>
  <w:style w:type="character" w:customStyle="1" w:styleId="97">
    <w:name w:val="文档结构图 Char"/>
    <w:basedOn w:val="71"/>
    <w:link w:val="21"/>
    <w:qFormat/>
    <w:uiPriority w:val="0"/>
    <w:rPr>
      <w:rFonts w:ascii="Times New Roman" w:hAnsi="Times New Roman" w:eastAsia="宋体" w:cs="宋体"/>
      <w:shd w:val="clear" w:color="auto" w:fill="000080"/>
    </w:rPr>
  </w:style>
  <w:style w:type="character" w:customStyle="1" w:styleId="98">
    <w:name w:val="批注文字 Char5"/>
    <w:basedOn w:val="71"/>
    <w:link w:val="22"/>
    <w:qFormat/>
    <w:uiPriority w:val="0"/>
    <w:rPr>
      <w:rFonts w:ascii="Times New Roman" w:hAnsi="Times New Roman" w:eastAsia="宋体" w:cs="Times New Roman"/>
    </w:rPr>
  </w:style>
  <w:style w:type="character" w:customStyle="1" w:styleId="99">
    <w:name w:val="正文文本 3 Char3"/>
    <w:basedOn w:val="71"/>
    <w:link w:val="24"/>
    <w:qFormat/>
    <w:uiPriority w:val="0"/>
    <w:rPr>
      <w:rFonts w:ascii="Times New Roman" w:hAnsi="宋体" w:eastAsia="Times New Roman" w:cs="Times New Roman"/>
      <w:b/>
      <w:sz w:val="24"/>
    </w:rPr>
  </w:style>
  <w:style w:type="character" w:customStyle="1" w:styleId="100">
    <w:name w:val="正文文本 Char"/>
    <w:basedOn w:val="71"/>
    <w:link w:val="26"/>
    <w:qFormat/>
    <w:uiPriority w:val="1"/>
    <w:rPr>
      <w:rFonts w:ascii="Times New Roman" w:hAnsi="Times New Roman" w:eastAsia="宋体" w:cs="Times New Roman"/>
    </w:rPr>
  </w:style>
  <w:style w:type="character" w:customStyle="1" w:styleId="101">
    <w:name w:val="正文首行缩进 Char3"/>
    <w:basedOn w:val="100"/>
    <w:link w:val="60"/>
    <w:qFormat/>
    <w:uiPriority w:val="0"/>
    <w:rPr>
      <w:rFonts w:ascii="Times New Roman" w:hAnsi="Calibri" w:eastAsia="宋体" w:cs="Times New Roman"/>
      <w:kern w:val="0"/>
    </w:rPr>
  </w:style>
  <w:style w:type="character" w:customStyle="1" w:styleId="102">
    <w:name w:val="正文文本缩进 字符"/>
    <w:basedOn w:val="71"/>
    <w:qFormat/>
    <w:uiPriority w:val="99"/>
  </w:style>
  <w:style w:type="character" w:customStyle="1" w:styleId="103">
    <w:name w:val="纯文本 字符"/>
    <w:basedOn w:val="71"/>
    <w:qFormat/>
    <w:uiPriority w:val="0"/>
    <w:rPr>
      <w:rFonts w:hAnsi="Courier New" w:cs="Courier New" w:asciiTheme="minorEastAsia"/>
    </w:rPr>
  </w:style>
  <w:style w:type="character" w:customStyle="1" w:styleId="104">
    <w:name w:val="日期 Char"/>
    <w:basedOn w:val="71"/>
    <w:link w:val="39"/>
    <w:qFormat/>
    <w:uiPriority w:val="99"/>
    <w:rPr>
      <w:rFonts w:ascii="Calibri" w:hAnsi="Calibri" w:eastAsia="楷体_GB2312" w:cs="Times New Roman"/>
      <w:kern w:val="0"/>
      <w:sz w:val="32"/>
    </w:rPr>
  </w:style>
  <w:style w:type="character" w:customStyle="1" w:styleId="105">
    <w:name w:val="正文文本缩进 2 Char"/>
    <w:basedOn w:val="71"/>
    <w:link w:val="40"/>
    <w:qFormat/>
    <w:uiPriority w:val="0"/>
    <w:rPr>
      <w:rFonts w:ascii="仿宋_GB2312" w:hAnsi="宋体" w:eastAsia="宋体" w:cs="Times New Roman"/>
      <w:b/>
      <w:color w:val="000000"/>
      <w:kern w:val="0"/>
      <w:sz w:val="24"/>
    </w:rPr>
  </w:style>
  <w:style w:type="character" w:customStyle="1" w:styleId="106">
    <w:name w:val="批注框文本 Char3"/>
    <w:basedOn w:val="71"/>
    <w:link w:val="42"/>
    <w:qFormat/>
    <w:uiPriority w:val="0"/>
    <w:rPr>
      <w:rFonts w:ascii="Calibri" w:hAnsi="Calibri" w:eastAsia="宋体" w:cs="Times New Roman"/>
      <w:sz w:val="18"/>
      <w:szCs w:val="18"/>
    </w:rPr>
  </w:style>
  <w:style w:type="character" w:customStyle="1" w:styleId="107">
    <w:name w:val="正文文本缩进 3 Char"/>
    <w:basedOn w:val="71"/>
    <w:link w:val="52"/>
    <w:qFormat/>
    <w:uiPriority w:val="0"/>
    <w:rPr>
      <w:rFonts w:ascii="仿宋_GB2312" w:hAnsi="宋体" w:eastAsia="Times New Roman" w:cs="Times New Roman"/>
      <w:color w:val="000000"/>
      <w:kern w:val="0"/>
      <w:sz w:val="24"/>
    </w:rPr>
  </w:style>
  <w:style w:type="character" w:customStyle="1" w:styleId="108">
    <w:name w:val="正文文本 2 Char3"/>
    <w:basedOn w:val="71"/>
    <w:link w:val="55"/>
    <w:qFormat/>
    <w:uiPriority w:val="0"/>
    <w:rPr>
      <w:rFonts w:ascii="宋体" w:hAnsi="宋体" w:eastAsia="宋体" w:cs="宋体"/>
      <w:bCs/>
    </w:rPr>
  </w:style>
  <w:style w:type="character" w:customStyle="1" w:styleId="109">
    <w:name w:val="HTML 预设格式 Char1"/>
    <w:basedOn w:val="71"/>
    <w:link w:val="56"/>
    <w:qFormat/>
    <w:uiPriority w:val="0"/>
    <w:rPr>
      <w:rFonts w:ascii="Courier New" w:hAnsi="Courier New" w:eastAsia="宋体" w:cs="Times New Roman"/>
      <w:kern w:val="0"/>
      <w:sz w:val="20"/>
      <w:szCs w:val="20"/>
    </w:rPr>
  </w:style>
  <w:style w:type="character" w:customStyle="1" w:styleId="110">
    <w:name w:val="批注主题 Char"/>
    <w:basedOn w:val="98"/>
    <w:link w:val="59"/>
    <w:qFormat/>
    <w:uiPriority w:val="0"/>
    <w:rPr>
      <w:rFonts w:ascii="Times New Roman" w:hAnsi="Times New Roman" w:eastAsia="宋体" w:cs="宋体"/>
      <w:b/>
      <w:bCs/>
    </w:rPr>
  </w:style>
  <w:style w:type="character" w:customStyle="1" w:styleId="111">
    <w:name w:val="正文首行缩进 2 Char"/>
    <w:basedOn w:val="102"/>
    <w:link w:val="61"/>
    <w:qFormat/>
    <w:uiPriority w:val="99"/>
    <w:rPr>
      <w:rFonts w:ascii="Calibri" w:hAnsi="Calibri" w:eastAsia="宋体" w:cs="Times New Roman"/>
      <w:szCs w:val="24"/>
    </w:rPr>
  </w:style>
  <w:style w:type="character" w:customStyle="1" w:styleId="112">
    <w:name w:val="正文缩进 Char"/>
    <w:link w:val="17"/>
    <w:qFormat/>
    <w:locked/>
    <w:uiPriority w:val="0"/>
    <w:rPr>
      <w:rFonts w:ascii="Times New Roman" w:hAnsi="Times New Roman" w:eastAsia="宋体" w:cs="Times New Roman"/>
      <w:kern w:val="0"/>
      <w:sz w:val="20"/>
      <w:szCs w:val="20"/>
    </w:rPr>
  </w:style>
  <w:style w:type="character" w:customStyle="1" w:styleId="113">
    <w:name w:val="题注 Char"/>
    <w:link w:val="19"/>
    <w:semiHidden/>
    <w:qFormat/>
    <w:locked/>
    <w:uiPriority w:val="0"/>
    <w:rPr>
      <w:rFonts w:ascii="Arial" w:hAnsi="Arial" w:eastAsia="黑体" w:cs="Times New Roman"/>
      <w:kern w:val="0"/>
      <w:sz w:val="20"/>
      <w:szCs w:val="20"/>
    </w:rPr>
  </w:style>
  <w:style w:type="character" w:customStyle="1" w:styleId="114">
    <w:name w:val="正文文本缩进 Char"/>
    <w:basedOn w:val="71"/>
    <w:link w:val="18"/>
    <w:semiHidden/>
    <w:qFormat/>
    <w:uiPriority w:val="99"/>
    <w:rPr>
      <w:rFonts w:ascii="宋体" w:hAnsi="Courier New" w:eastAsia="宋体" w:cs="Times New Roman"/>
      <w:spacing w:val="-4"/>
      <w:kern w:val="0"/>
      <w:sz w:val="18"/>
    </w:rPr>
  </w:style>
  <w:style w:type="character" w:customStyle="1" w:styleId="115">
    <w:name w:val="纯文本 Char3"/>
    <w:basedOn w:val="71"/>
    <w:link w:val="35"/>
    <w:qFormat/>
    <w:uiPriority w:val="0"/>
    <w:rPr>
      <w:rFonts w:ascii="宋体" w:hAnsi="Courier New" w:eastAsia="宋体" w:cs="Times New Roman"/>
      <w:sz w:val="24"/>
    </w:rPr>
  </w:style>
  <w:style w:type="paragraph" w:styleId="116">
    <w:name w:val="List Paragraph"/>
    <w:basedOn w:val="1"/>
    <w:qFormat/>
    <w:uiPriority w:val="34"/>
    <w:pPr>
      <w:ind w:firstLine="420" w:firstLineChars="200"/>
    </w:pPr>
  </w:style>
  <w:style w:type="paragraph" w:customStyle="1" w:styleId="117">
    <w:name w:val="标题 71"/>
    <w:basedOn w:val="1"/>
    <w:next w:val="1"/>
    <w:qFormat/>
    <w:uiPriority w:val="9"/>
    <w:pPr>
      <w:keepNext/>
      <w:keepLines/>
      <w:spacing w:before="120" w:after="120"/>
      <w:outlineLvl w:val="6"/>
    </w:pPr>
    <w:rPr>
      <w:rFonts w:ascii="Times New Roman" w:hAnsi="Times New Roman" w:eastAsia="黑体"/>
      <w:sz w:val="24"/>
      <w:szCs w:val="21"/>
    </w:rPr>
  </w:style>
  <w:style w:type="paragraph" w:customStyle="1" w:styleId="118">
    <w:name w:val="标题 81"/>
    <w:basedOn w:val="1"/>
    <w:next w:val="1"/>
    <w:qFormat/>
    <w:uiPriority w:val="9"/>
    <w:pPr>
      <w:keepNext/>
      <w:keepLines/>
      <w:spacing w:before="120" w:after="120"/>
      <w:outlineLvl w:val="7"/>
    </w:pPr>
    <w:rPr>
      <w:rFonts w:ascii="Times New Roman" w:hAnsi="Times New Roman" w:eastAsia="黑体" w:cs="Times New Roman"/>
      <w:bCs/>
      <w:sz w:val="24"/>
      <w:szCs w:val="32"/>
    </w:rPr>
  </w:style>
  <w:style w:type="paragraph" w:customStyle="1" w:styleId="119">
    <w:name w:val="标题 91"/>
    <w:basedOn w:val="1"/>
    <w:next w:val="1"/>
    <w:qFormat/>
    <w:uiPriority w:val="9"/>
    <w:pPr>
      <w:keepNext/>
      <w:keepLines/>
      <w:spacing w:before="120" w:after="120"/>
      <w:outlineLvl w:val="8"/>
    </w:pPr>
    <w:rPr>
      <w:rFonts w:ascii="Times New Roman" w:hAnsi="Times New Roman" w:eastAsia="黑体"/>
      <w:sz w:val="24"/>
      <w:szCs w:val="21"/>
    </w:rPr>
  </w:style>
  <w:style w:type="paragraph" w:customStyle="1" w:styleId="120">
    <w:name w:val="Default Paragraph Font Para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21">
    <w:name w:val="默认段落字体 Para Char Char Char Char Char Char Char Char Char1 Char Char Char Char"/>
    <w:basedOn w:val="1"/>
    <w:qFormat/>
    <w:uiPriority w:val="0"/>
    <w:rPr>
      <w:rFonts w:ascii="Tahoma" w:hAnsi="Tahoma" w:eastAsia="宋体" w:cs="Times New Roman"/>
      <w:sz w:val="24"/>
    </w:rPr>
  </w:style>
  <w:style w:type="paragraph" w:customStyle="1" w:styleId="122">
    <w:name w:val="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3">
    <w:name w:val="章正文"/>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paragraph" w:customStyle="1" w:styleId="124">
    <w:name w:val="列出段落5"/>
    <w:basedOn w:val="1"/>
    <w:qFormat/>
    <w:uiPriority w:val="99"/>
    <w:pPr>
      <w:ind w:firstLine="420" w:firstLineChars="200"/>
    </w:pPr>
    <w:rPr>
      <w:rFonts w:ascii="Calibri" w:hAnsi="Calibri" w:eastAsia="等线" w:cs="Times New Roman"/>
      <w:sz w:val="24"/>
      <w:szCs w:val="24"/>
    </w:rPr>
  </w:style>
  <w:style w:type="paragraph" w:customStyle="1" w:styleId="125">
    <w:name w:val="Char Char Char Char Char Char"/>
    <w:basedOn w:val="1"/>
    <w:qFormat/>
    <w:uiPriority w:val="0"/>
    <w:pPr>
      <w:widowControl/>
      <w:spacing w:after="160" w:line="240" w:lineRule="exact"/>
      <w:jc w:val="left"/>
    </w:pPr>
    <w:rPr>
      <w:rFonts w:ascii="(使用中文字体)" w:hAnsi="(使用中文字体)" w:eastAsia="宋体" w:cs="Times New Roman"/>
      <w:kern w:val="0"/>
      <w:sz w:val="20"/>
      <w:szCs w:val="20"/>
      <w:lang w:eastAsia="en-US"/>
    </w:rPr>
  </w:style>
  <w:style w:type="paragraph" w:customStyle="1" w:styleId="126">
    <w:name w:val="普通(网站)1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27">
    <w:name w:val="图"/>
    <w:basedOn w:val="1"/>
    <w:qFormat/>
    <w:uiPriority w:val="99"/>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128">
    <w:name w:val="ÕýÎÄ"/>
    <w:qFormat/>
    <w:uiPriority w:val="99"/>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129">
    <w:name w:val="标准有序列表（L1）"/>
    <w:basedOn w:val="17"/>
    <w:qFormat/>
    <w:uiPriority w:val="99"/>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130">
    <w:name w:val="f1"/>
    <w:basedOn w:val="1"/>
    <w:qFormat/>
    <w:uiPriority w:val="99"/>
    <w:pPr>
      <w:widowControl/>
      <w:spacing w:before="100" w:beforeAutospacing="1" w:after="100" w:afterAutospacing="1"/>
      <w:jc w:val="center"/>
    </w:pPr>
    <w:rPr>
      <w:rFonts w:ascii="Algerian" w:hAnsi="Algerian" w:eastAsia="宋体" w:cs="Algerian"/>
      <w:b/>
      <w:bCs/>
      <w:color w:val="FF8080"/>
      <w:spacing w:val="160"/>
      <w:kern w:val="0"/>
      <w:sz w:val="80"/>
      <w:szCs w:val="80"/>
    </w:rPr>
  </w:style>
  <w:style w:type="paragraph" w:customStyle="1" w:styleId="131">
    <w:name w:val="表格"/>
    <w:basedOn w:val="1"/>
    <w:qFormat/>
    <w:uiPriority w:val="99"/>
    <w:pPr>
      <w:snapToGrid w:val="0"/>
      <w:spacing w:after="120"/>
    </w:pPr>
    <w:rPr>
      <w:rFonts w:ascii="仿宋_GB2312" w:hAnsi="Tahoma" w:eastAsia="Times New Roman" w:cs="Tahoma"/>
      <w:color w:val="000000"/>
      <w:kern w:val="0"/>
      <w:sz w:val="24"/>
      <w:szCs w:val="24"/>
    </w:rPr>
  </w:style>
  <w:style w:type="character" w:customStyle="1" w:styleId="132">
    <w:name w:val="GW-正文 Char"/>
    <w:link w:val="133"/>
    <w:qFormat/>
    <w:locked/>
    <w:uiPriority w:val="0"/>
    <w:rPr>
      <w:rFonts w:ascii="Arial Narrow" w:hAnsi="Arial Narrow" w:eastAsia="宋体" w:cs="Times New Roman"/>
      <w:kern w:val="0"/>
      <w:sz w:val="24"/>
      <w:szCs w:val="20"/>
    </w:rPr>
  </w:style>
  <w:style w:type="paragraph" w:customStyle="1" w:styleId="133">
    <w:name w:val="GW-正文"/>
    <w:basedOn w:val="1"/>
    <w:link w:val="132"/>
    <w:qFormat/>
    <w:uiPriority w:val="0"/>
    <w:pPr>
      <w:spacing w:line="360" w:lineRule="auto"/>
      <w:ind w:firstLine="200" w:firstLineChars="200"/>
      <w:contextualSpacing/>
    </w:pPr>
    <w:rPr>
      <w:rFonts w:ascii="Arial Narrow" w:hAnsi="Arial Narrow" w:eastAsia="宋体" w:cs="Times New Roman"/>
      <w:kern w:val="0"/>
      <w:sz w:val="24"/>
      <w:szCs w:val="20"/>
    </w:rPr>
  </w:style>
  <w:style w:type="paragraph" w:customStyle="1" w:styleId="134">
    <w:name w:val="Char Char10"/>
    <w:basedOn w:val="1"/>
    <w:qFormat/>
    <w:uiPriority w:val="99"/>
    <w:pPr>
      <w:widowControl/>
      <w:spacing w:after="160" w:line="240" w:lineRule="exact"/>
      <w:jc w:val="left"/>
    </w:pPr>
    <w:rPr>
      <w:rFonts w:ascii="Times New Roman" w:hAnsi="Times New Roman" w:eastAsia="宋体" w:cs="Times New Roman"/>
      <w:kern w:val="0"/>
      <w:sz w:val="20"/>
      <w:szCs w:val="24"/>
    </w:rPr>
  </w:style>
  <w:style w:type="paragraph" w:customStyle="1" w:styleId="135">
    <w:name w:val="正文文本缩进11"/>
    <w:basedOn w:val="1"/>
    <w:qFormat/>
    <w:uiPriority w:val="99"/>
    <w:pPr>
      <w:spacing w:line="200" w:lineRule="exact"/>
      <w:ind w:firstLine="301"/>
    </w:pPr>
    <w:rPr>
      <w:rFonts w:ascii="Calibri" w:hAnsi="Calibri" w:eastAsia="宋体" w:cs="Times New Roman"/>
      <w:szCs w:val="20"/>
    </w:rPr>
  </w:style>
  <w:style w:type="paragraph" w:customStyle="1" w:styleId="136">
    <w:name w:val="Char Char Char Char"/>
    <w:basedOn w:val="1"/>
    <w:qFormat/>
    <w:uiPriority w:val="0"/>
    <w:pPr>
      <w:widowControl/>
      <w:spacing w:after="160" w:line="240" w:lineRule="exact"/>
      <w:jc w:val="left"/>
    </w:pPr>
    <w:rPr>
      <w:rFonts w:ascii="Arial" w:hAnsi="Arial" w:eastAsia="宋体" w:cs="Verdana"/>
      <w:b/>
      <w:kern w:val="0"/>
      <w:sz w:val="24"/>
      <w:szCs w:val="20"/>
      <w:lang w:eastAsia="en-US"/>
    </w:rPr>
  </w:style>
  <w:style w:type="paragraph" w:customStyle="1" w:styleId="137">
    <w:name w:val="首行缩进2字符"/>
    <w:basedOn w:val="1"/>
    <w:qFormat/>
    <w:uiPriority w:val="99"/>
    <w:pPr>
      <w:spacing w:line="360" w:lineRule="auto"/>
      <w:ind w:firstLine="200" w:firstLineChars="200"/>
    </w:pPr>
    <w:rPr>
      <w:rFonts w:ascii="Calibri" w:hAnsi="Calibri" w:eastAsia="宋体" w:cs="Times New Roman"/>
      <w:sz w:val="24"/>
      <w:szCs w:val="21"/>
    </w:rPr>
  </w:style>
  <w:style w:type="paragraph" w:customStyle="1" w:styleId="138">
    <w:name w:val="默认段落字体 Para Char"/>
    <w:basedOn w:val="1"/>
    <w:qFormat/>
    <w:uiPriority w:val="0"/>
    <w:rPr>
      <w:rFonts w:ascii="Times New Roman" w:hAnsi="Times New Roman" w:eastAsia="宋体" w:cs="Times New Roman"/>
      <w:szCs w:val="20"/>
    </w:rPr>
  </w:style>
  <w:style w:type="character" w:customStyle="1" w:styleId="139">
    <w:name w:val="Char Char3"/>
    <w:link w:val="140"/>
    <w:qFormat/>
    <w:locked/>
    <w:uiPriority w:val="0"/>
    <w:rPr>
      <w:rFonts w:ascii="Calibri" w:hAnsi="Calibri" w:eastAsia="宋体" w:cs="Times New Roman"/>
      <w:kern w:val="0"/>
      <w:sz w:val="24"/>
      <w:szCs w:val="20"/>
    </w:rPr>
  </w:style>
  <w:style w:type="paragraph" w:customStyle="1" w:styleId="140">
    <w:name w:val="Char"/>
    <w:basedOn w:val="1"/>
    <w:link w:val="139"/>
    <w:qFormat/>
    <w:uiPriority w:val="0"/>
    <w:rPr>
      <w:rFonts w:ascii="Calibri" w:hAnsi="Calibri" w:eastAsia="宋体" w:cs="Times New Roman"/>
      <w:kern w:val="0"/>
      <w:sz w:val="24"/>
      <w:szCs w:val="20"/>
    </w:rPr>
  </w:style>
  <w:style w:type="paragraph" w:customStyle="1" w:styleId="141">
    <w:name w:val="正文段"/>
    <w:basedOn w:val="1"/>
    <w:qFormat/>
    <w:uiPriority w:val="0"/>
    <w:pPr>
      <w:widowControl/>
      <w:snapToGrid w:val="0"/>
      <w:ind w:firstLine="200" w:firstLineChars="200"/>
    </w:pPr>
    <w:rPr>
      <w:rFonts w:ascii="Times New Roman" w:hAnsi="Times New Roman" w:eastAsia="宋体" w:cs="Times New Roman"/>
      <w:kern w:val="0"/>
      <w:sz w:val="24"/>
      <w:szCs w:val="20"/>
    </w:rPr>
  </w:style>
  <w:style w:type="paragraph" w:customStyle="1" w:styleId="142">
    <w:name w:val="自动更正"/>
    <w:qFormat/>
    <w:uiPriority w:val="0"/>
    <w:pPr>
      <w:widowControl w:val="0"/>
      <w:jc w:val="both"/>
    </w:pPr>
    <w:rPr>
      <w:rFonts w:ascii="Calibri" w:hAnsi="Calibri" w:eastAsia="宋体" w:cs="Times New Roman"/>
      <w:kern w:val="2"/>
      <w:sz w:val="21"/>
      <w:szCs w:val="24"/>
      <w:lang w:val="en-US" w:eastAsia="zh-CN" w:bidi="ar-SA"/>
    </w:rPr>
  </w:style>
  <w:style w:type="character" w:customStyle="1" w:styleId="143">
    <w:name w:val="列出段落 Char"/>
    <w:link w:val="144"/>
    <w:qFormat/>
    <w:locked/>
    <w:uiPriority w:val="0"/>
    <w:rPr>
      <w:rFonts w:ascii="Calibri" w:hAnsi="Calibri" w:eastAsia="宋体" w:cs="Times New Roman"/>
      <w:kern w:val="0"/>
      <w:sz w:val="24"/>
      <w:szCs w:val="20"/>
    </w:rPr>
  </w:style>
  <w:style w:type="paragraph" w:customStyle="1" w:styleId="144">
    <w:name w:val="列出段落1"/>
    <w:basedOn w:val="1"/>
    <w:link w:val="143"/>
    <w:qFormat/>
    <w:uiPriority w:val="0"/>
    <w:pPr>
      <w:ind w:firstLine="420" w:firstLineChars="200"/>
    </w:pPr>
    <w:rPr>
      <w:rFonts w:ascii="Calibri" w:hAnsi="Calibri" w:eastAsia="宋体" w:cs="Times New Roman"/>
      <w:kern w:val="0"/>
      <w:sz w:val="24"/>
      <w:szCs w:val="20"/>
    </w:rPr>
  </w:style>
  <w:style w:type="paragraph" w:customStyle="1" w:styleId="145">
    <w:name w:val="书籍标题1"/>
    <w:basedOn w:val="1"/>
    <w:next w:val="1"/>
    <w:qFormat/>
    <w:uiPriority w:val="99"/>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46">
    <w:name w:val="正文_20"/>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147">
    <w:name w:val="Table Paragraph"/>
    <w:basedOn w:val="1"/>
    <w:qFormat/>
    <w:uiPriority w:val="1"/>
    <w:pPr>
      <w:spacing w:before="119"/>
    </w:pPr>
    <w:rPr>
      <w:rFonts w:ascii="宋体" w:hAnsi="宋体" w:eastAsia="宋体" w:cs="宋体"/>
      <w:szCs w:val="24"/>
      <w:lang w:val="zh-CN"/>
    </w:rPr>
  </w:style>
  <w:style w:type="paragraph" w:customStyle="1" w:styleId="148">
    <w:name w:val="表内文字"/>
    <w:basedOn w:val="1"/>
    <w:qFormat/>
    <w:uiPriority w:val="0"/>
    <w:pPr>
      <w:tabs>
        <w:tab w:val="left" w:pos="1418"/>
      </w:tabs>
      <w:spacing w:line="360" w:lineRule="auto"/>
      <w:jc w:val="center"/>
    </w:pPr>
    <w:rPr>
      <w:rFonts w:ascii="仿宋_GB2312" w:hAnsi="Times New Roman" w:eastAsia="Times New Roman" w:cs="Times New Roman"/>
      <w:spacing w:val="-20"/>
      <w:kern w:val="0"/>
      <w:sz w:val="24"/>
    </w:rPr>
  </w:style>
  <w:style w:type="paragraph" w:customStyle="1" w:styleId="149">
    <w:name w:val="样式2"/>
    <w:basedOn w:val="140"/>
    <w:qFormat/>
    <w:uiPriority w:val="99"/>
    <w:pPr>
      <w:tabs>
        <w:tab w:val="left" w:pos="432"/>
      </w:tabs>
      <w:spacing w:beforeLines="50"/>
      <w:ind w:left="432" w:hanging="432"/>
    </w:pPr>
    <w:rPr>
      <w:b/>
      <w:szCs w:val="21"/>
      <w:u w:val="thick"/>
    </w:rPr>
  </w:style>
  <w:style w:type="paragraph" w:customStyle="1" w:styleId="150">
    <w:name w:val="样式1"/>
    <w:basedOn w:val="140"/>
    <w:link w:val="416"/>
    <w:qFormat/>
    <w:uiPriority w:val="0"/>
    <w:pPr>
      <w:tabs>
        <w:tab w:val="left" w:pos="432"/>
      </w:tabs>
      <w:spacing w:beforeLines="50"/>
      <w:ind w:left="642" w:leftChars="100" w:right="100" w:rightChars="100" w:hanging="432"/>
      <w:jc w:val="right"/>
    </w:pPr>
    <w:rPr>
      <w:b/>
      <w:i/>
      <w:szCs w:val="21"/>
      <w:u w:val="thick"/>
    </w:rPr>
  </w:style>
  <w:style w:type="paragraph" w:customStyle="1" w:styleId="151">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正文首行缩进2字符 Char Char"/>
    <w:link w:val="153"/>
    <w:qFormat/>
    <w:locked/>
    <w:uiPriority w:val="0"/>
    <w:rPr>
      <w:rFonts w:ascii="Times New Roman" w:hAnsi="Times New Roman" w:eastAsia="宋体" w:cs="Times New Roman"/>
      <w:kern w:val="0"/>
      <w:sz w:val="24"/>
      <w:szCs w:val="20"/>
    </w:rPr>
  </w:style>
  <w:style w:type="paragraph" w:customStyle="1" w:styleId="153">
    <w:name w:val="正文首行缩进2字符"/>
    <w:basedOn w:val="1"/>
    <w:link w:val="152"/>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5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5">
    <w:name w:val="表格内容 字符"/>
    <w:link w:val="156"/>
    <w:qFormat/>
    <w:locked/>
    <w:uiPriority w:val="0"/>
    <w:rPr>
      <w:rFonts w:ascii="仿宋" w:hAnsi="仿宋" w:eastAsia="仿宋" w:cs="Times New Roman"/>
      <w:kern w:val="0"/>
      <w:sz w:val="24"/>
    </w:rPr>
  </w:style>
  <w:style w:type="paragraph" w:customStyle="1" w:styleId="156">
    <w:name w:val="表格内容"/>
    <w:next w:val="153"/>
    <w:link w:val="155"/>
    <w:qFormat/>
    <w:uiPriority w:val="0"/>
    <w:pPr>
      <w:jc w:val="center"/>
    </w:pPr>
    <w:rPr>
      <w:rFonts w:ascii="仿宋" w:hAnsi="仿宋" w:eastAsia="仿宋" w:cs="Times New Roman"/>
      <w:sz w:val="24"/>
      <w:szCs w:val="22"/>
      <w:lang w:val="en-US" w:eastAsia="zh-CN" w:bidi="ar-SA"/>
    </w:rPr>
  </w:style>
  <w:style w:type="paragraph" w:customStyle="1" w:styleId="157">
    <w:name w:val="列项中圆1"/>
    <w:basedOn w:val="1"/>
    <w:next w:val="1"/>
    <w:qFormat/>
    <w:uiPriority w:val="99"/>
    <w:pPr>
      <w:tabs>
        <w:tab w:val="left" w:pos="839"/>
      </w:tabs>
      <w:spacing w:line="300" w:lineRule="auto"/>
      <w:ind w:left="839" w:hanging="419"/>
    </w:pPr>
    <w:rPr>
      <w:rFonts w:ascii="Times New Roman" w:hAnsi="Times New Roman" w:eastAsia="宋体" w:cs="Times New Roman"/>
      <w:kern w:val="21"/>
      <w:szCs w:val="20"/>
    </w:rPr>
  </w:style>
  <w:style w:type="paragraph" w:customStyle="1" w:styleId="158">
    <w:name w:val="xl30"/>
    <w:basedOn w:val="1"/>
    <w:qFormat/>
    <w:uiPriority w:val="0"/>
    <w:pPr>
      <w:widowControl/>
      <w:spacing w:before="100" w:beforeAutospacing="1" w:after="100" w:afterAutospacing="1"/>
      <w:jc w:val="center"/>
    </w:pPr>
    <w:rPr>
      <w:rFonts w:ascii="楷体_GB2312" w:hAnsi="宋体" w:eastAsia="楷体_GB2312" w:cs="Times New Roman"/>
      <w:b/>
      <w:kern w:val="0"/>
      <w:sz w:val="32"/>
    </w:rPr>
  </w:style>
  <w:style w:type="paragraph" w:customStyle="1" w:styleId="159">
    <w:name w:val="文档正文"/>
    <w:basedOn w:val="1"/>
    <w:qFormat/>
    <w:uiPriority w:val="0"/>
    <w:rPr>
      <w:rFonts w:ascii="宋体" w:hAnsi="宋体" w:eastAsia="宋体" w:cs="Arial"/>
      <w:bCs/>
      <w:szCs w:val="21"/>
    </w:rPr>
  </w:style>
  <w:style w:type="paragraph" w:customStyle="1" w:styleId="160">
    <w:name w:val="p15"/>
    <w:basedOn w:val="1"/>
    <w:qFormat/>
    <w:uiPriority w:val="0"/>
    <w:pPr>
      <w:widowControl/>
      <w:spacing w:line="200" w:lineRule="atLeast"/>
      <w:ind w:firstLine="301"/>
    </w:pPr>
    <w:rPr>
      <w:rFonts w:ascii="宋体" w:hAnsi="宋体" w:eastAsia="宋体" w:cs="宋体"/>
      <w:spacing w:val="-4"/>
      <w:kern w:val="0"/>
      <w:sz w:val="18"/>
      <w:szCs w:val="18"/>
    </w:rPr>
  </w:style>
  <w:style w:type="character" w:customStyle="1" w:styleId="161">
    <w:name w:val="无间隔 Char"/>
    <w:link w:val="162"/>
    <w:qFormat/>
    <w:locked/>
    <w:uiPriority w:val="0"/>
    <w:rPr>
      <w:rFonts w:ascii="Calibri" w:hAnsi="Calibri" w:eastAsia="宋体" w:cs="Times New Roman"/>
      <w:kern w:val="0"/>
      <w:sz w:val="22"/>
    </w:rPr>
  </w:style>
  <w:style w:type="paragraph" w:customStyle="1" w:styleId="162">
    <w:name w:val="无间隔1"/>
    <w:link w:val="161"/>
    <w:qFormat/>
    <w:uiPriority w:val="0"/>
    <w:rPr>
      <w:rFonts w:ascii="Calibri" w:hAnsi="Calibri" w:eastAsia="宋体" w:cs="Times New Roman"/>
      <w:sz w:val="22"/>
      <w:szCs w:val="22"/>
      <w:lang w:val="en-US" w:eastAsia="zh-CN" w:bidi="ar-SA"/>
    </w:rPr>
  </w:style>
  <w:style w:type="paragraph" w:customStyle="1" w:styleId="163">
    <w:name w:val="纯文本1"/>
    <w:basedOn w:val="1"/>
    <w:link w:val="379"/>
    <w:qFormat/>
    <w:uiPriority w:val="0"/>
    <w:pPr>
      <w:spacing w:beforeLines="50" w:line="400" w:lineRule="exact"/>
    </w:pPr>
    <w:rPr>
      <w:rFonts w:ascii="宋体" w:hAnsi="Courier New" w:eastAsia="Times New Roman" w:cs="Times New Roman"/>
      <w:sz w:val="30"/>
      <w:szCs w:val="24"/>
    </w:rPr>
  </w:style>
  <w:style w:type="paragraph" w:customStyle="1" w:styleId="164">
    <w:name w:val="缩进4"/>
    <w:basedOn w:val="1"/>
    <w:qFormat/>
    <w:uiPriority w:val="99"/>
    <w:pPr>
      <w:autoSpaceDE w:val="0"/>
      <w:autoSpaceDN w:val="0"/>
      <w:adjustRightInd w:val="0"/>
      <w:spacing w:line="288" w:lineRule="auto"/>
      <w:ind w:left="227"/>
    </w:pPr>
    <w:rPr>
      <w:rFonts w:ascii="方正黑体简体" w:hAnsi="Calibri" w:eastAsia="方正黑体简体" w:cs="方正黑体简体"/>
      <w:color w:val="000000"/>
      <w:kern w:val="0"/>
      <w:sz w:val="18"/>
      <w:szCs w:val="18"/>
      <w:lang w:val="zh-CN"/>
    </w:rPr>
  </w:style>
  <w:style w:type="paragraph" w:customStyle="1" w:styleId="165">
    <w:name w:val="_Style 130"/>
    <w:basedOn w:val="1"/>
    <w:next w:val="144"/>
    <w:qFormat/>
    <w:uiPriority w:val="99"/>
    <w:pPr>
      <w:ind w:firstLine="420" w:firstLineChars="200"/>
    </w:pPr>
    <w:rPr>
      <w:rFonts w:ascii="Times New Roman" w:hAnsi="Times New Roman" w:eastAsia="宋体" w:cs="Times New Roman"/>
      <w:szCs w:val="20"/>
    </w:rPr>
  </w:style>
  <w:style w:type="paragraph" w:customStyle="1" w:styleId="166">
    <w:name w:val="0正文"/>
    <w:basedOn w:val="1"/>
    <w:qFormat/>
    <w:uiPriority w:val="99"/>
    <w:pPr>
      <w:spacing w:line="560" w:lineRule="exact"/>
      <w:ind w:firstLine="200" w:firstLineChars="200"/>
    </w:pPr>
    <w:rPr>
      <w:rFonts w:ascii="Tahoma" w:hAnsi="Tahoma" w:eastAsia="宋体" w:cs="Times New Roman"/>
    </w:rPr>
  </w:style>
  <w:style w:type="paragraph" w:customStyle="1" w:styleId="167">
    <w:name w:val="正文（本文）"/>
    <w:basedOn w:val="1"/>
    <w:qFormat/>
    <w:uiPriority w:val="99"/>
    <w:pPr>
      <w:snapToGrid w:val="0"/>
      <w:spacing w:line="360" w:lineRule="auto"/>
      <w:ind w:firstLine="480" w:firstLineChars="200"/>
    </w:pPr>
    <w:rPr>
      <w:rFonts w:ascii="Times New Roman" w:hAnsi="Times New Roman" w:eastAsia="宋体" w:cs="Times New Roman"/>
      <w:sz w:val="24"/>
      <w:szCs w:val="24"/>
    </w:rPr>
  </w:style>
  <w:style w:type="paragraph" w:customStyle="1" w:styleId="168">
    <w:name w:val="l正文"/>
    <w:basedOn w:val="1"/>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69">
    <w:name w:val="_Style 4"/>
    <w:basedOn w:val="1"/>
    <w:qFormat/>
    <w:uiPriority w:val="99"/>
    <w:pPr>
      <w:ind w:firstLine="420" w:firstLineChars="200"/>
      <w:jc w:val="left"/>
    </w:pPr>
    <w:rPr>
      <w:rFonts w:ascii="Calibri" w:hAnsi="Calibri" w:eastAsia="宋体" w:cs="Times New Roman"/>
      <w:kern w:val="0"/>
      <w:sz w:val="18"/>
      <w:szCs w:val="24"/>
      <w:lang w:eastAsia="zh-TW"/>
    </w:rPr>
  </w:style>
  <w:style w:type="paragraph" w:customStyle="1" w:styleId="170">
    <w:name w:val="列出段落2"/>
    <w:basedOn w:val="1"/>
    <w:qFormat/>
    <w:uiPriority w:val="0"/>
    <w:pPr>
      <w:ind w:firstLine="420" w:firstLineChars="200"/>
    </w:pPr>
    <w:rPr>
      <w:rFonts w:ascii="Calibri" w:hAnsi="Calibri" w:eastAsia="宋体" w:cs="Times New Roman"/>
      <w:szCs w:val="24"/>
    </w:rPr>
  </w:style>
  <w:style w:type="paragraph" w:customStyle="1" w:styleId="171">
    <w:name w:val="正文1"/>
    <w:link w:val="518"/>
    <w:qFormat/>
    <w:uiPriority w:val="0"/>
    <w:pPr>
      <w:widowControl w:val="0"/>
      <w:jc w:val="both"/>
    </w:pPr>
    <w:rPr>
      <w:rFonts w:ascii="Calibri" w:hAnsi="Calibri" w:eastAsia="宋体" w:cs="Calibri"/>
      <w:kern w:val="2"/>
      <w:sz w:val="21"/>
      <w:szCs w:val="21"/>
      <w:lang w:val="en-US" w:eastAsia="zh-CN" w:bidi="ar-SA"/>
    </w:rPr>
  </w:style>
  <w:style w:type="paragraph" w:customStyle="1" w:styleId="172">
    <w:name w:val="WPSOffice手动目录 1"/>
    <w:qFormat/>
    <w:uiPriority w:val="0"/>
    <w:rPr>
      <w:rFonts w:ascii="Times New Roman" w:hAnsi="Times New Roman" w:eastAsia="宋体" w:cs="Times New Roman"/>
      <w:lang w:val="en-US" w:eastAsia="zh-CN" w:bidi="ar-SA"/>
    </w:rPr>
  </w:style>
  <w:style w:type="paragraph" w:customStyle="1" w:styleId="173">
    <w:name w:val="正文2"/>
    <w:basedOn w:val="1"/>
    <w:link w:val="411"/>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74">
    <w:name w:val="正文 首行缩进:  2 字符 Char Char Char"/>
    <w:link w:val="175"/>
    <w:qFormat/>
    <w:locked/>
    <w:uiPriority w:val="0"/>
    <w:rPr>
      <w:sz w:val="24"/>
    </w:rPr>
  </w:style>
  <w:style w:type="paragraph" w:customStyle="1" w:styleId="175">
    <w:name w:val="正文 首行缩进:  2 字符 Char"/>
    <w:basedOn w:val="1"/>
    <w:link w:val="174"/>
    <w:qFormat/>
    <w:uiPriority w:val="0"/>
    <w:pPr>
      <w:spacing w:line="360" w:lineRule="auto"/>
      <w:ind w:firstLine="480"/>
    </w:pPr>
    <w:rPr>
      <w:sz w:val="24"/>
    </w:rPr>
  </w:style>
  <w:style w:type="character" w:customStyle="1" w:styleId="176">
    <w:name w:val="样式 首行缩进:  0 字符 Char"/>
    <w:link w:val="177"/>
    <w:qFormat/>
    <w:locked/>
    <w:uiPriority w:val="0"/>
    <w:rPr>
      <w:rFonts w:ascii="Arial" w:hAnsi="Arial" w:eastAsia="宋体" w:cs="Times New Roman"/>
      <w:kern w:val="0"/>
      <w:sz w:val="20"/>
      <w:szCs w:val="20"/>
    </w:rPr>
  </w:style>
  <w:style w:type="paragraph" w:customStyle="1" w:styleId="177">
    <w:name w:val="样式 首行缩进:  0 字符"/>
    <w:basedOn w:val="1"/>
    <w:link w:val="176"/>
    <w:qFormat/>
    <w:uiPriority w:val="0"/>
    <w:pPr>
      <w:spacing w:line="360" w:lineRule="auto"/>
      <w:ind w:firstLine="200" w:firstLineChars="200"/>
    </w:pPr>
    <w:rPr>
      <w:rFonts w:ascii="Arial" w:hAnsi="Arial" w:eastAsia="宋体" w:cs="Times New Roman"/>
      <w:kern w:val="0"/>
      <w:sz w:val="20"/>
      <w:szCs w:val="20"/>
    </w:rPr>
  </w:style>
  <w:style w:type="paragraph" w:customStyle="1" w:styleId="178">
    <w:name w:val="正文 A"/>
    <w:qFormat/>
    <w:uiPriority w:val="99"/>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79">
    <w:name w:val="Proposals body"/>
    <w:basedOn w:val="1"/>
    <w:next w:val="1"/>
    <w:qFormat/>
    <w:uiPriority w:val="99"/>
    <w:pPr>
      <w:widowControl/>
      <w:spacing w:line="460" w:lineRule="exact"/>
      <w:jc w:val="left"/>
    </w:pPr>
    <w:rPr>
      <w:rFonts w:ascii="仿宋_GB2312" w:hAnsi="Times New Roman" w:eastAsia="Times New Roman" w:cs="Times New Roman"/>
      <w:kern w:val="0"/>
      <w:sz w:val="24"/>
      <w:szCs w:val="24"/>
    </w:rPr>
  </w:style>
  <w:style w:type="paragraph" w:customStyle="1" w:styleId="180">
    <w:name w:val="目录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1">
    <w:name w:val="title11"/>
    <w:basedOn w:val="1"/>
    <w:qFormat/>
    <w:uiPriority w:val="99"/>
    <w:pPr>
      <w:spacing w:before="150"/>
      <w:jc w:val="left"/>
    </w:pPr>
    <w:rPr>
      <w:rFonts w:ascii="Times New Roman" w:hAnsi="Times New Roman" w:eastAsia="宋体" w:cs="Times New Roman"/>
      <w:b/>
      <w:kern w:val="0"/>
      <w:sz w:val="28"/>
      <w:szCs w:val="24"/>
    </w:rPr>
  </w:style>
  <w:style w:type="paragraph" w:customStyle="1" w:styleId="182">
    <w:name w:val="标题 10"/>
    <w:basedOn w:val="4"/>
    <w:qFormat/>
    <w:uiPriority w:val="99"/>
    <w:pPr>
      <w:spacing w:before="0" w:after="0" w:line="360" w:lineRule="auto"/>
      <w:jc w:val="center"/>
    </w:pPr>
    <w:rPr>
      <w:rFonts w:ascii="Cambria" w:hAnsi="Cambria" w:eastAsia="宋体"/>
      <w:bCs/>
      <w:sz w:val="21"/>
      <w:szCs w:val="32"/>
    </w:rPr>
  </w:style>
  <w:style w:type="paragraph" w:customStyle="1" w:styleId="18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84">
    <w:name w:val="TOC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5">
    <w:name w:val="List Paragraph1"/>
    <w:basedOn w:val="1"/>
    <w:qFormat/>
    <w:uiPriority w:val="0"/>
    <w:pPr>
      <w:ind w:firstLine="420" w:firstLineChars="200"/>
    </w:pPr>
    <w:rPr>
      <w:rFonts w:ascii="Times New Roman" w:hAnsi="Times New Roman" w:eastAsia="宋体" w:cs="Times New Roman"/>
      <w:szCs w:val="24"/>
    </w:rPr>
  </w:style>
  <w:style w:type="paragraph" w:customStyle="1" w:styleId="186">
    <w:name w:val="Char Char Char Char1"/>
    <w:basedOn w:val="1"/>
    <w:qFormat/>
    <w:uiPriority w:val="99"/>
    <w:rPr>
      <w:rFonts w:ascii="Tahoma" w:hAnsi="Tahoma" w:eastAsia="宋体" w:cs="Times New Roman"/>
      <w:sz w:val="24"/>
      <w:szCs w:val="20"/>
    </w:rPr>
  </w:style>
  <w:style w:type="paragraph" w:customStyle="1" w:styleId="187">
    <w:name w:val="目录 711"/>
    <w:next w:val="1"/>
    <w:qFormat/>
    <w:uiPriority w:val="99"/>
    <w:pPr>
      <w:wordWrap w:val="0"/>
      <w:ind w:left="2550"/>
      <w:jc w:val="both"/>
    </w:pPr>
    <w:rPr>
      <w:rFonts w:ascii="Times New Roman" w:hAnsi="Times New Roman" w:eastAsia="宋体" w:cs="Times New Roman"/>
      <w:sz w:val="21"/>
      <w:szCs w:val="22"/>
      <w:lang w:val="en-US" w:eastAsia="zh-CN" w:bidi="ar-SA"/>
    </w:rPr>
  </w:style>
  <w:style w:type="character" w:customStyle="1" w:styleId="188">
    <w:name w:val="z-窗体顶端 Char"/>
    <w:link w:val="189"/>
    <w:qFormat/>
    <w:locked/>
    <w:uiPriority w:val="0"/>
    <w:rPr>
      <w:rFonts w:ascii="Arial" w:hAnsi="Arial" w:eastAsia="宋体" w:cs="Times New Roman"/>
      <w:vanish/>
      <w:kern w:val="0"/>
      <w:sz w:val="20"/>
      <w:szCs w:val="20"/>
    </w:rPr>
  </w:style>
  <w:style w:type="paragraph" w:customStyle="1" w:styleId="189">
    <w:name w:val="_Style 46"/>
    <w:basedOn w:val="1"/>
    <w:next w:val="1"/>
    <w:link w:val="188"/>
    <w:qFormat/>
    <w:uiPriority w:val="0"/>
    <w:pPr>
      <w:widowControl/>
      <w:pBdr>
        <w:bottom w:val="single" w:color="auto" w:sz="6" w:space="1"/>
      </w:pBdr>
      <w:jc w:val="center"/>
    </w:pPr>
    <w:rPr>
      <w:rFonts w:ascii="Arial" w:hAnsi="Arial" w:eastAsia="宋体" w:cs="Times New Roman"/>
      <w:vanish/>
      <w:kern w:val="0"/>
      <w:sz w:val="20"/>
      <w:szCs w:val="20"/>
    </w:rPr>
  </w:style>
  <w:style w:type="paragraph" w:customStyle="1" w:styleId="190">
    <w:name w:val="此正文"/>
    <w:basedOn w:val="1"/>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191">
    <w:name w:val="xl25"/>
    <w:basedOn w:val="1"/>
    <w:qFormat/>
    <w:uiPriority w:val="0"/>
    <w:pPr>
      <w:widowControl/>
      <w:spacing w:before="100" w:beforeAutospacing="1" w:after="100" w:afterAutospacing="1"/>
      <w:jc w:val="center"/>
    </w:pPr>
    <w:rPr>
      <w:rFonts w:ascii="楷体_GB2312" w:hAnsi="宋体" w:eastAsia="楷体_GB2312" w:cs="Times New Roman"/>
      <w:kern w:val="0"/>
      <w:sz w:val="24"/>
      <w:szCs w:val="24"/>
    </w:rPr>
  </w:style>
  <w:style w:type="paragraph" w:customStyle="1" w:styleId="192">
    <w:name w:val="彩色列表 - 强调文字颜色 11"/>
    <w:basedOn w:val="1"/>
    <w:link w:val="529"/>
    <w:qFormat/>
    <w:uiPriority w:val="0"/>
    <w:pPr>
      <w:ind w:firstLine="420" w:firstLineChars="200"/>
    </w:pPr>
    <w:rPr>
      <w:rFonts w:ascii="Calibri" w:hAnsi="Calibri" w:eastAsia="宋体" w:cs="Times New Roman"/>
    </w:rPr>
  </w:style>
  <w:style w:type="paragraph" w:customStyle="1" w:styleId="193">
    <w:name w:val="无间距"/>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4">
    <w:name w:val="z-窗体底端 Char"/>
    <w:link w:val="195"/>
    <w:qFormat/>
    <w:locked/>
    <w:uiPriority w:val="0"/>
    <w:rPr>
      <w:rFonts w:ascii="Arial" w:hAnsi="Arial" w:eastAsia="宋体" w:cs="Times New Roman"/>
      <w:vanish/>
      <w:kern w:val="0"/>
      <w:sz w:val="20"/>
      <w:szCs w:val="20"/>
    </w:rPr>
  </w:style>
  <w:style w:type="paragraph" w:customStyle="1" w:styleId="195">
    <w:name w:val="_Style 54"/>
    <w:basedOn w:val="1"/>
    <w:next w:val="1"/>
    <w:link w:val="194"/>
    <w:qFormat/>
    <w:uiPriority w:val="0"/>
    <w:pPr>
      <w:widowControl/>
      <w:pBdr>
        <w:top w:val="single" w:color="auto" w:sz="6" w:space="1"/>
      </w:pBdr>
      <w:jc w:val="center"/>
    </w:pPr>
    <w:rPr>
      <w:rFonts w:ascii="Arial" w:hAnsi="Arial" w:eastAsia="宋体" w:cs="Times New Roman"/>
      <w:vanish/>
      <w:kern w:val="0"/>
      <w:sz w:val="20"/>
      <w:szCs w:val="20"/>
    </w:rPr>
  </w:style>
  <w:style w:type="paragraph" w:customStyle="1" w:styleId="196">
    <w:name w:val="样式 标题 3 + (中文) 黑体 小四 非加粗 段前: 7.8 磅 段后: 0 磅 行距: 固定值 20 磅"/>
    <w:qFormat/>
    <w:uiPriority w:val="99"/>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197">
    <w:name w:val="样式 标题 2 + Times New Roman 四号 非加粗 段前: 5 磅 段后: 0 磅 行距: 固定值 20..."/>
    <w:qFormat/>
    <w:uiPriority w:val="99"/>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198">
    <w:name w:val="纯文本_0"/>
    <w:basedOn w:val="1"/>
    <w:qFormat/>
    <w:uiPriority w:val="99"/>
    <w:pPr>
      <w:spacing w:line="440" w:lineRule="exact"/>
      <w:ind w:firstLine="100" w:firstLineChars="100"/>
    </w:pPr>
    <w:rPr>
      <w:rFonts w:ascii="宋体" w:hAnsi="Courier New" w:eastAsia="宋体" w:cs="Times New Roman"/>
      <w:szCs w:val="21"/>
    </w:rPr>
  </w:style>
  <w:style w:type="paragraph" w:customStyle="1" w:styleId="199">
    <w:name w:val="msonormal"/>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0">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1">
    <w:name w:val="font6"/>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0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4">
    <w:name w:val="xl10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5">
    <w:name w:val="xl10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6">
    <w:name w:val="xl10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7">
    <w:name w:val="xl109"/>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08">
    <w:name w:val="xl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
    <w:name w:val="xl111"/>
    <w:basedOn w:val="1"/>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12"/>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11">
    <w:name w:val="xl113"/>
    <w:basedOn w:val="1"/>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12">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13">
    <w:name w:val="xl115"/>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32"/>
      <w:szCs w:val="32"/>
    </w:rPr>
  </w:style>
  <w:style w:type="paragraph" w:customStyle="1" w:styleId="214">
    <w:name w:val="xl11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5">
    <w:name w:val="xl11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6">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7">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8">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9">
    <w:name w:val="xl121"/>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20">
    <w:name w:val="xl122"/>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1">
    <w:name w:val="xl123"/>
    <w:basedOn w:val="1"/>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22">
    <w:name w:val="xl124"/>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3">
    <w:name w:val="xl12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4">
    <w:name w:val="xl126"/>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5">
    <w:name w:val="xl127"/>
    <w:basedOn w:val="1"/>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6">
    <w:name w:val="xl1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7">
    <w:name w:val="xl12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8">
    <w:name w:val="xl1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29">
    <w:name w:val="xl1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0">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1">
    <w:name w:val="xl13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2">
    <w:name w:val="xl134"/>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3">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4">
    <w:name w:val="xl13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5">
    <w:name w:val="xl13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6">
    <w:name w:val="xl138"/>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7">
    <w:name w:val="xl1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8">
    <w:name w:val="xl1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9">
    <w:name w:val="xl1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0">
    <w:name w:val="xl14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1">
    <w:name w:val="xl143"/>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2">
    <w:name w:val="xl1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3">
    <w:name w:val="xl14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4">
    <w:name w:val="xl146"/>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5">
    <w:name w:val="xl14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6">
    <w:name w:val="xl1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7">
    <w:name w:val="xl1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8">
    <w:name w:val="xl1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49">
    <w:name w:val="xl15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0">
    <w:name w:val="xl152"/>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FF0000"/>
      <w:kern w:val="0"/>
      <w:sz w:val="20"/>
      <w:szCs w:val="20"/>
    </w:rPr>
  </w:style>
  <w:style w:type="paragraph" w:customStyle="1" w:styleId="251">
    <w:name w:val="xl15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52">
    <w:name w:val="xl15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3">
    <w:name w:val="xl15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4">
    <w:name w:val="xl156"/>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5">
    <w:name w:val="xl15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character" w:customStyle="1" w:styleId="256">
    <w:name w:val="列表段落 字符"/>
    <w:link w:val="257"/>
    <w:qFormat/>
    <w:locked/>
    <w:uiPriority w:val="34"/>
    <w:rPr>
      <w:rFonts w:ascii="宋体" w:hAnsi="宋体" w:eastAsia="宋体" w:cs="宋体"/>
      <w:kern w:val="0"/>
      <w:sz w:val="24"/>
      <w:szCs w:val="24"/>
    </w:rPr>
  </w:style>
  <w:style w:type="paragraph" w:customStyle="1" w:styleId="257">
    <w:name w:val="列表段落1"/>
    <w:basedOn w:val="1"/>
    <w:next w:val="116"/>
    <w:link w:val="256"/>
    <w:qFormat/>
    <w:uiPriority w:val="34"/>
    <w:pPr>
      <w:widowControl/>
      <w:ind w:firstLine="420" w:firstLineChars="200"/>
      <w:jc w:val="left"/>
    </w:pPr>
    <w:rPr>
      <w:rFonts w:ascii="宋体" w:hAnsi="宋体" w:eastAsia="宋体" w:cs="宋体"/>
      <w:kern w:val="0"/>
      <w:sz w:val="24"/>
      <w:szCs w:val="24"/>
    </w:rPr>
  </w:style>
  <w:style w:type="paragraph" w:customStyle="1" w:styleId="258">
    <w:name w:val="项目1"/>
    <w:basedOn w:val="1"/>
    <w:qFormat/>
    <w:uiPriority w:val="99"/>
    <w:pPr>
      <w:widowControl/>
      <w:tabs>
        <w:tab w:val="left" w:pos="720"/>
      </w:tabs>
      <w:autoSpaceDE w:val="0"/>
      <w:autoSpaceDN w:val="0"/>
      <w:adjustRightInd w:val="0"/>
      <w:spacing w:before="120" w:after="120" w:line="300" w:lineRule="auto"/>
      <w:ind w:left="720" w:hanging="720"/>
      <w:jc w:val="left"/>
    </w:pPr>
    <w:rPr>
      <w:rFonts w:ascii="Times New Roman" w:hAnsi="Times New Roman" w:eastAsia="楷体_GB2312" w:cs="Times New Roman"/>
      <w:kern w:val="0"/>
      <w:sz w:val="24"/>
      <w:szCs w:val="24"/>
    </w:rPr>
  </w:style>
  <w:style w:type="paragraph" w:customStyle="1" w:styleId="259">
    <w:name w:val="图片居中"/>
    <w:basedOn w:val="1"/>
    <w:qFormat/>
    <w:uiPriority w:val="99"/>
    <w:pPr>
      <w:keepNext/>
      <w:jc w:val="center"/>
    </w:pPr>
    <w:rPr>
      <w:rFonts w:ascii="Times New Roman" w:hAnsi="Times New Roman" w:eastAsia="宋体" w:cs="Times New Roman"/>
    </w:rPr>
  </w:style>
  <w:style w:type="paragraph" w:customStyle="1" w:styleId="260">
    <w:name w:val="表格(五号)"/>
    <w:qFormat/>
    <w:uiPriority w:val="99"/>
    <w:pPr>
      <w:adjustRightInd w:val="0"/>
      <w:snapToGrid w:val="0"/>
      <w:jc w:val="both"/>
    </w:pPr>
    <w:rPr>
      <w:rFonts w:ascii="Times New Roman" w:hAnsi="Times New Roman" w:eastAsia="宋体" w:cs="Times New Roman"/>
      <w:sz w:val="21"/>
      <w:lang w:val="en-US" w:eastAsia="zh-CN" w:bidi="ar-SA"/>
    </w:rPr>
  </w:style>
  <w:style w:type="paragraph" w:customStyle="1" w:styleId="261">
    <w:name w:val="图片题注"/>
    <w:basedOn w:val="19"/>
    <w:qFormat/>
    <w:uiPriority w:val="99"/>
  </w:style>
  <w:style w:type="paragraph" w:customStyle="1" w:styleId="262">
    <w:name w:val="表格正文"/>
    <w:basedOn w:val="1"/>
    <w:qFormat/>
    <w:uiPriority w:val="99"/>
    <w:pPr>
      <w:widowControl/>
      <w:jc w:val="left"/>
    </w:pPr>
    <w:rPr>
      <w:rFonts w:ascii="宋体" w:hAnsi="宋体" w:eastAsia="宋体" w:cs="宋体"/>
      <w:szCs w:val="28"/>
    </w:rPr>
  </w:style>
  <w:style w:type="paragraph" w:customStyle="1" w:styleId="263">
    <w:name w:val="修订1"/>
    <w:qFormat/>
    <w:uiPriority w:val="99"/>
    <w:rPr>
      <w:rFonts w:ascii="Times New Roman" w:hAnsi="Times New Roman" w:eastAsia="宋体" w:cs="Times New Roman"/>
      <w:kern w:val="2"/>
      <w:sz w:val="21"/>
      <w:szCs w:val="22"/>
      <w:lang w:val="en-US" w:eastAsia="zh-CN" w:bidi="ar-SA"/>
    </w:rPr>
  </w:style>
  <w:style w:type="paragraph" w:customStyle="1" w:styleId="264">
    <w:name w:val="修订2"/>
    <w:qFormat/>
    <w:uiPriority w:val="99"/>
    <w:rPr>
      <w:rFonts w:ascii="Times New Roman" w:hAnsi="Times New Roman" w:eastAsia="宋体" w:cs="Times New Roman"/>
      <w:kern w:val="2"/>
      <w:sz w:val="21"/>
      <w:szCs w:val="22"/>
      <w:lang w:val="en-US" w:eastAsia="zh-CN" w:bidi="ar-SA"/>
    </w:rPr>
  </w:style>
  <w:style w:type="paragraph" w:customStyle="1" w:styleId="265">
    <w:name w:val="修订3"/>
    <w:semiHidden/>
    <w:qFormat/>
    <w:uiPriority w:val="99"/>
    <w:rPr>
      <w:rFonts w:ascii="Times New Roman" w:hAnsi="Times New Roman" w:eastAsia="宋体" w:cs="Times New Roman"/>
      <w:kern w:val="2"/>
      <w:sz w:val="21"/>
      <w:szCs w:val="22"/>
      <w:lang w:val="en-US" w:eastAsia="zh-CN" w:bidi="ar-SA"/>
    </w:rPr>
  </w:style>
  <w:style w:type="paragraph" w:customStyle="1" w:styleId="266">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7">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75">
    <w:name w:val="xl7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6">
    <w:name w:val="xl7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8">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0">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1">
    <w:name w:val="xl82"/>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3">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4">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5">
    <w:name w:val="xl8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6">
    <w:name w:val="xl8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7">
    <w:name w:val="xl8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
    <w:name w:val="xl8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9">
    <w:name w:val="xl9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0">
    <w:name w:val="xl91"/>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1">
    <w:name w:val="xl92"/>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2">
    <w:name w:val="xl93"/>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3">
    <w:name w:val="xl9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4">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5">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6">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7">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8">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9">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0">
    <w:name w:val="xl10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1">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2">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3">
    <w:name w:val="xl10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4">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5">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06">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
    <w:name w:val="修订4"/>
    <w:qFormat/>
    <w:uiPriority w:val="99"/>
    <w:rPr>
      <w:rFonts w:ascii="Times New Roman" w:hAnsi="Times New Roman" w:eastAsia="宋体" w:cs="Times New Roman"/>
      <w:kern w:val="2"/>
      <w:sz w:val="21"/>
      <w:szCs w:val="22"/>
      <w:lang w:val="en-US" w:eastAsia="zh-CN" w:bidi="ar-SA"/>
    </w:rPr>
  </w:style>
  <w:style w:type="character" w:customStyle="1" w:styleId="308">
    <w:name w:val="font21"/>
    <w:basedOn w:val="71"/>
    <w:qFormat/>
    <w:uiPriority w:val="0"/>
    <w:rPr>
      <w:rFonts w:hint="eastAsia" w:ascii="等线" w:hAnsi="等线" w:eastAsia="等线" w:cs="等线"/>
      <w:color w:val="000000"/>
      <w:sz w:val="22"/>
      <w:szCs w:val="22"/>
      <w:u w:val="none"/>
    </w:rPr>
  </w:style>
  <w:style w:type="character" w:customStyle="1" w:styleId="309">
    <w:name w:val="apple-converted-space"/>
    <w:qFormat/>
    <w:uiPriority w:val="0"/>
    <w:rPr>
      <w:rFonts w:hint="default" w:ascii="Times New Roman" w:hAnsi="Times New Roman" w:cs="Times New Roman"/>
    </w:rPr>
  </w:style>
  <w:style w:type="character" w:customStyle="1" w:styleId="310">
    <w:name w:val="正文文本缩进 3 Char1"/>
    <w:basedOn w:val="71"/>
    <w:qFormat/>
    <w:uiPriority w:val="0"/>
    <w:rPr>
      <w:rFonts w:hint="default" w:ascii="Times New Roman" w:hAnsi="Times New Roman" w:eastAsia="宋体" w:cs="Times New Roman"/>
      <w:sz w:val="16"/>
      <w:szCs w:val="16"/>
    </w:rPr>
  </w:style>
  <w:style w:type="character" w:customStyle="1" w:styleId="311">
    <w:name w:val="批注文字 Char1"/>
    <w:basedOn w:val="71"/>
    <w:qFormat/>
    <w:uiPriority w:val="0"/>
    <w:rPr>
      <w:rFonts w:hint="default" w:ascii="Times New Roman" w:hAnsi="Times New Roman" w:eastAsia="宋体" w:cs="Times New Roman"/>
    </w:rPr>
  </w:style>
  <w:style w:type="character" w:customStyle="1" w:styleId="312">
    <w:name w:val="apple-tab-span"/>
    <w:qFormat/>
    <w:uiPriority w:val="0"/>
    <w:rPr>
      <w:rFonts w:hint="default" w:ascii="Times New Roman" w:hAnsi="Times New Roman" w:cs="Times New Roman"/>
    </w:rPr>
  </w:style>
  <w:style w:type="character" w:customStyle="1" w:styleId="313">
    <w:name w:val="font11"/>
    <w:basedOn w:val="71"/>
    <w:qFormat/>
    <w:uiPriority w:val="0"/>
    <w:rPr>
      <w:rFonts w:hint="default" w:ascii="Times New Roman" w:hAnsi="Times New Roman" w:cs="Times New Roman"/>
      <w:color w:val="000000"/>
      <w:sz w:val="20"/>
      <w:szCs w:val="20"/>
      <w:u w:val="none"/>
    </w:rPr>
  </w:style>
  <w:style w:type="character" w:customStyle="1" w:styleId="314">
    <w:name w:val="font31"/>
    <w:basedOn w:val="71"/>
    <w:qFormat/>
    <w:uiPriority w:val="0"/>
    <w:rPr>
      <w:rFonts w:hint="eastAsia" w:ascii="等线" w:hAnsi="等线" w:eastAsia="等线" w:cs="等线"/>
      <w:color w:val="000000"/>
      <w:sz w:val="22"/>
      <w:szCs w:val="22"/>
      <w:u w:val="none"/>
    </w:rPr>
  </w:style>
  <w:style w:type="character" w:customStyle="1" w:styleId="315">
    <w:name w:val="正文文本缩进 Char1"/>
    <w:basedOn w:val="71"/>
    <w:qFormat/>
    <w:uiPriority w:val="0"/>
    <w:rPr>
      <w:rFonts w:hint="default" w:ascii="Times New Roman" w:hAnsi="Times New Roman" w:eastAsia="宋体" w:cs="Times New Roman"/>
    </w:rPr>
  </w:style>
  <w:style w:type="character" w:customStyle="1" w:styleId="316">
    <w:name w:val="正文文本 3 Char1"/>
    <w:basedOn w:val="71"/>
    <w:qFormat/>
    <w:uiPriority w:val="0"/>
    <w:rPr>
      <w:rFonts w:hint="default" w:ascii="Times New Roman" w:hAnsi="Times New Roman" w:eastAsia="宋体" w:cs="Times New Roman"/>
      <w:sz w:val="16"/>
      <w:szCs w:val="16"/>
    </w:rPr>
  </w:style>
  <w:style w:type="character" w:customStyle="1" w:styleId="317">
    <w:name w:val="正文文本 Char1"/>
    <w:basedOn w:val="71"/>
    <w:qFormat/>
    <w:uiPriority w:val="0"/>
    <w:rPr>
      <w:rFonts w:hint="default" w:ascii="Times New Roman" w:hAnsi="Times New Roman" w:eastAsia="宋体" w:cs="Times New Roman"/>
    </w:rPr>
  </w:style>
  <w:style w:type="character" w:customStyle="1" w:styleId="318">
    <w:name w:val="font01"/>
    <w:basedOn w:val="71"/>
    <w:qFormat/>
    <w:uiPriority w:val="0"/>
    <w:rPr>
      <w:rFonts w:hint="eastAsia" w:ascii="宋体" w:hAnsi="宋体" w:eastAsia="宋体" w:cs="宋体"/>
      <w:color w:val="000000"/>
      <w:sz w:val="20"/>
      <w:szCs w:val="20"/>
      <w:u w:val="none"/>
    </w:rPr>
  </w:style>
  <w:style w:type="character" w:customStyle="1" w:styleId="319">
    <w:name w:val="纯文本 Char2"/>
    <w:basedOn w:val="71"/>
    <w:qFormat/>
    <w:uiPriority w:val="0"/>
    <w:rPr>
      <w:rFonts w:hint="eastAsia" w:ascii="宋体" w:hAnsi="Courier New" w:eastAsia="宋体" w:cs="Courier New"/>
      <w:sz w:val="21"/>
      <w:szCs w:val="21"/>
    </w:rPr>
  </w:style>
  <w:style w:type="character" w:customStyle="1" w:styleId="320">
    <w:name w:val="文档结构图 Char1"/>
    <w:basedOn w:val="71"/>
    <w:qFormat/>
    <w:uiPriority w:val="0"/>
    <w:rPr>
      <w:rFonts w:hint="eastAsia" w:ascii="宋体" w:hAnsi="Times New Roman" w:eastAsia="宋体" w:cs="Times New Roman"/>
      <w:sz w:val="18"/>
      <w:szCs w:val="18"/>
    </w:rPr>
  </w:style>
  <w:style w:type="character" w:customStyle="1" w:styleId="321">
    <w:name w:val="纯文本 Char1"/>
    <w:qFormat/>
    <w:uiPriority w:val="0"/>
    <w:rPr>
      <w:rFonts w:hint="eastAsia" w:ascii="宋体" w:hAnsi="Courier New" w:eastAsia="宋体"/>
      <w:sz w:val="21"/>
    </w:rPr>
  </w:style>
  <w:style w:type="character" w:customStyle="1" w:styleId="322">
    <w:name w:val="日期 Char1"/>
    <w:basedOn w:val="71"/>
    <w:qFormat/>
    <w:uiPriority w:val="0"/>
    <w:rPr>
      <w:rFonts w:hint="default" w:ascii="Times New Roman" w:hAnsi="Times New Roman" w:eastAsia="宋体" w:cs="Times New Roman"/>
    </w:rPr>
  </w:style>
  <w:style w:type="character" w:customStyle="1" w:styleId="323">
    <w:name w:val="正文文本缩进 2 Char1"/>
    <w:basedOn w:val="71"/>
    <w:qFormat/>
    <w:uiPriority w:val="0"/>
    <w:rPr>
      <w:rFonts w:hint="default" w:ascii="Times New Roman" w:hAnsi="Times New Roman" w:eastAsia="宋体" w:cs="Times New Roman"/>
    </w:rPr>
  </w:style>
  <w:style w:type="character" w:customStyle="1" w:styleId="324">
    <w:name w:val="批注框文本 Char1"/>
    <w:basedOn w:val="71"/>
    <w:qFormat/>
    <w:uiPriority w:val="0"/>
    <w:rPr>
      <w:rFonts w:hint="default" w:ascii="Times New Roman" w:hAnsi="Times New Roman" w:eastAsia="宋体" w:cs="Times New Roman"/>
      <w:sz w:val="18"/>
      <w:szCs w:val="18"/>
    </w:rPr>
  </w:style>
  <w:style w:type="character" w:customStyle="1" w:styleId="325">
    <w:name w:val="正文文本 2 Char1"/>
    <w:basedOn w:val="71"/>
    <w:qFormat/>
    <w:uiPriority w:val="0"/>
    <w:rPr>
      <w:rFonts w:hint="default" w:ascii="Times New Roman" w:hAnsi="Times New Roman" w:eastAsia="宋体" w:cs="Times New Roman"/>
    </w:rPr>
  </w:style>
  <w:style w:type="character" w:customStyle="1" w:styleId="326">
    <w:name w:val="大黑10.5px"/>
    <w:qFormat/>
    <w:uiPriority w:val="0"/>
    <w:rPr>
      <w:rFonts w:hint="eastAsia" w:ascii="方正大黑简体" w:eastAsia="方正大黑简体"/>
      <w:sz w:val="21"/>
    </w:rPr>
  </w:style>
  <w:style w:type="character" w:customStyle="1" w:styleId="327">
    <w:name w:val="黑简10.5px"/>
    <w:qFormat/>
    <w:uiPriority w:val="0"/>
    <w:rPr>
      <w:rFonts w:hint="eastAsia" w:ascii="方正黑体简体" w:hAnsi="方正黑体简体" w:eastAsia="方正黑体简体"/>
      <w:sz w:val="21"/>
    </w:rPr>
  </w:style>
  <w:style w:type="character" w:customStyle="1" w:styleId="328">
    <w:name w:val="jbox-icon-warning"/>
    <w:basedOn w:val="71"/>
    <w:qFormat/>
    <w:uiPriority w:val="0"/>
    <w:rPr>
      <w:rFonts w:hint="default" w:ascii="Times New Roman" w:hAnsi="Times New Roman" w:cs="Times New Roman"/>
    </w:rPr>
  </w:style>
  <w:style w:type="character" w:customStyle="1" w:styleId="329">
    <w:name w:val="hover9"/>
    <w:qFormat/>
    <w:uiPriority w:val="0"/>
    <w:rPr>
      <w:shd w:val="clear" w:color="auto" w:fill="EEEEEE"/>
    </w:rPr>
  </w:style>
  <w:style w:type="character" w:customStyle="1" w:styleId="330">
    <w:name w:val="hour_pm"/>
    <w:basedOn w:val="71"/>
    <w:qFormat/>
    <w:uiPriority w:val="0"/>
    <w:rPr>
      <w:rFonts w:hint="default" w:ascii="Times New Roman" w:hAnsi="Times New Roman" w:cs="Times New Roman"/>
    </w:rPr>
  </w:style>
  <w:style w:type="character" w:customStyle="1" w:styleId="331">
    <w:name w:val="jbox-icon-info"/>
    <w:basedOn w:val="71"/>
    <w:qFormat/>
    <w:uiPriority w:val="0"/>
    <w:rPr>
      <w:rFonts w:hint="default" w:ascii="Times New Roman" w:hAnsi="Times New Roman" w:cs="Times New Roman"/>
    </w:rPr>
  </w:style>
  <w:style w:type="character" w:customStyle="1" w:styleId="332">
    <w:name w:val="black601"/>
    <w:qFormat/>
    <w:uiPriority w:val="0"/>
    <w:rPr>
      <w:color w:val="666666"/>
    </w:rPr>
  </w:style>
  <w:style w:type="character" w:customStyle="1" w:styleId="333">
    <w:name w:val="hour_am"/>
    <w:basedOn w:val="71"/>
    <w:qFormat/>
    <w:uiPriority w:val="0"/>
    <w:rPr>
      <w:rFonts w:hint="default" w:ascii="Times New Roman" w:hAnsi="Times New Roman" w:cs="Times New Roman"/>
    </w:rPr>
  </w:style>
  <w:style w:type="character" w:customStyle="1" w:styleId="334">
    <w:name w:val="jbox-icon-error"/>
    <w:basedOn w:val="71"/>
    <w:qFormat/>
    <w:uiPriority w:val="0"/>
    <w:rPr>
      <w:rFonts w:hint="default" w:ascii="Times New Roman" w:hAnsi="Times New Roman" w:cs="Times New Roman"/>
    </w:rPr>
  </w:style>
  <w:style w:type="character" w:customStyle="1" w:styleId="335">
    <w:name w:val="jbox-icon-success"/>
    <w:basedOn w:val="71"/>
    <w:qFormat/>
    <w:uiPriority w:val="0"/>
    <w:rPr>
      <w:rFonts w:hint="default" w:ascii="Times New Roman" w:hAnsi="Times New Roman" w:cs="Times New Roman"/>
    </w:rPr>
  </w:style>
  <w:style w:type="character" w:customStyle="1" w:styleId="336">
    <w:name w:val="maywed421"/>
    <w:qFormat/>
    <w:uiPriority w:val="0"/>
    <w:rPr>
      <w:color w:val="366FB6"/>
      <w:u w:val="none"/>
    </w:rPr>
  </w:style>
  <w:style w:type="character" w:customStyle="1" w:styleId="337">
    <w:name w:val="正文文本缩进 字符1"/>
    <w:qFormat/>
    <w:uiPriority w:val="0"/>
    <w:rPr>
      <w:rFonts w:hint="eastAsia" w:ascii="宋体" w:hAnsi="Courier New" w:eastAsia="宋体"/>
      <w:spacing w:val="-4"/>
      <w:kern w:val="2"/>
      <w:sz w:val="18"/>
    </w:rPr>
  </w:style>
  <w:style w:type="character" w:customStyle="1" w:styleId="338">
    <w:name w:val="jbox-icon-question"/>
    <w:basedOn w:val="71"/>
    <w:qFormat/>
    <w:uiPriority w:val="0"/>
    <w:rPr>
      <w:rFonts w:hint="default" w:ascii="Times New Roman" w:hAnsi="Times New Roman" w:cs="Times New Roman"/>
    </w:rPr>
  </w:style>
  <w:style w:type="character" w:customStyle="1" w:styleId="339">
    <w:name w:val="jbox-icon-loading"/>
    <w:basedOn w:val="71"/>
    <w:qFormat/>
    <w:uiPriority w:val="0"/>
    <w:rPr>
      <w:rFonts w:hint="default" w:ascii="Times New Roman" w:hAnsi="Times New Roman" w:cs="Times New Roman"/>
    </w:rPr>
  </w:style>
  <w:style w:type="character" w:customStyle="1" w:styleId="340">
    <w:name w:val="标题 1 Char Char"/>
    <w:qFormat/>
    <w:uiPriority w:val="0"/>
    <w:rPr>
      <w:rFonts w:hint="eastAsia" w:ascii="宋体" w:hAnsi="宋体" w:eastAsia="宋体"/>
      <w:b/>
      <w:spacing w:val="-2"/>
      <w:sz w:val="24"/>
      <w:lang w:val="en-US" w:eastAsia="zh-CN"/>
    </w:rPr>
  </w:style>
  <w:style w:type="character" w:customStyle="1" w:styleId="341">
    <w:name w:val="jbox-icon-none"/>
    <w:qFormat/>
    <w:uiPriority w:val="0"/>
    <w:rPr>
      <w:vanish/>
    </w:rPr>
  </w:style>
  <w:style w:type="character" w:customStyle="1" w:styleId="342">
    <w:name w:val="sub_title s0"/>
    <w:basedOn w:val="71"/>
    <w:qFormat/>
    <w:uiPriority w:val="0"/>
    <w:rPr>
      <w:rFonts w:hint="default" w:ascii="Times New Roman" w:hAnsi="Times New Roman" w:cs="Times New Roman"/>
    </w:rPr>
  </w:style>
  <w:style w:type="character" w:customStyle="1" w:styleId="343">
    <w:name w:val="纯文本 字符2"/>
    <w:qFormat/>
    <w:uiPriority w:val="0"/>
    <w:rPr>
      <w:rFonts w:hint="eastAsia" w:ascii="宋体" w:hAnsi="Courier New" w:eastAsia="宋体"/>
      <w:kern w:val="2"/>
      <w:sz w:val="24"/>
    </w:rPr>
  </w:style>
  <w:style w:type="character" w:customStyle="1" w:styleId="344">
    <w:name w:val="jbox-icon"/>
    <w:basedOn w:val="71"/>
    <w:qFormat/>
    <w:uiPriority w:val="0"/>
    <w:rPr>
      <w:rFonts w:hint="default" w:ascii="Times New Roman" w:hAnsi="Times New Roman" w:cs="Times New Roman"/>
    </w:rPr>
  </w:style>
  <w:style w:type="character" w:customStyle="1" w:styleId="345">
    <w:name w:val="old"/>
    <w:qFormat/>
    <w:uiPriority w:val="0"/>
    <w:rPr>
      <w:color w:val="999999"/>
    </w:rPr>
  </w:style>
  <w:style w:type="character" w:customStyle="1" w:styleId="346">
    <w:name w:val="font41"/>
    <w:basedOn w:val="71"/>
    <w:qFormat/>
    <w:uiPriority w:val="0"/>
    <w:rPr>
      <w:rFonts w:hint="eastAsia" w:ascii="宋体" w:hAnsi="宋体" w:eastAsia="宋体" w:cs="宋体"/>
      <w:b/>
      <w:bCs/>
      <w:color w:val="000000"/>
      <w:sz w:val="24"/>
      <w:szCs w:val="24"/>
      <w:u w:val="none"/>
    </w:rPr>
  </w:style>
  <w:style w:type="character" w:customStyle="1" w:styleId="347">
    <w:name w:val="font12"/>
    <w:basedOn w:val="71"/>
    <w:qFormat/>
    <w:uiPriority w:val="0"/>
    <w:rPr>
      <w:rFonts w:hint="default" w:ascii="Times New Roman" w:hAnsi="Times New Roman" w:cs="Times New Roman"/>
      <w:color w:val="000000"/>
      <w:sz w:val="24"/>
      <w:szCs w:val="24"/>
      <w:u w:val="none"/>
    </w:rPr>
  </w:style>
  <w:style w:type="character" w:customStyle="1" w:styleId="348">
    <w:name w:val="font111"/>
    <w:basedOn w:val="71"/>
    <w:qFormat/>
    <w:uiPriority w:val="0"/>
    <w:rPr>
      <w:rFonts w:hint="eastAsia" w:ascii="宋体" w:hAnsi="宋体" w:eastAsia="宋体" w:cs="宋体"/>
      <w:color w:val="000000"/>
      <w:sz w:val="22"/>
      <w:szCs w:val="22"/>
      <w:u w:val="none"/>
    </w:rPr>
  </w:style>
  <w:style w:type="character" w:customStyle="1" w:styleId="349">
    <w:name w:val="标题 7 字符1"/>
    <w:basedOn w:val="71"/>
    <w:semiHidden/>
    <w:qFormat/>
    <w:uiPriority w:val="9"/>
    <w:rPr>
      <w:b/>
      <w:bCs/>
      <w:sz w:val="24"/>
      <w:szCs w:val="24"/>
    </w:rPr>
  </w:style>
  <w:style w:type="character" w:customStyle="1" w:styleId="350">
    <w:name w:val="标题 8 字符1"/>
    <w:basedOn w:val="71"/>
    <w:semiHidden/>
    <w:qFormat/>
    <w:uiPriority w:val="9"/>
    <w:rPr>
      <w:rFonts w:hint="default" w:ascii="Cambria" w:hAnsi="Cambria" w:eastAsia="宋体" w:cs="Times New Roman"/>
      <w:sz w:val="24"/>
      <w:szCs w:val="24"/>
    </w:rPr>
  </w:style>
  <w:style w:type="character" w:customStyle="1" w:styleId="351">
    <w:name w:val="标题 9 字符1"/>
    <w:basedOn w:val="71"/>
    <w:semiHidden/>
    <w:qFormat/>
    <w:uiPriority w:val="9"/>
    <w:rPr>
      <w:rFonts w:hint="default" w:ascii="Cambria" w:hAnsi="Cambria" w:eastAsia="宋体" w:cs="Times New Roman"/>
      <w:szCs w:val="21"/>
    </w:rPr>
  </w:style>
  <w:style w:type="table" w:customStyle="1" w:styleId="352">
    <w:name w:val="Table Normal"/>
    <w:qFormat/>
    <w:uiPriority w:val="59"/>
    <w:tblPr>
      <w:tblCellMar>
        <w:top w:w="0" w:type="dxa"/>
        <w:left w:w="108" w:type="dxa"/>
        <w:bottom w:w="0" w:type="dxa"/>
        <w:right w:w="108" w:type="dxa"/>
      </w:tblCellMar>
    </w:tblPr>
  </w:style>
  <w:style w:type="table" w:customStyle="1" w:styleId="353">
    <w:name w:val="华信表格(五号)"/>
    <w:basedOn w:val="64"/>
    <w:qFormat/>
    <w:uiPriority w:val="99"/>
    <w:pPr>
      <w:adjustRightInd w:val="0"/>
      <w:jc w:val="center"/>
    </w:pPr>
    <w:rPr>
      <w:rFonts w:cs="宋体"/>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cPr>
      <w:vAlign w:val="center"/>
    </w:tcPr>
  </w:style>
  <w:style w:type="character" w:customStyle="1" w:styleId="354">
    <w:name w:val="批注主题 Char1"/>
    <w:basedOn w:val="311"/>
    <w:qFormat/>
    <w:uiPriority w:val="0"/>
    <w:rPr>
      <w:rFonts w:hint="default" w:ascii="Times New Roman" w:hAnsi="Times New Roman" w:eastAsia="宋体" w:cs="Times New Roman"/>
      <w:b/>
      <w:bCs/>
    </w:rPr>
  </w:style>
  <w:style w:type="paragraph" w:customStyle="1" w:styleId="355">
    <w:name w:val="Body text|1"/>
    <w:basedOn w:val="1"/>
    <w:qFormat/>
    <w:uiPriority w:val="0"/>
    <w:rPr>
      <w:sz w:val="10"/>
      <w:szCs w:val="10"/>
    </w:rPr>
  </w:style>
  <w:style w:type="paragraph" w:customStyle="1" w:styleId="356">
    <w:name w:val="Picture caption|2"/>
    <w:basedOn w:val="1"/>
    <w:qFormat/>
    <w:uiPriority w:val="0"/>
    <w:rPr>
      <w:sz w:val="10"/>
      <w:szCs w:val="10"/>
      <w:lang w:val="zh-TW" w:eastAsia="zh-TW" w:bidi="zh-TW"/>
    </w:rPr>
  </w:style>
  <w:style w:type="paragraph" w:customStyle="1" w:styleId="357">
    <w:name w:val="Picture caption|1"/>
    <w:basedOn w:val="1"/>
    <w:qFormat/>
    <w:uiPriority w:val="0"/>
    <w:rPr>
      <w:rFonts w:ascii="宋体" w:hAnsi="宋体" w:eastAsia="宋体" w:cs="宋体"/>
      <w:sz w:val="9"/>
      <w:szCs w:val="9"/>
    </w:rPr>
  </w:style>
  <w:style w:type="paragraph" w:customStyle="1" w:styleId="358">
    <w:name w:val="Other|2"/>
    <w:basedOn w:val="1"/>
    <w:qFormat/>
    <w:uiPriority w:val="0"/>
    <w:rPr>
      <w:rFonts w:ascii="宋体" w:hAnsi="宋体" w:eastAsia="宋体" w:cs="宋体"/>
      <w:sz w:val="11"/>
      <w:szCs w:val="11"/>
      <w:lang w:val="zh-TW" w:eastAsia="zh-TW" w:bidi="zh-TW"/>
    </w:rPr>
  </w:style>
  <w:style w:type="paragraph" w:customStyle="1" w:styleId="359">
    <w:name w:val="Other|1"/>
    <w:basedOn w:val="1"/>
    <w:qFormat/>
    <w:uiPriority w:val="0"/>
    <w:rPr>
      <w:b/>
      <w:bCs/>
      <w:sz w:val="9"/>
      <w:szCs w:val="9"/>
      <w:lang w:val="zh-TW" w:eastAsia="zh-TW" w:bidi="zh-TW"/>
    </w:rPr>
  </w:style>
  <w:style w:type="character" w:customStyle="1" w:styleId="360">
    <w:name w:val="font51"/>
    <w:basedOn w:val="71"/>
    <w:qFormat/>
    <w:uiPriority w:val="0"/>
    <w:rPr>
      <w:rFonts w:hint="eastAsia" w:ascii="宋体" w:hAnsi="宋体" w:eastAsia="宋体" w:cs="宋体"/>
      <w:color w:val="000000"/>
      <w:sz w:val="20"/>
      <w:szCs w:val="20"/>
      <w:u w:val="none"/>
      <w:vertAlign w:val="superscript"/>
    </w:rPr>
  </w:style>
  <w:style w:type="paragraph" w:customStyle="1" w:styleId="361">
    <w:name w:val="cover"/>
    <w:link w:val="368"/>
    <w:qFormat/>
    <w:uiPriority w:val="0"/>
    <w:rPr>
      <w:rFonts w:ascii="宋体" w:hAnsi="Cambria" w:eastAsia="宋体" w:cs="宋体"/>
      <w:b/>
      <w:kern w:val="2"/>
      <w:sz w:val="52"/>
      <w:szCs w:val="22"/>
      <w:lang w:val="en-US" w:eastAsia="zh-CN" w:bidi="ar-SA"/>
    </w:rPr>
  </w:style>
  <w:style w:type="character" w:customStyle="1" w:styleId="362">
    <w:name w:val="称呼 Char1"/>
    <w:basedOn w:val="71"/>
    <w:link w:val="23"/>
    <w:qFormat/>
    <w:uiPriority w:val="0"/>
    <w:rPr>
      <w:szCs w:val="24"/>
    </w:rPr>
  </w:style>
  <w:style w:type="character" w:customStyle="1" w:styleId="363">
    <w:name w:val="尾注文本 Char1"/>
    <w:basedOn w:val="71"/>
    <w:link w:val="41"/>
    <w:qFormat/>
    <w:uiPriority w:val="0"/>
    <w:rPr>
      <w:sz w:val="24"/>
    </w:rPr>
  </w:style>
  <w:style w:type="character" w:customStyle="1" w:styleId="364">
    <w:name w:val="副标题 Char1"/>
    <w:basedOn w:val="71"/>
    <w:link w:val="47"/>
    <w:qFormat/>
    <w:uiPriority w:val="0"/>
    <w:rPr>
      <w:rFonts w:ascii="Calibri" w:hAnsi="Calibri" w:cs="宋体"/>
      <w:b/>
      <w:bCs/>
      <w:kern w:val="28"/>
      <w:sz w:val="32"/>
      <w:szCs w:val="32"/>
    </w:rPr>
  </w:style>
  <w:style w:type="character" w:customStyle="1" w:styleId="365">
    <w:name w:val="脚注文本 Char"/>
    <w:basedOn w:val="71"/>
    <w:link w:val="50"/>
    <w:qFormat/>
    <w:uiPriority w:val="0"/>
    <w:rPr>
      <w:rFonts w:ascii="宋体" w:hAnsi="Calibri" w:cs="宋体"/>
      <w:kern w:val="2"/>
      <w:sz w:val="18"/>
      <w:szCs w:val="18"/>
    </w:rPr>
  </w:style>
  <w:style w:type="character" w:customStyle="1" w:styleId="366">
    <w:name w:val="标题 Char4"/>
    <w:basedOn w:val="71"/>
    <w:link w:val="58"/>
    <w:qFormat/>
    <w:uiPriority w:val="0"/>
    <w:rPr>
      <w:rFonts w:ascii="Cambria" w:hAnsi="Cambria" w:cs="宋体"/>
      <w:b/>
      <w:bCs/>
      <w:kern w:val="2"/>
      <w:sz w:val="32"/>
      <w:szCs w:val="32"/>
    </w:rPr>
  </w:style>
  <w:style w:type="paragraph" w:customStyle="1" w:styleId="367">
    <w:name w:val="Normal Indent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368">
    <w:name w:val="cover 字符"/>
    <w:basedOn w:val="71"/>
    <w:link w:val="361"/>
    <w:qFormat/>
    <w:uiPriority w:val="0"/>
    <w:rPr>
      <w:rFonts w:ascii="宋体" w:hAnsi="Cambria" w:cs="宋体"/>
      <w:b/>
      <w:kern w:val="2"/>
      <w:sz w:val="52"/>
      <w:szCs w:val="22"/>
    </w:rPr>
  </w:style>
  <w:style w:type="paragraph" w:customStyle="1" w:styleId="369">
    <w:name w:val="index"/>
    <w:basedOn w:val="45"/>
    <w:link w:val="371"/>
    <w:qFormat/>
    <w:uiPriority w:val="0"/>
    <w:pPr>
      <w:tabs>
        <w:tab w:val="left" w:pos="1050"/>
        <w:tab w:val="left" w:pos="1190"/>
        <w:tab w:val="left" w:pos="1470"/>
        <w:tab w:val="right" w:leader="dot" w:pos="8296"/>
      </w:tabs>
      <w:wordWrap w:val="0"/>
      <w:spacing w:line="360" w:lineRule="auto"/>
    </w:pPr>
    <w:rPr>
      <w:rFonts w:hAnsi="Calibri" w:cs="宋体"/>
      <w:szCs w:val="32"/>
    </w:rPr>
  </w:style>
  <w:style w:type="character" w:customStyle="1" w:styleId="370">
    <w:name w:val="目录 1 Char"/>
    <w:basedOn w:val="71"/>
    <w:link w:val="45"/>
    <w:qFormat/>
    <w:uiPriority w:val="39"/>
    <w:rPr>
      <w:kern w:val="2"/>
      <w:sz w:val="21"/>
      <w:szCs w:val="22"/>
    </w:rPr>
  </w:style>
  <w:style w:type="character" w:customStyle="1" w:styleId="371">
    <w:name w:val="index 字符"/>
    <w:basedOn w:val="370"/>
    <w:link w:val="369"/>
    <w:qFormat/>
    <w:uiPriority w:val="0"/>
    <w:rPr>
      <w:rFonts w:hAnsi="Calibri" w:cs="宋体"/>
      <w:kern w:val="2"/>
      <w:sz w:val="21"/>
      <w:szCs w:val="32"/>
    </w:rPr>
  </w:style>
  <w:style w:type="paragraph" w:customStyle="1" w:styleId="372">
    <w:name w:val="form"/>
    <w:basedOn w:val="1"/>
    <w:link w:val="373"/>
    <w:qFormat/>
    <w:uiPriority w:val="0"/>
    <w:pPr>
      <w:wordWrap w:val="0"/>
      <w:snapToGrid w:val="0"/>
      <w:jc w:val="center"/>
    </w:pPr>
    <w:rPr>
      <w:rFonts w:ascii="宋体" w:hAnsi="Calibri" w:eastAsia="宋体" w:cs="宋体"/>
      <w:szCs w:val="21"/>
    </w:rPr>
  </w:style>
  <w:style w:type="character" w:customStyle="1" w:styleId="373">
    <w:name w:val="form 字符"/>
    <w:basedOn w:val="71"/>
    <w:link w:val="372"/>
    <w:qFormat/>
    <w:uiPriority w:val="0"/>
    <w:rPr>
      <w:rFonts w:ascii="宋体" w:hAnsi="Calibri" w:cs="宋体"/>
      <w:kern w:val="2"/>
      <w:sz w:val="21"/>
      <w:szCs w:val="21"/>
    </w:rPr>
  </w:style>
  <w:style w:type="paragraph" w:customStyle="1" w:styleId="374">
    <w:name w:val="序号列"/>
    <w:basedOn w:val="116"/>
    <w:link w:val="375"/>
    <w:qFormat/>
    <w:uiPriority w:val="0"/>
    <w:pPr>
      <w:wordWrap w:val="0"/>
      <w:spacing w:line="360" w:lineRule="auto"/>
      <w:ind w:firstLine="0" w:firstLineChars="0"/>
    </w:pPr>
    <w:rPr>
      <w:rFonts w:ascii="宋体" w:hAnsi="Calibri" w:eastAsia="宋体" w:cs="宋体"/>
    </w:rPr>
  </w:style>
  <w:style w:type="character" w:customStyle="1" w:styleId="375">
    <w:name w:val="序号列 字符"/>
    <w:basedOn w:val="256"/>
    <w:link w:val="374"/>
    <w:qFormat/>
    <w:uiPriority w:val="0"/>
    <w:rPr>
      <w:rFonts w:ascii="宋体" w:hAnsi="Calibri" w:eastAsia="宋体" w:cs="宋体"/>
      <w:kern w:val="2"/>
      <w:sz w:val="21"/>
      <w:szCs w:val="22"/>
    </w:rPr>
  </w:style>
  <w:style w:type="paragraph" w:customStyle="1" w:styleId="376">
    <w:name w:val="加粗子列表"/>
    <w:basedOn w:val="116"/>
    <w:link w:val="378"/>
    <w:qFormat/>
    <w:uiPriority w:val="0"/>
    <w:pPr>
      <w:numPr>
        <w:ilvl w:val="0"/>
        <w:numId w:val="4"/>
      </w:numPr>
      <w:wordWrap w:val="0"/>
      <w:spacing w:line="360" w:lineRule="auto"/>
      <w:ind w:firstLine="0" w:firstLineChars="0"/>
    </w:pPr>
    <w:rPr>
      <w:rFonts w:ascii="宋体" w:hAnsi="Calibri" w:eastAsia="宋体" w:cs="宋体"/>
      <w:b/>
      <w:bCs/>
    </w:rPr>
  </w:style>
  <w:style w:type="paragraph" w:customStyle="1" w:styleId="377">
    <w:name w:val="子列2"/>
    <w:basedOn w:val="376"/>
    <w:link w:val="380"/>
    <w:qFormat/>
    <w:uiPriority w:val="0"/>
    <w:pPr>
      <w:numPr>
        <w:ilvl w:val="1"/>
        <w:numId w:val="0"/>
      </w:numPr>
    </w:pPr>
    <w:rPr>
      <w:b w:val="0"/>
      <w:bCs w:val="0"/>
    </w:rPr>
  </w:style>
  <w:style w:type="character" w:customStyle="1" w:styleId="378">
    <w:name w:val="加粗子列表 字符"/>
    <w:basedOn w:val="256"/>
    <w:link w:val="376"/>
    <w:qFormat/>
    <w:uiPriority w:val="0"/>
    <w:rPr>
      <w:rFonts w:ascii="宋体" w:hAnsi="Calibri" w:eastAsia="宋体" w:cs="宋体"/>
      <w:b/>
      <w:bCs/>
      <w:kern w:val="2"/>
      <w:sz w:val="21"/>
      <w:szCs w:val="22"/>
    </w:rPr>
  </w:style>
  <w:style w:type="character" w:customStyle="1" w:styleId="379">
    <w:name w:val="纯文本 Char"/>
    <w:link w:val="163"/>
    <w:qFormat/>
    <w:uiPriority w:val="0"/>
    <w:rPr>
      <w:rFonts w:ascii="宋体" w:hAnsi="Courier New" w:eastAsia="Times New Roman"/>
      <w:kern w:val="2"/>
      <w:sz w:val="30"/>
      <w:szCs w:val="24"/>
    </w:rPr>
  </w:style>
  <w:style w:type="character" w:customStyle="1" w:styleId="380">
    <w:name w:val="子列2 字符"/>
    <w:basedOn w:val="378"/>
    <w:link w:val="377"/>
    <w:qFormat/>
    <w:uiPriority w:val="0"/>
    <w:rPr>
      <w:rFonts w:ascii="宋体" w:hAnsi="Calibri" w:eastAsia="宋体" w:cs="宋体"/>
      <w:b w:val="0"/>
      <w:bCs w:val="0"/>
      <w:kern w:val="2"/>
      <w:sz w:val="21"/>
      <w:szCs w:val="22"/>
    </w:rPr>
  </w:style>
  <w:style w:type="paragraph" w:customStyle="1" w:styleId="381">
    <w:name w:val="文本块2"/>
    <w:basedOn w:val="1"/>
    <w:qFormat/>
    <w:uiPriority w:val="0"/>
    <w:pPr>
      <w:adjustRightInd w:val="0"/>
      <w:snapToGrid w:val="0"/>
      <w:spacing w:line="300" w:lineRule="auto"/>
      <w:ind w:left="958" w:right="-120" w:rightChars="-120"/>
      <w:jc w:val="left"/>
    </w:pPr>
    <w:rPr>
      <w:rFonts w:hint="eastAsia" w:ascii="Century Gothic" w:hAnsi="Century Gothic" w:eastAsia="宋体" w:cs="Times New Roman"/>
      <w:sz w:val="28"/>
      <w:szCs w:val="20"/>
    </w:rPr>
  </w:style>
  <w:style w:type="paragraph" w:customStyle="1" w:styleId="382">
    <w:name w:val="纯文本3"/>
    <w:basedOn w:val="1"/>
    <w:qFormat/>
    <w:uiPriority w:val="99"/>
    <w:pPr>
      <w:adjustRightInd w:val="0"/>
      <w:textAlignment w:val="baseline"/>
    </w:pPr>
    <w:rPr>
      <w:rFonts w:ascii="宋体" w:hAnsi="Courier New" w:eastAsia="楷体_GB2312" w:cs="Times New Roman"/>
      <w:sz w:val="26"/>
      <w:szCs w:val="20"/>
    </w:rPr>
  </w:style>
  <w:style w:type="paragraph" w:customStyle="1" w:styleId="383">
    <w:name w:val="纯文本2"/>
    <w:basedOn w:val="1"/>
    <w:qFormat/>
    <w:uiPriority w:val="0"/>
    <w:rPr>
      <w:rFonts w:ascii="宋体" w:hAnsi="Courier New" w:eastAsia="仿宋_GB2312" w:cs="Times New Roman"/>
      <w:sz w:val="30"/>
      <w:szCs w:val="24"/>
    </w:rPr>
  </w:style>
  <w:style w:type="paragraph" w:customStyle="1" w:styleId="384">
    <w:name w:val="Body Text Indent1"/>
    <w:basedOn w:val="1"/>
    <w:qFormat/>
    <w:uiPriority w:val="99"/>
    <w:pPr>
      <w:spacing w:line="200" w:lineRule="exact"/>
      <w:ind w:firstLine="301"/>
    </w:pPr>
    <w:rPr>
      <w:rFonts w:ascii="宋体" w:hAnsi="Courier New" w:eastAsia="宋体" w:cs="Times New Roman"/>
      <w:spacing w:val="-4"/>
      <w:kern w:val="0"/>
      <w:sz w:val="18"/>
      <w:szCs w:val="24"/>
    </w:rPr>
  </w:style>
  <w:style w:type="character" w:customStyle="1" w:styleId="385">
    <w:name w:val="批注框文本 Char"/>
    <w:basedOn w:val="71"/>
    <w:link w:val="386"/>
    <w:qFormat/>
    <w:uiPriority w:val="0"/>
    <w:rPr>
      <w:rFonts w:ascii="Calibri" w:hAnsi="Calibri"/>
      <w:sz w:val="18"/>
      <w:szCs w:val="18"/>
    </w:rPr>
  </w:style>
  <w:style w:type="paragraph" w:customStyle="1" w:styleId="386">
    <w:name w:val="批注框文本1"/>
    <w:basedOn w:val="1"/>
    <w:link w:val="385"/>
    <w:qFormat/>
    <w:uiPriority w:val="0"/>
    <w:rPr>
      <w:rFonts w:ascii="Calibri" w:hAnsi="Calibri" w:eastAsia="宋体" w:cs="Times New Roman"/>
      <w:kern w:val="0"/>
      <w:sz w:val="18"/>
      <w:szCs w:val="18"/>
    </w:rPr>
  </w:style>
  <w:style w:type="paragraph" w:customStyle="1" w:styleId="387">
    <w:name w:val="纯文本5"/>
    <w:basedOn w:val="1"/>
    <w:qFormat/>
    <w:uiPriority w:val="0"/>
    <w:rPr>
      <w:rFonts w:ascii="宋体" w:hAnsi="Courier New" w:eastAsia="仿宋_GB2312" w:cs="Times New Roman"/>
      <w:sz w:val="30"/>
      <w:szCs w:val="24"/>
    </w:rPr>
  </w:style>
  <w:style w:type="paragraph" w:customStyle="1" w:styleId="388">
    <w:name w:val="附件格式"/>
    <w:basedOn w:val="1"/>
    <w:link w:val="389"/>
    <w:qFormat/>
    <w:uiPriority w:val="0"/>
    <w:pPr>
      <w:wordWrap w:val="0"/>
      <w:spacing w:line="360" w:lineRule="auto"/>
      <w:ind w:firstLine="200" w:firstLineChars="200"/>
    </w:pPr>
    <w:rPr>
      <w:rFonts w:ascii="宋体" w:hAnsi="Calibri" w:eastAsia="宋体" w:cs="宋体"/>
      <w:sz w:val="28"/>
    </w:rPr>
  </w:style>
  <w:style w:type="character" w:customStyle="1" w:styleId="389">
    <w:name w:val="附件格式 字符"/>
    <w:basedOn w:val="71"/>
    <w:link w:val="388"/>
    <w:qFormat/>
    <w:uiPriority w:val="0"/>
    <w:rPr>
      <w:rFonts w:ascii="宋体" w:hAnsi="Calibri" w:cs="宋体"/>
      <w:kern w:val="2"/>
      <w:sz w:val="28"/>
      <w:szCs w:val="22"/>
    </w:rPr>
  </w:style>
  <w:style w:type="paragraph" w:customStyle="1" w:styleId="390">
    <w:name w:val="大纲"/>
    <w:next w:val="1"/>
    <w:link w:val="391"/>
    <w:qFormat/>
    <w:uiPriority w:val="0"/>
    <w:pPr>
      <w:spacing w:line="360" w:lineRule="auto"/>
      <w:outlineLvl w:val="1"/>
    </w:pPr>
    <w:rPr>
      <w:rFonts w:ascii="宋体" w:hAnsi="Calibri" w:eastAsia="宋体" w:cs="宋体"/>
      <w:b/>
      <w:bCs/>
      <w:kern w:val="2"/>
      <w:sz w:val="24"/>
      <w:szCs w:val="22"/>
      <w:lang w:val="en-US" w:eastAsia="zh-CN" w:bidi="ar-SA"/>
    </w:rPr>
  </w:style>
  <w:style w:type="character" w:customStyle="1" w:styleId="391">
    <w:name w:val="大纲 字符"/>
    <w:basedOn w:val="71"/>
    <w:link w:val="390"/>
    <w:qFormat/>
    <w:uiPriority w:val="0"/>
    <w:rPr>
      <w:rFonts w:ascii="宋体" w:hAnsi="Calibri" w:cs="宋体"/>
      <w:b/>
      <w:bCs/>
      <w:kern w:val="2"/>
      <w:sz w:val="24"/>
      <w:szCs w:val="22"/>
    </w:rPr>
  </w:style>
  <w:style w:type="character" w:customStyle="1" w:styleId="392">
    <w:name w:val="fontstyle01"/>
    <w:qFormat/>
    <w:uiPriority w:val="0"/>
    <w:rPr>
      <w:rFonts w:hint="eastAsia" w:ascii="宋体" w:hAnsi="宋体" w:eastAsia="宋体"/>
      <w:color w:val="000000"/>
      <w:sz w:val="44"/>
      <w:szCs w:val="44"/>
    </w:rPr>
  </w:style>
  <w:style w:type="character" w:customStyle="1" w:styleId="393">
    <w:name w:val="bookmark-item"/>
    <w:basedOn w:val="71"/>
    <w:qFormat/>
    <w:uiPriority w:val="0"/>
  </w:style>
  <w:style w:type="character" w:customStyle="1" w:styleId="394">
    <w:name w:val="Body Text Indent Char Char"/>
    <w:basedOn w:val="71"/>
    <w:link w:val="395"/>
    <w:qFormat/>
    <w:uiPriority w:val="0"/>
  </w:style>
  <w:style w:type="paragraph" w:customStyle="1" w:styleId="395">
    <w:name w:val="正文文本缩进1"/>
    <w:basedOn w:val="1"/>
    <w:link w:val="394"/>
    <w:qFormat/>
    <w:uiPriority w:val="0"/>
    <w:pPr>
      <w:spacing w:line="200" w:lineRule="exact"/>
      <w:ind w:firstLine="301"/>
    </w:pPr>
    <w:rPr>
      <w:rFonts w:ascii="Times New Roman" w:hAnsi="Times New Roman" w:eastAsia="宋体" w:cs="Times New Roman"/>
      <w:kern w:val="0"/>
      <w:sz w:val="20"/>
      <w:szCs w:val="20"/>
    </w:rPr>
  </w:style>
  <w:style w:type="paragraph" w:customStyle="1" w:styleId="396">
    <w:name w:val="段"/>
    <w:link w:val="4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styleId="397">
    <w:name w:val="Placeholder Text"/>
    <w:basedOn w:val="71"/>
    <w:qFormat/>
    <w:uiPriority w:val="99"/>
    <w:rPr>
      <w:color w:val="808080"/>
    </w:rPr>
  </w:style>
  <w:style w:type="paragraph" w:customStyle="1" w:styleId="398">
    <w:name w:val="Char Char1"/>
    <w:basedOn w:val="1"/>
    <w:qFormat/>
    <w:uiPriority w:val="0"/>
    <w:pPr>
      <w:spacing w:line="360" w:lineRule="auto"/>
      <w:ind w:firstLine="200" w:firstLineChars="200"/>
    </w:pPr>
    <w:rPr>
      <w:rFonts w:ascii="宋体" w:hAnsi="宋体" w:eastAsia="宋体" w:cs="宋体"/>
      <w:sz w:val="24"/>
      <w:szCs w:val="24"/>
    </w:rPr>
  </w:style>
  <w:style w:type="paragraph" w:customStyle="1" w:styleId="399">
    <w:name w:val="4需求"/>
    <w:next w:val="1"/>
    <w:link w:val="401"/>
    <w:qFormat/>
    <w:uiPriority w:val="0"/>
    <w:pPr>
      <w:numPr>
        <w:ilvl w:val="3"/>
        <w:numId w:val="5"/>
      </w:numPr>
    </w:pPr>
    <w:rPr>
      <w:rFonts w:ascii="宋体" w:hAnsi="Calibri" w:eastAsia="宋体" w:cs="宋体"/>
      <w:b/>
      <w:bCs/>
      <w:kern w:val="2"/>
      <w:sz w:val="21"/>
      <w:szCs w:val="22"/>
      <w:lang w:val="en-US" w:eastAsia="zh-CN" w:bidi="ar-SA"/>
    </w:rPr>
  </w:style>
  <w:style w:type="paragraph" w:customStyle="1" w:styleId="400">
    <w:name w:val="3需求"/>
    <w:next w:val="399"/>
    <w:link w:val="403"/>
    <w:qFormat/>
    <w:uiPriority w:val="0"/>
    <w:pPr>
      <w:numPr>
        <w:ilvl w:val="2"/>
        <w:numId w:val="5"/>
      </w:numPr>
      <w:snapToGrid w:val="0"/>
      <w:spacing w:beforeLines="50"/>
    </w:pPr>
    <w:rPr>
      <w:rFonts w:ascii="宋体" w:hAnsi="Calibri" w:eastAsia="宋体" w:cs="宋体"/>
      <w:b/>
      <w:bCs/>
      <w:kern w:val="2"/>
      <w:sz w:val="24"/>
      <w:szCs w:val="22"/>
      <w:lang w:val="en-US" w:eastAsia="zh-CN" w:bidi="ar-SA"/>
    </w:rPr>
  </w:style>
  <w:style w:type="character" w:customStyle="1" w:styleId="401">
    <w:name w:val="4需求 字符"/>
    <w:basedOn w:val="71"/>
    <w:link w:val="399"/>
    <w:qFormat/>
    <w:uiPriority w:val="0"/>
    <w:rPr>
      <w:rFonts w:ascii="宋体" w:hAnsi="Calibri" w:cs="宋体"/>
      <w:b/>
      <w:bCs/>
      <w:kern w:val="2"/>
      <w:sz w:val="21"/>
      <w:szCs w:val="22"/>
    </w:rPr>
  </w:style>
  <w:style w:type="paragraph" w:customStyle="1" w:styleId="402">
    <w:name w:val="2需求"/>
    <w:next w:val="1"/>
    <w:link w:val="405"/>
    <w:qFormat/>
    <w:uiPriority w:val="0"/>
    <w:pPr>
      <w:numPr>
        <w:ilvl w:val="1"/>
        <w:numId w:val="5"/>
      </w:numPr>
      <w:snapToGrid w:val="0"/>
      <w:spacing w:beforeLines="50"/>
    </w:pPr>
    <w:rPr>
      <w:rFonts w:ascii="宋体" w:hAnsi="Calibri" w:eastAsia="宋体" w:cs="宋体"/>
      <w:b/>
      <w:bCs/>
      <w:kern w:val="2"/>
      <w:sz w:val="24"/>
      <w:szCs w:val="22"/>
      <w:lang w:val="en-US" w:eastAsia="zh-CN" w:bidi="ar-SA"/>
    </w:rPr>
  </w:style>
  <w:style w:type="character" w:customStyle="1" w:styleId="403">
    <w:name w:val="3需求 字符"/>
    <w:basedOn w:val="71"/>
    <w:link w:val="400"/>
    <w:qFormat/>
    <w:uiPriority w:val="0"/>
    <w:rPr>
      <w:rFonts w:ascii="宋体" w:hAnsi="Calibri" w:cs="宋体"/>
      <w:b/>
      <w:bCs/>
      <w:kern w:val="2"/>
      <w:sz w:val="24"/>
      <w:szCs w:val="22"/>
    </w:rPr>
  </w:style>
  <w:style w:type="paragraph" w:customStyle="1" w:styleId="404">
    <w:name w:val="1需求"/>
    <w:next w:val="1"/>
    <w:link w:val="406"/>
    <w:qFormat/>
    <w:uiPriority w:val="0"/>
    <w:pPr>
      <w:numPr>
        <w:ilvl w:val="0"/>
        <w:numId w:val="5"/>
      </w:numPr>
      <w:snapToGrid w:val="0"/>
      <w:spacing w:beforeLines="50"/>
    </w:pPr>
    <w:rPr>
      <w:rFonts w:ascii="宋体" w:hAnsi="Calibri" w:eastAsia="宋体" w:cs="宋体"/>
      <w:b/>
      <w:bCs/>
      <w:kern w:val="2"/>
      <w:sz w:val="28"/>
      <w:szCs w:val="22"/>
      <w:lang w:val="en-US" w:eastAsia="zh-CN" w:bidi="ar-SA"/>
    </w:rPr>
  </w:style>
  <w:style w:type="character" w:customStyle="1" w:styleId="405">
    <w:name w:val="2需求 字符"/>
    <w:basedOn w:val="71"/>
    <w:link w:val="402"/>
    <w:qFormat/>
    <w:uiPriority w:val="0"/>
    <w:rPr>
      <w:rFonts w:ascii="宋体" w:hAnsi="Calibri" w:cs="宋体"/>
      <w:b/>
      <w:bCs/>
      <w:kern w:val="2"/>
      <w:sz w:val="24"/>
      <w:szCs w:val="22"/>
    </w:rPr>
  </w:style>
  <w:style w:type="character" w:customStyle="1" w:styleId="406">
    <w:name w:val="1需求 字符"/>
    <w:basedOn w:val="71"/>
    <w:link w:val="404"/>
    <w:qFormat/>
    <w:uiPriority w:val="0"/>
    <w:rPr>
      <w:rFonts w:ascii="宋体" w:hAnsi="Calibri" w:cs="宋体"/>
      <w:b/>
      <w:bCs/>
      <w:kern w:val="2"/>
      <w:sz w:val="28"/>
      <w:szCs w:val="22"/>
    </w:rPr>
  </w:style>
  <w:style w:type="paragraph" w:customStyle="1" w:styleId="407">
    <w:name w:val="国普正文"/>
    <w:basedOn w:val="1"/>
    <w:qFormat/>
    <w:uiPriority w:val="0"/>
    <w:pPr>
      <w:spacing w:line="360" w:lineRule="auto"/>
      <w:ind w:firstLine="600" w:firstLineChars="200"/>
    </w:pPr>
    <w:rPr>
      <w:rFonts w:ascii="仿宋_GB2312" w:hAnsi="Calibri" w:eastAsia="仿宋_GB2312" w:cs="Times New Roman"/>
      <w:sz w:val="30"/>
      <w:szCs w:val="30"/>
    </w:rPr>
  </w:style>
  <w:style w:type="character" w:customStyle="1" w:styleId="408">
    <w:name w:val="批注框文本 字符1"/>
    <w:qFormat/>
    <w:uiPriority w:val="0"/>
    <w:rPr>
      <w:rFonts w:ascii="Times New Roman" w:hAnsi="Times New Roman" w:eastAsia="宋体" w:cs="Times New Roman"/>
      <w:sz w:val="18"/>
      <w:szCs w:val="18"/>
    </w:rPr>
  </w:style>
  <w:style w:type="character" w:customStyle="1" w:styleId="409">
    <w:name w:val="页眉 字符1"/>
    <w:qFormat/>
    <w:uiPriority w:val="99"/>
    <w:rPr>
      <w:rFonts w:ascii="Times New Roman" w:hAnsi="Times New Roman" w:eastAsia="宋体" w:cs="Times New Roman"/>
      <w:sz w:val="18"/>
      <w:szCs w:val="18"/>
    </w:rPr>
  </w:style>
  <w:style w:type="character" w:customStyle="1" w:styleId="410">
    <w:name w:val="v0066991"/>
    <w:qFormat/>
    <w:uiPriority w:val="0"/>
    <w:rPr>
      <w:rFonts w:ascii="Arial" w:hAnsi="Arial" w:eastAsia="宋体" w:cs="Times New Roman"/>
      <w:color w:val="000000"/>
      <w:sz w:val="26"/>
      <w:u w:val="none"/>
    </w:rPr>
  </w:style>
  <w:style w:type="character" w:customStyle="1" w:styleId="411">
    <w:name w:val="正文2 Char"/>
    <w:link w:val="173"/>
    <w:qFormat/>
    <w:uiPriority w:val="0"/>
    <w:rPr>
      <w:kern w:val="2"/>
      <w:sz w:val="24"/>
    </w:rPr>
  </w:style>
  <w:style w:type="character" w:customStyle="1" w:styleId="412">
    <w:name w:val="Char Char7"/>
    <w:qFormat/>
    <w:uiPriority w:val="0"/>
    <w:rPr>
      <w:rFonts w:ascii="Cambria" w:hAnsi="Cambria" w:eastAsia="仿宋_GB2312" w:cs="Times New Roman"/>
      <w:b/>
      <w:kern w:val="2"/>
      <w:sz w:val="28"/>
    </w:rPr>
  </w:style>
  <w:style w:type="character" w:customStyle="1" w:styleId="413">
    <w:name w:val="Subtle Reference1"/>
    <w:qFormat/>
    <w:uiPriority w:val="0"/>
    <w:rPr>
      <w:rFonts w:ascii="Calibri" w:hAnsi="Calibri" w:eastAsia="宋体" w:cs="Times New Roman"/>
      <w:smallCaps/>
      <w:color w:val="C0504D"/>
      <w:u w:val="single"/>
    </w:rPr>
  </w:style>
  <w:style w:type="character" w:customStyle="1" w:styleId="414">
    <w:name w:val="正文首行缩进 Char"/>
    <w:qFormat/>
    <w:uiPriority w:val="0"/>
    <w:rPr>
      <w:rFonts w:ascii="Times New Roman" w:hAnsi="Times New Roman" w:eastAsia="仿宋_GB2312" w:cs="Times New Roman"/>
      <w:kern w:val="2"/>
      <w:sz w:val="21"/>
      <w:szCs w:val="24"/>
    </w:rPr>
  </w:style>
  <w:style w:type="character" w:customStyle="1" w:styleId="415">
    <w:name w:val="段 Char"/>
    <w:link w:val="396"/>
    <w:qFormat/>
    <w:uiPriority w:val="0"/>
    <w:rPr>
      <w:rFonts w:ascii="宋体"/>
      <w:sz w:val="21"/>
    </w:rPr>
  </w:style>
  <w:style w:type="character" w:customStyle="1" w:styleId="416">
    <w:name w:val="样式1 Char Char"/>
    <w:link w:val="150"/>
    <w:qFormat/>
    <w:uiPriority w:val="0"/>
    <w:rPr>
      <w:rFonts w:ascii="Calibri" w:hAnsi="Calibri"/>
      <w:b/>
      <w:i/>
      <w:sz w:val="24"/>
      <w:szCs w:val="21"/>
      <w:u w:val="thick"/>
    </w:rPr>
  </w:style>
  <w:style w:type="character" w:customStyle="1" w:styleId="417">
    <w:name w:val="17"/>
    <w:qFormat/>
    <w:uiPriority w:val="0"/>
    <w:rPr>
      <w:rFonts w:hint="default" w:ascii="Calibri" w:hAnsi="Calibri" w:eastAsia="宋体" w:cs="Times New Roman"/>
      <w:sz w:val="21"/>
      <w:szCs w:val="21"/>
    </w:rPr>
  </w:style>
  <w:style w:type="character" w:customStyle="1" w:styleId="418">
    <w:name w:val="标题 6 Char1"/>
    <w:qFormat/>
    <w:uiPriority w:val="0"/>
    <w:rPr>
      <w:rFonts w:ascii="Arial" w:hAnsi="Arial" w:eastAsia="黑体" w:cs="Times New Roman"/>
      <w:b/>
      <w:kern w:val="2"/>
      <w:sz w:val="24"/>
    </w:rPr>
  </w:style>
  <w:style w:type="character" w:customStyle="1" w:styleId="419">
    <w:name w:val="自定义正文 Char Char"/>
    <w:qFormat/>
    <w:uiPriority w:val="0"/>
    <w:rPr>
      <w:rFonts w:ascii="Calibri" w:hAnsi="Calibri" w:eastAsia="宋体" w:cs="Times New Roman"/>
      <w:sz w:val="24"/>
    </w:rPr>
  </w:style>
  <w:style w:type="character" w:customStyle="1" w:styleId="420">
    <w:name w:val="正文文本 Char3"/>
    <w:qFormat/>
    <w:uiPriority w:val="0"/>
    <w:rPr>
      <w:rFonts w:ascii="Times New Roman" w:hAnsi="Times New Roman" w:eastAsia="宋体" w:cs="Times New Roman"/>
      <w:sz w:val="20"/>
      <w:szCs w:val="20"/>
    </w:rPr>
  </w:style>
  <w:style w:type="character" w:customStyle="1" w:styleId="421">
    <w:name w:val="标题 2 Char1"/>
    <w:qFormat/>
    <w:uiPriority w:val="0"/>
    <w:rPr>
      <w:rFonts w:ascii="仿宋_GB2312" w:hAnsi="Calibri" w:eastAsia="仿宋_GB2312" w:cs="Times New Roman"/>
      <w:sz w:val="28"/>
    </w:rPr>
  </w:style>
  <w:style w:type="character" w:customStyle="1" w:styleId="422">
    <w:name w:val="批注引用111"/>
    <w:qFormat/>
    <w:uiPriority w:val="0"/>
    <w:rPr>
      <w:rFonts w:ascii="Calibri" w:hAnsi="Calibri" w:eastAsia="宋体" w:cs="Times New Roman"/>
      <w:sz w:val="21"/>
      <w:szCs w:val="21"/>
    </w:rPr>
  </w:style>
  <w:style w:type="character" w:customStyle="1" w:styleId="423">
    <w:name w:val="blue"/>
    <w:qFormat/>
    <w:uiPriority w:val="0"/>
    <w:rPr>
      <w:rFonts w:ascii="Calibri" w:hAnsi="Calibri" w:eastAsia="宋体" w:cs="Times New Roman"/>
    </w:rPr>
  </w:style>
  <w:style w:type="character" w:customStyle="1" w:styleId="424">
    <w:name w:val="段 Char Char"/>
    <w:qFormat/>
    <w:uiPriority w:val="0"/>
    <w:rPr>
      <w:rFonts w:ascii="宋体" w:hAnsi="Calibri" w:eastAsia="宋体" w:cs="Times New Roman"/>
      <w:lang w:val="en-US" w:eastAsia="zh-CN"/>
    </w:rPr>
  </w:style>
  <w:style w:type="character" w:customStyle="1" w:styleId="425">
    <w:name w:val="标题3 Char"/>
    <w:link w:val="426"/>
    <w:qFormat/>
    <w:uiPriority w:val="0"/>
    <w:rPr>
      <w:rFonts w:ascii="宋体" w:hAnsi="宋体" w:eastAsia="华文中宋" w:cs="Arial"/>
      <w:b/>
      <w:sz w:val="24"/>
      <w:szCs w:val="24"/>
    </w:rPr>
  </w:style>
  <w:style w:type="paragraph" w:customStyle="1" w:styleId="426">
    <w:name w:val="标题3"/>
    <w:basedOn w:val="1"/>
    <w:next w:val="1"/>
    <w:link w:val="425"/>
    <w:qFormat/>
    <w:uiPriority w:val="0"/>
    <w:pPr>
      <w:widowControl/>
      <w:jc w:val="left"/>
    </w:pPr>
    <w:rPr>
      <w:rFonts w:ascii="宋体" w:hAnsi="宋体" w:eastAsia="华文中宋" w:cs="Arial"/>
      <w:b/>
      <w:kern w:val="0"/>
      <w:sz w:val="24"/>
      <w:szCs w:val="24"/>
    </w:rPr>
  </w:style>
  <w:style w:type="character" w:customStyle="1" w:styleId="427">
    <w:name w:val="style17"/>
    <w:qFormat/>
    <w:uiPriority w:val="0"/>
    <w:rPr>
      <w:rFonts w:ascii="Calibri" w:hAnsi="Calibri" w:eastAsia="宋体" w:cs="Times New Roman"/>
    </w:rPr>
  </w:style>
  <w:style w:type="character" w:customStyle="1" w:styleId="428">
    <w:name w:val="g1"/>
    <w:qFormat/>
    <w:uiPriority w:val="0"/>
    <w:rPr>
      <w:rFonts w:ascii="Calibri" w:hAnsi="Calibri" w:eastAsia="宋体" w:cs="Times New Roman"/>
      <w:color w:val="008000"/>
    </w:rPr>
  </w:style>
  <w:style w:type="character" w:customStyle="1" w:styleId="429">
    <w:name w:val="Char Char9"/>
    <w:qFormat/>
    <w:uiPriority w:val="0"/>
    <w:rPr>
      <w:rFonts w:ascii="Calibri" w:hAnsi="Calibri" w:eastAsia="宋体" w:cs="Times New Roman"/>
      <w:b/>
      <w:kern w:val="44"/>
      <w:sz w:val="44"/>
    </w:rPr>
  </w:style>
  <w:style w:type="character" w:customStyle="1" w:styleId="430">
    <w:name w:val="页脚 Char3"/>
    <w:qFormat/>
    <w:uiPriority w:val="0"/>
    <w:rPr>
      <w:rFonts w:ascii="Times New Roman" w:hAnsi="Times New Roman" w:eastAsia="宋体" w:cs="Times New Roman"/>
      <w:sz w:val="20"/>
      <w:szCs w:val="20"/>
    </w:rPr>
  </w:style>
  <w:style w:type="character" w:customStyle="1" w:styleId="431">
    <w:name w:val="称呼 Char"/>
    <w:qFormat/>
    <w:uiPriority w:val="0"/>
    <w:rPr>
      <w:rFonts w:ascii="Times New Roman" w:hAnsi="Times New Roman" w:eastAsia="宋体" w:cs="Times New Roman"/>
      <w:kern w:val="2"/>
      <w:sz w:val="21"/>
      <w:szCs w:val="24"/>
    </w:rPr>
  </w:style>
  <w:style w:type="character" w:customStyle="1" w:styleId="432">
    <w:name w:val="●一级符号home Char Char1"/>
    <w:link w:val="433"/>
    <w:qFormat/>
    <w:uiPriority w:val="0"/>
    <w:rPr>
      <w:rFonts w:ascii="Verdana" w:hAnsi="Verdana"/>
      <w:sz w:val="21"/>
      <w:lang w:val="zh-CN"/>
    </w:rPr>
  </w:style>
  <w:style w:type="paragraph" w:customStyle="1" w:styleId="433">
    <w:name w:val="●一级符号home"/>
    <w:basedOn w:val="1"/>
    <w:link w:val="432"/>
    <w:qFormat/>
    <w:uiPriority w:val="0"/>
    <w:pPr>
      <w:tabs>
        <w:tab w:val="left" w:pos="901"/>
      </w:tabs>
      <w:spacing w:line="360" w:lineRule="auto"/>
    </w:pPr>
    <w:rPr>
      <w:rFonts w:ascii="Verdana" w:hAnsi="Verdana" w:eastAsia="宋体" w:cs="Times New Roman"/>
      <w:kern w:val="0"/>
      <w:szCs w:val="20"/>
      <w:lang w:val="zh-CN"/>
    </w:rPr>
  </w:style>
  <w:style w:type="character" w:customStyle="1" w:styleId="434">
    <w:name w:val="15"/>
    <w:qFormat/>
    <w:uiPriority w:val="0"/>
    <w:rPr>
      <w:rFonts w:hint="default" w:ascii="Calibri" w:hAnsi="Calibri" w:eastAsia="宋体" w:cs="Times New Roman"/>
      <w:sz w:val="18"/>
      <w:szCs w:val="18"/>
    </w:rPr>
  </w:style>
  <w:style w:type="character" w:customStyle="1" w:styleId="435">
    <w:name w:val="font81"/>
    <w:qFormat/>
    <w:uiPriority w:val="0"/>
    <w:rPr>
      <w:rFonts w:hint="default" w:ascii="Times New Roman" w:hAnsi="Times New Roman" w:eastAsia="宋体" w:cs="Times New Roman"/>
      <w:color w:val="000000"/>
      <w:sz w:val="18"/>
      <w:szCs w:val="18"/>
      <w:u w:val="none"/>
    </w:rPr>
  </w:style>
  <w:style w:type="character" w:customStyle="1" w:styleId="436">
    <w:name w:val="16"/>
    <w:qFormat/>
    <w:uiPriority w:val="0"/>
    <w:rPr>
      <w:rFonts w:hint="default" w:ascii="Calibri" w:hAnsi="Calibri" w:eastAsia="宋体" w:cs="Times New Roman"/>
      <w:sz w:val="21"/>
      <w:szCs w:val="21"/>
    </w:rPr>
  </w:style>
  <w:style w:type="character" w:customStyle="1" w:styleId="437">
    <w:name w:val="lf3"/>
    <w:qFormat/>
    <w:uiPriority w:val="0"/>
    <w:rPr>
      <w:rFonts w:ascii="Calibri" w:hAnsi="Calibri" w:eastAsia="宋体" w:cs="Times New Roman"/>
    </w:rPr>
  </w:style>
  <w:style w:type="character" w:customStyle="1" w:styleId="438">
    <w:name w:val="正文文本缩进 Char2"/>
    <w:qFormat/>
    <w:uiPriority w:val="0"/>
    <w:rPr>
      <w:rFonts w:ascii="Calibri" w:hAnsi="Calibri" w:eastAsia="宋体" w:cs="Times New Roman"/>
      <w:kern w:val="2"/>
      <w:sz w:val="21"/>
    </w:rPr>
  </w:style>
  <w:style w:type="character" w:customStyle="1" w:styleId="439">
    <w:name w:val="自定义正文 Char"/>
    <w:link w:val="440"/>
    <w:qFormat/>
    <w:uiPriority w:val="0"/>
    <w:rPr>
      <w:kern w:val="2"/>
      <w:sz w:val="24"/>
    </w:rPr>
  </w:style>
  <w:style w:type="paragraph" w:customStyle="1" w:styleId="440">
    <w:name w:val="自定义正文"/>
    <w:basedOn w:val="1"/>
    <w:link w:val="439"/>
    <w:qFormat/>
    <w:uiPriority w:val="0"/>
    <w:pPr>
      <w:spacing w:afterLines="50" w:line="360" w:lineRule="auto"/>
      <w:ind w:firstLine="200" w:firstLineChars="200"/>
      <w:jc w:val="left"/>
    </w:pPr>
    <w:rPr>
      <w:rFonts w:ascii="Times New Roman" w:hAnsi="Times New Roman" w:eastAsia="宋体" w:cs="Times New Roman"/>
      <w:sz w:val="24"/>
      <w:szCs w:val="20"/>
    </w:rPr>
  </w:style>
  <w:style w:type="character" w:customStyle="1" w:styleId="441">
    <w:name w:val="样式 黑体 二号"/>
    <w:qFormat/>
    <w:uiPriority w:val="0"/>
    <w:rPr>
      <w:rFonts w:ascii="Arial" w:hAnsi="Arial" w:eastAsia="黑体" w:cs="Times New Roman"/>
      <w:sz w:val="44"/>
    </w:rPr>
  </w:style>
  <w:style w:type="character" w:customStyle="1" w:styleId="442">
    <w:name w:val="标题 Char1"/>
    <w:qFormat/>
    <w:uiPriority w:val="0"/>
    <w:rPr>
      <w:rFonts w:ascii="Calibri" w:hAnsi="Calibri" w:eastAsia="黑体" w:cs="Times New Roman"/>
      <w:b/>
      <w:sz w:val="28"/>
    </w:rPr>
  </w:style>
  <w:style w:type="character" w:customStyle="1" w:styleId="443">
    <w:name w:val="textfont"/>
    <w:qFormat/>
    <w:uiPriority w:val="0"/>
    <w:rPr>
      <w:rFonts w:ascii="Calibri" w:hAnsi="Calibri" w:eastAsia="宋体" w:cs="Times New Roman"/>
    </w:rPr>
  </w:style>
  <w:style w:type="character" w:customStyle="1" w:styleId="444">
    <w:name w:val="r13"/>
    <w:qFormat/>
    <w:uiPriority w:val="0"/>
    <w:rPr>
      <w:rFonts w:ascii="Calibri" w:hAnsi="Calibri" w:eastAsia="宋体" w:cs="Times New Roman"/>
    </w:rPr>
  </w:style>
  <w:style w:type="character" w:customStyle="1" w:styleId="445">
    <w:name w:val="副标题 Char"/>
    <w:qFormat/>
    <w:uiPriority w:val="0"/>
    <w:rPr>
      <w:rFonts w:ascii="Cambria" w:hAnsi="Cambria" w:eastAsia="宋体" w:cs="Times New Roman"/>
      <w:b/>
      <w:bCs/>
      <w:kern w:val="28"/>
      <w:sz w:val="32"/>
      <w:szCs w:val="32"/>
    </w:rPr>
  </w:style>
  <w:style w:type="character" w:customStyle="1" w:styleId="446">
    <w:name w:val="style15"/>
    <w:qFormat/>
    <w:uiPriority w:val="0"/>
    <w:rPr>
      <w:rFonts w:ascii="Calibri" w:hAnsi="Calibri" w:eastAsia="宋体" w:cs="Times New Roman"/>
    </w:rPr>
  </w:style>
  <w:style w:type="character" w:customStyle="1" w:styleId="447">
    <w:name w:val="页眉 Char2"/>
    <w:qFormat/>
    <w:uiPriority w:val="0"/>
    <w:rPr>
      <w:rFonts w:ascii="Calibri" w:hAnsi="Calibri" w:eastAsia="宋体" w:cs="Times New Roman"/>
      <w:kern w:val="2"/>
      <w:sz w:val="18"/>
    </w:rPr>
  </w:style>
  <w:style w:type="character" w:customStyle="1" w:styleId="448">
    <w:name w:val="headline-content2"/>
    <w:qFormat/>
    <w:uiPriority w:val="0"/>
    <w:rPr>
      <w:rFonts w:ascii="Calibri" w:hAnsi="Calibri" w:eastAsia="宋体" w:cs="Times New Roman"/>
    </w:rPr>
  </w:style>
  <w:style w:type="character" w:customStyle="1" w:styleId="449">
    <w:name w:val="paramname"/>
    <w:qFormat/>
    <w:uiPriority w:val="0"/>
    <w:rPr>
      <w:rFonts w:ascii="Calibri" w:hAnsi="Calibri" w:eastAsia="宋体" w:cs="Times New Roman"/>
    </w:rPr>
  </w:style>
  <w:style w:type="character" w:customStyle="1" w:styleId="450">
    <w:name w:val="页眉 Char Char"/>
    <w:qFormat/>
    <w:uiPriority w:val="0"/>
    <w:rPr>
      <w:rFonts w:ascii="Calibri" w:hAnsi="Calibri" w:eastAsia="宋体" w:cs="Times New Roman"/>
      <w:kern w:val="2"/>
      <w:sz w:val="18"/>
      <w:lang w:val="en-US" w:eastAsia="zh-CN"/>
    </w:rPr>
  </w:style>
  <w:style w:type="character" w:customStyle="1" w:styleId="451">
    <w:name w:val="正文2 Char Char"/>
    <w:qFormat/>
    <w:uiPriority w:val="0"/>
    <w:rPr>
      <w:rFonts w:ascii="Calibri" w:hAnsi="Calibri" w:eastAsia="宋体" w:cs="Times New Roman"/>
      <w:sz w:val="24"/>
    </w:rPr>
  </w:style>
  <w:style w:type="character" w:customStyle="1" w:styleId="452">
    <w:name w:val="正文首行缩进 Char2"/>
    <w:qFormat/>
    <w:uiPriority w:val="0"/>
    <w:rPr>
      <w:rFonts w:ascii="Calibri" w:hAnsi="Calibri" w:eastAsia="宋体" w:cs="Times New Roman"/>
    </w:rPr>
  </w:style>
  <w:style w:type="paragraph" w:customStyle="1" w:styleId="453">
    <w:name w:val="z-Bottom of Form1"/>
    <w:basedOn w:val="1"/>
    <w:next w:val="1"/>
    <w:qFormat/>
    <w:uiPriority w:val="0"/>
    <w:pPr>
      <w:widowControl/>
      <w:pBdr>
        <w:top w:val="single" w:color="auto" w:sz="6" w:space="1"/>
      </w:pBdr>
      <w:jc w:val="center"/>
    </w:pPr>
    <w:rPr>
      <w:rFonts w:ascii="Arial" w:hAnsi="Arial" w:eastAsia="宋体" w:cs="Times New Roman"/>
      <w:vanish/>
      <w:kern w:val="0"/>
      <w:sz w:val="16"/>
      <w:szCs w:val="16"/>
    </w:rPr>
  </w:style>
  <w:style w:type="character" w:customStyle="1" w:styleId="454">
    <w:name w:val="批注引用10"/>
    <w:qFormat/>
    <w:uiPriority w:val="0"/>
    <w:rPr>
      <w:rFonts w:ascii="Calibri" w:hAnsi="Calibri" w:eastAsia="宋体" w:cs="Times New Roman"/>
      <w:sz w:val="21"/>
    </w:rPr>
  </w:style>
  <w:style w:type="character" w:customStyle="1" w:styleId="455">
    <w:name w:val="EmailStyle30"/>
    <w:qFormat/>
    <w:uiPriority w:val="0"/>
    <w:rPr>
      <w:rFonts w:ascii="Calibri" w:hAnsi="Calibri" w:eastAsia="宋体" w:cs="Times New Roman"/>
      <w:color w:val="000000"/>
    </w:rPr>
  </w:style>
  <w:style w:type="character" w:customStyle="1" w:styleId="456">
    <w:name w:val="批注引用5"/>
    <w:qFormat/>
    <w:uiPriority w:val="0"/>
    <w:rPr>
      <w:rFonts w:ascii="Calibri" w:hAnsi="Calibri" w:eastAsia="宋体" w:cs="Times New Roman"/>
      <w:sz w:val="21"/>
    </w:rPr>
  </w:style>
  <w:style w:type="character" w:customStyle="1" w:styleId="457">
    <w:name w:val="apple-style-span"/>
    <w:qFormat/>
    <w:uiPriority w:val="0"/>
    <w:rPr>
      <w:rFonts w:ascii="Calibri" w:hAnsi="Calibri" w:eastAsia="宋体" w:cs="Times New Roman"/>
    </w:rPr>
  </w:style>
  <w:style w:type="character" w:customStyle="1" w:styleId="458">
    <w:name w:val="无 A"/>
    <w:qFormat/>
    <w:uiPriority w:val="0"/>
    <w:rPr>
      <w:rFonts w:ascii="Calibri" w:hAnsi="Calibri" w:eastAsia="宋体" w:cs="Times New Roman"/>
      <w:lang w:val="en-US"/>
    </w:rPr>
  </w:style>
  <w:style w:type="character" w:customStyle="1" w:styleId="459">
    <w:name w:val="custbt1"/>
    <w:qFormat/>
    <w:uiPriority w:val="0"/>
    <w:rPr>
      <w:rFonts w:ascii="Calibri" w:hAnsi="Calibri" w:eastAsia="宋体" w:cs="Times New Roman"/>
      <w:color w:val="0066CC"/>
      <w:sz w:val="20"/>
    </w:rPr>
  </w:style>
  <w:style w:type="character" w:customStyle="1" w:styleId="460">
    <w:name w:val="日期 Char2"/>
    <w:qFormat/>
    <w:uiPriority w:val="0"/>
    <w:rPr>
      <w:rFonts w:ascii="Calibri" w:hAnsi="Calibri" w:eastAsia="宋体" w:cs="Times New Roman"/>
      <w:kern w:val="2"/>
      <w:sz w:val="21"/>
    </w:rPr>
  </w:style>
  <w:style w:type="character" w:customStyle="1" w:styleId="461">
    <w:name w:val="批注引用6"/>
    <w:qFormat/>
    <w:uiPriority w:val="0"/>
    <w:rPr>
      <w:rFonts w:ascii="Calibri" w:hAnsi="Calibri" w:eastAsia="宋体" w:cs="Times New Roman"/>
      <w:sz w:val="21"/>
    </w:rPr>
  </w:style>
  <w:style w:type="character" w:customStyle="1" w:styleId="462">
    <w:name w:val="font71"/>
    <w:qFormat/>
    <w:uiPriority w:val="0"/>
    <w:rPr>
      <w:rFonts w:hint="default" w:ascii="Times New Roman" w:hAnsi="Times New Roman" w:eastAsia="楷体_GB2312" w:cs="Times New Roman"/>
      <w:sz w:val="28"/>
      <w:szCs w:val="24"/>
    </w:rPr>
  </w:style>
  <w:style w:type="character" w:customStyle="1" w:styleId="463">
    <w:name w:val="正文首缩两字 Char1"/>
    <w:link w:val="464"/>
    <w:qFormat/>
    <w:uiPriority w:val="0"/>
    <w:rPr>
      <w:rFonts w:ascii="Verdana" w:hAnsi="Verdana"/>
      <w:sz w:val="24"/>
    </w:rPr>
  </w:style>
  <w:style w:type="paragraph" w:customStyle="1" w:styleId="464">
    <w:name w:val="正文首缩两字"/>
    <w:basedOn w:val="1"/>
    <w:link w:val="463"/>
    <w:qFormat/>
    <w:uiPriority w:val="0"/>
    <w:pPr>
      <w:spacing w:line="360" w:lineRule="auto"/>
      <w:ind w:firstLine="200" w:firstLineChars="200"/>
    </w:pPr>
    <w:rPr>
      <w:rFonts w:ascii="Verdana" w:hAnsi="Verdana" w:eastAsia="宋体" w:cs="Times New Roman"/>
      <w:kern w:val="0"/>
      <w:sz w:val="24"/>
      <w:szCs w:val="20"/>
    </w:rPr>
  </w:style>
  <w:style w:type="character" w:customStyle="1" w:styleId="465">
    <w:name w:val="ss"/>
    <w:qFormat/>
    <w:uiPriority w:val="0"/>
    <w:rPr>
      <w:rFonts w:ascii="Calibri" w:hAnsi="Calibri" w:eastAsia="宋体" w:cs="Times New Roman"/>
    </w:rPr>
  </w:style>
  <w:style w:type="character" w:customStyle="1" w:styleId="466">
    <w:name w:val="Char Char6"/>
    <w:qFormat/>
    <w:uiPriority w:val="0"/>
    <w:rPr>
      <w:rFonts w:ascii="Calibri" w:hAnsi="Calibri" w:eastAsia="宋体" w:cs="Times New Roman"/>
      <w:sz w:val="24"/>
    </w:rPr>
  </w:style>
  <w:style w:type="character" w:customStyle="1" w:styleId="467">
    <w:name w:val="批注文字 Char2"/>
    <w:qFormat/>
    <w:uiPriority w:val="0"/>
    <w:rPr>
      <w:rFonts w:ascii="Calibri" w:hAnsi="Calibri" w:eastAsia="宋体" w:cs="Times New Roman"/>
      <w:kern w:val="2"/>
      <w:sz w:val="21"/>
    </w:rPr>
  </w:style>
  <w:style w:type="character" w:customStyle="1" w:styleId="468">
    <w:name w:val="font_8"/>
    <w:qFormat/>
    <w:uiPriority w:val="0"/>
    <w:rPr>
      <w:rFonts w:ascii="Calibri" w:hAnsi="Calibri" w:eastAsia="宋体" w:cs="Times New Roman"/>
    </w:rPr>
  </w:style>
  <w:style w:type="character" w:customStyle="1" w:styleId="469">
    <w:name w:val="批注主题 Char2"/>
    <w:qFormat/>
    <w:uiPriority w:val="0"/>
    <w:rPr>
      <w:rFonts w:ascii="Calibri" w:hAnsi="Calibri" w:eastAsia="宋体" w:cs="Times New Roman"/>
      <w:b/>
      <w:kern w:val="2"/>
      <w:sz w:val="21"/>
    </w:rPr>
  </w:style>
  <w:style w:type="character" w:customStyle="1" w:styleId="470">
    <w:name w:val="Char Char Char Char Char"/>
    <w:qFormat/>
    <w:uiPriority w:val="0"/>
    <w:rPr>
      <w:rFonts w:ascii="宋体" w:hAnsi="Courier New" w:cs="Times New Roman"/>
    </w:rPr>
  </w:style>
  <w:style w:type="character" w:customStyle="1" w:styleId="471">
    <w:name w:val="一级条标题 Char"/>
    <w:link w:val="472"/>
    <w:qFormat/>
    <w:uiPriority w:val="0"/>
    <w:rPr>
      <w:rFonts w:ascii="黑体" w:eastAsia="黑体"/>
      <w:sz w:val="21"/>
    </w:rPr>
  </w:style>
  <w:style w:type="paragraph" w:customStyle="1" w:styleId="472">
    <w:name w:val="一级条标题"/>
    <w:basedOn w:val="1"/>
    <w:next w:val="396"/>
    <w:link w:val="471"/>
    <w:qFormat/>
    <w:uiPriority w:val="0"/>
    <w:pPr>
      <w:widowControl/>
      <w:tabs>
        <w:tab w:val="left" w:pos="1200"/>
      </w:tabs>
      <w:ind w:left="1200" w:hanging="420"/>
      <w:outlineLvl w:val="2"/>
    </w:pPr>
    <w:rPr>
      <w:rFonts w:ascii="黑体" w:hAnsi="Times New Roman" w:eastAsia="黑体" w:cs="Times New Roman"/>
      <w:kern w:val="0"/>
      <w:szCs w:val="20"/>
    </w:rPr>
  </w:style>
  <w:style w:type="character" w:customStyle="1" w:styleId="473">
    <w:name w:val="标题 Char3"/>
    <w:qFormat/>
    <w:uiPriority w:val="0"/>
    <w:rPr>
      <w:rFonts w:ascii="Cambria" w:hAnsi="Cambria" w:eastAsia="宋体" w:cs="黑体"/>
      <w:b/>
      <w:bCs/>
      <w:sz w:val="32"/>
      <w:szCs w:val="32"/>
    </w:rPr>
  </w:style>
  <w:style w:type="character" w:customStyle="1" w:styleId="474">
    <w:name w:val="List Paragraph Char Char"/>
    <w:qFormat/>
    <w:locked/>
    <w:uiPriority w:val="0"/>
    <w:rPr>
      <w:rFonts w:ascii="宋体" w:hAnsi="宋体" w:cs="Times New Roman"/>
      <w:kern w:val="2"/>
      <w:sz w:val="21"/>
      <w:szCs w:val="24"/>
    </w:rPr>
  </w:style>
  <w:style w:type="character" w:customStyle="1" w:styleId="475">
    <w:name w:val="wz1"/>
    <w:qFormat/>
    <w:uiPriority w:val="0"/>
    <w:rPr>
      <w:rFonts w:ascii="Calibri" w:hAnsi="Calibri" w:eastAsia="宋体" w:cs="Times New Roman"/>
      <w:color w:val="5A5A5A"/>
      <w:sz w:val="18"/>
      <w:u w:val="none"/>
    </w:rPr>
  </w:style>
  <w:style w:type="character" w:customStyle="1" w:styleId="476">
    <w:name w:val="aa1"/>
    <w:qFormat/>
    <w:uiPriority w:val="0"/>
    <w:rPr>
      <w:rFonts w:ascii="Calibri" w:hAnsi="Calibri" w:eastAsia="宋体" w:cs="Times New Roman"/>
      <w:sz w:val="20"/>
      <w:u w:val="none"/>
    </w:rPr>
  </w:style>
  <w:style w:type="character" w:customStyle="1" w:styleId="477">
    <w:name w:val="style14"/>
    <w:qFormat/>
    <w:uiPriority w:val="0"/>
    <w:rPr>
      <w:rFonts w:ascii="Calibri" w:hAnsi="Calibri" w:eastAsia="宋体" w:cs="Times New Roman"/>
    </w:rPr>
  </w:style>
  <w:style w:type="character" w:customStyle="1" w:styleId="478">
    <w:name w:val="正文首行缩进 Char1"/>
    <w:qFormat/>
    <w:uiPriority w:val="0"/>
    <w:rPr>
      <w:rFonts w:ascii="Calibri" w:hAnsi="Calibri" w:eastAsia="宋体" w:cs="Times New Roman"/>
      <w:kern w:val="2"/>
      <w:sz w:val="22"/>
      <w:lang w:val="en-US" w:eastAsia="zh-CN"/>
    </w:rPr>
  </w:style>
  <w:style w:type="character" w:customStyle="1" w:styleId="479">
    <w:name w:val="正文文本 2 Char2"/>
    <w:qFormat/>
    <w:uiPriority w:val="0"/>
    <w:rPr>
      <w:rFonts w:ascii="Calibri" w:hAnsi="Calibri" w:eastAsia="宋体" w:cs="Times New Roman"/>
      <w:kern w:val="2"/>
      <w:sz w:val="21"/>
    </w:rPr>
  </w:style>
  <w:style w:type="paragraph" w:customStyle="1" w:styleId="480">
    <w:name w:val="z-Top of Form1"/>
    <w:basedOn w:val="1"/>
    <w:next w:val="1"/>
    <w:qFormat/>
    <w:uiPriority w:val="0"/>
    <w:pPr>
      <w:widowControl/>
      <w:pBdr>
        <w:bottom w:val="single" w:color="auto" w:sz="6" w:space="1"/>
      </w:pBdr>
      <w:jc w:val="center"/>
    </w:pPr>
    <w:rPr>
      <w:rFonts w:ascii="Arial" w:hAnsi="Arial" w:eastAsia="宋体" w:cs="Times New Roman"/>
      <w:vanish/>
      <w:kern w:val="0"/>
      <w:sz w:val="16"/>
      <w:szCs w:val="16"/>
    </w:rPr>
  </w:style>
  <w:style w:type="character" w:customStyle="1" w:styleId="481">
    <w:name w:val="Char Char5"/>
    <w:qFormat/>
    <w:uiPriority w:val="0"/>
    <w:rPr>
      <w:rFonts w:ascii="Calibri" w:hAnsi="Calibri" w:eastAsia="宋体" w:cs="Times New Roman"/>
      <w:sz w:val="18"/>
    </w:rPr>
  </w:style>
  <w:style w:type="character" w:customStyle="1" w:styleId="482">
    <w:name w:val="正文2 Char Char Char"/>
    <w:qFormat/>
    <w:uiPriority w:val="0"/>
    <w:rPr>
      <w:rFonts w:ascii="Calibri" w:hAnsi="Calibri" w:eastAsia="宋体" w:cs="Times New Roman"/>
      <w:kern w:val="2"/>
      <w:sz w:val="24"/>
      <w:lang w:val="en-US" w:eastAsia="zh-CN"/>
    </w:rPr>
  </w:style>
  <w:style w:type="character" w:customStyle="1" w:styleId="483">
    <w:name w:val="标题 1 Char1"/>
    <w:qFormat/>
    <w:uiPriority w:val="0"/>
    <w:rPr>
      <w:rFonts w:ascii="仿宋_GB2312" w:hAnsi="Calibri" w:eastAsia="仿宋_GB2312" w:cs="Times New Roman"/>
      <w:b/>
      <w:color w:val="000000"/>
      <w:kern w:val="2"/>
      <w:sz w:val="36"/>
    </w:rPr>
  </w:style>
  <w:style w:type="character" w:customStyle="1" w:styleId="484">
    <w:name w:val="批注引用4"/>
    <w:qFormat/>
    <w:uiPriority w:val="0"/>
    <w:rPr>
      <w:rFonts w:ascii="Calibri" w:hAnsi="Calibri" w:eastAsia="宋体" w:cs="Times New Roman"/>
      <w:sz w:val="21"/>
    </w:rPr>
  </w:style>
  <w:style w:type="character" w:customStyle="1" w:styleId="485">
    <w:name w:val="style141"/>
    <w:qFormat/>
    <w:uiPriority w:val="0"/>
    <w:rPr>
      <w:rFonts w:ascii="Calibri" w:hAnsi="Calibri" w:eastAsia="宋体" w:cs="Times New Roman"/>
    </w:rPr>
  </w:style>
  <w:style w:type="character" w:customStyle="1" w:styleId="486">
    <w:name w:val="文档结构图 Char2"/>
    <w:qFormat/>
    <w:uiPriority w:val="0"/>
    <w:rPr>
      <w:rFonts w:ascii="宋体" w:hAnsi="Calibri" w:eastAsia="宋体" w:cs="Times New Roman"/>
      <w:kern w:val="2"/>
      <w:sz w:val="18"/>
    </w:rPr>
  </w:style>
  <w:style w:type="character" w:customStyle="1" w:styleId="487">
    <w:name w:val="批注框文本 Char2"/>
    <w:qFormat/>
    <w:uiPriority w:val="0"/>
    <w:rPr>
      <w:rFonts w:ascii="Calibri" w:hAnsi="Calibri" w:eastAsia="宋体" w:cs="Times New Roman"/>
      <w:kern w:val="2"/>
      <w:sz w:val="18"/>
    </w:rPr>
  </w:style>
  <w:style w:type="character" w:customStyle="1" w:styleId="488">
    <w:name w:val="font61"/>
    <w:basedOn w:val="71"/>
    <w:qFormat/>
    <w:uiPriority w:val="0"/>
    <w:rPr>
      <w:rFonts w:ascii="Arial" w:hAnsi="Arial" w:eastAsia="宋体" w:cs="Arial"/>
      <w:color w:val="000000"/>
      <w:sz w:val="20"/>
      <w:szCs w:val="20"/>
      <w:u w:val="none"/>
    </w:rPr>
  </w:style>
  <w:style w:type="character" w:customStyle="1" w:styleId="489">
    <w:name w:val="fontblank12"/>
    <w:qFormat/>
    <w:uiPriority w:val="0"/>
    <w:rPr>
      <w:rFonts w:ascii="Calibri" w:hAnsi="Calibri" w:eastAsia="宋体" w:cs="Times New Roman"/>
    </w:rPr>
  </w:style>
  <w:style w:type="character" w:customStyle="1" w:styleId="490">
    <w:name w:val="标题 9 Char1"/>
    <w:qFormat/>
    <w:uiPriority w:val="0"/>
    <w:rPr>
      <w:rFonts w:ascii="Arial" w:hAnsi="Arial" w:eastAsia="黑体" w:cs="Times New Roman"/>
      <w:kern w:val="2"/>
      <w:sz w:val="21"/>
    </w:rPr>
  </w:style>
  <w:style w:type="character" w:customStyle="1" w:styleId="491">
    <w:name w:val="high-light-bg4"/>
    <w:qFormat/>
    <w:uiPriority w:val="0"/>
    <w:rPr>
      <w:rFonts w:ascii="Calibri" w:hAnsi="Calibri" w:eastAsia="宋体" w:cs="Times New Roman"/>
    </w:rPr>
  </w:style>
  <w:style w:type="character" w:customStyle="1" w:styleId="492">
    <w:name w:val="正文文本 3 Char2"/>
    <w:qFormat/>
    <w:uiPriority w:val="0"/>
    <w:rPr>
      <w:rFonts w:ascii="Calibri" w:hAnsi="Calibri" w:eastAsia="宋体" w:cs="Times New Roman"/>
      <w:kern w:val="2"/>
      <w:sz w:val="16"/>
    </w:rPr>
  </w:style>
  <w:style w:type="character" w:customStyle="1" w:styleId="493">
    <w:name w:val="正文缩进 Char1"/>
    <w:qFormat/>
    <w:uiPriority w:val="0"/>
    <w:rPr>
      <w:rFonts w:ascii="Calibri" w:hAnsi="Calibri" w:eastAsia="宋体" w:cs="Times New Roman"/>
      <w:kern w:val="2"/>
      <w:sz w:val="21"/>
    </w:rPr>
  </w:style>
  <w:style w:type="character" w:customStyle="1" w:styleId="494">
    <w:name w:val="批注引用1"/>
    <w:qFormat/>
    <w:uiPriority w:val="0"/>
    <w:rPr>
      <w:rFonts w:ascii="Calibri" w:hAnsi="Calibri" w:eastAsia="宋体" w:cs="Times New Roman"/>
      <w:sz w:val="21"/>
      <w:szCs w:val="21"/>
    </w:rPr>
  </w:style>
  <w:style w:type="character" w:customStyle="1" w:styleId="495">
    <w:name w:val="正文文本 2 Char"/>
    <w:qFormat/>
    <w:uiPriority w:val="0"/>
    <w:rPr>
      <w:rFonts w:ascii="Times New Roman" w:hAnsi="Times New Roman" w:eastAsia="宋体" w:cs="Times New Roman"/>
      <w:kern w:val="2"/>
      <w:sz w:val="21"/>
      <w:szCs w:val="24"/>
    </w:rPr>
  </w:style>
  <w:style w:type="character" w:customStyle="1" w:styleId="496">
    <w:name w:val="Table Text Char Char"/>
    <w:link w:val="497"/>
    <w:qFormat/>
    <w:uiPriority w:val="0"/>
    <w:rPr>
      <w:rFonts w:ascii="Arial" w:hAnsi="Arial"/>
      <w:sz w:val="18"/>
    </w:rPr>
  </w:style>
  <w:style w:type="paragraph" w:customStyle="1" w:styleId="497">
    <w:name w:val="Table Text"/>
    <w:link w:val="496"/>
    <w:qFormat/>
    <w:uiPriority w:val="0"/>
    <w:pPr>
      <w:snapToGrid w:val="0"/>
      <w:spacing w:before="80" w:after="80"/>
    </w:pPr>
    <w:rPr>
      <w:rFonts w:ascii="Arial" w:hAnsi="Arial" w:eastAsia="宋体" w:cs="Times New Roman"/>
      <w:sz w:val="18"/>
      <w:lang w:val="en-US" w:eastAsia="zh-CN" w:bidi="ar-SA"/>
    </w:rPr>
  </w:style>
  <w:style w:type="character" w:customStyle="1" w:styleId="498">
    <w:name w:val="批注文字 Char3"/>
    <w:qFormat/>
    <w:uiPriority w:val="0"/>
    <w:rPr>
      <w:rFonts w:ascii="Times New Roman" w:hAnsi="Times New Roman" w:eastAsia="宋体" w:cs="Times New Roman"/>
      <w:sz w:val="20"/>
      <w:szCs w:val="20"/>
    </w:rPr>
  </w:style>
  <w:style w:type="character" w:customStyle="1" w:styleId="499">
    <w:name w:val="普通文字 Char2"/>
    <w:qFormat/>
    <w:uiPriority w:val="0"/>
    <w:rPr>
      <w:rFonts w:ascii="宋体" w:hAnsi="Courier New" w:eastAsia="宋体" w:cs="Times New Roman"/>
      <w:kern w:val="2"/>
      <w:sz w:val="21"/>
      <w:lang w:val="en-US" w:eastAsia="zh-CN"/>
    </w:rPr>
  </w:style>
  <w:style w:type="character" w:customStyle="1" w:styleId="500">
    <w:name w:val="正文文本 3 Char"/>
    <w:qFormat/>
    <w:uiPriority w:val="0"/>
    <w:rPr>
      <w:rFonts w:ascii="Times New Roman" w:hAnsi="Times New Roman" w:eastAsia="宋体" w:cs="Times New Roman"/>
      <w:kern w:val="2"/>
      <w:sz w:val="16"/>
      <w:szCs w:val="16"/>
    </w:rPr>
  </w:style>
  <w:style w:type="character" w:customStyle="1" w:styleId="501">
    <w:name w:val="HTML 预设格式 Char"/>
    <w:qFormat/>
    <w:uiPriority w:val="0"/>
    <w:rPr>
      <w:rFonts w:ascii="Courier New" w:hAnsi="Courier New" w:eastAsia="宋体" w:cs="Courier New"/>
      <w:kern w:val="2"/>
    </w:rPr>
  </w:style>
  <w:style w:type="character" w:customStyle="1" w:styleId="502">
    <w:name w:val="页眉 Char1"/>
    <w:qFormat/>
    <w:uiPriority w:val="0"/>
    <w:rPr>
      <w:rFonts w:ascii="Calibri" w:hAnsi="Calibri" w:eastAsia="宋体" w:cs="Times New Roman"/>
      <w:kern w:val="2"/>
      <w:sz w:val="18"/>
    </w:rPr>
  </w:style>
  <w:style w:type="character" w:customStyle="1" w:styleId="503">
    <w:name w:val="标题 8 Char1"/>
    <w:qFormat/>
    <w:uiPriority w:val="0"/>
    <w:rPr>
      <w:rFonts w:ascii="Arial" w:hAnsi="Arial" w:eastAsia="黑体" w:cs="Times New Roman"/>
      <w:kern w:val="2"/>
      <w:sz w:val="24"/>
    </w:rPr>
  </w:style>
  <w:style w:type="character" w:customStyle="1" w:styleId="504">
    <w:name w:val="Char Char8"/>
    <w:qFormat/>
    <w:uiPriority w:val="0"/>
    <w:rPr>
      <w:rFonts w:ascii="Calibri" w:hAnsi="Calibri" w:eastAsia="仿宋_GB2312" w:cs="Times New Roman"/>
      <w:b/>
      <w:kern w:val="2"/>
      <w:sz w:val="32"/>
    </w:rPr>
  </w:style>
  <w:style w:type="character" w:customStyle="1" w:styleId="505">
    <w:name w:val="正文文本缩进 3 Char2"/>
    <w:qFormat/>
    <w:uiPriority w:val="0"/>
    <w:rPr>
      <w:rFonts w:ascii="Calibri" w:hAnsi="Calibri" w:eastAsia="宋体" w:cs="Times New Roman"/>
      <w:kern w:val="2"/>
      <w:sz w:val="16"/>
    </w:rPr>
  </w:style>
  <w:style w:type="character" w:customStyle="1" w:styleId="506">
    <w:name w:val="◆ 二级符号end Char Char"/>
    <w:link w:val="507"/>
    <w:qFormat/>
    <w:uiPriority w:val="0"/>
    <w:rPr>
      <w:rFonts w:ascii="Verdana" w:hAnsi="Verdana"/>
      <w:sz w:val="24"/>
    </w:rPr>
  </w:style>
  <w:style w:type="paragraph" w:customStyle="1" w:styleId="507">
    <w:name w:val="◆ 二级符号end"/>
    <w:basedOn w:val="1"/>
    <w:link w:val="506"/>
    <w:qFormat/>
    <w:uiPriority w:val="0"/>
    <w:pPr>
      <w:tabs>
        <w:tab w:val="left" w:pos="1320"/>
      </w:tabs>
      <w:spacing w:line="360" w:lineRule="auto"/>
      <w:ind w:left="1320" w:hanging="420"/>
    </w:pPr>
    <w:rPr>
      <w:rFonts w:ascii="Verdana" w:hAnsi="Verdana" w:eastAsia="宋体" w:cs="Times New Roman"/>
      <w:kern w:val="0"/>
      <w:sz w:val="24"/>
      <w:szCs w:val="20"/>
    </w:rPr>
  </w:style>
  <w:style w:type="character" w:customStyle="1" w:styleId="508">
    <w:name w:val="正文文本 Char2"/>
    <w:qFormat/>
    <w:uiPriority w:val="0"/>
    <w:rPr>
      <w:rFonts w:ascii="Calibri" w:hAnsi="Calibri" w:eastAsia="宋体" w:cs="Times New Roman"/>
      <w:kern w:val="2"/>
      <w:sz w:val="21"/>
    </w:rPr>
  </w:style>
  <w:style w:type="character" w:customStyle="1" w:styleId="509">
    <w:name w:val="批注引用11"/>
    <w:qFormat/>
    <w:uiPriority w:val="0"/>
    <w:rPr>
      <w:rFonts w:ascii="Calibri" w:hAnsi="Calibri" w:eastAsia="宋体" w:cs="Times New Roman"/>
      <w:sz w:val="21"/>
    </w:rPr>
  </w:style>
  <w:style w:type="character" w:customStyle="1" w:styleId="510">
    <w:name w:val="标题 5 Char1"/>
    <w:qFormat/>
    <w:uiPriority w:val="0"/>
    <w:rPr>
      <w:rFonts w:ascii="Calibri" w:hAnsi="Calibri" w:eastAsia="宋体" w:cs="Times New Roman"/>
      <w:b/>
      <w:kern w:val="2"/>
      <w:sz w:val="28"/>
    </w:rPr>
  </w:style>
  <w:style w:type="character" w:customStyle="1" w:styleId="511">
    <w:name w:val="批注引用9"/>
    <w:qFormat/>
    <w:uiPriority w:val="0"/>
    <w:rPr>
      <w:rFonts w:ascii="Calibri" w:hAnsi="Calibri" w:eastAsia="宋体" w:cs="Times New Roman"/>
      <w:sz w:val="21"/>
    </w:rPr>
  </w:style>
  <w:style w:type="character" w:customStyle="1" w:styleId="512">
    <w:name w:val="标题 7 Char1"/>
    <w:qFormat/>
    <w:uiPriority w:val="0"/>
    <w:rPr>
      <w:rFonts w:ascii="Calibri" w:hAnsi="Calibri" w:eastAsia="宋体" w:cs="Times New Roman"/>
      <w:b/>
      <w:kern w:val="2"/>
      <w:sz w:val="24"/>
    </w:rPr>
  </w:style>
  <w:style w:type="character" w:customStyle="1" w:styleId="513">
    <w:name w:val="SANGFOR_6_正文 Char"/>
    <w:link w:val="514"/>
    <w:qFormat/>
    <w:uiPriority w:val="0"/>
    <w:rPr>
      <w:rFonts w:ascii="宋体" w:hAnsi="宋体"/>
      <w:sz w:val="28"/>
      <w:szCs w:val="28"/>
    </w:rPr>
  </w:style>
  <w:style w:type="paragraph" w:customStyle="1" w:styleId="514">
    <w:name w:val="SANGFOR_6_正文"/>
    <w:basedOn w:val="1"/>
    <w:link w:val="513"/>
    <w:qFormat/>
    <w:uiPriority w:val="0"/>
    <w:pPr>
      <w:spacing w:line="360" w:lineRule="auto"/>
      <w:ind w:left="420"/>
      <w:jc w:val="left"/>
    </w:pPr>
    <w:rPr>
      <w:rFonts w:ascii="宋体" w:hAnsi="宋体" w:eastAsia="宋体" w:cs="Times New Roman"/>
      <w:kern w:val="0"/>
      <w:sz w:val="28"/>
      <w:szCs w:val="28"/>
    </w:rPr>
  </w:style>
  <w:style w:type="character" w:customStyle="1" w:styleId="515">
    <w:name w:val="标题 3 Char1"/>
    <w:qFormat/>
    <w:uiPriority w:val="0"/>
    <w:rPr>
      <w:rFonts w:ascii="Calibri" w:hAnsi="Calibri" w:eastAsia="宋体" w:cs="Times New Roman"/>
      <w:b/>
      <w:kern w:val="2"/>
      <w:sz w:val="32"/>
    </w:rPr>
  </w:style>
  <w:style w:type="character" w:customStyle="1" w:styleId="516">
    <w:name w:val="页脚 Char1"/>
    <w:qFormat/>
    <w:uiPriority w:val="0"/>
    <w:rPr>
      <w:rFonts w:ascii="Calibri" w:hAnsi="Calibri" w:eastAsia="宋体" w:cs="Times New Roman"/>
      <w:kern w:val="2"/>
      <w:sz w:val="18"/>
    </w:rPr>
  </w:style>
  <w:style w:type="character" w:customStyle="1" w:styleId="517">
    <w:name w:val="页脚 Char2"/>
    <w:qFormat/>
    <w:uiPriority w:val="0"/>
    <w:rPr>
      <w:rFonts w:ascii="Calibri" w:hAnsi="Calibri" w:eastAsia="宋体" w:cs="Times New Roman"/>
      <w:kern w:val="2"/>
      <w:sz w:val="18"/>
    </w:rPr>
  </w:style>
  <w:style w:type="character" w:customStyle="1" w:styleId="518">
    <w:name w:val="正文1 Char"/>
    <w:link w:val="171"/>
    <w:qFormat/>
    <w:uiPriority w:val="0"/>
    <w:rPr>
      <w:rFonts w:ascii="Calibri" w:hAnsi="Calibri" w:cs="Calibri"/>
      <w:kern w:val="2"/>
      <w:sz w:val="21"/>
      <w:szCs w:val="21"/>
    </w:rPr>
  </w:style>
  <w:style w:type="character" w:customStyle="1" w:styleId="519">
    <w:name w:val="批注引用2"/>
    <w:qFormat/>
    <w:uiPriority w:val="0"/>
    <w:rPr>
      <w:rFonts w:ascii="Calibri" w:hAnsi="Calibri" w:eastAsia="宋体" w:cs="Times New Roman"/>
      <w:sz w:val="21"/>
    </w:rPr>
  </w:style>
  <w:style w:type="character" w:customStyle="1" w:styleId="520">
    <w:name w:val="标题 Char2"/>
    <w:qFormat/>
    <w:uiPriority w:val="0"/>
    <w:rPr>
      <w:rFonts w:ascii="Cambria" w:hAnsi="Cambria" w:eastAsia="宋体" w:cs="Times New Roman"/>
      <w:b/>
      <w:kern w:val="2"/>
      <w:sz w:val="32"/>
    </w:rPr>
  </w:style>
  <w:style w:type="character" w:customStyle="1" w:styleId="521">
    <w:name w:val="c1"/>
    <w:qFormat/>
    <w:uiPriority w:val="0"/>
    <w:rPr>
      <w:rFonts w:ascii="Calibri" w:hAnsi="Calibri" w:eastAsia="宋体" w:cs="Times New Roman"/>
      <w:sz w:val="24"/>
    </w:rPr>
  </w:style>
  <w:style w:type="character" w:customStyle="1" w:styleId="522">
    <w:name w:val="font121"/>
    <w:qFormat/>
    <w:uiPriority w:val="0"/>
    <w:rPr>
      <w:rFonts w:hint="default" w:ascii="???" w:hAnsi="???" w:eastAsia="宋体" w:cs="Times New Roman"/>
      <w:color w:val="333333"/>
      <w:sz w:val="18"/>
      <w:szCs w:val="18"/>
      <w:u w:val="none"/>
    </w:rPr>
  </w:style>
  <w:style w:type="character" w:customStyle="1" w:styleId="523">
    <w:name w:val="标准文本 Char Char"/>
    <w:link w:val="524"/>
    <w:qFormat/>
    <w:uiPriority w:val="0"/>
  </w:style>
  <w:style w:type="paragraph" w:customStyle="1" w:styleId="524">
    <w:name w:val="标准文本"/>
    <w:basedOn w:val="1"/>
    <w:link w:val="523"/>
    <w:qFormat/>
    <w:uiPriority w:val="0"/>
    <w:pPr>
      <w:spacing w:line="360" w:lineRule="auto"/>
      <w:ind w:firstLine="480" w:firstLineChars="200"/>
    </w:pPr>
    <w:rPr>
      <w:rFonts w:ascii="Times New Roman" w:hAnsi="Times New Roman" w:eastAsia="宋体" w:cs="Times New Roman"/>
      <w:kern w:val="0"/>
      <w:sz w:val="20"/>
      <w:szCs w:val="20"/>
    </w:rPr>
  </w:style>
  <w:style w:type="character" w:customStyle="1" w:styleId="525">
    <w:name w:val="尾注文本 Char"/>
    <w:qFormat/>
    <w:uiPriority w:val="0"/>
    <w:rPr>
      <w:rFonts w:ascii="Times New Roman" w:hAnsi="Times New Roman" w:eastAsia="宋体" w:cs="Times New Roman"/>
      <w:kern w:val="2"/>
      <w:sz w:val="21"/>
      <w:szCs w:val="24"/>
    </w:rPr>
  </w:style>
  <w:style w:type="character" w:customStyle="1" w:styleId="526">
    <w:name w:val="标题 4 Char1"/>
    <w:qFormat/>
    <w:uiPriority w:val="0"/>
    <w:rPr>
      <w:rFonts w:ascii="Arial" w:hAnsi="Arial" w:eastAsia="黑体" w:cs="Times New Roman"/>
      <w:b/>
      <w:kern w:val="2"/>
      <w:sz w:val="28"/>
    </w:rPr>
  </w:style>
  <w:style w:type="character" w:customStyle="1" w:styleId="527">
    <w:name w:val="批注文字 Char4"/>
    <w:qFormat/>
    <w:uiPriority w:val="0"/>
    <w:rPr>
      <w:rFonts w:ascii="Times New Roman" w:hAnsi="Times New Roman" w:eastAsia="宋体" w:cs="Times New Roman"/>
      <w:szCs w:val="20"/>
    </w:rPr>
  </w:style>
  <w:style w:type="character" w:customStyle="1" w:styleId="528">
    <w:name w:val="批注引用8"/>
    <w:qFormat/>
    <w:uiPriority w:val="0"/>
    <w:rPr>
      <w:rFonts w:ascii="Calibri" w:hAnsi="Calibri" w:eastAsia="宋体" w:cs="Times New Roman"/>
      <w:sz w:val="21"/>
    </w:rPr>
  </w:style>
  <w:style w:type="character" w:customStyle="1" w:styleId="529">
    <w:name w:val="彩色列表 - 强调文字颜色 1 Char"/>
    <w:link w:val="192"/>
    <w:qFormat/>
    <w:uiPriority w:val="0"/>
    <w:rPr>
      <w:rFonts w:ascii="Calibri" w:hAnsi="Calibri"/>
      <w:kern w:val="2"/>
      <w:sz w:val="21"/>
      <w:szCs w:val="22"/>
    </w:rPr>
  </w:style>
  <w:style w:type="character" w:customStyle="1" w:styleId="530">
    <w:name w:val="DH 正文 Char"/>
    <w:link w:val="531"/>
    <w:qFormat/>
    <w:uiPriority w:val="0"/>
    <w:rPr>
      <w:rFonts w:ascii="宋体"/>
      <w:kern w:val="2"/>
      <w:sz w:val="24"/>
      <w:szCs w:val="24"/>
    </w:rPr>
  </w:style>
  <w:style w:type="paragraph" w:customStyle="1" w:styleId="531">
    <w:name w:val="DH 正文"/>
    <w:basedOn w:val="1"/>
    <w:link w:val="530"/>
    <w:qFormat/>
    <w:uiPriority w:val="0"/>
    <w:pPr>
      <w:spacing w:line="360" w:lineRule="auto"/>
      <w:ind w:firstLine="200" w:firstLineChars="200"/>
    </w:pPr>
    <w:rPr>
      <w:rFonts w:ascii="宋体" w:hAnsi="Times New Roman" w:eastAsia="宋体" w:cs="Times New Roman"/>
      <w:sz w:val="24"/>
      <w:szCs w:val="24"/>
    </w:rPr>
  </w:style>
  <w:style w:type="character" w:customStyle="1" w:styleId="532">
    <w:name w:val="unnamed21"/>
    <w:qFormat/>
    <w:uiPriority w:val="0"/>
    <w:rPr>
      <w:rFonts w:ascii="Calibri" w:hAnsi="Calibri" w:eastAsia="宋体" w:cs="Times New Roman"/>
      <w:color w:val="000000"/>
      <w:sz w:val="20"/>
    </w:rPr>
  </w:style>
  <w:style w:type="character" w:customStyle="1" w:styleId="533">
    <w:name w:val="news1"/>
    <w:qFormat/>
    <w:uiPriority w:val="0"/>
    <w:rPr>
      <w:rFonts w:ascii="Calibri" w:hAnsi="Calibri" w:eastAsia="宋体" w:cs="Times New Roman"/>
      <w:color w:val="4D4D4D"/>
      <w:sz w:val="18"/>
    </w:rPr>
  </w:style>
  <w:style w:type="character" w:customStyle="1" w:styleId="534">
    <w:name w:val="批注引用7"/>
    <w:qFormat/>
    <w:uiPriority w:val="0"/>
    <w:rPr>
      <w:rFonts w:ascii="Calibri" w:hAnsi="Calibri" w:eastAsia="宋体" w:cs="Times New Roman"/>
      <w:sz w:val="21"/>
    </w:rPr>
  </w:style>
  <w:style w:type="character" w:customStyle="1" w:styleId="535">
    <w:name w:val="line1"/>
    <w:qFormat/>
    <w:uiPriority w:val="0"/>
    <w:rPr>
      <w:rFonts w:ascii="Calibri" w:hAnsi="Calibri" w:eastAsia="宋体" w:cs="Times New Roman"/>
    </w:rPr>
  </w:style>
  <w:style w:type="character" w:customStyle="1" w:styleId="536">
    <w:name w:val="Char Char4"/>
    <w:qFormat/>
    <w:uiPriority w:val="0"/>
    <w:rPr>
      <w:rFonts w:ascii="Calibri" w:hAnsi="Calibri" w:eastAsia="宋体" w:cs="Times New Roman"/>
      <w:sz w:val="18"/>
    </w:rPr>
  </w:style>
  <w:style w:type="character" w:customStyle="1" w:styleId="537">
    <w:name w:val="批注引用3"/>
    <w:qFormat/>
    <w:uiPriority w:val="0"/>
    <w:rPr>
      <w:rFonts w:ascii="Calibri" w:hAnsi="Calibri" w:eastAsia="宋体" w:cs="Times New Roman"/>
      <w:sz w:val="21"/>
      <w:szCs w:val="21"/>
    </w:rPr>
  </w:style>
  <w:style w:type="character" w:customStyle="1" w:styleId="538">
    <w:name w:val="样式 8 磅"/>
    <w:qFormat/>
    <w:uiPriority w:val="0"/>
    <w:rPr>
      <w:rFonts w:ascii="Calibri" w:hAnsi="Calibri" w:eastAsia="宋体" w:cs="Times New Roman"/>
      <w:sz w:val="18"/>
    </w:rPr>
  </w:style>
  <w:style w:type="paragraph" w:customStyle="1" w:styleId="539">
    <w:name w:val="Char Char1 Char Char Char Char Char Char Char"/>
    <w:basedOn w:val="1"/>
    <w:qFormat/>
    <w:uiPriority w:val="0"/>
    <w:rPr>
      <w:rFonts w:ascii="Calibri" w:hAnsi="Calibri" w:eastAsia="宋体" w:cs="Times New Roman"/>
      <w:szCs w:val="24"/>
    </w:rPr>
  </w:style>
  <w:style w:type="paragraph" w:customStyle="1" w:styleId="540">
    <w:name w:val="默认段落字体 Para Char Char Char Char"/>
    <w:basedOn w:val="1"/>
    <w:qFormat/>
    <w:uiPriority w:val="0"/>
    <w:pPr>
      <w:widowControl/>
      <w:jc w:val="left"/>
    </w:pPr>
    <w:rPr>
      <w:rFonts w:ascii="Calibri" w:hAnsi="Calibri" w:eastAsia="宋体" w:cs="Times New Roman"/>
      <w:szCs w:val="24"/>
    </w:rPr>
  </w:style>
  <w:style w:type="paragraph" w:customStyle="1" w:styleId="541">
    <w:name w:val="xl60"/>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42">
    <w:name w:val="Char Char Char Char Char Char Char Char Char1 Char"/>
    <w:basedOn w:val="1"/>
    <w:qFormat/>
    <w:uiPriority w:val="0"/>
    <w:pPr>
      <w:widowControl/>
      <w:jc w:val="left"/>
    </w:pPr>
    <w:rPr>
      <w:rFonts w:ascii="仿宋_GB2312" w:hAnsi="Calibri" w:eastAsia="仿宋_GB2312" w:cs="Times New Roman"/>
      <w:b/>
      <w:sz w:val="32"/>
      <w:szCs w:val="32"/>
    </w:rPr>
  </w:style>
  <w:style w:type="paragraph" w:customStyle="1" w:styleId="543">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4">
    <w:name w:val="L正文"/>
    <w:basedOn w:val="1"/>
    <w:qFormat/>
    <w:uiPriority w:val="0"/>
    <w:pPr>
      <w:spacing w:afterLines="50"/>
      <w:ind w:left="160" w:leftChars="160" w:firstLine="200" w:firstLineChars="200"/>
    </w:pPr>
    <w:rPr>
      <w:rFonts w:ascii="Calibri" w:hAnsi="Calibri" w:eastAsia="宋体" w:cs="Times New Roman"/>
      <w:b/>
      <w:szCs w:val="24"/>
    </w:rPr>
  </w:style>
  <w:style w:type="paragraph" w:customStyle="1" w:styleId="545">
    <w:name w:val="xl3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46">
    <w:name w:val="需求正文"/>
    <w:basedOn w:val="1"/>
    <w:qFormat/>
    <w:uiPriority w:val="0"/>
    <w:pPr>
      <w:widowControl/>
      <w:spacing w:line="300" w:lineRule="auto"/>
      <w:ind w:firstLine="560" w:firstLineChars="200"/>
      <w:jc w:val="left"/>
    </w:pPr>
    <w:rPr>
      <w:rFonts w:ascii="Arial" w:hAnsi="Arial" w:eastAsia="仿宋_GB2312" w:cs="Times New Roman"/>
      <w:sz w:val="28"/>
      <w:szCs w:val="20"/>
    </w:rPr>
  </w:style>
  <w:style w:type="paragraph" w:customStyle="1" w:styleId="547">
    <w:name w:val="列出段落3"/>
    <w:basedOn w:val="1"/>
    <w:qFormat/>
    <w:uiPriority w:val="0"/>
    <w:pPr>
      <w:ind w:firstLine="420" w:firstLineChars="200"/>
    </w:pPr>
    <w:rPr>
      <w:rFonts w:ascii="Cambria" w:hAnsi="Cambria" w:eastAsia="宋体" w:cs="Times New Roman"/>
      <w:sz w:val="24"/>
      <w:szCs w:val="24"/>
    </w:rPr>
  </w:style>
  <w:style w:type="paragraph" w:customStyle="1" w:styleId="548">
    <w:name w:val="Char1"/>
    <w:basedOn w:val="1"/>
    <w:qFormat/>
    <w:uiPriority w:val="0"/>
    <w:pPr>
      <w:widowControl/>
      <w:jc w:val="left"/>
    </w:pPr>
    <w:rPr>
      <w:rFonts w:ascii="仿宋_GB2312" w:hAnsi="Calibri" w:eastAsia="仿宋_GB2312" w:cs="Times New Roman"/>
      <w:b/>
      <w:sz w:val="32"/>
      <w:szCs w:val="20"/>
    </w:rPr>
  </w:style>
  <w:style w:type="paragraph" w:customStyle="1" w:styleId="549">
    <w:name w:val="样式 宋体 小四 黑色 行距: 1.5 倍行距1"/>
    <w:basedOn w:val="1"/>
    <w:qFormat/>
    <w:uiPriority w:val="0"/>
    <w:pPr>
      <w:spacing w:line="360" w:lineRule="auto"/>
      <w:ind w:firstLine="480" w:firstLineChars="200"/>
    </w:pPr>
    <w:rPr>
      <w:rFonts w:ascii="宋体" w:hAnsi="宋体" w:eastAsia="宋体" w:cs="宋体"/>
      <w:color w:val="000000"/>
      <w:kern w:val="0"/>
      <w:szCs w:val="20"/>
    </w:rPr>
  </w:style>
  <w:style w:type="paragraph" w:customStyle="1" w:styleId="550">
    <w:name w:val="p1"/>
    <w:basedOn w:val="1"/>
    <w:qFormat/>
    <w:uiPriority w:val="0"/>
    <w:pPr>
      <w:widowControl/>
      <w:jc w:val="left"/>
    </w:pPr>
    <w:rPr>
      <w:rFonts w:ascii="Helvetica" w:hAnsi="Helvetica" w:eastAsia="等线" w:cs="Times New Roman"/>
      <w:kern w:val="0"/>
      <w:sz w:val="16"/>
      <w:szCs w:val="16"/>
    </w:rPr>
  </w:style>
  <w:style w:type="paragraph" w:customStyle="1" w:styleId="551">
    <w:name w:val="方案正文"/>
    <w:basedOn w:val="1"/>
    <w:qFormat/>
    <w:uiPriority w:val="0"/>
    <w:pPr>
      <w:widowControl/>
      <w:autoSpaceDE w:val="0"/>
      <w:autoSpaceDN w:val="0"/>
      <w:adjustRightInd w:val="0"/>
      <w:snapToGrid w:val="0"/>
      <w:spacing w:line="500" w:lineRule="atLeast"/>
      <w:ind w:firstLine="561"/>
      <w:jc w:val="left"/>
    </w:pPr>
    <w:rPr>
      <w:rFonts w:ascii="仿宋_GB2312" w:hAnsi="Calibri" w:eastAsia="仿宋_GB2312" w:cs="Times New Roman"/>
      <w:kern w:val="0"/>
      <w:sz w:val="28"/>
      <w:szCs w:val="20"/>
    </w:rPr>
  </w:style>
  <w:style w:type="paragraph" w:customStyle="1" w:styleId="5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3">
    <w:name w:val="正文缩进2格"/>
    <w:basedOn w:val="1"/>
    <w:qFormat/>
    <w:uiPriority w:val="0"/>
    <w:pPr>
      <w:autoSpaceDE w:val="0"/>
      <w:autoSpaceDN w:val="0"/>
      <w:adjustRightInd w:val="0"/>
      <w:spacing w:line="600" w:lineRule="exact"/>
      <w:ind w:firstLine="639" w:firstLineChars="206"/>
    </w:pPr>
    <w:rPr>
      <w:rFonts w:ascii="仿宋_GB2312" w:hAnsi="宋体" w:eastAsia="仿宋_GB2312" w:cs="Times New Roman"/>
      <w:color w:val="000000"/>
      <w:sz w:val="31"/>
      <w:szCs w:val="28"/>
    </w:rPr>
  </w:style>
  <w:style w:type="paragraph" w:customStyle="1" w:styleId="55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55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56">
    <w:name w:val="TOC 标题1"/>
    <w:basedOn w:val="3"/>
    <w:next w:val="1"/>
    <w:qFormat/>
    <w:uiPriority w:val="0"/>
    <w:pPr>
      <w:tabs>
        <w:tab w:val="clear" w:pos="1440"/>
      </w:tabs>
      <w:spacing w:beforeLines="0" w:line="276" w:lineRule="auto"/>
      <w:jc w:val="left"/>
      <w:outlineLvl w:val="9"/>
    </w:pPr>
    <w:rPr>
      <w:rFonts w:ascii="Cambria" w:hAnsi="Cambria" w:eastAsia="宋体"/>
      <w:color w:val="365F90"/>
      <w:kern w:val="0"/>
      <w:sz w:val="28"/>
      <w:szCs w:val="28"/>
    </w:rPr>
  </w:style>
  <w:style w:type="paragraph" w:customStyle="1" w:styleId="557">
    <w:name w:val="标准段落"/>
    <w:basedOn w:val="1"/>
    <w:qFormat/>
    <w:uiPriority w:val="0"/>
    <w:pPr>
      <w:widowControl/>
      <w:topLinePunct/>
      <w:autoSpaceDE w:val="0"/>
      <w:autoSpaceDN w:val="0"/>
      <w:spacing w:line="360" w:lineRule="auto"/>
      <w:ind w:firstLine="560" w:firstLineChars="200"/>
      <w:jc w:val="left"/>
    </w:pPr>
    <w:rPr>
      <w:rFonts w:ascii="Calibri" w:hAnsi="宋体" w:eastAsia="宋体" w:cs="Times New Roman"/>
      <w:color w:val="FF0000"/>
      <w:sz w:val="28"/>
      <w:szCs w:val="24"/>
    </w:rPr>
  </w:style>
  <w:style w:type="paragraph" w:customStyle="1" w:styleId="558">
    <w:name w:val="正文缩进1"/>
    <w:basedOn w:val="1"/>
    <w:next w:val="18"/>
    <w:qFormat/>
    <w:uiPriority w:val="0"/>
    <w:pPr>
      <w:widowControl/>
      <w:autoSpaceDE w:val="0"/>
      <w:autoSpaceDN w:val="0"/>
      <w:adjustRightInd w:val="0"/>
      <w:snapToGrid w:val="0"/>
      <w:spacing w:after="120" w:line="360" w:lineRule="auto"/>
      <w:ind w:left="420" w:leftChars="200" w:firstLine="480" w:firstLineChars="200"/>
      <w:jc w:val="left"/>
    </w:pPr>
    <w:rPr>
      <w:rFonts w:ascii="Calibri" w:hAnsi="Calibri" w:eastAsia="宋体" w:cs="Times New Roman"/>
      <w:sz w:val="24"/>
      <w:szCs w:val="20"/>
    </w:rPr>
  </w:style>
  <w:style w:type="paragraph" w:customStyle="1" w:styleId="559">
    <w:name w:val="标书正文格式"/>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560">
    <w:name w:val="表文1"/>
    <w:basedOn w:val="1"/>
    <w:qFormat/>
    <w:uiPriority w:val="0"/>
    <w:pPr>
      <w:widowControl/>
      <w:spacing w:line="360" w:lineRule="auto"/>
      <w:ind w:left="-158" w:leftChars="-75" w:firstLine="471" w:firstLineChars="157"/>
      <w:jc w:val="left"/>
    </w:pPr>
    <w:rPr>
      <w:rFonts w:ascii="宋体" w:hAnsi="宋体" w:eastAsia="宋体" w:cs="Times New Roman"/>
      <w:color w:val="000000"/>
      <w:spacing w:val="10"/>
      <w:kern w:val="0"/>
      <w:sz w:val="28"/>
      <w:szCs w:val="18"/>
    </w:rPr>
  </w:style>
  <w:style w:type="paragraph" w:customStyle="1" w:styleId="561">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2">
    <w:name w:val="List Paragraph2"/>
    <w:basedOn w:val="1"/>
    <w:qFormat/>
    <w:uiPriority w:val="0"/>
    <w:pPr>
      <w:widowControl/>
      <w:ind w:firstLine="420" w:firstLineChars="200"/>
      <w:jc w:val="left"/>
    </w:pPr>
    <w:rPr>
      <w:rFonts w:ascii="Calibri" w:hAnsi="Calibri" w:eastAsia="宋体" w:cs="Times New Roman"/>
      <w:kern w:val="0"/>
      <w:sz w:val="20"/>
      <w:szCs w:val="20"/>
    </w:rPr>
  </w:style>
  <w:style w:type="paragraph" w:customStyle="1" w:styleId="563">
    <w:name w:val="Item Step in Table"/>
    <w:qFormat/>
    <w:uiPriority w:val="0"/>
    <w:pPr>
      <w:tabs>
        <w:tab w:val="left" w:pos="397"/>
      </w:tabs>
      <w:spacing w:before="40" w:after="40"/>
      <w:ind w:firstLine="403"/>
      <w:jc w:val="both"/>
    </w:pPr>
    <w:rPr>
      <w:rFonts w:ascii="Arial" w:hAnsi="Arial" w:eastAsia="宋体" w:cs="Arial"/>
      <w:sz w:val="18"/>
      <w:szCs w:val="18"/>
      <w:lang w:val="en-US" w:eastAsia="zh-CN" w:bidi="ar-SA"/>
    </w:rPr>
  </w:style>
  <w:style w:type="paragraph" w:customStyle="1" w:styleId="564">
    <w:name w:val="Pa9"/>
    <w:basedOn w:val="1"/>
    <w:next w:val="1"/>
    <w:qFormat/>
    <w:uiPriority w:val="0"/>
    <w:pPr>
      <w:widowControl/>
      <w:autoSpaceDE w:val="0"/>
      <w:autoSpaceDN w:val="0"/>
      <w:adjustRightInd w:val="0"/>
      <w:spacing w:before="40" w:line="146" w:lineRule="atLeast"/>
      <w:jc w:val="left"/>
    </w:pPr>
    <w:rPr>
      <w:rFonts w:ascii="Stone Sans" w:hAnsi="Stone Sans" w:eastAsia="宋体" w:cs="Times New Roman"/>
      <w:kern w:val="0"/>
      <w:sz w:val="24"/>
      <w:szCs w:val="24"/>
    </w:rPr>
  </w:style>
  <w:style w:type="paragraph" w:customStyle="1" w:styleId="565">
    <w:name w:val="文档正文 Char"/>
    <w:basedOn w:val="1"/>
    <w:qFormat/>
    <w:uiPriority w:val="0"/>
    <w:pPr>
      <w:widowControl/>
      <w:adjustRightInd w:val="0"/>
      <w:spacing w:line="480" w:lineRule="atLeast"/>
      <w:ind w:firstLine="567"/>
      <w:jc w:val="left"/>
      <w:textAlignment w:val="baseline"/>
    </w:pPr>
    <w:rPr>
      <w:rFonts w:ascii="仿宋_GB2312" w:hAnsi="Calibri" w:eastAsia="仿宋_GB2312" w:cs="仿宋_GB2312"/>
      <w:kern w:val="0"/>
      <w:sz w:val="28"/>
      <w:szCs w:val="28"/>
    </w:rPr>
  </w:style>
  <w:style w:type="paragraph" w:customStyle="1" w:styleId="566">
    <w:name w:val="xl35"/>
    <w:basedOn w:val="1"/>
    <w:qFormat/>
    <w:uiPriority w:val="0"/>
    <w:pPr>
      <w:widowControl/>
      <w:spacing w:before="100" w:beforeAutospacing="1" w:after="100" w:afterAutospacing="1"/>
      <w:jc w:val="center"/>
      <w:textAlignment w:val="center"/>
    </w:pPr>
    <w:rPr>
      <w:rFonts w:ascii="宋体" w:hAnsi="宋体" w:eastAsia="宋体" w:cs="Times New Roman"/>
      <w:b/>
      <w:bCs/>
      <w:kern w:val="0"/>
      <w:sz w:val="36"/>
      <w:szCs w:val="36"/>
    </w:rPr>
  </w:style>
  <w:style w:type="paragraph" w:customStyle="1" w:styleId="567">
    <w:name w:val="xl2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68">
    <w:name w:val="Char Char Char 字元 字元"/>
    <w:basedOn w:val="1"/>
    <w:qFormat/>
    <w:uiPriority w:val="0"/>
    <w:pPr>
      <w:widowControl/>
      <w:spacing w:line="360" w:lineRule="auto"/>
      <w:ind w:firstLine="200" w:firstLineChars="200"/>
      <w:jc w:val="left"/>
    </w:pPr>
    <w:rPr>
      <w:rFonts w:ascii="Calibri" w:hAnsi="Calibri" w:eastAsia="宋体" w:cs="Times New Roman"/>
      <w:szCs w:val="20"/>
    </w:rPr>
  </w:style>
  <w:style w:type="paragraph" w:customStyle="1" w:styleId="569">
    <w:name w:val="xl2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70">
    <w:name w:val="p16"/>
    <w:basedOn w:val="1"/>
    <w:qFormat/>
    <w:uiPriority w:val="0"/>
    <w:pPr>
      <w:widowControl/>
      <w:spacing w:before="80" w:after="80"/>
      <w:jc w:val="left"/>
    </w:pPr>
    <w:rPr>
      <w:rFonts w:ascii="Arial" w:hAnsi="Arial" w:eastAsia="宋体" w:cs="Arial"/>
      <w:kern w:val="0"/>
      <w:sz w:val="18"/>
      <w:szCs w:val="18"/>
    </w:rPr>
  </w:style>
  <w:style w:type="paragraph" w:customStyle="1" w:styleId="571">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72">
    <w:name w:val="列出段落11"/>
    <w:basedOn w:val="1"/>
    <w:qFormat/>
    <w:uiPriority w:val="0"/>
    <w:pPr>
      <w:widowControl/>
      <w:ind w:firstLine="420" w:firstLineChars="200"/>
      <w:jc w:val="left"/>
    </w:pPr>
    <w:rPr>
      <w:rFonts w:ascii="Calibri" w:hAnsi="Calibri" w:eastAsia="宋体" w:cs="Times New Roman"/>
      <w:kern w:val="0"/>
      <w:sz w:val="24"/>
      <w:szCs w:val="20"/>
    </w:rPr>
  </w:style>
  <w:style w:type="paragraph" w:customStyle="1" w:styleId="573">
    <w:name w:val="正文段落"/>
    <w:basedOn w:val="1"/>
    <w:qFormat/>
    <w:uiPriority w:val="0"/>
    <w:pPr>
      <w:spacing w:line="360" w:lineRule="auto"/>
      <w:ind w:firstLine="440" w:firstLineChars="200"/>
    </w:pPr>
    <w:rPr>
      <w:rFonts w:ascii="宋体" w:hAnsi="宋体" w:eastAsia="宋体" w:cs="宋体"/>
      <w:kern w:val="0"/>
      <w:szCs w:val="20"/>
    </w:rPr>
  </w:style>
  <w:style w:type="paragraph" w:customStyle="1" w:styleId="574">
    <w:name w:val="C11"/>
    <w:basedOn w:val="1"/>
    <w:qFormat/>
    <w:uiPriority w:val="0"/>
    <w:pPr>
      <w:widowControl/>
      <w:tabs>
        <w:tab w:val="left" w:pos="360"/>
      </w:tabs>
      <w:autoSpaceDE w:val="0"/>
      <w:autoSpaceDN w:val="0"/>
      <w:adjustRightInd w:val="0"/>
      <w:spacing w:before="60" w:line="288" w:lineRule="auto"/>
      <w:jc w:val="left"/>
      <w:textAlignment w:val="bottom"/>
    </w:pPr>
    <w:rPr>
      <w:rFonts w:ascii="Calibri" w:hAnsi="Calibri" w:eastAsia="華康細圓體" w:cs="Times New Roman"/>
      <w:kern w:val="0"/>
      <w:sz w:val="22"/>
      <w:szCs w:val="20"/>
      <w:lang w:eastAsia="zh-TW"/>
    </w:rPr>
  </w:style>
  <w:style w:type="paragraph" w:customStyle="1" w:styleId="575">
    <w:name w:val="Char Char Char Char Char Char Char Char Char Char"/>
    <w:basedOn w:val="21"/>
    <w:qFormat/>
    <w:uiPriority w:val="0"/>
    <w:rPr>
      <w:rFonts w:ascii="Tahoma" w:hAnsi="Tahoma" w:cs="Times New Roman"/>
      <w:kern w:val="0"/>
      <w:sz w:val="24"/>
      <w:szCs w:val="24"/>
    </w:rPr>
  </w:style>
  <w:style w:type="paragraph" w:customStyle="1" w:styleId="576">
    <w:name w:val="4"/>
    <w:basedOn w:val="1"/>
    <w:next w:val="57"/>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77">
    <w:name w:val="项目"/>
    <w:basedOn w:val="12"/>
    <w:qFormat/>
    <w:uiPriority w:val="0"/>
    <w:pPr>
      <w:tabs>
        <w:tab w:val="left" w:pos="1140"/>
        <w:tab w:val="left" w:pos="1389"/>
      </w:tabs>
      <w:spacing w:after="120"/>
      <w:ind w:left="1140" w:leftChars="0" w:hanging="420" w:firstLineChars="0"/>
    </w:pPr>
    <w:rPr>
      <w:rFonts w:ascii="华文中宋" w:hAnsi="Verdana" w:eastAsia="华文中宋"/>
      <w:color w:val="000066"/>
      <w:szCs w:val="21"/>
    </w:rPr>
  </w:style>
  <w:style w:type="paragraph" w:customStyle="1" w:styleId="578">
    <w:name w:val="xl3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79">
    <w:name w:val="5"/>
    <w:basedOn w:val="1"/>
    <w:next w:val="26"/>
    <w:qFormat/>
    <w:uiPriority w:val="0"/>
    <w:pPr>
      <w:widowControl/>
      <w:ind w:right="26"/>
      <w:jc w:val="left"/>
    </w:pPr>
    <w:rPr>
      <w:rFonts w:ascii="楷体_GB2312" w:hAnsi="Calibri" w:eastAsia="楷体_GB2312" w:cs="Times New Roman"/>
      <w:spacing w:val="4"/>
      <w:kern w:val="0"/>
      <w:sz w:val="28"/>
      <w:szCs w:val="20"/>
    </w:rPr>
  </w:style>
  <w:style w:type="paragraph" w:customStyle="1" w:styleId="580">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581">
    <w:name w:val="表格内文"/>
    <w:basedOn w:val="1"/>
    <w:qFormat/>
    <w:uiPriority w:val="0"/>
    <w:pPr>
      <w:widowControl/>
      <w:spacing w:line="360" w:lineRule="auto"/>
      <w:jc w:val="left"/>
    </w:pPr>
    <w:rPr>
      <w:rFonts w:ascii="宋体" w:hAnsi="宋体" w:eastAsia="宋体" w:cs="宋体"/>
      <w:color w:val="000000"/>
      <w:szCs w:val="21"/>
    </w:rPr>
  </w:style>
  <w:style w:type="paragraph" w:customStyle="1" w:styleId="582">
    <w:name w:val="Retrait 2"/>
    <w:basedOn w:val="1"/>
    <w:qFormat/>
    <w:uiPriority w:val="0"/>
    <w:pPr>
      <w:widowControl/>
      <w:spacing w:line="360" w:lineRule="auto"/>
      <w:ind w:left="1417" w:hanging="283"/>
      <w:jc w:val="left"/>
    </w:pPr>
    <w:rPr>
      <w:rFonts w:ascii="Calibri" w:hAnsi="Calibri" w:eastAsia="楷体_GB2312" w:cs="Times New Roman"/>
      <w:bCs/>
      <w:sz w:val="28"/>
      <w:szCs w:val="20"/>
    </w:rPr>
  </w:style>
  <w:style w:type="paragraph" w:customStyle="1" w:styleId="583">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84">
    <w:name w:val="默认段落字体 Para Char Char Char Char Char Char Char Char Char1"/>
    <w:basedOn w:val="1"/>
    <w:qFormat/>
    <w:uiPriority w:val="0"/>
    <w:pPr>
      <w:widowControl/>
      <w:jc w:val="left"/>
    </w:pPr>
    <w:rPr>
      <w:rFonts w:ascii="Calibri" w:hAnsi="Calibri" w:eastAsia="宋体" w:cs="Times New Roman"/>
      <w:szCs w:val="21"/>
    </w:rPr>
  </w:style>
  <w:style w:type="paragraph" w:customStyle="1" w:styleId="585">
    <w:name w:val="table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6">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87">
    <w:name w:val="xl5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588">
    <w:name w:val="_Style 7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9">
    <w:name w:val="小标题 1"/>
    <w:basedOn w:val="1"/>
    <w:qFormat/>
    <w:uiPriority w:val="0"/>
    <w:pPr>
      <w:widowControl/>
      <w:autoSpaceDE w:val="0"/>
      <w:autoSpaceDN w:val="0"/>
      <w:adjustRightInd w:val="0"/>
      <w:spacing w:line="360" w:lineRule="atLeast"/>
      <w:jc w:val="left"/>
    </w:pPr>
    <w:rPr>
      <w:rFonts w:ascii="文鼎粗黑" w:hAnsi="Calibri" w:eastAsia="文鼎粗黑" w:cs="Times New Roman"/>
      <w:kern w:val="0"/>
      <w:sz w:val="22"/>
      <w:szCs w:val="20"/>
    </w:rPr>
  </w:style>
  <w:style w:type="paragraph" w:customStyle="1" w:styleId="59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1">
    <w:name w:val="xl23"/>
    <w:basedOn w:val="1"/>
    <w:qFormat/>
    <w:uiPriority w:val="0"/>
    <w:pPr>
      <w:widowControl/>
      <w:pBdr>
        <w:top w:val="single" w:color="auto" w:sz="8" w:space="0"/>
      </w:pBdr>
      <w:shd w:val="clear" w:color="auto" w:fill="FFFFFF"/>
      <w:spacing w:before="100" w:beforeAutospacing="1" w:after="100" w:afterAutospacing="1"/>
      <w:jc w:val="center"/>
      <w:textAlignment w:val="bottom"/>
    </w:pPr>
    <w:rPr>
      <w:rFonts w:ascii="Arial" w:hAnsi="Arial" w:eastAsia="宋体" w:cs="Arial"/>
      <w:b/>
      <w:bCs/>
      <w:kern w:val="0"/>
      <w:sz w:val="44"/>
      <w:szCs w:val="44"/>
    </w:rPr>
  </w:style>
  <w:style w:type="paragraph" w:customStyle="1" w:styleId="592">
    <w:name w:val="E 正文"/>
    <w:basedOn w:val="1"/>
    <w:qFormat/>
    <w:uiPriority w:val="0"/>
    <w:pPr>
      <w:widowControl/>
      <w:spacing w:line="360" w:lineRule="auto"/>
      <w:jc w:val="left"/>
    </w:pPr>
    <w:rPr>
      <w:rFonts w:ascii="Times New Roman" w:hAnsi="Times New Roman" w:eastAsia="宋体" w:cs="黑体"/>
      <w:color w:val="000000"/>
      <w:kern w:val="0"/>
      <w:sz w:val="24"/>
      <w:szCs w:val="24"/>
    </w:rPr>
  </w:style>
  <w:style w:type="paragraph" w:customStyle="1" w:styleId="593">
    <w:name w:val="xl3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94">
    <w:name w:val="xl59"/>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95">
    <w:name w:val="Char1 Char Char Char"/>
    <w:basedOn w:val="1"/>
    <w:qFormat/>
    <w:uiPriority w:val="0"/>
    <w:pPr>
      <w:widowControl/>
      <w:jc w:val="left"/>
    </w:pPr>
    <w:rPr>
      <w:rFonts w:ascii="仿宋_GB2312" w:hAnsi="Calibri" w:eastAsia="仿宋_GB2312" w:cs="Times New Roman"/>
      <w:b/>
      <w:sz w:val="32"/>
      <w:szCs w:val="32"/>
    </w:rPr>
  </w:style>
  <w:style w:type="paragraph" w:customStyle="1" w:styleId="596">
    <w:name w:val="C标书正文（加粗后加）"/>
    <w:basedOn w:val="1"/>
    <w:qFormat/>
    <w:uiPriority w:val="0"/>
    <w:pPr>
      <w:widowControl/>
      <w:spacing w:after="240" w:line="360" w:lineRule="auto"/>
      <w:ind w:firstLine="426"/>
    </w:pPr>
    <w:rPr>
      <w:rFonts w:ascii="仿宋" w:hAnsi="仿宋" w:eastAsia="仿宋" w:cs="黑体"/>
      <w:b/>
      <w:color w:val="000000"/>
      <w:kern w:val="0"/>
      <w:sz w:val="24"/>
      <w:szCs w:val="24"/>
    </w:rPr>
  </w:style>
  <w:style w:type="paragraph" w:customStyle="1" w:styleId="597">
    <w:name w:val="straightmatter"/>
    <w:basedOn w:val="1"/>
    <w:qFormat/>
    <w:uiPriority w:val="0"/>
    <w:pPr>
      <w:widowControl/>
      <w:spacing w:before="120" w:after="120" w:line="288" w:lineRule="atLeast"/>
      <w:ind w:left="120" w:right="120"/>
      <w:jc w:val="left"/>
    </w:pPr>
    <w:rPr>
      <w:rFonts w:ascii="宋体" w:hAnsi="宋体" w:eastAsia="宋体" w:cs="Times New Roman"/>
      <w:color w:val="52987C"/>
      <w:kern w:val="0"/>
      <w:sz w:val="24"/>
      <w:szCs w:val="24"/>
    </w:rPr>
  </w:style>
  <w:style w:type="paragraph" w:customStyle="1" w:styleId="598">
    <w:name w:val="F11-1"/>
    <w:basedOn w:val="1"/>
    <w:qFormat/>
    <w:uiPriority w:val="0"/>
    <w:pPr>
      <w:widowControl/>
      <w:tabs>
        <w:tab w:val="left" w:pos="240"/>
        <w:tab w:val="left" w:pos="4680"/>
      </w:tabs>
      <w:adjustRightInd w:val="0"/>
      <w:spacing w:after="120"/>
      <w:jc w:val="left"/>
      <w:textAlignment w:val="baseline"/>
    </w:pPr>
    <w:rPr>
      <w:rFonts w:ascii="Calibri" w:hAnsi="Calibri" w:eastAsia="華康細圓體" w:cs="Times New Roman"/>
      <w:kern w:val="0"/>
      <w:sz w:val="24"/>
      <w:szCs w:val="20"/>
      <w:lang w:eastAsia="zh-TW"/>
    </w:rPr>
  </w:style>
  <w:style w:type="paragraph" w:customStyle="1" w:styleId="599">
    <w:name w:val="前言、引言标题"/>
    <w:next w:val="1"/>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600">
    <w:name w:val="xl53"/>
    <w:basedOn w:val="1"/>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01">
    <w:name w:val="默认段落字体 Para Char Char Char Char Char Char Char Char Char"/>
    <w:basedOn w:val="1"/>
    <w:qFormat/>
    <w:uiPriority w:val="0"/>
    <w:pPr>
      <w:widowControl/>
      <w:jc w:val="left"/>
    </w:pPr>
    <w:rPr>
      <w:rFonts w:ascii="Tahoma" w:hAnsi="Tahoma" w:eastAsia="宋体" w:cs="Tahoma"/>
      <w:sz w:val="24"/>
      <w:szCs w:val="24"/>
    </w:rPr>
  </w:style>
  <w:style w:type="paragraph" w:customStyle="1" w:styleId="602">
    <w:name w:val="msolistparagraph"/>
    <w:basedOn w:val="1"/>
    <w:qFormat/>
    <w:uiPriority w:val="0"/>
    <w:pPr>
      <w:ind w:firstLine="420" w:firstLineChars="200"/>
    </w:pPr>
    <w:rPr>
      <w:rFonts w:ascii="Calibri" w:hAnsi="Calibri" w:eastAsia="宋体" w:cs="Times New Roman"/>
      <w:szCs w:val="20"/>
    </w:rPr>
  </w:style>
  <w:style w:type="paragraph" w:customStyle="1" w:styleId="603">
    <w:name w:val="txt"/>
    <w:basedOn w:val="1"/>
    <w:qFormat/>
    <w:uiPriority w:val="0"/>
    <w:pPr>
      <w:widowControl/>
      <w:spacing w:before="100" w:beforeAutospacing="1" w:after="100" w:afterAutospacing="1" w:line="500" w:lineRule="atLeast"/>
      <w:jc w:val="left"/>
    </w:pPr>
    <w:rPr>
      <w:rFonts w:ascii="宋体" w:hAnsi="宋体" w:eastAsia="宋体" w:cs="Times New Roman"/>
      <w:kern w:val="0"/>
      <w:sz w:val="24"/>
      <w:szCs w:val="24"/>
    </w:rPr>
  </w:style>
  <w:style w:type="paragraph" w:customStyle="1" w:styleId="604">
    <w:name w:val="xl54"/>
    <w:basedOn w:val="1"/>
    <w:qFormat/>
    <w:uiPriority w:val="0"/>
    <w:pPr>
      <w:widowControl/>
      <w:pBdr>
        <w:bottom w:val="single" w:color="auto" w:sz="8" w:space="0"/>
        <w:right w:val="single" w:color="auto" w:sz="4" w:space="0"/>
      </w:pBdr>
      <w:spacing w:before="100" w:beforeAutospacing="1" w:after="100" w:afterAutospacing="1"/>
      <w:jc w:val="left"/>
    </w:pPr>
    <w:rPr>
      <w:rFonts w:ascii="Arial" w:hAnsi="Arial" w:eastAsia="宋体" w:cs="Arial"/>
      <w:b/>
      <w:bCs/>
      <w:kern w:val="0"/>
      <w:sz w:val="24"/>
      <w:szCs w:val="24"/>
    </w:rPr>
  </w:style>
  <w:style w:type="paragraph" w:customStyle="1" w:styleId="605">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6">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7">
    <w:name w:val="五级条标题"/>
    <w:basedOn w:val="608"/>
    <w:next w:val="396"/>
    <w:qFormat/>
    <w:uiPriority w:val="0"/>
    <w:pPr>
      <w:tabs>
        <w:tab w:val="left" w:pos="1200"/>
      </w:tabs>
      <w:outlineLvl w:val="6"/>
    </w:pPr>
  </w:style>
  <w:style w:type="paragraph" w:customStyle="1" w:styleId="608">
    <w:name w:val="四级条标题"/>
    <w:basedOn w:val="609"/>
    <w:next w:val="396"/>
    <w:qFormat/>
    <w:uiPriority w:val="0"/>
    <w:pPr>
      <w:tabs>
        <w:tab w:val="left" w:pos="1200"/>
      </w:tabs>
      <w:outlineLvl w:val="5"/>
    </w:pPr>
  </w:style>
  <w:style w:type="paragraph" w:customStyle="1" w:styleId="609">
    <w:name w:val="三级条标题"/>
    <w:basedOn w:val="610"/>
    <w:next w:val="396"/>
    <w:qFormat/>
    <w:uiPriority w:val="0"/>
    <w:pPr>
      <w:tabs>
        <w:tab w:val="left" w:pos="1200"/>
      </w:tabs>
      <w:outlineLvl w:val="4"/>
    </w:pPr>
  </w:style>
  <w:style w:type="paragraph" w:customStyle="1" w:styleId="610">
    <w:name w:val="二级条标题"/>
    <w:basedOn w:val="472"/>
    <w:next w:val="396"/>
    <w:qFormat/>
    <w:uiPriority w:val="0"/>
    <w:pPr>
      <w:outlineLvl w:val="3"/>
    </w:pPr>
    <w:rPr>
      <w:rFonts w:ascii="Calibri" w:hAnsi="Calibri" w:eastAsia="宋体"/>
    </w:rPr>
  </w:style>
  <w:style w:type="paragraph" w:customStyle="1" w:styleId="611">
    <w:name w:val="xl48"/>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12">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613">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614">
    <w:name w:val="默认段落字体 Para Char Char Char Char Char Char Char Char Char Char Char Char Char Char Char Char Char Char Char"/>
    <w:basedOn w:val="1"/>
    <w:qFormat/>
    <w:uiPriority w:val="0"/>
    <w:pPr>
      <w:widowControl/>
      <w:jc w:val="left"/>
    </w:pPr>
    <w:rPr>
      <w:rFonts w:ascii="Tahoma" w:hAnsi="Tahoma" w:eastAsia="宋体" w:cs="Times New Roman"/>
      <w:sz w:val="24"/>
      <w:szCs w:val="20"/>
    </w:rPr>
  </w:style>
  <w:style w:type="paragraph" w:customStyle="1" w:styleId="615">
    <w:name w:val="默认段落字体 Para Char Char Char Char111"/>
    <w:basedOn w:val="1"/>
    <w:qFormat/>
    <w:uiPriority w:val="0"/>
    <w:pPr>
      <w:widowControl/>
      <w:jc w:val="left"/>
    </w:pPr>
    <w:rPr>
      <w:rFonts w:ascii="Calibri" w:hAnsi="Calibri" w:eastAsia="宋体" w:cs="Calibri"/>
      <w:kern w:val="0"/>
      <w:sz w:val="24"/>
      <w:szCs w:val="24"/>
      <w:lang w:eastAsia="en-US"/>
    </w:rPr>
  </w:style>
  <w:style w:type="paragraph" w:customStyle="1" w:styleId="616">
    <w:name w:val="Revision1"/>
    <w:qFormat/>
    <w:uiPriority w:val="0"/>
    <w:rPr>
      <w:rFonts w:ascii="Times New Roman" w:hAnsi="Times New Roman" w:eastAsia="宋体" w:cs="Times New Roman"/>
      <w:kern w:val="2"/>
      <w:sz w:val="21"/>
      <w:lang w:val="en-US" w:eastAsia="zh-CN" w:bidi="ar-SA"/>
    </w:rPr>
  </w:style>
  <w:style w:type="paragraph" w:customStyle="1" w:styleId="617">
    <w:name w:val="xl5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w:hAnsi="Arial" w:eastAsia="宋体" w:cs="Arial"/>
      <w:kern w:val="0"/>
      <w:sz w:val="20"/>
      <w:szCs w:val="20"/>
    </w:rPr>
  </w:style>
  <w:style w:type="paragraph" w:customStyle="1" w:styleId="618">
    <w:name w:val="Char Char Char Char Char Char Char Char"/>
    <w:basedOn w:val="1"/>
    <w:qFormat/>
    <w:uiPriority w:val="0"/>
    <w:pPr>
      <w:widowControl/>
      <w:tabs>
        <w:tab w:val="left" w:pos="360"/>
      </w:tabs>
      <w:jc w:val="left"/>
    </w:pPr>
    <w:rPr>
      <w:rFonts w:ascii="Calibri" w:hAnsi="Calibri" w:eastAsia="宋体" w:cs="Times New Roman"/>
      <w:sz w:val="24"/>
      <w:szCs w:val="24"/>
    </w:rPr>
  </w:style>
  <w:style w:type="paragraph" w:customStyle="1" w:styleId="619">
    <w:name w:val="outden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20">
    <w:name w:val="默认段落字体 Para Char Char Char Char Char Char Char"/>
    <w:basedOn w:val="1"/>
    <w:qFormat/>
    <w:uiPriority w:val="0"/>
    <w:pPr>
      <w:widowControl/>
      <w:jc w:val="left"/>
    </w:pPr>
    <w:rPr>
      <w:rFonts w:ascii="Tahoma" w:hAnsi="Tahoma" w:eastAsia="宋体" w:cs="Times New Roman"/>
      <w:sz w:val="24"/>
      <w:szCs w:val="20"/>
    </w:rPr>
  </w:style>
  <w:style w:type="paragraph" w:customStyle="1" w:styleId="621">
    <w:name w:val="Char Char Char Char Char Char Char Char Char Char Char Char Char"/>
    <w:basedOn w:val="1"/>
    <w:qFormat/>
    <w:uiPriority w:val="0"/>
    <w:pPr>
      <w:tabs>
        <w:tab w:val="left" w:pos="432"/>
      </w:tabs>
      <w:ind w:left="432" w:hanging="432"/>
    </w:pPr>
    <w:rPr>
      <w:rFonts w:ascii="Calibri" w:hAnsi="Calibri" w:eastAsia="宋体" w:cs="Times New Roman"/>
    </w:rPr>
  </w:style>
  <w:style w:type="paragraph" w:customStyle="1" w:styleId="622">
    <w:name w:val="无间隔11"/>
    <w:basedOn w:val="1"/>
    <w:qFormat/>
    <w:uiPriority w:val="0"/>
    <w:pPr>
      <w:widowControl/>
    </w:pPr>
    <w:rPr>
      <w:rFonts w:ascii="Calibri" w:hAnsi="Calibri" w:eastAsia="宋体" w:cs="Calibri"/>
      <w:kern w:val="0"/>
      <w:szCs w:val="24"/>
      <w:lang w:eastAsia="en-US"/>
    </w:rPr>
  </w:style>
  <w:style w:type="paragraph" w:customStyle="1" w:styleId="623">
    <w:name w:val="xl6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624">
    <w:name w:val="p21"/>
    <w:basedOn w:val="1"/>
    <w:qFormat/>
    <w:uiPriority w:val="0"/>
    <w:pPr>
      <w:widowControl/>
      <w:ind w:firstLine="420"/>
    </w:pPr>
    <w:rPr>
      <w:rFonts w:ascii="Calibri" w:hAnsi="Calibri" w:eastAsia="宋体" w:cs="宋体"/>
      <w:kern w:val="0"/>
      <w:szCs w:val="21"/>
    </w:rPr>
  </w:style>
  <w:style w:type="paragraph" w:customStyle="1" w:styleId="625">
    <w:name w:val="Pa0"/>
    <w:basedOn w:val="1"/>
    <w:next w:val="1"/>
    <w:qFormat/>
    <w:uiPriority w:val="0"/>
    <w:pPr>
      <w:widowControl/>
      <w:autoSpaceDE w:val="0"/>
      <w:autoSpaceDN w:val="0"/>
      <w:adjustRightInd w:val="0"/>
      <w:spacing w:line="241" w:lineRule="atLeast"/>
      <w:jc w:val="left"/>
    </w:pPr>
    <w:rPr>
      <w:rFonts w:ascii="H Yg 2gj" w:hAnsi="Calibri" w:eastAsia="H Yg 2gj" w:cs="Times New Roman"/>
      <w:kern w:val="0"/>
      <w:sz w:val="24"/>
      <w:szCs w:val="24"/>
    </w:rPr>
  </w:style>
  <w:style w:type="paragraph" w:customStyle="1" w:styleId="626">
    <w:name w:val="xl50"/>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Times New Roman"/>
      <w:kern w:val="0"/>
      <w:sz w:val="20"/>
      <w:szCs w:val="20"/>
    </w:rPr>
  </w:style>
  <w:style w:type="paragraph" w:customStyle="1" w:styleId="627">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Calibri" w:hAnsi="Calibri" w:eastAsia="宋体" w:cs="Times New Roman"/>
      <w:b/>
      <w:bCs/>
      <w:kern w:val="0"/>
      <w:sz w:val="52"/>
      <w:szCs w:val="52"/>
    </w:rPr>
  </w:style>
  <w:style w:type="paragraph" w:customStyle="1" w:styleId="628">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w:hAnsi="Arial" w:eastAsia="宋体" w:cs="Arial"/>
      <w:kern w:val="0"/>
      <w:sz w:val="32"/>
      <w:szCs w:val="32"/>
    </w:rPr>
  </w:style>
  <w:style w:type="paragraph" w:customStyle="1" w:styleId="629">
    <w:name w:val="標題 1-1"/>
    <w:qFormat/>
    <w:uiPriority w:val="0"/>
    <w:pPr>
      <w:pBdr>
        <w:bottom w:val="threeDEngrave" w:color="auto" w:sz="36" w:space="1"/>
      </w:pBdr>
      <w:tabs>
        <w:tab w:val="left" w:pos="420"/>
      </w:tabs>
      <w:spacing w:after="480"/>
      <w:ind w:left="420" w:right="709" w:hanging="420"/>
    </w:pPr>
    <w:rPr>
      <w:rFonts w:ascii="Arial" w:hAnsi="Arial" w:eastAsia="PMingLiU" w:cs="Times New Roman"/>
      <w:b/>
      <w:sz w:val="40"/>
      <w:lang w:val="en-US" w:eastAsia="zh-CN" w:bidi="ar-SA"/>
    </w:rPr>
  </w:style>
  <w:style w:type="paragraph" w:customStyle="1" w:styleId="630">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631">
    <w:name w:val="xl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32">
    <w:name w:val="xl3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633">
    <w:name w:val="缺省文本"/>
    <w:basedOn w:val="1"/>
    <w:qFormat/>
    <w:uiPriority w:val="0"/>
    <w:pPr>
      <w:autoSpaceDE w:val="0"/>
      <w:autoSpaceDN w:val="0"/>
      <w:adjustRightInd w:val="0"/>
      <w:jc w:val="left"/>
    </w:pPr>
    <w:rPr>
      <w:rFonts w:ascii="Calibri" w:hAnsi="Calibri" w:eastAsia="宋体" w:cs="Times New Roman"/>
      <w:kern w:val="0"/>
      <w:sz w:val="24"/>
      <w:szCs w:val="24"/>
    </w:rPr>
  </w:style>
  <w:style w:type="paragraph" w:customStyle="1" w:styleId="634">
    <w:name w:val="Char Char1 Char"/>
    <w:basedOn w:val="1"/>
    <w:qFormat/>
    <w:uiPriority w:val="0"/>
    <w:pPr>
      <w:widowControl/>
      <w:jc w:val="left"/>
    </w:pPr>
    <w:rPr>
      <w:rFonts w:ascii="仿宋_GB2312" w:hAnsi="Calibri" w:eastAsia="仿宋_GB2312" w:cs="Times New Roman"/>
      <w:b/>
      <w:sz w:val="32"/>
      <w:szCs w:val="20"/>
    </w:rPr>
  </w:style>
  <w:style w:type="paragraph" w:customStyle="1" w:styleId="635">
    <w:name w:val="章标题"/>
    <w:next w:val="39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36">
    <w:name w:val="xl49"/>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37">
    <w:name w:val="List Paragraph3"/>
    <w:basedOn w:val="1"/>
    <w:qFormat/>
    <w:uiPriority w:val="0"/>
    <w:pPr>
      <w:ind w:firstLine="420" w:firstLineChars="200"/>
    </w:pPr>
    <w:rPr>
      <w:rFonts w:ascii="Calibri" w:hAnsi="Calibri" w:eastAsia="宋体" w:cs="Times New Roman"/>
    </w:rPr>
  </w:style>
  <w:style w:type="paragraph" w:customStyle="1" w:styleId="638">
    <w:name w:val="a2"/>
    <w:basedOn w:val="1"/>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639">
    <w:name w:val="樣式1"/>
    <w:basedOn w:val="640"/>
    <w:qFormat/>
    <w:uiPriority w:val="0"/>
    <w:pPr>
      <w:tabs>
        <w:tab w:val="left" w:pos="420"/>
        <w:tab w:val="left" w:pos="567"/>
        <w:tab w:val="left" w:pos="840"/>
        <w:tab w:val="left" w:pos="966"/>
        <w:tab w:val="left" w:pos="1800"/>
        <w:tab w:val="left" w:pos="2552"/>
      </w:tabs>
      <w:spacing w:before="40" w:after="40"/>
      <w:ind w:left="1276" w:hanging="284"/>
    </w:pPr>
    <w:rPr>
      <w:rFonts w:eastAsia="宋体"/>
    </w:rPr>
  </w:style>
  <w:style w:type="paragraph" w:customStyle="1" w:styleId="640">
    <w:name w:val="Bulle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41">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42">
    <w:name w:val="Char Char2 Char"/>
    <w:basedOn w:val="1"/>
    <w:qFormat/>
    <w:uiPriority w:val="0"/>
    <w:pPr>
      <w:keepNext/>
      <w:keepLines/>
      <w:pageBreakBefore/>
      <w:widowControl/>
      <w:tabs>
        <w:tab w:val="left" w:pos="845"/>
      </w:tabs>
      <w:ind w:left="845" w:hanging="420"/>
      <w:jc w:val="left"/>
    </w:pPr>
    <w:rPr>
      <w:rFonts w:ascii="Tahoma" w:hAnsi="Tahoma" w:eastAsia="宋体" w:cs="Times New Roman"/>
      <w:sz w:val="24"/>
      <w:szCs w:val="20"/>
    </w:rPr>
  </w:style>
  <w:style w:type="paragraph" w:customStyle="1" w:styleId="643">
    <w:name w:val="部分1"/>
    <w:basedOn w:val="1"/>
    <w:qFormat/>
    <w:uiPriority w:val="0"/>
    <w:pPr>
      <w:keepNext/>
      <w:pageBreakBefore/>
      <w:tabs>
        <w:tab w:val="left" w:pos="720"/>
      </w:tabs>
      <w:spacing w:line="360" w:lineRule="auto"/>
      <w:jc w:val="center"/>
      <w:outlineLvl w:val="0"/>
    </w:pPr>
    <w:rPr>
      <w:rFonts w:ascii="Calibri" w:hAnsi="Calibri" w:eastAsia="黑体" w:cs="Times New Roman"/>
      <w:b/>
      <w:kern w:val="44"/>
      <w:sz w:val="36"/>
      <w:szCs w:val="20"/>
    </w:rPr>
  </w:style>
  <w:style w:type="paragraph" w:customStyle="1" w:styleId="644">
    <w:name w:val="标书正文格式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645">
    <w:name w:val="Char2"/>
    <w:basedOn w:val="1"/>
    <w:qFormat/>
    <w:uiPriority w:val="0"/>
    <w:pPr>
      <w:widowControl/>
      <w:jc w:val="left"/>
    </w:pPr>
    <w:rPr>
      <w:rFonts w:ascii="Calibri" w:hAnsi="Calibri" w:eastAsia="仿宋_GB2312" w:cs="Times New Roman"/>
      <w:sz w:val="28"/>
      <w:szCs w:val="20"/>
    </w:rPr>
  </w:style>
  <w:style w:type="paragraph" w:customStyle="1" w:styleId="646">
    <w:name w:val="b"/>
    <w:basedOn w:val="1"/>
    <w:qFormat/>
    <w:uiPriority w:val="0"/>
    <w:pPr>
      <w:widowControl/>
      <w:adjustRightInd w:val="0"/>
      <w:snapToGrid w:val="0"/>
      <w:jc w:val="center"/>
    </w:pPr>
    <w:rPr>
      <w:rFonts w:ascii="仿宋_GB2312" w:hAnsi="Calibri" w:eastAsia="仿宋_GB2312" w:cs="Times New Roman"/>
      <w:sz w:val="24"/>
      <w:szCs w:val="24"/>
    </w:rPr>
  </w:style>
  <w:style w:type="paragraph" w:customStyle="1" w:styleId="647">
    <w:name w:val="正文文本缩进2"/>
    <w:basedOn w:val="1"/>
    <w:qFormat/>
    <w:uiPriority w:val="0"/>
    <w:pPr>
      <w:widowControl/>
      <w:spacing w:line="200" w:lineRule="atLeast"/>
      <w:ind w:firstLine="301"/>
      <w:jc w:val="left"/>
    </w:pPr>
    <w:rPr>
      <w:rFonts w:ascii="宋体" w:hAnsi="Courier New" w:eastAsia="宋体" w:cs="Times New Roman"/>
      <w:spacing w:val="-4"/>
      <w:sz w:val="18"/>
      <w:szCs w:val="20"/>
    </w:rPr>
  </w:style>
  <w:style w:type="paragraph" w:customStyle="1" w:styleId="648">
    <w:name w:val="content"/>
    <w:basedOn w:val="1"/>
    <w:qFormat/>
    <w:uiPriority w:val="0"/>
    <w:pPr>
      <w:widowControl/>
      <w:spacing w:before="100" w:beforeAutospacing="1" w:after="100" w:afterAutospacing="1" w:line="360" w:lineRule="atLeast"/>
      <w:jc w:val="left"/>
    </w:pPr>
    <w:rPr>
      <w:rFonts w:ascii="宋体" w:hAnsi="宋体" w:eastAsia="宋体" w:cs="Times New Roman"/>
      <w:color w:val="333333"/>
      <w:kern w:val="0"/>
      <w:szCs w:val="21"/>
    </w:rPr>
  </w:style>
  <w:style w:type="paragraph" w:customStyle="1" w:styleId="649">
    <w:name w:val="xl3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650">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52"/>
      <w:szCs w:val="52"/>
    </w:rPr>
  </w:style>
  <w:style w:type="paragraph" w:customStyle="1" w:styleId="65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eastAsia="宋体" w:cs="Arial"/>
      <w:kern w:val="0"/>
      <w:sz w:val="32"/>
      <w:szCs w:val="32"/>
    </w:rPr>
  </w:style>
  <w:style w:type="paragraph" w:customStyle="1" w:styleId="652">
    <w:name w:val="中等深浅网格 1 - 强调文字颜色 21"/>
    <w:basedOn w:val="1"/>
    <w:qFormat/>
    <w:uiPriority w:val="0"/>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653">
    <w:name w:val="表身"/>
    <w:basedOn w:val="1"/>
    <w:qFormat/>
    <w:uiPriority w:val="0"/>
    <w:pPr>
      <w:autoSpaceDE w:val="0"/>
      <w:autoSpaceDN w:val="0"/>
      <w:adjustRightInd w:val="0"/>
      <w:jc w:val="left"/>
    </w:pPr>
    <w:rPr>
      <w:rFonts w:ascii="Calibri" w:hAnsi="Calibri" w:eastAsia="宋体" w:cs="Times New Roman"/>
      <w:kern w:val="0"/>
      <w:sz w:val="18"/>
      <w:szCs w:val="20"/>
    </w:rPr>
  </w:style>
  <w:style w:type="paragraph" w:customStyle="1" w:styleId="654">
    <w:name w:val="font10"/>
    <w:basedOn w:val="1"/>
    <w:qFormat/>
    <w:uiPriority w:val="0"/>
    <w:pPr>
      <w:widowControl/>
      <w:spacing w:before="100" w:beforeAutospacing="1" w:after="100" w:afterAutospacing="1"/>
      <w:jc w:val="left"/>
    </w:pPr>
    <w:rPr>
      <w:rFonts w:ascii="Calibri" w:hAnsi="Calibri" w:eastAsia="宋体" w:cs="Times New Roman"/>
      <w:color w:val="FF0000"/>
      <w:kern w:val="0"/>
      <w:sz w:val="16"/>
      <w:szCs w:val="16"/>
    </w:rPr>
  </w:style>
  <w:style w:type="paragraph" w:customStyle="1" w:styleId="655">
    <w:name w:val="说明书3级标题"/>
    <w:basedOn w:val="1"/>
    <w:next w:val="1"/>
    <w:qFormat/>
    <w:uiPriority w:val="0"/>
    <w:pPr>
      <w:tabs>
        <w:tab w:val="left" w:pos="1572"/>
      </w:tabs>
      <w:spacing w:line="360" w:lineRule="auto"/>
      <w:ind w:left="1572" w:hanging="720"/>
    </w:pPr>
    <w:rPr>
      <w:rFonts w:ascii="Calibri" w:hAnsi="Calibri" w:eastAsia="黑体" w:cs="Times New Roman"/>
      <w:sz w:val="24"/>
      <w:szCs w:val="24"/>
    </w:rPr>
  </w:style>
  <w:style w:type="paragraph" w:customStyle="1" w:styleId="656">
    <w:name w:val="pchart_bodycm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7">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宋体" w:cs="Times New Roman"/>
      <w:kern w:val="0"/>
      <w:sz w:val="32"/>
      <w:szCs w:val="32"/>
    </w:rPr>
  </w:style>
  <w:style w:type="paragraph" w:customStyle="1" w:styleId="658">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9">
    <w:name w:val="xl47"/>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60">
    <w:name w:val="B标书正文（后加）"/>
    <w:qFormat/>
    <w:uiPriority w:val="0"/>
    <w:pPr>
      <w:spacing w:after="240" w:line="360" w:lineRule="auto"/>
      <w:ind w:firstLine="425" w:firstLineChars="177"/>
      <w:jc w:val="both"/>
    </w:pPr>
    <w:rPr>
      <w:rFonts w:ascii="仿宋" w:hAnsi="仿宋" w:eastAsia="仿宋" w:cs="Times New Roman"/>
      <w:color w:val="000000"/>
      <w:kern w:val="2"/>
      <w:sz w:val="24"/>
      <w:szCs w:val="24"/>
      <w:lang w:val="en-US" w:eastAsia="zh-CN" w:bidi="ar-SA"/>
    </w:rPr>
  </w:style>
  <w:style w:type="paragraph" w:customStyle="1" w:styleId="661">
    <w:name w:val="Pa10"/>
    <w:basedOn w:val="1"/>
    <w:next w:val="1"/>
    <w:qFormat/>
    <w:uiPriority w:val="0"/>
    <w:pPr>
      <w:widowControl/>
      <w:autoSpaceDE w:val="0"/>
      <w:autoSpaceDN w:val="0"/>
      <w:adjustRightInd w:val="0"/>
      <w:spacing w:before="20" w:line="136" w:lineRule="atLeast"/>
      <w:jc w:val="left"/>
    </w:pPr>
    <w:rPr>
      <w:rFonts w:ascii="Stone Sans" w:hAnsi="Stone Sans" w:eastAsia="宋体" w:cs="Times New Roman"/>
      <w:kern w:val="0"/>
      <w:sz w:val="24"/>
      <w:szCs w:val="24"/>
    </w:rPr>
  </w:style>
  <w:style w:type="paragraph" w:customStyle="1" w:styleId="662">
    <w:name w:val="标题3级"/>
    <w:basedOn w:val="5"/>
    <w:qFormat/>
    <w:uiPriority w:val="0"/>
    <w:pPr>
      <w:numPr>
        <w:ilvl w:val="2"/>
        <w:numId w:val="4"/>
      </w:numPr>
      <w:tabs>
        <w:tab w:val="left" w:pos="425"/>
        <w:tab w:val="left" w:pos="851"/>
        <w:tab w:val="left" w:pos="902"/>
        <w:tab w:val="clear" w:pos="567"/>
      </w:tabs>
      <w:spacing w:beforeLines="0"/>
      <w:ind w:firstLine="100" w:firstLineChars="100"/>
    </w:pPr>
    <w:rPr>
      <w:rFonts w:eastAsia="宋体"/>
      <w:bCs w:val="0"/>
      <w:color w:val="000000"/>
      <w:sz w:val="32"/>
      <w:szCs w:val="20"/>
    </w:rPr>
  </w:style>
  <w:style w:type="paragraph" w:customStyle="1" w:styleId="663">
    <w:name w:val="Pa11"/>
    <w:basedOn w:val="1"/>
    <w:next w:val="1"/>
    <w:qFormat/>
    <w:uiPriority w:val="0"/>
    <w:pPr>
      <w:autoSpaceDE w:val="0"/>
      <w:autoSpaceDN w:val="0"/>
      <w:adjustRightInd w:val="0"/>
      <w:spacing w:line="161" w:lineRule="atLeast"/>
      <w:jc w:val="left"/>
    </w:pPr>
    <w:rPr>
      <w:rFonts w:ascii="HP Simplified Hans Light" w:hAnsi="Calibri" w:eastAsia="HP Simplified Hans Light" w:cs="Times New Roman"/>
      <w:kern w:val="0"/>
      <w:sz w:val="24"/>
      <w:szCs w:val="24"/>
    </w:rPr>
  </w:style>
  <w:style w:type="paragraph" w:customStyle="1" w:styleId="664">
    <w:name w:val="TOC Heading1"/>
    <w:basedOn w:val="3"/>
    <w:next w:val="1"/>
    <w:qFormat/>
    <w:uiPriority w:val="0"/>
    <w:pPr>
      <w:tabs>
        <w:tab w:val="clear" w:pos="1440"/>
      </w:tabs>
      <w:spacing w:beforeLines="0" w:line="276" w:lineRule="auto"/>
      <w:jc w:val="left"/>
      <w:outlineLvl w:val="9"/>
    </w:pPr>
    <w:rPr>
      <w:rFonts w:ascii="Cambria" w:hAnsi="Cambria" w:eastAsia="宋体"/>
      <w:color w:val="365F91"/>
      <w:kern w:val="0"/>
      <w:sz w:val="28"/>
      <w:szCs w:val="28"/>
    </w:rPr>
  </w:style>
  <w:style w:type="paragraph" w:customStyle="1" w:styleId="665">
    <w:name w:val="xl39"/>
    <w:basedOn w:val="1"/>
    <w:qFormat/>
    <w:uiPriority w:val="0"/>
    <w:pPr>
      <w:widowControl/>
      <w:spacing w:before="100" w:beforeAutospacing="1" w:after="100" w:afterAutospacing="1"/>
      <w:jc w:val="left"/>
    </w:pPr>
    <w:rPr>
      <w:rFonts w:ascii="宋体" w:hAnsi="宋体" w:eastAsia="宋体" w:cs="Times New Roman"/>
      <w:b/>
      <w:bCs/>
      <w:kern w:val="0"/>
      <w:sz w:val="24"/>
      <w:szCs w:val="24"/>
    </w:rPr>
  </w:style>
  <w:style w:type="paragraph" w:customStyle="1" w:styleId="666">
    <w:name w:val="表项"/>
    <w:basedOn w:val="1"/>
    <w:qFormat/>
    <w:uiPriority w:val="0"/>
    <w:pPr>
      <w:autoSpaceDE w:val="0"/>
      <w:autoSpaceDN w:val="0"/>
      <w:adjustRightInd w:val="0"/>
      <w:spacing w:line="300" w:lineRule="auto"/>
      <w:jc w:val="center"/>
    </w:pPr>
    <w:rPr>
      <w:rFonts w:ascii="Arial" w:hAnsi="Arial" w:eastAsia="黑体" w:cs="Times New Roman"/>
      <w:kern w:val="0"/>
      <w:sz w:val="18"/>
      <w:szCs w:val="20"/>
    </w:rPr>
  </w:style>
  <w:style w:type="paragraph" w:customStyle="1" w:styleId="667">
    <w:name w:val="No Spacing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8">
    <w:name w:val="b13"/>
    <w:basedOn w:val="1"/>
    <w:qFormat/>
    <w:uiPriority w:val="0"/>
    <w:pPr>
      <w:widowControl/>
      <w:autoSpaceDE w:val="0"/>
      <w:autoSpaceDN w:val="0"/>
      <w:adjustRightInd w:val="0"/>
      <w:spacing w:after="120"/>
      <w:jc w:val="left"/>
      <w:textAlignment w:val="bottom"/>
    </w:pPr>
    <w:rPr>
      <w:rFonts w:ascii="Calibri" w:hAnsi="Calibri" w:eastAsia="華康粗圓體" w:cs="Times New Roman"/>
      <w:kern w:val="0"/>
      <w:sz w:val="26"/>
      <w:szCs w:val="20"/>
      <w:lang w:eastAsia="zh-TW"/>
    </w:rPr>
  </w:style>
  <w:style w:type="paragraph" w:customStyle="1" w:styleId="669">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670">
    <w:name w:val="xl3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71">
    <w:name w:val="item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2">
    <w:name w:val="Char Char Char"/>
    <w:basedOn w:val="1"/>
    <w:qFormat/>
    <w:uiPriority w:val="0"/>
    <w:pPr>
      <w:widowControl/>
      <w:jc w:val="left"/>
    </w:pPr>
    <w:rPr>
      <w:rFonts w:ascii="Tahoma" w:hAnsi="Tahoma" w:eastAsia="宋体" w:cs="Times New Roman"/>
      <w:sz w:val="24"/>
      <w:szCs w:val="20"/>
    </w:rPr>
  </w:style>
  <w:style w:type="paragraph" w:customStyle="1" w:styleId="673">
    <w:name w:val="小四 段落 宋体 Char Char Char"/>
    <w:basedOn w:val="16"/>
    <w:qFormat/>
    <w:uiPriority w:val="0"/>
    <w:pPr>
      <w:tabs>
        <w:tab w:val="left" w:pos="1320"/>
      </w:tabs>
      <w:spacing w:line="360" w:lineRule="auto"/>
      <w:ind w:left="0" w:right="-33" w:firstLine="480" w:firstLineChars="200"/>
      <w:jc w:val="left"/>
    </w:pPr>
    <w:rPr>
      <w:sz w:val="24"/>
      <w:szCs w:val="24"/>
    </w:rPr>
  </w:style>
  <w:style w:type="paragraph" w:customStyle="1" w:styleId="674">
    <w:name w:val="xl55"/>
    <w:basedOn w:val="1"/>
    <w:qFormat/>
    <w:uiPriority w:val="0"/>
    <w:pPr>
      <w:widowControl/>
      <w:pBdr>
        <w:bottom w:val="single" w:color="auto" w:sz="8" w:space="0"/>
        <w:right w:val="single" w:color="auto" w:sz="8"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75">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6">
    <w:name w:val="ordinary-output"/>
    <w:basedOn w:val="1"/>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677">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678">
    <w:name w:val="xl56"/>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79">
    <w:name w:val="Char1 Char Char Char Char Char Char"/>
    <w:basedOn w:val="1"/>
    <w:qFormat/>
    <w:uiPriority w:val="0"/>
    <w:rPr>
      <w:rFonts w:ascii="Calibri" w:hAnsi="Calibri" w:eastAsia="宋体" w:cs="Times New Roman"/>
      <w:szCs w:val="20"/>
    </w:rPr>
  </w:style>
  <w:style w:type="paragraph" w:customStyle="1" w:styleId="680">
    <w:name w:val="正文文本1"/>
    <w:basedOn w:val="1"/>
    <w:qFormat/>
    <w:uiPriority w:val="0"/>
    <w:pPr>
      <w:spacing w:after="120"/>
    </w:pPr>
    <w:rPr>
      <w:rFonts w:ascii="Calibri" w:hAnsi="Calibri" w:eastAsia="宋体" w:cs="Times New Roman"/>
      <w:kern w:val="0"/>
      <w:sz w:val="20"/>
      <w:szCs w:val="24"/>
    </w:rPr>
  </w:style>
  <w:style w:type="paragraph" w:customStyle="1" w:styleId="681">
    <w:name w:val="pied de page r閒.2"/>
    <w:qFormat/>
    <w:uiPriority w:val="0"/>
    <w:pPr>
      <w:spacing w:before="140"/>
      <w:jc w:val="center"/>
    </w:pPr>
    <w:rPr>
      <w:rFonts w:ascii="Helvetica" w:hAnsi="Helvetica" w:eastAsia="宋体" w:cs="Times New Roman"/>
      <w:caps/>
      <w:lang w:val="en-US" w:eastAsia="en-US" w:bidi="ar-SA"/>
    </w:rPr>
  </w:style>
  <w:style w:type="paragraph" w:customStyle="1" w:styleId="682">
    <w:name w:val="List 1"/>
    <w:basedOn w:val="1"/>
    <w:qFormat/>
    <w:uiPriority w:val="0"/>
    <w:pPr>
      <w:widowControl/>
      <w:overflowPunct w:val="0"/>
      <w:autoSpaceDE w:val="0"/>
      <w:autoSpaceDN w:val="0"/>
      <w:adjustRightInd w:val="0"/>
      <w:spacing w:line="360" w:lineRule="auto"/>
      <w:ind w:left="2520" w:hanging="360"/>
      <w:jc w:val="left"/>
      <w:textAlignment w:val="baseline"/>
    </w:pPr>
    <w:rPr>
      <w:rFonts w:ascii="宋体" w:hAnsi="Calibri" w:eastAsia="宋体" w:cs="Times New Roman"/>
      <w:kern w:val="0"/>
      <w:sz w:val="24"/>
      <w:szCs w:val="20"/>
    </w:rPr>
  </w:style>
  <w:style w:type="paragraph" w:customStyle="1" w:styleId="683">
    <w:name w:val="xl22"/>
    <w:basedOn w:val="1"/>
    <w:qFormat/>
    <w:uiPriority w:val="0"/>
    <w:pPr>
      <w:widowControl/>
      <w:pBdr>
        <w:top w:val="single" w:color="auto" w:sz="8" w:space="0"/>
        <w:left w:val="single" w:color="auto" w:sz="8" w:space="0"/>
      </w:pBdr>
      <w:shd w:val="clear" w:color="auto" w:fill="FFFFFF"/>
      <w:spacing w:before="100" w:beforeAutospacing="1" w:after="100" w:afterAutospacing="1"/>
      <w:jc w:val="left"/>
      <w:textAlignment w:val="bottom"/>
    </w:pPr>
    <w:rPr>
      <w:rFonts w:ascii="宋体" w:hAnsi="宋体" w:eastAsia="宋体" w:cs="Times New Roman"/>
      <w:b/>
      <w:bCs/>
      <w:kern w:val="0"/>
      <w:sz w:val="44"/>
      <w:szCs w:val="44"/>
    </w:rPr>
  </w:style>
  <w:style w:type="paragraph" w:customStyle="1" w:styleId="684">
    <w:name w:val="样式 样式 标题 4H4PIM 4h4bulletblbb标题 4 Charsect 1.2.3.4Ref Head... + ..."/>
    <w:basedOn w:val="1"/>
    <w:qFormat/>
    <w:uiPriority w:val="0"/>
    <w:pPr>
      <w:keepNext/>
      <w:keepLines/>
      <w:spacing w:beforeLines="50" w:afterLines="50" w:line="360" w:lineRule="auto"/>
      <w:ind w:left="3011" w:hanging="851"/>
      <w:jc w:val="left"/>
      <w:outlineLvl w:val="3"/>
    </w:pPr>
    <w:rPr>
      <w:rFonts w:ascii="黑体" w:hAnsi="宋体" w:eastAsia="黑体" w:cs="Times New Roman"/>
      <w:b/>
      <w:spacing w:val="-5"/>
      <w:sz w:val="28"/>
      <w:szCs w:val="20"/>
    </w:rPr>
  </w:style>
  <w:style w:type="paragraph" w:customStyle="1" w:styleId="685">
    <w:name w:val="Char Char19"/>
    <w:basedOn w:val="1"/>
    <w:qFormat/>
    <w:uiPriority w:val="0"/>
    <w:pPr>
      <w:widowControl/>
      <w:jc w:val="left"/>
    </w:pPr>
    <w:rPr>
      <w:rFonts w:ascii="Tahoma" w:hAnsi="Tahoma" w:eastAsia="宋体" w:cs="Times New Roman"/>
      <w:sz w:val="24"/>
      <w:szCs w:val="20"/>
    </w:rPr>
  </w:style>
  <w:style w:type="paragraph" w:customStyle="1" w:styleId="686">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87">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paragraph" w:customStyle="1" w:styleId="688">
    <w:name w:val="10号线正文"/>
    <w:basedOn w:val="1"/>
    <w:qFormat/>
    <w:uiPriority w:val="0"/>
    <w:pPr>
      <w:widowControl/>
      <w:spacing w:line="360" w:lineRule="auto"/>
      <w:ind w:firstLine="482" w:firstLineChars="200"/>
      <w:jc w:val="left"/>
    </w:pPr>
    <w:rPr>
      <w:rFonts w:ascii="宋体" w:hAnsi="Calibri" w:eastAsia="宋体" w:cs="宋体"/>
      <w:sz w:val="24"/>
      <w:szCs w:val="24"/>
    </w:rPr>
  </w:style>
  <w:style w:type="paragraph" w:customStyle="1" w:styleId="689">
    <w:name w:val="TOC 标题2"/>
    <w:basedOn w:val="3"/>
    <w:next w:val="1"/>
    <w:qFormat/>
    <w:uiPriority w:val="0"/>
    <w:pPr>
      <w:tabs>
        <w:tab w:val="clear" w:pos="1440"/>
      </w:tabs>
      <w:spacing w:beforeLines="0" w:line="276" w:lineRule="auto"/>
      <w:jc w:val="left"/>
      <w:outlineLvl w:val="9"/>
    </w:pPr>
    <w:rPr>
      <w:rFonts w:ascii="Cambria" w:hAnsi="Cambria" w:eastAsia="宋体"/>
      <w:color w:val="365F90"/>
      <w:kern w:val="0"/>
      <w:sz w:val="28"/>
      <w:szCs w:val="28"/>
    </w:rPr>
  </w:style>
  <w:style w:type="paragraph" w:customStyle="1" w:styleId="690">
    <w:name w:val="xl51"/>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w:hAnsi="Arial" w:eastAsia="宋体" w:cs="Arial"/>
      <w:color w:val="000000"/>
      <w:kern w:val="0"/>
      <w:sz w:val="20"/>
      <w:szCs w:val="20"/>
    </w:rPr>
  </w:style>
  <w:style w:type="paragraph" w:customStyle="1" w:styleId="691">
    <w:name w:val="样式 Verdana 首行缩进:  0.74 厘米"/>
    <w:basedOn w:val="1"/>
    <w:qFormat/>
    <w:uiPriority w:val="0"/>
    <w:pPr>
      <w:widowControl/>
      <w:jc w:val="left"/>
    </w:pPr>
    <w:rPr>
      <w:rFonts w:ascii="Verdana" w:hAnsi="Verdana" w:eastAsia="宋体" w:cs="Times New Roman"/>
      <w:szCs w:val="20"/>
    </w:rPr>
  </w:style>
  <w:style w:type="paragraph" w:customStyle="1" w:styleId="692">
    <w:name w:val="集群正文"/>
    <w:basedOn w:val="1"/>
    <w:qFormat/>
    <w:uiPriority w:val="0"/>
    <w:pPr>
      <w:spacing w:beforeLines="50" w:line="312" w:lineRule="auto"/>
      <w:ind w:firstLine="480" w:firstLineChars="200"/>
    </w:pPr>
    <w:rPr>
      <w:rFonts w:ascii="Calibri" w:hAnsi="Calibri" w:eastAsia="宋体" w:cs="Times New Roman"/>
      <w:sz w:val="28"/>
      <w:szCs w:val="20"/>
    </w:rPr>
  </w:style>
  <w:style w:type="paragraph" w:customStyle="1" w:styleId="693">
    <w:name w:val="引用1"/>
    <w:qFormat/>
    <w:uiPriority w:val="0"/>
    <w:pPr>
      <w:spacing w:after="160" w:line="240" w:lineRule="atLeast"/>
    </w:pPr>
    <w:rPr>
      <w:rFonts w:ascii="Arial" w:hAnsi="Arial" w:eastAsia="宋体" w:cs="Times New Roman"/>
      <w:i/>
      <w:color w:val="808080"/>
      <w:lang w:val="en-US" w:eastAsia="en-US" w:bidi="ar-SA"/>
    </w:rPr>
  </w:style>
  <w:style w:type="paragraph" w:customStyle="1" w:styleId="694">
    <w:name w:val="xl3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695">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96">
    <w:name w:val="font9"/>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697">
    <w:name w:val="技术方案正文样式"/>
    <w:basedOn w:val="1"/>
    <w:qFormat/>
    <w:uiPriority w:val="0"/>
    <w:pPr>
      <w:autoSpaceDE w:val="0"/>
      <w:autoSpaceDN w:val="0"/>
      <w:adjustRightInd w:val="0"/>
      <w:spacing w:line="400" w:lineRule="exact"/>
      <w:ind w:firstLine="480" w:firstLineChars="200"/>
    </w:pPr>
    <w:rPr>
      <w:rFonts w:ascii="宋体" w:hAnsi="宋体" w:eastAsia="宋体" w:cs="宋体"/>
      <w:sz w:val="24"/>
      <w:szCs w:val="21"/>
    </w:rPr>
  </w:style>
  <w:style w:type="paragraph" w:customStyle="1" w:styleId="698">
    <w:name w:val="Char Char Char Char Char Char Char"/>
    <w:basedOn w:val="1"/>
    <w:qFormat/>
    <w:uiPriority w:val="0"/>
    <w:pPr>
      <w:widowControl/>
      <w:tabs>
        <w:tab w:val="left" w:pos="432"/>
      </w:tabs>
      <w:ind w:left="432" w:hanging="432"/>
      <w:jc w:val="left"/>
    </w:pPr>
    <w:rPr>
      <w:rFonts w:ascii="Tahoma" w:hAnsi="Tahoma" w:eastAsia="宋体" w:cs="Times New Roman"/>
      <w:sz w:val="24"/>
      <w:szCs w:val="20"/>
    </w:rPr>
  </w:style>
  <w:style w:type="paragraph" w:customStyle="1" w:styleId="699">
    <w:name w:val="Char Char1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00">
    <w:name w:val="Char11"/>
    <w:basedOn w:val="1"/>
    <w:qFormat/>
    <w:uiPriority w:val="0"/>
    <w:pPr>
      <w:widowControl/>
      <w:jc w:val="left"/>
    </w:pPr>
    <w:rPr>
      <w:rFonts w:ascii="仿宋_GB2312" w:hAnsi="Calibri" w:eastAsia="仿宋_GB2312" w:cs="Times New Roman"/>
      <w:b/>
      <w:sz w:val="32"/>
      <w:szCs w:val="20"/>
    </w:rPr>
  </w:style>
  <w:style w:type="paragraph" w:customStyle="1" w:styleId="701">
    <w:name w:val="无间隔3"/>
    <w:basedOn w:val="1"/>
    <w:qFormat/>
    <w:uiPriority w:val="0"/>
    <w:pPr>
      <w:snapToGrid w:val="0"/>
    </w:pPr>
    <w:rPr>
      <w:rFonts w:ascii="仿宋_GB2312" w:hAnsi="Calibri" w:eastAsia="仿宋_GB2312" w:cs="Times New Roman"/>
      <w:b/>
      <w:kern w:val="0"/>
      <w:sz w:val="30"/>
      <w:szCs w:val="24"/>
    </w:rPr>
  </w:style>
  <w:style w:type="paragraph" w:customStyle="1" w:styleId="702">
    <w:name w:val="彩色列表 - 强调文字颜色 111"/>
    <w:basedOn w:val="1"/>
    <w:qFormat/>
    <w:uiPriority w:val="34"/>
    <w:pPr>
      <w:ind w:firstLine="420" w:firstLineChars="200"/>
    </w:pPr>
    <w:rPr>
      <w:rFonts w:ascii="Calibri" w:hAnsi="Calibri" w:eastAsia="宋体" w:cs="Times New Roman"/>
    </w:rPr>
  </w:style>
  <w:style w:type="paragraph" w:customStyle="1" w:styleId="703">
    <w:name w:val="小四 段落 宋体 Char Char"/>
    <w:basedOn w:val="1"/>
    <w:qFormat/>
    <w:uiPriority w:val="0"/>
    <w:pPr>
      <w:widowControl/>
      <w:spacing w:line="360" w:lineRule="auto"/>
      <w:ind w:firstLine="480" w:firstLineChars="200"/>
      <w:jc w:val="left"/>
    </w:pPr>
    <w:rPr>
      <w:rFonts w:ascii="宋体" w:hAnsi="宋体" w:eastAsia="宋体" w:cs="Times New Roman"/>
      <w:sz w:val="24"/>
      <w:szCs w:val="24"/>
    </w:rPr>
  </w:style>
  <w:style w:type="table" w:customStyle="1" w:styleId="704">
    <w:name w:val="中等深浅网格 31"/>
    <w:basedOn w:val="62"/>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705">
    <w:name w:val="题注1"/>
    <w:basedOn w:val="1"/>
    <w:next w:val="1"/>
    <w:unhideWhenUsed/>
    <w:qFormat/>
    <w:uiPriority w:val="99"/>
    <w:rPr>
      <w:rFonts w:ascii="Calibri Light" w:hAnsi="Calibri Light" w:eastAsia="黑体" w:cs="Times New Roman"/>
      <w:sz w:val="20"/>
      <w:szCs w:val="20"/>
    </w:rPr>
  </w:style>
  <w:style w:type="table" w:customStyle="1" w:styleId="706">
    <w:name w:val="网格型1"/>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07">
    <w:name w:val="批注文字 Char"/>
    <w:basedOn w:val="71"/>
    <w:qFormat/>
    <w:uiPriority w:val="99"/>
    <w:rPr>
      <w:rFonts w:ascii="Calibri" w:hAnsi="Calibri" w:eastAsia="宋体" w:cs="Times New Roman"/>
    </w:rPr>
  </w:style>
  <w:style w:type="paragraph" w:customStyle="1" w:styleId="708">
    <w:name w:val="ZJGIS-五级标题"/>
    <w:basedOn w:val="1"/>
    <w:qFormat/>
    <w:uiPriority w:val="0"/>
    <w:pPr>
      <w:numPr>
        <w:ilvl w:val="4"/>
        <w:numId w:val="5"/>
      </w:numPr>
      <w:spacing w:line="360" w:lineRule="auto"/>
      <w:ind w:firstLine="482" w:firstLineChars="200"/>
    </w:pPr>
    <w:rPr>
      <w:rFonts w:ascii="仿宋" w:hAnsi="仿宋" w:eastAsia="仿宋" w:cs="Times New Roman"/>
      <w:b/>
      <w:sz w:val="24"/>
      <w:szCs w:val="24"/>
    </w:rPr>
  </w:style>
  <w:style w:type="paragraph" w:customStyle="1" w:styleId="709">
    <w:name w:val="标题2"/>
    <w:basedOn w:val="4"/>
    <w:qFormat/>
    <w:uiPriority w:val="0"/>
    <w:pPr>
      <w:tabs>
        <w:tab w:val="left" w:pos="840"/>
      </w:tabs>
      <w:spacing w:line="416" w:lineRule="auto"/>
      <w:ind w:left="567" w:hanging="420"/>
    </w:pPr>
    <w:rPr>
      <w:rFonts w:ascii="Cambria" w:hAnsi="Cambria" w:eastAsia="宋体"/>
      <w:bCs/>
      <w:color w:val="000000"/>
      <w:szCs w:val="32"/>
    </w:rPr>
  </w:style>
  <w:style w:type="paragraph" w:customStyle="1" w:styleId="710">
    <w:name w:val="z-窗体底端1"/>
    <w:basedOn w:val="1"/>
    <w:next w:val="1"/>
    <w:qFormat/>
    <w:uiPriority w:val="0"/>
    <w:pPr>
      <w:pBdr>
        <w:top w:val="single" w:color="auto" w:sz="6" w:space="1"/>
      </w:pBdr>
      <w:jc w:val="center"/>
    </w:pPr>
    <w:rPr>
      <w:rFonts w:ascii="Arial" w:hAnsi="Arial" w:eastAsia="宋体" w:cs="Times New Roman"/>
      <w:vanish/>
      <w:sz w:val="16"/>
      <w:szCs w:val="16"/>
      <w:lang w:val="zh-CN"/>
    </w:rPr>
  </w:style>
  <w:style w:type="paragraph" w:customStyle="1" w:styleId="711">
    <w:name w:val="文章正文"/>
    <w:basedOn w:val="123"/>
    <w:qFormat/>
    <w:uiPriority w:val="0"/>
    <w:pPr>
      <w:widowControl/>
      <w:adjustRightInd w:val="0"/>
      <w:spacing w:beforeLines="0" w:afterLines="50" w:line="360" w:lineRule="auto"/>
      <w:ind w:firstLine="200" w:firstLineChars="200"/>
      <w:jc w:val="left"/>
      <w:textAlignment w:val="baseline"/>
    </w:pPr>
    <w:rPr>
      <w:rFonts w:ascii="Calibri" w:hAnsi="Calibri" w:eastAsia="仿宋_GB2312" w:cs="Times New Roman"/>
      <w:sz w:val="28"/>
      <w:szCs w:val="20"/>
    </w:rPr>
  </w:style>
  <w:style w:type="paragraph" w:customStyle="1" w:styleId="712">
    <w:name w:val="_Style 31"/>
    <w:basedOn w:val="1"/>
    <w:next w:val="116"/>
    <w:qFormat/>
    <w:uiPriority w:val="34"/>
    <w:pPr>
      <w:widowControl/>
      <w:adjustRightInd w:val="0"/>
      <w:spacing w:afterLines="50" w:line="360" w:lineRule="auto"/>
      <w:ind w:firstLine="420" w:firstLineChars="200"/>
      <w:jc w:val="left"/>
      <w:textAlignment w:val="baseline"/>
    </w:pPr>
    <w:rPr>
      <w:rFonts w:ascii="等线" w:hAnsi="等线" w:eastAsia="等线" w:cs="Times New Roman"/>
      <w:kern w:val="0"/>
      <w:sz w:val="28"/>
      <w:szCs w:val="20"/>
    </w:rPr>
  </w:style>
  <w:style w:type="paragraph" w:customStyle="1" w:styleId="713">
    <w:name w:val="列表段落11"/>
    <w:basedOn w:val="1"/>
    <w:qFormat/>
    <w:uiPriority w:val="34"/>
    <w:pPr>
      <w:ind w:firstLine="420" w:firstLineChars="200"/>
    </w:pPr>
    <w:rPr>
      <w:rFonts w:ascii="Calibri" w:hAnsi="Calibri" w:eastAsia="宋体" w:cs="Times New Roman"/>
    </w:rPr>
  </w:style>
  <w:style w:type="paragraph" w:customStyle="1" w:styleId="714">
    <w:name w:val="_Style 45"/>
    <w:basedOn w:val="1"/>
    <w:next w:val="116"/>
    <w:qFormat/>
    <w:uiPriority w:val="34"/>
    <w:pPr>
      <w:ind w:firstLine="420" w:firstLineChars="200"/>
    </w:pPr>
    <w:rPr>
      <w:rFonts w:ascii="Times New Roman" w:hAnsi="Times New Roman" w:eastAsia="宋体" w:cs="Times New Roman"/>
    </w:rPr>
  </w:style>
  <w:style w:type="paragraph" w:customStyle="1" w:styleId="71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17">
    <w:name w:val="无间隔4"/>
    <w:next w:val="718"/>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718">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9">
    <w:name w:val="A_表格头"/>
    <w:basedOn w:val="1"/>
    <w:qFormat/>
    <w:uiPriority w:val="0"/>
    <w:pPr>
      <w:jc w:val="center"/>
    </w:pPr>
    <w:rPr>
      <w:rFonts w:ascii="Times New Roman" w:hAnsi="Times New Roman" w:eastAsia="黑体" w:cs="Times New Roman"/>
      <w:bCs/>
      <w:kern w:val="0"/>
      <w:szCs w:val="20"/>
    </w:rPr>
  </w:style>
  <w:style w:type="paragraph" w:customStyle="1" w:styleId="720">
    <w:name w:val="A_表格正文（居中）"/>
    <w:basedOn w:val="1"/>
    <w:qFormat/>
    <w:uiPriority w:val="0"/>
    <w:pPr>
      <w:jc w:val="center"/>
    </w:pPr>
    <w:rPr>
      <w:rFonts w:ascii="Times New Roman" w:hAnsi="Times New Roman" w:eastAsia="仿宋" w:cs="Times New Roman"/>
      <w:kern w:val="0"/>
      <w:szCs w:val="20"/>
    </w:rPr>
  </w:style>
  <w:style w:type="paragraph" w:customStyle="1" w:styleId="721">
    <w:name w:val="A_表格正文（加黑）"/>
    <w:basedOn w:val="720"/>
    <w:qFormat/>
    <w:uiPriority w:val="0"/>
    <w:rPr>
      <w:b/>
      <w:color w:val="000000"/>
    </w:rPr>
  </w:style>
  <w:style w:type="character" w:customStyle="1" w:styleId="722">
    <w:name w:val="标题 Char"/>
    <w:qFormat/>
    <w:uiPriority w:val="0"/>
    <w:rPr>
      <w:rFonts w:ascii="宋体" w:hAnsi="Courier New" w:eastAsia="宋体" w:cs="Courier New"/>
      <w:kern w:val="2"/>
      <w:sz w:val="21"/>
      <w:szCs w:val="21"/>
      <w:lang w:val="en-US" w:eastAsia="zh-CN" w:bidi="ar-SA"/>
    </w:rPr>
  </w:style>
  <w:style w:type="character" w:customStyle="1" w:styleId="723">
    <w:name w:val="普通(网站) Char"/>
    <w:link w:val="57"/>
    <w:qFormat/>
    <w:locked/>
    <w:uiPriority w:val="0"/>
    <w:rPr>
      <w:rFonts w:ascii="(使用中文字体)" w:hAnsi="(使用中文字体)" w:cs="(使用中文字体)"/>
      <w:sz w:val="24"/>
      <w:szCs w:val="24"/>
    </w:rPr>
  </w:style>
  <w:style w:type="paragraph" w:customStyle="1" w:styleId="724">
    <w:name w:val="目录 54"/>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725">
    <w:name w:val="正文（首行缩进2字符）"/>
    <w:basedOn w:val="1"/>
    <w:qFormat/>
    <w:uiPriority w:val="0"/>
    <w:pPr>
      <w:wordWrap w:val="0"/>
      <w:spacing w:line="360" w:lineRule="auto"/>
      <w:ind w:firstLine="420" w:firstLineChars="200"/>
    </w:pPr>
    <w:rPr>
      <w:rFonts w:ascii="宋体" w:hAnsi="Calibri" w:eastAsia="宋体" w:cs="宋体"/>
      <w:szCs w:val="21"/>
    </w:rPr>
  </w:style>
  <w:style w:type="paragraph" w:customStyle="1" w:styleId="726">
    <w:name w:val="正文缩进2"/>
    <w:next w:val="1"/>
    <w:qFormat/>
    <w:uiPriority w:val="0"/>
    <w:pPr>
      <w:wordWrap w:val="0"/>
      <w:ind w:left="3400"/>
      <w:jc w:val="both"/>
    </w:pPr>
    <w:rPr>
      <w:rFonts w:ascii="Times New Roman" w:hAnsi="Times New Roman" w:eastAsia="宋体" w:cs="Times New Roman"/>
      <w:sz w:val="21"/>
      <w:lang w:val="en-US" w:eastAsia="zh-CN" w:bidi="ar-SA"/>
    </w:rPr>
  </w:style>
  <w:style w:type="paragraph" w:customStyle="1" w:styleId="727">
    <w:name w:val="[Normal]"/>
    <w:qFormat/>
    <w:uiPriority w:val="0"/>
    <w:rPr>
      <w:rFonts w:ascii="宋体" w:hAnsi="宋体" w:eastAsia="宋体" w:cs="Times New Roman"/>
      <w:sz w:val="24"/>
      <w:szCs w:val="22"/>
      <w:lang w:val="zh-CN" w:eastAsia="zh-CN" w:bidi="ar-SA"/>
    </w:rPr>
  </w:style>
  <w:style w:type="paragraph" w:customStyle="1" w:styleId="728">
    <w:name w:val="正文首行缩进 21"/>
    <w:basedOn w:val="395"/>
    <w:qFormat/>
    <w:uiPriority w:val="0"/>
    <w:pPr>
      <w:ind w:firstLine="420"/>
    </w:pPr>
  </w:style>
  <w:style w:type="table" w:customStyle="1" w:styleId="729">
    <w:name w:val="网格型2"/>
    <w:basedOn w:val="6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0">
    <w:name w:val="正文11"/>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95CAAC-BC24-45CE-A1BB-63BF97C254EE}">
  <ds:schemaRefs/>
</ds:datastoreItem>
</file>

<file path=docProps/app.xml><?xml version="1.0" encoding="utf-8"?>
<Properties xmlns="http://schemas.openxmlformats.org/officeDocument/2006/extended-properties" xmlns:vt="http://schemas.openxmlformats.org/officeDocument/2006/docPropsVTypes">
  <Template>Normal</Template>
  <Pages>1</Pages>
  <Words>7691</Words>
  <Characters>43839</Characters>
  <Lines>365</Lines>
  <Paragraphs>102</Paragraphs>
  <TotalTime>31</TotalTime>
  <ScaleCrop>false</ScaleCrop>
  <LinksUpToDate>false</LinksUpToDate>
  <CharactersWithSpaces>51428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2022-09-07T10:24:00Z</dcterms:created>
  <dc:creator>黄 晓</dc:creator>
  <cp:lastModifiedBy>浅笑</cp:lastModifiedBy>
  <cp:lastPrinted>2023-06-17T19:22:00Z</cp:lastPrinted>
  <dcterms:modified xsi:type="dcterms:W3CDTF">2023-10-27T02:47:13Z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3E13E378D28C484F9F528C10D7CDEE1D</vt:lpwstr>
  </property>
</Properties>
</file>