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新魏"/>
          <w:b/>
          <w:sz w:val="52"/>
          <w:szCs w:val="52"/>
        </w:rPr>
      </w:pPr>
      <w:bookmarkStart w:id="0" w:name="OLE_LINK1"/>
    </w:p>
    <w:p>
      <w:pPr>
        <w:jc w:val="center"/>
        <w:rPr>
          <w:rFonts w:eastAsia="华文新魏"/>
          <w:b/>
          <w:spacing w:val="-14"/>
          <w:sz w:val="52"/>
          <w:szCs w:val="52"/>
        </w:rPr>
      </w:pPr>
    </w:p>
    <w:p>
      <w:pPr>
        <w:jc w:val="center"/>
        <w:rPr>
          <w:rFonts w:eastAsia="华文新魏"/>
          <w:b/>
          <w:spacing w:val="-8"/>
          <w:sz w:val="52"/>
          <w:szCs w:val="52"/>
        </w:rPr>
      </w:pPr>
      <w:r>
        <w:rPr>
          <w:rFonts w:hint="eastAsia" w:eastAsia="华文新魏"/>
          <w:b/>
          <w:spacing w:val="-8"/>
          <w:sz w:val="52"/>
          <w:szCs w:val="52"/>
        </w:rPr>
        <w:t>舟山市食品药品检验检测研究院</w:t>
      </w:r>
    </w:p>
    <w:p>
      <w:pPr>
        <w:jc w:val="center"/>
        <w:rPr>
          <w:rFonts w:eastAsia="华文新魏"/>
          <w:b/>
          <w:spacing w:val="-8"/>
          <w:sz w:val="52"/>
          <w:szCs w:val="52"/>
        </w:rPr>
      </w:pPr>
      <w:r>
        <w:rPr>
          <w:rFonts w:hint="eastAsia" w:eastAsia="华文新魏"/>
          <w:b/>
          <w:spacing w:val="-8"/>
          <w:sz w:val="52"/>
          <w:szCs w:val="52"/>
        </w:rPr>
        <w:t>仪器设备采购项目</w:t>
      </w:r>
    </w:p>
    <w:p>
      <w:pPr>
        <w:snapToGrid w:val="0"/>
        <w:spacing w:line="312" w:lineRule="auto"/>
        <w:rPr>
          <w:rFonts w:eastAsia="华文新魏"/>
          <w:b/>
          <w:sz w:val="52"/>
        </w:rPr>
      </w:pPr>
    </w:p>
    <w:p>
      <w:pPr>
        <w:pStyle w:val="2"/>
        <w:ind w:firstLine="210"/>
      </w:pPr>
    </w:p>
    <w:p>
      <w:pPr>
        <w:snapToGrid w:val="0"/>
        <w:spacing w:line="312" w:lineRule="auto"/>
        <w:jc w:val="center"/>
        <w:rPr>
          <w:rFonts w:eastAsia="华文新魏"/>
          <w:b/>
          <w:sz w:val="52"/>
        </w:rPr>
      </w:pPr>
      <w:r>
        <w:rPr>
          <w:rFonts w:eastAsia="华文新魏"/>
          <w:b/>
          <w:sz w:val="52"/>
        </w:rPr>
        <w:t>招标文件</w:t>
      </w:r>
    </w:p>
    <w:p>
      <w:pPr>
        <w:snapToGrid w:val="0"/>
        <w:spacing w:before="120" w:line="312" w:lineRule="auto"/>
        <w:rPr>
          <w:rFonts w:eastAsia="华文新魏"/>
          <w:b/>
          <w:sz w:val="32"/>
        </w:rPr>
      </w:pPr>
    </w:p>
    <w:p>
      <w:pPr>
        <w:snapToGrid w:val="0"/>
        <w:spacing w:before="120" w:line="312" w:lineRule="auto"/>
        <w:rPr>
          <w:rFonts w:eastAsia="华文新魏"/>
          <w:b/>
          <w:sz w:val="32"/>
        </w:rPr>
      </w:pPr>
      <w:r>
        <w:rPr>
          <w:rFonts w:eastAsia="华文新魏"/>
          <w:b/>
          <w:sz w:val="32"/>
        </w:rPr>
        <w:t>项目编号：</w:t>
      </w:r>
      <w:r>
        <w:rPr>
          <w:rFonts w:hint="eastAsia" w:eastAsia="华文新魏"/>
          <w:b/>
          <w:sz w:val="32"/>
        </w:rPr>
        <w:t>SZGXZS2022129</w:t>
      </w:r>
    </w:p>
    <w:p>
      <w:pPr>
        <w:snapToGrid w:val="0"/>
        <w:spacing w:before="120" w:line="312" w:lineRule="auto"/>
        <w:ind w:left="1602" w:hanging="1602" w:hangingChars="500"/>
        <w:rPr>
          <w:rFonts w:eastAsia="华文新魏"/>
          <w:b/>
          <w:sz w:val="32"/>
        </w:rPr>
      </w:pPr>
    </w:p>
    <w:p>
      <w:pPr>
        <w:snapToGrid w:val="0"/>
        <w:spacing w:before="120" w:line="312" w:lineRule="auto"/>
        <w:ind w:left="1602" w:hanging="1602" w:hangingChars="500"/>
        <w:rPr>
          <w:rFonts w:eastAsia="华文新魏"/>
          <w:sz w:val="32"/>
        </w:rPr>
      </w:pPr>
      <w:r>
        <w:rPr>
          <w:rFonts w:eastAsia="华文新魏"/>
          <w:b/>
          <w:sz w:val="32"/>
        </w:rPr>
        <w:t>项目名称</w:t>
      </w:r>
      <w:r>
        <w:rPr>
          <w:rFonts w:eastAsia="华文新魏"/>
          <w:sz w:val="32"/>
        </w:rPr>
        <w:t>：</w:t>
      </w:r>
      <w:r>
        <w:rPr>
          <w:rFonts w:eastAsia="华文新魏"/>
          <w:b/>
          <w:sz w:val="32"/>
        </w:rPr>
        <w:t>舟山市食品药品检验检测研究院仪器设备采购项目</w:t>
      </w:r>
    </w:p>
    <w:p>
      <w:pPr>
        <w:snapToGrid w:val="0"/>
        <w:spacing w:before="120" w:line="312" w:lineRule="auto"/>
        <w:rPr>
          <w:rFonts w:eastAsia="华文新魏"/>
          <w:b/>
          <w:w w:val="95"/>
          <w:sz w:val="32"/>
        </w:rPr>
      </w:pPr>
    </w:p>
    <w:p>
      <w:pPr>
        <w:snapToGrid w:val="0"/>
        <w:spacing w:before="120" w:line="312" w:lineRule="auto"/>
        <w:ind w:left="1523" w:hanging="1522" w:hangingChars="500"/>
        <w:rPr>
          <w:rFonts w:eastAsia="华文新魏"/>
          <w:sz w:val="32"/>
        </w:rPr>
      </w:pPr>
      <w:r>
        <w:rPr>
          <w:rFonts w:eastAsia="华文新魏"/>
          <w:b/>
          <w:w w:val="95"/>
          <w:sz w:val="32"/>
        </w:rPr>
        <w:t>采购单位：</w:t>
      </w:r>
      <w:r>
        <w:rPr>
          <w:rFonts w:eastAsia="华文新魏"/>
          <w:b/>
          <w:sz w:val="32"/>
        </w:rPr>
        <w:t>舟山市食品药品检验检测研究院</w:t>
      </w:r>
    </w:p>
    <w:p>
      <w:pPr>
        <w:snapToGrid w:val="0"/>
        <w:spacing w:before="120" w:line="312" w:lineRule="auto"/>
        <w:rPr>
          <w:rFonts w:eastAsia="华文新魏"/>
          <w:b/>
          <w:w w:val="95"/>
          <w:sz w:val="32"/>
        </w:rPr>
      </w:pPr>
    </w:p>
    <w:p>
      <w:pPr>
        <w:snapToGrid w:val="0"/>
        <w:spacing w:before="120" w:line="312" w:lineRule="auto"/>
        <w:rPr>
          <w:rFonts w:eastAsia="华文新魏"/>
          <w:b/>
          <w:w w:val="95"/>
          <w:sz w:val="32"/>
        </w:rPr>
      </w:pPr>
      <w:r>
        <w:rPr>
          <w:rFonts w:eastAsia="华文新魏"/>
          <w:b/>
          <w:w w:val="95"/>
          <w:sz w:val="32"/>
        </w:rPr>
        <w:t>代理机构：深圳市国信招标有限公司</w:t>
      </w:r>
    </w:p>
    <w:p>
      <w:pPr>
        <w:snapToGrid w:val="0"/>
        <w:spacing w:before="120" w:line="312" w:lineRule="auto"/>
        <w:ind w:left="5974" w:hanging="5968" w:hangingChars="1961"/>
        <w:rPr>
          <w:rFonts w:eastAsia="华文新魏"/>
          <w:b/>
          <w:w w:val="95"/>
          <w:sz w:val="32"/>
        </w:rPr>
      </w:pPr>
    </w:p>
    <w:p>
      <w:pPr>
        <w:snapToGrid w:val="0"/>
        <w:spacing w:before="120" w:line="312" w:lineRule="auto"/>
        <w:rPr>
          <w:rFonts w:eastAsia="华文新魏"/>
          <w:b/>
          <w:w w:val="95"/>
          <w:sz w:val="32"/>
        </w:rPr>
      </w:pPr>
    </w:p>
    <w:p>
      <w:pPr>
        <w:snapToGrid w:val="0"/>
        <w:spacing w:before="120" w:line="312" w:lineRule="auto"/>
        <w:ind w:left="6046" w:leftChars="2625" w:hanging="533" w:hangingChars="175"/>
        <w:rPr>
          <w:rFonts w:eastAsia="华文新魏"/>
          <w:b/>
          <w:w w:val="95"/>
          <w:sz w:val="32"/>
        </w:rPr>
      </w:pPr>
      <w:r>
        <w:rPr>
          <w:rFonts w:eastAsia="华文新魏"/>
          <w:b/>
          <w:w w:val="95"/>
          <w:sz w:val="32"/>
        </w:rPr>
        <w:t>2022年</w:t>
      </w:r>
      <w:r>
        <w:rPr>
          <w:rFonts w:hint="eastAsia" w:eastAsia="华文新魏"/>
          <w:b/>
          <w:w w:val="95"/>
          <w:sz w:val="32"/>
        </w:rPr>
        <w:t>0</w:t>
      </w:r>
      <w:r>
        <w:rPr>
          <w:rFonts w:eastAsia="华文新魏"/>
          <w:b/>
          <w:w w:val="95"/>
          <w:sz w:val="32"/>
        </w:rPr>
        <w:t>8月19日</w:t>
      </w:r>
    </w:p>
    <w:p>
      <w:pPr>
        <w:snapToGrid w:val="0"/>
        <w:spacing w:before="120" w:line="312" w:lineRule="auto"/>
        <w:ind w:left="6057" w:leftChars="2409" w:hanging="998" w:hangingChars="328"/>
        <w:rPr>
          <w:rFonts w:eastAsia="华文新魏"/>
          <w:b/>
          <w:w w:val="95"/>
          <w:sz w:val="32"/>
        </w:rPr>
      </w:pPr>
    </w:p>
    <w:p>
      <w:pPr>
        <w:snapToGrid w:val="0"/>
        <w:spacing w:before="120" w:line="312" w:lineRule="auto"/>
        <w:rPr>
          <w:rFonts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eastAsia="创艺简标宋"/>
          <w:sz w:val="44"/>
        </w:rPr>
      </w:pPr>
    </w:p>
    <w:p>
      <w:pPr>
        <w:snapToGrid w:val="0"/>
        <w:spacing w:before="120" w:line="312" w:lineRule="auto"/>
        <w:jc w:val="center"/>
        <w:rPr>
          <w:b/>
          <w:sz w:val="44"/>
        </w:rPr>
      </w:pPr>
      <w:r>
        <w:rPr>
          <w:b/>
          <w:sz w:val="44"/>
        </w:rPr>
        <w:t>目录</w:t>
      </w:r>
    </w:p>
    <w:p>
      <w:pPr>
        <w:pStyle w:val="2"/>
        <w:ind w:firstLine="210"/>
        <w:rPr>
          <w:rFonts w:hAnsi="Times New Roman"/>
        </w:rPr>
      </w:pPr>
    </w:p>
    <w:p>
      <w:pPr>
        <w:widowControl/>
        <w:numPr>
          <w:ilvl w:val="0"/>
          <w:numId w:val="4"/>
        </w:numPr>
        <w:overflowPunct w:val="0"/>
        <w:autoSpaceDE w:val="0"/>
        <w:autoSpaceDN w:val="0"/>
        <w:adjustRightInd w:val="0"/>
        <w:snapToGrid w:val="0"/>
        <w:spacing w:line="360" w:lineRule="auto"/>
        <w:textAlignment w:val="baseline"/>
        <w:rPr>
          <w:sz w:val="24"/>
        </w:rPr>
      </w:pPr>
      <w:r>
        <w:rPr>
          <w:sz w:val="24"/>
        </w:rPr>
        <w:t>采购公告</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招标需求</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投标人须知</w:t>
      </w:r>
    </w:p>
    <w:p>
      <w:pPr>
        <w:snapToGrid w:val="0"/>
        <w:spacing w:line="360" w:lineRule="auto"/>
        <w:ind w:left="1440"/>
        <w:rPr>
          <w:sz w:val="24"/>
        </w:rPr>
      </w:pPr>
      <w:r>
        <w:rPr>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合同授予</w:t>
      </w:r>
    </w:p>
    <w:p>
      <w:pPr>
        <w:widowControl/>
        <w:overflowPunct w:val="0"/>
        <w:autoSpaceDE w:val="0"/>
        <w:autoSpaceDN w:val="0"/>
        <w:adjustRightInd w:val="0"/>
        <w:snapToGrid w:val="0"/>
        <w:spacing w:line="360" w:lineRule="auto"/>
        <w:ind w:left="165"/>
        <w:textAlignment w:val="baseline"/>
        <w:rPr>
          <w:sz w:val="24"/>
        </w:rPr>
      </w:pPr>
      <w:r>
        <w:rPr>
          <w:sz w:val="24"/>
        </w:rPr>
        <w:t>第四章</w:t>
      </w:r>
      <w:r>
        <w:rPr>
          <w:rFonts w:hint="eastAsia"/>
          <w:sz w:val="24"/>
        </w:rPr>
        <w:t xml:space="preserve"> </w:t>
      </w:r>
      <w:r>
        <w:rPr>
          <w:sz w:val="24"/>
        </w:rPr>
        <w:t xml:space="preserve"> 评标办法及评分标准</w:t>
      </w:r>
    </w:p>
    <w:p>
      <w:pPr>
        <w:widowControl/>
        <w:overflowPunct w:val="0"/>
        <w:autoSpaceDE w:val="0"/>
        <w:autoSpaceDN w:val="0"/>
        <w:adjustRightInd w:val="0"/>
        <w:snapToGrid w:val="0"/>
        <w:spacing w:line="360" w:lineRule="auto"/>
        <w:ind w:left="165"/>
        <w:textAlignment w:val="baseline"/>
        <w:rPr>
          <w:sz w:val="24"/>
        </w:rPr>
      </w:pPr>
      <w:r>
        <w:rPr>
          <w:sz w:val="24"/>
        </w:rPr>
        <w:t>第五章</w:t>
      </w:r>
      <w:r>
        <w:rPr>
          <w:rFonts w:hint="eastAsia"/>
          <w:sz w:val="24"/>
        </w:rPr>
        <w:t xml:space="preserve"> </w:t>
      </w:r>
      <w:r>
        <w:rPr>
          <w:sz w:val="24"/>
        </w:rPr>
        <w:t xml:space="preserve"> 政府采购合同主要条款</w:t>
      </w:r>
    </w:p>
    <w:p>
      <w:pPr>
        <w:widowControl/>
        <w:overflowPunct w:val="0"/>
        <w:autoSpaceDE w:val="0"/>
        <w:autoSpaceDN w:val="0"/>
        <w:adjustRightInd w:val="0"/>
        <w:snapToGrid w:val="0"/>
        <w:spacing w:line="360" w:lineRule="auto"/>
        <w:ind w:left="165"/>
        <w:textAlignment w:val="baseline"/>
        <w:rPr>
          <w:sz w:val="24"/>
        </w:rPr>
      </w:pPr>
      <w:r>
        <w:rPr>
          <w:sz w:val="24"/>
        </w:rPr>
        <w:t>第六章</w:t>
      </w:r>
      <w:r>
        <w:rPr>
          <w:rFonts w:hint="eastAsia"/>
          <w:sz w:val="24"/>
        </w:rPr>
        <w:t xml:space="preserve"> </w:t>
      </w:r>
      <w:r>
        <w:rPr>
          <w:sz w:val="24"/>
        </w:rPr>
        <w:t xml:space="preserve"> 投标文件相关格式</w:t>
      </w: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sectPr>
          <w:pgSz w:w="11906" w:h="16838"/>
          <w:pgMar w:top="1304" w:right="1106" w:bottom="1304" w:left="1531" w:header="1304" w:footer="1304" w:gutter="0"/>
          <w:cols w:space="720" w:num="1"/>
        </w:sectPr>
      </w:pPr>
    </w:p>
    <w:p>
      <w:pPr>
        <w:snapToGrid w:val="0"/>
        <w:spacing w:before="120" w:line="312" w:lineRule="auto"/>
        <w:jc w:val="center"/>
        <w:outlineLvl w:val="0"/>
        <w:rPr>
          <w:rFonts w:eastAsia="黑体"/>
          <w:sz w:val="30"/>
        </w:rPr>
      </w:pPr>
      <w:r>
        <w:rPr>
          <w:rFonts w:eastAsia="黑体"/>
          <w:sz w:val="30"/>
        </w:rPr>
        <w:t>第一章公开招标采购公告</w:t>
      </w:r>
    </w:p>
    <w:p>
      <w:pPr>
        <w:spacing w:line="312" w:lineRule="auto"/>
      </w:pPr>
    </w:p>
    <w:p>
      <w:pPr>
        <w:spacing w:line="360" w:lineRule="auto"/>
        <w:ind w:firstLine="420" w:firstLineChars="200"/>
        <w:rPr>
          <w:szCs w:val="21"/>
        </w:rPr>
      </w:pPr>
      <w:r>
        <w:t>根据《中华人民</w:t>
      </w:r>
      <w:r>
        <w:rPr>
          <w:szCs w:val="21"/>
        </w:rPr>
        <w:t>共和国政府采购法》等规定，受舟山市食品药品检验检测研究院委托，现就舟山市食品药品检验检测研究院仪器设备采购项目进行公开招标，欢迎符合资质要求并能提供相关服务的供应商参加投标。</w:t>
      </w:r>
    </w:p>
    <w:p>
      <w:pPr>
        <w:widowControl/>
        <w:spacing w:line="360" w:lineRule="auto"/>
        <w:jc w:val="left"/>
        <w:rPr>
          <w:rStyle w:val="40"/>
          <w:bCs/>
          <w:szCs w:val="21"/>
        </w:rPr>
      </w:pPr>
      <w:r>
        <w:rPr>
          <w:rStyle w:val="40"/>
          <w:bCs/>
          <w:szCs w:val="21"/>
        </w:rPr>
        <w:t>一、项目名称：</w:t>
      </w:r>
      <w:r>
        <w:rPr>
          <w:rFonts w:hint="eastAsia"/>
          <w:szCs w:val="21"/>
        </w:rPr>
        <w:t>舟山市食品药品检验检测研究院仪器设备采购项目</w:t>
      </w:r>
    </w:p>
    <w:p>
      <w:pPr>
        <w:widowControl/>
        <w:spacing w:line="360" w:lineRule="auto"/>
        <w:jc w:val="left"/>
        <w:rPr>
          <w:b/>
          <w:bCs/>
          <w:sz w:val="28"/>
          <w:szCs w:val="28"/>
        </w:rPr>
      </w:pPr>
      <w:r>
        <w:rPr>
          <w:rStyle w:val="40"/>
          <w:bCs/>
          <w:szCs w:val="21"/>
        </w:rPr>
        <w:t>二、招标项目编号：</w:t>
      </w:r>
      <w:r>
        <w:rPr>
          <w:rFonts w:hint="eastAsia"/>
          <w:kern w:val="0"/>
          <w:szCs w:val="21"/>
          <w:shd w:val="clear" w:color="auto" w:fill="FFFFFF"/>
        </w:rPr>
        <w:t>SZGXZS2022129</w:t>
      </w:r>
    </w:p>
    <w:p>
      <w:pPr>
        <w:pStyle w:val="79"/>
        <w:spacing w:beforeAutospacing="0" w:afterAutospacing="0" w:line="360" w:lineRule="auto"/>
        <w:jc w:val="both"/>
        <w:rPr>
          <w:rFonts w:ascii="Times New Roman" w:hAnsi="Times New Roman"/>
          <w:sz w:val="21"/>
          <w:szCs w:val="21"/>
          <w:shd w:val="clear" w:color="auto" w:fill="FFFFFF"/>
        </w:rPr>
      </w:pPr>
      <w:r>
        <w:rPr>
          <w:rStyle w:val="40"/>
          <w:bCs/>
          <w:sz w:val="21"/>
          <w:szCs w:val="21"/>
        </w:rPr>
        <w:t>三、采购组织类型：</w:t>
      </w:r>
      <w:r>
        <w:rPr>
          <w:rFonts w:ascii="Times New Roman" w:hAnsi="Times New Roman"/>
          <w:sz w:val="21"/>
          <w:szCs w:val="21"/>
          <w:shd w:val="clear" w:color="auto" w:fill="FFFFFF"/>
        </w:rPr>
        <w:t>分散采购委托代理</w:t>
      </w:r>
    </w:p>
    <w:p>
      <w:pPr>
        <w:pStyle w:val="79"/>
        <w:spacing w:beforeAutospacing="0" w:afterAutospacing="0" w:line="360" w:lineRule="auto"/>
        <w:jc w:val="both"/>
        <w:rPr>
          <w:rFonts w:ascii="Times New Roman" w:hAnsi="Times New Roman"/>
          <w:b/>
          <w:bCs/>
          <w:sz w:val="21"/>
          <w:szCs w:val="21"/>
        </w:rPr>
      </w:pPr>
      <w:r>
        <w:rPr>
          <w:rStyle w:val="40"/>
          <w:bCs/>
          <w:sz w:val="21"/>
          <w:szCs w:val="21"/>
        </w:rPr>
        <w:t>四、招标项目概况（内容、用途、数量、简要技术要求等）:</w:t>
      </w:r>
    </w:p>
    <w:tbl>
      <w:tblPr>
        <w:tblStyle w:val="37"/>
        <w:tblW w:w="850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544"/>
        <w:gridCol w:w="1417"/>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3544" w:type="dxa"/>
            <w:tcMar>
              <w:top w:w="75" w:type="dxa"/>
              <w:left w:w="75" w:type="dxa"/>
              <w:bottom w:w="75" w:type="dxa"/>
              <w:right w:w="75" w:type="dxa"/>
            </w:tcMar>
            <w:vAlign w:val="center"/>
          </w:tcPr>
          <w:p>
            <w:pPr>
              <w:widowControl/>
              <w:spacing w:beforeAutospacing="1" w:afterAutospacing="1"/>
              <w:jc w:val="center"/>
              <w:rPr>
                <w:rFonts w:asciiTheme="minorEastAsia" w:hAnsiTheme="minorEastAsia" w:eastAsiaTheme="minorEastAsia"/>
                <w:kern w:val="0"/>
                <w:szCs w:val="21"/>
              </w:rPr>
            </w:pPr>
            <w:r>
              <w:rPr>
                <w:rFonts w:asciiTheme="minorEastAsia" w:hAnsiTheme="minorEastAsia" w:eastAsiaTheme="minorEastAsia"/>
                <w:kern w:val="0"/>
                <w:szCs w:val="21"/>
              </w:rPr>
              <w:t>项目名称</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数量/单位</w:t>
            </w:r>
          </w:p>
        </w:tc>
        <w:tc>
          <w:tcPr>
            <w:tcW w:w="1985"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预算金额</w:t>
            </w:r>
            <w:r>
              <w:rPr>
                <w:rFonts w:hint="eastAsia" w:asciiTheme="minorEastAsia" w:hAnsiTheme="minorEastAsia" w:eastAsiaTheme="minorEastAsia"/>
                <w:kern w:val="0"/>
                <w:szCs w:val="21"/>
              </w:rPr>
              <w:t>（万元）</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3544" w:type="dxa"/>
            <w:tcMar>
              <w:top w:w="75" w:type="dxa"/>
              <w:left w:w="75" w:type="dxa"/>
              <w:bottom w:w="75" w:type="dxa"/>
              <w:right w:w="75" w:type="dxa"/>
            </w:tcMar>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液相色谱高分辨质谱联用仪</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1套</w:t>
            </w:r>
          </w:p>
        </w:tc>
        <w:tc>
          <w:tcPr>
            <w:tcW w:w="1985" w:type="dxa"/>
            <w:vMerge w:val="restart"/>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520</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氮吹仪专用氮气发生器</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2台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bCs/>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709"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高速冷冻研磨均质仪</w:t>
            </w:r>
          </w:p>
        </w:tc>
        <w:tc>
          <w:tcPr>
            <w:tcW w:w="1417"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1台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bCs/>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国产</w:t>
            </w:r>
          </w:p>
        </w:tc>
      </w:tr>
    </w:tbl>
    <w:p>
      <w:pPr>
        <w:pStyle w:val="79"/>
        <w:spacing w:beforeAutospacing="0" w:afterAutospacing="0" w:line="360" w:lineRule="auto"/>
        <w:jc w:val="both"/>
        <w:rPr>
          <w:rStyle w:val="40"/>
          <w:bCs/>
          <w:sz w:val="21"/>
          <w:szCs w:val="21"/>
        </w:rPr>
      </w:pPr>
    </w:p>
    <w:p>
      <w:pPr>
        <w:pStyle w:val="79"/>
        <w:spacing w:beforeAutospacing="0" w:afterAutospacing="0" w:line="360" w:lineRule="auto"/>
        <w:jc w:val="both"/>
        <w:rPr>
          <w:rStyle w:val="40"/>
          <w:b w:val="0"/>
          <w:sz w:val="21"/>
          <w:szCs w:val="21"/>
        </w:rPr>
      </w:pPr>
      <w:r>
        <w:rPr>
          <w:rStyle w:val="40"/>
          <w:bCs/>
          <w:sz w:val="21"/>
          <w:szCs w:val="21"/>
        </w:rPr>
        <w:t>五、投标供应商资格要求:</w:t>
      </w:r>
    </w:p>
    <w:p>
      <w:pPr>
        <w:pStyle w:val="79"/>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hint="eastAsia" w:cs="宋体"/>
          <w:sz w:val="21"/>
          <w:szCs w:val="21"/>
        </w:rPr>
        <w:t>①</w:t>
      </w:r>
      <w:r>
        <w:rPr>
          <w:rFonts w:ascii="Times New Roman" w:hAnsi="Times New Roman"/>
          <w:sz w:val="21"/>
          <w:szCs w:val="21"/>
        </w:rPr>
        <w:t>具有独立承担民事责任的能力；</w:t>
      </w:r>
      <w:r>
        <w:rPr>
          <w:rFonts w:hint="eastAsia" w:cs="宋体"/>
          <w:sz w:val="21"/>
          <w:szCs w:val="21"/>
        </w:rPr>
        <w:t>②</w:t>
      </w:r>
      <w:r>
        <w:rPr>
          <w:rFonts w:ascii="Times New Roman" w:hAnsi="Times New Roman"/>
          <w:sz w:val="21"/>
          <w:szCs w:val="21"/>
        </w:rPr>
        <w:t>具有良好的商业信誉和健全的财务会计制度；</w:t>
      </w:r>
      <w:r>
        <w:rPr>
          <w:rFonts w:hint="eastAsia" w:cs="宋体"/>
          <w:sz w:val="21"/>
          <w:szCs w:val="21"/>
        </w:rPr>
        <w:t>③</w:t>
      </w:r>
      <w:r>
        <w:rPr>
          <w:rFonts w:ascii="Times New Roman" w:hAnsi="Times New Roman"/>
          <w:sz w:val="21"/>
          <w:szCs w:val="21"/>
        </w:rPr>
        <w:t>具有履行合同所必需的设备和专业技术能力；</w:t>
      </w:r>
      <w:r>
        <w:rPr>
          <w:rFonts w:hint="eastAsia" w:cs="宋体"/>
          <w:sz w:val="21"/>
          <w:szCs w:val="21"/>
        </w:rPr>
        <w:t>④</w:t>
      </w:r>
      <w:r>
        <w:rPr>
          <w:rFonts w:ascii="Times New Roman" w:hAnsi="Times New Roman"/>
          <w:sz w:val="21"/>
          <w:szCs w:val="21"/>
        </w:rPr>
        <w:t>参加政府采购活动前三年内，无依法缴纳税收和社会保障资金的不良记录；</w:t>
      </w:r>
      <w:r>
        <w:rPr>
          <w:rFonts w:hint="eastAsia" w:cs="宋体"/>
          <w:sz w:val="21"/>
          <w:szCs w:val="21"/>
        </w:rPr>
        <w:t>⑤</w:t>
      </w:r>
      <w:r>
        <w:rPr>
          <w:rFonts w:ascii="Times New Roman" w:hAnsi="Times New Roman"/>
          <w:sz w:val="21"/>
          <w:szCs w:val="21"/>
        </w:rPr>
        <w:t>参加政府采购活动前三年内，在经营活动中没有重大违法记录；</w:t>
      </w:r>
      <w:r>
        <w:rPr>
          <w:rFonts w:hint="eastAsia" w:cs="宋体"/>
          <w:sz w:val="21"/>
          <w:szCs w:val="21"/>
        </w:rPr>
        <w:t>⑥</w:t>
      </w:r>
      <w:r>
        <w:rPr>
          <w:rFonts w:ascii="Times New Roman" w:hAnsi="Times New Roman"/>
          <w:sz w:val="21"/>
          <w:szCs w:val="21"/>
        </w:rPr>
        <w:t>法律、行政法规规定的其他条件。</w:t>
      </w:r>
    </w:p>
    <w:p>
      <w:pPr>
        <w:pStyle w:val="79"/>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未被“信用中国”（www.creditchina.gov.cn）、中国政府采购网（www.ccgp.gov.cn）列入失信被执行人、重大税收违法案件当事人名单、政府采购严重违法失信行为记录名单。</w:t>
      </w:r>
    </w:p>
    <w:p>
      <w:pPr>
        <w:pStyle w:val="79"/>
        <w:shd w:val="clear" w:color="auto" w:fill="FFFFFF"/>
        <w:spacing w:beforeAutospacing="0" w:afterAutospacing="0" w:line="360" w:lineRule="auto"/>
        <w:ind w:firstLine="422" w:firstLineChars="200"/>
        <w:rPr>
          <w:rFonts w:ascii="Times New Roman" w:hAnsi="Times New Roman"/>
          <w:b/>
          <w:color w:val="FF0000"/>
          <w:sz w:val="21"/>
          <w:szCs w:val="21"/>
        </w:rPr>
      </w:pPr>
      <w:r>
        <w:rPr>
          <w:rFonts w:hint="eastAsia" w:ascii="Times New Roman" w:hAnsi="Times New Roman"/>
          <w:b/>
          <w:sz w:val="21"/>
          <w:szCs w:val="21"/>
        </w:rPr>
        <w:t>3.</w:t>
      </w:r>
      <w:r>
        <w:rPr>
          <w:rFonts w:hint="eastAsia" w:ascii="Times New Roman" w:hAnsi="Times New Roman"/>
          <w:b/>
          <w:color w:val="FF0000"/>
          <w:sz w:val="21"/>
          <w:szCs w:val="21"/>
        </w:rPr>
        <w:t>本项目不专门面向中小企业，不预留份额。（本项目对应的中小企业划分标准所属行业：工业。）</w:t>
      </w:r>
    </w:p>
    <w:p>
      <w:pPr>
        <w:pStyle w:val="79"/>
        <w:shd w:val="clear" w:color="auto" w:fill="FFFFFF"/>
        <w:spacing w:beforeAutospacing="0" w:afterAutospacing="0" w:line="360" w:lineRule="auto"/>
        <w:rPr>
          <w:rFonts w:ascii="Times New Roman" w:hAnsi="Times New Roman"/>
          <w:sz w:val="21"/>
          <w:szCs w:val="21"/>
        </w:rPr>
      </w:pPr>
      <w:r>
        <w:rPr>
          <w:rStyle w:val="40"/>
          <w:bCs/>
          <w:sz w:val="21"/>
          <w:szCs w:val="21"/>
        </w:rPr>
        <w:t>六、</w:t>
      </w:r>
      <w:r>
        <w:rPr>
          <w:rFonts w:ascii="Times New Roman" w:hAnsi="Times New Roman"/>
          <w:b/>
          <w:sz w:val="21"/>
          <w:szCs w:val="21"/>
        </w:rPr>
        <w:t>公告期限：</w:t>
      </w:r>
      <w:r>
        <w:rPr>
          <w:rFonts w:ascii="Times New Roman" w:hAnsi="Times New Roman"/>
          <w:b/>
          <w:sz w:val="21"/>
          <w:szCs w:val="21"/>
          <w:u w:val="single"/>
        </w:rPr>
        <w:t>自公告发布之日起5个工作日</w:t>
      </w:r>
    </w:p>
    <w:p>
      <w:pPr>
        <w:snapToGrid w:val="0"/>
        <w:spacing w:line="360" w:lineRule="auto"/>
        <w:rPr>
          <w:szCs w:val="21"/>
        </w:rPr>
      </w:pPr>
      <w:r>
        <w:rPr>
          <w:b/>
          <w:bCs/>
          <w:szCs w:val="21"/>
        </w:rPr>
        <w:t>七</w:t>
      </w:r>
      <w:r>
        <w:rPr>
          <w:rFonts w:hint="eastAsia"/>
          <w:b/>
          <w:bCs/>
          <w:szCs w:val="21"/>
        </w:rPr>
        <w:t>、</w:t>
      </w:r>
      <w:r>
        <w:rPr>
          <w:b/>
          <w:bCs/>
          <w:szCs w:val="21"/>
        </w:rPr>
        <w:t>注册及采购文件的获取</w:t>
      </w:r>
      <w:r>
        <w:rPr>
          <w:szCs w:val="21"/>
        </w:rPr>
        <w:t>：</w:t>
      </w:r>
    </w:p>
    <w:p>
      <w:pPr>
        <w:pStyle w:val="79"/>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1</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本项目只实行网上获取采购文件。</w:t>
      </w:r>
    </w:p>
    <w:p>
      <w:pPr>
        <w:pStyle w:val="79"/>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2</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获取采购文件网址</w:t>
      </w:r>
      <w:r>
        <w:rPr>
          <w:rFonts w:ascii="Times New Roman" w:hAnsi="Times New Roman"/>
          <w:sz w:val="21"/>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sz w:val="21"/>
          <w:szCs w:val="21"/>
          <w:u w:val="single"/>
          <w:shd w:val="clear" w:color="auto" w:fill="FFFFFF"/>
        </w:rPr>
        <w:t>www.zjzfcg.gov.cn</w:t>
      </w:r>
      <w:r>
        <w:rPr>
          <w:rFonts w:ascii="Times New Roman" w:hAnsi="Times New Roman"/>
          <w:sz w:val="21"/>
          <w:szCs w:val="21"/>
          <w:u w:val="single"/>
          <w:shd w:val="clear" w:color="auto" w:fill="FFFFFF"/>
        </w:rPr>
        <w:fldChar w:fldCharType="end"/>
      </w:r>
      <w:r>
        <w:rPr>
          <w:rFonts w:ascii="Times New Roman" w:hAnsi="Times New Roman"/>
          <w:sz w:val="21"/>
          <w:szCs w:val="21"/>
          <w:shd w:val="clear" w:color="auto" w:fill="FFFFFF"/>
        </w:rPr>
        <w:t>（用“政采云”注册账号、密码登录系统后获取采购文件）</w:t>
      </w:r>
    </w:p>
    <w:p>
      <w:pPr>
        <w:pStyle w:val="79"/>
        <w:shd w:val="clear" w:color="auto" w:fill="FFFFFF"/>
        <w:spacing w:beforeAutospacing="0" w:afterAutospacing="0" w:line="360" w:lineRule="auto"/>
        <w:ind w:left="416" w:left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3</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免费注册网址：浙江政府采购网（供应商注册页面）：</w:t>
      </w:r>
    </w:p>
    <w:p>
      <w:pPr>
        <w:pStyle w:val="79"/>
        <w:shd w:val="clear" w:color="auto" w:fill="FFFFFF"/>
        <w:spacing w:beforeAutospacing="0" w:afterAutospacing="0" w:line="360" w:lineRule="auto"/>
        <w:rPr>
          <w:rFonts w:ascii="Times New Roman" w:hAnsi="Times New Roman"/>
          <w:sz w:val="21"/>
          <w:szCs w:val="21"/>
          <w:shd w:val="clear" w:color="auto" w:fill="FFFFFF"/>
        </w:rPr>
      </w:pPr>
      <w:r>
        <w:rPr>
          <w:rFonts w:ascii="Times New Roman" w:hAnsi="Times New Roman"/>
          <w:sz w:val="21"/>
          <w:szCs w:val="21"/>
          <w:u w:val="single"/>
          <w:shd w:val="clear" w:color="auto" w:fill="FFFFFF"/>
        </w:rPr>
        <w:t>https://middle.zcygov.cn/settle-front/#/registry</w:t>
      </w:r>
      <w:r>
        <w:rPr>
          <w:rFonts w:ascii="Times New Roman" w:hAnsi="Times New Roman"/>
          <w:sz w:val="21"/>
          <w:szCs w:val="21"/>
          <w:shd w:val="clear" w:color="auto" w:fill="FFFFFF"/>
        </w:rPr>
        <w:t>“政采云”，咨询电话：400-881-7190。已经注册成功的供应商无需重复注册。</w:t>
      </w:r>
    </w:p>
    <w:p>
      <w:pPr>
        <w:pStyle w:val="79"/>
        <w:shd w:val="clear" w:color="auto" w:fill="FFFFFF"/>
        <w:spacing w:beforeAutospacing="0" w:afterAutospacing="0" w:line="360" w:lineRule="auto"/>
        <w:ind w:firstLine="417" w:firstLineChars="198"/>
        <w:rPr>
          <w:rFonts w:ascii="Times New Roman" w:hAnsi="Times New Roman"/>
          <w:sz w:val="21"/>
          <w:szCs w:val="21"/>
          <w:shd w:val="clear" w:color="auto" w:fill="FFFFFF"/>
        </w:rPr>
      </w:pPr>
      <w:r>
        <w:rPr>
          <w:rFonts w:ascii="Times New Roman" w:hAnsi="Times New Roman"/>
          <w:b/>
          <w:bCs/>
          <w:sz w:val="21"/>
          <w:szCs w:val="21"/>
          <w:shd w:val="clear" w:color="auto" w:fill="FFFFFF"/>
        </w:rPr>
        <w:t>4</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获取采购文件时间：</w:t>
      </w:r>
      <w:r>
        <w:rPr>
          <w:rFonts w:hint="eastAsia" w:ascii="Times New Roman" w:hAnsi="Times New Roman"/>
          <w:sz w:val="21"/>
          <w:szCs w:val="21"/>
          <w:shd w:val="clear" w:color="auto" w:fill="FFFFFF"/>
        </w:rPr>
        <w:t>公告发布之日至投标截止时间</w:t>
      </w:r>
    </w:p>
    <w:p>
      <w:pPr>
        <w:pStyle w:val="79"/>
        <w:shd w:val="clear" w:color="auto" w:fill="FFFFFF"/>
        <w:spacing w:beforeAutospacing="0" w:afterAutospacing="0" w:line="360" w:lineRule="auto"/>
        <w:rPr>
          <w:rFonts w:ascii="Times New Roman" w:hAnsi="Times New Roman"/>
          <w:b/>
          <w:bCs/>
          <w:kern w:val="2"/>
          <w:sz w:val="21"/>
          <w:szCs w:val="21"/>
        </w:rPr>
      </w:pPr>
      <w:r>
        <w:rPr>
          <w:rFonts w:ascii="Times New Roman" w:hAnsi="Times New Roman"/>
          <w:b/>
          <w:bCs/>
          <w:kern w:val="2"/>
          <w:sz w:val="21"/>
          <w:szCs w:val="21"/>
        </w:rPr>
        <w:t>八、投标文件的制作及递交;</w:t>
      </w:r>
    </w:p>
    <w:p>
      <w:pPr>
        <w:pStyle w:val="79"/>
        <w:shd w:val="clear" w:color="auto" w:fill="FFFFFF"/>
        <w:spacing w:beforeAutospacing="0" w:afterAutospacing="0" w:line="360" w:lineRule="auto"/>
        <w:ind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1</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供应商须</w:t>
      </w:r>
      <w:r>
        <w:rPr>
          <w:rFonts w:ascii="Times New Roman" w:hAnsi="Times New Roman"/>
          <w:b/>
          <w:bCs/>
          <w:sz w:val="21"/>
          <w:szCs w:val="21"/>
          <w:shd w:val="clear" w:color="auto" w:fill="FFFFFF"/>
        </w:rPr>
        <w:t>在线获取CA数字证书</w:t>
      </w:r>
      <w:r>
        <w:rPr>
          <w:rFonts w:ascii="Times New Roman" w:hAnsi="Times New Roman"/>
          <w:sz w:val="21"/>
          <w:szCs w:val="21"/>
          <w:shd w:val="clear" w:color="auto" w:fill="FFFFFF"/>
        </w:rPr>
        <w:t>（完成CA数字证书办理预计一周左右，建议各投标人自行把握时间）</w:t>
      </w:r>
      <w:r>
        <w:rPr>
          <w:rFonts w:ascii="Times New Roman" w:hAnsi="Times New Roman"/>
          <w:b/>
          <w:bCs/>
          <w:sz w:val="21"/>
          <w:szCs w:val="21"/>
          <w:shd w:val="clear" w:color="auto" w:fill="FFFFFF"/>
        </w:rPr>
        <w:t>，</w:t>
      </w:r>
      <w:r>
        <w:rPr>
          <w:rFonts w:ascii="Times New Roman" w:hAnsi="Times New Roman"/>
          <w:sz w:val="21"/>
          <w:szCs w:val="21"/>
          <w:shd w:val="clear" w:color="auto" w:fill="FFFFFF"/>
        </w:rPr>
        <w:t>并登</w:t>
      </w:r>
      <w:r>
        <w:rPr>
          <w:rFonts w:hint="eastAsia" w:ascii="Times New Roman" w:hAnsi="Times New Roman"/>
          <w:sz w:val="21"/>
          <w:szCs w:val="21"/>
          <w:shd w:val="clear" w:color="auto" w:fill="FFFFFF"/>
        </w:rPr>
        <w:t>录</w:t>
      </w:r>
      <w:r>
        <w:rPr>
          <w:rFonts w:ascii="Times New Roman" w:hAnsi="Times New Roman"/>
          <w:sz w:val="21"/>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sz w:val="21"/>
          <w:szCs w:val="21"/>
          <w:shd w:val="clear" w:color="auto" w:fill="FFFFFF"/>
        </w:rPr>
        <w:t>www.zjzfcg.gov.cn</w:t>
      </w:r>
      <w:r>
        <w:rPr>
          <w:rFonts w:ascii="Times New Roman" w:hAnsi="Times New Roman"/>
          <w:sz w:val="21"/>
          <w:szCs w:val="21"/>
          <w:shd w:val="clear" w:color="auto" w:fill="FFFFFF"/>
        </w:rPr>
        <w:fldChar w:fldCharType="end"/>
      </w:r>
      <w:r>
        <w:rPr>
          <w:rFonts w:ascii="Times New Roman" w:hAnsi="Times New Roman"/>
          <w:sz w:val="21"/>
          <w:szCs w:val="21"/>
          <w:shd w:val="clear" w:color="auto" w:fill="FFFFFF"/>
        </w:rPr>
        <w:t>），进入“下载专区”下载“电子交易客户端”，制作投标文件。</w:t>
      </w:r>
    </w:p>
    <w:p>
      <w:pPr>
        <w:pStyle w:val="79"/>
        <w:spacing w:beforeAutospacing="0" w:afterAutospacing="0" w:line="360" w:lineRule="auto"/>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2</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投标人将加密的电子版投标文件于投标截止时间前上传到政采云系统中。</w:t>
      </w:r>
    </w:p>
    <w:p>
      <w:pPr>
        <w:pStyle w:val="79"/>
        <w:shd w:val="clear" w:color="auto" w:fill="FFFFFF"/>
        <w:spacing w:beforeAutospacing="0" w:afterAutospacing="0" w:line="360" w:lineRule="auto"/>
        <w:ind w:left="420" w:leftChars="200"/>
        <w:rPr>
          <w:rFonts w:ascii="Times New Roman" w:hAnsi="Times New Roman"/>
          <w:sz w:val="21"/>
          <w:szCs w:val="21"/>
          <w:u w:val="single"/>
          <w:shd w:val="clear" w:color="auto" w:fill="FFFFFF"/>
        </w:rPr>
      </w:pPr>
      <w:r>
        <w:rPr>
          <w:rFonts w:ascii="Times New Roman" w:hAnsi="Times New Roman"/>
          <w:sz w:val="21"/>
          <w:szCs w:val="21"/>
          <w:shd w:val="clear" w:color="auto" w:fill="FFFFFF"/>
        </w:rPr>
        <w:t>3</w:t>
      </w:r>
      <w:r>
        <w:rPr>
          <w:rFonts w:hint="eastAsia" w:ascii="Times New Roman" w:hAnsi="Times New Roman"/>
          <w:sz w:val="21"/>
          <w:szCs w:val="21"/>
          <w:shd w:val="clear" w:color="auto" w:fill="FFFFFF"/>
        </w:rPr>
        <w:t xml:space="preserve">. </w:t>
      </w:r>
      <w:r>
        <w:rPr>
          <w:rFonts w:ascii="Times New Roman" w:hAnsi="Times New Roman"/>
          <w:sz w:val="21"/>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sz w:val="21"/>
          <w:szCs w:val="21"/>
          <w:u w:val="single"/>
          <w:shd w:val="clear" w:color="auto" w:fill="FFFFFF"/>
        </w:rPr>
        <w:t>https://edu.zcygov.cn/luban/e-biding?utm=a0004.2ef5001f.0001.0109.da8b35e0da8611e98d8937b7ef8a3544</w:t>
      </w:r>
      <w:r>
        <w:rPr>
          <w:rFonts w:ascii="Times New Roman" w:hAnsi="Times New Roman"/>
          <w:sz w:val="21"/>
          <w:szCs w:val="21"/>
          <w:u w:val="single"/>
          <w:shd w:val="clear" w:color="auto" w:fill="FFFFFF"/>
        </w:rPr>
        <w:fldChar w:fldCharType="end"/>
      </w:r>
    </w:p>
    <w:p>
      <w:pPr>
        <w:pStyle w:val="79"/>
        <w:spacing w:beforeAutospacing="0" w:afterAutospacing="0" w:line="360" w:lineRule="auto"/>
        <w:jc w:val="both"/>
        <w:rPr>
          <w:rStyle w:val="40"/>
          <w:b w:val="0"/>
          <w:sz w:val="21"/>
          <w:szCs w:val="21"/>
        </w:rPr>
      </w:pPr>
      <w:r>
        <w:rPr>
          <w:rStyle w:val="40"/>
          <w:bCs/>
          <w:sz w:val="21"/>
          <w:szCs w:val="21"/>
        </w:rPr>
        <w:t>九、投标保证金：无。</w:t>
      </w:r>
    </w:p>
    <w:p>
      <w:pPr>
        <w:pStyle w:val="79"/>
        <w:spacing w:beforeAutospacing="0" w:afterAutospacing="0" w:line="360" w:lineRule="auto"/>
        <w:jc w:val="both"/>
        <w:rPr>
          <w:rStyle w:val="40"/>
          <w:bCs/>
          <w:sz w:val="21"/>
          <w:szCs w:val="21"/>
        </w:rPr>
      </w:pPr>
      <w:r>
        <w:rPr>
          <w:rStyle w:val="40"/>
          <w:bCs/>
          <w:sz w:val="21"/>
          <w:szCs w:val="21"/>
        </w:rPr>
        <w:t>十、投标截止时间和地址：</w:t>
      </w:r>
    </w:p>
    <w:p>
      <w:pPr>
        <w:spacing w:line="360" w:lineRule="auto"/>
        <w:ind w:firstLine="630" w:firstLineChars="300"/>
        <w:rPr>
          <w:szCs w:val="21"/>
        </w:rPr>
      </w:pPr>
      <w:r>
        <w:rPr>
          <w:szCs w:val="21"/>
        </w:rPr>
        <w:t>1</w:t>
      </w:r>
      <w:r>
        <w:rPr>
          <w:rFonts w:hint="eastAsia"/>
          <w:szCs w:val="21"/>
        </w:rPr>
        <w:t>.</w:t>
      </w:r>
      <w:r>
        <w:rPr>
          <w:szCs w:val="21"/>
        </w:rPr>
        <w:t>本项目实行电子投标。</w:t>
      </w:r>
    </w:p>
    <w:p>
      <w:pPr>
        <w:spacing w:line="360" w:lineRule="auto"/>
        <w:ind w:firstLine="420" w:firstLineChars="200"/>
        <w:rPr>
          <w:szCs w:val="21"/>
        </w:rPr>
      </w:pPr>
      <w:r>
        <w:rPr>
          <w:szCs w:val="21"/>
        </w:rPr>
        <w:t>投标人应准备电子投标文件、以介质存储的数据电文形式的备份投标文件、纸质备份投标文件三类：</w:t>
      </w:r>
    </w:p>
    <w:p>
      <w:pPr>
        <w:spacing w:line="360" w:lineRule="auto"/>
        <w:ind w:firstLine="420" w:firstLineChars="200"/>
        <w:rPr>
          <w:szCs w:val="21"/>
        </w:rPr>
      </w:pPr>
      <w:r>
        <w:rPr>
          <w:szCs w:val="21"/>
        </w:rPr>
        <w:t>（1）电子投标文件，按政采云平台项目采购-电子交易操作指南及本招标文件要求递交。</w:t>
      </w:r>
      <w:r>
        <w:rPr>
          <w:szCs w:val="21"/>
          <w:shd w:val="clear" w:color="auto" w:fill="FFFFFF"/>
        </w:rPr>
        <w:t>投标人应于</w:t>
      </w:r>
      <w:bookmarkStart w:id="1" w:name="_Hlk100345522"/>
      <w:r>
        <w:rPr>
          <w:szCs w:val="21"/>
          <w:shd w:val="clear" w:color="auto" w:fill="FFFFFF"/>
        </w:rPr>
        <w:t>2022年</w:t>
      </w:r>
      <w:r>
        <w:rPr>
          <w:rFonts w:hint="eastAsia"/>
          <w:szCs w:val="21"/>
          <w:shd w:val="clear" w:color="auto" w:fill="FFFFFF"/>
          <w:lang w:val="en-US" w:eastAsia="zh-CN"/>
        </w:rPr>
        <w:t>9</w:t>
      </w:r>
      <w:r>
        <w:rPr>
          <w:szCs w:val="21"/>
          <w:shd w:val="clear" w:color="auto" w:fill="FFFFFF"/>
        </w:rPr>
        <w:t>月</w:t>
      </w:r>
      <w:r>
        <w:rPr>
          <w:rFonts w:hint="eastAsia"/>
          <w:szCs w:val="21"/>
          <w:shd w:val="clear" w:color="auto" w:fill="FFFFFF"/>
          <w:lang w:val="en-US" w:eastAsia="zh-CN"/>
        </w:rPr>
        <w:t>13</w:t>
      </w:r>
      <w:r>
        <w:rPr>
          <w:szCs w:val="21"/>
          <w:shd w:val="clear" w:color="auto" w:fill="FFFFFF"/>
        </w:rPr>
        <w:t>日</w:t>
      </w:r>
      <w:r>
        <w:rPr>
          <w:rFonts w:hint="eastAsia"/>
          <w:szCs w:val="21"/>
          <w:shd w:val="clear" w:color="auto" w:fill="FFFFFF"/>
        </w:rPr>
        <w:t>9：15</w:t>
      </w:r>
      <w:bookmarkEnd w:id="1"/>
      <w:r>
        <w:rPr>
          <w:szCs w:val="21"/>
          <w:shd w:val="clear" w:color="auto" w:fill="FFFFFF"/>
        </w:rPr>
        <w:t>前将加密的电子版投标文件上传到政采云系统中（不准时上传视为无效标）。</w:t>
      </w:r>
      <w:r>
        <w:rPr>
          <w:b/>
          <w:szCs w:val="21"/>
          <w:shd w:val="clear" w:color="auto" w:fill="FFFFFF"/>
        </w:rPr>
        <w:t>CA数字证书随身携带或准时解码。</w:t>
      </w:r>
    </w:p>
    <w:p>
      <w:pPr>
        <w:spacing w:line="360" w:lineRule="auto"/>
        <w:ind w:firstLine="420" w:firstLineChars="200"/>
        <w:rPr>
          <w:szCs w:val="21"/>
        </w:rPr>
      </w:pPr>
      <w:r>
        <w:rPr>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szCs w:val="21"/>
        </w:rPr>
      </w:pPr>
      <w:r>
        <w:rPr>
          <w:szCs w:val="21"/>
        </w:rPr>
        <w:t>（3）纸质备份投标文件将以纸质文件的形式递交。数量为：正本、副本各1份。</w:t>
      </w:r>
    </w:p>
    <w:p>
      <w:pPr>
        <w:pStyle w:val="79"/>
        <w:shd w:val="clear" w:color="auto" w:fill="FFFFFF"/>
        <w:spacing w:beforeAutospacing="0" w:afterAutospacing="0" w:line="360" w:lineRule="auto"/>
        <w:ind w:firstLine="516" w:firstLineChars="246"/>
        <w:rPr>
          <w:rFonts w:ascii="Times New Roman" w:hAnsi="Times New Roman"/>
          <w:sz w:val="21"/>
          <w:szCs w:val="21"/>
        </w:rPr>
      </w:pPr>
      <w:r>
        <w:rPr>
          <w:rFonts w:ascii="Times New Roman" w:hAnsi="Times New Roman"/>
          <w:sz w:val="21"/>
          <w:szCs w:val="21"/>
        </w:rPr>
        <w:t>投标人应于2022年</w:t>
      </w:r>
      <w:r>
        <w:rPr>
          <w:rFonts w:hint="eastAsia" w:ascii="Times New Roman" w:hAnsi="Times New Roman"/>
          <w:sz w:val="21"/>
          <w:szCs w:val="21"/>
          <w:lang w:val="en-US" w:eastAsia="zh-CN"/>
        </w:rPr>
        <w:t>9</w:t>
      </w:r>
      <w:r>
        <w:rPr>
          <w:rFonts w:ascii="Times New Roman" w:hAnsi="Times New Roman"/>
          <w:sz w:val="21"/>
          <w:szCs w:val="21"/>
        </w:rPr>
        <w:t>月</w:t>
      </w:r>
      <w:r>
        <w:rPr>
          <w:rFonts w:hint="eastAsia" w:ascii="Times New Roman" w:hAnsi="Times New Roman"/>
          <w:sz w:val="21"/>
          <w:szCs w:val="21"/>
          <w:lang w:val="en-US" w:eastAsia="zh-CN"/>
        </w:rPr>
        <w:t>12</w:t>
      </w:r>
      <w:r>
        <w:rPr>
          <w:rFonts w:ascii="Times New Roman" w:hAnsi="Times New Roman"/>
          <w:sz w:val="21"/>
          <w:szCs w:val="21"/>
        </w:rPr>
        <w:t>日11：30（北京时间）前将备份的投标文件寄于采购代理公司，地址：舟山市定海区昌国路232号中楼202  深圳市国信招标有限公司舟山分公司，未按时寄到的自行承担风险。也可开标会现场递交。</w:t>
      </w:r>
    </w:p>
    <w:p>
      <w:pPr>
        <w:pStyle w:val="79"/>
        <w:shd w:val="clear" w:color="auto" w:fill="FFFFFF"/>
        <w:spacing w:beforeAutospacing="0" w:afterAutospacing="0" w:line="360" w:lineRule="auto"/>
        <w:ind w:firstLine="519" w:firstLineChars="246"/>
        <w:rPr>
          <w:rFonts w:ascii="Times New Roman" w:hAnsi="Times New Roman"/>
          <w:b/>
          <w:sz w:val="21"/>
          <w:szCs w:val="21"/>
        </w:rPr>
      </w:pPr>
      <w:r>
        <w:rPr>
          <w:rFonts w:ascii="Times New Roman" w:hAnsi="Times New Roman"/>
          <w:b/>
          <w:sz w:val="21"/>
          <w:szCs w:val="21"/>
        </w:rPr>
        <w:t>投标人可以不提供备份投标文件，造成项目开评标活动无法进行下去的，投标无效，相关风险由投标人自行承担。</w:t>
      </w:r>
    </w:p>
    <w:p>
      <w:pPr>
        <w:pStyle w:val="79"/>
        <w:shd w:val="clear" w:color="auto" w:fill="FFFFFF"/>
        <w:spacing w:beforeAutospacing="0" w:afterAutospacing="0" w:line="360" w:lineRule="auto"/>
        <w:ind w:firstLine="413" w:firstLineChars="196"/>
        <w:rPr>
          <w:rFonts w:ascii="Times New Roman" w:hAnsi="Times New Roman"/>
          <w:bCs/>
          <w:kern w:val="2"/>
          <w:sz w:val="21"/>
          <w:szCs w:val="21"/>
        </w:rPr>
      </w:pPr>
      <w:r>
        <w:rPr>
          <w:rFonts w:ascii="Times New Roman" w:hAnsi="Times New Roman"/>
          <w:b/>
          <w:bCs/>
          <w:kern w:val="2"/>
          <w:sz w:val="21"/>
          <w:szCs w:val="21"/>
        </w:rPr>
        <w:t>2</w:t>
      </w:r>
      <w:r>
        <w:rPr>
          <w:rFonts w:hint="eastAsia" w:ascii="Times New Roman" w:hAnsi="Times New Roman"/>
          <w:b/>
          <w:bCs/>
          <w:kern w:val="2"/>
          <w:sz w:val="21"/>
          <w:szCs w:val="21"/>
        </w:rPr>
        <w:t>.</w:t>
      </w:r>
      <w:r>
        <w:rPr>
          <w:rFonts w:ascii="Times New Roman" w:hAnsi="Times New Roman"/>
          <w:b/>
          <w:bCs/>
          <w:kern w:val="2"/>
          <w:sz w:val="21"/>
          <w:szCs w:val="21"/>
        </w:rPr>
        <w:t>开标时间：</w:t>
      </w:r>
      <w:r>
        <w:rPr>
          <w:rFonts w:ascii="Times New Roman" w:hAnsi="Times New Roman"/>
          <w:sz w:val="21"/>
          <w:szCs w:val="21"/>
        </w:rPr>
        <w:t>2022年</w:t>
      </w:r>
      <w:r>
        <w:rPr>
          <w:rFonts w:hint="eastAsia" w:ascii="Times New Roman" w:hAnsi="Times New Roman"/>
          <w:sz w:val="21"/>
          <w:szCs w:val="21"/>
          <w:lang w:val="en-US" w:eastAsia="zh-CN"/>
        </w:rPr>
        <w:t>9</w:t>
      </w:r>
      <w:r>
        <w:rPr>
          <w:rFonts w:ascii="Times New Roman" w:hAnsi="Times New Roman"/>
          <w:sz w:val="21"/>
          <w:szCs w:val="21"/>
        </w:rPr>
        <w:t>月</w:t>
      </w:r>
      <w:r>
        <w:rPr>
          <w:rFonts w:hint="eastAsia" w:ascii="Times New Roman" w:hAnsi="Times New Roman"/>
          <w:sz w:val="21"/>
          <w:szCs w:val="21"/>
          <w:lang w:val="en-US" w:eastAsia="zh-CN"/>
        </w:rPr>
        <w:t>13</w:t>
      </w:r>
      <w:r>
        <w:rPr>
          <w:rFonts w:ascii="Times New Roman" w:hAnsi="Times New Roman"/>
          <w:sz w:val="21"/>
          <w:szCs w:val="21"/>
        </w:rPr>
        <w:t>日</w:t>
      </w:r>
      <w:r>
        <w:rPr>
          <w:rFonts w:hint="eastAsia" w:ascii="Times New Roman" w:hAnsi="Times New Roman"/>
          <w:sz w:val="21"/>
          <w:szCs w:val="21"/>
        </w:rPr>
        <w:t>9：15</w:t>
      </w:r>
    </w:p>
    <w:p>
      <w:pPr>
        <w:pStyle w:val="79"/>
        <w:shd w:val="clear" w:color="auto" w:fill="FFFFFF"/>
        <w:spacing w:beforeAutospacing="0" w:afterAutospacing="0" w:line="360" w:lineRule="auto"/>
        <w:ind w:firstLine="410"/>
        <w:rPr>
          <w:rFonts w:cs="宋体"/>
          <w:bCs/>
          <w:kern w:val="2"/>
          <w:sz w:val="21"/>
          <w:szCs w:val="21"/>
        </w:rPr>
      </w:pPr>
      <w:r>
        <w:rPr>
          <w:rFonts w:ascii="Times New Roman" w:hAnsi="Times New Roman"/>
          <w:b/>
          <w:bCs/>
          <w:kern w:val="2"/>
          <w:sz w:val="21"/>
          <w:szCs w:val="21"/>
        </w:rPr>
        <w:t>3</w:t>
      </w:r>
      <w:r>
        <w:rPr>
          <w:rFonts w:hint="eastAsia" w:ascii="Times New Roman" w:hAnsi="Times New Roman"/>
          <w:b/>
          <w:bCs/>
          <w:kern w:val="2"/>
          <w:sz w:val="21"/>
          <w:szCs w:val="21"/>
        </w:rPr>
        <w:t>.</w:t>
      </w:r>
      <w:r>
        <w:rPr>
          <w:rFonts w:ascii="Times New Roman" w:hAnsi="Times New Roman"/>
          <w:b/>
          <w:bCs/>
          <w:kern w:val="2"/>
          <w:sz w:val="21"/>
          <w:szCs w:val="21"/>
        </w:rPr>
        <w:t>开标地点：</w:t>
      </w:r>
      <w:r>
        <w:rPr>
          <w:rFonts w:hint="eastAsia" w:cs="宋体"/>
          <w:bCs/>
          <w:kern w:val="2"/>
          <w:sz w:val="21"/>
          <w:szCs w:val="21"/>
        </w:rPr>
        <w:t>舟山市公共资源交易中心（舟山市新城翁山路555号四楼（大宗商品交易中心同幢西边））开标室。</w:t>
      </w:r>
    </w:p>
    <w:p>
      <w:pPr>
        <w:pStyle w:val="79"/>
        <w:shd w:val="clear" w:color="auto" w:fill="FFFFFF"/>
        <w:spacing w:beforeAutospacing="0" w:afterAutospacing="0" w:line="360" w:lineRule="auto"/>
        <w:rPr>
          <w:rStyle w:val="40"/>
          <w:b w:val="0"/>
          <w:sz w:val="21"/>
          <w:szCs w:val="21"/>
        </w:rPr>
      </w:pPr>
      <w:r>
        <w:rPr>
          <w:rStyle w:val="40"/>
          <w:bCs/>
          <w:sz w:val="21"/>
          <w:szCs w:val="21"/>
        </w:rPr>
        <w:t>十一．其他事项：</w:t>
      </w:r>
    </w:p>
    <w:p>
      <w:pPr>
        <w:spacing w:line="360" w:lineRule="auto"/>
        <w:ind w:firstLine="420" w:firstLineChars="200"/>
      </w:pPr>
      <w:r>
        <w:rPr>
          <w:szCs w:val="21"/>
        </w:rPr>
        <w:t>1</w:t>
      </w:r>
      <w:r>
        <w:rPr>
          <w:rFonts w:hint="eastAsia"/>
          <w:szCs w:val="21"/>
        </w:rPr>
        <w:t>.</w:t>
      </w:r>
      <w: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szCs w:val="21"/>
        </w:rPr>
      </w:pPr>
      <w:r>
        <w:rPr>
          <w:szCs w:val="21"/>
        </w:rPr>
        <w:t>2</w:t>
      </w:r>
      <w:r>
        <w:rPr>
          <w:rFonts w:hint="eastAsia"/>
          <w:szCs w:val="21"/>
        </w:rPr>
        <w:t>.</w:t>
      </w:r>
      <w:r>
        <w:rPr>
          <w:szCs w:val="21"/>
        </w:rPr>
        <w:t>投标人应在合同签订前成为浙江政府采购网正式注册供应商。</w:t>
      </w:r>
    </w:p>
    <w:p>
      <w:pPr>
        <w:pStyle w:val="79"/>
        <w:spacing w:beforeAutospacing="0" w:afterAutospacing="0" w:line="360" w:lineRule="auto"/>
        <w:jc w:val="both"/>
        <w:rPr>
          <w:rStyle w:val="40"/>
          <w:b w:val="0"/>
          <w:sz w:val="21"/>
          <w:szCs w:val="21"/>
        </w:rPr>
      </w:pPr>
      <w:r>
        <w:rPr>
          <w:rStyle w:val="40"/>
          <w:bCs/>
          <w:sz w:val="21"/>
          <w:szCs w:val="21"/>
        </w:rPr>
        <w:t>十二</w:t>
      </w:r>
      <w:r>
        <w:rPr>
          <w:rStyle w:val="40"/>
          <w:rFonts w:hint="eastAsia"/>
          <w:bCs/>
          <w:sz w:val="21"/>
          <w:szCs w:val="21"/>
        </w:rPr>
        <w:t>、</w:t>
      </w:r>
      <w:r>
        <w:rPr>
          <w:rStyle w:val="40"/>
          <w:bCs/>
          <w:sz w:val="21"/>
          <w:szCs w:val="21"/>
        </w:rPr>
        <w:t>联系方式：</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采购代理机构名称：深圳市国信招标有限公司舟山分公司</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联系人：朱女士、任女士</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联系电话：0580-2054476，13857236444，13567673203</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质疑答复联系人：王女士</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联系电话：0580-2054476，13587045176</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传真： 0580-2054476</w:t>
      </w:r>
    </w:p>
    <w:p>
      <w:pPr>
        <w:pStyle w:val="33"/>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地</w:t>
      </w:r>
      <w:r>
        <w:rPr>
          <w:rFonts w:hint="eastAsia" w:ascii="Times New Roman" w:hAnsi="Times New Roman" w:cs="Times New Roman"/>
          <w:sz w:val="21"/>
          <w:szCs w:val="21"/>
          <w:shd w:val="clear" w:color="auto" w:fill="FFFFFF"/>
        </w:rPr>
        <w:t>址：</w:t>
      </w:r>
      <w:r>
        <w:rPr>
          <w:rFonts w:ascii="Times New Roman" w:hAnsi="Times New Roman" w:cs="Times New Roman"/>
          <w:sz w:val="21"/>
          <w:szCs w:val="21"/>
          <w:shd w:val="clear" w:color="auto" w:fill="FFFFFF"/>
        </w:rPr>
        <w:t>舟山市定海区昌国路232号中楼202</w:t>
      </w:r>
    </w:p>
    <w:p>
      <w:pPr>
        <w:spacing w:line="360" w:lineRule="auto"/>
        <w:ind w:firstLine="472" w:firstLineChars="225"/>
        <w:rPr>
          <w:rFonts w:ascii="宋体" w:hAnsi="宋体"/>
          <w:szCs w:val="21"/>
        </w:rPr>
      </w:pPr>
      <w:r>
        <w:rPr>
          <w:rFonts w:ascii="宋体" w:hAnsi="宋体"/>
          <w:szCs w:val="21"/>
          <w:shd w:val="clear" w:color="auto" w:fill="FFFFFF"/>
        </w:rPr>
        <w:t>2、</w:t>
      </w:r>
      <w:r>
        <w:rPr>
          <w:rFonts w:hint="eastAsia" w:ascii="宋体" w:hAnsi="宋体"/>
          <w:szCs w:val="21"/>
          <w:shd w:val="clear" w:color="auto" w:fill="FFFFFF"/>
        </w:rPr>
        <w:t>采购单位：</w:t>
      </w:r>
      <w:r>
        <w:rPr>
          <w:rFonts w:hint="eastAsia" w:ascii="宋体" w:hAnsi="宋体"/>
          <w:szCs w:val="21"/>
        </w:rPr>
        <w:t>舟山市食品药品检验检测研究院</w:t>
      </w:r>
    </w:p>
    <w:p>
      <w:pPr>
        <w:spacing w:line="360" w:lineRule="auto"/>
        <w:ind w:firstLine="472" w:firstLineChars="225"/>
        <w:rPr>
          <w:rFonts w:ascii="宋体" w:hAnsi="宋体"/>
          <w:szCs w:val="21"/>
        </w:rPr>
      </w:pPr>
      <w:r>
        <w:rPr>
          <w:rFonts w:hint="eastAsia" w:ascii="宋体" w:hAnsi="宋体"/>
          <w:szCs w:val="21"/>
        </w:rPr>
        <w:t>联系人：周</w:t>
      </w:r>
      <w:r>
        <w:rPr>
          <w:rFonts w:ascii="宋体" w:hAnsi="宋体"/>
          <w:szCs w:val="21"/>
        </w:rPr>
        <w:t>先生</w:t>
      </w:r>
    </w:p>
    <w:p>
      <w:pPr>
        <w:spacing w:line="360" w:lineRule="auto"/>
        <w:ind w:firstLine="472" w:firstLineChars="225"/>
        <w:rPr>
          <w:rFonts w:ascii="宋体" w:hAnsi="宋体"/>
          <w:szCs w:val="21"/>
        </w:rPr>
      </w:pPr>
      <w:r>
        <w:rPr>
          <w:rFonts w:hint="eastAsia" w:ascii="宋体" w:hAnsi="宋体"/>
          <w:szCs w:val="21"/>
        </w:rPr>
        <w:t>联系电话：0580-2183120 13957211127</w:t>
      </w:r>
    </w:p>
    <w:p>
      <w:pPr>
        <w:spacing w:line="360" w:lineRule="auto"/>
        <w:ind w:firstLine="472" w:firstLineChars="225"/>
        <w:rPr>
          <w:rFonts w:ascii="宋体" w:hAnsi="宋体"/>
          <w:szCs w:val="21"/>
        </w:rPr>
      </w:pPr>
      <w:r>
        <w:rPr>
          <w:rFonts w:hint="eastAsia" w:ascii="宋体" w:hAnsi="宋体"/>
          <w:szCs w:val="21"/>
        </w:rPr>
        <w:t>质疑答复联系人： 陈</w:t>
      </w:r>
      <w:r>
        <w:rPr>
          <w:rFonts w:ascii="宋体" w:hAnsi="宋体"/>
          <w:szCs w:val="21"/>
        </w:rPr>
        <w:t>先生</w:t>
      </w:r>
    </w:p>
    <w:p>
      <w:pPr>
        <w:spacing w:line="360" w:lineRule="auto"/>
        <w:ind w:firstLine="472" w:firstLineChars="225"/>
        <w:rPr>
          <w:rFonts w:ascii="宋体" w:hAnsi="宋体"/>
          <w:szCs w:val="21"/>
        </w:rPr>
      </w:pPr>
      <w:r>
        <w:rPr>
          <w:rFonts w:hint="eastAsia" w:ascii="宋体" w:hAnsi="宋体"/>
          <w:szCs w:val="21"/>
        </w:rPr>
        <w:t>联系电话： 0580-2031172 13615805498</w:t>
      </w:r>
    </w:p>
    <w:p>
      <w:pPr>
        <w:spacing w:line="360" w:lineRule="auto"/>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微软雅黑" w:asciiTheme="minorEastAsia" w:hAnsiTheme="minorEastAsia" w:eastAsiaTheme="minorEastAsia"/>
          <w:szCs w:val="21"/>
          <w:shd w:val="clear" w:color="auto" w:fill="FFFFFF"/>
        </w:rPr>
        <w:t>同级政府采购监督管理部门名称</w:t>
      </w:r>
      <w:r>
        <w:rPr>
          <w:rFonts w:hint="eastAsia" w:asciiTheme="minorEastAsia" w:hAnsiTheme="minorEastAsia" w:eastAsiaTheme="minorEastAsia"/>
          <w:szCs w:val="21"/>
        </w:rPr>
        <w:t>：舟山市财政局政府采购监管处</w:t>
      </w:r>
    </w:p>
    <w:p>
      <w:pPr>
        <w:spacing w:line="360" w:lineRule="auto"/>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监督投拆电话：</w:t>
      </w:r>
      <w:r>
        <w:rPr>
          <w:rFonts w:asciiTheme="minorEastAsia" w:hAnsiTheme="minorEastAsia" w:eastAsiaTheme="minorEastAsia"/>
          <w:szCs w:val="21"/>
        </w:rPr>
        <w:t>0580-</w:t>
      </w:r>
      <w:r>
        <w:rPr>
          <w:rFonts w:hint="eastAsia" w:asciiTheme="minorEastAsia" w:hAnsiTheme="minorEastAsia" w:eastAsiaTheme="minorEastAsia"/>
          <w:szCs w:val="21"/>
        </w:rPr>
        <w:t>2282519</w:t>
      </w:r>
    </w:p>
    <w:p>
      <w:pPr>
        <w:widowControl/>
        <w:jc w:val="left"/>
        <w:rPr>
          <w:b/>
          <w:sz w:val="30"/>
        </w:rPr>
      </w:pPr>
      <w:r>
        <w:rPr>
          <w:b/>
          <w:sz w:val="30"/>
        </w:rPr>
        <w:br w:type="page"/>
      </w:r>
    </w:p>
    <w:p>
      <w:pPr>
        <w:snapToGrid w:val="0"/>
        <w:spacing w:line="312" w:lineRule="auto"/>
        <w:jc w:val="center"/>
        <w:rPr>
          <w:rFonts w:eastAsia="黑体"/>
          <w:sz w:val="30"/>
        </w:rPr>
      </w:pPr>
      <w:r>
        <w:rPr>
          <w:b/>
          <w:sz w:val="30"/>
        </w:rPr>
        <w:t>第二章招标需求</w:t>
      </w:r>
    </w:p>
    <w:p>
      <w:pPr>
        <w:pStyle w:val="2"/>
        <w:ind w:firstLine="0" w:firstLineChars="0"/>
      </w:pPr>
    </w:p>
    <w:p>
      <w:pPr>
        <w:snapToGrid w:val="0"/>
        <w:spacing w:line="288" w:lineRule="auto"/>
        <w:jc w:val="left"/>
        <w:rPr>
          <w:rFonts w:cs="宋体"/>
          <w:b/>
          <w:bCs/>
          <w:sz w:val="24"/>
        </w:rPr>
      </w:pPr>
      <w:r>
        <w:rPr>
          <w:rFonts w:hint="eastAsia" w:cs="宋体"/>
          <w:b/>
          <w:bCs/>
          <w:sz w:val="24"/>
        </w:rPr>
        <w:t>一、</w:t>
      </w:r>
      <w:r>
        <w:rPr>
          <w:rFonts w:cs="宋体"/>
          <w:b/>
          <w:bCs/>
          <w:sz w:val="24"/>
        </w:rPr>
        <w:t>采购项目：</w:t>
      </w:r>
      <w:r>
        <w:rPr>
          <w:rFonts w:hint="eastAsia" w:cs="宋体"/>
          <w:b/>
          <w:bCs/>
          <w:sz w:val="24"/>
        </w:rPr>
        <w:t>舟山市食品药品检验检测研究院仪器设备采购项目</w:t>
      </w:r>
    </w:p>
    <w:p>
      <w:pPr>
        <w:widowControl/>
        <w:autoSpaceDE w:val="0"/>
        <w:autoSpaceDN w:val="0"/>
        <w:adjustRightInd w:val="0"/>
        <w:spacing w:line="288" w:lineRule="auto"/>
        <w:ind w:firstLine="420" w:firstLineChars="200"/>
        <w:jc w:val="left"/>
        <w:rPr>
          <w:rFonts w:ascii="宋体" w:hAnsi="宋体"/>
          <w:lang w:val="zh-CN"/>
        </w:rPr>
      </w:pPr>
      <w:r>
        <w:rPr>
          <w:rFonts w:hint="eastAsia" w:ascii="宋体" w:hAnsi="宋体"/>
        </w:rPr>
        <w:t>1、</w:t>
      </w:r>
      <w:r>
        <w:rPr>
          <w:rFonts w:hint="eastAsia" w:ascii="宋体" w:hAnsi="宋体"/>
          <w:lang w:val="zh-CN"/>
        </w:rPr>
        <w:t>本项目建设内容为舟山市食品药品检验检测研究院仪器设备采购项目。</w:t>
      </w:r>
    </w:p>
    <w:p>
      <w:pPr>
        <w:autoSpaceDE w:val="0"/>
        <w:autoSpaceDN w:val="0"/>
        <w:adjustRightInd w:val="0"/>
        <w:spacing w:line="288" w:lineRule="auto"/>
        <w:ind w:firstLine="420" w:firstLineChars="200"/>
        <w:rPr>
          <w:rFonts w:ascii="宋体" w:hAnsi="宋体"/>
          <w:lang w:val="zh-CN"/>
        </w:rPr>
      </w:pPr>
      <w:r>
        <w:rPr>
          <w:rFonts w:hint="eastAsia" w:ascii="宋体" w:hAnsi="宋体"/>
          <w:lang w:val="zh-CN"/>
        </w:rPr>
        <w:t>2、中标人应与采购人就此项目签订合同。</w:t>
      </w:r>
    </w:p>
    <w:p>
      <w:pPr>
        <w:snapToGrid w:val="0"/>
        <w:spacing w:line="288" w:lineRule="auto"/>
        <w:ind w:left="105"/>
        <w:rPr>
          <w:b/>
          <w:sz w:val="24"/>
          <w:szCs w:val="24"/>
        </w:rPr>
      </w:pPr>
    </w:p>
    <w:p>
      <w:pPr>
        <w:tabs>
          <w:tab w:val="left" w:pos="5851"/>
        </w:tabs>
        <w:snapToGrid w:val="0"/>
        <w:spacing w:line="312" w:lineRule="auto"/>
        <w:rPr>
          <w:rFonts w:ascii="宋体" w:hAnsi="宋体"/>
          <w:b/>
          <w:sz w:val="24"/>
          <w:szCs w:val="24"/>
        </w:rPr>
      </w:pPr>
      <w:r>
        <w:rPr>
          <w:rFonts w:hint="eastAsia"/>
          <w:b/>
          <w:sz w:val="24"/>
          <w:szCs w:val="24"/>
        </w:rPr>
        <w:t>二、详细技术要求</w:t>
      </w:r>
      <w:r>
        <w:rPr>
          <w:rFonts w:hint="eastAsia" w:ascii="宋体" w:hAnsi="宋体"/>
          <w:b/>
          <w:sz w:val="24"/>
          <w:szCs w:val="24"/>
        </w:rPr>
        <w:t>：</w:t>
      </w:r>
      <w:r>
        <w:rPr>
          <w:rFonts w:ascii="宋体" w:hAnsi="宋体"/>
          <w:b/>
          <w:sz w:val="24"/>
          <w:szCs w:val="24"/>
        </w:rPr>
        <w:tab/>
      </w:r>
    </w:p>
    <w:tbl>
      <w:tblPr>
        <w:tblStyle w:val="37"/>
        <w:tblW w:w="8788"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3544"/>
        <w:gridCol w:w="1559"/>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序号</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项目名称</w:t>
            </w:r>
          </w:p>
        </w:tc>
        <w:tc>
          <w:tcPr>
            <w:tcW w:w="1559"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数量/单位</w:t>
            </w:r>
          </w:p>
        </w:tc>
        <w:tc>
          <w:tcPr>
            <w:tcW w:w="1985"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预算金额</w:t>
            </w:r>
            <w:r>
              <w:rPr>
                <w:rFonts w:hint="eastAsia" w:asciiTheme="minorEastAsia" w:hAnsiTheme="minorEastAsia" w:eastAsiaTheme="minorEastAsia"/>
                <w:kern w:val="0"/>
                <w:szCs w:val="21"/>
              </w:rPr>
              <w:t>（万元）</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3544" w:type="dxa"/>
            <w:tcMar>
              <w:top w:w="75" w:type="dxa"/>
              <w:left w:w="75" w:type="dxa"/>
              <w:bottom w:w="75" w:type="dxa"/>
              <w:right w:w="75" w:type="dxa"/>
            </w:tcMar>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液相色谱高分辨质谱联用仪</w:t>
            </w:r>
          </w:p>
        </w:tc>
        <w:tc>
          <w:tcPr>
            <w:tcW w:w="1559" w:type="dxa"/>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kern w:val="0"/>
                <w:szCs w:val="21"/>
              </w:rPr>
              <w:t>1套</w:t>
            </w:r>
          </w:p>
        </w:tc>
        <w:tc>
          <w:tcPr>
            <w:tcW w:w="1985" w:type="dxa"/>
            <w:vMerge w:val="restart"/>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520</w:t>
            </w: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氮吹仪专用氮气发生器</w:t>
            </w:r>
          </w:p>
        </w:tc>
        <w:tc>
          <w:tcPr>
            <w:tcW w:w="1559" w:type="dxa"/>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kern w:val="0"/>
                <w:szCs w:val="21"/>
              </w:rPr>
              <w:t>2台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3544" w:type="dxa"/>
            <w:tcMar>
              <w:top w:w="75" w:type="dxa"/>
              <w:left w:w="75" w:type="dxa"/>
              <w:bottom w:w="75" w:type="dxa"/>
              <w:right w:w="75" w:type="dxa"/>
            </w:tcMar>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高速冷冻研磨均质仪</w:t>
            </w:r>
          </w:p>
        </w:tc>
        <w:tc>
          <w:tcPr>
            <w:tcW w:w="1559" w:type="dxa"/>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kern w:val="0"/>
                <w:szCs w:val="21"/>
              </w:rPr>
              <w:t>1台</w:t>
            </w:r>
          </w:p>
        </w:tc>
        <w:tc>
          <w:tcPr>
            <w:tcW w:w="1985" w:type="dxa"/>
            <w:vMerge w:val="continue"/>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p>
        </w:tc>
        <w:tc>
          <w:tcPr>
            <w:tcW w:w="850" w:type="dxa"/>
            <w:tcMar>
              <w:top w:w="75" w:type="dxa"/>
              <w:left w:w="75" w:type="dxa"/>
              <w:bottom w:w="75" w:type="dxa"/>
              <w:right w:w="75" w:type="dxa"/>
            </w:tcMar>
            <w:vAlign w:val="center"/>
          </w:tcPr>
          <w:p>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国产</w:t>
            </w:r>
          </w:p>
        </w:tc>
      </w:tr>
    </w:tbl>
    <w:p>
      <w:pPr>
        <w:snapToGrid w:val="0"/>
        <w:spacing w:line="288" w:lineRule="auto"/>
        <w:rPr>
          <w:rFonts w:asciiTheme="minorEastAsia" w:hAnsiTheme="minorEastAsia" w:eastAsiaTheme="minorEastAsia"/>
          <w:b/>
          <w:szCs w:val="21"/>
        </w:rPr>
      </w:pPr>
    </w:p>
    <w:p>
      <w:pPr>
        <w:tabs>
          <w:tab w:val="left" w:pos="180"/>
          <w:tab w:val="left" w:pos="525"/>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 xml:space="preserve"> </w:t>
      </w:r>
      <w:r>
        <w:rPr>
          <w:rFonts w:hint="eastAsia" w:asciiTheme="minorEastAsia" w:hAnsiTheme="minorEastAsia" w:eastAsiaTheme="minorEastAsia"/>
          <w:b/>
          <w:bCs/>
          <w:szCs w:val="21"/>
        </w:rPr>
        <w:t>液相色谱高分辨质谱联用仪</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（一）技术规格和性能要求</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w:t>
      </w:r>
      <w:r>
        <w:rPr>
          <w:rFonts w:asciiTheme="minorEastAsia" w:hAnsiTheme="minorEastAsia" w:eastAsiaTheme="minorEastAsia"/>
          <w:szCs w:val="21"/>
        </w:rPr>
        <w:t>应用范围</w:t>
      </w:r>
    </w:p>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 xml:space="preserve"> 适用于食品安全、化药和天然产物分析、代谢组学和脂质组学等小分子应用领域。</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技术参数要求</w:t>
      </w:r>
      <w:bookmarkStart w:id="9" w:name="_GoBack"/>
      <w:bookmarkEnd w:id="9"/>
    </w:p>
    <w:p>
      <w:pPr>
        <w:spacing w:line="288" w:lineRule="auto"/>
        <w:ind w:firstLine="420" w:firstLineChars="200"/>
        <w:rPr>
          <w:rFonts w:asciiTheme="minorEastAsia" w:hAnsiTheme="minorEastAsia" w:eastAsiaTheme="minorEastAsia"/>
          <w:szCs w:val="21"/>
        </w:rPr>
      </w:pPr>
      <w:bookmarkStart w:id="2" w:name="OLE_LINK4"/>
      <w:bookmarkStart w:id="3" w:name="OLE_LINK3"/>
      <w:r>
        <w:rPr>
          <w:rFonts w:asciiTheme="minorEastAsia" w:hAnsiTheme="minorEastAsia" w:eastAsiaTheme="minorEastAsia"/>
          <w:szCs w:val="21"/>
        </w:rPr>
        <w:t>2.1 液相色谱</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 二元高压梯度泵</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2.1.1.1 压力范围：不低于14,000psi</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bCs/>
          <w:szCs w:val="21"/>
        </w:rPr>
        <w:t>★</w:t>
      </w:r>
      <w:r>
        <w:rPr>
          <w:rFonts w:asciiTheme="minorEastAsia" w:hAnsiTheme="minorEastAsia" w:eastAsiaTheme="minorEastAsia"/>
          <w:szCs w:val="21"/>
        </w:rPr>
        <w:t>2.1.1.2 流速范围：0.001~6mL/min，步进0.001mL/min</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2.1.1.3 流速精度：＜0.05%RSQ</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2.1.1.4 淋洗液数量：6个</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2.1.1.5 泵清洗：带柱塞杆及密封圈自动清洗系统，同时监测泵头微漏，提示维护信息，带过压保护功能，能进行漏液监测</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 自动进样器</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2.1.2.1 进样体积：0.01~25μL</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2.1.2.2 进样精度：＜0.25%RSD</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2.1.2.3 交叉污染：0.0004%</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2.1.2.4 样品盘位数：2ml样品瓶可放置不少于200个</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2.1.2.5 样品盘温度范围：4-40℃</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 柱温箱</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2.1.3.1 控温范围：5-110℃，室温下18℃（带降温功能）</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2.1.3.2 温控稳定性：±0.05℃</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2.1.3.3 有湿度，气体，温度传感器，能在线监测溶剂泄漏情况</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2.1.3.4 生物惰性液相：钛系统液相色谱，流路由钛金属、陶瓷和高性能的聚合物所构成，耐高盐、强酸、强碱，消除由铁及其它过渡金属离子对分析柱、样品和溶剂所造成的污染。</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 高分辨质谱</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 离子源及离子传输组件</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2.2.1.1 独立的电喷雾离子源ESI，可加热温度≥500℃。</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2.2.1.2 ESI喷针采用60度喷雾设计，前后，左右，上下可调，正对废液出口。雾化后，废产物直接进入废液出口，确保离子源腔体洁净；</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kern w:val="0"/>
          <w:szCs w:val="21"/>
        </w:rPr>
        <w:t>★</w:t>
      </w:r>
      <w:r>
        <w:rPr>
          <w:rFonts w:asciiTheme="minorEastAsia" w:hAnsiTheme="minorEastAsia" w:eastAsiaTheme="minorEastAsia"/>
          <w:szCs w:val="21"/>
        </w:rPr>
        <w:t>2.2.1.3 具有自动内标校正源，无需外接校正液可实现自动实时校正质量轴；</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2.2.1.4 离子传输系统必须配有离子传输管设计，保护分子涡轮泵，减少真空负担；</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2.2.2 分辨率：不低于200,000 FWHM ( m/z≤200)；≥5档可调</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2.2.3 质量分析器：采用四极杆与静电场轨道阱或其他高分辨质谱串联的组合，质量范围不窄于50-6000m/z</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bCs/>
          <w:szCs w:val="21"/>
        </w:rPr>
        <w:t>★</w:t>
      </w:r>
      <w:r>
        <w:rPr>
          <w:rFonts w:asciiTheme="minorEastAsia" w:hAnsiTheme="minorEastAsia" w:eastAsiaTheme="minorEastAsia"/>
          <w:szCs w:val="21"/>
        </w:rPr>
        <w:t>2.2.4 检测器: 采用无损检测器，终身无需更换；或者采用微通道板（MCP）或电子倍增器等消耗型检测器，并额外提供相应备用检测器≥5个。</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2.2.5 质谱采集速率：≥22HZ，且分辨率120,000 FWHM时，≥3 Hz；</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2.2.6 正负扫描模式切换速度：一个完整周期采集速度&gt;1.4Hz（一个完整周期即在分辨率60,000下获得正负离子谱图各一张）</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2.2.7 质量轴稳定性：设备校正一次后，连续24小时内不再校正质量轴，重复进样100fg利血平，609质量精确度≤3ppm</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kern w:val="0"/>
          <w:szCs w:val="21"/>
        </w:rPr>
        <w:t>★</w:t>
      </w:r>
      <w:r>
        <w:rPr>
          <w:rFonts w:asciiTheme="minorEastAsia" w:hAnsiTheme="minorEastAsia" w:eastAsiaTheme="minorEastAsia"/>
          <w:szCs w:val="21"/>
        </w:rPr>
        <w:t>2.2.8 在进行快速正负切换模式下连续运行2小时，质量轴的稳定性≤3ppm；即用1 ng/mL氯霉素和利血平混合溶液作为测试液，蠕动泵连续进样2小时，正负切换扫描同时监测氯霉素和利血平分子离子峰，氯霉素和利血平质量偏差均不超过3ppm；</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 灵敏度</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2.2.9.1 MS/MS灵敏度：200 fg 利血平进样，S/N 100:1；</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2.2.9.2 选择离子扫描tSIM灵敏度：200 fg 利血平进样，S/N 250:1；</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2.2.9.3 提高仪器分辨率时，设备的灵敏度基本保持不降低；采用利血平标品100fg进样，ESI+模式下，分辨率分别为30,000和60,000时，其他仪器参数维持不变的前提下，利血平分子离子峰的峰面积值相差不超过10%；</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 扫描模式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2.2.10.1 高分辨全扫描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2.2.10.2 高分辨选择离子扫描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2.2.10.3 高分辨全子离子碰撞碎裂扫描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2.2.10.4 高分辨正负离子切换扫描</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2.2.10.5 高分辨数据依赖子离子扫描</w:t>
      </w:r>
    </w:p>
    <w:p>
      <w:pPr>
        <w:spacing w:line="288" w:lineRule="auto"/>
        <w:ind w:firstLine="420" w:firstLineChars="200"/>
        <w:rPr>
          <w:rFonts w:asciiTheme="minorEastAsia" w:hAnsiTheme="minorEastAsia" w:eastAsiaTheme="minorEastAsia"/>
          <w:szCs w:val="21"/>
        </w:rPr>
      </w:pPr>
      <w:r>
        <w:rPr>
          <w:rFonts w:cs="Segoe UI Symbol" w:asciiTheme="minorEastAsia" w:hAnsiTheme="minorEastAsia" w:eastAsiaTheme="minorEastAsia"/>
          <w:kern w:val="0"/>
          <w:szCs w:val="21"/>
        </w:rPr>
        <w:t>★</w:t>
      </w:r>
      <w:r>
        <w:rPr>
          <w:rFonts w:asciiTheme="minorEastAsia" w:hAnsiTheme="minorEastAsia" w:eastAsiaTheme="minorEastAsia"/>
          <w:szCs w:val="21"/>
        </w:rPr>
        <w:t xml:space="preserve">2.2.10.6 </w:t>
      </w:r>
      <w:r>
        <w:rPr>
          <w:rFonts w:hint="eastAsia" w:asciiTheme="minorEastAsia" w:hAnsiTheme="minorEastAsia" w:eastAsiaTheme="minorEastAsia"/>
          <w:szCs w:val="21"/>
        </w:rPr>
        <w:t>可自动更新一级和二级扫描的目标物列表和排除列表，实现样品的深度分析</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 数据处理系统</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2.3.1电脑工作站（质谱分析软件、Windows10软件）一台，提供LC和MS/MS的全自动控制；</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2.3.2 简洁人性化的操作界面可以实现高效的仪器调谐和方法优化，方法优化还包括碰撞气压力以及碰撞能量的自动优化，并可利用优化后的参数快速便捷地建立分析方法；</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2.3.3 工作站及软件具备数据采集、数据处理、定性定量分析、建立数据库、谱库检索等功能；Windows英文操作系统（64bit），软件能够满足当今分析检测实验室需求，提供能够实现最优化痕量分析的全套系统解决方案。</w:t>
      </w:r>
    </w:p>
    <w:p>
      <w:pPr>
        <w:spacing w:line="288" w:lineRule="auto"/>
        <w:ind w:firstLine="420" w:firstLineChars="200"/>
        <w:rPr>
          <w:rFonts w:asciiTheme="minorEastAsia" w:hAnsiTheme="minorEastAsia" w:eastAsiaTheme="minorEastAsia"/>
          <w:szCs w:val="21"/>
        </w:rPr>
      </w:pPr>
    </w:p>
    <w:p>
      <w:pPr>
        <w:snapToGrid w:val="0"/>
        <w:spacing w:before="120" w:beforeLines="50" w:line="288" w:lineRule="auto"/>
        <w:rPr>
          <w:rFonts w:asciiTheme="minorEastAsia" w:hAnsiTheme="minorEastAsia" w:eastAsiaTheme="minorEastAsia"/>
          <w:b/>
          <w:szCs w:val="21"/>
        </w:rPr>
      </w:pPr>
      <w:r>
        <w:rPr>
          <w:rFonts w:asciiTheme="minorEastAsia" w:hAnsiTheme="minorEastAsia" w:eastAsiaTheme="minorEastAsia"/>
          <w:b/>
          <w:szCs w:val="21"/>
        </w:rPr>
        <w:t>(二)售后服务与培训</w:t>
      </w:r>
    </w:p>
    <w:bookmarkEnd w:id="2"/>
    <w:bookmarkEnd w:id="3"/>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szCs w:val="21"/>
          <w:lang w:eastAsia="zh-CN"/>
        </w:rPr>
        <w:t>.</w:t>
      </w:r>
      <w:r>
        <w:rPr>
          <w:rFonts w:asciiTheme="minorEastAsia" w:hAnsiTheme="minorEastAsia" w:eastAsiaTheme="minorEastAsia"/>
          <w:bCs/>
          <w:szCs w:val="21"/>
        </w:rPr>
        <w:t>资料提交：仪器操作维护及应用技术手册一份</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szCs w:val="21"/>
          <w:lang w:eastAsia="zh-CN"/>
        </w:rPr>
        <w:t>.</w:t>
      </w:r>
      <w:r>
        <w:rPr>
          <w:rFonts w:asciiTheme="minorEastAsia" w:hAnsiTheme="minorEastAsia" w:eastAsiaTheme="minorEastAsia"/>
          <w:bCs/>
          <w:szCs w:val="21"/>
        </w:rPr>
        <w:t>安装调试：仪器到货前派厂家工程师进行场地条件勘测确认，仪器到货接用户通知一周内安排工程师上门安装调试。</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3</w:t>
      </w:r>
      <w:r>
        <w:rPr>
          <w:rFonts w:hint="eastAsia" w:asciiTheme="minorEastAsia" w:hAnsiTheme="minorEastAsia" w:eastAsiaTheme="minorEastAsia"/>
          <w:szCs w:val="21"/>
          <w:lang w:eastAsia="zh-CN"/>
        </w:rPr>
        <w:t>.</w:t>
      </w:r>
      <w:r>
        <w:rPr>
          <w:rFonts w:asciiTheme="minorEastAsia" w:hAnsiTheme="minorEastAsia" w:eastAsiaTheme="minorEastAsia"/>
          <w:bCs/>
          <w:szCs w:val="21"/>
        </w:rPr>
        <w:t>维修维护：仪器保修期从安装调试验收合格起不少于一年。</w:t>
      </w:r>
      <w:r>
        <w:rPr>
          <w:rFonts w:asciiTheme="minorEastAsia" w:hAnsiTheme="minorEastAsia" w:eastAsiaTheme="minorEastAsia"/>
          <w:szCs w:val="21"/>
        </w:rPr>
        <w:t>仪器设备出现故障时，维修人员必须在4小时做出明确答复，如有需要48小时内派维修人员到达用户现场维修。仪器厂商在中国设有保税库，能及时为用户提供备品备件，及时提供相关操作软件的升级服务。在保修期内，所有维修服务及配件全部免费，保修期外，用户可用人民币结算相关费用。</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4</w:t>
      </w:r>
      <w:r>
        <w:rPr>
          <w:rFonts w:hint="eastAsia" w:asciiTheme="minorEastAsia" w:hAnsiTheme="minorEastAsia" w:eastAsiaTheme="minorEastAsia"/>
          <w:szCs w:val="21"/>
          <w:lang w:eastAsia="zh-CN"/>
        </w:rPr>
        <w:t>.</w:t>
      </w:r>
      <w:r>
        <w:rPr>
          <w:rFonts w:asciiTheme="minorEastAsia" w:hAnsiTheme="minorEastAsia" w:eastAsiaTheme="minorEastAsia"/>
          <w:bCs/>
          <w:szCs w:val="21"/>
        </w:rPr>
        <w:t>培训和应用支持：</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4.1</w:t>
      </w:r>
      <w:r>
        <w:rPr>
          <w:rFonts w:asciiTheme="minorEastAsia" w:hAnsiTheme="minorEastAsia" w:eastAsiaTheme="minorEastAsia"/>
          <w:szCs w:val="21"/>
        </w:rPr>
        <w:t xml:space="preserve"> 仪器安装完成后，由安装工程师进行现场仪器的操作和维护培训。</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4.2 应用技术培训：按照用户要求派专业的应用工程师进行现场应用技术培训，培训时间不少于3天，培训包括仪器的基本原理、操作、日常维护及基础分析仪器理论和上机操作等内容，也可以按照用户实际做样要求协助建立和开发方法，后续可应用户要求提供及时免费的上门培训和应用技术支持服务。</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4.3 提供4个厂家实验室培训名额，培训时间不少于3天。</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lang w:eastAsia="zh-CN"/>
        </w:rPr>
        <w:t>.</w:t>
      </w:r>
      <w:r>
        <w:rPr>
          <w:rFonts w:asciiTheme="minorEastAsia" w:hAnsiTheme="minorEastAsia" w:eastAsiaTheme="minorEastAsia"/>
          <w:szCs w:val="21"/>
        </w:rPr>
        <w:t>主机供货期：</w:t>
      </w:r>
      <w:r>
        <w:rPr>
          <w:rFonts w:hint="eastAsia" w:asciiTheme="minorEastAsia" w:hAnsiTheme="minorEastAsia" w:eastAsiaTheme="minorEastAsia"/>
          <w:szCs w:val="21"/>
        </w:rPr>
        <w:t>合同签订</w:t>
      </w:r>
      <w:r>
        <w:rPr>
          <w:rFonts w:asciiTheme="minorEastAsia" w:hAnsiTheme="minorEastAsia" w:eastAsiaTheme="minorEastAsia"/>
          <w:szCs w:val="21"/>
        </w:rPr>
        <w:t>后3个月到货。</w:t>
      </w:r>
    </w:p>
    <w:p>
      <w:pPr>
        <w:snapToGrid w:val="0"/>
        <w:spacing w:before="120" w:beforeLines="50" w:line="288" w:lineRule="auto"/>
        <w:rPr>
          <w:rFonts w:asciiTheme="minorEastAsia" w:hAnsiTheme="minorEastAsia" w:eastAsiaTheme="minorEastAsia"/>
          <w:b/>
          <w:szCs w:val="21"/>
        </w:rPr>
      </w:pPr>
      <w:r>
        <w:rPr>
          <w:rFonts w:asciiTheme="minorEastAsia" w:hAnsiTheme="minorEastAsia" w:eastAsiaTheme="minorEastAsia"/>
          <w:b/>
          <w:szCs w:val="21"/>
        </w:rPr>
        <w:t>（三）配置要求</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bCs/>
          <w:szCs w:val="21"/>
        </w:rPr>
        <w:t>质谱仪部分</w:t>
      </w:r>
      <w:r>
        <w:rPr>
          <w:rFonts w:asciiTheme="minorEastAsia" w:hAnsiTheme="minorEastAsia" w:eastAsiaTheme="minorEastAsia"/>
          <w:szCs w:val="21"/>
        </w:rPr>
        <w:t xml:space="preserve"> </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高分辨质谱主机一套</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ESI电喷雾离子源及大气压化学源各一套</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液质联用仪控制软件一套</w:t>
      </w:r>
    </w:p>
    <w:p>
      <w:pPr>
        <w:numPr>
          <w:ilvl w:val="1"/>
          <w:numId w:val="7"/>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水平安全筛查定量软件一套</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超高效液相色谱仪</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二元高压梯度泵一套</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温控自动进样器一套</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柱温箱一套</w:t>
      </w:r>
    </w:p>
    <w:p>
      <w:pPr>
        <w:numPr>
          <w:ilvl w:val="1"/>
          <w:numId w:val="8"/>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必备管路一套</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耗材部分</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C18色谱4根</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过滤器支架2个</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滤芯2包</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2mL样品瓶1000套</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机械泵油5瓶共10L</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校正液两瓶（10mL每瓶）</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500μL玻璃进样针1根</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常规流速喷针1根</w:t>
      </w:r>
    </w:p>
    <w:p>
      <w:pPr>
        <w:numPr>
          <w:ilvl w:val="1"/>
          <w:numId w:val="9"/>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三通、两通、peek管路、校正peek管路、管路切割器及刀片各1个、</w:t>
      </w:r>
    </w:p>
    <w:p>
      <w:pPr>
        <w:numPr>
          <w:ilvl w:val="0"/>
          <w:numId w:val="6"/>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辅助设备</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不间断电源1套（10kva，2小时延时）</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仪器控制电脑一台，配置不低于i7处理器，32GB内存，512G固态硬盘+1TB机械硬盘，24寸显示器；</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数据处理电脑一台，配置不低于intel 至强处理器，主频不低于2.9GHz，64GB内存，512GB固态硬盘+4TB机械硬盘，24寸显示器；</w:t>
      </w:r>
    </w:p>
    <w:p>
      <w:pPr>
        <w:numPr>
          <w:ilvl w:val="1"/>
          <w:numId w:val="10"/>
        </w:numPr>
        <w:spacing w:line="288"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数据备份电脑一台，配置不低于i7处理器，32GB内存，256G固态硬盘+1TB机械硬盘,24寸显示器。</w:t>
      </w:r>
    </w:p>
    <w:p>
      <w:pPr>
        <w:numPr>
          <w:ilvl w:val="1"/>
          <w:numId w:val="10"/>
        </w:numPr>
        <w:spacing w:line="288"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品牌氮气发生器一台，流量3</w:t>
      </w:r>
      <w:r>
        <w:rPr>
          <w:rFonts w:asciiTheme="minorEastAsia" w:hAnsiTheme="minorEastAsia" w:eastAsiaTheme="minorEastAsia"/>
          <w:szCs w:val="21"/>
        </w:rPr>
        <w:t>0L/</w:t>
      </w:r>
      <w:r>
        <w:rPr>
          <w:rFonts w:hint="eastAsia" w:asciiTheme="minorEastAsia" w:hAnsiTheme="minorEastAsia" w:eastAsiaTheme="minorEastAsia"/>
          <w:szCs w:val="21"/>
        </w:rPr>
        <w:t>min以上，满足仪器要求</w:t>
      </w:r>
    </w:p>
    <w:p>
      <w:pPr>
        <w:tabs>
          <w:tab w:val="left" w:pos="180"/>
          <w:tab w:val="left" w:pos="525"/>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 </w:t>
      </w:r>
      <w:r>
        <w:rPr>
          <w:rFonts w:hint="eastAsia" w:asciiTheme="minorEastAsia" w:hAnsiTheme="minorEastAsia" w:eastAsiaTheme="minorEastAsia"/>
          <w:b/>
          <w:bCs/>
          <w:szCs w:val="21"/>
        </w:rPr>
        <w:t>氮吹仪专用氮气发生器</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（一）技术规格和性能要求</w:t>
      </w:r>
    </w:p>
    <w:p>
      <w:pPr>
        <w:tabs>
          <w:tab w:val="left" w:pos="180"/>
          <w:tab w:val="left" w:pos="525"/>
        </w:tabs>
        <w:spacing w:line="288" w:lineRule="auto"/>
        <w:ind w:firstLine="408"/>
        <w:rPr>
          <w:rFonts w:asciiTheme="minorEastAsia" w:hAnsiTheme="minorEastAsia" w:eastAsiaTheme="minorEastAsia"/>
          <w:bCs/>
          <w:szCs w:val="21"/>
        </w:rPr>
      </w:pPr>
      <w:r>
        <w:rPr>
          <w:rFonts w:hint="eastAsia" w:asciiTheme="minorEastAsia" w:hAnsiTheme="minorEastAsia" w:eastAsiaTheme="minorEastAsia"/>
          <w:bCs/>
          <w:szCs w:val="21"/>
        </w:rPr>
        <w:t>1．应用范围</w:t>
      </w:r>
    </w:p>
    <w:p>
      <w:pPr>
        <w:tabs>
          <w:tab w:val="left" w:pos="180"/>
          <w:tab w:val="left" w:pos="525"/>
        </w:tabs>
        <w:spacing w:line="288" w:lineRule="auto"/>
        <w:ind w:firstLine="735" w:firstLineChars="350"/>
        <w:rPr>
          <w:rFonts w:asciiTheme="minorEastAsia" w:hAnsiTheme="minorEastAsia" w:eastAsiaTheme="minorEastAsia"/>
          <w:bCs/>
          <w:szCs w:val="21"/>
        </w:rPr>
      </w:pPr>
      <w:r>
        <w:rPr>
          <w:rFonts w:hint="eastAsia" w:asciiTheme="minorEastAsia" w:hAnsiTheme="minorEastAsia" w:eastAsiaTheme="minorEastAsia"/>
          <w:bCs/>
          <w:szCs w:val="21"/>
        </w:rPr>
        <w:t>用于氮吹仪的用气需求。</w:t>
      </w:r>
    </w:p>
    <w:p>
      <w:pPr>
        <w:pStyle w:val="253"/>
        <w:numPr>
          <w:ilvl w:val="0"/>
          <w:numId w:val="11"/>
        </w:numPr>
        <w:snapToGrid w:val="0"/>
        <w:spacing w:before="120" w:beforeLines="50" w:line="288" w:lineRule="auto"/>
        <w:ind w:firstLineChars="0"/>
        <w:rPr>
          <w:rFonts w:asciiTheme="minorEastAsia" w:hAnsiTheme="minorEastAsia"/>
          <w:sz w:val="21"/>
          <w:szCs w:val="21"/>
        </w:rPr>
      </w:pPr>
      <w:r>
        <w:rPr>
          <w:rFonts w:hint="eastAsia" w:asciiTheme="minorEastAsia" w:hAnsiTheme="minorEastAsia"/>
          <w:sz w:val="21"/>
          <w:szCs w:val="21"/>
        </w:rPr>
        <w:t>技术参数要求</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2.1氮气膜：采用超细化中空纤维膜分离技术，所产氮气纯度高，环保。</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2.2氮气流速：</w:t>
      </w:r>
      <w:r>
        <w:rPr>
          <w:rFonts w:asciiTheme="minorEastAsia" w:hAnsiTheme="minorEastAsia" w:eastAsiaTheme="minorEastAsia"/>
          <w:kern w:val="0"/>
          <w:szCs w:val="21"/>
        </w:rPr>
        <w:t>70</w:t>
      </w:r>
      <w:r>
        <w:rPr>
          <w:rFonts w:hint="eastAsia" w:asciiTheme="minorEastAsia" w:hAnsiTheme="minorEastAsia" w:eastAsiaTheme="minorEastAsia"/>
          <w:kern w:val="0"/>
          <w:szCs w:val="21"/>
        </w:rPr>
        <w:t>L/min，出口最高压力≥</w:t>
      </w:r>
      <w:r>
        <w:rPr>
          <w:rFonts w:asciiTheme="minorEastAsia" w:hAnsiTheme="minorEastAsia" w:eastAsiaTheme="minorEastAsia"/>
          <w:kern w:val="0"/>
          <w:szCs w:val="21"/>
        </w:rPr>
        <w:t>80</w:t>
      </w:r>
      <w:r>
        <w:rPr>
          <w:rFonts w:hint="eastAsia" w:asciiTheme="minorEastAsia" w:hAnsiTheme="minorEastAsia" w:eastAsiaTheme="minorEastAsia"/>
          <w:kern w:val="0"/>
          <w:szCs w:val="21"/>
        </w:rPr>
        <w:t>psi。</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cs="Segoe UI Symbol" w:asciiTheme="minorEastAsia" w:hAnsiTheme="minorEastAsia" w:eastAsiaTheme="minorEastAsia"/>
          <w:kern w:val="0"/>
          <w:szCs w:val="21"/>
        </w:rPr>
        <w:t>★</w:t>
      </w:r>
      <w:r>
        <w:rPr>
          <w:rFonts w:hint="eastAsia" w:asciiTheme="minorEastAsia" w:hAnsiTheme="minorEastAsia" w:eastAsiaTheme="minorEastAsia"/>
          <w:kern w:val="0"/>
          <w:szCs w:val="21"/>
        </w:rPr>
        <w:t>2.3氮气纯度≥9</w:t>
      </w:r>
      <w:r>
        <w:rPr>
          <w:rFonts w:asciiTheme="minorEastAsia" w:hAnsiTheme="minorEastAsia" w:eastAsiaTheme="minorEastAsia"/>
          <w:kern w:val="0"/>
          <w:szCs w:val="21"/>
        </w:rPr>
        <w:t>5</w:t>
      </w:r>
      <w:r>
        <w:rPr>
          <w:rFonts w:hint="eastAsia" w:asciiTheme="minorEastAsia" w:hAnsiTheme="minorEastAsia" w:eastAsiaTheme="minorEastAsia"/>
          <w:kern w:val="0"/>
          <w:szCs w:val="21"/>
        </w:rPr>
        <w:t>%。</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2.4内置≥20L容量的储气罐，降低空压机启停频率，提高空压机的使用寿命。</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2.5具有压力保护装置：当氮气发生器内部压力异常时，系统具有自我保护功能。</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2.6氮气压力露点: ≤－40℃。</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2.7无悬浮液体，无邻苯二甲酸酯。</w:t>
      </w:r>
    </w:p>
    <w:p>
      <w:pPr>
        <w:tabs>
          <w:tab w:val="left" w:pos="360"/>
        </w:tabs>
        <w:adjustRightInd w:val="0"/>
        <w:spacing w:line="288" w:lineRule="auto"/>
        <w:ind w:left="420"/>
        <w:outlineLvl w:val="1"/>
        <w:rPr>
          <w:rFonts w:asciiTheme="minorEastAsia" w:hAnsiTheme="minorEastAsia" w:eastAsiaTheme="minorEastAsia"/>
          <w:bCs/>
          <w:kern w:val="0"/>
          <w:szCs w:val="21"/>
        </w:rPr>
      </w:pPr>
      <w:bookmarkStart w:id="4" w:name="_Hlk100588680"/>
      <w:r>
        <w:rPr>
          <w:rFonts w:cs="Segoe UI Symbol" w:asciiTheme="minorEastAsia" w:hAnsiTheme="minorEastAsia" w:eastAsiaTheme="minorEastAsia"/>
          <w:kern w:val="0"/>
          <w:szCs w:val="21"/>
        </w:rPr>
        <w:t>★</w:t>
      </w:r>
      <w:r>
        <w:rPr>
          <w:rFonts w:hint="eastAsia" w:asciiTheme="minorEastAsia" w:hAnsiTheme="minorEastAsia" w:eastAsiaTheme="minorEastAsia"/>
          <w:kern w:val="0"/>
          <w:szCs w:val="21"/>
        </w:rPr>
        <w:t>2.8空压机和氮气发生器连接方式：空压机内置式</w:t>
      </w:r>
      <w:bookmarkStart w:id="5" w:name="_Hlk100589455"/>
      <w:r>
        <w:rPr>
          <w:rFonts w:hint="eastAsia" w:asciiTheme="minorEastAsia" w:hAnsiTheme="minorEastAsia" w:eastAsiaTheme="minorEastAsia"/>
          <w:kern w:val="0"/>
          <w:szCs w:val="21"/>
        </w:rPr>
        <w:t>，保证气量充足，无需外部空气源。使用进口品牌空压机，内置式双联设计，交替启动将空压机寿命提高2倍。</w:t>
      </w:r>
    </w:p>
    <w:bookmarkEnd w:id="4"/>
    <w:bookmarkEnd w:id="5"/>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2.9实际运行时间在线显示，便于维护保养。</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2.10</w:t>
      </w:r>
      <w:bookmarkStart w:id="6" w:name="_Hlk100585070"/>
      <w:r>
        <w:rPr>
          <w:rFonts w:hint="eastAsia" w:asciiTheme="minorEastAsia" w:hAnsiTheme="minorEastAsia" w:eastAsiaTheme="minorEastAsia"/>
          <w:kern w:val="0"/>
          <w:szCs w:val="21"/>
        </w:rPr>
        <w:t>具有L</w:t>
      </w:r>
      <w:r>
        <w:rPr>
          <w:rFonts w:asciiTheme="minorEastAsia" w:hAnsiTheme="minorEastAsia" w:eastAsiaTheme="minorEastAsia"/>
          <w:kern w:val="0"/>
          <w:szCs w:val="21"/>
        </w:rPr>
        <w:t>ED</w:t>
      </w:r>
      <w:r>
        <w:rPr>
          <w:rFonts w:hint="eastAsia" w:asciiTheme="minorEastAsia" w:hAnsiTheme="minorEastAsia" w:eastAsiaTheme="minorEastAsia"/>
          <w:kern w:val="0"/>
          <w:szCs w:val="21"/>
        </w:rPr>
        <w:t>液晶触摸屏面板和机壳红黄绿三色灯状态双警报功能；操作方便灵活，可在线监视设备压力等运行状态</w:t>
      </w:r>
      <w:bookmarkEnd w:id="6"/>
      <w:r>
        <w:rPr>
          <w:rFonts w:hint="eastAsia" w:asciiTheme="minorEastAsia" w:hAnsiTheme="minorEastAsia" w:eastAsiaTheme="minorEastAsia"/>
          <w:kern w:val="0"/>
          <w:szCs w:val="21"/>
        </w:rPr>
        <w:t>。</w:t>
      </w:r>
    </w:p>
    <w:p>
      <w:pPr>
        <w:tabs>
          <w:tab w:val="left" w:pos="360"/>
        </w:tabs>
        <w:adjustRightInd w:val="0"/>
        <w:spacing w:line="288" w:lineRule="auto"/>
        <w:ind w:left="420"/>
        <w:outlineLvl w:val="1"/>
        <w:rPr>
          <w:rFonts w:asciiTheme="minorEastAsia" w:hAnsiTheme="minorEastAsia" w:eastAsiaTheme="minorEastAsia"/>
          <w:kern w:val="0"/>
          <w:szCs w:val="21"/>
        </w:rPr>
      </w:pPr>
      <w:bookmarkStart w:id="7" w:name="_Hlk100585263"/>
      <w:bookmarkStart w:id="8" w:name="_Hlk100586057"/>
      <w:r>
        <w:rPr>
          <w:rFonts w:hint="eastAsia" w:asciiTheme="minorEastAsia" w:hAnsiTheme="minorEastAsia" w:eastAsiaTheme="minorEastAsia"/>
          <w:kern w:val="0"/>
          <w:szCs w:val="21"/>
        </w:rPr>
        <w:t>2.11冷却系统：采用铝合金鱼鳞状无缝焊接技术，增大换热面积，使用进口超静音散热风扇，既保证散热效果，又降低噪音</w:t>
      </w:r>
      <w:bookmarkEnd w:id="7"/>
      <w:r>
        <w:rPr>
          <w:rFonts w:hint="eastAsia" w:asciiTheme="minorEastAsia" w:hAnsiTheme="minorEastAsia" w:eastAsiaTheme="minorEastAsia"/>
          <w:kern w:val="0"/>
          <w:szCs w:val="21"/>
        </w:rPr>
        <w:t>。</w:t>
      </w:r>
      <w:bookmarkEnd w:id="8"/>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2.12系统噪音水平≤</w:t>
      </w:r>
      <w:r>
        <w:rPr>
          <w:rFonts w:asciiTheme="minorEastAsia" w:hAnsiTheme="minorEastAsia" w:eastAsiaTheme="minorEastAsia"/>
          <w:kern w:val="0"/>
          <w:szCs w:val="21"/>
        </w:rPr>
        <w:t>54</w:t>
      </w:r>
      <w:r>
        <w:rPr>
          <w:rFonts w:hint="eastAsia" w:asciiTheme="minorEastAsia" w:hAnsiTheme="minorEastAsia" w:eastAsiaTheme="minorEastAsia"/>
          <w:kern w:val="0"/>
          <w:szCs w:val="21"/>
        </w:rPr>
        <w:t>dB@1m。</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2.13底部具承重轮及锁扣设计，安放平稳，移动方便。</w:t>
      </w:r>
    </w:p>
    <w:p>
      <w:pPr>
        <w:spacing w:line="288" w:lineRule="auto"/>
        <w:ind w:left="420" w:leftChars="200"/>
        <w:rPr>
          <w:rFonts w:asciiTheme="minorEastAsia" w:hAnsiTheme="minorEastAsia" w:eastAsiaTheme="minorEastAsia"/>
          <w:kern w:val="0"/>
          <w:szCs w:val="21"/>
        </w:rPr>
      </w:pPr>
      <w:r>
        <w:rPr>
          <w:rFonts w:hint="eastAsia" w:asciiTheme="minorEastAsia" w:hAnsiTheme="minorEastAsia" w:eastAsiaTheme="minorEastAsia"/>
          <w:kern w:val="0"/>
          <w:szCs w:val="21"/>
        </w:rPr>
        <w:t>2.14仪器尺寸(H*D*W)：≤1</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cm*</w:t>
      </w:r>
      <w:r>
        <w:rPr>
          <w:rFonts w:asciiTheme="minorEastAsia" w:hAnsiTheme="minorEastAsia" w:eastAsiaTheme="minorEastAsia"/>
          <w:kern w:val="0"/>
          <w:szCs w:val="21"/>
        </w:rPr>
        <w:t xml:space="preserve"> 80</w:t>
      </w:r>
      <w:r>
        <w:rPr>
          <w:rFonts w:hint="eastAsia" w:asciiTheme="minorEastAsia" w:hAnsiTheme="minorEastAsia" w:eastAsiaTheme="minorEastAsia"/>
          <w:kern w:val="0"/>
          <w:szCs w:val="21"/>
        </w:rPr>
        <w:t xml:space="preserve"> cm*</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60 cm。</w:t>
      </w:r>
    </w:p>
    <w:p>
      <w:pPr>
        <w:spacing w:line="288" w:lineRule="auto"/>
        <w:ind w:left="420" w:leftChars="200"/>
        <w:rPr>
          <w:rFonts w:asciiTheme="minorEastAsia" w:hAnsiTheme="minorEastAsia" w:eastAsiaTheme="minorEastAsia"/>
          <w:kern w:val="0"/>
          <w:szCs w:val="21"/>
        </w:rPr>
      </w:pPr>
      <w:r>
        <w:rPr>
          <w:rFonts w:hint="eastAsia" w:asciiTheme="minorEastAsia" w:hAnsiTheme="minorEastAsia" w:eastAsiaTheme="minorEastAsia"/>
          <w:kern w:val="0"/>
          <w:szCs w:val="21"/>
        </w:rPr>
        <w:t>2.15仪器重量：≤130kg。</w:t>
      </w:r>
    </w:p>
    <w:p>
      <w:pPr>
        <w:spacing w:line="288" w:lineRule="auto"/>
        <w:ind w:left="420" w:leftChars="200"/>
        <w:rPr>
          <w:rFonts w:asciiTheme="minorEastAsia" w:hAnsiTheme="minorEastAsia" w:eastAsiaTheme="minorEastAsia"/>
          <w:kern w:val="0"/>
          <w:szCs w:val="21"/>
        </w:rPr>
      </w:pPr>
      <w:r>
        <w:rPr>
          <w:rFonts w:hint="eastAsia" w:asciiTheme="minorEastAsia" w:hAnsiTheme="minorEastAsia" w:eastAsiaTheme="minorEastAsia"/>
          <w:kern w:val="0"/>
          <w:szCs w:val="21"/>
        </w:rPr>
        <w:t>2.16输入电压：AC 230v（±10%）、50/60Hz。</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2.17环境温度: 5－45℃。</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2.18环境湿度：≤80%，非冷凝。</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2.19输入功率：≤2200W。</w:t>
      </w:r>
    </w:p>
    <w:p>
      <w:pPr>
        <w:spacing w:line="288"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2.19最高海拔：</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2000米。</w:t>
      </w:r>
    </w:p>
    <w:p>
      <w:pPr>
        <w:snapToGrid w:val="0"/>
        <w:spacing w:before="120" w:beforeLines="50" w:line="288" w:lineRule="auto"/>
        <w:rPr>
          <w:rFonts w:asciiTheme="minorEastAsia" w:hAnsiTheme="minorEastAsia" w:eastAsiaTheme="minorEastAsia"/>
          <w:b/>
          <w:szCs w:val="21"/>
        </w:rPr>
      </w:pPr>
      <w:r>
        <w:rPr>
          <w:rFonts w:asciiTheme="minorEastAsia" w:hAnsiTheme="minorEastAsia" w:eastAsiaTheme="minorEastAsia"/>
          <w:b/>
          <w:szCs w:val="21"/>
        </w:rPr>
        <w:t>(二)售后服务与培训</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1.所有售后工作由制造商专业工程师负责，提供厂家售后服务承诺书原件；</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2.配备设备正常运行所需的工具包及零配件，到货后厂家安排工程师上门免费安装调试。</w:t>
      </w:r>
    </w:p>
    <w:p>
      <w:pPr>
        <w:tabs>
          <w:tab w:val="left" w:pos="360"/>
        </w:tabs>
        <w:adjustRightInd w:val="0"/>
        <w:spacing w:line="288" w:lineRule="auto"/>
        <w:ind w:left="420"/>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3.整套系统质保期</w:t>
      </w:r>
      <w:r>
        <w:rPr>
          <w:rFonts w:asciiTheme="minorEastAsia" w:hAnsiTheme="minorEastAsia" w:eastAsiaTheme="minorEastAsia"/>
          <w:kern w:val="0"/>
          <w:szCs w:val="21"/>
        </w:rPr>
        <w:t>不少于</w:t>
      </w:r>
      <w:r>
        <w:rPr>
          <w:rFonts w:hint="eastAsia" w:asciiTheme="minorEastAsia" w:hAnsiTheme="minorEastAsia" w:eastAsiaTheme="minorEastAsia"/>
          <w:kern w:val="0"/>
          <w:szCs w:val="21"/>
        </w:rPr>
        <w:t>两年，电话响应时间≤1小时，上门服务≤</w:t>
      </w:r>
      <w:r>
        <w:rPr>
          <w:rFonts w:asciiTheme="minorEastAsia" w:hAnsiTheme="minorEastAsia" w:eastAsiaTheme="minorEastAsia"/>
          <w:kern w:val="0"/>
          <w:szCs w:val="21"/>
        </w:rPr>
        <w:t>48</w:t>
      </w:r>
      <w:r>
        <w:rPr>
          <w:rFonts w:hint="eastAsia" w:asciiTheme="minorEastAsia" w:hAnsiTheme="minorEastAsia" w:eastAsiaTheme="minorEastAsia"/>
          <w:kern w:val="0"/>
          <w:szCs w:val="21"/>
        </w:rPr>
        <w:t>小时。</w:t>
      </w:r>
    </w:p>
    <w:p>
      <w:pPr>
        <w:pStyle w:val="2"/>
        <w:ind w:firstLine="210"/>
      </w:pPr>
      <w:r>
        <w:rPr>
          <w:rFonts w:hint="eastAsia"/>
        </w:rPr>
        <w:t xml:space="preserve"> </w:t>
      </w:r>
      <w:r>
        <w:t xml:space="preserve"> </w:t>
      </w:r>
      <w:r>
        <w:rPr>
          <w:rFonts w:hint="eastAsia"/>
        </w:rPr>
        <w:t>4.合同签订后</w:t>
      </w:r>
      <w:r>
        <w:t>1</w:t>
      </w:r>
      <w:r>
        <w:rPr>
          <w:rFonts w:hint="eastAsia"/>
        </w:rPr>
        <w:t>个月到货。</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（三）配置要求</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．氮气发生器一体机              2台</w:t>
      </w:r>
    </w:p>
    <w:p>
      <w:pPr>
        <w:tabs>
          <w:tab w:val="left" w:pos="426"/>
        </w:tabs>
        <w:spacing w:line="288" w:lineRule="auto"/>
        <w:rPr>
          <w:rFonts w:cs="Microsoft Sans Serif" w:asciiTheme="minorEastAsia" w:hAnsiTheme="minorEastAsia" w:eastAsiaTheme="minorEastAsia"/>
          <w:szCs w:val="21"/>
        </w:rPr>
      </w:pPr>
    </w:p>
    <w:p>
      <w:pPr>
        <w:tabs>
          <w:tab w:val="left" w:pos="180"/>
          <w:tab w:val="left" w:pos="525"/>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 xml:space="preserve"> </w:t>
      </w:r>
      <w:r>
        <w:rPr>
          <w:rFonts w:hint="eastAsia" w:asciiTheme="minorEastAsia" w:hAnsiTheme="minorEastAsia" w:eastAsiaTheme="minorEastAsia"/>
          <w:b/>
          <w:bCs/>
          <w:szCs w:val="21"/>
        </w:rPr>
        <w:t>高速冷冻研磨均质仪</w:t>
      </w:r>
    </w:p>
    <w:p>
      <w:pPr>
        <w:snapToGrid w:val="0"/>
        <w:spacing w:before="120" w:beforeLines="50" w:line="288" w:lineRule="auto"/>
        <w:rPr>
          <w:rFonts w:asciiTheme="minorEastAsia" w:hAnsiTheme="minorEastAsia" w:eastAsiaTheme="minorEastAsia"/>
          <w:b/>
          <w:szCs w:val="21"/>
        </w:rPr>
      </w:pPr>
      <w:r>
        <w:rPr>
          <w:rFonts w:hint="eastAsia" w:asciiTheme="minorEastAsia" w:hAnsiTheme="minorEastAsia" w:eastAsiaTheme="minorEastAsia"/>
          <w:b/>
          <w:szCs w:val="21"/>
        </w:rPr>
        <w:t>（一）技术规格和性能要求</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w:t>
      </w:r>
      <w:r>
        <w:rPr>
          <w:rFonts w:asciiTheme="minorEastAsia" w:hAnsiTheme="minorEastAsia" w:eastAsiaTheme="minorEastAsia"/>
          <w:szCs w:val="21"/>
        </w:rPr>
        <w:t>应用范围</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适用于生物样品的样品前处理，大批量自动化的快速抽提基因组。</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技术参数要求</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  可以同时处理192位2ml深孔研磨管,96孔板2ML标准管,48位5ml研磨管，32位（7-15）ml研磨管, 16位50ml;8位100ML,4*25ml，2*50ml(钢罐）</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可以任意定做各种规格研磨管或钢罐。</w:t>
      </w:r>
    </w:p>
    <w:p>
      <w:pPr>
        <w:spacing w:before="150" w:after="150"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  触摸屏显示,人性化交互设计，操作便捷，可以方便直观的操作</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r>
        <w:rPr>
          <w:rFonts w:cs="宋体" w:asciiTheme="minorEastAsia" w:hAnsiTheme="minorEastAsia" w:eastAsiaTheme="minorEastAsia"/>
          <w:kern w:val="0"/>
          <w:szCs w:val="21"/>
        </w:rPr>
        <w:t>1可存储十组实验数据</w:t>
      </w:r>
      <w:r>
        <w:rPr>
          <w:rFonts w:hint="eastAsia" w:cs="宋体" w:asciiTheme="minorEastAsia" w:hAnsiTheme="minorEastAsia" w:eastAsiaTheme="minorEastAsia"/>
          <w:kern w:val="0"/>
          <w:szCs w:val="21"/>
        </w:rPr>
        <w:t>。</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r>
        <w:rPr>
          <w:rFonts w:cs="宋体" w:asciiTheme="minorEastAsia" w:hAnsiTheme="minorEastAsia" w:eastAsiaTheme="minorEastAsia"/>
          <w:kern w:val="0"/>
          <w:szCs w:val="21"/>
        </w:rPr>
        <w:t>2模式循环：根据设置的实验参数，可在几个设置好的参数间不断循环，进一步减少人为因数的干扰</w:t>
      </w:r>
      <w:r>
        <w:rPr>
          <w:rFonts w:hint="eastAsia" w:cs="宋体" w:asciiTheme="minorEastAsia" w:hAnsiTheme="minorEastAsia" w:eastAsiaTheme="minorEastAsia"/>
          <w:kern w:val="0"/>
          <w:szCs w:val="21"/>
        </w:rPr>
        <w:t>。</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2.2.3可设置分段运行:自行设置转速和运行时间.</w:t>
      </w:r>
    </w:p>
    <w:p>
      <w:pPr>
        <w:spacing w:before="150" w:after="150" w:line="288" w:lineRule="auto"/>
        <w:ind w:left="265" w:leftChars="126" w:firstLine="102" w:firstLineChars="49"/>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2.2.4具有启动、停止、暂停、门开/关、系统设置、参数设置、参数选择等触控按键</w:t>
      </w:r>
    </w:p>
    <w:p>
      <w:pPr>
        <w:autoSpaceDE w:val="0"/>
        <w:autoSpaceDN w:val="0"/>
        <w:adjustRightInd w:val="0"/>
        <w:spacing w:line="288" w:lineRule="auto"/>
        <w:ind w:firstLine="420" w:firstLineChars="200"/>
        <w:rPr>
          <w:rFonts w:cs="宋体" w:asciiTheme="minorEastAsia" w:hAnsiTheme="minorEastAsia" w:eastAsiaTheme="minorEastAsia"/>
          <w:b/>
          <w:bCs/>
          <w:kern w:val="0"/>
          <w:szCs w:val="21"/>
        </w:rPr>
      </w:pPr>
      <w:r>
        <w:rPr>
          <w:rFonts w:cs="Segoe UI Symbol" w:asciiTheme="minorEastAsia" w:hAnsiTheme="minorEastAsia" w:eastAsiaTheme="minorEastAsia"/>
          <w:kern w:val="0"/>
          <w:szCs w:val="21"/>
        </w:rPr>
        <w:t>★</w:t>
      </w:r>
      <w:r>
        <w:rPr>
          <w:rFonts w:hint="eastAsia" w:cs="宋体" w:asciiTheme="minorEastAsia" w:hAnsiTheme="minorEastAsia" w:eastAsiaTheme="minorEastAsia"/>
          <w:b/>
          <w:bCs/>
          <w:kern w:val="0"/>
          <w:szCs w:val="21"/>
        </w:rPr>
        <w:t>2.3  工作方式： 垂直上下研磨珠运动方式，保证样品处理的最大化和瞬间的粉碎效果。</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 .最大进料尺寸：无要求，根据适配器调节.最终出料粒度：</w:t>
      </w:r>
      <w:r>
        <w:rPr>
          <w:rFonts w:hint="eastAsia" w:asciiTheme="minorEastAsia" w:hAnsiTheme="minorEastAsia" w:eastAsiaTheme="minorEastAsia"/>
          <w:kern w:val="0"/>
          <w:szCs w:val="21"/>
        </w:rPr>
        <w:t>≤</w:t>
      </w:r>
      <w:r>
        <w:rPr>
          <w:rFonts w:hint="eastAsia" w:cs="宋体" w:asciiTheme="minorEastAsia" w:hAnsiTheme="minorEastAsia" w:eastAsiaTheme="minorEastAsia"/>
          <w:kern w:val="0"/>
          <w:szCs w:val="21"/>
        </w:rPr>
        <w:t>5µm。</w:t>
      </w:r>
    </w:p>
    <w:p>
      <w:pPr>
        <w:spacing w:line="288"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2.5 </w:t>
      </w:r>
      <w:r>
        <w:rPr>
          <w:rFonts w:hint="eastAsia" w:cs="宋体" w:asciiTheme="minorEastAsia" w:hAnsiTheme="minorEastAsia" w:eastAsiaTheme="minorEastAsia"/>
          <w:szCs w:val="21"/>
        </w:rPr>
        <w:t>不锈钢腔体圆角和斜坡底座一体成型设计，研磨腔内不锈钢板须为压模成形，进一步保证腔体不变形，且易于清洁,且有降音装置。</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研磨平台数 (可接纳研磨罐数) &gt;2 。</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 带自动中心定位的紧固装置： 是。</w:t>
      </w:r>
    </w:p>
    <w:p>
      <w:pPr>
        <w:autoSpaceDE w:val="0"/>
        <w:autoSpaceDN w:val="0"/>
        <w:adjustRightInd w:val="0"/>
        <w:spacing w:line="288"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kern w:val="0"/>
          <w:szCs w:val="21"/>
        </w:rPr>
        <w:t xml:space="preserve">2.8  </w:t>
      </w:r>
      <w:r>
        <w:rPr>
          <w:rFonts w:hint="eastAsia" w:cs="宋体" w:asciiTheme="minorEastAsia" w:hAnsiTheme="minorEastAsia" w:eastAsiaTheme="minorEastAsia"/>
          <w:b/>
          <w:bCs/>
          <w:kern w:val="0"/>
          <w:szCs w:val="21"/>
        </w:rPr>
        <w:t>均质速度： 0-70HZ,工作时间 ：0秒-9999秒，用户可自行设定。</w:t>
      </w:r>
    </w:p>
    <w:p>
      <w:pPr>
        <w:autoSpaceDE w:val="0"/>
        <w:autoSpaceDN w:val="0"/>
        <w:adjustRightInd w:val="0"/>
        <w:spacing w:line="288" w:lineRule="auto"/>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kern w:val="0"/>
          <w:szCs w:val="21"/>
        </w:rPr>
        <w:t xml:space="preserve">2.9 </w:t>
      </w:r>
      <w:r>
        <w:rPr>
          <w:rFonts w:hint="eastAsia" w:cs="宋体" w:asciiTheme="minorEastAsia" w:hAnsiTheme="minorEastAsia" w:eastAsiaTheme="minorEastAsia"/>
          <w:b/>
          <w:bCs/>
          <w:kern w:val="0"/>
          <w:szCs w:val="21"/>
        </w:rPr>
        <w:t xml:space="preserve"> 在减震技术上采用“双层减震结构”技术，确保在高速研磨工作时，仪器处于一个稳定状态，不会对于外部仪器产生干扰及保证整体环境的安全性</w:t>
      </w:r>
    </w:p>
    <w:p>
      <w:pPr>
        <w:autoSpaceDE w:val="0"/>
        <w:autoSpaceDN w:val="0"/>
        <w:adjustRightInd w:val="0"/>
        <w:spacing w:line="288"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kern w:val="0"/>
          <w:szCs w:val="21"/>
        </w:rPr>
        <w:t xml:space="preserve">2.10 </w:t>
      </w:r>
      <w:r>
        <w:rPr>
          <w:rFonts w:hint="eastAsia" w:cs="宋体" w:asciiTheme="minorEastAsia" w:hAnsiTheme="minorEastAsia" w:eastAsiaTheme="minorEastAsia"/>
          <w:b/>
          <w:bCs/>
          <w:kern w:val="0"/>
          <w:szCs w:val="21"/>
        </w:rPr>
        <w:t xml:space="preserve">  固定研磨管的部分，采用了“简便式试管压紧”技术，降低破管的风险，再配以可靠的压紧技术对于高强度的研磨工作，能保证研磨管的完整度高于99.995%.</w:t>
      </w:r>
    </w:p>
    <w:p>
      <w:pPr>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2.11 研磨球材料： 合金钢、铬钢、氧化锆、碳化钨、石英砂。研磨球直径： 0.1-30mm</w:t>
      </w:r>
      <w:r>
        <w:rPr>
          <w:rFonts w:hint="eastAsia" w:cs="宋体" w:asciiTheme="minorEastAsia" w:hAnsiTheme="minorEastAsia" w:eastAsiaTheme="minorEastAsia"/>
          <w:szCs w:val="21"/>
        </w:rPr>
        <w:t>。</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2.12 加速： 在2秒内达到最大速度。减速： 在2秒内达到最低速度。</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2.13 仪器内部采用隔音材料处理,仪器盖做隔音密封处理,超强静音效果:噪音小于:55dB</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2.14 研磨方式：湿磨，干磨，低温研磨都可。</w:t>
      </w:r>
    </w:p>
    <w:p>
      <w:pPr>
        <w:autoSpaceDE w:val="0"/>
        <w:autoSpaceDN w:val="0"/>
        <w:adjustRightInd w:val="0"/>
        <w:spacing w:line="288"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 xml:space="preserve">▲2.15 </w:t>
      </w:r>
      <w:r>
        <w:rPr>
          <w:rFonts w:hint="eastAsia" w:cs="宋体" w:asciiTheme="minorEastAsia" w:hAnsiTheme="minorEastAsia" w:eastAsiaTheme="minorEastAsia"/>
          <w:b/>
          <w:bCs/>
          <w:szCs w:val="21"/>
        </w:rPr>
        <w:t>可随意更换适配器，有十四种适配器可供选配，可接受任意规格定制。</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2.16 采用可编程控制器加变频器双控制,运行保险稳定.</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2.17 样品适配器配具有通用性,能适用多款同类仪器,可以实现一物多用的功能</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2.18 样品适配器盖带自锁结构,防止手柄在工作中松动</w:t>
      </w:r>
    </w:p>
    <w:p>
      <w:pPr>
        <w:autoSpaceDE w:val="0"/>
        <w:autoSpaceDN w:val="0"/>
        <w:adjustRightInd w:val="0"/>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2.19  设备含有双电子锁保护装置,同时可以一键电动开门,确保主机闭合且保证若仪器盖产生缝隙则仪器自动停止工作</w:t>
      </w:r>
    </w:p>
    <w:p>
      <w:pPr>
        <w:autoSpaceDE w:val="0"/>
        <w:autoSpaceDN w:val="0"/>
        <w:adjustRightInd w:val="0"/>
        <w:spacing w:line="288" w:lineRule="auto"/>
        <w:ind w:firstLine="420" w:firstLineChars="200"/>
        <w:rPr>
          <w:rFonts w:cs="宋体" w:asciiTheme="minorEastAsia" w:hAnsiTheme="minorEastAsia" w:eastAsiaTheme="minorEastAsia"/>
          <w:b/>
          <w:bCs/>
          <w:kern w:val="0"/>
          <w:szCs w:val="21"/>
        </w:rPr>
      </w:pPr>
      <w:r>
        <w:rPr>
          <w:rFonts w:cs="Segoe UI Symbol" w:asciiTheme="minorEastAsia" w:hAnsiTheme="minorEastAsia" w:eastAsiaTheme="minorEastAsia"/>
          <w:bCs/>
          <w:szCs w:val="21"/>
        </w:rPr>
        <w:t>★</w:t>
      </w:r>
      <w:r>
        <w:rPr>
          <w:rFonts w:hint="eastAsia" w:cs="宋体" w:asciiTheme="minorEastAsia" w:hAnsiTheme="minorEastAsia" w:eastAsiaTheme="minorEastAsia"/>
          <w:b/>
          <w:bCs/>
          <w:kern w:val="0"/>
          <w:szCs w:val="21"/>
        </w:rPr>
        <w:t xml:space="preserve">2.20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b/>
          <w:bCs/>
          <w:kern w:val="0"/>
          <w:szCs w:val="21"/>
        </w:rPr>
        <w:t>具有</w:t>
      </w:r>
      <w:r>
        <w:rPr>
          <w:rFonts w:hint="eastAsia" w:cs="宋体" w:asciiTheme="minorEastAsia" w:hAnsiTheme="minorEastAsia" w:eastAsiaTheme="minorEastAsia"/>
          <w:b/>
          <w:bCs/>
          <w:kern w:val="0"/>
          <w:szCs w:val="21"/>
        </w:rPr>
        <w:t>制冷功能</w:t>
      </w:r>
      <w:r>
        <w:rPr>
          <w:rFonts w:cs="宋体" w:asciiTheme="minorEastAsia" w:hAnsiTheme="minorEastAsia" w:eastAsiaTheme="minorEastAsia"/>
          <w:b/>
          <w:bCs/>
          <w:kern w:val="0"/>
          <w:szCs w:val="21"/>
        </w:rPr>
        <w:t>，</w:t>
      </w:r>
      <w:r>
        <w:rPr>
          <w:rFonts w:hint="eastAsia" w:cs="宋体" w:asciiTheme="minorEastAsia" w:hAnsiTheme="minorEastAsia" w:eastAsiaTheme="minorEastAsia"/>
          <w:b/>
          <w:bCs/>
          <w:kern w:val="0"/>
          <w:szCs w:val="21"/>
        </w:rPr>
        <w:t>-50℃到室温</w:t>
      </w:r>
      <w:r>
        <w:rPr>
          <w:rFonts w:cs="宋体" w:asciiTheme="minorEastAsia" w:hAnsiTheme="minorEastAsia" w:eastAsiaTheme="minorEastAsia"/>
          <w:b/>
          <w:bCs/>
          <w:kern w:val="0"/>
          <w:szCs w:val="21"/>
        </w:rPr>
        <w:t>范围内</w:t>
      </w:r>
      <w:r>
        <w:rPr>
          <w:rFonts w:hint="eastAsia" w:cs="宋体" w:asciiTheme="minorEastAsia" w:hAnsiTheme="minorEastAsia" w:eastAsiaTheme="minorEastAsia"/>
          <w:b/>
          <w:bCs/>
          <w:kern w:val="0"/>
          <w:szCs w:val="21"/>
        </w:rPr>
        <w:t>可调节。 控温精度</w:t>
      </w:r>
      <w:r>
        <w:rPr>
          <w:rFonts w:hint="eastAsia" w:asciiTheme="minorEastAsia" w:hAnsiTheme="minorEastAsia" w:eastAsiaTheme="minorEastAsia"/>
          <w:kern w:val="0"/>
          <w:szCs w:val="21"/>
        </w:rPr>
        <w:t>≤</w:t>
      </w:r>
      <w:r>
        <w:rPr>
          <w:rFonts w:hint="eastAsia" w:cs="宋体" w:asciiTheme="minorEastAsia" w:hAnsiTheme="minorEastAsia" w:eastAsiaTheme="minorEastAsia"/>
          <w:b/>
          <w:bCs/>
          <w:kern w:val="0"/>
          <w:szCs w:val="21"/>
        </w:rPr>
        <w:t>±0.5℃</w:t>
      </w:r>
    </w:p>
    <w:p>
      <w:pPr>
        <w:autoSpaceDE w:val="0"/>
        <w:autoSpaceDN w:val="0"/>
        <w:adjustRightInd w:val="0"/>
        <w:spacing w:line="288" w:lineRule="auto"/>
        <w:rPr>
          <w:rFonts w:asciiTheme="minorEastAsia" w:hAnsiTheme="minorEastAsia" w:eastAsiaTheme="minorEastAsia"/>
          <w:b/>
          <w:szCs w:val="21"/>
        </w:rPr>
      </w:pPr>
      <w:r>
        <w:rPr>
          <w:rFonts w:asciiTheme="minorEastAsia" w:hAnsiTheme="minorEastAsia" w:eastAsiaTheme="minorEastAsia"/>
          <w:b/>
          <w:szCs w:val="21"/>
        </w:rPr>
        <w:t>(二)售后服务与培训</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厂方负责安装调试。</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安装调试后经用户确认合格次日起，质量保证期</w:t>
      </w:r>
      <w:r>
        <w:rPr>
          <w:rFonts w:cs="宋体" w:asciiTheme="minorEastAsia" w:hAnsiTheme="minorEastAsia" w:eastAsiaTheme="minorEastAsia"/>
          <w:kern w:val="0"/>
          <w:szCs w:val="21"/>
        </w:rPr>
        <w:t>不少于两</w:t>
      </w:r>
      <w:r>
        <w:rPr>
          <w:rFonts w:hint="eastAsia" w:cs="宋体" w:asciiTheme="minorEastAsia" w:hAnsiTheme="minorEastAsia" w:eastAsiaTheme="minorEastAsia"/>
          <w:kern w:val="0"/>
          <w:szCs w:val="21"/>
        </w:rPr>
        <w:t>年。</w:t>
      </w:r>
    </w:p>
    <w:p>
      <w:pPr>
        <w:spacing w:line="288"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3</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维修响应时间</w:t>
      </w:r>
      <w:r>
        <w:rPr>
          <w:rFonts w:hint="eastAsia" w:asciiTheme="minorEastAsia" w:hAnsiTheme="minorEastAsia" w:eastAsiaTheme="minorEastAsia"/>
          <w:kern w:val="0"/>
          <w:szCs w:val="21"/>
        </w:rPr>
        <w:t>≤</w:t>
      </w:r>
      <w:r>
        <w:rPr>
          <w:rFonts w:hint="eastAsia" w:cs="宋体" w:asciiTheme="minorEastAsia" w:hAnsiTheme="minorEastAsia" w:eastAsiaTheme="minorEastAsia"/>
          <w:kern w:val="0"/>
          <w:szCs w:val="21"/>
        </w:rPr>
        <w:t>8小时</w:t>
      </w:r>
      <w:r>
        <w:rPr>
          <w:rFonts w:asciiTheme="minorEastAsia" w:hAnsiTheme="minorEastAsia" w:eastAsiaTheme="minorEastAsia"/>
          <w:szCs w:val="21"/>
        </w:rPr>
        <w:t>。</w:t>
      </w:r>
    </w:p>
    <w:p>
      <w:pPr>
        <w:spacing w:line="288" w:lineRule="auto"/>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cs="宋体" w:asciiTheme="minorEastAsia" w:hAnsiTheme="minorEastAsia" w:eastAsiaTheme="minorEastAsia"/>
          <w:kern w:val="0"/>
          <w:szCs w:val="21"/>
        </w:rPr>
        <w:t>终身负责维修。</w:t>
      </w:r>
    </w:p>
    <w:p>
      <w:pPr>
        <w:spacing w:line="288"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asciiTheme="minorEastAsia" w:hAnsiTheme="minorEastAsia" w:eastAsiaTheme="minorEastAsia"/>
          <w:szCs w:val="21"/>
        </w:rPr>
        <w:t>主机供货期：</w:t>
      </w:r>
      <w:r>
        <w:rPr>
          <w:rFonts w:hint="eastAsia" w:asciiTheme="minorEastAsia" w:hAnsiTheme="minorEastAsia" w:eastAsiaTheme="minorEastAsia"/>
          <w:szCs w:val="21"/>
        </w:rPr>
        <w:t>合同签订</w:t>
      </w:r>
      <w:r>
        <w:rPr>
          <w:rFonts w:asciiTheme="minorEastAsia" w:hAnsiTheme="minorEastAsia" w:eastAsiaTheme="minorEastAsia"/>
          <w:szCs w:val="21"/>
        </w:rPr>
        <w:t>后</w:t>
      </w:r>
      <w:r>
        <w:rPr>
          <w:rFonts w:hint="eastAsia" w:asciiTheme="minorEastAsia" w:hAnsiTheme="minorEastAsia" w:eastAsiaTheme="minorEastAsia"/>
          <w:szCs w:val="21"/>
        </w:rPr>
        <w:t>1</w:t>
      </w:r>
      <w:r>
        <w:rPr>
          <w:rFonts w:asciiTheme="minorEastAsia" w:hAnsiTheme="minorEastAsia" w:eastAsiaTheme="minorEastAsia"/>
          <w:szCs w:val="21"/>
        </w:rPr>
        <w:t>个月内到货。</w:t>
      </w:r>
    </w:p>
    <w:p>
      <w:pPr>
        <w:pStyle w:val="253"/>
        <w:numPr>
          <w:ilvl w:val="0"/>
          <w:numId w:val="12"/>
        </w:numPr>
        <w:snapToGrid w:val="0"/>
        <w:spacing w:before="120" w:beforeLines="50" w:line="288" w:lineRule="auto"/>
        <w:ind w:firstLineChars="0"/>
        <w:rPr>
          <w:rFonts w:asciiTheme="minorEastAsia" w:hAnsiTheme="minorEastAsia"/>
          <w:b/>
          <w:sz w:val="21"/>
          <w:szCs w:val="21"/>
        </w:rPr>
      </w:pPr>
      <w:r>
        <w:rPr>
          <w:rFonts w:hint="eastAsia" w:asciiTheme="minorEastAsia" w:hAnsiTheme="minorEastAsia"/>
          <w:b/>
          <w:sz w:val="21"/>
          <w:szCs w:val="21"/>
        </w:rPr>
        <w:t>配置要求</w:t>
      </w:r>
    </w:p>
    <w:p>
      <w:pPr>
        <w:spacing w:line="28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1.主机1台</w:t>
      </w:r>
    </w:p>
    <w:p>
      <w:pPr>
        <w:spacing w:line="288"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.50ml*16适配器2套</w:t>
      </w:r>
    </w:p>
    <w:p>
      <w:pPr>
        <w:spacing w:line="288" w:lineRule="auto"/>
        <w:ind w:left="420"/>
        <w:rPr>
          <w:rFonts w:asciiTheme="minorEastAsia" w:hAnsiTheme="minorEastAsia" w:eastAsiaTheme="minorEastAsia"/>
          <w:bCs/>
          <w:szCs w:val="21"/>
        </w:rPr>
      </w:pPr>
      <w:r>
        <w:rPr>
          <w:rFonts w:hint="eastAsia" w:asciiTheme="minorEastAsia" w:hAnsiTheme="minorEastAsia" w:eastAsiaTheme="minorEastAsia"/>
          <w:bCs/>
          <w:szCs w:val="21"/>
        </w:rPr>
        <w:t>3.不锈钢研磨珠10000颗</w:t>
      </w:r>
    </w:p>
    <w:p>
      <w:pPr>
        <w:tabs>
          <w:tab w:val="left" w:pos="3216"/>
        </w:tabs>
        <w:spacing w:line="28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4．蝶珠3000颗</w:t>
      </w:r>
    </w:p>
    <w:p>
      <w:pPr>
        <w:tabs>
          <w:tab w:val="left" w:pos="3253"/>
        </w:tabs>
        <w:spacing w:line="288" w:lineRule="auto"/>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5．氧化锆研磨珠1000颗</w:t>
      </w:r>
    </w:p>
    <w:p>
      <w:pPr>
        <w:snapToGrid w:val="0"/>
        <w:spacing w:line="288" w:lineRule="auto"/>
        <w:rPr>
          <w:rFonts w:asciiTheme="minorEastAsia" w:hAnsiTheme="minorEastAsia" w:eastAsiaTheme="minorEastAsia"/>
          <w:bCs/>
          <w:szCs w:val="21"/>
        </w:rPr>
      </w:pPr>
    </w:p>
    <w:p>
      <w:pPr>
        <w:spacing w:line="288" w:lineRule="auto"/>
        <w:ind w:firstLine="420" w:firstLineChars="200"/>
        <w:rPr>
          <w:rFonts w:cs="宋体" w:asciiTheme="minorEastAsia" w:hAnsiTheme="minorEastAsia" w:eastAsiaTheme="minorEastAsia"/>
          <w:b/>
          <w:szCs w:val="21"/>
        </w:rPr>
      </w:pPr>
      <w:r>
        <w:rPr>
          <w:rFonts w:cs="Segoe UI Symbol" w:asciiTheme="minorEastAsia" w:hAnsiTheme="minorEastAsia" w:eastAsiaTheme="minorEastAsia"/>
          <w:bCs/>
          <w:szCs w:val="21"/>
        </w:rPr>
        <w:t>★</w:t>
      </w:r>
      <w:r>
        <w:rPr>
          <w:rFonts w:hint="eastAsia" w:asciiTheme="minorEastAsia" w:hAnsiTheme="minorEastAsia" w:eastAsiaTheme="minorEastAsia"/>
          <w:b/>
          <w:szCs w:val="21"/>
        </w:rPr>
        <w:t>条款为关键性能指标，必须满足</w:t>
      </w:r>
      <w:r>
        <w:rPr>
          <w:rFonts w:asciiTheme="minorEastAsia" w:hAnsiTheme="minorEastAsia" w:eastAsiaTheme="minorEastAsia"/>
          <w:b/>
          <w:szCs w:val="21"/>
        </w:rPr>
        <w:t>；</w:t>
      </w:r>
    </w:p>
    <w:p>
      <w:pPr>
        <w:spacing w:line="288"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注：投标供应商应在投标文件中说明本次投标产品的技术参数是否与官网上公开的技术参数一致，如不一致，要求明确哪些参数不一致，不一致的原因以及使用何种技术可以达到投标产品参数。</w:t>
      </w:r>
    </w:p>
    <w:p>
      <w:pPr>
        <w:snapToGrid w:val="0"/>
        <w:spacing w:line="288" w:lineRule="auto"/>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中标公告期限届满之日内（</w:t>
      </w:r>
      <w:r>
        <w:rPr>
          <w:rFonts w:asciiTheme="minorEastAsia" w:hAnsiTheme="minorEastAsia" w:eastAsiaTheme="minorEastAsia"/>
          <w:b/>
          <w:szCs w:val="21"/>
        </w:rPr>
        <w:t>7</w:t>
      </w:r>
      <w:r>
        <w:rPr>
          <w:rFonts w:hint="eastAsia" w:asciiTheme="minorEastAsia" w:hAnsiTheme="minorEastAsia" w:eastAsiaTheme="minorEastAsia"/>
          <w:b/>
          <w:szCs w:val="21"/>
        </w:rPr>
        <w:t>个工作日内）提供原厂商的授权函原件（加盖公章）；如无法提供作无效标处理，并追究相关责任。</w:t>
      </w:r>
    </w:p>
    <w:p>
      <w:pPr>
        <w:snapToGrid w:val="0"/>
        <w:spacing w:line="312" w:lineRule="auto"/>
        <w:rPr>
          <w:b/>
          <w:sz w:val="24"/>
        </w:rPr>
      </w:pPr>
    </w:p>
    <w:p>
      <w:pPr>
        <w:snapToGrid w:val="0"/>
        <w:spacing w:line="288" w:lineRule="auto"/>
        <w:rPr>
          <w:rFonts w:ascii="宋体" w:hAnsi="宋体" w:cs="宋体"/>
          <w:szCs w:val="21"/>
        </w:rPr>
      </w:pPr>
      <w:r>
        <w:rPr>
          <w:rFonts w:hint="eastAsia"/>
          <w:b/>
          <w:sz w:val="24"/>
        </w:rPr>
        <w:t>三、系统安装、测试与验收要求</w:t>
      </w:r>
    </w:p>
    <w:p>
      <w:pPr>
        <w:snapToGrid w:val="0"/>
        <w:spacing w:line="288" w:lineRule="auto"/>
        <w:rPr>
          <w:rFonts w:ascii="宋体" w:hAnsi="宋体"/>
          <w:b/>
        </w:rPr>
      </w:pPr>
      <w:r>
        <w:rPr>
          <w:rFonts w:hint="eastAsia" w:ascii="宋体" w:hAnsi="宋体"/>
          <w:b/>
        </w:rPr>
        <w:t>1. 安装</w:t>
      </w:r>
    </w:p>
    <w:p>
      <w:pPr>
        <w:adjustRightInd w:val="0"/>
        <w:snapToGrid w:val="0"/>
        <w:spacing w:line="288" w:lineRule="auto"/>
        <w:ind w:firstLine="412" w:firstLineChars="200"/>
        <w:rPr>
          <w:rFonts w:ascii="宋体" w:hAnsi="宋体"/>
        </w:rPr>
      </w:pPr>
      <w:r>
        <w:rPr>
          <w:rFonts w:hint="eastAsia" w:ascii="宋体" w:hAnsi="宋体"/>
          <w:spacing w:val="-2"/>
          <w:position w:val="-2"/>
        </w:rPr>
        <w:t>投标人必须向用户方提供标书中采购的所有设备安装和维护服务的全</w:t>
      </w:r>
      <w:r>
        <w:rPr>
          <w:rFonts w:hint="eastAsia" w:ascii="宋体" w:hAnsi="宋体"/>
        </w:rPr>
        <w:t xml:space="preserve">部内容，并在需要的时候配合使用单位完成整个系统的调试工作。 </w:t>
      </w:r>
    </w:p>
    <w:p>
      <w:pPr>
        <w:adjustRightInd w:val="0"/>
        <w:snapToGrid w:val="0"/>
        <w:spacing w:line="288" w:lineRule="auto"/>
        <w:rPr>
          <w:rFonts w:ascii="宋体" w:hAnsi="宋体"/>
        </w:rPr>
      </w:pPr>
      <w:r>
        <w:rPr>
          <w:rFonts w:hint="eastAsia" w:ascii="宋体" w:hAnsi="宋体"/>
        </w:rPr>
        <w:t>对投标人要求：</w:t>
      </w:r>
    </w:p>
    <w:p>
      <w:pPr>
        <w:adjustRightInd w:val="0"/>
        <w:snapToGrid w:val="0"/>
        <w:spacing w:line="288" w:lineRule="auto"/>
        <w:rPr>
          <w:rFonts w:ascii="宋体" w:hAnsi="宋体"/>
        </w:rPr>
      </w:pPr>
      <w:r>
        <w:rPr>
          <w:rFonts w:hint="eastAsia" w:ascii="宋体" w:hAnsi="宋体"/>
        </w:rPr>
        <w:t xml:space="preserve">    1)本标书要求投标人必须具有良好信誉和相关实力的技术队伍；</w:t>
      </w:r>
    </w:p>
    <w:p>
      <w:pPr>
        <w:adjustRightInd w:val="0"/>
        <w:snapToGrid w:val="0"/>
        <w:spacing w:line="288" w:lineRule="auto"/>
        <w:jc w:val="left"/>
        <w:rPr>
          <w:rFonts w:ascii="宋体" w:hAnsi="宋体"/>
        </w:rPr>
      </w:pPr>
      <w:r>
        <w:rPr>
          <w:rFonts w:hint="eastAsia" w:ascii="宋体" w:hAnsi="宋体"/>
        </w:rPr>
        <w:t xml:space="preserve">    2)投标人应本着认真负责态度，组织技术队伍，做好投标的整体方案。</w:t>
      </w:r>
    </w:p>
    <w:p>
      <w:pPr>
        <w:adjustRightInd w:val="0"/>
        <w:snapToGrid w:val="0"/>
        <w:spacing w:line="288" w:lineRule="auto"/>
        <w:rPr>
          <w:rFonts w:ascii="宋体" w:hAnsi="宋体"/>
        </w:rPr>
      </w:pPr>
      <w:r>
        <w:rPr>
          <w:rFonts w:hint="eastAsia" w:ascii="宋体" w:hAnsi="宋体"/>
        </w:rPr>
        <w:t xml:space="preserve">    3)所有产品均须由投标人送货上门并负责安装调试，用户不再支付任何费用；</w:t>
      </w:r>
    </w:p>
    <w:p>
      <w:pPr>
        <w:adjustRightInd w:val="0"/>
        <w:snapToGrid w:val="0"/>
        <w:spacing w:line="288" w:lineRule="auto"/>
        <w:rPr>
          <w:rFonts w:ascii="宋体" w:hAnsi="宋体"/>
        </w:rPr>
      </w:pPr>
      <w:r>
        <w:rPr>
          <w:rFonts w:hint="eastAsia" w:ascii="宋体" w:hAnsi="宋体"/>
        </w:rPr>
        <w:t xml:space="preserve">    4)自安装工作一开始，投标人应允许项目单位的工作人员一起参与现场的系统安装、测试、诊断及解决遇到的问题等各项工作；</w:t>
      </w:r>
    </w:p>
    <w:p>
      <w:pPr>
        <w:snapToGrid w:val="0"/>
        <w:spacing w:line="288" w:lineRule="auto"/>
        <w:rPr>
          <w:rFonts w:ascii="宋体" w:hAnsi="宋体"/>
          <w:b/>
        </w:rPr>
      </w:pPr>
      <w:r>
        <w:rPr>
          <w:rFonts w:hint="eastAsia" w:ascii="宋体" w:hAnsi="宋体"/>
          <w:b/>
        </w:rPr>
        <w:t>2. 安装地点</w:t>
      </w:r>
    </w:p>
    <w:p>
      <w:pPr>
        <w:snapToGrid w:val="0"/>
        <w:spacing w:line="288" w:lineRule="auto"/>
        <w:ind w:firstLine="420" w:firstLineChars="200"/>
        <w:rPr>
          <w:rFonts w:ascii="宋体" w:hAnsi="宋体"/>
        </w:rPr>
      </w:pPr>
      <w:r>
        <w:rPr>
          <w:rFonts w:hint="eastAsia"/>
          <w:bCs/>
        </w:rPr>
        <w:t>舟山市食品药品检验检测研究院</w:t>
      </w:r>
      <w:r>
        <w:rPr>
          <w:rFonts w:hint="eastAsia" w:ascii="宋体" w:hAnsi="宋体"/>
          <w:bCs/>
        </w:rPr>
        <w:t>指</w:t>
      </w:r>
      <w:r>
        <w:rPr>
          <w:rFonts w:hint="eastAsia" w:ascii="宋体" w:hAnsi="宋体"/>
        </w:rPr>
        <w:t>定地点</w:t>
      </w:r>
    </w:p>
    <w:p>
      <w:pPr>
        <w:snapToGrid w:val="0"/>
        <w:spacing w:line="288" w:lineRule="auto"/>
        <w:rPr>
          <w:rFonts w:ascii="宋体" w:hAnsi="宋体"/>
          <w:b/>
        </w:rPr>
      </w:pPr>
      <w:r>
        <w:rPr>
          <w:rFonts w:hint="eastAsia" w:ascii="宋体" w:hAnsi="宋体"/>
          <w:b/>
        </w:rPr>
        <w:t>3. 安装、验收标准</w:t>
      </w:r>
    </w:p>
    <w:p>
      <w:pPr>
        <w:snapToGrid w:val="0"/>
        <w:spacing w:line="288" w:lineRule="auto"/>
        <w:ind w:left="924" w:leftChars="240" w:hanging="420" w:hangingChars="200"/>
        <w:rPr>
          <w:rFonts w:ascii="宋体" w:hAnsi="宋体"/>
        </w:rPr>
      </w:pPr>
      <w:r>
        <w:rPr>
          <w:rFonts w:hint="eastAsia" w:ascii="宋体" w:hAnsi="宋体"/>
        </w:rPr>
        <w:t>3.1投标人必须派技术人员到现场安装调试，安装完毕投标人派专业人员检查安装质量。</w:t>
      </w:r>
    </w:p>
    <w:p>
      <w:pPr>
        <w:adjustRightInd w:val="0"/>
        <w:snapToGrid w:val="0"/>
        <w:spacing w:line="288" w:lineRule="auto"/>
        <w:ind w:left="899" w:leftChars="228" w:hanging="420" w:hangingChars="200"/>
        <w:rPr>
          <w:rFonts w:ascii="宋体" w:hAnsi="宋体"/>
          <w:b/>
        </w:rPr>
      </w:pPr>
      <w:r>
        <w:rPr>
          <w:rFonts w:hint="eastAsia" w:ascii="宋体" w:hAnsi="宋体"/>
        </w:rPr>
        <w:t>3.2 投标人必须为使用单位设计、安装、调试、维修、使用提供足够的技术资料和技术保障。提供有关证明，如产地、出厂合格证、质量保证书和测试合格证等。</w:t>
      </w:r>
      <w:r>
        <w:rPr>
          <w:rFonts w:hint="eastAsia" w:ascii="宋体" w:hAnsi="宋体"/>
          <w:b/>
        </w:rPr>
        <w:t>进口产品应提供进口报关单原件或复印件（复印件需加盖乙方公章）。</w:t>
      </w:r>
    </w:p>
    <w:p>
      <w:pPr>
        <w:adjustRightInd w:val="0"/>
        <w:snapToGrid w:val="0"/>
        <w:spacing w:line="288" w:lineRule="auto"/>
        <w:ind w:left="899" w:leftChars="228" w:hanging="420" w:hangingChars="200"/>
        <w:rPr>
          <w:rFonts w:ascii="宋体" w:hAnsi="宋体"/>
        </w:rPr>
      </w:pPr>
      <w:r>
        <w:rPr>
          <w:rFonts w:hint="eastAsia" w:ascii="宋体" w:hAnsi="宋体"/>
        </w:rPr>
        <w:t>3.3 若产品验收时有关技术参数不能满足招标文件技术要求，使用单位有权要求更换，同时有权要求索赔，所产生的一切费用（含所有检验费用）由中标人全部承担。</w:t>
      </w:r>
    </w:p>
    <w:p>
      <w:pPr>
        <w:adjustRightInd w:val="0"/>
        <w:snapToGrid w:val="0"/>
        <w:spacing w:line="288" w:lineRule="auto"/>
        <w:ind w:left="899" w:leftChars="228" w:hanging="420" w:hangingChars="200"/>
        <w:rPr>
          <w:rFonts w:ascii="宋体" w:hAnsi="宋体"/>
        </w:rPr>
      </w:pPr>
      <w:r>
        <w:rPr>
          <w:rFonts w:hint="eastAsia" w:ascii="宋体" w:hAnsi="宋体"/>
        </w:rPr>
        <w:t>3.4系统测试要求</w:t>
      </w:r>
    </w:p>
    <w:p>
      <w:pPr>
        <w:adjustRightInd w:val="0"/>
        <w:snapToGrid w:val="0"/>
        <w:spacing w:line="288" w:lineRule="auto"/>
        <w:ind w:left="958" w:leftChars="456"/>
        <w:rPr>
          <w:rFonts w:ascii="宋体" w:hAnsi="宋体"/>
        </w:rPr>
      </w:pPr>
      <w:r>
        <w:rPr>
          <w:rFonts w:hint="eastAsia" w:ascii="宋体" w:hAnsi="宋体"/>
        </w:rPr>
        <w:t>系统安装完成后，由设备使用单位进行设备或网络测试，投标人必须给予充分的配合。</w:t>
      </w:r>
    </w:p>
    <w:p>
      <w:pPr>
        <w:adjustRightInd w:val="0"/>
        <w:snapToGrid w:val="0"/>
        <w:spacing w:line="288" w:lineRule="auto"/>
        <w:ind w:left="899" w:leftChars="228" w:hanging="420" w:hangingChars="200"/>
        <w:rPr>
          <w:rFonts w:ascii="宋体" w:hAnsi="宋体"/>
        </w:rPr>
      </w:pPr>
      <w:r>
        <w:rPr>
          <w:rFonts w:hint="eastAsia" w:ascii="宋体" w:hAnsi="宋体"/>
        </w:rPr>
        <w:t>3.5 单项测试</w:t>
      </w:r>
    </w:p>
    <w:p>
      <w:pPr>
        <w:adjustRightInd w:val="0"/>
        <w:snapToGrid w:val="0"/>
        <w:spacing w:line="288" w:lineRule="auto"/>
        <w:ind w:left="958" w:leftChars="456"/>
        <w:rPr>
          <w:rFonts w:ascii="宋体" w:hAnsi="宋体"/>
        </w:rPr>
      </w:pPr>
      <w:r>
        <w:rPr>
          <w:rFonts w:hint="eastAsia" w:ascii="宋体" w:hAnsi="宋体"/>
        </w:rPr>
        <w:t>单项产品安装完成后，由投标人进行产品自身性能的测试。</w:t>
      </w:r>
    </w:p>
    <w:p>
      <w:pPr>
        <w:adjustRightInd w:val="0"/>
        <w:snapToGrid w:val="0"/>
        <w:spacing w:line="288" w:lineRule="auto"/>
        <w:ind w:left="899" w:leftChars="228" w:hanging="420" w:hangingChars="200"/>
        <w:rPr>
          <w:rFonts w:ascii="宋体" w:hAnsi="宋体"/>
        </w:rPr>
      </w:pPr>
      <w:r>
        <w:rPr>
          <w:rFonts w:hint="eastAsia" w:ascii="宋体" w:hAnsi="宋体"/>
        </w:rPr>
        <w:t>3.6供货</w:t>
      </w:r>
      <w:r>
        <w:rPr>
          <w:rFonts w:hint="eastAsia" w:ascii="MS UI Gothic" w:hAnsi="MS UI Gothic"/>
        </w:rPr>
        <w:t>或服</w:t>
      </w:r>
      <w:r>
        <w:rPr>
          <w:rFonts w:hint="eastAsia" w:ascii="宋体" w:hAnsi="宋体"/>
        </w:rPr>
        <w:t>务</w:t>
      </w:r>
      <w:r>
        <w:rPr>
          <w:rFonts w:hint="eastAsia" w:ascii="MS UI Gothic" w:hAnsi="MS UI Gothic"/>
        </w:rPr>
        <w:t>商</w:t>
      </w:r>
      <w:r>
        <w:rPr>
          <w:rFonts w:hint="eastAsia" w:ascii="宋体" w:hAnsi="宋体"/>
        </w:rPr>
        <w:t>应</w:t>
      </w:r>
      <w:r>
        <w:rPr>
          <w:rFonts w:hint="eastAsia" w:ascii="MS UI Gothic" w:hAnsi="MS UI Gothic"/>
        </w:rPr>
        <w:t>提供所有</w:t>
      </w:r>
      <w:r>
        <w:rPr>
          <w:rFonts w:hint="eastAsia" w:ascii="宋体" w:hAnsi="宋体"/>
        </w:rPr>
        <w:t>仪</w:t>
      </w:r>
      <w:r>
        <w:rPr>
          <w:rFonts w:hint="eastAsia" w:ascii="MS UI Gothic" w:hAnsi="MS UI Gothic"/>
        </w:rPr>
        <w:t>器</w:t>
      </w:r>
      <w:r>
        <w:rPr>
          <w:rFonts w:hint="eastAsia" w:ascii="宋体" w:hAnsi="宋体"/>
        </w:rPr>
        <w:t>设备详细</w:t>
      </w:r>
      <w:r>
        <w:rPr>
          <w:rFonts w:hint="eastAsia" w:ascii="MS UI Gothic" w:hAnsi="MS UI Gothic"/>
        </w:rPr>
        <w:t>的英文和中文操作手册，</w:t>
      </w:r>
      <w:r>
        <w:rPr>
          <w:rFonts w:hint="eastAsia" w:ascii="宋体" w:hAnsi="宋体"/>
        </w:rPr>
        <w:t>详细</w:t>
      </w:r>
      <w:r>
        <w:rPr>
          <w:rFonts w:hint="eastAsia" w:ascii="MS UI Gothic" w:hAnsi="MS UI Gothic"/>
        </w:rPr>
        <w:t>的系</w:t>
      </w:r>
      <w:r>
        <w:rPr>
          <w:rFonts w:hint="eastAsia" w:ascii="宋体" w:hAnsi="宋体"/>
        </w:rPr>
        <w:t>统</w:t>
      </w:r>
      <w:r>
        <w:rPr>
          <w:rFonts w:hint="eastAsia" w:ascii="MS UI Gothic" w:hAnsi="MS UI Gothic"/>
        </w:rPr>
        <w:t>操作和</w:t>
      </w:r>
      <w:r>
        <w:rPr>
          <w:rFonts w:hint="eastAsia" w:ascii="宋体" w:hAnsi="宋体"/>
        </w:rPr>
        <w:t>维护</w:t>
      </w:r>
      <w:r>
        <w:rPr>
          <w:rFonts w:hint="eastAsia" w:ascii="MS UI Gothic" w:hAnsi="MS UI Gothic"/>
        </w:rPr>
        <w:t>手册，</w:t>
      </w:r>
      <w:r>
        <w:rPr>
          <w:rFonts w:hint="eastAsia" w:ascii="宋体" w:hAnsi="宋体"/>
        </w:rPr>
        <w:t>详细</w:t>
      </w:r>
      <w:r>
        <w:rPr>
          <w:rFonts w:hint="eastAsia" w:ascii="MS UI Gothic" w:hAnsi="MS UI Gothic"/>
        </w:rPr>
        <w:t>的</w:t>
      </w:r>
      <w:r>
        <w:rPr>
          <w:rFonts w:hint="eastAsia" w:ascii="宋体" w:hAnsi="宋体"/>
        </w:rPr>
        <w:t>软</w:t>
      </w:r>
      <w:r>
        <w:rPr>
          <w:rFonts w:hint="eastAsia" w:ascii="MS UI Gothic" w:hAnsi="MS UI Gothic"/>
        </w:rPr>
        <w:t>件使用手册。</w:t>
      </w:r>
    </w:p>
    <w:p>
      <w:pPr>
        <w:adjustRightInd w:val="0"/>
        <w:snapToGrid w:val="0"/>
        <w:spacing w:line="288" w:lineRule="auto"/>
        <w:ind w:left="899" w:leftChars="228" w:hanging="420" w:hangingChars="200"/>
        <w:rPr>
          <w:rFonts w:ascii="宋体" w:hAnsi="宋体"/>
        </w:rPr>
      </w:pPr>
      <w:r>
        <w:rPr>
          <w:rFonts w:hint="eastAsia" w:ascii="宋体" w:hAnsi="宋体"/>
        </w:rPr>
        <w:t>3.7供货</w:t>
      </w:r>
      <w:r>
        <w:rPr>
          <w:rFonts w:hint="eastAsia" w:ascii="MS UI Gothic" w:hAnsi="MS UI Gothic"/>
        </w:rPr>
        <w:t>或服</w:t>
      </w:r>
      <w:r>
        <w:rPr>
          <w:rFonts w:hint="eastAsia" w:ascii="宋体" w:hAnsi="宋体"/>
        </w:rPr>
        <w:t>务</w:t>
      </w:r>
      <w:r>
        <w:rPr>
          <w:rFonts w:hint="eastAsia" w:ascii="MS UI Gothic" w:hAnsi="MS UI Gothic"/>
        </w:rPr>
        <w:t>商</w:t>
      </w:r>
      <w:r>
        <w:rPr>
          <w:rFonts w:hint="eastAsia" w:ascii="宋体" w:hAnsi="宋体"/>
        </w:rPr>
        <w:t>应</w:t>
      </w:r>
      <w:r>
        <w:rPr>
          <w:rFonts w:hint="eastAsia" w:ascii="MS UI Gothic" w:hAnsi="MS UI Gothic"/>
        </w:rPr>
        <w:t>提供完整的</w:t>
      </w:r>
      <w:r>
        <w:rPr>
          <w:rFonts w:hint="eastAsia" w:ascii="宋体" w:hAnsi="宋体"/>
        </w:rPr>
        <w:t>专</w:t>
      </w:r>
      <w:r>
        <w:rPr>
          <w:rFonts w:hint="eastAsia" w:ascii="MS UI Gothic" w:hAnsi="MS UI Gothic"/>
        </w:rPr>
        <w:t>用工具，以便</w:t>
      </w:r>
      <w:r>
        <w:rPr>
          <w:rFonts w:hint="eastAsia" w:ascii="宋体" w:hAnsi="宋体"/>
        </w:rPr>
        <w:t>维护</w:t>
      </w:r>
      <w:r>
        <w:rPr>
          <w:rFonts w:hint="eastAsia" w:ascii="MS UI Gothic" w:hAnsi="MS UI Gothic"/>
        </w:rPr>
        <w:t>、</w:t>
      </w:r>
      <w:r>
        <w:rPr>
          <w:rFonts w:hint="eastAsia" w:ascii="宋体" w:hAnsi="宋体"/>
        </w:rPr>
        <w:t>维</w:t>
      </w:r>
      <w:r>
        <w:rPr>
          <w:rFonts w:hint="eastAsia" w:ascii="MS UI Gothic" w:hAnsi="MS UI Gothic"/>
        </w:rPr>
        <w:t>修所</w:t>
      </w:r>
      <w:r>
        <w:rPr>
          <w:rFonts w:hint="eastAsia" w:ascii="宋体" w:hAnsi="宋体"/>
        </w:rPr>
        <w:t>供仪</w:t>
      </w:r>
      <w:r>
        <w:rPr>
          <w:rFonts w:hint="eastAsia" w:ascii="MS UI Gothic" w:hAnsi="MS UI Gothic"/>
        </w:rPr>
        <w:t>器</w:t>
      </w:r>
      <w:r>
        <w:rPr>
          <w:rFonts w:hint="eastAsia" w:ascii="宋体" w:hAnsi="宋体"/>
        </w:rPr>
        <w:t>设备</w:t>
      </w:r>
    </w:p>
    <w:p>
      <w:pPr>
        <w:spacing w:line="312" w:lineRule="auto"/>
        <w:rPr>
          <w:rFonts w:ascii="宋体" w:hAnsi="宋体"/>
          <w:b/>
          <w:bCs/>
          <w:color w:val="auto"/>
          <w:sz w:val="24"/>
          <w:szCs w:val="24"/>
        </w:rPr>
      </w:pPr>
    </w:p>
    <w:p>
      <w:pPr>
        <w:spacing w:line="312" w:lineRule="auto"/>
        <w:rPr>
          <w:rFonts w:ascii="宋体" w:hAnsi="宋体"/>
          <w:b/>
          <w:bCs/>
          <w:color w:val="auto"/>
          <w:sz w:val="24"/>
          <w:szCs w:val="24"/>
        </w:rPr>
      </w:pPr>
      <w:r>
        <w:rPr>
          <w:rFonts w:hint="eastAsia" w:ascii="宋体" w:hAnsi="宋体"/>
          <w:b/>
          <w:bCs/>
          <w:color w:val="auto"/>
          <w:sz w:val="24"/>
          <w:szCs w:val="24"/>
        </w:rPr>
        <w:t>四、付款方式：</w:t>
      </w:r>
    </w:p>
    <w:p>
      <w:pPr>
        <w:spacing w:line="312" w:lineRule="auto"/>
        <w:ind w:firstLine="420" w:firstLineChars="200"/>
        <w:rPr>
          <w:b/>
          <w:bCs/>
          <w:color w:val="auto"/>
          <w:sz w:val="24"/>
          <w:szCs w:val="24"/>
        </w:rPr>
      </w:pPr>
      <w:r>
        <w:rPr>
          <w:rFonts w:hint="eastAsia"/>
          <w:color w:val="auto"/>
          <w:szCs w:val="21"/>
        </w:rPr>
        <w:t>合同签订后7个工作日内支付合同总额的</w:t>
      </w:r>
      <w:r>
        <w:rPr>
          <w:color w:val="auto"/>
          <w:szCs w:val="21"/>
        </w:rPr>
        <w:t>70</w:t>
      </w:r>
      <w:r>
        <w:rPr>
          <w:rFonts w:hint="eastAsia"/>
          <w:color w:val="auto"/>
          <w:szCs w:val="21"/>
        </w:rPr>
        <w:t>%，全部货物安装调试完毕，系统经试运行并通过验收合格后付清</w:t>
      </w:r>
      <w:r>
        <w:rPr>
          <w:color w:val="auto"/>
          <w:szCs w:val="21"/>
        </w:rPr>
        <w:t>剩余款项</w:t>
      </w:r>
      <w:r>
        <w:rPr>
          <w:rFonts w:hint="eastAsia"/>
          <w:color w:val="auto"/>
          <w:szCs w:val="21"/>
        </w:rPr>
        <w:t>。</w:t>
      </w:r>
    </w:p>
    <w:p>
      <w:pPr>
        <w:spacing w:line="312" w:lineRule="auto"/>
        <w:rPr>
          <w:b/>
          <w:bCs/>
          <w:sz w:val="24"/>
          <w:szCs w:val="24"/>
        </w:rPr>
      </w:pPr>
    </w:p>
    <w:p>
      <w:pPr>
        <w:spacing w:line="312" w:lineRule="auto"/>
        <w:rPr>
          <w:b/>
          <w:bCs/>
          <w:sz w:val="24"/>
          <w:szCs w:val="24"/>
        </w:rPr>
      </w:pPr>
      <w:r>
        <w:rPr>
          <w:rFonts w:hint="eastAsia"/>
          <w:b/>
          <w:bCs/>
          <w:sz w:val="24"/>
          <w:szCs w:val="24"/>
        </w:rPr>
        <w:t>五</w:t>
      </w:r>
      <w:r>
        <w:rPr>
          <w:b/>
          <w:bCs/>
          <w:sz w:val="24"/>
          <w:szCs w:val="24"/>
        </w:rPr>
        <w:t>、报价要求</w:t>
      </w:r>
    </w:p>
    <w:p>
      <w:pPr>
        <w:spacing w:line="312" w:lineRule="auto"/>
        <w:ind w:firstLine="420" w:firstLineChars="200"/>
        <w:rPr>
          <w:rFonts w:ascii="宋体" w:hAnsi="宋体"/>
          <w:szCs w:val="21"/>
        </w:rPr>
      </w:pPr>
      <w:r>
        <w:rPr>
          <w:rFonts w:hint="eastAsia" w:ascii="宋体" w:hAnsi="宋体"/>
          <w:szCs w:val="21"/>
        </w:rPr>
        <w:t>1. 投标人应根据招标文件进行报价。投标报价一旦核实确认，不得再做更改。对投标人漏报致使系统未能达到需求的功能和效果，其费用和后果由投标人自行负责。</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 xml:space="preserve">2. 投标人对每种设备的报价必须是唯一的。招标人不接受有任何选择的报价。 </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 xml:space="preserve">3. 所有报价均应已包含国家规定的所有税费。 </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4. 投标总报价应等于“详细产品报价清单”的设备总报价、保修期内售后服务费用之和。应包括材料价、损耗价、运至业主指定地点的运输费、装卸费、保险费、制作、安装、加固、调试等配套工程及税金等一切费用。</w:t>
      </w:r>
    </w:p>
    <w:p>
      <w:pPr>
        <w:tabs>
          <w:tab w:val="left" w:pos="0"/>
        </w:tabs>
        <w:adjustRightInd w:val="0"/>
        <w:snapToGrid w:val="0"/>
        <w:spacing w:line="312" w:lineRule="auto"/>
        <w:ind w:firstLine="420" w:firstLineChars="200"/>
        <w:jc w:val="left"/>
        <w:rPr>
          <w:rFonts w:eastAsiaTheme="minorEastAsia"/>
          <w:bCs/>
          <w:szCs w:val="21"/>
        </w:rPr>
      </w:pPr>
      <w:r>
        <w:rPr>
          <w:rFonts w:hint="eastAsia"/>
        </w:rPr>
        <w:t xml:space="preserve">5. </w:t>
      </w:r>
      <w:r>
        <w:rPr>
          <w:rFonts w:eastAsiaTheme="minorEastAsia"/>
          <w:bCs/>
          <w:szCs w:val="21"/>
        </w:rPr>
        <w:t>扶持政策说明：</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（1）根据财政部财库〔2022〕19号《关于进一步加大政府采购支持中小企业力度的通知》、《浙江省财政厅关于进一步加大政府采购支持中小企业力度 助力扎实稳住经济的通知》（浙财采监[2022]8号）规定，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行业：工业。</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未提供完整证明材料的，投标报价不予扣减。</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（2）根据《关于政府采购支持监狱企业发展有关问题的通知》（财库[2014]68号）的规定，供应商如为监狱企业且所投产品为小型或微型企业生产的，其投标报价扣除20%后参与评审。</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投标文件中须提供：《残疾人福利性单位声明函》，未提供完整证明材料的，投标报价不予扣减。</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上述（1），（2），（3）政策不重复计算。</w:t>
      </w:r>
    </w:p>
    <w:p>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此项由评标委员会集体核实后统一打分。</w:t>
      </w:r>
    </w:p>
    <w:p>
      <w:pPr>
        <w:spacing w:line="312" w:lineRule="auto"/>
        <w:ind w:firstLine="420" w:firstLineChars="200"/>
      </w:pPr>
      <w:r>
        <w:rPr>
          <w:rFonts w:ascii="宋体" w:hAnsi="宋体"/>
          <w:szCs w:val="21"/>
        </w:rPr>
        <w:t>6</w:t>
      </w:r>
      <w:r>
        <w:rPr>
          <w:rFonts w:hint="eastAsia" w:ascii="宋体" w:hAnsi="宋体"/>
          <w:szCs w:val="21"/>
        </w:rPr>
        <w:t>.</w:t>
      </w:r>
      <w:r>
        <w:rPr>
          <w:rFonts w:hint="eastAsia" w:ascii="宋体" w:hAnsi="宋体"/>
          <w:b/>
          <w:szCs w:val="21"/>
        </w:rPr>
        <w:t>本次项目的预算金额为：人民币伍佰贰拾万元整（</w:t>
      </w:r>
      <w:r>
        <w:rPr>
          <w:rFonts w:ascii="宋体" w:hAnsi="宋体"/>
          <w:b/>
          <w:szCs w:val="21"/>
        </w:rPr>
        <w:t>5</w:t>
      </w:r>
      <w:r>
        <w:rPr>
          <w:rFonts w:hint="eastAsia" w:ascii="宋体" w:hAnsi="宋体"/>
          <w:b/>
          <w:szCs w:val="21"/>
        </w:rPr>
        <w:t>，</w:t>
      </w:r>
      <w:r>
        <w:rPr>
          <w:rFonts w:ascii="宋体" w:hAnsi="宋体"/>
          <w:b/>
          <w:szCs w:val="21"/>
        </w:rPr>
        <w:t>200.00</w:t>
      </w:r>
      <w:r>
        <w:rPr>
          <w:rFonts w:hint="eastAsia" w:ascii="宋体" w:hAnsi="宋体"/>
          <w:b/>
          <w:szCs w:val="21"/>
        </w:rPr>
        <w:t>0.00元）。</w:t>
      </w:r>
    </w:p>
    <w:p>
      <w:pPr>
        <w:pageBreakBefore/>
        <w:snapToGrid w:val="0"/>
        <w:jc w:val="center"/>
        <w:rPr>
          <w:sz w:val="28"/>
        </w:rPr>
      </w:pPr>
      <w:r>
        <w:rPr>
          <w:b/>
          <w:sz w:val="32"/>
        </w:rPr>
        <w:t>第三章投标人须知</w:t>
      </w:r>
    </w:p>
    <w:p>
      <w:pPr>
        <w:snapToGrid w:val="0"/>
        <w:ind w:firstLine="4340" w:firstLineChars="1550"/>
        <w:rPr>
          <w:sz w:val="28"/>
        </w:rPr>
      </w:pPr>
      <w:r>
        <w:rPr>
          <w:sz w:val="28"/>
        </w:rPr>
        <w:t>前附表</w:t>
      </w:r>
    </w:p>
    <w:tbl>
      <w:tblPr>
        <w:tblStyle w:val="37"/>
        <w:tblW w:w="9896"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序号</w:t>
            </w:r>
          </w:p>
        </w:tc>
        <w:tc>
          <w:tcPr>
            <w:tcW w:w="9366" w:type="dxa"/>
            <w:gridSpan w:val="4"/>
            <w:tcMar>
              <w:top w:w="15" w:type="dxa"/>
              <w:left w:w="15" w:type="dxa"/>
              <w:bottom w:w="15" w:type="dxa"/>
              <w:right w:w="15" w:type="dxa"/>
            </w:tcMar>
            <w:vAlign w:val="center"/>
          </w:tcPr>
          <w:p>
            <w:pPr>
              <w:snapToGrid w:val="0"/>
              <w:spacing w:line="240" w:lineRule="exact"/>
              <w:jc w:val="center"/>
              <w:rPr>
                <w:b/>
              </w:rPr>
            </w:pPr>
            <w:r>
              <w:rPr>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w:t>
            </w:r>
          </w:p>
        </w:tc>
        <w:tc>
          <w:tcPr>
            <w:tcW w:w="1512" w:type="dxa"/>
            <w:tcMar>
              <w:top w:w="15" w:type="dxa"/>
              <w:left w:w="15" w:type="dxa"/>
              <w:bottom w:w="15" w:type="dxa"/>
              <w:right w:w="15" w:type="dxa"/>
            </w:tcMar>
            <w:vAlign w:val="center"/>
          </w:tcPr>
          <w:p>
            <w:pPr>
              <w:spacing w:line="240" w:lineRule="exact"/>
              <w:jc w:val="center"/>
              <w:rPr>
                <w:b/>
              </w:rPr>
            </w:pPr>
            <w:r>
              <w:rPr>
                <w:b/>
              </w:rPr>
              <w:t>项目名称</w:t>
            </w:r>
          </w:p>
        </w:tc>
        <w:tc>
          <w:tcPr>
            <w:tcW w:w="4842" w:type="dxa"/>
            <w:tcMar>
              <w:top w:w="15" w:type="dxa"/>
              <w:left w:w="15" w:type="dxa"/>
              <w:bottom w:w="15" w:type="dxa"/>
              <w:right w:w="15" w:type="dxa"/>
            </w:tcMar>
            <w:vAlign w:val="center"/>
          </w:tcPr>
          <w:p>
            <w:pPr>
              <w:spacing w:line="240" w:lineRule="exact"/>
              <w:rPr>
                <w:bCs/>
                <w:lang w:val="zh-CN"/>
              </w:rPr>
            </w:pPr>
            <w:r>
              <w:t>舟山市食品药品检验检测研究院仪器设备采购项目</w:t>
            </w:r>
          </w:p>
        </w:tc>
        <w:tc>
          <w:tcPr>
            <w:tcW w:w="1084" w:type="dxa"/>
            <w:tcMar>
              <w:top w:w="15" w:type="dxa"/>
              <w:left w:w="15" w:type="dxa"/>
              <w:bottom w:w="15" w:type="dxa"/>
              <w:right w:w="15" w:type="dxa"/>
            </w:tcMar>
            <w:vAlign w:val="center"/>
          </w:tcPr>
          <w:p>
            <w:pPr>
              <w:spacing w:line="240" w:lineRule="exact"/>
              <w:jc w:val="center"/>
              <w:rPr>
                <w:bCs/>
              </w:rPr>
            </w:pPr>
            <w:r>
              <w:rPr>
                <w:b/>
              </w:rPr>
              <w:t>招标编号</w:t>
            </w:r>
          </w:p>
        </w:tc>
        <w:tc>
          <w:tcPr>
            <w:tcW w:w="1886" w:type="dxa"/>
            <w:tcMar>
              <w:top w:w="15" w:type="dxa"/>
              <w:left w:w="15" w:type="dxa"/>
              <w:bottom w:w="15" w:type="dxa"/>
              <w:right w:w="15" w:type="dxa"/>
            </w:tcMar>
            <w:vAlign w:val="center"/>
          </w:tcPr>
          <w:p>
            <w:pPr>
              <w:spacing w:line="240" w:lineRule="exact"/>
              <w:rPr>
                <w:bCs/>
              </w:rPr>
            </w:pPr>
            <w:r>
              <w:rPr>
                <w:rFonts w:hint="eastAsia"/>
              </w:rPr>
              <w:t>SZGXZS2022129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2</w:t>
            </w:r>
          </w:p>
        </w:tc>
        <w:tc>
          <w:tcPr>
            <w:tcW w:w="1512" w:type="dxa"/>
            <w:tcMar>
              <w:top w:w="15" w:type="dxa"/>
              <w:left w:w="15" w:type="dxa"/>
              <w:bottom w:w="15" w:type="dxa"/>
              <w:right w:w="15" w:type="dxa"/>
            </w:tcMar>
            <w:vAlign w:val="center"/>
          </w:tcPr>
          <w:p>
            <w:pPr>
              <w:spacing w:line="240" w:lineRule="exact"/>
              <w:jc w:val="center"/>
              <w:rPr>
                <w:b/>
              </w:rPr>
            </w:pPr>
            <w:r>
              <w:rPr>
                <w:b/>
              </w:rPr>
              <w:t>采购单位名称</w:t>
            </w:r>
          </w:p>
        </w:tc>
        <w:tc>
          <w:tcPr>
            <w:tcW w:w="7840" w:type="dxa"/>
            <w:gridSpan w:val="3"/>
            <w:tcMar>
              <w:top w:w="15" w:type="dxa"/>
              <w:left w:w="15" w:type="dxa"/>
              <w:bottom w:w="15" w:type="dxa"/>
              <w:right w:w="15" w:type="dxa"/>
            </w:tcMar>
            <w:vAlign w:val="center"/>
          </w:tcPr>
          <w:p>
            <w:pPr>
              <w:spacing w:line="240" w:lineRule="exact"/>
              <w:rPr>
                <w:bCs/>
              </w:rPr>
            </w:pPr>
            <w:r>
              <w:t>舟山市食品药品检验检测研究院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3</w:t>
            </w:r>
          </w:p>
        </w:tc>
        <w:tc>
          <w:tcPr>
            <w:tcW w:w="1512" w:type="dxa"/>
            <w:tcMar>
              <w:top w:w="15" w:type="dxa"/>
              <w:left w:w="15" w:type="dxa"/>
              <w:bottom w:w="15" w:type="dxa"/>
              <w:right w:w="15" w:type="dxa"/>
            </w:tcMar>
            <w:vAlign w:val="center"/>
          </w:tcPr>
          <w:p>
            <w:pPr>
              <w:spacing w:line="240" w:lineRule="exact"/>
              <w:jc w:val="center"/>
              <w:rPr>
                <w:b/>
              </w:rPr>
            </w:pPr>
            <w:r>
              <w:rPr>
                <w:b/>
              </w:rPr>
              <w:t>采购内容</w:t>
            </w:r>
          </w:p>
        </w:tc>
        <w:tc>
          <w:tcPr>
            <w:tcW w:w="7840" w:type="dxa"/>
            <w:gridSpan w:val="3"/>
            <w:tcMar>
              <w:top w:w="15" w:type="dxa"/>
              <w:left w:w="15" w:type="dxa"/>
              <w:bottom w:w="15" w:type="dxa"/>
              <w:right w:w="15" w:type="dxa"/>
            </w:tcMar>
            <w:vAlign w:val="center"/>
          </w:tcPr>
          <w:tbl>
            <w:tblPr>
              <w:tblStyle w:val="37"/>
              <w:tblW w:w="7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59"/>
              <w:gridCol w:w="127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4159"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127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4159"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bCs/>
                      <w:szCs w:val="21"/>
                    </w:rPr>
                    <w:t>液相色谱高分辨质谱联用仪</w:t>
                  </w:r>
                </w:p>
              </w:tc>
              <w:tc>
                <w:tcPr>
                  <w:tcW w:w="1276" w:type="dxa"/>
                  <w:vAlign w:val="center"/>
                </w:tcPr>
                <w:p>
                  <w:pPr>
                    <w:jc w:val="center"/>
                    <w:rPr>
                      <w:rFonts w:cs="宋体" w:asciiTheme="minorEastAsia" w:hAnsiTheme="minorEastAsia" w:eastAsiaTheme="minorEastAsia"/>
                      <w:szCs w:val="21"/>
                    </w:rPr>
                  </w:pPr>
                  <w:r>
                    <w:rPr>
                      <w:rFonts w:hint="eastAsia"/>
                      <w:szCs w:val="21"/>
                    </w:rPr>
                    <w:t>1套</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bCs/>
                      <w:szCs w:val="21"/>
                    </w:rPr>
                    <w:t>氮吹仪专用氮气发生器</w:t>
                  </w:r>
                </w:p>
              </w:tc>
              <w:tc>
                <w:tcPr>
                  <w:tcW w:w="1276" w:type="dxa"/>
                  <w:vAlign w:val="center"/>
                </w:tcPr>
                <w:p>
                  <w:pPr>
                    <w:jc w:val="center"/>
                    <w:rPr>
                      <w:rFonts w:asciiTheme="minorEastAsia" w:hAnsiTheme="minorEastAsia" w:eastAsiaTheme="minorEastAsia"/>
                      <w:szCs w:val="21"/>
                    </w:rPr>
                  </w:pPr>
                  <w:r>
                    <w:rPr>
                      <w:rFonts w:hint="eastAsia"/>
                      <w:szCs w:val="21"/>
                    </w:rPr>
                    <w:t>2台</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4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bCs/>
                      <w:szCs w:val="21"/>
                    </w:rPr>
                    <w:t>高速冷冻研磨均质仪</w:t>
                  </w:r>
                </w:p>
              </w:tc>
              <w:tc>
                <w:tcPr>
                  <w:tcW w:w="1276" w:type="dxa"/>
                  <w:vAlign w:val="center"/>
                </w:tcPr>
                <w:p>
                  <w:pPr>
                    <w:jc w:val="center"/>
                    <w:rPr>
                      <w:rFonts w:asciiTheme="minorEastAsia" w:hAnsiTheme="minorEastAsia" w:eastAsiaTheme="minorEastAsia"/>
                      <w:szCs w:val="21"/>
                    </w:rPr>
                  </w:pPr>
                  <w:r>
                    <w:rPr>
                      <w:rFonts w:hint="eastAsia"/>
                      <w:szCs w:val="21"/>
                    </w:rPr>
                    <w:t>1台</w:t>
                  </w:r>
                </w:p>
              </w:tc>
              <w:tc>
                <w:tcPr>
                  <w:tcW w:w="101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国产</w:t>
                  </w:r>
                </w:p>
              </w:tc>
            </w:tr>
          </w:tbl>
          <w:p>
            <w:pPr>
              <w:pStyle w:val="2"/>
              <w:ind w:firstLine="0" w:firstLineChars="0"/>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4</w:t>
            </w:r>
          </w:p>
        </w:tc>
        <w:tc>
          <w:tcPr>
            <w:tcW w:w="1512" w:type="dxa"/>
            <w:tcMar>
              <w:top w:w="15" w:type="dxa"/>
              <w:left w:w="15" w:type="dxa"/>
              <w:bottom w:w="15" w:type="dxa"/>
              <w:right w:w="15" w:type="dxa"/>
            </w:tcMar>
            <w:vAlign w:val="center"/>
          </w:tcPr>
          <w:p>
            <w:pPr>
              <w:spacing w:line="240" w:lineRule="exact"/>
              <w:jc w:val="center"/>
              <w:rPr>
                <w:b/>
              </w:rPr>
            </w:pPr>
            <w:r>
              <w:rPr>
                <w:b/>
              </w:rPr>
              <w:t>本项目预算</w:t>
            </w:r>
          </w:p>
        </w:tc>
        <w:tc>
          <w:tcPr>
            <w:tcW w:w="7840" w:type="dxa"/>
            <w:gridSpan w:val="3"/>
            <w:tcMar>
              <w:top w:w="15" w:type="dxa"/>
              <w:left w:w="15" w:type="dxa"/>
              <w:bottom w:w="15" w:type="dxa"/>
              <w:right w:w="15" w:type="dxa"/>
            </w:tcMar>
            <w:vAlign w:val="center"/>
          </w:tcPr>
          <w:p>
            <w:pPr>
              <w:spacing w:line="240" w:lineRule="exact"/>
              <w:jc w:val="left"/>
              <w:rPr>
                <w:szCs w:val="21"/>
              </w:rPr>
            </w:pPr>
            <w:r>
              <w:rPr>
                <w:rFonts w:hint="eastAsia"/>
                <w:szCs w:val="21"/>
              </w:rPr>
              <w:t>人民币伍佰贰拾万元整（</w:t>
            </w:r>
            <w:r>
              <w:rPr>
                <w:szCs w:val="21"/>
              </w:rPr>
              <w:t>5</w:t>
            </w:r>
            <w:r>
              <w:rPr>
                <w:rFonts w:hint="eastAsia"/>
                <w:szCs w:val="21"/>
              </w:rPr>
              <w:t>，</w:t>
            </w:r>
            <w:r>
              <w:rPr>
                <w:szCs w:val="21"/>
              </w:rPr>
              <w:t>20</w:t>
            </w:r>
            <w:r>
              <w:rPr>
                <w:rFonts w:hint="eastAsia"/>
                <w:szCs w:val="21"/>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5</w:t>
            </w:r>
          </w:p>
        </w:tc>
        <w:tc>
          <w:tcPr>
            <w:tcW w:w="1512" w:type="dxa"/>
            <w:tcMar>
              <w:top w:w="15" w:type="dxa"/>
              <w:left w:w="15" w:type="dxa"/>
              <w:bottom w:w="15" w:type="dxa"/>
              <w:right w:w="15" w:type="dxa"/>
            </w:tcMar>
            <w:vAlign w:val="center"/>
          </w:tcPr>
          <w:p>
            <w:pPr>
              <w:spacing w:line="240" w:lineRule="exact"/>
              <w:jc w:val="center"/>
              <w:rPr>
                <w:rFonts w:ascii="宋体" w:hAnsi="宋体"/>
                <w:b/>
              </w:rPr>
            </w:pPr>
            <w:r>
              <w:rPr>
                <w:rFonts w:hint="eastAsia" w:ascii="宋体" w:hAnsi="宋体"/>
                <w:b/>
              </w:rPr>
              <w:t>到货要求</w:t>
            </w:r>
          </w:p>
        </w:tc>
        <w:tc>
          <w:tcPr>
            <w:tcW w:w="7840" w:type="dxa"/>
            <w:gridSpan w:val="3"/>
            <w:tcMar>
              <w:top w:w="15" w:type="dxa"/>
              <w:left w:w="15" w:type="dxa"/>
              <w:bottom w:w="15" w:type="dxa"/>
              <w:right w:w="15" w:type="dxa"/>
            </w:tcMar>
            <w:vAlign w:val="center"/>
          </w:tcPr>
          <w:p>
            <w:pPr>
              <w:pStyle w:val="101"/>
              <w:spacing w:line="240" w:lineRule="exact"/>
              <w:rPr>
                <w:szCs w:val="21"/>
              </w:rPr>
            </w:pPr>
            <w:r>
              <w:rPr>
                <w:rFonts w:hint="eastAsia" w:ascii="宋体" w:hAnsi="宋体"/>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6</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投标有效期</w:t>
            </w:r>
          </w:p>
        </w:tc>
        <w:tc>
          <w:tcPr>
            <w:tcW w:w="7840" w:type="dxa"/>
            <w:gridSpan w:val="3"/>
            <w:tcMar>
              <w:top w:w="15" w:type="dxa"/>
              <w:left w:w="15" w:type="dxa"/>
              <w:bottom w:w="15" w:type="dxa"/>
              <w:right w:w="15" w:type="dxa"/>
            </w:tcMar>
            <w:vAlign w:val="center"/>
          </w:tcPr>
          <w:p>
            <w:pPr>
              <w:spacing w:line="240" w:lineRule="exact"/>
              <w:rPr>
                <w:szCs w:val="21"/>
              </w:rPr>
            </w:pPr>
            <w:r>
              <w:rPr>
                <w:szCs w:val="21"/>
                <w:u w:val="single"/>
              </w:rPr>
              <w:t xml:space="preserve"> 90 日</w:t>
            </w:r>
            <w:r>
              <w:rPr>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7</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评标办法</w:t>
            </w:r>
          </w:p>
        </w:tc>
        <w:tc>
          <w:tcPr>
            <w:tcW w:w="7840" w:type="dxa"/>
            <w:gridSpan w:val="3"/>
            <w:tcMar>
              <w:top w:w="15" w:type="dxa"/>
              <w:left w:w="15" w:type="dxa"/>
              <w:bottom w:w="15" w:type="dxa"/>
              <w:right w:w="15" w:type="dxa"/>
            </w:tcMar>
            <w:vAlign w:val="center"/>
          </w:tcPr>
          <w:p>
            <w:pPr>
              <w:spacing w:line="240" w:lineRule="exact"/>
              <w:rPr>
                <w:color w:val="auto"/>
                <w:szCs w:val="21"/>
              </w:rPr>
            </w:pPr>
            <w:r>
              <w:rPr>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8</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签订合同</w:t>
            </w:r>
          </w:p>
        </w:tc>
        <w:tc>
          <w:tcPr>
            <w:tcW w:w="7840" w:type="dxa"/>
            <w:gridSpan w:val="3"/>
            <w:tcMar>
              <w:top w:w="15" w:type="dxa"/>
              <w:left w:w="15" w:type="dxa"/>
              <w:bottom w:w="15" w:type="dxa"/>
              <w:right w:w="15" w:type="dxa"/>
            </w:tcMar>
            <w:vAlign w:val="center"/>
          </w:tcPr>
          <w:p>
            <w:pPr>
              <w:spacing w:line="240" w:lineRule="exact"/>
              <w:rPr>
                <w:color w:val="auto"/>
                <w:szCs w:val="21"/>
              </w:rPr>
            </w:pPr>
            <w:r>
              <w:rPr>
                <w:color w:val="auto"/>
                <w:szCs w:val="21"/>
              </w:rPr>
              <w:t>中标通知书发出后</w:t>
            </w:r>
            <w:r>
              <w:rPr>
                <w:color w:val="auto"/>
                <w:szCs w:val="21"/>
                <w:u w:val="single"/>
              </w:rPr>
              <w:t xml:space="preserve">30 </w:t>
            </w:r>
            <w:r>
              <w:rPr>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9</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资金结算</w:t>
            </w:r>
          </w:p>
        </w:tc>
        <w:tc>
          <w:tcPr>
            <w:tcW w:w="7840" w:type="dxa"/>
            <w:gridSpan w:val="3"/>
            <w:tcMar>
              <w:top w:w="15" w:type="dxa"/>
              <w:left w:w="15" w:type="dxa"/>
              <w:bottom w:w="15" w:type="dxa"/>
              <w:right w:w="15" w:type="dxa"/>
            </w:tcMar>
            <w:vAlign w:val="center"/>
          </w:tcPr>
          <w:p>
            <w:pPr>
              <w:rPr>
                <w:color w:val="auto"/>
                <w:szCs w:val="21"/>
              </w:rPr>
            </w:pPr>
            <w:r>
              <w:rPr>
                <w:rFonts w:hint="eastAsia"/>
                <w:color w:val="auto"/>
                <w:szCs w:val="21"/>
              </w:rPr>
              <w:t>合同签订后7个工作日内支付合同总额的</w:t>
            </w:r>
            <w:r>
              <w:rPr>
                <w:color w:val="auto"/>
                <w:szCs w:val="21"/>
              </w:rPr>
              <w:t>7</w:t>
            </w:r>
            <w:r>
              <w:rPr>
                <w:rFonts w:hint="eastAsia"/>
                <w:color w:val="auto"/>
                <w:szCs w:val="21"/>
              </w:rPr>
              <w:t>0%，全部货物安装调试完毕，系统经试运行并通过验收合格后付清</w:t>
            </w:r>
            <w:r>
              <w:rPr>
                <w:color w:val="auto"/>
                <w:szCs w:val="21"/>
              </w:rPr>
              <w:t>剩余款项</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10</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投标报价</w:t>
            </w:r>
          </w:p>
          <w:p>
            <w:pPr>
              <w:spacing w:line="240" w:lineRule="exact"/>
              <w:jc w:val="center"/>
              <w:rPr>
                <w:b/>
                <w:szCs w:val="21"/>
              </w:rPr>
            </w:pPr>
            <w:r>
              <w:rPr>
                <w:b/>
                <w:szCs w:val="21"/>
              </w:rPr>
              <w:t>与费用</w:t>
            </w:r>
          </w:p>
        </w:tc>
        <w:tc>
          <w:tcPr>
            <w:tcW w:w="7840" w:type="dxa"/>
            <w:gridSpan w:val="3"/>
            <w:tcMar>
              <w:top w:w="15" w:type="dxa"/>
              <w:left w:w="15" w:type="dxa"/>
              <w:bottom w:w="15" w:type="dxa"/>
              <w:right w:w="15" w:type="dxa"/>
            </w:tcMar>
            <w:vAlign w:val="center"/>
          </w:tcPr>
          <w:p>
            <w:pPr>
              <w:spacing w:line="240" w:lineRule="exact"/>
              <w:rPr>
                <w:szCs w:val="21"/>
              </w:rPr>
            </w:pPr>
            <w:r>
              <w:rPr>
                <w:szCs w:val="21"/>
              </w:rPr>
              <w:t>1</w:t>
            </w:r>
            <w:r>
              <w:rPr>
                <w:rFonts w:hint="eastAsia"/>
                <w:szCs w:val="21"/>
              </w:rPr>
              <w:t>.</w:t>
            </w:r>
            <w:r>
              <w:rPr>
                <w:szCs w:val="21"/>
              </w:rPr>
              <w:t>本项目的投标应以人民币报价，投标报价应包括所有费用。</w:t>
            </w:r>
          </w:p>
          <w:p>
            <w:pPr>
              <w:spacing w:line="240" w:lineRule="exact"/>
              <w:rPr>
                <w:bCs/>
                <w:szCs w:val="21"/>
              </w:rPr>
            </w:pPr>
            <w:r>
              <w:rPr>
                <w:szCs w:val="21"/>
              </w:rPr>
              <w:t>2</w:t>
            </w:r>
            <w:r>
              <w:rPr>
                <w:rFonts w:hint="eastAsia"/>
                <w:szCs w:val="21"/>
              </w:rPr>
              <w:t>.</w:t>
            </w:r>
            <w:r>
              <w:rPr>
                <w:szCs w:val="21"/>
              </w:rPr>
              <w:t>投</w:t>
            </w:r>
            <w:r>
              <w:rPr>
                <w:bCs/>
                <w:szCs w:val="21"/>
              </w:rPr>
              <w:t>标人应承担其参加本招标活动自身所发生的费用。</w:t>
            </w:r>
          </w:p>
          <w:p>
            <w:pPr>
              <w:spacing w:line="240" w:lineRule="exact"/>
              <w:rPr>
                <w:rFonts w:asciiTheme="minorEastAsia" w:hAnsiTheme="minorEastAsia" w:eastAsiaTheme="minorEastAsia"/>
                <w:bCs/>
                <w:szCs w:val="21"/>
              </w:rPr>
            </w:pPr>
            <w:r>
              <w:rPr>
                <w:bCs/>
                <w:szCs w:val="21"/>
              </w:rPr>
              <w:t>3</w:t>
            </w:r>
            <w:r>
              <w:rPr>
                <w:rFonts w:hint="eastAsia"/>
                <w:bCs/>
                <w:szCs w:val="21"/>
              </w:rPr>
              <w:t>.</w:t>
            </w:r>
            <w:r>
              <w:rPr>
                <w:bCs/>
                <w:szCs w:val="21"/>
              </w:rPr>
              <w:t>中标</w:t>
            </w:r>
            <w:r>
              <w:rPr>
                <w:rFonts w:hint="eastAsia"/>
                <w:bCs/>
                <w:szCs w:val="21"/>
              </w:rPr>
              <w:t>人</w:t>
            </w:r>
            <w:r>
              <w:rPr>
                <w:bCs/>
                <w:szCs w:val="21"/>
              </w:rPr>
              <w:t>须</w:t>
            </w:r>
            <w:r>
              <w:rPr>
                <w:rFonts w:asciiTheme="minorEastAsia" w:hAnsiTheme="minorEastAsia" w:eastAsiaTheme="minorEastAsia"/>
                <w:bCs/>
                <w:szCs w:val="21"/>
              </w:rPr>
              <w:t>缴纳招标代理费，收费</w:t>
            </w:r>
            <w:r>
              <w:rPr>
                <w:rFonts w:hint="eastAsia" w:asciiTheme="minorEastAsia" w:hAnsiTheme="minorEastAsia" w:eastAsiaTheme="minorEastAsia"/>
                <w:bCs/>
                <w:szCs w:val="21"/>
              </w:rPr>
              <w:t>金额</w:t>
            </w:r>
            <w:r>
              <w:rPr>
                <w:rFonts w:asciiTheme="minorEastAsia" w:hAnsiTheme="minorEastAsia" w:eastAsiaTheme="minorEastAsia"/>
                <w:bCs/>
                <w:szCs w:val="21"/>
              </w:rPr>
              <w:t>为：人民币</w:t>
            </w:r>
            <w:r>
              <w:rPr>
                <w:rFonts w:hint="eastAsia" w:asciiTheme="minorEastAsia" w:hAnsiTheme="minorEastAsia" w:eastAsiaTheme="minorEastAsia"/>
                <w:bCs/>
                <w:szCs w:val="21"/>
              </w:rPr>
              <w:t>贰万捌仟陆佰元</w:t>
            </w:r>
            <w:r>
              <w:rPr>
                <w:rFonts w:asciiTheme="minorEastAsia" w:hAnsiTheme="minorEastAsia" w:eastAsiaTheme="minorEastAsia"/>
                <w:bCs/>
                <w:szCs w:val="21"/>
              </w:rPr>
              <w:t>整（28600.00元）。</w:t>
            </w:r>
          </w:p>
          <w:p>
            <w:pPr>
              <w:spacing w:line="240" w:lineRule="exact"/>
              <w:rPr>
                <w:szCs w:val="21"/>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中标通知书发出的同时，中标</w:t>
            </w:r>
            <w:r>
              <w:rPr>
                <w:rFonts w:hint="eastAsia" w:asciiTheme="minorEastAsia" w:hAnsiTheme="minorEastAsia" w:eastAsiaTheme="minorEastAsia"/>
              </w:rPr>
              <w:t>人</w:t>
            </w:r>
            <w:r>
              <w:rPr>
                <w:rFonts w:asciiTheme="minorEastAsia" w:hAnsiTheme="minorEastAsia" w:eastAsiaTheme="minorEastAsia"/>
              </w:rPr>
              <w:t>应及时支付招标代理费，收到服务费后提</w:t>
            </w:r>
            <w:r>
              <w:t>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11</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银行账号</w:t>
            </w:r>
          </w:p>
        </w:tc>
        <w:tc>
          <w:tcPr>
            <w:tcW w:w="7840" w:type="dxa"/>
            <w:gridSpan w:val="3"/>
            <w:tcMar>
              <w:top w:w="15" w:type="dxa"/>
              <w:left w:w="15" w:type="dxa"/>
              <w:bottom w:w="15" w:type="dxa"/>
              <w:right w:w="15" w:type="dxa"/>
            </w:tcMar>
            <w:vAlign w:val="center"/>
          </w:tcPr>
          <w:p>
            <w:pPr>
              <w:spacing w:line="240" w:lineRule="exact"/>
              <w:rPr>
                <w:szCs w:val="21"/>
              </w:rPr>
            </w:pPr>
            <w:r>
              <w:rPr>
                <w:szCs w:val="21"/>
              </w:rPr>
              <w:t>收款单位：深圳市国信招标有限公司舟山分公司</w:t>
            </w:r>
          </w:p>
          <w:p>
            <w:pPr>
              <w:spacing w:line="240" w:lineRule="exact"/>
              <w:rPr>
                <w:szCs w:val="21"/>
              </w:rPr>
            </w:pPr>
            <w:r>
              <w:rPr>
                <w:szCs w:val="21"/>
              </w:rPr>
              <w:t>开户银行：中国工商银行舟山市定海区支行，</w:t>
            </w:r>
          </w:p>
          <w:p>
            <w:pPr>
              <w:spacing w:line="240" w:lineRule="exact"/>
              <w:rPr>
                <w:szCs w:val="21"/>
              </w:rPr>
            </w:pPr>
            <w:r>
              <w:rPr>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12</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质量标准</w:t>
            </w:r>
          </w:p>
        </w:tc>
        <w:tc>
          <w:tcPr>
            <w:tcW w:w="7840" w:type="dxa"/>
            <w:gridSpan w:val="3"/>
            <w:tcMar>
              <w:top w:w="15" w:type="dxa"/>
              <w:left w:w="15" w:type="dxa"/>
              <w:bottom w:w="15" w:type="dxa"/>
              <w:right w:w="15" w:type="dxa"/>
            </w:tcMar>
            <w:vAlign w:val="center"/>
          </w:tcPr>
          <w:p>
            <w:pPr>
              <w:spacing w:line="240" w:lineRule="exact"/>
              <w:rPr>
                <w:szCs w:val="21"/>
              </w:rPr>
            </w:pPr>
            <w:r>
              <w:rPr>
                <w:rFonts w:hint="eastAsia" w:ascii="宋体" w:hAnsi="宋体"/>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13</w:t>
            </w:r>
          </w:p>
        </w:tc>
        <w:tc>
          <w:tcPr>
            <w:tcW w:w="1512" w:type="dxa"/>
            <w:tcMar>
              <w:top w:w="15" w:type="dxa"/>
              <w:left w:w="15" w:type="dxa"/>
              <w:bottom w:w="15" w:type="dxa"/>
              <w:right w:w="15" w:type="dxa"/>
            </w:tcMar>
            <w:vAlign w:val="center"/>
          </w:tcPr>
          <w:p>
            <w:pPr>
              <w:snapToGrid w:val="0"/>
              <w:spacing w:line="240" w:lineRule="exact"/>
              <w:jc w:val="center"/>
              <w:rPr>
                <w:b/>
              </w:rPr>
            </w:pPr>
            <w:r>
              <w:rPr>
                <w:b/>
              </w:rPr>
              <w:t>投标文件的</w:t>
            </w:r>
          </w:p>
          <w:p>
            <w:pPr>
              <w:snapToGrid w:val="0"/>
              <w:spacing w:line="240" w:lineRule="exact"/>
              <w:jc w:val="center"/>
              <w:rPr>
                <w:b/>
              </w:rPr>
            </w:pPr>
            <w:r>
              <w:rPr>
                <w:b/>
              </w:rPr>
              <w:t>组成</w:t>
            </w:r>
          </w:p>
        </w:tc>
        <w:tc>
          <w:tcPr>
            <w:tcW w:w="7840" w:type="dxa"/>
            <w:gridSpan w:val="3"/>
            <w:tcMar>
              <w:top w:w="15" w:type="dxa"/>
              <w:left w:w="15" w:type="dxa"/>
              <w:bottom w:w="15" w:type="dxa"/>
              <w:right w:w="15" w:type="dxa"/>
            </w:tcMar>
            <w:vAlign w:val="center"/>
          </w:tcPr>
          <w:p>
            <w:pPr>
              <w:snapToGrid w:val="0"/>
              <w:spacing w:line="240" w:lineRule="exact"/>
              <w:rPr>
                <w:szCs w:val="21"/>
              </w:rPr>
            </w:pPr>
            <w:r>
              <w:rPr>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b/>
              </w:rPr>
            </w:pPr>
            <w:r>
              <w:rPr>
                <w:b/>
              </w:rPr>
              <w:t>投标文件的</w:t>
            </w:r>
          </w:p>
          <w:p>
            <w:pPr>
              <w:spacing w:line="360" w:lineRule="auto"/>
              <w:ind w:firstLine="517" w:firstLineChars="245"/>
              <w:rPr>
                <w:b/>
                <w:szCs w:val="21"/>
                <w:shd w:val="pct10" w:color="auto" w:fill="FFFFFF"/>
              </w:rPr>
            </w:pPr>
            <w:r>
              <w:rPr>
                <w:b/>
              </w:rPr>
              <w:t>制作</w:t>
            </w:r>
          </w:p>
        </w:tc>
        <w:tc>
          <w:tcPr>
            <w:tcW w:w="7840" w:type="dxa"/>
            <w:gridSpan w:val="3"/>
            <w:tcMar>
              <w:top w:w="15" w:type="dxa"/>
              <w:left w:w="15" w:type="dxa"/>
              <w:bottom w:w="15" w:type="dxa"/>
              <w:right w:w="15" w:type="dxa"/>
            </w:tcMar>
            <w:vAlign w:val="center"/>
          </w:tcPr>
          <w:p>
            <w:pPr>
              <w:rPr>
                <w:szCs w:val="21"/>
              </w:rPr>
            </w:pPr>
            <w:r>
              <w:rPr>
                <w:szCs w:val="21"/>
              </w:rPr>
              <w:t>本项目实行电子投标。</w:t>
            </w:r>
          </w:p>
          <w:p>
            <w:pPr>
              <w:rPr>
                <w:szCs w:val="21"/>
              </w:rPr>
            </w:pPr>
            <w:r>
              <w:rPr>
                <w:szCs w:val="21"/>
              </w:rPr>
              <w:t>投标人应准备电子投标文件、以介质存储的数据电文形式的备份投标文件、纸质备份投标文件三类：</w:t>
            </w:r>
          </w:p>
          <w:p>
            <w:pPr>
              <w:rPr>
                <w:szCs w:val="21"/>
              </w:rPr>
            </w:pPr>
            <w:r>
              <w:rPr>
                <w:szCs w:val="21"/>
              </w:rPr>
              <w:t>（1）电子投标文件，按政采云平台项目采购-电子交易操作指南及本招标文件要求递交。</w:t>
            </w:r>
          </w:p>
          <w:p>
            <w:pPr>
              <w:rPr>
                <w:szCs w:val="21"/>
              </w:rPr>
            </w:pPr>
            <w:r>
              <w:rPr>
                <w:szCs w:val="21"/>
              </w:rPr>
              <w:t>（2）以介质存储的数据电文形式的备份投标文件，按政采云平台项目采购-电子交易操作指南中上传的电子投标文件格式，以U盘形式存储提供。数量为1份。</w:t>
            </w:r>
          </w:p>
          <w:p>
            <w:pPr>
              <w:rPr>
                <w:szCs w:val="21"/>
              </w:rPr>
            </w:pPr>
            <w:r>
              <w:rPr>
                <w:szCs w:val="21"/>
              </w:rPr>
              <w:t>（3）纸质备份投标文件将以纸质文件的形式递交。数量为：正本、副本各1份。（报价文件正本一份，副本一份，单独密封）</w:t>
            </w:r>
          </w:p>
          <w:p>
            <w:pPr>
              <w:spacing w:line="300" w:lineRule="auto"/>
              <w:rPr>
                <w:szCs w:val="21"/>
              </w:rPr>
            </w:pPr>
            <w:r>
              <w:rPr>
                <w:szCs w:val="21"/>
              </w:rPr>
              <w:t>投标文件均由资格响应文件、商务及技术响应文件、报价文件组成。</w:t>
            </w:r>
          </w:p>
          <w:p>
            <w:pPr>
              <w:spacing w:line="300" w:lineRule="auto"/>
              <w:rPr>
                <w:sz w:val="22"/>
              </w:rPr>
            </w:pPr>
            <w:r>
              <w:rPr>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15</w:t>
            </w:r>
          </w:p>
        </w:tc>
        <w:tc>
          <w:tcPr>
            <w:tcW w:w="1512" w:type="dxa"/>
            <w:tcMar>
              <w:top w:w="15" w:type="dxa"/>
              <w:left w:w="15" w:type="dxa"/>
              <w:bottom w:w="15" w:type="dxa"/>
              <w:right w:w="15" w:type="dxa"/>
            </w:tcMar>
            <w:vAlign w:val="center"/>
          </w:tcPr>
          <w:p>
            <w:pPr>
              <w:snapToGrid w:val="0"/>
              <w:spacing w:line="240" w:lineRule="exact"/>
              <w:jc w:val="center"/>
              <w:rPr>
                <w:b/>
              </w:rPr>
            </w:pPr>
            <w:r>
              <w:rPr>
                <w:b/>
              </w:rPr>
              <w:t>投标文件的</w:t>
            </w:r>
          </w:p>
          <w:p>
            <w:pPr>
              <w:spacing w:line="300" w:lineRule="auto"/>
              <w:jc w:val="center"/>
              <w:rPr>
                <w:b/>
                <w:sz w:val="22"/>
                <w:shd w:val="pct10" w:color="auto" w:fill="FFFFFF"/>
              </w:rPr>
            </w:pPr>
            <w:r>
              <w:rPr>
                <w:b/>
              </w:rPr>
              <w:t>组成</w:t>
            </w:r>
          </w:p>
        </w:tc>
        <w:tc>
          <w:tcPr>
            <w:tcW w:w="7840" w:type="dxa"/>
            <w:gridSpan w:val="3"/>
            <w:tcMar>
              <w:top w:w="15" w:type="dxa"/>
              <w:left w:w="15" w:type="dxa"/>
              <w:bottom w:w="15" w:type="dxa"/>
              <w:right w:w="15" w:type="dxa"/>
            </w:tcMar>
            <w:vAlign w:val="center"/>
          </w:tcPr>
          <w:p>
            <w:pPr>
              <w:spacing w:line="264" w:lineRule="auto"/>
              <w:rPr>
                <w:sz w:val="22"/>
              </w:rPr>
            </w:pPr>
            <w:r>
              <w:rPr>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264" w:lineRule="auto"/>
              <w:rPr>
                <w:sz w:val="22"/>
              </w:rPr>
            </w:pPr>
            <w:r>
              <w:rPr>
                <w:sz w:val="22"/>
              </w:rPr>
              <w:t>投标人应当在规定时间前将以介质存储的数据电文形式的备份投标文件和纸质备份投标文件寄到或送达采购代理公司：舟山市定海区昌国路232号中楼202。逾期送达或未密封将被拒收。也可现场递交。</w:t>
            </w:r>
          </w:p>
          <w:p>
            <w:pPr>
              <w:spacing w:line="264" w:lineRule="auto"/>
              <w:rPr>
                <w:sz w:val="22"/>
              </w:rPr>
            </w:pPr>
            <w:r>
              <w:rPr>
                <w:sz w:val="22"/>
              </w:rPr>
              <w:t>投标人递交以介质存储的数据电文形式的备份投标文件和纸质备份投标文件时，如出现下列情况之一的，将被拒收：</w:t>
            </w:r>
          </w:p>
          <w:p>
            <w:pPr>
              <w:spacing w:line="264" w:lineRule="auto"/>
              <w:rPr>
                <w:sz w:val="22"/>
              </w:rPr>
            </w:pPr>
            <w:r>
              <w:rPr>
                <w:sz w:val="22"/>
              </w:rPr>
              <w:t>1</w:t>
            </w:r>
            <w:r>
              <w:rPr>
                <w:rFonts w:hint="eastAsia"/>
                <w:sz w:val="22"/>
              </w:rPr>
              <w:t>.</w:t>
            </w:r>
            <w:r>
              <w:rPr>
                <w:sz w:val="22"/>
              </w:rPr>
              <w:t>未按规定密封或标记的投标文件；</w:t>
            </w:r>
          </w:p>
          <w:p>
            <w:pPr>
              <w:spacing w:line="264" w:lineRule="auto"/>
              <w:rPr>
                <w:sz w:val="22"/>
              </w:rPr>
            </w:pPr>
            <w:r>
              <w:rPr>
                <w:sz w:val="22"/>
              </w:rPr>
              <w:t>2</w:t>
            </w:r>
            <w:r>
              <w:rPr>
                <w:rFonts w:hint="eastAsia"/>
                <w:sz w:val="22"/>
              </w:rPr>
              <w:t>.</w:t>
            </w:r>
            <w:r>
              <w:rPr>
                <w:sz w:val="22"/>
              </w:rPr>
              <w:t>由于包装不妥，在送交途中严重破损或失散的；</w:t>
            </w:r>
          </w:p>
          <w:p>
            <w:pPr>
              <w:spacing w:line="264" w:lineRule="auto"/>
              <w:rPr>
                <w:sz w:val="22"/>
              </w:rPr>
            </w:pPr>
            <w:r>
              <w:rPr>
                <w:sz w:val="22"/>
              </w:rPr>
              <w:t>3</w:t>
            </w:r>
            <w:r>
              <w:rPr>
                <w:rFonts w:hint="eastAsia"/>
                <w:sz w:val="22"/>
              </w:rPr>
              <w:t>.</w:t>
            </w:r>
            <w:r>
              <w:rPr>
                <w:sz w:val="22"/>
              </w:rPr>
              <w:t>未成功办理投标人报名手续的；</w:t>
            </w:r>
          </w:p>
          <w:p>
            <w:pPr>
              <w:spacing w:line="264" w:lineRule="auto"/>
              <w:rPr>
                <w:sz w:val="22"/>
              </w:rPr>
            </w:pPr>
            <w:r>
              <w:rPr>
                <w:sz w:val="22"/>
              </w:rPr>
              <w:t>4</w:t>
            </w:r>
            <w:r>
              <w:rPr>
                <w:rFonts w:hint="eastAsia"/>
                <w:sz w:val="22"/>
              </w:rPr>
              <w:t>.</w:t>
            </w:r>
            <w:r>
              <w:rPr>
                <w:sz w:val="22"/>
              </w:rPr>
              <w:t>超过截止时间送达的；</w:t>
            </w:r>
          </w:p>
          <w:p>
            <w:pPr>
              <w:spacing w:line="264" w:lineRule="auto"/>
              <w:rPr>
                <w:sz w:val="22"/>
              </w:rPr>
            </w:pPr>
            <w:r>
              <w:rPr>
                <w:sz w:val="22"/>
              </w:rPr>
              <w:t>仅提供备份投标文件的，投标无效。</w:t>
            </w:r>
          </w:p>
          <w:p>
            <w:pPr>
              <w:spacing w:line="264" w:lineRule="auto"/>
              <w:rPr>
                <w:sz w:val="22"/>
              </w:rPr>
            </w:pPr>
            <w:r>
              <w:rPr>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b/>
              </w:rPr>
            </w:pPr>
            <w:r>
              <w:rPr>
                <w:b/>
              </w:rPr>
              <w:t>16</w:t>
            </w:r>
          </w:p>
        </w:tc>
        <w:tc>
          <w:tcPr>
            <w:tcW w:w="1512" w:type="dxa"/>
            <w:tcMar>
              <w:top w:w="15" w:type="dxa"/>
              <w:left w:w="15" w:type="dxa"/>
              <w:bottom w:w="15" w:type="dxa"/>
              <w:right w:w="15" w:type="dxa"/>
            </w:tcMar>
            <w:vAlign w:val="center"/>
          </w:tcPr>
          <w:p>
            <w:pPr>
              <w:jc w:val="center"/>
              <w:rPr>
                <w:b/>
                <w:szCs w:val="21"/>
              </w:rPr>
            </w:pPr>
            <w:r>
              <w:rPr>
                <w:b/>
                <w:szCs w:val="21"/>
              </w:rPr>
              <w:t>投标人注册</w:t>
            </w:r>
          </w:p>
        </w:tc>
        <w:tc>
          <w:tcPr>
            <w:tcW w:w="7840" w:type="dxa"/>
            <w:gridSpan w:val="3"/>
            <w:tcMar>
              <w:top w:w="15" w:type="dxa"/>
              <w:left w:w="15" w:type="dxa"/>
              <w:bottom w:w="15" w:type="dxa"/>
              <w:right w:w="15" w:type="dxa"/>
            </w:tcMar>
            <w:vAlign w:val="center"/>
          </w:tcPr>
          <w:p>
            <w:pPr>
              <w:spacing w:before="24" w:beforeLines="10"/>
              <w:jc w:val="left"/>
              <w:rPr>
                <w:bCs/>
                <w:snapToGrid w:val="0"/>
                <w:kern w:val="0"/>
              </w:rPr>
            </w:pPr>
            <w:r>
              <w:rPr>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24" w:beforeLines="10"/>
              <w:jc w:val="left"/>
              <w:rPr>
                <w:szCs w:val="21"/>
              </w:rPr>
            </w:pPr>
            <w:r>
              <w:rPr>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17</w:t>
            </w:r>
          </w:p>
        </w:tc>
        <w:tc>
          <w:tcPr>
            <w:tcW w:w="1512" w:type="dxa"/>
            <w:tcMar>
              <w:top w:w="15" w:type="dxa"/>
              <w:left w:w="15" w:type="dxa"/>
              <w:bottom w:w="15" w:type="dxa"/>
              <w:right w:w="15" w:type="dxa"/>
            </w:tcMar>
            <w:vAlign w:val="center"/>
          </w:tcPr>
          <w:p>
            <w:pPr>
              <w:jc w:val="center"/>
              <w:rPr>
                <w:b/>
                <w:szCs w:val="21"/>
              </w:rPr>
            </w:pPr>
            <w:r>
              <w:rPr>
                <w:b/>
                <w:szCs w:val="21"/>
              </w:rPr>
              <w:t>不良信用记录查询</w:t>
            </w:r>
          </w:p>
        </w:tc>
        <w:tc>
          <w:tcPr>
            <w:tcW w:w="7840" w:type="dxa"/>
            <w:gridSpan w:val="3"/>
            <w:tcMar>
              <w:top w:w="15" w:type="dxa"/>
              <w:left w:w="15" w:type="dxa"/>
              <w:bottom w:w="15" w:type="dxa"/>
              <w:right w:w="15" w:type="dxa"/>
            </w:tcMar>
            <w:vAlign w:val="center"/>
          </w:tcPr>
          <w:p>
            <w:pPr>
              <w:rPr>
                <w:szCs w:val="21"/>
              </w:rPr>
            </w:pPr>
            <w:r>
              <w:rPr>
                <w:szCs w:val="21"/>
              </w:rPr>
              <w:t>根据财库[2016]125号文件：</w:t>
            </w:r>
          </w:p>
          <w:p>
            <w:pPr>
              <w:rPr>
                <w:szCs w:val="21"/>
              </w:rPr>
            </w:pPr>
            <w:r>
              <w:rPr>
                <w:szCs w:val="21"/>
              </w:rPr>
              <w:t>1</w:t>
            </w:r>
            <w:r>
              <w:rPr>
                <w:rFonts w:hint="eastAsia"/>
                <w:szCs w:val="21"/>
              </w:rPr>
              <w:t>.</w:t>
            </w:r>
            <w:r>
              <w:rPr>
                <w:szCs w:val="21"/>
              </w:rPr>
              <w:t>至本项目投标截止前未被列入“信用中国”网站(www.creditchina.gov.cn)“记录失信被执行人或重大税收违法案件当事人名单”记录名单。</w:t>
            </w:r>
          </w:p>
          <w:p>
            <w:pPr>
              <w:rPr>
                <w:szCs w:val="21"/>
              </w:rPr>
            </w:pPr>
            <w:r>
              <w:rPr>
                <w:szCs w:val="21"/>
              </w:rPr>
              <w:t>2</w:t>
            </w:r>
            <w:r>
              <w:rPr>
                <w:rFonts w:hint="eastAsia"/>
                <w:szCs w:val="21"/>
              </w:rPr>
              <w:t>.</w:t>
            </w:r>
            <w:r>
              <w:rPr>
                <w:szCs w:val="21"/>
              </w:rPr>
              <w:t>至本项目投标截止前不处于中国政府采购网(www.ccgp.gov.cn)“政府采购严重违法失信行为信息记录”中的禁止参加政府采购活动期间。</w:t>
            </w:r>
          </w:p>
          <w:p>
            <w:r>
              <w:rPr>
                <w:szCs w:val="21"/>
              </w:rPr>
              <w:t>提供</w:t>
            </w:r>
            <w:r>
              <w:rPr>
                <w:b/>
              </w:rPr>
              <w:t>查询截图，（截图查询网站时间须在开标截止前二个星期内）。</w:t>
            </w:r>
            <w:r>
              <w:rPr>
                <w:szCs w:val="21"/>
              </w:rPr>
              <w:t>对列入失信被执行人、重大税收违法案件当事人名单、政府采购严重违法失信行为记录名单的供应商，</w:t>
            </w:r>
            <w:r>
              <w:rPr>
                <w:b/>
                <w:szCs w:val="21"/>
              </w:rPr>
              <w:t>其投标将作无效标处理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18</w:t>
            </w:r>
          </w:p>
        </w:tc>
        <w:tc>
          <w:tcPr>
            <w:tcW w:w="1512" w:type="dxa"/>
            <w:tcMar>
              <w:top w:w="15" w:type="dxa"/>
              <w:left w:w="15" w:type="dxa"/>
              <w:bottom w:w="15" w:type="dxa"/>
              <w:right w:w="15" w:type="dxa"/>
            </w:tcMar>
            <w:vAlign w:val="center"/>
          </w:tcPr>
          <w:p>
            <w:pPr>
              <w:jc w:val="center"/>
              <w:rPr>
                <w:b/>
                <w:szCs w:val="21"/>
              </w:rPr>
            </w:pPr>
            <w:r>
              <w:rPr>
                <w:b/>
                <w:szCs w:val="21"/>
              </w:rPr>
              <w:t>中小企业有关政策</w:t>
            </w:r>
          </w:p>
        </w:tc>
        <w:tc>
          <w:tcPr>
            <w:tcW w:w="7840" w:type="dxa"/>
            <w:gridSpan w:val="3"/>
            <w:tcMar>
              <w:top w:w="15" w:type="dxa"/>
              <w:left w:w="15" w:type="dxa"/>
              <w:bottom w:w="15" w:type="dxa"/>
              <w:right w:w="15" w:type="dxa"/>
            </w:tcMar>
            <w:vAlign w:val="center"/>
          </w:tcPr>
          <w:p>
            <w:pPr>
              <w:snapToGrid w:val="0"/>
              <w:rPr>
                <w:szCs w:val="21"/>
              </w:rPr>
            </w:pPr>
            <w:r>
              <w:rPr>
                <w:rFonts w:hint="eastAsia"/>
                <w:szCs w:val="21"/>
              </w:rPr>
              <w:t>（1）根据财政部财库〔2022〕19号《关于进一步加大政府采购支持中小企业力度的通知》、《浙江省财政厅关于进一步加大政府采购支持中小企业力度 助力扎实稳住经济的通知》（浙财采监[2022]8号）规定，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行业：工业。</w:t>
            </w:r>
          </w:p>
          <w:p>
            <w:pPr>
              <w:snapToGrid w:val="0"/>
              <w:rPr>
                <w:szCs w:val="21"/>
              </w:rPr>
            </w:pPr>
            <w:r>
              <w:rPr>
                <w:rFonts w:hint="eastAsia"/>
                <w:szCs w:val="21"/>
              </w:rPr>
              <w:t>未提供完整证明材料的，投标报价不予扣减。</w:t>
            </w:r>
          </w:p>
          <w:p>
            <w:pPr>
              <w:snapToGrid w:val="0"/>
              <w:rPr>
                <w:szCs w:val="21"/>
              </w:rPr>
            </w:pPr>
            <w:r>
              <w:rPr>
                <w:rFonts w:hint="eastAsia"/>
                <w:szCs w:val="21"/>
              </w:rPr>
              <w:t>（2）根据《关于政府采购支持监狱企业发展有关问题的通知》（财库[2014]68号）的规定，供应商如为监狱企业且所投产品为小型或微型企业生产的，其投标报价扣除20%后参与评审。</w:t>
            </w:r>
          </w:p>
          <w:p>
            <w:pPr>
              <w:snapToGrid w:val="0"/>
              <w:rPr>
                <w:szCs w:val="21"/>
              </w:rPr>
            </w:pPr>
            <w:r>
              <w:rPr>
                <w:rFonts w:hint="eastAsia"/>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szCs w:val="21"/>
              </w:rPr>
            </w:pPr>
            <w:r>
              <w:rPr>
                <w:rFonts w:hint="eastAsia"/>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szCs w:val="21"/>
              </w:rPr>
            </w:pPr>
            <w:r>
              <w:rPr>
                <w:rFonts w:hint="eastAsia"/>
                <w:szCs w:val="21"/>
              </w:rPr>
              <w:t>投标文件中须提供：《残疾人福利性单位声明函》，未提供完整证明材料的，投标报价不予扣减。</w:t>
            </w:r>
          </w:p>
          <w:p>
            <w:pPr>
              <w:snapToGrid w:val="0"/>
              <w:rPr>
                <w:szCs w:val="21"/>
              </w:rPr>
            </w:pPr>
            <w:r>
              <w:rPr>
                <w:rFonts w:hint="eastAsia"/>
                <w:szCs w:val="21"/>
              </w:rPr>
              <w:t>上述（1），（2），（3）政策不重复计算。</w:t>
            </w:r>
          </w:p>
          <w:p>
            <w:pPr>
              <w:snapToGrid w:val="0"/>
              <w:rPr>
                <w:b/>
                <w:szCs w:val="21"/>
              </w:rPr>
            </w:pPr>
            <w:r>
              <w:rPr>
                <w:rFonts w:hint="eastAsia"/>
                <w:szCs w:val="21"/>
              </w:rPr>
              <w:t>此项由评标委员会集体核实后统一打分。</w:t>
            </w:r>
          </w:p>
        </w:tc>
      </w:tr>
    </w:tbl>
    <w:p>
      <w:pPr>
        <w:snapToGrid w:val="0"/>
        <w:spacing w:before="120" w:line="312" w:lineRule="auto"/>
        <w:rPr>
          <w:b/>
          <w:sz w:val="28"/>
        </w:rPr>
      </w:pPr>
    </w:p>
    <w:p>
      <w:pPr>
        <w:snapToGrid w:val="0"/>
        <w:spacing w:before="120" w:line="312" w:lineRule="auto"/>
        <w:jc w:val="center"/>
        <w:rPr>
          <w:b/>
          <w:sz w:val="28"/>
        </w:rPr>
      </w:pPr>
      <w:r>
        <w:rPr>
          <w:b/>
          <w:sz w:val="28"/>
        </w:rPr>
        <w:t>一、总则</w:t>
      </w:r>
    </w:p>
    <w:p>
      <w:pPr>
        <w:snapToGrid w:val="0"/>
        <w:spacing w:before="120" w:line="360" w:lineRule="auto"/>
        <w:ind w:right="55" w:rightChars="26"/>
        <w:rPr>
          <w:b/>
          <w:sz w:val="28"/>
        </w:rPr>
      </w:pPr>
      <w:r>
        <w:rPr>
          <w:b/>
        </w:rPr>
        <w:t>（一）适用范围</w:t>
      </w:r>
    </w:p>
    <w:p>
      <w:pPr>
        <w:snapToGrid w:val="0"/>
        <w:spacing w:line="360" w:lineRule="auto"/>
        <w:ind w:right="55" w:rightChars="26" w:firstLine="420" w:firstLineChars="200"/>
        <w:jc w:val="left"/>
      </w:pPr>
      <w:r>
        <w:t>本招标文件适用于</w:t>
      </w:r>
      <w:r>
        <w:rPr>
          <w:bCs/>
        </w:rPr>
        <w:t>舟山市食品药品检验检测研究院仪器设备采购项目</w:t>
      </w:r>
      <w:r>
        <w:t>的招标、投标、评标、定标、验收、合同履约、付款等行为（法律、法规另有规定的，从其规定）。</w:t>
      </w:r>
    </w:p>
    <w:p>
      <w:pPr>
        <w:snapToGrid w:val="0"/>
        <w:spacing w:line="360" w:lineRule="auto"/>
        <w:ind w:right="55" w:rightChars="26"/>
        <w:jc w:val="left"/>
        <w:outlineLvl w:val="1"/>
        <w:rPr>
          <w:b/>
          <w:sz w:val="24"/>
        </w:rPr>
      </w:pPr>
      <w:r>
        <w:rPr>
          <w:b/>
          <w:sz w:val="24"/>
        </w:rPr>
        <w:t>（二）定义</w:t>
      </w:r>
    </w:p>
    <w:p>
      <w:pPr>
        <w:snapToGrid w:val="0"/>
        <w:spacing w:line="360" w:lineRule="auto"/>
        <w:ind w:right="55" w:rightChars="26" w:firstLine="420" w:firstLineChars="200"/>
        <w:jc w:val="left"/>
      </w:pPr>
      <w:r>
        <w:t>1</w:t>
      </w:r>
      <w:r>
        <w:rPr>
          <w:rFonts w:hint="eastAsia"/>
        </w:rPr>
        <w:t>.“</w:t>
      </w:r>
      <w:r>
        <w:t>采购人</w:t>
      </w:r>
      <w:r>
        <w:rPr>
          <w:rFonts w:hint="eastAsia"/>
        </w:rPr>
        <w:t>”</w:t>
      </w:r>
      <w:r>
        <w:t>系指</w:t>
      </w:r>
      <w:r>
        <w:rPr>
          <w:bCs/>
        </w:rPr>
        <w:t>舟山市食品药品检验检测研究院</w:t>
      </w:r>
      <w:r>
        <w:t>。</w:t>
      </w:r>
    </w:p>
    <w:p>
      <w:pPr>
        <w:pStyle w:val="2"/>
        <w:ind w:firstLine="210"/>
      </w:pPr>
      <w:r>
        <w:rPr>
          <w:rFonts w:hint="eastAsia"/>
        </w:rPr>
        <w:t xml:space="preserve">  2. “采购代理机构”系指</w:t>
      </w:r>
      <w:r>
        <w:t>组织本次招标的深圳</w:t>
      </w:r>
      <w:r>
        <w:rPr>
          <w:rFonts w:hint="eastAsia"/>
        </w:rPr>
        <w:t>市</w:t>
      </w:r>
      <w:r>
        <w:t>国信招标有限公司</w:t>
      </w:r>
      <w:r>
        <w:rPr>
          <w:rFonts w:hint="eastAsia"/>
        </w:rPr>
        <w:t>。</w:t>
      </w:r>
    </w:p>
    <w:p>
      <w:pPr>
        <w:snapToGrid w:val="0"/>
        <w:spacing w:line="360" w:lineRule="auto"/>
        <w:ind w:right="55" w:rightChars="26" w:firstLine="420" w:firstLineChars="200"/>
        <w:jc w:val="left"/>
      </w:pPr>
      <w:r>
        <w:rPr>
          <w:rFonts w:hint="eastAsia"/>
        </w:rPr>
        <w:t>3.“</w:t>
      </w:r>
      <w:r>
        <w:t>投标人</w:t>
      </w:r>
      <w:r>
        <w:rPr>
          <w:rFonts w:hint="eastAsia"/>
        </w:rPr>
        <w:t>”</w:t>
      </w:r>
      <w:r>
        <w:t>系指向采购人提交投标文件的单位或个人。</w:t>
      </w:r>
    </w:p>
    <w:p>
      <w:pPr>
        <w:snapToGrid w:val="0"/>
        <w:spacing w:line="360" w:lineRule="auto"/>
        <w:ind w:right="-506" w:rightChars="-241" w:firstLine="420" w:firstLineChars="200"/>
        <w:jc w:val="left"/>
      </w:pPr>
      <w:r>
        <w:rPr>
          <w:rFonts w:hint="eastAsia"/>
        </w:rPr>
        <w:t>4.“</w:t>
      </w:r>
      <w:r>
        <w:t>产品</w:t>
      </w:r>
      <w:r>
        <w:rPr>
          <w:rFonts w:hint="eastAsia"/>
        </w:rPr>
        <w:t>”</w:t>
      </w:r>
      <w:r>
        <w:t>系指</w:t>
      </w:r>
      <w:r>
        <w:rPr>
          <w:rFonts w:hint="eastAsia"/>
        </w:rPr>
        <w:t>投标人</w:t>
      </w:r>
      <w:r>
        <w:t>按招标文件规定，须向采购人提供的一切设备、保险、税金、备品备件、工具、手册及其它有关技术资料和材料。</w:t>
      </w:r>
    </w:p>
    <w:p>
      <w:pPr>
        <w:snapToGrid w:val="0"/>
        <w:spacing w:line="360" w:lineRule="auto"/>
        <w:ind w:right="-506" w:rightChars="-241" w:firstLine="420" w:firstLineChars="200"/>
        <w:jc w:val="left"/>
      </w:pPr>
      <w:r>
        <w:rPr>
          <w:rFonts w:hint="eastAsia"/>
        </w:rPr>
        <w:t>5.“</w:t>
      </w:r>
      <w:r>
        <w:t>服务</w:t>
      </w:r>
      <w:r>
        <w:rPr>
          <w:rFonts w:hint="eastAsia"/>
        </w:rPr>
        <w:t>”</w:t>
      </w:r>
      <w:r>
        <w:t>系指招标文件规定投标人须承担的安装、调试、技术协助、校准、培训、技术指导以及其他类似的义务。</w:t>
      </w:r>
    </w:p>
    <w:p>
      <w:pPr>
        <w:snapToGrid w:val="0"/>
        <w:spacing w:line="360" w:lineRule="auto"/>
        <w:ind w:firstLine="420" w:firstLineChars="200"/>
        <w:jc w:val="left"/>
      </w:pPr>
      <w:r>
        <w:rPr>
          <w:rFonts w:hint="eastAsia"/>
        </w:rPr>
        <w:t>6.“</w:t>
      </w:r>
      <w:r>
        <w:t>项目</w:t>
      </w:r>
      <w:r>
        <w:rPr>
          <w:rFonts w:hint="eastAsia"/>
        </w:rPr>
        <w:t>”</w:t>
      </w:r>
      <w:r>
        <w:t>系指投标人按招标文件规定向采购人提供的产品和服务。</w:t>
      </w:r>
    </w:p>
    <w:p>
      <w:pPr>
        <w:snapToGrid w:val="0"/>
        <w:spacing w:line="360" w:lineRule="auto"/>
        <w:ind w:firstLine="420" w:firstLineChars="200"/>
        <w:jc w:val="left"/>
      </w:pPr>
      <w:r>
        <w:rPr>
          <w:rFonts w:hint="eastAsia"/>
        </w:rPr>
        <w:t>7.“</w:t>
      </w:r>
      <w:r>
        <w:t>书面形式</w:t>
      </w:r>
      <w:r>
        <w:rPr>
          <w:rFonts w:hint="eastAsia"/>
        </w:rPr>
        <w:t>”</w:t>
      </w:r>
      <w:r>
        <w:t>包括信函、传真、电报、电子文档等。</w:t>
      </w:r>
    </w:p>
    <w:p>
      <w:pPr>
        <w:snapToGrid w:val="0"/>
        <w:spacing w:line="360" w:lineRule="auto"/>
        <w:ind w:firstLine="420" w:firstLineChars="200"/>
        <w:jc w:val="left"/>
        <w:rPr>
          <w:rFonts w:ascii="宋体"/>
        </w:rPr>
      </w:pPr>
      <w:r>
        <w:rPr>
          <w:rFonts w:hint="eastAsia"/>
        </w:rPr>
        <w:t xml:space="preserve">8. </w:t>
      </w:r>
      <w:r>
        <w:t>本招标文件要求中，凡标有</w:t>
      </w:r>
      <w:r>
        <w:rPr>
          <w:rFonts w:hint="eastAsia"/>
        </w:rPr>
        <w:t>“★”</w:t>
      </w:r>
      <w:r>
        <w:t>的地方</w:t>
      </w:r>
      <w:r>
        <w:rPr>
          <w:rFonts w:hint="eastAsia"/>
        </w:rPr>
        <w:t>（如有）</w:t>
      </w:r>
      <w:r>
        <w:t>均被视为重要的技术指标要求或性能要求。投标人要特别加以注意，必须对此回答并完全满足这些要求。否则若有一项</w:t>
      </w:r>
      <w:r>
        <w:rPr>
          <w:rFonts w:hint="eastAsia"/>
        </w:rPr>
        <w:t>“★”</w:t>
      </w:r>
      <w:r>
        <w:t>的指标未响应或不满足，将按投标无效处理。</w:t>
      </w:r>
    </w:p>
    <w:p>
      <w:pPr>
        <w:snapToGrid w:val="0"/>
        <w:spacing w:line="312" w:lineRule="auto"/>
        <w:jc w:val="left"/>
        <w:outlineLvl w:val="1"/>
        <w:rPr>
          <w:b/>
          <w:sz w:val="24"/>
        </w:rPr>
      </w:pPr>
      <w:r>
        <w:rPr>
          <w:b/>
          <w:sz w:val="24"/>
        </w:rPr>
        <w:t>（三）招标方式</w:t>
      </w:r>
    </w:p>
    <w:p>
      <w:pPr>
        <w:snapToGrid w:val="0"/>
        <w:spacing w:line="312" w:lineRule="auto"/>
        <w:ind w:firstLine="420" w:firstLineChars="200"/>
        <w:jc w:val="left"/>
      </w:pPr>
      <w:r>
        <w:t>本次招标采用公开招标方式进行。</w:t>
      </w:r>
    </w:p>
    <w:p>
      <w:pPr>
        <w:snapToGrid w:val="0"/>
        <w:spacing w:line="312" w:lineRule="auto"/>
        <w:ind w:right="55" w:rightChars="26"/>
        <w:jc w:val="left"/>
        <w:outlineLvl w:val="1"/>
        <w:rPr>
          <w:b/>
          <w:sz w:val="24"/>
        </w:rPr>
      </w:pPr>
      <w:r>
        <w:rPr>
          <w:b/>
          <w:sz w:val="24"/>
        </w:rPr>
        <w:t>（四）投标费用</w:t>
      </w:r>
    </w:p>
    <w:p>
      <w:pPr>
        <w:snapToGrid w:val="0"/>
        <w:spacing w:line="312" w:lineRule="auto"/>
        <w:ind w:right="55" w:rightChars="26" w:firstLine="420" w:firstLineChars="200"/>
        <w:jc w:val="left"/>
      </w:pPr>
      <w:r>
        <w:t>不论投标结果如何，投标人均应自行承担所有与投标有关的全部费用（招标文件另有规定除外）。</w:t>
      </w:r>
    </w:p>
    <w:p>
      <w:pPr>
        <w:snapToGrid w:val="0"/>
        <w:spacing w:line="312" w:lineRule="auto"/>
        <w:ind w:right="55" w:rightChars="26"/>
        <w:rPr>
          <w:b/>
          <w:sz w:val="24"/>
        </w:rPr>
      </w:pPr>
      <w:r>
        <w:rPr>
          <w:b/>
          <w:sz w:val="24"/>
        </w:rPr>
        <w:t>（</w:t>
      </w:r>
      <w:r>
        <w:rPr>
          <w:rFonts w:hint="eastAsia"/>
          <w:b/>
          <w:sz w:val="24"/>
        </w:rPr>
        <w:t>五</w:t>
      </w:r>
      <w:r>
        <w:rPr>
          <w:b/>
          <w:sz w:val="24"/>
        </w:rPr>
        <w:t>）转包</w:t>
      </w:r>
    </w:p>
    <w:p>
      <w:pPr>
        <w:snapToGrid w:val="0"/>
        <w:spacing w:line="312" w:lineRule="auto"/>
        <w:ind w:right="55" w:rightChars="26" w:firstLine="420" w:firstLineChars="200"/>
      </w:pPr>
      <w:r>
        <w:t>本项目不允许转包。</w:t>
      </w:r>
    </w:p>
    <w:p>
      <w:pPr>
        <w:pStyle w:val="18"/>
        <w:snapToGrid w:val="0"/>
        <w:spacing w:line="360" w:lineRule="auto"/>
        <w:ind w:right="55" w:rightChars="26" w:firstLine="0"/>
        <w:rPr>
          <w:rFonts w:ascii="Times New Roman" w:hAnsi="Times New Roman"/>
          <w:b/>
          <w:sz w:val="24"/>
          <w:szCs w:val="24"/>
        </w:rPr>
      </w:pPr>
      <w:r>
        <w:rPr>
          <w:rFonts w:ascii="Times New Roman" w:hAnsi="Times New Roman"/>
          <w:b/>
          <w:sz w:val="24"/>
          <w:szCs w:val="24"/>
        </w:rPr>
        <w:t>（</w:t>
      </w:r>
      <w:r>
        <w:rPr>
          <w:rFonts w:hint="eastAsia" w:ascii="Times New Roman" w:hAnsi="Times New Roman"/>
          <w:b/>
          <w:sz w:val="24"/>
          <w:szCs w:val="24"/>
        </w:rPr>
        <w:t>六</w:t>
      </w:r>
      <w:r>
        <w:rPr>
          <w:rFonts w:ascii="Times New Roman" w:hAnsi="Times New Roman"/>
          <w:b/>
          <w:sz w:val="24"/>
          <w:szCs w:val="24"/>
        </w:rPr>
        <w:t>）特别说明：</w:t>
      </w:r>
    </w:p>
    <w:p>
      <w:pPr>
        <w:pStyle w:val="18"/>
        <w:snapToGrid w:val="0"/>
        <w:spacing w:line="360" w:lineRule="auto"/>
        <w:ind w:right="-86" w:rightChars="-41" w:firstLine="406" w:firstLineChars="200"/>
        <w:rPr>
          <w:rFonts w:ascii="Times New Roman" w:hAnsi="Times New Roman"/>
          <w:b/>
          <w:bCs/>
          <w:sz w:val="21"/>
        </w:rPr>
      </w:pPr>
      <w:r>
        <w:rPr>
          <w:rFonts w:ascii="Times New Roman" w:hAnsi="Times New Roman"/>
          <w:b/>
          <w:bCs/>
          <w:sz w:val="21"/>
        </w:rPr>
        <w:t>1</w:t>
      </w:r>
      <w:r>
        <w:rPr>
          <w:rFonts w:hint="eastAsia" w:ascii="Times New Roman" w:hAnsi="Times New Roman"/>
          <w:b/>
          <w:bCs/>
          <w:sz w:val="21"/>
        </w:rPr>
        <w:t xml:space="preserve">. </w:t>
      </w:r>
      <w:r>
        <w:rPr>
          <w:rFonts w:ascii="Times New Roman" w:hAnsi="Times New Roman"/>
          <w:b/>
          <w:bCs/>
          <w:sz w:val="21"/>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pStyle w:val="18"/>
        <w:snapToGrid w:val="0"/>
        <w:spacing w:line="360" w:lineRule="auto"/>
        <w:ind w:right="-86" w:rightChars="-41" w:firstLine="404" w:firstLineChars="199"/>
        <w:rPr>
          <w:rFonts w:ascii="Times New Roman" w:hAnsi="Times New Roman"/>
          <w:b/>
          <w:bCs/>
          <w:sz w:val="21"/>
        </w:rPr>
      </w:pPr>
      <w:r>
        <w:rPr>
          <w:rFonts w:ascii="Times New Roman" w:hAnsi="Times New Roman"/>
          <w:b/>
          <w:bCs/>
          <w:sz w:val="21"/>
        </w:rPr>
        <w:t>非单一产品采购项目，采购人应当根据采购项目技术构成、产品价格比重等合理确定核心产品，并在招标文件中载明。多家投标人提供的核心产品品牌相同的，按以上规定处理。</w:t>
      </w:r>
    </w:p>
    <w:p>
      <w:pPr>
        <w:pStyle w:val="18"/>
        <w:snapToGrid w:val="0"/>
        <w:spacing w:line="360" w:lineRule="auto"/>
        <w:ind w:right="-86" w:rightChars="-41" w:firstLine="401" w:firstLineChars="199"/>
        <w:rPr>
          <w:rFonts w:ascii="Times New Roman" w:hAnsi="Times New Roman"/>
          <w:bCs/>
          <w:sz w:val="21"/>
        </w:rPr>
      </w:pPr>
      <w:r>
        <w:rPr>
          <w:rFonts w:ascii="Times New Roman" w:hAnsi="Times New Roman"/>
          <w:bCs/>
          <w:sz w:val="21"/>
        </w:rPr>
        <w:t>2</w:t>
      </w:r>
      <w:r>
        <w:rPr>
          <w:rFonts w:hint="eastAsia" w:ascii="Times New Roman" w:hAnsi="Times New Roman"/>
          <w:bCs/>
          <w:sz w:val="21"/>
        </w:rPr>
        <w:t xml:space="preserve">. </w:t>
      </w:r>
      <w:r>
        <w:rPr>
          <w:rFonts w:ascii="Times New Roman" w:hAnsi="Times New Roman"/>
          <w:bCs/>
          <w:sz w:val="21"/>
        </w:rPr>
        <w:t>投标人投标所使用的资格、信誉、荣誉、业绩与企业认证必须为本法人所拥有。投标人投标所使用的采购项目实施人员必须为本法人员工。</w:t>
      </w:r>
    </w:p>
    <w:p>
      <w:pPr>
        <w:pStyle w:val="18"/>
        <w:snapToGrid w:val="0"/>
        <w:spacing w:line="360" w:lineRule="auto"/>
        <w:ind w:right="-86" w:rightChars="-41"/>
        <w:rPr>
          <w:rFonts w:ascii="Times New Roman" w:hAnsi="Times New Roman"/>
          <w:bCs/>
          <w:sz w:val="21"/>
        </w:rPr>
      </w:pPr>
      <w:r>
        <w:rPr>
          <w:rFonts w:ascii="Times New Roman" w:hAnsi="Times New Roman"/>
          <w:bCs/>
          <w:sz w:val="21"/>
        </w:rPr>
        <w:t xml:space="preserve"> 3</w:t>
      </w:r>
      <w:r>
        <w:rPr>
          <w:rFonts w:hint="eastAsia" w:ascii="Times New Roman" w:hAnsi="Times New Roman"/>
          <w:bCs/>
          <w:sz w:val="21"/>
        </w:rPr>
        <w:t xml:space="preserve">. </w:t>
      </w:r>
      <w:r>
        <w:rPr>
          <w:rFonts w:ascii="Times New Roman" w:hAnsi="Times New Roman"/>
          <w:bCs/>
          <w:sz w:val="21"/>
        </w:rPr>
        <w:t>投标人应仔细阅读招标文件的所有内容，按照招标文件的要求提交投标文件，并对所提供的全部资料的真实性承担法律责任。</w:t>
      </w:r>
    </w:p>
    <w:p>
      <w:pPr>
        <w:snapToGrid w:val="0"/>
        <w:spacing w:before="120" w:line="360" w:lineRule="auto"/>
        <w:outlineLvl w:val="1"/>
        <w:rPr>
          <w:b/>
          <w:sz w:val="24"/>
          <w:szCs w:val="24"/>
        </w:rPr>
      </w:pPr>
      <w:r>
        <w:rPr>
          <w:b/>
          <w:sz w:val="24"/>
          <w:szCs w:val="24"/>
        </w:rPr>
        <w:t>（</w:t>
      </w:r>
      <w:r>
        <w:rPr>
          <w:rFonts w:hint="eastAsia"/>
          <w:b/>
          <w:sz w:val="24"/>
          <w:szCs w:val="24"/>
        </w:rPr>
        <w:t>七</w:t>
      </w:r>
      <w:r>
        <w:rPr>
          <w:b/>
          <w:sz w:val="24"/>
          <w:szCs w:val="24"/>
        </w:rPr>
        <w:t>）质疑</w:t>
      </w:r>
    </w:p>
    <w:p>
      <w:pPr>
        <w:widowControl/>
        <w:snapToGrid w:val="0"/>
        <w:spacing w:before="120" w:line="360" w:lineRule="auto"/>
        <w:ind w:firstLine="420" w:firstLineChars="200"/>
        <w:outlineLvl w:val="1"/>
        <w:rPr>
          <w:bCs/>
          <w:szCs w:val="21"/>
        </w:rPr>
      </w:pPr>
      <w:r>
        <w:rPr>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bCs/>
          <w:szCs w:val="21"/>
        </w:rPr>
      </w:pPr>
      <w:r>
        <w:rPr>
          <w:bCs/>
          <w:szCs w:val="21"/>
        </w:rPr>
        <w:t>1</w:t>
      </w:r>
      <w:r>
        <w:rPr>
          <w:rFonts w:hint="eastAsia"/>
          <w:bCs/>
          <w:szCs w:val="21"/>
        </w:rPr>
        <w:t xml:space="preserve">. </w:t>
      </w:r>
      <w:r>
        <w:rPr>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bCs/>
          <w:szCs w:val="21"/>
        </w:rPr>
      </w:pPr>
      <w:r>
        <w:rPr>
          <w:bCs/>
          <w:szCs w:val="21"/>
        </w:rPr>
        <w:t>2</w:t>
      </w:r>
      <w:r>
        <w:rPr>
          <w:rFonts w:hint="eastAsia"/>
          <w:bCs/>
          <w:szCs w:val="21"/>
        </w:rPr>
        <w:t xml:space="preserve">. </w:t>
      </w:r>
      <w:r>
        <w:rPr>
          <w:bCs/>
          <w:szCs w:val="21"/>
        </w:rPr>
        <w:t>对采购过程提出质疑的，为各采购程序环节结束之日；</w:t>
      </w:r>
    </w:p>
    <w:p>
      <w:pPr>
        <w:widowControl/>
        <w:snapToGrid w:val="0"/>
        <w:spacing w:before="120" w:line="360" w:lineRule="auto"/>
        <w:ind w:firstLine="420" w:firstLineChars="200"/>
        <w:outlineLvl w:val="1"/>
        <w:rPr>
          <w:bCs/>
          <w:szCs w:val="21"/>
        </w:rPr>
      </w:pPr>
      <w:r>
        <w:rPr>
          <w:bCs/>
          <w:szCs w:val="21"/>
        </w:rPr>
        <w:t>3</w:t>
      </w:r>
      <w:r>
        <w:rPr>
          <w:rFonts w:hint="eastAsia"/>
          <w:bCs/>
          <w:szCs w:val="21"/>
        </w:rPr>
        <w:t xml:space="preserve">. </w:t>
      </w:r>
      <w:r>
        <w:rPr>
          <w:bCs/>
          <w:szCs w:val="21"/>
        </w:rPr>
        <w:t>对中标或者成交结果提出质疑的，为中标或者成交结果公告期限届满之日。</w:t>
      </w:r>
    </w:p>
    <w:p>
      <w:pPr>
        <w:widowControl/>
        <w:snapToGrid w:val="0"/>
        <w:spacing w:before="120" w:line="360" w:lineRule="auto"/>
        <w:ind w:firstLine="420" w:firstLineChars="200"/>
        <w:outlineLvl w:val="1"/>
        <w:rPr>
          <w:bCs/>
          <w:szCs w:val="21"/>
        </w:rPr>
      </w:pPr>
      <w:r>
        <w:rPr>
          <w:bCs/>
          <w:szCs w:val="21"/>
        </w:rPr>
        <w:t>4</w:t>
      </w:r>
      <w:r>
        <w:rPr>
          <w:rFonts w:hint="eastAsia"/>
          <w:bCs/>
          <w:szCs w:val="21"/>
        </w:rPr>
        <w:t xml:space="preserve">. </w:t>
      </w:r>
      <w:r>
        <w:rPr>
          <w:bCs/>
          <w:szCs w:val="21"/>
        </w:rPr>
        <w:t>质疑书应包括下列主要内容：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①</w:t>
      </w:r>
      <w:r>
        <w:rPr>
          <w:bCs/>
          <w:szCs w:val="21"/>
        </w:rPr>
        <w:t>质疑人的名称、地址、邮政编码、联系人、联系电话，以及被质疑人名称及联系方式；</w:t>
      </w:r>
    </w:p>
    <w:p>
      <w:pPr>
        <w:widowControl/>
        <w:snapToGrid w:val="0"/>
        <w:spacing w:before="120" w:line="360" w:lineRule="auto"/>
        <w:ind w:firstLine="420" w:firstLineChars="200"/>
        <w:outlineLvl w:val="1"/>
        <w:rPr>
          <w:bCs/>
          <w:szCs w:val="21"/>
        </w:rPr>
      </w:pPr>
      <w:r>
        <w:rPr>
          <w:rFonts w:hint="eastAsia" w:ascii="宋体" w:hAnsi="宋体" w:cs="宋体"/>
          <w:bCs/>
          <w:szCs w:val="21"/>
        </w:rPr>
        <w:t>②</w:t>
      </w:r>
      <w:r>
        <w:rPr>
          <w:bCs/>
          <w:szCs w:val="21"/>
        </w:rPr>
        <w:t>被质疑采购项目名称、编号及采购内容；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③</w:t>
      </w:r>
      <w:r>
        <w:rPr>
          <w:bCs/>
          <w:szCs w:val="21"/>
        </w:rPr>
        <w:t>具体的质疑事项及事实依据；</w:t>
      </w:r>
    </w:p>
    <w:p>
      <w:pPr>
        <w:widowControl/>
        <w:snapToGrid w:val="0"/>
        <w:spacing w:before="120" w:line="360" w:lineRule="auto"/>
        <w:ind w:firstLine="420" w:firstLineChars="200"/>
        <w:outlineLvl w:val="1"/>
        <w:rPr>
          <w:bCs/>
          <w:szCs w:val="21"/>
        </w:rPr>
      </w:pPr>
      <w:r>
        <w:rPr>
          <w:rFonts w:hint="eastAsia" w:ascii="宋体" w:hAnsi="宋体" w:cs="宋体"/>
          <w:bCs/>
          <w:szCs w:val="21"/>
        </w:rPr>
        <w:t>④</w:t>
      </w:r>
      <w:r>
        <w:rPr>
          <w:bCs/>
          <w:szCs w:val="21"/>
        </w:rPr>
        <w:t>认为自己合法权益受到损害或可能受到损害的相关证据材料；</w:t>
      </w:r>
    </w:p>
    <w:p>
      <w:pPr>
        <w:widowControl/>
        <w:snapToGrid w:val="0"/>
        <w:spacing w:before="120" w:line="360" w:lineRule="auto"/>
        <w:ind w:firstLine="420" w:firstLineChars="200"/>
        <w:outlineLvl w:val="1"/>
        <w:rPr>
          <w:bCs/>
          <w:szCs w:val="21"/>
        </w:rPr>
      </w:pPr>
      <w:r>
        <w:rPr>
          <w:rFonts w:hint="eastAsia" w:ascii="宋体" w:hAnsi="宋体" w:cs="宋体"/>
          <w:bCs/>
          <w:szCs w:val="21"/>
        </w:rPr>
        <w:t>⑤</w:t>
      </w:r>
      <w:r>
        <w:rPr>
          <w:bCs/>
          <w:szCs w:val="21"/>
        </w:rPr>
        <w:t>提出质疑的日期。</w:t>
      </w:r>
    </w:p>
    <w:p>
      <w:pPr>
        <w:widowControl/>
        <w:snapToGrid w:val="0"/>
        <w:spacing w:before="120" w:line="360" w:lineRule="auto"/>
        <w:ind w:firstLine="420" w:firstLineChars="200"/>
        <w:outlineLvl w:val="1"/>
        <w:rPr>
          <w:bCs/>
          <w:szCs w:val="21"/>
        </w:rPr>
      </w:pPr>
      <w:r>
        <w:rPr>
          <w:bCs/>
          <w:szCs w:val="21"/>
        </w:rPr>
        <w:t>供应商在法定质疑期内一次性提出针对同一采购程序环节的质疑。</w:t>
      </w:r>
    </w:p>
    <w:p>
      <w:pPr>
        <w:snapToGrid w:val="0"/>
        <w:spacing w:before="120" w:line="312" w:lineRule="auto"/>
        <w:ind w:right="-506" w:rightChars="-241" w:firstLine="3795" w:firstLineChars="1350"/>
        <w:rPr>
          <w:b/>
          <w:sz w:val="28"/>
        </w:rPr>
      </w:pPr>
    </w:p>
    <w:p>
      <w:pPr>
        <w:snapToGrid w:val="0"/>
        <w:spacing w:before="120" w:line="312" w:lineRule="auto"/>
        <w:ind w:right="-506" w:rightChars="-241" w:firstLine="3795" w:firstLineChars="1350"/>
        <w:rPr>
          <w:b/>
          <w:sz w:val="28"/>
        </w:rPr>
      </w:pPr>
      <w:r>
        <w:rPr>
          <w:b/>
          <w:sz w:val="28"/>
        </w:rPr>
        <w:t>二、招标文件</w:t>
      </w:r>
    </w:p>
    <w:p>
      <w:pPr>
        <w:snapToGrid w:val="0"/>
        <w:spacing w:line="360" w:lineRule="auto"/>
        <w:ind w:right="-341"/>
        <w:jc w:val="left"/>
        <w:rPr>
          <w:b/>
          <w:sz w:val="24"/>
        </w:rPr>
      </w:pPr>
      <w:r>
        <w:rPr>
          <w:b/>
          <w:sz w:val="24"/>
        </w:rPr>
        <w:t>（一）招标文件的构成。本招标文件由以下部份组成：</w:t>
      </w:r>
    </w:p>
    <w:p>
      <w:pPr>
        <w:snapToGrid w:val="0"/>
        <w:spacing w:line="360" w:lineRule="auto"/>
        <w:ind w:right="-341" w:firstLine="420" w:firstLineChars="200"/>
        <w:jc w:val="left"/>
      </w:pPr>
      <w:r>
        <w:t>1</w:t>
      </w:r>
      <w:r>
        <w:rPr>
          <w:rFonts w:hint="eastAsia"/>
        </w:rPr>
        <w:t>.</w:t>
      </w:r>
      <w:r>
        <w:t>招标公告</w:t>
      </w:r>
    </w:p>
    <w:p>
      <w:pPr>
        <w:snapToGrid w:val="0"/>
        <w:spacing w:line="360" w:lineRule="auto"/>
        <w:ind w:right="-341" w:firstLine="420" w:firstLineChars="200"/>
        <w:jc w:val="left"/>
      </w:pPr>
      <w:r>
        <w:t>2</w:t>
      </w:r>
      <w:r>
        <w:rPr>
          <w:rFonts w:hint="eastAsia"/>
        </w:rPr>
        <w:t>.</w:t>
      </w:r>
      <w:r>
        <w:t>招标需求</w:t>
      </w:r>
    </w:p>
    <w:p>
      <w:pPr>
        <w:snapToGrid w:val="0"/>
        <w:spacing w:line="360" w:lineRule="auto"/>
        <w:ind w:right="-341" w:firstLine="420" w:firstLineChars="200"/>
        <w:jc w:val="left"/>
      </w:pPr>
      <w:r>
        <w:t>3</w:t>
      </w:r>
      <w:r>
        <w:rPr>
          <w:rFonts w:hint="eastAsia"/>
        </w:rPr>
        <w:t>.</w:t>
      </w:r>
      <w:r>
        <w:t>投标人须知</w:t>
      </w:r>
    </w:p>
    <w:p>
      <w:pPr>
        <w:snapToGrid w:val="0"/>
        <w:spacing w:line="360" w:lineRule="auto"/>
        <w:ind w:right="-341" w:firstLine="420" w:firstLineChars="200"/>
        <w:jc w:val="left"/>
      </w:pPr>
      <w:r>
        <w:t>4</w:t>
      </w:r>
      <w:r>
        <w:rPr>
          <w:rFonts w:hint="eastAsia"/>
        </w:rPr>
        <w:t>.</w:t>
      </w:r>
      <w:r>
        <w:t>评标办法及标准</w:t>
      </w:r>
    </w:p>
    <w:p>
      <w:pPr>
        <w:snapToGrid w:val="0"/>
        <w:spacing w:line="360" w:lineRule="auto"/>
        <w:ind w:right="-341" w:firstLine="420" w:firstLineChars="200"/>
        <w:jc w:val="left"/>
      </w:pPr>
      <w:r>
        <w:t>5</w:t>
      </w:r>
      <w:r>
        <w:rPr>
          <w:rFonts w:hint="eastAsia"/>
        </w:rPr>
        <w:t>.</w:t>
      </w:r>
      <w:r>
        <w:t>合同主要条款</w:t>
      </w:r>
    </w:p>
    <w:p>
      <w:pPr>
        <w:snapToGrid w:val="0"/>
        <w:spacing w:line="360" w:lineRule="auto"/>
        <w:ind w:right="-341" w:firstLine="420" w:firstLineChars="200"/>
        <w:jc w:val="left"/>
      </w:pPr>
      <w:r>
        <w:t>6</w:t>
      </w:r>
      <w:r>
        <w:rPr>
          <w:rFonts w:hint="eastAsia"/>
        </w:rPr>
        <w:t>.</w:t>
      </w:r>
      <w:r>
        <w:t>投标文件格式</w:t>
      </w:r>
    </w:p>
    <w:p>
      <w:pPr>
        <w:snapToGrid w:val="0"/>
        <w:spacing w:line="360" w:lineRule="auto"/>
        <w:ind w:right="-341" w:firstLine="420" w:firstLineChars="200"/>
        <w:jc w:val="left"/>
      </w:pPr>
      <w:r>
        <w:t>7</w:t>
      </w:r>
      <w:r>
        <w:rPr>
          <w:rFonts w:hint="eastAsia"/>
        </w:rPr>
        <w:t>.</w:t>
      </w:r>
      <w:r>
        <w:t>本项目招标文件的澄清、答复、修改、补充的内容</w:t>
      </w:r>
    </w:p>
    <w:p>
      <w:pPr>
        <w:snapToGrid w:val="0"/>
        <w:spacing w:line="360" w:lineRule="auto"/>
        <w:ind w:right="-87"/>
        <w:jc w:val="left"/>
        <w:rPr>
          <w:b/>
          <w:sz w:val="24"/>
        </w:rPr>
      </w:pPr>
      <w:r>
        <w:rPr>
          <w:b/>
          <w:sz w:val="24"/>
        </w:rPr>
        <w:t>（二）投标人的风险</w:t>
      </w:r>
    </w:p>
    <w:p>
      <w:pPr>
        <w:spacing w:line="360" w:lineRule="auto"/>
        <w:ind w:right="-506" w:rightChars="-241" w:firstLine="420"/>
      </w:pPr>
      <w: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b/>
        </w:rPr>
      </w:pPr>
      <w:r>
        <w:rPr>
          <w:b/>
        </w:rPr>
        <w:t>（三）招标文件的澄清与修改</w:t>
      </w:r>
    </w:p>
    <w:p>
      <w:pPr>
        <w:widowControl/>
        <w:snapToGrid w:val="0"/>
        <w:spacing w:before="120" w:line="360" w:lineRule="auto"/>
        <w:ind w:right="-87" w:firstLine="415" w:firstLineChars="198"/>
        <w:rPr>
          <w:szCs w:val="21"/>
        </w:rPr>
      </w:pPr>
      <w:r>
        <w:rPr>
          <w:szCs w:val="21"/>
        </w:rPr>
        <w:t>1</w:t>
      </w:r>
      <w:r>
        <w:rPr>
          <w:rFonts w:hint="eastAsia"/>
          <w:szCs w:val="21"/>
        </w:rPr>
        <w:t>.</w:t>
      </w:r>
      <w:r>
        <w:rPr>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szCs w:val="21"/>
        </w:rPr>
      </w:pPr>
      <w:r>
        <w:rPr>
          <w:szCs w:val="21"/>
        </w:rPr>
        <w:t>2</w:t>
      </w:r>
      <w:r>
        <w:rPr>
          <w:rFonts w:hint="eastAsia"/>
          <w:szCs w:val="21"/>
        </w:rPr>
        <w:t>.</w:t>
      </w:r>
      <w:r>
        <w:rPr>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szCs w:val="21"/>
        </w:rPr>
      </w:pPr>
      <w:r>
        <w:rPr>
          <w:szCs w:val="21"/>
        </w:rPr>
        <w:t>3</w:t>
      </w:r>
      <w:r>
        <w:rPr>
          <w:rFonts w:hint="eastAsia"/>
          <w:szCs w:val="21"/>
        </w:rPr>
        <w:t>.</w:t>
      </w:r>
      <w:r>
        <w:rPr>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szCs w:val="21"/>
        </w:rPr>
      </w:pPr>
      <w:r>
        <w:rPr>
          <w:szCs w:val="21"/>
        </w:rPr>
        <w:t>4</w:t>
      </w:r>
      <w:r>
        <w:rPr>
          <w:rFonts w:hint="eastAsia"/>
          <w:szCs w:val="21"/>
        </w:rPr>
        <w:t>.</w:t>
      </w:r>
      <w:r>
        <w:rPr>
          <w:szCs w:val="21"/>
        </w:rPr>
        <w:t>招标文件的澄清、答复、修改或补充都应该通过本代理机构以法定形式发布。</w:t>
      </w:r>
    </w:p>
    <w:p>
      <w:pPr>
        <w:snapToGrid w:val="0"/>
        <w:spacing w:before="120" w:line="360" w:lineRule="auto"/>
        <w:ind w:right="-87" w:firstLine="2923" w:firstLineChars="1040"/>
        <w:outlineLvl w:val="1"/>
        <w:rPr>
          <w:b/>
          <w:sz w:val="28"/>
        </w:rPr>
      </w:pPr>
    </w:p>
    <w:p>
      <w:pPr>
        <w:snapToGrid w:val="0"/>
        <w:spacing w:before="120" w:line="360" w:lineRule="auto"/>
        <w:ind w:right="-87" w:firstLine="2923" w:firstLineChars="1040"/>
        <w:outlineLvl w:val="1"/>
        <w:rPr>
          <w:b/>
          <w:sz w:val="28"/>
        </w:rPr>
      </w:pPr>
      <w:r>
        <w:rPr>
          <w:b/>
          <w:sz w:val="28"/>
        </w:rPr>
        <w:t>三、投标文件的编制</w:t>
      </w:r>
    </w:p>
    <w:p>
      <w:pPr>
        <w:snapToGrid w:val="0"/>
        <w:spacing w:line="360" w:lineRule="auto"/>
        <w:ind w:right="-87" w:firstLine="354" w:firstLineChars="147"/>
        <w:jc w:val="left"/>
        <w:outlineLvl w:val="0"/>
        <w:rPr>
          <w:b/>
          <w:sz w:val="24"/>
        </w:rPr>
      </w:pPr>
    </w:p>
    <w:p>
      <w:pPr>
        <w:pStyle w:val="3"/>
        <w:spacing w:after="0" w:line="336" w:lineRule="auto"/>
        <w:ind w:firstLine="211" w:firstLineChars="100"/>
        <w:rPr>
          <w:b/>
          <w:szCs w:val="21"/>
        </w:rPr>
      </w:pPr>
      <w:r>
        <w:rPr>
          <w:b/>
          <w:szCs w:val="21"/>
        </w:rPr>
        <w:t>（一）投标文件的签署</w:t>
      </w:r>
    </w:p>
    <w:p>
      <w:pPr>
        <w:pStyle w:val="3"/>
        <w:spacing w:after="0" w:line="336" w:lineRule="auto"/>
        <w:ind w:firstLine="420"/>
        <w:rPr>
          <w:b/>
          <w:bCs/>
          <w:szCs w:val="21"/>
        </w:rPr>
      </w:pPr>
      <w:r>
        <w:rPr>
          <w:b/>
          <w:bCs/>
          <w:szCs w:val="21"/>
        </w:rPr>
        <w:t>1</w:t>
      </w:r>
      <w:r>
        <w:rPr>
          <w:rFonts w:hint="eastAsia"/>
          <w:b/>
          <w:bCs/>
          <w:szCs w:val="21"/>
        </w:rPr>
        <w:t>.</w:t>
      </w:r>
      <w:r>
        <w:rPr>
          <w:b/>
          <w:bCs/>
          <w:szCs w:val="21"/>
        </w:rPr>
        <w:t>电子投标文件部分：</w:t>
      </w:r>
    </w:p>
    <w:p>
      <w:pPr>
        <w:pStyle w:val="3"/>
        <w:spacing w:after="0" w:line="336" w:lineRule="auto"/>
        <w:ind w:firstLine="420"/>
        <w:rPr>
          <w:szCs w:val="21"/>
        </w:rPr>
      </w:pPr>
      <w:r>
        <w:rPr>
          <w:szCs w:val="21"/>
        </w:rPr>
        <w:t>投标人应根据“政采云供应商项目采购-电子交易操作指南”及本招标文件规定的格式和顺序编制电子投标文件并进行关联定位。</w:t>
      </w:r>
    </w:p>
    <w:p>
      <w:pPr>
        <w:pStyle w:val="3"/>
        <w:spacing w:after="0" w:line="336" w:lineRule="auto"/>
        <w:ind w:firstLine="420"/>
        <w:rPr>
          <w:b/>
          <w:bCs/>
          <w:szCs w:val="21"/>
        </w:rPr>
      </w:pPr>
      <w:r>
        <w:rPr>
          <w:b/>
          <w:bCs/>
          <w:szCs w:val="21"/>
        </w:rPr>
        <w:t>2</w:t>
      </w:r>
      <w:r>
        <w:rPr>
          <w:rFonts w:hint="eastAsia"/>
          <w:b/>
          <w:bCs/>
          <w:szCs w:val="21"/>
        </w:rPr>
        <w:t>.</w:t>
      </w:r>
      <w:r>
        <w:rPr>
          <w:b/>
          <w:bCs/>
          <w:szCs w:val="21"/>
        </w:rPr>
        <w:t>备份投标文件部分：</w:t>
      </w:r>
    </w:p>
    <w:p>
      <w:pPr>
        <w:pStyle w:val="111"/>
        <w:snapToGrid w:val="0"/>
        <w:spacing w:before="120" w:after="120" w:line="336" w:lineRule="auto"/>
        <w:ind w:right="-506" w:rightChars="-241" w:firstLine="420" w:firstLineChars="200"/>
        <w:rPr>
          <w:rFonts w:ascii="Times New Roman" w:hAnsi="Times New Roman" w:eastAsia="宋体"/>
          <w:sz w:val="21"/>
          <w:szCs w:val="21"/>
        </w:rPr>
      </w:pPr>
      <w:r>
        <w:rPr>
          <w:rFonts w:hint="eastAsia" w:ascii="Times New Roman" w:hAnsi="Times New Roman" w:eastAsia="宋体"/>
          <w:sz w:val="21"/>
          <w:szCs w:val="21"/>
        </w:rPr>
        <w:t>2.1</w:t>
      </w:r>
      <w:r>
        <w:rPr>
          <w:rFonts w:ascii="Times New Roman" w:hAnsi="Times New Roman" w:eastAsia="宋体"/>
          <w:sz w:val="21"/>
          <w:szCs w:val="21"/>
        </w:rPr>
        <w:t>以介质存储的数据电文形式的备份投标文件，按政采云平台项目采购-电子交易操作指南中上传的电子投标文件格式，以U盘形式存储提供。数量为1份。</w:t>
      </w:r>
    </w:p>
    <w:p>
      <w:pPr>
        <w:pStyle w:val="111"/>
        <w:snapToGrid w:val="0"/>
        <w:spacing w:before="120" w:after="120" w:line="336" w:lineRule="auto"/>
        <w:ind w:right="-506" w:rightChars="-241" w:firstLine="420" w:firstLineChars="200"/>
        <w:rPr>
          <w:rFonts w:ascii="Times New Roman" w:hAnsi="Times New Roman" w:eastAsia="宋体"/>
          <w:b/>
          <w:sz w:val="28"/>
          <w:szCs w:val="28"/>
        </w:rPr>
      </w:pPr>
      <w:r>
        <w:rPr>
          <w:rFonts w:hint="eastAsia" w:ascii="Times New Roman" w:hAnsi="Times New Roman" w:eastAsia="宋体"/>
          <w:sz w:val="21"/>
          <w:szCs w:val="21"/>
        </w:rPr>
        <w:t>2.2</w:t>
      </w:r>
      <w:r>
        <w:rPr>
          <w:rFonts w:ascii="Times New Roman" w:hAnsi="Times New Roman" w:eastAsia="宋体"/>
          <w:sz w:val="21"/>
          <w:szCs w:val="21"/>
        </w:rPr>
        <w:t>纸质备份投标文件将以纸质文件的形式递交。数量为：正本、副本各1份。</w:t>
      </w:r>
    </w:p>
    <w:p>
      <w:pPr>
        <w:tabs>
          <w:tab w:val="left" w:pos="0"/>
        </w:tabs>
        <w:spacing w:line="360" w:lineRule="auto"/>
        <w:ind w:firstLine="211" w:firstLineChars="100"/>
        <w:rPr>
          <w:b/>
          <w:szCs w:val="21"/>
        </w:rPr>
      </w:pPr>
      <w:r>
        <w:rPr>
          <w:b/>
          <w:szCs w:val="21"/>
        </w:rPr>
        <w:t>（二）投标文件的组成</w:t>
      </w:r>
    </w:p>
    <w:p>
      <w:pPr>
        <w:pStyle w:val="21"/>
        <w:numPr>
          <w:ilvl w:val="255"/>
          <w:numId w:val="0"/>
        </w:numPr>
        <w:spacing w:before="120" w:line="360" w:lineRule="auto"/>
        <w:ind w:firstLine="413" w:firstLineChars="196"/>
        <w:rPr>
          <w:sz w:val="21"/>
          <w:szCs w:val="21"/>
        </w:rPr>
      </w:pPr>
      <w:r>
        <w:rPr>
          <w:b/>
          <w:bCs/>
          <w:sz w:val="21"/>
          <w:szCs w:val="21"/>
        </w:rPr>
        <w:t>投标文件由资格响应文件、商务及技术响应文件、报价文件三部份组成。</w:t>
      </w:r>
      <w:r>
        <w:rPr>
          <w:sz w:val="21"/>
          <w:szCs w:val="21"/>
        </w:rPr>
        <w:t>电子投标文件中所须加盖公章部分均采用CA签章。（以下投标文件的部分格式详见本招标文件第六章，如本招标文件没有提供相应的格式，投标人可自行制表填写）</w:t>
      </w:r>
    </w:p>
    <w:p>
      <w:pPr>
        <w:pStyle w:val="21"/>
        <w:numPr>
          <w:ilvl w:val="255"/>
          <w:numId w:val="0"/>
        </w:numPr>
        <w:spacing w:before="120" w:line="360" w:lineRule="auto"/>
        <w:ind w:left="417"/>
        <w:rPr>
          <w:rFonts w:ascii="Times New Roman" w:hAnsi="Times New Roman"/>
          <w:b/>
          <w:sz w:val="21"/>
          <w:szCs w:val="21"/>
        </w:rPr>
      </w:pPr>
      <w:r>
        <w:rPr>
          <w:rFonts w:ascii="Times New Roman" w:hAnsi="Times New Roman"/>
          <w:b/>
          <w:sz w:val="21"/>
          <w:szCs w:val="21"/>
        </w:rPr>
        <w:t>资格响应部份：</w:t>
      </w:r>
    </w:p>
    <w:p>
      <w:pPr>
        <w:spacing w:line="360" w:lineRule="auto"/>
        <w:ind w:left="417"/>
      </w:pPr>
      <w:r>
        <w:t>1</w:t>
      </w:r>
      <w:r>
        <w:rPr>
          <w:rFonts w:hint="eastAsia"/>
        </w:rPr>
        <w:t>.</w:t>
      </w:r>
      <w:r>
        <w:t>基本资格条件：符合《中华人民共和国政府采购法》第二十二条的规定；</w:t>
      </w:r>
    </w:p>
    <w:p>
      <w:pPr>
        <w:spacing w:line="360" w:lineRule="auto"/>
        <w:ind w:firstLine="420" w:firstLineChars="200"/>
      </w:pPr>
      <w:r>
        <w:t>（以下A~E项是第二十二条要求及对应证明材料的具体内容，各投标人须在投标文件中出具对应证明材料）</w:t>
      </w:r>
    </w:p>
    <w:p>
      <w:pPr>
        <w:spacing w:line="360" w:lineRule="auto"/>
        <w:ind w:firstLine="482" w:firstLineChars="200"/>
        <w:rPr>
          <w:b/>
          <w:bCs/>
        </w:rPr>
      </w:pPr>
      <w:r>
        <w:rPr>
          <w:b/>
          <w:bCs/>
          <w:sz w:val="24"/>
        </w:rPr>
        <w:t>A.</w:t>
      </w:r>
      <w:r>
        <w:rPr>
          <w:b/>
          <w:bCs/>
        </w:rPr>
        <w:t>具有独立承担民事责任的能力：</w:t>
      </w:r>
    </w:p>
    <w:p>
      <w:pPr>
        <w:spacing w:line="360" w:lineRule="auto"/>
        <w:ind w:firstLine="420" w:firstLineChars="200"/>
        <w:rPr>
          <w:b/>
          <w:bCs/>
        </w:rPr>
      </w:pPr>
      <w:r>
        <w:t>投标人须在投标文件中出具符合以下情况的证明材料复印件</w:t>
      </w:r>
      <w:r>
        <w:rPr>
          <w:b/>
          <w:bCs/>
        </w:rPr>
        <w:t>（五选一）：</w:t>
      </w:r>
    </w:p>
    <w:p>
      <w:pPr>
        <w:spacing w:line="360" w:lineRule="auto"/>
        <w:ind w:firstLine="420" w:firstLineChars="200"/>
      </w:pPr>
      <w:r>
        <w:rPr>
          <w:rFonts w:hint="eastAsia"/>
        </w:rPr>
        <w:t>①</w:t>
      </w:r>
      <w:r>
        <w:t>如投标人是企业（包括合伙企业），提供在工商部门注册的有效“企业法人营业执照”或“营业执照”；</w:t>
      </w:r>
    </w:p>
    <w:p>
      <w:pPr>
        <w:spacing w:line="360" w:lineRule="auto"/>
        <w:ind w:firstLine="420" w:firstLineChars="200"/>
      </w:pPr>
      <w:r>
        <w:rPr>
          <w:rFonts w:hint="eastAsia"/>
        </w:rPr>
        <w:t>②</w:t>
      </w:r>
      <w:r>
        <w:t>如投标人是事业单位，提供有效的“事业单位法人证书”；</w:t>
      </w:r>
    </w:p>
    <w:p>
      <w:pPr>
        <w:spacing w:line="360" w:lineRule="auto"/>
        <w:ind w:firstLine="420" w:firstLineChars="200"/>
      </w:pPr>
      <w:r>
        <w:rPr>
          <w:rFonts w:hint="eastAsia"/>
        </w:rPr>
        <w:t>③</w:t>
      </w:r>
      <w:r>
        <w:t>如投标人是非企业专业服务机构的，提供执业许可证等证明文件等证明文件；</w:t>
      </w:r>
    </w:p>
    <w:p>
      <w:pPr>
        <w:spacing w:line="360" w:lineRule="auto"/>
        <w:ind w:firstLine="420" w:firstLineChars="200"/>
      </w:pPr>
      <w:r>
        <w:rPr>
          <w:rFonts w:hint="eastAsia"/>
        </w:rPr>
        <w:t>④</w:t>
      </w:r>
      <w:r>
        <w:t>如投标人是个体工商户，提供有效的“个体工商户营业执照”；</w:t>
      </w:r>
    </w:p>
    <w:p>
      <w:pPr>
        <w:spacing w:line="360" w:lineRule="auto"/>
        <w:ind w:firstLine="420" w:firstLineChars="200"/>
      </w:pPr>
      <w:r>
        <w:rPr>
          <w:rFonts w:hint="eastAsia"/>
        </w:rPr>
        <w:t>⑤</w:t>
      </w:r>
      <w:r>
        <w:t>如投标人是自然人，提供有效的自然人身份证明（居民身份证正反面或公安机关出具的临时居民身份证正反面或港澳台胞证或证照）。</w:t>
      </w:r>
    </w:p>
    <w:p>
      <w:pPr>
        <w:spacing w:line="360" w:lineRule="auto"/>
        <w:ind w:firstLine="422" w:firstLineChars="200"/>
        <w:rPr>
          <w:b/>
          <w:bCs/>
        </w:rPr>
      </w:pPr>
      <w:r>
        <w:rPr>
          <w:b/>
          <w:bCs/>
          <w:szCs w:val="21"/>
        </w:rPr>
        <w:t>B.</w:t>
      </w:r>
      <w:r>
        <w:rPr>
          <w:b/>
          <w:bCs/>
        </w:rPr>
        <w:t>具有良好的商业信誉和健全的财务会计制度：</w:t>
      </w:r>
    </w:p>
    <w:p>
      <w:pPr>
        <w:spacing w:line="360" w:lineRule="auto"/>
        <w:ind w:firstLine="420" w:firstLineChars="200"/>
      </w:pPr>
      <w:r>
        <w:rPr>
          <w:rFonts w:hint="eastAsia"/>
        </w:rPr>
        <w:t>①</w:t>
      </w:r>
      <w:r>
        <w:t>良好的商业信誉：</w:t>
      </w:r>
    </w:p>
    <w:p>
      <w:pPr>
        <w:spacing w:line="360" w:lineRule="auto"/>
        <w:ind w:firstLine="420" w:firstLineChars="200"/>
      </w:pPr>
      <w: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pPr>
      <w:r>
        <w:rPr>
          <w:szCs w:val="21"/>
        </w:rPr>
        <w:t>提供</w:t>
      </w:r>
      <w:r>
        <w:t>查询截图，（截图查询网站时间须在开标截止前二个星期内）</w:t>
      </w:r>
    </w:p>
    <w:p>
      <w:pPr>
        <w:spacing w:line="360" w:lineRule="auto"/>
        <w:ind w:firstLine="420" w:firstLineChars="200"/>
      </w:pPr>
      <w:r>
        <w:rPr>
          <w:szCs w:val="21"/>
        </w:rPr>
        <w:t>对</w:t>
      </w:r>
      <w:r>
        <w:t>列入失信被执行人、重大税收违法案件当事人名单、政府采购严重违法失信行为记录名单的投标人，其投标将作无效标处理。</w:t>
      </w:r>
    </w:p>
    <w:p>
      <w:pPr>
        <w:spacing w:line="360" w:lineRule="auto"/>
        <w:ind w:firstLine="420" w:firstLineChars="200"/>
      </w:pPr>
      <w:r>
        <w:rPr>
          <w:rFonts w:hint="eastAsia" w:ascii="宋体" w:hAnsi="宋体" w:cs="宋体"/>
        </w:rPr>
        <w:t>②</w:t>
      </w:r>
      <w:r>
        <w:t>健全的财务会计制度：</w:t>
      </w:r>
    </w:p>
    <w:p>
      <w:pPr>
        <w:spacing w:line="360" w:lineRule="auto"/>
        <w:ind w:firstLine="420" w:firstLineChars="200"/>
      </w:pPr>
      <w:r>
        <w:t>投标人须在投标文件中出具符合以下情况的证明材料复印件</w:t>
      </w:r>
      <w:r>
        <w:rPr>
          <w:b/>
          <w:bCs/>
        </w:rPr>
        <w:t>（三选一）</w:t>
      </w:r>
      <w:r>
        <w:t>：</w:t>
      </w:r>
    </w:p>
    <w:p>
      <w:pPr>
        <w:numPr>
          <w:ilvl w:val="0"/>
          <w:numId w:val="13"/>
        </w:numPr>
        <w:spacing w:line="360" w:lineRule="auto"/>
        <w:ind w:left="0" w:firstLine="420" w:firstLineChars="200"/>
      </w:pPr>
      <w: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13"/>
        </w:numPr>
        <w:spacing w:line="360" w:lineRule="auto"/>
        <w:ind w:left="0" w:firstLine="420" w:firstLineChars="200"/>
      </w:pPr>
      <w:r>
        <w:t>其他组织和自然人如没有经审计的财务报告的，可以提供资产负债表、利润表、现金流量表。</w:t>
      </w:r>
    </w:p>
    <w:p>
      <w:pPr>
        <w:numPr>
          <w:ilvl w:val="0"/>
          <w:numId w:val="13"/>
        </w:numPr>
        <w:spacing w:line="360" w:lineRule="auto"/>
        <w:ind w:left="0" w:firstLine="420" w:firstLineChars="200"/>
      </w:pPr>
      <w:r>
        <w:t>新成立不足一年的公司须出具情况说明。</w:t>
      </w:r>
    </w:p>
    <w:p>
      <w:pPr>
        <w:spacing w:line="360" w:lineRule="auto"/>
        <w:ind w:firstLine="413" w:firstLineChars="196"/>
        <w:rPr>
          <w:b/>
          <w:bCs/>
          <w:szCs w:val="21"/>
        </w:rPr>
      </w:pPr>
      <w:r>
        <w:rPr>
          <w:b/>
          <w:bCs/>
          <w:szCs w:val="21"/>
        </w:rPr>
        <w:t>C.具有履行合同所必需的设备和专业技术能力：</w:t>
      </w:r>
    </w:p>
    <w:p>
      <w:pPr>
        <w:pStyle w:val="94"/>
        <w:spacing w:line="360" w:lineRule="auto"/>
        <w:ind w:left="420" w:firstLine="0" w:firstLineChars="0"/>
        <w:rPr>
          <w:rFonts w:ascii="Times New Roman" w:hAnsi="Times New Roman"/>
          <w:sz w:val="21"/>
          <w:szCs w:val="21"/>
        </w:rPr>
      </w:pPr>
      <w:r>
        <w:rPr>
          <w:rFonts w:ascii="Times New Roman" w:hAnsi="Times New Roman"/>
          <w:sz w:val="21"/>
          <w:szCs w:val="21"/>
        </w:rPr>
        <w:t>投标人须在投标文件中出具具有履行合同所必需的设备和专业技术能力的《投标函》。</w:t>
      </w:r>
    </w:p>
    <w:p>
      <w:pPr>
        <w:spacing w:line="360" w:lineRule="auto"/>
        <w:ind w:firstLine="413" w:firstLineChars="196"/>
        <w:rPr>
          <w:b/>
          <w:bCs/>
          <w:szCs w:val="21"/>
        </w:rPr>
      </w:pPr>
      <w:r>
        <w:rPr>
          <w:b/>
          <w:bCs/>
          <w:szCs w:val="21"/>
        </w:rPr>
        <w:t>D.有依法缴纳税收和社会保障资金的良好记录：</w:t>
      </w:r>
      <w:r>
        <w:rPr>
          <w:rFonts w:hint="eastAsia"/>
          <w:b/>
          <w:bCs/>
          <w:szCs w:val="21"/>
        </w:rPr>
        <w:t>（如有）</w:t>
      </w:r>
    </w:p>
    <w:p>
      <w:pPr>
        <w:spacing w:line="360" w:lineRule="auto"/>
        <w:ind w:firstLine="420" w:firstLineChars="200"/>
      </w:pPr>
      <w:r>
        <w:t>1</w:t>
      </w:r>
      <w:r>
        <w:rPr>
          <w:rFonts w:hint="eastAsia"/>
        </w:rPr>
        <w:t xml:space="preserve">. </w:t>
      </w:r>
      <w:r>
        <w:t>投标人须在投标文件中同时出具满足以下要求的证明材料复印件：</w:t>
      </w:r>
    </w:p>
    <w:p>
      <w:pPr>
        <w:spacing w:line="360" w:lineRule="auto"/>
        <w:ind w:firstLine="420" w:firstLineChars="200"/>
      </w:pPr>
      <w:r>
        <w:rPr>
          <w:rFonts w:hint="eastAsia"/>
        </w:rPr>
        <w:t>①</w:t>
      </w:r>
      <w:r>
        <w:t>投标人须提供由税务部门出具的最近一季度缴纳增值税和企业所得税的纳税证明。</w:t>
      </w:r>
    </w:p>
    <w:p>
      <w:pPr>
        <w:spacing w:line="360" w:lineRule="auto"/>
        <w:ind w:firstLine="420" w:firstLineChars="200"/>
      </w:pPr>
      <w:r>
        <w:rPr>
          <w:rFonts w:hint="eastAsia" w:ascii="宋体" w:hAnsi="宋体" w:cs="宋体"/>
        </w:rPr>
        <w:t>②</w:t>
      </w:r>
      <w:r>
        <w:t>投标人须提供最近三个月内缴纳社会保险的凭据（缴税付款凭证或社会保险缴纳证明）</w:t>
      </w:r>
    </w:p>
    <w:p>
      <w:pPr>
        <w:spacing w:line="360" w:lineRule="auto"/>
        <w:ind w:firstLine="420" w:firstLineChars="200"/>
      </w:pPr>
      <w:r>
        <w:t>依法免税或不需要缴纳社会保障资金的投标人，应提供相应文件证明其依法免税或不需要缴纳社会保障资金。</w:t>
      </w:r>
    </w:p>
    <w:p>
      <w:pPr>
        <w:spacing w:line="360" w:lineRule="auto"/>
        <w:ind w:firstLine="422" w:firstLineChars="200"/>
        <w:rPr>
          <w:b/>
          <w:bCs/>
        </w:rPr>
      </w:pPr>
      <w:r>
        <w:rPr>
          <w:b/>
          <w:bCs/>
        </w:rPr>
        <w:t>E.参加政府采购活动前三年内，在经营活动中没有重大违法记录：</w:t>
      </w:r>
    </w:p>
    <w:p>
      <w:pPr>
        <w:spacing w:line="360" w:lineRule="auto"/>
        <w:ind w:firstLine="420" w:firstLineChars="200"/>
      </w:pPr>
      <w:r>
        <w:t>投标人须在投标文件中出具《声明函》、廉政承诺书。（格式见附件）</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注：证明材料均需加盖签章。</w:t>
      </w:r>
    </w:p>
    <w:p>
      <w:pPr>
        <w:tabs>
          <w:tab w:val="left" w:pos="3870"/>
          <w:tab w:val="left" w:pos="4085"/>
        </w:tabs>
        <w:snapToGrid w:val="0"/>
        <w:spacing w:line="336" w:lineRule="auto"/>
        <w:ind w:firstLine="420" w:firstLineChars="200"/>
        <w:jc w:val="left"/>
        <w:rPr>
          <w:szCs w:val="21"/>
        </w:rPr>
      </w:pPr>
      <w:r>
        <w:rPr>
          <w:szCs w:val="21"/>
        </w:rPr>
        <w:t>中小企业申明函（如是）；</w:t>
      </w:r>
    </w:p>
    <w:p>
      <w:pPr>
        <w:tabs>
          <w:tab w:val="left" w:pos="3870"/>
          <w:tab w:val="left" w:pos="4085"/>
        </w:tabs>
        <w:snapToGrid w:val="0"/>
        <w:spacing w:line="336" w:lineRule="auto"/>
        <w:ind w:firstLine="420" w:firstLineChars="200"/>
        <w:jc w:val="left"/>
        <w:rPr>
          <w:szCs w:val="21"/>
        </w:rPr>
      </w:pPr>
      <w:r>
        <w:rPr>
          <w:szCs w:val="21"/>
        </w:rPr>
        <w:t>监狱企业声明函（如是）；</w:t>
      </w:r>
    </w:p>
    <w:p>
      <w:pPr>
        <w:tabs>
          <w:tab w:val="left" w:pos="3870"/>
          <w:tab w:val="left" w:pos="4085"/>
        </w:tabs>
        <w:snapToGrid w:val="0"/>
        <w:spacing w:line="336" w:lineRule="auto"/>
        <w:ind w:firstLine="420" w:firstLineChars="200"/>
        <w:jc w:val="left"/>
        <w:rPr>
          <w:szCs w:val="21"/>
        </w:rPr>
      </w:pPr>
      <w:r>
        <w:rPr>
          <w:szCs w:val="21"/>
        </w:rPr>
        <w:t>残疾人福利性单位声明函（如是）；</w:t>
      </w:r>
    </w:p>
    <w:p>
      <w:pPr>
        <w:pStyle w:val="111"/>
        <w:snapToGrid w:val="0"/>
        <w:spacing w:before="120" w:after="120" w:line="336" w:lineRule="auto"/>
        <w:ind w:left="417" w:right="-506" w:rightChars="-241"/>
        <w:rPr>
          <w:rFonts w:asciiTheme="minorEastAsia" w:hAnsiTheme="minorEastAsia" w:eastAsiaTheme="minorEastAsia"/>
          <w:b/>
          <w:sz w:val="21"/>
          <w:szCs w:val="21"/>
        </w:rPr>
      </w:pPr>
      <w:r>
        <w:rPr>
          <w:rFonts w:asciiTheme="minorEastAsia" w:hAnsiTheme="minorEastAsia" w:eastAsiaTheme="minorEastAsia"/>
          <w:b/>
          <w:sz w:val="21"/>
          <w:szCs w:val="21"/>
        </w:rPr>
        <w:t>2</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商务及技术部分：</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2.1投标人基本情况表（如有）；</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2</w:t>
      </w:r>
      <w:r>
        <w:rPr>
          <w:rFonts w:asciiTheme="minorEastAsia" w:hAnsiTheme="minorEastAsia" w:eastAsiaTheme="minorEastAsia"/>
          <w:szCs w:val="21"/>
        </w:rPr>
        <w:t>成功案例及业绩；</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 xml:space="preserve">3 </w:t>
      </w:r>
      <w:r>
        <w:rPr>
          <w:rFonts w:asciiTheme="minorEastAsia" w:hAnsiTheme="minorEastAsia" w:eastAsiaTheme="minorEastAsia"/>
          <w:szCs w:val="21"/>
        </w:rPr>
        <w:t>项目负责人简历表（须附相关证明材料）；项目实施人员一览表（须附职称证书复印件）；</w:t>
      </w:r>
      <w:r>
        <w:rPr>
          <w:rFonts w:hint="eastAsia" w:asciiTheme="minorEastAsia" w:hAnsiTheme="minorEastAsia" w:eastAsiaTheme="minorEastAsia"/>
          <w:szCs w:val="21"/>
        </w:rPr>
        <w:t>（如有）</w:t>
      </w:r>
    </w:p>
    <w:p>
      <w:pPr>
        <w:snapToGrid w:val="0"/>
        <w:spacing w:line="360" w:lineRule="auto"/>
        <w:ind w:firstLine="411" w:firstLineChars="196"/>
        <w:jc w:val="left"/>
        <w:rPr>
          <w:rFonts w:asciiTheme="minorEastAsia" w:hAnsiTheme="minorEastAsia" w:eastAsiaTheme="minorEastAsia"/>
          <w:szCs w:val="21"/>
        </w:rPr>
      </w:pPr>
      <w:r>
        <w:rPr>
          <w:rFonts w:asciiTheme="minorEastAsia" w:hAnsiTheme="minorEastAsia" w:eastAsiaTheme="minorEastAsia"/>
          <w:szCs w:val="21"/>
        </w:rPr>
        <w:t>2.4商务偏离表；</w:t>
      </w:r>
    </w:p>
    <w:p>
      <w:pPr>
        <w:snapToGrid w:val="0"/>
        <w:spacing w:line="360" w:lineRule="auto"/>
        <w:ind w:firstLine="411" w:firstLineChars="196"/>
        <w:jc w:val="left"/>
        <w:rPr>
          <w:rFonts w:ascii="宋体"/>
        </w:rPr>
      </w:pPr>
      <w:r>
        <w:rPr>
          <w:rFonts w:hint="eastAsia" w:ascii="宋体" w:hAnsi="宋体"/>
        </w:rPr>
        <w:t>2.5对本项目系统总体要求的理解；</w:t>
      </w:r>
    </w:p>
    <w:p>
      <w:pPr>
        <w:snapToGrid w:val="0"/>
        <w:spacing w:line="360" w:lineRule="auto"/>
        <w:ind w:firstLine="411" w:firstLineChars="196"/>
        <w:jc w:val="left"/>
        <w:rPr>
          <w:rFonts w:ascii="宋体" w:hAnsi="宋体"/>
        </w:rPr>
      </w:pPr>
      <w:r>
        <w:rPr>
          <w:rFonts w:hint="eastAsia" w:ascii="宋体" w:hAnsi="宋体"/>
        </w:rPr>
        <w:t>2.6项目总体架构及技术解决方案（包括</w:t>
      </w:r>
      <w:r>
        <w:rPr>
          <w:rFonts w:hint="eastAsia" w:ascii="宋体" w:hAnsi="宋体" w:cs="宋体"/>
          <w:szCs w:val="21"/>
        </w:rPr>
        <w:t>功能说明、性能指标及设备选型说明</w:t>
      </w:r>
      <w:r>
        <w:rPr>
          <w:rFonts w:hint="eastAsia" w:ascii="宋体" w:hAnsi="宋体"/>
        </w:rPr>
        <w:t>，安装调试、系统集成、试运行、测试、调优、应用开发培训、管理培训、维护服务项目等内容。本项目详细工作实施组织方案，包括</w:t>
      </w:r>
      <w:r>
        <w:rPr>
          <w:rFonts w:ascii="宋体" w:hAnsi="宋体"/>
        </w:rPr>
        <w:t>(</w:t>
      </w:r>
      <w:r>
        <w:rPr>
          <w:rFonts w:hint="eastAsia" w:ascii="宋体" w:hAnsi="宋体"/>
        </w:rPr>
        <w:t>但不限于</w:t>
      </w:r>
      <w:r>
        <w:rPr>
          <w:rFonts w:ascii="宋体" w:hAnsi="宋体"/>
        </w:rPr>
        <w:t>)</w:t>
      </w:r>
      <w:r>
        <w:rPr>
          <w:rFonts w:hint="eastAsia" w:ascii="宋体" w:hAnsi="宋体"/>
        </w:rPr>
        <w:t>以下内容：组织机构、工作时间进度表、工作程序和步骤、管理和协调方法、关键步骤的思路和要点。）</w:t>
      </w:r>
    </w:p>
    <w:p>
      <w:pPr>
        <w:snapToGrid w:val="0"/>
        <w:spacing w:line="360" w:lineRule="auto"/>
        <w:ind w:firstLine="411" w:firstLineChars="196"/>
        <w:jc w:val="left"/>
        <w:rPr>
          <w:rFonts w:ascii="宋体"/>
        </w:rPr>
      </w:pPr>
      <w:r>
        <w:rPr>
          <w:rFonts w:hint="eastAsia" w:ascii="宋体"/>
        </w:rPr>
        <w:t>2.7产品出厂标准、质量检测报告</w:t>
      </w:r>
    </w:p>
    <w:p>
      <w:pPr>
        <w:snapToGrid w:val="0"/>
        <w:spacing w:line="360" w:lineRule="auto"/>
        <w:ind w:firstLine="411" w:firstLineChars="196"/>
        <w:jc w:val="left"/>
        <w:rPr>
          <w:rFonts w:ascii="宋体"/>
        </w:rPr>
      </w:pPr>
      <w:r>
        <w:rPr>
          <w:rFonts w:hint="eastAsia" w:ascii="宋体"/>
        </w:rPr>
        <w:t>2.8设备配置清单（包括型号、品牌、数量）</w:t>
      </w:r>
    </w:p>
    <w:p>
      <w:pPr>
        <w:snapToGrid w:val="0"/>
        <w:spacing w:line="360" w:lineRule="auto"/>
        <w:ind w:firstLine="411" w:firstLineChars="196"/>
        <w:jc w:val="left"/>
        <w:rPr>
          <w:rFonts w:ascii="宋体"/>
        </w:rPr>
      </w:pPr>
      <w:r>
        <w:rPr>
          <w:rFonts w:hint="eastAsia" w:ascii="宋体" w:hAnsi="宋体"/>
        </w:rPr>
        <w:t>2.9保证项目质量的技术力量及技术措施；</w:t>
      </w:r>
    </w:p>
    <w:p>
      <w:pPr>
        <w:snapToGrid w:val="0"/>
        <w:spacing w:line="360" w:lineRule="auto"/>
        <w:ind w:firstLine="411" w:firstLineChars="196"/>
        <w:jc w:val="left"/>
        <w:rPr>
          <w:rFonts w:ascii="宋体"/>
        </w:rPr>
      </w:pPr>
      <w:r>
        <w:rPr>
          <w:rFonts w:hint="eastAsia" w:ascii="宋体" w:hAnsi="宋体"/>
        </w:rPr>
        <w:t>2.10保证项目的组织方案及人力资源安排；</w:t>
      </w:r>
    </w:p>
    <w:p>
      <w:pPr>
        <w:snapToGrid w:val="0"/>
        <w:spacing w:line="360" w:lineRule="auto"/>
        <w:ind w:firstLine="411" w:firstLineChars="196"/>
        <w:jc w:val="left"/>
        <w:rPr>
          <w:rFonts w:ascii="宋体" w:hAnsi="宋体"/>
        </w:rPr>
      </w:pPr>
      <w:r>
        <w:rPr>
          <w:rFonts w:hint="eastAsia" w:ascii="宋体" w:hAnsi="宋体"/>
        </w:rPr>
        <w:t>2.11技术服务、技术培训、售后服务的内容和措施；</w:t>
      </w:r>
    </w:p>
    <w:p>
      <w:pPr>
        <w:snapToGrid w:val="0"/>
        <w:spacing w:line="360" w:lineRule="auto"/>
        <w:ind w:firstLine="411" w:firstLineChars="196"/>
        <w:jc w:val="left"/>
        <w:rPr>
          <w:rFonts w:ascii="宋体"/>
        </w:rPr>
      </w:pPr>
      <w:r>
        <w:rPr>
          <w:rFonts w:hint="eastAsia" w:ascii="宋体"/>
        </w:rPr>
        <w:t>2.12技术响应表  （本次投标产品的技术参数是否与官网上公开的技术参数一致，如不一致，要求明确哪些参数不一致，不一致的原因以及使用何种技术可以达到投标产品参数。）</w:t>
      </w:r>
    </w:p>
    <w:p>
      <w:pPr>
        <w:snapToGrid w:val="0"/>
        <w:spacing w:line="360" w:lineRule="auto"/>
        <w:ind w:firstLine="411" w:firstLineChars="196"/>
        <w:jc w:val="left"/>
        <w:rPr>
          <w:rFonts w:ascii="宋体"/>
        </w:rPr>
      </w:pPr>
      <w:r>
        <w:rPr>
          <w:rFonts w:hint="eastAsia" w:ascii="宋体" w:hAnsi="宋体"/>
        </w:rPr>
        <w:t>2.13优惠条件：投标人承诺给予招标人的各种优惠条件</w:t>
      </w:r>
    </w:p>
    <w:p>
      <w:pPr>
        <w:snapToGrid w:val="0"/>
        <w:spacing w:line="360" w:lineRule="auto"/>
        <w:ind w:firstLine="411" w:firstLineChars="196"/>
        <w:jc w:val="left"/>
        <w:rPr>
          <w:rFonts w:ascii="宋体"/>
        </w:rPr>
      </w:pPr>
      <w:r>
        <w:rPr>
          <w:rFonts w:hint="eastAsia" w:ascii="宋体" w:hAnsi="宋体"/>
        </w:rPr>
        <w:t>2.14投标人对本项目的合理化建议和改进措施；</w:t>
      </w:r>
    </w:p>
    <w:p>
      <w:pPr>
        <w:tabs>
          <w:tab w:val="left" w:pos="2087"/>
        </w:tabs>
        <w:snapToGrid w:val="0"/>
        <w:spacing w:line="360" w:lineRule="auto"/>
        <w:ind w:firstLine="413" w:firstLineChars="196"/>
        <w:jc w:val="lef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w:t>
      </w:r>
      <w:r>
        <w:rPr>
          <w:rFonts w:asciiTheme="minorEastAsia" w:hAnsiTheme="minorEastAsia" w:eastAsiaTheme="minorEastAsia"/>
          <w:b/>
          <w:szCs w:val="21"/>
        </w:rPr>
        <w:t>报价部分：</w:t>
      </w:r>
      <w:r>
        <w:rPr>
          <w:rFonts w:asciiTheme="minorEastAsia" w:hAnsiTheme="minorEastAsia" w:eastAsiaTheme="minorEastAsia"/>
          <w:b/>
          <w:szCs w:val="21"/>
        </w:rPr>
        <w:tab/>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3.1投标报价一览表；</w:t>
      </w:r>
    </w:p>
    <w:p>
      <w:pPr>
        <w:tabs>
          <w:tab w:val="left" w:pos="3870"/>
          <w:tab w:val="left" w:pos="4085"/>
        </w:tabs>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3.2报价明细表；</w:t>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3.3投标人针对报价需要说明的其他文件和说明。</w:t>
      </w:r>
    </w:p>
    <w:p>
      <w:pPr>
        <w:snapToGrid w:val="0"/>
        <w:spacing w:line="360" w:lineRule="auto"/>
        <w:ind w:right="55"/>
        <w:jc w:val="left"/>
        <w:outlineLvl w:val="0"/>
        <w:rPr>
          <w:b/>
          <w:sz w:val="24"/>
        </w:rPr>
      </w:pPr>
      <w:r>
        <w:rPr>
          <w:b/>
          <w:szCs w:val="21"/>
        </w:rPr>
        <w:t>（二）投标文件的语言及计量</w:t>
      </w:r>
    </w:p>
    <w:p>
      <w:pPr>
        <w:snapToGrid w:val="0"/>
        <w:spacing w:line="360" w:lineRule="auto"/>
        <w:jc w:val="left"/>
        <w:rPr>
          <w:szCs w:val="21"/>
        </w:rPr>
      </w:pPr>
      <w:r>
        <w:rPr>
          <w:rFonts w:hint="eastAsia"/>
          <w:szCs w:val="21"/>
        </w:rPr>
        <w:t xml:space="preserve">    1.</w:t>
      </w:r>
      <w:r>
        <w:rPr>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szCs w:val="21"/>
        </w:rPr>
      </w:pPr>
      <w:r>
        <w:rPr>
          <w:szCs w:val="21"/>
        </w:rPr>
        <w:t>2</w:t>
      </w:r>
      <w:r>
        <w:rPr>
          <w:rFonts w:hint="eastAsia"/>
          <w:szCs w:val="21"/>
        </w:rPr>
        <w:t>.</w:t>
      </w:r>
      <w:r>
        <w:rPr>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b/>
          <w:szCs w:val="21"/>
        </w:rPr>
      </w:pPr>
      <w:r>
        <w:rPr>
          <w:b/>
          <w:szCs w:val="21"/>
        </w:rPr>
        <w:t>（三）响应报价</w:t>
      </w:r>
    </w:p>
    <w:p>
      <w:pPr>
        <w:pStyle w:val="10"/>
        <w:tabs>
          <w:tab w:val="clear" w:pos="360"/>
        </w:tabs>
        <w:snapToGrid w:val="0"/>
        <w:spacing w:line="360" w:lineRule="auto"/>
        <w:ind w:left="0" w:firstLine="422" w:firstLineChars="200"/>
        <w:rPr>
          <w:b/>
          <w:bCs/>
          <w:szCs w:val="21"/>
        </w:rPr>
      </w:pPr>
      <w:r>
        <w:rPr>
          <w:b/>
          <w:bCs/>
          <w:szCs w:val="21"/>
        </w:rPr>
        <w:t>1</w:t>
      </w:r>
      <w:r>
        <w:rPr>
          <w:rFonts w:hint="eastAsia"/>
          <w:b/>
          <w:bCs/>
          <w:szCs w:val="21"/>
        </w:rPr>
        <w:t>.</w:t>
      </w:r>
      <w:r>
        <w:rPr>
          <w:b/>
          <w:bCs/>
          <w:szCs w:val="21"/>
        </w:rPr>
        <w:t>投标报价应以人民币报价，投标人报价应是包括为完成本项目服务、设备供应可能发生的全部费用及中标人的利润和应交纳的税金等一切费用。</w:t>
      </w:r>
    </w:p>
    <w:p>
      <w:pPr>
        <w:spacing w:line="360" w:lineRule="auto"/>
        <w:ind w:firstLine="420"/>
      </w:pPr>
      <w:r>
        <w:rPr>
          <w:b/>
          <w:bCs/>
          <w:szCs w:val="21"/>
        </w:rPr>
        <w:t>2</w:t>
      </w:r>
      <w:r>
        <w:rPr>
          <w:rFonts w:hint="eastAsia"/>
          <w:b/>
          <w:bCs/>
          <w:szCs w:val="21"/>
        </w:rPr>
        <w:t>.</w:t>
      </w:r>
      <w:r>
        <w:rPr>
          <w:b/>
          <w:bCs/>
          <w:szCs w:val="21"/>
        </w:rPr>
        <w:t>投标文件针对同一内容只允许有一个报价，有选择的或有条件的报价将不予接受。</w:t>
      </w:r>
    </w:p>
    <w:p>
      <w:pPr>
        <w:snapToGrid w:val="0"/>
        <w:spacing w:line="360" w:lineRule="auto"/>
        <w:jc w:val="left"/>
        <w:outlineLvl w:val="0"/>
        <w:rPr>
          <w:b/>
          <w:szCs w:val="21"/>
        </w:rPr>
      </w:pPr>
      <w:r>
        <w:rPr>
          <w:b/>
          <w:szCs w:val="21"/>
        </w:rPr>
        <w:t>（四）投标文件的有效期</w:t>
      </w:r>
    </w:p>
    <w:p>
      <w:pPr>
        <w:pStyle w:val="10"/>
        <w:tabs>
          <w:tab w:val="left" w:pos="454"/>
          <w:tab w:val="left" w:pos="720"/>
          <w:tab w:val="left" w:pos="900"/>
        </w:tabs>
        <w:snapToGrid w:val="0"/>
        <w:spacing w:line="360" w:lineRule="auto"/>
        <w:ind w:left="0" w:right="-506" w:rightChars="-241" w:firstLine="420" w:firstLineChars="200"/>
      </w:pPr>
      <w:r>
        <w:t>1</w:t>
      </w:r>
      <w:r>
        <w:rPr>
          <w:rFonts w:hint="eastAsia"/>
        </w:rPr>
        <w:t>.</w:t>
      </w:r>
      <w:r>
        <w:t>自投标截止日起</w:t>
      </w:r>
      <w:r>
        <w:rPr>
          <w:b/>
          <w:u w:val="single"/>
        </w:rPr>
        <w:t xml:space="preserve">90 </w:t>
      </w:r>
      <w:r>
        <w:rPr>
          <w:b/>
        </w:rPr>
        <w:t>天</w:t>
      </w:r>
      <w:r>
        <w:t>投标文件应保持有效。有效期不足的投标文件将被拒绝。</w:t>
      </w:r>
    </w:p>
    <w:p>
      <w:pPr>
        <w:snapToGrid w:val="0"/>
        <w:spacing w:line="360" w:lineRule="auto"/>
        <w:ind w:right="-86" w:rightChars="-41" w:firstLine="420" w:firstLineChars="200"/>
        <w:jc w:val="left"/>
        <w:outlineLvl w:val="0"/>
      </w:pPr>
      <w:r>
        <w:t>2</w:t>
      </w:r>
      <w:r>
        <w:rPr>
          <w:rFonts w:hint="eastAsia"/>
        </w:rPr>
        <w:t>.</w:t>
      </w:r>
      <w:r>
        <w:t>在特殊情况下，采购人可与投标人协商延长投标书的有效期，这种要求和答复均以书面形式进行。</w:t>
      </w:r>
    </w:p>
    <w:p>
      <w:pPr>
        <w:snapToGrid w:val="0"/>
        <w:spacing w:line="360" w:lineRule="auto"/>
        <w:ind w:right="55" w:firstLine="420" w:firstLineChars="200"/>
        <w:jc w:val="left"/>
        <w:outlineLvl w:val="0"/>
      </w:pPr>
      <w:r>
        <w:t>3</w:t>
      </w:r>
      <w:r>
        <w:rPr>
          <w:rFonts w:hint="eastAsia"/>
        </w:rPr>
        <w:t>.</w:t>
      </w:r>
      <w:r>
        <w:t>中标人的投标文件自开标之日起至合同履行完毕止均应保持有效。</w:t>
      </w:r>
    </w:p>
    <w:p>
      <w:pPr>
        <w:snapToGrid w:val="0"/>
        <w:spacing w:line="360" w:lineRule="auto"/>
        <w:jc w:val="left"/>
        <w:rPr>
          <w:b/>
          <w:szCs w:val="21"/>
        </w:rPr>
      </w:pPr>
      <w:r>
        <w:rPr>
          <w:b/>
          <w:szCs w:val="21"/>
        </w:rPr>
        <w:t>（五）投标文件的包装、递交、修改和撤回</w:t>
      </w:r>
    </w:p>
    <w:p>
      <w:pPr>
        <w:snapToGrid w:val="0"/>
        <w:spacing w:line="360" w:lineRule="auto"/>
        <w:ind w:right="-86" w:rightChars="-41" w:firstLine="420" w:firstLineChars="200"/>
        <w:jc w:val="left"/>
      </w:pPr>
      <w:r>
        <w:t>1</w:t>
      </w:r>
      <w:r>
        <w:rPr>
          <w:rFonts w:hint="eastAsia"/>
        </w:rPr>
        <w:t>.</w:t>
      </w:r>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pPr>
      <w:r>
        <w:t>2</w:t>
      </w:r>
      <w:r>
        <w:rPr>
          <w:rFonts w:hint="eastAsia"/>
        </w:rPr>
        <w:t>.</w:t>
      </w:r>
      <w:r>
        <w:t>投标人应当在投标截止时间前将以介质存储的数据电文形式的备份投标文件和纸质备份投标文件</w:t>
      </w:r>
      <w:r>
        <w:rPr>
          <w:szCs w:val="21"/>
        </w:rPr>
        <w:t>寄到或送达采购代理公司。地址：舟山市定海区昌国路232号中楼202  深圳市国信招标有限公司舟山分公司。也可现场递交。</w:t>
      </w:r>
      <w:r>
        <w:t>逾期送达或未密封将被拒收。</w:t>
      </w:r>
    </w:p>
    <w:p>
      <w:pPr>
        <w:snapToGrid w:val="0"/>
        <w:spacing w:line="360" w:lineRule="auto"/>
        <w:ind w:right="-86" w:rightChars="-41" w:firstLine="422" w:firstLineChars="200"/>
        <w:jc w:val="left"/>
      </w:pPr>
      <w:r>
        <w:rPr>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pPr>
      <w: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pPr>
      <w:r>
        <w:t>（1）未按规定密封或标记的投标文件；</w:t>
      </w:r>
    </w:p>
    <w:p>
      <w:pPr>
        <w:snapToGrid w:val="0"/>
        <w:spacing w:line="360" w:lineRule="auto"/>
        <w:ind w:right="-86" w:rightChars="-41" w:firstLine="420" w:firstLineChars="200"/>
        <w:jc w:val="left"/>
      </w:pPr>
      <w:r>
        <w:t>（2）由于包装不妥，在送交途中严重破损或失散的；</w:t>
      </w:r>
    </w:p>
    <w:p>
      <w:pPr>
        <w:snapToGrid w:val="0"/>
        <w:spacing w:line="360" w:lineRule="auto"/>
        <w:ind w:right="-86" w:rightChars="-41" w:firstLine="420" w:firstLineChars="200"/>
        <w:jc w:val="left"/>
      </w:pPr>
      <w:r>
        <w:t>（3）未成功办理投标人报名手续的；</w:t>
      </w:r>
    </w:p>
    <w:p>
      <w:pPr>
        <w:snapToGrid w:val="0"/>
        <w:spacing w:line="360" w:lineRule="auto"/>
        <w:ind w:right="-86" w:rightChars="-41" w:firstLine="420" w:firstLineChars="200"/>
        <w:jc w:val="left"/>
      </w:pPr>
      <w:r>
        <w:t>（4）超过投标截止时间送达的；</w:t>
      </w:r>
    </w:p>
    <w:p>
      <w:pPr>
        <w:snapToGrid w:val="0"/>
        <w:spacing w:line="360" w:lineRule="auto"/>
        <w:ind w:right="-86" w:rightChars="-41" w:firstLine="420" w:firstLineChars="200"/>
        <w:jc w:val="left"/>
      </w:pPr>
      <w:r>
        <w:t>仅提供备份投标文件的，投标无效。</w:t>
      </w:r>
    </w:p>
    <w:p>
      <w:pPr>
        <w:snapToGrid w:val="0"/>
        <w:spacing w:line="360" w:lineRule="auto"/>
        <w:ind w:right="-86" w:rightChars="-41" w:firstLine="420" w:firstLineChars="200"/>
        <w:jc w:val="left"/>
      </w:pPr>
      <w: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pPr>
      <w:r>
        <w:t>3</w:t>
      </w:r>
      <w:r>
        <w:rPr>
          <w:rFonts w:hint="eastAsia"/>
        </w:rPr>
        <w:t>.</w:t>
      </w:r>
      <w: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pPr>
      <w:r>
        <w:t>4</w:t>
      </w:r>
      <w:r>
        <w:rPr>
          <w:rFonts w:hint="eastAsia"/>
        </w:rPr>
        <w:t>.</w:t>
      </w:r>
      <w:r>
        <w:t>备份投标文件须密封封装。包装封面上应注明投标人名称，封口处加盖投标人公章。</w:t>
      </w:r>
    </w:p>
    <w:p>
      <w:pPr>
        <w:spacing w:line="360" w:lineRule="auto"/>
      </w:pPr>
      <w:r>
        <w:rPr>
          <w:b/>
          <w:szCs w:val="21"/>
        </w:rPr>
        <w:t>（六）投标无效的情形</w:t>
      </w:r>
    </w:p>
    <w:p>
      <w:pPr>
        <w:pStyle w:val="111"/>
        <w:snapToGrid w:val="0"/>
        <w:spacing w:before="120" w:after="120" w:line="360" w:lineRule="auto"/>
        <w:ind w:right="-86" w:rightChars="-41" w:firstLine="415" w:firstLineChars="198"/>
        <w:rPr>
          <w:rFonts w:ascii="Times New Roman" w:hAnsi="Times New Roman" w:eastAsia="宋体"/>
          <w:sz w:val="21"/>
          <w:szCs w:val="21"/>
        </w:rPr>
      </w:pPr>
      <w:r>
        <w:rPr>
          <w:rFonts w:ascii="Times New Roman" w:hAnsi="Times New Roman"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11"/>
        <w:snapToGrid w:val="0"/>
        <w:spacing w:before="120" w:after="120" w:line="360" w:lineRule="auto"/>
        <w:ind w:firstLine="417" w:firstLineChars="198"/>
        <w:rPr>
          <w:rFonts w:ascii="Times New Roman" w:hAnsi="Times New Roman" w:eastAsia="宋体"/>
          <w:sz w:val="21"/>
          <w:szCs w:val="21"/>
        </w:rPr>
      </w:pPr>
      <w:r>
        <w:rPr>
          <w:rFonts w:ascii="Times New Roman" w:hAnsi="Times New Roman" w:eastAsia="宋体"/>
          <w:b/>
          <w:bCs/>
          <w:sz w:val="21"/>
          <w:szCs w:val="21"/>
        </w:rPr>
        <w:t>1</w:t>
      </w:r>
      <w:r>
        <w:rPr>
          <w:rFonts w:hint="eastAsia" w:ascii="Times New Roman" w:hAnsi="Times New Roman" w:eastAsia="宋体"/>
          <w:b/>
          <w:bCs/>
          <w:sz w:val="21"/>
          <w:szCs w:val="21"/>
        </w:rPr>
        <w:t>.</w:t>
      </w:r>
      <w:r>
        <w:rPr>
          <w:rFonts w:ascii="Times New Roman" w:hAnsi="Times New Roman" w:eastAsia="宋体"/>
          <w:b/>
          <w:bCs/>
          <w:sz w:val="21"/>
          <w:szCs w:val="21"/>
        </w:rPr>
        <w:t>在符合性审查和商务评审时，如发现下列情形之一的，投标文件将被视为无效投标：</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w:t>
      </w:r>
      <w:r>
        <w:rPr>
          <w:rFonts w:ascii="Times New Roman" w:hAnsi="Times New Roman" w:eastAsia="宋体"/>
          <w:sz w:val="21"/>
          <w:szCs w:val="21"/>
        </w:rPr>
        <w:t>资格证明文件不全的，或者不符合采购文件标明的资格要求的</w:t>
      </w:r>
      <w:r>
        <w:rPr>
          <w:rFonts w:ascii="Times New Roman" w:hAnsi="Times New Roman" w:eastAsia="宋体"/>
          <w:bCs/>
          <w:sz w:val="21"/>
          <w:szCs w:val="21"/>
        </w:rPr>
        <w:t>；</w:t>
      </w:r>
    </w:p>
    <w:p>
      <w:pPr>
        <w:pStyle w:val="21"/>
        <w:snapToGrid w:val="0"/>
        <w:spacing w:before="120" w:line="360" w:lineRule="auto"/>
        <w:ind w:firstLine="415" w:firstLineChars="198"/>
        <w:rPr>
          <w:rFonts w:ascii="Times New Roman" w:hAnsi="Times New Roman"/>
          <w:bCs/>
          <w:sz w:val="21"/>
          <w:szCs w:val="21"/>
        </w:rPr>
      </w:pPr>
      <w:r>
        <w:rPr>
          <w:rFonts w:ascii="Times New Roman" w:hAnsi="Times New Roman"/>
          <w:bCs/>
          <w:sz w:val="21"/>
          <w:szCs w:val="21"/>
        </w:rPr>
        <w:t>1.</w:t>
      </w:r>
      <w:r>
        <w:rPr>
          <w:rFonts w:ascii="Times New Roman" w:hAnsi="Times New Roman"/>
          <w:sz w:val="21"/>
          <w:szCs w:val="21"/>
        </w:rPr>
        <w:t>2投标文件组成不全的；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1.3投标文件的实质性内容未使用中文表述、意思表述不明确、前后矛盾或者使用计量单位不符合采购文件要求的；（</w:t>
      </w:r>
      <w:r>
        <w:rPr>
          <w:rFonts w:ascii="Times New Roman" w:hAnsi="Times New Roman" w:eastAsia="宋体"/>
          <w:sz w:val="21"/>
          <w:szCs w:val="21"/>
        </w:rPr>
        <w:t>经评审小组认定允许其在线更正的笔误除外</w:t>
      </w:r>
      <w:r>
        <w:rPr>
          <w:rFonts w:ascii="Times New Roman" w:hAnsi="Times New Roman" w:eastAsia="宋体"/>
          <w:bCs/>
          <w:sz w:val="21"/>
          <w:szCs w:val="21"/>
        </w:rPr>
        <w:t>）</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1.4投标文件的关键内容字迹模糊、无法辨认的，或者投标文件中经修正的内容字迹模糊难以辩认或者修改处未按规定签名盖章的；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1.5投标有效期、交货时间、质保期等商务条款不能满足采购文件要求的；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1.6未响应采购文件实质性要求或者投标文件有采购人不能接受的附加条件的；</w:t>
      </w:r>
    </w:p>
    <w:p>
      <w:pPr>
        <w:pStyle w:val="111"/>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1.7投标文件没有按采购文件要求响应有标“</w:t>
      </w:r>
      <w:r>
        <w:rPr>
          <w:rFonts w:hint="eastAsia" w:ascii="Times New Roman" w:hAnsi="Times New Roman" w:eastAsia="宋体"/>
          <w:bCs/>
          <w:sz w:val="21"/>
          <w:szCs w:val="21"/>
        </w:rPr>
        <w:t>★</w:t>
      </w:r>
      <w:r>
        <w:rPr>
          <w:rFonts w:ascii="Times New Roman" w:hAnsi="Times New Roman" w:eastAsia="宋体"/>
          <w:bCs/>
          <w:sz w:val="21"/>
          <w:szCs w:val="21"/>
        </w:rPr>
        <w:t>”的条款的资料和材料的；</w:t>
      </w:r>
    </w:p>
    <w:p>
      <w:pPr>
        <w:spacing w:line="360" w:lineRule="auto"/>
        <w:ind w:firstLine="420"/>
        <w:rPr>
          <w:szCs w:val="21"/>
        </w:rPr>
      </w:pPr>
      <w:r>
        <w:rPr>
          <w:b/>
          <w:bCs/>
        </w:rPr>
        <w:t>2</w:t>
      </w:r>
      <w:r>
        <w:rPr>
          <w:rFonts w:hint="eastAsia"/>
          <w:b/>
          <w:bCs/>
        </w:rPr>
        <w:t>.</w:t>
      </w:r>
      <w:r>
        <w:rPr>
          <w:b/>
          <w:bCs/>
        </w:rPr>
        <w:t>在技术评审时，如发现下列情形之一的，投标文件将被视为无效响应：</w:t>
      </w:r>
    </w:p>
    <w:p>
      <w:pPr>
        <w:spacing w:line="360" w:lineRule="auto"/>
        <w:ind w:firstLine="420"/>
        <w:rPr>
          <w:szCs w:val="21"/>
        </w:rPr>
      </w:pPr>
      <w:r>
        <w:rPr>
          <w:szCs w:val="21"/>
        </w:rPr>
        <w:t>2.1投标文件标明的响应或偏离与事实不符或虚假投标的；</w:t>
      </w:r>
    </w:p>
    <w:p>
      <w:pPr>
        <w:spacing w:line="360" w:lineRule="auto"/>
        <w:ind w:firstLine="420" w:firstLineChars="200"/>
        <w:rPr>
          <w:szCs w:val="21"/>
        </w:rPr>
      </w:pPr>
      <w:r>
        <w:rPr>
          <w:bCs/>
          <w:szCs w:val="21"/>
        </w:rPr>
        <w:t>2.2明显不符合采购文件标明的质量标准，或者采购文件中标“</w:t>
      </w:r>
      <w:r>
        <w:rPr>
          <w:rFonts w:hint="eastAsia"/>
          <w:b/>
        </w:rPr>
        <w:t>★</w:t>
      </w:r>
      <w:r>
        <w:rPr>
          <w:bCs/>
          <w:szCs w:val="21"/>
        </w:rPr>
        <w:t>”的技术参数、条款（如有）发生实质性偏离的；</w:t>
      </w:r>
    </w:p>
    <w:p>
      <w:pPr>
        <w:spacing w:line="360" w:lineRule="auto"/>
        <w:ind w:firstLine="420"/>
      </w:pPr>
      <w:r>
        <w:rPr>
          <w:szCs w:val="21"/>
        </w:rPr>
        <w:t>2.3投标技术方案不明确，存在一个或一个以上备选（替代）投标方案的；</w:t>
      </w:r>
    </w:p>
    <w:p>
      <w:pPr>
        <w:spacing w:line="360" w:lineRule="auto"/>
        <w:ind w:firstLine="420"/>
        <w:rPr>
          <w:szCs w:val="21"/>
        </w:rPr>
      </w:pPr>
      <w:r>
        <w:rPr>
          <w:b/>
          <w:bCs/>
        </w:rPr>
        <w:t>3</w:t>
      </w:r>
      <w:r>
        <w:rPr>
          <w:rFonts w:hint="eastAsia"/>
          <w:b/>
          <w:bCs/>
        </w:rPr>
        <w:t>.</w:t>
      </w:r>
      <w:r>
        <w:rPr>
          <w:b/>
          <w:szCs w:val="21"/>
        </w:rPr>
        <w:t>在投标报价文件评审时</w:t>
      </w:r>
      <w:r>
        <w:rPr>
          <w:b/>
          <w:bCs/>
        </w:rPr>
        <w:t>，如发现下列情形之一的，投标文件将被视为无效响应：</w:t>
      </w:r>
    </w:p>
    <w:p>
      <w:pPr>
        <w:pStyle w:val="87"/>
        <w:snapToGrid w:val="0"/>
        <w:spacing w:line="360" w:lineRule="auto"/>
        <w:ind w:right="-86" w:rightChars="-41" w:firstLine="438" w:firstLineChars="209"/>
        <w:rPr>
          <w:rFonts w:ascii="Times New Roman" w:hAnsi="Times New Roman"/>
        </w:rPr>
      </w:pPr>
      <w:r>
        <w:rPr>
          <w:rFonts w:ascii="Times New Roman" w:hAnsi="Times New Roman"/>
        </w:rPr>
        <w:t>3.1未采用人民币报价或者未按照采购文件标明的币种报价的；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3.2报价超出最高限价，或者超出采购预算金额，采购人不能支付的；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napToGrid w:val="0"/>
        <w:spacing w:line="360" w:lineRule="auto"/>
        <w:ind w:right="-86" w:rightChars="-41" w:firstLine="438" w:firstLineChars="209"/>
        <w:rPr>
          <w:rFonts w:ascii="Times New Roman" w:hAnsi="Times New Roman"/>
        </w:rPr>
      </w:pPr>
      <w:r>
        <w:rPr>
          <w:rFonts w:ascii="Times New Roman" w:hAnsi="Times New Roman"/>
        </w:rPr>
        <w:t>3.4投标报价具有选择性，或者开标价格与投标文件承诺的优惠（折扣）价格不一致的；</w:t>
      </w:r>
    </w:p>
    <w:p>
      <w:pPr>
        <w:pStyle w:val="87"/>
        <w:snapToGrid w:val="0"/>
        <w:spacing w:line="360" w:lineRule="auto"/>
        <w:ind w:right="-86" w:rightChars="-41" w:firstLine="441" w:firstLineChars="209"/>
        <w:rPr>
          <w:rFonts w:ascii="Times New Roman" w:hAnsi="Times New Roman"/>
        </w:rPr>
      </w:pPr>
      <w:r>
        <w:rPr>
          <w:rFonts w:ascii="Times New Roman" w:hAnsi="Times New Roman"/>
          <w:b/>
          <w:bCs/>
        </w:rPr>
        <w:t>4.</w:t>
      </w:r>
      <w:r>
        <w:rPr>
          <w:rFonts w:ascii="Times New Roman" w:hAnsi="Times New Roman"/>
        </w:rPr>
        <w:t>法律、法规和采购文件规定的其他无效情形。</w:t>
      </w:r>
    </w:p>
    <w:p>
      <w:pPr>
        <w:pStyle w:val="87"/>
        <w:snapToGrid w:val="0"/>
        <w:spacing w:line="360" w:lineRule="auto"/>
        <w:ind w:right="-86" w:rightChars="-41" w:firstLine="0"/>
        <w:rPr>
          <w:rFonts w:ascii="Times New Roman" w:hAnsi="Times New Roman"/>
        </w:rPr>
      </w:pPr>
      <w:r>
        <w:rPr>
          <w:rFonts w:ascii="Times New Roman" w:hAnsi="Times New Roman"/>
          <w:b/>
          <w:szCs w:val="21"/>
        </w:rPr>
        <w:t>（七）</w:t>
      </w:r>
      <w:r>
        <w:rPr>
          <w:rFonts w:ascii="Times New Roman" w:hAnsi="Times New Roman"/>
          <w:b/>
        </w:rPr>
        <w:t>出现以下情形，导致电子交易平台无法正常运行，或者无法保证电子交易的公平、公正和安全时，中止电子交易活动：</w:t>
      </w:r>
    </w:p>
    <w:p>
      <w:pPr>
        <w:pStyle w:val="87"/>
        <w:snapToGrid w:val="0"/>
        <w:spacing w:line="360" w:lineRule="auto"/>
        <w:ind w:right="-86" w:rightChars="-41" w:firstLine="438" w:firstLineChars="209"/>
        <w:rPr>
          <w:rFonts w:ascii="Times New Roman" w:hAnsi="Times New Roman"/>
        </w:rPr>
      </w:pPr>
      <w:r>
        <w:rPr>
          <w:rFonts w:ascii="Times New Roman" w:hAnsi="Times New Roman"/>
        </w:rPr>
        <w:t>（一）电子交易平台发生故障而无法登录访问的；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（二）电子交易平台应用或数据库出现错误，不能进行正常操作的；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（三）电子交易平台发现严重安全漏洞，有潜在泄密危险的；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（四）病毒发作导致不能进行正常操作的；</w:t>
      </w:r>
    </w:p>
    <w:p>
      <w:pPr>
        <w:pStyle w:val="87"/>
        <w:snapToGrid w:val="0"/>
        <w:spacing w:line="360" w:lineRule="auto"/>
        <w:ind w:right="-86" w:rightChars="-41" w:firstLine="438" w:firstLineChars="209"/>
        <w:rPr>
          <w:rFonts w:ascii="Times New Roman" w:hAnsi="Times New Roman"/>
        </w:rPr>
      </w:pPr>
      <w:r>
        <w:rPr>
          <w:rFonts w:ascii="Times New Roman" w:hAnsi="Times New Roman"/>
        </w:rPr>
        <w:t>（五）其他无法保证电子交易的公平、公正和安全的情况。</w:t>
      </w:r>
    </w:p>
    <w:p>
      <w:pPr>
        <w:pStyle w:val="87"/>
        <w:snapToGrid w:val="0"/>
        <w:spacing w:line="360" w:lineRule="auto"/>
        <w:ind w:right="-86" w:rightChars="-41" w:firstLine="438" w:firstLineChars="20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pPr>
        <w:pStyle w:val="109"/>
        <w:snapToGrid w:val="0"/>
        <w:spacing w:line="360" w:lineRule="auto"/>
        <w:ind w:right="55" w:firstLine="0"/>
        <w:rPr>
          <w:rFonts w:ascii="Times New Roman" w:hAnsi="Times New Roman" w:cs="Times New Roman"/>
          <w:b/>
          <w:bCs/>
          <w:sz w:val="21"/>
          <w:szCs w:val="21"/>
        </w:rPr>
      </w:pPr>
      <w:r>
        <w:rPr>
          <w:rFonts w:ascii="Times New Roman" w:hAnsi="Times New Roman" w:cs="Times New Roman"/>
          <w:b/>
          <w:bCs/>
          <w:sz w:val="21"/>
          <w:szCs w:val="21"/>
        </w:rPr>
        <w:t>（八）报名不足三家的处理方式</w:t>
      </w:r>
    </w:p>
    <w:p>
      <w:pPr>
        <w:pStyle w:val="109"/>
        <w:snapToGrid w:val="0"/>
        <w:spacing w:line="360" w:lineRule="auto"/>
        <w:ind w:right="55" w:firstLine="470"/>
        <w:rPr>
          <w:rFonts w:ascii="Times New Roman" w:hAnsi="Times New Roman" w:cs="Times New Roman"/>
          <w:bCs/>
          <w:sz w:val="21"/>
          <w:szCs w:val="21"/>
        </w:rPr>
      </w:pPr>
      <w:r>
        <w:rPr>
          <w:rFonts w:ascii="Times New Roman" w:hAnsi="Times New Roman" w:cs="Times New Roman"/>
          <w:bCs/>
          <w:sz w:val="21"/>
          <w:szCs w:val="21"/>
        </w:rPr>
        <w:t>报名时间截止后，在开标时间前获取招标文件的潜在投标人不足三家的，采购代理机构可以顺延提供期限，并予公告。</w:t>
      </w:r>
    </w:p>
    <w:p>
      <w:pPr>
        <w:pStyle w:val="109"/>
        <w:snapToGrid w:val="0"/>
        <w:spacing w:line="360" w:lineRule="auto"/>
        <w:ind w:right="55" w:firstLine="0"/>
        <w:jc w:val="left"/>
        <w:rPr>
          <w:rFonts w:ascii="Times New Roman" w:hAnsi="Times New Roman" w:cs="Times New Roman"/>
          <w:b/>
          <w:sz w:val="21"/>
          <w:szCs w:val="21"/>
        </w:rPr>
      </w:pPr>
      <w:r>
        <w:rPr>
          <w:rFonts w:ascii="Times New Roman" w:hAnsi="Times New Roman" w:cs="Times New Roman"/>
          <w:b/>
          <w:sz w:val="21"/>
          <w:szCs w:val="21"/>
        </w:rPr>
        <w:t>（九）被拒绝的投标文件为无效。</w:t>
      </w:r>
    </w:p>
    <w:p>
      <w:pPr>
        <w:pStyle w:val="109"/>
        <w:snapToGrid w:val="0"/>
        <w:spacing w:line="360" w:lineRule="auto"/>
        <w:ind w:right="55" w:firstLine="3591" w:firstLineChars="1315"/>
        <w:rPr>
          <w:rFonts w:ascii="Times New Roman" w:hAnsi="Times New Roman" w:cs="Times New Roman"/>
          <w:b/>
          <w:sz w:val="28"/>
          <w:szCs w:val="28"/>
        </w:rPr>
      </w:pPr>
    </w:p>
    <w:p>
      <w:pPr>
        <w:pStyle w:val="109"/>
        <w:snapToGrid w:val="0"/>
        <w:spacing w:line="360" w:lineRule="auto"/>
        <w:ind w:right="55" w:firstLine="3591" w:firstLineChars="1315"/>
        <w:rPr>
          <w:rFonts w:ascii="Times New Roman" w:hAnsi="Times New Roman" w:cs="Times New Roman"/>
          <w:b/>
          <w:sz w:val="28"/>
          <w:szCs w:val="28"/>
        </w:rPr>
      </w:pPr>
      <w:r>
        <w:rPr>
          <w:rFonts w:ascii="Times New Roman" w:hAnsi="Times New Roman" w:cs="Times New Roman"/>
          <w:b/>
          <w:sz w:val="28"/>
          <w:szCs w:val="28"/>
        </w:rPr>
        <w:t>四、开标</w:t>
      </w:r>
    </w:p>
    <w:p>
      <w:pPr>
        <w:pStyle w:val="3"/>
        <w:spacing w:line="360" w:lineRule="auto"/>
        <w:ind w:firstLine="422" w:firstLineChars="200"/>
        <w:jc w:val="left"/>
        <w:rPr>
          <w:b/>
          <w:szCs w:val="21"/>
        </w:rPr>
      </w:pPr>
      <w:r>
        <w:rPr>
          <w:b/>
          <w:szCs w:val="21"/>
        </w:rPr>
        <w:t>电子招投标开标及评审程序</w:t>
      </w:r>
    </w:p>
    <w:p>
      <w:pPr>
        <w:adjustRightInd w:val="0"/>
        <w:snapToGrid w:val="0"/>
        <w:spacing w:line="360" w:lineRule="auto"/>
        <w:ind w:firstLine="420" w:firstLineChars="200"/>
        <w:jc w:val="left"/>
        <w:rPr>
          <w:szCs w:val="21"/>
        </w:rPr>
      </w:pPr>
      <w:r>
        <w:rPr>
          <w:szCs w:val="21"/>
        </w:rPr>
        <w:t>1</w:t>
      </w:r>
      <w:r>
        <w:rPr>
          <w:rFonts w:hint="eastAsia"/>
          <w:szCs w:val="21"/>
        </w:rPr>
        <w:t>.</w:t>
      </w:r>
      <w:r>
        <w:rPr>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szCs w:val="21"/>
        </w:rPr>
      </w:pPr>
      <w:r>
        <w:rPr>
          <w:szCs w:val="21"/>
        </w:rPr>
        <w:t>2</w:t>
      </w:r>
      <w:r>
        <w:rPr>
          <w:rFonts w:hint="eastAsia"/>
          <w:szCs w:val="21"/>
        </w:rPr>
        <w:t>.</w:t>
      </w:r>
      <w:r>
        <w:rPr>
          <w:szCs w:val="21"/>
        </w:rPr>
        <w:t>投标截止时间后，投标人登录政采云平台，用“项目采购-开标评标”功能对电子投标文件进行</w:t>
      </w:r>
      <w:r>
        <w:rPr>
          <w:b/>
          <w:bCs/>
          <w:szCs w:val="21"/>
        </w:rPr>
        <w:t>在线解密。</w:t>
      </w:r>
      <w:r>
        <w:rPr>
          <w:szCs w:val="21"/>
        </w:rPr>
        <w:t>在线解密电子投标文件时间</w:t>
      </w:r>
      <w:r>
        <w:rPr>
          <w:b/>
          <w:bCs/>
          <w:szCs w:val="21"/>
        </w:rPr>
        <w:t>为开标时间起半个小时内；</w:t>
      </w:r>
    </w:p>
    <w:p>
      <w:pPr>
        <w:adjustRightInd w:val="0"/>
        <w:snapToGrid w:val="0"/>
        <w:spacing w:line="360" w:lineRule="auto"/>
        <w:ind w:firstLine="420" w:firstLineChars="200"/>
        <w:jc w:val="left"/>
        <w:rPr>
          <w:szCs w:val="21"/>
        </w:rPr>
      </w:pPr>
      <w:r>
        <w:rPr>
          <w:szCs w:val="21"/>
        </w:rPr>
        <w:t>3</w:t>
      </w:r>
      <w:r>
        <w:rPr>
          <w:rFonts w:hint="eastAsia"/>
          <w:szCs w:val="21"/>
        </w:rPr>
        <w:t>.</w:t>
      </w:r>
      <w:r>
        <w:rPr>
          <w:szCs w:val="21"/>
        </w:rPr>
        <w:t>采购人或代理机构对资格文件进行评审，评标委员会对商务技术响应文件进行评审。</w:t>
      </w:r>
    </w:p>
    <w:p>
      <w:pPr>
        <w:adjustRightInd w:val="0"/>
        <w:snapToGrid w:val="0"/>
        <w:spacing w:line="360" w:lineRule="auto"/>
        <w:ind w:firstLine="420" w:firstLineChars="200"/>
        <w:jc w:val="left"/>
        <w:rPr>
          <w:szCs w:val="21"/>
        </w:rPr>
      </w:pPr>
      <w:r>
        <w:rPr>
          <w:szCs w:val="21"/>
        </w:rPr>
        <w:t>4</w:t>
      </w:r>
      <w:r>
        <w:rPr>
          <w:rFonts w:hint="eastAsia"/>
          <w:szCs w:val="21"/>
        </w:rPr>
        <w:t>.</w:t>
      </w:r>
      <w:r>
        <w:rPr>
          <w:szCs w:val="21"/>
        </w:rPr>
        <w:t>在系统上公开资格和商务技术评审结果；</w:t>
      </w:r>
    </w:p>
    <w:p>
      <w:pPr>
        <w:adjustRightInd w:val="0"/>
        <w:snapToGrid w:val="0"/>
        <w:spacing w:line="360" w:lineRule="auto"/>
        <w:ind w:firstLine="420" w:firstLineChars="200"/>
        <w:jc w:val="left"/>
        <w:rPr>
          <w:szCs w:val="21"/>
        </w:rPr>
      </w:pPr>
      <w:r>
        <w:rPr>
          <w:szCs w:val="21"/>
        </w:rPr>
        <w:t>5</w:t>
      </w:r>
      <w:r>
        <w:rPr>
          <w:rFonts w:hint="eastAsia"/>
          <w:szCs w:val="21"/>
        </w:rPr>
        <w:t>.</w:t>
      </w:r>
      <w:r>
        <w:rPr>
          <w:szCs w:val="21"/>
        </w:rPr>
        <w:t>在系统上公开报价开标情况；</w:t>
      </w:r>
    </w:p>
    <w:p>
      <w:pPr>
        <w:adjustRightInd w:val="0"/>
        <w:snapToGrid w:val="0"/>
        <w:spacing w:line="360" w:lineRule="auto"/>
        <w:ind w:firstLine="420" w:firstLineChars="200"/>
        <w:jc w:val="left"/>
        <w:rPr>
          <w:szCs w:val="21"/>
        </w:rPr>
      </w:pPr>
      <w:r>
        <w:rPr>
          <w:szCs w:val="21"/>
        </w:rPr>
        <w:t>6</w:t>
      </w:r>
      <w:r>
        <w:rPr>
          <w:rFonts w:hint="eastAsia"/>
          <w:szCs w:val="21"/>
        </w:rPr>
        <w:t>.</w:t>
      </w:r>
      <w:r>
        <w:rPr>
          <w:szCs w:val="21"/>
        </w:rPr>
        <w:t>评标委员会对报价情况进行评审；</w:t>
      </w:r>
    </w:p>
    <w:p>
      <w:pPr>
        <w:adjustRightInd w:val="0"/>
        <w:snapToGrid w:val="0"/>
        <w:spacing w:line="360" w:lineRule="auto"/>
        <w:ind w:firstLine="420" w:firstLineChars="200"/>
        <w:jc w:val="left"/>
        <w:rPr>
          <w:szCs w:val="21"/>
        </w:rPr>
      </w:pPr>
      <w:r>
        <w:rPr>
          <w:szCs w:val="21"/>
        </w:rPr>
        <w:t>7</w:t>
      </w:r>
      <w:r>
        <w:rPr>
          <w:rFonts w:hint="eastAsia"/>
          <w:szCs w:val="21"/>
        </w:rPr>
        <w:t>.</w:t>
      </w:r>
      <w:r>
        <w:rPr>
          <w:szCs w:val="21"/>
        </w:rPr>
        <w:t>在系统上公布评审结果。</w:t>
      </w:r>
    </w:p>
    <w:p>
      <w:pPr>
        <w:adjustRightInd w:val="0"/>
        <w:snapToGrid w:val="0"/>
        <w:spacing w:line="360" w:lineRule="auto"/>
        <w:ind w:firstLine="420" w:firstLineChars="200"/>
        <w:jc w:val="left"/>
        <w:rPr>
          <w:szCs w:val="21"/>
        </w:rPr>
      </w:pPr>
      <w:r>
        <w:rPr>
          <w:szCs w:val="21"/>
        </w:rPr>
        <w:t>特别说明：政采云公司如对电子化开标及评审程序有调整的，按调整后的程序操作。</w:t>
      </w:r>
    </w:p>
    <w:p>
      <w:pPr>
        <w:snapToGrid w:val="0"/>
        <w:spacing w:before="120" w:line="360" w:lineRule="auto"/>
        <w:ind w:right="-87"/>
        <w:jc w:val="center"/>
        <w:outlineLvl w:val="1"/>
        <w:rPr>
          <w:b/>
          <w:sz w:val="28"/>
        </w:rPr>
      </w:pPr>
      <w:r>
        <w:rPr>
          <w:b/>
          <w:sz w:val="28"/>
        </w:rPr>
        <w:t>五、评标</w:t>
      </w:r>
    </w:p>
    <w:p>
      <w:pPr>
        <w:snapToGrid w:val="0"/>
        <w:spacing w:before="120" w:line="324" w:lineRule="auto"/>
        <w:ind w:right="-87"/>
        <w:rPr>
          <w:b/>
        </w:rPr>
      </w:pPr>
      <w:r>
        <w:rPr>
          <w:b/>
        </w:rPr>
        <w:t>（一）组建评标委员会</w:t>
      </w:r>
    </w:p>
    <w:p>
      <w:pPr>
        <w:snapToGrid w:val="0"/>
        <w:spacing w:before="120" w:line="324" w:lineRule="auto"/>
        <w:ind w:right="-87" w:firstLine="420" w:firstLineChars="200"/>
      </w:pPr>
      <w:r>
        <w:t>评标委员会由采购人代表和评审专家组成，成员人数为5人（含）以上单数，其中评审专家不得少于成员总数的三分之二。</w:t>
      </w:r>
    </w:p>
    <w:p>
      <w:pPr>
        <w:snapToGrid w:val="0"/>
        <w:spacing w:before="120" w:line="324" w:lineRule="auto"/>
        <w:ind w:right="-87"/>
        <w:rPr>
          <w:b/>
        </w:rPr>
      </w:pPr>
      <w:r>
        <w:rPr>
          <w:b/>
        </w:rPr>
        <w:t>（二）评标程序</w:t>
      </w:r>
    </w:p>
    <w:p>
      <w:pPr>
        <w:snapToGrid w:val="0"/>
        <w:spacing w:line="324" w:lineRule="auto"/>
        <w:ind w:right="-87"/>
        <w:rPr>
          <w:szCs w:val="21"/>
        </w:rPr>
      </w:pPr>
      <w:r>
        <w:rPr>
          <w:b/>
          <w:szCs w:val="21"/>
        </w:rPr>
        <w:t>1</w:t>
      </w:r>
      <w:r>
        <w:rPr>
          <w:rFonts w:hint="eastAsia"/>
          <w:b/>
          <w:szCs w:val="21"/>
        </w:rPr>
        <w:t>.</w:t>
      </w:r>
      <w:r>
        <w:rPr>
          <w:b/>
          <w:szCs w:val="21"/>
        </w:rPr>
        <w:t>投标文件初审。</w:t>
      </w:r>
    </w:p>
    <w:p>
      <w:pPr>
        <w:snapToGrid w:val="0"/>
        <w:spacing w:line="324" w:lineRule="auto"/>
        <w:ind w:right="-87" w:firstLine="420" w:firstLineChars="200"/>
        <w:rPr>
          <w:b/>
          <w:szCs w:val="21"/>
        </w:rPr>
      </w:pPr>
      <w:r>
        <w:rPr>
          <w:szCs w:val="21"/>
        </w:rPr>
        <w:t>初审分为资格性检查和符合性检查。</w:t>
      </w:r>
    </w:p>
    <w:p>
      <w:pPr>
        <w:adjustRightInd w:val="0"/>
        <w:snapToGrid w:val="0"/>
        <w:spacing w:line="324" w:lineRule="auto"/>
        <w:ind w:firstLine="420" w:firstLineChars="200"/>
        <w:jc w:val="left"/>
        <w:rPr>
          <w:szCs w:val="21"/>
        </w:rPr>
      </w:pPr>
      <w:r>
        <w:rPr>
          <w:szCs w:val="21"/>
        </w:rPr>
        <w:t>1.1资格性检查。依据法律法规和采购文件的规定，对投标文件中的资格证明等进行审查，以确定投标投标人是否具备投标资格。</w:t>
      </w:r>
    </w:p>
    <w:p>
      <w:pPr>
        <w:adjustRightInd w:val="0"/>
        <w:snapToGrid w:val="0"/>
        <w:spacing w:line="324" w:lineRule="auto"/>
        <w:ind w:firstLine="420" w:firstLineChars="200"/>
        <w:jc w:val="left"/>
        <w:rPr>
          <w:szCs w:val="21"/>
        </w:rPr>
      </w:pPr>
      <w:r>
        <w:rPr>
          <w:szCs w:val="21"/>
        </w:rPr>
        <w:t>1.2符合性检查。依据采购文件的规定，从投标文件的有效性、完整性和对采购文件的响应程度进行审查，以确定是否对采购文件的实质性要求作出响应。</w:t>
      </w:r>
    </w:p>
    <w:p>
      <w:pPr>
        <w:snapToGrid w:val="0"/>
        <w:spacing w:line="324" w:lineRule="auto"/>
        <w:ind w:right="-87"/>
        <w:rPr>
          <w:b/>
          <w:sz w:val="24"/>
        </w:rPr>
      </w:pPr>
      <w:r>
        <w:rPr>
          <w:b/>
          <w:sz w:val="24"/>
        </w:rPr>
        <w:t>2</w:t>
      </w:r>
      <w:r>
        <w:rPr>
          <w:rFonts w:hint="eastAsia"/>
          <w:b/>
          <w:sz w:val="24"/>
        </w:rPr>
        <w:t>.</w:t>
      </w:r>
      <w:r>
        <w:rPr>
          <w:b/>
          <w:szCs w:val="21"/>
        </w:rPr>
        <w:t>实质审查</w:t>
      </w:r>
    </w:p>
    <w:p>
      <w:pPr>
        <w:spacing w:line="324" w:lineRule="auto"/>
        <w:ind w:firstLine="420" w:firstLineChars="200"/>
        <w:rPr>
          <w:kern w:val="0"/>
          <w:szCs w:val="21"/>
        </w:rPr>
      </w:pPr>
      <w:r>
        <w:rPr>
          <w:kern w:val="0"/>
          <w:szCs w:val="21"/>
        </w:rPr>
        <w:t>（1）评标委员会审查投标文件的实质性内容是否符合采购文件的实质性要求。</w:t>
      </w:r>
    </w:p>
    <w:p>
      <w:pPr>
        <w:spacing w:line="324" w:lineRule="auto"/>
        <w:ind w:firstLine="420" w:firstLineChars="200"/>
        <w:rPr>
          <w:kern w:val="0"/>
          <w:szCs w:val="21"/>
        </w:rPr>
      </w:pPr>
      <w:r>
        <w:rPr>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24" w:lineRule="auto"/>
        <w:ind w:firstLine="420" w:firstLineChars="200"/>
        <w:rPr>
          <w:kern w:val="0"/>
          <w:szCs w:val="21"/>
        </w:rPr>
      </w:pPr>
      <w:r>
        <w:rPr>
          <w:kern w:val="0"/>
          <w:szCs w:val="21"/>
        </w:rPr>
        <w:t>（3）评审小组商务、技术方案响应性评定；</w:t>
      </w:r>
    </w:p>
    <w:p>
      <w:pPr>
        <w:spacing w:line="324" w:lineRule="auto"/>
        <w:ind w:firstLine="420" w:firstLineChars="200"/>
        <w:rPr>
          <w:kern w:val="0"/>
          <w:szCs w:val="21"/>
        </w:rPr>
      </w:pPr>
      <w:r>
        <w:rPr>
          <w:kern w:val="0"/>
          <w:szCs w:val="21"/>
        </w:rPr>
        <w:t>（4）各投标人的技术得分为所有评委的有效评分的算术平均数，由指定专人进行计算复核。</w:t>
      </w:r>
    </w:p>
    <w:p>
      <w:pPr>
        <w:spacing w:line="324" w:lineRule="auto"/>
        <w:ind w:firstLine="420" w:firstLineChars="200"/>
        <w:rPr>
          <w:b/>
          <w:szCs w:val="21"/>
        </w:rPr>
      </w:pPr>
      <w:r>
        <w:rPr>
          <w:kern w:val="0"/>
          <w:szCs w:val="21"/>
        </w:rPr>
        <w:t>（5）评标委员会完成评标后，评委对各部分得分汇总，计算出本项目综合评估分。评标委员会按</w:t>
      </w:r>
      <w:r>
        <w:rPr>
          <w:szCs w:val="21"/>
        </w:rPr>
        <w:t>评标原则通过电子系统向采购人及采购代理机构提交评审报告。</w:t>
      </w:r>
    </w:p>
    <w:p>
      <w:pPr>
        <w:spacing w:line="324" w:lineRule="auto"/>
        <w:rPr>
          <w:b/>
          <w:szCs w:val="21"/>
        </w:rPr>
      </w:pPr>
      <w:r>
        <w:rPr>
          <w:b/>
          <w:szCs w:val="21"/>
        </w:rPr>
        <w:t>（三）澄清问题的形式</w:t>
      </w:r>
    </w:p>
    <w:p>
      <w:pPr>
        <w:snapToGrid w:val="0"/>
        <w:spacing w:line="324" w:lineRule="auto"/>
        <w:ind w:left="228" w:right="-87" w:firstLine="420" w:firstLineChars="200"/>
      </w:pPr>
      <w: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t>，给予投标人提交澄清说明或补正的时间不少于半个小时，投标人已经明确表示澄清说明或补正完毕的除外。不得超出投标文件的范围或者改变投标文件的实质性内容。</w:t>
      </w:r>
    </w:p>
    <w:p>
      <w:pPr>
        <w:pStyle w:val="111"/>
        <w:snapToGrid w:val="0"/>
        <w:spacing w:before="120" w:after="120" w:line="324" w:lineRule="auto"/>
        <w:ind w:right="-87"/>
        <w:rPr>
          <w:rFonts w:ascii="Times New Roman" w:hAnsi="Times New Roman" w:eastAsia="宋体"/>
          <w:b/>
          <w:sz w:val="21"/>
          <w:szCs w:val="21"/>
        </w:rPr>
      </w:pPr>
      <w:r>
        <w:rPr>
          <w:rFonts w:ascii="Times New Roman" w:hAnsi="Times New Roman" w:eastAsia="宋体"/>
          <w:b/>
          <w:sz w:val="21"/>
          <w:szCs w:val="21"/>
        </w:rPr>
        <w:t>（四）错误修正</w:t>
      </w:r>
    </w:p>
    <w:p>
      <w:pPr>
        <w:snapToGrid w:val="0"/>
        <w:spacing w:before="120" w:beforeLines="50" w:line="360" w:lineRule="auto"/>
        <w:ind w:firstLine="415" w:firstLineChars="198"/>
        <w:rPr>
          <w:szCs w:val="21"/>
        </w:rPr>
      </w:pPr>
      <w:r>
        <w:rPr>
          <w:szCs w:val="21"/>
        </w:rPr>
        <w:t>投标文件如果出现计算或表达上的错误，修正错误的原则如下：</w:t>
      </w:r>
    </w:p>
    <w:p>
      <w:pPr>
        <w:snapToGrid w:val="0"/>
        <w:spacing w:before="120" w:beforeLines="50" w:line="360" w:lineRule="auto"/>
        <w:ind w:firstLine="415" w:firstLineChars="198"/>
        <w:rPr>
          <w:szCs w:val="21"/>
        </w:rPr>
      </w:pPr>
      <w:r>
        <w:rPr>
          <w:rFonts w:hint="eastAsia"/>
          <w:szCs w:val="21"/>
        </w:rPr>
        <w:t>1.投标文件中开标一览表（报价表）内容与投标文件中相应内容不一致的，以开标一览表（报价表）为准；</w:t>
      </w:r>
    </w:p>
    <w:p>
      <w:pPr>
        <w:snapToGrid w:val="0"/>
        <w:spacing w:before="120" w:beforeLines="50" w:line="360" w:lineRule="auto"/>
        <w:ind w:firstLine="420" w:firstLineChars="200"/>
        <w:rPr>
          <w:szCs w:val="21"/>
        </w:rPr>
      </w:pPr>
      <w:r>
        <w:rPr>
          <w:rFonts w:hint="eastAsia"/>
          <w:szCs w:val="21"/>
        </w:rPr>
        <w:t>2.大写金额和小写金额不一致的，以大写金额为准；</w:t>
      </w:r>
    </w:p>
    <w:p>
      <w:pPr>
        <w:snapToGrid w:val="0"/>
        <w:spacing w:before="120" w:beforeLines="50" w:line="360" w:lineRule="auto"/>
        <w:ind w:firstLine="420" w:firstLineChars="200"/>
        <w:rPr>
          <w:szCs w:val="21"/>
        </w:rPr>
      </w:pPr>
      <w:r>
        <w:rPr>
          <w:rFonts w:hint="eastAsia"/>
          <w:szCs w:val="21"/>
        </w:rPr>
        <w:t>3.单价金额小数点或者百分比有明显错位的，以开标一览表的总价为准，并修改单价；</w:t>
      </w:r>
    </w:p>
    <w:p>
      <w:pPr>
        <w:snapToGrid w:val="0"/>
        <w:spacing w:before="120" w:beforeLines="50" w:line="360" w:lineRule="auto"/>
        <w:ind w:firstLine="420" w:firstLineChars="200"/>
        <w:rPr>
          <w:szCs w:val="21"/>
        </w:rPr>
      </w:pPr>
      <w:r>
        <w:rPr>
          <w:rFonts w:hint="eastAsia"/>
          <w:szCs w:val="21"/>
        </w:rPr>
        <w:t>4.总价金额与按单价汇总金额不一致的，以单价金额计算结果为准。</w:t>
      </w:r>
    </w:p>
    <w:p>
      <w:pPr>
        <w:snapToGrid w:val="0"/>
        <w:spacing w:before="120" w:beforeLines="50" w:line="360" w:lineRule="auto"/>
        <w:ind w:firstLine="417" w:firstLineChars="198"/>
        <w:rPr>
          <w:b/>
          <w:bCs/>
          <w:szCs w:val="21"/>
        </w:rPr>
      </w:pPr>
      <w:r>
        <w:rPr>
          <w:rFonts w:hint="eastAsia"/>
          <w:b/>
          <w:bCs/>
          <w:szCs w:val="21"/>
        </w:rPr>
        <w:t>同时出现两种以上不一致的，按照前款规定的顺序修正。修正后的报价按照本办法第五十一条第二款的规定经投标人确认后产生约束力，投标人不确认的，其投标无效。</w:t>
      </w:r>
    </w:p>
    <w:p>
      <w:pPr>
        <w:snapToGrid w:val="0"/>
        <w:spacing w:before="120" w:beforeLines="50" w:line="360"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11"/>
        <w:snapToGrid w:val="0"/>
        <w:spacing w:before="120" w:after="120" w:line="324" w:lineRule="auto"/>
        <w:ind w:right="-87"/>
        <w:jc w:val="left"/>
        <w:rPr>
          <w:rFonts w:ascii="Times New Roman" w:hAnsi="Times New Roman" w:eastAsia="宋体"/>
          <w:b/>
          <w:sz w:val="21"/>
          <w:szCs w:val="21"/>
        </w:rPr>
      </w:pPr>
      <w:r>
        <w:rPr>
          <w:rFonts w:ascii="Times New Roman" w:hAnsi="Times New Roman" w:eastAsia="宋体"/>
          <w:b/>
          <w:sz w:val="21"/>
          <w:szCs w:val="21"/>
        </w:rPr>
        <w:t>（五）评标原则和评标办法</w:t>
      </w:r>
    </w:p>
    <w:p>
      <w:pPr>
        <w:pStyle w:val="21"/>
        <w:snapToGrid w:val="0"/>
        <w:spacing w:before="120" w:line="324"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before="120" w:line="324" w:lineRule="auto"/>
        <w:ind w:firstLine="420" w:firstLineChars="200"/>
        <w:rPr>
          <w:rFonts w:ascii="Times New Roman" w:hAnsi="Times New Roman"/>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评标办法。本项目评标办法是</w:t>
      </w:r>
      <w:r>
        <w:rPr>
          <w:rFonts w:ascii="Times New Roman" w:hAnsi="Times New Roman"/>
          <w:sz w:val="21"/>
          <w:szCs w:val="21"/>
          <w:u w:val="single"/>
        </w:rPr>
        <w:t>综合评分法</w:t>
      </w:r>
      <w:r>
        <w:rPr>
          <w:rFonts w:ascii="Times New Roman" w:hAnsi="Times New Roman"/>
          <w:sz w:val="21"/>
          <w:szCs w:val="21"/>
        </w:rPr>
        <w:t>，具体评标内容及评分标准等详见《第四章：评标办法及评分标准》。</w:t>
      </w:r>
    </w:p>
    <w:p>
      <w:pPr>
        <w:widowControl/>
        <w:snapToGrid w:val="0"/>
        <w:spacing w:line="324" w:lineRule="auto"/>
        <w:ind w:right="-87"/>
        <w:rPr>
          <w:b/>
          <w:szCs w:val="21"/>
        </w:rPr>
      </w:pPr>
      <w:r>
        <w:rPr>
          <w:b/>
          <w:szCs w:val="21"/>
        </w:rPr>
        <w:t>（六）评标过程的监控</w:t>
      </w:r>
    </w:p>
    <w:p>
      <w:pPr>
        <w:pStyle w:val="111"/>
        <w:snapToGrid w:val="0"/>
        <w:spacing w:before="120" w:after="120" w:line="324" w:lineRule="auto"/>
        <w:ind w:right="-87" w:firstLine="420" w:firstLineChars="200"/>
        <w:rPr>
          <w:rFonts w:ascii="Times New Roman" w:hAnsi="Times New Roman" w:eastAsia="宋体"/>
          <w:sz w:val="21"/>
        </w:rPr>
      </w:pPr>
      <w:r>
        <w:rPr>
          <w:rFonts w:ascii="Times New Roman" w:hAnsi="Times New Roman" w:eastAsia="宋体"/>
          <w:sz w:val="21"/>
        </w:rPr>
        <w:t>本项目评标过程实行全程录音、录像监控。</w:t>
      </w:r>
    </w:p>
    <w:p>
      <w:pPr>
        <w:pStyle w:val="111"/>
        <w:snapToGrid w:val="0"/>
        <w:spacing w:before="120" w:after="120" w:line="324" w:lineRule="auto"/>
        <w:ind w:right="-87" w:firstLine="420" w:firstLineChars="200"/>
        <w:rPr>
          <w:rFonts w:ascii="Times New Roman" w:hAnsi="Times New Roman" w:eastAsia="宋体"/>
          <w:sz w:val="21"/>
        </w:rPr>
      </w:pPr>
    </w:p>
    <w:p>
      <w:pPr>
        <w:snapToGrid w:val="0"/>
        <w:spacing w:before="120" w:line="360" w:lineRule="auto"/>
        <w:ind w:right="-87"/>
        <w:jc w:val="center"/>
        <w:outlineLvl w:val="1"/>
        <w:rPr>
          <w:b/>
          <w:sz w:val="28"/>
        </w:rPr>
      </w:pPr>
      <w:r>
        <w:rPr>
          <w:b/>
          <w:sz w:val="28"/>
        </w:rPr>
        <w:t>六、定标</w:t>
      </w:r>
    </w:p>
    <w:p>
      <w:pPr>
        <w:pStyle w:val="21"/>
        <w:snapToGrid w:val="0"/>
        <w:spacing w:before="120" w:line="360" w:lineRule="auto"/>
        <w:rPr>
          <w:rFonts w:ascii="Times New Roman" w:hAnsi="Times New Roman"/>
          <w:b/>
          <w:sz w:val="21"/>
          <w:szCs w:val="21"/>
        </w:rPr>
      </w:pPr>
      <w:r>
        <w:rPr>
          <w:rFonts w:ascii="Times New Roman" w:hAnsi="Times New Roman"/>
          <w:b/>
          <w:sz w:val="21"/>
          <w:szCs w:val="21"/>
        </w:rPr>
        <w:t>（一）确定中标人。</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本项目由采购人事先授权评审小组确定候选中标人1名。经采购人确认后，确定项目中标人，同时发布采购结果公告</w:t>
      </w:r>
      <w:r>
        <w:rPr>
          <w:rFonts w:hint="eastAsia" w:ascii="Times New Roman" w:hAnsi="Times New Roman"/>
          <w:sz w:val="21"/>
          <w:szCs w:val="21"/>
        </w:rPr>
        <w:t>（中标人通过政采云系统领取中标通知书）。</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采购代理机构在评标结束后在2个工作日内将评审报告交采购人确认。</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投标人对评审结果无异议的，采购人应在收到评审报告后5个工作日内对评审结果进行确认。如有投标人对评审结果提出质疑的，采购人可在质疑处理完毕后确定中标人。</w:t>
      </w:r>
    </w:p>
    <w:p>
      <w:pPr>
        <w:pStyle w:val="21"/>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采购人依法确定中标人后2个工作日内，采购代理机构发出《中标通知书》,并同时在相关网站上发布中标公告。</w:t>
      </w:r>
    </w:p>
    <w:p>
      <w:pPr>
        <w:spacing w:line="380" w:lineRule="exact"/>
        <w:rPr>
          <w:b/>
        </w:rPr>
      </w:pPr>
      <w:r>
        <w:rPr>
          <w:szCs w:val="21"/>
        </w:rPr>
        <w:t>（二）</w:t>
      </w:r>
      <w:r>
        <w:t>根据《中华人民共和</w:t>
      </w:r>
      <w:r>
        <w:rPr>
          <w:rFonts w:hint="eastAsia"/>
        </w:rPr>
        <w:t>国</w:t>
      </w:r>
      <w: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snapToGrid w:val="0"/>
        <w:spacing w:before="120" w:line="360" w:lineRule="auto"/>
        <w:ind w:right="-87" w:firstLine="3345" w:firstLineChars="1190"/>
        <w:outlineLvl w:val="1"/>
        <w:rPr>
          <w:b/>
          <w:sz w:val="28"/>
        </w:rPr>
      </w:pPr>
      <w:r>
        <w:rPr>
          <w:b/>
          <w:sz w:val="28"/>
        </w:rPr>
        <w:t>七、合同授予</w:t>
      </w:r>
    </w:p>
    <w:p>
      <w:pPr>
        <w:widowControl/>
        <w:numPr>
          <w:ilvl w:val="0"/>
          <w:numId w:val="14"/>
        </w:numPr>
        <w:tabs>
          <w:tab w:val="left" w:pos="735"/>
        </w:tabs>
        <w:overflowPunct w:val="0"/>
        <w:autoSpaceDE w:val="0"/>
        <w:autoSpaceDN w:val="0"/>
        <w:adjustRightInd w:val="0"/>
        <w:snapToGrid w:val="0"/>
        <w:spacing w:line="336" w:lineRule="auto"/>
        <w:ind w:right="-87"/>
        <w:jc w:val="left"/>
        <w:textAlignment w:val="baseline"/>
        <w:rPr>
          <w:b/>
          <w:sz w:val="24"/>
        </w:rPr>
      </w:pPr>
      <w:r>
        <w:rPr>
          <w:b/>
          <w:sz w:val="24"/>
        </w:rPr>
        <w:t>签订合同</w:t>
      </w:r>
    </w:p>
    <w:p>
      <w:pPr>
        <w:snapToGrid w:val="0"/>
        <w:spacing w:line="336" w:lineRule="auto"/>
        <w:ind w:right="-87" w:firstLine="424" w:firstLineChars="202"/>
      </w:pPr>
      <w:r>
        <w:t>1</w:t>
      </w:r>
      <w:r>
        <w:rPr>
          <w:rFonts w:hint="eastAsia"/>
        </w:rPr>
        <w:t>.</w:t>
      </w:r>
      <w:r>
        <w:t>采购人与中标人应当在《中标通知书》发出之日起30日内签订政府采购合同。同时，采购代理机构对合同内容进行审查，如发现与采购结果和投标承诺内容不一致的，应予以纠正。</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中标人拖延、拒签合同的，将上报监管部门并取消中标资格。</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中标人和采购人签订合同，按合同规定的供货时间供货并安装调试完毕。</w:t>
      </w:r>
    </w:p>
    <w:p>
      <w:pPr>
        <w:pStyle w:val="21"/>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w:t>
      </w:r>
      <w:r>
        <w:rPr>
          <w:rFonts w:ascii="Times New Roman" w:hAnsi="Times New Roman"/>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1"/>
        <w:snapToGrid w:val="0"/>
        <w:spacing w:before="120" w:line="336" w:lineRule="auto"/>
        <w:rPr>
          <w:rFonts w:ascii="Times New Roman" w:hAnsi="Times New Roman"/>
          <w:b/>
          <w:bCs/>
          <w:szCs w:val="24"/>
        </w:rPr>
      </w:pPr>
      <w:r>
        <w:rPr>
          <w:rFonts w:ascii="Times New Roman" w:hAnsi="Times New Roman"/>
          <w:b/>
          <w:bCs/>
          <w:szCs w:val="24"/>
        </w:rPr>
        <w:t>（二）合同公告</w:t>
      </w:r>
    </w:p>
    <w:p>
      <w:pPr>
        <w:pStyle w:val="21"/>
        <w:snapToGrid w:val="0"/>
        <w:spacing w:before="120" w:line="336" w:lineRule="auto"/>
        <w:ind w:firstLine="415" w:firstLineChars="198"/>
        <w:rPr>
          <w:rFonts w:ascii="Times New Roman" w:hAnsi="Times New Roman"/>
          <w:sz w:val="21"/>
        </w:rPr>
      </w:pPr>
      <w:r>
        <w:rPr>
          <w:rFonts w:ascii="Times New Roman" w:hAnsi="Times New Roman"/>
          <w:sz w:val="21"/>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eastAsia="黑体"/>
          <w:sz w:val="30"/>
        </w:rPr>
      </w:pPr>
    </w:p>
    <w:p>
      <w:pPr>
        <w:pStyle w:val="2"/>
        <w:ind w:firstLine="210"/>
      </w:pPr>
    </w:p>
    <w:p>
      <w:pPr>
        <w:snapToGrid w:val="0"/>
        <w:spacing w:before="120" w:line="360" w:lineRule="auto"/>
        <w:ind w:right="-87"/>
        <w:jc w:val="center"/>
        <w:rPr>
          <w:rFonts w:eastAsia="黑体"/>
          <w:sz w:val="30"/>
        </w:rPr>
      </w:pPr>
      <w:r>
        <w:rPr>
          <w:rFonts w:eastAsia="黑体"/>
          <w:sz w:val="30"/>
        </w:rPr>
        <w:t>第四章评标办法及评分标准</w:t>
      </w:r>
    </w:p>
    <w:p>
      <w:pPr>
        <w:snapToGrid w:val="0"/>
        <w:spacing w:before="120" w:line="336" w:lineRule="auto"/>
        <w:ind w:right="-87" w:firstLine="103" w:firstLineChars="49"/>
        <w:outlineLvl w:val="0"/>
      </w:pPr>
      <w:r>
        <w:rPr>
          <w:b/>
        </w:rPr>
        <w:t>综合评分法</w:t>
      </w:r>
    </w:p>
    <w:p>
      <w:pPr>
        <w:snapToGrid w:val="0"/>
        <w:spacing w:line="336" w:lineRule="auto"/>
        <w:ind w:right="-87" w:firstLine="1299" w:firstLineChars="539"/>
        <w:rPr>
          <w:b/>
          <w:sz w:val="24"/>
          <w:szCs w:val="24"/>
        </w:rPr>
      </w:pPr>
      <w:r>
        <w:rPr>
          <w:b/>
          <w:sz w:val="24"/>
          <w:szCs w:val="24"/>
        </w:rPr>
        <w:t>舟山市食品药品检验检测研究院仪器设备采购项目评标办法</w:t>
      </w:r>
    </w:p>
    <w:p>
      <w:pPr>
        <w:snapToGrid w:val="0"/>
        <w:spacing w:line="336" w:lineRule="auto"/>
        <w:ind w:right="-87" w:firstLine="420"/>
      </w:pPr>
      <w:r>
        <w:t>为公正、公平、科学地选择中标人，根据《中华人民共和国政府采购法》等有关法律法规的规定，并结合本项目的实际，制定本办法。</w:t>
      </w:r>
    </w:p>
    <w:p>
      <w:pPr>
        <w:snapToGrid w:val="0"/>
        <w:spacing w:line="336" w:lineRule="auto"/>
        <w:ind w:right="-87" w:firstLine="420"/>
      </w:pPr>
      <w:r>
        <w:rPr>
          <w:szCs w:val="21"/>
        </w:rPr>
        <w:t>本办法适用于舟山市食品药品检验检测研究院仪器设备采购项目的评标。</w:t>
      </w:r>
    </w:p>
    <w:p>
      <w:pPr>
        <w:snapToGrid w:val="0"/>
        <w:spacing w:line="336" w:lineRule="auto"/>
        <w:ind w:left="756" w:leftChars="114" w:right="-87" w:hanging="517" w:hangingChars="245"/>
        <w:rPr>
          <w:rFonts w:ascii="宋体" w:hAnsi="宋体"/>
        </w:rPr>
      </w:pPr>
      <w:r>
        <w:rPr>
          <w:b/>
        </w:rPr>
        <w:t>中标依据：</w:t>
      </w:r>
      <w:r>
        <w:rPr>
          <w:rFonts w:hint="eastAsia" w:ascii="宋体" w:hAnsi="宋体"/>
        </w:rPr>
        <w:t>在不高于</w:t>
      </w:r>
      <w:r>
        <w:rPr>
          <w:rFonts w:hint="eastAsia" w:ascii="宋体" w:hAnsi="宋体"/>
          <w:u w:val="single" w:color="000000"/>
        </w:rPr>
        <w:t>最高限价</w:t>
      </w:r>
      <w:r>
        <w:rPr>
          <w:rFonts w:hint="eastAsia" w:ascii="宋体" w:hAnsi="宋体"/>
        </w:rPr>
        <w:t>的前提下，</w:t>
      </w:r>
      <w:r>
        <w:rPr>
          <w:rFonts w:hint="eastAsia" w:ascii="宋体" w:hAnsi="宋体"/>
          <w:u w:val="single" w:color="000000"/>
        </w:rPr>
        <w:t>综合评估分</w:t>
      </w:r>
      <w:r>
        <w:rPr>
          <w:rFonts w:hint="eastAsia" w:ascii="宋体" w:hAnsi="宋体"/>
        </w:rPr>
        <w:t>最高者为中标候选人。</w:t>
      </w:r>
    </w:p>
    <w:p>
      <w:pPr>
        <w:snapToGrid w:val="0"/>
        <w:spacing w:line="336" w:lineRule="auto"/>
        <w:ind w:left="756" w:leftChars="114" w:right="-87" w:hanging="517" w:hangingChars="245"/>
        <w:rPr>
          <w:rFonts w:ascii="宋体" w:hAnsi="宋体"/>
          <w:b/>
          <w:u w:val="single"/>
        </w:rPr>
      </w:pPr>
      <w:r>
        <w:rPr>
          <w:rFonts w:hint="eastAsia" w:ascii="宋体" w:hAnsi="宋体"/>
          <w:b/>
          <w:u w:val="single"/>
        </w:rPr>
        <w:t>最高限价：预算金额。</w:t>
      </w:r>
    </w:p>
    <w:p>
      <w:pPr>
        <w:snapToGrid w:val="0"/>
        <w:spacing w:line="336" w:lineRule="auto"/>
        <w:ind w:left="756" w:leftChars="114" w:right="-87" w:hanging="517" w:hangingChars="245"/>
        <w:rPr>
          <w:b/>
        </w:rPr>
      </w:pPr>
      <w:r>
        <w:rPr>
          <w:b/>
        </w:rPr>
        <w:t>报价的计分方法：</w:t>
      </w:r>
    </w:p>
    <w:p>
      <w:pPr>
        <w:autoSpaceDE w:val="0"/>
        <w:autoSpaceDN w:val="0"/>
        <w:adjustRightInd w:val="0"/>
        <w:snapToGrid w:val="0"/>
        <w:spacing w:line="336" w:lineRule="auto"/>
        <w:ind w:right="-87" w:firstLine="411" w:firstLineChars="196"/>
        <w:rPr>
          <w:lang w:val="zh-CN"/>
        </w:rPr>
      </w:pPr>
      <w:r>
        <w:rPr>
          <w:lang w:val="zh-CN"/>
        </w:rPr>
        <w:t>满足投标文件要求且投标</w:t>
      </w:r>
      <w:r>
        <w:rPr>
          <w:rFonts w:hint="eastAsia"/>
          <w:lang w:val="zh-CN"/>
        </w:rPr>
        <w:t>综合单价</w:t>
      </w:r>
      <w:r>
        <w:rPr>
          <w:lang w:val="zh-CN"/>
        </w:rPr>
        <w:t>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lang w:val="zh-CN"/>
        </w:rPr>
      </w:pPr>
      <w:r>
        <w:rPr>
          <w:lang w:val="zh-CN"/>
        </w:rPr>
        <w:t>价格得分＝（评标基准价/投标报价）×价格权重×100。</w:t>
      </w:r>
    </w:p>
    <w:tbl>
      <w:tblPr>
        <w:tblStyle w:val="37"/>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pPr>
            <w:r>
              <w:rPr>
                <w:lang w:val="zh-CN"/>
              </w:rPr>
              <w:t>评价指标和各评价权重指标：</w:t>
            </w:r>
            <w:r>
              <w:t>评标指标</w:t>
            </w:r>
          </w:p>
        </w:tc>
        <w:tc>
          <w:tcPr>
            <w:tcW w:w="2700" w:type="dxa"/>
            <w:vAlign w:val="center"/>
          </w:tcPr>
          <w:p>
            <w:pPr>
              <w:spacing w:line="336" w:lineRule="auto"/>
              <w:ind w:right="-341"/>
              <w:jc w:val="center"/>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pPr>
            <w:r>
              <w:t>商务、技术部分</w:t>
            </w:r>
          </w:p>
        </w:tc>
        <w:tc>
          <w:tcPr>
            <w:tcW w:w="2700" w:type="dxa"/>
            <w:vAlign w:val="center"/>
          </w:tcPr>
          <w:p>
            <w:pPr>
              <w:spacing w:line="336" w:lineRule="auto"/>
              <w:ind w:right="-341"/>
              <w:jc w:val="center"/>
            </w:pPr>
            <w:r>
              <w:t>7</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pPr>
              <w:spacing w:line="336" w:lineRule="auto"/>
              <w:ind w:right="-341"/>
              <w:jc w:val="center"/>
            </w:pPr>
            <w:r>
              <w:t>投标报价</w:t>
            </w:r>
          </w:p>
        </w:tc>
        <w:tc>
          <w:tcPr>
            <w:tcW w:w="2700" w:type="dxa"/>
            <w:vAlign w:val="center"/>
          </w:tcPr>
          <w:p>
            <w:pPr>
              <w:spacing w:line="336" w:lineRule="auto"/>
              <w:ind w:right="-341"/>
              <w:jc w:val="center"/>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pPr>
            <w:r>
              <w:t>合计</w:t>
            </w:r>
          </w:p>
        </w:tc>
        <w:tc>
          <w:tcPr>
            <w:tcW w:w="2700" w:type="dxa"/>
            <w:vAlign w:val="center"/>
          </w:tcPr>
          <w:p>
            <w:pPr>
              <w:spacing w:line="336" w:lineRule="auto"/>
              <w:ind w:right="-341"/>
              <w:jc w:val="center"/>
            </w:pPr>
            <w:r>
              <w:t>100</w:t>
            </w:r>
          </w:p>
        </w:tc>
      </w:tr>
    </w:tbl>
    <w:p>
      <w:pPr>
        <w:autoSpaceDE w:val="0"/>
        <w:autoSpaceDN w:val="0"/>
        <w:adjustRightInd w:val="0"/>
        <w:spacing w:line="336" w:lineRule="auto"/>
        <w:ind w:right="-341" w:firstLine="424" w:firstLineChars="202"/>
      </w:pPr>
      <w:r>
        <w:t>综合评估分=商务技术得分＋价格得分(评分过程中采用四舍五入法，并保留小数2位)</w:t>
      </w:r>
    </w:p>
    <w:p>
      <w:pPr>
        <w:autoSpaceDE w:val="0"/>
        <w:autoSpaceDN w:val="0"/>
        <w:adjustRightInd w:val="0"/>
        <w:spacing w:line="336" w:lineRule="auto"/>
        <w:ind w:right="-341" w:firstLine="424" w:firstLineChars="202"/>
      </w:pPr>
      <w: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b/>
        </w:rPr>
      </w:pPr>
      <w:r>
        <w:rPr>
          <w:b/>
        </w:rPr>
        <w:t>候选中标商的选取</w:t>
      </w:r>
    </w:p>
    <w:p>
      <w:pPr>
        <w:spacing w:line="336" w:lineRule="auto"/>
        <w:ind w:right="-341" w:firstLine="525" w:firstLineChars="250"/>
        <w:rPr>
          <w:b/>
          <w:sz w:val="28"/>
          <w:szCs w:val="28"/>
          <w:lang w:val="zh-CN"/>
        </w:rPr>
      </w:pPr>
      <w:r>
        <w:t>按照综合评估分名次推荐候选中标人1名。</w:t>
      </w:r>
    </w:p>
    <w:p>
      <w:pPr>
        <w:pStyle w:val="2"/>
        <w:ind w:firstLine="210"/>
        <w:rPr>
          <w:rFonts w:hAnsi="Times New Roman"/>
          <w:lang w:val="zh-CN"/>
        </w:rPr>
      </w:pPr>
    </w:p>
    <w:p>
      <w:pPr>
        <w:spacing w:line="288" w:lineRule="auto"/>
        <w:ind w:right="-341"/>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spacing w:line="288" w:lineRule="auto"/>
        <w:ind w:right="-341"/>
        <w:jc w:val="center"/>
        <w:rPr>
          <w:b/>
          <w:sz w:val="24"/>
          <w:szCs w:val="24"/>
        </w:rPr>
      </w:pPr>
    </w:p>
    <w:p>
      <w:pPr>
        <w:pStyle w:val="2"/>
        <w:ind w:firstLine="210"/>
      </w:pPr>
    </w:p>
    <w:p/>
    <w:p>
      <w:pPr>
        <w:spacing w:line="288" w:lineRule="auto"/>
        <w:ind w:right="-341"/>
        <w:jc w:val="center"/>
        <w:rPr>
          <w:szCs w:val="21"/>
        </w:rPr>
      </w:pPr>
      <w:r>
        <w:rPr>
          <w:b/>
          <w:sz w:val="24"/>
          <w:szCs w:val="24"/>
        </w:rPr>
        <w:t>舟山市食品药品检验检测研究院仪器设备采购项目评分表</w:t>
      </w:r>
    </w:p>
    <w:p>
      <w:pPr>
        <w:spacing w:line="288" w:lineRule="auto"/>
        <w:ind w:right="-341"/>
        <w:jc w:val="left"/>
        <w:rPr>
          <w:b/>
          <w:szCs w:val="21"/>
        </w:rPr>
      </w:pPr>
    </w:p>
    <w:p>
      <w:pPr>
        <w:spacing w:line="288" w:lineRule="auto"/>
        <w:ind w:right="-341"/>
        <w:jc w:val="left"/>
        <w:rPr>
          <w:rFonts w:asciiTheme="minorEastAsia" w:hAnsiTheme="minorEastAsia" w:eastAsiaTheme="minorEastAsia"/>
          <w:b/>
          <w:szCs w:val="21"/>
        </w:rPr>
      </w:pPr>
      <w:r>
        <w:rPr>
          <w:rFonts w:asciiTheme="minorEastAsia" w:hAnsiTheme="minorEastAsia" w:eastAsiaTheme="minorEastAsia"/>
          <w:b/>
          <w:szCs w:val="21"/>
        </w:rPr>
        <w:t>项目名称：舟山市食品药品检验检测研究院仪器设备采购项目</w:t>
      </w:r>
    </w:p>
    <w:p>
      <w:pPr>
        <w:spacing w:line="360" w:lineRule="auto"/>
        <w:ind w:right="-341"/>
        <w:jc w:val="left"/>
        <w:rPr>
          <w:rFonts w:hAnsi="宋体" w:eastAsiaTheme="minorEastAsia"/>
          <w:szCs w:val="21"/>
        </w:rPr>
      </w:pPr>
      <w:r>
        <w:rPr>
          <w:rFonts w:asciiTheme="minorEastAsia" w:hAnsiTheme="minorEastAsia" w:eastAsiaTheme="minorEastAsia"/>
          <w:b/>
          <w:szCs w:val="21"/>
        </w:rPr>
        <w:t>招标编号：</w:t>
      </w:r>
      <w:r>
        <w:rPr>
          <w:rFonts w:hint="eastAsia" w:asciiTheme="minorEastAsia" w:hAnsiTheme="minorEastAsia" w:eastAsiaTheme="minorEastAsia"/>
          <w:b/>
          <w:szCs w:val="21"/>
        </w:rPr>
        <w:t>SZGXZS2022129</w:t>
      </w:r>
    </w:p>
    <w:tbl>
      <w:tblPr>
        <w:tblStyle w:val="3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65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评审项目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评审内容</w:t>
            </w:r>
          </w:p>
        </w:tc>
        <w:tc>
          <w:tcPr>
            <w:tcW w:w="6543"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center"/>
              <w:rPr>
                <w:rFonts w:ascii="宋体" w:hAnsi="宋体"/>
              </w:rPr>
            </w:pPr>
            <w:r>
              <w:rPr>
                <w:rFonts w:hint="eastAsia" w:ascii="宋体" w:hAnsi="宋体"/>
              </w:rPr>
              <w:t>评分标准</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pPr>
              <w:spacing w:line="288" w:lineRule="auto"/>
              <w:jc w:val="center"/>
              <w:rPr>
                <w:rFonts w:ascii="宋体" w:hAnsi="宋体"/>
              </w:rPr>
            </w:pPr>
            <w:r>
              <w:rPr>
                <w:rFonts w:hint="eastAsia" w:ascii="宋体" w:hAnsi="宋体"/>
              </w:rPr>
              <w:t>商务技术</w:t>
            </w:r>
          </w:p>
          <w:p>
            <w:pPr>
              <w:spacing w:line="288" w:lineRule="auto"/>
              <w:jc w:val="center"/>
              <w:rPr>
                <w:rFonts w:ascii="宋体" w:hAnsi="宋体"/>
              </w:rPr>
            </w:pPr>
            <w:r>
              <w:rPr>
                <w:rFonts w:hint="eastAsia" w:ascii="宋体" w:hAnsi="宋体"/>
              </w:rPr>
              <w:t>得分</w:t>
            </w:r>
          </w:p>
          <w:p>
            <w:pPr>
              <w:spacing w:line="288" w:lineRule="auto"/>
              <w:jc w:val="center"/>
              <w:rPr>
                <w:rFonts w:ascii="宋体" w:hAnsi="宋体"/>
              </w:rPr>
            </w:pPr>
            <w:r>
              <w:rPr>
                <w:rFonts w:hint="eastAsia" w:ascii="宋体" w:hAnsi="宋体"/>
              </w:rPr>
              <w:t>（70分）</w:t>
            </w:r>
          </w:p>
        </w:tc>
        <w:tc>
          <w:tcPr>
            <w:tcW w:w="1134" w:type="dxa"/>
            <w:tcBorders>
              <w:top w:val="single" w:color="auto" w:sz="4" w:space="0"/>
              <w:left w:val="single" w:color="auto" w:sz="4" w:space="0"/>
              <w:right w:val="single" w:color="auto" w:sz="4" w:space="0"/>
            </w:tcBorders>
            <w:shd w:val="clear" w:color="auto" w:fill="auto"/>
            <w:noWrap/>
            <w:vAlign w:val="center"/>
          </w:tcPr>
          <w:p>
            <w:pPr>
              <w:spacing w:line="288" w:lineRule="auto"/>
              <w:jc w:val="center"/>
              <w:rPr>
                <w:rFonts w:ascii="宋体" w:hAnsi="宋体"/>
              </w:rPr>
            </w:pPr>
            <w:r>
              <w:rPr>
                <w:rFonts w:hint="eastAsia" w:ascii="宋体" w:hAnsi="宋体"/>
              </w:rPr>
              <w:t>成功案例（3分）</w:t>
            </w:r>
          </w:p>
        </w:tc>
        <w:tc>
          <w:tcPr>
            <w:tcW w:w="6543" w:type="dxa"/>
            <w:tcBorders>
              <w:top w:val="single" w:color="auto" w:sz="4" w:space="0"/>
              <w:left w:val="single" w:color="auto" w:sz="4" w:space="0"/>
              <w:right w:val="single" w:color="auto" w:sz="4" w:space="0"/>
            </w:tcBorders>
            <w:shd w:val="clear" w:color="auto" w:fill="FFFFFF"/>
            <w:noWrap/>
            <w:vAlign w:val="center"/>
          </w:tcPr>
          <w:p>
            <w:pPr>
              <w:spacing w:line="288" w:lineRule="auto"/>
              <w:rPr>
                <w:rFonts w:ascii="宋体" w:hAnsi="宋体"/>
              </w:rPr>
            </w:pPr>
            <w:r>
              <w:rPr>
                <w:rFonts w:hint="eastAsia" w:ascii="宋体" w:hAnsi="宋体"/>
              </w:rPr>
              <w:t>2020年1月1日以来同类设备项目成功案例，每提供一个得1分，最高得</w:t>
            </w:r>
            <w:r>
              <w:rPr>
                <w:rFonts w:ascii="宋体" w:hAnsi="宋体"/>
              </w:rPr>
              <w:t>3</w:t>
            </w:r>
            <w:r>
              <w:rPr>
                <w:rFonts w:hint="eastAsia" w:ascii="宋体" w:hAnsi="宋体"/>
              </w:rPr>
              <w:t>分；（须提供合同复印件并加盖公章）</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vMerge w:val="restart"/>
            <w:tcBorders>
              <w:top w:val="single" w:color="auto" w:sz="4" w:space="0"/>
              <w:left w:val="single" w:color="auto" w:sz="4" w:space="0"/>
              <w:right w:val="single" w:color="auto" w:sz="4" w:space="0"/>
            </w:tcBorders>
            <w:noWrap/>
            <w:vAlign w:val="center"/>
          </w:tcPr>
          <w:p>
            <w:pPr>
              <w:spacing w:line="288" w:lineRule="auto"/>
              <w:jc w:val="center"/>
              <w:rPr>
                <w:rFonts w:ascii="宋体" w:hAnsi="宋体"/>
              </w:rPr>
            </w:pPr>
            <w:r>
              <w:rPr>
                <w:rFonts w:hint="eastAsia" w:ascii="宋体" w:hAnsi="宋体"/>
              </w:rPr>
              <w:t>投标产品的性能与需求的吻合程度</w:t>
            </w:r>
          </w:p>
          <w:p>
            <w:pPr>
              <w:spacing w:line="288" w:lineRule="auto"/>
              <w:jc w:val="center"/>
              <w:rPr>
                <w:rFonts w:ascii="宋体" w:hAnsi="宋体"/>
              </w:rPr>
            </w:pPr>
            <w:r>
              <w:rPr>
                <w:rFonts w:hint="eastAsia" w:ascii="宋体" w:hAnsi="宋体"/>
              </w:rPr>
              <w:t>（</w:t>
            </w:r>
            <w:r>
              <w:rPr>
                <w:rFonts w:ascii="宋体" w:hAnsi="宋体"/>
              </w:rPr>
              <w:t>45</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rPr>
                <w:szCs w:val="21"/>
                <w:lang w:val="zh-CN"/>
              </w:rPr>
            </w:pPr>
            <w:r>
              <w:rPr>
                <w:rFonts w:hint="eastAsia"/>
                <w:szCs w:val="21"/>
                <w:lang w:val="zh-CN"/>
              </w:rPr>
              <w:t>投标产品的基本功能、技术指标与需求的吻合程度和偏差情况（包括所投标产品的品牌、规格型号、详细配置、主要技术参数、随机软件等）。</w:t>
            </w:r>
          </w:p>
          <w:p>
            <w:pPr>
              <w:pStyle w:val="2"/>
              <w:ind w:firstLine="0" w:firstLineChars="0"/>
              <w:rPr>
                <w:szCs w:val="21"/>
                <w:lang w:val="zh-CN"/>
              </w:rPr>
            </w:pPr>
            <w:r>
              <w:rPr>
                <w:rFonts w:hint="eastAsia"/>
                <w:szCs w:val="21"/>
                <w:lang w:val="zh-CN"/>
              </w:rPr>
              <w:t>技术指标完全满足招标文件要求得</w:t>
            </w:r>
            <w:r>
              <w:rPr>
                <w:szCs w:val="21"/>
                <w:lang w:val="zh-CN"/>
              </w:rPr>
              <w:t>40</w:t>
            </w:r>
            <w:r>
              <w:rPr>
                <w:rFonts w:hint="eastAsia"/>
                <w:szCs w:val="21"/>
                <w:lang w:val="zh-CN"/>
              </w:rPr>
              <w:t>分；</w:t>
            </w:r>
          </w:p>
          <w:p>
            <w:pPr>
              <w:pStyle w:val="2"/>
              <w:ind w:firstLine="0" w:firstLineChars="0"/>
              <w:rPr>
                <w:lang w:val="zh-CN"/>
              </w:rPr>
            </w:pPr>
            <w:r>
              <w:rPr>
                <w:rFonts w:hint="eastAsia"/>
                <w:szCs w:val="21"/>
                <w:lang w:val="zh-CN"/>
              </w:rPr>
              <w:t>技术指标打“</w:t>
            </w:r>
            <w:r>
              <w:rPr>
                <w:rFonts w:hint="eastAsia" w:ascii="宋体" w:cs="宋体"/>
              </w:rPr>
              <w:t>▲</w:t>
            </w:r>
            <w:r>
              <w:rPr>
                <w:rFonts w:hint="eastAsia"/>
                <w:szCs w:val="21"/>
                <w:lang w:val="zh-CN"/>
              </w:rPr>
              <w:t>”的，每负偏离一项扣</w:t>
            </w:r>
            <w:r>
              <w:rPr>
                <w:szCs w:val="21"/>
                <w:lang w:val="zh-CN"/>
              </w:rPr>
              <w:t>2</w:t>
            </w:r>
            <w:r>
              <w:rPr>
                <w:rFonts w:hint="eastAsia"/>
                <w:szCs w:val="21"/>
                <w:lang w:val="zh-CN"/>
              </w:rPr>
              <w:t>分，其它技术指标每负偏离一项扣</w:t>
            </w:r>
            <w:r>
              <w:rPr>
                <w:szCs w:val="21"/>
                <w:lang w:val="zh-CN"/>
              </w:rPr>
              <w:t>1</w:t>
            </w:r>
            <w:r>
              <w:rPr>
                <w:rFonts w:hint="eastAsia"/>
                <w:szCs w:val="21"/>
                <w:lang w:val="zh-CN"/>
              </w:rPr>
              <w:t>分，扣完为止。</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6543" w:type="dxa"/>
            <w:tcBorders>
              <w:top w:val="single" w:color="auto" w:sz="4" w:space="0"/>
              <w:left w:val="single" w:color="auto" w:sz="4" w:space="0"/>
              <w:right w:val="single" w:color="auto" w:sz="4" w:space="0"/>
            </w:tcBorders>
            <w:noWrap/>
            <w:vAlign w:val="center"/>
          </w:tcPr>
          <w:p>
            <w:pPr>
              <w:rPr>
                <w:rFonts w:asciiTheme="minorEastAsia" w:hAnsiTheme="minorEastAsia" w:eastAsiaTheme="minorEastAsia"/>
                <w:szCs w:val="21"/>
              </w:rPr>
            </w:pPr>
            <w:r>
              <w:rPr>
                <w:rFonts w:hint="eastAsia" w:asciiTheme="minorEastAsia" w:hAnsiTheme="minorEastAsia" w:eastAsiaTheme="minorEastAsia"/>
                <w:szCs w:val="21"/>
              </w:rPr>
              <w:t>技术方案条理清晰，层次分明，操作性强, 其配置和性能完全满足本项目运行的需求：</w:t>
            </w:r>
            <w:r>
              <w:rPr>
                <w:rFonts w:asciiTheme="minorEastAsia" w:hAnsiTheme="minorEastAsia" w:eastAsiaTheme="minorEastAsia"/>
                <w:szCs w:val="21"/>
              </w:rPr>
              <w:t>4-5</w:t>
            </w:r>
            <w:r>
              <w:rPr>
                <w:rFonts w:hint="eastAsia" w:asciiTheme="minorEastAsia" w:hAnsiTheme="minorEastAsia" w:eastAsiaTheme="minorEastAsia"/>
                <w:szCs w:val="21"/>
              </w:rPr>
              <w:t>分；</w:t>
            </w:r>
          </w:p>
          <w:p>
            <w:pPr>
              <w:rPr>
                <w:rFonts w:asciiTheme="minorEastAsia" w:hAnsiTheme="minorEastAsia" w:eastAsiaTheme="minorEastAsia"/>
                <w:szCs w:val="21"/>
              </w:rPr>
            </w:pPr>
            <w:r>
              <w:rPr>
                <w:rFonts w:hint="eastAsia" w:asciiTheme="minorEastAsia" w:hAnsiTheme="minorEastAsia" w:eastAsiaTheme="minorEastAsia"/>
                <w:szCs w:val="21"/>
              </w:rPr>
              <w:t>技术方案条理较清晰，层次较分明，基本能满足招标要求：</w:t>
            </w:r>
            <w:r>
              <w:rPr>
                <w:rFonts w:asciiTheme="minorEastAsia" w:hAnsiTheme="minorEastAsia" w:eastAsiaTheme="minorEastAsia"/>
                <w:szCs w:val="21"/>
              </w:rPr>
              <w:t>1-2</w:t>
            </w:r>
            <w:r>
              <w:rPr>
                <w:rFonts w:hint="eastAsia" w:asciiTheme="minorEastAsia" w:hAnsiTheme="minorEastAsia" w:eastAsiaTheme="minorEastAsia"/>
                <w:szCs w:val="21"/>
              </w:rPr>
              <w:t>分；</w:t>
            </w:r>
          </w:p>
          <w:p>
            <w:pPr>
              <w:rPr>
                <w:rFonts w:ascii="宋体" w:hAnsi="宋体"/>
                <w:szCs w:val="21"/>
              </w:rPr>
            </w:pPr>
            <w:r>
              <w:rPr>
                <w:rFonts w:hint="eastAsia" w:asciiTheme="minorEastAsia" w:hAnsiTheme="minorEastAsia" w:eastAsiaTheme="minorEastAsia"/>
                <w:kern w:val="0"/>
                <w:szCs w:val="21"/>
              </w:rPr>
              <w:t>完全不满足的不得分。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spacing w:line="288" w:lineRule="auto"/>
              <w:jc w:val="center"/>
              <w:rPr>
                <w:rFonts w:ascii="宋体" w:hAnsi="宋体"/>
              </w:rPr>
            </w:pPr>
            <w:r>
              <w:rPr>
                <w:rFonts w:hint="eastAsia" w:ascii="宋体" w:hAnsi="宋体"/>
              </w:rPr>
              <w:t>组织实施方案</w:t>
            </w:r>
          </w:p>
          <w:p>
            <w:pPr>
              <w:spacing w:line="288" w:lineRule="auto"/>
              <w:jc w:val="center"/>
              <w:rPr>
                <w:rFonts w:ascii="宋体" w:hAnsi="宋体"/>
              </w:rPr>
            </w:pPr>
            <w:r>
              <w:rPr>
                <w:rFonts w:hint="eastAsia" w:ascii="宋体" w:hAnsi="宋体"/>
              </w:rPr>
              <w:t>（</w:t>
            </w:r>
            <w:r>
              <w:rPr>
                <w:rFonts w:ascii="宋体" w:hAnsi="宋体"/>
              </w:rPr>
              <w:t>6</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投标人组织实施方案的完整性、合理性、规范性和可操作性，包括系统集成、产品供货、验货：</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方案针对需求，切合实际，完整合理，内容严谨的：</w:t>
            </w:r>
            <w:r>
              <w:rPr>
                <w:rFonts w:asciiTheme="minorEastAsia" w:hAnsiTheme="minorEastAsia" w:eastAsiaTheme="minorEastAsia"/>
                <w:szCs w:val="21"/>
              </w:rPr>
              <w:t xml:space="preserve"> </w:t>
            </w:r>
            <w:r>
              <w:rPr>
                <w:rFonts w:hint="eastAsia" w:asciiTheme="minorEastAsia" w:hAnsiTheme="minorEastAsia" w:eastAsiaTheme="minorEastAsia"/>
                <w:szCs w:val="21"/>
              </w:rPr>
              <w:t>5</w:t>
            </w:r>
            <w:r>
              <w:rPr>
                <w:rFonts w:asciiTheme="minorEastAsia" w:hAnsiTheme="minorEastAsia" w:eastAsiaTheme="minorEastAsia"/>
                <w:szCs w:val="21"/>
              </w:rPr>
              <w:t>-6</w:t>
            </w:r>
            <w:r>
              <w:rPr>
                <w:rFonts w:hint="eastAsia" w:asciiTheme="minorEastAsia" w:hAnsiTheme="minorEastAsia" w:eastAsiaTheme="minorEastAsia"/>
                <w:szCs w:val="21"/>
              </w:rPr>
              <w:t>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项目方案需求理解有偏差，符合实际，合理性较弱，内容基本符合要求的3-4分；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与需求偏离较大，不切合实际，合理性差，内容冗杂的1-2分；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不满足招标文件要求的，不得分。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rPr>
            </w:pPr>
            <w:r>
              <w:rPr>
                <w:rFonts w:hint="eastAsia" w:ascii="宋体" w:hAnsi="宋体"/>
              </w:rPr>
              <w:t>售后服务方案情况（</w:t>
            </w:r>
            <w:r>
              <w:rPr>
                <w:rFonts w:ascii="宋体" w:hAnsi="宋体"/>
              </w:rPr>
              <w:t>6</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投标人提供服务响应时间、售后维护机构和人员等情况，售后服务承诺的可行性、完整性以及服务承诺落实的保障措施等情况；对该项目提供全程的维修服务和系统保障。</w:t>
            </w:r>
          </w:p>
          <w:p>
            <w:pPr>
              <w:adjustRightInd w:val="0"/>
              <w:snapToGrid w:val="0"/>
              <w:spacing w:line="288"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售后服务方案完整可行，保障措施全面：</w:t>
            </w:r>
            <w:r>
              <w:rPr>
                <w:rFonts w:asciiTheme="minorEastAsia" w:hAnsiTheme="minorEastAsia"/>
                <w:szCs w:val="21"/>
              </w:rPr>
              <w:t>3</w:t>
            </w:r>
            <w:r>
              <w:rPr>
                <w:rFonts w:hint="eastAsia" w:asciiTheme="minorEastAsia" w:hAnsiTheme="minorEastAsia"/>
                <w:szCs w:val="21"/>
              </w:rPr>
              <w:t>分，</w:t>
            </w:r>
          </w:p>
          <w:p>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售后服务方案较完整，有一定的针对性：</w:t>
            </w:r>
            <w:r>
              <w:rPr>
                <w:rFonts w:asciiTheme="minorEastAsia" w:hAnsiTheme="minorEastAsia" w:eastAsiaTheme="minorEastAsia"/>
                <w:szCs w:val="21"/>
              </w:rPr>
              <w:t>1-2</w:t>
            </w:r>
            <w:r>
              <w:rPr>
                <w:rFonts w:hint="eastAsia" w:asciiTheme="minorEastAsia" w:hAnsiTheme="minorEastAsia" w:eastAsiaTheme="minorEastAsia"/>
                <w:szCs w:val="21"/>
              </w:rPr>
              <w:t>分，</w:t>
            </w:r>
          </w:p>
          <w:p>
            <w:pPr>
              <w:adjustRightInd w:val="0"/>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不满足招标文件要求的，不得分。</w:t>
            </w:r>
          </w:p>
          <w:p>
            <w:r>
              <w:rPr>
                <w:rFonts w:hint="eastAsia"/>
              </w:rPr>
              <w:t>2</w:t>
            </w:r>
            <w:r>
              <w:t xml:space="preserve">. </w:t>
            </w:r>
            <w:r>
              <w:rPr>
                <w:rFonts w:hint="eastAsia"/>
              </w:rPr>
              <w:t>在免费质保期的基础上，每延长一年加</w:t>
            </w:r>
            <w:r>
              <w:t>1</w:t>
            </w:r>
            <w:r>
              <w:rPr>
                <w:rFonts w:hint="eastAsia"/>
              </w:rPr>
              <w:t>分，最高得</w:t>
            </w:r>
            <w:r>
              <w:t>3</w:t>
            </w:r>
            <w:r>
              <w:rPr>
                <w:rFonts w:hint="eastAsia"/>
              </w:rPr>
              <w:t>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rPr>
            </w:pPr>
            <w:r>
              <w:rPr>
                <w:rFonts w:hint="eastAsia" w:ascii="宋体" w:hAnsi="宋体"/>
              </w:rPr>
              <w:t>培训、测试、试运转、验收（</w:t>
            </w:r>
            <w:r>
              <w:rPr>
                <w:rFonts w:ascii="宋体" w:hAnsi="宋体"/>
              </w:rPr>
              <w:t>5</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szCs w:val="21"/>
              </w:rPr>
            </w:pPr>
            <w:r>
              <w:rPr>
                <w:rFonts w:hint="eastAsia"/>
                <w:szCs w:val="21"/>
              </w:rPr>
              <w:t>投标人提出的功能测试、试运转及验收方案，培训计划完整合理；方案合理、可行，</w:t>
            </w:r>
            <w:r>
              <w:rPr>
                <w:szCs w:val="21"/>
              </w:rPr>
              <w:t>4-5</w:t>
            </w:r>
            <w:r>
              <w:rPr>
                <w:rFonts w:hint="eastAsia"/>
                <w:szCs w:val="21"/>
              </w:rPr>
              <w:t>分，方案较合理、可行：1-2分，不满足招标文件要求的，不得分。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rPr>
                <w:rFonts w:ascii="宋体" w:hAnsi="宋体"/>
              </w:rPr>
            </w:pP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rPr>
            </w:pPr>
            <w:r>
              <w:rPr>
                <w:rFonts w:hint="eastAsia" w:ascii="宋体" w:hAnsi="宋体"/>
              </w:rPr>
              <w:t>质量保证措施和交货情况</w:t>
            </w:r>
          </w:p>
          <w:p>
            <w:pPr>
              <w:jc w:val="center"/>
              <w:rPr>
                <w:rFonts w:ascii="宋体" w:hAnsi="宋体"/>
              </w:rPr>
            </w:pPr>
            <w:r>
              <w:rPr>
                <w:rFonts w:hint="eastAsia" w:ascii="宋体" w:hAnsi="宋体"/>
              </w:rPr>
              <w:t>（</w:t>
            </w:r>
            <w:r>
              <w:rPr>
                <w:rFonts w:ascii="宋体" w:hAnsi="宋体"/>
              </w:rPr>
              <w:t>5</w:t>
            </w:r>
            <w:r>
              <w:rPr>
                <w:rFonts w:hint="eastAsia" w:ascii="宋体" w:hAnsi="宋体"/>
              </w:rPr>
              <w:t>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szCs w:val="21"/>
              </w:rPr>
            </w:pPr>
            <w:r>
              <w:rPr>
                <w:rFonts w:hint="eastAsia"/>
                <w:szCs w:val="21"/>
              </w:rPr>
              <w:t xml:space="preserve">有明确的建设质量目标，按期完成设备供货、系统集成、运行、验收等措施：实施内容详细可行，针对性很强： </w:t>
            </w:r>
            <w:r>
              <w:rPr>
                <w:szCs w:val="21"/>
              </w:rPr>
              <w:t>4-5</w:t>
            </w:r>
            <w:r>
              <w:rPr>
                <w:rFonts w:hint="eastAsia"/>
                <w:szCs w:val="21"/>
              </w:rPr>
              <w:t>分，实施内容较详细可行，有一定的针对性：1-2分，没有不得分。</w:t>
            </w:r>
          </w:p>
        </w:tc>
        <w:tc>
          <w:tcPr>
            <w:tcW w:w="709" w:type="dxa"/>
            <w:tcBorders>
              <w:top w:val="single" w:color="auto" w:sz="4" w:space="0"/>
              <w:left w:val="single" w:color="auto" w:sz="4" w:space="0"/>
              <w:right w:val="single" w:color="auto" w:sz="4" w:space="0"/>
            </w:tcBorders>
            <w:noWrap/>
            <w:vAlign w:val="center"/>
          </w:tcPr>
          <w:p>
            <w:pPr>
              <w:ind w:firstLine="210" w:firstLineChars="1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pPr>
              <w:widowControl/>
              <w:spacing w:line="288" w:lineRule="auto"/>
              <w:ind w:right="-341"/>
              <w:rPr>
                <w:rFonts w:ascii="宋体" w:hAnsi="宋体"/>
              </w:rPr>
            </w:pPr>
            <w:r>
              <w:rPr>
                <w:rFonts w:hint="eastAsia" w:ascii="宋体" w:hAnsi="宋体"/>
              </w:rPr>
              <w:t>价格得分</w:t>
            </w:r>
          </w:p>
          <w:p>
            <w:pPr>
              <w:widowControl/>
              <w:spacing w:line="288" w:lineRule="auto"/>
              <w:ind w:right="-341"/>
              <w:rPr>
                <w:rFonts w:ascii="宋体" w:hAnsi="宋体"/>
              </w:rPr>
            </w:pPr>
            <w:r>
              <w:rPr>
                <w:rFonts w:hint="eastAsia" w:ascii="宋体" w:hAnsi="宋体"/>
              </w:rPr>
              <w:t>（30分）</w:t>
            </w:r>
          </w:p>
        </w:tc>
        <w:tc>
          <w:tcPr>
            <w:tcW w:w="7677" w:type="dxa"/>
            <w:gridSpan w:val="2"/>
            <w:tcBorders>
              <w:top w:val="single" w:color="auto" w:sz="4" w:space="0"/>
              <w:left w:val="single" w:color="auto" w:sz="4" w:space="0"/>
              <w:bottom w:val="single" w:color="auto" w:sz="4" w:space="0"/>
              <w:right w:val="single" w:color="auto" w:sz="4" w:space="0"/>
            </w:tcBorders>
            <w:noWrap/>
            <w:vAlign w:val="center"/>
          </w:tcPr>
          <w:p>
            <w:pPr>
              <w:spacing w:line="288" w:lineRule="auto"/>
              <w:ind w:right="-341"/>
              <w:rPr>
                <w:rFonts w:ascii="宋体" w:hAnsi="宋体"/>
              </w:rPr>
            </w:pPr>
            <w:r>
              <w:rPr>
                <w:rFonts w:hint="eastAsia" w:ascii="宋体" w:hAnsi="宋体"/>
              </w:rPr>
              <w:t>满足招标文件要求且价格最低的投标价为基准价，其价格分为满分。其他投标人的价格分统一按照下列公式计算：价格分=(基准价／投标报价)×价格权值×100。</w:t>
            </w:r>
          </w:p>
        </w:tc>
        <w:tc>
          <w:tcPr>
            <w:tcW w:w="709" w:type="dxa"/>
            <w:tcBorders>
              <w:top w:val="single" w:color="auto" w:sz="4" w:space="0"/>
              <w:left w:val="single" w:color="auto" w:sz="4" w:space="0"/>
              <w:bottom w:val="single" w:color="auto" w:sz="4" w:space="0"/>
              <w:right w:val="single" w:color="auto" w:sz="4" w:space="0"/>
            </w:tcBorders>
            <w:noWrap/>
          </w:tcPr>
          <w:p>
            <w:pPr>
              <w:ind w:firstLine="210" w:firstLineChars="100"/>
              <w:rPr>
                <w:rFonts w:ascii="宋体" w:hAnsi="宋体"/>
              </w:rPr>
            </w:pPr>
          </w:p>
        </w:tc>
      </w:tr>
    </w:tbl>
    <w:p>
      <w:pPr>
        <w:spacing w:line="440" w:lineRule="exact"/>
        <w:jc w:val="center"/>
        <w:rPr>
          <w:rFonts w:eastAsia="黑体"/>
          <w:sz w:val="30"/>
        </w:rPr>
      </w:pPr>
    </w:p>
    <w:p>
      <w:pPr>
        <w:spacing w:line="440" w:lineRule="exact"/>
        <w:jc w:val="center"/>
        <w:rPr>
          <w:rFonts w:eastAsia="黑体"/>
          <w:sz w:val="30"/>
        </w:rPr>
      </w:pPr>
    </w:p>
    <w:p>
      <w:pPr>
        <w:spacing w:line="440" w:lineRule="exact"/>
        <w:jc w:val="center"/>
        <w:rPr>
          <w:rFonts w:eastAsia="黑体"/>
          <w:sz w:val="30"/>
        </w:rPr>
      </w:pPr>
      <w:r>
        <w:rPr>
          <w:rFonts w:eastAsia="黑体"/>
          <w:sz w:val="30"/>
        </w:rPr>
        <w:t>第五章合同主要条款</w:t>
      </w:r>
      <w:bookmarkEnd w:id="0"/>
    </w:p>
    <w:p>
      <w:pPr>
        <w:jc w:val="center"/>
        <w:rPr>
          <w:b/>
          <w:sz w:val="28"/>
        </w:rPr>
      </w:pPr>
    </w:p>
    <w:p>
      <w:pPr>
        <w:jc w:val="center"/>
        <w:rPr>
          <w:b/>
          <w:sz w:val="28"/>
        </w:rPr>
      </w:pPr>
      <w:r>
        <w:rPr>
          <w:rFonts w:hint="eastAsia"/>
          <w:b/>
          <w:sz w:val="28"/>
        </w:rPr>
        <w:t>采购合同</w:t>
      </w:r>
      <w:r>
        <w:rPr>
          <w:b/>
          <w:sz w:val="28"/>
        </w:rPr>
        <w:t>(</w:t>
      </w:r>
      <w:r>
        <w:rPr>
          <w:rFonts w:hint="eastAsia"/>
          <w:b/>
          <w:sz w:val="28"/>
        </w:rPr>
        <w:t>仅供参考</w:t>
      </w:r>
      <w:r>
        <w:rPr>
          <w:b/>
          <w:sz w:val="28"/>
        </w:rPr>
        <w:t>)</w:t>
      </w:r>
    </w:p>
    <w:p>
      <w:pPr>
        <w:spacing w:line="312" w:lineRule="auto"/>
        <w:ind w:left="689" w:leftChars="228" w:hanging="210" w:hangingChars="100"/>
        <w:rPr>
          <w:rFonts w:ascii="宋体"/>
        </w:rPr>
      </w:pPr>
    </w:p>
    <w:p>
      <w:pPr>
        <w:spacing w:line="288" w:lineRule="auto"/>
        <w:ind w:firstLine="413" w:firstLineChars="196"/>
        <w:rPr>
          <w:rFonts w:ascii="宋体" w:hAnsi="宋体"/>
          <w:b/>
          <w:kern w:val="0"/>
        </w:rPr>
      </w:pPr>
      <w:r>
        <w:rPr>
          <w:rFonts w:hint="eastAsia" w:ascii="宋体" w:hAnsi="宋体"/>
          <w:b/>
          <w:kern w:val="0"/>
        </w:rPr>
        <w:t>招标文件、中标方的投标文件及其澄清文件等，均为签订合同的依据。（注：不强制供应商到达现场签订合同）</w:t>
      </w:r>
    </w:p>
    <w:p>
      <w:pPr>
        <w:spacing w:line="288" w:lineRule="auto"/>
        <w:ind w:firstLine="420" w:firstLineChars="200"/>
        <w:rPr>
          <w:rFonts w:ascii="宋体" w:hAnsi="宋体"/>
        </w:rPr>
      </w:pPr>
      <w:r>
        <w:rPr>
          <w:rFonts w:hint="eastAsia" w:ascii="宋体" w:hAnsi="宋体"/>
        </w:rPr>
        <w:t>此合同由</w:t>
      </w:r>
      <w:r>
        <w:rPr>
          <w:rFonts w:hint="eastAsia" w:ascii="宋体" w:hAnsi="宋体"/>
          <w:b/>
        </w:rPr>
        <w:t>舟山市食品药品检验检测研究院（</w:t>
      </w:r>
      <w:r>
        <w:rPr>
          <w:rFonts w:hint="eastAsia" w:ascii="宋体" w:hAnsi="宋体"/>
        </w:rPr>
        <w:t>甲方）和中标方（乙方）签订。</w:t>
      </w:r>
    </w:p>
    <w:p>
      <w:pPr>
        <w:spacing w:line="288" w:lineRule="auto"/>
        <w:ind w:firstLine="211" w:firstLineChars="100"/>
        <w:rPr>
          <w:rFonts w:ascii="宋体" w:hAnsi="宋体"/>
          <w:b/>
        </w:rPr>
      </w:pPr>
    </w:p>
    <w:p>
      <w:pPr>
        <w:spacing w:line="288" w:lineRule="auto"/>
        <w:ind w:firstLine="1655" w:firstLineChars="785"/>
        <w:rPr>
          <w:rFonts w:ascii="宋体" w:hAnsi="宋体"/>
          <w:b/>
        </w:rPr>
      </w:pPr>
      <w:r>
        <w:rPr>
          <w:rFonts w:hint="eastAsia" w:ascii="宋体" w:hAnsi="宋体"/>
          <w:b/>
        </w:rPr>
        <w:t>舟山市食品药品检验检测研究院仪器设备采购项目合同（范本）</w:t>
      </w:r>
    </w:p>
    <w:p>
      <w:pPr>
        <w:spacing w:after="240" w:afterLines="100"/>
        <w:ind w:firstLine="420"/>
        <w:rPr>
          <w:rFonts w:ascii="宋体" w:hAnsi="宋体"/>
          <w:kern w:val="0"/>
          <w:sz w:val="20"/>
          <w:szCs w:val="20"/>
        </w:rPr>
      </w:pPr>
      <w:r>
        <w:rPr>
          <w:rFonts w:hint="eastAsia" w:ascii="宋体" w:hAnsi="宋体"/>
          <w:kern w:val="0"/>
          <w:sz w:val="20"/>
          <w:szCs w:val="20"/>
        </w:rPr>
        <w:t>甲方：</w:t>
      </w:r>
    </w:p>
    <w:p>
      <w:pPr>
        <w:spacing w:after="240" w:afterLines="100"/>
        <w:ind w:firstLine="420"/>
        <w:rPr>
          <w:rFonts w:ascii="宋体" w:hAnsi="宋体"/>
        </w:rPr>
      </w:pPr>
      <w:r>
        <w:rPr>
          <w:rFonts w:hint="eastAsia" w:ascii="宋体" w:hAnsi="宋体"/>
        </w:rPr>
        <w:t>乙方：</w:t>
      </w:r>
    </w:p>
    <w:p>
      <w:pPr>
        <w:spacing w:before="120" w:beforeLines="50" w:after="100" w:line="288" w:lineRule="auto"/>
        <w:ind w:firstLine="435"/>
        <w:rPr>
          <w:rFonts w:ascii="宋体" w:hAnsi="宋体"/>
        </w:rPr>
      </w:pPr>
      <w:r>
        <w:rPr>
          <w:rFonts w:hint="eastAsia" w:ascii="宋体" w:hAnsi="宋体"/>
        </w:rPr>
        <w:t>甲、乙双方根据年 月日《舟山市食品药品检验检测研究院仪器设备采购项目》招标的结果（招标编号：SZGXZS2022129）和“招标文件”的要求，</w:t>
      </w:r>
      <w:r>
        <w:rPr>
          <w:rFonts w:hint="eastAsia" w:ascii="宋体" w:hAnsi="宋体"/>
          <w:bCs/>
        </w:rPr>
        <w:t>并依照《中华人民共和国民法典》有关法律、法规的规定，同时在平等、公平、诚实和信用的原则下，</w:t>
      </w:r>
      <w:r>
        <w:rPr>
          <w:rFonts w:hint="eastAsia" w:ascii="宋体" w:hAnsi="宋体"/>
        </w:rPr>
        <w:t>经双方协调一致，订立本合同：</w:t>
      </w:r>
    </w:p>
    <w:p>
      <w:pPr>
        <w:spacing w:before="120" w:beforeLines="50" w:after="100" w:line="288" w:lineRule="auto"/>
        <w:ind w:firstLine="435"/>
        <w:rPr>
          <w:rFonts w:ascii="宋体" w:hAnsi="宋体"/>
        </w:rPr>
      </w:pPr>
      <w:r>
        <w:rPr>
          <w:rFonts w:hint="eastAsia" w:ascii="宋体" w:hAnsi="宋体"/>
        </w:rPr>
        <w:t>一、产品及项目清单：</w:t>
      </w:r>
    </w:p>
    <w:tbl>
      <w:tblPr>
        <w:tblStyle w:val="37"/>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CellMar>
            <w:top w:w="0" w:type="dxa"/>
            <w:left w:w="42" w:type="dxa"/>
            <w:bottom w:w="0" w:type="dxa"/>
            <w:right w:w="42" w:type="dxa"/>
          </w:tblCellMar>
        </w:tblPrEx>
        <w:trPr>
          <w:cantSplit/>
          <w:trHeight w:val="60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rPr>
            </w:pPr>
            <w:r>
              <w:rPr>
                <w:rFonts w:hint="eastAsia" w:ascii="宋体" w:hAnsi="宋体"/>
              </w:rPr>
              <w:t>产品部分</w:t>
            </w:r>
          </w:p>
        </w:tc>
      </w:tr>
      <w:tr>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hAnsi="宋体"/>
              </w:rPr>
            </w:pPr>
            <w:r>
              <w:rPr>
                <w:rFonts w:hint="eastAsia" w:ascii="宋体" w:hAnsi="宋体"/>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（大写）                                     （小写）</w:t>
            </w:r>
          </w:p>
        </w:tc>
      </w:tr>
      <w:tr>
        <w:tblPrEx>
          <w:tblCellMar>
            <w:top w:w="0" w:type="dxa"/>
            <w:left w:w="42" w:type="dxa"/>
            <w:bottom w:w="0" w:type="dxa"/>
            <w:right w:w="42" w:type="dxa"/>
          </w:tblCellMar>
        </w:tblPrEx>
        <w:trPr>
          <w:cantSplit/>
          <w:trHeight w:val="697"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snapToGrid w:val="0"/>
              <w:spacing w:before="120" w:beforeLines="50" w:after="120" w:afterLines="50"/>
              <w:jc w:val="center"/>
              <w:rPr>
                <w:rFonts w:ascii="宋体" w:hAnsi="宋体"/>
              </w:rPr>
            </w:pPr>
            <w:r>
              <w:rPr>
                <w:rFonts w:hint="eastAsia" w:ascii="宋体" w:hAnsi="宋体"/>
              </w:rPr>
              <w:t>其它部分</w:t>
            </w:r>
          </w:p>
        </w:tc>
      </w:tr>
      <w:tr>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p>
        </w:tc>
      </w:tr>
      <w:tr>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r>
              <w:rPr>
                <w:rFonts w:hint="eastAsia" w:ascii="宋体" w:hAnsi="宋体"/>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rPr>
                <w:rFonts w:ascii="宋体" w:hAnsi="宋体"/>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宋体" w:hAnsi="宋体"/>
              </w:rPr>
            </w:pPr>
          </w:p>
        </w:tc>
      </w:tr>
      <w:tr>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rP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（大写）                                     （小写）</w:t>
            </w:r>
          </w:p>
        </w:tc>
      </w:tr>
      <w:tr>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（大写）                                     （小写）</w:t>
            </w:r>
          </w:p>
        </w:tc>
      </w:tr>
    </w:tbl>
    <w:p>
      <w:pPr>
        <w:spacing w:before="120" w:beforeLines="50" w:line="312" w:lineRule="auto"/>
        <w:rPr>
          <w:rFonts w:ascii="宋体" w:hAnsi="宋体"/>
        </w:rPr>
      </w:pPr>
      <w:r>
        <w:rPr>
          <w:rFonts w:hint="eastAsia" w:ascii="宋体" w:hAnsi="宋体"/>
        </w:rPr>
        <w:t>二、设备的交货时间、地点和运费：</w:t>
      </w:r>
    </w:p>
    <w:p>
      <w:pPr>
        <w:spacing w:line="312" w:lineRule="auto"/>
        <w:ind w:firstLine="420"/>
        <w:rPr>
          <w:rFonts w:ascii="宋体" w:hAnsi="宋体"/>
        </w:rPr>
      </w:pPr>
      <w:r>
        <w:rPr>
          <w:rFonts w:hint="eastAsia" w:ascii="宋体" w:hAnsi="宋体"/>
        </w:rPr>
        <w:t>1、合同签订之后   个月以内到货，并安装完成。</w:t>
      </w:r>
    </w:p>
    <w:p>
      <w:pPr>
        <w:spacing w:line="312" w:lineRule="auto"/>
        <w:ind w:firstLine="420"/>
        <w:rPr>
          <w:rFonts w:ascii="宋体" w:hAnsi="宋体"/>
          <w:bCs/>
        </w:rPr>
      </w:pPr>
      <w:r>
        <w:rPr>
          <w:rFonts w:hint="eastAsia" w:ascii="宋体" w:hAnsi="宋体"/>
          <w:bCs/>
        </w:rPr>
        <w:t>2、交货地点为：</w:t>
      </w:r>
    </w:p>
    <w:p>
      <w:pPr>
        <w:spacing w:line="312" w:lineRule="auto"/>
        <w:ind w:firstLine="420"/>
        <w:rPr>
          <w:rFonts w:ascii="宋体" w:hAnsi="宋体"/>
          <w:bCs/>
        </w:rPr>
      </w:pPr>
      <w:r>
        <w:rPr>
          <w:rFonts w:hint="eastAsia" w:ascii="宋体" w:hAnsi="宋体"/>
          <w:bCs/>
        </w:rPr>
        <w:t>3、产品运送产生的费用由乙方负责。</w:t>
      </w:r>
    </w:p>
    <w:p>
      <w:pPr>
        <w:spacing w:line="312" w:lineRule="auto"/>
        <w:rPr>
          <w:rFonts w:ascii="宋体" w:hAnsi="宋体"/>
        </w:rPr>
      </w:pPr>
      <w:r>
        <w:rPr>
          <w:rFonts w:hint="eastAsia" w:ascii="宋体" w:hAnsi="宋体"/>
        </w:rPr>
        <w:t>三、产品质量要求：</w:t>
      </w:r>
    </w:p>
    <w:p>
      <w:pPr>
        <w:spacing w:line="312" w:lineRule="auto"/>
        <w:ind w:firstLine="420" w:firstLineChars="200"/>
        <w:rPr>
          <w:rFonts w:ascii="宋体" w:hAnsi="宋体"/>
        </w:rPr>
      </w:pPr>
      <w:r>
        <w:rPr>
          <w:rFonts w:hint="eastAsia" w:ascii="宋体" w:hAnsi="宋体"/>
        </w:rPr>
        <w:t>乙方提供的产品必须是满足合同配置的全新产品。国产产品必须符合国家有关质量标准；进口产品必须符合产品的原厂标准及有关的国际标准。</w:t>
      </w:r>
    </w:p>
    <w:p>
      <w:pPr>
        <w:spacing w:line="312" w:lineRule="auto"/>
        <w:rPr>
          <w:rFonts w:ascii="宋体" w:hAnsi="宋体"/>
        </w:rPr>
      </w:pPr>
      <w:r>
        <w:rPr>
          <w:rFonts w:hint="eastAsia" w:ascii="宋体" w:hAnsi="宋体"/>
        </w:rPr>
        <w:t>四、产品验收：</w:t>
      </w:r>
    </w:p>
    <w:p>
      <w:pPr>
        <w:spacing w:line="312" w:lineRule="auto"/>
        <w:ind w:firstLine="420"/>
        <w:rPr>
          <w:rFonts w:ascii="宋体" w:hAnsi="宋体"/>
        </w:rPr>
      </w:pPr>
      <w:r>
        <w:rPr>
          <w:rFonts w:hint="eastAsia" w:ascii="宋体" w:hAnsi="宋体"/>
        </w:rPr>
        <w:t>1、乙方完成全部项目的安装调试并通过自验和试运行测试后，由甲方组织项目的验收。</w:t>
      </w:r>
    </w:p>
    <w:p>
      <w:pPr>
        <w:spacing w:line="312" w:lineRule="auto"/>
        <w:ind w:firstLine="420"/>
        <w:rPr>
          <w:rFonts w:ascii="宋体" w:hAnsi="宋体"/>
        </w:rPr>
      </w:pPr>
      <w:r>
        <w:rPr>
          <w:rFonts w:hint="eastAsia" w:ascii="宋体" w:hAnsi="宋体"/>
        </w:rPr>
        <w:t>2、乙方完成产品交付，在自验、试运行正常后，书面通知甲方；甲方在接到书面通知后，经三个月试运行，出具并签署验收报告。设备的验收标准参照设备的原厂标准。</w:t>
      </w:r>
    </w:p>
    <w:p>
      <w:pPr>
        <w:tabs>
          <w:tab w:val="left" w:pos="900"/>
        </w:tabs>
        <w:adjustRightInd w:val="0"/>
        <w:spacing w:line="312" w:lineRule="auto"/>
        <w:rPr>
          <w:rFonts w:ascii="宋体" w:hAnsi="宋体"/>
        </w:rPr>
      </w:pPr>
      <w:r>
        <w:rPr>
          <w:rFonts w:hint="eastAsia" w:ascii="宋体" w:hAnsi="宋体"/>
        </w:rPr>
        <w:t>五、付款方式：</w:t>
      </w:r>
    </w:p>
    <w:p>
      <w:pPr>
        <w:spacing w:before="25" w:line="312" w:lineRule="auto"/>
        <w:ind w:left="464" w:leftChars="171" w:hanging="105" w:hangingChars="50"/>
        <w:rPr>
          <w:rFonts w:ascii="宋体" w:hAnsi="宋体"/>
          <w:b/>
        </w:rPr>
      </w:pPr>
      <w:r>
        <w:rPr>
          <w:rFonts w:hint="eastAsia" w:ascii="宋体" w:hAnsi="宋体"/>
        </w:rPr>
        <w:t>（见招标文件）</w:t>
      </w:r>
    </w:p>
    <w:p>
      <w:pPr>
        <w:spacing w:before="25" w:line="312" w:lineRule="auto"/>
        <w:ind w:left="420"/>
        <w:rPr>
          <w:rFonts w:ascii="宋体" w:hAnsi="宋体"/>
        </w:rPr>
      </w:pPr>
      <w:r>
        <w:rPr>
          <w:rFonts w:hint="eastAsia" w:ascii="宋体" w:hAnsi="宋体"/>
        </w:rPr>
        <w:t>本合同以人民币进行结算。</w:t>
      </w:r>
    </w:p>
    <w:p>
      <w:pPr>
        <w:spacing w:line="312" w:lineRule="auto"/>
        <w:rPr>
          <w:rFonts w:ascii="宋体" w:hAnsi="宋体"/>
        </w:rPr>
      </w:pPr>
      <w:r>
        <w:rPr>
          <w:rFonts w:hint="eastAsia" w:ascii="宋体" w:hAnsi="宋体"/>
        </w:rPr>
        <w:t>六、售后服务：</w:t>
      </w:r>
    </w:p>
    <w:p>
      <w:pPr>
        <w:spacing w:line="312" w:lineRule="auto"/>
        <w:ind w:firstLine="420" w:firstLineChars="200"/>
        <w:rPr>
          <w:rFonts w:ascii="宋体" w:hAnsi="宋体"/>
        </w:rPr>
      </w:pPr>
      <w:r>
        <w:rPr>
          <w:rFonts w:hint="eastAsia" w:ascii="宋体" w:hAnsi="宋体"/>
        </w:rPr>
        <w:t>（见招标文件）</w:t>
      </w:r>
    </w:p>
    <w:p>
      <w:pPr>
        <w:spacing w:line="312" w:lineRule="auto"/>
        <w:rPr>
          <w:rFonts w:ascii="宋体" w:hAnsi="宋体"/>
        </w:rPr>
      </w:pPr>
      <w:r>
        <w:rPr>
          <w:rFonts w:hint="eastAsia" w:ascii="宋体" w:hAnsi="宋体"/>
        </w:rPr>
        <w:t>七、违约责任：</w:t>
      </w:r>
    </w:p>
    <w:p>
      <w:pPr>
        <w:spacing w:line="312" w:lineRule="auto"/>
        <w:ind w:left="794" w:leftChars="228" w:hanging="315" w:hangingChars="150"/>
        <w:rPr>
          <w:rFonts w:ascii="宋体" w:hAnsi="宋体"/>
        </w:rPr>
      </w:pPr>
      <w:r>
        <w:rPr>
          <w:rFonts w:hint="eastAsia" w:ascii="宋体" w:hAnsi="宋体"/>
        </w:rPr>
        <w:t>1、乙方所交的产品品种、型号、规格、质量不符合同规定标准的，甲方有权拒绝收货。</w:t>
      </w:r>
    </w:p>
    <w:p>
      <w:pPr>
        <w:spacing w:line="312" w:lineRule="auto"/>
        <w:ind w:left="630" w:hanging="630" w:hangingChars="300"/>
        <w:rPr>
          <w:rFonts w:ascii="宋体" w:hAnsi="宋体"/>
        </w:rPr>
      </w:pPr>
      <w:r>
        <w:rPr>
          <w:rFonts w:hint="eastAsia" w:ascii="宋体" w:hAnsi="宋体"/>
        </w:rPr>
        <w:t xml:space="preserve">    2、乙方若不能交付产品，甲方有权选择取消合同并向乙方索赔产品总值百分之十的违约金。</w:t>
      </w:r>
    </w:p>
    <w:p>
      <w:pPr>
        <w:spacing w:line="312" w:lineRule="auto"/>
        <w:ind w:left="630" w:leftChars="200" w:hanging="210" w:hangingChars="100"/>
        <w:rPr>
          <w:rFonts w:ascii="宋体" w:hAnsi="宋体"/>
        </w:rPr>
      </w:pPr>
      <w:r>
        <w:rPr>
          <w:rFonts w:hint="eastAsia" w:ascii="宋体" w:hAnsi="宋体"/>
        </w:rPr>
        <w:t>3、乙方逾期交付产品，甲方有权向乙方索赔违约金，以每日支付未交产品款的千分之五计算。</w:t>
      </w:r>
    </w:p>
    <w:p>
      <w:pPr>
        <w:spacing w:line="312" w:lineRule="auto"/>
        <w:ind w:left="689" w:leftChars="228" w:hanging="210" w:hangingChars="100"/>
        <w:rPr>
          <w:rFonts w:ascii="宋体" w:hAnsi="宋体"/>
        </w:rPr>
      </w:pPr>
      <w:r>
        <w:rPr>
          <w:rFonts w:hint="eastAsia" w:ascii="宋体" w:hAnsi="宋体"/>
        </w:rPr>
        <w:t>4、乙方在一年内的不良服务率（指产品发生故障，没有合理的理由而未能在合同规定的时限内及时妥善处理，产生用户有效投诉。）大于百分之三（以单台设备产品为单位），则甲方有权不再支付乙方百分之五的合同余款。</w:t>
      </w:r>
    </w:p>
    <w:p>
      <w:pPr>
        <w:spacing w:line="312" w:lineRule="auto"/>
        <w:ind w:left="689" w:leftChars="228" w:hanging="210" w:hangingChars="100"/>
        <w:rPr>
          <w:rFonts w:ascii="宋体" w:hAnsi="宋体"/>
        </w:rPr>
      </w:pPr>
      <w:r>
        <w:rPr>
          <w:rFonts w:hint="eastAsia" w:ascii="宋体" w:hAnsi="宋体"/>
        </w:rPr>
        <w:t>5、甲方无正当理由拒收产品，乙方有向权甲方索赔合同总额（不含验收费）百分之三十的违约金。</w:t>
      </w:r>
    </w:p>
    <w:p>
      <w:pPr>
        <w:spacing w:line="312" w:lineRule="auto"/>
        <w:ind w:left="735" w:hanging="735" w:hangingChars="350"/>
        <w:rPr>
          <w:rFonts w:ascii="宋体" w:hAnsi="宋体"/>
        </w:rPr>
      </w:pPr>
      <w:r>
        <w:rPr>
          <w:rFonts w:hint="eastAsia" w:ascii="宋体" w:hAnsi="宋体"/>
        </w:rPr>
        <w:t xml:space="preserve">    6、甲方无正当理由拖欠产品款，乙方有权终止合同，随时收回全部产品并向甲方索赔合同总额（不含验收费）百分之三十的违约金。</w:t>
      </w:r>
    </w:p>
    <w:p>
      <w:pPr>
        <w:spacing w:line="312" w:lineRule="auto"/>
        <w:rPr>
          <w:rFonts w:ascii="宋体" w:hAnsi="宋体"/>
        </w:rPr>
      </w:pPr>
      <w:r>
        <w:rPr>
          <w:rFonts w:hint="eastAsia" w:ascii="宋体" w:hAnsi="宋体"/>
        </w:rPr>
        <w:t>八、合同争议的仲裁：</w:t>
      </w:r>
    </w:p>
    <w:p>
      <w:pPr>
        <w:spacing w:line="312" w:lineRule="auto"/>
        <w:ind w:left="689" w:leftChars="228" w:hanging="210" w:hangingChars="100"/>
        <w:rPr>
          <w:rFonts w:ascii="宋体" w:hAnsi="宋体"/>
        </w:rPr>
      </w:pPr>
      <w:r>
        <w:rPr>
          <w:rFonts w:hint="eastAsia" w:ascii="宋体" w:hAnsi="宋体"/>
        </w:rPr>
        <w:t>1、因设备质量问题发生争议，由国家和市政府指定的技术单位进行质量鉴定，该鉴定结论是终局的，供需双方应当接受。</w:t>
      </w:r>
    </w:p>
    <w:p>
      <w:pPr>
        <w:spacing w:line="312" w:lineRule="auto"/>
        <w:ind w:firstLine="420" w:firstLineChars="200"/>
        <w:rPr>
          <w:rFonts w:ascii="宋体" w:hAnsi="宋体"/>
        </w:rPr>
      </w:pPr>
      <w:r>
        <w:rPr>
          <w:rFonts w:hint="eastAsia" w:ascii="宋体" w:hAnsi="宋体"/>
        </w:rPr>
        <w:t>2、本合同争议产生的诉讼，由合同签订所在地人民法院管辖。</w:t>
      </w:r>
    </w:p>
    <w:p>
      <w:pPr>
        <w:spacing w:line="312" w:lineRule="auto"/>
        <w:rPr>
          <w:rFonts w:ascii="宋体" w:hAnsi="宋体"/>
        </w:rPr>
      </w:pPr>
      <w:r>
        <w:rPr>
          <w:rFonts w:hint="eastAsia" w:ascii="宋体" w:hAnsi="宋体"/>
        </w:rPr>
        <w:t>九、本合同未尽事宜，由甲、乙双方协商解决。</w:t>
      </w:r>
    </w:p>
    <w:p>
      <w:pPr>
        <w:spacing w:line="312" w:lineRule="auto"/>
        <w:ind w:left="420" w:hanging="420" w:hangingChars="200"/>
        <w:rPr>
          <w:rFonts w:ascii="宋体" w:hAnsi="宋体"/>
        </w:rPr>
      </w:pPr>
      <w:r>
        <w:rPr>
          <w:rFonts w:hint="eastAsia" w:ascii="宋体" w:hAnsi="宋体"/>
        </w:rPr>
        <w:t>十、本合同壹式肆份，甲、乙双方、财政部门及代理机构各执壹份，具有同等的法律效力。</w:t>
      </w:r>
    </w:p>
    <w:p>
      <w:pPr>
        <w:spacing w:line="312" w:lineRule="auto"/>
        <w:rPr>
          <w:rFonts w:ascii="宋体" w:hAnsi="宋体"/>
        </w:rPr>
      </w:pPr>
      <w:r>
        <w:rPr>
          <w:rFonts w:hint="eastAsia" w:ascii="宋体" w:hAnsi="宋体"/>
        </w:rPr>
        <w:t xml:space="preserve">    甲方：                     乙方： </w:t>
      </w:r>
    </w:p>
    <w:p>
      <w:pPr>
        <w:spacing w:line="312" w:lineRule="auto"/>
        <w:rPr>
          <w:rFonts w:ascii="宋体" w:hAnsi="宋体"/>
        </w:rPr>
      </w:pPr>
      <w:r>
        <w:rPr>
          <w:rFonts w:hint="eastAsia" w:ascii="宋体" w:hAnsi="宋体"/>
        </w:rPr>
        <w:t xml:space="preserve">    地址：                     地址： </w:t>
      </w:r>
    </w:p>
    <w:p>
      <w:pPr>
        <w:spacing w:line="312" w:lineRule="auto"/>
        <w:rPr>
          <w:rFonts w:ascii="宋体" w:hAnsi="宋体"/>
        </w:rPr>
      </w:pPr>
      <w:r>
        <w:rPr>
          <w:rFonts w:hint="eastAsia" w:ascii="宋体" w:hAnsi="宋体"/>
        </w:rPr>
        <w:t xml:space="preserve">    法人代表：                 法人代表：</w:t>
      </w:r>
    </w:p>
    <w:p>
      <w:pPr>
        <w:spacing w:line="312" w:lineRule="auto"/>
        <w:rPr>
          <w:rFonts w:ascii="宋体" w:hAnsi="宋体"/>
        </w:rPr>
      </w:pPr>
      <w:r>
        <w:rPr>
          <w:rFonts w:hint="eastAsia" w:ascii="宋体" w:hAnsi="宋体"/>
        </w:rPr>
        <w:t xml:space="preserve">    电话：                     电话：  </w:t>
      </w:r>
    </w:p>
    <w:p>
      <w:pPr>
        <w:spacing w:line="312" w:lineRule="auto"/>
        <w:rPr>
          <w:rFonts w:ascii="宋体" w:hAnsi="宋体"/>
        </w:rPr>
      </w:pPr>
      <w:r>
        <w:rPr>
          <w:rFonts w:hint="eastAsia" w:ascii="宋体" w:hAnsi="宋体"/>
        </w:rPr>
        <w:t xml:space="preserve">    电传：                     电传： </w:t>
      </w:r>
    </w:p>
    <w:p>
      <w:pPr>
        <w:spacing w:line="312" w:lineRule="auto"/>
        <w:rPr>
          <w:rFonts w:ascii="宋体" w:hAnsi="宋体"/>
        </w:rPr>
      </w:pPr>
      <w:r>
        <w:rPr>
          <w:rFonts w:hint="eastAsia" w:ascii="宋体" w:hAnsi="宋体"/>
        </w:rPr>
        <w:t xml:space="preserve">    邮政编码：                 邮政编码： </w:t>
      </w:r>
    </w:p>
    <w:p>
      <w:pPr>
        <w:spacing w:line="312" w:lineRule="auto"/>
        <w:rPr>
          <w:rFonts w:ascii="宋体" w:hAnsi="宋体"/>
        </w:rPr>
      </w:pPr>
      <w:r>
        <w:rPr>
          <w:rFonts w:hint="eastAsia" w:ascii="宋体" w:hAnsi="宋体"/>
        </w:rPr>
        <w:t xml:space="preserve">    开户银行：                 开户银行： </w:t>
      </w:r>
    </w:p>
    <w:p>
      <w:pPr>
        <w:spacing w:line="312" w:lineRule="auto"/>
        <w:ind w:firstLine="420" w:firstLineChars="200"/>
        <w:rPr>
          <w:rFonts w:ascii="宋体" w:hAnsi="宋体"/>
        </w:rPr>
      </w:pPr>
      <w:r>
        <w:rPr>
          <w:rFonts w:hint="eastAsia"/>
        </w:rPr>
        <w:t xml:space="preserve">帐号： </w:t>
      </w:r>
      <w:r>
        <w:t xml:space="preserve">                    </w:t>
      </w:r>
      <w:r>
        <w:rPr>
          <w:rFonts w:hint="eastAsia"/>
        </w:rPr>
        <w:t>帐号：</w:t>
      </w:r>
    </w:p>
    <w:p>
      <w:pPr>
        <w:spacing w:line="312" w:lineRule="auto"/>
        <w:ind w:firstLine="420" w:firstLineChars="200"/>
        <w:rPr>
          <w:rFonts w:ascii="宋体" w:hAnsi="宋体"/>
        </w:rPr>
      </w:pPr>
      <w:r>
        <w:rPr>
          <w:rFonts w:ascii="宋体" w:hAnsi="宋体"/>
        </w:rPr>
        <w:t>日期：</w:t>
      </w:r>
      <w:r>
        <w:rPr>
          <w:rFonts w:hint="eastAsia" w:ascii="宋体" w:hAnsi="宋体"/>
        </w:rPr>
        <w:t xml:space="preserve">                     日期：</w:t>
      </w:r>
    </w:p>
    <w:p>
      <w:pPr>
        <w:pStyle w:val="2"/>
        <w:ind w:firstLine="210"/>
      </w:pPr>
    </w:p>
    <w:p>
      <w:pPr>
        <w:snapToGrid w:val="0"/>
        <w:spacing w:line="460" w:lineRule="atLeast"/>
        <w:rPr>
          <w:szCs w:val="21"/>
        </w:rPr>
      </w:pPr>
    </w:p>
    <w:p>
      <w:pPr>
        <w:snapToGrid w:val="0"/>
        <w:spacing w:line="460" w:lineRule="atLeast"/>
        <w:rPr>
          <w:szCs w:val="21"/>
        </w:rPr>
      </w:pPr>
      <w:r>
        <w:rPr>
          <w:szCs w:val="21"/>
        </w:rPr>
        <w:t>信贷政策</w:t>
      </w:r>
    </w:p>
    <w:p>
      <w:pPr>
        <w:ind w:firstLine="420" w:firstLineChars="200"/>
        <w:rPr>
          <w:szCs w:val="21"/>
        </w:rPr>
      </w:pPr>
      <w:r>
        <w:rPr>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szCs w:val="21"/>
              </w:rPr>
            </w:pPr>
            <w:r>
              <w:rPr>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银行名称</w:t>
            </w:r>
          </w:p>
        </w:tc>
        <w:tc>
          <w:tcPr>
            <w:tcW w:w="3547"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产品特点</w:t>
            </w:r>
          </w:p>
        </w:tc>
        <w:tc>
          <w:tcPr>
            <w:tcW w:w="1559"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经办人</w:t>
            </w:r>
          </w:p>
        </w:tc>
        <w:tc>
          <w:tcPr>
            <w:tcW w:w="1418" w:type="dxa"/>
            <w:vAlign w:val="center"/>
          </w:tcPr>
          <w:p>
            <w:pPr>
              <w:jc w:val="center"/>
              <w:rPr>
                <w:szCs w:val="21"/>
              </w:rPr>
            </w:pPr>
            <w:r>
              <w:rPr>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中国工商银行股份有限公司舟山分行</w:t>
            </w:r>
          </w:p>
        </w:tc>
        <w:tc>
          <w:tcPr>
            <w:tcW w:w="3547" w:type="dxa"/>
          </w:tcPr>
          <w:p>
            <w:pPr>
              <w:rPr>
                <w:szCs w:val="21"/>
              </w:rPr>
            </w:pPr>
            <w:r>
              <w:rPr>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pPr>
              <w:pStyle w:val="144"/>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柳超颖</w:t>
            </w:r>
          </w:p>
        </w:tc>
        <w:tc>
          <w:tcPr>
            <w:tcW w:w="1418" w:type="dxa"/>
            <w:vAlign w:val="center"/>
          </w:tcPr>
          <w:p>
            <w:pPr>
              <w:jc w:val="center"/>
              <w:rPr>
                <w:szCs w:val="21"/>
              </w:rPr>
            </w:pPr>
            <w:r>
              <w:rPr>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szCs w:val="21"/>
              </w:rPr>
            </w:pPr>
            <w:r>
              <w:rPr>
                <w:szCs w:val="21"/>
              </w:rPr>
              <w:t>中国建设银行股份有限公司舟山分行</w:t>
            </w:r>
          </w:p>
        </w:tc>
        <w:tc>
          <w:tcPr>
            <w:tcW w:w="3547" w:type="dxa"/>
          </w:tcPr>
          <w:p>
            <w:pPr>
              <w:rPr>
                <w:szCs w:val="21"/>
              </w:rPr>
            </w:pPr>
            <w:r>
              <w:rPr>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jc w:val="center"/>
              <w:rPr>
                <w:szCs w:val="21"/>
              </w:rPr>
            </w:pPr>
            <w:r>
              <w:rPr>
                <w:szCs w:val="21"/>
              </w:rPr>
              <w:t>普陀片区：蔡妮妮</w:t>
            </w:r>
          </w:p>
          <w:p>
            <w:pPr>
              <w:jc w:val="center"/>
              <w:rPr>
                <w:szCs w:val="21"/>
              </w:rPr>
            </w:pPr>
            <w:r>
              <w:rPr>
                <w:szCs w:val="21"/>
              </w:rPr>
              <w:t>定海片区：杨莹</w:t>
            </w:r>
          </w:p>
          <w:p>
            <w:pPr>
              <w:jc w:val="center"/>
              <w:rPr>
                <w:szCs w:val="21"/>
              </w:rPr>
            </w:pPr>
            <w:r>
              <w:rPr>
                <w:szCs w:val="21"/>
              </w:rPr>
              <w:t>自贸区片区：郑佳奇</w:t>
            </w:r>
          </w:p>
        </w:tc>
        <w:tc>
          <w:tcPr>
            <w:tcW w:w="1418" w:type="dxa"/>
            <w:vAlign w:val="center"/>
          </w:tcPr>
          <w:p>
            <w:pPr>
              <w:jc w:val="center"/>
              <w:rPr>
                <w:szCs w:val="21"/>
              </w:rPr>
            </w:pPr>
            <w:r>
              <w:rPr>
                <w:szCs w:val="21"/>
              </w:rPr>
              <w:t>普陀片区：13957201791</w:t>
            </w:r>
          </w:p>
          <w:p>
            <w:pPr>
              <w:jc w:val="center"/>
              <w:rPr>
                <w:szCs w:val="21"/>
              </w:rPr>
            </w:pPr>
            <w:r>
              <w:rPr>
                <w:szCs w:val="21"/>
              </w:rPr>
              <w:t>定海片区：13655803997</w:t>
            </w:r>
          </w:p>
          <w:p>
            <w:pPr>
              <w:jc w:val="center"/>
              <w:rPr>
                <w:szCs w:val="21"/>
              </w:rPr>
            </w:pPr>
            <w:r>
              <w:rPr>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杭州银行股份有限公司舟山市分行</w:t>
            </w:r>
          </w:p>
        </w:tc>
        <w:tc>
          <w:tcPr>
            <w:tcW w:w="3547" w:type="dxa"/>
          </w:tcPr>
          <w:p>
            <w:pPr>
              <w:rPr>
                <w:szCs w:val="21"/>
              </w:rPr>
            </w:pPr>
            <w:r>
              <w:rPr>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jc w:val="center"/>
              <w:rPr>
                <w:szCs w:val="21"/>
              </w:rPr>
            </w:pPr>
            <w:r>
              <w:rPr>
                <w:szCs w:val="21"/>
              </w:rPr>
              <w:t>方经理</w:t>
            </w:r>
          </w:p>
        </w:tc>
        <w:tc>
          <w:tcPr>
            <w:tcW w:w="1418" w:type="dxa"/>
            <w:vAlign w:val="center"/>
          </w:tcPr>
          <w:p>
            <w:pPr>
              <w:jc w:val="center"/>
              <w:rPr>
                <w:szCs w:val="21"/>
              </w:rPr>
            </w:pPr>
            <w:r>
              <w:rPr>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招商银行股份有限公司浙江自贸试验区舟山分行</w:t>
            </w:r>
          </w:p>
        </w:tc>
        <w:tc>
          <w:tcPr>
            <w:tcW w:w="3547" w:type="dxa"/>
          </w:tcPr>
          <w:p>
            <w:pPr>
              <w:rPr>
                <w:szCs w:val="21"/>
              </w:rPr>
            </w:pPr>
            <w:r>
              <w:rPr>
                <w:szCs w:val="21"/>
              </w:rPr>
              <w:t>小企业政采贷是招商银行为政府采购</w:t>
            </w:r>
            <w:r>
              <w:rPr>
                <w:rFonts w:hint="eastAsia"/>
                <w:szCs w:val="21"/>
              </w:rPr>
              <w:t>中标人</w:t>
            </w:r>
            <w:r>
              <w:rPr>
                <w:szCs w:val="21"/>
              </w:rPr>
              <w:t>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szCs w:val="21"/>
              </w:rPr>
            </w:pPr>
            <w:r>
              <w:rPr>
                <w:szCs w:val="21"/>
              </w:rPr>
              <w:t>李玲</w:t>
            </w:r>
          </w:p>
        </w:tc>
        <w:tc>
          <w:tcPr>
            <w:tcW w:w="1418" w:type="dxa"/>
            <w:vAlign w:val="center"/>
          </w:tcPr>
          <w:p>
            <w:pPr>
              <w:jc w:val="center"/>
              <w:rPr>
                <w:szCs w:val="21"/>
              </w:rPr>
            </w:pPr>
            <w:r>
              <w:rPr>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温州银行股份有限公司舟山市分行</w:t>
            </w:r>
          </w:p>
        </w:tc>
        <w:tc>
          <w:tcPr>
            <w:tcW w:w="3547" w:type="dxa"/>
          </w:tcPr>
          <w:p>
            <w:pPr>
              <w:rPr>
                <w:bCs/>
                <w:szCs w:val="21"/>
              </w:rPr>
            </w:pPr>
            <w:r>
              <w:rPr>
                <w:bCs/>
                <w:szCs w:val="21"/>
              </w:rPr>
              <w:t>“政采订单贷”</w:t>
            </w:r>
            <w:r>
              <w:rPr>
                <w:szCs w:val="21"/>
              </w:rPr>
              <w:t>：</w:t>
            </w:r>
            <w:r>
              <w:rPr>
                <w:bCs/>
                <w:szCs w:val="21"/>
              </w:rPr>
              <w:t>单户授信最高为500万，单笔申请最高可按中标金额0.8折，贷款期限最少三个月、最长一年，可通过政采云平台向本行发起政采订单贷业务申请</w:t>
            </w:r>
          </w:p>
        </w:tc>
        <w:tc>
          <w:tcPr>
            <w:tcW w:w="1559" w:type="dxa"/>
            <w:vAlign w:val="center"/>
          </w:tcPr>
          <w:p>
            <w:pPr>
              <w:jc w:val="center"/>
              <w:rPr>
                <w:szCs w:val="21"/>
              </w:rPr>
            </w:pPr>
            <w:r>
              <w:rPr>
                <w:szCs w:val="21"/>
              </w:rPr>
              <w:t>郑贤栋</w:t>
            </w:r>
          </w:p>
        </w:tc>
        <w:tc>
          <w:tcPr>
            <w:tcW w:w="1418" w:type="dxa"/>
            <w:vAlign w:val="center"/>
          </w:tcPr>
          <w:p>
            <w:pPr>
              <w:jc w:val="center"/>
              <w:rPr>
                <w:szCs w:val="21"/>
              </w:rPr>
            </w:pPr>
            <w:r>
              <w:rPr>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交通银行股份有限公司舟山分行</w:t>
            </w:r>
          </w:p>
        </w:tc>
        <w:tc>
          <w:tcPr>
            <w:tcW w:w="3547" w:type="dxa"/>
          </w:tcPr>
          <w:p>
            <w:pPr>
              <w:autoSpaceDE w:val="0"/>
              <w:autoSpaceDN w:val="0"/>
              <w:adjustRightInd w:val="0"/>
              <w:rPr>
                <w:szCs w:val="21"/>
              </w:rPr>
            </w:pPr>
            <w:r>
              <w:rPr>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jc w:val="center"/>
              <w:rPr>
                <w:szCs w:val="21"/>
              </w:rPr>
            </w:pPr>
            <w:r>
              <w:rPr>
                <w:szCs w:val="21"/>
              </w:rPr>
              <w:t>赵争艳</w:t>
            </w:r>
          </w:p>
        </w:tc>
        <w:tc>
          <w:tcPr>
            <w:tcW w:w="1418" w:type="dxa"/>
            <w:vAlign w:val="center"/>
          </w:tcPr>
          <w:p>
            <w:pPr>
              <w:jc w:val="center"/>
              <w:rPr>
                <w:szCs w:val="21"/>
              </w:rPr>
            </w:pPr>
            <w:r>
              <w:rPr>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中信银行股份有限公司舟山分行</w:t>
            </w:r>
          </w:p>
        </w:tc>
        <w:tc>
          <w:tcPr>
            <w:tcW w:w="3547" w:type="dxa"/>
          </w:tcPr>
          <w:p>
            <w:pPr>
              <w:rPr>
                <w:bCs/>
                <w:szCs w:val="21"/>
              </w:rPr>
            </w:pPr>
            <w:r>
              <w:rPr>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jc w:val="center"/>
              <w:rPr>
                <w:szCs w:val="21"/>
              </w:rPr>
            </w:pPr>
            <w:r>
              <w:rPr>
                <w:szCs w:val="21"/>
              </w:rPr>
              <w:t>杨莉丹</w:t>
            </w:r>
          </w:p>
        </w:tc>
        <w:tc>
          <w:tcPr>
            <w:tcW w:w="1418" w:type="dxa"/>
            <w:vAlign w:val="center"/>
          </w:tcPr>
          <w:p>
            <w:pPr>
              <w:jc w:val="center"/>
              <w:rPr>
                <w:szCs w:val="21"/>
              </w:rPr>
            </w:pPr>
            <w:r>
              <w:rPr>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泰隆银行舟山市分行</w:t>
            </w:r>
          </w:p>
        </w:tc>
        <w:tc>
          <w:tcPr>
            <w:tcW w:w="3547" w:type="dxa"/>
          </w:tcPr>
          <w:p>
            <w:pPr>
              <w:rPr>
                <w:bCs/>
                <w:szCs w:val="21"/>
              </w:rPr>
            </w:pPr>
            <w:r>
              <w:rPr>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bCs/>
                <w:szCs w:val="21"/>
              </w:rPr>
            </w:pPr>
            <w:r>
              <w:rPr>
                <w:bCs/>
                <w:szCs w:val="21"/>
              </w:rPr>
              <w:t>贷至合同付款日。</w:t>
            </w:r>
          </w:p>
        </w:tc>
        <w:tc>
          <w:tcPr>
            <w:tcW w:w="1559" w:type="dxa"/>
            <w:vAlign w:val="center"/>
          </w:tcPr>
          <w:p>
            <w:pPr>
              <w:jc w:val="center"/>
              <w:rPr>
                <w:szCs w:val="21"/>
              </w:rPr>
            </w:pPr>
            <w:r>
              <w:rPr>
                <w:szCs w:val="21"/>
              </w:rPr>
              <w:t>胡亢宇</w:t>
            </w:r>
          </w:p>
        </w:tc>
        <w:tc>
          <w:tcPr>
            <w:tcW w:w="1418" w:type="dxa"/>
            <w:vAlign w:val="center"/>
          </w:tcPr>
          <w:p>
            <w:pPr>
              <w:jc w:val="center"/>
              <w:rPr>
                <w:szCs w:val="21"/>
              </w:rPr>
            </w:pPr>
            <w:r>
              <w:rPr>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中国农业银行股份有限公司舟山分行</w:t>
            </w:r>
          </w:p>
        </w:tc>
        <w:tc>
          <w:tcPr>
            <w:tcW w:w="3547" w:type="dxa"/>
          </w:tcPr>
          <w:p>
            <w:pPr>
              <w:rPr>
                <w:bCs/>
                <w:szCs w:val="21"/>
              </w:rPr>
            </w:pPr>
            <w:r>
              <w:rPr>
                <w:bCs/>
                <w:szCs w:val="21"/>
              </w:rPr>
              <w:t>政采贷业务是指农业银行向政府采购</w:t>
            </w:r>
            <w:r>
              <w:rPr>
                <w:rFonts w:hint="eastAsia"/>
                <w:bCs/>
                <w:szCs w:val="21"/>
              </w:rPr>
              <w:t>中标人</w:t>
            </w:r>
            <w:r>
              <w:rPr>
                <w:bCs/>
                <w:szCs w:val="21"/>
              </w:rPr>
              <w:t>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jc w:val="center"/>
              <w:rPr>
                <w:szCs w:val="21"/>
              </w:rPr>
            </w:pPr>
            <w:r>
              <w:rPr>
                <w:szCs w:val="21"/>
              </w:rPr>
              <w:t>邵琼</w:t>
            </w:r>
          </w:p>
        </w:tc>
        <w:tc>
          <w:tcPr>
            <w:tcW w:w="1418" w:type="dxa"/>
            <w:vAlign w:val="center"/>
          </w:tcPr>
          <w:p>
            <w:pPr>
              <w:jc w:val="center"/>
              <w:rPr>
                <w:szCs w:val="21"/>
              </w:rPr>
            </w:pPr>
            <w:r>
              <w:rPr>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4"/>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中国邮政储蓄银行股份有限公司舟山市分行</w:t>
            </w:r>
          </w:p>
        </w:tc>
        <w:tc>
          <w:tcPr>
            <w:tcW w:w="3547" w:type="dxa"/>
          </w:tcPr>
          <w:p>
            <w:pPr>
              <w:rPr>
                <w:bCs/>
                <w:szCs w:val="21"/>
              </w:rPr>
            </w:pPr>
            <w:r>
              <w:rPr>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jc w:val="center"/>
              <w:rPr>
                <w:szCs w:val="21"/>
              </w:rPr>
            </w:pPr>
            <w:r>
              <w:rPr>
                <w:szCs w:val="21"/>
              </w:rPr>
              <w:t>曾超</w:t>
            </w:r>
          </w:p>
        </w:tc>
        <w:tc>
          <w:tcPr>
            <w:tcW w:w="1418" w:type="dxa"/>
            <w:vAlign w:val="center"/>
          </w:tcPr>
          <w:p>
            <w:pPr>
              <w:jc w:val="center"/>
              <w:rPr>
                <w:szCs w:val="21"/>
              </w:rPr>
            </w:pPr>
            <w:r>
              <w:rPr>
                <w:szCs w:val="21"/>
              </w:rPr>
              <w:t>15924008387</w:t>
            </w:r>
          </w:p>
        </w:tc>
      </w:tr>
    </w:tbl>
    <w:p>
      <w:pPr>
        <w:ind w:firstLine="555"/>
        <w:rPr>
          <w:szCs w:val="21"/>
        </w:rPr>
      </w:pPr>
      <w:r>
        <w:rPr>
          <w:szCs w:val="21"/>
        </w:rPr>
        <w:t>2.一般步骤</w:t>
      </w:r>
    </w:p>
    <w:p>
      <w:pPr>
        <w:ind w:firstLine="555"/>
        <w:rPr>
          <w:szCs w:val="21"/>
        </w:rPr>
      </w:pPr>
      <w:r>
        <w:rPr>
          <w:szCs w:val="21"/>
        </w:rPr>
        <w:t>（1）供应商先与银行对接，办理融资前期手续；</w:t>
      </w:r>
    </w:p>
    <w:p>
      <w:pPr>
        <w:ind w:firstLine="555"/>
        <w:rPr>
          <w:szCs w:val="21"/>
        </w:rPr>
      </w:pPr>
      <w:r>
        <w:rPr>
          <w:szCs w:val="21"/>
        </w:rPr>
        <w:t>（2）供应商中标后，凭中标通知书等材料，向相关合作银行发出融资申请；</w:t>
      </w:r>
    </w:p>
    <w:p>
      <w:pPr>
        <w:ind w:firstLine="555"/>
        <w:rPr>
          <w:szCs w:val="21"/>
        </w:rPr>
      </w:pPr>
      <w:r>
        <w:rPr>
          <w:szCs w:val="21"/>
        </w:rPr>
        <w:t>（3）银行、供应商线下办理审批、放贷事宜。</w:t>
      </w:r>
    </w:p>
    <w:p>
      <w:pPr>
        <w:ind w:firstLine="555"/>
        <w:rPr>
          <w:szCs w:val="21"/>
        </w:rPr>
      </w:pPr>
      <w:r>
        <w:rPr>
          <w:szCs w:val="21"/>
        </w:rPr>
        <w:t>3.注意事项</w:t>
      </w:r>
    </w:p>
    <w:p>
      <w:pPr>
        <w:ind w:firstLine="555"/>
        <w:rPr>
          <w:szCs w:val="21"/>
        </w:rPr>
      </w:pPr>
      <w:r>
        <w:rPr>
          <w:szCs w:val="21"/>
        </w:rPr>
        <w:t>（1）</w:t>
      </w:r>
      <w:r>
        <w:rPr>
          <w:rFonts w:hint="eastAsia"/>
          <w:szCs w:val="21"/>
        </w:rPr>
        <w:t>中标人</w:t>
      </w:r>
      <w:r>
        <w:rPr>
          <w:szCs w:val="21"/>
        </w:rPr>
        <w:t>需确保政府采购合同的收款账户与融资银行开户账户一致。</w:t>
      </w:r>
    </w:p>
    <w:p>
      <w:pPr>
        <w:ind w:firstLine="555"/>
        <w:rPr>
          <w:szCs w:val="21"/>
        </w:rPr>
      </w:pPr>
      <w:r>
        <w:rPr>
          <w:szCs w:val="21"/>
        </w:rPr>
        <w:t>（2）用于政府采购信用融资的政府采购合同，应当包含如下条款：“第条：政府采购合同贷款</w:t>
      </w:r>
    </w:p>
    <w:p>
      <w:pPr>
        <w:ind w:firstLine="555"/>
        <w:rPr>
          <w:szCs w:val="21"/>
        </w:rPr>
      </w:pPr>
      <w:r>
        <w:rPr>
          <w:szCs w:val="21"/>
        </w:rPr>
        <w:t>本合同同时用于乙方向银行（金融机构）申请政府采购信用贷款。</w:t>
      </w:r>
    </w:p>
    <w:p>
      <w:pPr>
        <w:ind w:firstLine="555"/>
        <w:rPr>
          <w:szCs w:val="21"/>
        </w:rPr>
      </w:pPr>
      <w:r>
        <w:rPr>
          <w:szCs w:val="21"/>
        </w:rPr>
        <w:t>本合同一经签订，原则上不得更改乙方收款账户信息。确须更改的，乙方应取得原合同收款账户开户银行书面同意，否则修改后的合同不予备案，采购资金不予支付。”</w:t>
      </w:r>
    </w:p>
    <w:p>
      <w:pPr>
        <w:pStyle w:val="2"/>
        <w:ind w:firstLine="210"/>
        <w:rPr>
          <w:szCs w:val="21"/>
        </w:rPr>
      </w:pPr>
    </w:p>
    <w:p/>
    <w:p>
      <w:pPr>
        <w:tabs>
          <w:tab w:val="left" w:pos="2472"/>
        </w:tabs>
        <w:snapToGrid w:val="0"/>
        <w:spacing w:before="120" w:line="312" w:lineRule="auto"/>
        <w:ind w:right="-87"/>
        <w:jc w:val="center"/>
        <w:rPr>
          <w:rFonts w:eastAsia="黑体"/>
          <w:sz w:val="30"/>
        </w:rPr>
      </w:pPr>
      <w:r>
        <w:rPr>
          <w:rFonts w:eastAsia="黑体"/>
          <w:sz w:val="30"/>
        </w:rPr>
        <w:t>第六章　投标文件格式</w:t>
      </w:r>
    </w:p>
    <w:p>
      <w:pPr>
        <w:tabs>
          <w:tab w:val="left" w:pos="2472"/>
        </w:tabs>
        <w:snapToGrid w:val="0"/>
        <w:spacing w:before="120" w:line="312" w:lineRule="auto"/>
        <w:ind w:right="-87"/>
        <w:jc w:val="center"/>
        <w:rPr>
          <w:rFonts w:eastAsia="黑体"/>
          <w:sz w:val="30"/>
        </w:rPr>
      </w:pPr>
    </w:p>
    <w:p>
      <w:pPr>
        <w:snapToGrid w:val="0"/>
        <w:spacing w:line="360" w:lineRule="auto"/>
        <w:ind w:right="-85"/>
        <w:rPr>
          <w:sz w:val="24"/>
        </w:rPr>
      </w:pPr>
    </w:p>
    <w:p>
      <w:pPr>
        <w:snapToGrid w:val="0"/>
        <w:spacing w:line="360" w:lineRule="auto"/>
        <w:ind w:right="-85"/>
        <w:rPr>
          <w:sz w:val="24"/>
        </w:rPr>
      </w:pPr>
    </w:p>
    <w:p>
      <w:pPr>
        <w:snapToGrid w:val="0"/>
        <w:spacing w:line="360" w:lineRule="auto"/>
        <w:ind w:right="-85"/>
        <w:rPr>
          <w:sz w:val="24"/>
        </w:rPr>
      </w:pPr>
      <w:r>
        <w:rPr>
          <w:sz w:val="24"/>
        </w:rPr>
        <w:t>一、</w:t>
      </w:r>
      <w:r>
        <w:rPr>
          <w:b/>
          <w:sz w:val="24"/>
        </w:rPr>
        <w:t>备份文件包装封面（格式供参考）</w:t>
      </w:r>
      <w:r>
        <w:rPr>
          <w:sz w:val="24"/>
        </w:rPr>
        <w:t>：</w:t>
      </w:r>
    </w:p>
    <w:p>
      <w:pPr>
        <w:snapToGrid w:val="0"/>
        <w:spacing w:line="360" w:lineRule="auto"/>
        <w:ind w:right="-85"/>
        <w:jc w:val="center"/>
        <w:rPr>
          <w:sz w:val="24"/>
        </w:rPr>
      </w:pPr>
    </w:p>
    <w:p>
      <w:pPr>
        <w:snapToGrid w:val="0"/>
        <w:spacing w:line="360" w:lineRule="auto"/>
        <w:ind w:right="-85"/>
        <w:jc w:val="center"/>
        <w:rPr>
          <w:b/>
          <w:sz w:val="44"/>
        </w:rPr>
      </w:pPr>
      <w:r>
        <w:rPr>
          <w:b/>
          <w:sz w:val="44"/>
        </w:rPr>
        <w:t>投标文件</w:t>
      </w:r>
    </w:p>
    <w:p>
      <w:pPr>
        <w:snapToGrid w:val="0"/>
        <w:spacing w:line="360" w:lineRule="auto"/>
        <w:ind w:right="-85"/>
        <w:rPr>
          <w:sz w:val="24"/>
        </w:rPr>
      </w:pPr>
    </w:p>
    <w:p>
      <w:pPr>
        <w:snapToGrid w:val="0"/>
        <w:spacing w:line="360" w:lineRule="auto"/>
        <w:ind w:right="-85" w:firstLine="1124" w:firstLineChars="400"/>
        <w:rPr>
          <w:b/>
          <w:sz w:val="28"/>
        </w:rPr>
      </w:pPr>
      <w:r>
        <w:rPr>
          <w:b/>
          <w:sz w:val="28"/>
        </w:rPr>
        <w:t>项目名称：</w:t>
      </w:r>
    </w:p>
    <w:p>
      <w:pPr>
        <w:snapToGrid w:val="0"/>
        <w:spacing w:line="360" w:lineRule="auto"/>
        <w:ind w:right="-85" w:firstLine="1113" w:firstLineChars="396"/>
        <w:rPr>
          <w:b/>
          <w:sz w:val="28"/>
          <w:u w:val="single"/>
        </w:rPr>
      </w:pPr>
      <w:r>
        <w:rPr>
          <w:b/>
          <w:sz w:val="28"/>
        </w:rPr>
        <w:t>项目编号：</w:t>
      </w:r>
    </w:p>
    <w:p>
      <w:pPr>
        <w:pStyle w:val="27"/>
        <w:snapToGrid w:val="0"/>
        <w:spacing w:line="360" w:lineRule="auto"/>
        <w:ind w:right="-85" w:firstLine="1169" w:firstLineChars="416"/>
        <w:rPr>
          <w:b/>
          <w:sz w:val="28"/>
        </w:rPr>
      </w:pPr>
      <w:r>
        <w:rPr>
          <w:b/>
          <w:sz w:val="28"/>
        </w:rPr>
        <w:t>投标人名称：</w:t>
      </w:r>
      <w:r>
        <w:rPr>
          <w:b/>
          <w:sz w:val="28"/>
          <w:u w:val="single"/>
        </w:rPr>
        <w:t>（</w:t>
      </w:r>
      <w:r>
        <w:rPr>
          <w:b/>
          <w:sz w:val="28"/>
        </w:rPr>
        <w:t>加盖公章）</w:t>
      </w:r>
    </w:p>
    <w:p>
      <w:pPr>
        <w:pStyle w:val="27"/>
        <w:snapToGrid w:val="0"/>
        <w:spacing w:line="360" w:lineRule="auto"/>
        <w:ind w:right="-85" w:firstLine="1169" w:firstLineChars="416"/>
        <w:rPr>
          <w:b/>
          <w:sz w:val="28"/>
          <w:u w:val="single"/>
        </w:rPr>
      </w:pPr>
      <w:r>
        <w:rPr>
          <w:b/>
          <w:sz w:val="28"/>
        </w:rPr>
        <w:t>投标人地址：</w:t>
      </w:r>
    </w:p>
    <w:p>
      <w:pPr>
        <w:pStyle w:val="27"/>
        <w:snapToGrid w:val="0"/>
        <w:spacing w:line="360" w:lineRule="auto"/>
        <w:ind w:right="-85" w:firstLine="1124" w:firstLineChars="400"/>
        <w:rPr>
          <w:b/>
          <w:sz w:val="28"/>
          <w:u w:val="single"/>
        </w:rPr>
      </w:pPr>
      <w:r>
        <w:rPr>
          <w:b/>
          <w:sz w:val="28"/>
        </w:rPr>
        <w:t>投标联系人：电话</w:t>
      </w:r>
    </w:p>
    <w:p>
      <w:pPr>
        <w:pStyle w:val="27"/>
        <w:snapToGrid w:val="0"/>
        <w:spacing w:line="360" w:lineRule="auto"/>
        <w:ind w:right="-85" w:firstLine="1124" w:firstLineChars="400"/>
        <w:rPr>
          <w:b/>
          <w:sz w:val="28"/>
          <w:u w:val="single"/>
        </w:rPr>
      </w:pPr>
      <w:r>
        <w:rPr>
          <w:b/>
          <w:sz w:val="28"/>
        </w:rPr>
        <w:t>启封时间：</w:t>
      </w:r>
      <w:r>
        <w:rPr>
          <w:b/>
          <w:sz w:val="28"/>
          <w:u w:val="single"/>
        </w:rPr>
        <w:t>在20     年月日时分之前不得启封</w:t>
      </w:r>
    </w:p>
    <w:p>
      <w:pPr>
        <w:snapToGrid w:val="0"/>
        <w:spacing w:line="360" w:lineRule="auto"/>
        <w:ind w:right="-85" w:firstLine="4080" w:firstLineChars="1700"/>
        <w:rPr>
          <w:sz w:val="24"/>
        </w:rPr>
      </w:pPr>
    </w:p>
    <w:p>
      <w:pPr>
        <w:snapToGrid w:val="0"/>
        <w:spacing w:line="360" w:lineRule="auto"/>
        <w:ind w:right="-85" w:firstLine="645"/>
        <w:jc w:val="center"/>
        <w:rPr>
          <w:sz w:val="24"/>
        </w:rPr>
      </w:pPr>
      <w:r>
        <w:rPr>
          <w:sz w:val="24"/>
        </w:rPr>
        <w:t>年月日</w:t>
      </w:r>
    </w:p>
    <w:p>
      <w:pPr>
        <w:snapToGrid w:val="0"/>
        <w:spacing w:line="360" w:lineRule="auto"/>
        <w:ind w:right="-85"/>
        <w:outlineLvl w:val="1"/>
        <w:rPr>
          <w:sz w:val="24"/>
          <w:u w:val="single"/>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32"/>
        </w:rPr>
      </w:pPr>
    </w:p>
    <w:p>
      <w:pPr>
        <w:pStyle w:val="21"/>
        <w:snapToGrid w:val="0"/>
        <w:spacing w:before="120" w:line="312" w:lineRule="auto"/>
        <w:ind w:right="-341"/>
        <w:rPr>
          <w:rFonts w:ascii="Times New Roman" w:hAnsi="Times New Roman"/>
          <w:b/>
          <w:sz w:val="28"/>
          <w:szCs w:val="28"/>
        </w:rPr>
      </w:pPr>
    </w:p>
    <w:p>
      <w:pPr>
        <w:pStyle w:val="21"/>
        <w:snapToGrid w:val="0"/>
        <w:spacing w:before="120" w:line="312" w:lineRule="auto"/>
        <w:ind w:right="-341"/>
        <w:rPr>
          <w:rFonts w:ascii="Times New Roman" w:hAnsi="Times New Roman"/>
          <w:b/>
          <w:sz w:val="28"/>
          <w:szCs w:val="28"/>
        </w:rPr>
      </w:pPr>
    </w:p>
    <w:p>
      <w:pPr>
        <w:pStyle w:val="21"/>
        <w:snapToGrid w:val="0"/>
        <w:spacing w:before="120" w:line="312" w:lineRule="auto"/>
        <w:ind w:right="-341"/>
        <w:rPr>
          <w:rFonts w:ascii="Times New Roman" w:hAnsi="Times New Roman"/>
          <w:b/>
          <w:sz w:val="28"/>
          <w:szCs w:val="28"/>
        </w:rPr>
      </w:pPr>
    </w:p>
    <w:p>
      <w:pPr>
        <w:pStyle w:val="21"/>
        <w:snapToGrid w:val="0"/>
        <w:spacing w:before="120" w:line="312" w:lineRule="auto"/>
        <w:ind w:right="-341"/>
        <w:rPr>
          <w:rFonts w:ascii="Times New Roman" w:hAnsi="Times New Roman"/>
          <w:b/>
          <w:sz w:val="28"/>
          <w:szCs w:val="28"/>
        </w:rPr>
      </w:pPr>
      <w:r>
        <w:rPr>
          <w:rFonts w:ascii="Times New Roman" w:hAnsi="Times New Roman"/>
          <w:b/>
          <w:sz w:val="28"/>
          <w:szCs w:val="28"/>
        </w:rPr>
        <w:t>二</w:t>
      </w:r>
    </w:p>
    <w:p>
      <w:pPr>
        <w:pStyle w:val="21"/>
        <w:snapToGrid w:val="0"/>
        <w:spacing w:before="120" w:line="312" w:lineRule="auto"/>
        <w:ind w:right="-341" w:firstLine="3678" w:firstLineChars="1145"/>
        <w:rPr>
          <w:rFonts w:ascii="Times New Roman" w:hAnsi="Times New Roman"/>
          <w:b/>
          <w:sz w:val="32"/>
        </w:rPr>
      </w:pPr>
      <w:r>
        <w:rPr>
          <w:rFonts w:ascii="Times New Roman" w:hAnsi="Times New Roman"/>
          <w:b/>
          <w:sz w:val="32"/>
        </w:rPr>
        <w:t>开标一览表</w:t>
      </w:r>
    </w:p>
    <w:p>
      <w:pPr>
        <w:spacing w:line="360" w:lineRule="auto"/>
        <w:rPr>
          <w:b/>
          <w:sz w:val="24"/>
          <w:szCs w:val="24"/>
        </w:rPr>
      </w:pPr>
    </w:p>
    <w:p>
      <w:pPr>
        <w:snapToGrid w:val="0"/>
        <w:spacing w:before="50" w:after="50"/>
      </w:pPr>
      <w:r>
        <w:t>项目名称：</w:t>
      </w:r>
    </w:p>
    <w:p>
      <w:pPr>
        <w:snapToGrid w:val="0"/>
        <w:spacing w:before="50" w:after="50"/>
      </w:pPr>
      <w:r>
        <w:t>项目编号：</w:t>
      </w:r>
    </w:p>
    <w:p>
      <w:pPr>
        <w:pStyle w:val="2"/>
        <w:ind w:firstLine="7035" w:firstLineChars="3350"/>
        <w:rPr>
          <w:rFonts w:hAnsi="Times New Roman"/>
          <w:szCs w:val="21"/>
        </w:rPr>
      </w:pPr>
      <w:r>
        <w:rPr>
          <w:rFonts w:hAnsi="Times New Roman"/>
          <w:szCs w:val="21"/>
        </w:rPr>
        <w:t>单位：元</w:t>
      </w:r>
    </w:p>
    <w:tbl>
      <w:tblPr>
        <w:tblStyle w:val="37"/>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787"/>
        <w:gridCol w:w="2400"/>
        <w:gridCol w:w="4971"/>
        <w:gridCol w:w="14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b/>
                <w:szCs w:val="21"/>
              </w:rPr>
            </w:pPr>
            <w:r>
              <w:rPr>
                <w:rFonts w:hint="eastAsia" w:ascii="宋体" w:hAnsi="宋体"/>
                <w:b/>
                <w:szCs w:val="21"/>
              </w:rPr>
              <w:t>序号</w:t>
            </w: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b/>
                <w:szCs w:val="21"/>
              </w:rPr>
            </w:pPr>
            <w:r>
              <w:rPr>
                <w:rFonts w:hint="eastAsia" w:ascii="宋体" w:hAnsi="宋体"/>
                <w:b/>
                <w:szCs w:val="21"/>
              </w:rPr>
              <w:t>项目名称</w:t>
            </w:r>
          </w:p>
        </w:tc>
        <w:tc>
          <w:tcPr>
            <w:tcW w:w="4971" w:type="dxa"/>
            <w:tcBorders>
              <w:top w:val="single" w:color="auto" w:sz="4" w:space="0"/>
              <w:left w:val="single" w:color="auto" w:sz="4" w:space="0"/>
              <w:right w:val="single" w:color="auto" w:sz="4" w:space="0"/>
            </w:tcBorders>
            <w:vAlign w:val="center"/>
          </w:tcPr>
          <w:p>
            <w:pPr>
              <w:jc w:val="center"/>
              <w:rPr>
                <w:rFonts w:ascii="宋体"/>
                <w:b/>
                <w:szCs w:val="21"/>
              </w:rPr>
            </w:pPr>
            <w:r>
              <w:rPr>
                <w:rFonts w:hint="eastAsia" w:ascii="宋体"/>
                <w:b/>
                <w:szCs w:val="21"/>
              </w:rPr>
              <w:t>投标总报价</w:t>
            </w: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hAnsi="宋体"/>
                <w:b/>
                <w:szCs w:val="21"/>
              </w:rPr>
            </w:pP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971"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hAnsi="宋体"/>
                <w:b/>
                <w:szCs w:val="21"/>
              </w:rPr>
            </w:pP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971"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787" w:type="dxa"/>
            <w:tcBorders>
              <w:top w:val="single" w:color="auto" w:sz="4" w:space="0"/>
              <w:right w:val="single" w:color="auto" w:sz="4" w:space="0"/>
            </w:tcBorders>
            <w:vAlign w:val="center"/>
          </w:tcPr>
          <w:p>
            <w:pPr>
              <w:jc w:val="center"/>
              <w:rPr>
                <w:rFonts w:ascii="宋体" w:hAnsi="宋体"/>
                <w:b/>
                <w:szCs w:val="21"/>
              </w:rPr>
            </w:pPr>
          </w:p>
        </w:tc>
        <w:tc>
          <w:tcPr>
            <w:tcW w:w="2400"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971"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1408"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787" w:type="dxa"/>
            <w:tcBorders>
              <w:bottom w:val="single" w:color="auto" w:sz="4" w:space="0"/>
              <w:right w:val="single" w:color="auto" w:sz="4" w:space="0"/>
            </w:tcBorders>
            <w:vAlign w:val="center"/>
          </w:tcPr>
          <w:p>
            <w:pPr>
              <w:autoSpaceDE w:val="0"/>
              <w:autoSpaceDN w:val="0"/>
              <w:adjustRightInd w:val="0"/>
              <w:spacing w:line="400" w:lineRule="exact"/>
              <w:rPr>
                <w:rFonts w:ascii="宋体"/>
                <w:szCs w:val="21"/>
                <w:lang w:val="zh-CN"/>
              </w:rPr>
            </w:pPr>
            <w:r>
              <w:rPr>
                <w:rFonts w:hint="eastAsia" w:ascii="宋体" w:hAnsi="宋体"/>
                <w:szCs w:val="21"/>
                <w:lang w:val="zh-CN"/>
              </w:rPr>
              <w:t>合计</w:t>
            </w:r>
          </w:p>
        </w:tc>
        <w:tc>
          <w:tcPr>
            <w:tcW w:w="8779" w:type="dxa"/>
            <w:gridSpan w:val="3"/>
            <w:tcBorders>
              <w:left w:val="single" w:color="auto" w:sz="4" w:space="0"/>
              <w:bottom w:val="single" w:color="auto" w:sz="4" w:space="0"/>
            </w:tcBorders>
            <w:vAlign w:val="center"/>
          </w:tcPr>
          <w:p>
            <w:pPr>
              <w:spacing w:before="120" w:after="120"/>
              <w:ind w:left="424" w:leftChars="202"/>
              <w:rPr>
                <w:rFonts w:asciiTheme="minorEastAsia" w:hAnsiTheme="minorEastAsia" w:eastAsiaTheme="minorEastAsia"/>
                <w:b/>
                <w:bCs/>
                <w:szCs w:val="21"/>
              </w:rPr>
            </w:pPr>
            <w:r>
              <w:rPr>
                <w:rFonts w:hint="eastAsia" w:asciiTheme="minorEastAsia" w:hAnsiTheme="minorEastAsia" w:eastAsiaTheme="minorEastAsia"/>
                <w:b/>
                <w:bCs/>
                <w:szCs w:val="21"/>
              </w:rPr>
              <w:t>大写：</w:t>
            </w:r>
          </w:p>
        </w:tc>
      </w:tr>
    </w:tbl>
    <w:p>
      <w:pPr>
        <w:pStyle w:val="2"/>
        <w:ind w:firstLine="210"/>
        <w:rPr>
          <w:rFonts w:hAnsi="Times New Roman"/>
          <w:szCs w:val="21"/>
        </w:rPr>
      </w:pPr>
    </w:p>
    <w:p>
      <w:pPr>
        <w:pStyle w:val="2"/>
        <w:ind w:firstLine="6510" w:firstLineChars="3100"/>
      </w:pPr>
    </w:p>
    <w:p>
      <w:pPr>
        <w:snapToGrid w:val="0"/>
        <w:spacing w:line="360" w:lineRule="auto"/>
        <w:ind w:right="-340"/>
      </w:pPr>
      <w:r>
        <w:t>投标人名称（盖章）：日期：年月日</w:t>
      </w:r>
    </w:p>
    <w:p>
      <w:pPr>
        <w:snapToGrid w:val="0"/>
        <w:spacing w:before="50" w:after="50"/>
        <w:rPr>
          <w:spacing w:val="20"/>
          <w:u w:val="single"/>
        </w:rPr>
      </w:pPr>
    </w:p>
    <w:p>
      <w:pPr>
        <w:pStyle w:val="3"/>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r>
        <w:rPr>
          <w:b/>
          <w:sz w:val="32"/>
        </w:rPr>
        <w:t>三、投标报价明细表</w:t>
      </w:r>
    </w:p>
    <w:p>
      <w:pPr>
        <w:snapToGrid w:val="0"/>
        <w:rPr>
          <w:b/>
          <w:sz w:val="28"/>
        </w:rPr>
      </w:pPr>
    </w:p>
    <w:p>
      <w:pPr>
        <w:snapToGrid w:val="0"/>
        <w:rPr>
          <w:szCs w:val="21"/>
        </w:rPr>
      </w:pPr>
      <w:r>
        <w:rPr>
          <w:szCs w:val="21"/>
        </w:rPr>
        <w:t>招标项目：金额单位：人民币（元）</w:t>
      </w:r>
    </w:p>
    <w:p>
      <w:pPr>
        <w:pStyle w:val="21"/>
        <w:snapToGrid w:val="0"/>
        <w:spacing w:before="120" w:after="120" w:line="240" w:lineRule="auto"/>
        <w:rPr>
          <w:rFonts w:ascii="Times New Roman" w:hAnsi="Times New Roman"/>
          <w:sz w:val="21"/>
          <w:szCs w:val="21"/>
        </w:rPr>
      </w:pPr>
      <w:r>
        <w:rPr>
          <w:rFonts w:ascii="Times New Roman" w:hAnsi="Times New Roman"/>
          <w:sz w:val="21"/>
          <w:szCs w:val="21"/>
        </w:rPr>
        <w:t>招标编号：</w:t>
      </w:r>
    </w:p>
    <w:tbl>
      <w:tblPr>
        <w:tblStyle w:val="37"/>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98"/>
              <w:snapToGrid w:val="0"/>
              <w:spacing w:before="50" w:after="50" w:line="240" w:lineRule="auto"/>
              <w:rPr>
                <w:rFonts w:ascii="Times New Roman"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spacing w:val="20"/>
              </w:rPr>
            </w:pPr>
            <w: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r>
              <w:rPr>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4"/>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132" w:type="dxa"/>
            <w:gridSpan w:val="3"/>
            <w:tcBorders>
              <w:top w:val="single" w:color="auto" w:sz="4" w:space="0"/>
              <w:bottom w:val="single" w:color="auto" w:sz="4" w:space="0"/>
            </w:tcBorders>
          </w:tcPr>
          <w:p>
            <w:pPr>
              <w:tabs>
                <w:tab w:val="left" w:pos="1418"/>
              </w:tabs>
              <w:snapToGrid w:val="0"/>
              <w:spacing w:before="50" w:after="50"/>
              <w:jc w:val="center"/>
              <w:rPr>
                <w:spacing w:val="20"/>
              </w:rPr>
            </w:pPr>
          </w:p>
        </w:tc>
      </w:tr>
    </w:tbl>
    <w:p>
      <w:pPr>
        <w:snapToGrid w:val="0"/>
      </w:pPr>
    </w:p>
    <w:p>
      <w:pPr>
        <w:snapToGrid w:val="0"/>
        <w:spacing w:before="50" w:after="50"/>
      </w:pPr>
      <w:r>
        <w:t>投标人名称（盖章）：</w:t>
      </w:r>
    </w:p>
    <w:p>
      <w:pPr>
        <w:snapToGrid w:val="0"/>
        <w:spacing w:before="50" w:after="50"/>
      </w:pPr>
    </w:p>
    <w:p>
      <w:pPr>
        <w:snapToGrid w:val="0"/>
        <w:spacing w:before="50" w:after="50"/>
      </w:pPr>
    </w:p>
    <w:p>
      <w:pPr>
        <w:snapToGrid w:val="0"/>
        <w:spacing w:before="50" w:after="50"/>
        <w:rPr>
          <w:spacing w:val="20"/>
          <w:u w:val="single"/>
        </w:rPr>
      </w:pPr>
      <w:r>
        <w:rPr>
          <w:spacing w:val="20"/>
        </w:rPr>
        <w:t>日期：</w:t>
      </w:r>
    </w:p>
    <w:p>
      <w:pPr>
        <w:snapToGrid w:val="0"/>
        <w:spacing w:before="50" w:after="50"/>
      </w:pPr>
    </w:p>
    <w:p>
      <w:pPr>
        <w:snapToGrid w:val="0"/>
        <w:spacing w:before="120" w:line="312" w:lineRule="auto"/>
        <w:ind w:right="-341"/>
        <w:rPr>
          <w:b/>
          <w:sz w:val="32"/>
        </w:rPr>
      </w:pPr>
    </w:p>
    <w:p>
      <w:pPr>
        <w:snapToGrid w:val="0"/>
        <w:spacing w:before="120" w:line="312" w:lineRule="auto"/>
        <w:ind w:right="-341"/>
        <w:rPr>
          <w:b/>
          <w:sz w:val="32"/>
        </w:rPr>
      </w:pPr>
    </w:p>
    <w:p>
      <w:pPr>
        <w:pStyle w:val="72"/>
      </w:pPr>
    </w:p>
    <w:p>
      <w:pPr>
        <w:snapToGrid w:val="0"/>
        <w:spacing w:before="120" w:line="312" w:lineRule="auto"/>
        <w:ind w:right="-341"/>
        <w:rPr>
          <w:b/>
          <w:sz w:val="32"/>
        </w:rPr>
      </w:pPr>
    </w:p>
    <w:p>
      <w:pPr>
        <w:pStyle w:val="3"/>
        <w:rPr>
          <w:rFonts w:hint="eastAsia"/>
        </w:rPr>
      </w:pPr>
    </w:p>
    <w:p>
      <w:pPr>
        <w:snapToGrid w:val="0"/>
        <w:spacing w:before="120" w:line="312" w:lineRule="auto"/>
        <w:ind w:right="-341"/>
        <w:jc w:val="center"/>
        <w:rPr>
          <w:b/>
          <w:sz w:val="32"/>
        </w:rPr>
      </w:pPr>
      <w:r>
        <w:rPr>
          <w:b/>
          <w:sz w:val="32"/>
        </w:rPr>
        <w:t>四、投标函</w:t>
      </w:r>
    </w:p>
    <w:p>
      <w:pPr>
        <w:snapToGrid w:val="0"/>
        <w:spacing w:line="312" w:lineRule="auto"/>
        <w:ind w:right="-341"/>
      </w:pPr>
    </w:p>
    <w:p>
      <w:pPr>
        <w:snapToGrid w:val="0"/>
        <w:spacing w:line="312" w:lineRule="auto"/>
        <w:ind w:right="-341"/>
      </w:pPr>
      <w:r>
        <w:t>致：</w:t>
      </w:r>
      <w:r>
        <w:rPr>
          <w:u w:val="single"/>
        </w:rPr>
        <w:t>深圳市国信招标有限公司</w:t>
      </w:r>
      <w:r>
        <w:t>：</w:t>
      </w:r>
    </w:p>
    <w:p>
      <w:pPr>
        <w:snapToGrid w:val="0"/>
        <w:spacing w:line="312" w:lineRule="auto"/>
        <w:ind w:right="-341" w:firstLine="480"/>
        <w:rPr>
          <w:szCs w:val="21"/>
        </w:rPr>
      </w:pPr>
      <w:r>
        <w:t>根据贵方为项目的招标公告（项目编号：），</w:t>
      </w:r>
      <w:r>
        <w:rPr>
          <w:szCs w:val="21"/>
        </w:rPr>
        <w:t>提交投标文件正本一份，副本一份。</w:t>
      </w:r>
    </w:p>
    <w:p>
      <w:pPr>
        <w:pStyle w:val="18"/>
        <w:widowControl/>
        <w:spacing w:line="360" w:lineRule="auto"/>
        <w:ind w:right="-341" w:firstLine="387" w:firstLineChars="192"/>
        <w:rPr>
          <w:rFonts w:ascii="Times New Roman" w:hAnsi="Times New Roman"/>
          <w:sz w:val="21"/>
          <w:szCs w:val="21"/>
        </w:rPr>
      </w:pPr>
      <w:r>
        <w:rPr>
          <w:rFonts w:ascii="Times New Roman" w:hAnsi="Times New Roman"/>
          <w:sz w:val="21"/>
          <w:szCs w:val="21"/>
        </w:rPr>
        <w:t>据此函，签字代表宣布同意如下：</w:t>
      </w:r>
    </w:p>
    <w:p>
      <w:pPr>
        <w:pStyle w:val="18"/>
        <w:widowControl/>
        <w:spacing w:line="360" w:lineRule="auto"/>
        <w:ind w:right="-341" w:firstLine="387" w:firstLineChars="192"/>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我方已详细审查了采购文件的全部内容及其相关补充文件</w:t>
      </w:r>
      <w:r>
        <w:rPr>
          <w:rFonts w:ascii="Times New Roman" w:hAnsi="Times New Roman"/>
          <w:b/>
          <w:sz w:val="21"/>
          <w:szCs w:val="21"/>
        </w:rPr>
        <w:t>（若有）</w:t>
      </w:r>
      <w:r>
        <w:rPr>
          <w:rFonts w:ascii="Times New Roman" w:hAnsi="Times New Roman"/>
          <w:sz w:val="21"/>
          <w:szCs w:val="21"/>
        </w:rPr>
        <w:t>，并完全清晰理解全部内容及相关的补充文件</w:t>
      </w:r>
      <w:r>
        <w:rPr>
          <w:rFonts w:ascii="Times New Roman" w:hAnsi="Times New Roman"/>
          <w:b/>
          <w:sz w:val="21"/>
          <w:szCs w:val="21"/>
        </w:rPr>
        <w:t>（若有）</w:t>
      </w:r>
      <w:r>
        <w:rPr>
          <w:rFonts w:ascii="Times New Roman" w:hAnsi="Times New Roman"/>
          <w:sz w:val="21"/>
          <w:szCs w:val="21"/>
        </w:rPr>
        <w:t>，不存在任何误解之处，同意放弃提出异议和质疑的权利。</w:t>
      </w:r>
    </w:p>
    <w:p>
      <w:pPr>
        <w:snapToGrid w:val="0"/>
        <w:spacing w:line="360" w:lineRule="auto"/>
        <w:ind w:right="-341" w:firstLine="404" w:firstLineChars="200"/>
        <w:rPr>
          <w:spacing w:val="-4"/>
          <w:szCs w:val="21"/>
        </w:rPr>
      </w:pPr>
      <w:r>
        <w:rPr>
          <w:spacing w:val="-4"/>
          <w:szCs w:val="21"/>
        </w:rPr>
        <w:t>2</w:t>
      </w:r>
      <w:r>
        <w:rPr>
          <w:rFonts w:hint="eastAsia"/>
          <w:spacing w:val="-4"/>
          <w:szCs w:val="21"/>
        </w:rPr>
        <w:t>.</w:t>
      </w:r>
      <w:r>
        <w:rPr>
          <w:spacing w:val="-4"/>
          <w:szCs w:val="21"/>
        </w:rPr>
        <w:t>我方遵守《中华人民共和国政府采购法》及相关法律法规的规定。同意采购文件中所提到的无效标条款，并服从有关开标的会议纪律。否则，同意被废除投标资格。</w:t>
      </w:r>
    </w:p>
    <w:p>
      <w:pPr>
        <w:spacing w:line="360" w:lineRule="auto"/>
        <w:ind w:right="-341" w:firstLine="404" w:firstLineChars="200"/>
        <w:rPr>
          <w:spacing w:val="-4"/>
          <w:szCs w:val="21"/>
        </w:rPr>
      </w:pPr>
      <w:r>
        <w:rPr>
          <w:spacing w:val="-4"/>
          <w:szCs w:val="21"/>
        </w:rPr>
        <w:t>3</w:t>
      </w:r>
      <w:r>
        <w:rPr>
          <w:rFonts w:hint="eastAsia"/>
          <w:spacing w:val="-4"/>
          <w:szCs w:val="21"/>
        </w:rPr>
        <w:t>.</w:t>
      </w:r>
      <w:r>
        <w:rPr>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spacing w:val="-4"/>
          <w:szCs w:val="21"/>
        </w:rPr>
      </w:pPr>
      <w:r>
        <w:rPr>
          <w:spacing w:val="-4"/>
          <w:szCs w:val="21"/>
        </w:rPr>
        <w:t>4</w:t>
      </w:r>
      <w:r>
        <w:rPr>
          <w:rFonts w:hint="eastAsia"/>
          <w:spacing w:val="-4"/>
          <w:szCs w:val="21"/>
        </w:rPr>
        <w:t>.</w:t>
      </w:r>
      <w:r>
        <w:rPr>
          <w:spacing w:val="-4"/>
          <w:szCs w:val="21"/>
        </w:rPr>
        <w:t>投标有效期为自开标之日起9</w:t>
      </w:r>
      <w:r>
        <w:rPr>
          <w:spacing w:val="-4"/>
          <w:szCs w:val="21"/>
          <w:u w:val="single"/>
        </w:rPr>
        <w:t>0</w:t>
      </w:r>
      <w:r>
        <w:rPr>
          <w:spacing w:val="-4"/>
          <w:szCs w:val="21"/>
        </w:rPr>
        <w:t>天内，如在投标有效期内撤回投标，我方同意被废除投标资格。</w:t>
      </w:r>
    </w:p>
    <w:p>
      <w:pPr>
        <w:spacing w:line="360" w:lineRule="auto"/>
        <w:ind w:right="-341" w:firstLine="404" w:firstLineChars="200"/>
        <w:rPr>
          <w:spacing w:val="-4"/>
          <w:szCs w:val="21"/>
        </w:rPr>
      </w:pPr>
      <w:r>
        <w:rPr>
          <w:spacing w:val="-4"/>
          <w:szCs w:val="21"/>
        </w:rPr>
        <w:t>5</w:t>
      </w:r>
      <w:r>
        <w:rPr>
          <w:rFonts w:hint="eastAsia"/>
          <w:spacing w:val="-4"/>
          <w:szCs w:val="21"/>
        </w:rPr>
        <w:t>.</w:t>
      </w:r>
      <w:r>
        <w:rPr>
          <w:spacing w:val="-4"/>
          <w:szCs w:val="21"/>
        </w:rPr>
        <w:t>我方承诺</w:t>
      </w:r>
      <w:r>
        <w:rPr>
          <w:szCs w:val="21"/>
        </w:rPr>
        <w:t>参加政府采购活动前3年内在经营活动中没有重大违法记录和依法缴纳了税收</w:t>
      </w:r>
      <w:r>
        <w:rPr>
          <w:spacing w:val="-4"/>
          <w:szCs w:val="21"/>
        </w:rPr>
        <w:t>（投标截止时间进行计算）。</w:t>
      </w:r>
    </w:p>
    <w:p>
      <w:pPr>
        <w:spacing w:line="360" w:lineRule="auto"/>
        <w:ind w:right="-341" w:firstLine="404" w:firstLineChars="200"/>
        <w:rPr>
          <w:szCs w:val="21"/>
        </w:rPr>
      </w:pPr>
      <w:r>
        <w:rPr>
          <w:spacing w:val="-4"/>
          <w:szCs w:val="21"/>
        </w:rPr>
        <w:t>6</w:t>
      </w:r>
      <w:r>
        <w:rPr>
          <w:rFonts w:hint="eastAsia"/>
          <w:spacing w:val="-4"/>
          <w:szCs w:val="21"/>
        </w:rPr>
        <w:t>.</w:t>
      </w:r>
      <w:r>
        <w:rPr>
          <w:spacing w:val="-4"/>
          <w:szCs w:val="21"/>
        </w:rPr>
        <w:t>我方承诺具备本项目</w:t>
      </w:r>
      <w:r>
        <w:rPr>
          <w:szCs w:val="21"/>
        </w:rPr>
        <w:t>履行合同所必需的设备和专业技术能力</w:t>
      </w:r>
    </w:p>
    <w:p>
      <w:pPr>
        <w:spacing w:line="360" w:lineRule="auto"/>
        <w:ind w:right="-341" w:firstLine="404" w:firstLineChars="200"/>
        <w:rPr>
          <w:spacing w:val="-4"/>
          <w:szCs w:val="21"/>
        </w:rPr>
      </w:pPr>
      <w:r>
        <w:rPr>
          <w:spacing w:val="-4"/>
          <w:szCs w:val="21"/>
        </w:rPr>
        <w:t>7</w:t>
      </w:r>
      <w:r>
        <w:rPr>
          <w:rFonts w:hint="eastAsia"/>
          <w:spacing w:val="-4"/>
          <w:szCs w:val="21"/>
        </w:rPr>
        <w:t>.</w:t>
      </w:r>
      <w:r>
        <w:rPr>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spacing w:val="-4"/>
          <w:szCs w:val="21"/>
        </w:rPr>
      </w:pPr>
      <w:r>
        <w:rPr>
          <w:spacing w:val="-4"/>
          <w:szCs w:val="21"/>
        </w:rPr>
        <w:t>8</w:t>
      </w:r>
      <w:r>
        <w:rPr>
          <w:rFonts w:hint="eastAsia"/>
          <w:spacing w:val="-4"/>
          <w:szCs w:val="21"/>
        </w:rPr>
        <w:t>.</w:t>
      </w:r>
      <w:r>
        <w:rPr>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pPr>
      <w:r>
        <w:t>9</w:t>
      </w:r>
      <w:r>
        <w:rPr>
          <w:rFonts w:hint="eastAsia"/>
        </w:rPr>
        <w:t>.</w:t>
      </w:r>
      <w:r>
        <w:t>与本投标有关的一切正式往来信函请寄：</w:t>
      </w:r>
    </w:p>
    <w:p>
      <w:pPr>
        <w:snapToGrid w:val="0"/>
        <w:spacing w:line="312" w:lineRule="auto"/>
        <w:ind w:right="-341"/>
      </w:pPr>
      <w:r>
        <w:t>地址：邮编：__________   电话：______________</w:t>
      </w:r>
    </w:p>
    <w:p>
      <w:pPr>
        <w:snapToGrid w:val="0"/>
        <w:spacing w:line="312" w:lineRule="auto"/>
        <w:ind w:right="-341"/>
      </w:pPr>
      <w:r>
        <w:t>传真：______________投标人代表姓名 ___________  职务：_____________</w:t>
      </w:r>
    </w:p>
    <w:p>
      <w:pPr>
        <w:snapToGrid w:val="0"/>
        <w:spacing w:line="312" w:lineRule="auto"/>
        <w:ind w:right="-341"/>
      </w:pPr>
      <w:r>
        <w:t>投标人名称(公章):___________________</w:t>
      </w:r>
    </w:p>
    <w:p>
      <w:pPr>
        <w:snapToGrid w:val="0"/>
        <w:spacing w:line="312" w:lineRule="auto"/>
        <w:ind w:right="-341"/>
      </w:pPr>
      <w:r>
        <w:t>开户银行：银行帐号：</w:t>
      </w:r>
    </w:p>
    <w:p>
      <w:pPr>
        <w:snapToGrid w:val="0"/>
        <w:ind w:right="-341"/>
      </w:pPr>
    </w:p>
    <w:p>
      <w:pPr>
        <w:snapToGrid w:val="0"/>
        <w:spacing w:before="120" w:line="312" w:lineRule="auto"/>
        <w:ind w:right="-341" w:firstLine="2940" w:firstLineChars="1400"/>
      </w:pPr>
      <w:r>
        <w:t>日期:_____年___月___日</w:t>
      </w:r>
    </w:p>
    <w:p>
      <w:pPr>
        <w:snapToGrid w:val="0"/>
        <w:spacing w:line="312" w:lineRule="auto"/>
        <w:ind w:right="-341"/>
        <w:jc w:val="left"/>
        <w:rPr>
          <w:b/>
          <w:sz w:val="24"/>
        </w:rPr>
      </w:pPr>
      <w:r>
        <w:br w:type="page"/>
      </w:r>
    </w:p>
    <w:p>
      <w:pPr>
        <w:snapToGrid w:val="0"/>
        <w:spacing w:before="120" w:line="312" w:lineRule="auto"/>
        <w:ind w:right="-341"/>
        <w:jc w:val="center"/>
        <w:rPr>
          <w:b/>
          <w:sz w:val="32"/>
        </w:rPr>
      </w:pPr>
    </w:p>
    <w:p>
      <w:pPr>
        <w:snapToGrid w:val="0"/>
        <w:spacing w:before="120" w:beforeLines="50" w:after="50"/>
        <w:jc w:val="center"/>
        <w:rPr>
          <w:b/>
          <w:sz w:val="32"/>
          <w:szCs w:val="32"/>
        </w:rPr>
      </w:pPr>
      <w:r>
        <w:rPr>
          <w:b/>
          <w:sz w:val="32"/>
          <w:szCs w:val="32"/>
        </w:rPr>
        <w:t>五、声明函</w:t>
      </w:r>
    </w:p>
    <w:p>
      <w:pPr>
        <w:snapToGrid w:val="0"/>
        <w:spacing w:before="120" w:beforeLines="50" w:after="50" w:line="360" w:lineRule="auto"/>
        <w:rPr>
          <w:szCs w:val="21"/>
        </w:rPr>
      </w:pPr>
    </w:p>
    <w:p>
      <w:pPr>
        <w:snapToGrid w:val="0"/>
        <w:spacing w:before="120" w:beforeLines="50" w:after="50" w:line="360" w:lineRule="auto"/>
        <w:rPr>
          <w:szCs w:val="21"/>
        </w:rPr>
      </w:pPr>
      <w:r>
        <w:rPr>
          <w:szCs w:val="21"/>
        </w:rPr>
        <w:t>致：_</w:t>
      </w:r>
      <w:r>
        <w:rPr>
          <w:u w:val="single"/>
        </w:rPr>
        <w:t>深圳市国信招标有限公司</w:t>
      </w:r>
      <w:r>
        <w:t>_</w:t>
      </w:r>
      <w:r>
        <w:rPr>
          <w:szCs w:val="21"/>
        </w:rPr>
        <w:t>：</w:t>
      </w:r>
    </w:p>
    <w:p>
      <w:pPr>
        <w:pStyle w:val="3"/>
        <w:spacing w:line="360" w:lineRule="auto"/>
        <w:ind w:firstLine="480"/>
        <w:rPr>
          <w:szCs w:val="21"/>
        </w:rPr>
      </w:pPr>
      <w:r>
        <w:rPr>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3"/>
        <w:spacing w:line="360" w:lineRule="auto"/>
        <w:ind w:firstLine="480"/>
        <w:rPr>
          <w:szCs w:val="21"/>
        </w:rPr>
      </w:pPr>
      <w:r>
        <w:rPr>
          <w:szCs w:val="21"/>
        </w:rPr>
        <w:t>特此声明！</w:t>
      </w:r>
    </w:p>
    <w:p>
      <w:pPr>
        <w:pStyle w:val="3"/>
        <w:ind w:firstLine="480"/>
      </w:pPr>
    </w:p>
    <w:p>
      <w:pPr>
        <w:snapToGrid w:val="0"/>
        <w:spacing w:before="120" w:beforeLines="50"/>
        <w:ind w:firstLine="200"/>
      </w:pPr>
    </w:p>
    <w:p>
      <w:pPr>
        <w:snapToGrid w:val="0"/>
        <w:spacing w:before="50" w:after="50"/>
      </w:pPr>
    </w:p>
    <w:p>
      <w:pPr>
        <w:snapToGrid w:val="0"/>
        <w:ind w:left="2" w:right="-817" w:rightChars="-389"/>
      </w:pPr>
    </w:p>
    <w:p>
      <w:pPr>
        <w:snapToGrid w:val="0"/>
        <w:spacing w:before="50" w:line="312" w:lineRule="auto"/>
        <w:jc w:val="left"/>
        <w:rPr>
          <w:b/>
          <w:spacing w:val="20"/>
          <w:sz w:val="28"/>
        </w:rPr>
      </w:pPr>
      <w:r>
        <w:t>投标人名称（盖章）：日期：</w:t>
      </w:r>
    </w:p>
    <w:p>
      <w:pPr>
        <w:pStyle w:val="74"/>
        <w:snapToGrid w:val="0"/>
        <w:spacing w:before="120" w:beforeLines="50"/>
        <w:ind w:firstLine="200"/>
        <w:jc w:val="right"/>
        <w:rPr>
          <w:rFonts w:ascii="Times New Roman" w:hAnsi="Times New Roman"/>
          <w:sz w:val="21"/>
          <w:szCs w:val="24"/>
        </w:rPr>
      </w:pPr>
    </w:p>
    <w:p>
      <w:pPr>
        <w:snapToGrid w:val="0"/>
        <w:spacing w:before="120" w:beforeLines="50" w:after="50"/>
        <w:ind w:firstLine="482" w:firstLineChars="200"/>
        <w:jc w:val="left"/>
        <w:rPr>
          <w:b/>
          <w:bCs/>
          <w:sz w:val="24"/>
        </w:rPr>
      </w:pPr>
    </w:p>
    <w:p>
      <w:pPr>
        <w:pStyle w:val="74"/>
        <w:snapToGrid w:val="0"/>
        <w:spacing w:before="120" w:beforeLines="50"/>
        <w:ind w:left="5250" w:firstLine="200"/>
        <w:jc w:val="right"/>
        <w:rPr>
          <w:rFonts w:ascii="Times New Roman" w:hAnsi="Times New Roman"/>
          <w:sz w:val="21"/>
          <w:szCs w:val="24"/>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24"/>
        </w:rPr>
      </w:pPr>
    </w:p>
    <w:p>
      <w:pPr>
        <w:jc w:val="center"/>
        <w:rPr>
          <w:b/>
          <w:spacing w:val="20"/>
          <w:sz w:val="28"/>
        </w:rPr>
      </w:pPr>
    </w:p>
    <w:p>
      <w:pPr>
        <w:jc w:val="center"/>
        <w:rPr>
          <w:sz w:val="30"/>
          <w:szCs w:val="30"/>
        </w:rPr>
      </w:pPr>
      <w:r>
        <w:rPr>
          <w:b/>
          <w:spacing w:val="20"/>
          <w:sz w:val="28"/>
        </w:rPr>
        <w:t>六、</w:t>
      </w:r>
      <w:r>
        <w:rPr>
          <w:b/>
          <w:bCs/>
          <w:sz w:val="30"/>
          <w:szCs w:val="30"/>
        </w:rPr>
        <w:t>廉政承诺书</w:t>
      </w:r>
    </w:p>
    <w:p>
      <w:pPr>
        <w:rPr>
          <w:b/>
          <w:bCs/>
          <w:sz w:val="28"/>
          <w:szCs w:val="28"/>
        </w:rPr>
      </w:pPr>
    </w:p>
    <w:p>
      <w:pPr>
        <w:rPr>
          <w:b/>
          <w:bCs/>
          <w:szCs w:val="21"/>
        </w:rPr>
      </w:pPr>
      <w:r>
        <w:rPr>
          <w:b/>
          <w:bCs/>
          <w:szCs w:val="21"/>
        </w:rPr>
        <w:t>致：</w:t>
      </w:r>
      <w:r>
        <w:rPr>
          <w:rFonts w:hint="eastAsia"/>
          <w:b/>
          <w:bCs/>
          <w:szCs w:val="21"/>
          <w:u w:val="single"/>
        </w:rPr>
        <w:t>深圳市国信招标有限公司</w:t>
      </w:r>
      <w:r>
        <w:rPr>
          <w:b/>
          <w:bCs/>
          <w:szCs w:val="21"/>
        </w:rPr>
        <w:t>：</w:t>
      </w:r>
    </w:p>
    <w:p>
      <w:pPr>
        <w:spacing w:line="360" w:lineRule="auto"/>
        <w:ind w:firstLine="420" w:firstLineChars="200"/>
        <w:rPr>
          <w:szCs w:val="21"/>
        </w:rPr>
      </w:pPr>
    </w:p>
    <w:p>
      <w:pPr>
        <w:spacing w:line="360" w:lineRule="auto"/>
        <w:ind w:firstLine="420" w:firstLineChars="200"/>
        <w:rPr>
          <w:szCs w:val="21"/>
        </w:rPr>
      </w:pPr>
      <w:r>
        <w:rPr>
          <w:szCs w:val="21"/>
        </w:rPr>
        <w:t>我单位响应你单位项目招标要求参加投标，在这次投标过程中和中标后，我们将严格遵守国家法律法规要求，并郑重承诺:</w:t>
      </w:r>
    </w:p>
    <w:p>
      <w:pPr>
        <w:spacing w:line="360" w:lineRule="auto"/>
        <w:ind w:firstLine="420" w:firstLineChars="200"/>
        <w:rPr>
          <w:szCs w:val="21"/>
        </w:rPr>
      </w:pPr>
      <w:r>
        <w:rPr>
          <w:szCs w:val="21"/>
        </w:rPr>
        <w:t>一、不向项目有关人员及部门赠送礼金礼物、有价证券、回扣以及中介费、介绍费、咨询费等好处费。</w:t>
      </w:r>
    </w:p>
    <w:p>
      <w:pPr>
        <w:spacing w:line="360" w:lineRule="auto"/>
        <w:ind w:firstLine="420" w:firstLineChars="200"/>
        <w:rPr>
          <w:szCs w:val="21"/>
        </w:rPr>
      </w:pPr>
      <w:r>
        <w:rPr>
          <w:szCs w:val="21"/>
        </w:rPr>
        <w:t>二、不为项目有关人员及部门报销应由你方单位或个人支付的费用;</w:t>
      </w:r>
    </w:p>
    <w:p>
      <w:pPr>
        <w:spacing w:line="360" w:lineRule="auto"/>
        <w:ind w:firstLine="420" w:firstLineChars="200"/>
        <w:rPr>
          <w:szCs w:val="21"/>
        </w:rPr>
      </w:pPr>
      <w:r>
        <w:rPr>
          <w:szCs w:val="21"/>
        </w:rPr>
        <w:t>三、不向项目有关人员及部门提供有可能影响公正的宴请和健身娱乐等活动;</w:t>
      </w:r>
    </w:p>
    <w:p>
      <w:pPr>
        <w:spacing w:line="360" w:lineRule="auto"/>
        <w:ind w:firstLine="420" w:firstLineChars="200"/>
        <w:rPr>
          <w:szCs w:val="21"/>
        </w:rPr>
      </w:pPr>
      <w:r>
        <w:rPr>
          <w:szCs w:val="21"/>
        </w:rPr>
        <w:t>四、不为项目有关人员及部门出国(境)、旅游等提供方便；</w:t>
      </w:r>
    </w:p>
    <w:p>
      <w:pPr>
        <w:spacing w:line="360" w:lineRule="auto"/>
        <w:ind w:firstLine="420" w:firstLineChars="200"/>
        <w:rPr>
          <w:szCs w:val="21"/>
        </w:rPr>
      </w:pPr>
      <w:r>
        <w:rPr>
          <w:szCs w:val="21"/>
        </w:rPr>
        <w:t>五、不为项目有关人员个人装修住房、婚丧嫁娶、配偶子女工作安排等提供好处;</w:t>
      </w:r>
    </w:p>
    <w:p>
      <w:pPr>
        <w:spacing w:line="360" w:lineRule="auto"/>
        <w:ind w:firstLine="420" w:firstLineChars="200"/>
        <w:rPr>
          <w:szCs w:val="21"/>
        </w:rPr>
      </w:pPr>
      <w:r>
        <w:rPr>
          <w:szCs w:val="21"/>
        </w:rPr>
        <w:t>六、严格遵守政府采购法、民法典等法律，诚实守信，合法经营，坚决抵制各种违法违纪行为。</w:t>
      </w:r>
    </w:p>
    <w:p>
      <w:pPr>
        <w:spacing w:line="360" w:lineRule="auto"/>
        <w:ind w:firstLine="420" w:firstLineChars="200"/>
        <w:rPr>
          <w:szCs w:val="21"/>
        </w:rPr>
      </w:pPr>
      <w:r>
        <w:rPr>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szCs w:val="21"/>
        </w:rPr>
      </w:pPr>
    </w:p>
    <w:p>
      <w:pPr>
        <w:rPr>
          <w:szCs w:val="21"/>
        </w:rPr>
      </w:pPr>
    </w:p>
    <w:p>
      <w:pPr>
        <w:rPr>
          <w:szCs w:val="21"/>
        </w:rPr>
      </w:pPr>
      <w:r>
        <w:rPr>
          <w:szCs w:val="21"/>
        </w:rPr>
        <w:t>投标人:(盖章)</w:t>
      </w:r>
    </w:p>
    <w:p>
      <w:pPr>
        <w:rPr>
          <w:szCs w:val="21"/>
        </w:rPr>
      </w:pPr>
    </w:p>
    <w:p>
      <w:pPr>
        <w:rPr>
          <w:szCs w:val="21"/>
        </w:rPr>
      </w:pPr>
    </w:p>
    <w:p>
      <w:pPr>
        <w:rPr>
          <w:szCs w:val="21"/>
        </w:rPr>
      </w:pPr>
    </w:p>
    <w:p>
      <w:pPr>
        <w:rPr>
          <w:szCs w:val="21"/>
        </w:rPr>
      </w:pPr>
    </w:p>
    <w:p>
      <w:pPr>
        <w:rPr>
          <w:szCs w:val="21"/>
        </w:rPr>
      </w:pPr>
    </w:p>
    <w:p>
      <w:pPr>
        <w:rPr>
          <w:szCs w:val="21"/>
        </w:rPr>
      </w:pPr>
      <w:r>
        <w:rPr>
          <w:szCs w:val="21"/>
        </w:rPr>
        <w:t>日期:    年月日</w:t>
      </w:r>
    </w:p>
    <w:p>
      <w:pPr>
        <w:snapToGrid w:val="0"/>
        <w:spacing w:before="50" w:line="312" w:lineRule="auto"/>
        <w:jc w:val="left"/>
        <w:rPr>
          <w:b/>
          <w:spacing w:val="20"/>
          <w:sz w:val="28"/>
        </w:rPr>
      </w:pPr>
    </w:p>
    <w:p>
      <w:pPr>
        <w:snapToGrid w:val="0"/>
        <w:spacing w:before="50" w:line="312" w:lineRule="auto"/>
        <w:jc w:val="left"/>
        <w:rPr>
          <w:b/>
          <w:spacing w:val="20"/>
          <w:sz w:val="28"/>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120" w:line="312" w:lineRule="auto"/>
        <w:ind w:right="-341"/>
        <w:rPr>
          <w:b/>
          <w:sz w:val="24"/>
        </w:rPr>
      </w:pPr>
    </w:p>
    <w:p>
      <w:pPr>
        <w:pStyle w:val="2"/>
        <w:ind w:firstLine="210"/>
      </w:pPr>
    </w:p>
    <w:p>
      <w:pPr>
        <w:snapToGrid w:val="0"/>
        <w:spacing w:before="120" w:line="312" w:lineRule="auto"/>
        <w:ind w:right="-341"/>
        <w:rPr>
          <w:b/>
          <w:sz w:val="32"/>
        </w:rPr>
      </w:pPr>
    </w:p>
    <w:p>
      <w:pPr>
        <w:snapToGrid w:val="0"/>
        <w:spacing w:before="120" w:line="312" w:lineRule="auto"/>
        <w:ind w:right="-341"/>
        <w:rPr>
          <w:b/>
          <w:sz w:val="32"/>
        </w:rPr>
      </w:pPr>
      <w:r>
        <w:rPr>
          <w:b/>
          <w:sz w:val="32"/>
        </w:rPr>
        <w:t>七、</w:t>
      </w:r>
    </w:p>
    <w:p>
      <w:pPr>
        <w:autoSpaceDE w:val="0"/>
        <w:autoSpaceDN w:val="0"/>
        <w:adjustRightInd w:val="0"/>
        <w:ind w:right="-341"/>
        <w:jc w:val="left"/>
        <w:rPr>
          <w:kern w:val="0"/>
          <w:szCs w:val="21"/>
        </w:rPr>
      </w:pPr>
    </w:p>
    <w:p>
      <w:pPr>
        <w:jc w:val="center"/>
        <w:rPr>
          <w:b/>
          <w:sz w:val="28"/>
          <w:szCs w:val="28"/>
        </w:rPr>
      </w:pPr>
      <w:r>
        <w:rPr>
          <w:b/>
          <w:sz w:val="28"/>
          <w:szCs w:val="28"/>
        </w:rPr>
        <w:t>中小企业声明函（货物）</w:t>
      </w:r>
    </w:p>
    <w:p>
      <w:pPr>
        <w:ind w:firstLine="420" w:firstLineChars="200"/>
      </w:pPr>
    </w:p>
    <w:p>
      <w:pPr>
        <w:spacing w:line="360" w:lineRule="auto"/>
        <w:ind w:firstLine="420" w:firstLineChars="200"/>
        <w:rPr>
          <w:szCs w:val="21"/>
        </w:rPr>
      </w:pPr>
    </w:p>
    <w:p>
      <w:pPr>
        <w:spacing w:line="360" w:lineRule="auto"/>
        <w:ind w:firstLine="420" w:firstLineChars="20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szCs w:val="21"/>
        </w:rPr>
      </w:pPr>
      <w:r>
        <w:rPr>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szCs w:val="21"/>
        </w:rPr>
      </w:pPr>
      <w:r>
        <w:rPr>
          <w:szCs w:val="21"/>
        </w:rPr>
        <w:t>2. （标的名称），属于（采购文件中明确的所属行业）行业；制造商为（企业名称），从业人员人，营业收入为万元，资产总额为万元，属于（中型企业、小型企业、微型企业）；</w:t>
      </w:r>
    </w:p>
    <w:p>
      <w:pPr>
        <w:spacing w:line="360" w:lineRule="auto"/>
        <w:rPr>
          <w:szCs w:val="21"/>
        </w:rPr>
      </w:pPr>
      <w:r>
        <w:rPr>
          <w:szCs w:val="21"/>
        </w:rPr>
        <w:t>……</w:t>
      </w:r>
    </w:p>
    <w:p>
      <w:pPr>
        <w:spacing w:line="360" w:lineRule="auto"/>
        <w:ind w:firstLine="735" w:firstLineChars="350"/>
        <w:rPr>
          <w:szCs w:val="21"/>
        </w:rPr>
      </w:pPr>
      <w:r>
        <w:rPr>
          <w:szCs w:val="21"/>
        </w:rPr>
        <w:t>以上企业，不属于大企业的分支机构，不存在控股股东为大企业的情形，也不存在与大企业的负责人为同一人的情形。</w:t>
      </w:r>
    </w:p>
    <w:p>
      <w:pPr>
        <w:spacing w:line="360" w:lineRule="auto"/>
        <w:ind w:firstLine="420" w:firstLineChars="200"/>
        <w:rPr>
          <w:szCs w:val="21"/>
        </w:rPr>
      </w:pPr>
      <w:r>
        <w:rPr>
          <w:szCs w:val="21"/>
        </w:rPr>
        <w:t>本企业对上述声明内容的真实性负责。如有虚假，将依法承担相应责任。</w:t>
      </w:r>
    </w:p>
    <w:p>
      <w:pPr>
        <w:spacing w:line="360" w:lineRule="auto"/>
        <w:rPr>
          <w:szCs w:val="21"/>
        </w:rPr>
      </w:pPr>
    </w:p>
    <w:p>
      <w:pPr>
        <w:spacing w:line="360" w:lineRule="auto"/>
        <w:rPr>
          <w:szCs w:val="21"/>
        </w:rPr>
      </w:pPr>
    </w:p>
    <w:p>
      <w:pPr>
        <w:spacing w:line="360" w:lineRule="auto"/>
        <w:ind w:firstLine="630" w:firstLineChars="300"/>
        <w:rPr>
          <w:szCs w:val="21"/>
        </w:rPr>
      </w:pPr>
      <w:r>
        <w:rPr>
          <w:szCs w:val="21"/>
        </w:rPr>
        <w:t>企业名称（盖章）：</w:t>
      </w:r>
    </w:p>
    <w:p>
      <w:pPr>
        <w:spacing w:line="360" w:lineRule="auto"/>
        <w:ind w:firstLine="630" w:firstLineChars="300"/>
        <w:rPr>
          <w:szCs w:val="21"/>
        </w:rPr>
      </w:pPr>
      <w:r>
        <w:rPr>
          <w:szCs w:val="21"/>
        </w:rPr>
        <w:t>日期：</w:t>
      </w:r>
    </w:p>
    <w:p>
      <w:pPr>
        <w:snapToGrid w:val="0"/>
        <w:spacing w:line="360" w:lineRule="auto"/>
        <w:ind w:right="-341"/>
        <w:sectPr>
          <w:pgSz w:w="11906" w:h="16838"/>
          <w:pgMar w:top="1304" w:right="1531" w:bottom="1304" w:left="1531" w:header="1304" w:footer="1304" w:gutter="0"/>
          <w:cols w:space="720" w:num="1"/>
        </w:sectPr>
      </w:pPr>
    </w:p>
    <w:p>
      <w:pPr>
        <w:snapToGrid w:val="0"/>
        <w:spacing w:line="360" w:lineRule="auto"/>
        <w:ind w:right="-341"/>
      </w:pPr>
    </w:p>
    <w:p>
      <w:pPr>
        <w:pStyle w:val="3"/>
      </w:pPr>
    </w:p>
    <w:p>
      <w:pPr>
        <w:spacing w:line="360" w:lineRule="auto"/>
        <w:ind w:firstLine="3132" w:firstLineChars="1300"/>
        <w:rPr>
          <w:b/>
          <w:sz w:val="24"/>
          <w:szCs w:val="24"/>
        </w:rPr>
      </w:pPr>
      <w:r>
        <w:rPr>
          <w:b/>
          <w:sz w:val="24"/>
          <w:szCs w:val="24"/>
        </w:rPr>
        <w:t>监狱企业声明函</w:t>
      </w:r>
    </w:p>
    <w:p>
      <w:pPr>
        <w:spacing w:line="360" w:lineRule="auto"/>
        <w:ind w:firstLine="2640" w:firstLineChars="1100"/>
        <w:rPr>
          <w:sz w:val="24"/>
          <w:szCs w:val="24"/>
        </w:rPr>
      </w:pPr>
      <w:r>
        <w:rPr>
          <w:sz w:val="24"/>
          <w:szCs w:val="24"/>
        </w:rPr>
        <w:t>【非监狱企业不用提供】</w:t>
      </w:r>
    </w:p>
    <w:p>
      <w:pPr>
        <w:spacing w:line="360" w:lineRule="auto"/>
        <w:ind w:firstLine="480"/>
        <w:rPr>
          <w:szCs w:val="21"/>
        </w:rPr>
      </w:pPr>
    </w:p>
    <w:p>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szCs w:val="21"/>
        </w:rPr>
      </w:pPr>
      <w:r>
        <w:rPr>
          <w:szCs w:val="21"/>
        </w:rPr>
        <w:t>根据上述标准，我企业属于监狱企业的理由为：。</w:t>
      </w:r>
    </w:p>
    <w:p>
      <w:pPr>
        <w:spacing w:line="360" w:lineRule="auto"/>
        <w:ind w:firstLine="480"/>
        <w:rPr>
          <w:szCs w:val="21"/>
        </w:rPr>
      </w:pPr>
      <w:r>
        <w:rPr>
          <w:szCs w:val="21"/>
        </w:rPr>
        <w:t>本企业为参加（项目名称：）（项目编号：）采购活动提供本企业的产品。</w:t>
      </w:r>
    </w:p>
    <w:p>
      <w:pPr>
        <w:spacing w:line="360" w:lineRule="auto"/>
        <w:ind w:firstLine="480"/>
        <w:rPr>
          <w:szCs w:val="21"/>
        </w:rPr>
      </w:pPr>
      <w:r>
        <w:rPr>
          <w:szCs w:val="21"/>
        </w:rPr>
        <w:t>本企业对上述声明的真实性负责。如有虚假，将依法承担相应责任。</w:t>
      </w:r>
    </w:p>
    <w:p>
      <w:pPr>
        <w:spacing w:line="360" w:lineRule="auto"/>
        <w:ind w:firstLine="480"/>
        <w:rPr>
          <w:szCs w:val="21"/>
        </w:rPr>
      </w:pPr>
    </w:p>
    <w:p>
      <w:pPr>
        <w:spacing w:line="360" w:lineRule="auto"/>
        <w:ind w:firstLine="480"/>
        <w:rPr>
          <w:szCs w:val="21"/>
        </w:rPr>
      </w:pPr>
      <w:r>
        <w:rPr>
          <w:szCs w:val="21"/>
        </w:rPr>
        <w:t>投标人名称（盖章）：</w:t>
      </w:r>
    </w:p>
    <w:p>
      <w:pPr>
        <w:spacing w:line="360" w:lineRule="auto"/>
        <w:ind w:firstLine="480"/>
        <w:rPr>
          <w:szCs w:val="21"/>
        </w:rPr>
      </w:pPr>
      <w:r>
        <w:rPr>
          <w:szCs w:val="21"/>
        </w:rPr>
        <w:t>日期：年月日</w:t>
      </w:r>
    </w:p>
    <w:p>
      <w:pPr>
        <w:spacing w:line="360" w:lineRule="auto"/>
        <w:ind w:firstLine="480"/>
        <w:rPr>
          <w:szCs w:val="21"/>
        </w:rPr>
      </w:pPr>
    </w:p>
    <w:p>
      <w:pPr>
        <w:spacing w:line="360" w:lineRule="auto"/>
        <w:ind w:firstLine="480"/>
        <w:rPr>
          <w:szCs w:val="21"/>
        </w:rPr>
      </w:pPr>
    </w:p>
    <w:p>
      <w:pPr>
        <w:spacing w:line="360" w:lineRule="auto"/>
        <w:ind w:firstLine="480"/>
        <w:rPr>
          <w:szCs w:val="21"/>
        </w:rPr>
      </w:pPr>
      <w:r>
        <w:rPr>
          <w:szCs w:val="21"/>
        </w:rPr>
        <w:t>投标人为监狱企业的提供此函。</w:t>
      </w:r>
    </w:p>
    <w:p>
      <w:pPr>
        <w:spacing w:line="360" w:lineRule="auto"/>
        <w:ind w:firstLine="480"/>
        <w:rPr>
          <w:szCs w:val="21"/>
        </w:rPr>
      </w:pPr>
      <w:r>
        <w:rPr>
          <w:szCs w:val="21"/>
        </w:rPr>
        <w:t>局、戒毒管理局（含新疆生产建设兵团）出具的属于监狱企业的证明文件。</w:t>
      </w:r>
    </w:p>
    <w:p>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pStyle w:val="24"/>
        <w:spacing w:line="360" w:lineRule="auto"/>
        <w:ind w:firstLine="105" w:firstLineChars="50"/>
        <w:rPr>
          <w:rFonts w:ascii="Times New Roman" w:hAnsi="Times New Roman"/>
          <w:sz w:val="21"/>
          <w:szCs w:val="21"/>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p>
    <w:p>
      <w:pPr>
        <w:pStyle w:val="24"/>
        <w:spacing w:line="360" w:lineRule="auto"/>
        <w:jc w:val="center"/>
        <w:rPr>
          <w:rFonts w:ascii="Times New Roman" w:hAnsi="Times New Roman"/>
          <w:b/>
          <w:sz w:val="24"/>
          <w:szCs w:val="24"/>
        </w:rPr>
      </w:pPr>
      <w:r>
        <w:rPr>
          <w:rFonts w:ascii="Times New Roman" w:hAnsi="Times New Roman"/>
          <w:b/>
          <w:sz w:val="24"/>
          <w:szCs w:val="24"/>
        </w:rPr>
        <w:t>残疾人福利性单位声明函</w:t>
      </w:r>
    </w:p>
    <w:p>
      <w:pPr>
        <w:pStyle w:val="24"/>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pPr>
        <w:pStyle w:val="24"/>
        <w:spacing w:line="360" w:lineRule="auto"/>
        <w:rPr>
          <w:rFonts w:ascii="Times New Roman" w:hAnsi="Times New Roman"/>
          <w:sz w:val="21"/>
          <w:szCs w:val="21"/>
        </w:rPr>
      </w:pPr>
    </w:p>
    <w:p>
      <w:pPr>
        <w:pStyle w:val="24"/>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pStyle w:val="24"/>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pPr>
        <w:pStyle w:val="24"/>
        <w:spacing w:line="360" w:lineRule="auto"/>
        <w:rPr>
          <w:rFonts w:ascii="Times New Roman" w:hAnsi="Times New Roman"/>
          <w:sz w:val="21"/>
          <w:szCs w:val="21"/>
        </w:rPr>
      </w:pPr>
    </w:p>
    <w:p>
      <w:pPr>
        <w:pStyle w:val="24"/>
        <w:spacing w:line="360" w:lineRule="auto"/>
        <w:rPr>
          <w:rFonts w:ascii="Times New Roman" w:hAnsi="Times New Roman"/>
          <w:sz w:val="21"/>
          <w:szCs w:val="21"/>
        </w:rPr>
      </w:pPr>
    </w:p>
    <w:p>
      <w:pPr>
        <w:pStyle w:val="24"/>
        <w:spacing w:line="360" w:lineRule="auto"/>
        <w:rPr>
          <w:rFonts w:ascii="Times New Roman" w:hAnsi="Times New Roman"/>
          <w:sz w:val="21"/>
          <w:szCs w:val="21"/>
        </w:rPr>
      </w:pPr>
      <w:r>
        <w:rPr>
          <w:rFonts w:ascii="Times New Roman" w:hAnsi="Times New Roman"/>
          <w:sz w:val="21"/>
          <w:szCs w:val="21"/>
        </w:rPr>
        <w:t>投标人名称（盖章）：</w:t>
      </w:r>
    </w:p>
    <w:p>
      <w:pPr>
        <w:pStyle w:val="24"/>
        <w:spacing w:line="360" w:lineRule="auto"/>
        <w:rPr>
          <w:rFonts w:ascii="Times New Roman" w:hAnsi="Times New Roman"/>
          <w:sz w:val="21"/>
          <w:szCs w:val="21"/>
        </w:rPr>
      </w:pPr>
      <w:r>
        <w:rPr>
          <w:rFonts w:ascii="Times New Roman" w:hAnsi="Times New Roman"/>
          <w:sz w:val="21"/>
          <w:szCs w:val="21"/>
        </w:rPr>
        <w:t>日期：年月日</w:t>
      </w:r>
    </w:p>
    <w:p>
      <w:pPr>
        <w:spacing w:line="360" w:lineRule="auto"/>
        <w:ind w:firstLine="480"/>
        <w:rPr>
          <w:szCs w:val="21"/>
        </w:rPr>
      </w:pPr>
      <w:r>
        <w:rPr>
          <w:szCs w:val="21"/>
        </w:rPr>
        <w:t>说明：投标人为残疾人福利性单位的提供此函。</w:t>
      </w: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r>
        <w:rPr>
          <w:b/>
          <w:sz w:val="24"/>
        </w:rPr>
        <w:t>八</w:t>
      </w:r>
      <w:r>
        <w:rPr>
          <w:rFonts w:hint="eastAsia"/>
          <w:b/>
          <w:sz w:val="24"/>
        </w:rPr>
        <w:t>、</w:t>
      </w:r>
    </w:p>
    <w:p>
      <w:pPr>
        <w:snapToGrid w:val="0"/>
        <w:spacing w:before="50" w:line="312" w:lineRule="auto"/>
        <w:jc w:val="center"/>
        <w:rPr>
          <w:b/>
          <w:sz w:val="24"/>
        </w:rPr>
      </w:pPr>
    </w:p>
    <w:p>
      <w:pPr>
        <w:snapToGrid w:val="0"/>
        <w:spacing w:before="50" w:line="312" w:lineRule="auto"/>
        <w:jc w:val="center"/>
        <w:rPr>
          <w:b/>
          <w:sz w:val="24"/>
        </w:rPr>
      </w:pPr>
      <w:r>
        <w:rPr>
          <w:b/>
          <w:sz w:val="24"/>
        </w:rPr>
        <w:t>商务响应表：</w:t>
      </w:r>
    </w:p>
    <w:p>
      <w:pPr>
        <w:snapToGrid w:val="0"/>
        <w:spacing w:before="50" w:line="312" w:lineRule="auto"/>
        <w:jc w:val="center"/>
        <w:rPr>
          <w:b/>
          <w:sz w:val="24"/>
        </w:rPr>
      </w:pPr>
    </w:p>
    <w:p>
      <w:pPr>
        <w:snapToGrid w:val="0"/>
        <w:spacing w:line="312" w:lineRule="auto"/>
      </w:pPr>
      <w:r>
        <w:t>项目名称：</w:t>
      </w:r>
    </w:p>
    <w:p>
      <w:pPr>
        <w:snapToGrid w:val="0"/>
        <w:spacing w:line="312" w:lineRule="auto"/>
      </w:pPr>
      <w:r>
        <w:t>项目编号：</w:t>
      </w:r>
    </w:p>
    <w:tbl>
      <w:tblPr>
        <w:tblStyle w:val="37"/>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120" w:beforeLines="50" w:line="312" w:lineRule="auto"/>
              <w:jc w:val="center"/>
              <w:rPr>
                <w:b/>
              </w:rPr>
            </w:pPr>
            <w:r>
              <w:rPr>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b/>
              </w:rPr>
            </w:pPr>
            <w:r>
              <w:rPr>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b/>
              </w:rPr>
            </w:pPr>
            <w:r>
              <w:rPr>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line="312" w:lineRule="auto"/>
              <w:jc w:val="center"/>
              <w:rPr>
                <w:b/>
              </w:rPr>
            </w:pPr>
            <w:r>
              <w:rPr>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pStyle w:val="98"/>
              <w:widowControl/>
              <w:tabs>
                <w:tab w:val="left" w:pos="420"/>
              </w:tabs>
              <w:overflowPunct w:val="0"/>
              <w:autoSpaceDE w:val="0"/>
              <w:autoSpaceDN w:val="0"/>
              <w:adjustRightInd w:val="0"/>
              <w:snapToGrid w:val="0"/>
              <w:spacing w:line="312" w:lineRule="auto"/>
              <w:textAlignment w:val="baseline"/>
              <w:rPr>
                <w:rFonts w:ascii="Times New Roman" w:eastAsia="宋体"/>
                <w:spacing w:val="0"/>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ind w:left="43"/>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ind w:left="43"/>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sz w:val="24"/>
              </w:rPr>
            </w:pPr>
          </w:p>
        </w:tc>
      </w:tr>
    </w:tbl>
    <w:p>
      <w:pPr>
        <w:pStyle w:val="91"/>
        <w:snapToGrid w:val="0"/>
        <w:spacing w:line="312" w:lineRule="auto"/>
        <w:ind w:left="642" w:hanging="642"/>
        <w:rPr>
          <w:rFonts w:ascii="Times New Roman" w:hAnsi="Times New Roman"/>
          <w:b/>
          <w:spacing w:val="20"/>
          <w:sz w:val="28"/>
        </w:rPr>
      </w:pPr>
    </w:p>
    <w:p>
      <w:pPr>
        <w:widowControl/>
        <w:snapToGrid w:val="0"/>
        <w:spacing w:line="312" w:lineRule="auto"/>
        <w:jc w:val="left"/>
        <w:rPr>
          <w:sz w:val="24"/>
        </w:rPr>
        <w:sectPr>
          <w:pgSz w:w="11906" w:h="16838"/>
          <w:pgMar w:top="1304" w:right="1531" w:bottom="1304" w:left="1531" w:header="1304" w:footer="1304" w:gutter="0"/>
          <w:cols w:space="720" w:num="1"/>
        </w:sectPr>
      </w:pPr>
    </w:p>
    <w:p>
      <w:pPr>
        <w:snapToGrid w:val="0"/>
        <w:spacing w:before="50" w:after="120" w:afterLines="50" w:line="312" w:lineRule="auto"/>
        <w:jc w:val="left"/>
        <w:rPr>
          <w:sz w:val="24"/>
        </w:rPr>
      </w:pPr>
      <w:r>
        <w:rPr>
          <w:b/>
          <w:sz w:val="24"/>
        </w:rPr>
        <w:t>九、投标人的类似案例的业绩证明文件：</w:t>
      </w:r>
    </w:p>
    <w:p>
      <w:pPr>
        <w:pStyle w:val="28"/>
        <w:snapToGrid w:val="0"/>
        <w:spacing w:line="312" w:lineRule="auto"/>
        <w:ind w:left="420" w:hanging="420"/>
        <w:rPr>
          <w:sz w:val="24"/>
        </w:rPr>
      </w:pPr>
      <w:r>
        <w:rPr>
          <w:sz w:val="21"/>
        </w:rPr>
        <w:t>投标人同类项目实施情况一览表格式：（投标人同类项目合同复印件、用户验收报告、用户评价意见格式自拟）</w:t>
      </w:r>
    </w:p>
    <w:tbl>
      <w:tblPr>
        <w:tblStyle w:val="3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w:t>
            </w:r>
          </w:p>
          <w:p>
            <w:pPr>
              <w:snapToGrid w:val="0"/>
              <w:spacing w:line="312" w:lineRule="auto"/>
              <w:jc w:val="center"/>
              <w:rPr>
                <w:szCs w:val="21"/>
              </w:rPr>
            </w:pPr>
            <w:r>
              <w:rPr>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合同金额</w:t>
            </w:r>
          </w:p>
          <w:p>
            <w:pPr>
              <w:snapToGrid w:val="0"/>
              <w:spacing w:line="312" w:lineRule="auto"/>
              <w:jc w:val="center"/>
              <w:rPr>
                <w:szCs w:val="21"/>
              </w:rPr>
            </w:pPr>
            <w:r>
              <w:rPr>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szCs w:val="21"/>
              </w:rPr>
            </w:pPr>
            <w:r>
              <w:rPr>
                <w:szCs w:val="21"/>
              </w:rPr>
              <w:t>采购单位联系人及</w:t>
            </w:r>
          </w:p>
          <w:p>
            <w:pPr>
              <w:snapToGrid w:val="0"/>
              <w:spacing w:line="312" w:lineRule="auto"/>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用户评价</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sz w:val="24"/>
              </w:rPr>
            </w:pPr>
          </w:p>
        </w:tc>
      </w:tr>
    </w:tbl>
    <w:p>
      <w:pPr>
        <w:pStyle w:val="12"/>
        <w:snapToGrid w:val="0"/>
        <w:spacing w:line="312" w:lineRule="auto"/>
        <w:rPr>
          <w:rFonts w:ascii="Times New Roman" w:hAnsi="Times New Roman" w:eastAsia="宋体"/>
        </w:rPr>
      </w:pPr>
    </w:p>
    <w:p>
      <w:pPr>
        <w:snapToGrid w:val="0"/>
        <w:spacing w:before="50" w:after="50"/>
      </w:pPr>
    </w:p>
    <w:p>
      <w:pPr>
        <w:snapToGrid w:val="0"/>
        <w:ind w:left="2" w:right="-817" w:rightChars="-389"/>
      </w:pPr>
    </w:p>
    <w:p>
      <w:pPr>
        <w:snapToGrid w:val="0"/>
        <w:spacing w:before="50" w:line="312" w:lineRule="auto"/>
        <w:jc w:val="left"/>
      </w:pPr>
      <w:r>
        <w:t>投标人名称（盖章）：年月日</w:t>
      </w:r>
    </w:p>
    <w:p>
      <w:pPr>
        <w:snapToGrid w:val="0"/>
        <w:spacing w:before="50" w:line="312" w:lineRule="auto"/>
        <w:ind w:firstLine="480" w:firstLineChars="200"/>
        <w:jc w:val="left"/>
        <w:rPr>
          <w:sz w:val="24"/>
        </w:rPr>
      </w:pPr>
    </w:p>
    <w:p>
      <w:pPr>
        <w:pStyle w:val="21"/>
        <w:snapToGrid w:val="0"/>
        <w:spacing w:before="120" w:line="312" w:lineRule="auto"/>
        <w:rPr>
          <w:rFonts w:ascii="Times New Roman" w:hAnsi="Times New Roman"/>
        </w:rPr>
      </w:pPr>
    </w:p>
    <w:p>
      <w:pPr>
        <w:widowControl/>
        <w:snapToGrid w:val="0"/>
        <w:spacing w:afterAutospacing="1" w:line="312" w:lineRule="auto"/>
        <w:jc w:val="left"/>
        <w:rPr>
          <w:sz w:val="30"/>
        </w:rPr>
        <w:sectPr>
          <w:pgSz w:w="16838" w:h="11906" w:orient="landscape"/>
          <w:pgMar w:top="1418" w:right="1361" w:bottom="924" w:left="1134" w:header="851" w:footer="992" w:gutter="0"/>
          <w:cols w:space="720" w:num="1"/>
        </w:sectPr>
      </w:pPr>
    </w:p>
    <w:p>
      <w:pPr>
        <w:snapToGrid w:val="0"/>
        <w:spacing w:before="50" w:after="120" w:afterLines="50" w:line="312" w:lineRule="auto"/>
        <w:jc w:val="left"/>
        <w:rPr>
          <w:b/>
          <w:sz w:val="24"/>
        </w:rPr>
      </w:pPr>
    </w:p>
    <w:p>
      <w:pPr>
        <w:snapToGrid w:val="0"/>
        <w:spacing w:before="120" w:beforeLines="50" w:after="50" w:line="312" w:lineRule="auto"/>
        <w:rPr>
          <w:b/>
          <w:sz w:val="24"/>
        </w:rPr>
      </w:pPr>
      <w:r>
        <w:rPr>
          <w:b/>
          <w:sz w:val="24"/>
        </w:rPr>
        <w:t>十</w:t>
      </w:r>
      <w:r>
        <w:rPr>
          <w:rFonts w:hint="eastAsia"/>
          <w:b/>
          <w:sz w:val="24"/>
        </w:rPr>
        <w:t>、</w:t>
      </w:r>
    </w:p>
    <w:p>
      <w:pPr>
        <w:snapToGrid w:val="0"/>
        <w:spacing w:before="120" w:beforeLines="50" w:after="50" w:line="312" w:lineRule="auto"/>
        <w:jc w:val="center"/>
        <w:rPr>
          <w:b/>
          <w:sz w:val="24"/>
        </w:rPr>
      </w:pPr>
      <w:r>
        <w:rPr>
          <w:b/>
          <w:sz w:val="24"/>
        </w:rPr>
        <w:t>项目实施人员（主要从业人员及其技术资格）一览表</w:t>
      </w:r>
    </w:p>
    <w:p>
      <w:pPr>
        <w:snapToGrid w:val="0"/>
        <w:spacing w:before="120" w:beforeLines="50" w:after="50" w:line="312" w:lineRule="auto"/>
      </w:pPr>
    </w:p>
    <w:p>
      <w:pPr>
        <w:snapToGrid w:val="0"/>
        <w:spacing w:line="312" w:lineRule="auto"/>
      </w:pPr>
      <w:r>
        <w:t>项目名称：</w:t>
      </w:r>
    </w:p>
    <w:p>
      <w:pPr>
        <w:snapToGrid w:val="0"/>
        <w:spacing w:line="312" w:lineRule="auto"/>
      </w:pPr>
      <w:r>
        <w:t>项目编号：</w:t>
      </w:r>
    </w:p>
    <w:tbl>
      <w:tblPr>
        <w:tblStyle w:val="37"/>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120" w:beforeLines="50" w:after="50" w:line="312" w:lineRule="auto"/>
            </w:pPr>
            <w: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pPr>
            <w: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jc w:val="center"/>
            </w:pPr>
            <w: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pPr>
            <w: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pPr>
            <w: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120" w:beforeLines="50" w:after="50" w:line="312" w:lineRule="auto"/>
            </w:pPr>
            <w: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pStyle w:val="22"/>
              <w:snapToGrid w:val="0"/>
              <w:spacing w:before="120" w:beforeLines="50" w:after="120" w:line="312" w:lineRule="auto"/>
              <w:ind w:left="5250"/>
              <w:rPr>
                <w:rFonts w:ascii="Times New Roman" w:hAnsi="Times New Roman" w:eastAsia="宋体"/>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sz w:val="24"/>
              </w:rPr>
            </w:pPr>
          </w:p>
        </w:tc>
      </w:tr>
    </w:tbl>
    <w:p>
      <w:pPr>
        <w:snapToGrid w:val="0"/>
        <w:spacing w:before="50" w:after="120" w:afterLines="50" w:line="312" w:lineRule="auto"/>
        <w:jc w:val="left"/>
      </w:pPr>
      <w:r>
        <w:t>注：在填写时，如本表格不适合投标单位的实际情况，可根据本表格式自行划表填写。</w:t>
      </w:r>
    </w:p>
    <w:p>
      <w:pPr>
        <w:snapToGrid w:val="0"/>
        <w:spacing w:before="50" w:after="50" w:line="312" w:lineRule="auto"/>
        <w:rPr>
          <w:spacing w:val="20"/>
          <w:sz w:val="24"/>
        </w:rPr>
      </w:pPr>
    </w:p>
    <w:p>
      <w:pPr>
        <w:snapToGrid w:val="0"/>
        <w:spacing w:before="50" w:after="50" w:line="312" w:lineRule="auto"/>
        <w:rPr>
          <w:spacing w:val="20"/>
          <w:sz w:val="24"/>
        </w:rPr>
      </w:pPr>
    </w:p>
    <w:p>
      <w:pPr>
        <w:snapToGrid w:val="0"/>
        <w:ind w:left="2" w:right="-817" w:rightChars="-389"/>
      </w:pPr>
    </w:p>
    <w:p>
      <w:pPr>
        <w:snapToGrid w:val="0"/>
        <w:spacing w:before="50" w:after="120" w:afterLines="50" w:line="312" w:lineRule="auto"/>
        <w:jc w:val="left"/>
        <w:rPr>
          <w:spacing w:val="20"/>
          <w:sz w:val="24"/>
          <w:u w:val="single"/>
        </w:rPr>
      </w:pPr>
      <w:r>
        <w:t>投标人名称（盖章）：</w:t>
      </w:r>
      <w:r>
        <w:rPr>
          <w:spacing w:val="20"/>
          <w:sz w:val="24"/>
        </w:rPr>
        <w:t>日期：</w:t>
      </w:r>
    </w:p>
    <w:p>
      <w:pPr>
        <w:snapToGrid w:val="0"/>
        <w:spacing w:before="50" w:after="120" w:afterLines="50" w:line="312" w:lineRule="auto"/>
        <w:jc w:val="left"/>
        <w:rPr>
          <w:sz w:val="24"/>
        </w:rPr>
      </w:pPr>
    </w:p>
    <w:p>
      <w:pPr>
        <w:snapToGrid w:val="0"/>
        <w:spacing w:before="50" w:after="120" w:afterLines="50" w:line="312" w:lineRule="auto"/>
        <w:jc w:val="left"/>
        <w:rPr>
          <w:sz w:val="24"/>
        </w:rPr>
      </w:pPr>
    </w:p>
    <w:p>
      <w:pPr>
        <w:snapToGrid w:val="0"/>
        <w:spacing w:before="50" w:after="120" w:afterLines="50" w:line="312" w:lineRule="auto"/>
        <w:jc w:val="left"/>
        <w:rPr>
          <w:sz w:val="24"/>
        </w:rPr>
      </w:pPr>
    </w:p>
    <w:p>
      <w:pPr>
        <w:snapToGrid w:val="0"/>
        <w:spacing w:before="50" w:after="120" w:afterLines="50"/>
        <w:jc w:val="left"/>
        <w:rPr>
          <w:b/>
          <w:sz w:val="24"/>
        </w:rPr>
      </w:pPr>
    </w:p>
    <w:p>
      <w:pPr>
        <w:snapToGrid w:val="0"/>
        <w:spacing w:before="50" w:after="120" w:afterLines="50"/>
        <w:jc w:val="left"/>
        <w:rPr>
          <w:b/>
          <w:sz w:val="24"/>
        </w:rPr>
      </w:pPr>
    </w:p>
    <w:p>
      <w:pPr>
        <w:snapToGrid w:val="0"/>
        <w:spacing w:before="50" w:after="120" w:afterLines="50"/>
        <w:jc w:val="left"/>
        <w:rPr>
          <w:b/>
          <w:sz w:val="24"/>
        </w:rPr>
      </w:pPr>
    </w:p>
    <w:p>
      <w:pPr>
        <w:snapToGrid w:val="0"/>
        <w:spacing w:before="50" w:after="120" w:afterLines="50"/>
        <w:jc w:val="left"/>
        <w:rPr>
          <w:b/>
          <w:sz w:val="28"/>
          <w:szCs w:val="28"/>
        </w:rPr>
      </w:pPr>
    </w:p>
    <w:p>
      <w:pPr>
        <w:snapToGrid w:val="0"/>
        <w:spacing w:before="50" w:after="120" w:afterLines="50"/>
        <w:jc w:val="left"/>
        <w:rPr>
          <w:b/>
          <w:sz w:val="24"/>
        </w:rPr>
      </w:pPr>
    </w:p>
    <w:p>
      <w:pPr>
        <w:snapToGrid w:val="0"/>
        <w:spacing w:before="50" w:after="120" w:afterLines="50"/>
        <w:jc w:val="left"/>
        <w:rPr>
          <w:b/>
          <w:sz w:val="24"/>
        </w:rPr>
      </w:pPr>
    </w:p>
    <w:p>
      <w:pPr>
        <w:snapToGrid w:val="0"/>
        <w:spacing w:before="50" w:after="120" w:afterLines="50"/>
        <w:jc w:val="left"/>
        <w:rPr>
          <w:rFonts w:ascii="宋体" w:hAnsi="宋体"/>
          <w:b/>
          <w:sz w:val="24"/>
        </w:rPr>
      </w:pPr>
      <w:r>
        <w:rPr>
          <w:rFonts w:hint="eastAsia" w:ascii="宋体" w:hAnsi="宋体"/>
          <w:b/>
          <w:sz w:val="24"/>
        </w:rPr>
        <w:t>十一、技术响应表格式：</w:t>
      </w:r>
    </w:p>
    <w:p>
      <w:pPr>
        <w:rPr>
          <w:rFonts w:ascii="宋体" w:hAnsi="宋体"/>
        </w:rPr>
      </w:pPr>
      <w:r>
        <w:rPr>
          <w:rFonts w:hint="eastAsia" w:ascii="宋体" w:hAnsi="宋体"/>
        </w:rPr>
        <w:t>项目名称：</w:t>
      </w:r>
    </w:p>
    <w:p>
      <w:pPr>
        <w:snapToGrid w:val="0"/>
        <w:spacing w:line="360" w:lineRule="auto"/>
        <w:rPr>
          <w:rFonts w:ascii="宋体"/>
        </w:rPr>
      </w:pPr>
      <w:r>
        <w:rPr>
          <w:rFonts w:hint="eastAsia" w:ascii="宋体" w:hAnsi="宋体"/>
        </w:rPr>
        <w:t>项目编号：</w:t>
      </w:r>
    </w:p>
    <w:tbl>
      <w:tblPr>
        <w:tblStyle w:val="37"/>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Ansi="宋体"/>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int="eastAsia" w:hAnsi="宋体"/>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r>
              <w:rPr>
                <w:rFonts w:hint="eastAsia" w:hAnsi="宋体"/>
              </w:rPr>
              <w:t xml:space="preserve">要求 </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spacing w:line="1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240" w:lineRule="auto"/>
              <w:jc w:val="center"/>
              <w:outlineLvl w:val="0"/>
              <w:rPr>
                <w:rFonts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Lines="0" w:after="295" w:line="120" w:lineRule="exact"/>
              <w:outlineLvl w:val="0"/>
              <w:rPr>
                <w:rFonts w:hAnsi="宋体"/>
              </w:rPr>
            </w:pPr>
          </w:p>
        </w:tc>
      </w:tr>
    </w:tbl>
    <w:p>
      <w:pPr>
        <w:pStyle w:val="17"/>
        <w:rPr>
          <w:rFonts w:ascii="宋体" w:eastAsia="宋体"/>
          <w:sz w:val="21"/>
        </w:rPr>
      </w:pPr>
    </w:p>
    <w:p>
      <w:pPr>
        <w:pStyle w:val="17"/>
        <w:rPr>
          <w:rFonts w:ascii="宋体" w:eastAsia="宋体"/>
          <w:spacing w:val="20"/>
        </w:rPr>
      </w:pPr>
    </w:p>
    <w:p>
      <w:pPr>
        <w:snapToGrid w:val="0"/>
        <w:spacing w:before="50" w:after="50"/>
        <w:rPr>
          <w:rFonts w:ascii="宋体" w:hAnsi="宋体"/>
        </w:rPr>
      </w:pPr>
    </w:p>
    <w:p>
      <w:pPr>
        <w:snapToGrid w:val="0"/>
        <w:ind w:left="2" w:right="-817" w:rightChars="-389"/>
        <w:rPr>
          <w:rFonts w:ascii="宋体" w:hAnsi="宋体"/>
        </w:rPr>
      </w:pPr>
    </w:p>
    <w:p>
      <w:pPr>
        <w:snapToGrid w:val="0"/>
        <w:spacing w:before="50" w:after="50"/>
        <w:rPr>
          <w:rFonts w:ascii="宋体" w:hAnsi="宋体"/>
          <w:sz w:val="24"/>
        </w:rPr>
      </w:pPr>
      <w:r>
        <w:rPr>
          <w:rFonts w:hint="eastAsia" w:ascii="宋体" w:hAnsi="宋体"/>
        </w:rPr>
        <w:t>投标人名称（盖章）：</w:t>
      </w:r>
      <w:r>
        <w:rPr>
          <w:rFonts w:hint="eastAsia" w:ascii="宋体" w:hAnsi="宋体"/>
          <w:spacing w:val="20"/>
        </w:rPr>
        <w:t>日期：</w:t>
      </w:r>
    </w:p>
    <w:p>
      <w:pPr>
        <w:snapToGrid w:val="0"/>
        <w:spacing w:before="50" w:after="120" w:afterLines="50"/>
        <w:jc w:val="left"/>
        <w:rPr>
          <w:rFonts w:ascii="宋体" w:hAnsi="宋体"/>
          <w:b/>
          <w:sz w:val="24"/>
        </w:rPr>
      </w:pPr>
    </w:p>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创艺简标宋">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icrosoft Sans Serif">
    <w:panose1 w:val="020B0604020202020204"/>
    <w:charset w:val="00"/>
    <w:family w:val="swiss"/>
    <w:pitch w:val="default"/>
    <w:sig w:usb0="E5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10</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w: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9"/>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80005C6"/>
    <w:multiLevelType w:val="multilevel"/>
    <w:tmpl w:val="080005C6"/>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5">
    <w:nsid w:val="12C2633D"/>
    <w:multiLevelType w:val="multilevel"/>
    <w:tmpl w:val="12C2633D"/>
    <w:lvl w:ilvl="0" w:tentative="0">
      <w:start w:val="2"/>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6">
    <w:nsid w:val="2811445A"/>
    <w:multiLevelType w:val="multilevel"/>
    <w:tmpl w:val="2811445A"/>
    <w:lvl w:ilvl="0" w:tentative="0">
      <w:start w:val="1"/>
      <w:numFmt w:val="decimalEnclosedCircle"/>
      <w:pStyle w:val="95"/>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7">
    <w:nsid w:val="47B11763"/>
    <w:multiLevelType w:val="multilevel"/>
    <w:tmpl w:val="47B11763"/>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D073ACA"/>
    <w:multiLevelType w:val="multilevel"/>
    <w:tmpl w:val="4D073A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2A6190"/>
    <w:multiLevelType w:val="multilevel"/>
    <w:tmpl w:val="592A6190"/>
    <w:lvl w:ilvl="0" w:tentative="0">
      <w:start w:val="1"/>
      <w:numFmt w:val="decimal"/>
      <w:lvlText w:val="%1"/>
      <w:lvlJc w:val="left"/>
      <w:pPr>
        <w:ind w:left="368" w:hanging="368"/>
      </w:pPr>
      <w:rPr>
        <w:rFonts w:hint="default"/>
      </w:rPr>
    </w:lvl>
    <w:lvl w:ilvl="1" w:tentative="0">
      <w:start w:val="1"/>
      <w:numFmt w:val="decimal"/>
      <w:lvlText w:val="%1.%2"/>
      <w:lvlJc w:val="left"/>
      <w:pPr>
        <w:ind w:left="788" w:hanging="368"/>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10">
    <w:nsid w:val="6571768E"/>
    <w:multiLevelType w:val="multilevel"/>
    <w:tmpl w:val="6571768E"/>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11">
    <w:nsid w:val="6D9B2DA7"/>
    <w:multiLevelType w:val="multilevel"/>
    <w:tmpl w:val="6D9B2DA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6"/>
  </w:num>
  <w:num w:numId="4">
    <w:abstractNumId w:val="3"/>
    <w:lvlOverride w:ilvl="0">
      <w:startOverride w:val="1"/>
    </w:lvlOverride>
  </w:num>
  <w:num w:numId="5">
    <w:abstractNumId w:val="3"/>
  </w:num>
  <w:num w:numId="6">
    <w:abstractNumId w:val="8"/>
  </w:num>
  <w:num w:numId="7">
    <w:abstractNumId w:val="9"/>
  </w:num>
  <w:num w:numId="8">
    <w:abstractNumId w:val="5"/>
  </w:num>
  <w:num w:numId="9">
    <w:abstractNumId w:val="4"/>
  </w:num>
  <w:num w:numId="10">
    <w:abstractNumId w:val="10"/>
  </w:num>
  <w:num w:numId="11">
    <w:abstractNumId w:val="7"/>
  </w:num>
  <w:num w:numId="12">
    <w:abstractNumId w:val="11"/>
  </w:num>
  <w:num w:numId="13">
    <w:abstractNumId w:val="2"/>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lZDNiNjc4N2Y5YzJiNWY0NjQxMTBmZmRlYWU5ZTMifQ=="/>
  </w:docVars>
  <w:rsids>
    <w:rsidRoot w:val="00BC6F66"/>
    <w:rsid w:val="00015B28"/>
    <w:rsid w:val="0001697D"/>
    <w:rsid w:val="0002063C"/>
    <w:rsid w:val="00026A8B"/>
    <w:rsid w:val="00035A6D"/>
    <w:rsid w:val="0005023B"/>
    <w:rsid w:val="0005696F"/>
    <w:rsid w:val="000575FE"/>
    <w:rsid w:val="00057E98"/>
    <w:rsid w:val="00066F32"/>
    <w:rsid w:val="00072E0D"/>
    <w:rsid w:val="0007695E"/>
    <w:rsid w:val="000940F2"/>
    <w:rsid w:val="0009726D"/>
    <w:rsid w:val="000B6F12"/>
    <w:rsid w:val="000C0D9C"/>
    <w:rsid w:val="000D463E"/>
    <w:rsid w:val="000E040E"/>
    <w:rsid w:val="000E28BA"/>
    <w:rsid w:val="001040A6"/>
    <w:rsid w:val="001050A7"/>
    <w:rsid w:val="00146E9F"/>
    <w:rsid w:val="00147FE1"/>
    <w:rsid w:val="00156C25"/>
    <w:rsid w:val="00192DE9"/>
    <w:rsid w:val="00193356"/>
    <w:rsid w:val="001A3870"/>
    <w:rsid w:val="001B094F"/>
    <w:rsid w:val="001B7FDD"/>
    <w:rsid w:val="001C23CA"/>
    <w:rsid w:val="001D09EE"/>
    <w:rsid w:val="001E709E"/>
    <w:rsid w:val="00200AE4"/>
    <w:rsid w:val="002168EA"/>
    <w:rsid w:val="00222D2C"/>
    <w:rsid w:val="00237B03"/>
    <w:rsid w:val="00245318"/>
    <w:rsid w:val="00256BDA"/>
    <w:rsid w:val="00257E0F"/>
    <w:rsid w:val="00293C01"/>
    <w:rsid w:val="002A2B49"/>
    <w:rsid w:val="002A4B36"/>
    <w:rsid w:val="002B1E23"/>
    <w:rsid w:val="002B7513"/>
    <w:rsid w:val="002C0A9E"/>
    <w:rsid w:val="002D0660"/>
    <w:rsid w:val="00302824"/>
    <w:rsid w:val="003046F8"/>
    <w:rsid w:val="0031114E"/>
    <w:rsid w:val="00311DF2"/>
    <w:rsid w:val="003134B6"/>
    <w:rsid w:val="00337074"/>
    <w:rsid w:val="003403A2"/>
    <w:rsid w:val="00350673"/>
    <w:rsid w:val="0035419D"/>
    <w:rsid w:val="00364379"/>
    <w:rsid w:val="003648FB"/>
    <w:rsid w:val="00365667"/>
    <w:rsid w:val="0036730E"/>
    <w:rsid w:val="00380BB7"/>
    <w:rsid w:val="003A5B22"/>
    <w:rsid w:val="003B1E26"/>
    <w:rsid w:val="003B5646"/>
    <w:rsid w:val="003C0C84"/>
    <w:rsid w:val="003C6986"/>
    <w:rsid w:val="003C6E1E"/>
    <w:rsid w:val="003E1023"/>
    <w:rsid w:val="00411D03"/>
    <w:rsid w:val="00447F02"/>
    <w:rsid w:val="004507BC"/>
    <w:rsid w:val="004708E4"/>
    <w:rsid w:val="00487428"/>
    <w:rsid w:val="00495314"/>
    <w:rsid w:val="004A1138"/>
    <w:rsid w:val="004B57C7"/>
    <w:rsid w:val="004C1777"/>
    <w:rsid w:val="004E1724"/>
    <w:rsid w:val="004E757C"/>
    <w:rsid w:val="004F0C07"/>
    <w:rsid w:val="005224B0"/>
    <w:rsid w:val="00547182"/>
    <w:rsid w:val="005513DA"/>
    <w:rsid w:val="00560050"/>
    <w:rsid w:val="005A2079"/>
    <w:rsid w:val="005B0465"/>
    <w:rsid w:val="005B6A39"/>
    <w:rsid w:val="005C6A2F"/>
    <w:rsid w:val="005D5583"/>
    <w:rsid w:val="00605EA0"/>
    <w:rsid w:val="00650CBE"/>
    <w:rsid w:val="0066611E"/>
    <w:rsid w:val="0068365A"/>
    <w:rsid w:val="006902C4"/>
    <w:rsid w:val="006B118E"/>
    <w:rsid w:val="006B3F5A"/>
    <w:rsid w:val="006C066C"/>
    <w:rsid w:val="006D05F3"/>
    <w:rsid w:val="006D315C"/>
    <w:rsid w:val="006E7D24"/>
    <w:rsid w:val="00702789"/>
    <w:rsid w:val="00715BC4"/>
    <w:rsid w:val="007201CF"/>
    <w:rsid w:val="0072449B"/>
    <w:rsid w:val="00724773"/>
    <w:rsid w:val="00727B91"/>
    <w:rsid w:val="007348E5"/>
    <w:rsid w:val="00744FCF"/>
    <w:rsid w:val="00745CA6"/>
    <w:rsid w:val="00762A11"/>
    <w:rsid w:val="00773C3E"/>
    <w:rsid w:val="007D4E58"/>
    <w:rsid w:val="007E0B9F"/>
    <w:rsid w:val="00822A1A"/>
    <w:rsid w:val="0084304E"/>
    <w:rsid w:val="00846F41"/>
    <w:rsid w:val="0085791F"/>
    <w:rsid w:val="0087658B"/>
    <w:rsid w:val="00883E9D"/>
    <w:rsid w:val="00884174"/>
    <w:rsid w:val="00887D82"/>
    <w:rsid w:val="00890508"/>
    <w:rsid w:val="008B13AA"/>
    <w:rsid w:val="008B4F25"/>
    <w:rsid w:val="008C00F6"/>
    <w:rsid w:val="008C5C8F"/>
    <w:rsid w:val="008D0F9E"/>
    <w:rsid w:val="00910572"/>
    <w:rsid w:val="009159D5"/>
    <w:rsid w:val="009165C3"/>
    <w:rsid w:val="00946BAF"/>
    <w:rsid w:val="00952C97"/>
    <w:rsid w:val="00953792"/>
    <w:rsid w:val="00971833"/>
    <w:rsid w:val="00973284"/>
    <w:rsid w:val="00976402"/>
    <w:rsid w:val="0098568F"/>
    <w:rsid w:val="009A6512"/>
    <w:rsid w:val="009B2B79"/>
    <w:rsid w:val="009E49B3"/>
    <w:rsid w:val="00A04B10"/>
    <w:rsid w:val="00A129DB"/>
    <w:rsid w:val="00A14596"/>
    <w:rsid w:val="00A15D36"/>
    <w:rsid w:val="00A1728B"/>
    <w:rsid w:val="00A3130B"/>
    <w:rsid w:val="00A40E7D"/>
    <w:rsid w:val="00A70D9D"/>
    <w:rsid w:val="00A76526"/>
    <w:rsid w:val="00A94BAF"/>
    <w:rsid w:val="00AA72C3"/>
    <w:rsid w:val="00AC5961"/>
    <w:rsid w:val="00AE55BF"/>
    <w:rsid w:val="00B068AB"/>
    <w:rsid w:val="00B106E4"/>
    <w:rsid w:val="00B16442"/>
    <w:rsid w:val="00B2026A"/>
    <w:rsid w:val="00B27AE2"/>
    <w:rsid w:val="00B27E21"/>
    <w:rsid w:val="00B424EF"/>
    <w:rsid w:val="00B579C6"/>
    <w:rsid w:val="00B70D40"/>
    <w:rsid w:val="00B72924"/>
    <w:rsid w:val="00B77580"/>
    <w:rsid w:val="00B77C99"/>
    <w:rsid w:val="00B874B7"/>
    <w:rsid w:val="00B9135B"/>
    <w:rsid w:val="00B979AB"/>
    <w:rsid w:val="00BA1515"/>
    <w:rsid w:val="00BA690D"/>
    <w:rsid w:val="00BC6F66"/>
    <w:rsid w:val="00BD1F1F"/>
    <w:rsid w:val="00BE6426"/>
    <w:rsid w:val="00BF7C5F"/>
    <w:rsid w:val="00C209ED"/>
    <w:rsid w:val="00C24FFD"/>
    <w:rsid w:val="00C46784"/>
    <w:rsid w:val="00C67636"/>
    <w:rsid w:val="00C81E02"/>
    <w:rsid w:val="00C84760"/>
    <w:rsid w:val="00C866DC"/>
    <w:rsid w:val="00C870FE"/>
    <w:rsid w:val="00C96DF9"/>
    <w:rsid w:val="00CA25FE"/>
    <w:rsid w:val="00CD3368"/>
    <w:rsid w:val="00CD7785"/>
    <w:rsid w:val="00CE1E04"/>
    <w:rsid w:val="00CF555D"/>
    <w:rsid w:val="00D16A72"/>
    <w:rsid w:val="00D41A50"/>
    <w:rsid w:val="00D462A4"/>
    <w:rsid w:val="00D5007D"/>
    <w:rsid w:val="00D54B57"/>
    <w:rsid w:val="00D65DEF"/>
    <w:rsid w:val="00D66389"/>
    <w:rsid w:val="00D749C3"/>
    <w:rsid w:val="00D74E5E"/>
    <w:rsid w:val="00D768B8"/>
    <w:rsid w:val="00D86C1B"/>
    <w:rsid w:val="00DA3555"/>
    <w:rsid w:val="00DC1577"/>
    <w:rsid w:val="00DC36C3"/>
    <w:rsid w:val="00DC37A5"/>
    <w:rsid w:val="00DF194D"/>
    <w:rsid w:val="00E1127F"/>
    <w:rsid w:val="00E11A6B"/>
    <w:rsid w:val="00E20103"/>
    <w:rsid w:val="00E26ED1"/>
    <w:rsid w:val="00E344D6"/>
    <w:rsid w:val="00E437BF"/>
    <w:rsid w:val="00E46092"/>
    <w:rsid w:val="00E635B4"/>
    <w:rsid w:val="00E736D5"/>
    <w:rsid w:val="00E77925"/>
    <w:rsid w:val="00E868C5"/>
    <w:rsid w:val="00E932F0"/>
    <w:rsid w:val="00EA6AEB"/>
    <w:rsid w:val="00EB316D"/>
    <w:rsid w:val="00EC6E13"/>
    <w:rsid w:val="00EC76E9"/>
    <w:rsid w:val="00ED6205"/>
    <w:rsid w:val="00ED6F73"/>
    <w:rsid w:val="00ED763B"/>
    <w:rsid w:val="00EE663B"/>
    <w:rsid w:val="00EE78B4"/>
    <w:rsid w:val="00EF0B2B"/>
    <w:rsid w:val="00F01CFE"/>
    <w:rsid w:val="00F1168B"/>
    <w:rsid w:val="00F25603"/>
    <w:rsid w:val="00F4768E"/>
    <w:rsid w:val="00F51BDA"/>
    <w:rsid w:val="00F66D92"/>
    <w:rsid w:val="00F722CE"/>
    <w:rsid w:val="00FA5808"/>
    <w:rsid w:val="00FB601E"/>
    <w:rsid w:val="00FB7A66"/>
    <w:rsid w:val="00FC3050"/>
    <w:rsid w:val="00FC73ED"/>
    <w:rsid w:val="00FD13C6"/>
    <w:rsid w:val="00FD5DBC"/>
    <w:rsid w:val="00FF31A5"/>
    <w:rsid w:val="00FF3B84"/>
    <w:rsid w:val="0E80172E"/>
    <w:rsid w:val="10222F53"/>
    <w:rsid w:val="1AC10AAF"/>
    <w:rsid w:val="1D893E46"/>
    <w:rsid w:val="22C30288"/>
    <w:rsid w:val="258B10F8"/>
    <w:rsid w:val="2B417AE0"/>
    <w:rsid w:val="3E9B70F9"/>
    <w:rsid w:val="3EAC3661"/>
    <w:rsid w:val="44650C18"/>
    <w:rsid w:val="4F2945FF"/>
    <w:rsid w:val="590C15F6"/>
    <w:rsid w:val="5BE7597A"/>
    <w:rsid w:val="5D793312"/>
    <w:rsid w:val="5EC21F28"/>
    <w:rsid w:val="5EE7DB2D"/>
    <w:rsid w:val="5FEC03C7"/>
    <w:rsid w:val="72742ED2"/>
    <w:rsid w:val="7480400B"/>
    <w:rsid w:val="79FC58A6"/>
    <w:rsid w:val="7EA91E56"/>
    <w:rsid w:val="BFBF64CC"/>
    <w:rsid w:val="F7D77F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1"/>
    <w:qFormat/>
    <w:uiPriority w:val="0"/>
    <w:pPr>
      <w:keepNext/>
      <w:keepLines/>
      <w:widowControl/>
      <w:tabs>
        <w:tab w:val="left" w:pos="1440"/>
      </w:tabs>
      <w:spacing w:beforeLines="250" w:afterLines="150" w:line="360" w:lineRule="auto"/>
      <w:jc w:val="center"/>
      <w:outlineLvl w:val="0"/>
    </w:pPr>
    <w:rPr>
      <w:rFonts w:eastAsia="黑体"/>
      <w:b/>
      <w:bCs/>
      <w:kern w:val="44"/>
      <w:sz w:val="52"/>
      <w:szCs w:val="20"/>
    </w:rPr>
  </w:style>
  <w:style w:type="paragraph" w:styleId="5">
    <w:name w:val="heading 2"/>
    <w:basedOn w:val="1"/>
    <w:next w:val="1"/>
    <w:link w:val="52"/>
    <w:qFormat/>
    <w:uiPriority w:val="0"/>
    <w:pPr>
      <w:keepNext/>
      <w:keepLines/>
      <w:spacing w:before="260" w:after="260" w:line="408" w:lineRule="auto"/>
      <w:outlineLvl w:val="1"/>
    </w:pPr>
    <w:rPr>
      <w:rFonts w:ascii="Arial" w:hAnsi="Arial" w:eastAsia="黑体"/>
      <w:b/>
      <w:kern w:val="0"/>
      <w:sz w:val="32"/>
      <w:szCs w:val="20"/>
    </w:rPr>
  </w:style>
  <w:style w:type="paragraph" w:styleId="6">
    <w:name w:val="heading 3"/>
    <w:basedOn w:val="1"/>
    <w:next w:val="1"/>
    <w:link w:val="53"/>
    <w:qFormat/>
    <w:uiPriority w:val="0"/>
    <w:pPr>
      <w:keepNext/>
      <w:keepLines/>
      <w:widowControl/>
      <w:tabs>
        <w:tab w:val="left" w:pos="567"/>
      </w:tabs>
      <w:spacing w:beforeLines="50" w:afterLines="50" w:line="360" w:lineRule="auto"/>
      <w:jc w:val="left"/>
      <w:outlineLvl w:val="2"/>
    </w:pPr>
    <w:rPr>
      <w:rFonts w:eastAsia="黑体"/>
      <w:b/>
      <w:bCs/>
      <w:sz w:val="36"/>
      <w:szCs w:val="36"/>
    </w:rPr>
  </w:style>
  <w:style w:type="paragraph" w:styleId="7">
    <w:name w:val="heading 4"/>
    <w:basedOn w:val="1"/>
    <w:next w:val="1"/>
    <w:link w:val="54"/>
    <w:qFormat/>
    <w:uiPriority w:val="0"/>
    <w:pPr>
      <w:keepNext/>
      <w:keepLines/>
      <w:widowControl/>
      <w:tabs>
        <w:tab w:val="left" w:pos="-420"/>
      </w:tabs>
      <w:spacing w:beforeLines="50" w:afterLines="50" w:line="360" w:lineRule="auto"/>
      <w:jc w:val="left"/>
      <w:outlineLvl w:val="3"/>
    </w:pPr>
    <w:rPr>
      <w:rFonts w:ascii="Arial" w:hAnsi="Arial" w:eastAsia="黑体"/>
      <w:b/>
      <w:bCs/>
      <w:sz w:val="30"/>
      <w:szCs w:val="28"/>
    </w:rPr>
  </w:style>
  <w:style w:type="paragraph" w:styleId="8">
    <w:name w:val="heading 5"/>
    <w:basedOn w:val="1"/>
    <w:next w:val="1"/>
    <w:link w:val="55"/>
    <w:qFormat/>
    <w:uiPriority w:val="0"/>
    <w:pPr>
      <w:keepNext/>
      <w:keepLines/>
      <w:widowControl/>
      <w:tabs>
        <w:tab w:val="left" w:pos="-420"/>
      </w:tabs>
      <w:spacing w:beforeLines="50" w:afterLines="50" w:line="377" w:lineRule="auto"/>
      <w:jc w:val="left"/>
      <w:outlineLvl w:val="4"/>
    </w:pPr>
    <w:rPr>
      <w:b/>
      <w:bCs/>
      <w:sz w:val="28"/>
      <w:szCs w:val="28"/>
    </w:rPr>
  </w:style>
  <w:style w:type="paragraph" w:styleId="9">
    <w:name w:val="heading 6"/>
    <w:basedOn w:val="1"/>
    <w:next w:val="1"/>
    <w:link w:val="56"/>
    <w:qFormat/>
    <w:uiPriority w:val="0"/>
    <w:pPr>
      <w:keepNext/>
      <w:keepLines/>
      <w:spacing w:line="317" w:lineRule="auto"/>
      <w:outlineLvl w:val="5"/>
    </w:pPr>
    <w:rPr>
      <w:rFonts w:ascii="Arial" w:hAnsi="Arial" w:eastAsia="黑体"/>
      <w:b/>
      <w:sz w:val="24"/>
      <w:szCs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58"/>
    <w:qFormat/>
    <w:uiPriority w:val="0"/>
    <w:pPr>
      <w:ind w:firstLine="420" w:firstLineChars="100"/>
    </w:pPr>
    <w:rPr>
      <w:rFonts w:hAnsi="Calibri"/>
      <w:kern w:val="0"/>
    </w:rPr>
  </w:style>
  <w:style w:type="paragraph" w:styleId="3">
    <w:name w:val="Body Text"/>
    <w:basedOn w:val="1"/>
    <w:link w:val="57"/>
    <w:unhideWhenUsed/>
    <w:qFormat/>
    <w:uiPriority w:val="0"/>
    <w:pPr>
      <w:spacing w:after="120"/>
    </w:pPr>
  </w:style>
  <w:style w:type="paragraph" w:styleId="10">
    <w:name w:val="List Number"/>
    <w:basedOn w:val="1"/>
    <w:qFormat/>
    <w:uiPriority w:val="0"/>
    <w:pPr>
      <w:tabs>
        <w:tab w:val="left" w:pos="360"/>
      </w:tabs>
      <w:ind w:left="360" w:hanging="360"/>
    </w:pPr>
  </w:style>
  <w:style w:type="paragraph" w:styleId="11">
    <w:name w:val="Normal Indent"/>
    <w:basedOn w:val="1"/>
    <w:link w:val="174"/>
    <w:qFormat/>
    <w:uiPriority w:val="0"/>
    <w:pPr>
      <w:ind w:firstLine="420"/>
    </w:pPr>
    <w:rPr>
      <w:kern w:val="0"/>
      <w:sz w:val="20"/>
      <w:szCs w:val="20"/>
    </w:rPr>
  </w:style>
  <w:style w:type="paragraph" w:styleId="12">
    <w:name w:val="caption"/>
    <w:basedOn w:val="1"/>
    <w:next w:val="1"/>
    <w:link w:val="127"/>
    <w:qFormat/>
    <w:uiPriority w:val="0"/>
    <w:pPr>
      <w:spacing w:before="152" w:after="160"/>
    </w:pPr>
    <w:rPr>
      <w:rFonts w:ascii="Arial" w:hAnsi="Arial" w:eastAsia="黑体"/>
      <w:kern w:val="0"/>
      <w:sz w:val="20"/>
      <w:szCs w:val="20"/>
    </w:rPr>
  </w:style>
  <w:style w:type="paragraph" w:styleId="13">
    <w:name w:val="index 5"/>
    <w:basedOn w:val="1"/>
    <w:next w:val="1"/>
    <w:semiHidden/>
    <w:unhideWhenUsed/>
    <w:qFormat/>
    <w:uiPriority w:val="99"/>
    <w:pPr>
      <w:ind w:left="800" w:leftChars="800"/>
    </w:pPr>
  </w:style>
  <w:style w:type="paragraph" w:styleId="14">
    <w:name w:val="List Bullet"/>
    <w:basedOn w:val="1"/>
    <w:qFormat/>
    <w:uiPriority w:val="0"/>
    <w:pPr>
      <w:tabs>
        <w:tab w:val="left" w:pos="360"/>
      </w:tabs>
      <w:ind w:left="360" w:hanging="360"/>
    </w:pPr>
  </w:style>
  <w:style w:type="paragraph" w:styleId="15">
    <w:name w:val="Document Map"/>
    <w:basedOn w:val="1"/>
    <w:link w:val="59"/>
    <w:qFormat/>
    <w:uiPriority w:val="0"/>
    <w:pPr>
      <w:shd w:val="clear" w:color="auto" w:fill="000080"/>
    </w:pPr>
    <w:rPr>
      <w:rFonts w:cs="宋体"/>
      <w:shd w:val="clear" w:color="auto" w:fill="000080"/>
    </w:rPr>
  </w:style>
  <w:style w:type="paragraph" w:styleId="16">
    <w:name w:val="annotation text"/>
    <w:basedOn w:val="1"/>
    <w:link w:val="60"/>
    <w:qFormat/>
    <w:uiPriority w:val="0"/>
    <w:pPr>
      <w:jc w:val="left"/>
    </w:pPr>
  </w:style>
  <w:style w:type="paragraph" w:styleId="17">
    <w:name w:val="Body Text 3"/>
    <w:basedOn w:val="1"/>
    <w:link w:val="61"/>
    <w:qFormat/>
    <w:uiPriority w:val="0"/>
    <w:pPr>
      <w:snapToGrid w:val="0"/>
      <w:spacing w:before="50" w:after="50"/>
    </w:pPr>
    <w:rPr>
      <w:rFonts w:hAnsi="宋体" w:eastAsia="Times New Roman"/>
      <w:b/>
      <w:sz w:val="24"/>
    </w:rPr>
  </w:style>
  <w:style w:type="paragraph" w:styleId="18">
    <w:name w:val="Body Text Indent"/>
    <w:basedOn w:val="1"/>
    <w:link w:val="62"/>
    <w:qFormat/>
    <w:uiPriority w:val="0"/>
    <w:pPr>
      <w:spacing w:line="200" w:lineRule="exact"/>
      <w:ind w:firstLine="301"/>
    </w:pPr>
    <w:rPr>
      <w:rFonts w:ascii="宋体" w:hAnsi="Courier New"/>
      <w:spacing w:val="-4"/>
      <w:kern w:val="0"/>
      <w:sz w:val="18"/>
    </w:rPr>
  </w:style>
  <w:style w:type="paragraph" w:styleId="19">
    <w:name w:val="List Number 3"/>
    <w:basedOn w:val="1"/>
    <w:qFormat/>
    <w:uiPriority w:val="0"/>
    <w:pPr>
      <w:numPr>
        <w:ilvl w:val="0"/>
        <w:numId w:val="1"/>
      </w:numPr>
      <w:tabs>
        <w:tab w:val="clear" w:pos="360"/>
      </w:tabs>
    </w:pPr>
    <w:rPr>
      <w:szCs w:val="24"/>
    </w:rPr>
  </w:style>
  <w:style w:type="paragraph" w:styleId="20">
    <w:name w:val="List 2"/>
    <w:basedOn w:val="1"/>
    <w:qFormat/>
    <w:uiPriority w:val="0"/>
    <w:pPr>
      <w:ind w:left="100" w:leftChars="200" w:hanging="200" w:hangingChars="200"/>
    </w:pPr>
    <w:rPr>
      <w:sz w:val="28"/>
      <w:szCs w:val="24"/>
    </w:rPr>
  </w:style>
  <w:style w:type="paragraph" w:styleId="21">
    <w:name w:val="Plain Text"/>
    <w:basedOn w:val="1"/>
    <w:link w:val="63"/>
    <w:qFormat/>
    <w:uiPriority w:val="0"/>
    <w:pPr>
      <w:spacing w:beforeLines="50" w:line="400" w:lineRule="exact"/>
    </w:pPr>
    <w:rPr>
      <w:rFonts w:ascii="宋体" w:hAnsi="Courier New"/>
      <w:sz w:val="24"/>
    </w:rPr>
  </w:style>
  <w:style w:type="paragraph" w:styleId="22">
    <w:name w:val="Date"/>
    <w:basedOn w:val="1"/>
    <w:next w:val="1"/>
    <w:link w:val="64"/>
    <w:qFormat/>
    <w:uiPriority w:val="0"/>
    <w:pPr>
      <w:ind w:left="2500" w:leftChars="2500"/>
    </w:pPr>
    <w:rPr>
      <w:rFonts w:ascii="Calibri" w:hAnsi="Calibri" w:eastAsia="楷体_GB2312"/>
      <w:kern w:val="0"/>
      <w:sz w:val="32"/>
    </w:rPr>
  </w:style>
  <w:style w:type="paragraph" w:styleId="23">
    <w:name w:val="Body Text Indent 2"/>
    <w:basedOn w:val="1"/>
    <w:link w:val="65"/>
    <w:qFormat/>
    <w:uiPriority w:val="0"/>
    <w:pPr>
      <w:snapToGrid w:val="0"/>
      <w:ind w:firstLine="542" w:firstLineChars="225"/>
    </w:pPr>
    <w:rPr>
      <w:rFonts w:ascii="仿宋_GB2312" w:hAnsi="宋体"/>
      <w:b/>
      <w:color w:val="000000"/>
      <w:kern w:val="0"/>
      <w:sz w:val="24"/>
    </w:rPr>
  </w:style>
  <w:style w:type="paragraph" w:styleId="24">
    <w:name w:val="Balloon Text"/>
    <w:basedOn w:val="1"/>
    <w:link w:val="66"/>
    <w:qFormat/>
    <w:uiPriority w:val="0"/>
    <w:rPr>
      <w:rFonts w:ascii="Calibri" w:hAnsi="Calibri"/>
      <w:sz w:val="18"/>
      <w:szCs w:val="18"/>
    </w:rPr>
  </w:style>
  <w:style w:type="paragraph" w:styleId="25">
    <w:name w:val="footer"/>
    <w:basedOn w:val="1"/>
    <w:link w:val="50"/>
    <w:unhideWhenUsed/>
    <w:qFormat/>
    <w:uiPriority w:val="0"/>
    <w:pPr>
      <w:tabs>
        <w:tab w:val="center" w:pos="4153"/>
        <w:tab w:val="right" w:pos="8306"/>
      </w:tabs>
      <w:snapToGrid w:val="0"/>
      <w:jc w:val="left"/>
    </w:pPr>
    <w:rPr>
      <w:sz w:val="18"/>
      <w:szCs w:val="18"/>
    </w:rPr>
  </w:style>
  <w:style w:type="paragraph" w:styleId="26">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List"/>
    <w:basedOn w:val="1"/>
    <w:qFormat/>
    <w:uiPriority w:val="0"/>
    <w:pPr>
      <w:ind w:left="200" w:hanging="200" w:hangingChars="200"/>
    </w:pPr>
    <w:rPr>
      <w:sz w:val="28"/>
    </w:rPr>
  </w:style>
  <w:style w:type="paragraph" w:styleId="29">
    <w:name w:val="Body Text Indent 3"/>
    <w:basedOn w:val="1"/>
    <w:link w:val="67"/>
    <w:qFormat/>
    <w:uiPriority w:val="0"/>
    <w:pPr>
      <w:snapToGrid w:val="0"/>
      <w:ind w:firstLine="480" w:firstLineChars="200"/>
      <w:jc w:val="left"/>
    </w:pPr>
    <w:rPr>
      <w:rFonts w:ascii="仿宋_GB2312" w:hAnsi="宋体" w:eastAsia="Times New Roman"/>
      <w:color w:val="000000"/>
      <w:kern w:val="0"/>
      <w:sz w:val="24"/>
    </w:rPr>
  </w:style>
  <w:style w:type="paragraph" w:styleId="30">
    <w:name w:val="table of figures"/>
    <w:basedOn w:val="1"/>
    <w:next w:val="1"/>
    <w:qFormat/>
    <w:uiPriority w:val="0"/>
    <w:pPr>
      <w:ind w:left="200" w:leftChars="200" w:hanging="200" w:hangingChars="200"/>
    </w:pPr>
  </w:style>
  <w:style w:type="paragraph" w:styleId="31">
    <w:name w:val="Body Text 2"/>
    <w:basedOn w:val="1"/>
    <w:link w:val="68"/>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2">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3">
    <w:name w:val="Normal (Web)"/>
    <w:basedOn w:val="1"/>
    <w:qFormat/>
    <w:uiPriority w:val="99"/>
    <w:pPr>
      <w:widowControl/>
      <w:spacing w:before="100" w:beforeAutospacing="1" w:after="100" w:afterAutospacing="1"/>
      <w:jc w:val="left"/>
    </w:pPr>
    <w:rPr>
      <w:rFonts w:ascii="(使用中文字体)" w:hAnsi="(使用中文字体)" w:cs="(使用中文字体)"/>
      <w:kern w:val="0"/>
      <w:sz w:val="24"/>
      <w:szCs w:val="24"/>
    </w:rPr>
  </w:style>
  <w:style w:type="paragraph" w:styleId="34">
    <w:name w:val="index 1"/>
    <w:basedOn w:val="1"/>
    <w:next w:val="1"/>
    <w:qFormat/>
    <w:uiPriority w:val="0"/>
    <w:pPr>
      <w:tabs>
        <w:tab w:val="left" w:pos="900"/>
      </w:tabs>
      <w:adjustRightInd w:val="0"/>
      <w:ind w:firstLine="420" w:firstLineChars="200"/>
    </w:pPr>
    <w:rPr>
      <w:rFonts w:ascii="宋体" w:hAnsi="宋体"/>
    </w:rPr>
  </w:style>
  <w:style w:type="paragraph" w:styleId="35">
    <w:name w:val="annotation subject"/>
    <w:basedOn w:val="16"/>
    <w:next w:val="16"/>
    <w:link w:val="70"/>
    <w:qFormat/>
    <w:uiPriority w:val="0"/>
    <w:rPr>
      <w:rFonts w:cs="宋体"/>
      <w:b/>
      <w:bCs/>
    </w:rPr>
  </w:style>
  <w:style w:type="paragraph" w:styleId="36">
    <w:name w:val="Body Text First Indent 2"/>
    <w:basedOn w:val="18"/>
    <w:link w:val="71"/>
    <w:qFormat/>
    <w:uiPriority w:val="99"/>
    <w:pPr>
      <w:spacing w:after="120" w:line="240" w:lineRule="auto"/>
      <w:ind w:left="420" w:leftChars="200" w:firstLine="420" w:firstLineChars="200"/>
    </w:pPr>
    <w:rPr>
      <w:rFonts w:ascii="Calibri" w:hAnsi="Calibri"/>
      <w:spacing w:val="0"/>
      <w:kern w:val="2"/>
      <w:sz w:val="21"/>
      <w:szCs w:val="24"/>
    </w:rPr>
  </w:style>
  <w:style w:type="table" w:styleId="38">
    <w:name w:val="Table Grid"/>
    <w:basedOn w:val="37"/>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rFonts w:ascii="Times New Roman" w:hAnsi="Times New Roman" w:cs="Times New Roman"/>
      <w:b/>
    </w:rPr>
  </w:style>
  <w:style w:type="character" w:styleId="41">
    <w:name w:val="page number"/>
    <w:basedOn w:val="39"/>
    <w:qFormat/>
    <w:uiPriority w:val="0"/>
    <w:rPr>
      <w:rFonts w:cs="Times New Roman"/>
    </w:rPr>
  </w:style>
  <w:style w:type="character" w:styleId="42">
    <w:name w:val="FollowedHyperlink"/>
    <w:basedOn w:val="39"/>
    <w:qFormat/>
    <w:uiPriority w:val="0"/>
    <w:rPr>
      <w:rFonts w:cs="Times New Roman"/>
      <w:color w:val="800080"/>
      <w:u w:val="single"/>
    </w:rPr>
  </w:style>
  <w:style w:type="character" w:styleId="43">
    <w:name w:val="HTML Definition"/>
    <w:basedOn w:val="39"/>
    <w:qFormat/>
    <w:uiPriority w:val="0"/>
    <w:rPr>
      <w:rFonts w:cs="Times New Roman"/>
      <w:i/>
    </w:rPr>
  </w:style>
  <w:style w:type="character" w:styleId="44">
    <w:name w:val="Hyperlink"/>
    <w:basedOn w:val="39"/>
    <w:qFormat/>
    <w:uiPriority w:val="0"/>
    <w:rPr>
      <w:rFonts w:cs="Times New Roman"/>
      <w:color w:val="0000FF"/>
      <w:u w:val="single"/>
    </w:rPr>
  </w:style>
  <w:style w:type="character" w:styleId="45">
    <w:name w:val="HTML Code"/>
    <w:basedOn w:val="39"/>
    <w:qFormat/>
    <w:uiPriority w:val="0"/>
    <w:rPr>
      <w:rFonts w:ascii="Marlett" w:hAnsi="Marlett" w:cs="Times New Roman"/>
      <w:sz w:val="21"/>
    </w:rPr>
  </w:style>
  <w:style w:type="character" w:styleId="46">
    <w:name w:val="annotation reference"/>
    <w:basedOn w:val="39"/>
    <w:qFormat/>
    <w:uiPriority w:val="0"/>
    <w:rPr>
      <w:rFonts w:cs="Times New Roman"/>
      <w:sz w:val="21"/>
    </w:rPr>
  </w:style>
  <w:style w:type="character" w:styleId="47">
    <w:name w:val="HTML Keyboard"/>
    <w:basedOn w:val="39"/>
    <w:qFormat/>
    <w:uiPriority w:val="0"/>
    <w:rPr>
      <w:rFonts w:ascii="Marlett" w:hAnsi="Marlett" w:cs="Times New Roman"/>
      <w:sz w:val="21"/>
    </w:rPr>
  </w:style>
  <w:style w:type="character" w:styleId="48">
    <w:name w:val="HTML Sample"/>
    <w:basedOn w:val="39"/>
    <w:qFormat/>
    <w:uiPriority w:val="0"/>
    <w:rPr>
      <w:rFonts w:ascii="Marlett" w:hAnsi="Marlett" w:cs="Times New Roman"/>
      <w:sz w:val="21"/>
    </w:rPr>
  </w:style>
  <w:style w:type="character" w:customStyle="1" w:styleId="49">
    <w:name w:val="页眉 字符"/>
    <w:basedOn w:val="39"/>
    <w:link w:val="26"/>
    <w:qFormat/>
    <w:uiPriority w:val="0"/>
    <w:rPr>
      <w:sz w:val="18"/>
      <w:szCs w:val="18"/>
    </w:rPr>
  </w:style>
  <w:style w:type="character" w:customStyle="1" w:styleId="50">
    <w:name w:val="页脚 字符"/>
    <w:basedOn w:val="39"/>
    <w:link w:val="25"/>
    <w:qFormat/>
    <w:uiPriority w:val="0"/>
    <w:rPr>
      <w:sz w:val="18"/>
      <w:szCs w:val="18"/>
    </w:rPr>
  </w:style>
  <w:style w:type="character" w:customStyle="1" w:styleId="51">
    <w:name w:val="标题 1 字符"/>
    <w:basedOn w:val="39"/>
    <w:link w:val="4"/>
    <w:qFormat/>
    <w:uiPriority w:val="0"/>
    <w:rPr>
      <w:rFonts w:ascii="Times New Roman" w:hAnsi="Times New Roman" w:eastAsia="黑体" w:cs="Times New Roman"/>
      <w:b/>
      <w:bCs/>
      <w:kern w:val="44"/>
      <w:sz w:val="52"/>
      <w:szCs w:val="20"/>
    </w:rPr>
  </w:style>
  <w:style w:type="character" w:customStyle="1" w:styleId="52">
    <w:name w:val="标题 2 字符"/>
    <w:basedOn w:val="39"/>
    <w:link w:val="5"/>
    <w:qFormat/>
    <w:uiPriority w:val="0"/>
    <w:rPr>
      <w:rFonts w:ascii="Arial" w:hAnsi="Arial" w:eastAsia="黑体" w:cs="Times New Roman"/>
      <w:b/>
      <w:kern w:val="0"/>
      <w:sz w:val="32"/>
      <w:szCs w:val="20"/>
    </w:rPr>
  </w:style>
  <w:style w:type="character" w:customStyle="1" w:styleId="53">
    <w:name w:val="标题 3 字符"/>
    <w:basedOn w:val="39"/>
    <w:link w:val="6"/>
    <w:qFormat/>
    <w:uiPriority w:val="0"/>
    <w:rPr>
      <w:rFonts w:ascii="Times New Roman" w:hAnsi="Times New Roman" w:eastAsia="黑体" w:cs="Times New Roman"/>
      <w:b/>
      <w:bCs/>
      <w:sz w:val="36"/>
      <w:szCs w:val="36"/>
    </w:rPr>
  </w:style>
  <w:style w:type="character" w:customStyle="1" w:styleId="54">
    <w:name w:val="标题 4 字符"/>
    <w:basedOn w:val="39"/>
    <w:link w:val="7"/>
    <w:qFormat/>
    <w:uiPriority w:val="0"/>
    <w:rPr>
      <w:rFonts w:ascii="Arial" w:hAnsi="Arial" w:eastAsia="黑体" w:cs="Times New Roman"/>
      <w:b/>
      <w:bCs/>
      <w:sz w:val="30"/>
      <w:szCs w:val="28"/>
    </w:rPr>
  </w:style>
  <w:style w:type="character" w:customStyle="1" w:styleId="55">
    <w:name w:val="标题 5 字符"/>
    <w:basedOn w:val="39"/>
    <w:link w:val="8"/>
    <w:qFormat/>
    <w:uiPriority w:val="0"/>
    <w:rPr>
      <w:rFonts w:ascii="Times New Roman" w:hAnsi="Times New Roman" w:eastAsia="宋体" w:cs="Times New Roman"/>
      <w:b/>
      <w:bCs/>
      <w:sz w:val="28"/>
      <w:szCs w:val="28"/>
    </w:rPr>
  </w:style>
  <w:style w:type="character" w:customStyle="1" w:styleId="56">
    <w:name w:val="标题 6 字符"/>
    <w:basedOn w:val="39"/>
    <w:link w:val="9"/>
    <w:qFormat/>
    <w:uiPriority w:val="0"/>
    <w:rPr>
      <w:rFonts w:ascii="Arial" w:hAnsi="Arial" w:eastAsia="黑体" w:cs="Times New Roman"/>
      <w:b/>
      <w:sz w:val="24"/>
      <w:szCs w:val="24"/>
    </w:rPr>
  </w:style>
  <w:style w:type="character" w:customStyle="1" w:styleId="57">
    <w:name w:val="正文文本 字符"/>
    <w:basedOn w:val="39"/>
    <w:link w:val="3"/>
    <w:qFormat/>
    <w:uiPriority w:val="0"/>
    <w:rPr>
      <w:rFonts w:ascii="Times New Roman" w:hAnsi="Times New Roman" w:eastAsia="宋体" w:cs="Times New Roman"/>
    </w:rPr>
  </w:style>
  <w:style w:type="character" w:customStyle="1" w:styleId="58">
    <w:name w:val="正文文本首行缩进 字符"/>
    <w:basedOn w:val="57"/>
    <w:link w:val="2"/>
    <w:qFormat/>
    <w:uiPriority w:val="0"/>
    <w:rPr>
      <w:rFonts w:ascii="Times New Roman" w:hAnsi="Calibri" w:eastAsia="宋体" w:cs="Times New Roman"/>
      <w:kern w:val="0"/>
    </w:rPr>
  </w:style>
  <w:style w:type="character" w:customStyle="1" w:styleId="59">
    <w:name w:val="文档结构图 字符"/>
    <w:basedOn w:val="39"/>
    <w:link w:val="15"/>
    <w:qFormat/>
    <w:uiPriority w:val="0"/>
    <w:rPr>
      <w:rFonts w:ascii="Times New Roman" w:hAnsi="Times New Roman" w:eastAsia="宋体" w:cs="宋体"/>
      <w:shd w:val="clear" w:color="auto" w:fill="000080"/>
    </w:rPr>
  </w:style>
  <w:style w:type="character" w:customStyle="1" w:styleId="60">
    <w:name w:val="批注文字 字符"/>
    <w:basedOn w:val="39"/>
    <w:link w:val="16"/>
    <w:qFormat/>
    <w:uiPriority w:val="0"/>
    <w:rPr>
      <w:rFonts w:ascii="Times New Roman" w:hAnsi="Times New Roman" w:eastAsia="宋体" w:cs="Times New Roman"/>
    </w:rPr>
  </w:style>
  <w:style w:type="character" w:customStyle="1" w:styleId="61">
    <w:name w:val="正文文本 3 字符"/>
    <w:basedOn w:val="39"/>
    <w:link w:val="17"/>
    <w:qFormat/>
    <w:uiPriority w:val="0"/>
    <w:rPr>
      <w:rFonts w:ascii="Times New Roman" w:hAnsi="宋体" w:eastAsia="Times New Roman" w:cs="Times New Roman"/>
      <w:b/>
      <w:sz w:val="24"/>
    </w:rPr>
  </w:style>
  <w:style w:type="character" w:customStyle="1" w:styleId="62">
    <w:name w:val="正文文本缩进 字符2"/>
    <w:basedOn w:val="39"/>
    <w:link w:val="18"/>
    <w:qFormat/>
    <w:uiPriority w:val="0"/>
    <w:rPr>
      <w:rFonts w:ascii="宋体" w:hAnsi="Courier New" w:eastAsia="宋体" w:cs="Times New Roman"/>
      <w:spacing w:val="-4"/>
      <w:kern w:val="0"/>
      <w:sz w:val="18"/>
    </w:rPr>
  </w:style>
  <w:style w:type="character" w:customStyle="1" w:styleId="63">
    <w:name w:val="纯文本 字符1"/>
    <w:basedOn w:val="39"/>
    <w:link w:val="21"/>
    <w:qFormat/>
    <w:uiPriority w:val="0"/>
    <w:rPr>
      <w:rFonts w:ascii="宋体" w:hAnsi="Courier New" w:eastAsia="宋体" w:cs="Times New Roman"/>
      <w:sz w:val="24"/>
    </w:rPr>
  </w:style>
  <w:style w:type="character" w:customStyle="1" w:styleId="64">
    <w:name w:val="日期 字符"/>
    <w:basedOn w:val="39"/>
    <w:link w:val="22"/>
    <w:qFormat/>
    <w:uiPriority w:val="0"/>
    <w:rPr>
      <w:rFonts w:ascii="Calibri" w:hAnsi="Calibri" w:eastAsia="楷体_GB2312" w:cs="Times New Roman"/>
      <w:kern w:val="0"/>
      <w:sz w:val="32"/>
    </w:rPr>
  </w:style>
  <w:style w:type="character" w:customStyle="1" w:styleId="65">
    <w:name w:val="正文文本缩进 2 字符"/>
    <w:basedOn w:val="39"/>
    <w:link w:val="23"/>
    <w:qFormat/>
    <w:uiPriority w:val="0"/>
    <w:rPr>
      <w:rFonts w:ascii="仿宋_GB2312" w:hAnsi="宋体" w:eastAsia="宋体" w:cs="Times New Roman"/>
      <w:b/>
      <w:color w:val="000000"/>
      <w:kern w:val="0"/>
      <w:sz w:val="24"/>
    </w:rPr>
  </w:style>
  <w:style w:type="character" w:customStyle="1" w:styleId="66">
    <w:name w:val="批注框文本 字符"/>
    <w:basedOn w:val="39"/>
    <w:link w:val="24"/>
    <w:qFormat/>
    <w:uiPriority w:val="0"/>
    <w:rPr>
      <w:rFonts w:ascii="Calibri" w:hAnsi="Calibri" w:eastAsia="宋体" w:cs="Times New Roman"/>
      <w:sz w:val="18"/>
      <w:szCs w:val="18"/>
    </w:rPr>
  </w:style>
  <w:style w:type="character" w:customStyle="1" w:styleId="67">
    <w:name w:val="正文文本缩进 3 字符"/>
    <w:basedOn w:val="39"/>
    <w:link w:val="29"/>
    <w:qFormat/>
    <w:uiPriority w:val="0"/>
    <w:rPr>
      <w:rFonts w:ascii="仿宋_GB2312" w:hAnsi="宋体" w:eastAsia="Times New Roman" w:cs="Times New Roman"/>
      <w:color w:val="000000"/>
      <w:kern w:val="0"/>
      <w:sz w:val="24"/>
    </w:rPr>
  </w:style>
  <w:style w:type="character" w:customStyle="1" w:styleId="68">
    <w:name w:val="正文文本 2 字符"/>
    <w:basedOn w:val="39"/>
    <w:link w:val="31"/>
    <w:qFormat/>
    <w:uiPriority w:val="0"/>
    <w:rPr>
      <w:rFonts w:ascii="宋体" w:hAnsi="宋体" w:eastAsia="宋体" w:cs="宋体"/>
      <w:bCs/>
    </w:rPr>
  </w:style>
  <w:style w:type="character" w:customStyle="1" w:styleId="69">
    <w:name w:val="HTML 预设格式 字符"/>
    <w:basedOn w:val="39"/>
    <w:link w:val="32"/>
    <w:qFormat/>
    <w:uiPriority w:val="0"/>
    <w:rPr>
      <w:rFonts w:ascii="Courier New" w:hAnsi="Courier New" w:eastAsia="宋体" w:cs="Times New Roman"/>
      <w:kern w:val="0"/>
      <w:sz w:val="20"/>
      <w:szCs w:val="20"/>
    </w:rPr>
  </w:style>
  <w:style w:type="character" w:customStyle="1" w:styleId="70">
    <w:name w:val="批注主题 字符"/>
    <w:basedOn w:val="60"/>
    <w:link w:val="35"/>
    <w:qFormat/>
    <w:uiPriority w:val="0"/>
    <w:rPr>
      <w:rFonts w:ascii="Times New Roman" w:hAnsi="Times New Roman" w:eastAsia="宋体" w:cs="宋体"/>
      <w:b/>
      <w:bCs/>
    </w:rPr>
  </w:style>
  <w:style w:type="character" w:customStyle="1" w:styleId="71">
    <w:name w:val="正文文本首行缩进 2 字符"/>
    <w:basedOn w:val="62"/>
    <w:link w:val="36"/>
    <w:qFormat/>
    <w:uiPriority w:val="99"/>
    <w:rPr>
      <w:rFonts w:ascii="Calibri" w:hAnsi="Calibri" w:eastAsia="宋体" w:cs="Times New Roman"/>
      <w:spacing w:val="-4"/>
      <w:kern w:val="0"/>
      <w:sz w:val="18"/>
      <w:szCs w:val="24"/>
    </w:rPr>
  </w:style>
  <w:style w:type="paragraph" w:customStyle="1" w:styleId="72">
    <w:name w:val="表格文字"/>
    <w:basedOn w:val="1"/>
    <w:next w:val="3"/>
    <w:qFormat/>
    <w:uiPriority w:val="0"/>
    <w:rPr>
      <w:sz w:val="18"/>
      <w:szCs w:val="24"/>
    </w:rPr>
  </w:style>
  <w:style w:type="paragraph" w:customStyle="1" w:styleId="7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默认段落字体 Para Char Char Char Char Char Char Char Char Char1 Char Char Char Char"/>
    <w:basedOn w:val="1"/>
    <w:qFormat/>
    <w:uiPriority w:val="0"/>
    <w:rPr>
      <w:rFonts w:ascii="Tahoma" w:hAnsi="Tahoma"/>
      <w:sz w:val="24"/>
    </w:rPr>
  </w:style>
  <w:style w:type="paragraph" w:customStyle="1" w:styleId="75">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77">
    <w:name w:val="列出段落5"/>
    <w:basedOn w:val="1"/>
    <w:qFormat/>
    <w:uiPriority w:val="0"/>
    <w:pPr>
      <w:ind w:firstLine="420" w:firstLineChars="200"/>
    </w:pPr>
    <w:rPr>
      <w:rFonts w:ascii="Calibri" w:hAnsi="Calibri" w:eastAsia="等线"/>
      <w:sz w:val="24"/>
      <w:szCs w:val="24"/>
    </w:rPr>
  </w:style>
  <w:style w:type="paragraph" w:customStyle="1" w:styleId="78">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79">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80">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8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2">
    <w:name w:val="标准有序列表（L1）"/>
    <w:basedOn w:val="11"/>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83">
    <w:name w:val="f1"/>
    <w:basedOn w:val="1"/>
    <w:qFormat/>
    <w:uiPriority w:val="0"/>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84">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85">
    <w:name w:val="GW-正文"/>
    <w:basedOn w:val="1"/>
    <w:link w:val="113"/>
    <w:qFormat/>
    <w:uiPriority w:val="0"/>
    <w:pPr>
      <w:spacing w:line="360" w:lineRule="auto"/>
      <w:ind w:firstLine="200" w:firstLineChars="200"/>
      <w:contextualSpacing/>
    </w:pPr>
    <w:rPr>
      <w:rFonts w:ascii="Arial Narrow" w:hAnsi="Arial Narrow"/>
      <w:kern w:val="0"/>
      <w:sz w:val="24"/>
      <w:szCs w:val="20"/>
    </w:rPr>
  </w:style>
  <w:style w:type="paragraph" w:customStyle="1" w:styleId="86">
    <w:name w:val="Char Char10"/>
    <w:basedOn w:val="1"/>
    <w:qFormat/>
    <w:uiPriority w:val="0"/>
    <w:pPr>
      <w:widowControl/>
      <w:spacing w:after="160" w:line="240" w:lineRule="exact"/>
      <w:jc w:val="left"/>
    </w:pPr>
    <w:rPr>
      <w:kern w:val="0"/>
      <w:sz w:val="20"/>
      <w:szCs w:val="24"/>
    </w:rPr>
  </w:style>
  <w:style w:type="paragraph" w:customStyle="1" w:styleId="87">
    <w:name w:val="正文文本缩进11"/>
    <w:basedOn w:val="1"/>
    <w:qFormat/>
    <w:uiPriority w:val="0"/>
    <w:pPr>
      <w:spacing w:line="200" w:lineRule="exact"/>
      <w:ind w:firstLine="301"/>
    </w:pPr>
    <w:rPr>
      <w:rFonts w:ascii="Calibri" w:hAnsi="Calibri"/>
      <w:szCs w:val="20"/>
    </w:rPr>
  </w:style>
  <w:style w:type="paragraph" w:customStyle="1" w:styleId="88">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89">
    <w:name w:val="首行缩进2字符"/>
    <w:basedOn w:val="1"/>
    <w:qFormat/>
    <w:uiPriority w:val="0"/>
    <w:pPr>
      <w:spacing w:line="360" w:lineRule="auto"/>
      <w:ind w:firstLine="200" w:firstLineChars="200"/>
    </w:pPr>
    <w:rPr>
      <w:rFonts w:ascii="Calibri" w:hAnsi="Calibri"/>
      <w:sz w:val="24"/>
      <w:szCs w:val="21"/>
    </w:rPr>
  </w:style>
  <w:style w:type="paragraph" w:customStyle="1" w:styleId="90">
    <w:name w:val="默认段落字体 Para Char"/>
    <w:basedOn w:val="1"/>
    <w:qFormat/>
    <w:uiPriority w:val="0"/>
    <w:rPr>
      <w:szCs w:val="20"/>
    </w:rPr>
  </w:style>
  <w:style w:type="paragraph" w:customStyle="1" w:styleId="91">
    <w:name w:val="Char"/>
    <w:basedOn w:val="1"/>
    <w:link w:val="126"/>
    <w:qFormat/>
    <w:uiPriority w:val="0"/>
    <w:rPr>
      <w:rFonts w:ascii="Calibri" w:hAnsi="Calibri"/>
      <w:kern w:val="0"/>
      <w:sz w:val="24"/>
      <w:szCs w:val="20"/>
    </w:r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列出段落1"/>
    <w:basedOn w:val="1"/>
    <w:link w:val="136"/>
    <w:qFormat/>
    <w:uiPriority w:val="0"/>
    <w:pPr>
      <w:ind w:firstLine="420" w:firstLineChars="200"/>
    </w:pPr>
    <w:rPr>
      <w:rFonts w:ascii="Calibri" w:hAnsi="Calibri"/>
      <w:kern w:val="0"/>
      <w:sz w:val="24"/>
      <w:szCs w:val="20"/>
    </w:rPr>
  </w:style>
  <w:style w:type="paragraph" w:customStyle="1" w:styleId="95">
    <w:name w:val="书籍标题1"/>
    <w:basedOn w:val="1"/>
    <w:next w:val="1"/>
    <w:qFormat/>
    <w:uiPriority w:val="0"/>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96">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7">
    <w:name w:val="Table Paragraph"/>
    <w:basedOn w:val="1"/>
    <w:qFormat/>
    <w:uiPriority w:val="1"/>
    <w:pPr>
      <w:spacing w:before="119"/>
    </w:pPr>
    <w:rPr>
      <w:rFonts w:ascii="宋体" w:hAnsi="宋体" w:cs="宋体"/>
      <w:szCs w:val="24"/>
      <w:lang w:val="zh-CN"/>
    </w:rPr>
  </w:style>
  <w:style w:type="paragraph" w:customStyle="1" w:styleId="98">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99">
    <w:name w:val="样式2"/>
    <w:basedOn w:val="91"/>
    <w:qFormat/>
    <w:uiPriority w:val="0"/>
    <w:pPr>
      <w:tabs>
        <w:tab w:val="left" w:pos="432"/>
      </w:tabs>
      <w:spacing w:beforeLines="50" w:afterLines="50"/>
      <w:ind w:left="432" w:hanging="432"/>
    </w:pPr>
    <w:rPr>
      <w:b/>
      <w:szCs w:val="21"/>
      <w:u w:val="thick"/>
    </w:rPr>
  </w:style>
  <w:style w:type="paragraph" w:customStyle="1" w:styleId="100">
    <w:name w:val="样式1"/>
    <w:basedOn w:val="91"/>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1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首行缩进2字符"/>
    <w:basedOn w:val="1"/>
    <w:link w:val="130"/>
    <w:qFormat/>
    <w:uiPriority w:val="0"/>
    <w:pPr>
      <w:spacing w:line="360" w:lineRule="auto"/>
      <w:ind w:firstLine="200" w:firstLineChars="200"/>
    </w:pPr>
    <w:rPr>
      <w:kern w:val="0"/>
      <w:sz w:val="24"/>
      <w:szCs w:val="20"/>
    </w:rPr>
  </w:style>
  <w:style w:type="paragraph" w:customStyle="1" w:styleId="10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表格内容"/>
    <w:next w:val="102"/>
    <w:link w:val="131"/>
    <w:qFormat/>
    <w:uiPriority w:val="0"/>
    <w:pPr>
      <w:jc w:val="center"/>
    </w:pPr>
    <w:rPr>
      <w:rFonts w:ascii="仿宋" w:hAnsi="仿宋" w:eastAsia="仿宋" w:cs="Times New Roman"/>
      <w:sz w:val="24"/>
      <w:szCs w:val="22"/>
      <w:lang w:val="en-US" w:eastAsia="zh-CN" w:bidi="ar-SA"/>
    </w:rPr>
  </w:style>
  <w:style w:type="paragraph" w:customStyle="1" w:styleId="105">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06">
    <w:name w:val="列项中圆1"/>
    <w:basedOn w:val="1"/>
    <w:next w:val="1"/>
    <w:qFormat/>
    <w:uiPriority w:val="0"/>
    <w:pPr>
      <w:tabs>
        <w:tab w:val="left" w:pos="839"/>
      </w:tabs>
      <w:spacing w:line="300" w:lineRule="auto"/>
      <w:ind w:left="839" w:hanging="419"/>
    </w:pPr>
    <w:rPr>
      <w:kern w:val="21"/>
      <w:szCs w:val="20"/>
    </w:rPr>
  </w:style>
  <w:style w:type="paragraph" w:customStyle="1" w:styleId="107">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8">
    <w:name w:val="文档正文"/>
    <w:basedOn w:val="1"/>
    <w:qFormat/>
    <w:uiPriority w:val="0"/>
    <w:rPr>
      <w:rFonts w:ascii="宋体" w:hAnsi="宋体" w:cs="Arial"/>
      <w:bCs/>
      <w:szCs w:val="21"/>
    </w:rPr>
  </w:style>
  <w:style w:type="paragraph" w:customStyle="1" w:styleId="109">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10">
    <w:name w:val="无间隔1"/>
    <w:link w:val="121"/>
    <w:qFormat/>
    <w:uiPriority w:val="0"/>
    <w:rPr>
      <w:rFonts w:ascii="Calibri" w:hAnsi="Calibri" w:eastAsia="宋体" w:cs="Times New Roman"/>
      <w:sz w:val="22"/>
      <w:szCs w:val="22"/>
      <w:lang w:val="en-US" w:eastAsia="zh-CN" w:bidi="ar-SA"/>
    </w:rPr>
  </w:style>
  <w:style w:type="paragraph" w:customStyle="1" w:styleId="111">
    <w:name w:val="纯文本1"/>
    <w:basedOn w:val="1"/>
    <w:qFormat/>
    <w:uiPriority w:val="0"/>
    <w:pPr>
      <w:spacing w:beforeLines="50" w:afterLines="50" w:line="400" w:lineRule="exact"/>
    </w:pPr>
    <w:rPr>
      <w:rFonts w:ascii="宋体" w:hAnsi="Courier New" w:eastAsia="Times New Roman"/>
      <w:sz w:val="30"/>
      <w:szCs w:val="24"/>
    </w:rPr>
  </w:style>
  <w:style w:type="character" w:customStyle="1" w:styleId="112">
    <w:name w:val="font21"/>
    <w:basedOn w:val="39"/>
    <w:qFormat/>
    <w:uiPriority w:val="0"/>
    <w:rPr>
      <w:rFonts w:ascii="等线" w:hAnsi="等线" w:eastAsia="等线" w:cs="等线"/>
      <w:color w:val="000000"/>
      <w:sz w:val="22"/>
      <w:szCs w:val="22"/>
      <w:u w:val="none"/>
    </w:rPr>
  </w:style>
  <w:style w:type="character" w:customStyle="1" w:styleId="113">
    <w:name w:val="GW-正文 Char"/>
    <w:link w:val="85"/>
    <w:qFormat/>
    <w:locked/>
    <w:uiPriority w:val="0"/>
    <w:rPr>
      <w:rFonts w:ascii="Arial Narrow" w:hAnsi="Arial Narrow" w:eastAsia="宋体" w:cs="Times New Roman"/>
      <w:kern w:val="0"/>
      <w:sz w:val="24"/>
      <w:szCs w:val="20"/>
    </w:rPr>
  </w:style>
  <w:style w:type="character" w:customStyle="1" w:styleId="114">
    <w:name w:val="apple-converted-space"/>
    <w:qFormat/>
    <w:uiPriority w:val="0"/>
    <w:rPr>
      <w:rFonts w:ascii="Times New Roman" w:hAnsi="Times New Roman"/>
    </w:rPr>
  </w:style>
  <w:style w:type="character" w:customStyle="1" w:styleId="115">
    <w:name w:val="正文文本缩进 3 Char1"/>
    <w:basedOn w:val="39"/>
    <w:qFormat/>
    <w:uiPriority w:val="0"/>
    <w:rPr>
      <w:rFonts w:ascii="Times New Roman" w:hAnsi="Times New Roman" w:eastAsia="宋体" w:cs="Times New Roman"/>
      <w:sz w:val="16"/>
      <w:szCs w:val="16"/>
    </w:rPr>
  </w:style>
  <w:style w:type="character" w:customStyle="1" w:styleId="116">
    <w:name w:val="批注主题 Char1"/>
    <w:basedOn w:val="117"/>
    <w:qFormat/>
    <w:uiPriority w:val="0"/>
    <w:rPr>
      <w:rFonts w:ascii="Times New Roman" w:hAnsi="Times New Roman" w:eastAsia="宋体" w:cs="Times New Roman"/>
      <w:b/>
      <w:bCs/>
    </w:rPr>
  </w:style>
  <w:style w:type="character" w:customStyle="1" w:styleId="117">
    <w:name w:val="批注文字 Char1"/>
    <w:basedOn w:val="39"/>
    <w:qFormat/>
    <w:uiPriority w:val="0"/>
    <w:rPr>
      <w:rFonts w:ascii="Times New Roman" w:hAnsi="Times New Roman" w:eastAsia="宋体" w:cs="Times New Roman"/>
    </w:rPr>
  </w:style>
  <w:style w:type="character" w:customStyle="1" w:styleId="118">
    <w:name w:val="apple-tab-span"/>
    <w:qFormat/>
    <w:uiPriority w:val="0"/>
    <w:rPr>
      <w:rFonts w:ascii="Times New Roman" w:hAnsi="Times New Roman"/>
    </w:rPr>
  </w:style>
  <w:style w:type="character" w:customStyle="1" w:styleId="119">
    <w:name w:val="font11"/>
    <w:basedOn w:val="39"/>
    <w:qFormat/>
    <w:uiPriority w:val="0"/>
    <w:rPr>
      <w:rFonts w:ascii="Times New Roman" w:hAnsi="Times New Roman" w:cs="Times New Roman"/>
      <w:color w:val="000000"/>
      <w:sz w:val="20"/>
      <w:szCs w:val="20"/>
      <w:u w:val="none"/>
    </w:rPr>
  </w:style>
  <w:style w:type="character" w:customStyle="1" w:styleId="120">
    <w:name w:val="font31"/>
    <w:basedOn w:val="39"/>
    <w:qFormat/>
    <w:uiPriority w:val="0"/>
    <w:rPr>
      <w:rFonts w:ascii="等线" w:hAnsi="等线" w:eastAsia="等线" w:cs="等线"/>
      <w:color w:val="000000"/>
      <w:sz w:val="22"/>
      <w:szCs w:val="22"/>
      <w:u w:val="none"/>
    </w:rPr>
  </w:style>
  <w:style w:type="character" w:customStyle="1" w:styleId="121">
    <w:name w:val="无间隔 Char"/>
    <w:link w:val="110"/>
    <w:qFormat/>
    <w:locked/>
    <w:uiPriority w:val="0"/>
    <w:rPr>
      <w:rFonts w:ascii="Calibri" w:hAnsi="Calibri" w:eastAsia="宋体" w:cs="Times New Roman"/>
      <w:kern w:val="0"/>
      <w:sz w:val="22"/>
    </w:rPr>
  </w:style>
  <w:style w:type="character" w:customStyle="1" w:styleId="122">
    <w:name w:val="正文文本缩进 Char1"/>
    <w:basedOn w:val="39"/>
    <w:qFormat/>
    <w:uiPriority w:val="0"/>
    <w:rPr>
      <w:rFonts w:ascii="Times New Roman" w:hAnsi="Times New Roman" w:eastAsia="宋体" w:cs="Times New Roman"/>
    </w:rPr>
  </w:style>
  <w:style w:type="character" w:customStyle="1" w:styleId="123">
    <w:name w:val="正文文本 3 Char1"/>
    <w:basedOn w:val="39"/>
    <w:qFormat/>
    <w:uiPriority w:val="0"/>
    <w:rPr>
      <w:rFonts w:ascii="Times New Roman" w:hAnsi="Times New Roman" w:eastAsia="宋体" w:cs="Times New Roman"/>
      <w:sz w:val="16"/>
      <w:szCs w:val="16"/>
    </w:rPr>
  </w:style>
  <w:style w:type="character" w:customStyle="1" w:styleId="124">
    <w:name w:val="正文文本 Char1"/>
    <w:basedOn w:val="39"/>
    <w:qFormat/>
    <w:uiPriority w:val="0"/>
    <w:rPr>
      <w:rFonts w:ascii="Times New Roman" w:hAnsi="Times New Roman" w:eastAsia="宋体" w:cs="Times New Roman"/>
    </w:rPr>
  </w:style>
  <w:style w:type="character" w:customStyle="1" w:styleId="125">
    <w:name w:val="font01"/>
    <w:basedOn w:val="39"/>
    <w:qFormat/>
    <w:uiPriority w:val="0"/>
    <w:rPr>
      <w:rFonts w:ascii="宋体" w:hAnsi="宋体" w:eastAsia="宋体" w:cs="宋体"/>
      <w:color w:val="000000"/>
      <w:sz w:val="20"/>
      <w:szCs w:val="20"/>
      <w:u w:val="none"/>
    </w:rPr>
  </w:style>
  <w:style w:type="character" w:customStyle="1" w:styleId="126">
    <w:name w:val="Char Char3"/>
    <w:link w:val="91"/>
    <w:qFormat/>
    <w:locked/>
    <w:uiPriority w:val="0"/>
    <w:rPr>
      <w:rFonts w:ascii="Calibri" w:hAnsi="Calibri" w:eastAsia="宋体" w:cs="Times New Roman"/>
      <w:kern w:val="0"/>
      <w:sz w:val="24"/>
      <w:szCs w:val="20"/>
    </w:rPr>
  </w:style>
  <w:style w:type="character" w:customStyle="1" w:styleId="127">
    <w:name w:val="题注 字符"/>
    <w:link w:val="12"/>
    <w:qFormat/>
    <w:locked/>
    <w:uiPriority w:val="0"/>
    <w:rPr>
      <w:rFonts w:ascii="Arial" w:hAnsi="Arial" w:eastAsia="黑体" w:cs="Times New Roman"/>
      <w:kern w:val="0"/>
      <w:sz w:val="20"/>
      <w:szCs w:val="20"/>
    </w:rPr>
  </w:style>
  <w:style w:type="character" w:customStyle="1" w:styleId="128">
    <w:name w:val="纯文本 Char2"/>
    <w:basedOn w:val="39"/>
    <w:qFormat/>
    <w:uiPriority w:val="0"/>
    <w:rPr>
      <w:rFonts w:ascii="宋体" w:hAnsi="Courier New" w:eastAsia="宋体" w:cs="Courier New"/>
      <w:sz w:val="21"/>
      <w:szCs w:val="21"/>
    </w:rPr>
  </w:style>
  <w:style w:type="character" w:customStyle="1" w:styleId="129">
    <w:name w:val="文档结构图 Char1"/>
    <w:basedOn w:val="39"/>
    <w:qFormat/>
    <w:uiPriority w:val="0"/>
    <w:rPr>
      <w:rFonts w:ascii="宋体" w:hAnsi="Times New Roman" w:eastAsia="宋体" w:cs="Times New Roman"/>
      <w:sz w:val="18"/>
      <w:szCs w:val="18"/>
    </w:rPr>
  </w:style>
  <w:style w:type="character" w:customStyle="1" w:styleId="130">
    <w:name w:val="正文首行缩进2字符 Char Char"/>
    <w:link w:val="102"/>
    <w:qFormat/>
    <w:locked/>
    <w:uiPriority w:val="0"/>
    <w:rPr>
      <w:rFonts w:ascii="Times New Roman" w:hAnsi="Times New Roman" w:eastAsia="宋体" w:cs="Times New Roman"/>
      <w:kern w:val="0"/>
      <w:sz w:val="24"/>
      <w:szCs w:val="20"/>
    </w:rPr>
  </w:style>
  <w:style w:type="character" w:customStyle="1" w:styleId="131">
    <w:name w:val="表格内容 字符"/>
    <w:link w:val="104"/>
    <w:qFormat/>
    <w:locked/>
    <w:uiPriority w:val="0"/>
    <w:rPr>
      <w:rFonts w:ascii="仿宋" w:hAnsi="仿宋" w:eastAsia="仿宋" w:cs="Times New Roman"/>
      <w:kern w:val="0"/>
      <w:sz w:val="24"/>
    </w:rPr>
  </w:style>
  <w:style w:type="character" w:customStyle="1" w:styleId="132">
    <w:name w:val="纯文本 Char1"/>
    <w:qFormat/>
    <w:uiPriority w:val="0"/>
    <w:rPr>
      <w:rFonts w:ascii="宋体" w:hAnsi="Courier New" w:eastAsia="宋体"/>
      <w:sz w:val="21"/>
    </w:rPr>
  </w:style>
  <w:style w:type="character" w:customStyle="1" w:styleId="133">
    <w:name w:val="日期 Char1"/>
    <w:basedOn w:val="39"/>
    <w:qFormat/>
    <w:uiPriority w:val="0"/>
    <w:rPr>
      <w:rFonts w:ascii="Times New Roman" w:hAnsi="Times New Roman" w:eastAsia="宋体" w:cs="Times New Roman"/>
    </w:rPr>
  </w:style>
  <w:style w:type="character" w:customStyle="1" w:styleId="134">
    <w:name w:val="正文文本缩进 2 Char1"/>
    <w:basedOn w:val="39"/>
    <w:qFormat/>
    <w:uiPriority w:val="0"/>
    <w:rPr>
      <w:rFonts w:ascii="Times New Roman" w:hAnsi="Times New Roman" w:eastAsia="宋体" w:cs="Times New Roman"/>
    </w:rPr>
  </w:style>
  <w:style w:type="character" w:customStyle="1" w:styleId="135">
    <w:name w:val="批注框文本 Char1"/>
    <w:basedOn w:val="39"/>
    <w:qFormat/>
    <w:uiPriority w:val="0"/>
    <w:rPr>
      <w:rFonts w:ascii="Times New Roman" w:hAnsi="Times New Roman" w:eastAsia="宋体" w:cs="Times New Roman"/>
      <w:sz w:val="18"/>
      <w:szCs w:val="18"/>
    </w:rPr>
  </w:style>
  <w:style w:type="character" w:customStyle="1" w:styleId="136">
    <w:name w:val="列出段落 Char"/>
    <w:link w:val="94"/>
    <w:qFormat/>
    <w:locked/>
    <w:uiPriority w:val="0"/>
    <w:rPr>
      <w:rFonts w:ascii="Calibri" w:hAnsi="Calibri" w:eastAsia="宋体" w:cs="Times New Roman"/>
      <w:kern w:val="0"/>
      <w:sz w:val="24"/>
      <w:szCs w:val="20"/>
    </w:rPr>
  </w:style>
  <w:style w:type="character" w:customStyle="1" w:styleId="137">
    <w:name w:val="正文文本 2 Char1"/>
    <w:basedOn w:val="39"/>
    <w:qFormat/>
    <w:uiPriority w:val="0"/>
    <w:rPr>
      <w:rFonts w:ascii="Times New Roman" w:hAnsi="Times New Roman" w:eastAsia="宋体" w:cs="Times New Roman"/>
    </w:rPr>
  </w:style>
  <w:style w:type="character" w:customStyle="1" w:styleId="138">
    <w:name w:val="大黑10.5px"/>
    <w:qFormat/>
    <w:uiPriority w:val="0"/>
    <w:rPr>
      <w:rFonts w:ascii="方正大黑简体" w:eastAsia="方正大黑简体"/>
      <w:sz w:val="21"/>
    </w:rPr>
  </w:style>
  <w:style w:type="character" w:customStyle="1" w:styleId="139">
    <w:name w:val="黑简10.5px"/>
    <w:qFormat/>
    <w:uiPriority w:val="0"/>
    <w:rPr>
      <w:rFonts w:ascii="方正黑体简体" w:eastAsia="方正黑体简体"/>
      <w:sz w:val="21"/>
    </w:rPr>
  </w:style>
  <w:style w:type="paragraph" w:customStyle="1" w:styleId="140">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41">
    <w:name w:val="_Style 130"/>
    <w:basedOn w:val="1"/>
    <w:next w:val="94"/>
    <w:qFormat/>
    <w:uiPriority w:val="0"/>
    <w:pPr>
      <w:ind w:firstLine="420" w:firstLineChars="200"/>
    </w:pPr>
    <w:rPr>
      <w:szCs w:val="20"/>
    </w:rPr>
  </w:style>
  <w:style w:type="paragraph" w:customStyle="1" w:styleId="142">
    <w:name w:val="0正文"/>
    <w:basedOn w:val="1"/>
    <w:qFormat/>
    <w:uiPriority w:val="0"/>
    <w:pPr>
      <w:spacing w:line="560" w:lineRule="exact"/>
      <w:ind w:firstLine="200" w:firstLineChars="200"/>
    </w:pPr>
    <w:rPr>
      <w:rFonts w:ascii="Tahoma" w:hAnsi="Tahoma"/>
    </w:rPr>
  </w:style>
  <w:style w:type="paragraph" w:customStyle="1" w:styleId="143">
    <w:name w:val="正文（本文）"/>
    <w:basedOn w:val="1"/>
    <w:qFormat/>
    <w:uiPriority w:val="0"/>
    <w:pPr>
      <w:snapToGrid w:val="0"/>
      <w:spacing w:line="360" w:lineRule="auto"/>
      <w:ind w:firstLine="480" w:firstLineChars="200"/>
    </w:pPr>
    <w:rPr>
      <w:sz w:val="24"/>
      <w:szCs w:val="24"/>
    </w:rPr>
  </w:style>
  <w:style w:type="paragraph" w:customStyle="1" w:styleId="144">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45">
    <w:name w:val="_Style 4"/>
    <w:basedOn w:val="1"/>
    <w:qFormat/>
    <w:uiPriority w:val="0"/>
    <w:pPr>
      <w:ind w:firstLine="420" w:firstLineChars="200"/>
      <w:jc w:val="left"/>
    </w:pPr>
    <w:rPr>
      <w:rFonts w:ascii="Calibri" w:hAnsi="Calibri"/>
      <w:kern w:val="0"/>
      <w:sz w:val="18"/>
      <w:szCs w:val="24"/>
      <w:lang w:eastAsia="zh-TW"/>
    </w:rPr>
  </w:style>
  <w:style w:type="paragraph" w:customStyle="1" w:styleId="146">
    <w:name w:val="列出段落2"/>
    <w:basedOn w:val="1"/>
    <w:qFormat/>
    <w:uiPriority w:val="0"/>
    <w:pPr>
      <w:ind w:firstLine="420" w:firstLineChars="200"/>
    </w:pPr>
    <w:rPr>
      <w:rFonts w:ascii="Calibri" w:hAnsi="Calibri"/>
      <w:szCs w:val="24"/>
    </w:rPr>
  </w:style>
  <w:style w:type="paragraph" w:customStyle="1" w:styleId="147">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48">
    <w:name w:val="WPSOffice手动目录 1"/>
    <w:qFormat/>
    <w:uiPriority w:val="0"/>
    <w:rPr>
      <w:rFonts w:ascii="Times New Roman" w:hAnsi="Times New Roman" w:eastAsia="宋体" w:cs="Times New Roman"/>
      <w:lang w:val="en-US" w:eastAsia="zh-CN" w:bidi="ar-SA"/>
    </w:rPr>
  </w:style>
  <w:style w:type="paragraph" w:customStyle="1" w:styleId="149">
    <w:name w:val="正文2"/>
    <w:basedOn w:val="1"/>
    <w:qFormat/>
    <w:uiPriority w:val="0"/>
    <w:pPr>
      <w:spacing w:before="156" w:line="360" w:lineRule="auto"/>
      <w:ind w:firstLine="510" w:firstLineChars="200"/>
    </w:pPr>
    <w:rPr>
      <w:sz w:val="24"/>
      <w:szCs w:val="20"/>
    </w:rPr>
  </w:style>
  <w:style w:type="character" w:customStyle="1" w:styleId="150">
    <w:name w:val="正文 首行缩进:  2 字符 Char Char Char"/>
    <w:link w:val="151"/>
    <w:qFormat/>
    <w:locked/>
    <w:uiPriority w:val="0"/>
    <w:rPr>
      <w:sz w:val="24"/>
    </w:rPr>
  </w:style>
  <w:style w:type="paragraph" w:customStyle="1" w:styleId="151">
    <w:name w:val="正文 首行缩进:  2 字符 Char"/>
    <w:basedOn w:val="1"/>
    <w:link w:val="150"/>
    <w:qFormat/>
    <w:uiPriority w:val="0"/>
    <w:pPr>
      <w:spacing w:line="360" w:lineRule="auto"/>
      <w:ind w:firstLine="480"/>
    </w:pPr>
    <w:rPr>
      <w:rFonts w:asciiTheme="minorHAnsi" w:hAnsiTheme="minorHAnsi" w:eastAsiaTheme="minorEastAsia" w:cstheme="minorBidi"/>
      <w:sz w:val="24"/>
    </w:rPr>
  </w:style>
  <w:style w:type="paragraph" w:customStyle="1" w:styleId="152">
    <w:name w:val="样式 首行缩进:  0 字符"/>
    <w:basedOn w:val="1"/>
    <w:link w:val="153"/>
    <w:qFormat/>
    <w:uiPriority w:val="0"/>
    <w:pPr>
      <w:spacing w:line="360" w:lineRule="auto"/>
      <w:ind w:firstLine="200" w:firstLineChars="200"/>
    </w:pPr>
    <w:rPr>
      <w:rFonts w:ascii="Arial" w:hAnsi="Arial"/>
      <w:kern w:val="0"/>
      <w:sz w:val="20"/>
      <w:szCs w:val="20"/>
    </w:rPr>
  </w:style>
  <w:style w:type="character" w:customStyle="1" w:styleId="153">
    <w:name w:val="样式 首行缩进:  0 字符 Char"/>
    <w:link w:val="152"/>
    <w:qFormat/>
    <w:locked/>
    <w:uiPriority w:val="0"/>
    <w:rPr>
      <w:rFonts w:ascii="Arial" w:hAnsi="Arial" w:eastAsia="宋体" w:cs="Times New Roman"/>
      <w:kern w:val="0"/>
      <w:sz w:val="20"/>
      <w:szCs w:val="20"/>
    </w:rPr>
  </w:style>
  <w:style w:type="paragraph" w:customStyle="1" w:styleId="154">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55">
    <w:name w:val="Proposals body"/>
    <w:basedOn w:val="1"/>
    <w:next w:val="1"/>
    <w:qFormat/>
    <w:uiPriority w:val="0"/>
    <w:pPr>
      <w:widowControl/>
      <w:spacing w:line="460" w:lineRule="exact"/>
      <w:jc w:val="left"/>
    </w:pPr>
    <w:rPr>
      <w:rFonts w:ascii="仿宋_GB2312" w:eastAsia="Times New Roman"/>
      <w:kern w:val="0"/>
      <w:sz w:val="24"/>
      <w:szCs w:val="24"/>
    </w:rPr>
  </w:style>
  <w:style w:type="paragraph" w:customStyle="1" w:styleId="15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7">
    <w:name w:val="title11"/>
    <w:basedOn w:val="1"/>
    <w:qFormat/>
    <w:uiPriority w:val="0"/>
    <w:pPr>
      <w:spacing w:before="150"/>
      <w:jc w:val="left"/>
    </w:pPr>
    <w:rPr>
      <w:b/>
      <w:kern w:val="0"/>
      <w:sz w:val="28"/>
      <w:szCs w:val="24"/>
    </w:rPr>
  </w:style>
  <w:style w:type="paragraph" w:customStyle="1" w:styleId="158">
    <w:name w:val="标题 10"/>
    <w:basedOn w:val="5"/>
    <w:qFormat/>
    <w:uiPriority w:val="0"/>
    <w:pPr>
      <w:spacing w:before="0" w:after="0" w:line="360" w:lineRule="auto"/>
      <w:jc w:val="center"/>
    </w:pPr>
    <w:rPr>
      <w:rFonts w:ascii="Cambria" w:hAnsi="Cambria" w:eastAsia="宋体"/>
      <w:bCs/>
      <w:sz w:val="21"/>
      <w:szCs w:val="32"/>
    </w:rPr>
  </w:style>
  <w:style w:type="paragraph" w:customStyle="1" w:styleId="1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1">
    <w:name w:val="List Paragraph1"/>
    <w:basedOn w:val="1"/>
    <w:qFormat/>
    <w:uiPriority w:val="0"/>
    <w:pPr>
      <w:ind w:firstLine="420" w:firstLineChars="200"/>
    </w:pPr>
    <w:rPr>
      <w:szCs w:val="24"/>
    </w:rPr>
  </w:style>
  <w:style w:type="paragraph" w:customStyle="1" w:styleId="162">
    <w:name w:val="Char Char Char Char1"/>
    <w:basedOn w:val="1"/>
    <w:qFormat/>
    <w:uiPriority w:val="0"/>
    <w:rPr>
      <w:rFonts w:ascii="Tahoma" w:hAnsi="Tahoma"/>
      <w:sz w:val="24"/>
      <w:szCs w:val="20"/>
    </w:rPr>
  </w:style>
  <w:style w:type="paragraph" w:customStyle="1" w:styleId="163">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4">
    <w:name w:val="_Style 46"/>
    <w:basedOn w:val="1"/>
    <w:next w:val="1"/>
    <w:link w:val="177"/>
    <w:qFormat/>
    <w:uiPriority w:val="0"/>
    <w:pPr>
      <w:widowControl/>
      <w:pBdr>
        <w:bottom w:val="single" w:color="auto" w:sz="6" w:space="1"/>
      </w:pBdr>
      <w:jc w:val="center"/>
    </w:pPr>
    <w:rPr>
      <w:rFonts w:ascii="Arial" w:hAnsi="Arial"/>
      <w:vanish/>
      <w:kern w:val="0"/>
      <w:sz w:val="20"/>
      <w:szCs w:val="20"/>
    </w:rPr>
  </w:style>
  <w:style w:type="paragraph" w:customStyle="1" w:styleId="165">
    <w:name w:val="此正文"/>
    <w:basedOn w:val="1"/>
    <w:qFormat/>
    <w:uiPriority w:val="0"/>
    <w:pPr>
      <w:spacing w:line="360" w:lineRule="auto"/>
      <w:ind w:firstLine="200" w:firstLineChars="200"/>
    </w:pPr>
    <w:rPr>
      <w:sz w:val="24"/>
      <w:szCs w:val="24"/>
    </w:rPr>
  </w:style>
  <w:style w:type="paragraph" w:customStyle="1" w:styleId="166">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4"/>
    </w:rPr>
  </w:style>
  <w:style w:type="paragraph" w:customStyle="1" w:styleId="167">
    <w:name w:val="彩色列表 - 强调文字颜色 11"/>
    <w:basedOn w:val="1"/>
    <w:qFormat/>
    <w:uiPriority w:val="0"/>
    <w:pPr>
      <w:ind w:firstLine="420" w:firstLineChars="200"/>
    </w:pPr>
    <w:rPr>
      <w:rFonts w:ascii="Calibri" w:hAnsi="Calibri"/>
    </w:rPr>
  </w:style>
  <w:style w:type="paragraph" w:customStyle="1" w:styleId="168">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_Style 54"/>
    <w:basedOn w:val="1"/>
    <w:next w:val="1"/>
    <w:link w:val="181"/>
    <w:qFormat/>
    <w:uiPriority w:val="0"/>
    <w:pPr>
      <w:widowControl/>
      <w:pBdr>
        <w:top w:val="single" w:color="auto" w:sz="6" w:space="1"/>
      </w:pBdr>
      <w:jc w:val="center"/>
    </w:pPr>
    <w:rPr>
      <w:rFonts w:ascii="Arial" w:hAnsi="Arial"/>
      <w:vanish/>
      <w:kern w:val="0"/>
      <w:sz w:val="20"/>
      <w:szCs w:val="20"/>
    </w:rPr>
  </w:style>
  <w:style w:type="character" w:customStyle="1" w:styleId="170">
    <w:name w:val="纯文本 字符"/>
    <w:qFormat/>
    <w:uiPriority w:val="0"/>
    <w:rPr>
      <w:rFonts w:ascii="宋体" w:hAnsi="Courier New"/>
      <w:kern w:val="2"/>
      <w:sz w:val="24"/>
    </w:rPr>
  </w:style>
  <w:style w:type="character" w:customStyle="1" w:styleId="171">
    <w:name w:val="正文文本缩进 字符"/>
    <w:qFormat/>
    <w:uiPriority w:val="0"/>
    <w:rPr>
      <w:rFonts w:ascii="宋体" w:hAnsi="Courier New"/>
      <w:spacing w:val="-4"/>
      <w:kern w:val="2"/>
      <w:sz w:val="18"/>
    </w:rPr>
  </w:style>
  <w:style w:type="character" w:customStyle="1" w:styleId="172">
    <w:name w:val="jbox-icon-warning"/>
    <w:basedOn w:val="39"/>
    <w:qFormat/>
    <w:uiPriority w:val="0"/>
    <w:rPr>
      <w:rFonts w:cs="Times New Roman"/>
    </w:rPr>
  </w:style>
  <w:style w:type="character" w:customStyle="1" w:styleId="173">
    <w:name w:val="hover9"/>
    <w:qFormat/>
    <w:uiPriority w:val="0"/>
    <w:rPr>
      <w:shd w:val="clear" w:color="auto" w:fill="EEEEEE"/>
    </w:rPr>
  </w:style>
  <w:style w:type="character" w:customStyle="1" w:styleId="174">
    <w:name w:val="正文缩进 字符"/>
    <w:link w:val="11"/>
    <w:qFormat/>
    <w:locked/>
    <w:uiPriority w:val="0"/>
    <w:rPr>
      <w:rFonts w:ascii="Times New Roman" w:hAnsi="Times New Roman" w:eastAsia="宋体" w:cs="Times New Roman"/>
      <w:kern w:val="0"/>
      <w:sz w:val="20"/>
      <w:szCs w:val="20"/>
    </w:rPr>
  </w:style>
  <w:style w:type="character" w:customStyle="1" w:styleId="175">
    <w:name w:val="hour_pm"/>
    <w:basedOn w:val="39"/>
    <w:qFormat/>
    <w:uiPriority w:val="0"/>
    <w:rPr>
      <w:rFonts w:cs="Times New Roman"/>
    </w:rPr>
  </w:style>
  <w:style w:type="character" w:customStyle="1" w:styleId="176">
    <w:name w:val="jbox-icon-info"/>
    <w:basedOn w:val="39"/>
    <w:qFormat/>
    <w:uiPriority w:val="0"/>
    <w:rPr>
      <w:rFonts w:cs="Times New Roman"/>
    </w:rPr>
  </w:style>
  <w:style w:type="character" w:customStyle="1" w:styleId="177">
    <w:name w:val="z-窗体顶端 Char"/>
    <w:link w:val="164"/>
    <w:qFormat/>
    <w:locked/>
    <w:uiPriority w:val="0"/>
    <w:rPr>
      <w:rFonts w:ascii="Arial" w:hAnsi="Arial" w:eastAsia="宋体" w:cs="Times New Roman"/>
      <w:vanish/>
      <w:kern w:val="0"/>
      <w:sz w:val="20"/>
      <w:szCs w:val="20"/>
    </w:rPr>
  </w:style>
  <w:style w:type="character" w:customStyle="1" w:styleId="178">
    <w:name w:val="black601"/>
    <w:qFormat/>
    <w:uiPriority w:val="0"/>
    <w:rPr>
      <w:color w:val="666666"/>
    </w:rPr>
  </w:style>
  <w:style w:type="character" w:customStyle="1" w:styleId="179">
    <w:name w:val="hour_am"/>
    <w:basedOn w:val="39"/>
    <w:qFormat/>
    <w:uiPriority w:val="0"/>
    <w:rPr>
      <w:rFonts w:cs="Times New Roman"/>
    </w:rPr>
  </w:style>
  <w:style w:type="character" w:customStyle="1" w:styleId="180">
    <w:name w:val="jbox-icon-error"/>
    <w:basedOn w:val="39"/>
    <w:qFormat/>
    <w:uiPriority w:val="0"/>
    <w:rPr>
      <w:rFonts w:cs="Times New Roman"/>
    </w:rPr>
  </w:style>
  <w:style w:type="character" w:customStyle="1" w:styleId="181">
    <w:name w:val="z-窗体底端 Char"/>
    <w:link w:val="169"/>
    <w:qFormat/>
    <w:locked/>
    <w:uiPriority w:val="0"/>
    <w:rPr>
      <w:rFonts w:ascii="Arial" w:hAnsi="Arial" w:eastAsia="宋体" w:cs="Times New Roman"/>
      <w:vanish/>
      <w:kern w:val="0"/>
      <w:sz w:val="20"/>
      <w:szCs w:val="20"/>
    </w:rPr>
  </w:style>
  <w:style w:type="character" w:customStyle="1" w:styleId="182">
    <w:name w:val="jbox-icon-success"/>
    <w:basedOn w:val="39"/>
    <w:qFormat/>
    <w:uiPriority w:val="0"/>
    <w:rPr>
      <w:rFonts w:cs="Times New Roman"/>
    </w:rPr>
  </w:style>
  <w:style w:type="character" w:customStyle="1" w:styleId="183">
    <w:name w:val="maywed421"/>
    <w:qFormat/>
    <w:uiPriority w:val="0"/>
    <w:rPr>
      <w:color w:val="366FB6"/>
      <w:u w:val="none"/>
    </w:rPr>
  </w:style>
  <w:style w:type="character" w:customStyle="1" w:styleId="184">
    <w:name w:val="正文文本缩进 字符1"/>
    <w:qFormat/>
    <w:uiPriority w:val="0"/>
    <w:rPr>
      <w:rFonts w:ascii="宋体" w:hAnsi="Courier New"/>
      <w:spacing w:val="-4"/>
      <w:kern w:val="2"/>
      <w:sz w:val="18"/>
    </w:rPr>
  </w:style>
  <w:style w:type="character" w:customStyle="1" w:styleId="185">
    <w:name w:val="jbox-icon-question"/>
    <w:basedOn w:val="39"/>
    <w:qFormat/>
    <w:uiPriority w:val="0"/>
    <w:rPr>
      <w:rFonts w:cs="Times New Roman"/>
    </w:rPr>
  </w:style>
  <w:style w:type="character" w:customStyle="1" w:styleId="186">
    <w:name w:val="jbox-icon-loading"/>
    <w:basedOn w:val="39"/>
    <w:qFormat/>
    <w:uiPriority w:val="0"/>
    <w:rPr>
      <w:rFonts w:cs="Times New Roman"/>
    </w:rPr>
  </w:style>
  <w:style w:type="character" w:customStyle="1" w:styleId="187">
    <w:name w:val="标题 1 Char Char"/>
    <w:qFormat/>
    <w:uiPriority w:val="0"/>
    <w:rPr>
      <w:rFonts w:eastAsia="宋体"/>
      <w:b/>
      <w:spacing w:val="-2"/>
      <w:sz w:val="24"/>
      <w:lang w:val="en-US" w:eastAsia="zh-CN"/>
    </w:rPr>
  </w:style>
  <w:style w:type="character" w:customStyle="1" w:styleId="188">
    <w:name w:val="jbox-icon-none"/>
    <w:qFormat/>
    <w:uiPriority w:val="0"/>
    <w:rPr>
      <w:vanish/>
    </w:rPr>
  </w:style>
  <w:style w:type="character" w:customStyle="1" w:styleId="189">
    <w:name w:val="sub_title s0"/>
    <w:basedOn w:val="39"/>
    <w:qFormat/>
    <w:uiPriority w:val="0"/>
    <w:rPr>
      <w:rFonts w:cs="Times New Roman"/>
    </w:rPr>
  </w:style>
  <w:style w:type="character" w:customStyle="1" w:styleId="190">
    <w:name w:val="纯文本 字符2"/>
    <w:qFormat/>
    <w:uiPriority w:val="0"/>
    <w:rPr>
      <w:rFonts w:ascii="宋体" w:hAnsi="Courier New"/>
      <w:kern w:val="2"/>
      <w:sz w:val="24"/>
    </w:rPr>
  </w:style>
  <w:style w:type="character" w:customStyle="1" w:styleId="191">
    <w:name w:val="jbox-icon"/>
    <w:basedOn w:val="39"/>
    <w:qFormat/>
    <w:uiPriority w:val="0"/>
    <w:rPr>
      <w:rFonts w:cs="Times New Roman"/>
    </w:rPr>
  </w:style>
  <w:style w:type="character" w:customStyle="1" w:styleId="192">
    <w:name w:val="old"/>
    <w:qFormat/>
    <w:uiPriority w:val="0"/>
    <w:rPr>
      <w:color w:val="999999"/>
    </w:rPr>
  </w:style>
  <w:style w:type="paragraph" w:customStyle="1" w:styleId="193">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4">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5">
    <w:name w:val="纯文本_0"/>
    <w:basedOn w:val="1"/>
    <w:qFormat/>
    <w:uiPriority w:val="0"/>
    <w:pPr>
      <w:spacing w:line="440" w:lineRule="exact"/>
      <w:ind w:firstLine="100" w:firstLineChars="100"/>
    </w:pPr>
    <w:rPr>
      <w:rFonts w:ascii="宋体" w:hAnsi="Courier New"/>
      <w:szCs w:val="21"/>
    </w:rPr>
  </w:style>
  <w:style w:type="paragraph" w:customStyle="1" w:styleId="19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8">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99">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xl10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02">
    <w:name w:val="xl107"/>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3">
    <w:name w:val="xl10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4">
    <w:name w:val="xl10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5">
    <w:name w:val="xl11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6">
    <w:name w:val="xl111"/>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7">
    <w:name w:val="xl1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8">
    <w:name w:val="xl113"/>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0">
    <w:name w:val="xl115"/>
    <w:basedOn w:val="1"/>
    <w:qFormat/>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2">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6">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7">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8">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9">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20">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1">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2">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8">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9">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1">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2">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3">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4">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7">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8">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40">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1">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2">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3">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4">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5">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6">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7">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24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9">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0">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1">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2">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styleId="253">
    <w:name w:val="List Paragraph"/>
    <w:basedOn w:val="1"/>
    <w:qFormat/>
    <w:uiPriority w:val="34"/>
    <w:pPr>
      <w:widowControl/>
      <w:ind w:firstLine="420" w:firstLineChars="200"/>
      <w:jc w:val="left"/>
    </w:pPr>
    <w:rPr>
      <w:rFonts w:ascii="宋体" w:hAnsi="宋体" w:cs="宋体" w:eastAsiaTheme="minorEastAsia"/>
      <w:kern w:val="0"/>
      <w:sz w:val="24"/>
      <w:szCs w:val="24"/>
    </w:rPr>
  </w:style>
  <w:style w:type="paragraph" w:customStyle="1" w:styleId="254">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4"/>
    </w:rPr>
  </w:style>
  <w:style w:type="table" w:customStyle="1" w:styleId="255">
    <w:name w:val="Table Normal"/>
    <w:qFormat/>
    <w:uiPriority w:val="59"/>
    <w:rPr>
      <w:rFonts w:ascii="Times New Roman" w:hAnsi="Times New Roman"/>
    </w:rPr>
    <w:tblPr>
      <w:tblCellMar>
        <w:top w:w="0" w:type="dxa"/>
        <w:left w:w="108" w:type="dxa"/>
        <w:bottom w:w="0" w:type="dxa"/>
        <w:right w:w="108" w:type="dxa"/>
      </w:tblCellMar>
    </w:tblPr>
  </w:style>
  <w:style w:type="paragraph" w:customStyle="1" w:styleId="256">
    <w:name w:val="标准文本"/>
    <w:basedOn w:val="1"/>
    <w:qFormat/>
    <w:uiPriority w:val="99"/>
    <w:pPr>
      <w:spacing w:line="360" w:lineRule="auto"/>
      <w:ind w:firstLine="480" w:firstLineChars="200"/>
    </w:pPr>
    <w:rPr>
      <w:rFonts w:cs="宋体"/>
      <w:sz w:val="24"/>
      <w:szCs w:val="20"/>
    </w:rPr>
  </w:style>
  <w:style w:type="table" w:customStyle="1" w:styleId="257">
    <w:name w:val="Table Normal1"/>
    <w:qFormat/>
    <w:uiPriority w:val="59"/>
    <w:rPr>
      <w:rFonts w:ascii="Times New Roman" w:hAnsi="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25422</Words>
  <Characters>27502</Characters>
  <Lines>212</Lines>
  <Paragraphs>59</Paragraphs>
  <TotalTime>52</TotalTime>
  <ScaleCrop>false</ScaleCrop>
  <LinksUpToDate>false</LinksUpToDate>
  <CharactersWithSpaces>28070</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2022-03-25T10:59:00Z</dcterms:created>
  <dc:creator>ape</dc:creator>
  <cp:lastModifiedBy>hp</cp:lastModifiedBy>
  <cp:lastPrinted>2022-07-18T09:11:00Z</cp:lastPrinted>
  <dcterms:modified xsi:type="dcterms:W3CDTF">2022-08-22T03:19:51Z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9F8E7365EB1F45B3835ECE7BCE7AD38E</vt:lpwstr>
  </property>
  <property fmtid="{D5CDD505-2E9C-101B-9397-08002B2CF9AE}" pid="4" name="woTemplateTypoMode" linkTarget="0">
    <vt:lpwstr>web</vt:lpwstr>
  </property>
  <property fmtid="{D5CDD505-2E9C-101B-9397-08002B2CF9AE}" pid="5" name="woTemplate" linkTarget="0">
    <vt:i4>1</vt:i4>
  </property>
</Properties>
</file>