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70"/>
        </w:tabs>
        <w:rPr>
          <w:rFonts w:ascii="Times New Roman" w:hAnsi="Times New Roman" w:eastAsia="华文新魏" w:cs="Times New Roman"/>
          <w:b/>
          <w:sz w:val="52"/>
          <w:szCs w:val="52"/>
        </w:rPr>
      </w:pPr>
      <w:bookmarkStart w:id="0" w:name="OLE_LINK1"/>
    </w:p>
    <w:p>
      <w:pPr>
        <w:jc w:val="center"/>
        <w:rPr>
          <w:rFonts w:ascii="Times New Roman" w:hAnsi="Times New Roman" w:eastAsia="华文新魏" w:cs="Times New Roman"/>
          <w:b/>
          <w:spacing w:val="-14"/>
          <w:sz w:val="52"/>
          <w:szCs w:val="52"/>
        </w:rPr>
      </w:pP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pacing w:val="-8"/>
          <w:sz w:val="52"/>
          <w:szCs w:val="52"/>
        </w:rPr>
        <w:t>舟山市大病保险商业合作项目</w:t>
      </w:r>
    </w:p>
    <w:p>
      <w:pPr>
        <w:spacing w:after="120"/>
        <w:ind w:firstLine="210" w:firstLineChars="100"/>
        <w:rPr>
          <w:rFonts w:ascii="Times New Roman" w:hAnsi="Calibri" w:eastAsia="宋体" w:cs="Times New Roman"/>
          <w:kern w:val="0"/>
        </w:rPr>
      </w:pPr>
    </w:p>
    <w:p>
      <w:pPr>
        <w:snapToGrid w:val="0"/>
        <w:spacing w:line="312" w:lineRule="auto"/>
        <w:jc w:val="center"/>
        <w:rPr>
          <w:rFonts w:ascii="Times New Roman" w:hAnsi="Times New Roman" w:eastAsia="华文新魏" w:cs="Times New Roman"/>
          <w:b/>
          <w:sz w:val="52"/>
        </w:rPr>
      </w:pPr>
      <w:r>
        <w:rPr>
          <w:rFonts w:ascii="Times New Roman" w:hAnsi="Times New Roman" w:eastAsia="华文新魏" w:cs="Times New Roman"/>
          <w:b/>
          <w:sz w:val="52"/>
        </w:rPr>
        <w:t>招标文件</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r>
        <w:rPr>
          <w:rFonts w:ascii="Times New Roman" w:hAnsi="Times New Roman" w:eastAsia="华文新魏" w:cs="Times New Roman"/>
          <w:b/>
          <w:sz w:val="32"/>
        </w:rPr>
        <w:t>项目编号：</w:t>
      </w:r>
      <w:r>
        <w:rPr>
          <w:rFonts w:hint="eastAsia" w:ascii="Times New Roman" w:hAnsi="Times New Roman" w:eastAsia="华文新魏" w:cs="Times New Roman"/>
          <w:b/>
          <w:sz w:val="32"/>
        </w:rPr>
        <w:t>SZGXZS2022211</w:t>
      </w:r>
    </w:p>
    <w:p>
      <w:pPr>
        <w:snapToGrid w:val="0"/>
        <w:spacing w:before="120" w:line="312" w:lineRule="auto"/>
        <w:ind w:left="1602" w:hanging="1602" w:hangingChars="500"/>
        <w:rPr>
          <w:rFonts w:ascii="Times New Roman" w:hAnsi="Times New Roman" w:eastAsia="华文新魏" w:cs="Times New Roman"/>
          <w:b/>
          <w:sz w:val="32"/>
        </w:rPr>
      </w:pPr>
    </w:p>
    <w:p>
      <w:pPr>
        <w:snapToGrid w:val="0"/>
        <w:spacing w:before="120" w:line="312" w:lineRule="auto"/>
        <w:ind w:left="1602" w:hanging="1602" w:hangingChars="500"/>
        <w:rPr>
          <w:rFonts w:ascii="Times New Roman" w:hAnsi="Times New Roman" w:eastAsia="华文新魏" w:cs="Times New Roman"/>
          <w:sz w:val="32"/>
        </w:rPr>
      </w:pPr>
      <w:r>
        <w:rPr>
          <w:rFonts w:ascii="Times New Roman" w:hAnsi="Times New Roman" w:eastAsia="华文新魏" w:cs="Times New Roman"/>
          <w:b/>
          <w:sz w:val="32"/>
        </w:rPr>
        <w:t>项目名称</w:t>
      </w:r>
      <w:r>
        <w:rPr>
          <w:rFonts w:ascii="Times New Roman" w:hAnsi="Times New Roman" w:eastAsia="华文新魏" w:cs="Times New Roman"/>
          <w:sz w:val="32"/>
        </w:rPr>
        <w:t>：</w:t>
      </w:r>
      <w:r>
        <w:rPr>
          <w:rFonts w:hint="eastAsia" w:ascii="Times New Roman" w:hAnsi="Times New Roman" w:eastAsia="华文新魏" w:cs="Times New Roman"/>
          <w:b/>
          <w:sz w:val="32"/>
        </w:rPr>
        <w:t>舟山市大病保险商业合作项目</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1523" w:hanging="1522" w:hangingChars="500"/>
        <w:rPr>
          <w:rFonts w:ascii="Times New Roman" w:hAnsi="Times New Roman" w:eastAsia="华文新魏" w:cs="Times New Roman"/>
          <w:sz w:val="32"/>
        </w:rPr>
      </w:pPr>
      <w:r>
        <w:rPr>
          <w:rFonts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舟山市医疗保障局</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r>
        <w:rPr>
          <w:rFonts w:ascii="Times New Roman" w:hAnsi="Times New Roman" w:eastAsia="华文新魏" w:cs="Times New Roman"/>
          <w:b/>
          <w:w w:val="95"/>
          <w:sz w:val="32"/>
        </w:rPr>
        <w:t>代理机构：深圳市国信招标有限公司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2022年</w:t>
      </w:r>
      <w:r>
        <w:rPr>
          <w:rFonts w:hint="eastAsia" w:ascii="Times New Roman" w:hAnsi="Times New Roman" w:eastAsia="华文新魏" w:cs="Times New Roman"/>
          <w:b/>
          <w:w w:val="95"/>
          <w:sz w:val="32"/>
        </w:rPr>
        <w:t>1</w:t>
      </w:r>
      <w:r>
        <w:rPr>
          <w:rFonts w:ascii="Times New Roman" w:hAnsi="Times New Roman" w:eastAsia="华文新魏" w:cs="Times New Roman"/>
          <w:b/>
          <w:w w:val="95"/>
          <w:sz w:val="32"/>
        </w:rPr>
        <w:t>1月18日</w:t>
      </w:r>
    </w:p>
    <w:p>
      <w:pPr>
        <w:snapToGrid w:val="0"/>
        <w:spacing w:before="120" w:line="312" w:lineRule="auto"/>
        <w:ind w:left="6057" w:leftChars="2409" w:hanging="998" w:hangingChars="328"/>
        <w:rPr>
          <w:rFonts w:ascii="Times New Roman" w:hAnsi="Times New Roman" w:eastAsia="华文新魏" w:cs="Times New Roman"/>
          <w:b/>
          <w:w w:val="95"/>
          <w:sz w:val="32"/>
        </w:rPr>
      </w:pPr>
    </w:p>
    <w:p>
      <w:pPr>
        <w:snapToGrid w:val="0"/>
        <w:spacing w:before="120" w:line="312" w:lineRule="auto"/>
        <w:rPr>
          <w:rFonts w:ascii="Times New Roman" w:hAnsi="Times New Roman" w:eastAsia="创艺简标宋" w:cs="Times New Roman"/>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ascii="Times New Roman" w:hAnsi="Times New Roman" w:eastAsia="宋体" w:cs="Times New Roman"/>
          <w:b/>
          <w:sz w:val="44"/>
        </w:rPr>
        <w:t>目录</w:t>
      </w:r>
    </w:p>
    <w:p>
      <w:pPr>
        <w:spacing w:after="120"/>
        <w:ind w:firstLine="210" w:firstLineChars="100"/>
        <w:rPr>
          <w:rFonts w:ascii="Times New Roman" w:hAnsi="Times New Roman" w:eastAsia="宋体" w:cs="Times New Roman"/>
          <w:kern w:val="0"/>
        </w:rPr>
      </w:pPr>
    </w:p>
    <w:p>
      <w:pPr>
        <w:widowControl/>
        <w:numPr>
          <w:ilvl w:val="0"/>
          <w:numId w:val="5"/>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采购公告</w:t>
      </w:r>
    </w:p>
    <w:p>
      <w:pPr>
        <w:widowControl/>
        <w:numPr>
          <w:ilvl w:val="0"/>
          <w:numId w:val="5"/>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招标需求</w:t>
      </w:r>
    </w:p>
    <w:p>
      <w:pPr>
        <w:widowControl/>
        <w:numPr>
          <w:ilvl w:val="0"/>
          <w:numId w:val="5"/>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ascii="Times New Roman" w:hAnsi="Times New Roman" w:eastAsia="宋体" w:cs="Times New Roman"/>
          <w:sz w:val="24"/>
        </w:rPr>
        <w:t>前附表</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总则</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招标文件</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投标文件编制</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开标</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评标</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定标</w:t>
      </w:r>
    </w:p>
    <w:p>
      <w:pPr>
        <w:widowControl/>
        <w:numPr>
          <w:ilvl w:val="1"/>
          <w:numId w:val="6"/>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第四章</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第五章</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第六章</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ascii="Times New Roman" w:hAnsi="Times New Roman" w:eastAsia="黑体" w:cs="Times New Roman"/>
          <w:sz w:val="30"/>
        </w:rPr>
        <w:t>第一章公开招标采购公告</w:t>
      </w:r>
    </w:p>
    <w:p>
      <w:pPr>
        <w:spacing w:line="312" w:lineRule="auto"/>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根据《中华人民</w:t>
      </w:r>
      <w:r>
        <w:rPr>
          <w:rFonts w:ascii="Times New Roman" w:hAnsi="Times New Roman" w:eastAsia="宋体" w:cs="Times New Roman"/>
          <w:szCs w:val="21"/>
        </w:rPr>
        <w:t>共和国政府采购法》等规定，受</w:t>
      </w:r>
      <w:r>
        <w:rPr>
          <w:rFonts w:hint="eastAsia" w:ascii="Times New Roman" w:hAnsi="Times New Roman" w:eastAsia="宋体" w:cs="Times New Roman"/>
          <w:szCs w:val="21"/>
        </w:rPr>
        <w:t>舟山市医疗保障局</w:t>
      </w:r>
      <w:r>
        <w:rPr>
          <w:rFonts w:ascii="Times New Roman" w:hAnsi="Times New Roman" w:eastAsia="宋体" w:cs="Times New Roman"/>
          <w:szCs w:val="21"/>
        </w:rPr>
        <w:t>委托，现就</w:t>
      </w:r>
      <w:r>
        <w:rPr>
          <w:rFonts w:hint="eastAsia" w:ascii="Times New Roman" w:hAnsi="Times New Roman" w:eastAsia="宋体" w:cs="Times New Roman"/>
          <w:szCs w:val="21"/>
        </w:rPr>
        <w:t>舟山市大病保险商业合作项目</w:t>
      </w:r>
      <w:r>
        <w:rPr>
          <w:rFonts w:ascii="Times New Roman" w:hAnsi="Times New Roman" w:eastAsia="宋体" w:cs="Times New Roman"/>
          <w:szCs w:val="21"/>
        </w:rPr>
        <w:t>进行公开招标，欢迎符合资质要求并能提供相关服务的供应商参加投标。</w:t>
      </w:r>
    </w:p>
    <w:p>
      <w:pPr>
        <w:widowControl/>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一、项目名称：</w:t>
      </w:r>
      <w:r>
        <w:rPr>
          <w:rFonts w:hint="eastAsia" w:ascii="Times New Roman" w:hAnsi="Times New Roman" w:eastAsia="宋体" w:cs="Times New Roman"/>
          <w:szCs w:val="21"/>
        </w:rPr>
        <w:t>舟山市大病保险商业合作项目</w:t>
      </w:r>
    </w:p>
    <w:p>
      <w:pPr>
        <w:widowControl/>
        <w:spacing w:line="360" w:lineRule="auto"/>
        <w:jc w:val="left"/>
        <w:rPr>
          <w:rFonts w:ascii="Times New Roman" w:hAnsi="Times New Roman" w:eastAsia="宋体" w:cs="Times New Roman"/>
          <w:b/>
          <w:bCs/>
          <w:sz w:val="28"/>
          <w:szCs w:val="28"/>
        </w:rPr>
      </w:pPr>
      <w:r>
        <w:rPr>
          <w:rFonts w:ascii="Times New Roman" w:hAnsi="Times New Roman" w:eastAsia="宋体" w:cs="Times New Roman"/>
          <w:b/>
          <w:bCs/>
          <w:szCs w:val="21"/>
        </w:rPr>
        <w:t>二、招标项目编号：</w:t>
      </w:r>
      <w:r>
        <w:rPr>
          <w:rFonts w:hint="eastAsia" w:ascii="Times New Roman" w:hAnsi="Times New Roman" w:eastAsia="宋体" w:cs="Times New Roman"/>
          <w:kern w:val="0"/>
          <w:szCs w:val="21"/>
          <w:shd w:val="clear" w:color="auto" w:fill="FFFFFF"/>
        </w:rPr>
        <w:t>SZGXZS2022211</w:t>
      </w:r>
    </w:p>
    <w:p>
      <w:pPr>
        <w:widowControl/>
        <w:spacing w:line="360" w:lineRule="auto"/>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rPr>
        <w:t>三、采购组织类型：</w:t>
      </w:r>
      <w:r>
        <w:rPr>
          <w:rFonts w:ascii="Times New Roman" w:hAnsi="Times New Roman" w:eastAsia="宋体" w:cs="Times New Roman"/>
          <w:kern w:val="0"/>
          <w:szCs w:val="21"/>
          <w:shd w:val="clear" w:color="auto" w:fill="FFFFFF"/>
        </w:rPr>
        <w:t>分散采购委托代理</w:t>
      </w:r>
    </w:p>
    <w:p>
      <w:pPr>
        <w:widowControl/>
        <w:spacing w:line="360" w:lineRule="auto"/>
        <w:rPr>
          <w:rFonts w:hint="eastAsia" w:ascii="宋体" w:hAnsi="宋体" w:eastAsia="宋体" w:cs="宋体"/>
          <w:sz w:val="21"/>
          <w:szCs w:val="21"/>
        </w:rPr>
      </w:pPr>
      <w:r>
        <w:rPr>
          <w:rFonts w:ascii="Times New Roman" w:hAnsi="Times New Roman" w:eastAsia="宋体" w:cs="Times New Roman"/>
          <w:b/>
          <w:bCs/>
          <w:kern w:val="0"/>
          <w:szCs w:val="21"/>
        </w:rPr>
        <w:t>四、招标项目概况（内容、用途、数量、简要技术要求等）:</w:t>
      </w:r>
    </w:p>
    <w:tbl>
      <w:tblPr>
        <w:tblStyle w:val="39"/>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2126"/>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widowControl/>
              <w:spacing w:line="360" w:lineRule="auto"/>
              <w:jc w:val="center"/>
              <w:rPr>
                <w:rFonts w:hint="eastAsia" w:ascii="宋体" w:hAnsi="宋体" w:eastAsia="宋体" w:cs="宋体"/>
                <w:kern w:val="0"/>
                <w:sz w:val="21"/>
                <w:szCs w:val="21"/>
              </w:rPr>
            </w:pPr>
            <w:bookmarkStart w:id="1" w:name="_Hlk118369240"/>
            <w:r>
              <w:rPr>
                <w:rFonts w:hint="eastAsia" w:ascii="宋体" w:hAnsi="宋体" w:eastAsia="宋体" w:cs="宋体"/>
                <w:kern w:val="0"/>
                <w:sz w:val="21"/>
                <w:szCs w:val="21"/>
              </w:rPr>
              <w:t>序号</w:t>
            </w:r>
          </w:p>
        </w:tc>
        <w:tc>
          <w:tcPr>
            <w:tcW w:w="2126" w:type="dxa"/>
            <w:tcBorders>
              <w:right w:val="single" w:color="auto" w:sz="4" w:space="0"/>
            </w:tcBorders>
            <w:vAlign w:val="center"/>
          </w:tcPr>
          <w:p>
            <w:pPr>
              <w:widowControl/>
              <w:spacing w:line="360" w:lineRule="auto"/>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项目名称及内容</w:t>
            </w:r>
          </w:p>
        </w:tc>
        <w:tc>
          <w:tcPr>
            <w:tcW w:w="2268" w:type="dxa"/>
            <w:tcBorders>
              <w:left w:val="single" w:color="auto" w:sz="4" w:space="0"/>
            </w:tcBorders>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项目期限</w:t>
            </w:r>
          </w:p>
        </w:tc>
        <w:tc>
          <w:tcPr>
            <w:tcW w:w="4111" w:type="dxa"/>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126" w:type="dxa"/>
            <w:tcBorders>
              <w:right w:val="single" w:color="auto" w:sz="4" w:space="0"/>
            </w:tcBorders>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舟山市大病保险商业合作项目</w:t>
            </w:r>
          </w:p>
        </w:tc>
        <w:tc>
          <w:tcPr>
            <w:tcW w:w="2268" w:type="dxa"/>
            <w:tcBorders>
              <w:left w:val="single" w:color="auto" w:sz="4" w:space="0"/>
            </w:tcBorders>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2023年1月1日至2025年12月31日</w:t>
            </w:r>
          </w:p>
        </w:tc>
        <w:tc>
          <w:tcPr>
            <w:tcW w:w="4111" w:type="dxa"/>
            <w:vAlign w:val="center"/>
          </w:tcPr>
          <w:p>
            <w:pPr>
              <w:widowControl/>
              <w:ind w:left="210" w:leftChars="100" w:firstLine="1260" w:firstLineChars="600"/>
              <w:jc w:val="left"/>
              <w:rPr>
                <w:rFonts w:hint="eastAsia" w:ascii="宋体" w:hAnsi="宋体" w:eastAsia="宋体" w:cs="宋体"/>
                <w:kern w:val="0"/>
                <w:sz w:val="21"/>
                <w:szCs w:val="21"/>
              </w:rPr>
            </w:pPr>
            <w:r>
              <w:rPr>
                <w:rFonts w:hint="eastAsia" w:ascii="宋体" w:hAnsi="宋体" w:eastAsia="宋体" w:cs="宋体"/>
                <w:kern w:val="0"/>
                <w:sz w:val="21"/>
                <w:szCs w:val="21"/>
              </w:rPr>
              <w:t>36000万元</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（2023年投标价格最高限价为每人每年120元，投标报价高于每人每年120元的作无效投标处理）</w:t>
            </w:r>
          </w:p>
        </w:tc>
      </w:tr>
      <w:bookmarkEnd w:id="1"/>
    </w:tbl>
    <w:p>
      <w:pPr>
        <w:widowControl/>
        <w:spacing w:line="360" w:lineRule="auto"/>
        <w:rPr>
          <w:rFonts w:ascii="Times New Roman" w:hAnsi="Times New Roman" w:eastAsia="宋体" w:cs="Times New Roman"/>
          <w:b/>
          <w:bCs/>
          <w:kern w:val="0"/>
          <w:szCs w:val="21"/>
        </w:rPr>
      </w:pP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五、投标供应商资格要求:</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 xml:space="preserve">. </w:t>
      </w:r>
      <w:r>
        <w:rPr>
          <w:rFonts w:hint="eastAsia" w:ascii="宋体" w:hAnsi="宋体" w:eastAsia="宋体" w:cs="宋体"/>
          <w:kern w:val="0"/>
          <w:szCs w:val="21"/>
        </w:rPr>
        <w:t>①</w:t>
      </w:r>
      <w:r>
        <w:rPr>
          <w:rFonts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ascii="Times New Roman" w:hAnsi="Times New Roman" w:eastAsia="宋体" w:cs="Times New Roman"/>
          <w:kern w:val="0"/>
          <w:szCs w:val="21"/>
        </w:rPr>
        <w:t>法律、行政法规规定的其他条件。</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未被“信用中国”（www.creditchina.gov.cn）、中国政府采购网（www.ccgp.gov.cn）列入失信被执行人、重大税收违法案件当事人名单、政府采购严重违法失信行为记录名单。</w:t>
      </w:r>
    </w:p>
    <w:p>
      <w:pPr>
        <w:widowControl/>
        <w:shd w:val="clear" w:color="auto" w:fill="FFFFFF"/>
        <w:spacing w:line="360" w:lineRule="auto"/>
        <w:ind w:firstLine="422" w:firstLineChars="200"/>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3. 本项目不专门面向中小企业。本项目对应的中小企业划分标准所属行业：其他未列明行业。</w:t>
      </w:r>
    </w:p>
    <w:p>
      <w:pPr>
        <w:widowControl/>
        <w:shd w:val="clear" w:color="auto" w:fill="FFFFFF"/>
        <w:spacing w:line="360" w:lineRule="auto"/>
        <w:ind w:firstLine="422" w:firstLineChars="200"/>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4.本项目不接受联合体投标。</w:t>
      </w:r>
    </w:p>
    <w:p>
      <w:pPr>
        <w:widowControl/>
        <w:shd w:val="clear" w:color="auto" w:fill="FFFFFF"/>
        <w:spacing w:line="360" w:lineRule="auto"/>
        <w:jc w:val="left"/>
        <w:rPr>
          <w:rFonts w:ascii="Times New Roman" w:hAnsi="Times New Roman" w:eastAsia="宋体" w:cs="Times New Roman"/>
          <w:kern w:val="0"/>
          <w:szCs w:val="21"/>
        </w:rPr>
      </w:pPr>
      <w:r>
        <w:rPr>
          <w:rFonts w:ascii="Times New Roman" w:hAnsi="Times New Roman" w:eastAsia="宋体" w:cs="Times New Roman"/>
          <w:b/>
          <w:bCs/>
          <w:kern w:val="0"/>
          <w:szCs w:val="21"/>
        </w:rPr>
        <w:t>六、</w:t>
      </w:r>
      <w:r>
        <w:rPr>
          <w:rFonts w:ascii="Times New Roman" w:hAnsi="Times New Roman" w:eastAsia="宋体" w:cs="Times New Roman"/>
          <w:b/>
          <w:kern w:val="0"/>
          <w:szCs w:val="21"/>
        </w:rPr>
        <w:t>公告期限：</w:t>
      </w:r>
      <w:r>
        <w:rPr>
          <w:rFonts w:ascii="Times New Roman" w:hAnsi="Times New Roman" w:eastAsia="宋体" w:cs="Times New Roman"/>
          <w:b/>
          <w:kern w:val="0"/>
          <w:szCs w:val="21"/>
          <w:u w:val="single"/>
        </w:rPr>
        <w:t>自公告发布之日起5个工作日</w:t>
      </w:r>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七</w:t>
      </w:r>
      <w:r>
        <w:rPr>
          <w:rFonts w:hint="eastAsia" w:ascii="Times New Roman" w:hAnsi="Times New Roman" w:eastAsia="宋体" w:cs="Times New Roman"/>
          <w:b/>
          <w:bCs/>
          <w:szCs w:val="21"/>
        </w:rPr>
        <w:t>、</w:t>
      </w:r>
      <w:r>
        <w:rPr>
          <w:rFonts w:ascii="Times New Roman" w:hAnsi="Times New Roman" w:eastAsia="宋体" w:cs="Times New Roman"/>
          <w:b/>
          <w:bCs/>
          <w:szCs w:val="21"/>
        </w:rPr>
        <w:t>注册及采购文件的获取</w:t>
      </w:r>
      <w:r>
        <w:rPr>
          <w:rFonts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获取采购文件网址</w:t>
      </w:r>
      <w:r>
        <w:rPr>
          <w:rFonts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ascii="Times New Roman" w:hAnsi="Times New Roman" w:eastAsia="宋体" w:cs="Times New Roman"/>
          <w:kern w:val="0"/>
          <w:szCs w:val="21"/>
          <w:shd w:val="clear" w:color="auto" w:fill="FFFFFF"/>
        </w:rPr>
        <w:t>（用“政采云”注册账号、密码登录系统后获取采购文件）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“政采云”，咨询电话：400-881-7190。已经注册成功的供应商无需重复注册。</w:t>
      </w:r>
    </w:p>
    <w:p>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hint="eastAsia" w:ascii="Times New Roman" w:hAnsi="Times New Roman" w:eastAsia="宋体" w:cs="Times New Roman"/>
          <w:b/>
          <w:bCs/>
          <w:szCs w:val="21"/>
          <w:lang w:eastAsia="zh-CN"/>
        </w:rPr>
      </w:pPr>
      <w:r>
        <w:rPr>
          <w:rFonts w:ascii="Times New Roman" w:hAnsi="Times New Roman" w:eastAsia="宋体" w:cs="Times New Roman"/>
          <w:b/>
          <w:bCs/>
          <w:szCs w:val="21"/>
        </w:rPr>
        <w:t>八、投标文件的制作及递交</w:t>
      </w:r>
      <w:r>
        <w:rPr>
          <w:rFonts w:hint="eastAsia" w:ascii="Times New Roman" w:hAnsi="Times New Roman" w:eastAsia="宋体" w:cs="Times New Roman"/>
          <w:b/>
          <w:bCs/>
          <w:szCs w:val="21"/>
          <w:lang w:eastAsia="zh-CN"/>
        </w:rPr>
        <w:t>：</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供应商须</w:t>
      </w:r>
      <w:r>
        <w:rPr>
          <w:rFonts w:ascii="Times New Roman" w:hAnsi="Times New Roman" w:eastAsia="宋体" w:cs="Times New Roman"/>
          <w:b/>
          <w:bCs/>
          <w:kern w:val="0"/>
          <w:szCs w:val="21"/>
          <w:shd w:val="clear" w:color="auto" w:fill="FFFFFF"/>
        </w:rPr>
        <w:t>在线获取CA数字证书</w:t>
      </w:r>
      <w:r>
        <w:rPr>
          <w:rFonts w:ascii="Times New Roman" w:hAnsi="Times New Roman" w:eastAsia="宋体" w:cs="Times New Roman"/>
          <w:kern w:val="0"/>
          <w:szCs w:val="21"/>
          <w:shd w:val="clear" w:color="auto" w:fill="FFFFFF"/>
        </w:rPr>
        <w:t>（完成CA数字证书办理预计一周左右，建议各投标人自行把握时间）</w:t>
      </w:r>
      <w:r>
        <w:rPr>
          <w:rFonts w:ascii="Times New Roman" w:hAnsi="Times New Roman" w:eastAsia="宋体" w:cs="Times New Roman"/>
          <w:b/>
          <w:bCs/>
          <w:kern w:val="0"/>
          <w:szCs w:val="21"/>
          <w:shd w:val="clear" w:color="auto" w:fill="FFFFFF"/>
        </w:rPr>
        <w:t>，</w:t>
      </w:r>
      <w:r>
        <w:rPr>
          <w:rFonts w:ascii="Times New Roman" w:hAnsi="Times New Roman" w:eastAsia="宋体" w:cs="Times New Roman"/>
          <w:kern w:val="0"/>
          <w:szCs w:val="21"/>
          <w:shd w:val="clear" w:color="auto" w:fill="FFFFFF"/>
        </w:rPr>
        <w:t>并登</w:t>
      </w:r>
      <w:r>
        <w:rPr>
          <w:rFonts w:hint="eastAsia" w:ascii="Times New Roman" w:hAnsi="Times New Roman" w:eastAsia="宋体" w:cs="Times New Roman"/>
          <w:kern w:val="0"/>
          <w:szCs w:val="21"/>
          <w:shd w:val="clear" w:color="auto" w:fill="FFFFFF"/>
        </w:rPr>
        <w:t>录</w:t>
      </w:r>
      <w:r>
        <w:rPr>
          <w:rFonts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shd w:val="clear" w:color="auto" w:fill="FFFFFF"/>
        </w:rPr>
        <w:t>www.zjzfcg.gov.cn</w:t>
      </w:r>
      <w:r>
        <w:rPr>
          <w:rFonts w:ascii="Times New Roman" w:hAnsi="Times New Roman" w:eastAsia="宋体" w:cs="Times New Roman"/>
          <w:kern w:val="0"/>
          <w:szCs w:val="21"/>
          <w:shd w:val="clear" w:color="auto" w:fill="FFFFFF"/>
        </w:rPr>
        <w:fldChar w:fldCharType="end"/>
      </w:r>
      <w:r>
        <w:rPr>
          <w:rFonts w:ascii="Times New Roman" w:hAnsi="Times New Roman" w:eastAsia="宋体" w:cs="Times New Roman"/>
          <w:kern w:val="0"/>
          <w:szCs w:val="21"/>
          <w:shd w:val="clear" w:color="auto" w:fill="FFFFFF"/>
        </w:rPr>
        <w:t>），进入“下载专区”下载“电子交易客户端”，制作投标文件。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 xml:space="preserve">. </w:t>
      </w:r>
      <w:r>
        <w:rPr>
          <w:rFonts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ascii="Times New Roman" w:hAnsi="Times New Roman" w:eastAsia="宋体" w:cs="Times New Roman"/>
          <w:b/>
          <w:bCs/>
          <w:kern w:val="0"/>
          <w:szCs w:val="21"/>
        </w:rPr>
        <w:t>十、投标截止时间和地址：</w:t>
      </w:r>
    </w:p>
    <w:p>
      <w:pPr>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本项目实行电子投标。</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（1）电子投标文件，按政采云平台项目采购-电子交易操作指南及本招标文件要求递交。</w:t>
      </w:r>
      <w:r>
        <w:rPr>
          <w:rFonts w:ascii="Times New Roman" w:hAnsi="Times New Roman" w:eastAsia="宋体" w:cs="Times New Roman"/>
          <w:szCs w:val="21"/>
          <w:shd w:val="clear" w:color="auto" w:fill="FFFFFF"/>
        </w:rPr>
        <w:t>投标人应于</w:t>
      </w:r>
      <w:bookmarkStart w:id="2" w:name="_Hlk100345522"/>
      <w:r>
        <w:rPr>
          <w:rFonts w:ascii="Times New Roman" w:hAnsi="Times New Roman" w:eastAsia="宋体" w:cs="Times New Roman"/>
          <w:szCs w:val="21"/>
          <w:shd w:val="clear" w:color="auto" w:fill="FFFFFF"/>
        </w:rPr>
        <w:t>2022年</w:t>
      </w:r>
      <w:r>
        <w:rPr>
          <w:rFonts w:hint="eastAsia" w:ascii="Times New Roman" w:hAnsi="Times New Roman" w:eastAsia="宋体" w:cs="Times New Roman"/>
          <w:szCs w:val="21"/>
          <w:shd w:val="clear" w:color="auto" w:fill="FFFFFF"/>
          <w:lang w:val="en-US" w:eastAsia="zh-CN"/>
        </w:rPr>
        <w:t>12</w:t>
      </w:r>
      <w:r>
        <w:rPr>
          <w:rFonts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13</w:t>
      </w:r>
      <w:r>
        <w:rPr>
          <w:rFonts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w:t>
      </w:r>
      <w:r>
        <w:rPr>
          <w:rFonts w:hint="eastAsia" w:ascii="Times New Roman" w:hAnsi="Times New Roman" w:eastAsia="宋体" w:cs="Times New Roman"/>
          <w:szCs w:val="21"/>
          <w:shd w:val="clear" w:color="auto" w:fill="FFFFFF"/>
        </w:rPr>
        <w:t>9：15</w:t>
      </w:r>
      <w:bookmarkEnd w:id="2"/>
      <w:r>
        <w:rPr>
          <w:rFonts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CA数字证书随身携带或准时解码。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（3）纸质备份投标文件将以纸质文件的形式递交。数量为：正本、副本各1份。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ascii="Times New Roman" w:hAnsi="Times New Roman" w:eastAsia="宋体" w:cs="Times New Roman"/>
          <w:kern w:val="0"/>
          <w:szCs w:val="21"/>
        </w:rPr>
        <w:t>投标人应于2022年</w:t>
      </w:r>
      <w:r>
        <w:rPr>
          <w:rFonts w:hint="eastAsia" w:ascii="Times New Roman" w:hAnsi="Times New Roman" w:eastAsia="宋体" w:cs="Times New Roman"/>
          <w:kern w:val="0"/>
          <w:szCs w:val="21"/>
          <w:lang w:val="en-US" w:eastAsia="zh-CN"/>
        </w:rPr>
        <w:t>12</w:t>
      </w:r>
      <w:r>
        <w:rPr>
          <w:rFonts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12</w:t>
      </w:r>
      <w:r>
        <w:rPr>
          <w:rFonts w:ascii="Times New Roman" w:hAnsi="Times New Roman" w:eastAsia="宋体" w:cs="Times New Roman"/>
          <w:kern w:val="0"/>
          <w:szCs w:val="21"/>
        </w:rPr>
        <w:t>日11：30（北京时间）前将备份的投标文件寄于采购代理公司，地址：舟山市定海区昌国路232号中楼202  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ascii="Times New Roman" w:hAnsi="Times New Roman" w:eastAsia="宋体" w:cs="Times New Roman"/>
          <w:b/>
          <w:kern w:val="0"/>
          <w:szCs w:val="21"/>
        </w:rPr>
        <w:t>投标人可以不提供备份投标文件，造成项目开评标活动无法进行下去的，投标无效，相关风险由投标人自行承担。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开标时间：</w:t>
      </w:r>
      <w:r>
        <w:rPr>
          <w:rFonts w:ascii="Times New Roman" w:hAnsi="Times New Roman" w:eastAsia="宋体" w:cs="Times New Roman"/>
          <w:kern w:val="0"/>
          <w:szCs w:val="21"/>
        </w:rPr>
        <w:t>2022年</w:t>
      </w:r>
      <w:r>
        <w:rPr>
          <w:rFonts w:hint="eastAsia" w:ascii="Times New Roman" w:hAnsi="Times New Roman" w:eastAsia="宋体" w:cs="Times New Roman"/>
          <w:kern w:val="0"/>
          <w:szCs w:val="21"/>
          <w:lang w:val="en-US" w:eastAsia="zh-CN"/>
        </w:rPr>
        <w:t>12</w:t>
      </w:r>
      <w:r>
        <w:rPr>
          <w:rFonts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13</w:t>
      </w:r>
      <w:r>
        <w:rPr>
          <w:rFonts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0</w:t>
      </w:r>
      <w:r>
        <w:rPr>
          <w:rFonts w:hint="eastAsia" w:ascii="Times New Roman" w:hAnsi="Times New Roman" w:eastAsia="宋体" w:cs="Times New Roman"/>
          <w:kern w:val="0"/>
          <w:szCs w:val="21"/>
        </w:rPr>
        <w:t>9：15</w:t>
      </w:r>
    </w:p>
    <w:p>
      <w:pPr>
        <w:widowControl/>
        <w:shd w:val="clear" w:color="auto" w:fill="FFFFFF"/>
        <w:spacing w:line="360" w:lineRule="auto"/>
        <w:ind w:firstLine="410"/>
        <w:jc w:val="left"/>
        <w:rPr>
          <w:rFonts w:ascii="宋体" w:hAnsi="宋体" w:eastAsia="宋体" w:cs="宋体"/>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开标地点：</w:t>
      </w:r>
      <w:r>
        <w:rPr>
          <w:rFonts w:hint="eastAsia" w:ascii="宋体" w:hAnsi="宋体" w:eastAsia="宋体" w:cs="宋体"/>
          <w:bCs/>
          <w:szCs w:val="21"/>
        </w:rPr>
        <w:t>舟山市公共资源交易中心（舟山市新城翁山路555号四楼（大宗商品交易中心同幢西边））开标室</w:t>
      </w:r>
    </w:p>
    <w:p>
      <w:pPr>
        <w:widowControl/>
        <w:shd w:val="clear" w:color="auto" w:fill="FFFFFF"/>
        <w:spacing w:line="360" w:lineRule="auto"/>
        <w:jc w:val="left"/>
        <w:rPr>
          <w:rFonts w:ascii="Times New Roman" w:hAnsi="Times New Roman" w:eastAsia="宋体" w:cs="Times New Roman"/>
          <w:kern w:val="0"/>
          <w:szCs w:val="21"/>
        </w:rPr>
      </w:pPr>
      <w:r>
        <w:rPr>
          <w:rFonts w:ascii="Times New Roman" w:hAnsi="Times New Roman" w:eastAsia="宋体" w:cs="Times New Roman"/>
          <w:b/>
          <w:bCs/>
          <w:kern w:val="0"/>
          <w:szCs w:val="21"/>
        </w:rPr>
        <w:t>十一</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十二</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联系方式：</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采购代理机构名称：深圳市国信招标有限公司舟山分公司</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联系人：朱女士、任女士</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联系电话：0580-2054476，13857236444，13567673203</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质疑答复联系人：王女士</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联系电话：0580-2054476，13587045176</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传真： 0580-2054476</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地</w:t>
      </w:r>
      <w:r>
        <w:rPr>
          <w:rFonts w:hint="eastAsia" w:ascii="Times New Roman" w:hAnsi="Times New Roman" w:eastAsia="宋体" w:cs="Times New Roman"/>
          <w:kern w:val="0"/>
          <w:szCs w:val="21"/>
          <w:shd w:val="clear" w:color="auto" w:fill="FFFFFF"/>
        </w:rPr>
        <w:t>址：</w:t>
      </w:r>
      <w:r>
        <w:rPr>
          <w:rFonts w:ascii="Times New Roman" w:hAnsi="Times New Roman" w:eastAsia="宋体" w:cs="Times New Roman"/>
          <w:kern w:val="0"/>
          <w:szCs w:val="21"/>
          <w:shd w:val="clear" w:color="auto" w:fill="FFFFFF"/>
        </w:rPr>
        <w:t>舟山市定海区昌国路232号中楼202</w:t>
      </w:r>
    </w:p>
    <w:p>
      <w:pPr>
        <w:spacing w:line="360" w:lineRule="auto"/>
        <w:ind w:firstLine="472" w:firstLineChars="225"/>
        <w:rPr>
          <w:rFonts w:ascii="宋体" w:hAnsi="Times New Roman" w:eastAsia="宋体" w:cs="Times New Roman"/>
          <w:szCs w:val="21"/>
        </w:rPr>
      </w:pPr>
      <w:r>
        <w:rPr>
          <w:rFonts w:ascii="宋体" w:hAnsi="宋体" w:eastAsia="宋体" w:cs="Times New Roman"/>
          <w:szCs w:val="21"/>
          <w:shd w:val="clear" w:color="auto" w:fill="FFFFFF"/>
        </w:rPr>
        <w:t>2</w:t>
      </w:r>
      <w:r>
        <w:rPr>
          <w:rFonts w:hint="eastAsia" w:ascii="宋体" w:hAnsi="宋体" w:eastAsia="宋体" w:cs="Times New Roman"/>
          <w:szCs w:val="21"/>
          <w:shd w:val="clear" w:color="auto" w:fill="FFFFFF"/>
        </w:rPr>
        <w:t>.采购人：</w:t>
      </w:r>
      <w:r>
        <w:rPr>
          <w:rFonts w:hint="eastAsia" w:ascii="宋体" w:hAnsi="宋体" w:eastAsia="宋体" w:cs="Times New Roman"/>
          <w:szCs w:val="21"/>
        </w:rPr>
        <w:t>舟山市医疗保障局</w:t>
      </w:r>
    </w:p>
    <w:p>
      <w:pPr>
        <w:spacing w:line="360" w:lineRule="auto"/>
        <w:ind w:firstLine="472" w:firstLineChars="225"/>
        <w:rPr>
          <w:rFonts w:hint="eastAsia" w:ascii="宋体" w:hAnsi="Times New Roman" w:eastAsia="宋体" w:cs="(使用中文字体)"/>
          <w:kern w:val="0"/>
          <w:szCs w:val="21"/>
          <w:shd w:val="clear" w:color="auto" w:fill="FFFFFF"/>
          <w:lang w:val="en-US" w:eastAsia="zh-CN"/>
        </w:rPr>
      </w:pPr>
      <w:r>
        <w:rPr>
          <w:rFonts w:hint="eastAsia" w:ascii="宋体" w:hAnsi="宋体" w:eastAsia="宋体" w:cs="(使用中文字体)"/>
          <w:kern w:val="0"/>
          <w:szCs w:val="21"/>
          <w:shd w:val="clear" w:color="auto" w:fill="FFFFFF"/>
        </w:rPr>
        <w:t>联系人：</w:t>
      </w:r>
      <w:r>
        <w:rPr>
          <w:rFonts w:hint="eastAsia" w:ascii="宋体" w:hAnsi="宋体" w:eastAsia="宋体" w:cs="(使用中文字体)"/>
          <w:kern w:val="0"/>
          <w:szCs w:val="21"/>
          <w:shd w:val="clear" w:color="auto" w:fill="FFFFFF"/>
          <w:lang w:val="en-US" w:eastAsia="zh-CN"/>
        </w:rPr>
        <w:t>卢先生</w:t>
      </w:r>
    </w:p>
    <w:p>
      <w:pPr>
        <w:spacing w:line="360" w:lineRule="auto"/>
        <w:ind w:firstLine="472" w:firstLineChars="225"/>
        <w:rPr>
          <w:rFonts w:hint="default" w:ascii="宋体" w:hAnsi="Times New Roman" w:eastAsia="宋体" w:cs="(使用中文字体)"/>
          <w:kern w:val="0"/>
          <w:szCs w:val="21"/>
          <w:shd w:val="clear" w:color="auto" w:fill="FFFFFF"/>
          <w:lang w:val="en-US" w:eastAsia="zh-CN"/>
        </w:rPr>
      </w:pPr>
      <w:r>
        <w:rPr>
          <w:rFonts w:hint="eastAsia" w:ascii="宋体" w:hAnsi="宋体" w:eastAsia="宋体" w:cs="Times New Roman"/>
          <w:szCs w:val="21"/>
        </w:rPr>
        <w:t>联系电话：</w:t>
      </w:r>
      <w:r>
        <w:rPr>
          <w:rFonts w:hint="eastAsia" w:ascii="宋体" w:hAnsi="宋体" w:eastAsia="宋体" w:cs="Times New Roman"/>
          <w:szCs w:val="21"/>
          <w:lang w:val="en-US" w:eastAsia="zh-CN"/>
        </w:rPr>
        <w:t>0580-2283286</w:t>
      </w:r>
    </w:p>
    <w:p>
      <w:pPr>
        <w:spacing w:line="360" w:lineRule="auto"/>
        <w:ind w:firstLine="472" w:firstLineChars="225"/>
        <w:rPr>
          <w:rFonts w:hint="default" w:ascii="宋体" w:hAnsi="宋体" w:eastAsia="宋体" w:cs="(使用中文字体)"/>
          <w:kern w:val="0"/>
          <w:szCs w:val="21"/>
          <w:shd w:val="clear" w:color="auto" w:fill="FFFFFF"/>
          <w:lang w:val="en-US" w:eastAsia="zh-CN"/>
        </w:rPr>
      </w:pPr>
      <w:r>
        <w:rPr>
          <w:rFonts w:hint="eastAsia" w:ascii="宋体" w:hAnsi="宋体" w:eastAsia="宋体" w:cs="(使用中文字体)"/>
          <w:kern w:val="0"/>
          <w:szCs w:val="21"/>
          <w:shd w:val="clear" w:color="auto" w:fill="FFFFFF"/>
        </w:rPr>
        <w:t>质疑答复联系人：</w:t>
      </w:r>
      <w:r>
        <w:rPr>
          <w:rFonts w:hint="eastAsia" w:ascii="宋体" w:hAnsi="宋体" w:eastAsia="宋体" w:cs="(使用中文字体)"/>
          <w:kern w:val="0"/>
          <w:szCs w:val="21"/>
          <w:shd w:val="clear" w:color="auto" w:fill="FFFFFF"/>
          <w:lang w:val="en-US" w:eastAsia="zh-CN"/>
        </w:rPr>
        <w:t>倪女士</w:t>
      </w:r>
    </w:p>
    <w:p>
      <w:pPr>
        <w:spacing w:line="360" w:lineRule="auto"/>
        <w:ind w:firstLine="472" w:firstLineChars="225"/>
        <w:rPr>
          <w:rFonts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联系电话：0580-2283139</w:t>
      </w:r>
    </w:p>
    <w:p>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地址：舟山市市政府北大楼15楼</w:t>
      </w:r>
    </w:p>
    <w:p>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shd w:val="clear" w:color="auto" w:fill="FFFFFF"/>
        </w:rPr>
        <w:t>同级政府采购监督管理部门名称</w:t>
      </w:r>
      <w:r>
        <w:rPr>
          <w:rFonts w:hint="eastAsia" w:ascii="宋体" w:hAnsi="宋体" w:eastAsia="宋体" w:cs="宋体"/>
          <w:szCs w:val="21"/>
        </w:rPr>
        <w:t>：舟山市财政局（政府采购监管处）</w:t>
      </w:r>
    </w:p>
    <w:p>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监督投拆电话：0580-</w:t>
      </w:r>
      <w:r>
        <w:rPr>
          <w:rFonts w:hint="eastAsia" w:ascii="宋体" w:hAnsi="宋体" w:eastAsia="宋体" w:cs="宋体"/>
          <w:kern w:val="0"/>
          <w:szCs w:val="21"/>
        </w:rPr>
        <w:t>2282591</w:t>
      </w:r>
    </w:p>
    <w:p>
      <w:pPr>
        <w:widowControl/>
        <w:jc w:val="left"/>
        <w:rPr>
          <w:rFonts w:ascii="Times New Roman" w:hAnsi="Times New Roman" w:eastAsia="宋体" w:cs="Times New Roman"/>
          <w:b/>
          <w:sz w:val="30"/>
        </w:rPr>
      </w:pPr>
      <w:r>
        <w:rPr>
          <w:rFonts w:ascii="Times New Roman" w:hAnsi="Times New Roman" w:eastAsia="宋体" w:cs="Times New Roman"/>
          <w:b/>
          <w:sz w:val="30"/>
        </w:rPr>
        <w:br w:type="page"/>
      </w:r>
    </w:p>
    <w:p>
      <w:pPr>
        <w:snapToGrid w:val="0"/>
        <w:spacing w:line="312" w:lineRule="auto"/>
        <w:jc w:val="center"/>
        <w:rPr>
          <w:rFonts w:ascii="Times New Roman" w:hAnsi="Times New Roman" w:eastAsia="黑体" w:cs="Times New Roman"/>
          <w:sz w:val="30"/>
        </w:rPr>
      </w:pPr>
      <w:r>
        <w:rPr>
          <w:rFonts w:ascii="Times New Roman" w:hAnsi="Times New Roman" w:eastAsia="宋体" w:cs="Times New Roman"/>
          <w:b/>
          <w:sz w:val="30"/>
        </w:rPr>
        <w:t>第二章招标需求</w:t>
      </w:r>
    </w:p>
    <w:p>
      <w:pPr>
        <w:spacing w:line="360" w:lineRule="auto"/>
        <w:rPr>
          <w:rFonts w:ascii="Times New Roman" w:hAnsi="Times New Roman" w:eastAsia="宋体" w:cs="Times New Roman"/>
          <w:b/>
        </w:rPr>
      </w:pPr>
    </w:p>
    <w:p>
      <w:pPr>
        <w:spacing w:line="360" w:lineRule="auto"/>
        <w:outlineLvl w:val="0"/>
        <w:rPr>
          <w:rFonts w:ascii="Times New Roman" w:hAnsi="Times New Roman" w:eastAsia="宋体" w:cs="Times New Roman"/>
          <w:b/>
          <w:sz w:val="24"/>
        </w:rPr>
      </w:pPr>
      <w:r>
        <w:rPr>
          <w:rFonts w:hint="eastAsia" w:ascii="宋体" w:hAnsi="宋体" w:eastAsia="宋体" w:cs="Times New Roman"/>
          <w:b/>
          <w:sz w:val="24"/>
        </w:rPr>
        <w:t>★</w:t>
      </w:r>
      <w:r>
        <w:rPr>
          <w:rFonts w:hint="eastAsia" w:ascii="Times New Roman" w:hAnsi="Times New Roman" w:eastAsia="宋体" w:cs="Times New Roman"/>
          <w:b/>
          <w:sz w:val="24"/>
        </w:rPr>
        <w:t>一、</w:t>
      </w:r>
      <w:r>
        <w:rPr>
          <w:rFonts w:hint="eastAsia" w:ascii="宋体" w:hAnsi="宋体" w:eastAsia="宋体" w:cs="Times New Roman"/>
          <w:b/>
          <w:bCs/>
          <w:sz w:val="24"/>
        </w:rPr>
        <w:t>投标人要求</w:t>
      </w:r>
    </w:p>
    <w:p>
      <w:pPr>
        <w:spacing w:line="360" w:lineRule="auto"/>
        <w:ind w:firstLine="420" w:firstLineChars="200"/>
        <w:outlineLvl w:val="0"/>
        <w:rPr>
          <w:rFonts w:ascii="Times New Roman" w:hAnsi="宋体" w:eastAsia="宋体" w:cs="Times New Roman"/>
          <w:szCs w:val="21"/>
        </w:rPr>
      </w:pPr>
      <w:r>
        <w:rPr>
          <w:rFonts w:hint="eastAsia" w:ascii="Times New Roman" w:hAnsi="宋体" w:eastAsia="宋体" w:cs="Times New Roman"/>
          <w:szCs w:val="21"/>
        </w:rPr>
        <w:t>1.</w:t>
      </w:r>
      <w:r>
        <w:rPr>
          <w:rFonts w:ascii="Times New Roman" w:hAnsi="宋体" w:eastAsia="宋体" w:cs="Times New Roman"/>
          <w:szCs w:val="21"/>
        </w:rPr>
        <w:t xml:space="preserve"> </w:t>
      </w:r>
      <w:r>
        <w:rPr>
          <w:rFonts w:hint="eastAsia" w:ascii="Times New Roman" w:hAnsi="宋体" w:eastAsia="宋体" w:cs="Times New Roman"/>
          <w:szCs w:val="21"/>
        </w:rPr>
        <w:t>投标人所属总公司已依法取得中国银保监会公布的大病保险经营资质。</w:t>
      </w:r>
    </w:p>
    <w:p>
      <w:pPr>
        <w:spacing w:line="360" w:lineRule="auto"/>
        <w:ind w:firstLine="420" w:firstLineChars="200"/>
        <w:outlineLvl w:val="0"/>
        <w:rPr>
          <w:rFonts w:ascii="宋体" w:hAnsi="宋体" w:eastAsia="宋体" w:cs="Times New Roman"/>
          <w:b/>
          <w:bCs/>
          <w:sz w:val="24"/>
        </w:rPr>
      </w:pPr>
      <w:r>
        <w:rPr>
          <w:rFonts w:hint="eastAsia" w:ascii="Times New Roman" w:hAnsi="宋体" w:eastAsia="宋体" w:cs="Times New Roman"/>
          <w:szCs w:val="21"/>
        </w:rPr>
        <w:t>2.获得总公司授权的保险公司地市级分支机构。</w:t>
      </w:r>
      <w:bookmarkStart w:id="3" w:name="_Hlk118378653"/>
      <w:r>
        <w:rPr>
          <w:rFonts w:hint="eastAsia" w:ascii="Times New Roman" w:hAnsi="宋体" w:eastAsia="宋体" w:cs="Times New Roman"/>
          <w:szCs w:val="21"/>
        </w:rPr>
        <w:t>同一保险集团公司只能授权一家地市级分支机构参加本项目招投标活动。</w:t>
      </w:r>
    </w:p>
    <w:bookmarkEnd w:id="3"/>
    <w:p>
      <w:pPr>
        <w:spacing w:line="312" w:lineRule="auto"/>
        <w:outlineLvl w:val="0"/>
        <w:rPr>
          <w:rFonts w:ascii="宋体" w:hAnsi="宋体" w:eastAsia="宋体" w:cs="Times New Roman"/>
          <w:b/>
          <w:bCs/>
          <w:sz w:val="24"/>
        </w:rPr>
      </w:pPr>
    </w:p>
    <w:p>
      <w:pPr>
        <w:spacing w:line="312" w:lineRule="auto"/>
        <w:outlineLvl w:val="0"/>
        <w:rPr>
          <w:rFonts w:ascii="宋体" w:hAnsi="宋体" w:eastAsia="宋体" w:cs="Times New Roman"/>
          <w:b/>
          <w:bCs/>
          <w:sz w:val="24"/>
        </w:rPr>
      </w:pPr>
      <w:r>
        <w:rPr>
          <w:rFonts w:hint="eastAsia" w:ascii="宋体" w:hAnsi="宋体" w:eastAsia="宋体" w:cs="Times New Roman"/>
          <w:b/>
          <w:bCs/>
          <w:sz w:val="24"/>
        </w:rPr>
        <w:t>二</w:t>
      </w:r>
      <w:r>
        <w:rPr>
          <w:rFonts w:hint="eastAsia" w:ascii="宋体" w:hAnsi="宋体" w:eastAsia="宋体" w:cs="Times New Roman"/>
          <w:b/>
          <w:bCs/>
          <w:sz w:val="24"/>
          <w:szCs w:val="24"/>
        </w:rPr>
        <w:t>、</w:t>
      </w:r>
      <w:r>
        <w:rPr>
          <w:rFonts w:hint="eastAsia" w:ascii="Times New Roman" w:hAnsi="宋体" w:eastAsia="宋体" w:cs="Times New Roman"/>
          <w:b/>
          <w:bCs/>
          <w:sz w:val="24"/>
          <w:szCs w:val="24"/>
        </w:rPr>
        <w:t>项目基本情况</w:t>
      </w:r>
    </w:p>
    <w:p>
      <w:pPr>
        <w:spacing w:line="360" w:lineRule="auto"/>
        <w:ind w:firstLine="420" w:firstLineChars="200"/>
        <w:rPr>
          <w:rFonts w:ascii="Times New Roman" w:hAnsi="宋体" w:eastAsia="宋体" w:cs="Times New Roman"/>
          <w:szCs w:val="21"/>
        </w:rPr>
      </w:pPr>
      <w:r>
        <w:rPr>
          <w:rFonts w:hint="eastAsia" w:ascii="Times New Roman" w:hAnsi="宋体" w:eastAsia="宋体" w:cs="Times New Roman"/>
          <w:szCs w:val="21"/>
        </w:rPr>
        <w:t>（一）舟山市大病保险商业合作项目通过公开招标，选定三家商业保险机构承办全市大病保险业务，包括市本级、定海区、普陀区、岱山县、嵊泗县，由舟山市医疗保障局（采购人）统一组织采购。</w:t>
      </w:r>
    </w:p>
    <w:p>
      <w:pPr>
        <w:spacing w:line="360" w:lineRule="auto"/>
        <w:ind w:firstLine="420" w:firstLineChars="200"/>
        <w:rPr>
          <w:rFonts w:ascii="Times New Roman" w:hAnsi="宋体" w:eastAsia="宋体" w:cs="Times New Roman"/>
          <w:szCs w:val="21"/>
        </w:rPr>
      </w:pPr>
      <w:r>
        <w:rPr>
          <w:rFonts w:hint="eastAsia" w:ascii="Times New Roman" w:hAnsi="宋体" w:eastAsia="宋体" w:cs="Times New Roman"/>
          <w:szCs w:val="21"/>
        </w:rPr>
        <w:t>（二）舟山市大病保险政策</w:t>
      </w:r>
    </w:p>
    <w:p>
      <w:pPr>
        <w:spacing w:line="360" w:lineRule="auto"/>
        <w:ind w:firstLine="420" w:firstLineChars="200"/>
        <w:rPr>
          <w:rFonts w:ascii="Times New Roman" w:hAnsi="宋体" w:eastAsia="宋体" w:cs="Times New Roman"/>
          <w:szCs w:val="21"/>
        </w:rPr>
      </w:pPr>
      <w:r>
        <w:rPr>
          <w:rFonts w:hint="eastAsia" w:ascii="Times New Roman" w:hAnsi="宋体" w:eastAsia="宋体" w:cs="Times New Roman"/>
          <w:szCs w:val="21"/>
        </w:rPr>
        <w:t>1．参保和筹资。全市建立统一的大病保险制度，参保人员包括职工基本医疗保险和城乡居民基本医疗保险参保人员。大病保险年度为每年1月1日-12月31日，与基本医疗保险一致，基金实行全市统收统支。</w:t>
      </w:r>
    </w:p>
    <w:p>
      <w:pPr>
        <w:spacing w:line="360" w:lineRule="auto"/>
        <w:ind w:firstLine="420" w:firstLineChars="200"/>
        <w:rPr>
          <w:rFonts w:ascii="Times New Roman" w:hAnsi="Times New Roman" w:eastAsia="宋体" w:cs="Times New Roman"/>
        </w:rPr>
      </w:pPr>
      <w:r>
        <w:rPr>
          <w:rFonts w:ascii="Times New Roman" w:hAnsi="宋体" w:eastAsia="宋体" w:cs="Times New Roman"/>
          <w:szCs w:val="21"/>
        </w:rPr>
        <w:t>2</w:t>
      </w:r>
      <w:r>
        <w:rPr>
          <w:rFonts w:hint="eastAsia" w:ascii="Times New Roman" w:hAnsi="宋体" w:eastAsia="宋体" w:cs="Times New Roman"/>
          <w:szCs w:val="21"/>
        </w:rPr>
        <w:t>.支付范围和待遇。一个医保年度内，参保人员发生的医疗费用中，符合基本医疗保险基金支付范围的个人负担部分，以及符合浙江省大病保险特殊药品目录、医用耗材范围和医疗服务范围的医疗费用，在个人承担2.5万元起付标准后，基金支付70%；其中医疗救助对象起付标准为1.25万元，基金支付80%。市内基本医疗保险险种转换的，一个医保年度大病保险起付标准累计一次。今后支付范围和待遇调整的，按调整后的政策执行。</w:t>
      </w:r>
    </w:p>
    <w:p>
      <w:pPr>
        <w:spacing w:after="120"/>
        <w:rPr>
          <w:rFonts w:ascii="宋体" w:hAnsi="宋体" w:eastAsia="宋体" w:cs="Times New Roman"/>
          <w:b/>
          <w:bCs/>
          <w:sz w:val="24"/>
        </w:rPr>
      </w:pPr>
    </w:p>
    <w:p>
      <w:pPr>
        <w:spacing w:after="120"/>
        <w:rPr>
          <w:rFonts w:ascii="宋体" w:hAnsi="宋体" w:eastAsia="宋体" w:cs="Times New Roman"/>
          <w:b/>
          <w:bCs/>
          <w:sz w:val="24"/>
        </w:rPr>
      </w:pPr>
      <w:r>
        <w:rPr>
          <w:rFonts w:hint="eastAsia" w:ascii="宋体" w:hAnsi="宋体" w:eastAsia="宋体" w:cs="Times New Roman"/>
          <w:b/>
          <w:bCs/>
          <w:sz w:val="24"/>
        </w:rPr>
        <w:t>三、舟山市大病保险运行情况表</w:t>
      </w:r>
    </w:p>
    <w:p>
      <w:pPr>
        <w:rPr>
          <w:rFonts w:ascii="宋体" w:hAnsi="宋体" w:eastAsia="宋体" w:cs="Arial"/>
          <w:szCs w:val="21"/>
        </w:rPr>
      </w:pPr>
      <w:r>
        <w:rPr>
          <w:rFonts w:hint="eastAsia" w:ascii="仿宋_GB2312" w:hAnsi="Arial" w:eastAsia="仿宋_GB2312" w:cs="Arial"/>
          <w:sz w:val="28"/>
          <w:szCs w:val="28"/>
        </w:rPr>
        <w:t xml:space="preserve">    </w:t>
      </w:r>
      <w:r>
        <w:rPr>
          <w:rFonts w:ascii="仿宋_GB2312" w:hAnsi="Arial" w:eastAsia="仿宋_GB2312" w:cs="Arial"/>
          <w:sz w:val="28"/>
          <w:szCs w:val="28"/>
        </w:rPr>
        <w:t xml:space="preserve">                                        </w:t>
      </w:r>
      <w:r>
        <w:rPr>
          <w:rFonts w:hint="eastAsia" w:ascii="宋体" w:hAnsi="宋体" w:eastAsia="宋体" w:cs="Arial"/>
          <w:szCs w:val="21"/>
        </w:rPr>
        <w:t>单位：万元、人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374"/>
        <w:gridCol w:w="2551"/>
        <w:gridCol w:w="152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vAlign w:val="center"/>
          </w:tcPr>
          <w:p>
            <w:pPr>
              <w:jc w:val="center"/>
              <w:rPr>
                <w:rFonts w:ascii="宋体" w:hAnsi="宋体" w:eastAsia="宋体" w:cs="Arial"/>
                <w:szCs w:val="21"/>
              </w:rPr>
            </w:pPr>
            <w:r>
              <w:rPr>
                <w:rFonts w:hint="eastAsia" w:ascii="宋体" w:hAnsi="宋体" w:eastAsia="宋体" w:cs="Arial"/>
                <w:szCs w:val="21"/>
              </w:rPr>
              <w:t>医保年度</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参保人数</w:t>
            </w:r>
          </w:p>
        </w:tc>
        <w:tc>
          <w:tcPr>
            <w:tcW w:w="2551" w:type="dxa"/>
            <w:vAlign w:val="center"/>
          </w:tcPr>
          <w:p>
            <w:pPr>
              <w:jc w:val="center"/>
              <w:rPr>
                <w:rFonts w:ascii="宋体" w:hAnsi="宋体" w:eastAsia="宋体" w:cs="Arial"/>
                <w:szCs w:val="21"/>
              </w:rPr>
            </w:pPr>
            <w:r>
              <w:rPr>
                <w:rFonts w:hint="eastAsia" w:ascii="宋体" w:hAnsi="宋体" w:eastAsia="宋体" w:cs="Arial"/>
                <w:szCs w:val="21"/>
              </w:rPr>
              <w:t>纳入大病保险政策</w:t>
            </w:r>
          </w:p>
          <w:p>
            <w:pPr>
              <w:jc w:val="center"/>
              <w:rPr>
                <w:rFonts w:ascii="宋体" w:hAnsi="宋体" w:eastAsia="宋体" w:cs="Arial"/>
                <w:szCs w:val="21"/>
              </w:rPr>
            </w:pPr>
            <w:r>
              <w:rPr>
                <w:rFonts w:hint="eastAsia" w:ascii="宋体" w:hAnsi="宋体" w:eastAsia="宋体" w:cs="Arial"/>
                <w:szCs w:val="21"/>
              </w:rPr>
              <w:t>范围内自负费用</w:t>
            </w:r>
          </w:p>
          <w:p>
            <w:pPr>
              <w:jc w:val="center"/>
              <w:rPr>
                <w:rFonts w:ascii="宋体" w:hAnsi="宋体" w:eastAsia="宋体" w:cs="Arial"/>
                <w:szCs w:val="21"/>
              </w:rPr>
            </w:pPr>
            <w:r>
              <w:rPr>
                <w:rFonts w:hint="eastAsia" w:ascii="宋体" w:hAnsi="宋体" w:eastAsia="宋体" w:cs="Arial"/>
                <w:szCs w:val="21"/>
              </w:rPr>
              <w:t>（含起付线以下费用）</w:t>
            </w:r>
          </w:p>
        </w:tc>
        <w:tc>
          <w:tcPr>
            <w:tcW w:w="1523" w:type="dxa"/>
            <w:vAlign w:val="center"/>
          </w:tcPr>
          <w:p>
            <w:pPr>
              <w:jc w:val="center"/>
              <w:rPr>
                <w:rFonts w:ascii="宋体" w:hAnsi="宋体" w:eastAsia="宋体" w:cs="Arial"/>
                <w:szCs w:val="21"/>
              </w:rPr>
            </w:pPr>
            <w:r>
              <w:rPr>
                <w:rFonts w:hint="eastAsia" w:ascii="宋体" w:hAnsi="宋体" w:eastAsia="宋体" w:cs="Arial"/>
                <w:szCs w:val="21"/>
              </w:rPr>
              <w:t>待遇支出金额</w:t>
            </w:r>
          </w:p>
        </w:tc>
        <w:tc>
          <w:tcPr>
            <w:tcW w:w="1605" w:type="dxa"/>
            <w:vAlign w:val="center"/>
          </w:tcPr>
          <w:p>
            <w:pPr>
              <w:jc w:val="center"/>
              <w:rPr>
                <w:rFonts w:ascii="宋体" w:hAnsi="宋体" w:eastAsia="宋体" w:cs="Arial"/>
                <w:szCs w:val="21"/>
              </w:rPr>
            </w:pPr>
            <w:r>
              <w:rPr>
                <w:rFonts w:hint="eastAsia" w:ascii="宋体" w:hAnsi="宋体" w:eastAsia="宋体" w:cs="Arial"/>
                <w:szCs w:val="21"/>
              </w:rPr>
              <w:t>待遇享受人数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2019年</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1004261</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16629</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7145</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2020年</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1007642</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18534</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7847</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6994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2021年</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1002853</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20857</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10702</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2019年1-9月</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993778</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10717</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4387</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2020年1-9月</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997449</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11928</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4757</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2021年1-9月</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1000330</w:t>
            </w:r>
          </w:p>
        </w:tc>
        <w:tc>
          <w:tcPr>
            <w:tcW w:w="2551"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13315</w:t>
            </w:r>
          </w:p>
        </w:tc>
        <w:tc>
          <w:tcPr>
            <w:tcW w:w="1523"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6278</w:t>
            </w:r>
          </w:p>
        </w:tc>
        <w:tc>
          <w:tcPr>
            <w:tcW w:w="1605" w:type="dxa"/>
            <w:vAlign w:val="center"/>
          </w:tcPr>
          <w:p>
            <w:pPr>
              <w:widowControl/>
              <w:jc w:val="center"/>
              <w:textAlignment w:val="center"/>
              <w:rPr>
                <w:rFonts w:ascii="宋体" w:hAnsi="宋体" w:eastAsia="宋体" w:cs="仿宋_GB2312"/>
                <w:szCs w:val="21"/>
              </w:rPr>
            </w:pPr>
            <w:r>
              <w:rPr>
                <w:rFonts w:hint="eastAsia" w:ascii="宋体" w:hAnsi="宋体" w:eastAsia="宋体" w:cs="仿宋_GB2312"/>
                <w:kern w:val="0"/>
                <w:szCs w:val="21"/>
                <w:lang w:bidi="ar"/>
              </w:rPr>
              <w:t>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40" w:type="dxa"/>
            <w:vAlign w:val="center"/>
          </w:tcPr>
          <w:p>
            <w:pPr>
              <w:jc w:val="center"/>
              <w:rPr>
                <w:rFonts w:ascii="宋体" w:hAnsi="宋体" w:eastAsia="宋体" w:cs="Arial"/>
                <w:szCs w:val="21"/>
              </w:rPr>
            </w:pPr>
            <w:r>
              <w:rPr>
                <w:rFonts w:hint="eastAsia" w:ascii="宋体" w:hAnsi="宋体" w:eastAsia="宋体" w:cs="Arial"/>
                <w:szCs w:val="21"/>
              </w:rPr>
              <w:t>2022年1-9月</w:t>
            </w:r>
          </w:p>
        </w:tc>
        <w:tc>
          <w:tcPr>
            <w:tcW w:w="1374" w:type="dxa"/>
            <w:vAlign w:val="center"/>
          </w:tcPr>
          <w:p>
            <w:pPr>
              <w:jc w:val="center"/>
              <w:rPr>
                <w:rFonts w:ascii="宋体" w:hAnsi="宋体" w:eastAsia="宋体" w:cs="Arial"/>
                <w:szCs w:val="21"/>
              </w:rPr>
            </w:pPr>
            <w:r>
              <w:rPr>
                <w:rFonts w:hint="eastAsia" w:ascii="宋体" w:hAnsi="宋体" w:eastAsia="宋体" w:cs="Arial"/>
                <w:szCs w:val="21"/>
              </w:rPr>
              <w:t>985055</w:t>
            </w:r>
          </w:p>
        </w:tc>
        <w:tc>
          <w:tcPr>
            <w:tcW w:w="2551" w:type="dxa"/>
            <w:vAlign w:val="center"/>
          </w:tcPr>
          <w:p>
            <w:pPr>
              <w:jc w:val="center"/>
              <w:rPr>
                <w:rFonts w:ascii="宋体" w:hAnsi="宋体" w:eastAsia="宋体" w:cs="仿宋_GB2312"/>
                <w:szCs w:val="21"/>
              </w:rPr>
            </w:pPr>
            <w:r>
              <w:rPr>
                <w:rFonts w:hint="eastAsia" w:ascii="宋体" w:hAnsi="宋体" w:eastAsia="宋体" w:cs="仿宋_GB2312"/>
                <w:szCs w:val="21"/>
              </w:rPr>
              <w:t>12979</w:t>
            </w:r>
          </w:p>
        </w:tc>
        <w:tc>
          <w:tcPr>
            <w:tcW w:w="1523" w:type="dxa"/>
            <w:vAlign w:val="center"/>
          </w:tcPr>
          <w:p>
            <w:pPr>
              <w:jc w:val="center"/>
              <w:rPr>
                <w:rFonts w:ascii="宋体" w:hAnsi="宋体" w:eastAsia="宋体" w:cs="仿宋_GB2312"/>
                <w:szCs w:val="21"/>
              </w:rPr>
            </w:pPr>
            <w:r>
              <w:rPr>
                <w:rFonts w:hint="eastAsia" w:ascii="宋体" w:hAnsi="宋体" w:eastAsia="宋体" w:cs="仿宋_GB2312"/>
                <w:szCs w:val="21"/>
              </w:rPr>
              <w:t>6071</w:t>
            </w:r>
          </w:p>
        </w:tc>
        <w:tc>
          <w:tcPr>
            <w:tcW w:w="1605" w:type="dxa"/>
            <w:vAlign w:val="center"/>
          </w:tcPr>
          <w:p>
            <w:pPr>
              <w:jc w:val="center"/>
              <w:rPr>
                <w:rFonts w:ascii="宋体" w:hAnsi="宋体" w:eastAsia="宋体" w:cs="仿宋_GB2312"/>
                <w:szCs w:val="21"/>
              </w:rPr>
            </w:pPr>
            <w:r>
              <w:rPr>
                <w:rFonts w:hint="eastAsia" w:ascii="宋体" w:hAnsi="宋体" w:eastAsia="宋体" w:cs="仿宋_GB2312"/>
                <w:szCs w:val="21"/>
              </w:rPr>
              <w:t>4964</w:t>
            </w:r>
          </w:p>
        </w:tc>
      </w:tr>
    </w:tbl>
    <w:p>
      <w:pPr>
        <w:spacing w:line="240" w:lineRule="exact"/>
        <w:rPr>
          <w:rFonts w:ascii="宋体" w:hAnsi="宋体" w:eastAsia="宋体" w:cs="Arial"/>
          <w:szCs w:val="21"/>
        </w:rPr>
      </w:pPr>
    </w:p>
    <w:p>
      <w:pPr>
        <w:spacing w:line="400" w:lineRule="exact"/>
        <w:ind w:firstLine="420" w:firstLineChars="200"/>
        <w:rPr>
          <w:rFonts w:ascii="宋体" w:hAnsi="宋体" w:eastAsia="宋体" w:cs="Arial"/>
          <w:szCs w:val="21"/>
        </w:rPr>
      </w:pPr>
      <w:r>
        <w:rPr>
          <w:rFonts w:hint="eastAsia" w:ascii="宋体" w:hAnsi="宋体" w:eastAsia="宋体" w:cs="Arial"/>
          <w:szCs w:val="21"/>
        </w:rPr>
        <w:t>注：2022年起因参保登记全国联网和清理重复参保人数，2022年底全市参保人数预计比上年减少约1.6万人。起付标准和报销比例：2019年起付标准所有参保人员均为3万元，报销比例为60%；2020年起付标准普通人员为2.5万元，报销比例60%，贫困人员为1.25万元，报销比例65%；2021年开始起付标准普通人员为2.5万元，报销比例70%，贫困人员为1.25万元，报销比例80%。2021年全市困难人员享受大病保险人数约为1100人，大病保险基金支出约2000万元。</w:t>
      </w:r>
    </w:p>
    <w:p>
      <w:pPr>
        <w:spacing w:line="360" w:lineRule="auto"/>
        <w:rPr>
          <w:rFonts w:ascii="宋体" w:hAnsi="宋体" w:eastAsia="宋体" w:cs="Times New Roman"/>
          <w:b/>
          <w:bCs/>
          <w:szCs w:val="21"/>
        </w:rPr>
      </w:pP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四、项目需求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（一）项目期限。项目期限为2023年1月1日至2025年12月31日。</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（二）项目价格及要求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1．采购人提供有关统计数据供投标人进行投标价格测算。</w:t>
      </w:r>
      <w:r>
        <w:rPr>
          <w:rFonts w:hint="eastAsia" w:ascii="宋体" w:hAnsi="宋体" w:eastAsia="宋体" w:cs="Times New Roman"/>
          <w:b/>
          <w:bCs/>
          <w:szCs w:val="21"/>
        </w:rPr>
        <w:t>2023年全市大病保险参保人员每人每年保费价格，以各中标人价格的加权平均值确定（各中标人承保份额比例乘以价格之和）。</w:t>
      </w:r>
      <w:r>
        <w:rPr>
          <w:rFonts w:hint="eastAsia" w:ascii="宋体" w:hAnsi="宋体" w:eastAsia="宋体" w:cs="Times New Roman"/>
          <w:szCs w:val="21"/>
        </w:rPr>
        <w:t>2024年保费在2023年基础上递增 7%，2025年保费在2024年基础上年递增7%。每年保费包含经办服务费。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b/>
          <w:bCs/>
          <w:szCs w:val="21"/>
        </w:rPr>
        <w:t>2023年投标价格最高限价为每人每年120元，投标报价高于每人每年120元的作无效投标处理</w:t>
      </w:r>
      <w:r>
        <w:rPr>
          <w:rFonts w:hint="eastAsia" w:ascii="宋体" w:hAnsi="宋体" w:eastAsia="宋体" w:cs="Times New Roman"/>
          <w:szCs w:val="21"/>
        </w:rPr>
        <w:t>。投标价格成本价计算方式：以采购人提供的全市大病保险运行数据及相关政策，按一定的增长比例，测算2023年的年人均支出金额，加上每年每个工作人员经办服务费9万元。</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采购人根据上年度末参保人数乘以当年度每人保费价格的计算金额，上半年和下半年各支付中标人50%保费，实际参保人数以当年度末参保人数计算，于次年1月底完成上年度保费收支清算，年度待遇支出金额以全市医保信息系统记录的按业务操作时间数据为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盈亏分担机制。在一个医保年度内，中标人保费收入与支出的盈亏额在3%（含）以内的，由中标人留用或承担；盈亏额3%以外部分归大病保险基金或由大病保险基金承担。盈亏额=大病保险保费-大病保险待遇赔付支出-经办服务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中标人应与采购人签订保险合同。在项目期限内，若采购人调整全市大病保险政策，中标人应按新政策执行相关规定，并经双方协商一致后另行签订补充合同明确有关事项，政策调整造成的年度应付保费及理赔支出增加或减少部分，在年度清算时按实计算，相应保费及理赔支出增减部分不纳入盈亏额统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项目考核。采购人组织相关人员和专家对中标人大病保险工作开展情况进行考核。因中标人违规操作、审核不严造成医保基金损失的，中标人要承担相应的经济和法律责任。中标人在服务分评分标准中承诺的人员、设施设备、结算支付、监管服务能力等事项，以及在投标书中承诺的合作支持等内容，将列为合作的履约必要条款，并作为考核中标人年度业绩情况的依据之一，如在年度考核中未达到承诺要求时，情节严重的采购人有权终止剩余年度的采购协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合同授予及履行。根据成交名次，确定三家保险公司为中标人，采用共保体形式统一开展舟山市大病保险工作。排名第一中标人为主承保人，在共保体中占53%份额；排名第二、三的中标人为共保人，分别占37%、10%份额。各项中标承诺以主承保人承诺为主，兼顾共保人。</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除特别规定由主承保人履行的权利和义务外，各中标人按份额履行义务、享受权利，包括做好分配的各项工作，承担规定的成本，享受规定的收益等。主承保人负责与采购人签订合同、提供大病保险服务和保费收支结算等事项，并与共保人签订协议，明确各自承担相应的义务和保险责任，主承保人和共保人之间签署的协议应及时抄送采购人。主承保人牵头组织共保人履行保险人的全部责任和义务，包括大病保险赔付、人员配置和信息网络建设等，共保人应积极配合主承保人做好各项中标承诺。在合同履行过程中需要双方协商及处理事项，由主承保人向采购人负责。</w:t>
      </w:r>
    </w:p>
    <w:p>
      <w:pPr>
        <w:spacing w:line="360" w:lineRule="auto"/>
        <w:ind w:firstLine="420" w:firstLineChars="200"/>
        <w:outlineLvl w:val="0"/>
        <w:rPr>
          <w:rFonts w:ascii="宋体" w:hAnsi="宋体" w:eastAsia="宋体" w:cs="Times New Roman"/>
          <w:szCs w:val="21"/>
        </w:rPr>
      </w:pPr>
      <w:r>
        <w:rPr>
          <w:rFonts w:hint="eastAsia" w:ascii="宋体" w:hAnsi="宋体" w:eastAsia="宋体" w:cs="Times New Roman"/>
          <w:szCs w:val="21"/>
        </w:rPr>
        <w:t>合格供应商只有3家，则中标人为3家，按排名顺序在共保体中所占份额分别为5</w:t>
      </w:r>
      <w:r>
        <w:rPr>
          <w:rFonts w:ascii="宋体" w:hAnsi="宋体" w:eastAsia="宋体" w:cs="Times New Roman"/>
          <w:szCs w:val="21"/>
        </w:rPr>
        <w:t>3</w:t>
      </w:r>
      <w:r>
        <w:rPr>
          <w:rFonts w:hint="eastAsia" w:ascii="宋体" w:hAnsi="宋体" w:eastAsia="宋体" w:cs="Times New Roman"/>
          <w:szCs w:val="21"/>
        </w:rPr>
        <w:t>%、3</w:t>
      </w:r>
      <w:r>
        <w:rPr>
          <w:rFonts w:ascii="宋体" w:hAnsi="宋体" w:eastAsia="宋体" w:cs="Times New Roman"/>
          <w:szCs w:val="21"/>
        </w:rPr>
        <w:t>7</w:t>
      </w: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w:t>
      </w:r>
    </w:p>
    <w:p>
      <w:pPr>
        <w:spacing w:line="360" w:lineRule="auto"/>
        <w:ind w:firstLine="420" w:firstLineChars="200"/>
        <w:outlineLvl w:val="0"/>
        <w:rPr>
          <w:rFonts w:ascii="宋体" w:hAnsi="宋体" w:eastAsia="宋体" w:cs="Times New Roman"/>
          <w:szCs w:val="21"/>
        </w:rPr>
      </w:pPr>
      <w:r>
        <w:rPr>
          <w:rFonts w:hint="eastAsia" w:ascii="宋体" w:hAnsi="宋体" w:eastAsia="宋体" w:cs="Times New Roman"/>
          <w:szCs w:val="21"/>
        </w:rPr>
        <w:t>（三）项目环境</w:t>
      </w:r>
    </w:p>
    <w:p>
      <w:pPr>
        <w:spacing w:line="360" w:lineRule="auto"/>
        <w:ind w:firstLine="420" w:firstLineChars="200"/>
        <w:outlineLvl w:val="0"/>
        <w:rPr>
          <w:rFonts w:ascii="宋体" w:hAnsi="宋体" w:eastAsia="宋体" w:cs="Times New Roman"/>
          <w:szCs w:val="21"/>
        </w:rPr>
      </w:pPr>
      <w:r>
        <w:rPr>
          <w:rFonts w:hint="eastAsia" w:ascii="宋体" w:hAnsi="宋体" w:eastAsia="宋体" w:cs="Times New Roman"/>
          <w:szCs w:val="21"/>
        </w:rPr>
        <w:t>1、工作环境：中标人应配备工作人员和设备承办全市大病保险经办业务，并为参保人员提供“一站式”结报服务，执行全市医保经办机构的业务和财务操作规程，其人员、办公和设施经费由中标人自行负责。全市配备专职经办人员50名，其中具有医学专业（医、药、护、医技、医疗保险）人员不少于12人，财务及信息人员不少于8人。配备稽核车辆1辆。中标人应与全市医保经办机构共同做好基本医疗保险、补充医疗保险、大病保险、医疗救助等政策制度的宣传培训、参保筹资、费用审核结报、基金监管和外出调查等工作。</w:t>
      </w:r>
    </w:p>
    <w:p>
      <w:pPr>
        <w:spacing w:line="360" w:lineRule="auto"/>
        <w:ind w:firstLine="420" w:firstLineChars="200"/>
        <w:outlineLvl w:val="0"/>
        <w:rPr>
          <w:rFonts w:ascii="宋体" w:hAnsi="宋体" w:eastAsia="宋体" w:cs="Times New Roman"/>
          <w:szCs w:val="21"/>
        </w:rPr>
      </w:pPr>
      <w:r>
        <w:rPr>
          <w:rFonts w:hint="eastAsia" w:ascii="宋体" w:hAnsi="宋体" w:eastAsia="宋体" w:cs="Times New Roman"/>
          <w:szCs w:val="21"/>
        </w:rPr>
        <w:t>2、信息技术环境：采购人负责开发和维护全市大病保险业务信息系统，提供医保系统费用审核管理接口规范。经采购人授权，中标人开展的经办服务，应在现行医疗保险信息系统中运行，为参保人员提供“一站式”实时结算服务，并及时、准确、完整的填报各类统计报表。中标人使用上述信息系统必须落实安全和保密责任，承诺所有涉及相关合作内容的信息不用于其它领域，并承担信息系统开发、维护和运行等发生的相关费用。</w:t>
      </w:r>
    </w:p>
    <w:p>
      <w:pPr>
        <w:spacing w:line="360" w:lineRule="auto"/>
        <w:ind w:firstLine="420" w:firstLineChars="200"/>
        <w:outlineLvl w:val="0"/>
        <w:rPr>
          <w:rFonts w:ascii="宋体" w:hAnsi="宋体" w:eastAsia="宋体" w:cs="Times New Roman"/>
          <w:szCs w:val="21"/>
        </w:rPr>
      </w:pPr>
    </w:p>
    <w:p>
      <w:pPr>
        <w:spacing w:line="312" w:lineRule="auto"/>
        <w:ind w:firstLine="420" w:firstLineChars="200"/>
        <w:rPr>
          <w:rFonts w:ascii="Times New Roman" w:hAnsi="Times New Roman" w:eastAsia="宋体" w:cs="Times New Roman"/>
        </w:rPr>
      </w:pPr>
    </w:p>
    <w:p>
      <w:pPr>
        <w:pageBreakBefore/>
        <w:snapToGrid w:val="0"/>
        <w:jc w:val="center"/>
        <w:rPr>
          <w:rFonts w:ascii="Times New Roman" w:hAnsi="Times New Roman" w:eastAsia="宋体" w:cs="Times New Roman"/>
          <w:sz w:val="28"/>
        </w:rPr>
      </w:pPr>
      <w:r>
        <w:rPr>
          <w:rFonts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ascii="Times New Roman" w:hAnsi="Times New Roman" w:eastAsia="宋体" w:cs="Times New Roman"/>
          <w:sz w:val="28"/>
        </w:rPr>
        <w:t>前附表</w:t>
      </w:r>
    </w:p>
    <w:tbl>
      <w:tblPr>
        <w:tblStyle w:val="38"/>
        <w:tblW w:w="992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序号</w:t>
            </w:r>
          </w:p>
        </w:tc>
        <w:tc>
          <w:tcPr>
            <w:tcW w:w="9392" w:type="dxa"/>
            <w:gridSpan w:val="4"/>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项目名称</w:t>
            </w:r>
          </w:p>
        </w:tc>
        <w:tc>
          <w:tcPr>
            <w:tcW w:w="4842" w:type="dxa"/>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舟山市大病保险商业合作项目</w:t>
            </w:r>
          </w:p>
        </w:tc>
        <w:tc>
          <w:tcPr>
            <w:tcW w:w="1084"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ascii="Times New Roman" w:hAnsi="Times New Roman" w:eastAsia="宋体" w:cs="Times New Roman"/>
                <w:b/>
              </w:rPr>
              <w:t>招标编号</w:t>
            </w:r>
          </w:p>
        </w:tc>
        <w:tc>
          <w:tcPr>
            <w:tcW w:w="1912" w:type="dxa"/>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SZGXZS2022211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采购单位名称</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舟山市医疗保障局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采购内容</w:t>
            </w:r>
          </w:p>
        </w:tc>
        <w:tc>
          <w:tcPr>
            <w:tcW w:w="7866" w:type="dxa"/>
            <w:gridSpan w:val="3"/>
            <w:tcMar>
              <w:top w:w="15" w:type="dxa"/>
              <w:left w:w="15" w:type="dxa"/>
              <w:bottom w:w="15" w:type="dxa"/>
              <w:right w:w="15" w:type="dxa"/>
            </w:tcMar>
            <w:vAlign w:val="center"/>
          </w:tcPr>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36"/>
              <w:gridCol w:w="1985"/>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序号</w:t>
                  </w:r>
                </w:p>
              </w:tc>
              <w:tc>
                <w:tcPr>
                  <w:tcW w:w="1736" w:type="dxa"/>
                  <w:tcBorders>
                    <w:right w:val="single" w:color="auto" w:sz="4" w:space="0"/>
                  </w:tcBorders>
                  <w:vAlign w:val="center"/>
                </w:tcPr>
                <w:p>
                  <w:pPr>
                    <w:widowControl/>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项目名称及内容</w:t>
                  </w:r>
                </w:p>
              </w:tc>
              <w:tc>
                <w:tcPr>
                  <w:tcW w:w="1985" w:type="dxa"/>
                  <w:tcBorders>
                    <w:left w:val="single" w:color="auto" w:sz="4" w:space="0"/>
                  </w:tcBorders>
                  <w:vAlign w:val="center"/>
                </w:tcPr>
                <w:p>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项目期限</w:t>
                  </w:r>
                </w:p>
              </w:tc>
              <w:tc>
                <w:tcPr>
                  <w:tcW w:w="2976" w:type="dxa"/>
                  <w:vAlign w:val="center"/>
                </w:tcPr>
                <w:p>
                  <w:pPr>
                    <w:widowControl/>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widowControl/>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1736" w:type="dxa"/>
                  <w:tcBorders>
                    <w:right w:val="single" w:color="auto" w:sz="4" w:space="0"/>
                  </w:tcBorders>
                  <w:vAlign w:val="center"/>
                </w:tcPr>
                <w:p>
                  <w:pPr>
                    <w:widowControl/>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舟山市大病保险商业合作项目</w:t>
                  </w:r>
                </w:p>
              </w:tc>
              <w:tc>
                <w:tcPr>
                  <w:tcW w:w="1985" w:type="dxa"/>
                  <w:tcBorders>
                    <w:left w:val="single" w:color="auto" w:sz="4" w:space="0"/>
                  </w:tcBorders>
                  <w:vAlign w:val="center"/>
                </w:tcPr>
                <w:p>
                  <w:pPr>
                    <w:widowControl/>
                    <w:jc w:val="left"/>
                    <w:rPr>
                      <w:rFonts w:ascii="Times New Roman" w:hAnsi="Times New Roman" w:eastAsia="宋体" w:cs="Times New Roman"/>
                      <w:kern w:val="0"/>
                      <w:sz w:val="20"/>
                      <w:szCs w:val="21"/>
                    </w:rPr>
                  </w:pPr>
                  <w:r>
                    <w:rPr>
                      <w:rFonts w:hint="eastAsia" w:ascii="宋体" w:hAnsi="宋体" w:eastAsia="宋体" w:cs="宋体"/>
                      <w:kern w:val="0"/>
                      <w:sz w:val="20"/>
                      <w:szCs w:val="21"/>
                    </w:rPr>
                    <w:t>2023年1月1日至2025年12月31日</w:t>
                  </w:r>
                </w:p>
              </w:tc>
              <w:tc>
                <w:tcPr>
                  <w:tcW w:w="2976" w:type="dxa"/>
                  <w:vAlign w:val="center"/>
                </w:tcPr>
                <w:p>
                  <w:pPr>
                    <w:widowControl/>
                    <w:ind w:firstLine="800" w:firstLineChars="400"/>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36000</w:t>
                  </w:r>
                  <w:r>
                    <w:rPr>
                      <w:rFonts w:hint="eastAsia" w:ascii="Times New Roman" w:hAnsi="Times New Roman" w:eastAsia="宋体" w:cs="Times New Roman"/>
                      <w:kern w:val="0"/>
                      <w:sz w:val="20"/>
                      <w:szCs w:val="21"/>
                    </w:rPr>
                    <w:t>万元</w:t>
                  </w:r>
                </w:p>
                <w:p>
                  <w:pPr>
                    <w:widowControl/>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（2023年投标价格最高限价为每人每年120元，投标报价高于每人每年120元的作无效投标处理）</w:t>
                  </w:r>
                </w:p>
              </w:tc>
            </w:tr>
          </w:tbl>
          <w:p>
            <w:pPr>
              <w:spacing w:after="120"/>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本项目预算</w:t>
            </w:r>
          </w:p>
        </w:tc>
        <w:tc>
          <w:tcPr>
            <w:tcW w:w="7866" w:type="dxa"/>
            <w:gridSpan w:val="3"/>
            <w:tcMar>
              <w:top w:w="15" w:type="dxa"/>
              <w:left w:w="15" w:type="dxa"/>
              <w:bottom w:w="15" w:type="dxa"/>
              <w:right w:w="15" w:type="dxa"/>
            </w:tcMar>
            <w:vAlign w:val="center"/>
          </w:tcPr>
          <w:p>
            <w:pPr>
              <w:spacing w:line="240" w:lineRule="exact"/>
              <w:jc w:val="left"/>
              <w:rPr>
                <w:rFonts w:ascii="Times New Roman" w:hAnsi="Times New Roman" w:eastAsia="宋体" w:cs="Times New Roman"/>
                <w:bCs/>
                <w:szCs w:val="21"/>
              </w:rPr>
            </w:pPr>
            <w:r>
              <w:rPr>
                <w:rFonts w:hint="eastAsia" w:ascii="宋体" w:hAnsi="宋体" w:eastAsia="宋体" w:cs="Times New Roman"/>
                <w:bCs/>
                <w:szCs w:val="21"/>
              </w:rPr>
              <w:t>2023年投标价格最高限价为每人每年120元，投标报价高于每人每年120元的作无效投标处理。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rPr>
              <w:t>项目期限</w:t>
            </w:r>
          </w:p>
        </w:tc>
        <w:tc>
          <w:tcPr>
            <w:tcW w:w="786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宋体" w:hAnsi="宋体" w:eastAsia="宋体" w:cs="Times New Roman"/>
                <w:szCs w:val="21"/>
              </w:rPr>
              <w:t>2023年1月1日至2025年12月31日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投标有效期</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90 日</w:t>
            </w:r>
            <w:r>
              <w:rPr>
                <w:rFonts w:ascii="Times New Roman" w:hAnsi="Times New Roman"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评标办法</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签订合同</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中标通知书发出后</w:t>
            </w:r>
            <w:r>
              <w:rPr>
                <w:rFonts w:ascii="Times New Roman" w:hAnsi="Times New Roman" w:eastAsia="宋体" w:cs="Times New Roman"/>
                <w:szCs w:val="21"/>
                <w:u w:val="single"/>
              </w:rPr>
              <w:t xml:space="preserve">30 </w:t>
            </w:r>
            <w:r>
              <w:rPr>
                <w:rFonts w:ascii="Times New Roman" w:hAnsi="Times New Roman" w:eastAsia="宋体" w:cs="Times New Roman"/>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资金结算</w:t>
            </w:r>
          </w:p>
        </w:tc>
        <w:tc>
          <w:tcPr>
            <w:tcW w:w="7866" w:type="dxa"/>
            <w:gridSpan w:val="3"/>
            <w:tcMar>
              <w:top w:w="15" w:type="dxa"/>
              <w:left w:w="15" w:type="dxa"/>
              <w:bottom w:w="15" w:type="dxa"/>
              <w:right w:w="15" w:type="dxa"/>
            </w:tcMar>
            <w:vAlign w:val="center"/>
          </w:tcPr>
          <w:p>
            <w:pPr>
              <w:snapToGrid w:val="0"/>
              <w:textAlignment w:val="baseline"/>
              <w:rPr>
                <w:rFonts w:ascii="宋体" w:hAnsi="宋体" w:eastAsia="宋体" w:cs="Times New Roman"/>
                <w:bCs/>
                <w:szCs w:val="21"/>
              </w:rPr>
            </w:pPr>
            <w:r>
              <w:rPr>
                <w:rFonts w:hint="eastAsia" w:ascii="宋体" w:hAnsi="宋体" w:eastAsia="宋体" w:cs="Times New Roman"/>
                <w:szCs w:val="21"/>
              </w:rPr>
              <w:t>采购人根据上年度末参保人数乘以当年度每人保费价格的计算金额，上半年和下半年各支付中标人50%保费，实际参保人数以当年度末参保人数计算，于次年1月底完成上年度保费收支清算，年度待遇支出金额以全市医保信息系统记录的按业务操作时间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与费用</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本项目的投标应以人民币报价，投标报价应包括所有费用。</w:t>
            </w:r>
          </w:p>
          <w:p>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w:t>
            </w:r>
            <w:r>
              <w:rPr>
                <w:rFonts w:ascii="Times New Roman" w:hAnsi="Times New Roman" w:eastAsia="宋体" w:cs="Times New Roman"/>
                <w:bCs/>
                <w:szCs w:val="21"/>
              </w:rPr>
              <w:t>标人应承担其参加本招标活动自身所发生的费用。</w:t>
            </w:r>
          </w:p>
          <w:p>
            <w:pPr>
              <w:spacing w:line="240" w:lineRule="exact"/>
              <w:rPr>
                <w:rFonts w:ascii="Times New Roman" w:hAnsi="Times New Roman" w:eastAsia="宋体" w:cs="Times New Roman"/>
                <w:b/>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中标</w:t>
            </w:r>
            <w:r>
              <w:rPr>
                <w:rFonts w:hint="eastAsia" w:ascii="Times New Roman" w:hAnsi="Times New Roman" w:eastAsia="宋体" w:cs="Times New Roman"/>
                <w:bCs/>
                <w:szCs w:val="21"/>
              </w:rPr>
              <w:t>人</w:t>
            </w:r>
            <w:r>
              <w:rPr>
                <w:rFonts w:ascii="Times New Roman" w:hAnsi="Times New Roman" w:eastAsia="宋体" w:cs="Times New Roman"/>
                <w:bCs/>
                <w:szCs w:val="21"/>
              </w:rPr>
              <w:t>须缴纳招标代理费，收费</w:t>
            </w:r>
            <w:r>
              <w:rPr>
                <w:rFonts w:hint="eastAsia" w:ascii="Times New Roman" w:hAnsi="Times New Roman" w:eastAsia="宋体" w:cs="Times New Roman"/>
                <w:bCs/>
                <w:szCs w:val="21"/>
              </w:rPr>
              <w:t>金额</w:t>
            </w:r>
            <w:r>
              <w:rPr>
                <w:rFonts w:ascii="Times New Roman" w:hAnsi="Times New Roman" w:eastAsia="宋体" w:cs="Times New Roman"/>
                <w:bCs/>
                <w:szCs w:val="21"/>
              </w:rPr>
              <w:t>为：</w:t>
            </w:r>
            <w:r>
              <w:rPr>
                <w:rFonts w:ascii="Times New Roman" w:hAnsi="Times New Roman" w:eastAsia="宋体" w:cs="Times New Roman"/>
                <w:b/>
                <w:szCs w:val="21"/>
              </w:rPr>
              <w:t>人民币</w:t>
            </w:r>
            <w:r>
              <w:rPr>
                <w:rFonts w:hint="eastAsia" w:ascii="Times New Roman" w:hAnsi="Times New Roman" w:eastAsia="宋体" w:cs="Times New Roman"/>
                <w:b/>
                <w:szCs w:val="21"/>
              </w:rPr>
              <w:t>捌万元</w:t>
            </w:r>
            <w:r>
              <w:rPr>
                <w:rFonts w:ascii="Times New Roman" w:hAnsi="Times New Roman" w:eastAsia="宋体" w:cs="Times New Roman"/>
                <w:b/>
                <w:szCs w:val="21"/>
              </w:rPr>
              <w:t>整（</w:t>
            </w:r>
            <w:r>
              <w:rPr>
                <w:rFonts w:hint="eastAsia" w:ascii="Times New Roman" w:hAnsi="Times New Roman" w:eastAsia="宋体" w:cs="Times New Roman"/>
                <w:b/>
                <w:szCs w:val="21"/>
              </w:rPr>
              <w:t>8</w:t>
            </w:r>
            <w:r>
              <w:rPr>
                <w:rFonts w:ascii="Times New Roman" w:hAnsi="Times New Roman" w:eastAsia="宋体" w:cs="Times New Roman"/>
                <w:b/>
                <w:szCs w:val="21"/>
              </w:rPr>
              <w:t>0</w:t>
            </w:r>
            <w:r>
              <w:rPr>
                <w:rFonts w:hint="eastAsia" w:ascii="Times New Roman" w:hAnsi="Times New Roman" w:eastAsia="宋体" w:cs="Times New Roman"/>
                <w:b/>
                <w:szCs w:val="21"/>
              </w:rPr>
              <w:t>,</w:t>
            </w:r>
            <w:r>
              <w:rPr>
                <w:rFonts w:ascii="Times New Roman" w:hAnsi="Times New Roman" w:eastAsia="宋体" w:cs="Times New Roman"/>
                <w:b/>
                <w:szCs w:val="21"/>
              </w:rPr>
              <w:t>000.00元）。</w:t>
            </w:r>
            <w:r>
              <w:rPr>
                <w:rFonts w:hint="eastAsia" w:ascii="Times New Roman" w:hAnsi="Times New Roman" w:eastAsia="宋体" w:cs="Times New Roman"/>
                <w:b/>
                <w:szCs w:val="21"/>
              </w:rPr>
              <w:t>按共保体中所占份额收取。</w:t>
            </w:r>
          </w:p>
          <w:p>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中标通知书发出的同时，中标</w:t>
            </w:r>
            <w:r>
              <w:rPr>
                <w:rFonts w:hint="eastAsia" w:ascii="Times New Roman" w:hAnsi="Times New Roman" w:eastAsia="宋体" w:cs="Times New Roman"/>
              </w:rPr>
              <w:t>人</w:t>
            </w:r>
            <w:r>
              <w:rPr>
                <w:rFonts w:ascii="Times New Roman" w:hAnsi="Times New Roman" w:eastAsia="宋体" w:cs="Times New Roman"/>
              </w:rPr>
              <w:t>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银行账号</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收款单位：深圳市国信招标有限公司舟山分公司</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开户银行：中国工商银行舟山市定海区支行</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质量标准</w:t>
            </w:r>
          </w:p>
        </w:tc>
        <w:tc>
          <w:tcPr>
            <w:tcW w:w="786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13</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组成</w:t>
            </w:r>
          </w:p>
        </w:tc>
        <w:tc>
          <w:tcPr>
            <w:tcW w:w="7866" w:type="dxa"/>
            <w:gridSpan w:val="3"/>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ascii="Times New Roman" w:hAnsi="Times New Roman" w:eastAsia="宋体" w:cs="Times New Roman"/>
                <w:b/>
              </w:rPr>
              <w:t>制作</w:t>
            </w:r>
          </w:p>
        </w:tc>
        <w:tc>
          <w:tcPr>
            <w:tcW w:w="786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本项目实行电子投标。</w:t>
            </w:r>
          </w:p>
          <w:p>
            <w:pPr>
              <w:rPr>
                <w:rFonts w:ascii="Times New Roman" w:hAnsi="Times New Roman" w:eastAsia="宋体" w:cs="Times New Roman"/>
                <w:szCs w:val="21"/>
              </w:rPr>
            </w:pPr>
            <w:r>
              <w:rPr>
                <w:rFonts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ascii="Times New Roman" w:hAnsi="Times New Roman" w:eastAsia="宋体" w:cs="Times New Roman"/>
                <w:szCs w:val="21"/>
              </w:rPr>
              <w:t>（1）电子投标文件，按政采云平台项目采购-电子交易操作指南及本招标文件要求递交。</w:t>
            </w:r>
          </w:p>
          <w:p>
            <w:pPr>
              <w:rPr>
                <w:rFonts w:ascii="Times New Roman" w:hAnsi="Times New Roman" w:eastAsia="宋体" w:cs="Times New Roman"/>
                <w:szCs w:val="21"/>
              </w:rPr>
            </w:pPr>
            <w:r>
              <w:rPr>
                <w:rFonts w:ascii="Times New Roman" w:hAnsi="Times New Roman" w:eastAsia="宋体" w:cs="Times New Roman"/>
                <w:szCs w:val="21"/>
              </w:rPr>
              <w:t>（2）以介质存储的数据电文形式的备份投标文件，按政采云平台项目采购-电子交易操作指南中上传的电子投标文件格式，以U盘形式存储提供。数量为1份。</w:t>
            </w:r>
          </w:p>
          <w:p>
            <w:pPr>
              <w:rPr>
                <w:rFonts w:ascii="Times New Roman" w:hAnsi="Times New Roman" w:eastAsia="宋体" w:cs="Times New Roman"/>
                <w:szCs w:val="21"/>
              </w:rPr>
            </w:pPr>
            <w:r>
              <w:rPr>
                <w:rFonts w:ascii="Times New Roman" w:hAnsi="Times New Roman" w:eastAsia="宋体" w:cs="Times New Roman"/>
                <w:szCs w:val="21"/>
              </w:rPr>
              <w:t>（3）纸质备份投标文件将以纸质文件的形式递交。数量为：正本、副本各1份。（报价文件正本一份，副本一份，单独密封）</w:t>
            </w:r>
          </w:p>
          <w:p>
            <w:pPr>
              <w:rPr>
                <w:rFonts w:ascii="Times New Roman" w:hAnsi="Times New Roman" w:eastAsia="宋体" w:cs="Times New Roman"/>
                <w:szCs w:val="21"/>
              </w:rPr>
            </w:pPr>
            <w:r>
              <w:rPr>
                <w:rFonts w:ascii="Times New Roman" w:hAnsi="Times New Roman" w:eastAsia="宋体" w:cs="Times New Roman"/>
                <w:szCs w:val="21"/>
              </w:rPr>
              <w:t>投标文件均由资格响应文件、商务及技术响应文件、报价文件组成。</w:t>
            </w:r>
          </w:p>
          <w:p>
            <w:pPr>
              <w:rPr>
                <w:rFonts w:ascii="Times New Roman" w:hAnsi="Times New Roman" w:eastAsia="宋体" w:cs="Times New Roman"/>
                <w:sz w:val="22"/>
              </w:rPr>
            </w:pPr>
            <w:r>
              <w:rPr>
                <w:rFonts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ascii="Times New Roman" w:hAnsi="Times New Roman" w:eastAsia="宋体" w:cs="Times New Roman"/>
                <w:b/>
              </w:rPr>
              <w:t>组成</w:t>
            </w:r>
          </w:p>
        </w:tc>
        <w:tc>
          <w:tcPr>
            <w:tcW w:w="7866" w:type="dxa"/>
            <w:gridSpan w:val="3"/>
            <w:tcMar>
              <w:top w:w="15" w:type="dxa"/>
              <w:left w:w="15" w:type="dxa"/>
              <w:bottom w:w="15" w:type="dxa"/>
              <w:right w:w="15" w:type="dxa"/>
            </w:tcMar>
            <w:vAlign w:val="center"/>
          </w:tcPr>
          <w:p>
            <w:pPr>
              <w:rPr>
                <w:rFonts w:ascii="Times New Roman" w:hAnsi="Times New Roman" w:eastAsia="宋体" w:cs="Times New Roman"/>
                <w:sz w:val="22"/>
              </w:rPr>
            </w:pPr>
            <w:r>
              <w:rPr>
                <w:rFonts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Times New Roman" w:hAnsi="Times New Roman" w:eastAsia="宋体" w:cs="Times New Roman"/>
                <w:sz w:val="22"/>
              </w:rPr>
            </w:pPr>
            <w:r>
              <w:rPr>
                <w:rFonts w:ascii="Times New Roman" w:hAnsi="Times New Roman" w:eastAsia="宋体" w:cs="Times New Roman"/>
                <w:sz w:val="22"/>
              </w:rPr>
              <w:t>投标人应当在规定时间前将以介质存储的数据电文形式的备份投标文件和纸质备份投标文件寄到或送达采购代理公司</w:t>
            </w:r>
            <w:r>
              <w:rPr>
                <w:rFonts w:hint="eastAsia" w:ascii="Times New Roman" w:hAnsi="Times New Roman" w:eastAsia="宋体" w:cs="Times New Roman"/>
                <w:sz w:val="22"/>
              </w:rPr>
              <w:t>。地址：</w:t>
            </w:r>
            <w:r>
              <w:rPr>
                <w:rFonts w:ascii="Times New Roman" w:hAnsi="Times New Roman" w:eastAsia="宋体" w:cs="Times New Roman"/>
                <w:sz w:val="22"/>
              </w:rPr>
              <w:t>舟山市定海区昌国路232号中楼202</w:t>
            </w:r>
            <w:r>
              <w:rPr>
                <w:rFonts w:ascii="Times New Roman" w:hAnsi="Times New Roman" w:eastAsia="宋体" w:cs="Times New Roman"/>
                <w:szCs w:val="21"/>
              </w:rPr>
              <w:t>深圳市国信招标有限公司舟山分公司</w:t>
            </w:r>
            <w:r>
              <w:rPr>
                <w:rFonts w:ascii="Times New Roman" w:hAnsi="Times New Roman" w:eastAsia="宋体" w:cs="Times New Roman"/>
                <w:sz w:val="22"/>
              </w:rPr>
              <w:t>。逾期送达或未密封将被拒收。也可现场递交。</w:t>
            </w:r>
          </w:p>
          <w:p>
            <w:pPr>
              <w:rPr>
                <w:rFonts w:ascii="Times New Roman" w:hAnsi="Times New Roman" w:eastAsia="宋体" w:cs="Times New Roman"/>
                <w:sz w:val="22"/>
              </w:rPr>
            </w:pPr>
            <w:r>
              <w:rPr>
                <w:rFonts w:ascii="Times New Roman" w:hAnsi="Times New Roman" w:eastAsia="宋体" w:cs="Times New Roman"/>
                <w:sz w:val="22"/>
              </w:rPr>
              <w:t>投标人递交以介质存储的数据电文形式的备份投标文件和纸质备份投标文件时，如出现下列情况之一的，将被拒收：</w:t>
            </w:r>
          </w:p>
          <w:p>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未按规定密封或标记的投标文件；</w:t>
            </w:r>
          </w:p>
          <w:p>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w:t>
            </w:r>
            <w:r>
              <w:rPr>
                <w:rFonts w:ascii="Times New Roman" w:hAnsi="Times New Roman" w:eastAsia="宋体" w:cs="Times New Roman"/>
                <w:sz w:val="22"/>
              </w:rPr>
              <w:t>由于包装不妥，在送交途中严重破损或失散的；</w:t>
            </w:r>
          </w:p>
          <w:p>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w:t>
            </w:r>
            <w:r>
              <w:rPr>
                <w:rFonts w:ascii="Times New Roman" w:hAnsi="Times New Roman" w:eastAsia="宋体" w:cs="Times New Roman"/>
                <w:sz w:val="22"/>
              </w:rPr>
              <w:t>未成功办理投标人报名手续的；</w:t>
            </w:r>
          </w:p>
          <w:p>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w:t>
            </w:r>
            <w:r>
              <w:rPr>
                <w:rFonts w:ascii="Times New Roman" w:hAnsi="Times New Roman" w:eastAsia="宋体" w:cs="Times New Roman"/>
                <w:sz w:val="22"/>
              </w:rPr>
              <w:t>超过截止时间送达的；</w:t>
            </w:r>
          </w:p>
          <w:p>
            <w:pPr>
              <w:rPr>
                <w:rFonts w:ascii="Times New Roman" w:hAnsi="Times New Roman" w:eastAsia="宋体" w:cs="Times New Roman"/>
                <w:sz w:val="22"/>
              </w:rPr>
            </w:pPr>
            <w:r>
              <w:rPr>
                <w:rFonts w:ascii="Times New Roman" w:hAnsi="Times New Roman" w:eastAsia="宋体" w:cs="Times New Roman"/>
                <w:sz w:val="22"/>
              </w:rPr>
              <w:t>仅提供备份投标文件的，投标无效。</w:t>
            </w:r>
          </w:p>
          <w:p>
            <w:pPr>
              <w:rPr>
                <w:rFonts w:ascii="Times New Roman" w:hAnsi="Times New Roman" w:eastAsia="宋体" w:cs="Times New Roman"/>
                <w:sz w:val="22"/>
              </w:rPr>
            </w:pPr>
            <w:r>
              <w:rPr>
                <w:rFonts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16</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投标人注册</w:t>
            </w:r>
          </w:p>
        </w:tc>
        <w:tc>
          <w:tcPr>
            <w:tcW w:w="7866" w:type="dxa"/>
            <w:gridSpan w:val="3"/>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ascii="Times New Roman" w:hAnsi="Times New Roman" w:eastAsia="宋体" w:cs="Times New Roman"/>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17</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不良信用记录查询</w:t>
            </w:r>
          </w:p>
        </w:tc>
        <w:tc>
          <w:tcPr>
            <w:tcW w:w="786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根据财库[2016]125号文件：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至本项目投标截止前未被列入“信用中国”网站(www.creditchina.gov.cn)“记录失信被执行人或重大税收违法案件当事人名单”记录名单。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至本项目投标截止前不处于中国政府采购网(www.ccgp.gov.cn)“政府采购严重违法失信行为信息记录”中的禁止参加政府采购活动期间。</w:t>
            </w:r>
          </w:p>
          <w:p>
            <w:pPr>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b/>
              </w:rPr>
              <w:t>查询截图，（截图查询网站时间须在开标截止前二个星期内）。</w:t>
            </w:r>
            <w:r>
              <w:rPr>
                <w:rFonts w:ascii="Times New Roman" w:hAnsi="Times New Roman" w:eastAsia="宋体" w:cs="Times New Roman"/>
                <w:szCs w:val="21"/>
              </w:rPr>
              <w:t>对列入失信被执行人、重大税收违法案件当事人名单、政府采购严重违法失信行为记录名单的供应商，</w:t>
            </w:r>
            <w:r>
              <w:rPr>
                <w:rFonts w:ascii="Times New Roman" w:hAnsi="Times New Roman" w:eastAsia="宋体" w:cs="Times New Roman"/>
                <w:b/>
                <w:szCs w:val="21"/>
              </w:rPr>
              <w:t>其投标将作无效标处理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中小企业有关政策</w:t>
            </w:r>
          </w:p>
        </w:tc>
        <w:tc>
          <w:tcPr>
            <w:tcW w:w="7866" w:type="dxa"/>
            <w:gridSpan w:val="3"/>
            <w:tcMar>
              <w:top w:w="15" w:type="dxa"/>
              <w:left w:w="15" w:type="dxa"/>
              <w:bottom w:w="15" w:type="dxa"/>
              <w:right w:w="15" w:type="dxa"/>
            </w:tcMar>
            <w:vAlign w:val="center"/>
          </w:tcPr>
          <w:p>
            <w:pPr>
              <w:snapToGrid w:val="0"/>
              <w:rPr>
                <w:rFonts w:ascii="宋体" w:hAnsi="宋体" w:eastAsia="宋体" w:cs="Times New Roman"/>
                <w:szCs w:val="21"/>
              </w:rPr>
            </w:pPr>
            <w:r>
              <w:rPr>
                <w:rFonts w:hint="eastAsia" w:ascii="Times New Roman" w:hAnsi="Times New Roman" w:eastAsia="宋体" w:cs="Times New Roman"/>
                <w:szCs w:val="21"/>
              </w:rPr>
              <w:t>（</w:t>
            </w:r>
            <w:r>
              <w:rPr>
                <w:rFonts w:hint="eastAsia" w:ascii="宋体" w:hAnsi="宋体" w:eastAsia="宋体" w:cs="Times New Roman"/>
                <w:szCs w:val="21"/>
              </w:rPr>
              <w:t>1）根据财政部财库〔2022〕19号《关于进一步加大政府采购支持中小企业力度的通知》、《浙江省贯彻落实国务院扎实稳住经济一揽子政策措施实施方案》（浙政发[2022]14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w:t>
            </w:r>
            <w:r>
              <w:rPr>
                <w:rFonts w:hint="eastAsia" w:ascii="宋体" w:hAnsi="宋体" w:eastAsia="宋体" w:cs="Times New Roman"/>
                <w:b/>
                <w:bCs/>
                <w:szCs w:val="21"/>
              </w:rPr>
              <w:t>其他未列明行业</w:t>
            </w:r>
            <w:r>
              <w:rPr>
                <w:rFonts w:hint="eastAsia" w:ascii="宋体" w:hAnsi="宋体" w:eastAsia="宋体" w:cs="Times New Roman"/>
                <w:szCs w:val="21"/>
              </w:rPr>
              <w:t>。</w:t>
            </w:r>
          </w:p>
          <w:p>
            <w:pPr>
              <w:snapToGrid w:val="0"/>
              <w:rPr>
                <w:rFonts w:ascii="宋体" w:hAnsi="宋体" w:eastAsia="宋体" w:cs="Times New Roman"/>
                <w:szCs w:val="21"/>
              </w:rPr>
            </w:pPr>
            <w:r>
              <w:rPr>
                <w:rFonts w:hint="eastAsia" w:ascii="宋体" w:hAnsi="宋体" w:eastAsia="宋体" w:cs="Times New Roman"/>
                <w:szCs w:val="21"/>
              </w:rPr>
              <w:t>未提供完整证明材料的，投标报价不予扣减。</w:t>
            </w:r>
          </w:p>
          <w:p>
            <w:pPr>
              <w:snapToGrid w:val="0"/>
              <w:rPr>
                <w:rFonts w:ascii="宋体" w:hAnsi="宋体" w:eastAsia="宋体" w:cs="Times New Roman"/>
                <w:szCs w:val="21"/>
              </w:rPr>
            </w:pPr>
            <w:r>
              <w:rPr>
                <w:rFonts w:hint="eastAsia" w:ascii="宋体" w:hAnsi="宋体" w:eastAsia="宋体" w:cs="Times New Roman"/>
                <w:szCs w:val="21"/>
              </w:rPr>
              <w:t>（2）根据《关于政府采购支持监狱企业发展有关问题的通知》（财库[2014]68号）的规定，供应商如为监狱企业且所投产品为小型或微型企业生产的，其投标报价扣除20%后参与评审。</w:t>
            </w:r>
          </w:p>
          <w:p>
            <w:pPr>
              <w:snapToGrid w:val="0"/>
              <w:rPr>
                <w:rFonts w:ascii="宋体" w:hAnsi="宋体" w:eastAsia="宋体" w:cs="Times New Roman"/>
                <w:szCs w:val="21"/>
              </w:rPr>
            </w:pPr>
            <w:r>
              <w:rPr>
                <w:rFonts w:hint="eastAsia" w:ascii="宋体" w:hAnsi="宋体"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rFonts w:ascii="宋体" w:hAnsi="宋体" w:eastAsia="宋体" w:cs="Times New Roman"/>
                <w:szCs w:val="21"/>
              </w:rPr>
            </w:pPr>
            <w:r>
              <w:rPr>
                <w:rFonts w:hint="eastAsia" w:ascii="宋体" w:hAnsi="宋体" w:eastAsia="宋体" w:cs="Times New Roman"/>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rFonts w:ascii="宋体" w:hAnsi="宋体" w:eastAsia="宋体" w:cs="Times New Roman"/>
                <w:szCs w:val="21"/>
              </w:rPr>
            </w:pPr>
            <w:r>
              <w:rPr>
                <w:rFonts w:hint="eastAsia" w:ascii="宋体" w:hAnsi="宋体" w:eastAsia="宋体" w:cs="Times New Roman"/>
                <w:szCs w:val="21"/>
              </w:rPr>
              <w:t>投标文件中须提供：《残疾人福利性单位声明函》，未提供完整证明材料的，投标报价不予扣减。</w:t>
            </w:r>
          </w:p>
          <w:p>
            <w:pPr>
              <w:snapToGrid w:val="0"/>
              <w:rPr>
                <w:rFonts w:ascii="宋体" w:hAnsi="宋体" w:eastAsia="宋体" w:cs="Times New Roman"/>
                <w:szCs w:val="21"/>
              </w:rPr>
            </w:pPr>
            <w:r>
              <w:rPr>
                <w:rFonts w:hint="eastAsia" w:ascii="宋体" w:hAnsi="宋体" w:eastAsia="宋体" w:cs="Times New Roman"/>
                <w:szCs w:val="21"/>
              </w:rPr>
              <w:t>上述（1），（2），（3）政策不重复计算。</w:t>
            </w:r>
          </w:p>
          <w:p>
            <w:pPr>
              <w:snapToGrid w:val="0"/>
              <w:rPr>
                <w:rFonts w:ascii="Times New Roman" w:hAnsi="Times New Roman" w:eastAsia="宋体" w:cs="Times New Roman"/>
                <w:b/>
                <w:szCs w:val="21"/>
              </w:rPr>
            </w:pPr>
            <w:r>
              <w:rPr>
                <w:rFonts w:hint="eastAsia" w:ascii="宋体" w:hAnsi="宋体" w:eastAsia="宋体" w:cs="Times New Roman"/>
                <w:szCs w:val="21"/>
              </w:rPr>
              <w:t>此项由评标委员会集体核实后统一打分。</w:t>
            </w:r>
          </w:p>
        </w:tc>
      </w:tr>
    </w:tbl>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r>
        <w:rPr>
          <w:rFonts w:ascii="Times New Roman" w:hAnsi="Times New Roman" w:eastAsia="宋体" w:cs="Times New Roman"/>
          <w:b/>
          <w:sz w:val="28"/>
        </w:rPr>
        <w:t>一、总则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本招标文件适用于</w:t>
      </w:r>
      <w:r>
        <w:rPr>
          <w:rFonts w:hint="eastAsia" w:ascii="Times New Roman" w:hAnsi="Times New Roman" w:eastAsia="宋体" w:cs="Times New Roman"/>
          <w:bCs/>
        </w:rPr>
        <w:t>舟山市大病保险商业合作项目</w:t>
      </w:r>
      <w:r>
        <w:rPr>
          <w:rFonts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采购人</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bCs/>
        </w:rPr>
        <w:t>舟山市医疗保障局</w:t>
      </w:r>
      <w:r>
        <w:rPr>
          <w:rFonts w:ascii="Times New Roman" w:hAnsi="Times New Roman" w:eastAsia="宋体" w:cs="Times New Roman"/>
        </w:rPr>
        <w:t>。</w:t>
      </w:r>
    </w:p>
    <w:p>
      <w:pPr>
        <w:spacing w:after="120"/>
        <w:ind w:firstLine="210" w:firstLineChars="100"/>
        <w:rPr>
          <w:rFonts w:ascii="Times New Roman" w:hAnsi="Calibri" w:eastAsia="宋体" w:cs="Times New Roman"/>
          <w:kern w:val="0"/>
        </w:rPr>
      </w:pPr>
      <w:r>
        <w:rPr>
          <w:rFonts w:hint="eastAsia" w:ascii="Times New Roman" w:hAnsi="Calibri" w:eastAsia="宋体" w:cs="Times New Roman"/>
          <w:kern w:val="0"/>
        </w:rPr>
        <w:t xml:space="preserve">  2. “采购代理机构”系指</w:t>
      </w:r>
      <w:r>
        <w:rPr>
          <w:rFonts w:ascii="Times New Roman" w:hAnsi="Calibri" w:eastAsia="宋体" w:cs="Times New Roman"/>
          <w:kern w:val="0"/>
        </w:rPr>
        <w:t>组织本次招标的深圳</w:t>
      </w:r>
      <w:r>
        <w:rPr>
          <w:rFonts w:hint="eastAsia" w:ascii="Times New Roman" w:hAnsi="Calibri" w:eastAsia="宋体" w:cs="Times New Roman"/>
          <w:kern w:val="0"/>
        </w:rPr>
        <w:t>市</w:t>
      </w:r>
      <w:r>
        <w:rPr>
          <w:rFonts w:ascii="Times New Roman" w:hAnsi="Calibri" w:eastAsia="宋体" w:cs="Times New Roman"/>
          <w:kern w:val="0"/>
        </w:rPr>
        <w:t>国信招标有限公司</w:t>
      </w:r>
      <w:r>
        <w:rPr>
          <w:rFonts w:hint="eastAsia" w:ascii="Times New Roman" w:hAnsi="Calibri" w:eastAsia="宋体" w:cs="Times New Roman"/>
          <w:kern w:val="0"/>
        </w:rPr>
        <w:t>。</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投标人</w:t>
      </w:r>
      <w:r>
        <w:rPr>
          <w:rFonts w:hint="eastAsia" w:ascii="Times New Roman" w:hAnsi="Times New Roman" w:eastAsia="宋体" w:cs="Times New Roman"/>
        </w:rPr>
        <w:t>”</w:t>
      </w:r>
      <w:r>
        <w:rPr>
          <w:rFonts w:ascii="Times New Roman" w:hAnsi="Times New Roman" w:eastAsia="宋体" w:cs="Times New Roman"/>
        </w:rPr>
        <w:t>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产品</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rPr>
        <w:t>投标人</w:t>
      </w:r>
      <w:r>
        <w:rPr>
          <w:rFonts w:ascii="Times New Roman" w:hAnsi="Times New Roman" w:eastAsia="宋体" w:cs="Times New Roman"/>
        </w:rPr>
        <w:t>按招标文件规定，须向采购人提供的手册及其它有关技术资料和材料。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服务</w:t>
      </w:r>
      <w:r>
        <w:rPr>
          <w:rFonts w:hint="eastAsia" w:ascii="Times New Roman" w:hAnsi="Times New Roman" w:eastAsia="宋体" w:cs="Times New Roman"/>
        </w:rPr>
        <w:t>”</w:t>
      </w:r>
      <w:r>
        <w:rPr>
          <w:rFonts w:ascii="Times New Roman" w:hAnsi="Times New Roman" w:eastAsia="宋体" w:cs="Times New Roman"/>
        </w:rPr>
        <w:t>系指招标文件规定投标人须承担的的义务。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项目</w:t>
      </w:r>
      <w:r>
        <w:rPr>
          <w:rFonts w:hint="eastAsia" w:ascii="Times New Roman" w:hAnsi="Times New Roman" w:eastAsia="宋体" w:cs="Times New Roman"/>
        </w:rPr>
        <w:t>”</w:t>
      </w:r>
      <w:r>
        <w:rPr>
          <w:rFonts w:ascii="Times New Roman" w:hAnsi="Times New Roman" w:eastAsia="宋体" w:cs="Times New Roman"/>
        </w:rPr>
        <w:t>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书面形式</w:t>
      </w:r>
      <w:r>
        <w:rPr>
          <w:rFonts w:hint="eastAsia" w:ascii="Times New Roman" w:hAnsi="Times New Roman" w:eastAsia="宋体" w:cs="Times New Roman"/>
        </w:rPr>
        <w:t>”</w:t>
      </w:r>
      <w:r>
        <w:rPr>
          <w:rFonts w:ascii="Times New Roman" w:hAnsi="Times New Roman" w:eastAsia="宋体" w:cs="Times New Roman"/>
        </w:rPr>
        <w:t>包括信函、传真、电报、电子文档等。</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 xml:space="preserve">8. </w:t>
      </w:r>
      <w:r>
        <w:rPr>
          <w:rFonts w:ascii="Times New Roman" w:hAnsi="Times New Roman" w:eastAsia="宋体" w:cs="Times New Roman"/>
        </w:rPr>
        <w:t>本招标文件要求中，凡标有</w:t>
      </w:r>
      <w:r>
        <w:rPr>
          <w:rFonts w:hint="eastAsia" w:ascii="Times New Roman" w:hAnsi="Times New Roman" w:eastAsia="宋体" w:cs="Times New Roman"/>
        </w:rPr>
        <w:t>“★”</w:t>
      </w:r>
      <w:r>
        <w:rPr>
          <w:rFonts w:ascii="Times New Roman" w:hAnsi="Times New Roman" w:eastAsia="宋体" w:cs="Times New Roman"/>
        </w:rPr>
        <w:t>的地方</w:t>
      </w:r>
      <w:r>
        <w:rPr>
          <w:rFonts w:hint="eastAsia" w:ascii="Times New Roman" w:hAnsi="Times New Roman" w:eastAsia="宋体" w:cs="Times New Roman"/>
        </w:rPr>
        <w:t>（如有）</w:t>
      </w:r>
      <w:r>
        <w:rPr>
          <w:rFonts w:ascii="Times New Roman" w:hAnsi="Times New Roman" w:eastAsia="宋体" w:cs="Times New Roman"/>
        </w:rPr>
        <w:t>均被视为重要的技术指标要求或性能要求。投标人要特别加以注意，必须对此回答并完全满足这些要求。否则若有一项</w:t>
      </w:r>
      <w:r>
        <w:rPr>
          <w:rFonts w:hint="eastAsia" w:ascii="Times New Roman" w:hAnsi="Times New Roman" w:eastAsia="宋体" w:cs="Times New Roman"/>
        </w:rPr>
        <w:t>“★”</w:t>
      </w:r>
      <w:r>
        <w:rPr>
          <w:rFonts w:ascii="Times New Roman" w:hAnsi="Times New Roman" w:eastAsia="宋体" w:cs="Times New Roman"/>
        </w:rPr>
        <w:t>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不论投标结果如何，投标人均应自行承担所有与投标有关的全部费用（招标文件另有规定除外）。</w:t>
      </w:r>
    </w:p>
    <w:p>
      <w:pPr>
        <w:snapToGrid w:val="0"/>
        <w:spacing w:line="360" w:lineRule="auto"/>
        <w:jc w:val="left"/>
        <w:rPr>
          <w:rFonts w:ascii="宋体" w:hAnsi="宋体" w:eastAsia="宋体" w:cs="Times New Roman"/>
          <w:b/>
          <w:sz w:val="24"/>
        </w:rPr>
      </w:pPr>
      <w:r>
        <w:rPr>
          <w:rFonts w:hint="eastAsia" w:ascii="宋体" w:hAnsi="宋体" w:eastAsia="宋体" w:cs="Times New Roman"/>
          <w:b/>
          <w:sz w:val="24"/>
        </w:rPr>
        <w:t>（六）联合体投标</w:t>
      </w:r>
    </w:p>
    <w:p>
      <w:pPr>
        <w:snapToGrid w:val="0"/>
        <w:spacing w:line="360" w:lineRule="auto"/>
        <w:ind w:right="-506" w:rightChars="-241" w:firstLine="420" w:firstLineChars="200"/>
        <w:jc w:val="left"/>
        <w:rPr>
          <w:rFonts w:ascii="宋体" w:hAnsi="宋体" w:eastAsia="宋体" w:cs="Times New Roman"/>
        </w:rPr>
      </w:pPr>
      <w:r>
        <w:rPr>
          <w:rFonts w:hint="eastAsia" w:ascii="宋体" w:hAnsi="宋体" w:eastAsia="宋体" w:cs="Times New Roman"/>
        </w:rPr>
        <w:t>本项目不接受联合体投标。</w:t>
      </w:r>
    </w:p>
    <w:p>
      <w:pPr>
        <w:snapToGrid w:val="0"/>
        <w:spacing w:line="360" w:lineRule="auto"/>
        <w:rPr>
          <w:rFonts w:ascii="宋体" w:hAnsi="宋体" w:eastAsia="宋体" w:cs="Times New Roman"/>
          <w:b/>
          <w:sz w:val="24"/>
        </w:rPr>
      </w:pPr>
      <w:r>
        <w:rPr>
          <w:rFonts w:hint="eastAsia" w:ascii="宋体" w:hAnsi="宋体" w:eastAsia="宋体" w:cs="Times New Roman"/>
          <w:b/>
          <w:sz w:val="24"/>
        </w:rPr>
        <w:t>（七）转包与分包</w:t>
      </w:r>
    </w:p>
    <w:p>
      <w:pPr>
        <w:snapToGrid w:val="0"/>
        <w:spacing w:after="156"/>
        <w:ind w:left="2" w:leftChars="1" w:right="-506" w:rightChars="-241" w:firstLine="525" w:firstLineChars="250"/>
        <w:rPr>
          <w:rFonts w:ascii="宋体" w:hAnsi="宋体" w:eastAsia="宋体" w:cs="Times New Roman"/>
          <w:kern w:val="0"/>
          <w:szCs w:val="20"/>
        </w:rPr>
      </w:pPr>
      <w:r>
        <w:rPr>
          <w:rFonts w:hint="eastAsia" w:ascii="宋体" w:hAnsi="宋体" w:eastAsia="宋体" w:cs="Times New Roman"/>
          <w:kern w:val="0"/>
          <w:szCs w:val="20"/>
        </w:rPr>
        <w:t>本项目不允许转包。</w:t>
      </w:r>
    </w:p>
    <w:p>
      <w:pPr>
        <w:snapToGrid w:val="0"/>
        <w:spacing w:after="156"/>
        <w:ind w:left="2" w:leftChars="1" w:right="-506" w:rightChars="-241" w:firstLine="525" w:firstLineChars="250"/>
        <w:rPr>
          <w:rFonts w:ascii="宋体" w:hAnsi="宋体" w:eastAsia="宋体" w:cs="Times New Roman"/>
          <w:kern w:val="0"/>
          <w:szCs w:val="20"/>
        </w:rPr>
      </w:pPr>
      <w:r>
        <w:rPr>
          <w:rFonts w:hint="eastAsia" w:ascii="宋体" w:hAnsi="宋体" w:eastAsia="宋体" w:cs="Times New Roman"/>
          <w:kern w:val="0"/>
          <w:szCs w:val="20"/>
        </w:rPr>
        <w:t>本项目不允许分包。</w:t>
      </w:r>
    </w:p>
    <w:p>
      <w:pPr>
        <w:snapToGrid w:val="0"/>
        <w:spacing w:line="360" w:lineRule="auto"/>
        <w:ind w:right="55" w:rightChars="26"/>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w:t>
      </w:r>
      <w:r>
        <w:rPr>
          <w:rFonts w:hint="eastAsia" w:ascii="Times New Roman" w:hAnsi="Times New Roman" w:eastAsia="宋体" w:cs="Times New Roman"/>
          <w:b/>
          <w:spacing w:val="-4"/>
          <w:kern w:val="0"/>
          <w:sz w:val="24"/>
          <w:szCs w:val="24"/>
        </w:rPr>
        <w:t>八</w:t>
      </w:r>
      <w:r>
        <w:rPr>
          <w:rFonts w:ascii="Times New Roman" w:hAnsi="Times New Roman" w:eastAsia="宋体" w:cs="Times New Roman"/>
          <w:b/>
          <w:spacing w:val="-4"/>
          <w:kern w:val="0"/>
          <w:sz w:val="24"/>
          <w:szCs w:val="24"/>
        </w:rPr>
        <w:t>）特别说明：</w:t>
      </w:r>
    </w:p>
    <w:p>
      <w:pPr>
        <w:snapToGrid w:val="0"/>
        <w:spacing w:line="360" w:lineRule="auto"/>
        <w:ind w:firstLine="420" w:firstLineChars="200"/>
        <w:jc w:val="left"/>
        <w:rPr>
          <w:rFonts w:ascii="Times New Roman" w:hAnsi="Times New Roman" w:eastAsia="宋体" w:cs="Times New Roman"/>
          <w:bCs/>
        </w:rPr>
      </w:pPr>
      <w:r>
        <w:rPr>
          <w:rFonts w:ascii="Times New Roman" w:hAnsi="Times New Roman" w:eastAsia="宋体" w:cs="Times New Roman"/>
          <w:bCs/>
        </w:rPr>
        <w:t>1</w:t>
      </w:r>
      <w:r>
        <w:rPr>
          <w:rFonts w:hint="eastAsia" w:ascii="Times New Roman" w:hAnsi="Times New Roman" w:eastAsia="宋体" w:cs="Times New Roman"/>
          <w:bCs/>
        </w:rPr>
        <w:t>. 同一保险集团公司只能授权一家地市级分支机构参加本项目招投标活动。</w:t>
      </w:r>
    </w:p>
    <w:p>
      <w:pPr>
        <w:snapToGrid w:val="0"/>
        <w:spacing w:line="360" w:lineRule="auto"/>
        <w:ind w:firstLine="420" w:firstLineChars="200"/>
        <w:jc w:val="left"/>
        <w:rPr>
          <w:rFonts w:ascii="Times New Roman" w:hAnsi="Times New Roman" w:eastAsia="宋体" w:cs="Times New Roman"/>
          <w:bCs/>
          <w:spacing w:val="-4"/>
          <w:kern w:val="0"/>
        </w:rPr>
      </w:pPr>
      <w:r>
        <w:rPr>
          <w:rFonts w:ascii="Times New Roman" w:hAnsi="Times New Roman" w:eastAsia="宋体" w:cs="Times New Roman"/>
          <w:bCs/>
        </w:rPr>
        <w:t>2</w:t>
      </w:r>
      <w:r>
        <w:rPr>
          <w:rFonts w:hint="eastAsia" w:ascii="Times New Roman" w:hAnsi="Times New Roman" w:eastAsia="宋体" w:cs="Times New Roman"/>
          <w:bCs/>
        </w:rPr>
        <w:t>. 投标人投标所使用的资格、信誉、荣誉、业绩与企业认证必须为本投标人所拥有。投标人投标所使用的采购项目实施人员必须为本法人或其下辖分支机构员工。</w:t>
      </w:r>
    </w:p>
    <w:p>
      <w:pPr>
        <w:snapToGrid w:val="0"/>
        <w:spacing w:line="360" w:lineRule="auto"/>
        <w:ind w:firstLine="404" w:firstLineChars="200"/>
        <w:jc w:val="left"/>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 xml:space="preserve">. </w:t>
      </w:r>
      <w:r>
        <w:rPr>
          <w:rFonts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 xml:space="preserve">. </w:t>
      </w:r>
      <w:r>
        <w:rPr>
          <w:rFonts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 xml:space="preserve">. </w:t>
      </w:r>
      <w:r>
        <w:rPr>
          <w:rFonts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 xml:space="preserve">. </w:t>
      </w:r>
      <w:r>
        <w:rPr>
          <w:rFonts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p>
    <w:p>
      <w:pPr>
        <w:snapToGrid w:val="0"/>
        <w:spacing w:before="120" w:line="360" w:lineRule="auto"/>
        <w:ind w:right="-87" w:firstLine="2923" w:firstLineChars="1040"/>
        <w:outlineLvl w:val="1"/>
        <w:rPr>
          <w:rFonts w:ascii="Times New Roman" w:hAnsi="Times New Roman" w:eastAsia="宋体" w:cs="Times New Roman"/>
          <w:b/>
          <w:sz w:val="24"/>
        </w:rPr>
      </w:pPr>
      <w:r>
        <w:rPr>
          <w:rFonts w:ascii="Times New Roman" w:hAnsi="Times New Roman" w:eastAsia="宋体" w:cs="Times New Roman"/>
          <w:b/>
          <w:sz w:val="28"/>
        </w:rPr>
        <w:t>三、投标文件的编制</w:t>
      </w:r>
    </w:p>
    <w:p>
      <w:pPr>
        <w:spacing w:line="336"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ascii="Times New Roman" w:hAnsi="Times New Roman" w:eastAsia="宋体" w:cs="Times New Roman"/>
          <w:szCs w:val="21"/>
        </w:rPr>
        <w:t>投标人应根据“政采云供应商项目采购-电子交易操作指南”及本招标文件规定的格式和顺序编制电子投标文件并进行关联定位。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hint="eastAsia" w:ascii="Times New Roman" w:hAnsi="Times New Roman" w:eastAsia="宋体" w:cs="Times New Roman"/>
          <w:szCs w:val="21"/>
        </w:rPr>
        <w:t>2.1</w:t>
      </w:r>
      <w:r>
        <w:rPr>
          <w:rFonts w:ascii="Times New Roman" w:hAnsi="Times New Roman" w:eastAsia="宋体" w:cs="Times New Roman"/>
          <w:szCs w:val="21"/>
        </w:rPr>
        <w:t>以介质存储的数据电文形式的备份投标文件，按政采云平台项目采购-电子交易操作指南中上传的电子投标文件格式，以U盘形式存储提供。数量为1份。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hint="eastAsia" w:ascii="Times New Roman" w:hAnsi="Times New Roman" w:eastAsia="宋体" w:cs="Times New Roman"/>
          <w:szCs w:val="21"/>
        </w:rPr>
        <w:t>2.2</w:t>
      </w:r>
      <w:r>
        <w:rPr>
          <w:rFonts w:ascii="Times New Roman" w:hAnsi="Times New Roman" w:eastAsia="宋体" w:cs="Times New Roman"/>
          <w:szCs w:val="21"/>
        </w:rPr>
        <w:t>纸质备份投标文件将以纸质文件的形式递交。数量为：正本、副本各1份。</w:t>
      </w:r>
    </w:p>
    <w:p>
      <w:pPr>
        <w:tabs>
          <w:tab w:val="left" w:pos="0"/>
        </w:tabs>
        <w:spacing w:line="360"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（二）投标文件的组成</w:t>
      </w:r>
    </w:p>
    <w:p>
      <w:pPr>
        <w:numPr>
          <w:ilvl w:val="255"/>
          <w:numId w:val="0"/>
        </w:numPr>
        <w:spacing w:before="120" w:beforeLines="50" w:line="360" w:lineRule="auto"/>
        <w:ind w:firstLine="413" w:firstLineChars="196"/>
        <w:rPr>
          <w:rFonts w:ascii="宋体" w:hAnsi="Courier New" w:eastAsia="宋体" w:cs="Times New Roman"/>
          <w:szCs w:val="21"/>
        </w:rPr>
      </w:pPr>
      <w:r>
        <w:rPr>
          <w:rFonts w:ascii="宋体" w:hAnsi="Courier New" w:eastAsia="宋体" w:cs="Times New Roman"/>
          <w:b/>
          <w:bCs/>
          <w:szCs w:val="21"/>
        </w:rPr>
        <w:t>投标文件由资格响应文件、商务及技术响应文件、报价文件三部份组成。</w:t>
      </w:r>
      <w:r>
        <w:rPr>
          <w:rFonts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numPr>
          <w:ilvl w:val="255"/>
          <w:numId w:val="0"/>
        </w:numPr>
        <w:spacing w:before="120" w:beforeLines="50" w:line="360" w:lineRule="auto"/>
        <w:ind w:left="417"/>
        <w:rPr>
          <w:rFonts w:ascii="Times New Roman" w:hAnsi="Times New Roman" w:eastAsia="宋体" w:cs="Times New Roman"/>
          <w:b/>
          <w:szCs w:val="21"/>
        </w:rPr>
      </w:pPr>
      <w:r>
        <w:rPr>
          <w:rFonts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（以下A~E项是第二十二条要求及对应证明材料的具体内容，各投标人须在投标文件中出具对应证明材料）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如投标人是企业（包括合伙企业），提供在工商部门注册的有效“企业法人营业执照”或“营业执照”；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w:t>
      </w:r>
      <w:r>
        <w:rPr>
          <w:rFonts w:ascii="Times New Roman" w:hAnsi="Times New Roman" w:eastAsia="宋体" w:cs="Times New Roman"/>
        </w:rPr>
        <w:t>如投标人是事业单位，提供有效的“事业单位法人证书”；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w:t>
      </w:r>
      <w:r>
        <w:rPr>
          <w:rFonts w:ascii="Times New Roman" w:hAnsi="Times New Roman" w:eastAsia="宋体" w:cs="Times New Roman"/>
        </w:rPr>
        <w:t>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w:t>
      </w:r>
      <w:r>
        <w:rPr>
          <w:rFonts w:ascii="Times New Roman" w:hAnsi="Times New Roman" w:eastAsia="宋体" w:cs="Times New Roman"/>
        </w:rPr>
        <w:t>如投标人是个体工商户，提供有效的“个体工商户营业执照”；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w:t>
      </w:r>
      <w:r>
        <w:rPr>
          <w:rFonts w:ascii="Times New Roman" w:hAnsi="Times New Roman" w:eastAsia="宋体" w:cs="Times New Roman"/>
        </w:rPr>
        <w:t>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良好的商业信誉：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对</w:t>
      </w:r>
      <w:r>
        <w:rPr>
          <w:rFonts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（三选一）</w:t>
      </w:r>
      <w:r>
        <w:rPr>
          <w:rFonts w:ascii="Times New Roman" w:hAnsi="Times New Roman" w:eastAsia="宋体" w:cs="Times New Roman"/>
        </w:rPr>
        <w:t>：</w:t>
      </w:r>
    </w:p>
    <w:p>
      <w:pPr>
        <w:numPr>
          <w:ilvl w:val="0"/>
          <w:numId w:val="7"/>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7"/>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其他组织和自然人如没有经审计的财务报告的，可以提供资产负债表、利润表、现金流量表。</w:t>
      </w:r>
    </w:p>
    <w:p>
      <w:pPr>
        <w:numPr>
          <w:ilvl w:val="0"/>
          <w:numId w:val="7"/>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C.具有履行合同所必需的设备和专业技术能力：</w:t>
      </w:r>
    </w:p>
    <w:p>
      <w:pPr>
        <w:spacing w:line="360" w:lineRule="auto"/>
        <w:ind w:left="420"/>
        <w:rPr>
          <w:rFonts w:ascii="Times New Roman" w:hAnsi="Times New Roman" w:eastAsia="宋体" w:cs="Times New Roman"/>
          <w:kern w:val="0"/>
          <w:szCs w:val="21"/>
        </w:rPr>
      </w:pPr>
      <w:r>
        <w:rPr>
          <w:rFonts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D.有依法缴纳税收和社会保障资金的良好记录：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投标人须在投标文件中出具《声明函》、廉政承诺书。（格式见附件）</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注：证明材料均需加盖签章。</w:t>
      </w:r>
    </w:p>
    <w:p>
      <w:pPr>
        <w:snapToGrid w:val="0"/>
        <w:spacing w:before="120" w:beforeLines="50" w:after="120" w:afterLines="50" w:line="336" w:lineRule="auto"/>
        <w:ind w:left="417" w:right="-506" w:rightChars="-241"/>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w:t>
      </w:r>
      <w:r>
        <w:rPr>
          <w:rFonts w:ascii="宋体" w:hAnsi="宋体" w:eastAsia="宋体" w:cs="Times New Roman"/>
          <w:b/>
          <w:szCs w:val="21"/>
        </w:rPr>
        <w:t>商务及技术部分：</w:t>
      </w:r>
    </w:p>
    <w:p>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2.1投标人基本情况表（如有）；</w:t>
      </w:r>
    </w:p>
    <w:p>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2</w:t>
      </w:r>
      <w:r>
        <w:rPr>
          <w:rFonts w:ascii="宋体" w:hAnsi="宋体" w:eastAsia="宋体" w:cs="Times New Roman"/>
          <w:szCs w:val="21"/>
        </w:rPr>
        <w:t>成功案例及业绩；</w:t>
      </w:r>
    </w:p>
    <w:p>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2.3</w:t>
      </w:r>
      <w:r>
        <w:rPr>
          <w:rFonts w:hint="eastAsia" w:ascii="宋体" w:hAnsi="宋体" w:eastAsia="宋体" w:cs="Times New Roman"/>
          <w:szCs w:val="21"/>
        </w:rPr>
        <w:t>投标人专业人员（以当地医保局提供的参加职工基本医疗保险的本公司员工人数为依据，提供具体参保职工名册和技术职称证书）；</w:t>
      </w:r>
    </w:p>
    <w:p>
      <w:pPr>
        <w:snapToGrid w:val="0"/>
        <w:spacing w:line="360" w:lineRule="auto"/>
        <w:ind w:right="-87" w:firstLine="411" w:firstLineChars="196"/>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4</w:t>
      </w:r>
      <w:r>
        <w:rPr>
          <w:rFonts w:ascii="Times New Roman" w:hAnsi="Times New Roman" w:eastAsia="宋体" w:cs="Times New Roman"/>
        </w:rPr>
        <w:t>对本项目总体要求的理解</w:t>
      </w:r>
      <w:r>
        <w:rPr>
          <w:rFonts w:hint="eastAsia" w:ascii="宋体" w:hAnsi="宋体" w:eastAsia="宋体" w:cs="Times New Roman"/>
        </w:rPr>
        <w:t xml:space="preserve"> （抗风险能力、服务质量评价、合规经营、服务网点、专业人员、经办服务人员和设施等）</w:t>
      </w:r>
    </w:p>
    <w:p>
      <w:pPr>
        <w:snapToGrid w:val="0"/>
        <w:spacing w:line="360" w:lineRule="auto"/>
        <w:ind w:right="-87" w:firstLine="411" w:firstLineChars="196"/>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5</w:t>
      </w:r>
      <w:r>
        <w:rPr>
          <w:rFonts w:hint="eastAsia" w:ascii="宋体" w:hAnsi="宋体" w:eastAsia="宋体" w:cs="Times New Roman"/>
        </w:rPr>
        <w:t xml:space="preserve">保证项目质量的技术力量及技术措施； </w:t>
      </w:r>
    </w:p>
    <w:p>
      <w:pPr>
        <w:snapToGrid w:val="0"/>
        <w:spacing w:line="360" w:lineRule="auto"/>
        <w:ind w:right="-87" w:firstLine="420" w:firstLineChars="200"/>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.6</w:t>
      </w:r>
      <w:r>
        <w:rPr>
          <w:rFonts w:hint="eastAsia" w:ascii="宋体" w:hAnsi="宋体" w:eastAsia="宋体" w:cs="Times New Roman"/>
        </w:rPr>
        <w:t>医保基金监管服务</w:t>
      </w:r>
    </w:p>
    <w:p>
      <w:pPr>
        <w:snapToGrid w:val="0"/>
        <w:spacing w:line="360" w:lineRule="auto"/>
        <w:ind w:right="-87" w:firstLine="420" w:firstLineChars="200"/>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.7</w:t>
      </w:r>
      <w:r>
        <w:rPr>
          <w:rFonts w:hint="eastAsia" w:ascii="宋体" w:hAnsi="宋体" w:eastAsia="宋体" w:cs="Times New Roman"/>
        </w:rPr>
        <w:t>医保政策宣传和参保服务承诺</w:t>
      </w:r>
    </w:p>
    <w:p>
      <w:pPr>
        <w:snapToGrid w:val="0"/>
        <w:spacing w:line="360" w:lineRule="auto"/>
        <w:ind w:right="-87" w:firstLine="420" w:firstLineChars="200"/>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.8</w:t>
      </w:r>
      <w:r>
        <w:rPr>
          <w:rFonts w:hint="eastAsia" w:ascii="宋体" w:hAnsi="宋体" w:eastAsia="宋体" w:cs="Times New Roman"/>
        </w:rPr>
        <w:t>管理制度</w:t>
      </w:r>
    </w:p>
    <w:p>
      <w:pPr>
        <w:snapToGrid w:val="0"/>
        <w:spacing w:line="360" w:lineRule="auto"/>
        <w:ind w:right="-87" w:firstLine="420" w:firstLineChars="200"/>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.9</w:t>
      </w:r>
      <w:r>
        <w:rPr>
          <w:rFonts w:hint="eastAsia" w:ascii="宋体" w:hAnsi="宋体" w:eastAsia="宋体" w:cs="Times New Roman"/>
        </w:rPr>
        <w:t>信息系统支撑能力</w:t>
      </w:r>
    </w:p>
    <w:p>
      <w:pPr>
        <w:snapToGrid w:val="0"/>
        <w:spacing w:line="360" w:lineRule="auto"/>
        <w:ind w:right="-87" w:firstLine="420" w:firstLineChars="200"/>
        <w:jc w:val="left"/>
        <w:textAlignment w:val="baseline"/>
        <w:rPr>
          <w:rFonts w:ascii="宋体" w:hAnsi="宋体" w:eastAsia="宋体" w:cs="Times New Roman"/>
        </w:rPr>
      </w:pPr>
      <w:r>
        <w:rPr>
          <w:rFonts w:hint="eastAsia" w:ascii="宋体" w:hAnsi="宋体" w:eastAsia="宋体" w:cs="Times New Roman"/>
        </w:rPr>
        <w:t>2</w:t>
      </w:r>
      <w:r>
        <w:rPr>
          <w:rFonts w:ascii="宋体" w:hAnsi="宋体" w:eastAsia="宋体" w:cs="Times New Roman"/>
        </w:rPr>
        <w:t>.10</w:t>
      </w:r>
      <w:r>
        <w:rPr>
          <w:rFonts w:hint="eastAsia" w:ascii="宋体" w:hAnsi="宋体" w:eastAsia="宋体" w:cs="Times New Roman"/>
        </w:rPr>
        <w:t>投标人在各县（区）中设立分支机构的证明材料或承诺书；</w:t>
      </w:r>
    </w:p>
    <w:p>
      <w:pPr>
        <w:snapToGrid w:val="0"/>
        <w:spacing w:line="360" w:lineRule="auto"/>
        <w:ind w:right="-87" w:firstLine="420" w:firstLineChars="200"/>
        <w:jc w:val="left"/>
        <w:textAlignment w:val="baseline"/>
        <w:rPr>
          <w:rFonts w:ascii="宋体" w:hAnsi="宋体" w:eastAsia="宋体" w:cs="Times New Roman"/>
          <w:sz w:val="20"/>
        </w:rPr>
      </w:pPr>
      <w:r>
        <w:rPr>
          <w:rFonts w:hint="eastAsia" w:ascii="宋体" w:hAnsi="宋体" w:eastAsia="宋体" w:cs="Times New Roman"/>
        </w:rPr>
        <w:t>2.</w:t>
      </w:r>
      <w:r>
        <w:rPr>
          <w:rFonts w:ascii="宋体" w:hAnsi="宋体" w:eastAsia="宋体" w:cs="Times New Roman"/>
        </w:rPr>
        <w:t>11</w:t>
      </w:r>
      <w:r>
        <w:rPr>
          <w:rFonts w:hint="eastAsia" w:ascii="宋体" w:hAnsi="宋体" w:eastAsia="宋体" w:cs="Times New Roman"/>
        </w:rPr>
        <w:t>投标人对本项目的合理化建议和改进措施；</w:t>
      </w:r>
    </w:p>
    <w:p>
      <w:pPr>
        <w:snapToGrid w:val="0"/>
        <w:spacing w:line="360" w:lineRule="auto"/>
        <w:ind w:right="-87" w:firstLine="420" w:firstLineChars="200"/>
        <w:jc w:val="left"/>
        <w:textAlignment w:val="baseline"/>
        <w:rPr>
          <w:rFonts w:ascii="宋体" w:hAnsi="宋体" w:eastAsia="宋体" w:cs="Times New Roman"/>
          <w:sz w:val="20"/>
        </w:rPr>
      </w:pPr>
      <w:r>
        <w:rPr>
          <w:rFonts w:hint="eastAsia" w:ascii="宋体" w:hAnsi="宋体" w:eastAsia="宋体" w:cs="Times New Roman"/>
        </w:rPr>
        <w:t>2.1</w:t>
      </w:r>
      <w:r>
        <w:rPr>
          <w:rFonts w:ascii="宋体" w:hAnsi="宋体" w:eastAsia="宋体" w:cs="Times New Roman"/>
        </w:rPr>
        <w:t>2</w:t>
      </w:r>
      <w:r>
        <w:rPr>
          <w:rFonts w:hint="eastAsia" w:ascii="宋体" w:hAnsi="宋体" w:eastAsia="宋体" w:cs="Times New Roman"/>
        </w:rPr>
        <w:t>投标人需要说明的其他文件和说明。</w:t>
      </w:r>
    </w:p>
    <w:p>
      <w:pPr>
        <w:snapToGrid w:val="0"/>
        <w:spacing w:line="360" w:lineRule="auto"/>
        <w:ind w:firstLine="413" w:firstLineChars="196"/>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ascii="宋体" w:hAnsi="宋体" w:eastAsia="宋体" w:cs="Times New Roman"/>
          <w:b/>
          <w:szCs w:val="21"/>
        </w:rPr>
        <w:t>报价部分：</w:t>
      </w:r>
    </w:p>
    <w:p>
      <w:pPr>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3.1投标报价一览表；</w:t>
      </w:r>
    </w:p>
    <w:p>
      <w:pPr>
        <w:tabs>
          <w:tab w:val="left" w:pos="3870"/>
          <w:tab w:val="left" w:pos="4085"/>
        </w:tabs>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3.2报价明细表；</w:t>
      </w:r>
    </w:p>
    <w:p>
      <w:pPr>
        <w:tabs>
          <w:tab w:val="left" w:pos="3870"/>
          <w:tab w:val="left" w:pos="4085"/>
        </w:tabs>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3.3投标人针对报价需要说明的其他文件和说明。</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中小企业申明函（如是）；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监狱企业声明函（如是）；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残疾人福利性单位声明函（如是）；</w:t>
      </w:r>
    </w:p>
    <w:p>
      <w:pPr>
        <w:snapToGrid w:val="0"/>
        <w:spacing w:line="360" w:lineRule="auto"/>
        <w:ind w:right="55"/>
        <w:jc w:val="left"/>
        <w:outlineLvl w:val="0"/>
        <w:rPr>
          <w:rFonts w:ascii="Times New Roman" w:hAnsi="Times New Roman" w:eastAsia="宋体" w:cs="Times New Roman"/>
          <w:b/>
          <w:sz w:val="24"/>
        </w:rPr>
      </w:pPr>
      <w:r>
        <w:rPr>
          <w:rFonts w:ascii="Times New Roman" w:hAnsi="Times New Roman" w:eastAsia="宋体" w:cs="Times New Roman"/>
          <w:b/>
          <w:szCs w:val="21"/>
        </w:rPr>
        <w:t>（二）投标文件的语言及计量</w:t>
      </w:r>
    </w:p>
    <w:p>
      <w:pPr>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rFonts w:ascii="Times New Roman" w:hAnsi="Times New Roman" w:eastAsia="宋体" w:cs="Times New Roman"/>
          <w:b/>
          <w:szCs w:val="21"/>
        </w:rPr>
      </w:pPr>
      <w:r>
        <w:rPr>
          <w:rFonts w:ascii="Times New Roman" w:hAnsi="Times New Roman" w:eastAsia="宋体" w:cs="Times New Roman"/>
          <w:b/>
          <w:szCs w:val="21"/>
        </w:rPr>
        <w:t>（三）响应报价</w:t>
      </w:r>
    </w:p>
    <w:p>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投标报价应以人民币报价，投标人报价应是包括为完成本项目服务可能发生的全部费用及中标人的利润和应交纳的税金等一切费用。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投标文件针对同一内容只允许有一个报价，有选择的或有条件的报价将不予接受。</w:t>
      </w:r>
    </w:p>
    <w:p>
      <w:pPr>
        <w:snapToGrid w:val="0"/>
        <w:spacing w:line="360" w:lineRule="auto"/>
        <w:jc w:val="left"/>
        <w:outlineLvl w:val="0"/>
        <w:rPr>
          <w:rFonts w:ascii="Times New Roman" w:hAnsi="Times New Roman" w:eastAsia="宋体" w:cs="Times New Roman"/>
          <w:b/>
          <w:szCs w:val="21"/>
        </w:rPr>
      </w:pPr>
      <w:r>
        <w:rPr>
          <w:rFonts w:ascii="Times New Roman" w:hAnsi="Times New Roman" w:eastAsia="宋体" w:cs="Times New Roman"/>
          <w:b/>
          <w:szCs w:val="21"/>
        </w:rPr>
        <w:t>（四）投标文件的有效期</w:t>
      </w:r>
    </w:p>
    <w:p>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自投标截止日起</w:t>
      </w:r>
      <w:r>
        <w:rPr>
          <w:rFonts w:ascii="Times New Roman" w:hAnsi="Times New Roman" w:eastAsia="宋体" w:cs="Times New Roman"/>
          <w:b/>
          <w:u w:val="single"/>
        </w:rPr>
        <w:t xml:space="preserve">90 </w:t>
      </w:r>
      <w:r>
        <w:rPr>
          <w:rFonts w:ascii="Times New Roman" w:hAnsi="Times New Roman" w:eastAsia="宋体" w:cs="Times New Roman"/>
          <w:b/>
        </w:rPr>
        <w:t>天</w:t>
      </w:r>
      <w:r>
        <w:rPr>
          <w:rFonts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（五）投标文件的包装、递交、修改和撤回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投标人应当在投标截止时间前将以介质存储的数据电文形式的备份投标文件和纸质备份投标文件</w:t>
      </w:r>
      <w:r>
        <w:rPr>
          <w:rFonts w:ascii="Times New Roman" w:hAnsi="Times New Roman" w:eastAsia="宋体" w:cs="Times New Roman"/>
          <w:szCs w:val="21"/>
        </w:rPr>
        <w:t>寄到或送达采购代理公司。地址：舟山市定海区昌国路232号中楼202  深圳市国信招标有限公司舟山分公司。也可现场递交。</w:t>
      </w:r>
      <w:r>
        <w:rPr>
          <w:rFonts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ascii="Times New Roman" w:hAnsi="Times New Roman" w:eastAsia="宋体" w:cs="Times New Roman"/>
          <w:b/>
          <w:szCs w:val="21"/>
        </w:rPr>
        <w:t>（六）投标无效的情形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ascii="Times New Roman" w:hAnsi="Times New Roman" w:eastAsia="宋体" w:cs="Times New Roman"/>
          <w:szCs w:val="21"/>
        </w:rPr>
        <w:t>资格证明文件不全的，或者不符合采购文件标明的资格要求的</w:t>
      </w:r>
      <w:r>
        <w:rPr>
          <w:rFonts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1.3投标文件的实质性内容未使用中文表述、意思表述不明确、前后矛盾或者使用计量单位不符合采购文件要求的；（</w:t>
      </w:r>
      <w:r>
        <w:rPr>
          <w:rFonts w:ascii="Times New Roman" w:hAnsi="Times New Roman" w:eastAsia="宋体" w:cs="Times New Roman"/>
          <w:szCs w:val="21"/>
        </w:rPr>
        <w:t>经评审小组认定允许其在线更正的笔误除外</w:t>
      </w:r>
      <w:r>
        <w:rPr>
          <w:rFonts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1.7投标文件没有按采购文件要求响应有标“</w:t>
      </w:r>
      <w:r>
        <w:rPr>
          <w:rFonts w:hint="eastAsia" w:ascii="Times New Roman" w:hAnsi="Times New Roman" w:eastAsia="宋体" w:cs="Times New Roman"/>
          <w:bCs/>
          <w:szCs w:val="21"/>
        </w:rPr>
        <w:t>★</w:t>
      </w:r>
      <w:r>
        <w:rPr>
          <w:rFonts w:ascii="Times New Roman" w:hAnsi="Times New Roman" w:eastAsia="宋体" w:cs="Times New Roman"/>
          <w:bCs/>
          <w:szCs w:val="21"/>
        </w:rPr>
        <w:t>”的条款的资料和材料的；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w:t>
      </w:r>
      <w:r>
        <w:rPr>
          <w:rFonts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2.2明显不符合采购文件标明的质量标准，或者采购文件中标“</w:t>
      </w:r>
      <w:r>
        <w:rPr>
          <w:rFonts w:hint="eastAsia" w:ascii="Times New Roman" w:hAnsi="Times New Roman" w:eastAsia="宋体" w:cs="Times New Roman"/>
          <w:b/>
        </w:rPr>
        <w:t>★</w:t>
      </w:r>
      <w:r>
        <w:rPr>
          <w:rFonts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bCs/>
        </w:rPr>
        <w:t>.</w:t>
      </w:r>
      <w:r>
        <w:rPr>
          <w:rFonts w:ascii="Times New Roman" w:hAnsi="Times New Roman" w:eastAsia="宋体" w:cs="Times New Roman"/>
          <w:b/>
          <w:szCs w:val="21"/>
        </w:rPr>
        <w:t>在投标报价文件评审时</w:t>
      </w:r>
      <w:r>
        <w:rPr>
          <w:rFonts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ascii="Times New Roman" w:hAnsi="Times New Roman" w:eastAsia="宋体" w:cs="Times New Roman"/>
          <w:b/>
          <w:szCs w:val="21"/>
        </w:rPr>
        <w:t>（七）</w:t>
      </w:r>
      <w:r>
        <w:rPr>
          <w:rFonts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ascii="Times New Roman" w:hAnsi="Times New Roman" w:eastAsia="宋体" w:cs="Times New Roman"/>
          <w:b/>
          <w:bCs/>
          <w:spacing w:val="-4"/>
          <w:kern w:val="0"/>
          <w:szCs w:val="21"/>
        </w:rPr>
        <w:t>（八）报名不足三家的处理方式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b/>
          <w:spacing w:val="-4"/>
          <w:kern w:val="0"/>
          <w:szCs w:val="21"/>
        </w:rPr>
      </w:pPr>
      <w:r>
        <w:rPr>
          <w:rFonts w:ascii="Times New Roman" w:hAnsi="Times New Roman" w:eastAsia="宋体" w:cs="Times New Roman"/>
          <w:b/>
          <w:spacing w:val="-4"/>
          <w:kern w:val="0"/>
          <w:szCs w:val="21"/>
        </w:rPr>
        <w:t>（九）被拒绝的投标文件为无效。</w:t>
      </w:r>
    </w:p>
    <w:p>
      <w:pPr>
        <w:ind w:firstLine="420" w:firstLineChars="200"/>
        <w:rPr>
          <w:rFonts w:ascii="Times New Roman" w:hAnsi="Times New Roman" w:eastAsia="宋体" w:cs="Times New Roman"/>
          <w:szCs w:val="20"/>
        </w:rPr>
      </w:pP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投标截止时间后，投标人登录政采云平台，用“项目采购-开标评标”功能对电子投标文件进行</w:t>
      </w:r>
      <w:r>
        <w:rPr>
          <w:rFonts w:ascii="Times New Roman" w:hAnsi="Times New Roman" w:eastAsia="宋体" w:cs="Times New Roman"/>
          <w:b/>
          <w:bCs/>
          <w:szCs w:val="21"/>
        </w:rPr>
        <w:t>在线解密。</w:t>
      </w:r>
      <w:r>
        <w:rPr>
          <w:rFonts w:ascii="Times New Roman" w:hAnsi="Times New Roman" w:eastAsia="宋体" w:cs="Times New Roman"/>
          <w:szCs w:val="21"/>
        </w:rPr>
        <w:t>在线解密电子投标文件时间</w:t>
      </w:r>
      <w:r>
        <w:rPr>
          <w:rFonts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特别说明：政采云公司如对电子化开标及评审程序有调整的，按调整后的程序操作。</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ascii="Times New Roman" w:hAnsi="Times New Roman" w:eastAsia="宋体" w:cs="Times New Roman"/>
        </w:rPr>
        <w:t>评标委员会由采购人代表和评审专家组成，成员人数为7人（含）以上单数，其中评审专家不得少于成员总数的三分之二。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w:t>
      </w:r>
      <w:r>
        <w:rPr>
          <w:rFonts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 w:val="24"/>
        </w:rPr>
        <w:t>.</w:t>
      </w:r>
      <w:r>
        <w:rPr>
          <w:rFonts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（3）评审小组商务、技术方案响应性评定；</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kern w:val="0"/>
          <w:szCs w:val="21"/>
        </w:rPr>
        <w:t>（5）评标委员会完成评标后，评委对各部分得分汇总，计算出本项目综合评估分。评标委员会按</w:t>
      </w:r>
      <w:r>
        <w:rPr>
          <w:rFonts w:ascii="Times New Roman" w:hAnsi="Times New Roman" w:eastAsia="宋体" w:cs="Times New Roman"/>
          <w:szCs w:val="21"/>
        </w:rPr>
        <w:t>评标原则通过电子系统向采购人及采购代理机构提交评审报告。</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（三）澄清问题的形式</w:t>
      </w:r>
    </w:p>
    <w:p>
      <w:pPr>
        <w:snapToGrid w:val="0"/>
        <w:spacing w:line="360" w:lineRule="auto"/>
        <w:ind w:left="228" w:right="-87" w:firstLine="420" w:firstLineChars="200"/>
        <w:rPr>
          <w:rFonts w:ascii="Times New Roman" w:hAnsi="Times New Roman" w:eastAsia="宋体" w:cs="Times New Roman"/>
        </w:rPr>
      </w:pPr>
      <w:r>
        <w:rPr>
          <w:rFonts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ascii="Times New Roman" w:hAnsi="Times New Roman" w:eastAsia="宋体" w:cs="Times New Roman"/>
          <w:szCs w:val="21"/>
        </w:rPr>
        <w:t>通过电子交易平台交换数据电文的形式进行</w:t>
      </w:r>
      <w:r>
        <w:rPr>
          <w:rFonts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ind w:right="-87"/>
        <w:rPr>
          <w:rFonts w:ascii="Times New Roman" w:hAnsi="Times New Roman" w:eastAsia="宋体" w:cs="Times New Roman"/>
          <w:b/>
          <w:szCs w:val="21"/>
        </w:rPr>
      </w:pPr>
      <w:r>
        <w:rPr>
          <w:rFonts w:ascii="Times New Roman" w:hAnsi="Times New Roman" w:eastAsia="宋体" w:cs="Times New Roman"/>
          <w:b/>
          <w:szCs w:val="21"/>
        </w:rPr>
        <w:t>（四）错误修正</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ind w:right="-87"/>
        <w:jc w:val="left"/>
        <w:rPr>
          <w:rFonts w:ascii="Times New Roman" w:hAnsi="Times New Roman" w:eastAsia="宋体" w:cs="Times New Roman"/>
          <w:b/>
          <w:szCs w:val="21"/>
        </w:rPr>
      </w:pPr>
      <w:r>
        <w:rPr>
          <w:rFonts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评标办法。本项目评标办法是</w:t>
      </w:r>
      <w:r>
        <w:rPr>
          <w:rFonts w:ascii="Times New Roman" w:hAnsi="Times New Roman" w:eastAsia="宋体" w:cs="Times New Roman"/>
          <w:szCs w:val="21"/>
          <w:u w:val="single"/>
        </w:rPr>
        <w:t>综合评分法</w:t>
      </w:r>
      <w:r>
        <w:rPr>
          <w:rFonts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ascii="Times New Roman" w:hAnsi="Times New Roman" w:eastAsia="宋体" w:cs="Times New Roman"/>
          <w:b/>
          <w:szCs w:val="21"/>
        </w:rPr>
        <w:t>（六）评标过程的监控</w:t>
      </w:r>
    </w:p>
    <w:p>
      <w:pPr>
        <w:snapToGrid w:val="0"/>
        <w:spacing w:before="120" w:beforeLines="50" w:after="120" w:afterLines="50" w:line="360" w:lineRule="auto"/>
        <w:ind w:right="-87" w:firstLine="420" w:firstLineChars="200"/>
        <w:rPr>
          <w:rFonts w:ascii="Times New Roman" w:hAnsi="Times New Roman" w:eastAsia="宋体" w:cs="Times New Roman"/>
          <w:b/>
          <w:sz w:val="28"/>
          <w:szCs w:val="24"/>
        </w:rPr>
      </w:pPr>
      <w:r>
        <w:rPr>
          <w:rFonts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本项目由采购人事先授权评审小组确定候选中标人3名。经采购人确认后，确定项目中标人，同时发布采购结果公告</w:t>
      </w:r>
      <w:r>
        <w:rPr>
          <w:rFonts w:hint="eastAsia" w:ascii="Times New Roman" w:hAnsi="Times New Roman" w:eastAsia="宋体" w:cs="Times New Roman"/>
          <w:szCs w:val="21"/>
        </w:rPr>
        <w:t>（中标人通过政采云系统领取中标通知书）。</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采购代理机构在评标结束后在2个工作日内将评审报告交采购人确认。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投标人对评审结果无异议的，采购人应在收到评审报告后5个工作日内对评审结果进行确认。如有投标人对评审结果提出质疑的，采购人可在质疑处理完毕后确定中标人。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采购人依法确定中标人后2个工作日内，采购代理机构发出《中标通知书》,并同时在相关网站上发布中标公告。</w:t>
      </w:r>
    </w:p>
    <w:p>
      <w:pPr>
        <w:spacing w:line="380" w:lineRule="exact"/>
        <w:rPr>
          <w:rFonts w:ascii="Times New Roman" w:hAnsi="Times New Roman" w:eastAsia="宋体" w:cs="Times New Roman"/>
          <w:b/>
        </w:rPr>
      </w:pPr>
      <w:r>
        <w:rPr>
          <w:rFonts w:ascii="Times New Roman" w:hAnsi="Times New Roman" w:eastAsia="宋体" w:cs="Times New Roman"/>
          <w:szCs w:val="21"/>
        </w:rPr>
        <w:t>（二）</w:t>
      </w:r>
      <w:r>
        <w:rPr>
          <w:rFonts w:ascii="Times New Roman" w:hAnsi="Times New Roman" w:eastAsia="宋体" w:cs="Times New Roman"/>
        </w:rPr>
        <w:t>根据《中华人民共和</w:t>
      </w:r>
      <w:r>
        <w:rPr>
          <w:rFonts w:hint="eastAsia" w:ascii="Times New Roman" w:hAnsi="Times New Roman" w:eastAsia="宋体" w:cs="Times New Roman"/>
        </w:rPr>
        <w:t>国</w:t>
      </w:r>
      <w:r>
        <w:rPr>
          <w:rFonts w:ascii="Times New Roman" w:hAnsi="Times New Roman" w:eastAsia="宋体" w:cs="Times New Roman"/>
        </w:rP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345" w:firstLineChars="1190"/>
        <w:outlineLvl w:val="1"/>
        <w:rPr>
          <w:rFonts w:ascii="Times New Roman" w:hAnsi="Times New Roman" w:eastAsia="宋体" w:cs="Times New Roman"/>
          <w:b/>
          <w:sz w:val="28"/>
        </w:rPr>
      </w:pPr>
      <w:r>
        <w:rPr>
          <w:rFonts w:ascii="Times New Roman" w:hAnsi="Times New Roman" w:eastAsia="宋体" w:cs="Times New Roman"/>
          <w:b/>
          <w:sz w:val="28"/>
        </w:rPr>
        <w:t>七、合同授予</w:t>
      </w:r>
    </w:p>
    <w:p>
      <w:pPr>
        <w:widowControl/>
        <w:numPr>
          <w:ilvl w:val="0"/>
          <w:numId w:val="8"/>
        </w:numPr>
        <w:tabs>
          <w:tab w:val="left" w:pos="735"/>
        </w:tabs>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采购人与中标人应当在《中标通知书》发出之日起30日内签订政府采购合同。同时，采购代理机构对合同内容进行审查，如发现与采购结果和投标承诺内容不一致的，应予以纠正。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rPr>
      </w:pPr>
      <w:r>
        <w:rPr>
          <w:rFonts w:ascii="Times New Roman" w:hAnsi="Times New Roman" w:eastAsia="宋体" w:cs="Times New Roman"/>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r>
        <w:rPr>
          <w:rFonts w:ascii="Times New Roman" w:hAnsi="Times New Roman" w:eastAsia="黑体" w:cs="Times New Roman"/>
          <w:sz w:val="30"/>
        </w:rPr>
        <w:t>第四章评标办法及评分标准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ascii="Times New Roman" w:hAnsi="Times New Roman" w:eastAsia="宋体" w:cs="Times New Roman"/>
          <w:b/>
        </w:rPr>
        <w:t>综合评分法</w:t>
      </w:r>
    </w:p>
    <w:p>
      <w:pPr>
        <w:snapToGrid w:val="0"/>
        <w:spacing w:line="336" w:lineRule="auto"/>
        <w:ind w:right="-87" w:firstLine="2865" w:firstLineChars="1189"/>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舟山市大病保险商业合作项目</w:t>
      </w:r>
      <w:r>
        <w:rPr>
          <w:rFonts w:ascii="Times New Roman" w:hAnsi="Times New Roman" w:eastAsia="宋体" w:cs="Times New Roman"/>
          <w:b/>
          <w:sz w:val="24"/>
          <w:szCs w:val="24"/>
        </w:rPr>
        <w:t>评标办法</w:t>
      </w:r>
    </w:p>
    <w:p>
      <w:pPr>
        <w:snapToGrid w:val="0"/>
        <w:spacing w:line="336" w:lineRule="auto"/>
        <w:ind w:right="-87" w:firstLine="420"/>
        <w:rPr>
          <w:rFonts w:ascii="Times New Roman" w:hAnsi="Times New Roman" w:eastAsia="宋体" w:cs="Times New Roman"/>
        </w:rPr>
      </w:pP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szCs w:val="21"/>
        </w:rPr>
        <w:t>本办法适用于</w:t>
      </w:r>
      <w:r>
        <w:rPr>
          <w:rFonts w:hint="eastAsia" w:ascii="Times New Roman" w:hAnsi="Times New Roman" w:eastAsia="宋体" w:cs="Times New Roman"/>
          <w:szCs w:val="21"/>
        </w:rPr>
        <w:t>舟山市大病保险商业合作项目</w:t>
      </w:r>
      <w:r>
        <w:rPr>
          <w:rFonts w:ascii="Times New Roman" w:hAnsi="Times New Roman" w:eastAsia="宋体" w:cs="Times New Roman"/>
          <w:szCs w:val="21"/>
        </w:rPr>
        <w:t>的评标。</w:t>
      </w:r>
    </w:p>
    <w:p>
      <w:pPr>
        <w:snapToGrid w:val="0"/>
        <w:spacing w:line="336" w:lineRule="auto"/>
        <w:ind w:left="756" w:leftChars="114" w:right="-87" w:hanging="517" w:hangingChars="245"/>
        <w:rPr>
          <w:rFonts w:ascii="宋体" w:hAnsi="宋体" w:eastAsia="宋体" w:cs="Times New Roman"/>
        </w:rPr>
      </w:pPr>
      <w:r>
        <w:rPr>
          <w:rFonts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由高到低取前三名为中标候选人。</w:t>
      </w:r>
    </w:p>
    <w:p>
      <w:pPr>
        <w:snapToGrid w:val="0"/>
        <w:spacing w:line="336" w:lineRule="auto"/>
        <w:ind w:left="755" w:leftChars="214" w:right="-87" w:hanging="306" w:hangingChars="145"/>
        <w:rPr>
          <w:rFonts w:ascii="宋体" w:hAnsi="宋体" w:eastAsia="宋体" w:cs="Times New Roman"/>
          <w:b/>
        </w:rPr>
      </w:pPr>
      <w:r>
        <w:rPr>
          <w:rFonts w:hint="eastAsia" w:ascii="宋体" w:hAnsi="宋体" w:eastAsia="宋体" w:cs="Times New Roman"/>
          <w:b/>
        </w:rPr>
        <w:t>最高限价：2023年投标价格最高限价为每人每年120元，投标报价高于每人每年120元的作</w:t>
      </w:r>
    </w:p>
    <w:p>
      <w:pPr>
        <w:snapToGrid w:val="0"/>
        <w:spacing w:line="336" w:lineRule="auto"/>
        <w:ind w:right="-87"/>
        <w:rPr>
          <w:rFonts w:ascii="宋体" w:hAnsi="宋体" w:eastAsia="宋体" w:cs="Times New Roman"/>
          <w:b/>
        </w:rPr>
      </w:pPr>
      <w:r>
        <w:rPr>
          <w:rFonts w:hint="eastAsia" w:ascii="宋体" w:hAnsi="宋体" w:eastAsia="宋体" w:cs="Times New Roman"/>
          <w:b/>
        </w:rPr>
        <w:t>无效投标处理。</w:t>
      </w:r>
    </w:p>
    <w:p>
      <w:pPr>
        <w:snapToGrid w:val="0"/>
        <w:spacing w:line="336" w:lineRule="auto"/>
        <w:ind w:left="755" w:leftChars="214" w:right="-87" w:hanging="306" w:hangingChars="145"/>
        <w:rPr>
          <w:rFonts w:ascii="Times New Roman" w:hAnsi="Times New Roman" w:eastAsia="宋体" w:cs="Times New Roman"/>
          <w:b/>
        </w:rPr>
      </w:pPr>
      <w:r>
        <w:rPr>
          <w:rFonts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ascii="Times New Roman" w:hAnsi="Times New Roman" w:eastAsia="宋体" w:cs="Times New Roman"/>
          <w:lang w:val="zh-CN"/>
        </w:rPr>
        <w:t>满足</w:t>
      </w:r>
      <w:r>
        <w:rPr>
          <w:rFonts w:hint="eastAsia" w:ascii="Times New Roman" w:hAnsi="Times New Roman" w:eastAsia="宋体" w:cs="Times New Roman"/>
          <w:lang w:val="zh-CN"/>
        </w:rPr>
        <w:t>招</w:t>
      </w:r>
      <w:r>
        <w:rPr>
          <w:rFonts w:ascii="Times New Roman" w:hAnsi="Times New Roman" w:eastAsia="宋体" w:cs="Times New Roman"/>
          <w:lang w:val="zh-CN"/>
        </w:rPr>
        <w:t>标文件要求且投标价格最低的投标报价为评标基准价，其价格分为满分，其他投标人的价格分按下列公式计算：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ascii="Times New Roman" w:hAnsi="Times New Roman" w:eastAsia="宋体" w:cs="Times New Roman"/>
          <w:lang w:val="zh-CN"/>
        </w:rPr>
        <w:t>价格得分＝（评标基准价/投标报价）×价格权重×100。</w:t>
      </w:r>
    </w:p>
    <w:tbl>
      <w:tblPr>
        <w:tblStyle w:val="38"/>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lang w:val="zh-CN"/>
              </w:rPr>
              <w:t>评价指标和各评价权重指标：</w:t>
            </w:r>
            <w:r>
              <w:rPr>
                <w:rFonts w:ascii="Times New Roman" w:hAnsi="Times New Roman" w:eastAsia="宋体" w:cs="Times New Roman"/>
              </w:rPr>
              <w:t>评标指标</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商务、技术部分</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投标报价</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合计</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综合评估分=商务技术得分＋价格得分(评分过程中采用四舍五入法，并保留小数2位)</w:t>
      </w:r>
    </w:p>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rFonts w:ascii="Times New Roman" w:hAnsi="Times New Roman" w:eastAsia="宋体" w:cs="Times New Roman"/>
          <w:b/>
        </w:rPr>
      </w:pPr>
      <w:r>
        <w:rPr>
          <w:rFonts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rPr>
      </w:pPr>
      <w:r>
        <w:rPr>
          <w:rFonts w:ascii="Times New Roman" w:hAnsi="Times New Roman" w:eastAsia="宋体" w:cs="Times New Roman"/>
        </w:rPr>
        <w:t>按照综合评估分名次推荐候选中标人3名。</w:t>
      </w:r>
    </w:p>
    <w:p>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若合格供应商只有3家，则中标人为3 家，按排名顺序在共保体中所占份额分别为53%、37%，10%。</w:t>
      </w:r>
    </w:p>
    <w:p>
      <w:pPr>
        <w:spacing w:after="120" w:line="360" w:lineRule="auto"/>
        <w:ind w:firstLine="417" w:firstLineChars="198"/>
        <w:rPr>
          <w:rFonts w:ascii="Times New Roman" w:hAnsi="Times New Roman" w:eastAsia="宋体" w:cs="Times New Roman"/>
          <w:b/>
          <w:bCs/>
          <w:kern w:val="0"/>
          <w:lang w:val="zh-CN"/>
        </w:rPr>
      </w:pPr>
      <w:r>
        <w:rPr>
          <w:rFonts w:hint="eastAsia" w:ascii="Times New Roman" w:hAnsi="Times New Roman" w:eastAsia="宋体" w:cs="Times New Roman"/>
          <w:b/>
          <w:bCs/>
          <w:kern w:val="0"/>
          <w:lang w:val="zh-CN"/>
        </w:rPr>
        <w:t>2023年全市大病保险参保人员每人每年保费价格，以各中标人价格的加权平均值确定（各中标人承保份额比例乘以价格之和）。</w:t>
      </w:r>
    </w:p>
    <w:p>
      <w:pPr>
        <w:widowControl/>
        <w:jc w:val="left"/>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rPr>
          <w:rFonts w:ascii="Times New Roman" w:hAnsi="Times New Roman" w:eastAsia="宋体" w:cs="Times New Roman"/>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舟山市大病保险商业合作项目</w:t>
      </w:r>
      <w:r>
        <w:rPr>
          <w:rFonts w:ascii="Times New Roman" w:hAnsi="Times New Roman" w:eastAsia="宋体" w:cs="Times New Roman"/>
          <w:b/>
          <w:sz w:val="24"/>
          <w:szCs w:val="24"/>
        </w:rPr>
        <w:t>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项目名称：舟山市大病保险商业合作项目</w:t>
      </w:r>
    </w:p>
    <w:p>
      <w:pPr>
        <w:spacing w:line="360" w:lineRule="auto"/>
        <w:ind w:right="-341"/>
        <w:jc w:val="left"/>
        <w:rPr>
          <w:rFonts w:ascii="宋体" w:hAnsi="宋体" w:eastAsia="宋体" w:cs="Times New Roman"/>
          <w:szCs w:val="21"/>
        </w:rPr>
      </w:pPr>
      <w:r>
        <w:rPr>
          <w:rFonts w:hint="eastAsia" w:ascii="宋体" w:hAnsi="宋体" w:eastAsia="宋体" w:cs="Times New Roman"/>
          <w:b/>
          <w:szCs w:val="21"/>
        </w:rPr>
        <w:t>招标编号：SZGXZS2022211</w:t>
      </w:r>
    </w:p>
    <w:tbl>
      <w:tblPr>
        <w:tblStyle w:val="38"/>
        <w:tblW w:w="9923" w:type="dxa"/>
        <w:tblInd w:w="-294" w:type="dxa"/>
        <w:tblLayout w:type="autofit"/>
        <w:tblCellMar>
          <w:top w:w="0" w:type="dxa"/>
          <w:left w:w="108" w:type="dxa"/>
          <w:bottom w:w="0" w:type="dxa"/>
          <w:right w:w="108" w:type="dxa"/>
        </w:tblCellMar>
      </w:tblPr>
      <w:tblGrid>
        <w:gridCol w:w="1135"/>
        <w:gridCol w:w="1276"/>
        <w:gridCol w:w="708"/>
        <w:gridCol w:w="6096"/>
        <w:gridCol w:w="708"/>
      </w:tblGrid>
      <w:tr>
        <w:tblPrEx>
          <w:tblCellMar>
            <w:top w:w="0" w:type="dxa"/>
            <w:left w:w="108" w:type="dxa"/>
            <w:bottom w:w="0" w:type="dxa"/>
            <w:right w:w="108" w:type="dxa"/>
          </w:tblCellMar>
        </w:tblPrEx>
        <w:trPr>
          <w:trHeight w:val="525" w:hRule="atLeast"/>
        </w:trPr>
        <w:tc>
          <w:tcPr>
            <w:tcW w:w="1135"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rPr>
              <w:t>类别</w:t>
            </w:r>
          </w:p>
        </w:tc>
        <w:tc>
          <w:tcPr>
            <w:tcW w:w="1276"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rPr>
              <w:t>评审内容</w:t>
            </w:r>
          </w:p>
        </w:tc>
        <w:tc>
          <w:tcPr>
            <w:tcW w:w="7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rPr>
              <w:t>分值</w:t>
            </w:r>
          </w:p>
        </w:tc>
        <w:tc>
          <w:tcPr>
            <w:tcW w:w="6096"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rPr>
              <w:t>评分标准</w:t>
            </w:r>
          </w:p>
        </w:tc>
        <w:tc>
          <w:tcPr>
            <w:tcW w:w="70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CellMar>
            <w:top w:w="0" w:type="dxa"/>
            <w:left w:w="108" w:type="dxa"/>
            <w:bottom w:w="0" w:type="dxa"/>
            <w:right w:w="108" w:type="dxa"/>
          </w:tblCellMar>
        </w:tblPrEx>
        <w:trPr>
          <w:trHeight w:val="2286" w:hRule="atLeast"/>
        </w:trPr>
        <w:tc>
          <w:tcPr>
            <w:tcW w:w="1135" w:type="dxa"/>
            <w:vMerge w:val="restart"/>
            <w:tcBorders>
              <w:top w:val="single" w:color="auto" w:sz="4" w:space="0"/>
              <w:left w:val="single" w:color="auto" w:sz="4" w:space="0"/>
              <w:bottom w:val="single" w:color="000000" w:sz="8" w:space="0"/>
              <w:right w:val="single" w:color="auto" w:sz="4" w:space="0"/>
            </w:tcBorders>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商务技术部分</w:t>
            </w:r>
          </w:p>
          <w:p>
            <w:pPr>
              <w:widowControl/>
              <w:jc w:val="center"/>
              <w:textAlignment w:val="center"/>
              <w:rPr>
                <w:rFonts w:ascii="宋体" w:hAnsi="宋体" w:eastAsia="宋体" w:cs="宋体"/>
                <w:kern w:val="0"/>
                <w:szCs w:val="21"/>
              </w:rPr>
            </w:pPr>
            <w:r>
              <w:rPr>
                <w:rFonts w:hint="eastAsia" w:ascii="宋体" w:hAnsi="宋体" w:eastAsia="宋体" w:cs="宋体"/>
                <w:kern w:val="0"/>
                <w:szCs w:val="21"/>
              </w:rPr>
              <w:t>（70分）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成功案例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3分</w:t>
            </w:r>
          </w:p>
        </w:tc>
        <w:tc>
          <w:tcPr>
            <w:tcW w:w="60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根据投标文件中提供的有效医保合作项目合同进行打分（包括本市大病保险、未成年人城乡居民、长护险、“舟惠保”项目），每提供一份有效合同（投标人与市或县区医保部门签订协议的合作项目均计一份，同一类医保合作项目在一个合作周期内有多份合同的计一份，补充合同不计分）得1分，最多得3分。</w:t>
            </w:r>
          </w:p>
          <w:p>
            <w:pPr>
              <w:rPr>
                <w:rFonts w:ascii="宋体" w:hAnsi="宋体" w:eastAsia="宋体" w:cs="Times New Roman"/>
                <w:szCs w:val="21"/>
              </w:rPr>
            </w:pPr>
            <w:r>
              <w:rPr>
                <w:rFonts w:hint="eastAsia" w:ascii="宋体" w:hAnsi="宋体" w:eastAsia="宋体" w:cs="Times New Roman"/>
                <w:szCs w:val="21"/>
              </w:rPr>
              <w:t>其中有效合同评分满足如下要求：（1）以投标人或投标人下属法人企业与全市医保部门签订的医保合作项目合同为准；</w:t>
            </w:r>
          </w:p>
          <w:p>
            <w:pPr>
              <w:rPr>
                <w:rFonts w:ascii="宋体" w:hAnsi="宋体" w:eastAsia="宋体" w:cs="Times New Roman"/>
                <w:szCs w:val="21"/>
              </w:rPr>
            </w:pPr>
            <w:r>
              <w:rPr>
                <w:rFonts w:hint="eastAsia" w:ascii="宋体" w:hAnsi="宋体" w:eastAsia="宋体" w:cs="Times New Roman"/>
                <w:szCs w:val="21"/>
              </w:rPr>
              <w:t>（2）采购合同有效期限含2020年1月至开标前的时间段。</w:t>
            </w:r>
          </w:p>
        </w:tc>
        <w:tc>
          <w:tcPr>
            <w:tcW w:w="708" w:type="dxa"/>
            <w:tcBorders>
              <w:top w:val="single" w:color="000000" w:sz="8" w:space="0"/>
              <w:left w:val="single" w:color="auto" w:sz="4" w:space="0"/>
              <w:bottom w:val="single" w:color="auto" w:sz="4"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1215"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抗风险能力</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9分</w:t>
            </w:r>
          </w:p>
        </w:tc>
        <w:tc>
          <w:tcPr>
            <w:tcW w:w="6096" w:type="dxa"/>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风险综合评级。1.根据标保人所属总公司（非集团总公司）2021年1-4季度的风险综合评级评分，每季度获得一次A得1分，每季度获得一次B得0.5分，C、D不得分；2022年1-2季度的风险综合评级评分，每季度获得一次A-AAA得1分，每季度获得一次B-BBB得0.5分，C、D不得分。最多得6分。投标人提供有效证明材料并盖章，未按要求提供不得分。</w:t>
            </w:r>
          </w:p>
          <w:p>
            <w:pP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综合偿付能力充足率。根据投标人所属总公司（非集团总公司）2021年末综合偿付能力充足率评分（投标人提供经第三方审计的相关材料并盖章）。</w:t>
            </w:r>
          </w:p>
          <w:p>
            <w:pPr>
              <w:widowControl/>
              <w:jc w:val="left"/>
              <w:rPr>
                <w:rFonts w:ascii="宋体" w:hAnsi="宋体" w:eastAsia="宋体" w:cs="宋体"/>
                <w:kern w:val="0"/>
                <w:szCs w:val="21"/>
              </w:rPr>
            </w:pPr>
            <w:r>
              <w:rPr>
                <w:rFonts w:hint="eastAsia" w:ascii="宋体" w:hAnsi="宋体" w:eastAsia="宋体" w:cs="宋体"/>
                <w:szCs w:val="21"/>
              </w:rPr>
              <w:t>偿付能力≥250%得3分，200%≤偿付能力＜250%得2分，150%≤偿付能力＜200%得1分；偿付能力低于150%的不得分。</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1215"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宋体"/>
                <w:kern w:val="0"/>
                <w:szCs w:val="21"/>
              </w:rPr>
              <w:t>服务质量评价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宋体"/>
                <w:szCs w:val="21"/>
              </w:rPr>
              <w:t>4分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rPr>
                <w:rFonts w:ascii="宋体" w:hAnsi="宋体" w:eastAsia="宋体" w:cs="Times New Roman"/>
                <w:szCs w:val="21"/>
              </w:rPr>
            </w:pPr>
            <w:r>
              <w:rPr>
                <w:rFonts w:hint="eastAsia" w:ascii="宋体" w:hAnsi="宋体" w:eastAsia="宋体" w:cs="宋体"/>
                <w:kern w:val="0"/>
                <w:szCs w:val="21"/>
              </w:rPr>
              <w:t>根据中国银行保险信息技术管理有限责任公司(简称“中国银保信”)2022年公布的投标人总公司2021年度保险服务质量指数由高到低排名(财产保险和人寿保险行业分别排名)，第一名得4分，第二名得3分，第三名的得2分，第四名得1分，其他不得分。指数出现并列的，并列后一位名次空缺。</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1215"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合规经营</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2分</w:t>
            </w:r>
          </w:p>
        </w:tc>
        <w:tc>
          <w:tcPr>
            <w:tcW w:w="60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szCs w:val="21"/>
              </w:rPr>
            </w:pPr>
            <w:r>
              <w:rPr>
                <w:rFonts w:hint="eastAsia" w:ascii="宋体" w:hAnsi="宋体" w:eastAsia="宋体" w:cs="Times New Roman"/>
                <w:szCs w:val="21"/>
              </w:rPr>
              <w:t>投标人及其分支机构2020年至2022年9月期间，在健康险经营项目上未被所在地省、市</w:t>
            </w:r>
            <w:r>
              <w:rPr>
                <w:rFonts w:hint="eastAsia" w:ascii="宋体" w:hAnsi="宋体" w:eastAsia="宋体" w:cs="宋体"/>
                <w:kern w:val="0"/>
                <w:szCs w:val="21"/>
              </w:rPr>
              <w:t>银保监部门处罚的</w:t>
            </w:r>
            <w:r>
              <w:rPr>
                <w:rFonts w:hint="eastAsia" w:ascii="宋体" w:hAnsi="宋体" w:eastAsia="宋体" w:cs="Times New Roman"/>
                <w:szCs w:val="21"/>
              </w:rPr>
              <w:t>，得2分；否则不得分（无处罚的，投标人说明并盖章；有处罚的，投标人提供所在地省或市银保监部门官网上的相关材料并盖章，对上述材料的真实性负责）。</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406"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服务网点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10分</w:t>
            </w:r>
          </w:p>
        </w:tc>
        <w:tc>
          <w:tcPr>
            <w:tcW w:w="60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组织机构健全，在舟山市各县（区）均设有县（区）级分支机构的得10分，少</w:t>
            </w:r>
            <w:r>
              <w:rPr>
                <w:rFonts w:hint="eastAsia" w:ascii="宋体" w:hAnsi="宋体" w:eastAsia="宋体" w:cs="宋体"/>
                <w:szCs w:val="21"/>
              </w:rPr>
              <w:t>1家县（区）级分支机构的扣2.5分（以有效期内的营业执照复印件为准，</w:t>
            </w:r>
            <w:r>
              <w:rPr>
                <w:rFonts w:hint="eastAsia" w:ascii="宋体" w:hAnsi="宋体" w:eastAsia="宋体" w:cs="宋体"/>
                <w:b/>
                <w:bCs/>
                <w:szCs w:val="21"/>
              </w:rPr>
              <w:t>或承诺中标后15个工作日内设立分支机构，承诺后无法设立，则做无效标处理，并承担相关责任。</w:t>
            </w:r>
            <w:r>
              <w:rPr>
                <w:rFonts w:hint="eastAsia" w:ascii="宋体" w:hAnsi="宋体" w:eastAsia="宋体" w:cs="宋体"/>
                <w:szCs w:val="21"/>
              </w:rPr>
              <w:t xml:space="preserve">）县（区）级分支机构包括支公司、营业部或者营销服务部。 </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90"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专业人员</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10分</w:t>
            </w:r>
          </w:p>
        </w:tc>
        <w:tc>
          <w:tcPr>
            <w:tcW w:w="60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以市医保局提供的</w:t>
            </w:r>
            <w:r>
              <w:rPr>
                <w:rFonts w:hint="eastAsia" w:ascii="宋体" w:hAnsi="宋体" w:eastAsia="宋体" w:cs="Times New Roman"/>
                <w:b/>
                <w:bCs/>
                <w:szCs w:val="21"/>
              </w:rPr>
              <w:t>2022年8-10月任意一个月</w:t>
            </w:r>
            <w:r>
              <w:rPr>
                <w:rFonts w:hint="eastAsia" w:ascii="宋体" w:hAnsi="宋体" w:eastAsia="宋体" w:cs="Times New Roman"/>
                <w:szCs w:val="21"/>
              </w:rPr>
              <w:t>参加舟山市职工基本医疗保险、具有医学专业或医疗保险专业（以参保职工名册、专业证书、毕业证书等相关证书为准，包括医、药、护、医技、社会保险或医疗保险）的本公司员工人数为依据（含通过第三方机构派驻医保部门工作人员），每1人得1分，最高得10分。</w:t>
            </w:r>
            <w:r>
              <w:rPr>
                <w:rFonts w:hint="eastAsia" w:ascii="宋体" w:hAnsi="宋体" w:eastAsia="宋体" w:cs="Times New Roman"/>
                <w:b/>
                <w:bCs/>
                <w:szCs w:val="21"/>
              </w:rPr>
              <w:t>（第三方机构派驻医保部门工作人员需提供相关证明文件，无法提供不得分。）</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264"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经办服务人员和设施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6分</w:t>
            </w:r>
          </w:p>
        </w:tc>
        <w:tc>
          <w:tcPr>
            <w:tcW w:w="60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bCs/>
                <w:szCs w:val="21"/>
              </w:rPr>
            </w:pPr>
            <w:r>
              <w:rPr>
                <w:rFonts w:hint="eastAsia" w:ascii="宋体" w:hAnsi="宋体" w:eastAsia="宋体" w:cs="Times New Roman"/>
                <w:szCs w:val="21"/>
              </w:rPr>
              <w:t>1．中标共保体派驻全市医保经办机构工作人员50名，其中具有医学专业（包括医、药、护、医技、社会保险或医疗保险）人员不少于12人，财务及信息人员不少于8人，中标人承诺按各自保费份额派驻相应工作人员的得4分，不承诺的的不得分。</w:t>
            </w:r>
            <w:r>
              <w:rPr>
                <w:rFonts w:hint="eastAsia" w:ascii="宋体" w:hAnsi="宋体" w:eastAsia="宋体" w:cs="Times New Roman"/>
                <w:b/>
                <w:bCs/>
                <w:szCs w:val="21"/>
              </w:rPr>
              <w:t>中标后无法提供相关人员</w:t>
            </w:r>
            <w:r>
              <w:rPr>
                <w:rFonts w:hint="eastAsia" w:ascii="宋体" w:hAnsi="宋体" w:eastAsia="宋体" w:cs="宋体"/>
                <w:b/>
                <w:bCs/>
                <w:szCs w:val="21"/>
              </w:rPr>
              <w:t>，则做无效标处理，并承担相关责任。</w:t>
            </w:r>
          </w:p>
          <w:p>
            <w:pPr>
              <w:rPr>
                <w:rFonts w:ascii="宋体" w:hAnsi="宋体" w:eastAsia="宋体" w:cs="Times New Roman"/>
                <w:szCs w:val="21"/>
              </w:rPr>
            </w:pPr>
            <w:r>
              <w:rPr>
                <w:rFonts w:hint="eastAsia" w:ascii="宋体" w:hAnsi="宋体" w:eastAsia="宋体" w:cs="Times New Roman"/>
                <w:szCs w:val="21"/>
              </w:rPr>
              <w:t>2．承诺配备办公、外出调查等必需的设施设备。满足服务需要的得2分，部分满足的得1分，不满足的不得分。</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771"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医保基金监管服务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10分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Times New Roman"/>
                <w:szCs w:val="21"/>
              </w:rPr>
            </w:pPr>
            <w:r>
              <w:rPr>
                <w:rFonts w:hint="eastAsia" w:ascii="宋体" w:hAnsi="宋体" w:eastAsia="宋体" w:cs="Times New Roman"/>
                <w:szCs w:val="21"/>
              </w:rPr>
              <w:t>承诺并提出做好舟山市医疗保障基金智能监管、专项检查和现场检查等工作措施和方案，成立医保基金稽核监管队伍，协助全市医保部门提高医保管理和服务能力。</w:t>
            </w:r>
          </w:p>
          <w:p>
            <w:pPr>
              <w:widowControl/>
              <w:textAlignment w:val="center"/>
              <w:rPr>
                <w:rFonts w:ascii="宋体" w:hAnsi="宋体" w:eastAsia="宋体" w:cs="Times New Roman"/>
                <w:szCs w:val="21"/>
              </w:rPr>
            </w:pPr>
            <w:r>
              <w:rPr>
                <w:rFonts w:hint="eastAsia" w:ascii="宋体" w:hAnsi="宋体" w:eastAsia="宋体" w:cs="Times New Roman"/>
                <w:szCs w:val="21"/>
              </w:rPr>
              <w:t>承诺方案完整，理解深刻，方案对应性强，解决问题的措施得力</w:t>
            </w:r>
          </w:p>
          <w:p>
            <w:pPr>
              <w:widowControl/>
              <w:textAlignment w:val="center"/>
              <w:rPr>
                <w:rFonts w:ascii="宋体" w:hAnsi="宋体" w:eastAsia="宋体" w:cs="Times New Roman"/>
                <w:szCs w:val="21"/>
              </w:rPr>
            </w:pPr>
            <w:r>
              <w:rPr>
                <w:rFonts w:hint="eastAsia" w:ascii="宋体" w:hAnsi="宋体" w:eastAsia="宋体" w:cs="Times New Roman"/>
                <w:szCs w:val="21"/>
              </w:rPr>
              <w:t>：9-10分，</w:t>
            </w:r>
          </w:p>
          <w:p>
            <w:pPr>
              <w:widowControl/>
              <w:textAlignment w:val="center"/>
              <w:rPr>
                <w:rFonts w:ascii="宋体" w:hAnsi="宋体" w:eastAsia="宋体" w:cs="Times New Roman"/>
                <w:szCs w:val="21"/>
              </w:rPr>
            </w:pPr>
            <w:r>
              <w:rPr>
                <w:rFonts w:hint="eastAsia" w:ascii="宋体" w:hAnsi="宋体" w:eastAsia="宋体" w:cs="Times New Roman"/>
                <w:szCs w:val="21"/>
              </w:rPr>
              <w:t>承诺方案基本能满足采购人需求，针对性较好，内容标准化：5-6分，</w:t>
            </w:r>
          </w:p>
          <w:p>
            <w:pPr>
              <w:widowControl/>
              <w:textAlignment w:val="center"/>
              <w:rPr>
                <w:rFonts w:ascii="宋体" w:hAnsi="宋体" w:eastAsia="宋体" w:cs="宋体"/>
                <w:szCs w:val="21"/>
              </w:rPr>
            </w:pPr>
            <w:r>
              <w:rPr>
                <w:rFonts w:hint="eastAsia" w:ascii="宋体" w:hAnsi="宋体" w:eastAsia="宋体" w:cs="Times New Roman"/>
                <w:szCs w:val="21"/>
              </w:rPr>
              <w:t>承诺方案内容简单，套用标准模板，针对性一般：1-2分；未提及不得分。</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771"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医保政策宣传和参保服务承诺</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10分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Times New Roman"/>
                <w:szCs w:val="21"/>
              </w:rPr>
            </w:pPr>
            <w:r>
              <w:rPr>
                <w:rFonts w:hint="eastAsia" w:ascii="宋体" w:hAnsi="宋体" w:eastAsia="宋体" w:cs="Times New Roman"/>
                <w:szCs w:val="21"/>
              </w:rPr>
              <w:t>承诺并提出做好全市医疗保险政策宣传和参保服务等方案，方案和措施应简洁明了、重点突出、切实有效。</w:t>
            </w:r>
          </w:p>
          <w:p>
            <w:pPr>
              <w:widowControl/>
              <w:textAlignment w:val="center"/>
              <w:rPr>
                <w:rFonts w:ascii="宋体" w:hAnsi="宋体" w:eastAsia="宋体" w:cs="Times New Roman"/>
                <w:szCs w:val="21"/>
              </w:rPr>
            </w:pPr>
            <w:r>
              <w:rPr>
                <w:rFonts w:hint="eastAsia" w:ascii="宋体" w:hAnsi="宋体" w:eastAsia="宋体" w:cs="Times New Roman"/>
                <w:szCs w:val="21"/>
              </w:rPr>
              <w:t>方案完整全面，理解深刻，重点突出，切实有效，措施得力：9-10分，</w:t>
            </w:r>
          </w:p>
          <w:p>
            <w:pPr>
              <w:widowControl/>
              <w:textAlignment w:val="center"/>
              <w:rPr>
                <w:rFonts w:ascii="宋体" w:hAnsi="宋体" w:eastAsia="宋体" w:cs="Times New Roman"/>
                <w:szCs w:val="21"/>
              </w:rPr>
            </w:pPr>
            <w:r>
              <w:rPr>
                <w:rFonts w:hint="eastAsia" w:ascii="宋体" w:hAnsi="宋体" w:eastAsia="宋体" w:cs="Times New Roman"/>
                <w:szCs w:val="21"/>
              </w:rPr>
              <w:t>方案基本能满足采购人需求，针对性较好，内容标准化，措施较得力：5-6分，</w:t>
            </w:r>
          </w:p>
          <w:p>
            <w:pPr>
              <w:widowControl/>
              <w:textAlignment w:val="center"/>
              <w:rPr>
                <w:rFonts w:ascii="宋体" w:hAnsi="宋体" w:eastAsia="宋体" w:cs="Times New Roman"/>
                <w:szCs w:val="21"/>
              </w:rPr>
            </w:pPr>
            <w:r>
              <w:rPr>
                <w:rFonts w:hint="eastAsia" w:ascii="宋体" w:hAnsi="宋体" w:eastAsia="宋体" w:cs="Times New Roman"/>
                <w:szCs w:val="21"/>
              </w:rPr>
              <w:t>方案内容简单，套用标准模板，针对性一般：1-2分；未提及不得分。</w:t>
            </w:r>
          </w:p>
        </w:tc>
        <w:tc>
          <w:tcPr>
            <w:tcW w:w="708" w:type="dxa"/>
            <w:tcBorders>
              <w:top w:val="single" w:color="000000" w:sz="8" w:space="0"/>
              <w:left w:val="single" w:color="auto" w:sz="4"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406"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Cs w:val="21"/>
              </w:rPr>
            </w:pPr>
            <w:r>
              <w:rPr>
                <w:rFonts w:hint="eastAsia" w:ascii="宋体" w:hAnsi="宋体" w:eastAsia="宋体" w:cs="Times New Roman"/>
                <w:szCs w:val="21"/>
              </w:rPr>
              <w:t>管理制度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Cs w:val="21"/>
              </w:rPr>
            </w:pPr>
            <w:r>
              <w:rPr>
                <w:rFonts w:hint="eastAsia" w:ascii="宋体" w:hAnsi="宋体" w:eastAsia="宋体" w:cs="Times New Roman"/>
                <w:szCs w:val="21"/>
              </w:rPr>
              <w:t>3分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Times New Roman"/>
                <w:szCs w:val="21"/>
              </w:rPr>
            </w:pPr>
            <w:r>
              <w:rPr>
                <w:rFonts w:hint="eastAsia" w:ascii="宋体" w:hAnsi="宋体" w:eastAsia="宋体" w:cs="Times New Roman"/>
                <w:szCs w:val="21"/>
              </w:rPr>
              <w:t>具有健全完善的管理制度和管理体制，有明确的岗位职责、培训机制和奖惩机制，能保障业务顺利开展。</w:t>
            </w:r>
          </w:p>
          <w:p>
            <w:pPr>
              <w:widowControl/>
              <w:textAlignment w:val="center"/>
              <w:rPr>
                <w:rFonts w:ascii="宋体" w:hAnsi="宋体" w:eastAsia="宋体" w:cs="Times New Roman"/>
                <w:szCs w:val="21"/>
              </w:rPr>
            </w:pPr>
            <w:r>
              <w:rPr>
                <w:rFonts w:hint="eastAsia" w:ascii="宋体" w:hAnsi="宋体" w:eastAsia="宋体" w:cs="Times New Roman"/>
                <w:szCs w:val="21"/>
              </w:rPr>
              <w:t>制度健全，职责明确，完全能保障业务顺利开展：3分，制度较健全，职责较明确，基本能保障业务开展：1-2分，没有不得分。</w:t>
            </w:r>
          </w:p>
        </w:tc>
        <w:tc>
          <w:tcPr>
            <w:tcW w:w="708" w:type="dxa"/>
            <w:tcBorders>
              <w:top w:val="single" w:color="000000" w:sz="8" w:space="0"/>
              <w:left w:val="single" w:color="000000" w:sz="8"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547" w:hRule="atLeast"/>
        </w:trPr>
        <w:tc>
          <w:tcPr>
            <w:tcW w:w="1135" w:type="dxa"/>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Cs w:val="21"/>
              </w:rPr>
            </w:pPr>
          </w:p>
        </w:tc>
        <w:tc>
          <w:tcPr>
            <w:tcW w:w="1276"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hAnsi="宋体" w:eastAsia="宋体" w:cs="Times New Roman"/>
                <w:szCs w:val="21"/>
              </w:rPr>
            </w:pPr>
            <w:r>
              <w:rPr>
                <w:rFonts w:hint="eastAsia" w:ascii="宋体" w:hAnsi="宋体" w:eastAsia="宋体" w:cs="Times New Roman"/>
                <w:szCs w:val="21"/>
              </w:rPr>
              <w:t>信息系统支撑能力</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eastAsia="宋体" w:cs="Times New Roman"/>
                <w:szCs w:val="21"/>
              </w:rPr>
              <w:t>3分</w:t>
            </w:r>
          </w:p>
        </w:tc>
        <w:tc>
          <w:tcPr>
            <w:tcW w:w="609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Times New Roman"/>
                <w:szCs w:val="21"/>
              </w:rPr>
            </w:pPr>
            <w:r>
              <w:rPr>
                <w:rFonts w:hint="eastAsia" w:ascii="宋体" w:hAnsi="宋体" w:eastAsia="宋体" w:cs="Times New Roman"/>
                <w:szCs w:val="21"/>
              </w:rPr>
              <w:t>具有完善的无缝交接网络服务体系，能提供方便、快捷、准确的结报和查询服务，能准确及时填写各类统计分析报表。</w:t>
            </w:r>
          </w:p>
          <w:p>
            <w:pPr>
              <w:widowControl/>
              <w:textAlignment w:val="center"/>
              <w:rPr>
                <w:rFonts w:ascii="宋体" w:hAnsi="宋体" w:eastAsia="宋体" w:cs="宋体"/>
                <w:b/>
                <w:bCs/>
                <w:szCs w:val="21"/>
              </w:rPr>
            </w:pPr>
            <w:r>
              <w:rPr>
                <w:rFonts w:hint="eastAsia" w:ascii="宋体" w:hAnsi="宋体" w:eastAsia="宋体" w:cs="Times New Roman"/>
                <w:szCs w:val="21"/>
              </w:rPr>
              <w:t>服务体系较完善，完全能满足项目需求：3分，服务体系较完善，基本能满足需求：1-2分，没有不得分。</w:t>
            </w:r>
          </w:p>
        </w:tc>
        <w:tc>
          <w:tcPr>
            <w:tcW w:w="708" w:type="dxa"/>
            <w:tcBorders>
              <w:top w:val="single" w:color="000000" w:sz="8" w:space="0"/>
              <w:left w:val="single" w:color="000000" w:sz="8" w:space="0"/>
              <w:bottom w:val="single" w:color="000000" w:sz="8" w:space="0"/>
              <w:right w:val="single" w:color="000000" w:sz="8" w:space="0"/>
            </w:tcBorders>
            <w:noWrap/>
            <w:vAlign w:val="center"/>
          </w:tcPr>
          <w:p>
            <w:pPr>
              <w:jc w:val="left"/>
              <w:rPr>
                <w:rFonts w:ascii="宋体" w:hAnsi="宋体" w:eastAsia="宋体" w:cs="宋体"/>
                <w:sz w:val="20"/>
                <w:szCs w:val="20"/>
              </w:rPr>
            </w:pPr>
          </w:p>
        </w:tc>
      </w:tr>
      <w:tr>
        <w:tblPrEx>
          <w:tblCellMar>
            <w:top w:w="0" w:type="dxa"/>
            <w:left w:w="108" w:type="dxa"/>
            <w:bottom w:w="0" w:type="dxa"/>
            <w:right w:w="108" w:type="dxa"/>
          </w:tblCellMar>
        </w:tblPrEx>
        <w:trPr>
          <w:trHeight w:val="735" w:hRule="atLeast"/>
        </w:trPr>
        <w:tc>
          <w:tcPr>
            <w:tcW w:w="2411"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投标报价（30分）</w:t>
            </w:r>
          </w:p>
        </w:tc>
        <w:tc>
          <w:tcPr>
            <w:tcW w:w="70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30分</w:t>
            </w:r>
          </w:p>
        </w:tc>
        <w:tc>
          <w:tcPr>
            <w:tcW w:w="60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满足投标文件要求且投标价格最低的投标报价为评标基准价，其价格分为满分，其他投标人的价格分按下列公式计算：价格得分＝（评标基准价/投标报价）×价格权重×100。</w:t>
            </w:r>
          </w:p>
        </w:tc>
        <w:tc>
          <w:tcPr>
            <w:tcW w:w="708" w:type="dxa"/>
            <w:tcBorders>
              <w:top w:val="single" w:color="000000" w:sz="8" w:space="0"/>
              <w:left w:val="single" w:color="000000" w:sz="8" w:space="0"/>
              <w:bottom w:val="single" w:color="000000" w:sz="8" w:space="0"/>
              <w:right w:val="single" w:color="000000" w:sz="8" w:space="0"/>
            </w:tcBorders>
            <w:noWrap/>
            <w:vAlign w:val="center"/>
          </w:tcPr>
          <w:p>
            <w:pPr>
              <w:jc w:val="left"/>
              <w:rPr>
                <w:rFonts w:ascii="宋体" w:hAnsi="宋体" w:eastAsia="宋体" w:cs="宋体"/>
                <w:sz w:val="20"/>
                <w:szCs w:val="20"/>
              </w:rPr>
            </w:pPr>
          </w:p>
        </w:tc>
      </w:tr>
    </w:tbl>
    <w:p>
      <w:pPr>
        <w:spacing w:after="120"/>
        <w:rPr>
          <w:rFonts w:ascii="宋体" w:hAnsi="宋体" w:eastAsia="宋体" w:cs="Times New Roman"/>
          <w:kern w:val="0"/>
          <w:szCs w:val="21"/>
        </w:rPr>
      </w:pPr>
    </w:p>
    <w:p>
      <w:pPr>
        <w:widowControl/>
        <w:jc w:val="left"/>
        <w:rPr>
          <w:rFonts w:ascii="宋体" w:hAnsi="宋体" w:eastAsia="宋体" w:cs="Times New Roman"/>
          <w:szCs w:val="21"/>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r>
        <w:rPr>
          <w:rFonts w:ascii="Times New Roman" w:hAnsi="Times New Roman" w:eastAsia="黑体" w:cs="Times New Roman"/>
          <w:sz w:val="30"/>
        </w:rPr>
        <w:t>第五章合同主要条款</w:t>
      </w:r>
      <w:bookmarkEnd w:id="0"/>
    </w:p>
    <w:p>
      <w:pPr>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pPr>
        <w:spacing w:line="312" w:lineRule="auto"/>
        <w:ind w:left="689" w:leftChars="228" w:hanging="210" w:hangingChars="100"/>
        <w:rPr>
          <w:rFonts w:ascii="宋体" w:hAnsi="Times New Roman" w:eastAsia="宋体" w:cs="Times New Roman"/>
        </w:rPr>
      </w:pPr>
    </w:p>
    <w:p>
      <w:pPr>
        <w:snapToGrid w:val="0"/>
        <w:spacing w:before="120" w:line="360" w:lineRule="auto"/>
        <w:ind w:firstLine="474" w:firstLineChars="225"/>
        <w:rPr>
          <w:rFonts w:ascii="宋体" w:hAnsi="宋体" w:eastAsia="宋体" w:cs="Times New Roman"/>
          <w:b/>
          <w:kern w:val="0"/>
        </w:rPr>
      </w:pPr>
      <w:r>
        <w:rPr>
          <w:rFonts w:hint="eastAsia" w:ascii="宋体" w:hAnsi="宋体" w:eastAsia="宋体" w:cs="Times New Roman"/>
          <w:b/>
          <w:kern w:val="0"/>
        </w:rPr>
        <w:t>招标文件、中标方的投标文件及其澄清文件等，均为签订合同的依据。（注：不强制供应商到达现场签订合同）</w:t>
      </w:r>
    </w:p>
    <w:p>
      <w:pPr>
        <w:spacing w:line="360" w:lineRule="auto"/>
        <w:rPr>
          <w:rFonts w:ascii="宋体" w:hAnsi="宋体" w:eastAsia="宋体" w:cs="宋体"/>
          <w:sz w:val="30"/>
          <w:szCs w:val="30"/>
        </w:rPr>
      </w:pPr>
    </w:p>
    <w:p>
      <w:pPr>
        <w:spacing w:line="360" w:lineRule="auto"/>
        <w:rPr>
          <w:rFonts w:ascii="宋体" w:hAnsi="宋体" w:eastAsia="宋体" w:cs="Times New Roman"/>
          <w:szCs w:val="21"/>
        </w:rPr>
      </w:pPr>
      <w:r>
        <w:rPr>
          <w:rFonts w:ascii="宋体" w:hAnsi="宋体" w:eastAsia="宋体" w:cs="Times New Roman"/>
          <w:szCs w:val="21"/>
        </w:rPr>
        <w:t>招标人（全称）：</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ascii="宋体" w:hAnsi="宋体" w:eastAsia="宋体" w:cs="Times New Roman"/>
          <w:szCs w:val="21"/>
        </w:rPr>
        <w:t>承保方（全称）：</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为加强和规范统一市重大疾病医疗救助工作，依据《中华人民共和国</w:t>
      </w:r>
      <w:r>
        <w:rPr>
          <w:rFonts w:hint="eastAsia" w:ascii="宋体" w:hAnsi="宋体" w:eastAsia="宋体" w:cs="Times New Roman"/>
          <w:szCs w:val="21"/>
        </w:rPr>
        <w:t>民法典</w:t>
      </w:r>
      <w:r>
        <w:rPr>
          <w:rFonts w:ascii="宋体" w:hAnsi="宋体" w:eastAsia="宋体" w:cs="Times New Roman"/>
          <w:szCs w:val="21"/>
        </w:rPr>
        <w:t>》、《中华人民共和国政府采购法》及其他有关法律、行政法规，遵循平等、自愿、公平和诚实信用的原则，合同各方协商一致，订立本合同，由受托方代表招标人与承保方签订合同。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一、统一保险内容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招标人将市职工重大疾病医疗救助金委托给承保方统一承办职工重大疾病医疗救助金保险。双方共同执行</w:t>
      </w:r>
      <w:r>
        <w:rPr>
          <w:rFonts w:hint="eastAsia" w:ascii="宋体" w:hAnsi="宋体" w:eastAsia="宋体" w:cs="Times New Roman"/>
          <w:szCs w:val="21"/>
        </w:rPr>
        <w:t>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二、合同期限</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统一保险期限自2023年 1月1日起至20</w:t>
      </w:r>
      <w:r>
        <w:rPr>
          <w:rFonts w:hint="eastAsia" w:ascii="宋体" w:hAnsi="宋体" w:eastAsia="宋体" w:cs="Times New Roman"/>
          <w:szCs w:val="21"/>
        </w:rPr>
        <w:t>2</w:t>
      </w:r>
      <w:r>
        <w:rPr>
          <w:rFonts w:ascii="宋体" w:hAnsi="宋体" w:eastAsia="宋体" w:cs="Times New Roman"/>
          <w:szCs w:val="21"/>
        </w:rPr>
        <w:t>5年12月31日止。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三、合同价款</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依据中标书内容：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1.参保保费：职工重大疾病医疗救助金每人每年缴纳元。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2.理赔限额：。</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3.理赔比例：</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各设区市可根据实际情况，适度提高补偿标准。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4.双方同意按实际人数缴费投保。</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四、付款方式</w:t>
      </w:r>
    </w:p>
    <w:p>
      <w:pPr>
        <w:spacing w:line="360" w:lineRule="auto"/>
        <w:ind w:firstLine="420" w:firstLineChars="200"/>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五、承保方承诺</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1.不得拒绝投保方团体参加职工重大疾病医疗救助金的投保人中的任何个例参保。必须在工作时间内随时受理参保人员大病保险理赔材料，对手续齐全的理赔申请，在     个工作日内完成费用审核和赔付。对手续不齐全的理赔申请，应及时告知完善有关材料。</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2.必须与受托方建立网络结算信息平台，对赔付的数据实时上传给受托方。承保方承担网络建设相关费用，并承担受托方数据保密的责任。</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承保方应对职工重大疾病医疗救助金收缴和赔付等财务情况实行单独建账，单险种管理，并接受受托方和招标人的监督检查。每月的前五个工作日内，承保方务必将上一月份的基金运行情况向受托方和招标人提供分析报告。报告内容包括：（1）赔付中的病种分类；（2）赔付总人次数；（3）赔付总金额等其他招标人统计分析需要的资料。</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4.承保方承诺对已进入职工重大疾病医疗救助金额度在继续住院治疗的参保（合）中途结算申请，及时理赔，以减轻参保（合）医疗费用周转压力。</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5.承保方应及时做好定点医疗机构费用的结算工作，不得无故延迟费用结算和拨付。承保方与定点医疗机构之间需要协调的工作，招标人和受托方予以配合。</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6.承保方必须按照事前约定的盈亏分担机制，履行相应的支付责任。</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7.招标人、受托方和承保方三方根据职工重大疾病医疗救助金一年的经营状况，在保险费标准需进行调整时，应及时向政府提出职工重大疾病医疗救助金的运行情况报告，并提出调整意见。</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承保方须在签订本合同后一个月内，在（地址）设置职工重大疾病医疗救助金服务窗口，并配备1人以上专保员和客户服务专线电话，并承担所需费用。在全市辖区内，可拨打客户服务专线电话，由承保方安排服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9.自觉接受招标人，受托方和政府行政主管部门的监督检查。</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六、受托方承诺</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1.必须将已参加基本医疗保险的参保人，全部参加大病保险。受托方在收到职工重大疾病医疗救助金后，应及时入帐，并于每月10日前，向承保方提供上月参保的基本信息和保险费金额等。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2.受托方在中标后30个工作日之内将保险费转入承保方帐户。待遇享受当年年度末，由招标人对承保方履行全年职工重大疾病医疗救助金赔付责任进行考核，考核通过后受托方将所收到的保证金返还给承保方。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3.受托方应向承保方提供连接基本医疗保险的信息平台接口，便利承保方联网查询信息等。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4.受托方允许承保方在受托方医保服务大厅，设立业务办理服务窗口，便于承保方为参保提供大病保险的政策宣传、咨询、解释、接案赔付等服务。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5.自觉接受招标人及政府行政主管部门的监督检查。</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七、违约责任</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1.合同各方应严格履行本协议之规定，若一方违约，则应承担对方因违约造成的所有损失，终止合同。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2.本协议未尽事宜，合同双方协商解决。</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3.合同纠纷按《中华人民共和国合同法》执行。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八、解决合同纠纷的方式</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向合同签订地的人民法院提出诉讼。</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九、组成合同的文件：组成合同的文件包括</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1.本合同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2.本项目招标文件</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3.本项目投标文件及其附件</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4、本项目中标通知书</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十、合同生效</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合同订立时间：20年月日</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合同订立地点：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本合同双方约定20</w:t>
      </w:r>
      <w:r>
        <w:rPr>
          <w:rFonts w:hint="eastAsia" w:ascii="宋体" w:hAnsi="宋体" w:eastAsia="宋体" w:cs="Times New Roman"/>
          <w:szCs w:val="21"/>
        </w:rPr>
        <w:t>2</w:t>
      </w:r>
      <w:r>
        <w:rPr>
          <w:rFonts w:ascii="宋体" w:hAnsi="宋体" w:eastAsia="宋体" w:cs="Times New Roman"/>
          <w:szCs w:val="21"/>
        </w:rPr>
        <w:t>3年1月1日起生效</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十一、合同份数</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本合同一式四份。合同各方各执一份，市财政局监管处</w:t>
      </w:r>
      <w:r>
        <w:rPr>
          <w:rFonts w:hint="eastAsia" w:ascii="宋体" w:hAnsi="宋体" w:eastAsia="宋体" w:cs="Times New Roman"/>
          <w:szCs w:val="21"/>
        </w:rPr>
        <w:t>和代理机构各</w:t>
      </w:r>
      <w:r>
        <w:rPr>
          <w:rFonts w:ascii="宋体" w:hAnsi="宋体" w:eastAsia="宋体" w:cs="Times New Roman"/>
          <w:szCs w:val="21"/>
        </w:rPr>
        <w:t>备案一份。</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十二、其它约定事项：如遇国家政策调整，或须执行上级下达的新文件（或规定条例），本合同内容与上级下达的新文件（或规定条例）有缺失或不符部分，自新文件（或规定条例）生效之日起无条件自动变更，双方签订补充合同一同生效。</w:t>
      </w:r>
    </w:p>
    <w:p>
      <w:pPr>
        <w:widowControl/>
        <w:shd w:val="clear" w:color="auto" w:fill="FFFFFF"/>
        <w:spacing w:before="100" w:beforeAutospacing="1" w:after="100" w:afterAutospacing="1" w:line="610" w:lineRule="atLeast"/>
        <w:ind w:firstLine="420"/>
        <w:rPr>
          <w:rFonts w:ascii="宋体" w:hAnsi="宋体" w:eastAsia="宋体" w:cs="Times New Roman"/>
          <w:sz w:val="20"/>
          <w:lang w:val="zh-TW"/>
        </w:rPr>
      </w:pPr>
      <w:r>
        <w:rPr>
          <w:rFonts w:ascii="_5b8b_4f53" w:hAnsi="_5b8b_4f53" w:eastAsia="宋体" w:cs="宋体"/>
          <w:kern w:val="0"/>
          <w:szCs w:val="21"/>
        </w:rPr>
        <w:t>注：在正式签约时，根据上述精神应拟就更为详尽的合同书，并以正式合同为准</w:t>
      </w:r>
    </w:p>
    <w:p>
      <w:pPr>
        <w:snapToGrid w:val="0"/>
        <w:spacing w:line="360" w:lineRule="auto"/>
        <w:ind w:firstLine="480"/>
        <w:textAlignment w:val="baseline"/>
        <w:rPr>
          <w:rFonts w:ascii="宋体" w:hAnsi="宋体" w:eastAsia="宋体" w:cs="Songti SC Regular"/>
          <w:sz w:val="20"/>
          <w:lang w:val="zh-TW"/>
        </w:rPr>
      </w:pPr>
    </w:p>
    <w:p>
      <w:pPr>
        <w:snapToGrid w:val="0"/>
        <w:spacing w:line="360" w:lineRule="auto"/>
        <w:textAlignment w:val="baseline"/>
        <w:rPr>
          <w:rFonts w:ascii="宋体" w:hAnsi="宋体" w:eastAsia="宋体" w:cs="Times New Roman"/>
          <w:sz w:val="20"/>
          <w:lang w:eastAsia="zh-TW"/>
        </w:rPr>
      </w:pPr>
      <w:r>
        <w:rPr>
          <w:rFonts w:hint="eastAsia" w:ascii="宋体" w:hAnsi="宋体" w:eastAsia="宋体" w:cs="Times New Roman"/>
          <w:lang w:eastAsia="zh-TW"/>
        </w:rPr>
        <w:t>甲方：                           乙方：</w:t>
      </w:r>
    </w:p>
    <w:p>
      <w:pPr>
        <w:snapToGrid w:val="0"/>
        <w:spacing w:line="360" w:lineRule="auto"/>
        <w:textAlignment w:val="baseline"/>
        <w:rPr>
          <w:rFonts w:ascii="宋体" w:hAnsi="宋体" w:eastAsia="宋体" w:cs="Times New Roman"/>
          <w:sz w:val="20"/>
          <w:lang w:eastAsia="zh-TW"/>
        </w:rPr>
      </w:pPr>
      <w:r>
        <w:rPr>
          <w:rFonts w:hint="eastAsia" w:ascii="宋体" w:hAnsi="宋体" w:eastAsia="宋体" w:cs="Times New Roman"/>
          <w:lang w:eastAsia="zh-TW"/>
        </w:rPr>
        <w:t>地址：                           地址：</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法人代表（负责人）：             法人代表（负责人）：</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电话：                           电话：</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电传：                           电传：</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邮政编码：                       邮政编码：</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开户银行：                       开户银行：</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帐号：                           帐号：</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日期：                           日期：</w:t>
      </w:r>
      <w:r>
        <w:rPr>
          <w:rFonts w:hint="eastAsia" w:ascii="宋体" w:hAnsi="宋体" w:eastAsia="宋体" w:cs="Times New Roman"/>
        </w:rPr>
        <w:tab/>
      </w:r>
    </w:p>
    <w:p>
      <w:pPr>
        <w:widowControl/>
        <w:jc w:val="left"/>
        <w:rPr>
          <w:rFonts w:ascii="黑体" w:hAnsi="宋体" w:eastAsia="黑体" w:cs="Times New Roman"/>
          <w:sz w:val="30"/>
        </w:rPr>
      </w:pPr>
      <w:r>
        <w:rPr>
          <w:rFonts w:ascii="黑体" w:hAnsi="宋体" w:eastAsia="黑体" w:cs="Times New Roman"/>
          <w:sz w:val="30"/>
        </w:rPr>
        <w:br w:type="page"/>
      </w:r>
    </w:p>
    <w:p>
      <w:pPr>
        <w:snapToGrid w:val="0"/>
        <w:spacing w:line="312" w:lineRule="auto"/>
        <w:rPr>
          <w:rFonts w:ascii="Times New Roman" w:hAnsi="Times New Roman" w:eastAsia="宋体" w:cs="Times New Roman"/>
          <w:szCs w:val="21"/>
        </w:rPr>
      </w:pPr>
      <w:r>
        <w:rPr>
          <w:rFonts w:ascii="Times New Roman" w:hAnsi="Times New Roman" w:eastAsia="宋体" w:cs="Times New Roman"/>
          <w:szCs w:val="21"/>
        </w:rPr>
        <w:t>信贷政策</w:t>
      </w:r>
    </w:p>
    <w:p>
      <w:pPr>
        <w:spacing w:line="312" w:lineRule="auto"/>
        <w:contextualSpacing/>
        <w:rPr>
          <w:rFonts w:ascii="仿宋_GB2312" w:hAnsi="Times New Roman" w:eastAsia="仿宋_GB2312" w:cs="Times New Roman"/>
          <w:sz w:val="24"/>
          <w:szCs w:val="20"/>
        </w:rPr>
      </w:pPr>
      <w:r>
        <w:rPr>
          <w:rFonts w:ascii="Times New Roman" w:hAnsi="Times New Roman"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bookmarkStart w:id="4" w:name="_Hlk118299836"/>
    </w:p>
    <w:tbl>
      <w:tblPr>
        <w:tblStyle w:val="3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pPr>
              <w:numPr>
                <w:ilvl w:val="0"/>
                <w:numId w:val="9"/>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pPr>
              <w:numPr>
                <w:ilvl w:val="0"/>
                <w:numId w:val="10"/>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pPr>
              <w:numPr>
                <w:ilvl w:val="0"/>
                <w:numId w:val="11"/>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pPr>
              <w:numPr>
                <w:ilvl w:val="0"/>
                <w:numId w:val="11"/>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1"/>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1"/>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4"/>
    </w:tbl>
    <w:p>
      <w:pPr>
        <w:spacing w:line="240" w:lineRule="exact"/>
        <w:rPr>
          <w:rFonts w:ascii="宋体" w:hAnsi="宋体" w:eastAsia="宋体" w:cs="Times New Roman"/>
          <w:szCs w:val="21"/>
        </w:rPr>
      </w:pPr>
    </w:p>
    <w:p>
      <w:pPr>
        <w:spacing w:line="400" w:lineRule="exact"/>
        <w:contextualSpacing/>
        <w:rPr>
          <w:rFonts w:ascii="宋体" w:hAnsi="宋体"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2.一般步骤</w:t>
      </w:r>
    </w:p>
    <w:p>
      <w:pPr>
        <w:ind w:firstLine="555"/>
        <w:rPr>
          <w:rFonts w:ascii="Times New Roman" w:hAnsi="Times New Roman" w:eastAsia="宋体" w:cs="Times New Roman"/>
          <w:szCs w:val="21"/>
        </w:rPr>
      </w:pPr>
      <w:r>
        <w:rPr>
          <w:rFonts w:ascii="Times New Roman" w:hAnsi="Times New Roman" w:eastAsia="宋体" w:cs="Times New Roman"/>
          <w:szCs w:val="21"/>
        </w:rPr>
        <w:t>（1）供应商先与银行对接，办理融资前期手续；</w:t>
      </w:r>
    </w:p>
    <w:p>
      <w:pPr>
        <w:ind w:firstLine="555"/>
        <w:rPr>
          <w:rFonts w:ascii="Times New Roman" w:hAnsi="Times New Roman" w:eastAsia="宋体" w:cs="Times New Roman"/>
          <w:szCs w:val="21"/>
        </w:rPr>
      </w:pPr>
      <w:r>
        <w:rPr>
          <w:rFonts w:ascii="Times New Roman" w:hAnsi="Times New Roman" w:eastAsia="宋体" w:cs="Times New Roman"/>
          <w:szCs w:val="21"/>
        </w:rPr>
        <w:t>（2）供应商中标后，凭中标通知书等材料，向相关合作银行发出融资申请；</w:t>
      </w:r>
    </w:p>
    <w:p>
      <w:pPr>
        <w:ind w:firstLine="555"/>
        <w:rPr>
          <w:rFonts w:ascii="Times New Roman" w:hAnsi="Times New Roman" w:eastAsia="宋体" w:cs="Times New Roman"/>
          <w:szCs w:val="21"/>
        </w:rPr>
      </w:pPr>
      <w:r>
        <w:rPr>
          <w:rFonts w:ascii="Times New Roman" w:hAnsi="Times New Roman" w:eastAsia="宋体" w:cs="Times New Roman"/>
          <w:szCs w:val="21"/>
        </w:rPr>
        <w:t>（3）银行、供应商线</w:t>
      </w:r>
      <w:r>
        <w:rPr>
          <w:rFonts w:hint="eastAsia" w:ascii="Times New Roman" w:hAnsi="Times New Roman" w:eastAsia="宋体" w:cs="Times New Roman"/>
          <w:szCs w:val="21"/>
          <w:lang w:val="en-US" w:eastAsia="zh-CN"/>
        </w:rPr>
        <w:t>上</w:t>
      </w:r>
      <w:r>
        <w:rPr>
          <w:rFonts w:ascii="Times New Roman" w:hAnsi="Times New Roman" w:eastAsia="宋体" w:cs="Times New Roman"/>
          <w:szCs w:val="21"/>
        </w:rPr>
        <w:t>办理审批、放贷事宜。</w:t>
      </w:r>
    </w:p>
    <w:p>
      <w:pPr>
        <w:ind w:firstLine="555"/>
        <w:rPr>
          <w:rFonts w:ascii="Times New Roman" w:hAnsi="Times New Roman" w:eastAsia="宋体" w:cs="Times New Roman"/>
          <w:szCs w:val="21"/>
        </w:rPr>
      </w:pPr>
      <w:r>
        <w:rPr>
          <w:rFonts w:ascii="Times New Roman" w:hAnsi="Times New Roman" w:eastAsia="宋体" w:cs="Times New Roman"/>
          <w:szCs w:val="21"/>
        </w:rPr>
        <w:t>3.注意事项</w:t>
      </w:r>
    </w:p>
    <w:p>
      <w:pPr>
        <w:ind w:firstLine="555"/>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中标人</w:t>
      </w:r>
      <w:r>
        <w:rPr>
          <w:rFonts w:ascii="Times New Roman" w:hAnsi="Times New Roman" w:eastAsia="宋体" w:cs="Times New Roman"/>
          <w:szCs w:val="21"/>
        </w:rPr>
        <w:t>需确保政府采购合同的收款账户与融资银行开户账户一致。</w:t>
      </w:r>
    </w:p>
    <w:p>
      <w:pPr>
        <w:ind w:firstLine="555"/>
        <w:rPr>
          <w:rFonts w:ascii="Times New Roman" w:hAnsi="Times New Roman" w:eastAsia="宋体" w:cs="Times New Roman"/>
          <w:szCs w:val="21"/>
        </w:rPr>
      </w:pPr>
      <w:r>
        <w:rPr>
          <w:rFonts w:ascii="Times New Roman" w:hAnsi="Times New Roman" w:eastAsia="宋体" w:cs="Times New Roman"/>
          <w:szCs w:val="21"/>
        </w:rPr>
        <w:t>（2）用于政府采购信用融资的政府采购合同，应当包含如下条款：“第条：政府采购合同贷款</w:t>
      </w:r>
      <w:bookmarkStart w:id="5" w:name="_GoBack"/>
      <w:bookmarkEnd w:id="5"/>
    </w:p>
    <w:p>
      <w:pPr>
        <w:ind w:firstLine="555"/>
        <w:rPr>
          <w:rFonts w:ascii="Times New Roman" w:hAnsi="Times New Roman" w:eastAsia="宋体" w:cs="Times New Roman"/>
          <w:szCs w:val="21"/>
        </w:rPr>
      </w:pPr>
      <w:r>
        <w:rPr>
          <w:rFonts w:ascii="Times New Roman" w:hAnsi="Times New Roman" w:eastAsia="宋体" w:cs="Times New Roman"/>
          <w:szCs w:val="21"/>
        </w:rPr>
        <w:t>本合同同时用于乙方向银行（金融机构）申请政府采购信用贷款。</w:t>
      </w:r>
    </w:p>
    <w:p>
      <w:pPr>
        <w:ind w:firstLine="555"/>
        <w:rPr>
          <w:rFonts w:ascii="Times New Roman" w:hAnsi="Times New Roman" w:eastAsia="宋体" w:cs="Times New Roman"/>
          <w:szCs w:val="21"/>
        </w:rPr>
      </w:pPr>
      <w:r>
        <w:rPr>
          <w:rFonts w:ascii="Times New Roman" w:hAnsi="Times New Roman"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ascii="Times New Roman" w:hAnsi="Times New Roman" w:eastAsia="宋体" w:cs="Times New Roman"/>
          <w:sz w:val="24"/>
        </w:rPr>
        <w:t>一、</w:t>
      </w:r>
      <w:r>
        <w:rPr>
          <w:rFonts w:ascii="Times New Roman" w:hAnsi="Times New Roman" w:eastAsia="宋体" w:cs="Times New Roman"/>
          <w:b/>
          <w:sz w:val="24"/>
        </w:rPr>
        <w:t>备份文件包装封面（格式供参考）</w:t>
      </w:r>
      <w:r>
        <w:rPr>
          <w:rFonts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ascii="Times New Roman" w:hAnsi="Times New Roman" w:eastAsia="宋体" w:cs="Times New Roman"/>
          <w:b/>
          <w:sz w:val="28"/>
        </w:rPr>
        <w:t>投标人名称：</w:t>
      </w:r>
      <w:r>
        <w:rPr>
          <w:rFonts w:ascii="Times New Roman" w:hAnsi="Times New Roman" w:eastAsia="宋体" w:cs="Times New Roman"/>
          <w:b/>
          <w:sz w:val="28"/>
          <w:u w:val="single"/>
        </w:rPr>
        <w:t>（</w:t>
      </w:r>
      <w:r>
        <w:rPr>
          <w:rFonts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启封时间：</w:t>
      </w:r>
      <w:r>
        <w:rPr>
          <w:rFonts w:ascii="Times New Roman" w:hAnsi="Times New Roman" w:eastAsia="宋体" w:cs="Times New Roman"/>
          <w:b/>
          <w:sz w:val="28"/>
          <w:u w:val="single"/>
        </w:rPr>
        <w:t>在20     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r>
        <w:rPr>
          <w:rFonts w:ascii="Times New Roman" w:hAnsi="Times New Roman" w:eastAsia="宋体" w:cs="Times New Roman"/>
          <w:b/>
          <w:sz w:val="28"/>
          <w:szCs w:val="28"/>
        </w:rPr>
        <w:t>二</w:t>
      </w:r>
    </w:p>
    <w:p>
      <w:pPr>
        <w:snapToGrid w:val="0"/>
        <w:spacing w:before="120" w:beforeLines="50" w:line="312" w:lineRule="auto"/>
        <w:ind w:right="-341" w:firstLine="3678" w:firstLineChars="1145"/>
        <w:rPr>
          <w:rFonts w:ascii="Times New Roman" w:hAnsi="Times New Roman" w:eastAsia="宋体" w:cs="Times New Roman"/>
          <w:b/>
          <w:sz w:val="32"/>
        </w:rPr>
      </w:pPr>
      <w:r>
        <w:rPr>
          <w:rFonts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ascii="Times New Roman" w:hAnsi="Times New Roman" w:eastAsia="宋体" w:cs="Times New Roman"/>
        </w:rPr>
        <w:t>项目编号：</w:t>
      </w:r>
    </w:p>
    <w:p>
      <w:pPr>
        <w:spacing w:after="120"/>
        <w:ind w:firstLine="7560" w:firstLineChars="3600"/>
        <w:rPr>
          <w:rFonts w:ascii="Times New Roman" w:hAnsi="Calibri" w:eastAsia="宋体" w:cs="Times New Roman"/>
          <w:kern w:val="0"/>
        </w:rPr>
      </w:pPr>
      <w:r>
        <w:rPr>
          <w:rFonts w:ascii="Times New Roman" w:hAnsi="Times New Roman" w:eastAsia="宋体" w:cs="Times New Roman"/>
          <w:kern w:val="0"/>
          <w:szCs w:val="21"/>
        </w:rPr>
        <w:t>单位：元</w:t>
      </w:r>
    </w:p>
    <w:tbl>
      <w:tblPr>
        <w:tblStyle w:val="38"/>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2310"/>
        <w:gridCol w:w="61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eastAsia="宋体" w:cs="Times New Roman"/>
                <w:b/>
                <w:sz w:val="24"/>
                <w:szCs w:val="24"/>
              </w:rPr>
            </w:pPr>
            <w:r>
              <w:rPr>
                <w:rFonts w:hint="eastAsia" w:ascii="宋体" w:hAnsi="宋体" w:eastAsia="宋体" w:cs="Times New Roman"/>
                <w:b/>
                <w:sz w:val="24"/>
                <w:szCs w:val="24"/>
              </w:rPr>
              <w:t>内容</w:t>
            </w:r>
          </w:p>
        </w:tc>
        <w:tc>
          <w:tcPr>
            <w:tcW w:w="6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eastAsia="宋体" w:cs="Times New Roman"/>
                <w:b/>
                <w:sz w:val="24"/>
                <w:szCs w:val="24"/>
              </w:rPr>
            </w:pPr>
            <w:r>
              <w:rPr>
                <w:rFonts w:hint="eastAsia" w:ascii="Times New Roman" w:hAnsi="宋体" w:eastAsia="宋体" w:cs="Times New Roman"/>
                <w:b/>
                <w:sz w:val="24"/>
                <w:szCs w:val="24"/>
              </w:rPr>
              <w:t>单价（元/人/年）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Cs/>
                <w:sz w:val="24"/>
                <w:szCs w:val="24"/>
              </w:rPr>
            </w:pPr>
            <w:r>
              <w:rPr>
                <w:rFonts w:ascii="宋体" w:hAnsi="宋体" w:eastAsia="宋体" w:cs="Times New Roman"/>
                <w:bCs/>
                <w:sz w:val="24"/>
                <w:szCs w:val="24"/>
              </w:rPr>
              <w:t>1</w:t>
            </w:r>
          </w:p>
        </w:tc>
        <w:tc>
          <w:tcPr>
            <w:tcW w:w="23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Cs/>
                <w:sz w:val="24"/>
                <w:szCs w:val="24"/>
              </w:rPr>
            </w:pPr>
            <w:r>
              <w:rPr>
                <w:rFonts w:hint="eastAsia" w:ascii="宋体" w:hAnsi="宋体" w:eastAsia="宋体" w:cs="Times New Roman"/>
                <w:bCs/>
                <w:sz w:val="24"/>
                <w:szCs w:val="24"/>
              </w:rPr>
              <w:t>保费</w:t>
            </w:r>
          </w:p>
        </w:tc>
        <w:tc>
          <w:tcPr>
            <w:tcW w:w="61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Cs/>
                <w:sz w:val="24"/>
                <w:szCs w:val="24"/>
              </w:rPr>
            </w:pPr>
            <w:r>
              <w:rPr>
                <w:rFonts w:hint="eastAsia" w:ascii="宋体" w:hAnsi="宋体" w:eastAsia="宋体" w:cs="Times New Roman"/>
                <w:bCs/>
                <w:sz w:val="24"/>
                <w:szCs w:val="24"/>
              </w:rPr>
              <w:t>人民币（大写）</w:t>
            </w:r>
          </w:p>
        </w:tc>
        <w:tc>
          <w:tcPr>
            <w:tcW w:w="6101" w:type="dxa"/>
            <w:tcBorders>
              <w:top w:val="single" w:color="auto" w:sz="4" w:space="0"/>
              <w:bottom w:val="single" w:color="auto" w:sz="4" w:space="0"/>
            </w:tcBorders>
            <w:shd w:val="clear" w:color="auto" w:fill="auto"/>
          </w:tcPr>
          <w:p>
            <w:pPr>
              <w:widowControl/>
              <w:jc w:val="left"/>
              <w:rPr>
                <w:rFonts w:ascii="宋体" w:hAnsi="宋体" w:eastAsia="宋体" w:cs="Times New Roman"/>
                <w:bCs/>
                <w:sz w:val="24"/>
                <w:szCs w:val="24"/>
              </w:rPr>
            </w:pPr>
          </w:p>
        </w:tc>
      </w:tr>
    </w:tbl>
    <w:p>
      <w:pPr>
        <w:spacing w:after="120"/>
        <w:ind w:firstLine="210" w:firstLineChars="100"/>
        <w:rPr>
          <w:rFonts w:ascii="Times New Roman" w:hAnsi="Calibri" w:eastAsia="宋体" w:cs="Times New Roman"/>
          <w:kern w:val="0"/>
        </w:rPr>
      </w:pPr>
    </w:p>
    <w:p>
      <w:pPr>
        <w:snapToGrid w:val="0"/>
        <w:spacing w:line="360" w:lineRule="auto"/>
        <w:ind w:right="-340"/>
        <w:rPr>
          <w:rFonts w:ascii="Times New Roman" w:hAnsi="Times New Roman" w:eastAsia="宋体" w:cs="Times New Roman"/>
          <w:b/>
          <w:bCs/>
        </w:rPr>
      </w:pPr>
      <w:r>
        <w:rPr>
          <w:rFonts w:hint="eastAsia" w:ascii="Times New Roman" w:hAnsi="Times New Roman" w:eastAsia="宋体" w:cs="Times New Roman"/>
          <w:b/>
          <w:bCs/>
        </w:rPr>
        <w:t>精确到小数点后一位。</w:t>
      </w:r>
    </w:p>
    <w:p>
      <w:pPr>
        <w:snapToGrid w:val="0"/>
        <w:spacing w:line="360" w:lineRule="auto"/>
        <w:ind w:right="-340"/>
        <w:rPr>
          <w:rFonts w:ascii="Times New Roman" w:hAnsi="Times New Roman" w:eastAsia="宋体" w:cs="Times New Roman"/>
        </w:rPr>
      </w:pPr>
    </w:p>
    <w:p>
      <w:pPr>
        <w:snapToGrid w:val="0"/>
        <w:spacing w:line="360" w:lineRule="auto"/>
        <w:ind w:right="-340"/>
        <w:rPr>
          <w:rFonts w:ascii="Times New Roman" w:hAnsi="Times New Roman" w:eastAsia="宋体" w:cs="Times New Roman"/>
        </w:rPr>
      </w:pPr>
      <w:r>
        <w:rPr>
          <w:rFonts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r>
        <w:rPr>
          <w:rFonts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ascii="Times New Roman" w:hAnsi="Times New Roman" w:eastAsia="宋体" w:cs="Times New Roman"/>
          <w:szCs w:val="21"/>
        </w:rPr>
        <w:t>招标项目：金额单位：人民币（元）</w:t>
      </w:r>
    </w:p>
    <w:p>
      <w:pPr>
        <w:snapToGrid w:val="0"/>
        <w:spacing w:before="120" w:beforeLines="50" w:after="120"/>
        <w:rPr>
          <w:rFonts w:ascii="Times New Roman" w:hAnsi="Times New Roman" w:eastAsia="宋体" w:cs="Times New Roman"/>
          <w:szCs w:val="21"/>
        </w:rPr>
      </w:pPr>
      <w:r>
        <w:rPr>
          <w:rFonts w:ascii="Times New Roman" w:hAnsi="Times New Roman" w:eastAsia="宋体" w:cs="Times New Roman"/>
          <w:szCs w:val="21"/>
        </w:rPr>
        <w:t>招标编号：</w:t>
      </w:r>
    </w:p>
    <w:tbl>
      <w:tblPr>
        <w:tblStyle w:val="38"/>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2234"/>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序号</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54"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54"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54"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54"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64"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764"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r>
        <w:rPr>
          <w:rFonts w:hint="eastAsia" w:ascii="Times New Roman" w:hAnsi="Times New Roman" w:eastAsia="宋体" w:cs="Times New Roman"/>
          <w:b/>
          <w:sz w:val="32"/>
        </w:rPr>
        <w:t>四</w:t>
      </w:r>
      <w:r>
        <w:rPr>
          <w:rFonts w:ascii="Times New Roman" w:hAnsi="Times New Roman" w:eastAsia="宋体" w:cs="Times New Roman"/>
          <w:b/>
          <w:sz w:val="32"/>
        </w:rPr>
        <w:t>、</w:t>
      </w:r>
    </w:p>
    <w:p>
      <w:pPr>
        <w:autoSpaceDE w:val="0"/>
        <w:autoSpaceDN w:val="0"/>
        <w:adjustRightInd w:val="0"/>
        <w:ind w:right="-341"/>
        <w:jc w:val="left"/>
        <w:rPr>
          <w:rFonts w:ascii="Times New Roman" w:hAnsi="Times New Roman" w:eastAsia="宋体" w:cs="Times New Roman"/>
          <w:kern w:val="0"/>
          <w:szCs w:val="21"/>
        </w:rPr>
      </w:pPr>
    </w:p>
    <w:p>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pPr>
        <w:snapToGrid w:val="0"/>
        <w:spacing w:line="360" w:lineRule="auto"/>
        <w:ind w:right="-341"/>
        <w:jc w:val="left"/>
        <w:rPr>
          <w:rFonts w:ascii="宋体" w:hAnsi="宋体" w:eastAsia="宋体" w:cs="宋体"/>
          <w:kern w:val="0"/>
          <w:szCs w:val="21"/>
        </w:rPr>
      </w:pPr>
    </w:p>
    <w:p>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 期：</w:t>
      </w:r>
    </w:p>
    <w:p>
      <w:pPr>
        <w:snapToGrid w:val="0"/>
        <w:spacing w:line="360" w:lineRule="auto"/>
        <w:ind w:right="-341"/>
        <w:rPr>
          <w:rFonts w:ascii="Times New Roman" w:hAnsi="Times New Roman" w:eastAsia="宋体" w:cs="Times New Roman"/>
        </w:rPr>
        <w:sectPr>
          <w:pgSz w:w="11906" w:h="16838"/>
          <w:pgMar w:top="1304" w:right="1531" w:bottom="1304" w:left="1531" w:header="1304" w:footer="1304" w:gutter="0"/>
          <w:cols w:space="720" w:num="1"/>
        </w:sectPr>
      </w:pPr>
    </w:p>
    <w:p>
      <w:pPr>
        <w:snapToGrid w:val="0"/>
        <w:spacing w:line="360" w:lineRule="auto"/>
        <w:ind w:right="-341"/>
        <w:rPr>
          <w:rFonts w:ascii="Times New Roman" w:hAnsi="Times New Roman" w:eastAsia="宋体" w:cs="Times New Roman"/>
        </w:rPr>
      </w:pP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rPr>
          <w:rFonts w:ascii="Times New Roman" w:hAnsi="Times New Roman" w:eastAsia="宋体" w:cs="Times New Roman"/>
          <w:sz w:val="18"/>
          <w:szCs w:val="24"/>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w:t>
      </w:r>
      <w:r>
        <w:rPr>
          <w:rFonts w:ascii="Times New Roman" w:hAnsi="Times New Roman" w:eastAsia="宋体" w:cs="Times New Roman"/>
          <w:b/>
          <w:sz w:val="32"/>
        </w:rPr>
        <w:t>、投标函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致：_</w:t>
      </w:r>
      <w:r>
        <w:rPr>
          <w:rFonts w:ascii="Times New Roman" w:hAnsi="Times New Roman" w:eastAsia="宋体" w:cs="Times New Roman"/>
          <w:u w:val="single"/>
        </w:rPr>
        <w:t>深圳市国信招标有限公司</w:t>
      </w:r>
      <w:r>
        <w:rPr>
          <w:rFonts w:ascii="Times New Roman" w:hAnsi="Times New Roman" w:eastAsia="宋体" w:cs="Times New Roman"/>
        </w:rPr>
        <w:t>_：</w:t>
      </w:r>
    </w:p>
    <w:p>
      <w:pPr>
        <w:snapToGrid w:val="0"/>
        <w:spacing w:line="312" w:lineRule="auto"/>
        <w:ind w:right="-341" w:firstLine="480"/>
        <w:rPr>
          <w:rFonts w:ascii="Times New Roman" w:hAnsi="Times New Roman" w:eastAsia="宋体" w:cs="Times New Roman"/>
          <w:szCs w:val="21"/>
        </w:rPr>
      </w:pPr>
      <w:r>
        <w:rPr>
          <w:rFonts w:ascii="Times New Roman" w:hAnsi="Times New Roman" w:eastAsia="宋体" w:cs="Times New Roman"/>
        </w:rPr>
        <w:t>根据贵方为项目的招标公告（项目编号：____</w:t>
      </w:r>
      <w:r>
        <w:rPr>
          <w:rFonts w:ascii="Times New Roman" w:hAnsi="Times New Roman" w:eastAsia="宋体" w:cs="Times New Roman"/>
          <w:u w:val="single"/>
        </w:rPr>
        <w:t>_     _</w:t>
      </w:r>
      <w:r>
        <w:rPr>
          <w:rFonts w:ascii="Times New Roman" w:hAnsi="Times New Roman" w:eastAsia="宋体" w:cs="Times New Roman"/>
        </w:rPr>
        <w:t>_），</w:t>
      </w:r>
      <w:r>
        <w:rPr>
          <w:rFonts w:ascii="Times New Roman" w:hAnsi="Times New Roman" w:eastAsia="宋体" w:cs="Times New Roman"/>
          <w:szCs w:val="21"/>
        </w:rPr>
        <w:t>提交投标文件正本一份，副本一份。</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据此函，签字代表宣布同意如下：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w:t>
      </w:r>
      <w:r>
        <w:rPr>
          <w:rFonts w:ascii="Times New Roman" w:hAnsi="Times New Roman" w:eastAsia="宋体" w:cs="Times New Roman"/>
          <w:spacing w:val="-4"/>
          <w:kern w:val="0"/>
          <w:szCs w:val="21"/>
        </w:rPr>
        <w:t>我方已详细审查了采购文件的全部内容及其相关补充文件</w:t>
      </w:r>
      <w:r>
        <w:rPr>
          <w:rFonts w:ascii="Times New Roman" w:hAnsi="Times New Roman" w:eastAsia="宋体" w:cs="Times New Roman"/>
          <w:b/>
          <w:spacing w:val="-4"/>
          <w:kern w:val="0"/>
          <w:szCs w:val="21"/>
        </w:rPr>
        <w:t>（</w:t>
      </w:r>
      <w:r>
        <w:rPr>
          <w:rFonts w:hint="eastAsia" w:ascii="Times New Roman" w:hAnsi="Times New Roman" w:eastAsia="宋体" w:cs="Times New Roman"/>
          <w:b/>
          <w:spacing w:val="-4"/>
          <w:kern w:val="0"/>
          <w:szCs w:val="21"/>
        </w:rPr>
        <w:t>如</w:t>
      </w:r>
      <w:r>
        <w:rPr>
          <w:rFonts w:ascii="Times New Roman" w:hAnsi="Times New Roman" w:eastAsia="宋体" w:cs="Times New Roman"/>
          <w:b/>
          <w:spacing w:val="-4"/>
          <w:kern w:val="0"/>
          <w:szCs w:val="21"/>
        </w:rPr>
        <w:t>有）</w:t>
      </w:r>
      <w:r>
        <w:rPr>
          <w:rFonts w:ascii="Times New Roman" w:hAnsi="Times New Roman" w:eastAsia="宋体" w:cs="Times New Roman"/>
          <w:spacing w:val="-4"/>
          <w:kern w:val="0"/>
          <w:szCs w:val="21"/>
        </w:rPr>
        <w:t>，并完全清晰理解全部内容及相关的补充文件</w:t>
      </w:r>
      <w:r>
        <w:rPr>
          <w:rFonts w:ascii="Times New Roman" w:hAnsi="Times New Roman" w:eastAsia="宋体" w:cs="Times New Roman"/>
          <w:b/>
          <w:spacing w:val="-4"/>
          <w:kern w:val="0"/>
          <w:szCs w:val="21"/>
        </w:rPr>
        <w:t>（</w:t>
      </w:r>
      <w:r>
        <w:rPr>
          <w:rFonts w:hint="eastAsia" w:ascii="Times New Roman" w:hAnsi="Times New Roman" w:eastAsia="宋体" w:cs="Times New Roman"/>
          <w:b/>
          <w:spacing w:val="-4"/>
          <w:kern w:val="0"/>
          <w:szCs w:val="21"/>
        </w:rPr>
        <w:t>如</w:t>
      </w:r>
      <w:r>
        <w:rPr>
          <w:rFonts w:ascii="Times New Roman" w:hAnsi="Times New Roman" w:eastAsia="宋体" w:cs="Times New Roman"/>
          <w:b/>
          <w:spacing w:val="-4"/>
          <w:kern w:val="0"/>
          <w:szCs w:val="21"/>
        </w:rPr>
        <w:t>有）</w:t>
      </w:r>
      <w:r>
        <w:rPr>
          <w:rFonts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我方遵守《中华人民共和国政府采购法》及相关法律法规的规定。同意采购文件中所提到的无效标条款，并服从有关开标的会议纪律。否则，同意被废除投标资格。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投标有效期为自开标之日起9</w:t>
      </w:r>
      <w:r>
        <w:rPr>
          <w:rFonts w:ascii="Times New Roman" w:hAnsi="Times New Roman" w:eastAsia="宋体" w:cs="Times New Roman"/>
          <w:spacing w:val="-4"/>
          <w:szCs w:val="21"/>
          <w:u w:val="single"/>
        </w:rPr>
        <w:t>0</w:t>
      </w:r>
      <w:r>
        <w:rPr>
          <w:rFonts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w:t>
      </w:r>
      <w:r>
        <w:rPr>
          <w:rFonts w:ascii="Times New Roman" w:hAnsi="Times New Roman" w:eastAsia="宋体" w:cs="Times New Roman"/>
          <w:szCs w:val="21"/>
        </w:rPr>
        <w:t>参加政府采购活动前3年内在经营活动中没有重大违法记录和依法缴纳了税收</w:t>
      </w:r>
      <w:r>
        <w:rPr>
          <w:rFonts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我方承诺具备本项目</w:t>
      </w:r>
      <w:r>
        <w:rPr>
          <w:rFonts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w:t>
      </w:r>
      <w:r>
        <w:rPr>
          <w:rFonts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地址：__________</w:t>
      </w:r>
      <w:r>
        <w:rPr>
          <w:rFonts w:ascii="Times New Roman" w:hAnsi="Times New Roman" w:eastAsia="宋体" w:cs="Times New Roman"/>
          <w:u w:val="single"/>
        </w:rPr>
        <w:t xml:space="preserve">        _</w:t>
      </w:r>
      <w:r>
        <w:rPr>
          <w:rFonts w:ascii="Times New Roman" w:hAnsi="Times New Roman" w:eastAsia="宋体" w:cs="Times New Roman"/>
        </w:rPr>
        <w:t>____邮编：__________   电话：______________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传真：______________投标人代表姓名 ___________  职务：_____________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投标人名称(公章):___________________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ascii="Times New Roman" w:hAnsi="Times New Roman" w:eastAsia="宋体" w:cs="Times New Roman"/>
        </w:rPr>
        <w:t>日期:_____年___月___日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rP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六</w:t>
      </w:r>
      <w:r>
        <w:rPr>
          <w:rFonts w:ascii="Times New Roman" w:hAnsi="Times New Roman" w:eastAsia="宋体" w:cs="Times New Roman"/>
          <w:b/>
          <w:sz w:val="32"/>
          <w:szCs w:val="32"/>
        </w:rPr>
        <w:t>、声明函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ascii="Times New Roman" w:hAnsi="Times New Roman" w:eastAsia="宋体" w:cs="Times New Roman"/>
          <w:szCs w:val="21"/>
        </w:rPr>
        <w:t>致：_</w:t>
      </w:r>
      <w:r>
        <w:rPr>
          <w:rFonts w:ascii="Times New Roman" w:hAnsi="Times New Roman" w:eastAsia="宋体" w:cs="Times New Roman"/>
          <w:u w:val="single"/>
        </w:rPr>
        <w:t>深圳市国信招标有限公司</w:t>
      </w:r>
      <w:r>
        <w:rPr>
          <w:rFonts w:ascii="Times New Roman" w:hAnsi="Times New Roman" w:eastAsia="宋体" w:cs="Times New Roman"/>
        </w:rPr>
        <w:t>_</w:t>
      </w:r>
      <w:r>
        <w:rPr>
          <w:rFonts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七</w:t>
      </w:r>
      <w:r>
        <w:rPr>
          <w:rFonts w:ascii="Times New Roman" w:hAnsi="Times New Roman" w:eastAsia="宋体" w:cs="Times New Roman"/>
          <w:b/>
          <w:spacing w:val="20"/>
          <w:sz w:val="28"/>
        </w:rPr>
        <w:t>、</w:t>
      </w:r>
      <w:r>
        <w:rPr>
          <w:rFonts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r>
        <w:rPr>
          <w:rFonts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我单位响应你单位项目招标要求参加投标，在这次投标过程中和中标后，我们将严格遵守国家法律法规要求，并郑重承诺: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二、不为项目有关人员及部门报销应由你方单位或个人支付的费用;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三、不向项目有关人员及部门提供有可能影响公正的宴请和健身娱乐等活动;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四、不为项目有关人员及部门出国(境)、旅游等提供方便；</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五、不为项目有关人员个人装修住房、婚丧嫁娶、配偶子女工作安排等提供好处;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投标人:(盖章)</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日期:    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b/>
          <w:spacing w:val="20"/>
          <w:kern w:val="0"/>
          <w:sz w:val="28"/>
          <w:szCs w:val="20"/>
        </w:rPr>
      </w:pPr>
    </w:p>
    <w:p>
      <w:pPr>
        <w:widowControl/>
        <w:snapToGrid w:val="0"/>
        <w:spacing w:line="312" w:lineRule="auto"/>
        <w:jc w:val="left"/>
        <w:rPr>
          <w:rFonts w:ascii="Times New Roman" w:hAnsi="Times New Roman" w:eastAsia="宋体" w:cs="Times New Roman"/>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八</w:t>
      </w:r>
      <w:r>
        <w:rPr>
          <w:rFonts w:ascii="Times New Roman" w:hAnsi="Times New Roman" w:eastAsia="宋体" w:cs="Times New Roman"/>
          <w:b/>
          <w:sz w:val="24"/>
        </w:rPr>
        <w:t>、投标人的类似案例的业绩证明文件：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ascii="Times New Roman" w:hAnsi="Times New Roman" w:eastAsia="宋体" w:cs="Times New Roman"/>
        </w:rPr>
        <w:t>投标人同类项目实施情况一览表格式：（格式</w:t>
      </w:r>
      <w:r>
        <w:rPr>
          <w:rFonts w:hint="eastAsia" w:ascii="Times New Roman" w:hAnsi="Times New Roman" w:eastAsia="宋体" w:cs="Times New Roman"/>
        </w:rPr>
        <w:t>可以</w:t>
      </w:r>
      <w:r>
        <w:rPr>
          <w:rFonts w:ascii="Times New Roman" w:hAnsi="Times New Roman" w:eastAsia="宋体" w:cs="Times New Roman"/>
        </w:rPr>
        <w:t>自拟）</w:t>
      </w:r>
    </w:p>
    <w:tbl>
      <w:tblPr>
        <w:tblStyle w:val="3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snapToGrid w:val="0"/>
        <w:spacing w:before="120" w:beforeLines="50" w:line="312" w:lineRule="auto"/>
        <w:rPr>
          <w:rFonts w:ascii="Times New Roman" w:hAnsi="Times New Roman" w:eastAsia="宋体" w:cs="Times New Roman"/>
          <w:sz w:val="24"/>
        </w:rPr>
      </w:pPr>
    </w:p>
    <w:p>
      <w:pPr>
        <w:widowControl/>
        <w:snapToGrid w:val="0"/>
        <w:spacing w:afterAutospacing="1" w:line="312" w:lineRule="auto"/>
        <w:jc w:val="left"/>
        <w:rPr>
          <w:rFonts w:ascii="Times New Roman" w:hAnsi="Times New Roman" w:eastAsia="宋体" w:cs="Times New Roman"/>
          <w:sz w:val="30"/>
        </w:rPr>
        <w:sectPr>
          <w:pgSz w:w="16838" w:h="11906" w:orient="landscape"/>
          <w:pgMar w:top="1418" w:right="1361" w:bottom="924" w:left="1134" w:header="851" w:footer="992" w:gutter="0"/>
          <w:cols w:space="720" w:num="1"/>
        </w:sectPr>
      </w:pPr>
    </w:p>
    <w:p>
      <w:pPr>
        <w:snapToGrid w:val="0"/>
        <w:spacing w:before="50" w:after="120" w:afterLines="50" w:line="312" w:lineRule="auto"/>
        <w:jc w:val="left"/>
        <w:rPr>
          <w:rFonts w:ascii="Times New Roman" w:hAnsi="Times New Roman" w:eastAsia="宋体" w:cs="Times New Roman"/>
          <w:b/>
          <w:sz w:val="24"/>
        </w:rPr>
      </w:pPr>
    </w:p>
    <w:p>
      <w:pPr>
        <w:snapToGrid w:val="0"/>
        <w:spacing w:before="120"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九、</w:t>
      </w:r>
    </w:p>
    <w:p>
      <w:pPr>
        <w:snapToGrid w:val="0"/>
        <w:spacing w:before="120" w:beforeLines="50" w:after="50" w:line="312" w:lineRule="auto"/>
        <w:jc w:val="center"/>
        <w:rPr>
          <w:rFonts w:ascii="Times New Roman" w:hAnsi="Times New Roman" w:eastAsia="宋体" w:cs="Times New Roman"/>
          <w:b/>
          <w:sz w:val="24"/>
        </w:rPr>
      </w:pPr>
      <w:r>
        <w:rPr>
          <w:rFonts w:ascii="Times New Roman" w:hAnsi="Times New Roman" w:eastAsia="宋体" w:cs="Times New Roman"/>
          <w:b/>
          <w:sz w:val="24"/>
        </w:rPr>
        <w:t>项目实施人员（主要从业人员及其技术资格）一览表</w:t>
      </w:r>
    </w:p>
    <w:p>
      <w:pPr>
        <w:snapToGrid w:val="0"/>
        <w:spacing w:before="120"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ascii="Times New Roman" w:hAnsi="Times New Roman" w:eastAsia="宋体" w:cs="Times New Roman"/>
        </w:rPr>
        <w:t>项目编号：</w:t>
      </w:r>
    </w:p>
    <w:tbl>
      <w:tblPr>
        <w:tblStyle w:val="38"/>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jc w:val="center"/>
              <w:rPr>
                <w:rFonts w:ascii="Times New Roman" w:hAnsi="Times New Roman" w:eastAsia="宋体" w:cs="Times New Roman"/>
              </w:rPr>
            </w:pPr>
            <w:r>
              <w:rPr>
                <w:rFonts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bl>
    <w:p>
      <w:pPr>
        <w:snapToGrid w:val="0"/>
        <w:spacing w:before="50" w:after="120" w:afterLines="50" w:line="312" w:lineRule="auto"/>
        <w:jc w:val="left"/>
        <w:rPr>
          <w:rFonts w:ascii="Times New Roman" w:hAnsi="Times New Roman" w:eastAsia="宋体" w:cs="Times New Roman"/>
        </w:rPr>
      </w:pPr>
      <w:r>
        <w:rPr>
          <w:rFonts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20" w:afterLines="50" w:line="312" w:lineRule="auto"/>
        <w:jc w:val="left"/>
        <w:rPr>
          <w:rFonts w:ascii="Times New Roman" w:hAnsi="Times New Roman" w:eastAsia="宋体" w:cs="Times New Roman"/>
          <w:spacing w:val="20"/>
          <w:sz w:val="24"/>
          <w:u w:val="single"/>
        </w:rPr>
      </w:pPr>
      <w:r>
        <w:rPr>
          <w:rFonts w:ascii="Times New Roman" w:hAnsi="Times New Roman" w:eastAsia="宋体" w:cs="Times New Roman"/>
        </w:rPr>
        <w:t>投标人名称（盖章）：</w:t>
      </w:r>
      <w:r>
        <w:rPr>
          <w:rFonts w:ascii="Times New Roman" w:hAnsi="Times New Roman" w:eastAsia="宋体" w:cs="Times New Roman"/>
          <w:spacing w:val="20"/>
          <w:sz w:val="24"/>
        </w:rPr>
        <w:t>日期：</w:t>
      </w: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8"/>
          <w:szCs w:val="28"/>
        </w:rPr>
      </w:pPr>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Songti SC Regular">
    <w:altName w:val="Times New Roman"/>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w: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1">
    <w:nsid w:val="00000001"/>
    <w:multiLevelType w:val="singleLevel"/>
    <w:tmpl w:val="00000001"/>
    <w:lvl w:ilvl="0" w:tentative="0">
      <w:start w:val="1"/>
      <w:numFmt w:val="decimal"/>
      <w:pStyle w:val="20"/>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88"/>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2811445A"/>
    <w:multiLevelType w:val="multilevel"/>
    <w:tmpl w:val="2811445A"/>
    <w:lvl w:ilvl="0" w:tentative="0">
      <w:start w:val="1"/>
      <w:numFmt w:val="decimalEnclosedCircle"/>
      <w:pStyle w:val="101"/>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8">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7"/>
  </w:num>
  <w:num w:numId="5">
    <w:abstractNumId w:val="4"/>
    <w:lvlOverride w:ilvl="0">
      <w:startOverride w:val="1"/>
    </w:lvlOverride>
  </w:num>
  <w:num w:numId="6">
    <w:abstractNumId w:val="4"/>
  </w:num>
  <w:num w:numId="7">
    <w:abstractNumId w:val="3"/>
  </w:num>
  <w:num w:numId="8">
    <w:abstractNumId w:val="3"/>
    <w:lvlOverride w:ilvl="0">
      <w:startOverride w:val="1"/>
    </w:lvlOverride>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FB5DF0"/>
    <w:rsid w:val="0007238E"/>
    <w:rsid w:val="00124434"/>
    <w:rsid w:val="001E6405"/>
    <w:rsid w:val="00412A1F"/>
    <w:rsid w:val="004329D6"/>
    <w:rsid w:val="004702A0"/>
    <w:rsid w:val="0048208B"/>
    <w:rsid w:val="005F3DAF"/>
    <w:rsid w:val="0061732D"/>
    <w:rsid w:val="00660B73"/>
    <w:rsid w:val="00690833"/>
    <w:rsid w:val="006925DA"/>
    <w:rsid w:val="00756927"/>
    <w:rsid w:val="00871EA0"/>
    <w:rsid w:val="008D5629"/>
    <w:rsid w:val="00921470"/>
    <w:rsid w:val="00922C14"/>
    <w:rsid w:val="00A02665"/>
    <w:rsid w:val="00B158E8"/>
    <w:rsid w:val="00B7592E"/>
    <w:rsid w:val="00C4233E"/>
    <w:rsid w:val="00CA0609"/>
    <w:rsid w:val="00DF2A7E"/>
    <w:rsid w:val="00E05057"/>
    <w:rsid w:val="00E41AFD"/>
    <w:rsid w:val="00E4447E"/>
    <w:rsid w:val="00EA6375"/>
    <w:rsid w:val="00F95825"/>
    <w:rsid w:val="00FB5DF0"/>
    <w:rsid w:val="00FC5825"/>
    <w:rsid w:val="04816C21"/>
    <w:rsid w:val="138D72F3"/>
    <w:rsid w:val="1E2219EA"/>
    <w:rsid w:val="4DD8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widowControl/>
      <w:tabs>
        <w:tab w:val="left" w:pos="1440"/>
      </w:tabs>
      <w:spacing w:beforeLines="250" w:afterLines="1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4"/>
    <w:link w:val="53"/>
    <w:qFormat/>
    <w:uiPriority w:val="0"/>
    <w:pPr>
      <w:keepNext/>
      <w:keepLines/>
      <w:spacing w:before="260" w:after="260" w:line="408" w:lineRule="auto"/>
      <w:outlineLvl w:val="1"/>
    </w:pPr>
    <w:rPr>
      <w:rFonts w:ascii="Arial" w:hAnsi="Arial" w:eastAsia="黑体" w:cs="Times New Roman"/>
      <w:b/>
      <w:kern w:val="0"/>
      <w:sz w:val="32"/>
      <w:szCs w:val="20"/>
    </w:rPr>
  </w:style>
  <w:style w:type="paragraph" w:styleId="6">
    <w:name w:val="heading 3"/>
    <w:basedOn w:val="1"/>
    <w:next w:val="1"/>
    <w:link w:val="54"/>
    <w:qFormat/>
    <w:uiPriority w:val="0"/>
    <w:pPr>
      <w:keepNext/>
      <w:keepLines/>
      <w:widowControl/>
      <w:tabs>
        <w:tab w:val="left" w:pos="567"/>
      </w:tabs>
      <w:spacing w:beforeLines="50" w:after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55"/>
    <w:qFormat/>
    <w:uiPriority w:val="0"/>
    <w:pPr>
      <w:keepNext/>
      <w:keepLines/>
      <w:widowControl/>
      <w:tabs>
        <w:tab w:val="left" w:pos="-420"/>
      </w:tabs>
      <w:spacing w:beforeLines="50" w:afterLines="50" w:line="360" w:lineRule="auto"/>
      <w:jc w:val="left"/>
      <w:outlineLvl w:val="3"/>
    </w:pPr>
    <w:rPr>
      <w:rFonts w:ascii="Arial" w:hAnsi="Arial" w:eastAsia="黑体" w:cs="Times New Roman"/>
      <w:b/>
      <w:bCs/>
      <w:sz w:val="30"/>
      <w:szCs w:val="28"/>
    </w:rPr>
  </w:style>
  <w:style w:type="paragraph" w:styleId="8">
    <w:name w:val="heading 5"/>
    <w:basedOn w:val="1"/>
    <w:next w:val="1"/>
    <w:link w:val="56"/>
    <w:qFormat/>
    <w:uiPriority w:val="0"/>
    <w:pPr>
      <w:keepNext/>
      <w:keepLines/>
      <w:widowControl/>
      <w:tabs>
        <w:tab w:val="left" w:pos="-420"/>
      </w:tabs>
      <w:spacing w:beforeLines="50" w:afterLines="50" w:line="377" w:lineRule="auto"/>
      <w:jc w:val="left"/>
      <w:outlineLvl w:val="4"/>
    </w:pPr>
    <w:rPr>
      <w:rFonts w:ascii="Times New Roman" w:hAnsi="Times New Roman" w:eastAsia="宋体" w:cs="Times New Roman"/>
      <w:b/>
      <w:bCs/>
      <w:sz w:val="28"/>
      <w:szCs w:val="28"/>
    </w:rPr>
  </w:style>
  <w:style w:type="paragraph" w:styleId="9">
    <w:name w:val="heading 6"/>
    <w:basedOn w:val="1"/>
    <w:next w:val="1"/>
    <w:link w:val="57"/>
    <w:qFormat/>
    <w:uiPriority w:val="0"/>
    <w:pPr>
      <w:keepNext/>
      <w:keepLines/>
      <w:spacing w:line="317" w:lineRule="auto"/>
      <w:outlineLvl w:val="5"/>
    </w:pPr>
    <w:rPr>
      <w:rFonts w:ascii="Arial" w:hAnsi="Arial" w:eastAsia="黑体" w:cs="Times New Roman"/>
      <w:b/>
      <w:sz w:val="24"/>
      <w:szCs w:val="24"/>
    </w:rPr>
  </w:style>
  <w:style w:type="paragraph" w:styleId="10">
    <w:name w:val="heading 7"/>
    <w:basedOn w:val="1"/>
    <w:next w:val="1"/>
    <w:link w:val="58"/>
    <w:qFormat/>
    <w:uiPriority w:val="0"/>
    <w:pPr>
      <w:keepNext/>
      <w:keepLines/>
      <w:tabs>
        <w:tab w:val="left" w:pos="1296"/>
      </w:tabs>
      <w:adjustRightInd w:val="0"/>
      <w:snapToGrid w:val="0"/>
      <w:spacing w:before="240" w:after="64" w:line="317" w:lineRule="auto"/>
      <w:ind w:left="1296" w:hanging="1296"/>
      <w:outlineLvl w:val="6"/>
    </w:pPr>
    <w:rPr>
      <w:rFonts w:ascii="仿宋" w:hAnsi="Times New Roman" w:eastAsia="仿宋" w:cs="Times New Roman"/>
      <w:b/>
      <w:sz w:val="24"/>
      <w:szCs w:val="20"/>
    </w:rPr>
  </w:style>
  <w:style w:type="paragraph" w:styleId="11">
    <w:name w:val="heading 8"/>
    <w:basedOn w:val="1"/>
    <w:next w:val="1"/>
    <w:link w:val="5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cs="Times New Roman"/>
      <w:sz w:val="24"/>
      <w:szCs w:val="20"/>
    </w:rPr>
  </w:style>
  <w:style w:type="paragraph" w:styleId="12">
    <w:name w:val="heading 9"/>
    <w:basedOn w:val="1"/>
    <w:next w:val="1"/>
    <w:link w:val="60"/>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cs="Times New Roman"/>
      <w:sz w:val="24"/>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78"/>
    <w:qFormat/>
    <w:uiPriority w:val="0"/>
    <w:pPr>
      <w:ind w:firstLine="420"/>
    </w:pPr>
    <w:rPr>
      <w:rFonts w:ascii="Times New Roman" w:hAnsi="Times New Roman" w:eastAsia="宋体" w:cs="Times New Roman"/>
      <w:kern w:val="0"/>
      <w:sz w:val="20"/>
      <w:szCs w:val="20"/>
    </w:rPr>
  </w:style>
  <w:style w:type="paragraph" w:styleId="5">
    <w:name w:val="Body Text Indent"/>
    <w:basedOn w:val="1"/>
    <w:next w:val="4"/>
    <w:link w:val="76"/>
    <w:qFormat/>
    <w:uiPriority w:val="0"/>
    <w:pPr>
      <w:spacing w:line="200" w:lineRule="exact"/>
      <w:ind w:firstLine="301"/>
    </w:pPr>
    <w:rPr>
      <w:rFonts w:ascii="宋体" w:hAnsi="Courier New" w:eastAsia="宋体" w:cs="Times New Roman"/>
      <w:spacing w:val="-4"/>
      <w:kern w:val="0"/>
      <w:sz w:val="18"/>
    </w:rPr>
  </w:style>
  <w:style w:type="paragraph" w:styleId="13">
    <w:name w:val="List Number"/>
    <w:basedOn w:val="1"/>
    <w:qFormat/>
    <w:uiPriority w:val="0"/>
    <w:pPr>
      <w:numPr>
        <w:ilvl w:val="0"/>
        <w:numId w:val="1"/>
      </w:numPr>
      <w:ind w:firstLine="0" w:firstLineChars="0"/>
    </w:pPr>
    <w:rPr>
      <w:rFonts w:ascii="Times New Roman" w:hAnsi="Times New Roman" w:eastAsia="宋体" w:cs="Times New Roman"/>
    </w:rPr>
  </w:style>
  <w:style w:type="paragraph" w:styleId="14">
    <w:name w:val="caption"/>
    <w:basedOn w:val="1"/>
    <w:next w:val="1"/>
    <w:link w:val="133"/>
    <w:qFormat/>
    <w:uiPriority w:val="0"/>
    <w:pPr>
      <w:spacing w:before="152" w:after="160"/>
    </w:pPr>
    <w:rPr>
      <w:rFonts w:ascii="Arial" w:hAnsi="Arial" w:eastAsia="黑体" w:cs="Times New Roman"/>
      <w:kern w:val="0"/>
      <w:sz w:val="20"/>
      <w:szCs w:val="20"/>
    </w:rPr>
  </w:style>
  <w:style w:type="paragraph" w:styleId="15">
    <w:name w:val="List Bullet"/>
    <w:basedOn w:val="1"/>
    <w:qFormat/>
    <w:uiPriority w:val="0"/>
    <w:pPr>
      <w:tabs>
        <w:tab w:val="left" w:pos="360"/>
      </w:tabs>
      <w:ind w:left="360" w:hanging="360"/>
    </w:pPr>
    <w:rPr>
      <w:rFonts w:ascii="Times New Roman" w:hAnsi="Times New Roman" w:eastAsia="宋体" w:cs="Times New Roman"/>
    </w:rPr>
  </w:style>
  <w:style w:type="paragraph" w:styleId="16">
    <w:name w:val="Document Map"/>
    <w:basedOn w:val="1"/>
    <w:link w:val="62"/>
    <w:qFormat/>
    <w:uiPriority w:val="0"/>
    <w:pPr>
      <w:shd w:val="clear" w:color="auto" w:fill="000080"/>
    </w:pPr>
    <w:rPr>
      <w:rFonts w:ascii="Times New Roman" w:hAnsi="Times New Roman" w:eastAsia="宋体" w:cs="宋体"/>
      <w:shd w:val="clear" w:color="auto" w:fill="000080"/>
    </w:rPr>
  </w:style>
  <w:style w:type="paragraph" w:styleId="17">
    <w:name w:val="annotation text"/>
    <w:basedOn w:val="1"/>
    <w:link w:val="63"/>
    <w:qFormat/>
    <w:uiPriority w:val="0"/>
    <w:pPr>
      <w:jc w:val="left"/>
    </w:pPr>
    <w:rPr>
      <w:rFonts w:ascii="Times New Roman" w:hAnsi="Times New Roman" w:eastAsia="宋体" w:cs="Times New Roman"/>
    </w:rPr>
  </w:style>
  <w:style w:type="paragraph" w:styleId="18">
    <w:name w:val="Body Text 3"/>
    <w:basedOn w:val="1"/>
    <w:link w:val="64"/>
    <w:qFormat/>
    <w:uiPriority w:val="0"/>
    <w:pPr>
      <w:snapToGrid w:val="0"/>
      <w:spacing w:before="50" w:after="50"/>
    </w:pPr>
    <w:rPr>
      <w:rFonts w:ascii="Times New Roman" w:hAnsi="宋体" w:eastAsia="Times New Roman" w:cs="Times New Roman"/>
      <w:b/>
      <w:sz w:val="24"/>
    </w:rPr>
  </w:style>
  <w:style w:type="paragraph" w:styleId="19">
    <w:name w:val="Body Text"/>
    <w:basedOn w:val="1"/>
    <w:link w:val="65"/>
    <w:unhideWhenUsed/>
    <w:qFormat/>
    <w:uiPriority w:val="99"/>
    <w:pPr>
      <w:spacing w:after="120"/>
    </w:pPr>
    <w:rPr>
      <w:rFonts w:ascii="Times New Roman" w:hAnsi="Times New Roman" w:eastAsia="宋体" w:cs="Times New Roman"/>
    </w:rPr>
  </w:style>
  <w:style w:type="paragraph" w:styleId="20">
    <w:name w:val="List Number 3"/>
    <w:basedOn w:val="1"/>
    <w:qFormat/>
    <w:uiPriority w:val="0"/>
    <w:pPr>
      <w:numPr>
        <w:ilvl w:val="0"/>
        <w:numId w:val="2"/>
      </w:numPr>
      <w:tabs>
        <w:tab w:val="clear" w:pos="360"/>
      </w:tabs>
    </w:pPr>
    <w:rPr>
      <w:rFonts w:ascii="Times New Roman" w:hAnsi="Times New Roman" w:eastAsia="宋体" w:cs="Times New Roman"/>
      <w:szCs w:val="24"/>
    </w:rPr>
  </w:style>
  <w:style w:type="paragraph" w:styleId="21">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2">
    <w:name w:val="Plain Text"/>
    <w:basedOn w:val="1"/>
    <w:link w:val="77"/>
    <w:qFormat/>
    <w:uiPriority w:val="0"/>
    <w:pPr>
      <w:spacing w:beforeLines="50" w:line="400" w:lineRule="exact"/>
    </w:pPr>
    <w:rPr>
      <w:rFonts w:ascii="宋体" w:hAnsi="Courier New" w:eastAsia="宋体" w:cs="Times New Roman"/>
      <w:sz w:val="24"/>
    </w:rPr>
  </w:style>
  <w:style w:type="paragraph" w:styleId="23">
    <w:name w:val="Date"/>
    <w:basedOn w:val="1"/>
    <w:next w:val="1"/>
    <w:link w:val="67"/>
    <w:qFormat/>
    <w:uiPriority w:val="0"/>
    <w:pPr>
      <w:ind w:left="2500" w:leftChars="2500"/>
    </w:pPr>
    <w:rPr>
      <w:rFonts w:ascii="Calibri" w:hAnsi="Calibri" w:eastAsia="楷体_GB2312" w:cs="Times New Roman"/>
      <w:kern w:val="0"/>
      <w:sz w:val="32"/>
    </w:rPr>
  </w:style>
  <w:style w:type="paragraph" w:styleId="24">
    <w:name w:val="Body Text Indent 2"/>
    <w:basedOn w:val="1"/>
    <w:link w:val="68"/>
    <w:qFormat/>
    <w:uiPriority w:val="0"/>
    <w:pPr>
      <w:snapToGrid w:val="0"/>
      <w:ind w:firstLine="542" w:firstLineChars="225"/>
    </w:pPr>
    <w:rPr>
      <w:rFonts w:ascii="仿宋_GB2312" w:hAnsi="宋体" w:eastAsia="宋体" w:cs="Times New Roman"/>
      <w:b/>
      <w:color w:val="000000"/>
      <w:kern w:val="0"/>
      <w:sz w:val="24"/>
    </w:rPr>
  </w:style>
  <w:style w:type="paragraph" w:styleId="25">
    <w:name w:val="Balloon Text"/>
    <w:basedOn w:val="1"/>
    <w:link w:val="69"/>
    <w:qFormat/>
    <w:uiPriority w:val="0"/>
    <w:rPr>
      <w:rFonts w:ascii="Calibri" w:hAnsi="Calibri" w:eastAsia="宋体" w:cs="Times New Roman"/>
      <w:sz w:val="18"/>
      <w:szCs w:val="18"/>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tabs>
        <w:tab w:val="center" w:pos="4153"/>
        <w:tab w:val="right" w:pos="8306"/>
      </w:tabs>
      <w:snapToGrid w:val="0"/>
      <w:jc w:val="center"/>
    </w:pPr>
    <w:rPr>
      <w:sz w:val="18"/>
      <w:szCs w:val="18"/>
    </w:rPr>
  </w:style>
  <w:style w:type="paragraph" w:styleId="28">
    <w:name w:val="toc 1"/>
    <w:basedOn w:val="1"/>
    <w:next w:val="1"/>
    <w:qFormat/>
    <w:uiPriority w:val="0"/>
    <w:rPr>
      <w:rFonts w:ascii="Times New Roman" w:hAnsi="Times New Roman" w:eastAsia="宋体" w:cs="Times New Roman"/>
    </w:rPr>
  </w:style>
  <w:style w:type="paragraph" w:styleId="29">
    <w:name w:val="List"/>
    <w:basedOn w:val="1"/>
    <w:qFormat/>
    <w:uiPriority w:val="0"/>
    <w:pPr>
      <w:ind w:left="200" w:hanging="200" w:hangingChars="200"/>
    </w:pPr>
    <w:rPr>
      <w:rFonts w:ascii="Times New Roman" w:hAnsi="Times New Roman" w:eastAsia="宋体" w:cs="Times New Roman"/>
      <w:sz w:val="28"/>
    </w:rPr>
  </w:style>
  <w:style w:type="paragraph" w:styleId="30">
    <w:name w:val="Body Text Indent 3"/>
    <w:basedOn w:val="1"/>
    <w:link w:val="70"/>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31">
    <w:name w:val="Body Text 2"/>
    <w:basedOn w:val="1"/>
    <w:link w:val="71"/>
    <w:qFormat/>
    <w:uiPriority w:val="0"/>
    <w:pPr>
      <w:widowControl/>
      <w:overflowPunct w:val="0"/>
      <w:autoSpaceDE w:val="0"/>
      <w:autoSpaceDN w:val="0"/>
      <w:adjustRightInd w:val="0"/>
      <w:spacing w:line="280" w:lineRule="exact"/>
      <w:jc w:val="center"/>
      <w:textAlignment w:val="baseline"/>
    </w:pPr>
    <w:rPr>
      <w:rFonts w:ascii="宋体" w:hAnsi="宋体" w:eastAsia="宋体" w:cs="宋体"/>
      <w:bCs/>
    </w:rPr>
  </w:style>
  <w:style w:type="paragraph" w:styleId="32">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33">
    <w:name w:val="Normal (Web)"/>
    <w:basedOn w:val="1"/>
    <w:qFormat/>
    <w:uiPriority w:val="99"/>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34">
    <w:name w:val="index 1"/>
    <w:basedOn w:val="1"/>
    <w:next w:val="1"/>
    <w:qFormat/>
    <w:uiPriority w:val="0"/>
    <w:pPr>
      <w:tabs>
        <w:tab w:val="left" w:pos="900"/>
      </w:tabs>
      <w:adjustRightInd w:val="0"/>
      <w:ind w:firstLine="420" w:firstLineChars="200"/>
    </w:pPr>
    <w:rPr>
      <w:rFonts w:ascii="宋体" w:hAnsi="宋体" w:eastAsia="宋体" w:cs="Times New Roman"/>
    </w:rPr>
  </w:style>
  <w:style w:type="paragraph" w:styleId="35">
    <w:name w:val="annotation subject"/>
    <w:basedOn w:val="17"/>
    <w:next w:val="17"/>
    <w:link w:val="73"/>
    <w:qFormat/>
    <w:uiPriority w:val="0"/>
    <w:rPr>
      <w:rFonts w:cs="宋体"/>
      <w:b/>
      <w:bCs/>
    </w:rPr>
  </w:style>
  <w:style w:type="paragraph" w:styleId="36">
    <w:name w:val="Body Text First Indent"/>
    <w:basedOn w:val="19"/>
    <w:next w:val="1"/>
    <w:link w:val="74"/>
    <w:qFormat/>
    <w:uiPriority w:val="0"/>
    <w:pPr>
      <w:ind w:firstLine="420" w:firstLineChars="100"/>
    </w:pPr>
    <w:rPr>
      <w:rFonts w:hAnsi="Calibri"/>
      <w:kern w:val="0"/>
    </w:rPr>
  </w:style>
  <w:style w:type="paragraph" w:styleId="37">
    <w:name w:val="Body Text First Indent 2"/>
    <w:basedOn w:val="5"/>
    <w:link w:val="75"/>
    <w:qFormat/>
    <w:uiPriority w:val="99"/>
    <w:pPr>
      <w:spacing w:after="120" w:line="240" w:lineRule="auto"/>
      <w:ind w:left="420" w:leftChars="200" w:firstLine="420" w:firstLineChars="200"/>
    </w:pPr>
    <w:rPr>
      <w:rFonts w:ascii="Calibri" w:hAnsi="Calibri"/>
      <w:spacing w:val="0"/>
      <w:kern w:val="2"/>
      <w:sz w:val="21"/>
      <w:szCs w:val="24"/>
    </w:rPr>
  </w:style>
  <w:style w:type="table" w:styleId="39">
    <w:name w:val="Table Grid"/>
    <w:basedOn w:val="38"/>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rFonts w:ascii="Times New Roman" w:hAnsi="Times New Roman" w:cs="Times New Roman"/>
      <w:b/>
    </w:rPr>
  </w:style>
  <w:style w:type="character" w:styleId="42">
    <w:name w:val="page number"/>
    <w:basedOn w:val="40"/>
    <w:qFormat/>
    <w:uiPriority w:val="0"/>
    <w:rPr>
      <w:rFonts w:cs="Times New Roman"/>
    </w:rPr>
  </w:style>
  <w:style w:type="character" w:styleId="43">
    <w:name w:val="FollowedHyperlink"/>
    <w:basedOn w:val="40"/>
    <w:qFormat/>
    <w:uiPriority w:val="0"/>
    <w:rPr>
      <w:rFonts w:cs="Times New Roman"/>
      <w:color w:val="800080"/>
      <w:u w:val="single"/>
    </w:rPr>
  </w:style>
  <w:style w:type="character" w:styleId="44">
    <w:name w:val="HTML Definition"/>
    <w:basedOn w:val="40"/>
    <w:qFormat/>
    <w:uiPriority w:val="0"/>
    <w:rPr>
      <w:rFonts w:cs="Times New Roman"/>
      <w:i/>
    </w:rPr>
  </w:style>
  <w:style w:type="character" w:styleId="45">
    <w:name w:val="Hyperlink"/>
    <w:basedOn w:val="40"/>
    <w:qFormat/>
    <w:uiPriority w:val="0"/>
    <w:rPr>
      <w:rFonts w:cs="Times New Roman"/>
      <w:color w:val="0000FF"/>
      <w:u w:val="single"/>
    </w:rPr>
  </w:style>
  <w:style w:type="character" w:styleId="46">
    <w:name w:val="HTML Code"/>
    <w:basedOn w:val="40"/>
    <w:qFormat/>
    <w:uiPriority w:val="0"/>
    <w:rPr>
      <w:rFonts w:ascii="Marlett" w:hAnsi="Marlett" w:cs="Times New Roman"/>
      <w:sz w:val="21"/>
    </w:rPr>
  </w:style>
  <w:style w:type="character" w:styleId="47">
    <w:name w:val="annotation reference"/>
    <w:basedOn w:val="40"/>
    <w:qFormat/>
    <w:uiPriority w:val="0"/>
    <w:rPr>
      <w:rFonts w:cs="Times New Roman"/>
      <w:sz w:val="21"/>
    </w:rPr>
  </w:style>
  <w:style w:type="character" w:styleId="48">
    <w:name w:val="HTML Keyboard"/>
    <w:basedOn w:val="40"/>
    <w:qFormat/>
    <w:uiPriority w:val="0"/>
    <w:rPr>
      <w:rFonts w:ascii="Marlett" w:hAnsi="Marlett" w:cs="Times New Roman"/>
      <w:sz w:val="21"/>
    </w:rPr>
  </w:style>
  <w:style w:type="character" w:styleId="49">
    <w:name w:val="HTML Sample"/>
    <w:basedOn w:val="40"/>
    <w:qFormat/>
    <w:uiPriority w:val="0"/>
    <w:rPr>
      <w:rFonts w:ascii="Marlett" w:hAnsi="Marlett" w:cs="Times New Roman"/>
      <w:sz w:val="21"/>
    </w:rPr>
  </w:style>
  <w:style w:type="character" w:customStyle="1" w:styleId="50">
    <w:name w:val="页眉 字符"/>
    <w:basedOn w:val="40"/>
    <w:link w:val="27"/>
    <w:qFormat/>
    <w:uiPriority w:val="0"/>
    <w:rPr>
      <w:sz w:val="18"/>
      <w:szCs w:val="18"/>
    </w:rPr>
  </w:style>
  <w:style w:type="character" w:customStyle="1" w:styleId="51">
    <w:name w:val="页脚 字符"/>
    <w:basedOn w:val="40"/>
    <w:link w:val="26"/>
    <w:qFormat/>
    <w:uiPriority w:val="0"/>
    <w:rPr>
      <w:sz w:val="18"/>
      <w:szCs w:val="18"/>
    </w:rPr>
  </w:style>
  <w:style w:type="character" w:customStyle="1" w:styleId="52">
    <w:name w:val="标题 1 字符"/>
    <w:basedOn w:val="40"/>
    <w:link w:val="2"/>
    <w:qFormat/>
    <w:uiPriority w:val="0"/>
    <w:rPr>
      <w:rFonts w:ascii="Times New Roman" w:hAnsi="Times New Roman" w:eastAsia="黑体" w:cs="Times New Roman"/>
      <w:b/>
      <w:bCs/>
      <w:kern w:val="44"/>
      <w:sz w:val="52"/>
      <w:szCs w:val="20"/>
    </w:rPr>
  </w:style>
  <w:style w:type="character" w:customStyle="1" w:styleId="53">
    <w:name w:val="标题 2 字符"/>
    <w:basedOn w:val="40"/>
    <w:link w:val="3"/>
    <w:qFormat/>
    <w:uiPriority w:val="0"/>
    <w:rPr>
      <w:rFonts w:ascii="Arial" w:hAnsi="Arial" w:eastAsia="黑体" w:cs="Times New Roman"/>
      <w:b/>
      <w:kern w:val="0"/>
      <w:sz w:val="32"/>
      <w:szCs w:val="20"/>
    </w:rPr>
  </w:style>
  <w:style w:type="character" w:customStyle="1" w:styleId="54">
    <w:name w:val="标题 3 字符"/>
    <w:basedOn w:val="40"/>
    <w:link w:val="6"/>
    <w:qFormat/>
    <w:uiPriority w:val="0"/>
    <w:rPr>
      <w:rFonts w:ascii="Times New Roman" w:hAnsi="Times New Roman" w:eastAsia="黑体" w:cs="Times New Roman"/>
      <w:b/>
      <w:bCs/>
      <w:sz w:val="36"/>
      <w:szCs w:val="36"/>
    </w:rPr>
  </w:style>
  <w:style w:type="character" w:customStyle="1" w:styleId="55">
    <w:name w:val="标题 4 字符"/>
    <w:basedOn w:val="40"/>
    <w:link w:val="7"/>
    <w:qFormat/>
    <w:uiPriority w:val="0"/>
    <w:rPr>
      <w:rFonts w:ascii="Arial" w:hAnsi="Arial" w:eastAsia="黑体" w:cs="Times New Roman"/>
      <w:b/>
      <w:bCs/>
      <w:sz w:val="30"/>
      <w:szCs w:val="28"/>
    </w:rPr>
  </w:style>
  <w:style w:type="character" w:customStyle="1" w:styleId="56">
    <w:name w:val="标题 5 字符"/>
    <w:basedOn w:val="40"/>
    <w:link w:val="8"/>
    <w:qFormat/>
    <w:uiPriority w:val="0"/>
    <w:rPr>
      <w:rFonts w:ascii="Times New Roman" w:hAnsi="Times New Roman" w:eastAsia="宋体" w:cs="Times New Roman"/>
      <w:b/>
      <w:bCs/>
      <w:sz w:val="28"/>
      <w:szCs w:val="28"/>
    </w:rPr>
  </w:style>
  <w:style w:type="character" w:customStyle="1" w:styleId="57">
    <w:name w:val="标题 6 字符"/>
    <w:basedOn w:val="40"/>
    <w:link w:val="9"/>
    <w:qFormat/>
    <w:uiPriority w:val="0"/>
    <w:rPr>
      <w:rFonts w:ascii="Arial" w:hAnsi="Arial" w:eastAsia="黑体" w:cs="Times New Roman"/>
      <w:b/>
      <w:sz w:val="24"/>
      <w:szCs w:val="24"/>
    </w:rPr>
  </w:style>
  <w:style w:type="character" w:customStyle="1" w:styleId="58">
    <w:name w:val="标题 7 字符"/>
    <w:basedOn w:val="40"/>
    <w:link w:val="10"/>
    <w:qFormat/>
    <w:uiPriority w:val="0"/>
    <w:rPr>
      <w:rFonts w:ascii="仿宋" w:hAnsi="Times New Roman" w:eastAsia="仿宋" w:cs="Times New Roman"/>
      <w:b/>
      <w:sz w:val="24"/>
      <w:szCs w:val="20"/>
    </w:rPr>
  </w:style>
  <w:style w:type="character" w:customStyle="1" w:styleId="59">
    <w:name w:val="标题 8 字符"/>
    <w:basedOn w:val="40"/>
    <w:link w:val="11"/>
    <w:qFormat/>
    <w:uiPriority w:val="0"/>
    <w:rPr>
      <w:rFonts w:ascii="Arial" w:hAnsi="Arial" w:eastAsia="黑体" w:cs="Times New Roman"/>
      <w:sz w:val="24"/>
      <w:szCs w:val="20"/>
    </w:rPr>
  </w:style>
  <w:style w:type="character" w:customStyle="1" w:styleId="60">
    <w:name w:val="标题 9 字符"/>
    <w:basedOn w:val="40"/>
    <w:link w:val="12"/>
    <w:qFormat/>
    <w:uiPriority w:val="0"/>
    <w:rPr>
      <w:rFonts w:ascii="Arial" w:hAnsi="Arial" w:eastAsia="黑体" w:cs="Times New Roman"/>
      <w:sz w:val="24"/>
      <w:szCs w:val="20"/>
    </w:rPr>
  </w:style>
  <w:style w:type="character" w:customStyle="1" w:styleId="61">
    <w:name w:val="正文文本缩进 字符"/>
    <w:basedOn w:val="40"/>
    <w:qFormat/>
    <w:uiPriority w:val="0"/>
  </w:style>
  <w:style w:type="character" w:customStyle="1" w:styleId="62">
    <w:name w:val="文档结构图 字符"/>
    <w:basedOn w:val="40"/>
    <w:link w:val="16"/>
    <w:qFormat/>
    <w:uiPriority w:val="0"/>
    <w:rPr>
      <w:rFonts w:ascii="Times New Roman" w:hAnsi="Times New Roman" w:eastAsia="宋体" w:cs="宋体"/>
      <w:shd w:val="clear" w:color="auto" w:fill="000080"/>
    </w:rPr>
  </w:style>
  <w:style w:type="character" w:customStyle="1" w:styleId="63">
    <w:name w:val="批注文字 字符"/>
    <w:basedOn w:val="40"/>
    <w:link w:val="17"/>
    <w:qFormat/>
    <w:uiPriority w:val="0"/>
    <w:rPr>
      <w:rFonts w:ascii="Times New Roman" w:hAnsi="Times New Roman" w:eastAsia="宋体" w:cs="Times New Roman"/>
    </w:rPr>
  </w:style>
  <w:style w:type="character" w:customStyle="1" w:styleId="64">
    <w:name w:val="正文文本 3 字符"/>
    <w:basedOn w:val="40"/>
    <w:link w:val="18"/>
    <w:qFormat/>
    <w:uiPriority w:val="0"/>
    <w:rPr>
      <w:rFonts w:ascii="Times New Roman" w:hAnsi="宋体" w:eastAsia="Times New Roman" w:cs="Times New Roman"/>
      <w:b/>
      <w:sz w:val="24"/>
    </w:rPr>
  </w:style>
  <w:style w:type="character" w:customStyle="1" w:styleId="65">
    <w:name w:val="正文文本 字符"/>
    <w:basedOn w:val="40"/>
    <w:link w:val="19"/>
    <w:qFormat/>
    <w:uiPriority w:val="99"/>
    <w:rPr>
      <w:rFonts w:ascii="Times New Roman" w:hAnsi="Times New Roman" w:eastAsia="宋体" w:cs="Times New Roman"/>
    </w:rPr>
  </w:style>
  <w:style w:type="character" w:customStyle="1" w:styleId="66">
    <w:name w:val="纯文本 字符"/>
    <w:basedOn w:val="40"/>
    <w:qFormat/>
    <w:uiPriority w:val="0"/>
    <w:rPr>
      <w:rFonts w:hAnsi="Courier New" w:cs="Courier New" w:asciiTheme="minorEastAsia"/>
    </w:rPr>
  </w:style>
  <w:style w:type="character" w:customStyle="1" w:styleId="67">
    <w:name w:val="日期 字符"/>
    <w:basedOn w:val="40"/>
    <w:link w:val="23"/>
    <w:qFormat/>
    <w:uiPriority w:val="0"/>
    <w:rPr>
      <w:rFonts w:ascii="Calibri" w:hAnsi="Calibri" w:eastAsia="楷体_GB2312" w:cs="Times New Roman"/>
      <w:kern w:val="0"/>
      <w:sz w:val="32"/>
    </w:rPr>
  </w:style>
  <w:style w:type="character" w:customStyle="1" w:styleId="68">
    <w:name w:val="正文文本缩进 2 字符"/>
    <w:basedOn w:val="40"/>
    <w:link w:val="24"/>
    <w:qFormat/>
    <w:uiPriority w:val="0"/>
    <w:rPr>
      <w:rFonts w:ascii="仿宋_GB2312" w:hAnsi="宋体" w:eastAsia="宋体" w:cs="Times New Roman"/>
      <w:b/>
      <w:color w:val="000000"/>
      <w:kern w:val="0"/>
      <w:sz w:val="24"/>
    </w:rPr>
  </w:style>
  <w:style w:type="character" w:customStyle="1" w:styleId="69">
    <w:name w:val="批注框文本 字符"/>
    <w:basedOn w:val="40"/>
    <w:link w:val="25"/>
    <w:qFormat/>
    <w:uiPriority w:val="0"/>
    <w:rPr>
      <w:rFonts w:ascii="Calibri" w:hAnsi="Calibri" w:eastAsia="宋体" w:cs="Times New Roman"/>
      <w:sz w:val="18"/>
      <w:szCs w:val="18"/>
    </w:rPr>
  </w:style>
  <w:style w:type="character" w:customStyle="1" w:styleId="70">
    <w:name w:val="正文文本缩进 3 字符"/>
    <w:basedOn w:val="40"/>
    <w:link w:val="30"/>
    <w:qFormat/>
    <w:uiPriority w:val="0"/>
    <w:rPr>
      <w:rFonts w:ascii="仿宋_GB2312" w:hAnsi="宋体" w:eastAsia="Times New Roman" w:cs="Times New Roman"/>
      <w:color w:val="000000"/>
      <w:kern w:val="0"/>
      <w:sz w:val="24"/>
    </w:rPr>
  </w:style>
  <w:style w:type="character" w:customStyle="1" w:styleId="71">
    <w:name w:val="正文文本 2 字符"/>
    <w:basedOn w:val="40"/>
    <w:link w:val="31"/>
    <w:qFormat/>
    <w:uiPriority w:val="0"/>
    <w:rPr>
      <w:rFonts w:ascii="宋体" w:hAnsi="宋体" w:eastAsia="宋体" w:cs="宋体"/>
      <w:bCs/>
    </w:rPr>
  </w:style>
  <w:style w:type="character" w:customStyle="1" w:styleId="72">
    <w:name w:val="HTML 预设格式 字符"/>
    <w:basedOn w:val="40"/>
    <w:link w:val="32"/>
    <w:qFormat/>
    <w:uiPriority w:val="0"/>
    <w:rPr>
      <w:rFonts w:ascii="Courier New" w:hAnsi="Courier New" w:eastAsia="宋体" w:cs="Times New Roman"/>
      <w:kern w:val="0"/>
      <w:sz w:val="20"/>
      <w:szCs w:val="20"/>
    </w:rPr>
  </w:style>
  <w:style w:type="character" w:customStyle="1" w:styleId="73">
    <w:name w:val="批注主题 字符"/>
    <w:basedOn w:val="63"/>
    <w:link w:val="35"/>
    <w:qFormat/>
    <w:uiPriority w:val="0"/>
    <w:rPr>
      <w:rFonts w:ascii="Times New Roman" w:hAnsi="Times New Roman" w:eastAsia="宋体" w:cs="宋体"/>
      <w:b/>
      <w:bCs/>
    </w:rPr>
  </w:style>
  <w:style w:type="character" w:customStyle="1" w:styleId="74">
    <w:name w:val="正文文本首行缩进 字符"/>
    <w:basedOn w:val="65"/>
    <w:link w:val="36"/>
    <w:qFormat/>
    <w:uiPriority w:val="0"/>
    <w:rPr>
      <w:rFonts w:ascii="Times New Roman" w:hAnsi="Calibri" w:eastAsia="宋体" w:cs="Times New Roman"/>
      <w:kern w:val="0"/>
    </w:rPr>
  </w:style>
  <w:style w:type="character" w:customStyle="1" w:styleId="75">
    <w:name w:val="正文文本首行缩进 2 字符"/>
    <w:basedOn w:val="61"/>
    <w:link w:val="37"/>
    <w:qFormat/>
    <w:uiPriority w:val="99"/>
    <w:rPr>
      <w:rFonts w:ascii="Calibri" w:hAnsi="Calibri" w:eastAsia="宋体" w:cs="Times New Roman"/>
      <w:szCs w:val="24"/>
    </w:rPr>
  </w:style>
  <w:style w:type="character" w:customStyle="1" w:styleId="76">
    <w:name w:val="正文文本缩进 字符2"/>
    <w:basedOn w:val="40"/>
    <w:link w:val="5"/>
    <w:qFormat/>
    <w:uiPriority w:val="0"/>
    <w:rPr>
      <w:rFonts w:ascii="宋体" w:hAnsi="Courier New" w:eastAsia="宋体" w:cs="Times New Roman"/>
      <w:spacing w:val="-4"/>
      <w:kern w:val="0"/>
      <w:sz w:val="18"/>
    </w:rPr>
  </w:style>
  <w:style w:type="character" w:customStyle="1" w:styleId="77">
    <w:name w:val="纯文本 字符1"/>
    <w:basedOn w:val="40"/>
    <w:link w:val="22"/>
    <w:qFormat/>
    <w:uiPriority w:val="0"/>
    <w:rPr>
      <w:rFonts w:ascii="宋体" w:hAnsi="Courier New" w:eastAsia="宋体" w:cs="Times New Roman"/>
      <w:sz w:val="24"/>
    </w:rPr>
  </w:style>
  <w:style w:type="paragraph" w:customStyle="1" w:styleId="78">
    <w:name w:val="表格文字"/>
    <w:basedOn w:val="1"/>
    <w:next w:val="19"/>
    <w:qFormat/>
    <w:uiPriority w:val="0"/>
    <w:rPr>
      <w:rFonts w:ascii="Times New Roman" w:hAnsi="Times New Roman" w:eastAsia="宋体" w:cs="Times New Roman"/>
      <w:sz w:val="18"/>
      <w:szCs w:val="24"/>
    </w:rPr>
  </w:style>
  <w:style w:type="paragraph" w:customStyle="1" w:styleId="7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81">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rPr>
  </w:style>
  <w:style w:type="paragraph" w:customStyle="1" w:styleId="83">
    <w:name w:val="列出段落5"/>
    <w:basedOn w:val="1"/>
    <w:qFormat/>
    <w:uiPriority w:val="0"/>
    <w:pPr>
      <w:ind w:firstLine="420" w:firstLineChars="200"/>
    </w:pPr>
    <w:rPr>
      <w:rFonts w:ascii="Calibri" w:hAnsi="Calibri" w:eastAsia="等线" w:cs="Times New Roman"/>
      <w:sz w:val="24"/>
      <w:szCs w:val="24"/>
    </w:rPr>
  </w:style>
  <w:style w:type="paragraph" w:customStyle="1" w:styleId="8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85">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86">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8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88">
    <w:name w:val="标准有序列表（L1）"/>
    <w:basedOn w:val="4"/>
    <w:qFormat/>
    <w:uiPriority w:val="0"/>
    <w:pPr>
      <w:numPr>
        <w:ilvl w:val="0"/>
        <w:numId w:val="3"/>
      </w:numPr>
      <w:tabs>
        <w:tab w:val="left" w:pos="0"/>
        <w:tab w:val="left" w:pos="2280"/>
      </w:tabs>
      <w:spacing w:line="360" w:lineRule="auto"/>
      <w:ind w:left="0" w:firstLine="0"/>
    </w:pPr>
    <w:rPr>
      <w:rFonts w:ascii="黑体" w:eastAsia="黑体"/>
      <w:color w:val="000000"/>
      <w:sz w:val="24"/>
    </w:rPr>
  </w:style>
  <w:style w:type="paragraph" w:customStyle="1" w:styleId="89">
    <w:name w:val="f1"/>
    <w:basedOn w:val="1"/>
    <w:qFormat/>
    <w:uiPriority w:val="0"/>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90">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91">
    <w:name w:val="GW-正文"/>
    <w:basedOn w:val="1"/>
    <w:link w:val="119"/>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92">
    <w:name w:val="Char Char10"/>
    <w:basedOn w:val="1"/>
    <w:qFormat/>
    <w:uiPriority w:val="0"/>
    <w:pPr>
      <w:widowControl/>
      <w:spacing w:after="160" w:line="240" w:lineRule="exact"/>
      <w:jc w:val="left"/>
    </w:pPr>
    <w:rPr>
      <w:rFonts w:ascii="Times New Roman" w:hAnsi="Times New Roman" w:eastAsia="宋体" w:cs="Times New Roman"/>
      <w:kern w:val="0"/>
      <w:sz w:val="20"/>
      <w:szCs w:val="24"/>
    </w:rPr>
  </w:style>
  <w:style w:type="paragraph" w:customStyle="1" w:styleId="93">
    <w:name w:val="正文文本缩进11"/>
    <w:basedOn w:val="1"/>
    <w:qFormat/>
    <w:uiPriority w:val="0"/>
    <w:pPr>
      <w:spacing w:line="200" w:lineRule="exact"/>
      <w:ind w:firstLine="301"/>
    </w:pPr>
    <w:rPr>
      <w:rFonts w:ascii="Calibri" w:hAnsi="Calibri" w:eastAsia="宋体" w:cs="Times New Roman"/>
      <w:szCs w:val="20"/>
    </w:rPr>
  </w:style>
  <w:style w:type="paragraph" w:customStyle="1" w:styleId="94">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95">
    <w:name w:val="首行缩进2字符"/>
    <w:basedOn w:val="1"/>
    <w:qFormat/>
    <w:uiPriority w:val="0"/>
    <w:pPr>
      <w:spacing w:line="360" w:lineRule="auto"/>
      <w:ind w:firstLine="200" w:firstLineChars="200"/>
    </w:pPr>
    <w:rPr>
      <w:rFonts w:ascii="Calibri" w:hAnsi="Calibri" w:eastAsia="宋体" w:cs="Times New Roman"/>
      <w:sz w:val="24"/>
      <w:szCs w:val="21"/>
    </w:rPr>
  </w:style>
  <w:style w:type="paragraph" w:customStyle="1" w:styleId="96">
    <w:name w:val="默认段落字体 Para Char"/>
    <w:basedOn w:val="1"/>
    <w:qFormat/>
    <w:uiPriority w:val="0"/>
    <w:rPr>
      <w:rFonts w:ascii="Times New Roman" w:hAnsi="Times New Roman" w:eastAsia="宋体" w:cs="Times New Roman"/>
      <w:szCs w:val="20"/>
    </w:rPr>
  </w:style>
  <w:style w:type="paragraph" w:customStyle="1" w:styleId="97">
    <w:name w:val="Char"/>
    <w:basedOn w:val="1"/>
    <w:link w:val="132"/>
    <w:qFormat/>
    <w:uiPriority w:val="0"/>
    <w:rPr>
      <w:rFonts w:ascii="Calibri" w:hAnsi="Calibri" w:eastAsia="宋体" w:cs="Times New Roman"/>
      <w:kern w:val="0"/>
      <w:sz w:val="24"/>
      <w:szCs w:val="20"/>
    </w:rPr>
  </w:style>
  <w:style w:type="paragraph" w:customStyle="1" w:styleId="98">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99">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01">
    <w:name w:val="书籍标题1"/>
    <w:basedOn w:val="1"/>
    <w:next w:val="1"/>
    <w:qFormat/>
    <w:uiPriority w:val="0"/>
    <w:pPr>
      <w:pageBreakBefore/>
      <w:widowControl/>
      <w:numPr>
        <w:ilvl w:val="0"/>
        <w:numId w:val="4"/>
      </w:numPr>
      <w:spacing w:beforeLines="200"/>
      <w:ind w:left="2520"/>
      <w:jc w:val="center"/>
      <w:outlineLvl w:val="0"/>
    </w:pPr>
    <w:rPr>
      <w:rFonts w:ascii="Times New Roman" w:hAnsi="Times New Roman" w:eastAsia="黑体" w:cs="Times New Roman"/>
      <w:b/>
      <w:spacing w:val="20"/>
      <w:kern w:val="44"/>
      <w:sz w:val="44"/>
    </w:rPr>
  </w:style>
  <w:style w:type="paragraph" w:customStyle="1" w:styleId="102">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103">
    <w:name w:val="Table Paragraph"/>
    <w:basedOn w:val="1"/>
    <w:qFormat/>
    <w:uiPriority w:val="1"/>
    <w:pPr>
      <w:spacing w:before="119"/>
    </w:pPr>
    <w:rPr>
      <w:rFonts w:ascii="宋体" w:hAnsi="宋体" w:eastAsia="宋体" w:cs="宋体"/>
      <w:szCs w:val="24"/>
      <w:lang w:val="zh-CN"/>
    </w:rPr>
  </w:style>
  <w:style w:type="paragraph" w:customStyle="1" w:styleId="104">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05">
    <w:name w:val="样式2"/>
    <w:basedOn w:val="97"/>
    <w:qFormat/>
    <w:uiPriority w:val="0"/>
    <w:pPr>
      <w:tabs>
        <w:tab w:val="left" w:pos="432"/>
      </w:tabs>
      <w:spacing w:beforeLines="50" w:afterLines="50"/>
      <w:ind w:left="432" w:hanging="432"/>
    </w:pPr>
    <w:rPr>
      <w:b/>
      <w:szCs w:val="21"/>
      <w:u w:val="thick"/>
    </w:rPr>
  </w:style>
  <w:style w:type="paragraph" w:customStyle="1" w:styleId="106">
    <w:name w:val="样式1"/>
    <w:basedOn w:val="97"/>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首行缩进2字符"/>
    <w:basedOn w:val="1"/>
    <w:link w:val="136"/>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0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表格内容"/>
    <w:next w:val="108"/>
    <w:link w:val="137"/>
    <w:qFormat/>
    <w:uiPriority w:val="0"/>
    <w:pPr>
      <w:jc w:val="center"/>
    </w:pPr>
    <w:rPr>
      <w:rFonts w:ascii="仿宋" w:hAnsi="仿宋" w:eastAsia="仿宋" w:cs="Times New Roman"/>
      <w:kern w:val="0"/>
      <w:sz w:val="24"/>
      <w:szCs w:val="22"/>
      <w:lang w:val="en-US" w:eastAsia="zh-CN" w:bidi="ar-SA"/>
    </w:rPr>
  </w:style>
  <w:style w:type="paragraph" w:customStyle="1" w:styleId="111">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112">
    <w:name w:val="列项中圆1"/>
    <w:basedOn w:val="1"/>
    <w:next w:val="1"/>
    <w:qFormat/>
    <w:uiPriority w:val="0"/>
    <w:pPr>
      <w:tabs>
        <w:tab w:val="left" w:pos="839"/>
      </w:tabs>
      <w:spacing w:line="300" w:lineRule="auto"/>
      <w:ind w:left="839" w:hanging="419"/>
    </w:pPr>
    <w:rPr>
      <w:rFonts w:ascii="Times New Roman" w:hAnsi="Times New Roman" w:eastAsia="宋体" w:cs="Times New Roman"/>
      <w:kern w:val="21"/>
      <w:szCs w:val="20"/>
    </w:rPr>
  </w:style>
  <w:style w:type="paragraph" w:customStyle="1" w:styleId="113">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14">
    <w:name w:val="文档正文"/>
    <w:basedOn w:val="1"/>
    <w:qFormat/>
    <w:uiPriority w:val="0"/>
    <w:rPr>
      <w:rFonts w:ascii="宋体" w:hAnsi="宋体" w:eastAsia="宋体" w:cs="Arial"/>
      <w:bCs/>
      <w:szCs w:val="21"/>
    </w:rPr>
  </w:style>
  <w:style w:type="paragraph" w:customStyle="1" w:styleId="115">
    <w:name w:val="p15"/>
    <w:basedOn w:val="1"/>
    <w:qFormat/>
    <w:uiPriority w:val="0"/>
    <w:pPr>
      <w:widowControl/>
      <w:spacing w:line="200" w:lineRule="atLeast"/>
      <w:ind w:firstLine="301"/>
    </w:pPr>
    <w:rPr>
      <w:rFonts w:ascii="宋体" w:hAnsi="宋体" w:eastAsia="宋体" w:cs="宋体"/>
      <w:spacing w:val="-4"/>
      <w:kern w:val="0"/>
      <w:sz w:val="18"/>
      <w:szCs w:val="18"/>
    </w:rPr>
  </w:style>
  <w:style w:type="paragraph" w:customStyle="1" w:styleId="116">
    <w:name w:val="无间隔1"/>
    <w:link w:val="127"/>
    <w:qFormat/>
    <w:uiPriority w:val="0"/>
    <w:rPr>
      <w:rFonts w:ascii="Calibri" w:hAnsi="Calibri" w:eastAsia="宋体" w:cs="Times New Roman"/>
      <w:kern w:val="0"/>
      <w:sz w:val="22"/>
      <w:szCs w:val="22"/>
      <w:lang w:val="en-US" w:eastAsia="zh-CN" w:bidi="ar-SA"/>
    </w:rPr>
  </w:style>
  <w:style w:type="paragraph" w:customStyle="1" w:styleId="117">
    <w:name w:val="纯文本1"/>
    <w:basedOn w:val="1"/>
    <w:qFormat/>
    <w:uiPriority w:val="0"/>
    <w:pPr>
      <w:spacing w:beforeLines="50" w:afterLines="50" w:line="400" w:lineRule="exact"/>
    </w:pPr>
    <w:rPr>
      <w:rFonts w:ascii="宋体" w:hAnsi="Courier New" w:eastAsia="Times New Roman" w:cs="Times New Roman"/>
      <w:sz w:val="30"/>
      <w:szCs w:val="24"/>
    </w:rPr>
  </w:style>
  <w:style w:type="character" w:customStyle="1" w:styleId="118">
    <w:name w:val="font21"/>
    <w:basedOn w:val="40"/>
    <w:qFormat/>
    <w:uiPriority w:val="0"/>
    <w:rPr>
      <w:rFonts w:ascii="等线" w:hAnsi="等线" w:eastAsia="等线" w:cs="等线"/>
      <w:color w:val="000000"/>
      <w:sz w:val="22"/>
      <w:szCs w:val="22"/>
      <w:u w:val="none"/>
    </w:rPr>
  </w:style>
  <w:style w:type="character" w:customStyle="1" w:styleId="119">
    <w:name w:val="GW-正文 Char"/>
    <w:link w:val="91"/>
    <w:qFormat/>
    <w:locked/>
    <w:uiPriority w:val="0"/>
    <w:rPr>
      <w:rFonts w:ascii="Arial Narrow" w:hAnsi="Arial Narrow" w:eastAsia="宋体" w:cs="Times New Roman"/>
      <w:kern w:val="0"/>
      <w:sz w:val="24"/>
      <w:szCs w:val="20"/>
    </w:rPr>
  </w:style>
  <w:style w:type="character" w:customStyle="1" w:styleId="120">
    <w:name w:val="apple-converted-space"/>
    <w:qFormat/>
    <w:uiPriority w:val="0"/>
    <w:rPr>
      <w:rFonts w:ascii="Times New Roman" w:hAnsi="Times New Roman"/>
    </w:rPr>
  </w:style>
  <w:style w:type="character" w:customStyle="1" w:styleId="121">
    <w:name w:val="正文文本缩进 3 Char1"/>
    <w:basedOn w:val="40"/>
    <w:qFormat/>
    <w:uiPriority w:val="0"/>
    <w:rPr>
      <w:rFonts w:ascii="Times New Roman" w:hAnsi="Times New Roman" w:eastAsia="宋体" w:cs="Times New Roman"/>
      <w:sz w:val="16"/>
      <w:szCs w:val="16"/>
    </w:rPr>
  </w:style>
  <w:style w:type="character" w:customStyle="1" w:styleId="122">
    <w:name w:val="批注主题 Char1"/>
    <w:basedOn w:val="123"/>
    <w:qFormat/>
    <w:uiPriority w:val="0"/>
    <w:rPr>
      <w:rFonts w:ascii="Times New Roman" w:hAnsi="Times New Roman" w:eastAsia="宋体" w:cs="Times New Roman"/>
      <w:b/>
      <w:bCs/>
    </w:rPr>
  </w:style>
  <w:style w:type="character" w:customStyle="1" w:styleId="123">
    <w:name w:val="批注文字 Char1"/>
    <w:basedOn w:val="40"/>
    <w:qFormat/>
    <w:uiPriority w:val="0"/>
    <w:rPr>
      <w:rFonts w:ascii="Times New Roman" w:hAnsi="Times New Roman" w:eastAsia="宋体" w:cs="Times New Roman"/>
    </w:rPr>
  </w:style>
  <w:style w:type="character" w:customStyle="1" w:styleId="124">
    <w:name w:val="apple-tab-span"/>
    <w:qFormat/>
    <w:uiPriority w:val="0"/>
    <w:rPr>
      <w:rFonts w:ascii="Times New Roman" w:hAnsi="Times New Roman"/>
    </w:rPr>
  </w:style>
  <w:style w:type="character" w:customStyle="1" w:styleId="125">
    <w:name w:val="font11"/>
    <w:basedOn w:val="40"/>
    <w:qFormat/>
    <w:uiPriority w:val="0"/>
    <w:rPr>
      <w:rFonts w:ascii="Times New Roman" w:hAnsi="Times New Roman" w:cs="Times New Roman"/>
      <w:color w:val="000000"/>
      <w:sz w:val="20"/>
      <w:szCs w:val="20"/>
      <w:u w:val="none"/>
    </w:rPr>
  </w:style>
  <w:style w:type="character" w:customStyle="1" w:styleId="126">
    <w:name w:val="font31"/>
    <w:basedOn w:val="40"/>
    <w:qFormat/>
    <w:uiPriority w:val="0"/>
    <w:rPr>
      <w:rFonts w:ascii="等线" w:hAnsi="等线" w:eastAsia="等线" w:cs="等线"/>
      <w:color w:val="000000"/>
      <w:sz w:val="22"/>
      <w:szCs w:val="22"/>
      <w:u w:val="none"/>
    </w:rPr>
  </w:style>
  <w:style w:type="character" w:customStyle="1" w:styleId="127">
    <w:name w:val="无间隔 Char"/>
    <w:link w:val="116"/>
    <w:qFormat/>
    <w:locked/>
    <w:uiPriority w:val="0"/>
    <w:rPr>
      <w:rFonts w:ascii="Calibri" w:hAnsi="Calibri" w:eastAsia="宋体" w:cs="Times New Roman"/>
      <w:kern w:val="0"/>
      <w:sz w:val="22"/>
    </w:rPr>
  </w:style>
  <w:style w:type="character" w:customStyle="1" w:styleId="128">
    <w:name w:val="正文文本缩进 Char1"/>
    <w:basedOn w:val="40"/>
    <w:qFormat/>
    <w:uiPriority w:val="0"/>
    <w:rPr>
      <w:rFonts w:ascii="Times New Roman" w:hAnsi="Times New Roman" w:eastAsia="宋体" w:cs="Times New Roman"/>
    </w:rPr>
  </w:style>
  <w:style w:type="character" w:customStyle="1" w:styleId="129">
    <w:name w:val="正文文本 3 Char1"/>
    <w:basedOn w:val="40"/>
    <w:qFormat/>
    <w:uiPriority w:val="0"/>
    <w:rPr>
      <w:rFonts w:ascii="Times New Roman" w:hAnsi="Times New Roman" w:eastAsia="宋体" w:cs="Times New Roman"/>
      <w:sz w:val="16"/>
      <w:szCs w:val="16"/>
    </w:rPr>
  </w:style>
  <w:style w:type="character" w:customStyle="1" w:styleId="130">
    <w:name w:val="正文文本 Char1"/>
    <w:basedOn w:val="40"/>
    <w:qFormat/>
    <w:uiPriority w:val="0"/>
    <w:rPr>
      <w:rFonts w:ascii="Times New Roman" w:hAnsi="Times New Roman" w:eastAsia="宋体" w:cs="Times New Roman"/>
    </w:rPr>
  </w:style>
  <w:style w:type="character" w:customStyle="1" w:styleId="131">
    <w:name w:val="font01"/>
    <w:basedOn w:val="40"/>
    <w:qFormat/>
    <w:uiPriority w:val="0"/>
    <w:rPr>
      <w:rFonts w:ascii="宋体" w:hAnsi="宋体" w:eastAsia="宋体" w:cs="宋体"/>
      <w:color w:val="000000"/>
      <w:sz w:val="20"/>
      <w:szCs w:val="20"/>
      <w:u w:val="none"/>
    </w:rPr>
  </w:style>
  <w:style w:type="character" w:customStyle="1" w:styleId="132">
    <w:name w:val="Char Char3"/>
    <w:link w:val="97"/>
    <w:qFormat/>
    <w:locked/>
    <w:uiPriority w:val="0"/>
    <w:rPr>
      <w:rFonts w:ascii="Calibri" w:hAnsi="Calibri" w:eastAsia="宋体" w:cs="Times New Roman"/>
      <w:kern w:val="0"/>
      <w:sz w:val="24"/>
      <w:szCs w:val="20"/>
    </w:rPr>
  </w:style>
  <w:style w:type="character" w:customStyle="1" w:styleId="133">
    <w:name w:val="题注 字符"/>
    <w:link w:val="14"/>
    <w:qFormat/>
    <w:locked/>
    <w:uiPriority w:val="0"/>
    <w:rPr>
      <w:rFonts w:ascii="Arial" w:hAnsi="Arial" w:eastAsia="黑体" w:cs="Times New Roman"/>
      <w:kern w:val="0"/>
      <w:sz w:val="20"/>
      <w:szCs w:val="20"/>
    </w:rPr>
  </w:style>
  <w:style w:type="character" w:customStyle="1" w:styleId="134">
    <w:name w:val="纯文本 Char2"/>
    <w:basedOn w:val="40"/>
    <w:qFormat/>
    <w:uiPriority w:val="0"/>
    <w:rPr>
      <w:rFonts w:ascii="宋体" w:hAnsi="Courier New" w:eastAsia="宋体" w:cs="Courier New"/>
      <w:sz w:val="21"/>
      <w:szCs w:val="21"/>
    </w:rPr>
  </w:style>
  <w:style w:type="character" w:customStyle="1" w:styleId="135">
    <w:name w:val="文档结构图 Char1"/>
    <w:basedOn w:val="40"/>
    <w:qFormat/>
    <w:uiPriority w:val="0"/>
    <w:rPr>
      <w:rFonts w:ascii="宋体" w:hAnsi="Times New Roman" w:eastAsia="宋体" w:cs="Times New Roman"/>
      <w:sz w:val="18"/>
      <w:szCs w:val="18"/>
    </w:rPr>
  </w:style>
  <w:style w:type="character" w:customStyle="1" w:styleId="136">
    <w:name w:val="正文首行缩进2字符 Char Char"/>
    <w:link w:val="108"/>
    <w:qFormat/>
    <w:locked/>
    <w:uiPriority w:val="0"/>
    <w:rPr>
      <w:rFonts w:ascii="Times New Roman" w:hAnsi="Times New Roman" w:eastAsia="宋体" w:cs="Times New Roman"/>
      <w:kern w:val="0"/>
      <w:sz w:val="24"/>
      <w:szCs w:val="20"/>
    </w:rPr>
  </w:style>
  <w:style w:type="character" w:customStyle="1" w:styleId="137">
    <w:name w:val="表格内容 字符"/>
    <w:link w:val="110"/>
    <w:qFormat/>
    <w:locked/>
    <w:uiPriority w:val="0"/>
    <w:rPr>
      <w:rFonts w:ascii="仿宋" w:hAnsi="仿宋" w:eastAsia="仿宋" w:cs="Times New Roman"/>
      <w:kern w:val="0"/>
      <w:sz w:val="24"/>
    </w:rPr>
  </w:style>
  <w:style w:type="character" w:customStyle="1" w:styleId="138">
    <w:name w:val="纯文本 Char1"/>
    <w:qFormat/>
    <w:uiPriority w:val="0"/>
    <w:rPr>
      <w:rFonts w:ascii="宋体" w:hAnsi="Courier New" w:eastAsia="宋体"/>
      <w:sz w:val="21"/>
    </w:rPr>
  </w:style>
  <w:style w:type="character" w:customStyle="1" w:styleId="139">
    <w:name w:val="日期 Char1"/>
    <w:basedOn w:val="40"/>
    <w:qFormat/>
    <w:uiPriority w:val="0"/>
    <w:rPr>
      <w:rFonts w:ascii="Times New Roman" w:hAnsi="Times New Roman" w:eastAsia="宋体" w:cs="Times New Roman"/>
    </w:rPr>
  </w:style>
  <w:style w:type="character" w:customStyle="1" w:styleId="140">
    <w:name w:val="正文文本缩进 2 Char1"/>
    <w:basedOn w:val="40"/>
    <w:qFormat/>
    <w:uiPriority w:val="0"/>
    <w:rPr>
      <w:rFonts w:ascii="Times New Roman" w:hAnsi="Times New Roman" w:eastAsia="宋体" w:cs="Times New Roman"/>
    </w:rPr>
  </w:style>
  <w:style w:type="character" w:customStyle="1" w:styleId="141">
    <w:name w:val="批注框文本 Char1"/>
    <w:basedOn w:val="40"/>
    <w:qFormat/>
    <w:uiPriority w:val="0"/>
    <w:rPr>
      <w:rFonts w:ascii="Times New Roman" w:hAnsi="Times New Roman" w:eastAsia="宋体" w:cs="Times New Roman"/>
      <w:sz w:val="18"/>
      <w:szCs w:val="18"/>
    </w:rPr>
  </w:style>
  <w:style w:type="character" w:customStyle="1" w:styleId="142">
    <w:name w:val="列出段落 Char"/>
    <w:link w:val="100"/>
    <w:qFormat/>
    <w:locked/>
    <w:uiPriority w:val="0"/>
    <w:rPr>
      <w:rFonts w:ascii="Calibri" w:hAnsi="Calibri" w:eastAsia="宋体" w:cs="Times New Roman"/>
      <w:kern w:val="0"/>
      <w:sz w:val="24"/>
      <w:szCs w:val="20"/>
    </w:rPr>
  </w:style>
  <w:style w:type="character" w:customStyle="1" w:styleId="143">
    <w:name w:val="正文文本 2 Char1"/>
    <w:basedOn w:val="40"/>
    <w:qFormat/>
    <w:uiPriority w:val="0"/>
    <w:rPr>
      <w:rFonts w:ascii="Times New Roman" w:hAnsi="Times New Roman" w:eastAsia="宋体" w:cs="Times New Roman"/>
    </w:rPr>
  </w:style>
  <w:style w:type="character" w:customStyle="1" w:styleId="144">
    <w:name w:val="大黑10.5px"/>
    <w:qFormat/>
    <w:uiPriority w:val="0"/>
    <w:rPr>
      <w:rFonts w:ascii="方正大黑简体" w:eastAsia="方正大黑简体"/>
      <w:sz w:val="21"/>
    </w:rPr>
  </w:style>
  <w:style w:type="character" w:customStyle="1" w:styleId="145">
    <w:name w:val="黑简10.5px"/>
    <w:qFormat/>
    <w:uiPriority w:val="0"/>
    <w:rPr>
      <w:rFonts w:ascii="方正黑体简体" w:eastAsia="方正黑体简体"/>
      <w:sz w:val="21"/>
    </w:rPr>
  </w:style>
  <w:style w:type="paragraph" w:customStyle="1" w:styleId="146">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7">
    <w:name w:val="_Style 130"/>
    <w:basedOn w:val="1"/>
    <w:next w:val="100"/>
    <w:qFormat/>
    <w:uiPriority w:val="0"/>
    <w:pPr>
      <w:ind w:firstLine="420" w:firstLineChars="200"/>
    </w:pPr>
    <w:rPr>
      <w:rFonts w:ascii="Times New Roman" w:hAnsi="Times New Roman" w:eastAsia="宋体" w:cs="Times New Roman"/>
      <w:szCs w:val="20"/>
    </w:rPr>
  </w:style>
  <w:style w:type="paragraph" w:customStyle="1" w:styleId="148">
    <w:name w:val="0正文"/>
    <w:basedOn w:val="1"/>
    <w:qFormat/>
    <w:uiPriority w:val="0"/>
    <w:pPr>
      <w:spacing w:line="560" w:lineRule="exact"/>
      <w:ind w:firstLine="200" w:firstLineChars="200"/>
    </w:pPr>
    <w:rPr>
      <w:rFonts w:ascii="Tahoma" w:hAnsi="Tahoma" w:eastAsia="宋体" w:cs="Times New Roman"/>
    </w:rPr>
  </w:style>
  <w:style w:type="paragraph" w:customStyle="1" w:styleId="149">
    <w:name w:val="正文（本文）"/>
    <w:basedOn w:val="1"/>
    <w:qFormat/>
    <w:uiPriority w:val="0"/>
    <w:pPr>
      <w:snapToGrid w:val="0"/>
      <w:spacing w:line="360" w:lineRule="auto"/>
      <w:ind w:firstLine="480" w:firstLineChars="200"/>
    </w:pPr>
    <w:rPr>
      <w:rFonts w:ascii="Times New Roman" w:hAnsi="Times New Roman" w:eastAsia="宋体" w:cs="Times New Roman"/>
      <w:sz w:val="24"/>
      <w:szCs w:val="24"/>
    </w:rPr>
  </w:style>
  <w:style w:type="paragraph" w:customStyle="1" w:styleId="150">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51">
    <w:name w:val="_Style 4"/>
    <w:basedOn w:val="1"/>
    <w:qFormat/>
    <w:uiPriority w:val="0"/>
    <w:pPr>
      <w:ind w:firstLine="420" w:firstLineChars="200"/>
      <w:jc w:val="left"/>
    </w:pPr>
    <w:rPr>
      <w:rFonts w:ascii="Calibri" w:hAnsi="Calibri" w:eastAsia="宋体" w:cs="Times New Roman"/>
      <w:kern w:val="0"/>
      <w:sz w:val="18"/>
      <w:szCs w:val="24"/>
      <w:lang w:eastAsia="zh-TW"/>
    </w:rPr>
  </w:style>
  <w:style w:type="paragraph" w:customStyle="1" w:styleId="152">
    <w:name w:val="列出段落2"/>
    <w:basedOn w:val="1"/>
    <w:qFormat/>
    <w:uiPriority w:val="0"/>
    <w:pPr>
      <w:ind w:firstLine="420" w:firstLineChars="200"/>
    </w:pPr>
    <w:rPr>
      <w:rFonts w:ascii="Calibri" w:hAnsi="Calibri" w:eastAsia="宋体" w:cs="Times New Roman"/>
      <w:szCs w:val="24"/>
    </w:rPr>
  </w:style>
  <w:style w:type="paragraph" w:customStyle="1" w:styleId="153">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5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55">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6">
    <w:name w:val="正文 首行缩进:  2 字符 Char Char Char"/>
    <w:link w:val="157"/>
    <w:qFormat/>
    <w:locked/>
    <w:uiPriority w:val="0"/>
    <w:rPr>
      <w:sz w:val="24"/>
    </w:rPr>
  </w:style>
  <w:style w:type="paragraph" w:customStyle="1" w:styleId="157">
    <w:name w:val="正文 首行缩进:  2 字符 Char"/>
    <w:basedOn w:val="1"/>
    <w:link w:val="156"/>
    <w:qFormat/>
    <w:uiPriority w:val="0"/>
    <w:pPr>
      <w:spacing w:line="360" w:lineRule="auto"/>
      <w:ind w:firstLine="480"/>
    </w:pPr>
    <w:rPr>
      <w:sz w:val="24"/>
    </w:rPr>
  </w:style>
  <w:style w:type="paragraph" w:customStyle="1" w:styleId="158">
    <w:name w:val="样式 首行缩进:  0 字符"/>
    <w:basedOn w:val="1"/>
    <w:link w:val="159"/>
    <w:qFormat/>
    <w:uiPriority w:val="0"/>
    <w:pPr>
      <w:spacing w:line="360" w:lineRule="auto"/>
      <w:ind w:firstLine="200" w:firstLineChars="200"/>
    </w:pPr>
    <w:rPr>
      <w:rFonts w:ascii="Arial" w:hAnsi="Arial" w:eastAsia="宋体" w:cs="Times New Roman"/>
      <w:kern w:val="0"/>
      <w:sz w:val="20"/>
      <w:szCs w:val="20"/>
    </w:rPr>
  </w:style>
  <w:style w:type="character" w:customStyle="1" w:styleId="159">
    <w:name w:val="样式 首行缩进:  0 字符 Char"/>
    <w:link w:val="158"/>
    <w:qFormat/>
    <w:locked/>
    <w:uiPriority w:val="0"/>
    <w:rPr>
      <w:rFonts w:ascii="Arial" w:hAnsi="Arial" w:eastAsia="宋体" w:cs="Times New Roman"/>
      <w:kern w:val="0"/>
      <w:sz w:val="20"/>
      <w:szCs w:val="20"/>
    </w:rPr>
  </w:style>
  <w:style w:type="paragraph" w:customStyle="1" w:styleId="160">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61">
    <w:name w:val="Proposals body"/>
    <w:basedOn w:val="1"/>
    <w:next w:val="1"/>
    <w:qFormat/>
    <w:uiPriority w:val="0"/>
    <w:pPr>
      <w:widowControl/>
      <w:spacing w:line="460" w:lineRule="exact"/>
      <w:jc w:val="left"/>
    </w:pPr>
    <w:rPr>
      <w:rFonts w:ascii="仿宋_GB2312" w:hAnsi="Times New Roman" w:eastAsia="Times New Roman" w:cs="Times New Roman"/>
      <w:kern w:val="0"/>
      <w:sz w:val="24"/>
      <w:szCs w:val="24"/>
    </w:rPr>
  </w:style>
  <w:style w:type="paragraph" w:customStyle="1" w:styleId="162">
    <w:name w:val="目录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163">
    <w:name w:val="title11"/>
    <w:basedOn w:val="1"/>
    <w:qFormat/>
    <w:uiPriority w:val="0"/>
    <w:pPr>
      <w:spacing w:before="150"/>
      <w:jc w:val="left"/>
    </w:pPr>
    <w:rPr>
      <w:rFonts w:ascii="Times New Roman" w:hAnsi="Times New Roman" w:eastAsia="宋体" w:cs="Times New Roman"/>
      <w:b/>
      <w:kern w:val="0"/>
      <w:sz w:val="28"/>
      <w:szCs w:val="24"/>
    </w:rPr>
  </w:style>
  <w:style w:type="paragraph" w:customStyle="1" w:styleId="164">
    <w:name w:val="标题 10"/>
    <w:basedOn w:val="3"/>
    <w:qFormat/>
    <w:uiPriority w:val="0"/>
    <w:pPr>
      <w:spacing w:before="0" w:after="0" w:line="360" w:lineRule="auto"/>
      <w:jc w:val="center"/>
    </w:pPr>
    <w:rPr>
      <w:rFonts w:ascii="Cambria" w:hAnsi="Cambria" w:eastAsia="宋体"/>
      <w:bCs/>
      <w:sz w:val="21"/>
      <w:szCs w:val="32"/>
    </w:rPr>
  </w:style>
  <w:style w:type="paragraph" w:customStyle="1" w:styleId="1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1"/>
      <w:szCs w:val="22"/>
      <w:lang w:val="en-US" w:eastAsia="zh-CN" w:bidi="ar-SA"/>
    </w:rPr>
  </w:style>
  <w:style w:type="paragraph" w:customStyle="1" w:styleId="166">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16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68">
    <w:name w:val="Char Char Char Char1"/>
    <w:basedOn w:val="1"/>
    <w:qFormat/>
    <w:uiPriority w:val="0"/>
    <w:rPr>
      <w:rFonts w:ascii="Tahoma" w:hAnsi="Tahoma" w:eastAsia="宋体" w:cs="Times New Roman"/>
      <w:sz w:val="24"/>
      <w:szCs w:val="20"/>
    </w:rPr>
  </w:style>
  <w:style w:type="paragraph" w:customStyle="1" w:styleId="169">
    <w:name w:val="目录 71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170">
    <w:name w:val="_Style 46"/>
    <w:basedOn w:val="1"/>
    <w:next w:val="1"/>
    <w:link w:val="181"/>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7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72">
    <w:name w:val="xl25"/>
    <w:basedOn w:val="1"/>
    <w:qFormat/>
    <w:uiPriority w:val="0"/>
    <w:pPr>
      <w:widowControl/>
      <w:spacing w:before="100" w:beforeAutospacing="1" w:after="100" w:afterAutospacing="1"/>
      <w:jc w:val="center"/>
      <w:textAlignment w:val="center"/>
    </w:pPr>
    <w:rPr>
      <w:rFonts w:ascii="楷体_GB2312" w:hAnsi="宋体" w:eastAsia="楷体_GB2312" w:cs="Times New Roman"/>
      <w:kern w:val="0"/>
      <w:sz w:val="24"/>
      <w:szCs w:val="24"/>
    </w:rPr>
  </w:style>
  <w:style w:type="paragraph" w:customStyle="1" w:styleId="173">
    <w:name w:val="彩色列表 - 强调文字颜色 11"/>
    <w:basedOn w:val="1"/>
    <w:qFormat/>
    <w:uiPriority w:val="0"/>
    <w:pPr>
      <w:ind w:firstLine="420" w:firstLineChars="200"/>
    </w:pPr>
    <w:rPr>
      <w:rFonts w:ascii="Calibri" w:hAnsi="Calibri" w:eastAsia="宋体" w:cs="Times New Roman"/>
    </w:rPr>
  </w:style>
  <w:style w:type="paragraph" w:customStyle="1" w:styleId="174">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_Style 54"/>
    <w:basedOn w:val="1"/>
    <w:next w:val="1"/>
    <w:link w:val="185"/>
    <w:qFormat/>
    <w:uiPriority w:val="0"/>
    <w:pPr>
      <w:widowControl/>
      <w:pBdr>
        <w:top w:val="single" w:color="auto" w:sz="6" w:space="1"/>
      </w:pBdr>
      <w:jc w:val="center"/>
    </w:pPr>
    <w:rPr>
      <w:rFonts w:ascii="Arial" w:hAnsi="Arial" w:eastAsia="宋体" w:cs="Times New Roman"/>
      <w:vanish/>
      <w:kern w:val="0"/>
      <w:sz w:val="20"/>
      <w:szCs w:val="20"/>
    </w:rPr>
  </w:style>
  <w:style w:type="character" w:customStyle="1" w:styleId="176">
    <w:name w:val="jbox-icon-warning"/>
    <w:basedOn w:val="40"/>
    <w:qFormat/>
    <w:uiPriority w:val="0"/>
    <w:rPr>
      <w:rFonts w:cs="Times New Roman"/>
    </w:rPr>
  </w:style>
  <w:style w:type="character" w:customStyle="1" w:styleId="177">
    <w:name w:val="hover9"/>
    <w:qFormat/>
    <w:uiPriority w:val="0"/>
    <w:rPr>
      <w:shd w:val="clear" w:color="auto" w:fill="EEEEEE"/>
    </w:rPr>
  </w:style>
  <w:style w:type="character" w:customStyle="1" w:styleId="178">
    <w:name w:val="正文缩进 字符"/>
    <w:link w:val="4"/>
    <w:qFormat/>
    <w:locked/>
    <w:uiPriority w:val="0"/>
    <w:rPr>
      <w:rFonts w:ascii="Times New Roman" w:hAnsi="Times New Roman" w:eastAsia="宋体" w:cs="Times New Roman"/>
      <w:kern w:val="0"/>
      <w:sz w:val="20"/>
      <w:szCs w:val="20"/>
    </w:rPr>
  </w:style>
  <w:style w:type="character" w:customStyle="1" w:styleId="179">
    <w:name w:val="hour_pm"/>
    <w:basedOn w:val="40"/>
    <w:qFormat/>
    <w:uiPriority w:val="0"/>
    <w:rPr>
      <w:rFonts w:cs="Times New Roman"/>
    </w:rPr>
  </w:style>
  <w:style w:type="character" w:customStyle="1" w:styleId="180">
    <w:name w:val="jbox-icon-info"/>
    <w:basedOn w:val="40"/>
    <w:qFormat/>
    <w:uiPriority w:val="0"/>
    <w:rPr>
      <w:rFonts w:cs="Times New Roman"/>
    </w:rPr>
  </w:style>
  <w:style w:type="character" w:customStyle="1" w:styleId="181">
    <w:name w:val="z-窗体顶端 Char"/>
    <w:link w:val="170"/>
    <w:qFormat/>
    <w:locked/>
    <w:uiPriority w:val="0"/>
    <w:rPr>
      <w:rFonts w:ascii="Arial" w:hAnsi="Arial" w:eastAsia="宋体" w:cs="Times New Roman"/>
      <w:vanish/>
      <w:kern w:val="0"/>
      <w:sz w:val="20"/>
      <w:szCs w:val="20"/>
    </w:rPr>
  </w:style>
  <w:style w:type="character" w:customStyle="1" w:styleId="182">
    <w:name w:val="black601"/>
    <w:qFormat/>
    <w:uiPriority w:val="0"/>
    <w:rPr>
      <w:color w:val="666666"/>
    </w:rPr>
  </w:style>
  <w:style w:type="character" w:customStyle="1" w:styleId="183">
    <w:name w:val="hour_am"/>
    <w:basedOn w:val="40"/>
    <w:qFormat/>
    <w:uiPriority w:val="0"/>
    <w:rPr>
      <w:rFonts w:cs="Times New Roman"/>
    </w:rPr>
  </w:style>
  <w:style w:type="character" w:customStyle="1" w:styleId="184">
    <w:name w:val="jbox-icon-error"/>
    <w:basedOn w:val="40"/>
    <w:qFormat/>
    <w:uiPriority w:val="0"/>
    <w:rPr>
      <w:rFonts w:cs="Times New Roman"/>
    </w:rPr>
  </w:style>
  <w:style w:type="character" w:customStyle="1" w:styleId="185">
    <w:name w:val="z-窗体底端 Char"/>
    <w:link w:val="175"/>
    <w:qFormat/>
    <w:locked/>
    <w:uiPriority w:val="0"/>
    <w:rPr>
      <w:rFonts w:ascii="Arial" w:hAnsi="Arial" w:eastAsia="宋体" w:cs="Times New Roman"/>
      <w:vanish/>
      <w:kern w:val="0"/>
      <w:sz w:val="20"/>
      <w:szCs w:val="20"/>
    </w:rPr>
  </w:style>
  <w:style w:type="character" w:customStyle="1" w:styleId="186">
    <w:name w:val="jbox-icon-success"/>
    <w:basedOn w:val="40"/>
    <w:qFormat/>
    <w:uiPriority w:val="0"/>
    <w:rPr>
      <w:rFonts w:cs="Times New Roman"/>
    </w:rPr>
  </w:style>
  <w:style w:type="character" w:customStyle="1" w:styleId="187">
    <w:name w:val="maywed421"/>
    <w:qFormat/>
    <w:uiPriority w:val="0"/>
    <w:rPr>
      <w:color w:val="366FB6"/>
      <w:u w:val="none"/>
    </w:rPr>
  </w:style>
  <w:style w:type="character" w:customStyle="1" w:styleId="188">
    <w:name w:val="正文文本缩进 字符1"/>
    <w:qFormat/>
    <w:uiPriority w:val="0"/>
    <w:rPr>
      <w:rFonts w:ascii="宋体" w:hAnsi="Courier New"/>
      <w:spacing w:val="-4"/>
      <w:kern w:val="2"/>
      <w:sz w:val="18"/>
    </w:rPr>
  </w:style>
  <w:style w:type="character" w:customStyle="1" w:styleId="189">
    <w:name w:val="jbox-icon-question"/>
    <w:basedOn w:val="40"/>
    <w:qFormat/>
    <w:uiPriority w:val="0"/>
    <w:rPr>
      <w:rFonts w:cs="Times New Roman"/>
    </w:rPr>
  </w:style>
  <w:style w:type="character" w:customStyle="1" w:styleId="190">
    <w:name w:val="jbox-icon-loading"/>
    <w:basedOn w:val="40"/>
    <w:qFormat/>
    <w:uiPriority w:val="0"/>
    <w:rPr>
      <w:rFonts w:cs="Times New Roman"/>
    </w:rPr>
  </w:style>
  <w:style w:type="character" w:customStyle="1" w:styleId="191">
    <w:name w:val="标题 1 Char Char"/>
    <w:qFormat/>
    <w:uiPriority w:val="0"/>
    <w:rPr>
      <w:rFonts w:eastAsia="宋体"/>
      <w:b/>
      <w:spacing w:val="-2"/>
      <w:sz w:val="24"/>
      <w:lang w:val="en-US" w:eastAsia="zh-CN"/>
    </w:rPr>
  </w:style>
  <w:style w:type="character" w:customStyle="1" w:styleId="192">
    <w:name w:val="jbox-icon-none"/>
    <w:qFormat/>
    <w:uiPriority w:val="0"/>
    <w:rPr>
      <w:vanish/>
    </w:rPr>
  </w:style>
  <w:style w:type="character" w:customStyle="1" w:styleId="193">
    <w:name w:val="sub_title s0"/>
    <w:basedOn w:val="40"/>
    <w:qFormat/>
    <w:uiPriority w:val="0"/>
    <w:rPr>
      <w:rFonts w:cs="Times New Roman"/>
    </w:rPr>
  </w:style>
  <w:style w:type="character" w:customStyle="1" w:styleId="194">
    <w:name w:val="纯文本 字符2"/>
    <w:qFormat/>
    <w:uiPriority w:val="0"/>
    <w:rPr>
      <w:rFonts w:ascii="宋体" w:hAnsi="Courier New"/>
      <w:kern w:val="2"/>
      <w:sz w:val="24"/>
    </w:rPr>
  </w:style>
  <w:style w:type="character" w:customStyle="1" w:styleId="195">
    <w:name w:val="jbox-icon"/>
    <w:basedOn w:val="40"/>
    <w:qFormat/>
    <w:uiPriority w:val="0"/>
    <w:rPr>
      <w:rFonts w:cs="Times New Roman"/>
    </w:rPr>
  </w:style>
  <w:style w:type="character" w:customStyle="1" w:styleId="196">
    <w:name w:val="old"/>
    <w:qFormat/>
    <w:uiPriority w:val="0"/>
    <w:rPr>
      <w:color w:val="999999"/>
    </w:rPr>
  </w:style>
  <w:style w:type="paragraph" w:customStyle="1" w:styleId="197">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rPr>
  </w:style>
  <w:style w:type="paragraph" w:customStyle="1" w:styleId="198">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rPr>
  </w:style>
  <w:style w:type="paragraph" w:customStyle="1" w:styleId="199">
    <w:name w:val="纯文本_0"/>
    <w:basedOn w:val="1"/>
    <w:qFormat/>
    <w:uiPriority w:val="0"/>
    <w:pPr>
      <w:spacing w:line="440" w:lineRule="exact"/>
      <w:ind w:firstLine="100" w:firstLineChars="100"/>
    </w:pPr>
    <w:rPr>
      <w:rFonts w:ascii="宋体" w:hAnsi="Courier New" w:eastAsia="宋体" w:cs="Times New Roman"/>
      <w:szCs w:val="21"/>
    </w:rPr>
  </w:style>
  <w:style w:type="paragraph" w:customStyle="1" w:styleId="20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1">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2">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3">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5">
    <w:name w:val="xl106"/>
    <w:basedOn w:val="1"/>
    <w:qFormat/>
    <w:uiPriority w:val="0"/>
    <w:pPr>
      <w:widowControl/>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06">
    <w:name w:val="xl107"/>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7">
    <w:name w:val="xl108"/>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8">
    <w:name w:val="xl109"/>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09">
    <w:name w:val="xl110"/>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10">
    <w:name w:val="xl111"/>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1">
    <w:name w:val="xl11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12">
    <w:name w:val="xl113"/>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4">
    <w:name w:val="xl115"/>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1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6">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0">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21">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2">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23">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4">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5">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6">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7">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3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5">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6">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7">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1">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3">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44">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5">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6">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7">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8">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9">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50">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51">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53">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4">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5">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7">
    <w:name w:val="列表段落1"/>
    <w:basedOn w:val="1"/>
    <w:next w:val="258"/>
    <w:qFormat/>
    <w:uiPriority w:val="34"/>
    <w:pPr>
      <w:widowControl/>
      <w:ind w:firstLine="420" w:firstLineChars="200"/>
      <w:jc w:val="left"/>
    </w:pPr>
    <w:rPr>
      <w:rFonts w:ascii="宋体" w:hAnsi="宋体" w:cs="宋体"/>
      <w:kern w:val="0"/>
      <w:sz w:val="24"/>
      <w:szCs w:val="24"/>
    </w:rPr>
  </w:style>
  <w:style w:type="paragraph" w:styleId="258">
    <w:name w:val="List Paragraph"/>
    <w:basedOn w:val="1"/>
    <w:qFormat/>
    <w:uiPriority w:val="34"/>
    <w:pPr>
      <w:ind w:firstLine="420" w:firstLineChars="200"/>
    </w:pPr>
  </w:style>
  <w:style w:type="paragraph" w:customStyle="1" w:styleId="259">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ascii="Times New Roman" w:hAnsi="Times New Roman" w:eastAsia="楷体_GB2312" w:cs="Times New Roman"/>
      <w:kern w:val="0"/>
      <w:sz w:val="24"/>
      <w:szCs w:val="24"/>
    </w:rPr>
  </w:style>
  <w:style w:type="table" w:customStyle="1" w:styleId="260">
    <w:name w:val="Table Normal"/>
    <w:qFormat/>
    <w:uiPriority w:val="59"/>
    <w:rPr>
      <w:rFonts w:ascii="Times New Roman" w:hAnsi="Times New Roman" w:eastAsia="宋体" w:cs="Times New Roman"/>
      <w:kern w:val="0"/>
      <w:sz w:val="20"/>
      <w:szCs w:val="20"/>
    </w:rPr>
    <w:tblPr>
      <w:tblCellMar>
        <w:top w:w="0" w:type="dxa"/>
        <w:left w:w="108" w:type="dxa"/>
        <w:bottom w:w="0" w:type="dxa"/>
        <w:right w:w="108" w:type="dxa"/>
      </w:tblCellMar>
    </w:tblPr>
  </w:style>
  <w:style w:type="character" w:customStyle="1" w:styleId="261">
    <w:name w:val="font61"/>
    <w:basedOn w:val="40"/>
    <w:qFormat/>
    <w:uiPriority w:val="0"/>
    <w:rPr>
      <w:rFonts w:hint="eastAsia" w:ascii="宋体" w:hAnsi="宋体" w:eastAsia="宋体" w:cs="宋体"/>
      <w:b/>
      <w:bCs/>
      <w:color w:val="000000"/>
      <w:sz w:val="20"/>
      <w:szCs w:val="20"/>
      <w:u w:val="none"/>
    </w:rPr>
  </w:style>
  <w:style w:type="character" w:customStyle="1" w:styleId="262">
    <w:name w:val="font51"/>
    <w:basedOn w:val="40"/>
    <w:qFormat/>
    <w:uiPriority w:val="0"/>
    <w:rPr>
      <w:rFonts w:hint="default" w:ascii="Times New Roman" w:hAnsi="Times New Roman" w:cs="Times New Roman"/>
      <w:color w:val="000000"/>
      <w:sz w:val="21"/>
      <w:szCs w:val="21"/>
      <w:u w:val="none"/>
    </w:rPr>
  </w:style>
  <w:style w:type="character" w:customStyle="1" w:styleId="263">
    <w:name w:val="font71"/>
    <w:basedOn w:val="40"/>
    <w:qFormat/>
    <w:uiPriority w:val="0"/>
    <w:rPr>
      <w:rFonts w:hint="default" w:ascii="Times New Roman" w:hAnsi="Times New Roman" w:cs="Times New Roman"/>
      <w:color w:val="000000"/>
      <w:sz w:val="20"/>
      <w:szCs w:val="20"/>
      <w:u w:val="none"/>
    </w:rPr>
  </w:style>
  <w:style w:type="character" w:customStyle="1" w:styleId="264">
    <w:name w:val="font41"/>
    <w:basedOn w:val="40"/>
    <w:qFormat/>
    <w:uiPriority w:val="0"/>
    <w:rPr>
      <w:rFonts w:hint="eastAsia" w:ascii="宋体" w:hAnsi="宋体" w:eastAsia="宋体" w:cs="宋体"/>
      <w:b/>
      <w:bCs/>
      <w:color w:val="000000"/>
      <w:sz w:val="20"/>
      <w:szCs w:val="20"/>
      <w:u w:val="none"/>
    </w:rPr>
  </w:style>
  <w:style w:type="paragraph" w:customStyle="1" w:styleId="265">
    <w:name w:val="投标正文"/>
    <w:basedOn w:val="1"/>
    <w:qFormat/>
    <w:uiPriority w:val="0"/>
    <w:pPr>
      <w:ind w:left="100" w:firstLine="480" w:firstLineChars="200"/>
    </w:pPr>
    <w:rPr>
      <w:rFonts w:ascii="Times New Roman" w:hAnsi="Times New Roman" w:eastAsia="宋体" w:cs="Times New Roman"/>
      <w:sz w:val="24"/>
      <w:szCs w:val="24"/>
    </w:rPr>
  </w:style>
  <w:style w:type="paragraph" w:customStyle="1" w:styleId="266">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23765</Words>
  <Characters>25394</Characters>
  <Lines>193</Lines>
  <Paragraphs>54</Paragraphs>
  <TotalTime>32</TotalTime>
  <ScaleCrop>false</ScaleCrop>
  <LinksUpToDate>false</LinksUpToDate>
  <CharactersWithSpaces>25804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2022-11-10T03:40:00Z</dcterms:created>
  <dc:creator>黄 晓</dc:creator>
  <cp:lastModifiedBy>浅笑</cp:lastModifiedBy>
  <dcterms:modified xsi:type="dcterms:W3CDTF">2022-11-18T09:24:01Z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91CAFB89AA2144BE8FAD89C0B4F103A6</vt:lpwstr>
  </property>
</Properties>
</file>